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2" w:rsidRPr="00DD1948" w:rsidRDefault="007475C2" w:rsidP="00F03112">
      <w:pPr>
        <w:pStyle w:val="Title"/>
        <w:contextualSpacing/>
        <w:rPr>
          <w:sz w:val="28"/>
          <w:szCs w:val="28"/>
        </w:rPr>
      </w:pPr>
      <w:r w:rsidRPr="00DD1948">
        <w:rPr>
          <w:sz w:val="28"/>
          <w:szCs w:val="28"/>
        </w:rPr>
        <w:t>HEAVY VEHICLE NATIONAL LAW</w:t>
      </w:r>
    </w:p>
    <w:p w:rsidR="00B62909" w:rsidRDefault="008B07A4" w:rsidP="00F03112">
      <w:pPr>
        <w:pStyle w:val="Sectionheading"/>
        <w:numPr>
          <w:ilvl w:val="0"/>
          <w:numId w:val="0"/>
        </w:numPr>
        <w:ind w:left="360"/>
        <w:rPr>
          <w:rFonts w:ascii="Calibri" w:hAnsi="Calibri"/>
          <w:sz w:val="28"/>
          <w:szCs w:val="28"/>
        </w:rPr>
      </w:pPr>
      <w:r w:rsidRPr="008B07A4">
        <w:rPr>
          <w:rFonts w:ascii="Calibri" w:hAnsi="Calibri"/>
          <w:sz w:val="28"/>
          <w:szCs w:val="28"/>
        </w:rPr>
        <w:t xml:space="preserve">New South Wales Class 3 </w:t>
      </w:r>
      <w:r w:rsidR="00FF43D7">
        <w:rPr>
          <w:rFonts w:ascii="Calibri" w:hAnsi="Calibri"/>
          <w:sz w:val="28"/>
          <w:szCs w:val="28"/>
        </w:rPr>
        <w:t>Platform</w:t>
      </w:r>
      <w:r w:rsidRPr="008B07A4">
        <w:rPr>
          <w:rFonts w:ascii="Calibri" w:hAnsi="Calibri"/>
          <w:sz w:val="28"/>
          <w:szCs w:val="28"/>
        </w:rPr>
        <w:t xml:space="preserve"> Container Exemption Notice 2018 (No.1)</w:t>
      </w:r>
    </w:p>
    <w:p w:rsidR="008B07A4" w:rsidRPr="00B96475" w:rsidRDefault="008B07A4" w:rsidP="00F03112">
      <w:pPr>
        <w:pStyle w:val="Sectionheading"/>
        <w:numPr>
          <w:ilvl w:val="0"/>
          <w:numId w:val="0"/>
        </w:numPr>
        <w:ind w:left="360"/>
      </w:pPr>
    </w:p>
    <w:p w:rsidR="00BD3FE5" w:rsidRPr="00994AD6" w:rsidRDefault="007475C2" w:rsidP="008B1FFF">
      <w:pPr>
        <w:pStyle w:val="Sectionheading"/>
        <w:jc w:val="both"/>
      </w:pPr>
      <w:r w:rsidRPr="00994AD6">
        <w:t>Purpose</w:t>
      </w:r>
    </w:p>
    <w:p w:rsidR="00212612" w:rsidRDefault="008B07A4" w:rsidP="00B04727">
      <w:pPr>
        <w:pStyle w:val="OutlineNumberedLevel1"/>
        <w:numPr>
          <w:ilvl w:val="0"/>
          <w:numId w:val="3"/>
        </w:numPr>
        <w:contextualSpacing/>
      </w:pPr>
      <w:r>
        <w:t>Th</w:t>
      </w:r>
      <w:r w:rsidR="002B516A">
        <w:t>is Notice exempts heavy vehicle combinations</w:t>
      </w:r>
      <w:r>
        <w:t xml:space="preserve"> transporting </w:t>
      </w:r>
      <w:r w:rsidR="00DA0F30">
        <w:t>platform</w:t>
      </w:r>
      <w:r>
        <w:t xml:space="preserve"> containers from certain mass and dimension requirements under the </w:t>
      </w:r>
      <w:r w:rsidR="007265E1">
        <w:t>H</w:t>
      </w:r>
      <w:r>
        <w:t>eavy Vehicle National Law (HVNL). These exemptions are subject to conditions of operation, including approved network conditions, and the application of certain conditions from Schedule 8 of the Heavy Vehicle (Mass, Dimension and Loading) National Regulation (MDL Regulation).</w:t>
      </w:r>
    </w:p>
    <w:p w:rsidR="00441B8C" w:rsidRDefault="00441B8C" w:rsidP="00441B8C">
      <w:pPr>
        <w:pStyle w:val="OutlineNumberedLevel1"/>
        <w:numPr>
          <w:ilvl w:val="0"/>
          <w:numId w:val="0"/>
        </w:numPr>
        <w:ind w:left="720"/>
        <w:contextualSpacing/>
      </w:pPr>
    </w:p>
    <w:p w:rsidR="00441B8C" w:rsidRDefault="00441B8C" w:rsidP="00441B8C">
      <w:pPr>
        <w:pStyle w:val="OutlineNumberedLevel1"/>
        <w:numPr>
          <w:ilvl w:val="0"/>
          <w:numId w:val="3"/>
        </w:numPr>
        <w:contextualSpacing/>
      </w:pPr>
      <w:r>
        <w:t>The purpose of the exemptions in this N</w:t>
      </w:r>
      <w:r w:rsidR="002B516A">
        <w:t>otice is to allow heavy vehicle combination</w:t>
      </w:r>
      <w:r>
        <w:t xml:space="preserve"> carrying loads on </w:t>
      </w:r>
      <w:r w:rsidR="00DA0F30">
        <w:t>platform</w:t>
      </w:r>
      <w:r>
        <w:t xml:space="preserve"> containers to travel to and from port facilities while carrying imported or goods </w:t>
      </w:r>
      <w:r w:rsidR="00435E9F">
        <w:t xml:space="preserve">for export </w:t>
      </w:r>
      <w:r>
        <w:t xml:space="preserve">without having to unload and reload in order to comply </w:t>
      </w:r>
      <w:r w:rsidR="00A30870">
        <w:t>with prescribed</w:t>
      </w:r>
      <w:r w:rsidR="00435E9F">
        <w:t xml:space="preserve"> </w:t>
      </w:r>
      <w:r>
        <w:t xml:space="preserve">mass and dimension requirements. </w:t>
      </w:r>
    </w:p>
    <w:p w:rsidR="00441B8C" w:rsidRDefault="00441B8C" w:rsidP="00441B8C">
      <w:pPr>
        <w:pStyle w:val="OutlineNumberedLevel1"/>
        <w:numPr>
          <w:ilvl w:val="0"/>
          <w:numId w:val="0"/>
        </w:numPr>
        <w:ind w:left="720"/>
        <w:contextualSpacing/>
      </w:pPr>
    </w:p>
    <w:p w:rsidR="00441B8C" w:rsidRPr="00441B8C" w:rsidRDefault="00441B8C" w:rsidP="00441B8C">
      <w:pPr>
        <w:pStyle w:val="OutlineNumberedLevel1"/>
        <w:numPr>
          <w:ilvl w:val="0"/>
          <w:numId w:val="0"/>
        </w:numPr>
        <w:ind w:left="1440" w:hanging="720"/>
        <w:contextualSpacing/>
        <w:rPr>
          <w:i/>
        </w:rPr>
      </w:pPr>
      <w:r w:rsidRPr="00BD3FE5">
        <w:rPr>
          <w:i/>
        </w:rPr>
        <w:t>Note:</w:t>
      </w:r>
      <w:r w:rsidRPr="00BD3FE5">
        <w:rPr>
          <w:i/>
        </w:rPr>
        <w:tab/>
        <w:t xml:space="preserve">Carrying a load </w:t>
      </w:r>
      <w:r w:rsidR="00FF43D7">
        <w:rPr>
          <w:i/>
        </w:rPr>
        <w:t>on a platform container</w:t>
      </w:r>
      <w:r w:rsidRPr="00BD3FE5">
        <w:rPr>
          <w:i/>
        </w:rPr>
        <w:t xml:space="preserve"> is a standard method of transporting goods for import and export. </w:t>
      </w:r>
      <w:r>
        <w:rPr>
          <w:i/>
        </w:rPr>
        <w:t xml:space="preserve">By their nature, </w:t>
      </w:r>
      <w:r w:rsidR="00FF43D7">
        <w:rPr>
          <w:i/>
        </w:rPr>
        <w:t>platform</w:t>
      </w:r>
      <w:r>
        <w:rPr>
          <w:i/>
        </w:rPr>
        <w:t xml:space="preserve"> containers add to the mass and</w:t>
      </w:r>
      <w:r w:rsidR="00FF43D7">
        <w:rPr>
          <w:i/>
        </w:rPr>
        <w:t xml:space="preserve"> dimension of any load carried. </w:t>
      </w:r>
      <w:r>
        <w:rPr>
          <w:i/>
        </w:rPr>
        <w:t xml:space="preserve">This would normally require the unloading and reloading of a load (without a container) </w:t>
      </w:r>
      <w:r w:rsidR="00435E9F">
        <w:rPr>
          <w:i/>
        </w:rPr>
        <w:t xml:space="preserve">at </w:t>
      </w:r>
      <w:r>
        <w:rPr>
          <w:i/>
        </w:rPr>
        <w:t xml:space="preserve">a container freight station. Carrying loads </w:t>
      </w:r>
      <w:r w:rsidR="00FF43D7">
        <w:rPr>
          <w:i/>
        </w:rPr>
        <w:t>on a platform</w:t>
      </w:r>
      <w:r>
        <w:rPr>
          <w:i/>
        </w:rPr>
        <w:t xml:space="preserve"> container also provides load restraint and safety advantages that offset the mass and dimension exemptions provided</w:t>
      </w:r>
      <w:r w:rsidR="00FF43D7">
        <w:rPr>
          <w:i/>
        </w:rPr>
        <w:t xml:space="preserve"> in this Notice</w:t>
      </w:r>
      <w:r>
        <w:rPr>
          <w:i/>
        </w:rPr>
        <w:t xml:space="preserve">. </w:t>
      </w:r>
    </w:p>
    <w:p w:rsidR="007475C2" w:rsidRPr="00994AD6" w:rsidRDefault="007475C2" w:rsidP="00F03112">
      <w:pPr>
        <w:pStyle w:val="Sectionheading"/>
        <w:jc w:val="both"/>
      </w:pPr>
      <w:r w:rsidRPr="00994AD6">
        <w:t>Authorising Provision</w:t>
      </w:r>
    </w:p>
    <w:p w:rsidR="00FD74B6" w:rsidRPr="00CE0DCB" w:rsidRDefault="00FD74B6" w:rsidP="00F03112">
      <w:pPr>
        <w:pStyle w:val="OutlineNumberedLevel1"/>
        <w:numPr>
          <w:ilvl w:val="0"/>
          <w:numId w:val="0"/>
        </w:numPr>
        <w:ind w:left="720"/>
        <w:contextualSpacing/>
      </w:pPr>
      <w:r w:rsidRPr="00994AD6">
        <w:t xml:space="preserve">This </w:t>
      </w:r>
      <w:r w:rsidR="00B131D1" w:rsidRPr="00994AD6">
        <w:t>Notice</w:t>
      </w:r>
      <w:r w:rsidR="008B1FFF">
        <w:t xml:space="preserve"> is made under section 117</w:t>
      </w:r>
      <w:r w:rsidR="005D3F24">
        <w:t xml:space="preserve"> </w:t>
      </w:r>
      <w:r w:rsidRPr="00994AD6">
        <w:t xml:space="preserve">of </w:t>
      </w:r>
      <w:r w:rsidR="00A01196" w:rsidRPr="00994AD6">
        <w:t xml:space="preserve">the </w:t>
      </w:r>
      <w:r w:rsidR="00A01196" w:rsidRPr="00CD49BA">
        <w:rPr>
          <w:i/>
        </w:rPr>
        <w:t xml:space="preserve">Heavy Vehicle National Law </w:t>
      </w:r>
      <w:r w:rsidR="00A01196" w:rsidRPr="00CE0DCB">
        <w:t>(HVNL).</w:t>
      </w:r>
    </w:p>
    <w:p w:rsidR="00F2274C" w:rsidRPr="00994AD6" w:rsidRDefault="00F2274C" w:rsidP="00F03112">
      <w:pPr>
        <w:pStyle w:val="Sectionheading"/>
        <w:jc w:val="both"/>
      </w:pPr>
      <w:r w:rsidRPr="00994AD6">
        <w:t>Title</w:t>
      </w:r>
    </w:p>
    <w:p w:rsidR="00F2274C" w:rsidRPr="00994AD6" w:rsidRDefault="00F2274C" w:rsidP="00F03112">
      <w:pPr>
        <w:pStyle w:val="OutlineNumberedLevel1"/>
        <w:numPr>
          <w:ilvl w:val="0"/>
          <w:numId w:val="0"/>
        </w:numPr>
        <w:ind w:left="720"/>
        <w:contextualSpacing/>
      </w:pPr>
      <w:r w:rsidRPr="00994AD6">
        <w:t>This Notice</w:t>
      </w:r>
      <w:r w:rsidR="00CC5BB6" w:rsidRPr="00994AD6">
        <w:t xml:space="preserve"> </w:t>
      </w:r>
      <w:r w:rsidRPr="00994AD6">
        <w:t xml:space="preserve">may be cited as the </w:t>
      </w:r>
      <w:r w:rsidR="008B07A4" w:rsidRPr="008B07A4">
        <w:rPr>
          <w:i/>
        </w:rPr>
        <w:t xml:space="preserve">New South Wales Class 3 </w:t>
      </w:r>
      <w:r w:rsidR="00DA0F30">
        <w:rPr>
          <w:i/>
        </w:rPr>
        <w:t>Platform</w:t>
      </w:r>
      <w:r w:rsidR="008B07A4" w:rsidRPr="008B07A4">
        <w:rPr>
          <w:i/>
        </w:rPr>
        <w:t xml:space="preserve"> Contai</w:t>
      </w:r>
      <w:r w:rsidR="008B07A4">
        <w:rPr>
          <w:i/>
        </w:rPr>
        <w:t>ner Exemption Notice 2018.</w:t>
      </w:r>
    </w:p>
    <w:p w:rsidR="007475C2" w:rsidRPr="00994AD6" w:rsidRDefault="007475C2" w:rsidP="00F03112">
      <w:pPr>
        <w:pStyle w:val="Sectionheading"/>
        <w:jc w:val="both"/>
      </w:pPr>
      <w:r w:rsidRPr="00994AD6">
        <w:t>Commencement</w:t>
      </w:r>
    </w:p>
    <w:p w:rsidR="007475C2" w:rsidRPr="00994AD6" w:rsidRDefault="00FD74B6" w:rsidP="00F03112">
      <w:pPr>
        <w:pStyle w:val="OutlineNumberedLevel1"/>
        <w:numPr>
          <w:ilvl w:val="0"/>
          <w:numId w:val="0"/>
        </w:numPr>
        <w:ind w:left="720"/>
        <w:contextualSpacing/>
      </w:pPr>
      <w:r w:rsidRPr="00994AD6">
        <w:t xml:space="preserve">This Notice commences on </w:t>
      </w:r>
      <w:r w:rsidR="008B07A4">
        <w:t>the date of its publication</w:t>
      </w:r>
      <w:r w:rsidR="00EE4755" w:rsidRPr="00994AD6">
        <w:t xml:space="preserve">. </w:t>
      </w:r>
    </w:p>
    <w:p w:rsidR="007475C2" w:rsidRPr="00994AD6" w:rsidRDefault="007475C2" w:rsidP="00F03112">
      <w:pPr>
        <w:pStyle w:val="Sectionheading"/>
        <w:jc w:val="both"/>
      </w:pPr>
      <w:r w:rsidRPr="00994AD6">
        <w:t>Expiry</w:t>
      </w:r>
    </w:p>
    <w:p w:rsidR="007475C2" w:rsidRDefault="00FD74B6" w:rsidP="00F03112">
      <w:pPr>
        <w:pStyle w:val="OutlineNumberedLevel1"/>
        <w:numPr>
          <w:ilvl w:val="0"/>
          <w:numId w:val="0"/>
        </w:numPr>
        <w:ind w:left="720"/>
        <w:contextualSpacing/>
      </w:pPr>
      <w:r w:rsidRPr="00994AD6">
        <w:t xml:space="preserve">This Notice expires </w:t>
      </w:r>
      <w:r w:rsidR="008B07A4">
        <w:t>five years after publication</w:t>
      </w:r>
      <w:r w:rsidR="00EE4755" w:rsidRPr="00994AD6">
        <w:t>.</w:t>
      </w:r>
    </w:p>
    <w:p w:rsidR="003C4D58" w:rsidRDefault="003C4D58">
      <w:pPr>
        <w:rPr>
          <w:b/>
          <w:lang w:eastAsia="en-US"/>
        </w:rPr>
      </w:pPr>
      <w:r>
        <w:br w:type="page"/>
      </w:r>
    </w:p>
    <w:p w:rsidR="005D3F24" w:rsidRDefault="008426D4" w:rsidP="00F03112">
      <w:pPr>
        <w:pStyle w:val="Sectionheading"/>
        <w:jc w:val="both"/>
      </w:pPr>
      <w:r>
        <w:lastRenderedPageBreak/>
        <w:t>Definitions</w:t>
      </w:r>
    </w:p>
    <w:p w:rsidR="00FE20FD" w:rsidRDefault="00CC2402" w:rsidP="00976D24">
      <w:pPr>
        <w:pStyle w:val="OutlineNumberedLevel1"/>
        <w:numPr>
          <w:ilvl w:val="0"/>
          <w:numId w:val="19"/>
        </w:numPr>
        <w:contextualSpacing/>
      </w:pPr>
      <w:r w:rsidRPr="00CC2402">
        <w:t>Unless otherwise stated, words</w:t>
      </w:r>
      <w:r>
        <w:t xml:space="preserve"> and expressions used in this Notice have the same meanings as those defined in the HVNL.</w:t>
      </w:r>
    </w:p>
    <w:p w:rsidR="00F567DB" w:rsidRDefault="00F567DB" w:rsidP="00976D24">
      <w:pPr>
        <w:pStyle w:val="OutlineNumberedLevel1"/>
        <w:numPr>
          <w:ilvl w:val="0"/>
          <w:numId w:val="0"/>
        </w:numPr>
        <w:ind w:left="720"/>
        <w:contextualSpacing/>
      </w:pPr>
    </w:p>
    <w:p w:rsidR="00976D24" w:rsidRDefault="00FF43D7" w:rsidP="00976D24">
      <w:pPr>
        <w:pStyle w:val="OutlineNumberedLevel1"/>
        <w:numPr>
          <w:ilvl w:val="0"/>
          <w:numId w:val="19"/>
        </w:numPr>
        <w:contextualSpacing/>
      </w:pPr>
      <w:r>
        <w:t>In</w:t>
      </w:r>
      <w:r w:rsidR="001866E4">
        <w:t xml:space="preserve"> this N</w:t>
      </w:r>
      <w:r>
        <w:t>otice</w:t>
      </w:r>
      <w:r w:rsidR="00976D24">
        <w:t>, the following words have</w:t>
      </w:r>
      <w:r w:rsidR="00F567DB" w:rsidRPr="00F567DB">
        <w:t xml:space="preserve"> the same meaning as in s116 of the HVNL</w:t>
      </w:r>
      <w:r w:rsidR="00976D24">
        <w:t>:</w:t>
      </w:r>
    </w:p>
    <w:p w:rsidR="00976D24" w:rsidRPr="008B1FFF" w:rsidRDefault="00C668D3" w:rsidP="008B1FFF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right="-59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large </w:t>
      </w:r>
      <w:r w:rsidR="00976D24" w:rsidRPr="008B1FFF">
        <w:rPr>
          <w:rFonts w:ascii="Calibri" w:eastAsia="Calibri" w:hAnsi="Calibri" w:cs="Calibri"/>
        </w:rPr>
        <w:t>indivisible item; and</w:t>
      </w:r>
    </w:p>
    <w:p w:rsidR="00976D24" w:rsidRPr="008B1FFF" w:rsidRDefault="00976D24" w:rsidP="008B1FFF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right="-590"/>
        <w:jc w:val="both"/>
        <w:rPr>
          <w:rFonts w:eastAsia="Calibri" w:cs="Calibri"/>
        </w:rPr>
      </w:pPr>
      <w:r w:rsidRPr="008B1FFF">
        <w:rPr>
          <w:rFonts w:ascii="Calibri" w:eastAsia="Calibri" w:hAnsi="Calibri" w:cs="Calibri"/>
        </w:rPr>
        <w:t>low loader</w:t>
      </w:r>
    </w:p>
    <w:p w:rsidR="00FF43D7" w:rsidRDefault="00FF43D7" w:rsidP="008B1FFF">
      <w:pPr>
        <w:pStyle w:val="OutlineNumberedLevel1"/>
        <w:numPr>
          <w:ilvl w:val="0"/>
          <w:numId w:val="0"/>
        </w:numPr>
        <w:ind w:left="720"/>
        <w:contextualSpacing/>
      </w:pPr>
    </w:p>
    <w:p w:rsidR="00FF43D7" w:rsidRDefault="00FF43D7">
      <w:pPr>
        <w:pStyle w:val="OutlineNumberedLevel1"/>
        <w:numPr>
          <w:ilvl w:val="0"/>
          <w:numId w:val="19"/>
        </w:numPr>
        <w:contextualSpacing/>
      </w:pPr>
      <w:r>
        <w:t xml:space="preserve">In this Notice, </w:t>
      </w:r>
      <w:r w:rsidRPr="00FF43D7">
        <w:rPr>
          <w:b/>
          <w:i/>
        </w:rPr>
        <w:t>platform container</w:t>
      </w:r>
      <w:r>
        <w:t xml:space="preserve"> has the same meaning as set out in Part 8: Platform containers, of the Australian Standard 3711.8, and includes:</w:t>
      </w:r>
    </w:p>
    <w:p w:rsidR="00FF43D7" w:rsidRPr="00FF43D7" w:rsidRDefault="00FF43D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F43D7">
        <w:rPr>
          <w:rFonts w:ascii="Calibri" w:eastAsia="Calibri" w:hAnsi="Calibri" w:cs="Calibri"/>
        </w:rPr>
        <w:t>Platform containers; and</w:t>
      </w:r>
    </w:p>
    <w:p w:rsidR="006A6666" w:rsidRDefault="00FF43D7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F43D7">
        <w:rPr>
          <w:rFonts w:ascii="Calibri" w:eastAsia="Calibri" w:hAnsi="Calibri" w:cs="Calibri"/>
        </w:rPr>
        <w:t>Platform-based containers with either complete or incomplete superstructures</w:t>
      </w:r>
      <w:r w:rsidR="006A6666">
        <w:rPr>
          <w:rFonts w:ascii="Calibri" w:eastAsia="Calibri" w:hAnsi="Calibri" w:cs="Calibri"/>
        </w:rPr>
        <w:t>;</w:t>
      </w:r>
    </w:p>
    <w:p w:rsidR="00FF43D7" w:rsidRPr="00435E9F" w:rsidRDefault="00FF43D7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FF43D7" w:rsidRPr="00FF43D7" w:rsidRDefault="00FF43D7" w:rsidP="008B1FFF">
      <w:pPr>
        <w:tabs>
          <w:tab w:val="left" w:pos="284"/>
        </w:tabs>
        <w:spacing w:after="0" w:line="240" w:lineRule="auto"/>
        <w:ind w:right="-590"/>
        <w:contextualSpacing/>
        <w:jc w:val="both"/>
        <w:rPr>
          <w:rFonts w:ascii="Calibri" w:eastAsia="Calibri" w:hAnsi="Calibri" w:cs="Calibri"/>
          <w:i/>
        </w:rPr>
      </w:pPr>
      <w:r w:rsidRPr="00FF43D7">
        <w:rPr>
          <w:rFonts w:ascii="Calibri" w:eastAsia="Calibri" w:hAnsi="Calibri" w:cs="Calibri"/>
          <w:i/>
        </w:rPr>
        <w:tab/>
      </w:r>
      <w:r w:rsidRPr="00FF43D7"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>Note:</w:t>
      </w:r>
      <w:r>
        <w:rPr>
          <w:rFonts w:ascii="Calibri" w:eastAsia="Calibri" w:hAnsi="Calibri" w:cs="Calibri"/>
          <w:i/>
        </w:rPr>
        <w:tab/>
        <w:t>T</w:t>
      </w:r>
      <w:r w:rsidRPr="00FF43D7">
        <w:rPr>
          <w:rFonts w:ascii="Calibri" w:eastAsia="Calibri" w:hAnsi="Calibri" w:cs="Calibri"/>
          <w:i/>
        </w:rPr>
        <w:t>his definition contains container types commonly known as:</w:t>
      </w:r>
    </w:p>
    <w:p w:rsidR="00FF43D7" w:rsidRPr="00FF43D7" w:rsidRDefault="00FF43D7">
      <w:pPr>
        <w:pStyle w:val="ListParagraph"/>
        <w:numPr>
          <w:ilvl w:val="0"/>
          <w:numId w:val="4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i/>
        </w:rPr>
      </w:pPr>
      <w:r w:rsidRPr="00FF43D7">
        <w:rPr>
          <w:rFonts w:ascii="Calibri" w:eastAsia="Calibri" w:hAnsi="Calibri" w:cs="Calibri"/>
          <w:i/>
        </w:rPr>
        <w:t>Flat rack containers</w:t>
      </w:r>
    </w:p>
    <w:p w:rsidR="00FF43D7" w:rsidRDefault="00DA0F30">
      <w:pPr>
        <w:pStyle w:val="ListParagraph"/>
        <w:numPr>
          <w:ilvl w:val="0"/>
          <w:numId w:val="4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Open t</w:t>
      </w:r>
      <w:r w:rsidR="00FF43D7" w:rsidRPr="00FF43D7">
        <w:rPr>
          <w:rFonts w:ascii="Calibri" w:eastAsia="Calibri" w:hAnsi="Calibri" w:cs="Calibri"/>
          <w:i/>
        </w:rPr>
        <w:t>op Containers</w:t>
      </w:r>
    </w:p>
    <w:p w:rsidR="00DA0F30" w:rsidRPr="00FF43D7" w:rsidRDefault="00DA0F30">
      <w:pPr>
        <w:pStyle w:val="ListParagraph"/>
        <w:numPr>
          <w:ilvl w:val="0"/>
          <w:numId w:val="4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Bolsters</w:t>
      </w:r>
    </w:p>
    <w:p w:rsidR="00FF43D7" w:rsidRDefault="00FF43D7" w:rsidP="008B1FFF">
      <w:pPr>
        <w:pStyle w:val="OutlineNumberedLevel1"/>
        <w:numPr>
          <w:ilvl w:val="0"/>
          <w:numId w:val="0"/>
        </w:numPr>
        <w:ind w:left="720"/>
        <w:contextualSpacing/>
      </w:pPr>
    </w:p>
    <w:p w:rsidR="008426D4" w:rsidRDefault="00212612" w:rsidP="003523E4">
      <w:pPr>
        <w:pStyle w:val="OutlineNumberedLevel1"/>
        <w:numPr>
          <w:ilvl w:val="0"/>
          <w:numId w:val="19"/>
        </w:numPr>
        <w:contextualSpacing/>
      </w:pPr>
      <w:r>
        <w:t>In this N</w:t>
      </w:r>
      <w:r w:rsidR="003F3230">
        <w:t>otice:</w:t>
      </w:r>
    </w:p>
    <w:p w:rsidR="00F03112" w:rsidRDefault="00F03112" w:rsidP="00F03112">
      <w:pPr>
        <w:pStyle w:val="OutlineNumberedLevel1"/>
        <w:numPr>
          <w:ilvl w:val="0"/>
          <w:numId w:val="0"/>
        </w:numPr>
        <w:ind w:left="720"/>
        <w:contextualSpacing/>
      </w:pPr>
    </w:p>
    <w:p w:rsidR="0002661E" w:rsidRDefault="0002661E" w:rsidP="0002661E">
      <w:pPr>
        <w:pStyle w:val="OutlineNumberedLevel1"/>
        <w:numPr>
          <w:ilvl w:val="0"/>
          <w:numId w:val="0"/>
        </w:numPr>
        <w:ind w:left="720"/>
        <w:contextualSpacing/>
      </w:pPr>
      <w:proofErr w:type="gramStart"/>
      <w:r w:rsidRPr="003C4D58">
        <w:rPr>
          <w:b/>
          <w:i/>
        </w:rPr>
        <w:t>closed</w:t>
      </w:r>
      <w:proofErr w:type="gramEnd"/>
      <w:r w:rsidRPr="003C4D58">
        <w:rPr>
          <w:b/>
          <w:i/>
        </w:rPr>
        <w:t xml:space="preserve"> quad-axle group (also denoted as “4 @ 1.2”)</w:t>
      </w:r>
      <w:r>
        <w:t xml:space="preserve"> means a group of— </w:t>
      </w:r>
    </w:p>
    <w:p w:rsidR="0002661E" w:rsidRPr="003C4D58" w:rsidRDefault="0002661E" w:rsidP="0002661E">
      <w:pPr>
        <w:pStyle w:val="ListParagraph"/>
        <w:numPr>
          <w:ilvl w:val="0"/>
          <w:numId w:val="41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3C4D58">
        <w:rPr>
          <w:rFonts w:ascii="Calibri" w:eastAsia="Calibri" w:hAnsi="Calibri" w:cs="Calibri"/>
        </w:rPr>
        <w:t xml:space="preserve">4 axles at least 1.2m apart; where </w:t>
      </w:r>
    </w:p>
    <w:p w:rsidR="0002661E" w:rsidRPr="003C4D58" w:rsidRDefault="0002661E" w:rsidP="0002661E">
      <w:pPr>
        <w:pStyle w:val="ListParagraph"/>
        <w:numPr>
          <w:ilvl w:val="0"/>
          <w:numId w:val="41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3C4D58">
        <w:rPr>
          <w:rFonts w:ascii="Calibri" w:eastAsia="Calibri" w:hAnsi="Calibri" w:cs="Calibri"/>
        </w:rPr>
        <w:t>the</w:t>
      </w:r>
      <w:proofErr w:type="gramEnd"/>
      <w:r w:rsidRPr="003C4D58">
        <w:rPr>
          <w:rFonts w:ascii="Calibri" w:eastAsia="Calibri" w:hAnsi="Calibri" w:cs="Calibri"/>
        </w:rPr>
        <w:t xml:space="preserve"> horizontal distance between the centre-lines of the outermost axles is not more than 4.9m.</w:t>
      </w:r>
    </w:p>
    <w:p w:rsidR="0002661E" w:rsidRDefault="0002661E" w:rsidP="0002661E">
      <w:pPr>
        <w:pStyle w:val="OutlineNumberedLevel1"/>
        <w:numPr>
          <w:ilvl w:val="0"/>
          <w:numId w:val="0"/>
        </w:numPr>
        <w:ind w:left="720"/>
        <w:contextualSpacing/>
      </w:pPr>
    </w:p>
    <w:p w:rsidR="0002661E" w:rsidRDefault="0002661E" w:rsidP="0002661E">
      <w:pPr>
        <w:pStyle w:val="OutlineNumberedLevel1"/>
        <w:numPr>
          <w:ilvl w:val="0"/>
          <w:numId w:val="0"/>
        </w:numPr>
        <w:ind w:left="720"/>
        <w:contextualSpacing/>
      </w:pPr>
      <w:proofErr w:type="gramStart"/>
      <w:r w:rsidRPr="003C4D58">
        <w:rPr>
          <w:b/>
          <w:i/>
        </w:rPr>
        <w:t>closed</w:t>
      </w:r>
      <w:proofErr w:type="gramEnd"/>
      <w:r w:rsidRPr="003C4D58">
        <w:rPr>
          <w:b/>
          <w:i/>
        </w:rPr>
        <w:t xml:space="preserve"> quin-axle group (also denoted as “5 @ 1.2”)</w:t>
      </w:r>
      <w:r>
        <w:t xml:space="preserve"> means a group of </w:t>
      </w:r>
    </w:p>
    <w:p w:rsidR="0002661E" w:rsidRPr="003C4D58" w:rsidRDefault="0002661E" w:rsidP="0002661E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3C4D58">
        <w:rPr>
          <w:rFonts w:ascii="Calibri" w:eastAsia="Calibri" w:hAnsi="Calibri" w:cs="Calibri"/>
        </w:rPr>
        <w:t>5 axles at least 1.2m apart; where</w:t>
      </w:r>
    </w:p>
    <w:p w:rsidR="0002661E" w:rsidRDefault="0002661E" w:rsidP="0002661E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3C4D58">
        <w:rPr>
          <w:rFonts w:ascii="Calibri" w:eastAsia="Calibri" w:hAnsi="Calibri" w:cs="Calibri"/>
        </w:rPr>
        <w:t>the</w:t>
      </w:r>
      <w:proofErr w:type="gramEnd"/>
      <w:r w:rsidRPr="003C4D58">
        <w:rPr>
          <w:rFonts w:ascii="Calibri" w:eastAsia="Calibri" w:hAnsi="Calibri" w:cs="Calibri"/>
        </w:rPr>
        <w:t xml:space="preserve"> horizontal distance between the centre-lines of the outermost axles is not more than 4.9m.</w:t>
      </w:r>
    </w:p>
    <w:p w:rsidR="0002661E" w:rsidRPr="003C4D58" w:rsidRDefault="0002661E" w:rsidP="0002661E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02661E" w:rsidRDefault="0002661E" w:rsidP="0002661E">
      <w:pPr>
        <w:pStyle w:val="OutlineNumberedLevel1"/>
        <w:numPr>
          <w:ilvl w:val="0"/>
          <w:numId w:val="0"/>
        </w:numPr>
        <w:ind w:left="720"/>
        <w:contextualSpacing/>
      </w:pPr>
      <w:proofErr w:type="gramStart"/>
      <w:r w:rsidRPr="003C4D58">
        <w:rPr>
          <w:b/>
          <w:i/>
        </w:rPr>
        <w:t>closed</w:t>
      </w:r>
      <w:proofErr w:type="gramEnd"/>
      <w:r w:rsidRPr="003C4D58">
        <w:rPr>
          <w:b/>
          <w:i/>
        </w:rPr>
        <w:t xml:space="preserve"> tandem axle group (also denoted as “2 @ 1.2”)</w:t>
      </w:r>
      <w:r>
        <w:t xml:space="preserve"> means a group of—</w:t>
      </w:r>
    </w:p>
    <w:p w:rsidR="0002661E" w:rsidRPr="003C4D58" w:rsidRDefault="0002661E" w:rsidP="0002661E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3C4D58">
        <w:rPr>
          <w:rFonts w:ascii="Calibri" w:eastAsia="Calibri" w:hAnsi="Calibri" w:cs="Calibri"/>
        </w:rPr>
        <w:t xml:space="preserve">2 axles at least 1.2m apart;  where </w:t>
      </w:r>
    </w:p>
    <w:p w:rsidR="0002661E" w:rsidRDefault="0002661E" w:rsidP="0002661E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3C4D58">
        <w:rPr>
          <w:rFonts w:ascii="Calibri" w:eastAsia="Calibri" w:hAnsi="Calibri" w:cs="Calibri"/>
        </w:rPr>
        <w:t>the</w:t>
      </w:r>
      <w:proofErr w:type="gramEnd"/>
      <w:r w:rsidRPr="003C4D58">
        <w:rPr>
          <w:rFonts w:ascii="Calibri" w:eastAsia="Calibri" w:hAnsi="Calibri" w:cs="Calibri"/>
        </w:rPr>
        <w:t xml:space="preserve"> horizontal distance between the centre-lines of the 2 axles is not more than 2.0m.</w:t>
      </w:r>
    </w:p>
    <w:p w:rsidR="0002661E" w:rsidRPr="003C4D58" w:rsidRDefault="0002661E" w:rsidP="0002661E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02661E" w:rsidRDefault="0002661E" w:rsidP="0002661E">
      <w:pPr>
        <w:pStyle w:val="OutlineNumberedLevel1"/>
        <w:numPr>
          <w:ilvl w:val="0"/>
          <w:numId w:val="0"/>
        </w:numPr>
        <w:ind w:left="720"/>
        <w:contextualSpacing/>
      </w:pPr>
      <w:proofErr w:type="gramStart"/>
      <w:r w:rsidRPr="003C4D58">
        <w:rPr>
          <w:b/>
          <w:i/>
        </w:rPr>
        <w:t>closed</w:t>
      </w:r>
      <w:proofErr w:type="gramEnd"/>
      <w:r w:rsidRPr="003C4D58">
        <w:rPr>
          <w:b/>
          <w:i/>
        </w:rPr>
        <w:t xml:space="preserve"> tri-axle group (also denoted as “3 @ 1.2”)</w:t>
      </w:r>
      <w:r>
        <w:t xml:space="preserve"> means a group of—</w:t>
      </w:r>
    </w:p>
    <w:p w:rsidR="0002661E" w:rsidRPr="003C4D58" w:rsidRDefault="0002661E" w:rsidP="0002661E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3C4D58">
        <w:rPr>
          <w:rFonts w:ascii="Calibri" w:eastAsia="Calibri" w:hAnsi="Calibri" w:cs="Calibri"/>
        </w:rPr>
        <w:t>3 axles at least 1.2m apart; where</w:t>
      </w:r>
    </w:p>
    <w:p w:rsidR="0002661E" w:rsidRPr="003C4D58" w:rsidRDefault="0002661E" w:rsidP="0002661E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3C4D58">
        <w:rPr>
          <w:rFonts w:ascii="Calibri" w:eastAsia="Calibri" w:hAnsi="Calibri" w:cs="Calibri"/>
        </w:rPr>
        <w:t>the</w:t>
      </w:r>
      <w:proofErr w:type="gramEnd"/>
      <w:r w:rsidRPr="003C4D58">
        <w:rPr>
          <w:rFonts w:ascii="Calibri" w:eastAsia="Calibri" w:hAnsi="Calibri" w:cs="Calibri"/>
        </w:rPr>
        <w:t xml:space="preserve"> horizontal distance between the centre-lines of the outermost axles is not more than 3.2m.</w:t>
      </w:r>
    </w:p>
    <w:p w:rsidR="00247CF0" w:rsidRDefault="00247CF0" w:rsidP="003C4D58">
      <w:pPr>
        <w:pStyle w:val="OutlineNumberedLevel1"/>
        <w:numPr>
          <w:ilvl w:val="0"/>
          <w:numId w:val="0"/>
        </w:numPr>
        <w:ind w:left="720"/>
        <w:contextualSpacing/>
      </w:pPr>
    </w:p>
    <w:p w:rsidR="00C54B12" w:rsidRPr="00C54B12" w:rsidRDefault="00C54B12" w:rsidP="003C4D58">
      <w:pPr>
        <w:pStyle w:val="OutlineNumberedLevel1"/>
        <w:numPr>
          <w:ilvl w:val="0"/>
          <w:numId w:val="0"/>
        </w:numPr>
        <w:ind w:left="720"/>
        <w:contextualSpacing/>
      </w:pPr>
      <w:proofErr w:type="gramStart"/>
      <w:r w:rsidRPr="00C54B12">
        <w:rPr>
          <w:b/>
          <w:i/>
        </w:rPr>
        <w:t>container</w:t>
      </w:r>
      <w:proofErr w:type="gramEnd"/>
      <w:r w:rsidRPr="00C54B12">
        <w:rPr>
          <w:b/>
          <w:i/>
        </w:rPr>
        <w:t xml:space="preserve"> safety approval plate</w:t>
      </w:r>
      <w:r w:rsidRPr="00247CF0">
        <w:rPr>
          <w:b/>
          <w:i/>
        </w:rPr>
        <w:t xml:space="preserve"> </w:t>
      </w:r>
      <w:r>
        <w:t>has the same meaning as in the Marine Order 42 published by Australian Maritime Safety Authority.</w:t>
      </w:r>
    </w:p>
    <w:p w:rsidR="00C54B12" w:rsidRDefault="00C54B12" w:rsidP="003C4D58">
      <w:pPr>
        <w:pStyle w:val="OutlineNumberedLevel1"/>
        <w:numPr>
          <w:ilvl w:val="0"/>
          <w:numId w:val="0"/>
        </w:numPr>
        <w:ind w:left="720"/>
        <w:contextualSpacing/>
        <w:rPr>
          <w:b/>
          <w:i/>
        </w:rPr>
      </w:pPr>
    </w:p>
    <w:p w:rsidR="00247CF0" w:rsidRDefault="00247CF0" w:rsidP="003C4D58">
      <w:pPr>
        <w:pStyle w:val="OutlineNumberedLevel1"/>
        <w:numPr>
          <w:ilvl w:val="0"/>
          <w:numId w:val="0"/>
        </w:numPr>
        <w:ind w:left="720"/>
        <w:contextualSpacing/>
      </w:pPr>
      <w:r w:rsidRPr="00247CF0">
        <w:rPr>
          <w:b/>
          <w:i/>
        </w:rPr>
        <w:t>Guide</w:t>
      </w:r>
      <w:r w:rsidRPr="00247CF0">
        <w:rPr>
          <w:b/>
        </w:rPr>
        <w:t xml:space="preserve"> </w:t>
      </w:r>
      <w:r>
        <w:t xml:space="preserve">means the </w:t>
      </w:r>
      <w:r w:rsidRPr="00247CF0">
        <w:rPr>
          <w:i/>
        </w:rPr>
        <w:t xml:space="preserve">New South Wales </w:t>
      </w:r>
      <w:r w:rsidR="009973BD">
        <w:rPr>
          <w:i/>
        </w:rPr>
        <w:t xml:space="preserve">Class 3 </w:t>
      </w:r>
      <w:r w:rsidR="00DA0F30">
        <w:rPr>
          <w:i/>
        </w:rPr>
        <w:t>Platform</w:t>
      </w:r>
      <w:r w:rsidRPr="00247CF0">
        <w:rPr>
          <w:i/>
        </w:rPr>
        <w:t xml:space="preserve"> Container </w:t>
      </w:r>
      <w:r w:rsidR="009973BD">
        <w:rPr>
          <w:i/>
        </w:rPr>
        <w:t xml:space="preserve">Exemption Notice </w:t>
      </w:r>
      <w:r w:rsidRPr="00247CF0">
        <w:rPr>
          <w:i/>
        </w:rPr>
        <w:t>Operator’s Guide</w:t>
      </w:r>
      <w:r>
        <w:t xml:space="preserve"> published by the NHVR, as amended from time to time.</w:t>
      </w:r>
    </w:p>
    <w:p w:rsidR="00C668D3" w:rsidRDefault="00C668D3" w:rsidP="003C4D58">
      <w:pPr>
        <w:pStyle w:val="OutlineNumberedLevel1"/>
        <w:numPr>
          <w:ilvl w:val="0"/>
          <w:numId w:val="0"/>
        </w:numPr>
        <w:ind w:left="720"/>
        <w:contextualSpacing/>
      </w:pPr>
    </w:p>
    <w:p w:rsidR="003C4D58" w:rsidRDefault="00A30870" w:rsidP="00C54B12">
      <w:pPr>
        <w:pStyle w:val="OutlineNumberedLevel1"/>
        <w:numPr>
          <w:ilvl w:val="0"/>
          <w:numId w:val="0"/>
        </w:numPr>
        <w:ind w:left="720"/>
        <w:contextualSpacing/>
      </w:pPr>
      <w:r w:rsidRPr="003C4D58">
        <w:rPr>
          <w:b/>
          <w:i/>
        </w:rPr>
        <w:t>Ground</w:t>
      </w:r>
      <w:r w:rsidR="003C4D58" w:rsidRPr="003C4D58">
        <w:rPr>
          <w:b/>
          <w:i/>
        </w:rPr>
        <w:t xml:space="preserve"> contact width</w:t>
      </w:r>
      <w:r w:rsidR="003C4D58" w:rsidRPr="003C4D58">
        <w:t xml:space="preserve"> means the distance between the outermost points of ground contact of the outside tyres on each end of an axle.</w:t>
      </w:r>
    </w:p>
    <w:p w:rsidR="00DD3260" w:rsidRDefault="00DD3260" w:rsidP="00DD3260">
      <w:pPr>
        <w:pStyle w:val="OutlineNumberedLevel1"/>
        <w:numPr>
          <w:ilvl w:val="0"/>
          <w:numId w:val="0"/>
        </w:numPr>
        <w:ind w:left="720"/>
        <w:contextualSpacing/>
        <w:jc w:val="center"/>
      </w:pPr>
      <w:r w:rsidRPr="00073F3B">
        <w:rPr>
          <w:rFonts w:cs="Calibri"/>
          <w:noProof/>
          <w:color w:val="000000" w:themeColor="text1"/>
          <w:lang w:eastAsia="en-AU"/>
        </w:rPr>
        <w:lastRenderedPageBreak/>
        <w:drawing>
          <wp:inline distT="0" distB="0" distL="0" distR="0" wp14:anchorId="23AC0D15" wp14:editId="1A7E975A">
            <wp:extent cx="1476375" cy="933450"/>
            <wp:effectExtent l="0" t="0" r="9525" b="0"/>
            <wp:docPr id="1" name="Picture 1" descr="Illustration of the cross section of a vehicle demonstrating ground contact width." title="Figure 1- Illustration of ground contact width of an 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3D7" w:rsidRDefault="00DD3260" w:rsidP="00FF43D7">
      <w:pPr>
        <w:jc w:val="center"/>
        <w:rPr>
          <w:b/>
        </w:rPr>
      </w:pPr>
      <w:r w:rsidRPr="00DD3260">
        <w:rPr>
          <w:b/>
        </w:rPr>
        <w:t>Figure 1- Illustration of ground contact width of an axle</w:t>
      </w:r>
    </w:p>
    <w:p w:rsidR="00FF43D7" w:rsidRDefault="00FF43D7" w:rsidP="00FF43D7">
      <w:pPr>
        <w:ind w:left="720"/>
        <w:rPr>
          <w:b/>
          <w:i/>
        </w:rPr>
      </w:pPr>
      <w:r w:rsidRPr="003523E4">
        <w:rPr>
          <w:b/>
          <w:i/>
        </w:rPr>
        <w:t>Multi-State Class 1 Load Carrying Vehicles Mass Exemption Notice</w:t>
      </w:r>
      <w:r>
        <w:t xml:space="preserve"> means the current HVNL exemption Notice of that name published by the NHVR.</w:t>
      </w:r>
    </w:p>
    <w:p w:rsidR="00FF43D7" w:rsidRDefault="00FF43D7" w:rsidP="00FF43D7">
      <w:pPr>
        <w:ind w:left="720"/>
      </w:pPr>
      <w:r w:rsidRPr="001866E4">
        <w:rPr>
          <w:b/>
          <w:i/>
        </w:rPr>
        <w:t>Multi-State Class 1 Load Carrying Vehicles Dimension Exemption Notice</w:t>
      </w:r>
      <w:r>
        <w:t xml:space="preserve"> means the current HVNL exemption Notice of that name published by the NHVR.</w:t>
      </w:r>
    </w:p>
    <w:p w:rsidR="002A55EE" w:rsidRDefault="00A30870" w:rsidP="00FF43D7">
      <w:pPr>
        <w:ind w:left="720"/>
      </w:pPr>
      <w:r>
        <w:rPr>
          <w:b/>
          <w:i/>
        </w:rPr>
        <w:t>Port</w:t>
      </w:r>
      <w:r w:rsidR="002A55EE">
        <w:rPr>
          <w:b/>
          <w:i/>
        </w:rPr>
        <w:t xml:space="preserve"> </w:t>
      </w:r>
      <w:r w:rsidR="002A55EE">
        <w:t xml:space="preserve">has the same meaning as the </w:t>
      </w:r>
      <w:r w:rsidR="002A55EE" w:rsidRPr="00B27A4D">
        <w:rPr>
          <w:i/>
        </w:rPr>
        <w:t>Ports and Maritime Administration Act (NSW)</w:t>
      </w:r>
      <w:r w:rsidR="002A55EE">
        <w:t>.</w:t>
      </w:r>
    </w:p>
    <w:p w:rsidR="0002661E" w:rsidRDefault="0002661E" w:rsidP="00F041EA">
      <w:pPr>
        <w:tabs>
          <w:tab w:val="left" w:pos="284"/>
        </w:tabs>
        <w:spacing w:after="0" w:line="240" w:lineRule="auto"/>
        <w:ind w:left="720" w:right="-59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b/>
          <w:i/>
        </w:rPr>
        <w:t>s</w:t>
      </w:r>
      <w:r w:rsidRPr="00463384">
        <w:rPr>
          <w:rFonts w:ascii="Calibri" w:eastAsia="Calibri" w:hAnsi="Calibri" w:cs="Calibri"/>
          <w:b/>
          <w:i/>
        </w:rPr>
        <w:t>kel</w:t>
      </w:r>
      <w:proofErr w:type="spellEnd"/>
      <w:proofErr w:type="gramEnd"/>
      <w:r w:rsidRPr="00463384">
        <w:rPr>
          <w:rFonts w:ascii="Calibri" w:eastAsia="Calibri" w:hAnsi="Calibri" w:cs="Calibri"/>
          <w:b/>
          <w:i/>
        </w:rPr>
        <w:t xml:space="preserve"> trailer</w:t>
      </w:r>
      <w:r w:rsidRPr="0046338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means a trailer consisting of a frame with no load carrying deck designed for the transportation of multi-modal shipping containers, including platform containers. </w:t>
      </w:r>
    </w:p>
    <w:p w:rsidR="0002661E" w:rsidRPr="00F041EA" w:rsidRDefault="0002661E" w:rsidP="00F041EA">
      <w:pPr>
        <w:tabs>
          <w:tab w:val="left" w:pos="284"/>
        </w:tabs>
        <w:spacing w:after="0" w:line="240" w:lineRule="auto"/>
        <w:ind w:left="720" w:right="-590"/>
        <w:jc w:val="both"/>
        <w:rPr>
          <w:rFonts w:ascii="Calibri" w:eastAsia="Calibri" w:hAnsi="Calibri" w:cs="Calibri"/>
        </w:rPr>
      </w:pPr>
    </w:p>
    <w:p w:rsidR="0002661E" w:rsidRDefault="0002661E" w:rsidP="0002661E">
      <w:pPr>
        <w:ind w:firstLine="720"/>
      </w:pPr>
      <w:proofErr w:type="gramStart"/>
      <w:r w:rsidRPr="00DD3260">
        <w:rPr>
          <w:b/>
          <w:i/>
        </w:rPr>
        <w:t>spread</w:t>
      </w:r>
      <w:proofErr w:type="gramEnd"/>
      <w:r w:rsidRPr="00DD3260">
        <w:rPr>
          <w:b/>
          <w:i/>
        </w:rPr>
        <w:t xml:space="preserve"> quad-axle group (also denoted as “4 @ 1.2, 2.4, 1.2”)</w:t>
      </w:r>
      <w:r>
        <w:t xml:space="preserve"> means a group of 4 axles, where —</w:t>
      </w:r>
    </w:p>
    <w:p w:rsidR="0002661E" w:rsidRPr="00DD3260" w:rsidRDefault="0002661E" w:rsidP="0002661E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DD3260">
        <w:rPr>
          <w:rFonts w:ascii="Calibri" w:eastAsia="Calibri" w:hAnsi="Calibri" w:cs="Calibri"/>
        </w:rPr>
        <w:t>the distance between the 1st and 2nd axle is at least 1.2m; and</w:t>
      </w:r>
    </w:p>
    <w:p w:rsidR="0002661E" w:rsidRPr="00DD3260" w:rsidRDefault="0002661E" w:rsidP="0002661E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DD3260">
        <w:rPr>
          <w:rFonts w:ascii="Calibri" w:eastAsia="Calibri" w:hAnsi="Calibri" w:cs="Calibri"/>
        </w:rPr>
        <w:t>the distance between the 2nd and 3rd axle is at least 2.4m; and</w:t>
      </w:r>
    </w:p>
    <w:p w:rsidR="0002661E" w:rsidRPr="00DD3260" w:rsidRDefault="0002661E" w:rsidP="0002661E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DD3260">
        <w:rPr>
          <w:rFonts w:ascii="Calibri" w:eastAsia="Calibri" w:hAnsi="Calibri" w:cs="Calibri"/>
        </w:rPr>
        <w:t>the distance between the 3rd and 4th axle is at least 1.2m; and</w:t>
      </w:r>
    </w:p>
    <w:p w:rsidR="0002661E" w:rsidRDefault="0002661E" w:rsidP="0002661E">
      <w:pPr>
        <w:pStyle w:val="ListParagraph"/>
        <w:numPr>
          <w:ilvl w:val="0"/>
          <w:numId w:val="1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DD3260">
        <w:rPr>
          <w:rFonts w:ascii="Calibri" w:eastAsia="Calibri" w:hAnsi="Calibri" w:cs="Calibri"/>
        </w:rPr>
        <w:t>the</w:t>
      </w:r>
      <w:proofErr w:type="gramEnd"/>
      <w:r w:rsidRPr="00DD3260">
        <w:rPr>
          <w:rFonts w:ascii="Calibri" w:eastAsia="Calibri" w:hAnsi="Calibri" w:cs="Calibri"/>
        </w:rPr>
        <w:t xml:space="preserve"> horizontal distance between the centre-lines of the outermost axles is not more than 4.9m.</w:t>
      </w:r>
    </w:p>
    <w:p w:rsidR="0002661E" w:rsidRPr="001866E4" w:rsidRDefault="0002661E" w:rsidP="0002661E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02661E" w:rsidRDefault="0002661E" w:rsidP="0002661E">
      <w:pPr>
        <w:ind w:firstLine="720"/>
      </w:pPr>
      <w:proofErr w:type="gramStart"/>
      <w:r w:rsidRPr="00DD3260">
        <w:rPr>
          <w:b/>
          <w:i/>
        </w:rPr>
        <w:t>spread</w:t>
      </w:r>
      <w:proofErr w:type="gramEnd"/>
      <w:r w:rsidRPr="00DD3260">
        <w:rPr>
          <w:b/>
          <w:i/>
        </w:rPr>
        <w:t xml:space="preserve"> tandem axle group (also denoted as “2 @ 1.8”)</w:t>
      </w:r>
      <w:r>
        <w:t xml:space="preserve"> means a group of— </w:t>
      </w:r>
    </w:p>
    <w:p w:rsidR="0002661E" w:rsidRPr="00DD3260" w:rsidRDefault="0002661E" w:rsidP="0002661E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DD3260">
        <w:rPr>
          <w:rFonts w:ascii="Calibri" w:eastAsia="Calibri" w:hAnsi="Calibri" w:cs="Calibri"/>
        </w:rPr>
        <w:t xml:space="preserve">2 axles at least 1.8m apart; where </w:t>
      </w:r>
    </w:p>
    <w:p w:rsidR="0002661E" w:rsidRDefault="0002661E" w:rsidP="0002661E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DD3260">
        <w:rPr>
          <w:rFonts w:ascii="Calibri" w:eastAsia="Calibri" w:hAnsi="Calibri" w:cs="Calibri"/>
        </w:rPr>
        <w:t>the</w:t>
      </w:r>
      <w:proofErr w:type="gramEnd"/>
      <w:r w:rsidRPr="00DD3260">
        <w:rPr>
          <w:rFonts w:ascii="Calibri" w:eastAsia="Calibri" w:hAnsi="Calibri" w:cs="Calibri"/>
        </w:rPr>
        <w:t xml:space="preserve"> horizontal distance between the centre-lines of the 2 axles is not more than 2.0m.</w:t>
      </w:r>
    </w:p>
    <w:p w:rsidR="0002661E" w:rsidRDefault="0002661E" w:rsidP="0002661E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02661E" w:rsidRDefault="0002661E" w:rsidP="0002661E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proofErr w:type="gramStart"/>
      <w:r w:rsidRPr="008E0005">
        <w:rPr>
          <w:rFonts w:ascii="Calibri" w:eastAsia="Calibri" w:hAnsi="Calibri" w:cs="Calibri"/>
          <w:b/>
          <w:i/>
        </w:rPr>
        <w:t>spread</w:t>
      </w:r>
      <w:proofErr w:type="gramEnd"/>
      <w:r w:rsidRPr="008E0005">
        <w:rPr>
          <w:rFonts w:ascii="Calibri" w:eastAsia="Calibri" w:hAnsi="Calibri" w:cs="Calibri"/>
          <w:b/>
          <w:i/>
        </w:rPr>
        <w:t xml:space="preserve"> tri-axle group</w:t>
      </w:r>
      <w:r w:rsidRPr="008E0005">
        <w:rPr>
          <w:rFonts w:ascii="Calibri" w:eastAsia="Calibri" w:hAnsi="Calibri" w:cs="Calibri"/>
        </w:rPr>
        <w:t xml:space="preserve"> means a group of— </w:t>
      </w:r>
    </w:p>
    <w:p w:rsidR="0002661E" w:rsidRPr="008E0005" w:rsidRDefault="0002661E" w:rsidP="0002661E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02661E" w:rsidRDefault="0002661E" w:rsidP="0002661E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axles— </w:t>
      </w:r>
    </w:p>
    <w:p w:rsidR="0002661E" w:rsidRDefault="0002661E" w:rsidP="0002661E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8E0005">
        <w:rPr>
          <w:rFonts w:ascii="Calibri" w:eastAsia="Calibri" w:hAnsi="Calibri" w:cs="Calibri"/>
        </w:rPr>
        <w:t>at least 1.8m apart (also denoted as “3 @ 1.8”)</w:t>
      </w:r>
      <w:r>
        <w:rPr>
          <w:rFonts w:ascii="Calibri" w:eastAsia="Calibri" w:hAnsi="Calibri" w:cs="Calibri"/>
        </w:rPr>
        <w:t>; or</w:t>
      </w:r>
    </w:p>
    <w:p w:rsidR="0002661E" w:rsidRDefault="0002661E" w:rsidP="0002661E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8E0005">
        <w:rPr>
          <w:rFonts w:ascii="Calibri" w:eastAsia="Calibri" w:hAnsi="Calibri" w:cs="Calibri"/>
        </w:rPr>
        <w:t>where the distance between the 1st and 2nd  axle is at least 1.2m and the distance between the 2nd and 3rd axle is at least 2.4m (also denoted as “3 @ 1.2, 2.4”); or</w:t>
      </w:r>
    </w:p>
    <w:p w:rsidR="0002661E" w:rsidRPr="008E0005" w:rsidRDefault="0002661E" w:rsidP="0002661E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8E0005">
        <w:rPr>
          <w:rFonts w:ascii="Calibri" w:eastAsia="Calibri" w:hAnsi="Calibri" w:cs="Calibri"/>
        </w:rPr>
        <w:t>where the distance between the 1st and 2nd  axle is at least 2.4m and the distance between the 2nd and 3rd axle is at least 1.2m (also denoted as “3 @ 2.4, 1.2”);  and</w:t>
      </w:r>
    </w:p>
    <w:p w:rsidR="0002661E" w:rsidRDefault="0002661E" w:rsidP="0002661E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8E0005">
        <w:rPr>
          <w:rFonts w:ascii="Calibri" w:eastAsia="Calibri" w:hAnsi="Calibri" w:cs="Calibri"/>
        </w:rPr>
        <w:t>where</w:t>
      </w:r>
      <w:proofErr w:type="gramEnd"/>
      <w:r w:rsidRPr="008E0005">
        <w:rPr>
          <w:rFonts w:ascii="Calibri" w:eastAsia="Calibri" w:hAnsi="Calibri" w:cs="Calibri"/>
        </w:rPr>
        <w:t xml:space="preserve"> the horizontal distance between the centre-lines of the outermost axles is not more than 3.7m.</w:t>
      </w:r>
    </w:p>
    <w:p w:rsidR="0002661E" w:rsidRDefault="0002661E" w:rsidP="0002661E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02661E" w:rsidRDefault="0002661E" w:rsidP="00F041EA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proofErr w:type="gramStart"/>
      <w:r w:rsidRPr="001F4622">
        <w:rPr>
          <w:rFonts w:ascii="Calibri" w:eastAsia="Calibri" w:hAnsi="Calibri" w:cs="Calibri"/>
          <w:b/>
          <w:i/>
        </w:rPr>
        <w:t>tandem</w:t>
      </w:r>
      <w:proofErr w:type="gramEnd"/>
      <w:r w:rsidRPr="001F4622">
        <w:rPr>
          <w:rFonts w:ascii="Calibri" w:eastAsia="Calibri" w:hAnsi="Calibri" w:cs="Calibri"/>
          <w:b/>
          <w:i/>
        </w:rPr>
        <w:t xml:space="preserve"> drive axle group</w:t>
      </w:r>
      <w:r w:rsidRPr="001F4622">
        <w:rPr>
          <w:rFonts w:ascii="Calibri" w:eastAsia="Calibri" w:hAnsi="Calibri" w:cs="Calibri"/>
        </w:rPr>
        <w:t xml:space="preserve"> means a tandem axle group consisting of 2 axles. </w:t>
      </w:r>
    </w:p>
    <w:p w:rsidR="0002661E" w:rsidRPr="00F041EA" w:rsidRDefault="0002661E" w:rsidP="00F041EA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1866E4" w:rsidRPr="00FF43D7" w:rsidRDefault="00247CF0" w:rsidP="00FF43D7">
      <w:pPr>
        <w:rPr>
          <w:b/>
          <w:lang w:eastAsia="en-US"/>
        </w:rPr>
      </w:pPr>
      <w:r>
        <w:rPr>
          <w:b/>
          <w:i/>
        </w:rPr>
        <w:br w:type="page"/>
      </w:r>
    </w:p>
    <w:p w:rsidR="001866E4" w:rsidRPr="00994AD6" w:rsidRDefault="001866E4" w:rsidP="002B516A">
      <w:pPr>
        <w:pStyle w:val="Sectionheading"/>
        <w:jc w:val="both"/>
      </w:pPr>
      <w:r>
        <w:lastRenderedPageBreak/>
        <w:t>Application</w:t>
      </w:r>
    </w:p>
    <w:p w:rsidR="001866E4" w:rsidRDefault="001866E4" w:rsidP="002B516A">
      <w:pPr>
        <w:pStyle w:val="OutlineNumberedLevel1"/>
        <w:numPr>
          <w:ilvl w:val="0"/>
          <w:numId w:val="8"/>
        </w:numPr>
        <w:contextualSpacing/>
      </w:pPr>
      <w:r>
        <w:t>This Notice applies to an eligible combination operating in New South Wales that</w:t>
      </w:r>
      <w:r w:rsidR="00A30161">
        <w:t xml:space="preserve"> is</w:t>
      </w:r>
      <w:r>
        <w:t>:</w:t>
      </w:r>
    </w:p>
    <w:p w:rsidR="001866E4" w:rsidRDefault="001866E4" w:rsidP="002B516A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Pr="00BB07E7">
        <w:rPr>
          <w:rFonts w:ascii="Calibri" w:eastAsia="Calibri" w:hAnsi="Calibri" w:cs="Calibri"/>
        </w:rPr>
        <w:t xml:space="preserve">ransporting a </w:t>
      </w:r>
      <w:r>
        <w:rPr>
          <w:rFonts w:ascii="Calibri" w:eastAsia="Calibri" w:hAnsi="Calibri" w:cs="Calibri"/>
        </w:rPr>
        <w:t xml:space="preserve">load </w:t>
      </w:r>
      <w:r w:rsidR="00FF43D7">
        <w:rPr>
          <w:rFonts w:ascii="Calibri" w:eastAsia="Calibri" w:hAnsi="Calibri" w:cs="Calibri"/>
        </w:rPr>
        <w:t>in or on a platform</w:t>
      </w:r>
      <w:r w:rsidRPr="00BB07E7">
        <w:rPr>
          <w:rFonts w:ascii="Calibri" w:eastAsia="Calibri" w:hAnsi="Calibri" w:cs="Calibri"/>
        </w:rPr>
        <w:t xml:space="preserve"> container</w:t>
      </w:r>
      <w:r w:rsidR="002A55EE">
        <w:rPr>
          <w:rFonts w:ascii="Calibri" w:eastAsia="Calibri" w:hAnsi="Calibri" w:cs="Calibri"/>
        </w:rPr>
        <w:t xml:space="preserve"> for the purpose of import or export only</w:t>
      </w:r>
      <w:r w:rsidRPr="00BB07E7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and</w:t>
      </w:r>
    </w:p>
    <w:p w:rsidR="002A55EE" w:rsidRDefault="002A55EE" w:rsidP="002B516A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transport</w:t>
      </w:r>
      <w:r w:rsidR="006A58B1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one platform container only; and</w:t>
      </w:r>
    </w:p>
    <w:p w:rsidR="002A55EE" w:rsidRPr="00B27A4D" w:rsidRDefault="002A55EE" w:rsidP="002B516A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travelling </w:t>
      </w:r>
      <w:r w:rsidR="00ED067E">
        <w:rPr>
          <w:rFonts w:ascii="Calibri" w:eastAsia="Calibri" w:hAnsi="Calibri" w:cs="Calibri"/>
        </w:rPr>
        <w:t>to or from a port; and</w:t>
      </w:r>
    </w:p>
    <w:p w:rsidR="001866E4" w:rsidRDefault="001866E4" w:rsidP="002B516A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</w:t>
      </w:r>
      <w:r w:rsidR="00A30161">
        <w:rPr>
          <w:rFonts w:ascii="Calibri" w:eastAsia="Calibri" w:hAnsi="Calibri" w:cs="Calibri"/>
        </w:rPr>
        <w:t>iant</w:t>
      </w:r>
      <w:r>
        <w:rPr>
          <w:rFonts w:ascii="Calibri" w:eastAsia="Calibri" w:hAnsi="Calibri" w:cs="Calibri"/>
        </w:rPr>
        <w:t xml:space="preserve"> with the conditions of this Notice; and</w:t>
      </w:r>
    </w:p>
    <w:p w:rsidR="001866E4" w:rsidRDefault="001866E4" w:rsidP="002B516A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operat</w:t>
      </w:r>
      <w:r w:rsidR="00A30161">
        <w:rPr>
          <w:rFonts w:ascii="Calibri" w:eastAsia="Calibri" w:hAnsi="Calibri" w:cs="Calibri"/>
        </w:rPr>
        <w:t>ing</w:t>
      </w:r>
      <w:proofErr w:type="gramEnd"/>
      <w:r>
        <w:rPr>
          <w:rFonts w:ascii="Calibri" w:eastAsia="Calibri" w:hAnsi="Calibri" w:cs="Calibri"/>
        </w:rPr>
        <w:t xml:space="preserve"> on a stated map or list specified </w:t>
      </w:r>
      <w:r w:rsidR="00B27A4D">
        <w:rPr>
          <w:rFonts w:ascii="Calibri" w:eastAsia="Calibri" w:hAnsi="Calibri" w:cs="Calibri"/>
        </w:rPr>
        <w:t xml:space="preserve">or referenced </w:t>
      </w:r>
      <w:r>
        <w:rPr>
          <w:rFonts w:ascii="Calibri" w:eastAsia="Calibri" w:hAnsi="Calibri" w:cs="Calibri"/>
        </w:rPr>
        <w:t>in this Notice.</w:t>
      </w:r>
    </w:p>
    <w:p w:rsidR="006A58B1" w:rsidRPr="006A58B1" w:rsidRDefault="006A58B1" w:rsidP="002B516A">
      <w:pPr>
        <w:tabs>
          <w:tab w:val="left" w:pos="284"/>
        </w:tabs>
        <w:spacing w:after="0" w:line="240" w:lineRule="auto"/>
        <w:ind w:right="-590"/>
        <w:contextualSpacing/>
        <w:jc w:val="both"/>
        <w:rPr>
          <w:rFonts w:ascii="Calibri" w:eastAsia="Calibri" w:hAnsi="Calibri" w:cs="Calibri"/>
        </w:rPr>
      </w:pPr>
    </w:p>
    <w:p w:rsidR="001866E4" w:rsidRPr="006A58B1" w:rsidRDefault="007D09D4" w:rsidP="002B516A">
      <w:pPr>
        <w:pStyle w:val="OutlineNumberedLevel1"/>
        <w:numPr>
          <w:ilvl w:val="0"/>
          <w:numId w:val="8"/>
        </w:numPr>
        <w:contextualSpacing/>
        <w:rPr>
          <w:rFonts w:eastAsia="Calibri" w:cs="Calibri"/>
        </w:rPr>
      </w:pPr>
      <w:r w:rsidRPr="006A58B1">
        <w:t>This Notice applies to an eligible combination whether loaded or unloaded.</w:t>
      </w:r>
    </w:p>
    <w:p w:rsidR="001866E4" w:rsidRPr="00AA5ECD" w:rsidRDefault="001866E4" w:rsidP="002B516A">
      <w:pPr>
        <w:pStyle w:val="Sectionheading"/>
        <w:jc w:val="both"/>
      </w:pPr>
      <w:r>
        <w:t>Eligible combinations</w:t>
      </w:r>
    </w:p>
    <w:p w:rsidR="001D50AC" w:rsidRPr="00333818" w:rsidRDefault="001866E4" w:rsidP="002B516A">
      <w:pPr>
        <w:pStyle w:val="OutlineNumberedLevel1"/>
        <w:numPr>
          <w:ilvl w:val="0"/>
          <w:numId w:val="21"/>
        </w:numPr>
        <w:tabs>
          <w:tab w:val="left" w:pos="284"/>
        </w:tabs>
        <w:spacing w:after="0" w:line="240" w:lineRule="auto"/>
        <w:ind w:left="709" w:right="-590" w:hanging="425"/>
        <w:contextualSpacing/>
        <w:rPr>
          <w:rFonts w:eastAsia="Calibri" w:cs="Calibri"/>
        </w:rPr>
      </w:pPr>
      <w:r w:rsidRPr="00AA5ECD">
        <w:t xml:space="preserve">An eligible </w:t>
      </w:r>
      <w:r w:rsidR="00C668D3">
        <w:t>combination</w:t>
      </w:r>
      <w:r w:rsidRPr="00AA5ECD">
        <w:t xml:space="preserve"> under this notice is </w:t>
      </w:r>
      <w:r w:rsidR="00BD6E3D">
        <w:t xml:space="preserve">a tandem drive prime mover towing </w:t>
      </w:r>
      <w:r w:rsidR="001D50AC">
        <w:t>a:</w:t>
      </w:r>
    </w:p>
    <w:p w:rsidR="001866E4" w:rsidRPr="00BD6E3D" w:rsidRDefault="001866E4" w:rsidP="002B516A">
      <w:pPr>
        <w:pStyle w:val="OutlineNumberedLevel1"/>
        <w:numPr>
          <w:ilvl w:val="0"/>
          <w:numId w:val="51"/>
        </w:numPr>
        <w:tabs>
          <w:tab w:val="left" w:pos="284"/>
        </w:tabs>
        <w:spacing w:after="0" w:line="240" w:lineRule="auto"/>
        <w:ind w:left="1276" w:right="-590" w:hanging="425"/>
        <w:contextualSpacing/>
        <w:rPr>
          <w:rFonts w:eastAsia="Calibri" w:cs="Calibri"/>
        </w:rPr>
      </w:pPr>
      <w:r w:rsidRPr="00BD6E3D">
        <w:rPr>
          <w:rFonts w:eastAsia="Calibri" w:cs="Calibri"/>
        </w:rPr>
        <w:t>low loader trailer; or</w:t>
      </w:r>
    </w:p>
    <w:p w:rsidR="00FF43D7" w:rsidRDefault="001866E4" w:rsidP="002B516A">
      <w:pPr>
        <w:pStyle w:val="ListParagraph"/>
        <w:numPr>
          <w:ilvl w:val="0"/>
          <w:numId w:val="51"/>
        </w:numPr>
        <w:tabs>
          <w:tab w:val="left" w:pos="284"/>
        </w:tabs>
        <w:spacing w:after="0" w:line="240" w:lineRule="auto"/>
        <w:ind w:left="1276" w:right="-59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low </w:t>
      </w:r>
      <w:r w:rsidRPr="0034558D">
        <w:rPr>
          <w:rFonts w:ascii="Calibri" w:eastAsia="Calibri" w:hAnsi="Calibri" w:cs="Calibri"/>
        </w:rPr>
        <w:t>loader</w:t>
      </w:r>
      <w:r>
        <w:rPr>
          <w:rFonts w:ascii="Calibri" w:eastAsia="Calibri" w:hAnsi="Calibri" w:cs="Calibri"/>
        </w:rPr>
        <w:t xml:space="preserve"> dolly and low loader trailer</w:t>
      </w:r>
      <w:r w:rsidR="007265E1">
        <w:rPr>
          <w:rFonts w:ascii="Calibri" w:eastAsia="Calibri" w:hAnsi="Calibri" w:cs="Calibri"/>
        </w:rPr>
        <w:t>; or</w:t>
      </w:r>
    </w:p>
    <w:p w:rsidR="007265E1" w:rsidRPr="0034558D" w:rsidRDefault="007265E1" w:rsidP="002B516A">
      <w:pPr>
        <w:pStyle w:val="ListParagraph"/>
        <w:numPr>
          <w:ilvl w:val="0"/>
          <w:numId w:val="51"/>
        </w:numPr>
        <w:tabs>
          <w:tab w:val="left" w:pos="284"/>
        </w:tabs>
        <w:spacing w:after="0" w:line="240" w:lineRule="auto"/>
        <w:ind w:left="1276" w:right="-590" w:hanging="425"/>
        <w:jc w:val="both"/>
        <w:rPr>
          <w:rFonts w:ascii="Calibri" w:eastAsia="Calibri" w:hAnsi="Calibri" w:cs="Calibri"/>
        </w:rPr>
      </w:pPr>
      <w:proofErr w:type="spellStart"/>
      <w:r w:rsidRPr="0034558D">
        <w:rPr>
          <w:rFonts w:ascii="Calibri" w:eastAsia="Calibri" w:hAnsi="Calibri" w:cs="Calibri"/>
        </w:rPr>
        <w:t>skel</w:t>
      </w:r>
      <w:proofErr w:type="spellEnd"/>
      <w:r w:rsidRPr="0034558D">
        <w:rPr>
          <w:rFonts w:ascii="Calibri" w:eastAsia="Calibri" w:hAnsi="Calibri" w:cs="Calibri"/>
        </w:rPr>
        <w:t xml:space="preserve"> trailer</w:t>
      </w:r>
      <w:r w:rsidR="00BD6E3D" w:rsidRPr="0034558D">
        <w:rPr>
          <w:rFonts w:ascii="Calibri" w:eastAsia="Calibri" w:hAnsi="Calibri" w:cs="Calibri"/>
        </w:rPr>
        <w:t xml:space="preserve"> or </w:t>
      </w:r>
      <w:r w:rsidR="006436D9">
        <w:rPr>
          <w:rFonts w:ascii="Calibri" w:eastAsia="Calibri" w:hAnsi="Calibri" w:cs="Calibri"/>
        </w:rPr>
        <w:t>semi</w:t>
      </w:r>
      <w:r w:rsidR="006A58B1">
        <w:rPr>
          <w:rFonts w:ascii="Calibri" w:eastAsia="Calibri" w:hAnsi="Calibri" w:cs="Calibri"/>
        </w:rPr>
        <w:t>-</w:t>
      </w:r>
      <w:r w:rsidR="00BD6E3D" w:rsidRPr="0034558D">
        <w:rPr>
          <w:rFonts w:ascii="Calibri" w:eastAsia="Calibri" w:hAnsi="Calibri" w:cs="Calibri"/>
        </w:rPr>
        <w:t>trailer</w:t>
      </w:r>
      <w:r w:rsidR="006A6666" w:rsidRPr="0034558D">
        <w:rPr>
          <w:rFonts w:ascii="Calibri" w:eastAsia="Calibri" w:hAnsi="Calibri" w:cs="Calibri"/>
        </w:rPr>
        <w:t xml:space="preserve"> </w:t>
      </w:r>
      <w:r w:rsidR="001D50AC">
        <w:rPr>
          <w:rFonts w:ascii="Calibri" w:eastAsia="Calibri" w:hAnsi="Calibri" w:cs="Calibri"/>
        </w:rPr>
        <w:t>(</w:t>
      </w:r>
      <w:r w:rsidR="006A6666" w:rsidRPr="0034558D">
        <w:rPr>
          <w:rFonts w:ascii="Calibri" w:eastAsia="Calibri" w:hAnsi="Calibri" w:cs="Calibri"/>
        </w:rPr>
        <w:t>operating up to 4.6m high and not exceeding prescribed mass limits)</w:t>
      </w:r>
      <w:r w:rsidR="001D50AC">
        <w:rPr>
          <w:rFonts w:ascii="Calibri" w:eastAsia="Calibri" w:hAnsi="Calibri" w:cs="Calibri"/>
        </w:rPr>
        <w:t>.</w:t>
      </w:r>
      <w:r w:rsidRPr="0034558D">
        <w:rPr>
          <w:rFonts w:ascii="Calibri" w:eastAsia="Calibri" w:hAnsi="Calibri" w:cs="Calibri"/>
        </w:rPr>
        <w:t xml:space="preserve"> </w:t>
      </w:r>
    </w:p>
    <w:p w:rsidR="007832D9" w:rsidRPr="007832D9" w:rsidRDefault="007832D9" w:rsidP="002B516A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D164E9" w:rsidRPr="00F864F9" w:rsidRDefault="00D164E9" w:rsidP="002B516A">
      <w:pPr>
        <w:pStyle w:val="Sectionheading"/>
        <w:jc w:val="both"/>
      </w:pPr>
      <w:r>
        <w:t>Exemption- D</w:t>
      </w:r>
      <w:r w:rsidRPr="00F864F9">
        <w:t xml:space="preserve">imension </w:t>
      </w:r>
      <w:r>
        <w:t>R</w:t>
      </w:r>
      <w:r w:rsidRPr="00F864F9">
        <w:t>equirements</w:t>
      </w:r>
    </w:p>
    <w:p w:rsidR="00D164E9" w:rsidRPr="00D164E9" w:rsidRDefault="00D164E9" w:rsidP="002B516A">
      <w:pPr>
        <w:pStyle w:val="OutlineNumberedLevel1"/>
        <w:numPr>
          <w:ilvl w:val="0"/>
          <w:numId w:val="10"/>
        </w:numPr>
        <w:contextualSpacing/>
      </w:pPr>
      <w:r w:rsidRPr="00D164E9">
        <w:t xml:space="preserve">An eligible </w:t>
      </w:r>
      <w:r w:rsidR="002B516A">
        <w:t>combination</w:t>
      </w:r>
      <w:r w:rsidRPr="00D164E9">
        <w:t xml:space="preserve"> operating under this Notice is exempt from the following dimension requirements of Schedule 6 of the </w:t>
      </w:r>
      <w:r w:rsidRPr="00D164E9">
        <w:rPr>
          <w:i/>
        </w:rPr>
        <w:t>Heavy Vehicle (Mass Dimension and Loading) National Regulation</w:t>
      </w:r>
      <w:r w:rsidRPr="00D164E9">
        <w:t xml:space="preserve"> (the National Regulation):</w:t>
      </w:r>
    </w:p>
    <w:p w:rsidR="00F567DB" w:rsidRPr="00F567DB" w:rsidRDefault="00F567DB" w:rsidP="002B516A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567DB">
        <w:rPr>
          <w:rFonts w:ascii="Calibri" w:eastAsia="Calibri" w:hAnsi="Calibri" w:cs="Calibri"/>
        </w:rPr>
        <w:t>section 3(1)(a) – Length—general; and</w:t>
      </w:r>
    </w:p>
    <w:p w:rsidR="00F567DB" w:rsidRPr="00F567DB" w:rsidRDefault="00F567DB" w:rsidP="002B516A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567DB">
        <w:rPr>
          <w:rFonts w:ascii="Calibri" w:eastAsia="Calibri" w:hAnsi="Calibri" w:cs="Calibri"/>
        </w:rPr>
        <w:t>section 4(2) – Length—trailers; and</w:t>
      </w:r>
    </w:p>
    <w:p w:rsidR="00F567DB" w:rsidRPr="00F567DB" w:rsidRDefault="00F567DB" w:rsidP="002B516A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567DB">
        <w:rPr>
          <w:rFonts w:ascii="Calibri" w:eastAsia="Calibri" w:hAnsi="Calibri" w:cs="Calibri"/>
        </w:rPr>
        <w:t>section 5(1)(a) and (b) - Length—rear overhang; and</w:t>
      </w:r>
    </w:p>
    <w:p w:rsidR="00F567DB" w:rsidRPr="00F567DB" w:rsidRDefault="00F567DB" w:rsidP="002B516A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567DB">
        <w:rPr>
          <w:rFonts w:ascii="Calibri" w:eastAsia="Calibri" w:hAnsi="Calibri" w:cs="Calibri"/>
        </w:rPr>
        <w:t>section 7(1)—Width; and</w:t>
      </w:r>
    </w:p>
    <w:p w:rsidR="00F567DB" w:rsidRPr="00F567DB" w:rsidRDefault="00F567DB" w:rsidP="002B516A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567DB">
        <w:rPr>
          <w:rFonts w:ascii="Calibri" w:eastAsia="Calibri" w:hAnsi="Calibri" w:cs="Calibri"/>
        </w:rPr>
        <w:t>section 8(d)—Height; and</w:t>
      </w:r>
    </w:p>
    <w:p w:rsidR="00D164E9" w:rsidRDefault="00F567DB" w:rsidP="002B516A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F567DB">
        <w:rPr>
          <w:rFonts w:ascii="Calibri" w:eastAsia="Calibri" w:hAnsi="Calibri" w:cs="Calibri"/>
        </w:rPr>
        <w:t>sections</w:t>
      </w:r>
      <w:proofErr w:type="gramEnd"/>
      <w:r w:rsidRPr="00F567DB">
        <w:rPr>
          <w:rFonts w:ascii="Calibri" w:eastAsia="Calibri" w:hAnsi="Calibri" w:cs="Calibri"/>
        </w:rPr>
        <w:t xml:space="preserve"> 13(a)(ii) and 13(b)(ii)—Front and side projection of load.</w:t>
      </w:r>
    </w:p>
    <w:p w:rsidR="00F567DB" w:rsidRDefault="00F567DB" w:rsidP="002B516A">
      <w:pPr>
        <w:tabs>
          <w:tab w:val="left" w:pos="284"/>
        </w:tabs>
        <w:spacing w:after="0" w:line="240" w:lineRule="auto"/>
        <w:ind w:right="-590"/>
        <w:contextualSpacing/>
        <w:jc w:val="both"/>
        <w:rPr>
          <w:rFonts w:ascii="Calibri" w:eastAsia="Calibri" w:hAnsi="Calibri" w:cs="Calibri"/>
        </w:rPr>
      </w:pPr>
    </w:p>
    <w:p w:rsidR="00D164E9" w:rsidRPr="005A735D" w:rsidRDefault="00D164E9" w:rsidP="002B516A">
      <w:pPr>
        <w:pStyle w:val="Sectionheading"/>
        <w:jc w:val="both"/>
      </w:pPr>
      <w:r w:rsidRPr="005A735D">
        <w:t>Conditions</w:t>
      </w:r>
      <w:r w:rsidRPr="00DF1C34">
        <w:t xml:space="preserve"> – </w:t>
      </w:r>
      <w:r w:rsidR="00F567DB">
        <w:t>Dimensions</w:t>
      </w:r>
    </w:p>
    <w:p w:rsidR="00F567DB" w:rsidRPr="00F567DB" w:rsidRDefault="00D164E9" w:rsidP="002B516A">
      <w:pPr>
        <w:pStyle w:val="OutlineNumberedLevel1"/>
        <w:numPr>
          <w:ilvl w:val="0"/>
          <w:numId w:val="23"/>
        </w:numPr>
        <w:contextualSpacing/>
      </w:pPr>
      <w:r w:rsidRPr="00D164E9">
        <w:t xml:space="preserve">An </w:t>
      </w:r>
      <w:r w:rsidR="00F567DB" w:rsidRPr="00F567DB">
        <w:t>e</w:t>
      </w:r>
      <w:r w:rsidR="00F567DB">
        <w:t xml:space="preserve">ligible </w:t>
      </w:r>
      <w:r w:rsidR="00C668D3">
        <w:t>combination</w:t>
      </w:r>
      <w:r w:rsidR="00F567DB">
        <w:t xml:space="preserve"> must not exceed:</w:t>
      </w:r>
    </w:p>
    <w:p w:rsidR="00F567DB" w:rsidRPr="00F567DB" w:rsidRDefault="00F567DB" w:rsidP="002B516A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567DB">
        <w:rPr>
          <w:rFonts w:ascii="Calibri" w:eastAsia="Calibri" w:hAnsi="Calibri" w:cs="Calibri"/>
        </w:rPr>
        <w:t>a dimension limit mentioned in Table 1; or</w:t>
      </w:r>
    </w:p>
    <w:p w:rsidR="00F567DB" w:rsidRPr="00F567DB" w:rsidRDefault="00F567DB" w:rsidP="002B516A">
      <w:pPr>
        <w:pStyle w:val="ListParagraph"/>
        <w:numPr>
          <w:ilvl w:val="0"/>
          <w:numId w:val="24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F567DB">
        <w:rPr>
          <w:rFonts w:ascii="Calibri" w:eastAsia="Calibri" w:hAnsi="Calibri" w:cs="Calibri"/>
        </w:rPr>
        <w:t>for</w:t>
      </w:r>
      <w:proofErr w:type="gramEnd"/>
      <w:r w:rsidRPr="00F567DB">
        <w:rPr>
          <w:rFonts w:ascii="Calibri" w:eastAsia="Calibri" w:hAnsi="Calibri" w:cs="Calibri"/>
        </w:rPr>
        <w:t xml:space="preserve"> a combination described in section </w:t>
      </w:r>
      <w:r w:rsidR="007A5E99">
        <w:rPr>
          <w:rFonts w:ascii="Calibri" w:eastAsia="Calibri" w:hAnsi="Calibri" w:cs="Calibri"/>
        </w:rPr>
        <w:t>8</w:t>
      </w:r>
      <w:r w:rsidRPr="00F567DB">
        <w:rPr>
          <w:rFonts w:ascii="Calibri" w:eastAsia="Calibri" w:hAnsi="Calibri" w:cs="Calibri"/>
        </w:rPr>
        <w:t>(1), a rear overhang limit mentioned in Table 2 or 25% of the length of the heavy vehicle, whichever is the lesser.</w:t>
      </w:r>
    </w:p>
    <w:p w:rsidR="00F567DB" w:rsidRPr="00F567DB" w:rsidRDefault="00F567DB" w:rsidP="002B516A">
      <w:pPr>
        <w:keepNext/>
        <w:widowControl w:val="0"/>
        <w:spacing w:before="200"/>
        <w:ind w:firstLine="720"/>
        <w:contextualSpacing/>
        <w:rPr>
          <w:rFonts w:eastAsia="Arial" w:cs="Arial"/>
          <w:b/>
          <w:bCs/>
          <w:spacing w:val="-5"/>
        </w:rPr>
      </w:pPr>
      <w:r w:rsidRPr="00F567DB">
        <w:rPr>
          <w:rFonts w:eastAsia="Arial" w:cs="Arial"/>
          <w:b/>
          <w:bCs/>
          <w:spacing w:val="-5"/>
        </w:rPr>
        <w:t xml:space="preserve">Table </w:t>
      </w:r>
      <w:r>
        <w:rPr>
          <w:rFonts w:eastAsia="Arial" w:cs="Arial"/>
          <w:b/>
          <w:bCs/>
          <w:spacing w:val="-5"/>
        </w:rPr>
        <w:t>1</w:t>
      </w:r>
      <w:r w:rsidRPr="00F567DB">
        <w:rPr>
          <w:rFonts w:eastAsia="Arial" w:cs="Arial"/>
          <w:b/>
          <w:bCs/>
          <w:noProof/>
          <w:spacing w:val="-5"/>
        </w:rPr>
        <w:t xml:space="preserve"> </w:t>
      </w:r>
      <w:r w:rsidRPr="00F567DB">
        <w:rPr>
          <w:rFonts w:eastAsia="Arial" w:cs="Arial"/>
          <w:b/>
          <w:bCs/>
          <w:spacing w:val="-5"/>
        </w:rPr>
        <w:t>- Maximum dimension limits</w:t>
      </w:r>
    </w:p>
    <w:tbl>
      <w:tblPr>
        <w:tblStyle w:val="TableGrid"/>
        <w:tblW w:w="4298" w:type="pct"/>
        <w:jc w:val="center"/>
        <w:tblLook w:val="04A0" w:firstRow="1" w:lastRow="0" w:firstColumn="1" w:lastColumn="0" w:noHBand="0" w:noVBand="1"/>
        <w:tblCaption w:val="Table 1 - Maximum dimension limits"/>
        <w:tblDescription w:val="Table of alternative prime mover and trailer combination dimension requirements."/>
      </w:tblPr>
      <w:tblGrid>
        <w:gridCol w:w="4184"/>
        <w:gridCol w:w="1430"/>
        <w:gridCol w:w="1428"/>
        <w:gridCol w:w="1428"/>
      </w:tblGrid>
      <w:tr w:rsidR="00F567DB" w:rsidRPr="002B516A" w:rsidTr="00F567DB">
        <w:trPr>
          <w:tblHeader/>
          <w:jc w:val="center"/>
        </w:trPr>
        <w:tc>
          <w:tcPr>
            <w:tcW w:w="2470" w:type="pct"/>
            <w:vAlign w:val="center"/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Vehicle</w:t>
            </w:r>
          </w:p>
        </w:tc>
        <w:tc>
          <w:tcPr>
            <w:tcW w:w="844" w:type="pct"/>
            <w:vAlign w:val="center"/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Width (m)</w:t>
            </w:r>
          </w:p>
        </w:tc>
        <w:tc>
          <w:tcPr>
            <w:tcW w:w="843" w:type="pct"/>
            <w:vAlign w:val="center"/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Length (m)</w:t>
            </w:r>
          </w:p>
        </w:tc>
        <w:tc>
          <w:tcPr>
            <w:tcW w:w="843" w:type="pct"/>
            <w:vAlign w:val="center"/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Height (m)</w:t>
            </w:r>
          </w:p>
        </w:tc>
      </w:tr>
      <w:tr w:rsidR="00F567DB" w:rsidRPr="002B516A" w:rsidTr="00F567DB">
        <w:trPr>
          <w:jc w:val="center"/>
        </w:trPr>
        <w:tc>
          <w:tcPr>
            <w:tcW w:w="2470" w:type="pct"/>
            <w:vAlign w:val="center"/>
          </w:tcPr>
          <w:p w:rsidR="00F567DB" w:rsidRPr="002B516A" w:rsidDel="004749EE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  <w:lang w:val="en-US"/>
              </w:rPr>
              <w:t>Prime mover and trailer combination</w:t>
            </w:r>
          </w:p>
        </w:tc>
        <w:tc>
          <w:tcPr>
            <w:tcW w:w="844" w:type="pct"/>
            <w:vAlign w:val="center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843" w:type="pct"/>
            <w:vAlign w:val="center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843" w:type="pct"/>
            <w:vAlign w:val="center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B516A">
              <w:rPr>
                <w:rFonts w:eastAsia="Times New Roman" w:cs="Times New Roman"/>
                <w:sz w:val="20"/>
                <w:szCs w:val="20"/>
                <w:lang w:val="en-US"/>
              </w:rPr>
              <w:t>5.0</w:t>
            </w:r>
          </w:p>
        </w:tc>
      </w:tr>
    </w:tbl>
    <w:p w:rsidR="00F567DB" w:rsidRPr="00F567DB" w:rsidRDefault="00F567DB" w:rsidP="002B516A">
      <w:pPr>
        <w:keepNext/>
        <w:widowControl w:val="0"/>
        <w:spacing w:before="200"/>
        <w:contextualSpacing/>
        <w:rPr>
          <w:rFonts w:eastAsia="Arial" w:cs="Arial"/>
          <w:b/>
          <w:bCs/>
          <w:spacing w:val="-5"/>
        </w:rPr>
      </w:pPr>
    </w:p>
    <w:p w:rsidR="00F567DB" w:rsidRPr="00F567DB" w:rsidRDefault="00F567DB" w:rsidP="002B516A">
      <w:pPr>
        <w:keepNext/>
        <w:widowControl w:val="0"/>
        <w:spacing w:before="200"/>
        <w:ind w:firstLine="720"/>
        <w:contextualSpacing/>
        <w:rPr>
          <w:rFonts w:eastAsia="Arial" w:cs="Arial"/>
          <w:b/>
          <w:bCs/>
          <w:spacing w:val="-5"/>
        </w:rPr>
      </w:pPr>
      <w:r w:rsidRPr="00F567DB">
        <w:rPr>
          <w:rFonts w:eastAsia="Arial" w:cs="Arial"/>
          <w:b/>
          <w:bCs/>
          <w:spacing w:val="-5"/>
        </w:rPr>
        <w:t xml:space="preserve">Table </w:t>
      </w:r>
      <w:r w:rsidRPr="00F567DB">
        <w:rPr>
          <w:rFonts w:eastAsia="Arial" w:cs="Arial"/>
          <w:b/>
          <w:bCs/>
          <w:spacing w:val="-5"/>
        </w:rPr>
        <w:fldChar w:fldCharType="begin"/>
      </w:r>
      <w:r w:rsidRPr="00F567DB">
        <w:rPr>
          <w:rFonts w:eastAsia="Arial" w:cs="Arial"/>
          <w:b/>
          <w:bCs/>
          <w:spacing w:val="-5"/>
        </w:rPr>
        <w:instrText xml:space="preserve"> SEQ Table \* ARABIC </w:instrText>
      </w:r>
      <w:r w:rsidRPr="00F567DB">
        <w:rPr>
          <w:rFonts w:eastAsia="Arial" w:cs="Arial"/>
          <w:b/>
          <w:bCs/>
          <w:spacing w:val="-5"/>
        </w:rPr>
        <w:fldChar w:fldCharType="separate"/>
      </w:r>
      <w:r w:rsidRPr="00F567DB">
        <w:rPr>
          <w:rFonts w:eastAsia="Arial" w:cs="Arial"/>
          <w:b/>
          <w:bCs/>
          <w:noProof/>
          <w:spacing w:val="-5"/>
        </w:rPr>
        <w:t>2</w:t>
      </w:r>
      <w:r w:rsidRPr="00F567DB">
        <w:rPr>
          <w:rFonts w:eastAsia="Arial" w:cs="Arial"/>
          <w:b/>
          <w:bCs/>
          <w:noProof/>
          <w:spacing w:val="-5"/>
        </w:rPr>
        <w:fldChar w:fldCharType="end"/>
      </w:r>
      <w:r w:rsidRPr="00F567DB">
        <w:rPr>
          <w:rFonts w:eastAsia="Arial" w:cs="Arial"/>
          <w:b/>
          <w:bCs/>
          <w:spacing w:val="-5"/>
        </w:rPr>
        <w:t xml:space="preserve"> - Maximum rear overhang</w:t>
      </w:r>
    </w:p>
    <w:tbl>
      <w:tblPr>
        <w:tblStyle w:val="TableGrid"/>
        <w:tblW w:w="3758" w:type="pct"/>
        <w:jc w:val="center"/>
        <w:tblLook w:val="04A0" w:firstRow="1" w:lastRow="0" w:firstColumn="1" w:lastColumn="0" w:noHBand="0" w:noVBand="1"/>
        <w:tblCaption w:val="Table 2 - Maximum rear overhang"/>
        <w:tblDescription w:val="Table of alternative load rear over requirements"/>
      </w:tblPr>
      <w:tblGrid>
        <w:gridCol w:w="2289"/>
        <w:gridCol w:w="2288"/>
        <w:gridCol w:w="2829"/>
      </w:tblGrid>
      <w:tr w:rsidR="00F567DB" w:rsidRPr="002B516A" w:rsidTr="00366A0E">
        <w:trPr>
          <w:jc w:val="center"/>
        </w:trPr>
        <w:tc>
          <w:tcPr>
            <w:tcW w:w="3090" w:type="pct"/>
            <w:gridSpan w:val="2"/>
            <w:tcBorders>
              <w:bottom w:val="single" w:sz="4" w:space="0" w:color="auto"/>
            </w:tcBorders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bookmarkStart w:id="0" w:name="_GoBack" w:colFirst="0" w:colLast="1"/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Length of vehicle and load (m)</w:t>
            </w:r>
          </w:p>
        </w:tc>
        <w:tc>
          <w:tcPr>
            <w:tcW w:w="1910" w:type="pct"/>
            <w:vMerge w:val="restart"/>
            <w:tcBorders>
              <w:bottom w:val="double" w:sz="4" w:space="0" w:color="auto"/>
            </w:tcBorders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Maximum rear overhang (m)</w:t>
            </w: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  <w:tcBorders>
              <w:bottom w:val="double" w:sz="4" w:space="0" w:color="auto"/>
            </w:tcBorders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Over</w:t>
            </w:r>
          </w:p>
        </w:tc>
        <w:tc>
          <w:tcPr>
            <w:tcW w:w="1545" w:type="pct"/>
            <w:tcBorders>
              <w:bottom w:val="double" w:sz="4" w:space="0" w:color="auto"/>
            </w:tcBorders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  <w:r w:rsidRPr="002B516A">
              <w:rPr>
                <w:b/>
                <w:spacing w:val="-1"/>
                <w:sz w:val="20"/>
                <w:szCs w:val="20"/>
                <w:lang w:val="en-US"/>
              </w:rPr>
              <w:t>Up to and including</w:t>
            </w:r>
          </w:p>
        </w:tc>
        <w:tc>
          <w:tcPr>
            <w:tcW w:w="1910" w:type="pct"/>
            <w:vMerge/>
            <w:tcBorders>
              <w:bottom w:val="double" w:sz="4" w:space="0" w:color="auto"/>
            </w:tcBorders>
          </w:tcPr>
          <w:p w:rsidR="00F567DB" w:rsidRPr="002B516A" w:rsidRDefault="00F567DB" w:rsidP="002B516A">
            <w:pPr>
              <w:keepNext/>
              <w:widowControl w:val="0"/>
              <w:spacing w:before="20"/>
              <w:contextualSpacing/>
              <w:jc w:val="center"/>
              <w:rPr>
                <w:b/>
                <w:spacing w:val="-1"/>
                <w:sz w:val="20"/>
                <w:szCs w:val="20"/>
                <w:lang w:val="en-US"/>
              </w:rPr>
            </w:pP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  <w:tcBorders>
              <w:top w:val="double" w:sz="4" w:space="0" w:color="auto"/>
            </w:tcBorders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545" w:type="pct"/>
            <w:tcBorders>
              <w:top w:val="double" w:sz="4" w:space="0" w:color="auto"/>
            </w:tcBorders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910" w:type="pct"/>
            <w:tcBorders>
              <w:top w:val="double" w:sz="4" w:space="0" w:color="auto"/>
            </w:tcBorders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25.0</w:t>
            </w:r>
          </w:p>
        </w:tc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26.0</w:t>
            </w:r>
          </w:p>
        </w:tc>
        <w:tc>
          <w:tcPr>
            <w:tcW w:w="1910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26.0</w:t>
            </w:r>
          </w:p>
        </w:tc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27.0</w:t>
            </w:r>
          </w:p>
        </w:tc>
        <w:tc>
          <w:tcPr>
            <w:tcW w:w="1910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6.8</w:t>
            </w: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27.0</w:t>
            </w:r>
          </w:p>
        </w:tc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28.0</w:t>
            </w:r>
          </w:p>
        </w:tc>
        <w:tc>
          <w:tcPr>
            <w:tcW w:w="1910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7.0</w:t>
            </w: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28.0</w:t>
            </w:r>
          </w:p>
        </w:tc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29.0</w:t>
            </w:r>
          </w:p>
        </w:tc>
        <w:tc>
          <w:tcPr>
            <w:tcW w:w="1910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7.3</w:t>
            </w:r>
          </w:p>
        </w:tc>
      </w:tr>
      <w:tr w:rsidR="00F567DB" w:rsidRPr="002B516A" w:rsidTr="00366A0E">
        <w:trPr>
          <w:jc w:val="center"/>
        </w:trPr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29.0</w:t>
            </w:r>
          </w:p>
        </w:tc>
        <w:tc>
          <w:tcPr>
            <w:tcW w:w="1545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30.0</w:t>
            </w:r>
          </w:p>
        </w:tc>
        <w:tc>
          <w:tcPr>
            <w:tcW w:w="1910" w:type="pct"/>
          </w:tcPr>
          <w:p w:rsidR="00F567DB" w:rsidRPr="002B516A" w:rsidRDefault="00F567DB" w:rsidP="002B516A">
            <w:pPr>
              <w:widowControl w:val="0"/>
              <w:spacing w:before="21"/>
              <w:ind w:left="74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516A"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</w:tr>
      <w:bookmarkEnd w:id="0"/>
    </w:tbl>
    <w:p w:rsidR="002B516A" w:rsidRDefault="002B516A" w:rsidP="002B516A">
      <w:pPr>
        <w:pStyle w:val="Bodylevel11subheading-QldSI"/>
        <w:numPr>
          <w:ilvl w:val="0"/>
          <w:numId w:val="0"/>
        </w:numPr>
        <w:ind w:left="720"/>
        <w:contextualSpacing/>
      </w:pPr>
    </w:p>
    <w:p w:rsidR="007A5E99" w:rsidRPr="002B516A" w:rsidRDefault="007A5E99" w:rsidP="002B516A">
      <w:pPr>
        <w:pStyle w:val="Bodylevel11subheading-QldSI"/>
        <w:contextualSpacing/>
      </w:pPr>
      <w:r w:rsidRPr="002B516A">
        <w:lastRenderedPageBreak/>
        <w:t>A loaded vehicle higher than 4.6m must carry its load on an eligible trailer with a deck height no more than 1.0m above the ground.</w:t>
      </w:r>
    </w:p>
    <w:p w:rsidR="001F2EDB" w:rsidRPr="00FE2F29" w:rsidRDefault="00FE2F29" w:rsidP="00FE2F29">
      <w:pPr>
        <w:pStyle w:val="Sectionheading"/>
        <w:jc w:val="both"/>
      </w:pPr>
      <w:r>
        <w:t xml:space="preserve">Exemptions - </w:t>
      </w:r>
      <w:r w:rsidR="001866E4">
        <w:t>Mass</w:t>
      </w:r>
    </w:p>
    <w:p w:rsidR="00FE2F29" w:rsidRPr="00FE2F29" w:rsidRDefault="00FE2F29" w:rsidP="003523E4">
      <w:pPr>
        <w:pStyle w:val="OutlineNumberedLevel1"/>
        <w:numPr>
          <w:ilvl w:val="0"/>
          <w:numId w:val="25"/>
        </w:numPr>
        <w:contextualSpacing/>
      </w:pPr>
      <w:r w:rsidRPr="00FE2F29">
        <w:t xml:space="preserve">This Notice exempts an eligible </w:t>
      </w:r>
      <w:r>
        <w:t xml:space="preserve">combination </w:t>
      </w:r>
      <w:r w:rsidR="00C668D3">
        <w:t xml:space="preserve">to </w:t>
      </w:r>
      <w:r>
        <w:t xml:space="preserve">which this Notice applies </w:t>
      </w:r>
      <w:r w:rsidRPr="00FE2F29">
        <w:t>from the following mass requirements in Schedule 1 of the MDL National Regulation to the extent provided in this Notice, including its Schedules:</w:t>
      </w:r>
    </w:p>
    <w:p w:rsidR="00FE2F29" w:rsidRPr="00FE2F29" w:rsidRDefault="00FE2F29" w:rsidP="003523E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E2F29">
        <w:rPr>
          <w:rFonts w:ascii="Calibri" w:eastAsia="Calibri" w:hAnsi="Calibri" w:cs="Calibri"/>
        </w:rPr>
        <w:t>section 2(1)(a)(iv) and (v)– Mass lim</w:t>
      </w:r>
      <w:r w:rsidR="001866E4">
        <w:rPr>
          <w:rFonts w:ascii="Calibri" w:eastAsia="Calibri" w:hAnsi="Calibri" w:cs="Calibri"/>
        </w:rPr>
        <w:t xml:space="preserve">its for </w:t>
      </w:r>
      <w:r w:rsidR="0065315E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Pr="00FE2F29">
        <w:rPr>
          <w:rFonts w:ascii="Calibri" w:eastAsia="Calibri" w:hAnsi="Calibri" w:cs="Calibri"/>
        </w:rPr>
        <w:t>combination; and</w:t>
      </w:r>
    </w:p>
    <w:p w:rsidR="00FE2F29" w:rsidRPr="00FE2F29" w:rsidRDefault="00FE2F29" w:rsidP="003523E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E2F29">
        <w:rPr>
          <w:rFonts w:ascii="Calibri" w:eastAsia="Calibri" w:hAnsi="Calibri" w:cs="Calibri"/>
        </w:rPr>
        <w:t>section 4 as it relates to the mass limits specified in, Table 1 (Axle mass</w:t>
      </w:r>
      <w:r>
        <w:rPr>
          <w:rFonts w:ascii="Calibri" w:eastAsia="Calibri" w:hAnsi="Calibri" w:cs="Calibri"/>
        </w:rPr>
        <w:t xml:space="preserve"> </w:t>
      </w:r>
      <w:r w:rsidRPr="00FE2F29">
        <w:rPr>
          <w:rFonts w:ascii="Calibri" w:eastAsia="Calibri" w:hAnsi="Calibri" w:cs="Calibri"/>
        </w:rPr>
        <w:t>limits table) of Part 2</w:t>
      </w:r>
      <w:r>
        <w:rPr>
          <w:rFonts w:ascii="Calibri" w:eastAsia="Calibri" w:hAnsi="Calibri" w:cs="Calibri"/>
        </w:rPr>
        <w:t>, for the following axle groups:</w:t>
      </w:r>
    </w:p>
    <w:p w:rsidR="00FE2F29" w:rsidRPr="00FE2F29" w:rsidRDefault="00FE2F29" w:rsidP="003523E4">
      <w:pPr>
        <w:pStyle w:val="ListParagraph"/>
        <w:numPr>
          <w:ilvl w:val="0"/>
          <w:numId w:val="27"/>
        </w:numPr>
      </w:pPr>
      <w:r w:rsidRPr="00FE2F29">
        <w:t>a tandem axle group fitted with dual tyres on all axles (16.5t); and</w:t>
      </w:r>
    </w:p>
    <w:p w:rsidR="00FE2F29" w:rsidRPr="00FE2F29" w:rsidRDefault="00FE2F29" w:rsidP="003523E4">
      <w:pPr>
        <w:pStyle w:val="ListParagraph"/>
        <w:numPr>
          <w:ilvl w:val="0"/>
          <w:numId w:val="27"/>
        </w:numPr>
      </w:pPr>
      <w:r w:rsidRPr="00FE2F29">
        <w:t>a tri-axle group fitted with dual tyres on all axles (20.0t); and</w:t>
      </w:r>
    </w:p>
    <w:p w:rsidR="00FE2F29" w:rsidRPr="00FE2F29" w:rsidRDefault="00FE2F29" w:rsidP="003523E4">
      <w:pPr>
        <w:pStyle w:val="ListParagraph"/>
        <w:numPr>
          <w:ilvl w:val="0"/>
          <w:numId w:val="27"/>
        </w:numPr>
      </w:pPr>
      <w:r w:rsidRPr="00FE2F29">
        <w:t>a quad axle group fitted with dual tyres on all axles (20.0t); and</w:t>
      </w:r>
    </w:p>
    <w:p w:rsidR="00FE2F29" w:rsidRDefault="00FE2F29" w:rsidP="003523E4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proofErr w:type="gramStart"/>
      <w:r w:rsidRPr="00FE2F29">
        <w:rPr>
          <w:rFonts w:ascii="Calibri" w:eastAsia="Calibri" w:hAnsi="Calibri" w:cs="Calibri"/>
        </w:rPr>
        <w:t>section</w:t>
      </w:r>
      <w:proofErr w:type="gramEnd"/>
      <w:r w:rsidRPr="00FE2F29">
        <w:rPr>
          <w:rFonts w:ascii="Calibri" w:eastAsia="Calibri" w:hAnsi="Calibri" w:cs="Calibri"/>
        </w:rPr>
        <w:t xml:space="preserve"> 5 (1) – Mass limits relating to axle spacing generally.</w:t>
      </w:r>
    </w:p>
    <w:p w:rsidR="006A58B1" w:rsidRDefault="006A58B1" w:rsidP="006A58B1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5E3F38" w:rsidRPr="005E3F38" w:rsidRDefault="006A58B1" w:rsidP="005E3F38">
      <w:pPr>
        <w:pStyle w:val="OutlineNumberedLevel1"/>
        <w:numPr>
          <w:ilvl w:val="0"/>
          <w:numId w:val="25"/>
        </w:numPr>
        <w:contextualSpacing/>
        <w:rPr>
          <w:rFonts w:eastAsia="Calibri" w:cs="Calibri"/>
        </w:rPr>
      </w:pPr>
      <w:r w:rsidRPr="006A58B1">
        <w:t xml:space="preserve">This section does not apply to a combination consisting of a prime mover towing either a </w:t>
      </w:r>
      <w:proofErr w:type="spellStart"/>
      <w:r w:rsidRPr="006A58B1">
        <w:t>skel</w:t>
      </w:r>
      <w:proofErr w:type="spellEnd"/>
      <w:r w:rsidRPr="006A58B1">
        <w:t xml:space="preserve"> trailer or a semi-trailer.</w:t>
      </w:r>
    </w:p>
    <w:p w:rsidR="001F2EDB" w:rsidRPr="00FE2F29" w:rsidRDefault="00FE2F29" w:rsidP="00FE2F29">
      <w:pPr>
        <w:pStyle w:val="Sectionheading"/>
        <w:jc w:val="both"/>
      </w:pPr>
      <w:r>
        <w:t>Conditions – Mass (maximum mass of an eligible combination)</w:t>
      </w:r>
    </w:p>
    <w:p w:rsidR="00FE2F29" w:rsidRPr="00FE2F29" w:rsidRDefault="00FE2F29" w:rsidP="003523E4">
      <w:pPr>
        <w:pStyle w:val="OutlineNumberedLevel1"/>
        <w:numPr>
          <w:ilvl w:val="0"/>
          <w:numId w:val="28"/>
        </w:numPr>
        <w:contextualSpacing/>
      </w:pPr>
      <w:r w:rsidRPr="00FE2F29">
        <w:t xml:space="preserve">The </w:t>
      </w:r>
      <w:r w:rsidR="006A58B1">
        <w:t xml:space="preserve">gross combination </w:t>
      </w:r>
      <w:r w:rsidRPr="00FE2F29">
        <w:t>mass of an eligible</w:t>
      </w:r>
      <w:r>
        <w:t xml:space="preserve"> </w:t>
      </w:r>
      <w:r w:rsidR="006A58B1">
        <w:t xml:space="preserve">combination </w:t>
      </w:r>
      <w:r>
        <w:t xml:space="preserve">must not </w:t>
      </w:r>
      <w:r w:rsidR="006A58B1">
        <w:t>exceed</w:t>
      </w:r>
      <w:r>
        <w:t>:</w:t>
      </w:r>
    </w:p>
    <w:p w:rsidR="00FE2F29" w:rsidRPr="00FE2F29" w:rsidRDefault="00FE2F29" w:rsidP="003523E4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E2F29">
        <w:rPr>
          <w:rFonts w:ascii="Calibri" w:eastAsia="Calibri" w:hAnsi="Calibri" w:cs="Calibri"/>
        </w:rPr>
        <w:t>77.5t, if the vehicle is fitted with any axle group with 4 tyres on each axle;</w:t>
      </w:r>
    </w:p>
    <w:p w:rsidR="00FE2F29" w:rsidRDefault="00FE2F29" w:rsidP="003523E4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FE2F29">
        <w:rPr>
          <w:rFonts w:ascii="Calibri" w:eastAsia="Calibri" w:hAnsi="Calibri" w:cs="Calibri"/>
        </w:rPr>
        <w:t>100.0t if the vehicle is fitted with any axle group with 8 tyres on each axle.</w:t>
      </w:r>
    </w:p>
    <w:p w:rsidR="00FE2F29" w:rsidRPr="00FE2F29" w:rsidRDefault="00FE2F29" w:rsidP="00FE2F29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FE2F29" w:rsidRPr="00FE2F29" w:rsidRDefault="0022225D" w:rsidP="00FE2F29">
      <w:pPr>
        <w:pStyle w:val="Sectionheading"/>
        <w:jc w:val="both"/>
      </w:pPr>
      <w:r>
        <w:t xml:space="preserve">Conditions - </w:t>
      </w:r>
      <w:r w:rsidR="00FE2F29" w:rsidRPr="00FE2F29">
        <w:t>Axle and axle group mass limits for a</w:t>
      </w:r>
      <w:r>
        <w:t xml:space="preserve"> low loader dolly or low loader</w:t>
      </w:r>
    </w:p>
    <w:p w:rsidR="00FE2F29" w:rsidRDefault="00FE2F29" w:rsidP="003523E4">
      <w:pPr>
        <w:pStyle w:val="OutlineNumberedLevel1"/>
        <w:numPr>
          <w:ilvl w:val="0"/>
          <w:numId w:val="30"/>
        </w:numPr>
        <w:contextualSpacing/>
      </w:pPr>
      <w:r w:rsidRPr="00FE2F29">
        <w:t>The mass on a single axle dolly with 4 tyres must not be more than 9.0t.</w:t>
      </w:r>
    </w:p>
    <w:p w:rsidR="0022225D" w:rsidRPr="00FE2F29" w:rsidRDefault="0022225D" w:rsidP="0022225D">
      <w:pPr>
        <w:pStyle w:val="OutlineNumberedLevel1"/>
        <w:numPr>
          <w:ilvl w:val="0"/>
          <w:numId w:val="0"/>
        </w:numPr>
        <w:ind w:left="720"/>
        <w:contextualSpacing/>
      </w:pPr>
    </w:p>
    <w:p w:rsidR="0022225D" w:rsidRDefault="00FE2F29" w:rsidP="003523E4">
      <w:pPr>
        <w:pStyle w:val="OutlineNumberedLevel1"/>
        <w:numPr>
          <w:ilvl w:val="0"/>
          <w:numId w:val="30"/>
        </w:numPr>
        <w:contextualSpacing/>
      </w:pPr>
      <w:r w:rsidRPr="00FE2F29">
        <w:t>The mass on a tandem axle dolly with 4 tyres on each axle must not be more than 18.5t.</w:t>
      </w:r>
    </w:p>
    <w:p w:rsidR="0022225D" w:rsidRPr="00FE2F29" w:rsidRDefault="0022225D" w:rsidP="0022225D">
      <w:pPr>
        <w:pStyle w:val="OutlineNumberedLevel1"/>
        <w:numPr>
          <w:ilvl w:val="0"/>
          <w:numId w:val="0"/>
        </w:numPr>
        <w:ind w:left="720"/>
        <w:contextualSpacing/>
      </w:pPr>
    </w:p>
    <w:p w:rsidR="00FE2F29" w:rsidRPr="00FE2F29" w:rsidRDefault="00FE2F29" w:rsidP="003523E4">
      <w:pPr>
        <w:pStyle w:val="OutlineNumberedLevel1"/>
        <w:numPr>
          <w:ilvl w:val="0"/>
          <w:numId w:val="30"/>
        </w:numPr>
        <w:contextualSpacing/>
      </w:pPr>
      <w:r w:rsidRPr="00FE2F29">
        <w:t xml:space="preserve">The mass on an axle group of a low loader dolly with 8 tyres on each axle must not be more than </w:t>
      </w:r>
      <w:r w:rsidR="006A58B1">
        <w:t>the relevant</w:t>
      </w:r>
      <w:r w:rsidRPr="00FE2F29">
        <w:t xml:space="preserve"> mass limit determin</w:t>
      </w:r>
      <w:r w:rsidR="0050733A">
        <w:t>ed by the application of Table 3.</w:t>
      </w:r>
    </w:p>
    <w:p w:rsidR="00FE2F29" w:rsidRPr="00FE2F29" w:rsidRDefault="00FE2F29" w:rsidP="00FE2F29">
      <w:pPr>
        <w:pStyle w:val="Tableheading-QldSI"/>
        <w:rPr>
          <w:rFonts w:asciiTheme="minorHAnsi" w:hAnsiTheme="minorHAnsi"/>
          <w:sz w:val="22"/>
          <w:szCs w:val="22"/>
        </w:rPr>
      </w:pPr>
      <w:r w:rsidRPr="00FE2F29">
        <w:rPr>
          <w:rFonts w:asciiTheme="minorHAnsi" w:hAnsiTheme="minorHAnsi"/>
          <w:sz w:val="22"/>
          <w:szCs w:val="22"/>
        </w:rPr>
        <w:t xml:space="preserve">Table </w:t>
      </w:r>
      <w:r w:rsidR="00063E43">
        <w:rPr>
          <w:rFonts w:asciiTheme="minorHAnsi" w:hAnsiTheme="minorHAnsi"/>
          <w:sz w:val="22"/>
          <w:szCs w:val="22"/>
        </w:rPr>
        <w:t>3</w:t>
      </w:r>
      <w:r w:rsidRPr="00FE2F29">
        <w:rPr>
          <w:rFonts w:asciiTheme="minorHAnsi" w:hAnsiTheme="minorHAnsi"/>
          <w:sz w:val="22"/>
          <w:szCs w:val="22"/>
        </w:rPr>
        <w:t xml:space="preserve"> - Mass limits for 8-tyred single axle or tandem axle group low loader dolly</w:t>
      </w:r>
    </w:p>
    <w:tbl>
      <w:tblPr>
        <w:tblW w:w="424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1 - Mass limits for 8-tyred single axle or tandem axle group low loader dolly"/>
        <w:tblDescription w:val="Table of altenative masses and ground contact widths for low loader dollys with rows of 8 tyres when used in configuration"/>
      </w:tblPr>
      <w:tblGrid>
        <w:gridCol w:w="2787"/>
        <w:gridCol w:w="2787"/>
        <w:gridCol w:w="2788"/>
      </w:tblGrid>
      <w:tr w:rsidR="00FE2F29" w:rsidRPr="00FE2F29" w:rsidTr="00DA0F30">
        <w:trPr>
          <w:tblHeader/>
        </w:trPr>
        <w:tc>
          <w:tcPr>
            <w:tcW w:w="1666" w:type="pct"/>
            <w:tcBorders>
              <w:bottom w:val="single" w:sz="4" w:space="0" w:color="auto"/>
            </w:tcBorders>
          </w:tcPr>
          <w:p w:rsidR="00FE2F29" w:rsidRPr="005E3F38" w:rsidRDefault="00FE2F29" w:rsidP="00366A0E">
            <w:pPr>
              <w:pStyle w:val="Tablefirstrowheading-QldSI"/>
              <w:rPr>
                <w:rFonts w:asciiTheme="minorHAnsi"/>
                <w:szCs w:val="20"/>
                <w:lang w:val="en-AU"/>
              </w:rPr>
            </w:pPr>
            <w:r w:rsidRPr="005E3F38">
              <w:rPr>
                <w:rFonts w:asciiTheme="minorHAnsi"/>
                <w:szCs w:val="20"/>
                <w:lang w:val="en-AU"/>
              </w:rPr>
              <w:t>Minimum dolly ground contact width (m)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A58B1" w:rsidRPr="005E3F38" w:rsidRDefault="006A58B1" w:rsidP="00366A0E">
            <w:pPr>
              <w:pStyle w:val="Tablefirstrowheading-QldSI"/>
              <w:rPr>
                <w:rFonts w:asciiTheme="minorHAnsi"/>
                <w:szCs w:val="20"/>
                <w:lang w:val="en-AU"/>
              </w:rPr>
            </w:pPr>
            <w:r w:rsidRPr="005E3F38">
              <w:rPr>
                <w:rFonts w:asciiTheme="minorHAnsi"/>
                <w:szCs w:val="20"/>
                <w:lang w:val="en-AU"/>
              </w:rPr>
              <w:t>Maximum axle mass</w:t>
            </w:r>
          </w:p>
          <w:p w:rsidR="00FE2F29" w:rsidRPr="005E3F38" w:rsidRDefault="0002661E" w:rsidP="00366A0E">
            <w:pPr>
              <w:pStyle w:val="Tablefirstrowheading-QldSI"/>
              <w:rPr>
                <w:rFonts w:asciiTheme="minorHAnsi"/>
                <w:szCs w:val="20"/>
                <w:lang w:val="en-AU"/>
              </w:rPr>
            </w:pPr>
            <w:r w:rsidRPr="005E3F38">
              <w:rPr>
                <w:rFonts w:asciiTheme="minorHAnsi"/>
                <w:szCs w:val="20"/>
                <w:lang w:val="en-AU"/>
              </w:rPr>
              <w:t>for a s</w:t>
            </w:r>
            <w:r w:rsidR="00FE2F29" w:rsidRPr="005E3F38">
              <w:rPr>
                <w:rFonts w:asciiTheme="minorHAnsi"/>
                <w:szCs w:val="20"/>
                <w:lang w:val="en-AU"/>
              </w:rPr>
              <w:t>ingle axle dolly</w:t>
            </w:r>
            <w:r w:rsidR="00FE2F29" w:rsidRPr="005E3F38">
              <w:rPr>
                <w:rFonts w:asciiTheme="minorHAnsi"/>
                <w:szCs w:val="20"/>
                <w:lang w:val="en-AU"/>
              </w:rPr>
              <w:br/>
            </w:r>
            <w:r w:rsidR="005E3F38">
              <w:rPr>
                <w:rFonts w:asciiTheme="minorHAnsi"/>
                <w:szCs w:val="20"/>
                <w:lang w:val="en-AU"/>
              </w:rPr>
              <w:t xml:space="preserve">and </w:t>
            </w:r>
            <w:r w:rsidR="00FE2F29" w:rsidRPr="005E3F38">
              <w:rPr>
                <w:rFonts w:asciiTheme="minorHAnsi"/>
                <w:szCs w:val="20"/>
                <w:lang w:val="en-AU"/>
              </w:rPr>
              <w:t>8 tyres per axle (t)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FE2F29" w:rsidRPr="005E3F38" w:rsidRDefault="0002661E" w:rsidP="00366A0E">
            <w:pPr>
              <w:pStyle w:val="Tablefirstrowheading-QldSI"/>
              <w:rPr>
                <w:rFonts w:asciiTheme="minorHAnsi"/>
                <w:szCs w:val="20"/>
                <w:lang w:val="en-AU"/>
              </w:rPr>
            </w:pPr>
            <w:r w:rsidRPr="005E3F38">
              <w:rPr>
                <w:rFonts w:asciiTheme="minorHAnsi"/>
                <w:szCs w:val="20"/>
                <w:lang w:val="en-AU"/>
              </w:rPr>
              <w:t>Maximum axle group m</w:t>
            </w:r>
            <w:r w:rsidR="006A58B1" w:rsidRPr="005E3F38">
              <w:rPr>
                <w:rFonts w:asciiTheme="minorHAnsi"/>
                <w:szCs w:val="20"/>
                <w:lang w:val="en-AU"/>
              </w:rPr>
              <w:t xml:space="preserve">ass for a </w:t>
            </w:r>
            <w:r w:rsidRPr="005E3F38">
              <w:rPr>
                <w:rFonts w:asciiTheme="minorHAnsi"/>
                <w:szCs w:val="20"/>
                <w:lang w:val="en-AU"/>
              </w:rPr>
              <w:t>t</w:t>
            </w:r>
            <w:r w:rsidR="00FE2F29" w:rsidRPr="005E3F38">
              <w:rPr>
                <w:rFonts w:asciiTheme="minorHAnsi"/>
                <w:szCs w:val="20"/>
                <w:lang w:val="en-AU"/>
              </w:rPr>
              <w:t>andem axle dolly</w:t>
            </w:r>
            <w:r w:rsidR="00FE2F29" w:rsidRPr="005E3F38">
              <w:rPr>
                <w:rFonts w:asciiTheme="minorHAnsi"/>
                <w:szCs w:val="20"/>
                <w:lang w:val="en-AU"/>
              </w:rPr>
              <w:br/>
            </w:r>
            <w:r w:rsidR="005E3F38">
              <w:rPr>
                <w:rFonts w:asciiTheme="minorHAnsi"/>
                <w:szCs w:val="20"/>
                <w:lang w:val="en-AU"/>
              </w:rPr>
              <w:t xml:space="preserve">and </w:t>
            </w:r>
            <w:r w:rsidR="00FE2F29" w:rsidRPr="005E3F38">
              <w:rPr>
                <w:rFonts w:asciiTheme="minorHAnsi"/>
                <w:szCs w:val="20"/>
                <w:lang w:val="en-AU"/>
              </w:rPr>
              <w:t>8 tyres per axle (t)</w:t>
            </w:r>
          </w:p>
        </w:tc>
      </w:tr>
      <w:tr w:rsidR="00FE2F29" w:rsidRPr="00FE2F29" w:rsidTr="00DA0F30">
        <w:tc>
          <w:tcPr>
            <w:tcW w:w="1666" w:type="pct"/>
            <w:tcBorders>
              <w:top w:val="single" w:sz="4" w:space="0" w:color="auto"/>
            </w:tcBorders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2.4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12.0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21.0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2.6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13.0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21.0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2.8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14.0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22.0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3.0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16.0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24.0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3.2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17.0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26.0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3.4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18.0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27.0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3.6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18.0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28.0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3.8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18.0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30.0</w:t>
            </w:r>
          </w:p>
        </w:tc>
      </w:tr>
      <w:tr w:rsidR="00FE2F29" w:rsidRPr="00FE2F29" w:rsidTr="00DA0F30"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≥4.0</w:t>
            </w:r>
          </w:p>
        </w:tc>
        <w:tc>
          <w:tcPr>
            <w:tcW w:w="1666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18.0</w:t>
            </w:r>
          </w:p>
        </w:tc>
        <w:tc>
          <w:tcPr>
            <w:tcW w:w="1667" w:type="pct"/>
          </w:tcPr>
          <w:p w:rsidR="00FE2F29" w:rsidRPr="005E3F38" w:rsidRDefault="00FE2F29" w:rsidP="00366A0E">
            <w:pPr>
              <w:pStyle w:val="Tabletext-QldSI"/>
              <w:jc w:val="center"/>
              <w:rPr>
                <w:rFonts w:asciiTheme="minorHAnsi" w:hAnsiTheme="minorHAnsi"/>
                <w:lang w:val="en-AU"/>
              </w:rPr>
            </w:pPr>
            <w:r w:rsidRPr="005E3F38">
              <w:rPr>
                <w:rFonts w:asciiTheme="minorHAnsi" w:hAnsiTheme="minorHAnsi"/>
                <w:lang w:val="en-AU"/>
              </w:rPr>
              <w:t>31.0</w:t>
            </w:r>
          </w:p>
        </w:tc>
      </w:tr>
    </w:tbl>
    <w:p w:rsidR="00063E43" w:rsidRDefault="00063E43">
      <w:pPr>
        <w:rPr>
          <w:rFonts w:ascii="Calibri" w:hAnsi="Calibri"/>
          <w:lang w:eastAsia="en-US"/>
        </w:rPr>
      </w:pPr>
    </w:p>
    <w:p w:rsidR="00FE2F29" w:rsidRPr="00FE2F29" w:rsidRDefault="00FE2F29" w:rsidP="002B516A">
      <w:pPr>
        <w:pStyle w:val="OutlineNumberedLevel1"/>
        <w:numPr>
          <w:ilvl w:val="0"/>
          <w:numId w:val="30"/>
        </w:numPr>
        <w:contextualSpacing/>
      </w:pPr>
      <w:r w:rsidRPr="00FE2F29">
        <w:lastRenderedPageBreak/>
        <w:t>The mass on an axle group of a low loader must not be more than the</w:t>
      </w:r>
      <w:r w:rsidR="0050733A">
        <w:t xml:space="preserve"> mass limit stated in Table 4</w:t>
      </w:r>
      <w:r w:rsidRPr="00FE2F29">
        <w:t>, for the stated axle group configuration and minimum axle group ground contact width specified.</w:t>
      </w:r>
    </w:p>
    <w:p w:rsidR="00063E43" w:rsidRPr="00063E43" w:rsidRDefault="00063E43" w:rsidP="002B516A">
      <w:pPr>
        <w:pStyle w:val="Tableheading-QldSI"/>
        <w:contextualSpacing/>
        <w:rPr>
          <w:rFonts w:asciiTheme="minorHAnsi" w:hAnsiTheme="minorHAnsi"/>
          <w:sz w:val="22"/>
          <w:szCs w:val="22"/>
        </w:rPr>
      </w:pPr>
      <w:r w:rsidRPr="00063E43">
        <w:rPr>
          <w:rFonts w:asciiTheme="minorHAnsi" w:hAnsiTheme="minorHAnsi"/>
          <w:sz w:val="22"/>
          <w:szCs w:val="22"/>
        </w:rPr>
        <w:t xml:space="preserve">Table </w:t>
      </w:r>
      <w:r>
        <w:rPr>
          <w:rFonts w:asciiTheme="minorHAnsi" w:hAnsiTheme="minorHAnsi"/>
          <w:sz w:val="22"/>
          <w:szCs w:val="22"/>
        </w:rPr>
        <w:t>4</w:t>
      </w:r>
      <w:r w:rsidRPr="00063E43">
        <w:rPr>
          <w:rFonts w:asciiTheme="minorHAnsi" w:hAnsiTheme="minorHAnsi"/>
          <w:sz w:val="22"/>
          <w:szCs w:val="22"/>
        </w:rPr>
        <w:t xml:space="preserve"> - Mass limits for low loader axle groups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2 - Mass limits for low loader axle groups"/>
        <w:tblDescription w:val="Table of alternative masses with dependancies on number of axles, spacings, tyres and ground contact width measurements"/>
      </w:tblPr>
      <w:tblGrid>
        <w:gridCol w:w="1958"/>
        <w:gridCol w:w="1579"/>
        <w:gridCol w:w="1579"/>
        <w:gridCol w:w="1579"/>
        <w:gridCol w:w="1129"/>
        <w:gridCol w:w="2030"/>
      </w:tblGrid>
      <w:tr w:rsidR="00063E43" w:rsidRPr="00F041EA" w:rsidTr="00366A0E">
        <w:trPr>
          <w:trHeight w:val="57"/>
          <w:tblHeader/>
        </w:trPr>
        <w:tc>
          <w:tcPr>
            <w:tcW w:w="994" w:type="pct"/>
            <w:vMerge w:val="restart"/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Minimum axle group ground contact width (m)</w:t>
            </w:r>
          </w:p>
        </w:tc>
        <w:tc>
          <w:tcPr>
            <w:tcW w:w="4006" w:type="pct"/>
            <w:gridSpan w:val="5"/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Number and spacing of axles in axle group (spacing in metres)</w:t>
            </w:r>
          </w:p>
        </w:tc>
      </w:tr>
      <w:tr w:rsidR="00063E43" w:rsidRPr="00F041EA" w:rsidTr="00366A0E">
        <w:trPr>
          <w:trHeight w:val="57"/>
          <w:tblHeader/>
        </w:trPr>
        <w:tc>
          <w:tcPr>
            <w:tcW w:w="994" w:type="pct"/>
            <w:vMerge/>
            <w:tcBorders>
              <w:bottom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2 @ 1.2</w:t>
            </w:r>
          </w:p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2 @ 1.8</w:t>
            </w: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3 @ 1.2</w:t>
            </w: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3 @ 1.8,</w:t>
            </w:r>
          </w:p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3 @ 1.2, 2.4,</w:t>
            </w:r>
          </w:p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3 @ 2.4, 1.2</w:t>
            </w:r>
          </w:p>
        </w:tc>
        <w:tc>
          <w:tcPr>
            <w:tcW w:w="573" w:type="pct"/>
            <w:tcBorders>
              <w:bottom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4 @ 1.2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4 @ 1.2, 2.4, 1.2, or</w:t>
            </w:r>
          </w:p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5 @ 1.2</w:t>
            </w:r>
          </w:p>
        </w:tc>
      </w:tr>
      <w:tr w:rsidR="00063E43" w:rsidRPr="00F041EA" w:rsidTr="00366A0E">
        <w:trPr>
          <w:trHeight w:val="57"/>
        </w:trPr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4 tyred axle mass limit (t)</w:t>
            </w:r>
          </w:p>
        </w:tc>
      </w:tr>
      <w:tr w:rsidR="00063E43" w:rsidRPr="00F041EA" w:rsidTr="002B516A">
        <w:trPr>
          <w:trHeight w:val="311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jc w:val="center"/>
              <w:rPr>
                <w:sz w:val="20"/>
                <w:szCs w:val="20"/>
              </w:rPr>
            </w:pPr>
            <w:r w:rsidRPr="002B516A">
              <w:rPr>
                <w:sz w:val="20"/>
                <w:szCs w:val="20"/>
              </w:rPr>
              <w:t>2.4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jc w:val="center"/>
              <w:rPr>
                <w:sz w:val="20"/>
                <w:szCs w:val="20"/>
              </w:rPr>
            </w:pPr>
            <w:r w:rsidRPr="002B516A">
              <w:rPr>
                <w:sz w:val="20"/>
                <w:szCs w:val="20"/>
              </w:rPr>
              <w:t>18.5</w:t>
            </w:r>
          </w:p>
        </w:tc>
        <w:tc>
          <w:tcPr>
            <w:tcW w:w="801" w:type="pct"/>
            <w:noWrap/>
          </w:tcPr>
          <w:p w:rsidR="00063E43" w:rsidRPr="002B516A" w:rsidRDefault="00063E43" w:rsidP="00366A0E">
            <w:pPr>
              <w:jc w:val="center"/>
              <w:rPr>
                <w:sz w:val="20"/>
                <w:szCs w:val="20"/>
              </w:rPr>
            </w:pPr>
            <w:r w:rsidRPr="002B516A">
              <w:rPr>
                <w:sz w:val="20"/>
                <w:szCs w:val="20"/>
              </w:rPr>
              <w:t>25</w:t>
            </w:r>
          </w:p>
        </w:tc>
        <w:tc>
          <w:tcPr>
            <w:tcW w:w="801" w:type="pct"/>
            <w:noWrap/>
          </w:tcPr>
          <w:p w:rsidR="00063E43" w:rsidRPr="002B516A" w:rsidRDefault="00063E43" w:rsidP="00366A0E">
            <w:pPr>
              <w:jc w:val="center"/>
              <w:rPr>
                <w:sz w:val="20"/>
                <w:szCs w:val="20"/>
              </w:rPr>
            </w:pPr>
            <w:r w:rsidRPr="002B516A">
              <w:rPr>
                <w:sz w:val="20"/>
                <w:szCs w:val="20"/>
              </w:rPr>
              <w:t>27</w:t>
            </w:r>
          </w:p>
        </w:tc>
        <w:tc>
          <w:tcPr>
            <w:tcW w:w="573" w:type="pct"/>
            <w:noWrap/>
          </w:tcPr>
          <w:p w:rsidR="00063E43" w:rsidRPr="002B516A" w:rsidRDefault="00063E43" w:rsidP="00366A0E">
            <w:pPr>
              <w:jc w:val="center"/>
              <w:rPr>
                <w:sz w:val="20"/>
                <w:szCs w:val="20"/>
              </w:rPr>
            </w:pPr>
            <w:r w:rsidRPr="002B516A">
              <w:rPr>
                <w:sz w:val="20"/>
                <w:szCs w:val="20"/>
              </w:rPr>
              <w:t>30</w:t>
            </w:r>
          </w:p>
        </w:tc>
        <w:tc>
          <w:tcPr>
            <w:tcW w:w="1031" w:type="pct"/>
            <w:noWrap/>
          </w:tcPr>
          <w:p w:rsidR="00063E43" w:rsidRPr="002B516A" w:rsidRDefault="00063E43" w:rsidP="00366A0E">
            <w:pPr>
              <w:jc w:val="center"/>
              <w:rPr>
                <w:sz w:val="20"/>
                <w:szCs w:val="20"/>
              </w:rPr>
            </w:pPr>
            <w:r w:rsidRPr="002B516A">
              <w:rPr>
                <w:sz w:val="20"/>
                <w:szCs w:val="20"/>
              </w:rPr>
              <w:t>35</w:t>
            </w:r>
          </w:p>
        </w:tc>
      </w:tr>
      <w:tr w:rsidR="00063E43" w:rsidRPr="00F041EA" w:rsidTr="00366A0E">
        <w:trPr>
          <w:trHeight w:val="57"/>
        </w:trPr>
        <w:tc>
          <w:tcPr>
            <w:tcW w:w="5000" w:type="pct"/>
            <w:gridSpan w:val="6"/>
          </w:tcPr>
          <w:p w:rsidR="00063E43" w:rsidRPr="002B516A" w:rsidRDefault="00063E43" w:rsidP="00366A0E">
            <w:pPr>
              <w:pStyle w:val="Tablefirstrowheading-QldSI"/>
              <w:rPr>
                <w:szCs w:val="20"/>
                <w:lang w:val="en-AU"/>
              </w:rPr>
            </w:pPr>
            <w:r w:rsidRPr="002B516A">
              <w:rPr>
                <w:szCs w:val="20"/>
                <w:lang w:val="en-AU"/>
              </w:rPr>
              <w:t>8 tyred axle mass limit (t)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2.4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21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25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27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30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35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2.6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21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26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29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31.5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36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2.7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21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27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31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33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37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2.8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22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28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33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34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39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2.9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22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29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34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35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40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3.0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24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30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36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36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41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3.1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24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31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37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37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42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3.2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26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32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39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39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43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3.3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26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33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40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40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44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3.4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27 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34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41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41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46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3.5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27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35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42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42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47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3.6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28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36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43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43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48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3.7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28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37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44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44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49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3.8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30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38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45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45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50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3.9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30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39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46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46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51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4.0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31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40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47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47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52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4.1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31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40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48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48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53</w:t>
            </w:r>
          </w:p>
        </w:tc>
      </w:tr>
      <w:tr w:rsidR="00063E43" w:rsidRPr="00F041EA" w:rsidTr="00366A0E">
        <w:trPr>
          <w:trHeight w:val="57"/>
        </w:trPr>
        <w:tc>
          <w:tcPr>
            <w:tcW w:w="994" w:type="pct"/>
            <w:noWrap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4.2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 xml:space="preserve">31 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40</w:t>
            </w:r>
          </w:p>
        </w:tc>
        <w:tc>
          <w:tcPr>
            <w:tcW w:w="80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48</w:t>
            </w:r>
          </w:p>
        </w:tc>
        <w:tc>
          <w:tcPr>
            <w:tcW w:w="573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49</w:t>
            </w:r>
          </w:p>
        </w:tc>
        <w:tc>
          <w:tcPr>
            <w:tcW w:w="1031" w:type="pct"/>
          </w:tcPr>
          <w:p w:rsidR="00063E43" w:rsidRPr="002B516A" w:rsidRDefault="00063E43" w:rsidP="00366A0E">
            <w:pPr>
              <w:pStyle w:val="Tabletext-QldSI"/>
              <w:jc w:val="center"/>
              <w:rPr>
                <w:lang w:val="en-AU"/>
              </w:rPr>
            </w:pPr>
            <w:r w:rsidRPr="002B516A">
              <w:rPr>
                <w:lang w:val="en-AU"/>
              </w:rPr>
              <w:t>54</w:t>
            </w:r>
          </w:p>
        </w:tc>
      </w:tr>
    </w:tbl>
    <w:p w:rsidR="001F2EDB" w:rsidRDefault="001F2EDB" w:rsidP="001F2EDB">
      <w:pPr>
        <w:pStyle w:val="Sectionheading"/>
        <w:numPr>
          <w:ilvl w:val="0"/>
          <w:numId w:val="0"/>
        </w:numPr>
        <w:ind w:left="360"/>
        <w:jc w:val="both"/>
      </w:pPr>
    </w:p>
    <w:p w:rsidR="00655F79" w:rsidRPr="00655F79" w:rsidRDefault="00655F79" w:rsidP="00655F79">
      <w:pPr>
        <w:pStyle w:val="Sectionheading"/>
        <w:jc w:val="both"/>
      </w:pPr>
      <w:r>
        <w:t>Conditions – Axle Spacing</w:t>
      </w:r>
    </w:p>
    <w:p w:rsidR="00655F79" w:rsidRDefault="00655F79" w:rsidP="003523E4">
      <w:pPr>
        <w:pStyle w:val="OutlineNumberedLevel1"/>
        <w:numPr>
          <w:ilvl w:val="0"/>
          <w:numId w:val="31"/>
        </w:numPr>
        <w:contextualSpacing/>
      </w:pPr>
      <w:r w:rsidRPr="00655F79">
        <w:t>For a prime mover and low loader combination, the distance from the centre-line of the rear most axle of the prime mover to the centre-line of the foremost axle of the low loader must not be less than 6.0m.</w:t>
      </w:r>
    </w:p>
    <w:p w:rsidR="00655F79" w:rsidRPr="00655F79" w:rsidRDefault="00655F79" w:rsidP="00655F79">
      <w:pPr>
        <w:pStyle w:val="OutlineNumberedLevel1"/>
        <w:numPr>
          <w:ilvl w:val="0"/>
          <w:numId w:val="0"/>
        </w:numPr>
        <w:contextualSpacing/>
      </w:pPr>
    </w:p>
    <w:p w:rsidR="00655F79" w:rsidRDefault="00655F79" w:rsidP="003523E4">
      <w:pPr>
        <w:pStyle w:val="OutlineNumberedLevel1"/>
        <w:numPr>
          <w:ilvl w:val="0"/>
          <w:numId w:val="31"/>
        </w:numPr>
        <w:contextualSpacing/>
      </w:pPr>
      <w:r w:rsidRPr="00655F79">
        <w:t>For a prime mover, low loader dolly and low loader combination, the distance from the centre-line of the rear most axle of the prime mover to the foremost axle of the low loader dolly fitted with 4 tyres on each axle must not be less than 2.6m.</w:t>
      </w:r>
    </w:p>
    <w:p w:rsidR="00655F79" w:rsidRPr="00655F79" w:rsidRDefault="00655F79" w:rsidP="00655F79">
      <w:pPr>
        <w:pStyle w:val="OutlineNumberedLevel1"/>
        <w:numPr>
          <w:ilvl w:val="0"/>
          <w:numId w:val="0"/>
        </w:numPr>
        <w:contextualSpacing/>
      </w:pPr>
    </w:p>
    <w:p w:rsidR="00F041EA" w:rsidRPr="00655F79" w:rsidRDefault="00655F79" w:rsidP="002B516A">
      <w:pPr>
        <w:pStyle w:val="OutlineNumberedLevel1"/>
        <w:numPr>
          <w:ilvl w:val="0"/>
          <w:numId w:val="31"/>
        </w:numPr>
        <w:contextualSpacing/>
      </w:pPr>
      <w:r w:rsidRPr="00655F79">
        <w:t xml:space="preserve">For a prime mover, low loader dolly and low loader combination, the distance from the centre-line of the rear most axle of the prime mover to the foremost axle of the low loader dolly fitted with 8 tyres on each axle must not be less than 3.2m. </w:t>
      </w:r>
    </w:p>
    <w:p w:rsidR="00FA21B6" w:rsidRDefault="00655F79" w:rsidP="005E3F38">
      <w:pPr>
        <w:pStyle w:val="OutlineNumberedLevel1"/>
        <w:numPr>
          <w:ilvl w:val="0"/>
          <w:numId w:val="31"/>
        </w:numPr>
        <w:contextualSpacing/>
      </w:pPr>
      <w:r w:rsidRPr="00655F79">
        <w:t>For a prime mover, low loader dolly and low loader combination, the distance from the centre-line of the rear most axle of the low loader dolly to the centre-line of the foremost axle of the low loader must not be less than 6.0m.</w:t>
      </w:r>
    </w:p>
    <w:p w:rsidR="00883DAB" w:rsidRPr="00994AD6" w:rsidRDefault="00555B06" w:rsidP="00F03112">
      <w:pPr>
        <w:pStyle w:val="Sectionheading"/>
        <w:jc w:val="both"/>
      </w:pPr>
      <w:r>
        <w:lastRenderedPageBreak/>
        <w:t xml:space="preserve">Conditions </w:t>
      </w:r>
      <w:r w:rsidR="000762F0">
        <w:t>–</w:t>
      </w:r>
      <w:r>
        <w:t xml:space="preserve"> </w:t>
      </w:r>
      <w:r w:rsidR="00AA5ECD">
        <w:t>Stated maps and lists</w:t>
      </w:r>
      <w:r w:rsidR="000762F0">
        <w:t xml:space="preserve"> </w:t>
      </w:r>
    </w:p>
    <w:p w:rsidR="00C100B5" w:rsidRPr="00C100B5" w:rsidRDefault="00883DAB" w:rsidP="003523E4">
      <w:pPr>
        <w:pStyle w:val="OutlineNumberedLevel1"/>
        <w:numPr>
          <w:ilvl w:val="0"/>
          <w:numId w:val="32"/>
        </w:numPr>
        <w:contextualSpacing/>
      </w:pPr>
      <w:r w:rsidRPr="00C100B5">
        <w:t>A</w:t>
      </w:r>
      <w:r w:rsidR="00517333" w:rsidRPr="00C100B5">
        <w:t xml:space="preserve">n </w:t>
      </w:r>
      <w:r w:rsidR="00C100B5" w:rsidRPr="00C100B5">
        <w:t>eligible combination</w:t>
      </w:r>
      <w:r w:rsidR="00412D5E" w:rsidRPr="00C100B5">
        <w:t xml:space="preserve"> </w:t>
      </w:r>
      <w:r w:rsidR="00C100B5" w:rsidRPr="00C100B5">
        <w:t>operating under this N</w:t>
      </w:r>
      <w:r w:rsidR="00E34B68" w:rsidRPr="00C100B5">
        <w:t>otice may only access the following network</w:t>
      </w:r>
      <w:r w:rsidR="007B520F">
        <w:t xml:space="preserve"> when traveling to or from a port for the purpose of  import/export</w:t>
      </w:r>
      <w:r w:rsidR="00E34B68" w:rsidRPr="00C100B5">
        <w:t>:</w:t>
      </w:r>
    </w:p>
    <w:p w:rsidR="00C100B5" w:rsidRPr="0050733A" w:rsidRDefault="00C100B5" w:rsidP="00C100B5">
      <w:pPr>
        <w:jc w:val="center"/>
        <w:rPr>
          <w:i/>
        </w:rPr>
      </w:pPr>
      <w:r w:rsidRPr="0050733A">
        <w:rPr>
          <w:i/>
        </w:rPr>
        <w:t>‘NSW Oversize Overmass Load Carrying Vehicles Network’</w:t>
      </w:r>
    </w:p>
    <w:p w:rsidR="00247CF0" w:rsidRDefault="00247CF0" w:rsidP="003523E4">
      <w:pPr>
        <w:pStyle w:val="OutlineNumberedLevel1"/>
        <w:numPr>
          <w:ilvl w:val="0"/>
          <w:numId w:val="32"/>
        </w:numPr>
        <w:contextualSpacing/>
      </w:pPr>
      <w:r>
        <w:t>Access to the network in 1) is limited to State controlled roads and roads managed by Road Managers listed in the “Participating Road Manager” section of the Guide.</w:t>
      </w:r>
    </w:p>
    <w:p w:rsidR="00602AFA" w:rsidRDefault="00602AFA" w:rsidP="00602AFA">
      <w:pPr>
        <w:pStyle w:val="OutlineNumberedLevel1"/>
        <w:numPr>
          <w:ilvl w:val="0"/>
          <w:numId w:val="0"/>
        </w:numPr>
        <w:ind w:left="720"/>
        <w:contextualSpacing/>
      </w:pPr>
    </w:p>
    <w:p w:rsidR="00F041EA" w:rsidRDefault="00602AFA" w:rsidP="008B1FFF">
      <w:pPr>
        <w:pStyle w:val="OutlineNumberedLevel1"/>
        <w:numPr>
          <w:ilvl w:val="0"/>
          <w:numId w:val="32"/>
        </w:numPr>
        <w:contextualSpacing/>
      </w:pPr>
      <w:r>
        <w:t xml:space="preserve">An eligible </w:t>
      </w:r>
      <w:r w:rsidR="001D2117">
        <w:t>combination</w:t>
      </w:r>
      <w:r>
        <w:t xml:space="preserve"> operating under this Notice that is more than 4.3m high may only </w:t>
      </w:r>
      <w:r w:rsidR="007B520F">
        <w:t>operate on</w:t>
      </w:r>
      <w:r w:rsidR="007A5E99">
        <w:t xml:space="preserve"> a route that is also approved for 4.6m high vehicles as displayed on the ‘NSW Oversize Overmass Load Carrying Vehicles Network’ map.</w:t>
      </w:r>
    </w:p>
    <w:p w:rsidR="00F041EA" w:rsidRDefault="00F041EA" w:rsidP="00A41126">
      <w:pPr>
        <w:pStyle w:val="OutlineNumberedLevel1"/>
        <w:numPr>
          <w:ilvl w:val="0"/>
          <w:numId w:val="0"/>
        </w:numPr>
        <w:ind w:left="720"/>
        <w:contextualSpacing/>
      </w:pPr>
    </w:p>
    <w:p w:rsidR="00A41126" w:rsidRDefault="00247CF0" w:rsidP="00602AFA">
      <w:pPr>
        <w:pStyle w:val="OutlineNumberedLevel1"/>
        <w:numPr>
          <w:ilvl w:val="0"/>
          <w:numId w:val="0"/>
        </w:numPr>
        <w:ind w:left="1440" w:hanging="1080"/>
        <w:contextualSpacing/>
        <w:rPr>
          <w:i/>
        </w:rPr>
      </w:pPr>
      <w:r w:rsidRPr="00602AFA">
        <w:rPr>
          <w:i/>
        </w:rPr>
        <w:t xml:space="preserve">Note: </w:t>
      </w:r>
      <w:r w:rsidR="00B576D2" w:rsidRPr="00602AFA">
        <w:rPr>
          <w:i/>
        </w:rPr>
        <w:tab/>
      </w:r>
      <w:r w:rsidR="00A41126" w:rsidRPr="00602AFA">
        <w:rPr>
          <w:i/>
        </w:rPr>
        <w:t xml:space="preserve">The list of </w:t>
      </w:r>
      <w:r w:rsidR="00A41126">
        <w:rPr>
          <w:i/>
        </w:rPr>
        <w:t>P</w:t>
      </w:r>
      <w:r w:rsidR="00A41126" w:rsidRPr="00602AFA">
        <w:rPr>
          <w:i/>
        </w:rPr>
        <w:t xml:space="preserve">articipating Road Managers </w:t>
      </w:r>
      <w:r w:rsidR="00A41126">
        <w:rPr>
          <w:i/>
        </w:rPr>
        <w:t xml:space="preserve">is provided in the NSW Class 3 Platform Exemption Notice Operators Guide- Appendix 1 which </w:t>
      </w:r>
      <w:r w:rsidR="00A41126" w:rsidRPr="00602AFA">
        <w:rPr>
          <w:i/>
        </w:rPr>
        <w:t>may be updated from time to time.</w:t>
      </w:r>
    </w:p>
    <w:p w:rsidR="00A41126" w:rsidRDefault="00A41126" w:rsidP="00602AFA">
      <w:pPr>
        <w:pStyle w:val="OutlineNumberedLevel1"/>
        <w:numPr>
          <w:ilvl w:val="0"/>
          <w:numId w:val="0"/>
        </w:numPr>
        <w:ind w:left="1440" w:hanging="1080"/>
        <w:contextualSpacing/>
        <w:rPr>
          <w:i/>
        </w:rPr>
      </w:pPr>
    </w:p>
    <w:p w:rsidR="00976D24" w:rsidRDefault="00A41126" w:rsidP="008B1FFF">
      <w:pPr>
        <w:pStyle w:val="OutlineNumberedLevel1"/>
        <w:numPr>
          <w:ilvl w:val="0"/>
          <w:numId w:val="0"/>
        </w:numPr>
        <w:ind w:left="1440"/>
        <w:contextualSpacing/>
        <w:rPr>
          <w:i/>
        </w:rPr>
      </w:pPr>
      <w:r>
        <w:rPr>
          <w:i/>
        </w:rPr>
        <w:t xml:space="preserve">To be clear, this section means that </w:t>
      </w:r>
      <w:r w:rsidR="00602AFA" w:rsidRPr="00602AFA">
        <w:rPr>
          <w:i/>
        </w:rPr>
        <w:t xml:space="preserve">only roads managed by </w:t>
      </w:r>
      <w:r>
        <w:rPr>
          <w:i/>
        </w:rPr>
        <w:t xml:space="preserve">a Participating </w:t>
      </w:r>
      <w:r w:rsidR="00602AFA" w:rsidRPr="00602AFA">
        <w:rPr>
          <w:i/>
        </w:rPr>
        <w:t xml:space="preserve">Road Manager </w:t>
      </w:r>
      <w:r>
        <w:rPr>
          <w:i/>
        </w:rPr>
        <w:t>AND</w:t>
      </w:r>
      <w:r w:rsidRPr="00602AFA">
        <w:rPr>
          <w:i/>
        </w:rPr>
        <w:t xml:space="preserve"> </w:t>
      </w:r>
      <w:r w:rsidR="00602AFA" w:rsidRPr="00602AFA">
        <w:rPr>
          <w:i/>
        </w:rPr>
        <w:t>are on the ‘NSW Oversize Overmass Load Carrying Vehicle Network’ may be accessed under this section.</w:t>
      </w:r>
    </w:p>
    <w:p w:rsidR="00976D24" w:rsidRDefault="00976D24" w:rsidP="008B1FFF">
      <w:pPr>
        <w:pStyle w:val="OutlineNumberedLevel1"/>
        <w:numPr>
          <w:ilvl w:val="0"/>
          <w:numId w:val="0"/>
        </w:numPr>
        <w:ind w:left="1440"/>
        <w:contextualSpacing/>
        <w:rPr>
          <w:i/>
        </w:rPr>
      </w:pPr>
    </w:p>
    <w:p w:rsidR="00976D24" w:rsidRPr="005E3F38" w:rsidRDefault="00976D24" w:rsidP="005E3F38">
      <w:pPr>
        <w:pStyle w:val="OutlineNumberedLevel1"/>
        <w:numPr>
          <w:ilvl w:val="0"/>
          <w:numId w:val="0"/>
        </w:numPr>
        <w:ind w:left="1440"/>
        <w:contextualSpacing/>
        <w:rPr>
          <w:i/>
        </w:rPr>
      </w:pPr>
      <w:r>
        <w:rPr>
          <w:i/>
        </w:rPr>
        <w:t xml:space="preserve">The </w:t>
      </w:r>
      <w:r w:rsidRPr="00602AFA">
        <w:rPr>
          <w:i/>
        </w:rPr>
        <w:t>‘NSW Oversize Overmass Load Carrying Vehicle Network’</w:t>
      </w:r>
      <w:r w:rsidR="00A41126">
        <w:rPr>
          <w:i/>
        </w:rPr>
        <w:t xml:space="preserve"> contains both State controlled and local Road Manager controlled roads (</w:t>
      </w:r>
      <w:proofErr w:type="spellStart"/>
      <w:r w:rsidR="00A41126">
        <w:rPr>
          <w:i/>
        </w:rPr>
        <w:t>eg</w:t>
      </w:r>
      <w:proofErr w:type="spellEnd"/>
      <w:r w:rsidR="00A41126">
        <w:rPr>
          <w:i/>
        </w:rPr>
        <w:t>: Local Government roads).</w:t>
      </w:r>
    </w:p>
    <w:p w:rsidR="00460583" w:rsidRDefault="00555B06" w:rsidP="00F03112">
      <w:pPr>
        <w:pStyle w:val="Sectionheading"/>
        <w:jc w:val="both"/>
      </w:pPr>
      <w:r>
        <w:t xml:space="preserve">Conditions </w:t>
      </w:r>
      <w:r w:rsidR="0050733A">
        <w:t>–</w:t>
      </w:r>
      <w:r>
        <w:t xml:space="preserve"> </w:t>
      </w:r>
      <w:r w:rsidR="00DD23F6">
        <w:t xml:space="preserve">General dimension conditions for </w:t>
      </w:r>
      <w:r w:rsidR="003523E4">
        <w:t>load carrying vehicles</w:t>
      </w:r>
    </w:p>
    <w:p w:rsidR="001866E4" w:rsidRDefault="00DD23F6" w:rsidP="003523E4">
      <w:pPr>
        <w:pStyle w:val="OutlineNumberedLevel1"/>
        <w:numPr>
          <w:ilvl w:val="0"/>
          <w:numId w:val="33"/>
        </w:numPr>
        <w:contextualSpacing/>
      </w:pPr>
      <w:r>
        <w:t xml:space="preserve">An eligible </w:t>
      </w:r>
      <w:r w:rsidR="00976D24">
        <w:t>combination</w:t>
      </w:r>
      <w:r>
        <w:t xml:space="preserve"> operating under this notice must comply</w:t>
      </w:r>
      <w:r w:rsidR="001866E4">
        <w:t xml:space="preserve"> with the General C</w:t>
      </w:r>
      <w:r>
        <w:t xml:space="preserve">onditions set out in </w:t>
      </w:r>
      <w:r w:rsidR="003523E4">
        <w:t xml:space="preserve">the New South Wales Schedule </w:t>
      </w:r>
      <w:r>
        <w:t xml:space="preserve">of the </w:t>
      </w:r>
      <w:r w:rsidR="001866E4" w:rsidRPr="001866E4">
        <w:rPr>
          <w:i/>
        </w:rPr>
        <w:t>Multi-State Class 1 Load Carrying Vehicles Dimension Exemption Notice</w:t>
      </w:r>
      <w:r w:rsidR="001866E4">
        <w:t>.</w:t>
      </w:r>
    </w:p>
    <w:p w:rsidR="00976D24" w:rsidRDefault="00976D24" w:rsidP="008B1FFF">
      <w:pPr>
        <w:pStyle w:val="OutlineNumberedLevel1"/>
        <w:numPr>
          <w:ilvl w:val="0"/>
          <w:numId w:val="0"/>
        </w:numPr>
        <w:ind w:left="720" w:hanging="360"/>
        <w:contextualSpacing/>
      </w:pPr>
    </w:p>
    <w:p w:rsidR="00976D24" w:rsidRDefault="00976D24">
      <w:pPr>
        <w:pStyle w:val="OutlineNumberedLevel1"/>
        <w:numPr>
          <w:ilvl w:val="0"/>
          <w:numId w:val="33"/>
        </w:numPr>
        <w:contextualSpacing/>
      </w:pPr>
      <w:r>
        <w:t>In addition to the requirements in 1), an eligible combination operating under this notice must comply with the following</w:t>
      </w:r>
      <w:r w:rsidR="005E3F38">
        <w:t xml:space="preserve"> conditions</w:t>
      </w:r>
      <w:r>
        <w:t>:</w:t>
      </w:r>
    </w:p>
    <w:p w:rsidR="008564B2" w:rsidRPr="008B1FFF" w:rsidRDefault="009973BD" w:rsidP="008B1FFF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8B1FFF">
        <w:rPr>
          <w:rFonts w:ascii="Calibri" w:eastAsia="Calibri" w:hAnsi="Calibri" w:cs="Calibri"/>
        </w:rPr>
        <w:t xml:space="preserve">All goods </w:t>
      </w:r>
      <w:r w:rsidR="009B0AB7">
        <w:rPr>
          <w:rFonts w:ascii="Calibri" w:eastAsia="Calibri" w:hAnsi="Calibri" w:cs="Calibri"/>
        </w:rPr>
        <w:t xml:space="preserve">carried by the eligible combination </w:t>
      </w:r>
      <w:r w:rsidRPr="008B1FFF">
        <w:rPr>
          <w:rFonts w:ascii="Calibri" w:eastAsia="Calibri" w:hAnsi="Calibri" w:cs="Calibri"/>
        </w:rPr>
        <w:t xml:space="preserve">must be loaded </w:t>
      </w:r>
      <w:r w:rsidR="008564B2" w:rsidRPr="008B1FFF">
        <w:rPr>
          <w:rFonts w:ascii="Calibri" w:eastAsia="Calibri" w:hAnsi="Calibri" w:cs="Calibri"/>
        </w:rPr>
        <w:t xml:space="preserve">on </w:t>
      </w:r>
      <w:r w:rsidR="00A30161">
        <w:rPr>
          <w:rFonts w:ascii="Calibri" w:eastAsia="Calibri" w:hAnsi="Calibri" w:cs="Calibri"/>
        </w:rPr>
        <w:t xml:space="preserve">the single platform container allowed in </w:t>
      </w:r>
      <w:proofErr w:type="gramStart"/>
      <w:r w:rsidR="00A30161">
        <w:rPr>
          <w:rFonts w:ascii="Calibri" w:eastAsia="Calibri" w:hAnsi="Calibri" w:cs="Calibri"/>
        </w:rPr>
        <w:t>s7(</w:t>
      </w:r>
      <w:proofErr w:type="gramEnd"/>
      <w:r w:rsidR="00A30161">
        <w:rPr>
          <w:rFonts w:ascii="Calibri" w:eastAsia="Calibri" w:hAnsi="Calibri" w:cs="Calibri"/>
        </w:rPr>
        <w:t>1)(b)</w:t>
      </w:r>
      <w:r w:rsidR="005E3F38">
        <w:rPr>
          <w:rFonts w:ascii="Calibri" w:eastAsia="Calibri" w:hAnsi="Calibri" w:cs="Calibri"/>
        </w:rPr>
        <w:t>.</w:t>
      </w:r>
    </w:p>
    <w:p w:rsidR="00EE55AD" w:rsidRPr="008B1FFF" w:rsidRDefault="00EE55AD" w:rsidP="008B1FFF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8B1FFF">
        <w:rPr>
          <w:rFonts w:ascii="Calibri" w:eastAsia="Calibri" w:hAnsi="Calibri" w:cs="Calibri"/>
        </w:rPr>
        <w:t xml:space="preserve">A platform container may be loaded with </w:t>
      </w:r>
      <w:r w:rsidR="004049F5">
        <w:rPr>
          <w:rFonts w:ascii="Calibri" w:eastAsia="Calibri" w:hAnsi="Calibri" w:cs="Calibri"/>
        </w:rPr>
        <w:t>more than one</w:t>
      </w:r>
      <w:r w:rsidRPr="008B1FFF">
        <w:rPr>
          <w:rFonts w:ascii="Calibri" w:eastAsia="Calibri" w:hAnsi="Calibri" w:cs="Calibri"/>
        </w:rPr>
        <w:t xml:space="preserve"> large indivisible item provided the additional </w:t>
      </w:r>
      <w:r w:rsidR="004049F5">
        <w:rPr>
          <w:rFonts w:ascii="Calibri" w:eastAsia="Calibri" w:hAnsi="Calibri" w:cs="Calibri"/>
        </w:rPr>
        <w:t xml:space="preserve">large </w:t>
      </w:r>
      <w:r w:rsidRPr="008B1FFF">
        <w:rPr>
          <w:rFonts w:ascii="Calibri" w:eastAsia="Calibri" w:hAnsi="Calibri" w:cs="Calibri"/>
        </w:rPr>
        <w:t xml:space="preserve">indivisible items do not exceed </w:t>
      </w:r>
      <w:r w:rsidR="00F54D87">
        <w:rPr>
          <w:rFonts w:ascii="Calibri" w:eastAsia="Calibri" w:hAnsi="Calibri" w:cs="Calibri"/>
        </w:rPr>
        <w:t>height or width dimensions</w:t>
      </w:r>
      <w:r w:rsidRPr="008B1FFF">
        <w:rPr>
          <w:rFonts w:ascii="Calibri" w:eastAsia="Calibri" w:hAnsi="Calibri" w:cs="Calibri"/>
        </w:rPr>
        <w:t xml:space="preserve"> that would not be exceeded if the </w:t>
      </w:r>
      <w:r w:rsidR="009973BD" w:rsidRPr="008B1FFF">
        <w:rPr>
          <w:rFonts w:ascii="Calibri" w:eastAsia="Calibri" w:hAnsi="Calibri" w:cs="Calibri"/>
        </w:rPr>
        <w:t xml:space="preserve">platform container </w:t>
      </w:r>
      <w:r w:rsidRPr="008B1FFF">
        <w:rPr>
          <w:rFonts w:ascii="Calibri" w:eastAsia="Calibri" w:hAnsi="Calibri" w:cs="Calibri"/>
        </w:rPr>
        <w:t xml:space="preserve">carried only </w:t>
      </w:r>
      <w:r w:rsidR="004049F5">
        <w:rPr>
          <w:rFonts w:ascii="Calibri" w:eastAsia="Calibri" w:hAnsi="Calibri" w:cs="Calibri"/>
        </w:rPr>
        <w:t>one</w:t>
      </w:r>
      <w:r w:rsidR="004049F5" w:rsidRPr="008B1FFF">
        <w:rPr>
          <w:rFonts w:ascii="Calibri" w:eastAsia="Calibri" w:hAnsi="Calibri" w:cs="Calibri"/>
        </w:rPr>
        <w:t xml:space="preserve"> </w:t>
      </w:r>
      <w:r w:rsidRPr="008B1FFF">
        <w:rPr>
          <w:rFonts w:ascii="Calibri" w:eastAsia="Calibri" w:hAnsi="Calibri" w:cs="Calibri"/>
        </w:rPr>
        <w:t>large indivisible item</w:t>
      </w:r>
      <w:r w:rsidR="005E3F38">
        <w:rPr>
          <w:rFonts w:ascii="Calibri" w:eastAsia="Calibri" w:hAnsi="Calibri" w:cs="Calibri"/>
        </w:rPr>
        <w:t>.</w:t>
      </w:r>
    </w:p>
    <w:p w:rsidR="00690BA6" w:rsidRPr="001550AA" w:rsidRDefault="00EE55AD" w:rsidP="008B1FFF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8B1FFF">
        <w:rPr>
          <w:rFonts w:ascii="Calibri" w:eastAsia="Calibri" w:hAnsi="Calibri" w:cs="Calibri"/>
        </w:rPr>
        <w:t xml:space="preserve">A platform container loaded with </w:t>
      </w:r>
      <w:r w:rsidR="004049F5" w:rsidRPr="001550AA">
        <w:rPr>
          <w:rFonts w:ascii="Calibri" w:eastAsia="Calibri" w:hAnsi="Calibri" w:cs="Calibri"/>
        </w:rPr>
        <w:t>one</w:t>
      </w:r>
      <w:r w:rsidRPr="008B1FFF">
        <w:rPr>
          <w:rFonts w:ascii="Calibri" w:eastAsia="Calibri" w:hAnsi="Calibri" w:cs="Calibri"/>
        </w:rPr>
        <w:t xml:space="preserve"> or more large indivisible items in conjunction with </w:t>
      </w:r>
      <w:r w:rsidR="004049F5" w:rsidRPr="001550AA">
        <w:rPr>
          <w:rFonts w:ascii="Calibri" w:eastAsia="Calibri" w:hAnsi="Calibri" w:cs="Calibri"/>
        </w:rPr>
        <w:t xml:space="preserve">other </w:t>
      </w:r>
      <w:r w:rsidRPr="008B1FFF">
        <w:rPr>
          <w:rFonts w:ascii="Calibri" w:eastAsia="Calibri" w:hAnsi="Calibri" w:cs="Calibri"/>
        </w:rPr>
        <w:t>goods must not allow the goods</w:t>
      </w:r>
      <w:r w:rsidR="00376E46" w:rsidRPr="001550AA">
        <w:rPr>
          <w:rFonts w:ascii="Calibri" w:eastAsia="Calibri" w:hAnsi="Calibri" w:cs="Calibri"/>
        </w:rPr>
        <w:t xml:space="preserve"> not considered indivisible </w:t>
      </w:r>
      <w:r w:rsidRPr="008B1FFF">
        <w:rPr>
          <w:rFonts w:ascii="Calibri" w:eastAsia="Calibri" w:hAnsi="Calibri" w:cs="Calibri"/>
        </w:rPr>
        <w:t>to exceed</w:t>
      </w:r>
      <w:r w:rsidR="00690BA6" w:rsidRPr="001550AA">
        <w:rPr>
          <w:rFonts w:ascii="Calibri" w:eastAsia="Calibri" w:hAnsi="Calibri" w:cs="Calibri"/>
        </w:rPr>
        <w:t xml:space="preserve"> the </w:t>
      </w:r>
      <w:r w:rsidR="001550AA" w:rsidRPr="001550AA">
        <w:rPr>
          <w:rFonts w:ascii="Calibri" w:eastAsia="Calibri" w:hAnsi="Calibri" w:cs="Calibri"/>
        </w:rPr>
        <w:t>regulatory height and width dimensions</w:t>
      </w:r>
      <w:r w:rsidR="00690BA6" w:rsidRPr="001550AA">
        <w:rPr>
          <w:rFonts w:ascii="Calibri" w:eastAsia="Calibri" w:hAnsi="Calibri" w:cs="Calibri"/>
        </w:rPr>
        <w:t xml:space="preserve"> </w:t>
      </w:r>
      <w:r w:rsidR="001550AA">
        <w:rPr>
          <w:rFonts w:ascii="Calibri" w:eastAsia="Calibri" w:hAnsi="Calibri" w:cs="Calibri"/>
        </w:rPr>
        <w:t>when loaded on</w:t>
      </w:r>
      <w:r w:rsidR="005E3F38">
        <w:rPr>
          <w:rFonts w:ascii="Calibri" w:eastAsia="Calibri" w:hAnsi="Calibri" w:cs="Calibri"/>
        </w:rPr>
        <w:t xml:space="preserve"> the platform container.</w:t>
      </w:r>
    </w:p>
    <w:p w:rsidR="00881AFA" w:rsidRPr="008B1FFF" w:rsidRDefault="00881AFA" w:rsidP="008B1FFF">
      <w:pPr>
        <w:pStyle w:val="ListParagraph"/>
        <w:numPr>
          <w:ilvl w:val="0"/>
          <w:numId w:val="57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goods being carried </w:t>
      </w:r>
      <w:r w:rsidR="000C6CFC">
        <w:rPr>
          <w:rFonts w:ascii="Calibri" w:eastAsia="Calibri" w:hAnsi="Calibri" w:cs="Calibri"/>
        </w:rPr>
        <w:t>on a platform container that do not</w:t>
      </w:r>
      <w:r>
        <w:rPr>
          <w:rFonts w:ascii="Calibri" w:eastAsia="Calibri" w:hAnsi="Calibri" w:cs="Calibri"/>
        </w:rPr>
        <w:t xml:space="preserve"> trigger a dimension exemption</w:t>
      </w:r>
      <w:r w:rsidR="000C6CFC">
        <w:rPr>
          <w:rFonts w:ascii="Calibri" w:eastAsia="Calibri" w:hAnsi="Calibri" w:cs="Calibri"/>
        </w:rPr>
        <w:t>,</w:t>
      </w:r>
      <w:r w:rsidR="001550AA">
        <w:rPr>
          <w:rFonts w:ascii="Calibri" w:eastAsia="Calibri" w:hAnsi="Calibri" w:cs="Calibri"/>
        </w:rPr>
        <w:t xml:space="preserve"> they</w:t>
      </w:r>
      <w:r>
        <w:rPr>
          <w:rFonts w:ascii="Calibri" w:eastAsia="Calibri" w:hAnsi="Calibri" w:cs="Calibri"/>
        </w:rPr>
        <w:t xml:space="preserve"> must be contained within the platform container at </w:t>
      </w:r>
      <w:r w:rsidR="001550AA">
        <w:rPr>
          <w:rFonts w:ascii="Calibri" w:eastAsia="Calibri" w:hAnsi="Calibri" w:cs="Calibri"/>
        </w:rPr>
        <w:t>regulatory</w:t>
      </w:r>
      <w:r>
        <w:rPr>
          <w:rFonts w:ascii="Calibri" w:eastAsia="Calibri" w:hAnsi="Calibri" w:cs="Calibri"/>
        </w:rPr>
        <w:t xml:space="preserve"> height and width dimensions</w:t>
      </w:r>
      <w:r w:rsidR="001550AA">
        <w:rPr>
          <w:rFonts w:ascii="Calibri" w:eastAsia="Calibri" w:hAnsi="Calibri" w:cs="Calibri"/>
        </w:rPr>
        <w:t>.</w:t>
      </w:r>
    </w:p>
    <w:p w:rsidR="009B0AB7" w:rsidRDefault="009B0AB7" w:rsidP="008B1FFF">
      <w:p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</w:p>
    <w:p w:rsidR="009B0AB7" w:rsidRPr="008B1FFF" w:rsidRDefault="009B0AB7" w:rsidP="008B1FFF">
      <w:pPr>
        <w:pStyle w:val="OutlineNumberedLevel1"/>
        <w:numPr>
          <w:ilvl w:val="0"/>
          <w:numId w:val="0"/>
        </w:numPr>
        <w:ind w:left="1440" w:hanging="1080"/>
        <w:contextualSpacing/>
        <w:rPr>
          <w:i/>
        </w:rPr>
      </w:pPr>
      <w:r w:rsidRPr="008B1FFF">
        <w:rPr>
          <w:i/>
        </w:rPr>
        <w:t>Note:</w:t>
      </w:r>
      <w:r w:rsidRPr="008B1FFF">
        <w:rPr>
          <w:i/>
        </w:rPr>
        <w:tab/>
        <w:t xml:space="preserve">Under the HVNL, items that are normally considered to be large, indivisible or </w:t>
      </w:r>
      <w:r w:rsidR="0042111C">
        <w:rPr>
          <w:i/>
        </w:rPr>
        <w:t>are otherwise unusual</w:t>
      </w:r>
      <w:r w:rsidRPr="008B1FFF">
        <w:rPr>
          <w:i/>
        </w:rPr>
        <w:t xml:space="preserve"> may be considered “goods”</w:t>
      </w:r>
      <w:r w:rsidR="0042111C">
        <w:rPr>
          <w:i/>
        </w:rPr>
        <w:t>.</w:t>
      </w:r>
    </w:p>
    <w:p w:rsidR="00A30161" w:rsidRDefault="00A30161" w:rsidP="008B1FFF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2B516A" w:rsidRDefault="002B516A" w:rsidP="008B1FFF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2B516A" w:rsidRDefault="002B516A" w:rsidP="008B1FFF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2B516A" w:rsidRPr="008B1FFF" w:rsidRDefault="002B516A" w:rsidP="008B1FFF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1866E4" w:rsidRDefault="001866E4" w:rsidP="001866E4">
      <w:pPr>
        <w:pStyle w:val="Sectionheading"/>
        <w:jc w:val="both"/>
      </w:pPr>
      <w:r>
        <w:lastRenderedPageBreak/>
        <w:t>Conditions - Pilots and escorts</w:t>
      </w:r>
    </w:p>
    <w:p w:rsidR="005E3F38" w:rsidRDefault="001866E4" w:rsidP="005E3F38">
      <w:pPr>
        <w:pStyle w:val="OutlineNumberedLevel1"/>
        <w:numPr>
          <w:ilvl w:val="0"/>
          <w:numId w:val="39"/>
        </w:numPr>
        <w:contextualSpacing/>
      </w:pPr>
      <w:r>
        <w:t xml:space="preserve">An eligible </w:t>
      </w:r>
      <w:r w:rsidR="009973BD">
        <w:t>combination</w:t>
      </w:r>
      <w:r>
        <w:t xml:space="preserve"> operating under this notice must comply with the pilot and escort conditions </w:t>
      </w:r>
      <w:r w:rsidR="009973BD">
        <w:t xml:space="preserve">for a combination of the same dimensions </w:t>
      </w:r>
      <w:r>
        <w:t xml:space="preserve">set out in </w:t>
      </w:r>
      <w:r w:rsidR="003523E4">
        <w:t xml:space="preserve">the New South Wales Schedule </w:t>
      </w:r>
      <w:r>
        <w:t xml:space="preserve">of the </w:t>
      </w:r>
      <w:r w:rsidRPr="001866E4">
        <w:rPr>
          <w:i/>
        </w:rPr>
        <w:t>Multi-State</w:t>
      </w:r>
      <w:r w:rsidR="000C6CFC">
        <w:rPr>
          <w:i/>
        </w:rPr>
        <w:t xml:space="preserve"> Class 1 Load Carrying Vehicle </w:t>
      </w:r>
      <w:r w:rsidRPr="001866E4">
        <w:rPr>
          <w:i/>
        </w:rPr>
        <w:t>Dimension Exemption Notice</w:t>
      </w:r>
      <w:r>
        <w:t>.</w:t>
      </w:r>
    </w:p>
    <w:p w:rsidR="005E3F38" w:rsidRDefault="005E3F38" w:rsidP="005E3F38">
      <w:pPr>
        <w:pStyle w:val="Sectionheading"/>
        <w:jc w:val="both"/>
      </w:pPr>
      <w:r>
        <w:t>Conditions - General mass conditions for load carrying vehicles</w:t>
      </w:r>
    </w:p>
    <w:p w:rsidR="005E3F38" w:rsidRDefault="005E3F38" w:rsidP="005E3F38">
      <w:pPr>
        <w:pStyle w:val="OutlineNumberedLevel1"/>
        <w:numPr>
          <w:ilvl w:val="0"/>
          <w:numId w:val="40"/>
        </w:numPr>
        <w:contextualSpacing/>
      </w:pPr>
      <w:r>
        <w:t xml:space="preserve">An eligible combination operating under this notice must comply with the general conditions set out in the New South Wales Schedule of the </w:t>
      </w:r>
      <w:r w:rsidRPr="001866E4">
        <w:rPr>
          <w:i/>
        </w:rPr>
        <w:t>Multi-Stat</w:t>
      </w:r>
      <w:r w:rsidR="000C6CFC">
        <w:rPr>
          <w:i/>
        </w:rPr>
        <w:t>e Class 1 Load Carrying Vehicle</w:t>
      </w:r>
      <w:r w:rsidRPr="001866E4">
        <w:rPr>
          <w:i/>
        </w:rPr>
        <w:t xml:space="preserve"> </w:t>
      </w:r>
      <w:r>
        <w:rPr>
          <w:i/>
        </w:rPr>
        <w:t>Mass</w:t>
      </w:r>
      <w:r w:rsidRPr="001866E4">
        <w:rPr>
          <w:i/>
        </w:rPr>
        <w:t xml:space="preserve"> Exemption Notice</w:t>
      </w:r>
      <w:r>
        <w:t>.</w:t>
      </w:r>
    </w:p>
    <w:p w:rsidR="005E3F38" w:rsidRDefault="005E3F38" w:rsidP="005E3F38">
      <w:pPr>
        <w:pStyle w:val="Sectionheading"/>
        <w:jc w:val="both"/>
      </w:pPr>
      <w:r>
        <w:t>Conditions - Carriage of documents</w:t>
      </w:r>
    </w:p>
    <w:p w:rsidR="005E3F38" w:rsidRPr="00A30870" w:rsidRDefault="005E3F38" w:rsidP="005E3F38">
      <w:pPr>
        <w:pStyle w:val="OutlineNumberedLevel1"/>
        <w:numPr>
          <w:ilvl w:val="0"/>
          <w:numId w:val="34"/>
        </w:numPr>
        <w:contextualSpacing/>
        <w:rPr>
          <w:b/>
        </w:rPr>
      </w:pPr>
      <w:r>
        <w:t xml:space="preserve">The driver of an eligible combination operating under this Notice must carry documentation that complies with the requirements of the </w:t>
      </w:r>
      <w:r w:rsidRPr="000C6CFC">
        <w:rPr>
          <w:i/>
        </w:rPr>
        <w:t>“Import/Export Documentation”</w:t>
      </w:r>
      <w:r>
        <w:t xml:space="preserve"> section of the Guide.</w:t>
      </w:r>
    </w:p>
    <w:p w:rsidR="005E3F38" w:rsidRDefault="005E3F38" w:rsidP="005E3F38">
      <w:pPr>
        <w:pStyle w:val="Sectionheading"/>
        <w:jc w:val="both"/>
      </w:pPr>
      <w:r>
        <w:t xml:space="preserve">Conditions - Special requirements relating to indivisible items </w:t>
      </w:r>
    </w:p>
    <w:p w:rsidR="005E3F38" w:rsidRDefault="005E3F38" w:rsidP="005E3F38">
      <w:pPr>
        <w:pStyle w:val="OutlineNumberedLevel1"/>
        <w:numPr>
          <w:ilvl w:val="0"/>
          <w:numId w:val="38"/>
        </w:numPr>
        <w:contextualSpacing/>
      </w:pPr>
      <w:r>
        <w:t xml:space="preserve">an eligible </w:t>
      </w:r>
      <w:r w:rsidR="000C6CFC">
        <w:t>combination</w:t>
      </w:r>
      <w:r>
        <w:t xml:space="preserve"> must only:</w:t>
      </w:r>
    </w:p>
    <w:p w:rsidR="005E3F38" w:rsidRDefault="005E3F38" w:rsidP="005E3F38">
      <w:pPr>
        <w:pStyle w:val="OutlineNumberedLevel1"/>
        <w:numPr>
          <w:ilvl w:val="1"/>
          <w:numId w:val="38"/>
        </w:numPr>
        <w:contextualSpacing/>
      </w:pPr>
      <w:r>
        <w:t>carry a maximum of one platform container; and</w:t>
      </w:r>
    </w:p>
    <w:p w:rsidR="00A30870" w:rsidRPr="005E3F38" w:rsidRDefault="005E3F38" w:rsidP="005E3F38">
      <w:pPr>
        <w:pStyle w:val="OutlineNumberedLevel1"/>
        <w:numPr>
          <w:ilvl w:val="1"/>
          <w:numId w:val="38"/>
        </w:numPr>
        <w:contextualSpacing/>
      </w:pPr>
      <w:proofErr w:type="gramStart"/>
      <w:r>
        <w:t>if</w:t>
      </w:r>
      <w:proofErr w:type="gramEnd"/>
      <w:r>
        <w:t xml:space="preserve"> carrying more than one large indivisible item on a platform container, the mass of the container and the load together</w:t>
      </w:r>
      <w:r w:rsidR="000C6CFC">
        <w:t xml:space="preserve"> must not exceed the gross container m</w:t>
      </w:r>
      <w:r>
        <w:t xml:space="preserve">ass as stated on the container safety </w:t>
      </w:r>
      <w:r w:rsidR="00C54B12">
        <w:t xml:space="preserve">approval </w:t>
      </w:r>
      <w:r>
        <w:t xml:space="preserve">plate. </w:t>
      </w:r>
    </w:p>
    <w:p w:rsidR="0050733A" w:rsidRDefault="0050733A" w:rsidP="000729BA">
      <w:pPr>
        <w:pStyle w:val="Sectionheading"/>
        <w:jc w:val="both"/>
      </w:pPr>
      <w:r>
        <w:t>Conditions – Application of Schedule 8 of the MDL Regulation</w:t>
      </w:r>
    </w:p>
    <w:p w:rsidR="0050733A" w:rsidRDefault="0050733A" w:rsidP="003523E4">
      <w:pPr>
        <w:pStyle w:val="OutlineNumberedLevel1"/>
        <w:numPr>
          <w:ilvl w:val="0"/>
          <w:numId w:val="35"/>
        </w:numPr>
        <w:contextualSpacing/>
      </w:pPr>
      <w:r>
        <w:t>An eligible combination operating under this Notice must comply  with the following conditions from Schedule 8 of the Heavy Vehicle (Mass Dimension and Loading) National Regulation:</w:t>
      </w:r>
    </w:p>
    <w:p w:rsidR="005614DD" w:rsidRPr="005614DD" w:rsidRDefault="005614DD" w:rsidP="003523E4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5614DD">
        <w:rPr>
          <w:rFonts w:ascii="Calibri" w:eastAsia="Calibri" w:hAnsi="Calibri" w:cs="Calibri"/>
        </w:rPr>
        <w:t>Part 1</w:t>
      </w:r>
      <w:r w:rsidR="00DD23F6">
        <w:rPr>
          <w:rFonts w:ascii="Calibri" w:eastAsia="Calibri" w:hAnsi="Calibri" w:cs="Calibri"/>
        </w:rPr>
        <w:t xml:space="preserve">; </w:t>
      </w:r>
    </w:p>
    <w:p w:rsidR="00DD23F6" w:rsidRDefault="005614DD" w:rsidP="003523E4">
      <w:pPr>
        <w:pStyle w:val="ListParagraph"/>
        <w:numPr>
          <w:ilvl w:val="0"/>
          <w:numId w:val="37"/>
        </w:numPr>
      </w:pPr>
      <w:r w:rsidRPr="005614DD">
        <w:t>Division 1</w:t>
      </w:r>
      <w:r w:rsidR="00DD23F6">
        <w:t xml:space="preserve"> - All</w:t>
      </w:r>
    </w:p>
    <w:p w:rsidR="00DD23F6" w:rsidRDefault="005614DD" w:rsidP="003523E4">
      <w:pPr>
        <w:pStyle w:val="ListParagraph"/>
        <w:numPr>
          <w:ilvl w:val="0"/>
          <w:numId w:val="37"/>
        </w:numPr>
      </w:pPr>
      <w:r w:rsidRPr="005614DD">
        <w:t>Division 2</w:t>
      </w:r>
      <w:r w:rsidR="00DD23F6">
        <w:t xml:space="preserve"> - Section 12 and 14</w:t>
      </w:r>
    </w:p>
    <w:p w:rsidR="005614DD" w:rsidRPr="005614DD" w:rsidRDefault="005614DD" w:rsidP="003523E4">
      <w:pPr>
        <w:pStyle w:val="ListParagraph"/>
        <w:numPr>
          <w:ilvl w:val="0"/>
          <w:numId w:val="37"/>
        </w:numPr>
      </w:pPr>
      <w:r w:rsidRPr="005614DD">
        <w:t>Division 5</w:t>
      </w:r>
      <w:r w:rsidR="00DD23F6">
        <w:t xml:space="preserve"> - </w:t>
      </w:r>
      <w:r w:rsidRPr="005614DD">
        <w:t>All</w:t>
      </w:r>
    </w:p>
    <w:p w:rsidR="00DD23F6" w:rsidRDefault="005614DD" w:rsidP="003523E4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right="-590"/>
        <w:jc w:val="both"/>
        <w:rPr>
          <w:rFonts w:ascii="Calibri" w:eastAsia="Calibri" w:hAnsi="Calibri" w:cs="Calibri"/>
        </w:rPr>
      </w:pPr>
      <w:r w:rsidRPr="00DD23F6">
        <w:rPr>
          <w:rFonts w:ascii="Calibri" w:eastAsia="Calibri" w:hAnsi="Calibri" w:cs="Calibri"/>
        </w:rPr>
        <w:t>Part 3</w:t>
      </w:r>
      <w:r w:rsidR="00DD23F6">
        <w:rPr>
          <w:rFonts w:ascii="Calibri" w:eastAsia="Calibri" w:hAnsi="Calibri" w:cs="Calibri"/>
        </w:rPr>
        <w:t xml:space="preserve"> - All</w:t>
      </w:r>
    </w:p>
    <w:p w:rsidR="00DD23F6" w:rsidRPr="00DD23F6" w:rsidRDefault="00DD23F6" w:rsidP="00DD23F6">
      <w:pPr>
        <w:pStyle w:val="ListParagraph"/>
        <w:tabs>
          <w:tab w:val="left" w:pos="284"/>
        </w:tabs>
        <w:spacing w:after="0" w:line="240" w:lineRule="auto"/>
        <w:ind w:left="1298" w:right="-590"/>
        <w:jc w:val="both"/>
        <w:rPr>
          <w:rFonts w:ascii="Calibri" w:eastAsia="Calibri" w:hAnsi="Calibri" w:cs="Calibri"/>
        </w:rPr>
      </w:pPr>
    </w:p>
    <w:p w:rsidR="0050733A" w:rsidRDefault="0042111C" w:rsidP="008B1FFF">
      <w:pPr>
        <w:pStyle w:val="OutlineNumberedLevel1"/>
        <w:numPr>
          <w:ilvl w:val="0"/>
          <w:numId w:val="0"/>
        </w:numPr>
        <w:ind w:left="1440" w:hanging="1080"/>
        <w:contextualSpacing/>
        <w:rPr>
          <w:i/>
        </w:rPr>
      </w:pPr>
      <w:r w:rsidRPr="008B1FFF">
        <w:rPr>
          <w:i/>
        </w:rPr>
        <w:t>Note:</w:t>
      </w:r>
      <w:r w:rsidRPr="008B1FFF">
        <w:rPr>
          <w:i/>
        </w:rPr>
        <w:tab/>
        <w:t>Section 13 of Schedule 8 is specifically</w:t>
      </w:r>
      <w:r w:rsidR="00CF1AC9" w:rsidRPr="00376E46">
        <w:rPr>
          <w:i/>
        </w:rPr>
        <w:t xml:space="preserve"> not applied by this section. </w:t>
      </w:r>
      <w:r w:rsidR="00CF1AC9">
        <w:rPr>
          <w:i/>
        </w:rPr>
        <w:t xml:space="preserve">However, a </w:t>
      </w:r>
      <w:r w:rsidRPr="008B1FFF">
        <w:rPr>
          <w:i/>
        </w:rPr>
        <w:t xml:space="preserve">modified version of the conditions in s13 of Schedule 8 are applied in </w:t>
      </w:r>
      <w:proofErr w:type="gramStart"/>
      <w:r w:rsidRPr="008B1FFF">
        <w:rPr>
          <w:i/>
        </w:rPr>
        <w:t>s16(</w:t>
      </w:r>
      <w:proofErr w:type="gramEnd"/>
      <w:r w:rsidRPr="008B1FFF">
        <w:rPr>
          <w:i/>
        </w:rPr>
        <w:t>2) of this Notice.</w:t>
      </w:r>
    </w:p>
    <w:p w:rsidR="005E3F38" w:rsidRDefault="005E3F38" w:rsidP="008B1FFF">
      <w:pPr>
        <w:pStyle w:val="OutlineNumberedLevel1"/>
        <w:numPr>
          <w:ilvl w:val="0"/>
          <w:numId w:val="0"/>
        </w:numPr>
        <w:ind w:left="1440" w:hanging="1080"/>
        <w:contextualSpacing/>
        <w:rPr>
          <w:i/>
        </w:rPr>
      </w:pPr>
    </w:p>
    <w:p w:rsidR="005E3F38" w:rsidRDefault="005E3F38" w:rsidP="005E3F38">
      <w:pPr>
        <w:contextualSpacing/>
      </w:pPr>
    </w:p>
    <w:p w:rsidR="005E3F38" w:rsidRDefault="005E3F38" w:rsidP="005E3F38">
      <w:pPr>
        <w:contextualSpacing/>
      </w:pPr>
    </w:p>
    <w:p w:rsidR="005E3F38" w:rsidRDefault="005E3F38" w:rsidP="005E3F38">
      <w:pPr>
        <w:contextualSpacing/>
      </w:pPr>
      <w:r>
        <w:t>Peter Caprioli</w:t>
      </w:r>
    </w:p>
    <w:p w:rsidR="005E3F38" w:rsidRDefault="005E3F38" w:rsidP="005E3F38">
      <w:pPr>
        <w:contextualSpacing/>
        <w:rPr>
          <w:i/>
        </w:rPr>
      </w:pPr>
      <w:r w:rsidRPr="005E3F38">
        <w:rPr>
          <w:i/>
        </w:rPr>
        <w:t>Executive Director (Freight</w:t>
      </w:r>
      <w:r>
        <w:rPr>
          <w:i/>
        </w:rPr>
        <w:t xml:space="preserve"> and Supply Chain Productivity)</w:t>
      </w:r>
    </w:p>
    <w:p w:rsidR="005E3F38" w:rsidRPr="005E3F38" w:rsidRDefault="005E3F38" w:rsidP="005E3F38">
      <w:pPr>
        <w:contextualSpacing/>
        <w:rPr>
          <w:i/>
        </w:rPr>
      </w:pPr>
      <w:r w:rsidRPr="005E3F38">
        <w:rPr>
          <w:b/>
        </w:rPr>
        <w:t>National Heavy Vehicle Regulator</w:t>
      </w:r>
    </w:p>
    <w:sectPr w:rsidR="005E3F38" w:rsidRPr="005E3F38" w:rsidSect="00533715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0D8206" w15:done="0"/>
  <w15:commentEx w15:paraId="2956B9F0" w15:done="0"/>
  <w15:commentEx w15:paraId="7904A3DD" w15:done="0"/>
  <w15:commentEx w15:paraId="309502EE" w15:done="0"/>
  <w15:commentEx w15:paraId="334B2E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2D" w:rsidRDefault="00E90D2D">
      <w:pPr>
        <w:spacing w:after="0" w:line="240" w:lineRule="auto"/>
      </w:pPr>
      <w:r>
        <w:separator/>
      </w:r>
    </w:p>
  </w:endnote>
  <w:endnote w:type="continuationSeparator" w:id="0">
    <w:p w:rsidR="00E90D2D" w:rsidRDefault="00E90D2D">
      <w:pPr>
        <w:spacing w:after="0" w:line="240" w:lineRule="auto"/>
      </w:pPr>
      <w:r>
        <w:continuationSeparator/>
      </w:r>
    </w:p>
  </w:endnote>
  <w:endnote w:type="continuationNotice" w:id="1">
    <w:p w:rsidR="00E90D2D" w:rsidRDefault="00E90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61" w:rsidRDefault="00A30161" w:rsidP="00B62945">
    <w:pPr>
      <w:pStyle w:val="Footer"/>
      <w:jc w:val="right"/>
    </w:pPr>
  </w:p>
  <w:p w:rsidR="00A30161" w:rsidRDefault="00A30161" w:rsidP="00533715">
    <w:pPr>
      <w:pStyle w:val="Footer"/>
      <w:jc w:val="right"/>
      <w:rPr>
        <w:sz w:val="20"/>
        <w:szCs w:val="20"/>
      </w:rPr>
    </w:pPr>
    <w:r w:rsidRPr="00F567DB">
      <w:rPr>
        <w:sz w:val="20"/>
        <w:szCs w:val="20"/>
      </w:rPr>
      <w:t xml:space="preserve">New South Wales Class 3 </w:t>
    </w:r>
    <w:r>
      <w:rPr>
        <w:sz w:val="20"/>
        <w:szCs w:val="20"/>
      </w:rPr>
      <w:t>Platform</w:t>
    </w:r>
    <w:r w:rsidRPr="00F567DB">
      <w:rPr>
        <w:sz w:val="20"/>
        <w:szCs w:val="20"/>
      </w:rPr>
      <w:t xml:space="preserve"> Container Exemption Notice 2018 (No.1)</w:t>
    </w:r>
  </w:p>
  <w:p w:rsidR="00A30161" w:rsidRPr="00F567DB" w:rsidRDefault="00A30161" w:rsidP="00F567DB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EB6B25">
      <w:rPr>
        <w:rFonts w:ascii="Calibri" w:hAnsi="Calibri"/>
        <w:noProof/>
        <w:sz w:val="20"/>
        <w:szCs w:val="20"/>
        <w:lang w:val="en-US"/>
      </w:rPr>
      <w:t>6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EB6B25">
      <w:rPr>
        <w:rFonts w:ascii="Calibri" w:hAnsi="Calibri"/>
        <w:noProof/>
        <w:sz w:val="20"/>
        <w:szCs w:val="20"/>
        <w:lang w:val="en-US"/>
      </w:rPr>
      <w:t>8</w:t>
    </w:r>
    <w:r>
      <w:rPr>
        <w:rFonts w:ascii="Calibri" w:hAnsi="Calibri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61" w:rsidRDefault="00A30161" w:rsidP="00FD74B6">
    <w:pPr>
      <w:pStyle w:val="Footer"/>
      <w:jc w:val="right"/>
      <w:rPr>
        <w:sz w:val="20"/>
        <w:szCs w:val="20"/>
      </w:rPr>
    </w:pPr>
  </w:p>
  <w:p w:rsidR="00A30161" w:rsidRDefault="00A30161" w:rsidP="00533715">
    <w:pPr>
      <w:pStyle w:val="Footer"/>
      <w:jc w:val="right"/>
      <w:rPr>
        <w:sz w:val="20"/>
        <w:szCs w:val="20"/>
      </w:rPr>
    </w:pPr>
    <w:r w:rsidRPr="00F567DB">
      <w:rPr>
        <w:sz w:val="20"/>
        <w:szCs w:val="20"/>
      </w:rPr>
      <w:t xml:space="preserve">New South Wales Class 3 </w:t>
    </w:r>
    <w:r>
      <w:rPr>
        <w:sz w:val="20"/>
        <w:szCs w:val="20"/>
      </w:rPr>
      <w:t>Platform</w:t>
    </w:r>
    <w:r w:rsidRPr="00F567DB">
      <w:rPr>
        <w:sz w:val="20"/>
        <w:szCs w:val="20"/>
      </w:rPr>
      <w:t xml:space="preserve"> Container Exemption Notice 2018 (No.1)</w:t>
    </w:r>
  </w:p>
  <w:p w:rsidR="00A30161" w:rsidRPr="00F567DB" w:rsidRDefault="00A30161" w:rsidP="00F567DB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EB6B25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EB6B25">
      <w:rPr>
        <w:rFonts w:ascii="Calibri" w:hAnsi="Calibri"/>
        <w:noProof/>
        <w:sz w:val="20"/>
        <w:szCs w:val="20"/>
        <w:lang w:val="en-US"/>
      </w:rPr>
      <w:t>8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2D" w:rsidRDefault="00E90D2D">
      <w:pPr>
        <w:spacing w:after="0" w:line="240" w:lineRule="auto"/>
      </w:pPr>
      <w:r>
        <w:separator/>
      </w:r>
    </w:p>
  </w:footnote>
  <w:footnote w:type="continuationSeparator" w:id="0">
    <w:p w:rsidR="00E90D2D" w:rsidRDefault="00E90D2D">
      <w:pPr>
        <w:spacing w:after="0" w:line="240" w:lineRule="auto"/>
      </w:pPr>
      <w:r>
        <w:continuationSeparator/>
      </w:r>
    </w:p>
  </w:footnote>
  <w:footnote w:type="continuationNotice" w:id="1">
    <w:p w:rsidR="00E90D2D" w:rsidRDefault="00E90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B1FFF" w:rsidRPr="00CE796A" w:rsidTr="00ED6CB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1FFF" w:rsidRPr="00CE796A" w:rsidRDefault="008B1FFF" w:rsidP="00ED6CBB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2D07F73D" wp14:editId="25A4976F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1FFF" w:rsidRPr="00CE796A" w:rsidRDefault="008B1FFF" w:rsidP="00ED6CBB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1FFF" w:rsidRPr="00CE796A" w:rsidRDefault="008B1FFF" w:rsidP="00ED6CBB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B1FFF" w:rsidRPr="00CE796A" w:rsidTr="00ED6CB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B1FFF" w:rsidRPr="00CE796A" w:rsidRDefault="008B1FFF" w:rsidP="00ED6CBB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B1FFF" w:rsidRPr="00840A06" w:rsidRDefault="008B1FFF" w:rsidP="00ED6CBB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30161" w:rsidRPr="003A707F" w:rsidRDefault="00A30161" w:rsidP="00533715">
    <w:pPr>
      <w:pStyle w:val="Header"/>
      <w:rPr>
        <w:sz w:val="2"/>
        <w:szCs w:val="2"/>
      </w:rPr>
    </w:pPr>
  </w:p>
  <w:p w:rsidR="00A30161" w:rsidRPr="00F40885" w:rsidRDefault="00A3016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61B"/>
    <w:multiLevelType w:val="hybridMultilevel"/>
    <w:tmpl w:val="3E2A29B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346200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21E6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4">
    <w:nsid w:val="09302EC1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List1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pStyle w:val="List2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pStyle w:val="List3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6">
    <w:nsid w:val="0CE44B36"/>
    <w:multiLevelType w:val="hybridMultilevel"/>
    <w:tmpl w:val="47B8E8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0426"/>
    <w:multiLevelType w:val="hybridMultilevel"/>
    <w:tmpl w:val="6CD0055A"/>
    <w:lvl w:ilvl="0" w:tplc="F252F04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BC7314"/>
    <w:multiLevelType w:val="hybridMultilevel"/>
    <w:tmpl w:val="3F865724"/>
    <w:lvl w:ilvl="0" w:tplc="0C09001B">
      <w:start w:val="1"/>
      <w:numFmt w:val="lowerRoman"/>
      <w:lvlText w:val="%1."/>
      <w:lvlJc w:val="right"/>
      <w:pPr>
        <w:ind w:left="2018" w:hanging="360"/>
      </w:p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9">
    <w:nsid w:val="19A04A35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B7984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05226F0"/>
    <w:multiLevelType w:val="hybridMultilevel"/>
    <w:tmpl w:val="7D440884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347C06">
      <w:start w:val="1"/>
      <w:numFmt w:val="lowerLetter"/>
      <w:lvlText w:val="%2)"/>
      <w:lvlJc w:val="left"/>
      <w:pPr>
        <w:ind w:left="1440" w:hanging="360"/>
      </w:pPr>
      <w:rPr>
        <w:rFonts w:ascii="Calibri" w:eastAsiaTheme="minorEastAsia" w:hAnsi="Calibri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8590F"/>
    <w:multiLevelType w:val="hybridMultilevel"/>
    <w:tmpl w:val="AEBCF51E"/>
    <w:lvl w:ilvl="0" w:tplc="309429A2">
      <w:start w:val="1"/>
      <w:numFmt w:val="decimal"/>
      <w:lvlText w:val="(%1)"/>
      <w:lvlJc w:val="left"/>
      <w:pPr>
        <w:ind w:left="1298" w:hanging="360"/>
      </w:pPr>
      <w:rPr>
        <w:rFonts w:ascii="Calibri" w:eastAsiaTheme="minorEastAsia" w:hAnsi="Calibri" w:cstheme="minorBidi"/>
      </w:r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>
    <w:nsid w:val="2C24169D"/>
    <w:multiLevelType w:val="hybridMultilevel"/>
    <w:tmpl w:val="D13A5444"/>
    <w:lvl w:ilvl="0" w:tplc="0C09000F">
      <w:start w:val="1"/>
      <w:numFmt w:val="decimal"/>
      <w:lvlText w:val="%1."/>
      <w:lvlJc w:val="left"/>
      <w:pPr>
        <w:ind w:left="1121" w:hanging="360"/>
      </w:pPr>
    </w:lvl>
    <w:lvl w:ilvl="1" w:tplc="0C090019" w:tentative="1">
      <w:start w:val="1"/>
      <w:numFmt w:val="lowerLetter"/>
      <w:lvlText w:val="%2."/>
      <w:lvlJc w:val="left"/>
      <w:pPr>
        <w:ind w:left="1841" w:hanging="360"/>
      </w:pPr>
    </w:lvl>
    <w:lvl w:ilvl="2" w:tplc="0C09001B" w:tentative="1">
      <w:start w:val="1"/>
      <w:numFmt w:val="lowerRoman"/>
      <w:lvlText w:val="%3."/>
      <w:lvlJc w:val="right"/>
      <w:pPr>
        <w:ind w:left="2561" w:hanging="180"/>
      </w:pPr>
    </w:lvl>
    <w:lvl w:ilvl="3" w:tplc="0C09000F" w:tentative="1">
      <w:start w:val="1"/>
      <w:numFmt w:val="decimal"/>
      <w:lvlText w:val="%4."/>
      <w:lvlJc w:val="left"/>
      <w:pPr>
        <w:ind w:left="3281" w:hanging="360"/>
      </w:pPr>
    </w:lvl>
    <w:lvl w:ilvl="4" w:tplc="0C090019" w:tentative="1">
      <w:start w:val="1"/>
      <w:numFmt w:val="lowerLetter"/>
      <w:lvlText w:val="%5."/>
      <w:lvlJc w:val="left"/>
      <w:pPr>
        <w:ind w:left="4001" w:hanging="360"/>
      </w:pPr>
    </w:lvl>
    <w:lvl w:ilvl="5" w:tplc="0C09001B" w:tentative="1">
      <w:start w:val="1"/>
      <w:numFmt w:val="lowerRoman"/>
      <w:lvlText w:val="%6."/>
      <w:lvlJc w:val="right"/>
      <w:pPr>
        <w:ind w:left="4721" w:hanging="180"/>
      </w:pPr>
    </w:lvl>
    <w:lvl w:ilvl="6" w:tplc="0C09000F" w:tentative="1">
      <w:start w:val="1"/>
      <w:numFmt w:val="decimal"/>
      <w:lvlText w:val="%7."/>
      <w:lvlJc w:val="left"/>
      <w:pPr>
        <w:ind w:left="5441" w:hanging="360"/>
      </w:pPr>
    </w:lvl>
    <w:lvl w:ilvl="7" w:tplc="0C090019" w:tentative="1">
      <w:start w:val="1"/>
      <w:numFmt w:val="lowerLetter"/>
      <w:lvlText w:val="%8."/>
      <w:lvlJc w:val="left"/>
      <w:pPr>
        <w:ind w:left="6161" w:hanging="360"/>
      </w:pPr>
    </w:lvl>
    <w:lvl w:ilvl="8" w:tplc="0C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4">
    <w:nsid w:val="2CB602D7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>
    <w:nsid w:val="2E825A53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>
    <w:nsid w:val="2EA4131E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67CF2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71DD1"/>
    <w:multiLevelType w:val="hybridMultilevel"/>
    <w:tmpl w:val="8B00231C"/>
    <w:lvl w:ilvl="0" w:tplc="D994948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F628165E">
      <w:start w:val="1"/>
      <w:numFmt w:val="decimal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3AA0C1E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19">
    <w:nsid w:val="317876B6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4102C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F32137"/>
    <w:multiLevelType w:val="hybridMultilevel"/>
    <w:tmpl w:val="0608A8C2"/>
    <w:lvl w:ilvl="0" w:tplc="A00EB34C">
      <w:start w:val="1"/>
      <w:numFmt w:val="lowerLetter"/>
      <w:lvlText w:val="%1)"/>
      <w:lvlJc w:val="left"/>
      <w:pPr>
        <w:ind w:left="644" w:hanging="360"/>
      </w:pPr>
      <w:rPr>
        <w:rFonts w:eastAsiaTheme="minorEastAsia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6412A57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>
    <w:nsid w:val="36D00D84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B7932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E5798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812E4"/>
    <w:multiLevelType w:val="hybridMultilevel"/>
    <w:tmpl w:val="E3A275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C3EDA"/>
    <w:multiLevelType w:val="hybridMultilevel"/>
    <w:tmpl w:val="46A8F8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>
    <w:nsid w:val="430F5379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>
    <w:nsid w:val="43C177BE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>
    <w:nsid w:val="45837BA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93CC3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A0002"/>
    <w:multiLevelType w:val="hybridMultilevel"/>
    <w:tmpl w:val="69846C04"/>
    <w:lvl w:ilvl="0" w:tplc="0C090017">
      <w:start w:val="1"/>
      <w:numFmt w:val="lowerLetter"/>
      <w:lvlText w:val="%1)"/>
      <w:lvlJc w:val="left"/>
      <w:pPr>
        <w:ind w:left="1121" w:hanging="360"/>
      </w:pPr>
    </w:lvl>
    <w:lvl w:ilvl="1" w:tplc="0C090019" w:tentative="1">
      <w:start w:val="1"/>
      <w:numFmt w:val="lowerLetter"/>
      <w:lvlText w:val="%2."/>
      <w:lvlJc w:val="left"/>
      <w:pPr>
        <w:ind w:left="1841" w:hanging="360"/>
      </w:pPr>
    </w:lvl>
    <w:lvl w:ilvl="2" w:tplc="0C09001B" w:tentative="1">
      <w:start w:val="1"/>
      <w:numFmt w:val="lowerRoman"/>
      <w:lvlText w:val="%3."/>
      <w:lvlJc w:val="right"/>
      <w:pPr>
        <w:ind w:left="2561" w:hanging="180"/>
      </w:pPr>
    </w:lvl>
    <w:lvl w:ilvl="3" w:tplc="0C09000F" w:tentative="1">
      <w:start w:val="1"/>
      <w:numFmt w:val="decimal"/>
      <w:lvlText w:val="%4."/>
      <w:lvlJc w:val="left"/>
      <w:pPr>
        <w:ind w:left="3281" w:hanging="360"/>
      </w:pPr>
    </w:lvl>
    <w:lvl w:ilvl="4" w:tplc="0C090019" w:tentative="1">
      <w:start w:val="1"/>
      <w:numFmt w:val="lowerLetter"/>
      <w:lvlText w:val="%5."/>
      <w:lvlJc w:val="left"/>
      <w:pPr>
        <w:ind w:left="4001" w:hanging="360"/>
      </w:pPr>
    </w:lvl>
    <w:lvl w:ilvl="5" w:tplc="0C09001B" w:tentative="1">
      <w:start w:val="1"/>
      <w:numFmt w:val="lowerRoman"/>
      <w:lvlText w:val="%6."/>
      <w:lvlJc w:val="right"/>
      <w:pPr>
        <w:ind w:left="4721" w:hanging="180"/>
      </w:pPr>
    </w:lvl>
    <w:lvl w:ilvl="6" w:tplc="0C09000F" w:tentative="1">
      <w:start w:val="1"/>
      <w:numFmt w:val="decimal"/>
      <w:lvlText w:val="%7."/>
      <w:lvlJc w:val="left"/>
      <w:pPr>
        <w:ind w:left="5441" w:hanging="360"/>
      </w:pPr>
    </w:lvl>
    <w:lvl w:ilvl="7" w:tplc="0C090019" w:tentative="1">
      <w:start w:val="1"/>
      <w:numFmt w:val="lowerLetter"/>
      <w:lvlText w:val="%8."/>
      <w:lvlJc w:val="left"/>
      <w:pPr>
        <w:ind w:left="6161" w:hanging="360"/>
      </w:pPr>
    </w:lvl>
    <w:lvl w:ilvl="8" w:tplc="0C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4">
    <w:nsid w:val="50E47CD8"/>
    <w:multiLevelType w:val="hybridMultilevel"/>
    <w:tmpl w:val="1F92838A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5">
    <w:nsid w:val="54505B81"/>
    <w:multiLevelType w:val="hybridMultilevel"/>
    <w:tmpl w:val="B9AA2C78"/>
    <w:lvl w:ilvl="0" w:tplc="AF443D46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5EAEA1EC">
      <w:start w:val="1"/>
      <w:numFmt w:val="lowerRoman"/>
      <w:pStyle w:val="OutlineNumberedLevel2"/>
      <w:lvlText w:val="(%2)"/>
      <w:lvlJc w:val="left"/>
      <w:pPr>
        <w:ind w:left="1107" w:hanging="397"/>
      </w:pPr>
      <w:rPr>
        <w:rFonts w:ascii="Calibri" w:eastAsiaTheme="minorEastAsia" w:hAnsi="Calibri" w:cstheme="minorBidi"/>
        <w:b w:val="0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56D15CB3"/>
    <w:multiLevelType w:val="hybridMultilevel"/>
    <w:tmpl w:val="74160136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7">
    <w:nsid w:val="56DA3644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5031D8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9">
    <w:nsid w:val="5FA206B4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0">
    <w:nsid w:val="65694C18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A684D"/>
    <w:multiLevelType w:val="hybridMultilevel"/>
    <w:tmpl w:val="3E2A29B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7C24185"/>
    <w:multiLevelType w:val="hybridMultilevel"/>
    <w:tmpl w:val="D3E8E396"/>
    <w:lvl w:ilvl="0" w:tplc="9E92C818">
      <w:start w:val="1"/>
      <w:numFmt w:val="decimal"/>
      <w:pStyle w:val="Bodylevel11subheading-QldSI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46B77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A549DA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5">
    <w:nsid w:val="726145EB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 w:tentative="1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6">
    <w:nsid w:val="74053A1B"/>
    <w:multiLevelType w:val="hybridMultilevel"/>
    <w:tmpl w:val="E0441AA8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D30D63"/>
    <w:multiLevelType w:val="hybridMultilevel"/>
    <w:tmpl w:val="89589F06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8">
    <w:nsid w:val="75B1562E"/>
    <w:multiLevelType w:val="hybridMultilevel"/>
    <w:tmpl w:val="A538E6DE"/>
    <w:lvl w:ilvl="0" w:tplc="F6A0D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E2C4F"/>
    <w:multiLevelType w:val="hybridMultilevel"/>
    <w:tmpl w:val="1CA42CDE"/>
    <w:lvl w:ilvl="0" w:tplc="0C090017">
      <w:start w:val="1"/>
      <w:numFmt w:val="lowerLetter"/>
      <w:lvlText w:val="%1)"/>
      <w:lvlJc w:val="left"/>
      <w:pPr>
        <w:ind w:left="1298" w:hanging="360"/>
      </w:pPr>
    </w:lvl>
    <w:lvl w:ilvl="1" w:tplc="0C090019">
      <w:start w:val="1"/>
      <w:numFmt w:val="lowerLetter"/>
      <w:lvlText w:val="%2."/>
      <w:lvlJc w:val="left"/>
      <w:pPr>
        <w:ind w:left="2018" w:hanging="360"/>
      </w:pPr>
    </w:lvl>
    <w:lvl w:ilvl="2" w:tplc="0C09001B" w:tentative="1">
      <w:start w:val="1"/>
      <w:numFmt w:val="lowerRoman"/>
      <w:lvlText w:val="%3."/>
      <w:lvlJc w:val="right"/>
      <w:pPr>
        <w:ind w:left="2738" w:hanging="180"/>
      </w:pPr>
    </w:lvl>
    <w:lvl w:ilvl="3" w:tplc="0C09000F" w:tentative="1">
      <w:start w:val="1"/>
      <w:numFmt w:val="decimal"/>
      <w:lvlText w:val="%4."/>
      <w:lvlJc w:val="left"/>
      <w:pPr>
        <w:ind w:left="3458" w:hanging="360"/>
      </w:pPr>
    </w:lvl>
    <w:lvl w:ilvl="4" w:tplc="0C090019" w:tentative="1">
      <w:start w:val="1"/>
      <w:numFmt w:val="lowerLetter"/>
      <w:lvlText w:val="%5."/>
      <w:lvlJc w:val="left"/>
      <w:pPr>
        <w:ind w:left="4178" w:hanging="360"/>
      </w:pPr>
    </w:lvl>
    <w:lvl w:ilvl="5" w:tplc="0C09001B" w:tentative="1">
      <w:start w:val="1"/>
      <w:numFmt w:val="lowerRoman"/>
      <w:lvlText w:val="%6."/>
      <w:lvlJc w:val="right"/>
      <w:pPr>
        <w:ind w:left="4898" w:hanging="180"/>
      </w:pPr>
    </w:lvl>
    <w:lvl w:ilvl="6" w:tplc="0C09000F" w:tentative="1">
      <w:start w:val="1"/>
      <w:numFmt w:val="decimal"/>
      <w:lvlText w:val="%7."/>
      <w:lvlJc w:val="left"/>
      <w:pPr>
        <w:ind w:left="5618" w:hanging="360"/>
      </w:pPr>
    </w:lvl>
    <w:lvl w:ilvl="7" w:tplc="0C090019" w:tentative="1">
      <w:start w:val="1"/>
      <w:numFmt w:val="lowerLetter"/>
      <w:lvlText w:val="%8."/>
      <w:lvlJc w:val="left"/>
      <w:pPr>
        <w:ind w:left="6338" w:hanging="360"/>
      </w:pPr>
    </w:lvl>
    <w:lvl w:ilvl="8" w:tplc="0C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0">
    <w:nsid w:val="7BC9146D"/>
    <w:multiLevelType w:val="hybridMultilevel"/>
    <w:tmpl w:val="B038C96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3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5"/>
  </w:num>
  <w:num w:numId="8">
    <w:abstractNumId w:val="16"/>
  </w:num>
  <w:num w:numId="9">
    <w:abstractNumId w:val="10"/>
  </w:num>
  <w:num w:numId="10">
    <w:abstractNumId w:val="26"/>
  </w:num>
  <w:num w:numId="11">
    <w:abstractNumId w:val="23"/>
  </w:num>
  <w:num w:numId="12">
    <w:abstractNumId w:val="44"/>
  </w:num>
  <w:num w:numId="13">
    <w:abstractNumId w:val="29"/>
  </w:num>
  <w:num w:numId="14">
    <w:abstractNumId w:val="15"/>
  </w:num>
  <w:num w:numId="15">
    <w:abstractNumId w:val="14"/>
  </w:num>
  <w:num w:numId="16">
    <w:abstractNumId w:val="45"/>
  </w:num>
  <w:num w:numId="17">
    <w:abstractNumId w:val="8"/>
  </w:num>
  <w:num w:numId="18">
    <w:abstractNumId w:val="20"/>
  </w:num>
  <w:num w:numId="19">
    <w:abstractNumId w:val="4"/>
  </w:num>
  <w:num w:numId="20">
    <w:abstractNumId w:val="17"/>
  </w:num>
  <w:num w:numId="21">
    <w:abstractNumId w:val="12"/>
  </w:num>
  <w:num w:numId="22">
    <w:abstractNumId w:val="38"/>
  </w:num>
  <w:num w:numId="23">
    <w:abstractNumId w:val="42"/>
  </w:num>
  <w:num w:numId="24">
    <w:abstractNumId w:val="30"/>
  </w:num>
  <w:num w:numId="25">
    <w:abstractNumId w:val="9"/>
  </w:num>
  <w:num w:numId="26">
    <w:abstractNumId w:val="2"/>
  </w:num>
  <w:num w:numId="27">
    <w:abstractNumId w:val="41"/>
  </w:num>
  <w:num w:numId="28">
    <w:abstractNumId w:val="19"/>
  </w:num>
  <w:num w:numId="29">
    <w:abstractNumId w:val="34"/>
  </w:num>
  <w:num w:numId="30">
    <w:abstractNumId w:val="37"/>
  </w:num>
  <w:num w:numId="31">
    <w:abstractNumId w:val="24"/>
  </w:num>
  <w:num w:numId="32">
    <w:abstractNumId w:val="40"/>
  </w:num>
  <w:num w:numId="33">
    <w:abstractNumId w:val="48"/>
  </w:num>
  <w:num w:numId="34">
    <w:abstractNumId w:val="32"/>
  </w:num>
  <w:num w:numId="35">
    <w:abstractNumId w:val="1"/>
  </w:num>
  <w:num w:numId="36">
    <w:abstractNumId w:val="49"/>
  </w:num>
  <w:num w:numId="37">
    <w:abstractNumId w:val="0"/>
  </w:num>
  <w:num w:numId="38">
    <w:abstractNumId w:val="11"/>
  </w:num>
  <w:num w:numId="39">
    <w:abstractNumId w:val="25"/>
  </w:num>
  <w:num w:numId="40">
    <w:abstractNumId w:val="43"/>
  </w:num>
  <w:num w:numId="41">
    <w:abstractNumId w:val="39"/>
  </w:num>
  <w:num w:numId="42">
    <w:abstractNumId w:val="7"/>
  </w:num>
  <w:num w:numId="43">
    <w:abstractNumId w:val="50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5">
    <w:abstractNumId w:val="47"/>
  </w:num>
  <w:num w:numId="46">
    <w:abstractNumId w:val="13"/>
  </w:num>
  <w:num w:numId="47">
    <w:abstractNumId w:val="33"/>
  </w:num>
  <w:num w:numId="48">
    <w:abstractNumId w:val="6"/>
  </w:num>
  <w:num w:numId="49">
    <w:abstractNumId w:val="28"/>
  </w:num>
  <w:num w:numId="50">
    <w:abstractNumId w:val="27"/>
  </w:num>
  <w:num w:numId="51">
    <w:abstractNumId w:val="22"/>
  </w:num>
  <w:num w:numId="52">
    <w:abstractNumId w:val="35"/>
  </w:num>
  <w:num w:numId="53">
    <w:abstractNumId w:val="35"/>
  </w:num>
  <w:num w:numId="54">
    <w:abstractNumId w:val="35"/>
  </w:num>
  <w:num w:numId="55">
    <w:abstractNumId w:val="35"/>
  </w:num>
  <w:num w:numId="56">
    <w:abstractNumId w:val="35"/>
  </w:num>
  <w:num w:numId="57">
    <w:abstractNumId w:val="36"/>
  </w:num>
  <w:num w:numId="58">
    <w:abstractNumId w:val="35"/>
  </w:num>
  <w:num w:numId="59">
    <w:abstractNumId w:val="35"/>
  </w:num>
  <w:num w:numId="60">
    <w:abstractNumId w:val="35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Dawkins">
    <w15:presenceInfo w15:providerId="AD" w15:userId="S-1-5-21-4184903163-136493757-233119895-2719"/>
  </w15:person>
  <w15:person w15:author="Angela Slagter">
    <w15:presenceInfo w15:providerId="None" w15:userId="Angela Slag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38"/>
    <w:rsid w:val="00006326"/>
    <w:rsid w:val="00011CA8"/>
    <w:rsid w:val="000256E4"/>
    <w:rsid w:val="0002661E"/>
    <w:rsid w:val="00027A5E"/>
    <w:rsid w:val="00031467"/>
    <w:rsid w:val="0005257A"/>
    <w:rsid w:val="00056B9B"/>
    <w:rsid w:val="00063A77"/>
    <w:rsid w:val="00063E43"/>
    <w:rsid w:val="00064812"/>
    <w:rsid w:val="0006559F"/>
    <w:rsid w:val="000729BA"/>
    <w:rsid w:val="000743B4"/>
    <w:rsid w:val="000762F0"/>
    <w:rsid w:val="0008021A"/>
    <w:rsid w:val="00083E6C"/>
    <w:rsid w:val="0008476E"/>
    <w:rsid w:val="00084BBC"/>
    <w:rsid w:val="00085830"/>
    <w:rsid w:val="00093087"/>
    <w:rsid w:val="000B2B90"/>
    <w:rsid w:val="000C3109"/>
    <w:rsid w:val="000C36A0"/>
    <w:rsid w:val="000C3C20"/>
    <w:rsid w:val="000C4B81"/>
    <w:rsid w:val="000C6CFC"/>
    <w:rsid w:val="000C6D7D"/>
    <w:rsid w:val="000C782D"/>
    <w:rsid w:val="000C79FC"/>
    <w:rsid w:val="000D0DA3"/>
    <w:rsid w:val="000D4668"/>
    <w:rsid w:val="000E2CC1"/>
    <w:rsid w:val="001145D1"/>
    <w:rsid w:val="00115FA0"/>
    <w:rsid w:val="0012046C"/>
    <w:rsid w:val="00126662"/>
    <w:rsid w:val="00126DBC"/>
    <w:rsid w:val="00126F2B"/>
    <w:rsid w:val="0013561D"/>
    <w:rsid w:val="00137224"/>
    <w:rsid w:val="0015362D"/>
    <w:rsid w:val="001550AA"/>
    <w:rsid w:val="0016188E"/>
    <w:rsid w:val="00170EC7"/>
    <w:rsid w:val="00171A56"/>
    <w:rsid w:val="00183AA9"/>
    <w:rsid w:val="00184543"/>
    <w:rsid w:val="0018625D"/>
    <w:rsid w:val="001866E4"/>
    <w:rsid w:val="00191EC6"/>
    <w:rsid w:val="00194DFF"/>
    <w:rsid w:val="00197F34"/>
    <w:rsid w:val="001A06C6"/>
    <w:rsid w:val="001A2385"/>
    <w:rsid w:val="001C0D1C"/>
    <w:rsid w:val="001C41D1"/>
    <w:rsid w:val="001D2117"/>
    <w:rsid w:val="001D348A"/>
    <w:rsid w:val="001D46BA"/>
    <w:rsid w:val="001D50AC"/>
    <w:rsid w:val="001E3AF6"/>
    <w:rsid w:val="001E5914"/>
    <w:rsid w:val="001F2EDB"/>
    <w:rsid w:val="001F4622"/>
    <w:rsid w:val="001F649E"/>
    <w:rsid w:val="00205E4E"/>
    <w:rsid w:val="00212612"/>
    <w:rsid w:val="00217529"/>
    <w:rsid w:val="0022066C"/>
    <w:rsid w:val="0022225D"/>
    <w:rsid w:val="00223AB4"/>
    <w:rsid w:val="002265D5"/>
    <w:rsid w:val="002303DC"/>
    <w:rsid w:val="00234923"/>
    <w:rsid w:val="002427EB"/>
    <w:rsid w:val="00247CF0"/>
    <w:rsid w:val="00257E5B"/>
    <w:rsid w:val="002605EE"/>
    <w:rsid w:val="002648FE"/>
    <w:rsid w:val="00272F56"/>
    <w:rsid w:val="00283845"/>
    <w:rsid w:val="00285DE3"/>
    <w:rsid w:val="00296963"/>
    <w:rsid w:val="002A13D0"/>
    <w:rsid w:val="002A221B"/>
    <w:rsid w:val="002A55EE"/>
    <w:rsid w:val="002A6BD4"/>
    <w:rsid w:val="002A78F9"/>
    <w:rsid w:val="002B1F1E"/>
    <w:rsid w:val="002B516A"/>
    <w:rsid w:val="002C2403"/>
    <w:rsid w:val="002D20D7"/>
    <w:rsid w:val="002D3DA2"/>
    <w:rsid w:val="002E3437"/>
    <w:rsid w:val="002E6D88"/>
    <w:rsid w:val="00300233"/>
    <w:rsid w:val="00301948"/>
    <w:rsid w:val="00314609"/>
    <w:rsid w:val="00317F53"/>
    <w:rsid w:val="00333818"/>
    <w:rsid w:val="00336C7C"/>
    <w:rsid w:val="00341992"/>
    <w:rsid w:val="0034558D"/>
    <w:rsid w:val="00351E08"/>
    <w:rsid w:val="003523E4"/>
    <w:rsid w:val="00366A0E"/>
    <w:rsid w:val="00373CF9"/>
    <w:rsid w:val="00376B2A"/>
    <w:rsid w:val="00376E46"/>
    <w:rsid w:val="003808D4"/>
    <w:rsid w:val="0038327B"/>
    <w:rsid w:val="0039212F"/>
    <w:rsid w:val="003A125F"/>
    <w:rsid w:val="003A1BDB"/>
    <w:rsid w:val="003B31AC"/>
    <w:rsid w:val="003B47A3"/>
    <w:rsid w:val="003C4D58"/>
    <w:rsid w:val="003C575C"/>
    <w:rsid w:val="003D245F"/>
    <w:rsid w:val="003E2A90"/>
    <w:rsid w:val="003F3230"/>
    <w:rsid w:val="003F55D5"/>
    <w:rsid w:val="00400398"/>
    <w:rsid w:val="004049F5"/>
    <w:rsid w:val="00406C40"/>
    <w:rsid w:val="004129C5"/>
    <w:rsid w:val="00412D5E"/>
    <w:rsid w:val="00415F5A"/>
    <w:rsid w:val="004201D2"/>
    <w:rsid w:val="0042111C"/>
    <w:rsid w:val="00430866"/>
    <w:rsid w:val="00435E9F"/>
    <w:rsid w:val="0043770D"/>
    <w:rsid w:val="00441B8C"/>
    <w:rsid w:val="0045403B"/>
    <w:rsid w:val="00460583"/>
    <w:rsid w:val="00460EF3"/>
    <w:rsid w:val="00466559"/>
    <w:rsid w:val="00477AEF"/>
    <w:rsid w:val="004871D6"/>
    <w:rsid w:val="00492814"/>
    <w:rsid w:val="004A3675"/>
    <w:rsid w:val="004B002C"/>
    <w:rsid w:val="004B45D9"/>
    <w:rsid w:val="004B46FD"/>
    <w:rsid w:val="004B5B8E"/>
    <w:rsid w:val="004D528B"/>
    <w:rsid w:val="004D5BD4"/>
    <w:rsid w:val="004E2531"/>
    <w:rsid w:val="004E43F3"/>
    <w:rsid w:val="004F3F9A"/>
    <w:rsid w:val="00500194"/>
    <w:rsid w:val="00500583"/>
    <w:rsid w:val="00500C3B"/>
    <w:rsid w:val="0050733A"/>
    <w:rsid w:val="00517333"/>
    <w:rsid w:val="00517F45"/>
    <w:rsid w:val="00533715"/>
    <w:rsid w:val="00555B06"/>
    <w:rsid w:val="00555B4F"/>
    <w:rsid w:val="00556D29"/>
    <w:rsid w:val="005574F1"/>
    <w:rsid w:val="005614DD"/>
    <w:rsid w:val="00567E8F"/>
    <w:rsid w:val="00567EAD"/>
    <w:rsid w:val="00572A40"/>
    <w:rsid w:val="00575045"/>
    <w:rsid w:val="005768C7"/>
    <w:rsid w:val="00584500"/>
    <w:rsid w:val="00586FDC"/>
    <w:rsid w:val="0059110C"/>
    <w:rsid w:val="005A0733"/>
    <w:rsid w:val="005A1E27"/>
    <w:rsid w:val="005A261C"/>
    <w:rsid w:val="005A539D"/>
    <w:rsid w:val="005B1C7F"/>
    <w:rsid w:val="005B1F7A"/>
    <w:rsid w:val="005B207C"/>
    <w:rsid w:val="005C04E4"/>
    <w:rsid w:val="005C5725"/>
    <w:rsid w:val="005D11B0"/>
    <w:rsid w:val="005D25FE"/>
    <w:rsid w:val="005D371A"/>
    <w:rsid w:val="005D3F24"/>
    <w:rsid w:val="005D6C35"/>
    <w:rsid w:val="005E3F38"/>
    <w:rsid w:val="005E5B38"/>
    <w:rsid w:val="005E7CC5"/>
    <w:rsid w:val="005F2C03"/>
    <w:rsid w:val="005F6FD2"/>
    <w:rsid w:val="005F7FC1"/>
    <w:rsid w:val="00602AFA"/>
    <w:rsid w:val="00605ABD"/>
    <w:rsid w:val="00614D9B"/>
    <w:rsid w:val="006168F8"/>
    <w:rsid w:val="0062107F"/>
    <w:rsid w:val="00621EB2"/>
    <w:rsid w:val="006244C4"/>
    <w:rsid w:val="00624EDB"/>
    <w:rsid w:val="00634C2A"/>
    <w:rsid w:val="00635ED4"/>
    <w:rsid w:val="00636CCC"/>
    <w:rsid w:val="006436D9"/>
    <w:rsid w:val="00644FC2"/>
    <w:rsid w:val="006474DD"/>
    <w:rsid w:val="0065315E"/>
    <w:rsid w:val="006535C5"/>
    <w:rsid w:val="00653C8B"/>
    <w:rsid w:val="006550A5"/>
    <w:rsid w:val="00655F79"/>
    <w:rsid w:val="00656593"/>
    <w:rsid w:val="00672872"/>
    <w:rsid w:val="00680341"/>
    <w:rsid w:val="00682A95"/>
    <w:rsid w:val="006902C2"/>
    <w:rsid w:val="00690BA6"/>
    <w:rsid w:val="006A58B1"/>
    <w:rsid w:val="006A6591"/>
    <w:rsid w:val="006A6666"/>
    <w:rsid w:val="006B1FAE"/>
    <w:rsid w:val="006B31BA"/>
    <w:rsid w:val="006B4C39"/>
    <w:rsid w:val="006C0D39"/>
    <w:rsid w:val="006C4445"/>
    <w:rsid w:val="006C78F8"/>
    <w:rsid w:val="006D3039"/>
    <w:rsid w:val="006D54BC"/>
    <w:rsid w:val="006E5CBB"/>
    <w:rsid w:val="006F074B"/>
    <w:rsid w:val="006F33D7"/>
    <w:rsid w:val="00700E3A"/>
    <w:rsid w:val="00701BD4"/>
    <w:rsid w:val="007133B7"/>
    <w:rsid w:val="00713437"/>
    <w:rsid w:val="00722FC2"/>
    <w:rsid w:val="007239E9"/>
    <w:rsid w:val="007265E1"/>
    <w:rsid w:val="007475C2"/>
    <w:rsid w:val="007523C1"/>
    <w:rsid w:val="00755411"/>
    <w:rsid w:val="00760BC4"/>
    <w:rsid w:val="007729A7"/>
    <w:rsid w:val="00782D30"/>
    <w:rsid w:val="007832D9"/>
    <w:rsid w:val="0079048D"/>
    <w:rsid w:val="00793722"/>
    <w:rsid w:val="00795887"/>
    <w:rsid w:val="007A46EF"/>
    <w:rsid w:val="007A5E99"/>
    <w:rsid w:val="007B2242"/>
    <w:rsid w:val="007B520F"/>
    <w:rsid w:val="007C18DF"/>
    <w:rsid w:val="007C1A34"/>
    <w:rsid w:val="007C6753"/>
    <w:rsid w:val="007D09D4"/>
    <w:rsid w:val="007D61F1"/>
    <w:rsid w:val="007E6FF3"/>
    <w:rsid w:val="007F24E7"/>
    <w:rsid w:val="0081499F"/>
    <w:rsid w:val="00816669"/>
    <w:rsid w:val="00835AB5"/>
    <w:rsid w:val="008426D4"/>
    <w:rsid w:val="0084277C"/>
    <w:rsid w:val="00851F19"/>
    <w:rsid w:val="00855459"/>
    <w:rsid w:val="008564B2"/>
    <w:rsid w:val="00856861"/>
    <w:rsid w:val="008618C0"/>
    <w:rsid w:val="00864102"/>
    <w:rsid w:val="008705D3"/>
    <w:rsid w:val="00872197"/>
    <w:rsid w:val="008730DF"/>
    <w:rsid w:val="00880340"/>
    <w:rsid w:val="00881140"/>
    <w:rsid w:val="00881AFA"/>
    <w:rsid w:val="00883DAB"/>
    <w:rsid w:val="0088437A"/>
    <w:rsid w:val="008907C2"/>
    <w:rsid w:val="00890B27"/>
    <w:rsid w:val="008B07A4"/>
    <w:rsid w:val="008B1FFF"/>
    <w:rsid w:val="008B2C3C"/>
    <w:rsid w:val="008B3EA0"/>
    <w:rsid w:val="008B5C8A"/>
    <w:rsid w:val="008D0805"/>
    <w:rsid w:val="008D1EFC"/>
    <w:rsid w:val="008E0005"/>
    <w:rsid w:val="008E2C4F"/>
    <w:rsid w:val="008E420C"/>
    <w:rsid w:val="008E6B5B"/>
    <w:rsid w:val="008F2048"/>
    <w:rsid w:val="0090342E"/>
    <w:rsid w:val="00915223"/>
    <w:rsid w:val="00917BBA"/>
    <w:rsid w:val="009248F3"/>
    <w:rsid w:val="0093511F"/>
    <w:rsid w:val="00936260"/>
    <w:rsid w:val="009378AA"/>
    <w:rsid w:val="00963126"/>
    <w:rsid w:val="00965FC0"/>
    <w:rsid w:val="009665F4"/>
    <w:rsid w:val="009763F4"/>
    <w:rsid w:val="00976D24"/>
    <w:rsid w:val="00987063"/>
    <w:rsid w:val="00991F4B"/>
    <w:rsid w:val="00993595"/>
    <w:rsid w:val="009949B7"/>
    <w:rsid w:val="00994AD6"/>
    <w:rsid w:val="00996B3F"/>
    <w:rsid w:val="009973BD"/>
    <w:rsid w:val="009A56AF"/>
    <w:rsid w:val="009B0AB7"/>
    <w:rsid w:val="009B1E78"/>
    <w:rsid w:val="009B41B4"/>
    <w:rsid w:val="009B51F6"/>
    <w:rsid w:val="009B5C0B"/>
    <w:rsid w:val="009B62C8"/>
    <w:rsid w:val="009D2795"/>
    <w:rsid w:val="009D5E1C"/>
    <w:rsid w:val="009E1282"/>
    <w:rsid w:val="009E4D78"/>
    <w:rsid w:val="009F156A"/>
    <w:rsid w:val="009F30EC"/>
    <w:rsid w:val="00A01196"/>
    <w:rsid w:val="00A02B78"/>
    <w:rsid w:val="00A03B59"/>
    <w:rsid w:val="00A05050"/>
    <w:rsid w:val="00A13910"/>
    <w:rsid w:val="00A265F9"/>
    <w:rsid w:val="00A30161"/>
    <w:rsid w:val="00A30870"/>
    <w:rsid w:val="00A324EF"/>
    <w:rsid w:val="00A364BE"/>
    <w:rsid w:val="00A41126"/>
    <w:rsid w:val="00A428A1"/>
    <w:rsid w:val="00A431EC"/>
    <w:rsid w:val="00A54C49"/>
    <w:rsid w:val="00A7140F"/>
    <w:rsid w:val="00A73CED"/>
    <w:rsid w:val="00A7780C"/>
    <w:rsid w:val="00A932F5"/>
    <w:rsid w:val="00A94A60"/>
    <w:rsid w:val="00AA1B1F"/>
    <w:rsid w:val="00AA5ECD"/>
    <w:rsid w:val="00AB0279"/>
    <w:rsid w:val="00AB064B"/>
    <w:rsid w:val="00AB2ADA"/>
    <w:rsid w:val="00AC5EC6"/>
    <w:rsid w:val="00AD54BC"/>
    <w:rsid w:val="00AD5DC0"/>
    <w:rsid w:val="00AD764F"/>
    <w:rsid w:val="00B04727"/>
    <w:rsid w:val="00B04AD3"/>
    <w:rsid w:val="00B06CA4"/>
    <w:rsid w:val="00B1010C"/>
    <w:rsid w:val="00B1186E"/>
    <w:rsid w:val="00B1211F"/>
    <w:rsid w:val="00B131D1"/>
    <w:rsid w:val="00B13320"/>
    <w:rsid w:val="00B218EF"/>
    <w:rsid w:val="00B27A4D"/>
    <w:rsid w:val="00B308DE"/>
    <w:rsid w:val="00B37745"/>
    <w:rsid w:val="00B37C6C"/>
    <w:rsid w:val="00B4574F"/>
    <w:rsid w:val="00B466A0"/>
    <w:rsid w:val="00B46AB6"/>
    <w:rsid w:val="00B518AF"/>
    <w:rsid w:val="00B576D2"/>
    <w:rsid w:val="00B62369"/>
    <w:rsid w:val="00B62909"/>
    <w:rsid w:val="00B62945"/>
    <w:rsid w:val="00B62FE3"/>
    <w:rsid w:val="00B666BA"/>
    <w:rsid w:val="00B67B72"/>
    <w:rsid w:val="00B714C5"/>
    <w:rsid w:val="00B771C6"/>
    <w:rsid w:val="00B82065"/>
    <w:rsid w:val="00B82EA0"/>
    <w:rsid w:val="00B84AB8"/>
    <w:rsid w:val="00B907E8"/>
    <w:rsid w:val="00B92CCC"/>
    <w:rsid w:val="00B96475"/>
    <w:rsid w:val="00B97A03"/>
    <w:rsid w:val="00BA093B"/>
    <w:rsid w:val="00BA0B02"/>
    <w:rsid w:val="00BA1015"/>
    <w:rsid w:val="00BB07E7"/>
    <w:rsid w:val="00BC054A"/>
    <w:rsid w:val="00BC0F9B"/>
    <w:rsid w:val="00BC4375"/>
    <w:rsid w:val="00BD0EA1"/>
    <w:rsid w:val="00BD1AC4"/>
    <w:rsid w:val="00BD2380"/>
    <w:rsid w:val="00BD3FE5"/>
    <w:rsid w:val="00BD56A6"/>
    <w:rsid w:val="00BD6E3D"/>
    <w:rsid w:val="00BD71F1"/>
    <w:rsid w:val="00BE6FC8"/>
    <w:rsid w:val="00BE7C92"/>
    <w:rsid w:val="00BF1CF3"/>
    <w:rsid w:val="00C0710E"/>
    <w:rsid w:val="00C100B5"/>
    <w:rsid w:val="00C10E3D"/>
    <w:rsid w:val="00C1297C"/>
    <w:rsid w:val="00C13245"/>
    <w:rsid w:val="00C20397"/>
    <w:rsid w:val="00C20CFF"/>
    <w:rsid w:val="00C252CB"/>
    <w:rsid w:val="00C32200"/>
    <w:rsid w:val="00C34247"/>
    <w:rsid w:val="00C37572"/>
    <w:rsid w:val="00C54B12"/>
    <w:rsid w:val="00C668D3"/>
    <w:rsid w:val="00C6716B"/>
    <w:rsid w:val="00C83DCC"/>
    <w:rsid w:val="00C874AE"/>
    <w:rsid w:val="00C94DF0"/>
    <w:rsid w:val="00CA4DBE"/>
    <w:rsid w:val="00CC1FF9"/>
    <w:rsid w:val="00CC2402"/>
    <w:rsid w:val="00CC5BB6"/>
    <w:rsid w:val="00CC7EF5"/>
    <w:rsid w:val="00CD49BA"/>
    <w:rsid w:val="00CD4A73"/>
    <w:rsid w:val="00CE0DCB"/>
    <w:rsid w:val="00CE1C03"/>
    <w:rsid w:val="00CF0662"/>
    <w:rsid w:val="00CF1AC9"/>
    <w:rsid w:val="00D06E4A"/>
    <w:rsid w:val="00D136AE"/>
    <w:rsid w:val="00D13CEF"/>
    <w:rsid w:val="00D15F90"/>
    <w:rsid w:val="00D16384"/>
    <w:rsid w:val="00D164E9"/>
    <w:rsid w:val="00D24A62"/>
    <w:rsid w:val="00D25E9B"/>
    <w:rsid w:val="00D2775A"/>
    <w:rsid w:val="00D53C1F"/>
    <w:rsid w:val="00D604C1"/>
    <w:rsid w:val="00D77464"/>
    <w:rsid w:val="00D81CBC"/>
    <w:rsid w:val="00D9029F"/>
    <w:rsid w:val="00D94236"/>
    <w:rsid w:val="00DA0F30"/>
    <w:rsid w:val="00DA72F5"/>
    <w:rsid w:val="00DA77F3"/>
    <w:rsid w:val="00DB5FD8"/>
    <w:rsid w:val="00DB65B1"/>
    <w:rsid w:val="00DC5333"/>
    <w:rsid w:val="00DD23F6"/>
    <w:rsid w:val="00DD3260"/>
    <w:rsid w:val="00DE535C"/>
    <w:rsid w:val="00E06A0D"/>
    <w:rsid w:val="00E15DE1"/>
    <w:rsid w:val="00E201F8"/>
    <w:rsid w:val="00E21273"/>
    <w:rsid w:val="00E2227C"/>
    <w:rsid w:val="00E25239"/>
    <w:rsid w:val="00E30857"/>
    <w:rsid w:val="00E325AF"/>
    <w:rsid w:val="00E3457F"/>
    <w:rsid w:val="00E34B68"/>
    <w:rsid w:val="00E3775C"/>
    <w:rsid w:val="00E432EB"/>
    <w:rsid w:val="00E433A5"/>
    <w:rsid w:val="00E46C63"/>
    <w:rsid w:val="00E53029"/>
    <w:rsid w:val="00E55853"/>
    <w:rsid w:val="00E722BA"/>
    <w:rsid w:val="00E77FCF"/>
    <w:rsid w:val="00E82E9B"/>
    <w:rsid w:val="00E8565E"/>
    <w:rsid w:val="00E86F81"/>
    <w:rsid w:val="00E90D2D"/>
    <w:rsid w:val="00E947A0"/>
    <w:rsid w:val="00EB2A3E"/>
    <w:rsid w:val="00EB6B25"/>
    <w:rsid w:val="00EC691B"/>
    <w:rsid w:val="00ED067E"/>
    <w:rsid w:val="00ED0727"/>
    <w:rsid w:val="00ED18A2"/>
    <w:rsid w:val="00ED2478"/>
    <w:rsid w:val="00ED7EB5"/>
    <w:rsid w:val="00EE4755"/>
    <w:rsid w:val="00EE55AD"/>
    <w:rsid w:val="00EE5B29"/>
    <w:rsid w:val="00EF7E1D"/>
    <w:rsid w:val="00F01246"/>
    <w:rsid w:val="00F03112"/>
    <w:rsid w:val="00F035EA"/>
    <w:rsid w:val="00F041EA"/>
    <w:rsid w:val="00F05FF1"/>
    <w:rsid w:val="00F1742F"/>
    <w:rsid w:val="00F2274C"/>
    <w:rsid w:val="00F23239"/>
    <w:rsid w:val="00F23908"/>
    <w:rsid w:val="00F32EDC"/>
    <w:rsid w:val="00F368D9"/>
    <w:rsid w:val="00F43B41"/>
    <w:rsid w:val="00F4454E"/>
    <w:rsid w:val="00F54D87"/>
    <w:rsid w:val="00F567DB"/>
    <w:rsid w:val="00F572EB"/>
    <w:rsid w:val="00F616DB"/>
    <w:rsid w:val="00F67445"/>
    <w:rsid w:val="00F7204A"/>
    <w:rsid w:val="00F73E05"/>
    <w:rsid w:val="00F804A7"/>
    <w:rsid w:val="00F851A3"/>
    <w:rsid w:val="00F857A0"/>
    <w:rsid w:val="00F87108"/>
    <w:rsid w:val="00F94E9F"/>
    <w:rsid w:val="00FA21B6"/>
    <w:rsid w:val="00FA41CC"/>
    <w:rsid w:val="00FA7DAC"/>
    <w:rsid w:val="00FB0DC6"/>
    <w:rsid w:val="00FB1E83"/>
    <w:rsid w:val="00FB5CC2"/>
    <w:rsid w:val="00FC23D8"/>
    <w:rsid w:val="00FC5DA7"/>
    <w:rsid w:val="00FC6CE4"/>
    <w:rsid w:val="00FD74B6"/>
    <w:rsid w:val="00FE20FD"/>
    <w:rsid w:val="00FE2F29"/>
    <w:rsid w:val="00FF0EFA"/>
    <w:rsid w:val="00FF2395"/>
    <w:rsid w:val="00FF43D7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7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2B516A"/>
    <w:pPr>
      <w:widowControl w:val="0"/>
      <w:numPr>
        <w:numId w:val="23"/>
      </w:numPr>
      <w:tabs>
        <w:tab w:val="left" w:pos="1380"/>
      </w:tabs>
      <w:spacing w:before="97" w:after="200" w:line="225" w:lineRule="auto"/>
      <w:ind w:right="108"/>
    </w:pPr>
    <w:rPr>
      <w:rFonts w:ascii="Calibri" w:eastAsia="Times New Roman" w:hAnsi="Calibri"/>
      <w:spacing w:val="-1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6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6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2B516A"/>
    <w:rPr>
      <w:rFonts w:ascii="Calibri" w:eastAsia="Times New Roman" w:hAnsi="Calibri"/>
      <w:spacing w:val="-1"/>
      <w:lang w:val="en-US" w:eastAsia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FE2F29"/>
    <w:pPr>
      <w:widowControl w:val="0"/>
      <w:spacing w:before="20" w:after="0"/>
      <w:ind w:left="74"/>
      <w:jc w:val="center"/>
    </w:pPr>
    <w:rPr>
      <w:rFonts w:ascii="Arial" w:eastAsiaTheme="minorHAnsi"/>
      <w:b/>
      <w:spacing w:val="-1"/>
      <w:sz w:val="20"/>
      <w:lang w:val="en-US" w:eastAsia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FE2F29"/>
    <w:rPr>
      <w:rFonts w:ascii="Arial" w:eastAsiaTheme="minorHAnsi"/>
      <w:b/>
      <w:spacing w:val="-1"/>
      <w:sz w:val="20"/>
      <w:lang w:val="en-US" w:eastAsia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FE2F29"/>
    <w:pPr>
      <w:keepNext/>
      <w:widowControl w:val="0"/>
      <w:spacing w:before="200"/>
      <w:jc w:val="center"/>
    </w:pPr>
    <w:rPr>
      <w:rFonts w:ascii="Arial" w:eastAsia="Arial" w:hAnsi="Arial" w:cs="Arial"/>
      <w:b/>
      <w:bCs/>
      <w:spacing w:val="-5"/>
      <w:sz w:val="20"/>
      <w:szCs w:val="20"/>
      <w:lang w:val="en-US" w:eastAsia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FE2F29"/>
    <w:rPr>
      <w:rFonts w:ascii="Arial" w:eastAsia="Arial" w:hAnsi="Arial" w:cs="Arial"/>
      <w:b/>
      <w:bCs/>
      <w:spacing w:val="-5"/>
      <w:sz w:val="20"/>
      <w:szCs w:val="20"/>
      <w:lang w:val="en-US" w:eastAsia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FE2F29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FE2F29"/>
    <w:rPr>
      <w:rFonts w:ascii="Calibri" w:eastAsia="Times New Roman" w:hAnsi="Calibri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5C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75C2"/>
    <w:pPr>
      <w:tabs>
        <w:tab w:val="center" w:pos="4513"/>
        <w:tab w:val="right" w:pos="9026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75C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75C2"/>
    <w:pPr>
      <w:jc w:val="both"/>
    </w:pPr>
    <w:rPr>
      <w:rFonts w:ascii="Calibri" w:hAnsi="Calibri"/>
      <w:b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75C2"/>
    <w:rPr>
      <w:rFonts w:ascii="Calibri" w:hAnsi="Calibri"/>
      <w:b/>
      <w:lang w:eastAsia="en-US"/>
    </w:rPr>
  </w:style>
  <w:style w:type="paragraph" w:customStyle="1" w:styleId="OutlineNumberedLevel1">
    <w:name w:val="Outline Numbered Level 1"/>
    <w:basedOn w:val="Title"/>
    <w:link w:val="OutlineNumberedLevel1Char"/>
    <w:qFormat/>
    <w:rsid w:val="007475C2"/>
    <w:pPr>
      <w:numPr>
        <w:numId w:val="7"/>
      </w:numPr>
    </w:pPr>
    <w:rPr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7475C2"/>
    <w:pPr>
      <w:numPr>
        <w:ilvl w:val="1"/>
      </w:numPr>
    </w:pPr>
  </w:style>
  <w:style w:type="character" w:customStyle="1" w:styleId="OutlineNumberedLevel1Char">
    <w:name w:val="Outline Numbered Level 1 Char"/>
    <w:basedOn w:val="TitleChar"/>
    <w:link w:val="OutlineNumberedLevel1"/>
    <w:rsid w:val="007475C2"/>
    <w:rPr>
      <w:rFonts w:ascii="Calibri" w:hAnsi="Calibri"/>
      <w:b w:val="0"/>
      <w:lang w:eastAsia="en-US"/>
    </w:rPr>
  </w:style>
  <w:style w:type="paragraph" w:customStyle="1" w:styleId="Note">
    <w:name w:val="Note"/>
    <w:basedOn w:val="Normal"/>
    <w:link w:val="NoteChar"/>
    <w:qFormat/>
    <w:rsid w:val="00430866"/>
    <w:pPr>
      <w:ind w:left="720"/>
    </w:pPr>
    <w:rPr>
      <w:i/>
      <w:sz w:val="20"/>
      <w:szCs w:val="20"/>
      <w:lang w:eastAsia="en-US"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7475C2"/>
    <w:rPr>
      <w:rFonts w:ascii="Calibri" w:hAnsi="Calibri"/>
      <w:b w:val="0"/>
      <w:lang w:eastAsia="en-US"/>
    </w:rPr>
  </w:style>
  <w:style w:type="paragraph" w:customStyle="1" w:styleId="OutlineNumnberedLevel3">
    <w:name w:val="Outline Numnbered Level 3"/>
    <w:basedOn w:val="OutlineNumberedLevel2"/>
    <w:link w:val="OutlineNumnberedLevel3Char"/>
    <w:rsid w:val="007475C2"/>
  </w:style>
  <w:style w:type="character" w:customStyle="1" w:styleId="NoteChar">
    <w:name w:val="Note Char"/>
    <w:basedOn w:val="DefaultParagraphFont"/>
    <w:link w:val="Note"/>
    <w:rsid w:val="00430866"/>
    <w:rPr>
      <w:i/>
      <w:sz w:val="20"/>
      <w:szCs w:val="20"/>
      <w:lang w:eastAsia="en-US"/>
    </w:rPr>
  </w:style>
  <w:style w:type="paragraph" w:customStyle="1" w:styleId="OUtlineLevel4">
    <w:name w:val="OUtline Level 4"/>
    <w:basedOn w:val="OutlineNumnberedLevel3"/>
    <w:link w:val="OUtlineLevel4Char"/>
    <w:qFormat/>
    <w:rsid w:val="007475C2"/>
    <w:pPr>
      <w:numPr>
        <w:ilvl w:val="3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7475C2"/>
    <w:rPr>
      <w:rFonts w:ascii="Calibri" w:hAnsi="Calibri"/>
      <w:b w:val="0"/>
      <w:lang w:eastAsia="en-US"/>
    </w:rPr>
  </w:style>
  <w:style w:type="table" w:styleId="TableGrid">
    <w:name w:val="Table Grid"/>
    <w:basedOn w:val="TableNormal"/>
    <w:uiPriority w:val="59"/>
    <w:rsid w:val="007475C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ineLevel4Char">
    <w:name w:val="OUtline Level 4 Char"/>
    <w:basedOn w:val="OutlineNumnberedLevel3Char"/>
    <w:link w:val="OUtlineLevel4"/>
    <w:rsid w:val="007475C2"/>
    <w:rPr>
      <w:rFonts w:ascii="Calibri" w:hAnsi="Calibri"/>
      <w:b w:val="0"/>
      <w:lang w:eastAsia="en-US"/>
    </w:rPr>
  </w:style>
  <w:style w:type="paragraph" w:customStyle="1" w:styleId="Sectionheading">
    <w:name w:val="Section heading"/>
    <w:basedOn w:val="ListParagraph"/>
    <w:link w:val="SectionheadingChar"/>
    <w:qFormat/>
    <w:rsid w:val="007475C2"/>
    <w:pPr>
      <w:numPr>
        <w:numId w:val="1"/>
      </w:numPr>
    </w:pPr>
    <w:rPr>
      <w:b/>
      <w:lang w:eastAsia="en-US"/>
    </w:rPr>
  </w:style>
  <w:style w:type="paragraph" w:customStyle="1" w:styleId="TableBullet">
    <w:name w:val="Table Bullet"/>
    <w:basedOn w:val="ListParagraph"/>
    <w:link w:val="TableBulletChar"/>
    <w:qFormat/>
    <w:rsid w:val="007475C2"/>
    <w:pPr>
      <w:numPr>
        <w:numId w:val="2"/>
      </w:numPr>
      <w:spacing w:after="0" w:line="240" w:lineRule="auto"/>
    </w:pPr>
    <w:rPr>
      <w:lang w:eastAsia="en-US"/>
    </w:rPr>
  </w:style>
  <w:style w:type="character" w:customStyle="1" w:styleId="SectionheadingChar">
    <w:name w:val="Section heading Char"/>
    <w:basedOn w:val="DefaultParagraphFont"/>
    <w:link w:val="Sectionheading"/>
    <w:rsid w:val="007475C2"/>
    <w:rPr>
      <w:b/>
      <w:lang w:eastAsia="en-US"/>
    </w:rPr>
  </w:style>
  <w:style w:type="character" w:customStyle="1" w:styleId="TableBulletChar">
    <w:name w:val="Table Bullet Char"/>
    <w:basedOn w:val="DefaultParagraphFont"/>
    <w:link w:val="TableBullet"/>
    <w:rsid w:val="007475C2"/>
    <w:rPr>
      <w:lang w:eastAsia="en-US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7475C2"/>
    <w:pPr>
      <w:ind w:left="426"/>
    </w:pPr>
    <w:rPr>
      <w:lang w:eastAsia="en-US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7475C2"/>
    <w:rPr>
      <w:lang w:eastAsia="en-US"/>
    </w:rPr>
  </w:style>
  <w:style w:type="paragraph" w:customStyle="1" w:styleId="TableCaption">
    <w:name w:val="Table Caption"/>
    <w:basedOn w:val="Caption"/>
    <w:link w:val="TableCaptionChar"/>
    <w:qFormat/>
    <w:rsid w:val="007475C2"/>
    <w:pPr>
      <w:keepNext/>
      <w:jc w:val="center"/>
    </w:pPr>
    <w:rPr>
      <w:color w:val="auto"/>
      <w:sz w:val="22"/>
      <w:szCs w:val="22"/>
      <w:lang w:eastAsia="en-US"/>
    </w:rPr>
  </w:style>
  <w:style w:type="paragraph" w:customStyle="1" w:styleId="Notebodytext">
    <w:name w:val="Note body text"/>
    <w:basedOn w:val="Note"/>
    <w:link w:val="NotebodytextChar"/>
    <w:qFormat/>
    <w:rsid w:val="007475C2"/>
    <w:pPr>
      <w:ind w:left="993"/>
    </w:pPr>
  </w:style>
  <w:style w:type="character" w:customStyle="1" w:styleId="TableCaptionChar">
    <w:name w:val="Table Caption Char"/>
    <w:basedOn w:val="DefaultParagraphFont"/>
    <w:link w:val="TableCaption"/>
    <w:rsid w:val="007475C2"/>
    <w:rPr>
      <w:b/>
      <w:bCs/>
      <w:lang w:eastAsia="en-US"/>
    </w:rPr>
  </w:style>
  <w:style w:type="character" w:customStyle="1" w:styleId="NotebodytextChar">
    <w:name w:val="Note body text Char"/>
    <w:basedOn w:val="NoteChar"/>
    <w:link w:val="Notebodytext"/>
    <w:rsid w:val="007475C2"/>
    <w:rPr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475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475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649E"/>
    <w:pPr>
      <w:spacing w:after="0" w:line="240" w:lineRule="auto"/>
    </w:pPr>
  </w:style>
  <w:style w:type="paragraph" w:customStyle="1" w:styleId="iOutlinelevel3">
    <w:name w:val="(i) Outline level 3"/>
    <w:basedOn w:val="OutlineNumnberedLevel3"/>
    <w:qFormat/>
    <w:rsid w:val="006550A5"/>
    <w:pPr>
      <w:numPr>
        <w:ilvl w:val="0"/>
        <w:numId w:val="0"/>
      </w:numPr>
      <w:ind w:left="1446" w:hanging="312"/>
    </w:pPr>
  </w:style>
  <w:style w:type="paragraph" w:customStyle="1" w:styleId="Body">
    <w:name w:val="Body"/>
    <w:autoRedefine/>
    <w:rsid w:val="00BE6FC8"/>
    <w:pPr>
      <w:numPr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US"/>
    </w:rPr>
  </w:style>
  <w:style w:type="paragraph" w:customStyle="1" w:styleId="TableHeading">
    <w:name w:val="TableHeading"/>
    <w:basedOn w:val="Body"/>
    <w:autoRedefine/>
    <w:rsid w:val="00BE6FC8"/>
    <w:pPr>
      <w:keepNext/>
      <w:numPr>
        <w:numId w:val="5"/>
      </w:numPr>
      <w:spacing w:before="80" w:after="40"/>
      <w:jc w:val="center"/>
    </w:pPr>
    <w:rPr>
      <w:b w:val="0"/>
      <w:sz w:val="18"/>
    </w:rPr>
  </w:style>
  <w:style w:type="paragraph" w:customStyle="1" w:styleId="TableCellRow">
    <w:name w:val="TableCellRow"/>
    <w:autoRedefine/>
    <w:rsid w:val="00BE6FC8"/>
    <w:pPr>
      <w:widowControl w:val="0"/>
      <w:numPr>
        <w:ilvl w:val="1"/>
        <w:numId w:val="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CellCenter">
    <w:name w:val="TableCellCenter"/>
    <w:autoRedefine/>
    <w:rsid w:val="00BE6FC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 w:eastAsia="en-US"/>
    </w:rPr>
  </w:style>
  <w:style w:type="paragraph" w:customStyle="1" w:styleId="List1">
    <w:name w:val="List1"/>
    <w:autoRedefine/>
    <w:rsid w:val="00BE6FC8"/>
    <w:pPr>
      <w:numPr>
        <w:ilvl w:val="1"/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List2">
    <w:name w:val="List2"/>
    <w:basedOn w:val="Body"/>
    <w:autoRedefine/>
    <w:rsid w:val="00BE6FC8"/>
    <w:pPr>
      <w:numPr>
        <w:ilvl w:val="2"/>
      </w:numPr>
      <w:tabs>
        <w:tab w:val="clear" w:pos="1440"/>
      </w:tabs>
      <w:spacing w:before="40" w:after="40"/>
    </w:pPr>
  </w:style>
  <w:style w:type="paragraph" w:customStyle="1" w:styleId="List3">
    <w:name w:val="List3"/>
    <w:basedOn w:val="Body"/>
    <w:autoRedefine/>
    <w:rsid w:val="00BE6FC8"/>
    <w:pPr>
      <w:numPr>
        <w:ilvl w:val="3"/>
      </w:numPr>
      <w:tabs>
        <w:tab w:val="clear" w:pos="1440"/>
      </w:tabs>
      <w:spacing w:before="20" w:after="20"/>
    </w:pPr>
  </w:style>
  <w:style w:type="character" w:styleId="PlaceholderText">
    <w:name w:val="Placeholder Text"/>
    <w:basedOn w:val="DefaultParagraphFont"/>
    <w:uiPriority w:val="99"/>
    <w:semiHidden/>
    <w:rsid w:val="00BE6FC8"/>
    <w:rPr>
      <w:color w:val="808080"/>
    </w:rPr>
  </w:style>
  <w:style w:type="paragraph" w:customStyle="1" w:styleId="OUtlinelevel3i">
    <w:name w:val="OUtline level 3 (i)"/>
    <w:basedOn w:val="Normal"/>
    <w:qFormat/>
    <w:rsid w:val="00584500"/>
    <w:pPr>
      <w:ind w:left="1446" w:hanging="312"/>
      <w:jc w:val="both"/>
    </w:pPr>
    <w:rPr>
      <w:rFonts w:ascii="Calibri" w:hAnsi="Calibri"/>
      <w:lang w:eastAsia="en-US"/>
    </w:rPr>
  </w:style>
  <w:style w:type="paragraph" w:customStyle="1" w:styleId="Bodylevel11subheading-QldSI">
    <w:name w:val="Body level 1(1) subheading - Qld SI"/>
    <w:basedOn w:val="BodyText"/>
    <w:link w:val="Bodylevel11subheading-QldSIChar"/>
    <w:autoRedefine/>
    <w:uiPriority w:val="1"/>
    <w:qFormat/>
    <w:rsid w:val="002B516A"/>
    <w:pPr>
      <w:widowControl w:val="0"/>
      <w:numPr>
        <w:numId w:val="23"/>
      </w:numPr>
      <w:tabs>
        <w:tab w:val="left" w:pos="1380"/>
      </w:tabs>
      <w:spacing w:before="97" w:after="200" w:line="225" w:lineRule="auto"/>
      <w:ind w:right="108"/>
    </w:pPr>
    <w:rPr>
      <w:rFonts w:ascii="Calibri" w:eastAsia="Times New Roman" w:hAnsi="Calibri"/>
      <w:spacing w:val="-1"/>
      <w:lang w:val="en-US" w:eastAsia="en-US"/>
    </w:rPr>
  </w:style>
  <w:style w:type="paragraph" w:customStyle="1" w:styleId="Bodylevel2asubheading-QldSI">
    <w:name w:val="Body level 2(a) subheading - Qld SI"/>
    <w:basedOn w:val="BodyText"/>
    <w:link w:val="Bodylevel2asubheading-QldSIChar"/>
    <w:autoRedefine/>
    <w:uiPriority w:val="1"/>
    <w:qFormat/>
    <w:rsid w:val="005D371A"/>
    <w:pPr>
      <w:widowControl w:val="0"/>
      <w:numPr>
        <w:ilvl w:val="2"/>
        <w:numId w:val="6"/>
      </w:numPr>
      <w:tabs>
        <w:tab w:val="left" w:pos="1932"/>
      </w:tabs>
      <w:spacing w:before="103" w:after="0"/>
      <w:jc w:val="both"/>
    </w:pPr>
    <w:rPr>
      <w:rFonts w:ascii="Calibri" w:eastAsia="Times New Roman" w:hAnsi="Calibri"/>
      <w:spacing w:val="-1"/>
      <w:sz w:val="24"/>
      <w:szCs w:val="24"/>
      <w:lang w:val="en-US" w:eastAsia="en-US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D371A"/>
    <w:rPr>
      <w:rFonts w:ascii="Calibri" w:eastAsia="Times New Roman" w:hAnsi="Calibri"/>
      <w:spacing w:val="-1"/>
      <w:sz w:val="24"/>
      <w:szCs w:val="24"/>
      <w:lang w:val="en-US" w:eastAsia="en-US"/>
    </w:rPr>
  </w:style>
  <w:style w:type="paragraph" w:customStyle="1" w:styleId="Sectionheading-QldSI">
    <w:name w:val="Section heading - Qld SI"/>
    <w:basedOn w:val="Normal"/>
    <w:autoRedefine/>
    <w:uiPriority w:val="1"/>
    <w:qFormat/>
    <w:rsid w:val="005D371A"/>
    <w:pPr>
      <w:widowControl w:val="0"/>
      <w:numPr>
        <w:numId w:val="6"/>
      </w:numPr>
      <w:tabs>
        <w:tab w:val="left" w:pos="911"/>
      </w:tabs>
      <w:spacing w:before="200" w:after="0"/>
    </w:pPr>
    <w:rPr>
      <w:rFonts w:ascii="Arial" w:eastAsiaTheme="minorHAnsi"/>
      <w:b/>
      <w:sz w:val="23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7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71A"/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2B516A"/>
    <w:rPr>
      <w:rFonts w:ascii="Calibri" w:eastAsia="Times New Roman" w:hAnsi="Calibri"/>
      <w:spacing w:val="-1"/>
      <w:lang w:val="en-US" w:eastAsia="en-US"/>
    </w:rPr>
  </w:style>
  <w:style w:type="paragraph" w:customStyle="1" w:styleId="Tablefirstrowheading-QldSI">
    <w:name w:val="Table first row heading - Qld SI"/>
    <w:basedOn w:val="Normal"/>
    <w:link w:val="Tablefirstrowheading-QldSIChar"/>
    <w:autoRedefine/>
    <w:uiPriority w:val="1"/>
    <w:qFormat/>
    <w:rsid w:val="00FE2F29"/>
    <w:pPr>
      <w:widowControl w:val="0"/>
      <w:spacing w:before="20" w:after="0"/>
      <w:ind w:left="74"/>
      <w:jc w:val="center"/>
    </w:pPr>
    <w:rPr>
      <w:rFonts w:ascii="Arial" w:eastAsiaTheme="minorHAnsi"/>
      <w:b/>
      <w:spacing w:val="-1"/>
      <w:sz w:val="20"/>
      <w:lang w:val="en-US" w:eastAsia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FE2F29"/>
    <w:rPr>
      <w:rFonts w:ascii="Arial" w:eastAsiaTheme="minorHAnsi"/>
      <w:b/>
      <w:spacing w:val="-1"/>
      <w:sz w:val="20"/>
      <w:lang w:val="en-US" w:eastAsia="en-US"/>
    </w:rPr>
  </w:style>
  <w:style w:type="paragraph" w:customStyle="1" w:styleId="Tableheading-QldSI">
    <w:name w:val="Table heading - Qld SI"/>
    <w:basedOn w:val="Normal"/>
    <w:link w:val="Tableheading-QldSIChar"/>
    <w:autoRedefine/>
    <w:uiPriority w:val="1"/>
    <w:qFormat/>
    <w:rsid w:val="00FE2F29"/>
    <w:pPr>
      <w:keepNext/>
      <w:widowControl w:val="0"/>
      <w:spacing w:before="200"/>
      <w:jc w:val="center"/>
    </w:pPr>
    <w:rPr>
      <w:rFonts w:ascii="Arial" w:eastAsia="Arial" w:hAnsi="Arial" w:cs="Arial"/>
      <w:b/>
      <w:bCs/>
      <w:spacing w:val="-5"/>
      <w:sz w:val="20"/>
      <w:szCs w:val="20"/>
      <w:lang w:val="en-US" w:eastAsia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FE2F29"/>
    <w:rPr>
      <w:rFonts w:ascii="Arial" w:eastAsia="Arial" w:hAnsi="Arial" w:cs="Arial"/>
      <w:b/>
      <w:bCs/>
      <w:spacing w:val="-5"/>
      <w:sz w:val="20"/>
      <w:szCs w:val="20"/>
      <w:lang w:val="en-US" w:eastAsia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FE2F29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FE2F29"/>
    <w:rPr>
      <w:rFonts w:ascii="Calibri" w:eastAsia="Times New Roman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9512-944B-4E96-BE11-0C9AF7B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Chua</dc:creator>
  <cp:lastModifiedBy>Robert Crapnell</cp:lastModifiedBy>
  <cp:revision>11</cp:revision>
  <cp:lastPrinted>2018-01-25T01:43:00Z</cp:lastPrinted>
  <dcterms:created xsi:type="dcterms:W3CDTF">2018-12-14T00:15:00Z</dcterms:created>
  <dcterms:modified xsi:type="dcterms:W3CDTF">2018-12-14T05:03:00Z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A17155778</vt:lpwstr>
  </property>
  <property fmtid="{D5CDD505-2E9C-101B-9397-08002B2CF9AE}" pid="4" name="Objective-Title">
    <vt:lpwstr>NSW Cl3 Baled Ag Commodities Notice 2017 v0.2</vt:lpwstr>
  </property>
  <property fmtid="{D5CDD505-2E9C-101B-9397-08002B2CF9AE}" pid="5" name="Objective-Comment">
    <vt:lpwstr/>
  </property>
  <property fmtid="{D5CDD505-2E9C-101B-9397-08002B2CF9AE}" pid="6" name="Objective-CreationStamp">
    <vt:filetime>2017-04-20T22:37:25Z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2017-04-20T22:37:25Z</vt:filetime>
  </property>
  <property fmtid="{D5CDD505-2E9C-101B-9397-08002B2CF9AE}" pid="10" name="Objective-ModificationStamp">
    <vt:filetime>2017-04-20T22:37:26Z</vt:filetime>
  </property>
  <property fmtid="{D5CDD505-2E9C-101B-9397-08002B2CF9AE}" pid="11" name="Objective-Owner">
    <vt:lpwstr>MCGREGOR Luke</vt:lpwstr>
  </property>
  <property fmtid="{D5CDD505-2E9C-101B-9397-08002B2CF9AE}" pid="12" name="Objective-Path">
    <vt:lpwstr>Global Folder:RMS Global Folder:LICENSING, REGISTRATION &amp; REGULATION:Policy:Heavy Vehicles Operational Policies:OPU3 - Class 3 Vehicles:OPU344 - Class 3 Baled Agricultural Commodities Notice:</vt:lpwstr>
  </property>
  <property fmtid="{D5CDD505-2E9C-101B-9397-08002B2CF9AE}" pid="13" name="Objective-Parent">
    <vt:lpwstr>OPU344 - Class 3 Baled Agricultural Commodities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SF2016/194884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issemination Limiting Marker (DLM) [system]">
    <vt:lpwstr/>
  </property>
</Properties>
</file>