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6A" w:rsidRDefault="0057306A">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7pt;height:80.85pt" o:ole="" fillcolor="window">
            <v:imagedata r:id="rId9" o:title=""/>
          </v:shape>
          <o:OLEObject Type="Embed" ProgID="Word.Picture.8" ShapeID="_x0000_i1025" DrawAspect="Content" ObjectID="_1614061319" r:id="rId10"/>
        </w:object>
      </w:r>
    </w:p>
    <w:p w:rsidR="0057306A" w:rsidRDefault="0057306A"/>
    <w:p w:rsidR="0057306A" w:rsidRDefault="0057306A" w:rsidP="0057306A">
      <w:pPr>
        <w:spacing w:line="240" w:lineRule="auto"/>
      </w:pPr>
    </w:p>
    <w:p w:rsidR="0057306A" w:rsidRDefault="0057306A" w:rsidP="0057306A"/>
    <w:p w:rsidR="0057306A" w:rsidRDefault="0057306A" w:rsidP="0057306A"/>
    <w:p w:rsidR="0057306A" w:rsidRDefault="0057306A" w:rsidP="0057306A"/>
    <w:p w:rsidR="0057306A" w:rsidRDefault="0057306A" w:rsidP="0057306A"/>
    <w:p w:rsidR="0048364F" w:rsidRPr="00A9469D" w:rsidRDefault="00E3775E" w:rsidP="0048364F">
      <w:pPr>
        <w:pStyle w:val="ShortT"/>
      </w:pPr>
      <w:r w:rsidRPr="00A9469D">
        <w:t>Industria</w:t>
      </w:r>
      <w:bookmarkStart w:id="0" w:name="_GoBack"/>
      <w:bookmarkEnd w:id="0"/>
      <w:r w:rsidRPr="00A9469D">
        <w:t>l Chemicals (Consequential Amendments and Transitional Provisions)</w:t>
      </w:r>
      <w:r w:rsidR="00C164CA" w:rsidRPr="00A9469D">
        <w:t xml:space="preserve"> </w:t>
      </w:r>
      <w:r w:rsidR="0057306A">
        <w:t>Act</w:t>
      </w:r>
      <w:r w:rsidR="00C164CA" w:rsidRPr="00A9469D">
        <w:t xml:space="preserve"> 201</w:t>
      </w:r>
      <w:r w:rsidR="0025375B">
        <w:t>9</w:t>
      </w:r>
    </w:p>
    <w:p w:rsidR="0048364F" w:rsidRPr="00A9469D" w:rsidRDefault="0048364F" w:rsidP="0048364F"/>
    <w:p w:rsidR="0048364F" w:rsidRPr="00A9469D" w:rsidRDefault="00C164CA" w:rsidP="0057306A">
      <w:pPr>
        <w:pStyle w:val="Actno"/>
        <w:spacing w:before="400"/>
      </w:pPr>
      <w:r w:rsidRPr="00A9469D">
        <w:t>No.</w:t>
      </w:r>
      <w:r w:rsidR="00FA3665">
        <w:t xml:space="preserve"> 13</w:t>
      </w:r>
      <w:r w:rsidRPr="00A9469D">
        <w:t>, 201</w:t>
      </w:r>
      <w:r w:rsidR="0025375B">
        <w:t>9</w:t>
      </w:r>
    </w:p>
    <w:p w:rsidR="00516997" w:rsidRPr="00A9469D" w:rsidRDefault="00516997" w:rsidP="00516997"/>
    <w:p w:rsidR="0057306A" w:rsidRDefault="0057306A" w:rsidP="0057306A"/>
    <w:p w:rsidR="0057306A" w:rsidRDefault="0057306A" w:rsidP="0057306A"/>
    <w:p w:rsidR="0057306A" w:rsidRDefault="0057306A" w:rsidP="0057306A"/>
    <w:p w:rsidR="0057306A" w:rsidRDefault="0057306A" w:rsidP="0057306A"/>
    <w:p w:rsidR="0048364F" w:rsidRPr="00A9469D" w:rsidRDefault="0057306A" w:rsidP="0048364F">
      <w:pPr>
        <w:pStyle w:val="LongT"/>
      </w:pPr>
      <w:r>
        <w:t>An Act</w:t>
      </w:r>
      <w:r w:rsidR="0048364F" w:rsidRPr="00A9469D">
        <w:t xml:space="preserve"> to </w:t>
      </w:r>
      <w:r w:rsidR="00E3775E" w:rsidRPr="00A9469D">
        <w:t xml:space="preserve">deal with consequential and transitional matters arising from the enactment of the </w:t>
      </w:r>
      <w:r w:rsidR="00E3775E" w:rsidRPr="00A9469D">
        <w:rPr>
          <w:i/>
        </w:rPr>
        <w:t>Industrial Chemicals Act 201</w:t>
      </w:r>
      <w:r w:rsidR="00B838DB">
        <w:rPr>
          <w:i/>
        </w:rPr>
        <w:t>9</w:t>
      </w:r>
      <w:r w:rsidR="0048364F" w:rsidRPr="00A9469D">
        <w:t>, and for related purposes</w:t>
      </w:r>
    </w:p>
    <w:p w:rsidR="009277B3" w:rsidRPr="00A9469D" w:rsidRDefault="009277B3" w:rsidP="009277B3">
      <w:pPr>
        <w:pStyle w:val="Header"/>
        <w:tabs>
          <w:tab w:val="clear" w:pos="4150"/>
          <w:tab w:val="clear" w:pos="8307"/>
        </w:tabs>
      </w:pPr>
      <w:r w:rsidRPr="00A9469D">
        <w:rPr>
          <w:rStyle w:val="CharAmSchNo"/>
        </w:rPr>
        <w:t xml:space="preserve"> </w:t>
      </w:r>
      <w:r w:rsidRPr="00A9469D">
        <w:rPr>
          <w:rStyle w:val="CharAmSchText"/>
        </w:rPr>
        <w:t xml:space="preserve"> </w:t>
      </w:r>
    </w:p>
    <w:p w:rsidR="009277B3" w:rsidRPr="00A9469D" w:rsidRDefault="009277B3" w:rsidP="009277B3">
      <w:pPr>
        <w:pStyle w:val="Header"/>
        <w:tabs>
          <w:tab w:val="clear" w:pos="4150"/>
          <w:tab w:val="clear" w:pos="8307"/>
        </w:tabs>
      </w:pPr>
      <w:r w:rsidRPr="00A9469D">
        <w:rPr>
          <w:rStyle w:val="CharAmPartNo"/>
        </w:rPr>
        <w:t xml:space="preserve"> </w:t>
      </w:r>
      <w:r w:rsidRPr="00A9469D">
        <w:rPr>
          <w:rStyle w:val="CharAmPartText"/>
        </w:rPr>
        <w:t xml:space="preserve"> </w:t>
      </w:r>
    </w:p>
    <w:p w:rsidR="0048364F" w:rsidRPr="00A9469D" w:rsidRDefault="0048364F" w:rsidP="0048364F">
      <w:pPr>
        <w:sectPr w:rsidR="0048364F" w:rsidRPr="00A9469D" w:rsidSect="0057306A">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A9469D" w:rsidRDefault="0048364F" w:rsidP="009C78D8">
      <w:pPr>
        <w:rPr>
          <w:sz w:val="36"/>
        </w:rPr>
      </w:pPr>
      <w:r w:rsidRPr="00A9469D">
        <w:rPr>
          <w:sz w:val="36"/>
        </w:rPr>
        <w:lastRenderedPageBreak/>
        <w:t>Contents</w:t>
      </w:r>
    </w:p>
    <w:bookmarkStart w:id="1" w:name="BKCheck15B_1"/>
    <w:bookmarkEnd w:id="1"/>
    <w:p w:rsidR="00FA3665" w:rsidRDefault="00FA366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FA3665">
        <w:rPr>
          <w:noProof/>
        </w:rPr>
        <w:tab/>
      </w:r>
      <w:r w:rsidRPr="00FA3665">
        <w:rPr>
          <w:noProof/>
        </w:rPr>
        <w:fldChar w:fldCharType="begin"/>
      </w:r>
      <w:r w:rsidRPr="00FA3665">
        <w:rPr>
          <w:noProof/>
        </w:rPr>
        <w:instrText xml:space="preserve"> PAGEREF _Toc3448234 \h </w:instrText>
      </w:r>
      <w:r w:rsidRPr="00FA3665">
        <w:rPr>
          <w:noProof/>
        </w:rPr>
      </w:r>
      <w:r w:rsidRPr="00FA3665">
        <w:rPr>
          <w:noProof/>
        </w:rPr>
        <w:fldChar w:fldCharType="separate"/>
      </w:r>
      <w:r w:rsidR="006135EE">
        <w:rPr>
          <w:noProof/>
        </w:rPr>
        <w:t>2</w:t>
      </w:r>
      <w:r w:rsidRPr="00FA3665">
        <w:rPr>
          <w:noProof/>
        </w:rPr>
        <w:fldChar w:fldCharType="end"/>
      </w:r>
    </w:p>
    <w:p w:rsidR="00FA3665" w:rsidRDefault="00FA3665">
      <w:pPr>
        <w:pStyle w:val="TOC5"/>
        <w:rPr>
          <w:rFonts w:asciiTheme="minorHAnsi" w:eastAsiaTheme="minorEastAsia" w:hAnsiTheme="minorHAnsi" w:cstheme="minorBidi"/>
          <w:noProof/>
          <w:kern w:val="0"/>
          <w:sz w:val="22"/>
          <w:szCs w:val="22"/>
        </w:rPr>
      </w:pPr>
      <w:r>
        <w:rPr>
          <w:noProof/>
        </w:rPr>
        <w:t>2</w:t>
      </w:r>
      <w:r>
        <w:rPr>
          <w:noProof/>
        </w:rPr>
        <w:tab/>
        <w:t>Commencement</w:t>
      </w:r>
      <w:r w:rsidRPr="00FA3665">
        <w:rPr>
          <w:noProof/>
        </w:rPr>
        <w:tab/>
      </w:r>
      <w:r w:rsidRPr="00FA3665">
        <w:rPr>
          <w:noProof/>
        </w:rPr>
        <w:fldChar w:fldCharType="begin"/>
      </w:r>
      <w:r w:rsidRPr="00FA3665">
        <w:rPr>
          <w:noProof/>
        </w:rPr>
        <w:instrText xml:space="preserve"> PAGEREF _Toc3448235 \h </w:instrText>
      </w:r>
      <w:r w:rsidRPr="00FA3665">
        <w:rPr>
          <w:noProof/>
        </w:rPr>
      </w:r>
      <w:r w:rsidRPr="00FA3665">
        <w:rPr>
          <w:noProof/>
        </w:rPr>
        <w:fldChar w:fldCharType="separate"/>
      </w:r>
      <w:r w:rsidR="006135EE">
        <w:rPr>
          <w:noProof/>
        </w:rPr>
        <w:t>2</w:t>
      </w:r>
      <w:r w:rsidRPr="00FA3665">
        <w:rPr>
          <w:noProof/>
        </w:rPr>
        <w:fldChar w:fldCharType="end"/>
      </w:r>
    </w:p>
    <w:p w:rsidR="00FA3665" w:rsidRDefault="00FA3665">
      <w:pPr>
        <w:pStyle w:val="TOC5"/>
        <w:rPr>
          <w:rFonts w:asciiTheme="minorHAnsi" w:eastAsiaTheme="minorEastAsia" w:hAnsiTheme="minorHAnsi" w:cstheme="minorBidi"/>
          <w:noProof/>
          <w:kern w:val="0"/>
          <w:sz w:val="22"/>
          <w:szCs w:val="22"/>
        </w:rPr>
      </w:pPr>
      <w:r>
        <w:rPr>
          <w:noProof/>
        </w:rPr>
        <w:t>3</w:t>
      </w:r>
      <w:r>
        <w:rPr>
          <w:noProof/>
        </w:rPr>
        <w:tab/>
        <w:t>Schedules</w:t>
      </w:r>
      <w:r w:rsidRPr="00FA3665">
        <w:rPr>
          <w:noProof/>
        </w:rPr>
        <w:tab/>
      </w:r>
      <w:r w:rsidRPr="00FA3665">
        <w:rPr>
          <w:noProof/>
        </w:rPr>
        <w:fldChar w:fldCharType="begin"/>
      </w:r>
      <w:r w:rsidRPr="00FA3665">
        <w:rPr>
          <w:noProof/>
        </w:rPr>
        <w:instrText xml:space="preserve"> PAGEREF _Toc3448236 \h </w:instrText>
      </w:r>
      <w:r w:rsidRPr="00FA3665">
        <w:rPr>
          <w:noProof/>
        </w:rPr>
      </w:r>
      <w:r w:rsidRPr="00FA3665">
        <w:rPr>
          <w:noProof/>
        </w:rPr>
        <w:fldChar w:fldCharType="separate"/>
      </w:r>
      <w:r w:rsidR="006135EE">
        <w:rPr>
          <w:noProof/>
        </w:rPr>
        <w:t>3</w:t>
      </w:r>
      <w:r w:rsidRPr="00FA3665">
        <w:rPr>
          <w:noProof/>
        </w:rPr>
        <w:fldChar w:fldCharType="end"/>
      </w:r>
    </w:p>
    <w:p w:rsidR="00FA3665" w:rsidRDefault="00FA3665">
      <w:pPr>
        <w:pStyle w:val="TOC6"/>
        <w:rPr>
          <w:rFonts w:asciiTheme="minorHAnsi" w:eastAsiaTheme="minorEastAsia" w:hAnsiTheme="minorHAnsi" w:cstheme="minorBidi"/>
          <w:b w:val="0"/>
          <w:noProof/>
          <w:kern w:val="0"/>
          <w:sz w:val="22"/>
          <w:szCs w:val="22"/>
        </w:rPr>
      </w:pPr>
      <w:r>
        <w:rPr>
          <w:noProof/>
        </w:rPr>
        <w:t>Schedule 1—Repeals and amendments of Acts</w:t>
      </w:r>
      <w:r w:rsidRPr="00FA3665">
        <w:rPr>
          <w:b w:val="0"/>
          <w:noProof/>
          <w:sz w:val="18"/>
        </w:rPr>
        <w:tab/>
      </w:r>
      <w:r w:rsidRPr="00FA3665">
        <w:rPr>
          <w:b w:val="0"/>
          <w:noProof/>
          <w:sz w:val="18"/>
        </w:rPr>
        <w:fldChar w:fldCharType="begin"/>
      </w:r>
      <w:r w:rsidRPr="00FA3665">
        <w:rPr>
          <w:b w:val="0"/>
          <w:noProof/>
          <w:sz w:val="18"/>
        </w:rPr>
        <w:instrText xml:space="preserve"> PAGEREF _Toc3448237 \h </w:instrText>
      </w:r>
      <w:r w:rsidRPr="00FA3665">
        <w:rPr>
          <w:b w:val="0"/>
          <w:noProof/>
          <w:sz w:val="18"/>
        </w:rPr>
      </w:r>
      <w:r w:rsidRPr="00FA3665">
        <w:rPr>
          <w:b w:val="0"/>
          <w:noProof/>
          <w:sz w:val="18"/>
        </w:rPr>
        <w:fldChar w:fldCharType="separate"/>
      </w:r>
      <w:r w:rsidR="006135EE">
        <w:rPr>
          <w:b w:val="0"/>
          <w:noProof/>
          <w:sz w:val="18"/>
        </w:rPr>
        <w:t>4</w:t>
      </w:r>
      <w:r w:rsidRPr="00FA3665">
        <w:rPr>
          <w:b w:val="0"/>
          <w:noProof/>
          <w:sz w:val="18"/>
        </w:rPr>
        <w:fldChar w:fldCharType="end"/>
      </w:r>
    </w:p>
    <w:p w:rsidR="00FA3665" w:rsidRDefault="00FA3665">
      <w:pPr>
        <w:pStyle w:val="TOC7"/>
        <w:rPr>
          <w:rFonts w:asciiTheme="minorHAnsi" w:eastAsiaTheme="minorEastAsia" w:hAnsiTheme="minorHAnsi" w:cstheme="minorBidi"/>
          <w:noProof/>
          <w:kern w:val="0"/>
          <w:sz w:val="22"/>
          <w:szCs w:val="22"/>
        </w:rPr>
      </w:pPr>
      <w:r>
        <w:rPr>
          <w:noProof/>
        </w:rPr>
        <w:t>Part 1—Repeals of Acts</w:t>
      </w:r>
      <w:r w:rsidRPr="00FA3665">
        <w:rPr>
          <w:noProof/>
          <w:sz w:val="18"/>
        </w:rPr>
        <w:tab/>
      </w:r>
      <w:r w:rsidRPr="00FA3665">
        <w:rPr>
          <w:noProof/>
          <w:sz w:val="18"/>
        </w:rPr>
        <w:fldChar w:fldCharType="begin"/>
      </w:r>
      <w:r w:rsidRPr="00FA3665">
        <w:rPr>
          <w:noProof/>
          <w:sz w:val="18"/>
        </w:rPr>
        <w:instrText xml:space="preserve"> PAGEREF _Toc3448238 \h </w:instrText>
      </w:r>
      <w:r w:rsidRPr="00FA3665">
        <w:rPr>
          <w:noProof/>
          <w:sz w:val="18"/>
        </w:rPr>
      </w:r>
      <w:r w:rsidRPr="00FA3665">
        <w:rPr>
          <w:noProof/>
          <w:sz w:val="18"/>
        </w:rPr>
        <w:fldChar w:fldCharType="separate"/>
      </w:r>
      <w:r w:rsidR="006135EE">
        <w:rPr>
          <w:noProof/>
          <w:sz w:val="18"/>
        </w:rPr>
        <w:t>4</w:t>
      </w:r>
      <w:r w:rsidRPr="00FA3665">
        <w:rPr>
          <w:noProof/>
          <w:sz w:val="18"/>
        </w:rPr>
        <w:fldChar w:fldCharType="end"/>
      </w:r>
    </w:p>
    <w:p w:rsidR="00FA3665" w:rsidRDefault="00FA3665">
      <w:pPr>
        <w:pStyle w:val="TOC9"/>
        <w:rPr>
          <w:rFonts w:asciiTheme="minorHAnsi" w:eastAsiaTheme="minorEastAsia" w:hAnsiTheme="minorHAnsi" w:cstheme="minorBidi"/>
          <w:i w:val="0"/>
          <w:noProof/>
          <w:kern w:val="0"/>
          <w:sz w:val="22"/>
          <w:szCs w:val="22"/>
        </w:rPr>
      </w:pPr>
      <w:r>
        <w:rPr>
          <w:noProof/>
        </w:rPr>
        <w:t>Industrial Chemicals (Notification and Assessment) Act 1989</w:t>
      </w:r>
      <w:r w:rsidRPr="00FA3665">
        <w:rPr>
          <w:i w:val="0"/>
          <w:noProof/>
          <w:sz w:val="18"/>
        </w:rPr>
        <w:tab/>
      </w:r>
      <w:r w:rsidRPr="00FA3665">
        <w:rPr>
          <w:i w:val="0"/>
          <w:noProof/>
          <w:sz w:val="18"/>
        </w:rPr>
        <w:fldChar w:fldCharType="begin"/>
      </w:r>
      <w:r w:rsidRPr="00FA3665">
        <w:rPr>
          <w:i w:val="0"/>
          <w:noProof/>
          <w:sz w:val="18"/>
        </w:rPr>
        <w:instrText xml:space="preserve"> PAGEREF _Toc3448239 \h </w:instrText>
      </w:r>
      <w:r w:rsidRPr="00FA3665">
        <w:rPr>
          <w:i w:val="0"/>
          <w:noProof/>
          <w:sz w:val="18"/>
        </w:rPr>
      </w:r>
      <w:r w:rsidRPr="00FA3665">
        <w:rPr>
          <w:i w:val="0"/>
          <w:noProof/>
          <w:sz w:val="18"/>
        </w:rPr>
        <w:fldChar w:fldCharType="separate"/>
      </w:r>
      <w:r w:rsidR="006135EE">
        <w:rPr>
          <w:i w:val="0"/>
          <w:noProof/>
          <w:sz w:val="18"/>
        </w:rPr>
        <w:t>4</w:t>
      </w:r>
      <w:r w:rsidRPr="00FA3665">
        <w:rPr>
          <w:i w:val="0"/>
          <w:noProof/>
          <w:sz w:val="18"/>
        </w:rPr>
        <w:fldChar w:fldCharType="end"/>
      </w:r>
    </w:p>
    <w:p w:rsidR="00FA3665" w:rsidRDefault="00FA3665">
      <w:pPr>
        <w:pStyle w:val="TOC9"/>
        <w:rPr>
          <w:rFonts w:asciiTheme="minorHAnsi" w:eastAsiaTheme="minorEastAsia" w:hAnsiTheme="minorHAnsi" w:cstheme="minorBidi"/>
          <w:i w:val="0"/>
          <w:noProof/>
          <w:kern w:val="0"/>
          <w:sz w:val="22"/>
          <w:szCs w:val="22"/>
        </w:rPr>
      </w:pPr>
      <w:r>
        <w:rPr>
          <w:noProof/>
        </w:rPr>
        <w:t>Industrial Chemicals (Registration Charge—Customs) Act 1997</w:t>
      </w:r>
      <w:r w:rsidRPr="00FA3665">
        <w:rPr>
          <w:i w:val="0"/>
          <w:noProof/>
          <w:sz w:val="18"/>
        </w:rPr>
        <w:tab/>
      </w:r>
      <w:r w:rsidRPr="00FA3665">
        <w:rPr>
          <w:i w:val="0"/>
          <w:noProof/>
          <w:sz w:val="18"/>
        </w:rPr>
        <w:fldChar w:fldCharType="begin"/>
      </w:r>
      <w:r w:rsidRPr="00FA3665">
        <w:rPr>
          <w:i w:val="0"/>
          <w:noProof/>
          <w:sz w:val="18"/>
        </w:rPr>
        <w:instrText xml:space="preserve"> PAGEREF _Toc3448240 \h </w:instrText>
      </w:r>
      <w:r w:rsidRPr="00FA3665">
        <w:rPr>
          <w:i w:val="0"/>
          <w:noProof/>
          <w:sz w:val="18"/>
        </w:rPr>
      </w:r>
      <w:r w:rsidRPr="00FA3665">
        <w:rPr>
          <w:i w:val="0"/>
          <w:noProof/>
          <w:sz w:val="18"/>
        </w:rPr>
        <w:fldChar w:fldCharType="separate"/>
      </w:r>
      <w:r w:rsidR="006135EE">
        <w:rPr>
          <w:i w:val="0"/>
          <w:noProof/>
          <w:sz w:val="18"/>
        </w:rPr>
        <w:t>4</w:t>
      </w:r>
      <w:r w:rsidRPr="00FA3665">
        <w:rPr>
          <w:i w:val="0"/>
          <w:noProof/>
          <w:sz w:val="18"/>
        </w:rPr>
        <w:fldChar w:fldCharType="end"/>
      </w:r>
    </w:p>
    <w:p w:rsidR="00FA3665" w:rsidRDefault="00FA3665">
      <w:pPr>
        <w:pStyle w:val="TOC9"/>
        <w:rPr>
          <w:rFonts w:asciiTheme="minorHAnsi" w:eastAsiaTheme="minorEastAsia" w:hAnsiTheme="minorHAnsi" w:cstheme="minorBidi"/>
          <w:i w:val="0"/>
          <w:noProof/>
          <w:kern w:val="0"/>
          <w:sz w:val="22"/>
          <w:szCs w:val="22"/>
        </w:rPr>
      </w:pPr>
      <w:r>
        <w:rPr>
          <w:noProof/>
        </w:rPr>
        <w:t>Industrial Chemicals (Registration Charge—Excise) Act 1997</w:t>
      </w:r>
      <w:r w:rsidRPr="00FA3665">
        <w:rPr>
          <w:i w:val="0"/>
          <w:noProof/>
          <w:sz w:val="18"/>
        </w:rPr>
        <w:tab/>
      </w:r>
      <w:r w:rsidRPr="00FA3665">
        <w:rPr>
          <w:i w:val="0"/>
          <w:noProof/>
          <w:sz w:val="18"/>
        </w:rPr>
        <w:fldChar w:fldCharType="begin"/>
      </w:r>
      <w:r w:rsidRPr="00FA3665">
        <w:rPr>
          <w:i w:val="0"/>
          <w:noProof/>
          <w:sz w:val="18"/>
        </w:rPr>
        <w:instrText xml:space="preserve"> PAGEREF _Toc3448241 \h </w:instrText>
      </w:r>
      <w:r w:rsidRPr="00FA3665">
        <w:rPr>
          <w:i w:val="0"/>
          <w:noProof/>
          <w:sz w:val="18"/>
        </w:rPr>
      </w:r>
      <w:r w:rsidRPr="00FA3665">
        <w:rPr>
          <w:i w:val="0"/>
          <w:noProof/>
          <w:sz w:val="18"/>
        </w:rPr>
        <w:fldChar w:fldCharType="separate"/>
      </w:r>
      <w:r w:rsidR="006135EE">
        <w:rPr>
          <w:i w:val="0"/>
          <w:noProof/>
          <w:sz w:val="18"/>
        </w:rPr>
        <w:t>4</w:t>
      </w:r>
      <w:r w:rsidRPr="00FA3665">
        <w:rPr>
          <w:i w:val="0"/>
          <w:noProof/>
          <w:sz w:val="18"/>
        </w:rPr>
        <w:fldChar w:fldCharType="end"/>
      </w:r>
    </w:p>
    <w:p w:rsidR="00FA3665" w:rsidRDefault="00FA3665">
      <w:pPr>
        <w:pStyle w:val="TOC9"/>
        <w:rPr>
          <w:rFonts w:asciiTheme="minorHAnsi" w:eastAsiaTheme="minorEastAsia" w:hAnsiTheme="minorHAnsi" w:cstheme="minorBidi"/>
          <w:i w:val="0"/>
          <w:noProof/>
          <w:kern w:val="0"/>
          <w:sz w:val="22"/>
          <w:szCs w:val="22"/>
        </w:rPr>
      </w:pPr>
      <w:r>
        <w:rPr>
          <w:noProof/>
        </w:rPr>
        <w:t>Industrial Chemicals (Registration Charge—General) Act 1997</w:t>
      </w:r>
      <w:r w:rsidRPr="00FA3665">
        <w:rPr>
          <w:i w:val="0"/>
          <w:noProof/>
          <w:sz w:val="18"/>
        </w:rPr>
        <w:tab/>
      </w:r>
      <w:r w:rsidRPr="00FA3665">
        <w:rPr>
          <w:i w:val="0"/>
          <w:noProof/>
          <w:sz w:val="18"/>
        </w:rPr>
        <w:fldChar w:fldCharType="begin"/>
      </w:r>
      <w:r w:rsidRPr="00FA3665">
        <w:rPr>
          <w:i w:val="0"/>
          <w:noProof/>
          <w:sz w:val="18"/>
        </w:rPr>
        <w:instrText xml:space="preserve"> PAGEREF _Toc3448242 \h </w:instrText>
      </w:r>
      <w:r w:rsidRPr="00FA3665">
        <w:rPr>
          <w:i w:val="0"/>
          <w:noProof/>
          <w:sz w:val="18"/>
        </w:rPr>
      </w:r>
      <w:r w:rsidRPr="00FA3665">
        <w:rPr>
          <w:i w:val="0"/>
          <w:noProof/>
          <w:sz w:val="18"/>
        </w:rPr>
        <w:fldChar w:fldCharType="separate"/>
      </w:r>
      <w:r w:rsidR="006135EE">
        <w:rPr>
          <w:i w:val="0"/>
          <w:noProof/>
          <w:sz w:val="18"/>
        </w:rPr>
        <w:t>4</w:t>
      </w:r>
      <w:r w:rsidRPr="00FA3665">
        <w:rPr>
          <w:i w:val="0"/>
          <w:noProof/>
          <w:sz w:val="18"/>
        </w:rPr>
        <w:fldChar w:fldCharType="end"/>
      </w:r>
    </w:p>
    <w:p w:rsidR="00FA3665" w:rsidRDefault="00FA3665">
      <w:pPr>
        <w:pStyle w:val="TOC7"/>
        <w:rPr>
          <w:rFonts w:asciiTheme="minorHAnsi" w:eastAsiaTheme="minorEastAsia" w:hAnsiTheme="minorHAnsi" w:cstheme="minorBidi"/>
          <w:noProof/>
          <w:kern w:val="0"/>
          <w:sz w:val="22"/>
          <w:szCs w:val="22"/>
        </w:rPr>
      </w:pPr>
      <w:r>
        <w:rPr>
          <w:noProof/>
        </w:rPr>
        <w:t>Part 2—Consequential amendments</w:t>
      </w:r>
      <w:r w:rsidRPr="00FA3665">
        <w:rPr>
          <w:noProof/>
          <w:sz w:val="18"/>
        </w:rPr>
        <w:tab/>
      </w:r>
      <w:r w:rsidRPr="00FA3665">
        <w:rPr>
          <w:noProof/>
          <w:sz w:val="18"/>
        </w:rPr>
        <w:fldChar w:fldCharType="begin"/>
      </w:r>
      <w:r w:rsidRPr="00FA3665">
        <w:rPr>
          <w:noProof/>
          <w:sz w:val="18"/>
        </w:rPr>
        <w:instrText xml:space="preserve"> PAGEREF _Toc3448243 \h </w:instrText>
      </w:r>
      <w:r w:rsidRPr="00FA3665">
        <w:rPr>
          <w:noProof/>
          <w:sz w:val="18"/>
        </w:rPr>
      </w:r>
      <w:r w:rsidRPr="00FA3665">
        <w:rPr>
          <w:noProof/>
          <w:sz w:val="18"/>
        </w:rPr>
        <w:fldChar w:fldCharType="separate"/>
      </w:r>
      <w:r w:rsidR="006135EE">
        <w:rPr>
          <w:noProof/>
          <w:sz w:val="18"/>
        </w:rPr>
        <w:t>5</w:t>
      </w:r>
      <w:r w:rsidRPr="00FA3665">
        <w:rPr>
          <w:noProof/>
          <w:sz w:val="18"/>
        </w:rPr>
        <w:fldChar w:fldCharType="end"/>
      </w:r>
    </w:p>
    <w:p w:rsidR="00FA3665" w:rsidRDefault="00FA3665">
      <w:pPr>
        <w:pStyle w:val="TOC9"/>
        <w:rPr>
          <w:rFonts w:asciiTheme="minorHAnsi" w:eastAsiaTheme="minorEastAsia" w:hAnsiTheme="minorHAnsi" w:cstheme="minorBidi"/>
          <w:i w:val="0"/>
          <w:noProof/>
          <w:kern w:val="0"/>
          <w:sz w:val="22"/>
          <w:szCs w:val="22"/>
        </w:rPr>
      </w:pPr>
      <w:r>
        <w:rPr>
          <w:noProof/>
        </w:rPr>
        <w:t>Agricultural and Veterinary Chemicals Act 1994</w:t>
      </w:r>
      <w:r w:rsidRPr="00FA3665">
        <w:rPr>
          <w:i w:val="0"/>
          <w:noProof/>
          <w:sz w:val="18"/>
        </w:rPr>
        <w:tab/>
      </w:r>
      <w:r w:rsidRPr="00FA3665">
        <w:rPr>
          <w:i w:val="0"/>
          <w:noProof/>
          <w:sz w:val="18"/>
        </w:rPr>
        <w:fldChar w:fldCharType="begin"/>
      </w:r>
      <w:r w:rsidRPr="00FA3665">
        <w:rPr>
          <w:i w:val="0"/>
          <w:noProof/>
          <w:sz w:val="18"/>
        </w:rPr>
        <w:instrText xml:space="preserve"> PAGEREF _Toc3448244 \h </w:instrText>
      </w:r>
      <w:r w:rsidRPr="00FA3665">
        <w:rPr>
          <w:i w:val="0"/>
          <w:noProof/>
          <w:sz w:val="18"/>
        </w:rPr>
      </w:r>
      <w:r w:rsidRPr="00FA3665">
        <w:rPr>
          <w:i w:val="0"/>
          <w:noProof/>
          <w:sz w:val="18"/>
        </w:rPr>
        <w:fldChar w:fldCharType="separate"/>
      </w:r>
      <w:r w:rsidR="006135EE">
        <w:rPr>
          <w:i w:val="0"/>
          <w:noProof/>
          <w:sz w:val="18"/>
        </w:rPr>
        <w:t>5</w:t>
      </w:r>
      <w:r w:rsidRPr="00FA3665">
        <w:rPr>
          <w:i w:val="0"/>
          <w:noProof/>
          <w:sz w:val="18"/>
        </w:rPr>
        <w:fldChar w:fldCharType="end"/>
      </w:r>
    </w:p>
    <w:p w:rsidR="00FA3665" w:rsidRDefault="00FA3665">
      <w:pPr>
        <w:pStyle w:val="TOC9"/>
        <w:rPr>
          <w:rFonts w:asciiTheme="minorHAnsi" w:eastAsiaTheme="minorEastAsia" w:hAnsiTheme="minorHAnsi" w:cstheme="minorBidi"/>
          <w:i w:val="0"/>
          <w:noProof/>
          <w:kern w:val="0"/>
          <w:sz w:val="22"/>
          <w:szCs w:val="22"/>
        </w:rPr>
      </w:pPr>
      <w:r>
        <w:rPr>
          <w:noProof/>
        </w:rPr>
        <w:t>Criminal Code Act 1995</w:t>
      </w:r>
      <w:r w:rsidRPr="00FA3665">
        <w:rPr>
          <w:i w:val="0"/>
          <w:noProof/>
          <w:sz w:val="18"/>
        </w:rPr>
        <w:tab/>
      </w:r>
      <w:r w:rsidRPr="00FA3665">
        <w:rPr>
          <w:i w:val="0"/>
          <w:noProof/>
          <w:sz w:val="18"/>
        </w:rPr>
        <w:fldChar w:fldCharType="begin"/>
      </w:r>
      <w:r w:rsidRPr="00FA3665">
        <w:rPr>
          <w:i w:val="0"/>
          <w:noProof/>
          <w:sz w:val="18"/>
        </w:rPr>
        <w:instrText xml:space="preserve"> PAGEREF _Toc3448245 \h </w:instrText>
      </w:r>
      <w:r w:rsidRPr="00FA3665">
        <w:rPr>
          <w:i w:val="0"/>
          <w:noProof/>
          <w:sz w:val="18"/>
        </w:rPr>
      </w:r>
      <w:r w:rsidRPr="00FA3665">
        <w:rPr>
          <w:i w:val="0"/>
          <w:noProof/>
          <w:sz w:val="18"/>
        </w:rPr>
        <w:fldChar w:fldCharType="separate"/>
      </w:r>
      <w:r w:rsidR="006135EE">
        <w:rPr>
          <w:i w:val="0"/>
          <w:noProof/>
          <w:sz w:val="18"/>
        </w:rPr>
        <w:t>5</w:t>
      </w:r>
      <w:r w:rsidRPr="00FA3665">
        <w:rPr>
          <w:i w:val="0"/>
          <w:noProof/>
          <w:sz w:val="18"/>
        </w:rPr>
        <w:fldChar w:fldCharType="end"/>
      </w:r>
    </w:p>
    <w:p w:rsidR="00FA3665" w:rsidRDefault="00FA3665">
      <w:pPr>
        <w:pStyle w:val="TOC9"/>
        <w:rPr>
          <w:rFonts w:asciiTheme="minorHAnsi" w:eastAsiaTheme="minorEastAsia" w:hAnsiTheme="minorHAnsi" w:cstheme="minorBidi"/>
          <w:i w:val="0"/>
          <w:noProof/>
          <w:kern w:val="0"/>
          <w:sz w:val="22"/>
          <w:szCs w:val="22"/>
        </w:rPr>
      </w:pPr>
      <w:r>
        <w:rPr>
          <w:noProof/>
        </w:rPr>
        <w:t>Trans</w:t>
      </w:r>
      <w:r>
        <w:rPr>
          <w:noProof/>
        </w:rPr>
        <w:noBreakHyphen/>
        <w:t>Tasman Mutual Recognition Act 1997</w:t>
      </w:r>
      <w:r w:rsidRPr="00FA3665">
        <w:rPr>
          <w:i w:val="0"/>
          <w:noProof/>
          <w:sz w:val="18"/>
        </w:rPr>
        <w:tab/>
      </w:r>
      <w:r w:rsidRPr="00FA3665">
        <w:rPr>
          <w:i w:val="0"/>
          <w:noProof/>
          <w:sz w:val="18"/>
        </w:rPr>
        <w:fldChar w:fldCharType="begin"/>
      </w:r>
      <w:r w:rsidRPr="00FA3665">
        <w:rPr>
          <w:i w:val="0"/>
          <w:noProof/>
          <w:sz w:val="18"/>
        </w:rPr>
        <w:instrText xml:space="preserve"> PAGEREF _Toc3448246 \h </w:instrText>
      </w:r>
      <w:r w:rsidRPr="00FA3665">
        <w:rPr>
          <w:i w:val="0"/>
          <w:noProof/>
          <w:sz w:val="18"/>
        </w:rPr>
      </w:r>
      <w:r w:rsidRPr="00FA3665">
        <w:rPr>
          <w:i w:val="0"/>
          <w:noProof/>
          <w:sz w:val="18"/>
        </w:rPr>
        <w:fldChar w:fldCharType="separate"/>
      </w:r>
      <w:r w:rsidR="006135EE">
        <w:rPr>
          <w:i w:val="0"/>
          <w:noProof/>
          <w:sz w:val="18"/>
        </w:rPr>
        <w:t>5</w:t>
      </w:r>
      <w:r w:rsidRPr="00FA3665">
        <w:rPr>
          <w:i w:val="0"/>
          <w:noProof/>
          <w:sz w:val="18"/>
        </w:rPr>
        <w:fldChar w:fldCharType="end"/>
      </w:r>
    </w:p>
    <w:p w:rsidR="00FA3665" w:rsidRDefault="00FA3665">
      <w:pPr>
        <w:pStyle w:val="TOC6"/>
        <w:rPr>
          <w:rFonts w:asciiTheme="minorHAnsi" w:eastAsiaTheme="minorEastAsia" w:hAnsiTheme="minorHAnsi" w:cstheme="minorBidi"/>
          <w:b w:val="0"/>
          <w:noProof/>
          <w:kern w:val="0"/>
          <w:sz w:val="22"/>
          <w:szCs w:val="22"/>
        </w:rPr>
      </w:pPr>
      <w:r>
        <w:rPr>
          <w:noProof/>
        </w:rPr>
        <w:t>Schedule 2—Application, savings and transitional provisions</w:t>
      </w:r>
      <w:r w:rsidRPr="00FA3665">
        <w:rPr>
          <w:b w:val="0"/>
          <w:noProof/>
          <w:sz w:val="18"/>
        </w:rPr>
        <w:tab/>
      </w:r>
      <w:r w:rsidRPr="00FA3665">
        <w:rPr>
          <w:b w:val="0"/>
          <w:noProof/>
          <w:sz w:val="18"/>
        </w:rPr>
        <w:fldChar w:fldCharType="begin"/>
      </w:r>
      <w:r w:rsidRPr="00FA3665">
        <w:rPr>
          <w:b w:val="0"/>
          <w:noProof/>
          <w:sz w:val="18"/>
        </w:rPr>
        <w:instrText xml:space="preserve"> PAGEREF _Toc3448247 \h </w:instrText>
      </w:r>
      <w:r w:rsidRPr="00FA3665">
        <w:rPr>
          <w:b w:val="0"/>
          <w:noProof/>
          <w:sz w:val="18"/>
        </w:rPr>
      </w:r>
      <w:r w:rsidRPr="00FA3665">
        <w:rPr>
          <w:b w:val="0"/>
          <w:noProof/>
          <w:sz w:val="18"/>
        </w:rPr>
        <w:fldChar w:fldCharType="separate"/>
      </w:r>
      <w:r w:rsidR="006135EE">
        <w:rPr>
          <w:b w:val="0"/>
          <w:noProof/>
          <w:sz w:val="18"/>
        </w:rPr>
        <w:t>6</w:t>
      </w:r>
      <w:r w:rsidRPr="00FA3665">
        <w:rPr>
          <w:b w:val="0"/>
          <w:noProof/>
          <w:sz w:val="18"/>
        </w:rPr>
        <w:fldChar w:fldCharType="end"/>
      </w:r>
    </w:p>
    <w:p w:rsidR="00FA3665" w:rsidRDefault="00FA3665">
      <w:pPr>
        <w:pStyle w:val="TOC7"/>
        <w:rPr>
          <w:rFonts w:asciiTheme="minorHAnsi" w:eastAsiaTheme="minorEastAsia" w:hAnsiTheme="minorHAnsi" w:cstheme="minorBidi"/>
          <w:noProof/>
          <w:kern w:val="0"/>
          <w:sz w:val="22"/>
          <w:szCs w:val="22"/>
        </w:rPr>
      </w:pPr>
      <w:r>
        <w:rPr>
          <w:noProof/>
        </w:rPr>
        <w:t>Part 1—Preliminary</w:t>
      </w:r>
      <w:r w:rsidRPr="00FA3665">
        <w:rPr>
          <w:noProof/>
          <w:sz w:val="18"/>
        </w:rPr>
        <w:tab/>
      </w:r>
      <w:r w:rsidRPr="00FA3665">
        <w:rPr>
          <w:noProof/>
          <w:sz w:val="18"/>
        </w:rPr>
        <w:fldChar w:fldCharType="begin"/>
      </w:r>
      <w:r w:rsidRPr="00FA3665">
        <w:rPr>
          <w:noProof/>
          <w:sz w:val="18"/>
        </w:rPr>
        <w:instrText xml:space="preserve"> PAGEREF _Toc3448248 \h </w:instrText>
      </w:r>
      <w:r w:rsidRPr="00FA3665">
        <w:rPr>
          <w:noProof/>
          <w:sz w:val="18"/>
        </w:rPr>
      </w:r>
      <w:r w:rsidRPr="00FA3665">
        <w:rPr>
          <w:noProof/>
          <w:sz w:val="18"/>
        </w:rPr>
        <w:fldChar w:fldCharType="separate"/>
      </w:r>
      <w:r w:rsidR="006135EE">
        <w:rPr>
          <w:noProof/>
          <w:sz w:val="18"/>
        </w:rPr>
        <w:t>6</w:t>
      </w:r>
      <w:r w:rsidRPr="00FA3665">
        <w:rPr>
          <w:noProof/>
          <w:sz w:val="18"/>
        </w:rPr>
        <w:fldChar w:fldCharType="end"/>
      </w:r>
    </w:p>
    <w:p w:rsidR="00FA3665" w:rsidRDefault="00FA3665">
      <w:pPr>
        <w:pStyle w:val="TOC7"/>
        <w:rPr>
          <w:rFonts w:asciiTheme="minorHAnsi" w:eastAsiaTheme="minorEastAsia" w:hAnsiTheme="minorHAnsi" w:cstheme="minorBidi"/>
          <w:noProof/>
          <w:kern w:val="0"/>
          <w:sz w:val="22"/>
          <w:szCs w:val="22"/>
        </w:rPr>
      </w:pPr>
      <w:r>
        <w:rPr>
          <w:noProof/>
        </w:rPr>
        <w:t>Part 2—Application and savings provisions</w:t>
      </w:r>
      <w:r w:rsidRPr="00FA3665">
        <w:rPr>
          <w:noProof/>
          <w:sz w:val="18"/>
        </w:rPr>
        <w:tab/>
      </w:r>
      <w:r w:rsidRPr="00FA3665">
        <w:rPr>
          <w:noProof/>
          <w:sz w:val="18"/>
        </w:rPr>
        <w:fldChar w:fldCharType="begin"/>
      </w:r>
      <w:r w:rsidRPr="00FA3665">
        <w:rPr>
          <w:noProof/>
          <w:sz w:val="18"/>
        </w:rPr>
        <w:instrText xml:space="preserve"> PAGEREF _Toc3448249 \h </w:instrText>
      </w:r>
      <w:r w:rsidRPr="00FA3665">
        <w:rPr>
          <w:noProof/>
          <w:sz w:val="18"/>
        </w:rPr>
      </w:r>
      <w:r w:rsidRPr="00FA3665">
        <w:rPr>
          <w:noProof/>
          <w:sz w:val="18"/>
        </w:rPr>
        <w:fldChar w:fldCharType="separate"/>
      </w:r>
      <w:r w:rsidR="006135EE">
        <w:rPr>
          <w:noProof/>
          <w:sz w:val="18"/>
        </w:rPr>
        <w:t>7</w:t>
      </w:r>
      <w:r w:rsidRPr="00FA3665">
        <w:rPr>
          <w:noProof/>
          <w:sz w:val="18"/>
        </w:rPr>
        <w:fldChar w:fldCharType="end"/>
      </w:r>
    </w:p>
    <w:p w:rsidR="00FA3665" w:rsidRDefault="00FA3665">
      <w:pPr>
        <w:pStyle w:val="TOC7"/>
        <w:rPr>
          <w:rFonts w:asciiTheme="minorHAnsi" w:eastAsiaTheme="minorEastAsia" w:hAnsiTheme="minorHAnsi" w:cstheme="minorBidi"/>
          <w:noProof/>
          <w:kern w:val="0"/>
          <w:sz w:val="22"/>
          <w:szCs w:val="22"/>
        </w:rPr>
      </w:pPr>
      <w:r>
        <w:rPr>
          <w:noProof/>
        </w:rPr>
        <w:t>Part 3—Persons appointed under old law</w:t>
      </w:r>
      <w:r w:rsidRPr="00FA3665">
        <w:rPr>
          <w:noProof/>
          <w:sz w:val="18"/>
        </w:rPr>
        <w:tab/>
      </w:r>
      <w:r w:rsidRPr="00FA3665">
        <w:rPr>
          <w:noProof/>
          <w:sz w:val="18"/>
        </w:rPr>
        <w:fldChar w:fldCharType="begin"/>
      </w:r>
      <w:r w:rsidRPr="00FA3665">
        <w:rPr>
          <w:noProof/>
          <w:sz w:val="18"/>
        </w:rPr>
        <w:instrText xml:space="preserve"> PAGEREF _Toc3448250 \h </w:instrText>
      </w:r>
      <w:r w:rsidRPr="00FA3665">
        <w:rPr>
          <w:noProof/>
          <w:sz w:val="18"/>
        </w:rPr>
      </w:r>
      <w:r w:rsidRPr="00FA3665">
        <w:rPr>
          <w:noProof/>
          <w:sz w:val="18"/>
        </w:rPr>
        <w:fldChar w:fldCharType="separate"/>
      </w:r>
      <w:r w:rsidR="006135EE">
        <w:rPr>
          <w:noProof/>
          <w:sz w:val="18"/>
        </w:rPr>
        <w:t>9</w:t>
      </w:r>
      <w:r w:rsidRPr="00FA3665">
        <w:rPr>
          <w:noProof/>
          <w:sz w:val="18"/>
        </w:rPr>
        <w:fldChar w:fldCharType="end"/>
      </w:r>
    </w:p>
    <w:p w:rsidR="00FA3665" w:rsidRDefault="00FA3665">
      <w:pPr>
        <w:pStyle w:val="TOC7"/>
        <w:rPr>
          <w:rFonts w:asciiTheme="minorHAnsi" w:eastAsiaTheme="minorEastAsia" w:hAnsiTheme="minorHAnsi" w:cstheme="minorBidi"/>
          <w:noProof/>
          <w:kern w:val="0"/>
          <w:sz w:val="22"/>
          <w:szCs w:val="22"/>
        </w:rPr>
      </w:pPr>
      <w:r>
        <w:rPr>
          <w:noProof/>
        </w:rPr>
        <w:t>Part 4—Registration</w:t>
      </w:r>
      <w:r w:rsidRPr="00FA3665">
        <w:rPr>
          <w:noProof/>
          <w:sz w:val="18"/>
        </w:rPr>
        <w:tab/>
      </w:r>
      <w:r w:rsidRPr="00FA3665">
        <w:rPr>
          <w:noProof/>
          <w:sz w:val="18"/>
        </w:rPr>
        <w:fldChar w:fldCharType="begin"/>
      </w:r>
      <w:r w:rsidRPr="00FA3665">
        <w:rPr>
          <w:noProof/>
          <w:sz w:val="18"/>
        </w:rPr>
        <w:instrText xml:space="preserve"> PAGEREF _Toc3448251 \h </w:instrText>
      </w:r>
      <w:r w:rsidRPr="00FA3665">
        <w:rPr>
          <w:noProof/>
          <w:sz w:val="18"/>
        </w:rPr>
      </w:r>
      <w:r w:rsidRPr="00FA3665">
        <w:rPr>
          <w:noProof/>
          <w:sz w:val="18"/>
        </w:rPr>
        <w:fldChar w:fldCharType="separate"/>
      </w:r>
      <w:r w:rsidR="006135EE">
        <w:rPr>
          <w:noProof/>
          <w:sz w:val="18"/>
        </w:rPr>
        <w:t>10</w:t>
      </w:r>
      <w:r w:rsidRPr="00FA3665">
        <w:rPr>
          <w:noProof/>
          <w:sz w:val="18"/>
        </w:rPr>
        <w:fldChar w:fldCharType="end"/>
      </w:r>
    </w:p>
    <w:p w:rsidR="00FA3665" w:rsidRDefault="00FA3665">
      <w:pPr>
        <w:pStyle w:val="TOC7"/>
        <w:rPr>
          <w:rFonts w:asciiTheme="minorHAnsi" w:eastAsiaTheme="minorEastAsia" w:hAnsiTheme="minorHAnsi" w:cstheme="minorBidi"/>
          <w:noProof/>
          <w:kern w:val="0"/>
          <w:sz w:val="22"/>
          <w:szCs w:val="22"/>
        </w:rPr>
      </w:pPr>
      <w:r>
        <w:rPr>
          <w:noProof/>
        </w:rPr>
        <w:t>Part 5—Assessment certificates etc.</w:t>
      </w:r>
      <w:r w:rsidRPr="00FA3665">
        <w:rPr>
          <w:noProof/>
          <w:sz w:val="18"/>
        </w:rPr>
        <w:tab/>
      </w:r>
      <w:r w:rsidRPr="00FA3665">
        <w:rPr>
          <w:noProof/>
          <w:sz w:val="18"/>
        </w:rPr>
        <w:fldChar w:fldCharType="begin"/>
      </w:r>
      <w:r w:rsidRPr="00FA3665">
        <w:rPr>
          <w:noProof/>
          <w:sz w:val="18"/>
        </w:rPr>
        <w:instrText xml:space="preserve"> PAGEREF _Toc3448252 \h </w:instrText>
      </w:r>
      <w:r w:rsidRPr="00FA3665">
        <w:rPr>
          <w:noProof/>
          <w:sz w:val="18"/>
        </w:rPr>
      </w:r>
      <w:r w:rsidRPr="00FA3665">
        <w:rPr>
          <w:noProof/>
          <w:sz w:val="18"/>
        </w:rPr>
        <w:fldChar w:fldCharType="separate"/>
      </w:r>
      <w:r w:rsidR="006135EE">
        <w:rPr>
          <w:noProof/>
          <w:sz w:val="18"/>
        </w:rPr>
        <w:t>12</w:t>
      </w:r>
      <w:r w:rsidRPr="00FA3665">
        <w:rPr>
          <w:noProof/>
          <w:sz w:val="18"/>
        </w:rPr>
        <w:fldChar w:fldCharType="end"/>
      </w:r>
    </w:p>
    <w:p w:rsidR="00FA3665" w:rsidRDefault="00FA3665">
      <w:pPr>
        <w:pStyle w:val="TOC8"/>
        <w:rPr>
          <w:rFonts w:asciiTheme="minorHAnsi" w:eastAsiaTheme="minorEastAsia" w:hAnsiTheme="minorHAnsi" w:cstheme="minorBidi"/>
          <w:noProof/>
          <w:kern w:val="0"/>
          <w:sz w:val="22"/>
          <w:szCs w:val="22"/>
        </w:rPr>
      </w:pPr>
      <w:r>
        <w:rPr>
          <w:noProof/>
        </w:rPr>
        <w:t>Division 1—Assessment certificates</w:t>
      </w:r>
      <w:r w:rsidRPr="00FA3665">
        <w:rPr>
          <w:noProof/>
          <w:sz w:val="18"/>
        </w:rPr>
        <w:tab/>
      </w:r>
      <w:r w:rsidRPr="00FA3665">
        <w:rPr>
          <w:noProof/>
          <w:sz w:val="18"/>
        </w:rPr>
        <w:fldChar w:fldCharType="begin"/>
      </w:r>
      <w:r w:rsidRPr="00FA3665">
        <w:rPr>
          <w:noProof/>
          <w:sz w:val="18"/>
        </w:rPr>
        <w:instrText xml:space="preserve"> PAGEREF _Toc3448253 \h </w:instrText>
      </w:r>
      <w:r w:rsidRPr="00FA3665">
        <w:rPr>
          <w:noProof/>
          <w:sz w:val="18"/>
        </w:rPr>
      </w:r>
      <w:r w:rsidRPr="00FA3665">
        <w:rPr>
          <w:noProof/>
          <w:sz w:val="18"/>
        </w:rPr>
        <w:fldChar w:fldCharType="separate"/>
      </w:r>
      <w:r w:rsidR="006135EE">
        <w:rPr>
          <w:noProof/>
          <w:sz w:val="18"/>
        </w:rPr>
        <w:t>12</w:t>
      </w:r>
      <w:r w:rsidRPr="00FA3665">
        <w:rPr>
          <w:noProof/>
          <w:sz w:val="18"/>
        </w:rPr>
        <w:fldChar w:fldCharType="end"/>
      </w:r>
    </w:p>
    <w:p w:rsidR="00FA3665" w:rsidRDefault="00FA3665">
      <w:pPr>
        <w:pStyle w:val="TOC8"/>
        <w:rPr>
          <w:rFonts w:asciiTheme="minorHAnsi" w:eastAsiaTheme="minorEastAsia" w:hAnsiTheme="minorHAnsi" w:cstheme="minorBidi"/>
          <w:noProof/>
          <w:kern w:val="0"/>
          <w:sz w:val="22"/>
          <w:szCs w:val="22"/>
        </w:rPr>
      </w:pPr>
      <w:r>
        <w:rPr>
          <w:noProof/>
        </w:rPr>
        <w:t>Division 2—Commercial evaluation permits</w:t>
      </w:r>
      <w:r w:rsidRPr="00FA3665">
        <w:rPr>
          <w:noProof/>
          <w:sz w:val="18"/>
        </w:rPr>
        <w:tab/>
      </w:r>
      <w:r w:rsidRPr="00FA3665">
        <w:rPr>
          <w:noProof/>
          <w:sz w:val="18"/>
        </w:rPr>
        <w:fldChar w:fldCharType="begin"/>
      </w:r>
      <w:r w:rsidRPr="00FA3665">
        <w:rPr>
          <w:noProof/>
          <w:sz w:val="18"/>
        </w:rPr>
        <w:instrText xml:space="preserve"> PAGEREF _Toc3448254 \h </w:instrText>
      </w:r>
      <w:r w:rsidRPr="00FA3665">
        <w:rPr>
          <w:noProof/>
          <w:sz w:val="18"/>
        </w:rPr>
      </w:r>
      <w:r w:rsidRPr="00FA3665">
        <w:rPr>
          <w:noProof/>
          <w:sz w:val="18"/>
        </w:rPr>
        <w:fldChar w:fldCharType="separate"/>
      </w:r>
      <w:r w:rsidR="006135EE">
        <w:rPr>
          <w:noProof/>
          <w:sz w:val="18"/>
        </w:rPr>
        <w:t>13</w:t>
      </w:r>
      <w:r w:rsidRPr="00FA3665">
        <w:rPr>
          <w:noProof/>
          <w:sz w:val="18"/>
        </w:rPr>
        <w:fldChar w:fldCharType="end"/>
      </w:r>
    </w:p>
    <w:p w:rsidR="00FA3665" w:rsidRDefault="00FA3665">
      <w:pPr>
        <w:pStyle w:val="TOC8"/>
        <w:rPr>
          <w:rFonts w:asciiTheme="minorHAnsi" w:eastAsiaTheme="minorEastAsia" w:hAnsiTheme="minorHAnsi" w:cstheme="minorBidi"/>
          <w:noProof/>
          <w:kern w:val="0"/>
          <w:sz w:val="22"/>
          <w:szCs w:val="22"/>
        </w:rPr>
      </w:pPr>
      <w:r>
        <w:rPr>
          <w:noProof/>
        </w:rPr>
        <w:t>Division 3—Low volume permits</w:t>
      </w:r>
      <w:r w:rsidRPr="00FA3665">
        <w:rPr>
          <w:noProof/>
          <w:sz w:val="18"/>
        </w:rPr>
        <w:tab/>
      </w:r>
      <w:r w:rsidRPr="00FA3665">
        <w:rPr>
          <w:noProof/>
          <w:sz w:val="18"/>
        </w:rPr>
        <w:fldChar w:fldCharType="begin"/>
      </w:r>
      <w:r w:rsidRPr="00FA3665">
        <w:rPr>
          <w:noProof/>
          <w:sz w:val="18"/>
        </w:rPr>
        <w:instrText xml:space="preserve"> PAGEREF _Toc3448255 \h </w:instrText>
      </w:r>
      <w:r w:rsidRPr="00FA3665">
        <w:rPr>
          <w:noProof/>
          <w:sz w:val="18"/>
        </w:rPr>
      </w:r>
      <w:r w:rsidRPr="00FA3665">
        <w:rPr>
          <w:noProof/>
          <w:sz w:val="18"/>
        </w:rPr>
        <w:fldChar w:fldCharType="separate"/>
      </w:r>
      <w:r w:rsidR="006135EE">
        <w:rPr>
          <w:noProof/>
          <w:sz w:val="18"/>
        </w:rPr>
        <w:t>15</w:t>
      </w:r>
      <w:r w:rsidRPr="00FA3665">
        <w:rPr>
          <w:noProof/>
          <w:sz w:val="18"/>
        </w:rPr>
        <w:fldChar w:fldCharType="end"/>
      </w:r>
    </w:p>
    <w:p w:rsidR="00FA3665" w:rsidRDefault="00FA3665">
      <w:pPr>
        <w:pStyle w:val="TOC8"/>
        <w:rPr>
          <w:rFonts w:asciiTheme="minorHAnsi" w:eastAsiaTheme="minorEastAsia" w:hAnsiTheme="minorHAnsi" w:cstheme="minorBidi"/>
          <w:noProof/>
          <w:kern w:val="0"/>
          <w:sz w:val="22"/>
          <w:szCs w:val="22"/>
        </w:rPr>
      </w:pPr>
      <w:r>
        <w:rPr>
          <w:noProof/>
        </w:rPr>
        <w:t>Division 4—Controlled use permits</w:t>
      </w:r>
      <w:r w:rsidRPr="00FA3665">
        <w:rPr>
          <w:noProof/>
          <w:sz w:val="18"/>
        </w:rPr>
        <w:tab/>
      </w:r>
      <w:r w:rsidRPr="00FA3665">
        <w:rPr>
          <w:noProof/>
          <w:sz w:val="18"/>
        </w:rPr>
        <w:fldChar w:fldCharType="begin"/>
      </w:r>
      <w:r w:rsidRPr="00FA3665">
        <w:rPr>
          <w:noProof/>
          <w:sz w:val="18"/>
        </w:rPr>
        <w:instrText xml:space="preserve"> PAGEREF _Toc3448256 \h </w:instrText>
      </w:r>
      <w:r w:rsidRPr="00FA3665">
        <w:rPr>
          <w:noProof/>
          <w:sz w:val="18"/>
        </w:rPr>
      </w:r>
      <w:r w:rsidRPr="00FA3665">
        <w:rPr>
          <w:noProof/>
          <w:sz w:val="18"/>
        </w:rPr>
        <w:fldChar w:fldCharType="separate"/>
      </w:r>
      <w:r w:rsidR="006135EE">
        <w:rPr>
          <w:noProof/>
          <w:sz w:val="18"/>
        </w:rPr>
        <w:t>17</w:t>
      </w:r>
      <w:r w:rsidRPr="00FA3665">
        <w:rPr>
          <w:noProof/>
          <w:sz w:val="18"/>
        </w:rPr>
        <w:fldChar w:fldCharType="end"/>
      </w:r>
    </w:p>
    <w:p w:rsidR="00FA3665" w:rsidRDefault="00FA3665">
      <w:pPr>
        <w:pStyle w:val="TOC8"/>
        <w:rPr>
          <w:rFonts w:asciiTheme="minorHAnsi" w:eastAsiaTheme="minorEastAsia" w:hAnsiTheme="minorHAnsi" w:cstheme="minorBidi"/>
          <w:noProof/>
          <w:kern w:val="0"/>
          <w:sz w:val="22"/>
          <w:szCs w:val="22"/>
        </w:rPr>
      </w:pPr>
      <w:r>
        <w:rPr>
          <w:noProof/>
        </w:rPr>
        <w:t>Division 5—Introductions under section 21 of old law</w:t>
      </w:r>
      <w:r w:rsidRPr="00FA3665">
        <w:rPr>
          <w:noProof/>
          <w:sz w:val="18"/>
        </w:rPr>
        <w:tab/>
      </w:r>
      <w:r w:rsidRPr="00FA3665">
        <w:rPr>
          <w:noProof/>
          <w:sz w:val="18"/>
        </w:rPr>
        <w:fldChar w:fldCharType="begin"/>
      </w:r>
      <w:r w:rsidRPr="00FA3665">
        <w:rPr>
          <w:noProof/>
          <w:sz w:val="18"/>
        </w:rPr>
        <w:instrText xml:space="preserve"> PAGEREF _Toc3448257 \h </w:instrText>
      </w:r>
      <w:r w:rsidRPr="00FA3665">
        <w:rPr>
          <w:noProof/>
          <w:sz w:val="18"/>
        </w:rPr>
      </w:r>
      <w:r w:rsidRPr="00FA3665">
        <w:rPr>
          <w:noProof/>
          <w:sz w:val="18"/>
        </w:rPr>
        <w:fldChar w:fldCharType="separate"/>
      </w:r>
      <w:r w:rsidR="006135EE">
        <w:rPr>
          <w:noProof/>
          <w:sz w:val="18"/>
        </w:rPr>
        <w:t>19</w:t>
      </w:r>
      <w:r w:rsidRPr="00FA3665">
        <w:rPr>
          <w:noProof/>
          <w:sz w:val="18"/>
        </w:rPr>
        <w:fldChar w:fldCharType="end"/>
      </w:r>
    </w:p>
    <w:p w:rsidR="00FA3665" w:rsidRDefault="00FA3665">
      <w:pPr>
        <w:pStyle w:val="TOC7"/>
        <w:rPr>
          <w:rFonts w:asciiTheme="minorHAnsi" w:eastAsiaTheme="minorEastAsia" w:hAnsiTheme="minorHAnsi" w:cstheme="minorBidi"/>
          <w:noProof/>
          <w:kern w:val="0"/>
          <w:sz w:val="22"/>
          <w:szCs w:val="22"/>
        </w:rPr>
      </w:pPr>
      <w:r>
        <w:rPr>
          <w:noProof/>
        </w:rPr>
        <w:t>Part 6—Protection of confidential information</w:t>
      </w:r>
      <w:r w:rsidRPr="00FA3665">
        <w:rPr>
          <w:noProof/>
          <w:sz w:val="18"/>
        </w:rPr>
        <w:tab/>
      </w:r>
      <w:r w:rsidRPr="00FA3665">
        <w:rPr>
          <w:noProof/>
          <w:sz w:val="18"/>
        </w:rPr>
        <w:fldChar w:fldCharType="begin"/>
      </w:r>
      <w:r w:rsidRPr="00FA3665">
        <w:rPr>
          <w:noProof/>
          <w:sz w:val="18"/>
        </w:rPr>
        <w:instrText xml:space="preserve"> PAGEREF _Toc3448258 \h </w:instrText>
      </w:r>
      <w:r w:rsidRPr="00FA3665">
        <w:rPr>
          <w:noProof/>
          <w:sz w:val="18"/>
        </w:rPr>
      </w:r>
      <w:r w:rsidRPr="00FA3665">
        <w:rPr>
          <w:noProof/>
          <w:sz w:val="18"/>
        </w:rPr>
        <w:fldChar w:fldCharType="separate"/>
      </w:r>
      <w:r w:rsidR="006135EE">
        <w:rPr>
          <w:noProof/>
          <w:sz w:val="18"/>
        </w:rPr>
        <w:t>21</w:t>
      </w:r>
      <w:r w:rsidRPr="00FA3665">
        <w:rPr>
          <w:noProof/>
          <w:sz w:val="18"/>
        </w:rPr>
        <w:fldChar w:fldCharType="end"/>
      </w:r>
    </w:p>
    <w:p w:rsidR="00FA3665" w:rsidRDefault="00FA3665">
      <w:pPr>
        <w:pStyle w:val="TOC7"/>
        <w:rPr>
          <w:rFonts w:asciiTheme="minorHAnsi" w:eastAsiaTheme="minorEastAsia" w:hAnsiTheme="minorHAnsi" w:cstheme="minorBidi"/>
          <w:noProof/>
          <w:kern w:val="0"/>
          <w:sz w:val="22"/>
          <w:szCs w:val="22"/>
        </w:rPr>
      </w:pPr>
      <w:r>
        <w:rPr>
          <w:noProof/>
        </w:rPr>
        <w:t>Part 7—Inventory</w:t>
      </w:r>
      <w:r w:rsidRPr="00FA3665">
        <w:rPr>
          <w:noProof/>
          <w:sz w:val="18"/>
        </w:rPr>
        <w:tab/>
      </w:r>
      <w:r w:rsidRPr="00FA3665">
        <w:rPr>
          <w:noProof/>
          <w:sz w:val="18"/>
        </w:rPr>
        <w:fldChar w:fldCharType="begin"/>
      </w:r>
      <w:r w:rsidRPr="00FA3665">
        <w:rPr>
          <w:noProof/>
          <w:sz w:val="18"/>
        </w:rPr>
        <w:instrText xml:space="preserve"> PAGEREF _Toc3448259 \h </w:instrText>
      </w:r>
      <w:r w:rsidRPr="00FA3665">
        <w:rPr>
          <w:noProof/>
          <w:sz w:val="18"/>
        </w:rPr>
      </w:r>
      <w:r w:rsidRPr="00FA3665">
        <w:rPr>
          <w:noProof/>
          <w:sz w:val="18"/>
        </w:rPr>
        <w:fldChar w:fldCharType="separate"/>
      </w:r>
      <w:r w:rsidR="006135EE">
        <w:rPr>
          <w:noProof/>
          <w:sz w:val="18"/>
        </w:rPr>
        <w:t>24</w:t>
      </w:r>
      <w:r w:rsidRPr="00FA3665">
        <w:rPr>
          <w:noProof/>
          <w:sz w:val="18"/>
        </w:rPr>
        <w:fldChar w:fldCharType="end"/>
      </w:r>
    </w:p>
    <w:p w:rsidR="00FA3665" w:rsidRDefault="00FA3665">
      <w:pPr>
        <w:pStyle w:val="TOC8"/>
        <w:rPr>
          <w:rFonts w:asciiTheme="minorHAnsi" w:eastAsiaTheme="minorEastAsia" w:hAnsiTheme="minorHAnsi" w:cstheme="minorBidi"/>
          <w:noProof/>
          <w:kern w:val="0"/>
          <w:sz w:val="22"/>
          <w:szCs w:val="22"/>
        </w:rPr>
      </w:pPr>
      <w:r>
        <w:rPr>
          <w:noProof/>
        </w:rPr>
        <w:t>Division 1—Industrial chemicals included in old Inventory</w:t>
      </w:r>
      <w:r w:rsidRPr="00FA3665">
        <w:rPr>
          <w:noProof/>
          <w:sz w:val="18"/>
        </w:rPr>
        <w:tab/>
      </w:r>
      <w:r w:rsidRPr="00FA3665">
        <w:rPr>
          <w:noProof/>
          <w:sz w:val="18"/>
        </w:rPr>
        <w:fldChar w:fldCharType="begin"/>
      </w:r>
      <w:r w:rsidRPr="00FA3665">
        <w:rPr>
          <w:noProof/>
          <w:sz w:val="18"/>
        </w:rPr>
        <w:instrText xml:space="preserve"> PAGEREF _Toc3448260 \h </w:instrText>
      </w:r>
      <w:r w:rsidRPr="00FA3665">
        <w:rPr>
          <w:noProof/>
          <w:sz w:val="18"/>
        </w:rPr>
      </w:r>
      <w:r w:rsidRPr="00FA3665">
        <w:rPr>
          <w:noProof/>
          <w:sz w:val="18"/>
        </w:rPr>
        <w:fldChar w:fldCharType="separate"/>
      </w:r>
      <w:r w:rsidR="006135EE">
        <w:rPr>
          <w:noProof/>
          <w:sz w:val="18"/>
        </w:rPr>
        <w:t>24</w:t>
      </w:r>
      <w:r w:rsidRPr="00FA3665">
        <w:rPr>
          <w:noProof/>
          <w:sz w:val="18"/>
        </w:rPr>
        <w:fldChar w:fldCharType="end"/>
      </w:r>
    </w:p>
    <w:p w:rsidR="00FA3665" w:rsidRDefault="00FA3665">
      <w:pPr>
        <w:pStyle w:val="TOC8"/>
        <w:rPr>
          <w:rFonts w:asciiTheme="minorHAnsi" w:eastAsiaTheme="minorEastAsia" w:hAnsiTheme="minorHAnsi" w:cstheme="minorBidi"/>
          <w:noProof/>
          <w:kern w:val="0"/>
          <w:sz w:val="22"/>
          <w:szCs w:val="22"/>
        </w:rPr>
      </w:pPr>
      <w:r>
        <w:rPr>
          <w:noProof/>
        </w:rPr>
        <w:t>Division 2—Pending applications</w:t>
      </w:r>
      <w:r w:rsidRPr="00FA3665">
        <w:rPr>
          <w:noProof/>
          <w:sz w:val="18"/>
        </w:rPr>
        <w:tab/>
      </w:r>
      <w:r w:rsidRPr="00FA3665">
        <w:rPr>
          <w:noProof/>
          <w:sz w:val="18"/>
        </w:rPr>
        <w:fldChar w:fldCharType="begin"/>
      </w:r>
      <w:r w:rsidRPr="00FA3665">
        <w:rPr>
          <w:noProof/>
          <w:sz w:val="18"/>
        </w:rPr>
        <w:instrText xml:space="preserve"> PAGEREF _Toc3448261 \h </w:instrText>
      </w:r>
      <w:r w:rsidRPr="00FA3665">
        <w:rPr>
          <w:noProof/>
          <w:sz w:val="18"/>
        </w:rPr>
      </w:r>
      <w:r w:rsidRPr="00FA3665">
        <w:rPr>
          <w:noProof/>
          <w:sz w:val="18"/>
        </w:rPr>
        <w:fldChar w:fldCharType="separate"/>
      </w:r>
      <w:r w:rsidR="006135EE">
        <w:rPr>
          <w:noProof/>
          <w:sz w:val="18"/>
        </w:rPr>
        <w:t>25</w:t>
      </w:r>
      <w:r w:rsidRPr="00FA3665">
        <w:rPr>
          <w:noProof/>
          <w:sz w:val="18"/>
        </w:rPr>
        <w:fldChar w:fldCharType="end"/>
      </w:r>
    </w:p>
    <w:p w:rsidR="00FA3665" w:rsidRDefault="00FA3665">
      <w:pPr>
        <w:pStyle w:val="TOC8"/>
        <w:rPr>
          <w:rFonts w:asciiTheme="minorHAnsi" w:eastAsiaTheme="minorEastAsia" w:hAnsiTheme="minorHAnsi" w:cstheme="minorBidi"/>
          <w:noProof/>
          <w:kern w:val="0"/>
          <w:sz w:val="22"/>
          <w:szCs w:val="22"/>
        </w:rPr>
      </w:pPr>
      <w:r>
        <w:rPr>
          <w:noProof/>
        </w:rPr>
        <w:lastRenderedPageBreak/>
        <w:t>Division 3—Confidential listings</w:t>
      </w:r>
      <w:r w:rsidRPr="00FA3665">
        <w:rPr>
          <w:noProof/>
          <w:sz w:val="18"/>
        </w:rPr>
        <w:tab/>
      </w:r>
      <w:r w:rsidRPr="00FA3665">
        <w:rPr>
          <w:noProof/>
          <w:sz w:val="18"/>
        </w:rPr>
        <w:fldChar w:fldCharType="begin"/>
      </w:r>
      <w:r w:rsidRPr="00FA3665">
        <w:rPr>
          <w:noProof/>
          <w:sz w:val="18"/>
        </w:rPr>
        <w:instrText xml:space="preserve"> PAGEREF _Toc3448262 \h </w:instrText>
      </w:r>
      <w:r w:rsidRPr="00FA3665">
        <w:rPr>
          <w:noProof/>
          <w:sz w:val="18"/>
        </w:rPr>
      </w:r>
      <w:r w:rsidRPr="00FA3665">
        <w:rPr>
          <w:noProof/>
          <w:sz w:val="18"/>
        </w:rPr>
        <w:fldChar w:fldCharType="separate"/>
      </w:r>
      <w:r w:rsidR="006135EE">
        <w:rPr>
          <w:noProof/>
          <w:sz w:val="18"/>
        </w:rPr>
        <w:t>26</w:t>
      </w:r>
      <w:r w:rsidRPr="00FA3665">
        <w:rPr>
          <w:noProof/>
          <w:sz w:val="18"/>
        </w:rPr>
        <w:fldChar w:fldCharType="end"/>
      </w:r>
    </w:p>
    <w:p w:rsidR="00FA3665" w:rsidRDefault="00FA3665">
      <w:pPr>
        <w:pStyle w:val="TOC7"/>
        <w:rPr>
          <w:rFonts w:asciiTheme="minorHAnsi" w:eastAsiaTheme="minorEastAsia" w:hAnsiTheme="minorHAnsi" w:cstheme="minorBidi"/>
          <w:noProof/>
          <w:kern w:val="0"/>
          <w:sz w:val="22"/>
          <w:szCs w:val="22"/>
        </w:rPr>
      </w:pPr>
      <w:r>
        <w:rPr>
          <w:noProof/>
        </w:rPr>
        <w:t>Part 8—Miscellaneous</w:t>
      </w:r>
      <w:r w:rsidRPr="00FA3665">
        <w:rPr>
          <w:noProof/>
          <w:sz w:val="18"/>
        </w:rPr>
        <w:tab/>
      </w:r>
      <w:r w:rsidRPr="00FA3665">
        <w:rPr>
          <w:noProof/>
          <w:sz w:val="18"/>
        </w:rPr>
        <w:fldChar w:fldCharType="begin"/>
      </w:r>
      <w:r w:rsidRPr="00FA3665">
        <w:rPr>
          <w:noProof/>
          <w:sz w:val="18"/>
        </w:rPr>
        <w:instrText xml:space="preserve"> PAGEREF _Toc3448263 \h </w:instrText>
      </w:r>
      <w:r w:rsidRPr="00FA3665">
        <w:rPr>
          <w:noProof/>
          <w:sz w:val="18"/>
        </w:rPr>
      </w:r>
      <w:r w:rsidRPr="00FA3665">
        <w:rPr>
          <w:noProof/>
          <w:sz w:val="18"/>
        </w:rPr>
        <w:fldChar w:fldCharType="separate"/>
      </w:r>
      <w:r w:rsidR="006135EE">
        <w:rPr>
          <w:noProof/>
          <w:sz w:val="18"/>
        </w:rPr>
        <w:t>30</w:t>
      </w:r>
      <w:r w:rsidRPr="00FA3665">
        <w:rPr>
          <w:noProof/>
          <w:sz w:val="18"/>
        </w:rPr>
        <w:fldChar w:fldCharType="end"/>
      </w:r>
    </w:p>
    <w:p w:rsidR="00055B5C" w:rsidRPr="00A9469D" w:rsidRDefault="00FA3665" w:rsidP="0048364F">
      <w:r>
        <w:fldChar w:fldCharType="end"/>
      </w:r>
    </w:p>
    <w:p w:rsidR="00060FF9" w:rsidRPr="00A9469D" w:rsidRDefault="00060FF9" w:rsidP="0048364F"/>
    <w:p w:rsidR="00FE7F93" w:rsidRPr="00A9469D" w:rsidRDefault="00FE7F93" w:rsidP="0048364F">
      <w:pPr>
        <w:sectPr w:rsidR="00FE7F93" w:rsidRPr="00A9469D" w:rsidSect="0057306A">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57306A" w:rsidRDefault="0057306A">
      <w:r>
        <w:object w:dxaOrig="2146" w:dyaOrig="1561">
          <v:shape id="_x0000_i1026" type="#_x0000_t75" alt="Commonwealth Coat of Arms of Australia" style="width:110.7pt;height:80.85pt" o:ole="" fillcolor="window">
            <v:imagedata r:id="rId9" o:title=""/>
          </v:shape>
          <o:OLEObject Type="Embed" ProgID="Word.Picture.8" ShapeID="_x0000_i1026" DrawAspect="Content" ObjectID="_1614061320" r:id="rId22"/>
        </w:object>
      </w:r>
    </w:p>
    <w:p w:rsidR="0057306A" w:rsidRDefault="0057306A"/>
    <w:p w:rsidR="0057306A" w:rsidRDefault="0057306A" w:rsidP="0057306A">
      <w:pPr>
        <w:spacing w:line="240" w:lineRule="auto"/>
      </w:pPr>
    </w:p>
    <w:p w:rsidR="0057306A" w:rsidRDefault="006135EE" w:rsidP="0057306A">
      <w:pPr>
        <w:pStyle w:val="ShortTP1"/>
      </w:pPr>
      <w:r>
        <w:fldChar w:fldCharType="begin"/>
      </w:r>
      <w:r>
        <w:instrText xml:space="preserve"> STYLEREF ShortT </w:instrText>
      </w:r>
      <w:r>
        <w:fldChar w:fldCharType="separate"/>
      </w:r>
      <w:r>
        <w:rPr>
          <w:noProof/>
        </w:rPr>
        <w:t>Industrial Chemicals (Consequential Amendments and Transitional Provisions) Act 2019</w:t>
      </w:r>
      <w:r>
        <w:rPr>
          <w:noProof/>
        </w:rPr>
        <w:fldChar w:fldCharType="end"/>
      </w:r>
    </w:p>
    <w:p w:rsidR="0057306A" w:rsidRDefault="006135EE" w:rsidP="0057306A">
      <w:pPr>
        <w:pStyle w:val="ActNoP1"/>
      </w:pPr>
      <w:r>
        <w:fldChar w:fldCharType="begin"/>
      </w:r>
      <w:r>
        <w:instrText xml:space="preserve"> STYLEREF Actno </w:instrText>
      </w:r>
      <w:r>
        <w:fldChar w:fldCharType="separate"/>
      </w:r>
      <w:r>
        <w:rPr>
          <w:noProof/>
        </w:rPr>
        <w:t>No. 13, 2019</w:t>
      </w:r>
      <w:r>
        <w:rPr>
          <w:noProof/>
        </w:rPr>
        <w:fldChar w:fldCharType="end"/>
      </w:r>
    </w:p>
    <w:p w:rsidR="0057306A" w:rsidRPr="009A0728" w:rsidRDefault="0057306A" w:rsidP="009A0728">
      <w:pPr>
        <w:pBdr>
          <w:bottom w:val="single" w:sz="6" w:space="0" w:color="auto"/>
        </w:pBdr>
        <w:spacing w:before="400" w:line="240" w:lineRule="auto"/>
        <w:rPr>
          <w:rFonts w:eastAsia="Times New Roman"/>
          <w:b/>
          <w:sz w:val="28"/>
        </w:rPr>
      </w:pPr>
    </w:p>
    <w:p w:rsidR="0057306A" w:rsidRPr="009A0728" w:rsidRDefault="0057306A" w:rsidP="009A0728">
      <w:pPr>
        <w:spacing w:line="40" w:lineRule="exact"/>
        <w:rPr>
          <w:rFonts w:eastAsia="Calibri"/>
          <w:b/>
          <w:sz w:val="28"/>
        </w:rPr>
      </w:pPr>
    </w:p>
    <w:p w:rsidR="0057306A" w:rsidRPr="009A0728" w:rsidRDefault="0057306A" w:rsidP="009A0728">
      <w:pPr>
        <w:pBdr>
          <w:top w:val="single" w:sz="12" w:space="0" w:color="auto"/>
        </w:pBdr>
        <w:spacing w:line="240" w:lineRule="auto"/>
        <w:rPr>
          <w:rFonts w:eastAsia="Times New Roman"/>
          <w:b/>
          <w:sz w:val="28"/>
        </w:rPr>
      </w:pPr>
    </w:p>
    <w:p w:rsidR="00076071" w:rsidRPr="00A9469D" w:rsidRDefault="0057306A" w:rsidP="00A9469D">
      <w:pPr>
        <w:pStyle w:val="Page1"/>
      </w:pPr>
      <w:r>
        <w:t>An Act</w:t>
      </w:r>
      <w:r w:rsidR="00A9469D" w:rsidRPr="00A9469D">
        <w:t xml:space="preserve"> to deal with consequential and transitional matters arising from the enactment of the </w:t>
      </w:r>
      <w:r w:rsidR="00A9469D" w:rsidRPr="00A9469D">
        <w:rPr>
          <w:i/>
        </w:rPr>
        <w:t>Industrial Chemicals Act 201</w:t>
      </w:r>
      <w:r w:rsidR="0025375B">
        <w:rPr>
          <w:i/>
        </w:rPr>
        <w:t>9</w:t>
      </w:r>
      <w:r w:rsidR="00A9469D" w:rsidRPr="00A9469D">
        <w:t>, and for related purposes</w:t>
      </w:r>
    </w:p>
    <w:p w:rsidR="00FA3665" w:rsidRDefault="00FA3665" w:rsidP="000C5962">
      <w:pPr>
        <w:pStyle w:val="AssentDt"/>
        <w:spacing w:before="240"/>
        <w:rPr>
          <w:sz w:val="24"/>
        </w:rPr>
      </w:pPr>
      <w:r>
        <w:rPr>
          <w:sz w:val="24"/>
        </w:rPr>
        <w:t>[</w:t>
      </w:r>
      <w:r>
        <w:rPr>
          <w:i/>
          <w:sz w:val="24"/>
        </w:rPr>
        <w:t>Assented to 12 March 2019</w:t>
      </w:r>
      <w:r>
        <w:rPr>
          <w:sz w:val="24"/>
        </w:rPr>
        <w:t>]</w:t>
      </w:r>
    </w:p>
    <w:p w:rsidR="0048364F" w:rsidRPr="00A9469D" w:rsidRDefault="0048364F" w:rsidP="00A9469D">
      <w:pPr>
        <w:spacing w:before="240" w:line="240" w:lineRule="auto"/>
        <w:rPr>
          <w:sz w:val="32"/>
        </w:rPr>
      </w:pPr>
      <w:r w:rsidRPr="00A9469D">
        <w:rPr>
          <w:sz w:val="32"/>
        </w:rPr>
        <w:t>The Parliament of Australia enacts:</w:t>
      </w:r>
    </w:p>
    <w:p w:rsidR="0048364F" w:rsidRPr="00A9469D" w:rsidRDefault="0048364F" w:rsidP="00A9469D">
      <w:pPr>
        <w:pStyle w:val="ActHead5"/>
      </w:pPr>
      <w:bookmarkStart w:id="2" w:name="_Toc3448234"/>
      <w:r w:rsidRPr="00A9469D">
        <w:rPr>
          <w:rStyle w:val="CharSectno"/>
        </w:rPr>
        <w:lastRenderedPageBreak/>
        <w:t>1</w:t>
      </w:r>
      <w:r w:rsidRPr="00A9469D">
        <w:t xml:space="preserve">  Short title</w:t>
      </w:r>
      <w:bookmarkEnd w:id="2"/>
    </w:p>
    <w:p w:rsidR="0048364F" w:rsidRPr="00A9469D" w:rsidRDefault="0048364F" w:rsidP="00A9469D">
      <w:pPr>
        <w:pStyle w:val="subsection"/>
      </w:pPr>
      <w:r w:rsidRPr="00A9469D">
        <w:tab/>
      </w:r>
      <w:r w:rsidRPr="00A9469D">
        <w:tab/>
        <w:t xml:space="preserve">This Act </w:t>
      </w:r>
      <w:r w:rsidR="00275197" w:rsidRPr="00A9469D">
        <w:t xml:space="preserve">is </w:t>
      </w:r>
      <w:r w:rsidRPr="00A9469D">
        <w:t xml:space="preserve">the </w:t>
      </w:r>
      <w:r w:rsidR="00076071" w:rsidRPr="00A9469D">
        <w:rPr>
          <w:i/>
        </w:rPr>
        <w:t>Industrial Chemicals (Consequential Amendments and Transitional Provisions)</w:t>
      </w:r>
      <w:r w:rsidR="00C164CA" w:rsidRPr="00A9469D">
        <w:rPr>
          <w:i/>
        </w:rPr>
        <w:t xml:space="preserve"> Act 201</w:t>
      </w:r>
      <w:r w:rsidR="0025375B">
        <w:rPr>
          <w:i/>
        </w:rPr>
        <w:t>9</w:t>
      </w:r>
      <w:r w:rsidRPr="00A9469D">
        <w:t>.</w:t>
      </w:r>
    </w:p>
    <w:p w:rsidR="0048364F" w:rsidRPr="00A9469D" w:rsidRDefault="0048364F" w:rsidP="00A9469D">
      <w:pPr>
        <w:pStyle w:val="ActHead5"/>
      </w:pPr>
      <w:bookmarkStart w:id="3" w:name="_Toc3448235"/>
      <w:r w:rsidRPr="00A9469D">
        <w:rPr>
          <w:rStyle w:val="CharSectno"/>
        </w:rPr>
        <w:t>2</w:t>
      </w:r>
      <w:r w:rsidRPr="00A9469D">
        <w:t xml:space="preserve">  Commencement</w:t>
      </w:r>
      <w:bookmarkEnd w:id="3"/>
    </w:p>
    <w:p w:rsidR="0048364F" w:rsidRPr="00A9469D" w:rsidRDefault="0048364F" w:rsidP="00A9469D">
      <w:pPr>
        <w:pStyle w:val="subsection"/>
      </w:pPr>
      <w:r w:rsidRPr="00A9469D">
        <w:tab/>
        <w:t>(1)</w:t>
      </w:r>
      <w:r w:rsidRPr="00A9469D">
        <w:tab/>
        <w:t>Each provision of this Act specified in column 1 of the table commences, or is taken to have commenced, in accordance with column 2 of the table. Any other statement in column 2 has effect according to its terms.</w:t>
      </w:r>
    </w:p>
    <w:p w:rsidR="0048364F" w:rsidRPr="00A9469D" w:rsidRDefault="0048364F" w:rsidP="00A9469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9469D" w:rsidTr="004C7C8C">
        <w:trPr>
          <w:tblHeader/>
        </w:trPr>
        <w:tc>
          <w:tcPr>
            <w:tcW w:w="7111" w:type="dxa"/>
            <w:gridSpan w:val="3"/>
            <w:tcBorders>
              <w:top w:val="single" w:sz="12" w:space="0" w:color="auto"/>
              <w:bottom w:val="single" w:sz="6" w:space="0" w:color="auto"/>
            </w:tcBorders>
            <w:shd w:val="clear" w:color="auto" w:fill="auto"/>
          </w:tcPr>
          <w:p w:rsidR="0048364F" w:rsidRPr="00A9469D" w:rsidRDefault="0048364F" w:rsidP="00A9469D">
            <w:pPr>
              <w:pStyle w:val="TableHeading"/>
            </w:pPr>
            <w:r w:rsidRPr="00A9469D">
              <w:t>Commencement information</w:t>
            </w:r>
          </w:p>
        </w:tc>
      </w:tr>
      <w:tr w:rsidR="0048364F" w:rsidRPr="00A9469D" w:rsidTr="004C7C8C">
        <w:trPr>
          <w:tblHeader/>
        </w:trPr>
        <w:tc>
          <w:tcPr>
            <w:tcW w:w="1701" w:type="dxa"/>
            <w:tcBorders>
              <w:top w:val="single" w:sz="6" w:space="0" w:color="auto"/>
              <w:bottom w:val="single" w:sz="6" w:space="0" w:color="auto"/>
            </w:tcBorders>
            <w:shd w:val="clear" w:color="auto" w:fill="auto"/>
          </w:tcPr>
          <w:p w:rsidR="0048364F" w:rsidRPr="00A9469D" w:rsidRDefault="0048364F" w:rsidP="00A9469D">
            <w:pPr>
              <w:pStyle w:val="TableHeading"/>
            </w:pPr>
            <w:r w:rsidRPr="00A9469D">
              <w:t>Column 1</w:t>
            </w:r>
          </w:p>
        </w:tc>
        <w:tc>
          <w:tcPr>
            <w:tcW w:w="3828" w:type="dxa"/>
            <w:tcBorders>
              <w:top w:val="single" w:sz="6" w:space="0" w:color="auto"/>
              <w:bottom w:val="single" w:sz="6" w:space="0" w:color="auto"/>
            </w:tcBorders>
            <w:shd w:val="clear" w:color="auto" w:fill="auto"/>
          </w:tcPr>
          <w:p w:rsidR="0048364F" w:rsidRPr="00A9469D" w:rsidRDefault="0048364F" w:rsidP="00A9469D">
            <w:pPr>
              <w:pStyle w:val="TableHeading"/>
            </w:pPr>
            <w:r w:rsidRPr="00A9469D">
              <w:t>Column 2</w:t>
            </w:r>
          </w:p>
        </w:tc>
        <w:tc>
          <w:tcPr>
            <w:tcW w:w="1582" w:type="dxa"/>
            <w:tcBorders>
              <w:top w:val="single" w:sz="6" w:space="0" w:color="auto"/>
              <w:bottom w:val="single" w:sz="6" w:space="0" w:color="auto"/>
            </w:tcBorders>
            <w:shd w:val="clear" w:color="auto" w:fill="auto"/>
          </w:tcPr>
          <w:p w:rsidR="0048364F" w:rsidRPr="00A9469D" w:rsidRDefault="0048364F" w:rsidP="00A9469D">
            <w:pPr>
              <w:pStyle w:val="TableHeading"/>
            </w:pPr>
            <w:r w:rsidRPr="00A9469D">
              <w:t>Column 3</w:t>
            </w:r>
          </w:p>
        </w:tc>
      </w:tr>
      <w:tr w:rsidR="0048364F" w:rsidRPr="00A9469D" w:rsidTr="004C7C8C">
        <w:trPr>
          <w:tblHeader/>
        </w:trPr>
        <w:tc>
          <w:tcPr>
            <w:tcW w:w="1701" w:type="dxa"/>
            <w:tcBorders>
              <w:top w:val="single" w:sz="6" w:space="0" w:color="auto"/>
              <w:bottom w:val="single" w:sz="12" w:space="0" w:color="auto"/>
            </w:tcBorders>
            <w:shd w:val="clear" w:color="auto" w:fill="auto"/>
          </w:tcPr>
          <w:p w:rsidR="0048364F" w:rsidRPr="00A9469D" w:rsidRDefault="0048364F" w:rsidP="00A9469D">
            <w:pPr>
              <w:pStyle w:val="TableHeading"/>
            </w:pPr>
            <w:r w:rsidRPr="00A9469D">
              <w:t>Provisions</w:t>
            </w:r>
          </w:p>
        </w:tc>
        <w:tc>
          <w:tcPr>
            <w:tcW w:w="3828" w:type="dxa"/>
            <w:tcBorders>
              <w:top w:val="single" w:sz="6" w:space="0" w:color="auto"/>
              <w:bottom w:val="single" w:sz="12" w:space="0" w:color="auto"/>
            </w:tcBorders>
            <w:shd w:val="clear" w:color="auto" w:fill="auto"/>
          </w:tcPr>
          <w:p w:rsidR="0048364F" w:rsidRPr="00A9469D" w:rsidRDefault="0048364F" w:rsidP="00A9469D">
            <w:pPr>
              <w:pStyle w:val="TableHeading"/>
            </w:pPr>
            <w:r w:rsidRPr="00A9469D">
              <w:t>Commencement</w:t>
            </w:r>
          </w:p>
        </w:tc>
        <w:tc>
          <w:tcPr>
            <w:tcW w:w="1582" w:type="dxa"/>
            <w:tcBorders>
              <w:top w:val="single" w:sz="6" w:space="0" w:color="auto"/>
              <w:bottom w:val="single" w:sz="12" w:space="0" w:color="auto"/>
            </w:tcBorders>
            <w:shd w:val="clear" w:color="auto" w:fill="auto"/>
          </w:tcPr>
          <w:p w:rsidR="0048364F" w:rsidRPr="00A9469D" w:rsidRDefault="0048364F" w:rsidP="00A9469D">
            <w:pPr>
              <w:pStyle w:val="TableHeading"/>
            </w:pPr>
            <w:r w:rsidRPr="00A9469D">
              <w:t>Date/Details</w:t>
            </w:r>
          </w:p>
        </w:tc>
      </w:tr>
      <w:tr w:rsidR="0048364F" w:rsidRPr="00A9469D" w:rsidTr="004C7C8C">
        <w:tc>
          <w:tcPr>
            <w:tcW w:w="1701" w:type="dxa"/>
            <w:tcBorders>
              <w:top w:val="single" w:sz="12" w:space="0" w:color="auto"/>
            </w:tcBorders>
            <w:shd w:val="clear" w:color="auto" w:fill="auto"/>
          </w:tcPr>
          <w:p w:rsidR="0048364F" w:rsidRPr="00A9469D" w:rsidRDefault="0048364F" w:rsidP="00A9469D">
            <w:pPr>
              <w:pStyle w:val="Tabletext"/>
            </w:pPr>
            <w:r w:rsidRPr="00A9469D">
              <w:t>1.  Sections</w:t>
            </w:r>
            <w:r w:rsidR="00A9469D" w:rsidRPr="00A9469D">
              <w:t> </w:t>
            </w:r>
            <w:r w:rsidRPr="00A9469D">
              <w:t>1 to 3 and anything in this Act not elsewhere covered by this table</w:t>
            </w:r>
          </w:p>
        </w:tc>
        <w:tc>
          <w:tcPr>
            <w:tcW w:w="3828" w:type="dxa"/>
            <w:tcBorders>
              <w:top w:val="single" w:sz="12" w:space="0" w:color="auto"/>
            </w:tcBorders>
            <w:shd w:val="clear" w:color="auto" w:fill="auto"/>
          </w:tcPr>
          <w:p w:rsidR="0048364F" w:rsidRPr="00A9469D" w:rsidRDefault="0048364F" w:rsidP="00A9469D">
            <w:pPr>
              <w:pStyle w:val="Tabletext"/>
            </w:pPr>
            <w:r w:rsidRPr="00A9469D">
              <w:t>The day this Act receives the Royal Assent.</w:t>
            </w:r>
          </w:p>
        </w:tc>
        <w:tc>
          <w:tcPr>
            <w:tcW w:w="1582" w:type="dxa"/>
            <w:tcBorders>
              <w:top w:val="single" w:sz="12" w:space="0" w:color="auto"/>
            </w:tcBorders>
            <w:shd w:val="clear" w:color="auto" w:fill="auto"/>
          </w:tcPr>
          <w:p w:rsidR="0048364F" w:rsidRPr="00A9469D" w:rsidRDefault="00FA3665" w:rsidP="00A9469D">
            <w:pPr>
              <w:pStyle w:val="Tabletext"/>
            </w:pPr>
            <w:r>
              <w:t>12 March 2019</w:t>
            </w:r>
          </w:p>
        </w:tc>
      </w:tr>
      <w:tr w:rsidR="00C922FB" w:rsidRPr="00A9469D" w:rsidTr="004C7C8C">
        <w:tc>
          <w:tcPr>
            <w:tcW w:w="1701" w:type="dxa"/>
            <w:tcBorders>
              <w:bottom w:val="single" w:sz="12" w:space="0" w:color="auto"/>
            </w:tcBorders>
            <w:shd w:val="clear" w:color="auto" w:fill="auto"/>
          </w:tcPr>
          <w:p w:rsidR="00C922FB" w:rsidRPr="00A9469D" w:rsidRDefault="00C922FB" w:rsidP="00A9469D">
            <w:pPr>
              <w:pStyle w:val="Tabletext"/>
            </w:pPr>
            <w:r w:rsidRPr="00A9469D">
              <w:t>2.  Schedules</w:t>
            </w:r>
            <w:r w:rsidR="00A9469D" w:rsidRPr="00A9469D">
              <w:t> </w:t>
            </w:r>
            <w:r w:rsidRPr="00A9469D">
              <w:t>1 and 2</w:t>
            </w:r>
          </w:p>
        </w:tc>
        <w:tc>
          <w:tcPr>
            <w:tcW w:w="3828" w:type="dxa"/>
            <w:tcBorders>
              <w:bottom w:val="single" w:sz="12" w:space="0" w:color="auto"/>
            </w:tcBorders>
            <w:shd w:val="clear" w:color="auto" w:fill="auto"/>
          </w:tcPr>
          <w:p w:rsidR="00C922FB" w:rsidRPr="00A9469D" w:rsidRDefault="00C922FB" w:rsidP="00A9469D">
            <w:pPr>
              <w:pStyle w:val="Tabletext"/>
            </w:pPr>
            <w:r w:rsidRPr="00A9469D">
              <w:t>The later of:</w:t>
            </w:r>
          </w:p>
          <w:p w:rsidR="00C922FB" w:rsidRPr="00A9469D" w:rsidRDefault="00C922FB" w:rsidP="00A9469D">
            <w:pPr>
              <w:pStyle w:val="Tablea"/>
            </w:pPr>
            <w:r w:rsidRPr="00A9469D">
              <w:t>(a) the start of the day after this Act receives the Royal Assent; and</w:t>
            </w:r>
          </w:p>
          <w:p w:rsidR="00C922FB" w:rsidRPr="00A9469D" w:rsidRDefault="00C922FB" w:rsidP="00A9469D">
            <w:pPr>
              <w:pStyle w:val="Tablea"/>
            </w:pPr>
            <w:r w:rsidRPr="00A9469D">
              <w:t>(b) immediately after the commencement of section</w:t>
            </w:r>
            <w:r w:rsidR="00A9469D" w:rsidRPr="00A9469D">
              <w:t> </w:t>
            </w:r>
            <w:r w:rsidRPr="00A9469D">
              <w:t xml:space="preserve">3 of the </w:t>
            </w:r>
            <w:r w:rsidRPr="00A9469D">
              <w:rPr>
                <w:i/>
              </w:rPr>
              <w:t>Industrial Chemicals Act 201</w:t>
            </w:r>
            <w:r w:rsidR="0025375B">
              <w:rPr>
                <w:i/>
              </w:rPr>
              <w:t>9</w:t>
            </w:r>
            <w:r w:rsidRPr="00A9469D">
              <w:t>.</w:t>
            </w:r>
          </w:p>
          <w:p w:rsidR="00C922FB" w:rsidRPr="00A9469D" w:rsidRDefault="00C922FB" w:rsidP="00A9469D">
            <w:pPr>
              <w:pStyle w:val="Tabletext"/>
            </w:pPr>
            <w:r w:rsidRPr="00A9469D">
              <w:t xml:space="preserve">However, the provisions do not commence at all if the event mentioned in </w:t>
            </w:r>
            <w:r w:rsidR="00A9469D" w:rsidRPr="00A9469D">
              <w:t>paragraph (</w:t>
            </w:r>
            <w:r w:rsidRPr="00A9469D">
              <w:t>b) does not occur.</w:t>
            </w:r>
          </w:p>
        </w:tc>
        <w:tc>
          <w:tcPr>
            <w:tcW w:w="1582" w:type="dxa"/>
            <w:tcBorders>
              <w:bottom w:val="single" w:sz="12" w:space="0" w:color="auto"/>
            </w:tcBorders>
            <w:shd w:val="clear" w:color="auto" w:fill="auto"/>
          </w:tcPr>
          <w:p w:rsidR="00C922FB" w:rsidRDefault="00FA3665" w:rsidP="00A9469D">
            <w:pPr>
              <w:pStyle w:val="Tabletext"/>
            </w:pPr>
            <w:r>
              <w:t>1 July 2020</w:t>
            </w:r>
          </w:p>
          <w:p w:rsidR="00FA3665" w:rsidRPr="00A9469D" w:rsidRDefault="00FA3665" w:rsidP="00A9469D">
            <w:pPr>
              <w:pStyle w:val="Tabletext"/>
            </w:pPr>
            <w:r>
              <w:t>(paragraph (b) applies)</w:t>
            </w:r>
          </w:p>
        </w:tc>
      </w:tr>
    </w:tbl>
    <w:p w:rsidR="0048364F" w:rsidRPr="00A9469D" w:rsidRDefault="00201D27" w:rsidP="00A9469D">
      <w:pPr>
        <w:pStyle w:val="notetext"/>
      </w:pPr>
      <w:r w:rsidRPr="00A9469D">
        <w:t>Note:</w:t>
      </w:r>
      <w:r w:rsidRPr="00A9469D">
        <w:tab/>
        <w:t>This table relates only to the provisions of this Act as originally enacted. It will not be amended to deal with any later amendments of this Act.</w:t>
      </w:r>
    </w:p>
    <w:p w:rsidR="0048364F" w:rsidRPr="00A9469D" w:rsidRDefault="0048364F" w:rsidP="00A9469D">
      <w:pPr>
        <w:pStyle w:val="subsection"/>
      </w:pPr>
      <w:r w:rsidRPr="00A9469D">
        <w:tab/>
        <w:t>(2)</w:t>
      </w:r>
      <w:r w:rsidRPr="00A9469D">
        <w:tab/>
      </w:r>
      <w:r w:rsidR="00201D27" w:rsidRPr="00A9469D">
        <w:t xml:space="preserve">Any information in </w:t>
      </w:r>
      <w:r w:rsidR="00877D48" w:rsidRPr="00A9469D">
        <w:t>c</w:t>
      </w:r>
      <w:r w:rsidR="00201D27" w:rsidRPr="00A9469D">
        <w:t>olumn 3 of the table is not part of this Act. Information may be inserted in this column, or information in it may be edited, in any published version of this Act.</w:t>
      </w:r>
    </w:p>
    <w:p w:rsidR="0048364F" w:rsidRPr="00A9469D" w:rsidRDefault="0048364F" w:rsidP="00A9469D">
      <w:pPr>
        <w:pStyle w:val="ActHead5"/>
      </w:pPr>
      <w:bookmarkStart w:id="4" w:name="_Toc3448236"/>
      <w:r w:rsidRPr="00A9469D">
        <w:rPr>
          <w:rStyle w:val="CharSectno"/>
        </w:rPr>
        <w:lastRenderedPageBreak/>
        <w:t>3</w:t>
      </w:r>
      <w:r w:rsidRPr="00A9469D">
        <w:t xml:space="preserve">  Schedules</w:t>
      </w:r>
      <w:bookmarkEnd w:id="4"/>
    </w:p>
    <w:p w:rsidR="0048364F" w:rsidRPr="00A9469D" w:rsidRDefault="0048364F" w:rsidP="00A9469D">
      <w:pPr>
        <w:pStyle w:val="subsection"/>
      </w:pPr>
      <w:r w:rsidRPr="00A9469D">
        <w:tab/>
      </w:r>
      <w:r w:rsidRPr="00A9469D">
        <w:tab/>
      </w:r>
      <w:r w:rsidR="00202618" w:rsidRPr="00A9469D">
        <w:t>Legislation that is specified in a Schedule to this Act is amended or repealed as set out in the applicable items in the Schedule concerned, and any other item in a Schedule to this Act has effect according to its terms.</w:t>
      </w:r>
    </w:p>
    <w:p w:rsidR="0048364F" w:rsidRPr="00A9469D" w:rsidRDefault="0048364F" w:rsidP="00A9469D">
      <w:pPr>
        <w:pStyle w:val="ActHead6"/>
        <w:pageBreakBefore/>
      </w:pPr>
      <w:bookmarkStart w:id="5" w:name="_Toc3448237"/>
      <w:bookmarkStart w:id="6" w:name="opcAmSched"/>
      <w:r w:rsidRPr="00A9469D">
        <w:rPr>
          <w:rStyle w:val="CharAmSchNo"/>
        </w:rPr>
        <w:lastRenderedPageBreak/>
        <w:t>Schedule</w:t>
      </w:r>
      <w:r w:rsidR="00A9469D" w:rsidRPr="00A9469D">
        <w:rPr>
          <w:rStyle w:val="CharAmSchNo"/>
        </w:rPr>
        <w:t> </w:t>
      </w:r>
      <w:r w:rsidRPr="00A9469D">
        <w:rPr>
          <w:rStyle w:val="CharAmSchNo"/>
        </w:rPr>
        <w:t>1</w:t>
      </w:r>
      <w:r w:rsidRPr="00A9469D">
        <w:t>—</w:t>
      </w:r>
      <w:r w:rsidR="00883042" w:rsidRPr="00A9469D">
        <w:rPr>
          <w:rStyle w:val="CharAmSchText"/>
        </w:rPr>
        <w:t>Repeal</w:t>
      </w:r>
      <w:r w:rsidR="00F609BB" w:rsidRPr="00A9469D">
        <w:rPr>
          <w:rStyle w:val="CharAmSchText"/>
        </w:rPr>
        <w:t>s</w:t>
      </w:r>
      <w:r w:rsidR="00883042" w:rsidRPr="00A9469D">
        <w:rPr>
          <w:rStyle w:val="CharAmSchText"/>
        </w:rPr>
        <w:t xml:space="preserve"> </w:t>
      </w:r>
      <w:r w:rsidR="00AA5915" w:rsidRPr="00A9469D">
        <w:rPr>
          <w:rStyle w:val="CharAmSchText"/>
        </w:rPr>
        <w:t xml:space="preserve">and amendments </w:t>
      </w:r>
      <w:r w:rsidR="00883042" w:rsidRPr="00A9469D">
        <w:rPr>
          <w:rStyle w:val="CharAmSchText"/>
        </w:rPr>
        <w:t>of Act</w:t>
      </w:r>
      <w:r w:rsidR="00602EBF" w:rsidRPr="00A9469D">
        <w:rPr>
          <w:rStyle w:val="CharAmSchText"/>
        </w:rPr>
        <w:t>s</w:t>
      </w:r>
      <w:bookmarkEnd w:id="5"/>
    </w:p>
    <w:p w:rsidR="00AA5915" w:rsidRPr="00A9469D" w:rsidRDefault="00AA5915" w:rsidP="00A9469D">
      <w:pPr>
        <w:pStyle w:val="ActHead7"/>
      </w:pPr>
      <w:bookmarkStart w:id="7" w:name="_Toc3448238"/>
      <w:bookmarkEnd w:id="6"/>
      <w:r w:rsidRPr="00A9469D">
        <w:rPr>
          <w:rStyle w:val="CharAmPartNo"/>
        </w:rPr>
        <w:t>Part</w:t>
      </w:r>
      <w:r w:rsidR="00A9469D" w:rsidRPr="00A9469D">
        <w:rPr>
          <w:rStyle w:val="CharAmPartNo"/>
        </w:rPr>
        <w:t> </w:t>
      </w:r>
      <w:r w:rsidRPr="00A9469D">
        <w:rPr>
          <w:rStyle w:val="CharAmPartNo"/>
        </w:rPr>
        <w:t>1</w:t>
      </w:r>
      <w:r w:rsidRPr="00A9469D">
        <w:t>—</w:t>
      </w:r>
      <w:r w:rsidRPr="00A9469D">
        <w:rPr>
          <w:rStyle w:val="CharAmPartText"/>
        </w:rPr>
        <w:t>Repeal</w:t>
      </w:r>
      <w:r w:rsidR="00F609BB" w:rsidRPr="00A9469D">
        <w:rPr>
          <w:rStyle w:val="CharAmPartText"/>
        </w:rPr>
        <w:t>s</w:t>
      </w:r>
      <w:r w:rsidRPr="00A9469D">
        <w:rPr>
          <w:rStyle w:val="CharAmPartText"/>
        </w:rPr>
        <w:t xml:space="preserve"> of </w:t>
      </w:r>
      <w:r w:rsidR="00AD4234" w:rsidRPr="00A9469D">
        <w:rPr>
          <w:rStyle w:val="CharAmPartText"/>
        </w:rPr>
        <w:t>Acts</w:t>
      </w:r>
      <w:bookmarkEnd w:id="7"/>
    </w:p>
    <w:p w:rsidR="00883042" w:rsidRPr="00A9469D" w:rsidRDefault="00883042" w:rsidP="00A9469D">
      <w:pPr>
        <w:pStyle w:val="ActHead9"/>
        <w:rPr>
          <w:i w:val="0"/>
        </w:rPr>
      </w:pPr>
      <w:bookmarkStart w:id="8" w:name="_Toc3448239"/>
      <w:r w:rsidRPr="00A9469D">
        <w:t>Industrial Chemicals (Notification and Assessment) Act 1989</w:t>
      </w:r>
      <w:bookmarkEnd w:id="8"/>
    </w:p>
    <w:p w:rsidR="0048364F" w:rsidRPr="00A9469D" w:rsidRDefault="0047727C" w:rsidP="00A9469D">
      <w:pPr>
        <w:pStyle w:val="ItemHead"/>
      </w:pPr>
      <w:r w:rsidRPr="00A9469D">
        <w:t>1</w:t>
      </w:r>
      <w:r w:rsidR="00883042" w:rsidRPr="00A9469D">
        <w:t xml:space="preserve">  The whole of the Act</w:t>
      </w:r>
    </w:p>
    <w:p w:rsidR="00883042" w:rsidRPr="00A9469D" w:rsidRDefault="00883042" w:rsidP="00A9469D">
      <w:pPr>
        <w:pStyle w:val="Item"/>
      </w:pPr>
      <w:r w:rsidRPr="00A9469D">
        <w:t>Repeal the Act.</w:t>
      </w:r>
    </w:p>
    <w:p w:rsidR="00AD4234" w:rsidRPr="00A9469D" w:rsidRDefault="00AD4234" w:rsidP="00A9469D">
      <w:pPr>
        <w:pStyle w:val="ActHead9"/>
        <w:rPr>
          <w:i w:val="0"/>
        </w:rPr>
      </w:pPr>
      <w:bookmarkStart w:id="9" w:name="_Toc3448240"/>
      <w:r w:rsidRPr="00A9469D">
        <w:t>Industrial Chemicals (Registration Charge—Customs) Act 1997</w:t>
      </w:r>
      <w:bookmarkEnd w:id="9"/>
    </w:p>
    <w:p w:rsidR="00AD4234" w:rsidRPr="00A9469D" w:rsidRDefault="0047727C" w:rsidP="00A9469D">
      <w:pPr>
        <w:pStyle w:val="ItemHead"/>
      </w:pPr>
      <w:r w:rsidRPr="00A9469D">
        <w:t>2</w:t>
      </w:r>
      <w:r w:rsidR="00AD4234" w:rsidRPr="00A9469D">
        <w:t xml:space="preserve">  The whole of the Act</w:t>
      </w:r>
    </w:p>
    <w:p w:rsidR="00AD4234" w:rsidRPr="00A9469D" w:rsidRDefault="00AD4234" w:rsidP="00A9469D">
      <w:pPr>
        <w:pStyle w:val="Item"/>
      </w:pPr>
      <w:r w:rsidRPr="00A9469D">
        <w:t>Repeal the Act.</w:t>
      </w:r>
    </w:p>
    <w:p w:rsidR="00AD4234" w:rsidRPr="00A9469D" w:rsidRDefault="00AD4234" w:rsidP="00A9469D">
      <w:pPr>
        <w:pStyle w:val="ActHead9"/>
        <w:rPr>
          <w:i w:val="0"/>
        </w:rPr>
      </w:pPr>
      <w:bookmarkStart w:id="10" w:name="_Toc3448241"/>
      <w:r w:rsidRPr="00A9469D">
        <w:t>Industrial Chemicals (Registration Charge—Excise) Act 1997</w:t>
      </w:r>
      <w:bookmarkEnd w:id="10"/>
    </w:p>
    <w:p w:rsidR="00AD4234" w:rsidRPr="00A9469D" w:rsidRDefault="0047727C" w:rsidP="00A9469D">
      <w:pPr>
        <w:pStyle w:val="ItemHead"/>
      </w:pPr>
      <w:r w:rsidRPr="00A9469D">
        <w:t>3</w:t>
      </w:r>
      <w:r w:rsidR="00AD4234" w:rsidRPr="00A9469D">
        <w:t xml:space="preserve">  The whole of the Act</w:t>
      </w:r>
    </w:p>
    <w:p w:rsidR="00AD4234" w:rsidRPr="00A9469D" w:rsidRDefault="00AD4234" w:rsidP="00A9469D">
      <w:pPr>
        <w:pStyle w:val="Item"/>
      </w:pPr>
      <w:r w:rsidRPr="00A9469D">
        <w:t>Repeal the Act.</w:t>
      </w:r>
    </w:p>
    <w:p w:rsidR="00AD4234" w:rsidRPr="00A9469D" w:rsidRDefault="00AD4234" w:rsidP="00A9469D">
      <w:pPr>
        <w:pStyle w:val="ActHead9"/>
        <w:rPr>
          <w:i w:val="0"/>
        </w:rPr>
      </w:pPr>
      <w:bookmarkStart w:id="11" w:name="_Toc3448242"/>
      <w:r w:rsidRPr="00A9469D">
        <w:t>Industrial Chemicals (Registration Charge—General) Act 1997</w:t>
      </w:r>
      <w:bookmarkEnd w:id="11"/>
    </w:p>
    <w:p w:rsidR="00AD4234" w:rsidRPr="00A9469D" w:rsidRDefault="0047727C" w:rsidP="00A9469D">
      <w:pPr>
        <w:pStyle w:val="ItemHead"/>
      </w:pPr>
      <w:r w:rsidRPr="00A9469D">
        <w:t>4</w:t>
      </w:r>
      <w:r w:rsidR="00AD4234" w:rsidRPr="00A9469D">
        <w:t xml:space="preserve">  The whole of the Act</w:t>
      </w:r>
    </w:p>
    <w:p w:rsidR="00AD4234" w:rsidRPr="00A9469D" w:rsidRDefault="00AD4234" w:rsidP="00A9469D">
      <w:pPr>
        <w:pStyle w:val="Item"/>
      </w:pPr>
      <w:bookmarkStart w:id="12" w:name="bkCheck17_1"/>
      <w:r w:rsidRPr="00A9469D">
        <w:t>Repeal the Act</w:t>
      </w:r>
      <w:bookmarkEnd w:id="12"/>
      <w:r w:rsidRPr="00A9469D">
        <w:t>.</w:t>
      </w:r>
    </w:p>
    <w:p w:rsidR="00AA5915" w:rsidRPr="00A9469D" w:rsidRDefault="00AA5915" w:rsidP="00A9469D">
      <w:pPr>
        <w:pStyle w:val="ActHead7"/>
        <w:pageBreakBefore/>
      </w:pPr>
      <w:bookmarkStart w:id="13" w:name="_Toc3448243"/>
      <w:r w:rsidRPr="00A9469D">
        <w:rPr>
          <w:rStyle w:val="CharAmPartNo"/>
        </w:rPr>
        <w:lastRenderedPageBreak/>
        <w:t>Part</w:t>
      </w:r>
      <w:r w:rsidR="00A9469D" w:rsidRPr="00A9469D">
        <w:rPr>
          <w:rStyle w:val="CharAmPartNo"/>
        </w:rPr>
        <w:t> </w:t>
      </w:r>
      <w:r w:rsidRPr="00A9469D">
        <w:rPr>
          <w:rStyle w:val="CharAmPartNo"/>
        </w:rPr>
        <w:t>2</w:t>
      </w:r>
      <w:r w:rsidRPr="00A9469D">
        <w:t>—</w:t>
      </w:r>
      <w:r w:rsidRPr="00A9469D">
        <w:rPr>
          <w:rStyle w:val="CharAmPartText"/>
        </w:rPr>
        <w:t>Consequential amendments</w:t>
      </w:r>
      <w:bookmarkEnd w:id="13"/>
    </w:p>
    <w:p w:rsidR="00223898" w:rsidRPr="00A9469D" w:rsidRDefault="00F70E6D" w:rsidP="00A9469D">
      <w:pPr>
        <w:pStyle w:val="ActHead9"/>
        <w:rPr>
          <w:i w:val="0"/>
        </w:rPr>
      </w:pPr>
      <w:bookmarkStart w:id="14" w:name="_Toc3448244"/>
      <w:r w:rsidRPr="00A9469D">
        <w:t>Agricultural and Veterinary Chemicals Act 1994</w:t>
      </w:r>
      <w:bookmarkEnd w:id="14"/>
    </w:p>
    <w:p w:rsidR="00F70E6D" w:rsidRPr="00A9469D" w:rsidRDefault="0047727C" w:rsidP="00A9469D">
      <w:pPr>
        <w:pStyle w:val="ItemHead"/>
      </w:pPr>
      <w:r w:rsidRPr="00A9469D">
        <w:t>5</w:t>
      </w:r>
      <w:r w:rsidR="00F70E6D" w:rsidRPr="00A9469D">
        <w:t xml:space="preserve">  Subsection</w:t>
      </w:r>
      <w:r w:rsidR="00A9469D" w:rsidRPr="00A9469D">
        <w:t> </w:t>
      </w:r>
      <w:r w:rsidR="00F70E6D" w:rsidRPr="00A9469D">
        <w:t>7(2)</w:t>
      </w:r>
    </w:p>
    <w:p w:rsidR="00F70E6D" w:rsidRPr="00A9469D" w:rsidRDefault="00F70E6D" w:rsidP="00A9469D">
      <w:pPr>
        <w:pStyle w:val="Item"/>
      </w:pPr>
      <w:r w:rsidRPr="00A9469D">
        <w:t>Omit “</w:t>
      </w:r>
      <w:r w:rsidRPr="00A9469D">
        <w:rPr>
          <w:i/>
        </w:rPr>
        <w:t>Industrial Chemicals (Notification and Assessment) Act 1989</w:t>
      </w:r>
      <w:r w:rsidRPr="00A9469D">
        <w:t>”, substitute “</w:t>
      </w:r>
      <w:r w:rsidRPr="00A9469D">
        <w:rPr>
          <w:i/>
        </w:rPr>
        <w:t>Industrial Chemicals Act 201</w:t>
      </w:r>
      <w:r w:rsidR="0025375B">
        <w:rPr>
          <w:i/>
        </w:rPr>
        <w:t>9</w:t>
      </w:r>
      <w:r w:rsidRPr="00A9469D">
        <w:t>”.</w:t>
      </w:r>
    </w:p>
    <w:p w:rsidR="00F70E6D" w:rsidRPr="00A9469D" w:rsidRDefault="00911B4F" w:rsidP="00A9469D">
      <w:pPr>
        <w:pStyle w:val="ActHead9"/>
        <w:rPr>
          <w:i w:val="0"/>
        </w:rPr>
      </w:pPr>
      <w:bookmarkStart w:id="15" w:name="_Toc3448245"/>
      <w:r w:rsidRPr="00A9469D">
        <w:t>Criminal Code Act 1995</w:t>
      </w:r>
      <w:bookmarkEnd w:id="15"/>
    </w:p>
    <w:p w:rsidR="00911B4F" w:rsidRPr="00A9469D" w:rsidRDefault="0047727C" w:rsidP="00A9469D">
      <w:pPr>
        <w:pStyle w:val="ItemHead"/>
      </w:pPr>
      <w:r w:rsidRPr="00A9469D">
        <w:t>6</w:t>
      </w:r>
      <w:r w:rsidR="00911B4F" w:rsidRPr="00A9469D">
        <w:t xml:space="preserve">  Paragraph 320.2(2)(</w:t>
      </w:r>
      <w:proofErr w:type="spellStart"/>
      <w:r w:rsidR="00911B4F" w:rsidRPr="00A9469D">
        <w:t>i</w:t>
      </w:r>
      <w:proofErr w:type="spellEnd"/>
      <w:r w:rsidR="00911B4F" w:rsidRPr="00A9469D">
        <w:t>)</w:t>
      </w:r>
      <w:r w:rsidR="00452C53" w:rsidRPr="00A9469D">
        <w:t xml:space="preserve"> of the </w:t>
      </w:r>
      <w:r w:rsidR="00452C53" w:rsidRPr="00A9469D">
        <w:rPr>
          <w:i/>
        </w:rPr>
        <w:t>Criminal Code</w:t>
      </w:r>
    </w:p>
    <w:p w:rsidR="00911B4F" w:rsidRPr="00A9469D" w:rsidRDefault="00911B4F" w:rsidP="00A9469D">
      <w:pPr>
        <w:pStyle w:val="Item"/>
      </w:pPr>
      <w:r w:rsidRPr="00A9469D">
        <w:t>Omit “</w:t>
      </w:r>
      <w:r w:rsidRPr="00A9469D">
        <w:rPr>
          <w:i/>
        </w:rPr>
        <w:t>Industrial Chemicals (Notification and Assessment) Act 1989</w:t>
      </w:r>
      <w:r w:rsidRPr="00A9469D">
        <w:t>”, substitute “</w:t>
      </w:r>
      <w:r w:rsidRPr="00A9469D">
        <w:rPr>
          <w:i/>
        </w:rPr>
        <w:t>Industrial Chemicals Act 201</w:t>
      </w:r>
      <w:r w:rsidR="0025375B">
        <w:rPr>
          <w:i/>
        </w:rPr>
        <w:t>9</w:t>
      </w:r>
      <w:r w:rsidRPr="00A9469D">
        <w:t>”.</w:t>
      </w:r>
    </w:p>
    <w:p w:rsidR="00BA4688" w:rsidRPr="00A9469D" w:rsidRDefault="00BA4688" w:rsidP="00A9469D">
      <w:pPr>
        <w:pStyle w:val="ActHead9"/>
        <w:rPr>
          <w:i w:val="0"/>
        </w:rPr>
      </w:pPr>
      <w:bookmarkStart w:id="16" w:name="_Toc3448246"/>
      <w:r w:rsidRPr="00A9469D">
        <w:t>Trans</w:t>
      </w:r>
      <w:r w:rsidR="008B644E">
        <w:noBreakHyphen/>
      </w:r>
      <w:r w:rsidRPr="00A9469D">
        <w:t>Tasman Mutual Recognition Act 1997</w:t>
      </w:r>
      <w:bookmarkEnd w:id="16"/>
    </w:p>
    <w:p w:rsidR="00640FC2" w:rsidRPr="00A9469D" w:rsidRDefault="0047727C" w:rsidP="00A9469D">
      <w:pPr>
        <w:pStyle w:val="ItemHead"/>
      </w:pPr>
      <w:r w:rsidRPr="00A9469D">
        <w:t>7</w:t>
      </w:r>
      <w:r w:rsidR="00640FC2" w:rsidRPr="00A9469D">
        <w:t xml:space="preserve">  Clause</w:t>
      </w:r>
      <w:r w:rsidR="00A9469D" w:rsidRPr="00A9469D">
        <w:t> </w:t>
      </w:r>
      <w:r w:rsidR="00640FC2" w:rsidRPr="00A9469D">
        <w:t>3 of Part</w:t>
      </w:r>
      <w:r w:rsidR="00A9469D" w:rsidRPr="00A9469D">
        <w:t> </w:t>
      </w:r>
      <w:r w:rsidR="00640FC2" w:rsidRPr="00A9469D">
        <w:t>2 of Schedule</w:t>
      </w:r>
      <w:r w:rsidR="00A9469D" w:rsidRPr="00A9469D">
        <w:t> </w:t>
      </w:r>
      <w:r w:rsidR="00640FC2" w:rsidRPr="00A9469D">
        <w:t>2</w:t>
      </w:r>
    </w:p>
    <w:p w:rsidR="00640FC2" w:rsidRPr="00A9469D" w:rsidRDefault="00640FC2" w:rsidP="00A9469D">
      <w:pPr>
        <w:pStyle w:val="Item"/>
      </w:pPr>
      <w:r w:rsidRPr="00A9469D">
        <w:t>Omit “</w:t>
      </w:r>
      <w:r w:rsidRPr="00A9469D">
        <w:rPr>
          <w:i/>
        </w:rPr>
        <w:t>Industrial Chemicals (Notification and Assessment) Act 1989</w:t>
      </w:r>
      <w:r w:rsidRPr="00A9469D">
        <w:t>”, substitute “</w:t>
      </w:r>
      <w:r w:rsidRPr="00A9469D">
        <w:rPr>
          <w:i/>
        </w:rPr>
        <w:t>Industrial Chemicals Act 201</w:t>
      </w:r>
      <w:r w:rsidR="0025375B">
        <w:rPr>
          <w:i/>
        </w:rPr>
        <w:t>9</w:t>
      </w:r>
      <w:r w:rsidRPr="00A9469D">
        <w:t>”.</w:t>
      </w:r>
    </w:p>
    <w:p w:rsidR="00AA5915" w:rsidRPr="00A9469D" w:rsidRDefault="00F91FD7" w:rsidP="00A9469D">
      <w:pPr>
        <w:pStyle w:val="ActHead6"/>
        <w:pageBreakBefore/>
      </w:pPr>
      <w:bookmarkStart w:id="17" w:name="_Toc3448247"/>
      <w:bookmarkStart w:id="18" w:name="opcCurrentFind"/>
      <w:r w:rsidRPr="00A9469D">
        <w:rPr>
          <w:rStyle w:val="CharAmSchNo"/>
        </w:rPr>
        <w:lastRenderedPageBreak/>
        <w:t>Schedule</w:t>
      </w:r>
      <w:r w:rsidR="00A9469D" w:rsidRPr="00A9469D">
        <w:rPr>
          <w:rStyle w:val="CharAmSchNo"/>
        </w:rPr>
        <w:t> </w:t>
      </w:r>
      <w:r w:rsidRPr="00A9469D">
        <w:rPr>
          <w:rStyle w:val="CharAmSchNo"/>
        </w:rPr>
        <w:t>2</w:t>
      </w:r>
      <w:r w:rsidR="00AA5915" w:rsidRPr="00A9469D">
        <w:t>—</w:t>
      </w:r>
      <w:r w:rsidR="00EF6688" w:rsidRPr="00A9469D">
        <w:rPr>
          <w:rStyle w:val="CharAmSchText"/>
        </w:rPr>
        <w:t>Application, savings and t</w:t>
      </w:r>
      <w:r w:rsidR="00AA5915" w:rsidRPr="00A9469D">
        <w:rPr>
          <w:rStyle w:val="CharAmSchText"/>
        </w:rPr>
        <w:t>ransitional provisions</w:t>
      </w:r>
      <w:bookmarkEnd w:id="17"/>
    </w:p>
    <w:p w:rsidR="00EB653F" w:rsidRPr="00A9469D" w:rsidRDefault="00EB653F" w:rsidP="00A9469D">
      <w:pPr>
        <w:pStyle w:val="ActHead7"/>
      </w:pPr>
      <w:bookmarkStart w:id="19" w:name="_Toc3448248"/>
      <w:bookmarkEnd w:id="18"/>
      <w:r w:rsidRPr="00A9469D">
        <w:rPr>
          <w:rStyle w:val="CharAmPartNo"/>
        </w:rPr>
        <w:t>Part</w:t>
      </w:r>
      <w:r w:rsidR="00A9469D" w:rsidRPr="00A9469D">
        <w:rPr>
          <w:rStyle w:val="CharAmPartNo"/>
        </w:rPr>
        <w:t> </w:t>
      </w:r>
      <w:r w:rsidRPr="00A9469D">
        <w:rPr>
          <w:rStyle w:val="CharAmPartNo"/>
        </w:rPr>
        <w:t>1</w:t>
      </w:r>
      <w:r w:rsidRPr="00A9469D">
        <w:t>—</w:t>
      </w:r>
      <w:r w:rsidRPr="00A9469D">
        <w:rPr>
          <w:rStyle w:val="CharAmPartText"/>
        </w:rPr>
        <w:t>Preliminary</w:t>
      </w:r>
      <w:bookmarkEnd w:id="19"/>
    </w:p>
    <w:p w:rsidR="00EB653F" w:rsidRPr="00A9469D" w:rsidRDefault="001B59A4" w:rsidP="00A9469D">
      <w:pPr>
        <w:pStyle w:val="ItemHead"/>
      </w:pPr>
      <w:r w:rsidRPr="00A9469D">
        <w:t>1</w:t>
      </w:r>
      <w:r w:rsidR="00EB653F" w:rsidRPr="00A9469D">
        <w:t xml:space="preserve">  Interpretation</w:t>
      </w:r>
    </w:p>
    <w:p w:rsidR="00EB653F" w:rsidRPr="00A9469D" w:rsidRDefault="00EB653F" w:rsidP="00A9469D">
      <w:pPr>
        <w:pStyle w:val="Subitem"/>
      </w:pPr>
      <w:r w:rsidRPr="00A9469D">
        <w:t>(1)</w:t>
      </w:r>
      <w:r w:rsidRPr="00A9469D">
        <w:tab/>
        <w:t>In this Schedule:</w:t>
      </w:r>
    </w:p>
    <w:p w:rsidR="00EB653F" w:rsidRPr="00A9469D" w:rsidRDefault="00EB653F" w:rsidP="00A9469D">
      <w:pPr>
        <w:pStyle w:val="Item"/>
      </w:pPr>
      <w:r w:rsidRPr="00A9469D">
        <w:rPr>
          <w:b/>
          <w:i/>
        </w:rPr>
        <w:t>confidential section</w:t>
      </w:r>
      <w:r w:rsidRPr="00A9469D">
        <w:t xml:space="preserve"> of the old Inventory means the section of the </w:t>
      </w:r>
      <w:r w:rsidR="008929E6" w:rsidRPr="00A9469D">
        <w:t xml:space="preserve">old </w:t>
      </w:r>
      <w:r w:rsidRPr="00A9469D">
        <w:t>Inventory referred to in subsection</w:t>
      </w:r>
      <w:r w:rsidR="009277B3" w:rsidRPr="00A9469D">
        <w:t>s</w:t>
      </w:r>
      <w:r w:rsidR="00A9469D" w:rsidRPr="00A9469D">
        <w:t> </w:t>
      </w:r>
      <w:r w:rsidRPr="00A9469D">
        <w:t>12(4) and (4A) of the old law.</w:t>
      </w:r>
    </w:p>
    <w:p w:rsidR="00EB653F" w:rsidRPr="00A9469D" w:rsidRDefault="00EB653F" w:rsidP="00A9469D">
      <w:pPr>
        <w:pStyle w:val="Item"/>
      </w:pPr>
      <w:r w:rsidRPr="00A9469D">
        <w:rPr>
          <w:b/>
          <w:i/>
        </w:rPr>
        <w:t>Director</w:t>
      </w:r>
      <w:r w:rsidRPr="00A9469D">
        <w:t xml:space="preserve"> means the Director, National Industrial Chemicals Notification and Assessment Scheme, appointed under section</w:t>
      </w:r>
      <w:r w:rsidR="00A9469D" w:rsidRPr="00A9469D">
        <w:t> </w:t>
      </w:r>
      <w:r w:rsidRPr="00A9469D">
        <w:t>90 of the old law.</w:t>
      </w:r>
    </w:p>
    <w:p w:rsidR="00EE2C8E" w:rsidRPr="00A9469D" w:rsidRDefault="00EE2C8E" w:rsidP="00A9469D">
      <w:pPr>
        <w:pStyle w:val="Item"/>
      </w:pPr>
      <w:r w:rsidRPr="00A9469D">
        <w:rPr>
          <w:b/>
          <w:i/>
        </w:rPr>
        <w:t>new law</w:t>
      </w:r>
      <w:r w:rsidRPr="00A9469D">
        <w:t xml:space="preserve"> means the </w:t>
      </w:r>
      <w:r w:rsidRPr="00A9469D">
        <w:rPr>
          <w:i/>
        </w:rPr>
        <w:t>Industrial Chemicals Act 201</w:t>
      </w:r>
      <w:r w:rsidR="0007492B">
        <w:rPr>
          <w:i/>
        </w:rPr>
        <w:t>9</w:t>
      </w:r>
      <w:r w:rsidR="008929E6" w:rsidRPr="00A9469D">
        <w:t xml:space="preserve"> and any rules made under that Act</w:t>
      </w:r>
      <w:r w:rsidRPr="00A9469D">
        <w:t>.</w:t>
      </w:r>
    </w:p>
    <w:p w:rsidR="00EE2C8E" w:rsidRPr="00A9469D" w:rsidRDefault="00EE2C8E" w:rsidP="00A9469D">
      <w:pPr>
        <w:pStyle w:val="Item"/>
      </w:pPr>
      <w:r w:rsidRPr="00A9469D">
        <w:rPr>
          <w:b/>
          <w:i/>
        </w:rPr>
        <w:t>new Register</w:t>
      </w:r>
      <w:r w:rsidRPr="00A9469D">
        <w:t xml:space="preserve"> means the Register established under section</w:t>
      </w:r>
      <w:r w:rsidR="00A9469D" w:rsidRPr="00A9469D">
        <w:t> </w:t>
      </w:r>
      <w:r w:rsidR="00DD5DE5" w:rsidRPr="00A9469D">
        <w:t>14</w:t>
      </w:r>
      <w:r w:rsidRPr="00A9469D">
        <w:t xml:space="preserve"> of the new law.</w:t>
      </w:r>
    </w:p>
    <w:p w:rsidR="00EB653F" w:rsidRPr="00A9469D" w:rsidRDefault="00EB653F" w:rsidP="00A9469D">
      <w:pPr>
        <w:pStyle w:val="Item"/>
      </w:pPr>
      <w:r w:rsidRPr="00A9469D">
        <w:rPr>
          <w:b/>
          <w:i/>
        </w:rPr>
        <w:t>non</w:t>
      </w:r>
      <w:r w:rsidR="008B644E">
        <w:rPr>
          <w:b/>
          <w:i/>
        </w:rPr>
        <w:noBreakHyphen/>
      </w:r>
      <w:r w:rsidRPr="00A9469D">
        <w:rPr>
          <w:b/>
          <w:i/>
        </w:rPr>
        <w:t>confidential section</w:t>
      </w:r>
      <w:r w:rsidRPr="00A9469D">
        <w:t xml:space="preserve"> of the old Inventory means the section of the </w:t>
      </w:r>
      <w:r w:rsidR="008929E6" w:rsidRPr="00A9469D">
        <w:t xml:space="preserve">old </w:t>
      </w:r>
      <w:r w:rsidRPr="00A9469D">
        <w:t>Inventory referred to in subsection</w:t>
      </w:r>
      <w:r w:rsidR="00A9469D" w:rsidRPr="00A9469D">
        <w:t> </w:t>
      </w:r>
      <w:r w:rsidRPr="00A9469D">
        <w:t>12(3) of the old law.</w:t>
      </w:r>
    </w:p>
    <w:p w:rsidR="00EB653F" w:rsidRPr="00A9469D" w:rsidRDefault="00EB653F" w:rsidP="00A9469D">
      <w:pPr>
        <w:pStyle w:val="Item"/>
      </w:pPr>
      <w:r w:rsidRPr="00A9469D">
        <w:rPr>
          <w:b/>
          <w:i/>
        </w:rPr>
        <w:t>old Inventory</w:t>
      </w:r>
      <w:r w:rsidRPr="00A9469D">
        <w:t xml:space="preserve"> means the Australian Inventory of Chemical Substances referred to in section</w:t>
      </w:r>
      <w:r w:rsidR="00A9469D" w:rsidRPr="00A9469D">
        <w:t> </w:t>
      </w:r>
      <w:r w:rsidRPr="00A9469D">
        <w:t>11 of the old law.</w:t>
      </w:r>
    </w:p>
    <w:p w:rsidR="00EB653F" w:rsidRPr="00A9469D" w:rsidRDefault="00EB653F" w:rsidP="00A9469D">
      <w:pPr>
        <w:pStyle w:val="Item"/>
      </w:pPr>
      <w:r w:rsidRPr="00A9469D">
        <w:rPr>
          <w:b/>
          <w:i/>
        </w:rPr>
        <w:t>old law</w:t>
      </w:r>
      <w:r w:rsidRPr="00A9469D">
        <w:t xml:space="preserve"> means the </w:t>
      </w:r>
      <w:r w:rsidRPr="00A9469D">
        <w:rPr>
          <w:i/>
        </w:rPr>
        <w:t>Industrial Chemicals (Notification and Assessment) Act 1989</w:t>
      </w:r>
      <w:r w:rsidRPr="00A9469D">
        <w:t xml:space="preserve">, </w:t>
      </w:r>
      <w:r w:rsidR="00CB41D7" w:rsidRPr="00A9469D">
        <w:t xml:space="preserve">and any regulations made under that Act, </w:t>
      </w:r>
      <w:r w:rsidRPr="00A9469D">
        <w:t>as in force immediately before 1</w:t>
      </w:r>
      <w:r w:rsidR="00A9469D" w:rsidRPr="00A9469D">
        <w:t> </w:t>
      </w:r>
      <w:r w:rsidRPr="00A9469D">
        <w:t xml:space="preserve">July </w:t>
      </w:r>
      <w:r w:rsidR="00032CBE">
        <w:t>2020.</w:t>
      </w:r>
    </w:p>
    <w:p w:rsidR="00842FE9" w:rsidRPr="00A9469D" w:rsidRDefault="00842FE9" w:rsidP="00A9469D">
      <w:pPr>
        <w:pStyle w:val="Item"/>
      </w:pPr>
      <w:r w:rsidRPr="00A9469D">
        <w:rPr>
          <w:b/>
          <w:i/>
        </w:rPr>
        <w:t>transitional rules</w:t>
      </w:r>
      <w:r w:rsidRPr="00A9469D">
        <w:t xml:space="preserve"> means rules made under item</w:t>
      </w:r>
      <w:r w:rsidR="00A9469D" w:rsidRPr="00A9469D">
        <w:t> </w:t>
      </w:r>
      <w:r w:rsidR="001B59A4" w:rsidRPr="00A9469D">
        <w:t>50</w:t>
      </w:r>
      <w:r w:rsidRPr="00A9469D">
        <w:t>.</w:t>
      </w:r>
    </w:p>
    <w:p w:rsidR="00EB653F" w:rsidRPr="00A9469D" w:rsidRDefault="00EB653F" w:rsidP="00A9469D">
      <w:pPr>
        <w:pStyle w:val="Subitem"/>
      </w:pPr>
      <w:r w:rsidRPr="00A9469D">
        <w:t>(2)</w:t>
      </w:r>
      <w:r w:rsidRPr="00A9469D">
        <w:tab/>
        <w:t>An expression used in this Schedule that is also used in the new law has the same meaning in this Schedule as it has in the new law.</w:t>
      </w:r>
    </w:p>
    <w:p w:rsidR="00EF6688" w:rsidRPr="00A9469D" w:rsidRDefault="00EF6688" w:rsidP="00A9469D">
      <w:pPr>
        <w:pStyle w:val="ActHead7"/>
        <w:pageBreakBefore/>
      </w:pPr>
      <w:bookmarkStart w:id="20" w:name="_Toc3448249"/>
      <w:r w:rsidRPr="00A9469D">
        <w:rPr>
          <w:rStyle w:val="CharAmPartNo"/>
        </w:rPr>
        <w:lastRenderedPageBreak/>
        <w:t>Part</w:t>
      </w:r>
      <w:r w:rsidR="00A9469D" w:rsidRPr="00A9469D">
        <w:rPr>
          <w:rStyle w:val="CharAmPartNo"/>
        </w:rPr>
        <w:t> </w:t>
      </w:r>
      <w:r w:rsidR="00CD12AA" w:rsidRPr="00A9469D">
        <w:rPr>
          <w:rStyle w:val="CharAmPartNo"/>
        </w:rPr>
        <w:t>2</w:t>
      </w:r>
      <w:r w:rsidRPr="00A9469D">
        <w:t>—</w:t>
      </w:r>
      <w:r w:rsidR="00296818" w:rsidRPr="00A9469D">
        <w:rPr>
          <w:rStyle w:val="CharAmPartText"/>
        </w:rPr>
        <w:t>Application</w:t>
      </w:r>
      <w:r w:rsidR="00447DD6" w:rsidRPr="00A9469D">
        <w:rPr>
          <w:rStyle w:val="CharAmPartText"/>
        </w:rPr>
        <w:t xml:space="preserve"> and saving</w:t>
      </w:r>
      <w:r w:rsidR="00296818" w:rsidRPr="00A9469D">
        <w:rPr>
          <w:rStyle w:val="CharAmPartText"/>
        </w:rPr>
        <w:t>s</w:t>
      </w:r>
      <w:r w:rsidRPr="00A9469D">
        <w:rPr>
          <w:rStyle w:val="CharAmPartText"/>
        </w:rPr>
        <w:t xml:space="preserve"> provisions</w:t>
      </w:r>
      <w:bookmarkEnd w:id="20"/>
    </w:p>
    <w:p w:rsidR="00EF6688" w:rsidRPr="00A9469D" w:rsidRDefault="001B59A4" w:rsidP="00A9469D">
      <w:pPr>
        <w:pStyle w:val="ItemHead"/>
      </w:pPr>
      <w:r w:rsidRPr="00A9469D">
        <w:t>2</w:t>
      </w:r>
      <w:r w:rsidR="00EF6688" w:rsidRPr="00A9469D">
        <w:t xml:space="preserve">  </w:t>
      </w:r>
      <w:r w:rsidR="00447DD6" w:rsidRPr="00A9469D">
        <w:t>R</w:t>
      </w:r>
      <w:r w:rsidR="00EF6688" w:rsidRPr="00A9469D">
        <w:t>egistration charge</w:t>
      </w:r>
    </w:p>
    <w:p w:rsidR="00EF6688" w:rsidRPr="00A9469D" w:rsidRDefault="00EF6688" w:rsidP="00A9469D">
      <w:pPr>
        <w:pStyle w:val="Subitem"/>
      </w:pPr>
      <w:r w:rsidRPr="00A9469D">
        <w:t>(1)</w:t>
      </w:r>
      <w:r w:rsidRPr="00A9469D">
        <w:tab/>
        <w:t>Despite the repeal of the old law by Part</w:t>
      </w:r>
      <w:r w:rsidR="00A9469D" w:rsidRPr="00A9469D">
        <w:t> </w:t>
      </w:r>
      <w:r w:rsidRPr="00A9469D">
        <w:t>1 of Schedule</w:t>
      </w:r>
      <w:r w:rsidR="00A9469D" w:rsidRPr="00A9469D">
        <w:t> </w:t>
      </w:r>
      <w:r w:rsidRPr="00A9469D">
        <w:t xml:space="preserve">1, the old law continues to apply on and after </w:t>
      </w:r>
      <w:r w:rsidR="00032CBE" w:rsidRPr="001019F0">
        <w:t>1 July 2020</w:t>
      </w:r>
      <w:r w:rsidRPr="00A9469D">
        <w:t xml:space="preserve"> in relation to </w:t>
      </w:r>
      <w:r w:rsidR="00296818" w:rsidRPr="00A9469D">
        <w:t xml:space="preserve">registration </w:t>
      </w:r>
      <w:r w:rsidRPr="00A9469D">
        <w:t>charge imposed before that day.</w:t>
      </w:r>
    </w:p>
    <w:p w:rsidR="00EF6688" w:rsidRPr="00A9469D" w:rsidRDefault="00EF6688" w:rsidP="00A9469D">
      <w:pPr>
        <w:pStyle w:val="Subitem"/>
      </w:pPr>
      <w:r w:rsidRPr="00A9469D">
        <w:t>(2)</w:t>
      </w:r>
      <w:r w:rsidRPr="00A9469D">
        <w:tab/>
        <w:t xml:space="preserve">Despite the repeal of the </w:t>
      </w:r>
      <w:r w:rsidRPr="00A9469D">
        <w:rPr>
          <w:i/>
        </w:rPr>
        <w:t>Industrial Chemicals (Registration Charge—Customs) Act 1997</w:t>
      </w:r>
      <w:r w:rsidRPr="00A9469D">
        <w:t xml:space="preserve"> by Part</w:t>
      </w:r>
      <w:r w:rsidR="00A9469D" w:rsidRPr="00A9469D">
        <w:t> </w:t>
      </w:r>
      <w:r w:rsidRPr="00A9469D">
        <w:t>1 of Schedule</w:t>
      </w:r>
      <w:r w:rsidR="00A9469D" w:rsidRPr="00A9469D">
        <w:t> </w:t>
      </w:r>
      <w:r w:rsidRPr="00A9469D">
        <w:t xml:space="preserve">1, that Act, as in force immediately before </w:t>
      </w:r>
      <w:r w:rsidR="00032CBE" w:rsidRPr="001019F0">
        <w:t>1 July 2020</w:t>
      </w:r>
      <w:r w:rsidRPr="00A9469D">
        <w:t xml:space="preserve">, continues to apply on and after that day in relation to </w:t>
      </w:r>
      <w:r w:rsidR="00296818" w:rsidRPr="00A9469D">
        <w:t xml:space="preserve">registration </w:t>
      </w:r>
      <w:r w:rsidRPr="00A9469D">
        <w:t>charge imposed before that day.</w:t>
      </w:r>
    </w:p>
    <w:p w:rsidR="00EF6688" w:rsidRPr="00A9469D" w:rsidRDefault="00EF6688" w:rsidP="00A9469D">
      <w:pPr>
        <w:pStyle w:val="Subitem"/>
      </w:pPr>
      <w:r w:rsidRPr="00A9469D">
        <w:t>(3)</w:t>
      </w:r>
      <w:r w:rsidRPr="00A9469D">
        <w:tab/>
        <w:t xml:space="preserve">Despite the repeal of the </w:t>
      </w:r>
      <w:r w:rsidRPr="00A9469D">
        <w:rPr>
          <w:i/>
        </w:rPr>
        <w:t>Industrial Chemicals (Registration Charge—Excise) Act 1997</w:t>
      </w:r>
      <w:r w:rsidRPr="00A9469D">
        <w:t xml:space="preserve"> by Part</w:t>
      </w:r>
      <w:r w:rsidR="00A9469D" w:rsidRPr="00A9469D">
        <w:t> </w:t>
      </w:r>
      <w:r w:rsidRPr="00A9469D">
        <w:t>1 of Schedule</w:t>
      </w:r>
      <w:r w:rsidR="00A9469D" w:rsidRPr="00A9469D">
        <w:t> </w:t>
      </w:r>
      <w:r w:rsidRPr="00A9469D">
        <w:t xml:space="preserve">1, that Act, as in force immediately before </w:t>
      </w:r>
      <w:r w:rsidR="00032CBE" w:rsidRPr="001019F0">
        <w:t>1 July 2020</w:t>
      </w:r>
      <w:r w:rsidRPr="00A9469D">
        <w:t xml:space="preserve">, continues to apply on and after that day in relation to </w:t>
      </w:r>
      <w:r w:rsidR="00296818" w:rsidRPr="00A9469D">
        <w:t xml:space="preserve">registration </w:t>
      </w:r>
      <w:r w:rsidRPr="00A9469D">
        <w:t>charge imposed before that day.</w:t>
      </w:r>
    </w:p>
    <w:p w:rsidR="00EF6688" w:rsidRPr="00A9469D" w:rsidRDefault="00EF6688" w:rsidP="00A9469D">
      <w:pPr>
        <w:pStyle w:val="Subitem"/>
      </w:pPr>
      <w:r w:rsidRPr="00A9469D">
        <w:t>(4)</w:t>
      </w:r>
      <w:r w:rsidRPr="00A9469D">
        <w:tab/>
        <w:t xml:space="preserve">Despite the repeal of the </w:t>
      </w:r>
      <w:r w:rsidRPr="00A9469D">
        <w:rPr>
          <w:i/>
        </w:rPr>
        <w:t>Industrial Chemicals (Registration Charge—General) Act 1997</w:t>
      </w:r>
      <w:r w:rsidRPr="00A9469D">
        <w:t xml:space="preserve"> by Part</w:t>
      </w:r>
      <w:r w:rsidR="00A9469D" w:rsidRPr="00A9469D">
        <w:t> </w:t>
      </w:r>
      <w:r w:rsidRPr="00A9469D">
        <w:t>1 of Schedule</w:t>
      </w:r>
      <w:r w:rsidR="00A9469D" w:rsidRPr="00A9469D">
        <w:t> </w:t>
      </w:r>
      <w:r w:rsidRPr="00A9469D">
        <w:t xml:space="preserve">1, that Act, as in force immediately before </w:t>
      </w:r>
      <w:r w:rsidR="00032CBE" w:rsidRPr="001019F0">
        <w:t>1 July 2020</w:t>
      </w:r>
      <w:r w:rsidRPr="00A9469D">
        <w:t xml:space="preserve">, continues to apply on and after that day in relation to </w:t>
      </w:r>
      <w:r w:rsidR="00296818" w:rsidRPr="00A9469D">
        <w:t xml:space="preserve">registration </w:t>
      </w:r>
      <w:r w:rsidRPr="00A9469D">
        <w:t>charge imposed before that day.</w:t>
      </w:r>
    </w:p>
    <w:p w:rsidR="00EF6688" w:rsidRPr="00A9469D" w:rsidRDefault="001B59A4" w:rsidP="00A9469D">
      <w:pPr>
        <w:pStyle w:val="ItemHead"/>
      </w:pPr>
      <w:r w:rsidRPr="00A9469D">
        <w:t>3</w:t>
      </w:r>
      <w:r w:rsidR="00EF6688" w:rsidRPr="00A9469D">
        <w:t xml:space="preserve">  </w:t>
      </w:r>
      <w:r w:rsidR="00447DD6" w:rsidRPr="00A9469D">
        <w:t>R</w:t>
      </w:r>
      <w:r w:rsidR="00EF6688" w:rsidRPr="00A9469D">
        <w:t xml:space="preserve">egistration for registration year beginning on </w:t>
      </w:r>
      <w:r w:rsidR="00032CBE" w:rsidRPr="001019F0">
        <w:t>1 September 2019</w:t>
      </w:r>
      <w:r w:rsidR="00296818" w:rsidRPr="00A9469D">
        <w:t xml:space="preserve"> and earlier years</w:t>
      </w:r>
    </w:p>
    <w:p w:rsidR="00447DD6" w:rsidRPr="00A9469D" w:rsidRDefault="00EF6688" w:rsidP="00A9469D">
      <w:pPr>
        <w:pStyle w:val="Item"/>
      </w:pPr>
      <w:r w:rsidRPr="00A9469D">
        <w:t xml:space="preserve">Despite the repeal of the </w:t>
      </w:r>
      <w:r w:rsidR="00447DD6" w:rsidRPr="00A9469D">
        <w:t xml:space="preserve">old law </w:t>
      </w:r>
      <w:r w:rsidRPr="00A9469D">
        <w:t>by Part</w:t>
      </w:r>
      <w:r w:rsidR="00A9469D" w:rsidRPr="00A9469D">
        <w:t> </w:t>
      </w:r>
      <w:r w:rsidRPr="00A9469D">
        <w:t>1 of Schedule</w:t>
      </w:r>
      <w:r w:rsidR="00A9469D" w:rsidRPr="00A9469D">
        <w:t> </w:t>
      </w:r>
      <w:r w:rsidR="00447DD6" w:rsidRPr="00A9469D">
        <w:t>1</w:t>
      </w:r>
      <w:r w:rsidRPr="00A9469D">
        <w:t>, th</w:t>
      </w:r>
      <w:r w:rsidR="00447DD6" w:rsidRPr="00A9469D">
        <w:t xml:space="preserve">e old law </w:t>
      </w:r>
      <w:r w:rsidRPr="00A9469D">
        <w:t xml:space="preserve">continues to apply on and after </w:t>
      </w:r>
      <w:r w:rsidR="00032CBE">
        <w:t>1 July 2020</w:t>
      </w:r>
      <w:r w:rsidRPr="00A9469D">
        <w:t xml:space="preserve"> in relation to registration</w:t>
      </w:r>
      <w:r w:rsidR="00616187" w:rsidRPr="00A9469D">
        <w:t xml:space="preserve"> for</w:t>
      </w:r>
      <w:r w:rsidR="00447DD6" w:rsidRPr="00A9469D">
        <w:t>:</w:t>
      </w:r>
    </w:p>
    <w:p w:rsidR="00EF6688" w:rsidRPr="00A9469D" w:rsidRDefault="00447DD6" w:rsidP="00A9469D">
      <w:pPr>
        <w:pStyle w:val="paragraph"/>
      </w:pPr>
      <w:r w:rsidRPr="00A9469D">
        <w:tab/>
        <w:t>(a)</w:t>
      </w:r>
      <w:r w:rsidRPr="00A9469D">
        <w:tab/>
      </w:r>
      <w:r w:rsidR="00EF6688" w:rsidRPr="00A9469D">
        <w:t xml:space="preserve">the registration year beginning on </w:t>
      </w:r>
      <w:r w:rsidR="00032CBE" w:rsidRPr="001019F0">
        <w:t>1 September 2019</w:t>
      </w:r>
      <w:r w:rsidRPr="00A9469D">
        <w:t>; and</w:t>
      </w:r>
    </w:p>
    <w:p w:rsidR="00447DD6" w:rsidRPr="00A9469D" w:rsidRDefault="00447DD6" w:rsidP="00A9469D">
      <w:pPr>
        <w:pStyle w:val="paragraph"/>
      </w:pPr>
      <w:r w:rsidRPr="00A9469D">
        <w:tab/>
        <w:t>(b)</w:t>
      </w:r>
      <w:r w:rsidRPr="00A9469D">
        <w:tab/>
        <w:t>each earlier registration year.</w:t>
      </w:r>
    </w:p>
    <w:p w:rsidR="00EF6688" w:rsidRPr="00A9469D" w:rsidRDefault="001B59A4" w:rsidP="00A9469D">
      <w:pPr>
        <w:pStyle w:val="ItemHead"/>
      </w:pPr>
      <w:r w:rsidRPr="00A9469D">
        <w:t>4</w:t>
      </w:r>
      <w:r w:rsidR="00EF6688" w:rsidRPr="00A9469D">
        <w:t xml:space="preserve">  </w:t>
      </w:r>
      <w:r w:rsidR="00447DD6" w:rsidRPr="00A9469D">
        <w:t>E</w:t>
      </w:r>
      <w:r w:rsidR="00EF6688" w:rsidRPr="00A9469D">
        <w:t>arly introduction permits</w:t>
      </w:r>
    </w:p>
    <w:p w:rsidR="00EF6688" w:rsidRPr="00A9469D" w:rsidRDefault="00616187" w:rsidP="00A9469D">
      <w:pPr>
        <w:pStyle w:val="Subitem"/>
      </w:pPr>
      <w:r w:rsidRPr="00A9469D">
        <w:t>(1)</w:t>
      </w:r>
      <w:r w:rsidRPr="00A9469D">
        <w:tab/>
      </w:r>
      <w:r w:rsidR="00EF6688" w:rsidRPr="00A9469D">
        <w:t xml:space="preserve">Despite the repeal of the </w:t>
      </w:r>
      <w:r w:rsidRPr="00A9469D">
        <w:t>old law</w:t>
      </w:r>
      <w:r w:rsidR="00EF6688" w:rsidRPr="00A9469D">
        <w:t xml:space="preserve"> by Part</w:t>
      </w:r>
      <w:r w:rsidR="00A9469D" w:rsidRPr="00A9469D">
        <w:t> </w:t>
      </w:r>
      <w:r w:rsidR="00EF6688" w:rsidRPr="00A9469D">
        <w:t>1 of Schedule</w:t>
      </w:r>
      <w:r w:rsidR="00A9469D" w:rsidRPr="00A9469D">
        <w:t> </w:t>
      </w:r>
      <w:r w:rsidRPr="00A9469D">
        <w:t>1</w:t>
      </w:r>
      <w:r w:rsidR="00EF6688" w:rsidRPr="00A9469D">
        <w:t>:</w:t>
      </w:r>
    </w:p>
    <w:p w:rsidR="00EF6688" w:rsidRPr="00A9469D" w:rsidRDefault="00EF6688" w:rsidP="00A9469D">
      <w:pPr>
        <w:pStyle w:val="paragraph"/>
      </w:pPr>
      <w:r w:rsidRPr="00A9469D">
        <w:tab/>
        <w:t>(a)</w:t>
      </w:r>
      <w:r w:rsidRPr="00A9469D">
        <w:tab/>
        <w:t>section</w:t>
      </w:r>
      <w:r w:rsidR="00A9469D" w:rsidRPr="00A9469D">
        <w:t> </w:t>
      </w:r>
      <w:r w:rsidR="000F3DEB" w:rsidRPr="00A9469D">
        <w:t>30A</w:t>
      </w:r>
      <w:r w:rsidR="00616187" w:rsidRPr="00A9469D">
        <w:t xml:space="preserve"> of the old law</w:t>
      </w:r>
      <w:r w:rsidRPr="00A9469D">
        <w:t xml:space="preserve"> continues to apply in relation to an application </w:t>
      </w:r>
      <w:r w:rsidR="007147C4" w:rsidRPr="00A9469D">
        <w:t xml:space="preserve">(the </w:t>
      </w:r>
      <w:r w:rsidR="007147C4" w:rsidRPr="00A9469D">
        <w:rPr>
          <w:b/>
          <w:i/>
        </w:rPr>
        <w:t>related application</w:t>
      </w:r>
      <w:r w:rsidR="007147C4" w:rsidRPr="00A9469D">
        <w:t xml:space="preserve">) </w:t>
      </w:r>
      <w:r w:rsidRPr="00A9469D">
        <w:t xml:space="preserve">for an assessment certificate for an industrial chemical </w:t>
      </w:r>
      <w:r w:rsidR="00616187" w:rsidRPr="00A9469D">
        <w:t xml:space="preserve">made </w:t>
      </w:r>
      <w:r w:rsidRPr="00A9469D">
        <w:t>under section</w:t>
      </w:r>
      <w:r w:rsidR="00A9469D" w:rsidRPr="00A9469D">
        <w:t> </w:t>
      </w:r>
      <w:r w:rsidRPr="00A9469D">
        <w:t>23 or 23A</w:t>
      </w:r>
      <w:r w:rsidR="00616187" w:rsidRPr="00A9469D">
        <w:t xml:space="preserve"> of the old law</w:t>
      </w:r>
      <w:r w:rsidRPr="00A9469D">
        <w:t xml:space="preserve">, until a decision is made on the </w:t>
      </w:r>
      <w:r w:rsidR="007147C4" w:rsidRPr="00A9469D">
        <w:t xml:space="preserve">related </w:t>
      </w:r>
      <w:r w:rsidRPr="00A9469D">
        <w:t>application; and</w:t>
      </w:r>
    </w:p>
    <w:p w:rsidR="004A2741" w:rsidRPr="00370DEB" w:rsidRDefault="004A2741" w:rsidP="004A2741">
      <w:pPr>
        <w:pStyle w:val="paragraph"/>
      </w:pPr>
      <w:r w:rsidRPr="00370DEB">
        <w:lastRenderedPageBreak/>
        <w:tab/>
        <w:t>(b)</w:t>
      </w:r>
      <w:r w:rsidRPr="00370DEB">
        <w:tab/>
        <w:t>until that decision is made, a permit granted under subsection 30A(3) of the old law is taken to be an authorisation for the introduction of the industrial chemical for the purposes of paragraph 24(1)(b) of the new law so long as the introduction is in accordance with any conditions that are specified in the permit under subsection 30A(10) of the old law.</w:t>
      </w:r>
    </w:p>
    <w:p w:rsidR="00616187" w:rsidRPr="00A9469D" w:rsidRDefault="00616187" w:rsidP="00A9469D">
      <w:pPr>
        <w:pStyle w:val="Subitem"/>
      </w:pPr>
      <w:r w:rsidRPr="00A9469D">
        <w:t>(2)</w:t>
      </w:r>
      <w:r w:rsidRPr="00A9469D">
        <w:tab/>
        <w:t xml:space="preserve">To avoid doubt, </w:t>
      </w:r>
      <w:proofErr w:type="spellStart"/>
      <w:r w:rsidR="00A9469D" w:rsidRPr="00A9469D">
        <w:t>subitem</w:t>
      </w:r>
      <w:proofErr w:type="spellEnd"/>
      <w:r w:rsidR="00A9469D" w:rsidRPr="00A9469D">
        <w:t> (</w:t>
      </w:r>
      <w:r w:rsidRPr="00A9469D">
        <w:t>1) does n</w:t>
      </w:r>
      <w:r w:rsidR="00EC19AF" w:rsidRPr="00A9469D">
        <w:t>ot limit the operation of item</w:t>
      </w:r>
      <w:r w:rsidR="00A9469D" w:rsidRPr="00A9469D">
        <w:t> </w:t>
      </w:r>
      <w:r w:rsidR="00EC19AF" w:rsidRPr="00A9469D">
        <w:t>13</w:t>
      </w:r>
      <w:r w:rsidR="007147C4" w:rsidRPr="00A9469D">
        <w:t xml:space="preserve"> (which deals with pending applications for assessment certificates)</w:t>
      </w:r>
      <w:r w:rsidR="009C51F3" w:rsidRPr="00A9469D">
        <w:t>.</w:t>
      </w:r>
    </w:p>
    <w:p w:rsidR="00EF6688" w:rsidRPr="00A9469D" w:rsidRDefault="001B59A4" w:rsidP="00A9469D">
      <w:pPr>
        <w:pStyle w:val="ItemHead"/>
      </w:pPr>
      <w:r w:rsidRPr="00A9469D">
        <w:t>5</w:t>
      </w:r>
      <w:r w:rsidR="00EF6688" w:rsidRPr="00A9469D">
        <w:t xml:space="preserve">  </w:t>
      </w:r>
      <w:r w:rsidR="00296818" w:rsidRPr="00A9469D">
        <w:t>R</w:t>
      </w:r>
      <w:r w:rsidR="00EF6688" w:rsidRPr="00A9469D">
        <w:t xml:space="preserve">eview of decisions made before </w:t>
      </w:r>
      <w:r w:rsidR="001C499B" w:rsidRPr="001019F0">
        <w:t>1 July 2020</w:t>
      </w:r>
    </w:p>
    <w:p w:rsidR="00EF6688" w:rsidRPr="00A9469D" w:rsidRDefault="00EF6688" w:rsidP="00A9469D">
      <w:pPr>
        <w:pStyle w:val="Item"/>
      </w:pPr>
      <w:r w:rsidRPr="00A9469D">
        <w:t xml:space="preserve">Despite the repeal of the </w:t>
      </w:r>
      <w:r w:rsidR="00D66CB7" w:rsidRPr="00A9469D">
        <w:t>old law</w:t>
      </w:r>
      <w:r w:rsidRPr="00A9469D">
        <w:t xml:space="preserve"> by Part</w:t>
      </w:r>
      <w:r w:rsidR="00A9469D" w:rsidRPr="00A9469D">
        <w:t> </w:t>
      </w:r>
      <w:r w:rsidRPr="00A9469D">
        <w:t>1 of Schedule</w:t>
      </w:r>
      <w:r w:rsidR="00A9469D" w:rsidRPr="00A9469D">
        <w:t> </w:t>
      </w:r>
      <w:r w:rsidR="009277B3" w:rsidRPr="00A9469D">
        <w:t>1</w:t>
      </w:r>
      <w:r w:rsidRPr="00A9469D">
        <w:t>, section</w:t>
      </w:r>
      <w:r w:rsidR="00A9469D" w:rsidRPr="00A9469D">
        <w:t> </w:t>
      </w:r>
      <w:r w:rsidRPr="00A9469D">
        <w:t>102 of that Act, as in force immediately before</w:t>
      </w:r>
      <w:r w:rsidR="00180631" w:rsidRPr="00A9469D">
        <w:t xml:space="preserve"> </w:t>
      </w:r>
      <w:r w:rsidR="001C499B">
        <w:t>1 July 2020</w:t>
      </w:r>
      <w:r w:rsidRPr="00A9469D">
        <w:t>, continues to apply in relation to a decision made before that day.</w:t>
      </w:r>
    </w:p>
    <w:p w:rsidR="00A36D22" w:rsidRPr="00A9469D" w:rsidRDefault="00A36D22" w:rsidP="00A9469D">
      <w:pPr>
        <w:pStyle w:val="ActHead7"/>
        <w:pageBreakBefore/>
      </w:pPr>
      <w:bookmarkStart w:id="21" w:name="_Toc3448250"/>
      <w:r w:rsidRPr="00A9469D">
        <w:rPr>
          <w:rStyle w:val="CharAmPartNo"/>
        </w:rPr>
        <w:lastRenderedPageBreak/>
        <w:t>Part</w:t>
      </w:r>
      <w:r w:rsidR="00A9469D" w:rsidRPr="00A9469D">
        <w:rPr>
          <w:rStyle w:val="CharAmPartNo"/>
        </w:rPr>
        <w:t> </w:t>
      </w:r>
      <w:r w:rsidR="00CD12AA" w:rsidRPr="00A9469D">
        <w:rPr>
          <w:rStyle w:val="CharAmPartNo"/>
        </w:rPr>
        <w:t>3</w:t>
      </w:r>
      <w:r w:rsidR="008C28BD" w:rsidRPr="00A9469D">
        <w:t>—</w:t>
      </w:r>
      <w:r w:rsidR="005743E9" w:rsidRPr="00A9469D">
        <w:rPr>
          <w:rStyle w:val="CharAmPartText"/>
        </w:rPr>
        <w:t>Persons appointed under old law</w:t>
      </w:r>
      <w:bookmarkEnd w:id="21"/>
    </w:p>
    <w:p w:rsidR="008C28BD" w:rsidRPr="00A9469D" w:rsidRDefault="001B59A4" w:rsidP="00A9469D">
      <w:pPr>
        <w:pStyle w:val="ItemHead"/>
      </w:pPr>
      <w:r w:rsidRPr="00A9469D">
        <w:t>6</w:t>
      </w:r>
      <w:r w:rsidR="008C28BD" w:rsidRPr="00A9469D">
        <w:t xml:space="preserve">  Director under old law</w:t>
      </w:r>
    </w:p>
    <w:p w:rsidR="008C28BD" w:rsidRPr="00A9469D" w:rsidRDefault="008C28BD" w:rsidP="00A9469D">
      <w:pPr>
        <w:pStyle w:val="Subitem"/>
      </w:pPr>
      <w:r w:rsidRPr="00A9469D">
        <w:t>(1)</w:t>
      </w:r>
      <w:r w:rsidRPr="00A9469D">
        <w:tab/>
        <w:t>This item applies to a person who was, immediately before 1</w:t>
      </w:r>
      <w:r w:rsidR="00A9469D" w:rsidRPr="00A9469D">
        <w:t> </w:t>
      </w:r>
      <w:r w:rsidRPr="00A9469D">
        <w:t xml:space="preserve">July </w:t>
      </w:r>
      <w:r w:rsidR="00104A13">
        <w:t>2020</w:t>
      </w:r>
      <w:r w:rsidRPr="00A9469D">
        <w:t xml:space="preserve">, the Director under </w:t>
      </w:r>
      <w:r w:rsidR="009C223F" w:rsidRPr="00A9469D">
        <w:t>section</w:t>
      </w:r>
      <w:r w:rsidR="00A9469D" w:rsidRPr="00A9469D">
        <w:t> </w:t>
      </w:r>
      <w:r w:rsidR="009C223F" w:rsidRPr="00A9469D">
        <w:t xml:space="preserve">90 of </w:t>
      </w:r>
      <w:r w:rsidRPr="00A9469D">
        <w:t>the old law.</w:t>
      </w:r>
    </w:p>
    <w:p w:rsidR="008C28BD" w:rsidRPr="00A9469D" w:rsidRDefault="008C28BD" w:rsidP="00A9469D">
      <w:pPr>
        <w:pStyle w:val="Subitem"/>
      </w:pPr>
      <w:r w:rsidRPr="00A9469D">
        <w:t>(2)</w:t>
      </w:r>
      <w:r w:rsidRPr="00A9469D">
        <w:tab/>
        <w:t>For the purposes of t</w:t>
      </w:r>
      <w:r w:rsidR="00F453B2" w:rsidRPr="00A9469D">
        <w:t>he new law, on and after 1</w:t>
      </w:r>
      <w:r w:rsidR="00A9469D" w:rsidRPr="00A9469D">
        <w:t> </w:t>
      </w:r>
      <w:r w:rsidR="00F453B2" w:rsidRPr="00A9469D">
        <w:t>July</w:t>
      </w:r>
      <w:r w:rsidRPr="00A9469D">
        <w:t xml:space="preserve"> 20</w:t>
      </w:r>
      <w:r w:rsidR="00104A13">
        <w:t>20</w:t>
      </w:r>
      <w:r w:rsidRPr="00A9469D">
        <w:t>, the person is taken to have been appointed as the Executive Director under section</w:t>
      </w:r>
      <w:r w:rsidR="00A9469D" w:rsidRPr="00A9469D">
        <w:t> </w:t>
      </w:r>
      <w:r w:rsidR="00D13B11" w:rsidRPr="00A9469D">
        <w:t>143</w:t>
      </w:r>
      <w:r w:rsidRPr="00A9469D">
        <w:t xml:space="preserve"> of the new law.</w:t>
      </w:r>
    </w:p>
    <w:p w:rsidR="008C28BD" w:rsidRPr="00A9469D" w:rsidRDefault="008C28BD" w:rsidP="00A9469D">
      <w:pPr>
        <w:pStyle w:val="Subitem"/>
      </w:pPr>
      <w:r w:rsidRPr="00A9469D">
        <w:t>(3)</w:t>
      </w:r>
      <w:r w:rsidRPr="00A9469D">
        <w:tab/>
        <w:t>The person holds office, on and after 1</w:t>
      </w:r>
      <w:r w:rsidR="00A9469D" w:rsidRPr="00A9469D">
        <w:t> </w:t>
      </w:r>
      <w:r w:rsidRPr="00A9469D">
        <w:t>July 20</w:t>
      </w:r>
      <w:r w:rsidR="0088585C">
        <w:t>20</w:t>
      </w:r>
      <w:r w:rsidRPr="00A9469D">
        <w:t>:</w:t>
      </w:r>
    </w:p>
    <w:p w:rsidR="008C28BD" w:rsidRPr="00A9469D" w:rsidRDefault="008C28BD" w:rsidP="00A9469D">
      <w:pPr>
        <w:pStyle w:val="paragraph"/>
      </w:pPr>
      <w:r w:rsidRPr="00A9469D">
        <w:tab/>
        <w:t>(a)</w:t>
      </w:r>
      <w:r w:rsidRPr="00A9469D">
        <w:tab/>
        <w:t>on the terms and conditions that were applicable to the person immediately before that day; and</w:t>
      </w:r>
    </w:p>
    <w:p w:rsidR="008C28BD" w:rsidRPr="00A9469D" w:rsidRDefault="008C28BD" w:rsidP="00A9469D">
      <w:pPr>
        <w:pStyle w:val="paragraph"/>
      </w:pPr>
      <w:r w:rsidRPr="00A9469D">
        <w:tab/>
        <w:t>(b)</w:t>
      </w:r>
      <w:r w:rsidRPr="00A9469D">
        <w:tab/>
        <w:t>for the balance of the person’s term of appointment that remained immediately before that day.</w:t>
      </w:r>
    </w:p>
    <w:p w:rsidR="008C28BD" w:rsidRPr="00A9469D" w:rsidRDefault="008C28BD" w:rsidP="00A9469D">
      <w:pPr>
        <w:pStyle w:val="Subitem"/>
      </w:pPr>
      <w:r w:rsidRPr="00A9469D">
        <w:t>(4)</w:t>
      </w:r>
      <w:r w:rsidRPr="00A9469D">
        <w:tab/>
        <w:t xml:space="preserve">Despite </w:t>
      </w:r>
      <w:proofErr w:type="spellStart"/>
      <w:r w:rsidR="00A9469D" w:rsidRPr="00A9469D">
        <w:t>subitem</w:t>
      </w:r>
      <w:proofErr w:type="spellEnd"/>
      <w:r w:rsidR="00A9469D" w:rsidRPr="00A9469D">
        <w:t> (</w:t>
      </w:r>
      <w:r w:rsidRPr="00A9469D">
        <w:t xml:space="preserve">3), the Minister may, by writing, determine different terms and conditions (other than terms and conditions covered by a determination referred to in </w:t>
      </w:r>
      <w:proofErr w:type="spellStart"/>
      <w:r w:rsidR="00A9469D" w:rsidRPr="00A9469D">
        <w:t>subitem</w:t>
      </w:r>
      <w:proofErr w:type="spellEnd"/>
      <w:r w:rsidR="00A9469D" w:rsidRPr="00A9469D">
        <w:t> (</w:t>
      </w:r>
      <w:r w:rsidRPr="00A9469D">
        <w:t>5)) that are to apply to the person for any part of the remaining balance of the person’s term of appointment.</w:t>
      </w:r>
    </w:p>
    <w:p w:rsidR="008C28BD" w:rsidRPr="00A9469D" w:rsidRDefault="008C28BD" w:rsidP="00A9469D">
      <w:pPr>
        <w:pStyle w:val="Subitem"/>
      </w:pPr>
      <w:r w:rsidRPr="00A9469D">
        <w:t>(5)</w:t>
      </w:r>
      <w:r w:rsidRPr="00A9469D">
        <w:tab/>
        <w:t xml:space="preserve">A determination in operation under the </w:t>
      </w:r>
      <w:r w:rsidRPr="00A9469D">
        <w:rPr>
          <w:i/>
        </w:rPr>
        <w:t>Remuneration Tribunal Act 1973</w:t>
      </w:r>
      <w:r w:rsidRPr="00A9469D">
        <w:t xml:space="preserve"> immediately before </w:t>
      </w:r>
      <w:r w:rsidR="00856903" w:rsidRPr="00A9469D">
        <w:t>1</w:t>
      </w:r>
      <w:r w:rsidR="00A9469D" w:rsidRPr="00A9469D">
        <w:t> </w:t>
      </w:r>
      <w:r w:rsidR="00856903" w:rsidRPr="00A9469D">
        <w:t xml:space="preserve">July </w:t>
      </w:r>
      <w:r w:rsidR="0088585C">
        <w:t>2020</w:t>
      </w:r>
      <w:r w:rsidRPr="00A9469D">
        <w:t xml:space="preserve"> in relation to the person:</w:t>
      </w:r>
    </w:p>
    <w:p w:rsidR="008C28BD" w:rsidRPr="00A9469D" w:rsidRDefault="008C28BD" w:rsidP="00A9469D">
      <w:pPr>
        <w:pStyle w:val="paragraph"/>
      </w:pPr>
      <w:r w:rsidRPr="00A9469D">
        <w:tab/>
        <w:t>(a)</w:t>
      </w:r>
      <w:r w:rsidRPr="00A9469D">
        <w:tab/>
        <w:t>continues in operation until another determination comes into operation in substitution for it; and</w:t>
      </w:r>
    </w:p>
    <w:p w:rsidR="008C28BD" w:rsidRPr="00A9469D" w:rsidRDefault="008C28BD" w:rsidP="00A9469D">
      <w:pPr>
        <w:pStyle w:val="paragraph"/>
      </w:pPr>
      <w:r w:rsidRPr="00A9469D">
        <w:tab/>
        <w:t>(b)</w:t>
      </w:r>
      <w:r w:rsidRPr="00A9469D">
        <w:tab/>
        <w:t>before then, may be varied in accordance with that Act.</w:t>
      </w:r>
    </w:p>
    <w:p w:rsidR="005743E9" w:rsidRPr="00A9469D" w:rsidRDefault="001B59A4" w:rsidP="00A9469D">
      <w:pPr>
        <w:pStyle w:val="ItemHead"/>
      </w:pPr>
      <w:r w:rsidRPr="00A9469D">
        <w:t>7</w:t>
      </w:r>
      <w:r w:rsidR="005743E9" w:rsidRPr="00A9469D">
        <w:t xml:space="preserve">  Inspectors under old law</w:t>
      </w:r>
    </w:p>
    <w:p w:rsidR="005743E9" w:rsidRPr="00A9469D" w:rsidRDefault="005743E9" w:rsidP="00A9469D">
      <w:pPr>
        <w:pStyle w:val="Item"/>
      </w:pPr>
      <w:r w:rsidRPr="00A9469D">
        <w:t>A person who was, immediately before 1</w:t>
      </w:r>
      <w:r w:rsidR="00A9469D" w:rsidRPr="00A9469D">
        <w:t> </w:t>
      </w:r>
      <w:r w:rsidRPr="00A9469D">
        <w:t>July 20</w:t>
      </w:r>
      <w:r w:rsidR="0088585C">
        <w:t>20</w:t>
      </w:r>
      <w:r w:rsidRPr="00A9469D">
        <w:t xml:space="preserve">, an inspector </w:t>
      </w:r>
      <w:r w:rsidR="00403F3E" w:rsidRPr="00A9469D">
        <w:t xml:space="preserve">appointed </w:t>
      </w:r>
      <w:r w:rsidRPr="00A9469D">
        <w:t xml:space="preserve">under </w:t>
      </w:r>
      <w:r w:rsidR="00403F3E" w:rsidRPr="00A9469D">
        <w:t>subsection</w:t>
      </w:r>
      <w:r w:rsidR="00A9469D" w:rsidRPr="00A9469D">
        <w:t> </w:t>
      </w:r>
      <w:r w:rsidR="00403F3E" w:rsidRPr="00A9469D">
        <w:t xml:space="preserve">84(1) of </w:t>
      </w:r>
      <w:r w:rsidRPr="00A9469D">
        <w:t>the old law is taken, on and after that day, to have been appointed as an author</w:t>
      </w:r>
      <w:r w:rsidR="0040387E" w:rsidRPr="00A9469D">
        <w:t>ised inspector under section</w:t>
      </w:r>
      <w:r w:rsidR="00A9469D" w:rsidRPr="00A9469D">
        <w:t> </w:t>
      </w:r>
      <w:r w:rsidR="0040387E" w:rsidRPr="00A9469D">
        <w:t>137</w:t>
      </w:r>
      <w:r w:rsidRPr="00A9469D">
        <w:t xml:space="preserve"> of the new law.</w:t>
      </w:r>
    </w:p>
    <w:p w:rsidR="00437439" w:rsidRPr="00A9469D" w:rsidRDefault="00C144D5" w:rsidP="00A9469D">
      <w:pPr>
        <w:pStyle w:val="ActHead7"/>
        <w:pageBreakBefore/>
      </w:pPr>
      <w:bookmarkStart w:id="22" w:name="_Toc3448251"/>
      <w:r w:rsidRPr="00A9469D">
        <w:rPr>
          <w:rStyle w:val="CharAmPartNo"/>
        </w:rPr>
        <w:lastRenderedPageBreak/>
        <w:t>Part</w:t>
      </w:r>
      <w:r w:rsidR="00A9469D" w:rsidRPr="00A9469D">
        <w:rPr>
          <w:rStyle w:val="CharAmPartNo"/>
        </w:rPr>
        <w:t> </w:t>
      </w:r>
      <w:r w:rsidR="00CD12AA" w:rsidRPr="00A9469D">
        <w:rPr>
          <w:rStyle w:val="CharAmPartNo"/>
        </w:rPr>
        <w:t>4</w:t>
      </w:r>
      <w:r w:rsidR="00437439" w:rsidRPr="00A9469D">
        <w:t>—</w:t>
      </w:r>
      <w:r w:rsidR="00437439" w:rsidRPr="00A9469D">
        <w:rPr>
          <w:rStyle w:val="CharAmPartText"/>
        </w:rPr>
        <w:t>Registration</w:t>
      </w:r>
      <w:bookmarkEnd w:id="22"/>
    </w:p>
    <w:p w:rsidR="00AC510B" w:rsidRPr="00A9469D" w:rsidRDefault="001B59A4" w:rsidP="00A9469D">
      <w:pPr>
        <w:pStyle w:val="ItemHead"/>
      </w:pPr>
      <w:r w:rsidRPr="00A9469D">
        <w:t>8</w:t>
      </w:r>
      <w:r w:rsidR="00AC510B" w:rsidRPr="00A9469D">
        <w:t xml:space="preserve">  R</w:t>
      </w:r>
      <w:r w:rsidR="007B13AF" w:rsidRPr="00A9469D">
        <w:t>egister of Industrial Chemical I</w:t>
      </w:r>
      <w:r w:rsidR="00AC510B" w:rsidRPr="00A9469D">
        <w:t>ntroducers</w:t>
      </w:r>
    </w:p>
    <w:p w:rsidR="00AC510B" w:rsidRPr="00A9469D" w:rsidRDefault="00AC510B" w:rsidP="00A9469D">
      <w:pPr>
        <w:pStyle w:val="Item"/>
      </w:pPr>
      <w:r w:rsidRPr="00A9469D">
        <w:t>The Register of Industrial Chemical Introducers that was kept under section</w:t>
      </w:r>
      <w:r w:rsidR="00A9469D" w:rsidRPr="00A9469D">
        <w:t> </w:t>
      </w:r>
      <w:r w:rsidRPr="00A9469D">
        <w:t xml:space="preserve">80C of the old law continues in existence, </w:t>
      </w:r>
      <w:r w:rsidR="00196BE9" w:rsidRPr="001019F0">
        <w:t>on and after 1 July 2020, in relation to the registration year beginning on 1 September 2019</w:t>
      </w:r>
      <w:r w:rsidRPr="00A9469D">
        <w:t xml:space="preserve"> by force of this item.</w:t>
      </w:r>
    </w:p>
    <w:p w:rsidR="00437439" w:rsidRPr="00A9469D" w:rsidRDefault="001B59A4" w:rsidP="00A9469D">
      <w:pPr>
        <w:pStyle w:val="ItemHead"/>
      </w:pPr>
      <w:r w:rsidRPr="00A9469D">
        <w:t>9</w:t>
      </w:r>
      <w:r w:rsidR="00437439" w:rsidRPr="00A9469D">
        <w:t xml:space="preserve">  Persons registered under old law</w:t>
      </w:r>
    </w:p>
    <w:p w:rsidR="00437439" w:rsidRPr="00A9469D" w:rsidRDefault="00437439" w:rsidP="00A9469D">
      <w:pPr>
        <w:pStyle w:val="Subitem"/>
      </w:pPr>
      <w:r w:rsidRPr="00A9469D">
        <w:t>(1)</w:t>
      </w:r>
      <w:r w:rsidRPr="00A9469D">
        <w:tab/>
        <w:t>This item applies in relation to a person if</w:t>
      </w:r>
      <w:r w:rsidR="00274D64" w:rsidRPr="00A9469D">
        <w:t>,</w:t>
      </w:r>
      <w:r w:rsidRPr="00A9469D">
        <w:t xml:space="preserve"> immediately before </w:t>
      </w:r>
      <w:r w:rsidR="004C61A9" w:rsidRPr="001019F0">
        <w:t>1 July 2020, the person was registered under the old law in relation to the registration year beginning on 1 September 2020</w:t>
      </w:r>
      <w:r w:rsidRPr="00A9469D">
        <w:t>.</w:t>
      </w:r>
    </w:p>
    <w:p w:rsidR="000F624B" w:rsidRPr="00A9469D" w:rsidRDefault="00437439" w:rsidP="00A9469D">
      <w:pPr>
        <w:pStyle w:val="Subitem"/>
      </w:pPr>
      <w:r w:rsidRPr="00A9469D">
        <w:t>(2)</w:t>
      </w:r>
      <w:r w:rsidRPr="00A9469D">
        <w:tab/>
      </w:r>
      <w:r w:rsidR="000F624B" w:rsidRPr="00A9469D">
        <w:t>For the purposes of the new law</w:t>
      </w:r>
      <w:r w:rsidR="00A9706D" w:rsidRPr="00A9469D">
        <w:t>, subject to any modifications prescribed by the transitional rules</w:t>
      </w:r>
      <w:r w:rsidR="000F624B" w:rsidRPr="00A9469D">
        <w:t>:</w:t>
      </w:r>
    </w:p>
    <w:p w:rsidR="00437439" w:rsidRPr="00A9469D" w:rsidRDefault="000F624B" w:rsidP="00A9469D">
      <w:pPr>
        <w:pStyle w:val="paragraph"/>
      </w:pPr>
      <w:r w:rsidRPr="00A9469D">
        <w:tab/>
        <w:t>(a)</w:t>
      </w:r>
      <w:r w:rsidRPr="00A9469D">
        <w:tab/>
        <w:t xml:space="preserve">the person is taken, on and after </w:t>
      </w:r>
      <w:r w:rsidR="004677D1" w:rsidRPr="001019F0">
        <w:t>1 July 2020, to be registered under the new law for the registration year beginning on 1 September 2020</w:t>
      </w:r>
      <w:r w:rsidRPr="00A9469D">
        <w:t>; and</w:t>
      </w:r>
    </w:p>
    <w:p w:rsidR="000F624B" w:rsidRPr="00A9469D" w:rsidRDefault="000F624B" w:rsidP="00A9469D">
      <w:pPr>
        <w:pStyle w:val="paragraph"/>
      </w:pPr>
      <w:r w:rsidRPr="00A9469D">
        <w:tab/>
        <w:t>(b)</w:t>
      </w:r>
      <w:r w:rsidRPr="00A9469D">
        <w:tab/>
        <w:t>the person’s registration number under the old law is taken to be the registration nu</w:t>
      </w:r>
      <w:r w:rsidR="0040387E" w:rsidRPr="00A9469D">
        <w:t xml:space="preserve">mber allocated </w:t>
      </w:r>
      <w:r w:rsidR="00455904" w:rsidRPr="00A9469D">
        <w:t xml:space="preserve">to the person </w:t>
      </w:r>
      <w:r w:rsidR="0040387E" w:rsidRPr="00A9469D">
        <w:t>under section</w:t>
      </w:r>
      <w:r w:rsidR="00A9469D" w:rsidRPr="00A9469D">
        <w:t> </w:t>
      </w:r>
      <w:r w:rsidR="0040387E" w:rsidRPr="00A9469D">
        <w:t>17</w:t>
      </w:r>
      <w:r w:rsidRPr="00A9469D">
        <w:t xml:space="preserve"> of the new law.</w:t>
      </w:r>
    </w:p>
    <w:p w:rsidR="002305CE" w:rsidRPr="00A9469D" w:rsidRDefault="002305CE" w:rsidP="00A9469D">
      <w:pPr>
        <w:pStyle w:val="Subitem"/>
      </w:pPr>
      <w:r w:rsidRPr="00A9469D">
        <w:t>(3)</w:t>
      </w:r>
      <w:r w:rsidRPr="00A9469D">
        <w:tab/>
        <w:t>To avoid doubt, nothing in this item is taken to change the time at which the person was registered.</w:t>
      </w:r>
    </w:p>
    <w:p w:rsidR="004A5AB4" w:rsidRPr="00A9469D" w:rsidRDefault="001B59A4" w:rsidP="00A9469D">
      <w:pPr>
        <w:pStyle w:val="ItemHead"/>
      </w:pPr>
      <w:r w:rsidRPr="00A9469D">
        <w:t>10</w:t>
      </w:r>
      <w:r w:rsidR="004A5AB4" w:rsidRPr="00A9469D">
        <w:t xml:space="preserve">  </w:t>
      </w:r>
      <w:r w:rsidR="00ED6ABA" w:rsidRPr="00A9469D">
        <w:t>Pending applications for registration</w:t>
      </w:r>
      <w:r w:rsidR="00201D13" w:rsidRPr="00A9469D">
        <w:t xml:space="preserve"> or renewal of registration</w:t>
      </w:r>
    </w:p>
    <w:p w:rsidR="00ED6ABA" w:rsidRPr="00A9469D" w:rsidRDefault="00801074" w:rsidP="00A9469D">
      <w:pPr>
        <w:pStyle w:val="Subitem"/>
      </w:pPr>
      <w:r w:rsidRPr="00A9469D">
        <w:t>(1)</w:t>
      </w:r>
      <w:r w:rsidRPr="00A9469D">
        <w:tab/>
        <w:t xml:space="preserve">This item </w:t>
      </w:r>
      <w:r w:rsidR="00A8746F" w:rsidRPr="00A9469D">
        <w:t>applies in relation</w:t>
      </w:r>
      <w:r w:rsidRPr="00A9469D">
        <w:t xml:space="preserve"> to an application, if:</w:t>
      </w:r>
    </w:p>
    <w:p w:rsidR="00201D13" w:rsidRPr="00A9469D" w:rsidRDefault="00C42C4D" w:rsidP="00A9469D">
      <w:pPr>
        <w:pStyle w:val="paragraph"/>
      </w:pPr>
      <w:r w:rsidRPr="00A9469D">
        <w:tab/>
        <w:t>(a</w:t>
      </w:r>
      <w:r w:rsidR="00801074" w:rsidRPr="00A9469D">
        <w:t>)</w:t>
      </w:r>
      <w:r w:rsidR="00801074" w:rsidRPr="00A9469D">
        <w:tab/>
        <w:t xml:space="preserve">the application is </w:t>
      </w:r>
      <w:r w:rsidR="00201D13" w:rsidRPr="00A9469D">
        <w:t>for:</w:t>
      </w:r>
    </w:p>
    <w:p w:rsidR="004A2391" w:rsidRPr="00A9469D" w:rsidRDefault="00201D13" w:rsidP="00A9469D">
      <w:pPr>
        <w:pStyle w:val="paragraphsub"/>
      </w:pPr>
      <w:r w:rsidRPr="00A9469D">
        <w:tab/>
        <w:t>(</w:t>
      </w:r>
      <w:proofErr w:type="spellStart"/>
      <w:r w:rsidRPr="00A9469D">
        <w:t>i</w:t>
      </w:r>
      <w:proofErr w:type="spellEnd"/>
      <w:r w:rsidRPr="00A9469D">
        <w:t>)</w:t>
      </w:r>
      <w:r w:rsidRPr="00A9469D">
        <w:tab/>
        <w:t xml:space="preserve">registration </w:t>
      </w:r>
      <w:r w:rsidR="004A2391" w:rsidRPr="00A9469D">
        <w:t>under section</w:t>
      </w:r>
      <w:r w:rsidR="00A9469D" w:rsidRPr="00A9469D">
        <w:t> </w:t>
      </w:r>
      <w:r w:rsidR="004A2391" w:rsidRPr="00A9469D">
        <w:t>80E of the old law;</w:t>
      </w:r>
      <w:r w:rsidRPr="00A9469D">
        <w:t xml:space="preserve"> or</w:t>
      </w:r>
    </w:p>
    <w:p w:rsidR="00201D13" w:rsidRPr="00A9469D" w:rsidRDefault="00201D13" w:rsidP="00A9469D">
      <w:pPr>
        <w:pStyle w:val="paragraphsub"/>
      </w:pPr>
      <w:r w:rsidRPr="00A9469D">
        <w:tab/>
        <w:t>(ii)</w:t>
      </w:r>
      <w:r w:rsidRPr="00A9469D">
        <w:tab/>
        <w:t>renewal of registration under section</w:t>
      </w:r>
      <w:r w:rsidR="00A9469D" w:rsidRPr="00A9469D">
        <w:t> </w:t>
      </w:r>
      <w:r w:rsidRPr="00A9469D">
        <w:t>80K of the old law; and</w:t>
      </w:r>
    </w:p>
    <w:p w:rsidR="00C42C4D" w:rsidRPr="00A9469D" w:rsidRDefault="00C42C4D" w:rsidP="00A9469D">
      <w:pPr>
        <w:pStyle w:val="paragraph"/>
      </w:pPr>
      <w:r w:rsidRPr="00A9469D">
        <w:tab/>
        <w:t>(b)</w:t>
      </w:r>
      <w:r w:rsidRPr="00A9469D">
        <w:tab/>
        <w:t>the application is in relation to the registration year beginning on 1</w:t>
      </w:r>
      <w:r w:rsidR="00A9469D" w:rsidRPr="00A9469D">
        <w:t> </w:t>
      </w:r>
      <w:r w:rsidRPr="00A9469D">
        <w:t>September 20</w:t>
      </w:r>
      <w:r w:rsidR="001F1D9D">
        <w:t>20</w:t>
      </w:r>
      <w:r w:rsidRPr="00A9469D">
        <w:t>; and</w:t>
      </w:r>
    </w:p>
    <w:p w:rsidR="004A2391" w:rsidRPr="00A9469D" w:rsidRDefault="005E3250" w:rsidP="00A9469D">
      <w:pPr>
        <w:pStyle w:val="paragraph"/>
      </w:pPr>
      <w:r w:rsidRPr="00A9469D">
        <w:tab/>
        <w:t>(c</w:t>
      </w:r>
      <w:r w:rsidR="004A2391" w:rsidRPr="00A9469D">
        <w:t>)</w:t>
      </w:r>
      <w:r w:rsidR="004A2391" w:rsidRPr="00A9469D">
        <w:tab/>
      </w:r>
      <w:r w:rsidR="00801074" w:rsidRPr="00A9469D">
        <w:t xml:space="preserve">the application is </w:t>
      </w:r>
      <w:r w:rsidR="00B62E92" w:rsidRPr="00A9469D">
        <w:t xml:space="preserve">pending immediately </w:t>
      </w:r>
      <w:r w:rsidR="00767C06" w:rsidRPr="00A9469D">
        <w:t>before 1</w:t>
      </w:r>
      <w:r w:rsidR="00A9469D" w:rsidRPr="00A9469D">
        <w:t> </w:t>
      </w:r>
      <w:r w:rsidR="00767C06" w:rsidRPr="00A9469D">
        <w:t>July 20</w:t>
      </w:r>
      <w:r w:rsidR="006D17A3">
        <w:t>20</w:t>
      </w:r>
      <w:r w:rsidR="00767C06" w:rsidRPr="00A9469D">
        <w:t>.</w:t>
      </w:r>
    </w:p>
    <w:p w:rsidR="00201D13" w:rsidRPr="00A9469D" w:rsidRDefault="00801074" w:rsidP="00A9469D">
      <w:pPr>
        <w:pStyle w:val="Subitem"/>
      </w:pPr>
      <w:r w:rsidRPr="00A9469D">
        <w:lastRenderedPageBreak/>
        <w:t>(2)</w:t>
      </w:r>
      <w:r w:rsidRPr="00A9469D">
        <w:tab/>
        <w:t>For the purposes of the new law</w:t>
      </w:r>
      <w:r w:rsidR="00F22E7C" w:rsidRPr="00A9469D">
        <w:t>,</w:t>
      </w:r>
      <w:r w:rsidR="00F22E7C" w:rsidRPr="00A9469D">
        <w:rPr>
          <w:i/>
        </w:rPr>
        <w:t xml:space="preserve"> </w:t>
      </w:r>
      <w:r w:rsidR="00F22E7C" w:rsidRPr="00A9469D">
        <w:t xml:space="preserve">subject to any modifications prescribed by the transitional rules, </w:t>
      </w:r>
      <w:r w:rsidR="00201D13" w:rsidRPr="00A9469D">
        <w:t>the application has effect</w:t>
      </w:r>
      <w:r w:rsidR="00B62E92" w:rsidRPr="00A9469D">
        <w:t xml:space="preserve">, on and after </w:t>
      </w:r>
      <w:r w:rsidR="005E3250" w:rsidRPr="00A9469D">
        <w:t>1</w:t>
      </w:r>
      <w:r w:rsidR="00A9469D" w:rsidRPr="00A9469D">
        <w:t> </w:t>
      </w:r>
      <w:r w:rsidR="005E3250" w:rsidRPr="00A9469D">
        <w:t>July 20</w:t>
      </w:r>
      <w:r w:rsidR="00246A2C">
        <w:t>20</w:t>
      </w:r>
      <w:r w:rsidR="00B62E92" w:rsidRPr="00A9469D">
        <w:t>,</w:t>
      </w:r>
      <w:r w:rsidR="00201D13" w:rsidRPr="00A9469D">
        <w:t xml:space="preserve"> as if it were an application </w:t>
      </w:r>
      <w:r w:rsidR="00F6266C" w:rsidRPr="00A9469D">
        <w:t xml:space="preserve">made </w:t>
      </w:r>
      <w:r w:rsidR="00201D13" w:rsidRPr="00A9469D">
        <w:t xml:space="preserve">under </w:t>
      </w:r>
      <w:r w:rsidR="0040387E" w:rsidRPr="00A9469D">
        <w:t>section</w:t>
      </w:r>
      <w:r w:rsidR="00A9469D" w:rsidRPr="00A9469D">
        <w:t> </w:t>
      </w:r>
      <w:r w:rsidR="0040387E" w:rsidRPr="00A9469D">
        <w:t>16</w:t>
      </w:r>
      <w:r w:rsidR="00F22E7C" w:rsidRPr="00A9469D">
        <w:t xml:space="preserve"> of the new law.</w:t>
      </w:r>
    </w:p>
    <w:p w:rsidR="00EB653F" w:rsidRPr="00A9469D" w:rsidRDefault="00C144D5" w:rsidP="00A9469D">
      <w:pPr>
        <w:pStyle w:val="ActHead7"/>
        <w:pageBreakBefore/>
      </w:pPr>
      <w:bookmarkStart w:id="23" w:name="_Toc3448252"/>
      <w:r w:rsidRPr="00A9469D">
        <w:rPr>
          <w:rStyle w:val="CharAmPartNo"/>
        </w:rPr>
        <w:lastRenderedPageBreak/>
        <w:t>Part</w:t>
      </w:r>
      <w:r w:rsidR="00A9469D" w:rsidRPr="00A9469D">
        <w:rPr>
          <w:rStyle w:val="CharAmPartNo"/>
        </w:rPr>
        <w:t> </w:t>
      </w:r>
      <w:r w:rsidR="00CD12AA" w:rsidRPr="00A9469D">
        <w:rPr>
          <w:rStyle w:val="CharAmPartNo"/>
        </w:rPr>
        <w:t>5</w:t>
      </w:r>
      <w:r w:rsidR="00EB653F" w:rsidRPr="00A9469D">
        <w:t>—</w:t>
      </w:r>
      <w:r w:rsidR="00EB653F" w:rsidRPr="00A9469D">
        <w:rPr>
          <w:rStyle w:val="CharAmPartText"/>
        </w:rPr>
        <w:t>Assessment certificates</w:t>
      </w:r>
      <w:r w:rsidR="00EB4FB2" w:rsidRPr="00A9469D">
        <w:rPr>
          <w:rStyle w:val="CharAmPartText"/>
        </w:rPr>
        <w:t xml:space="preserve"> etc.</w:t>
      </w:r>
      <w:bookmarkEnd w:id="23"/>
    </w:p>
    <w:p w:rsidR="00152FAD" w:rsidRPr="00A9469D" w:rsidRDefault="00152FAD" w:rsidP="00A9469D">
      <w:pPr>
        <w:pStyle w:val="ActHead8"/>
      </w:pPr>
      <w:bookmarkStart w:id="24" w:name="_Toc3448253"/>
      <w:r w:rsidRPr="00A9469D">
        <w:t>Division</w:t>
      </w:r>
      <w:r w:rsidR="00A9469D" w:rsidRPr="00A9469D">
        <w:t> </w:t>
      </w:r>
      <w:r w:rsidRPr="00A9469D">
        <w:t>1—Assessment certificates</w:t>
      </w:r>
      <w:bookmarkEnd w:id="24"/>
    </w:p>
    <w:p w:rsidR="00EB653F" w:rsidRPr="00A9469D" w:rsidRDefault="001B59A4" w:rsidP="00A9469D">
      <w:pPr>
        <w:pStyle w:val="ItemHead"/>
      </w:pPr>
      <w:r w:rsidRPr="00A9469D">
        <w:t>11</w:t>
      </w:r>
      <w:r w:rsidR="00EB653F" w:rsidRPr="00A9469D">
        <w:t xml:space="preserve">  Assessment certificates issued under old law</w:t>
      </w:r>
    </w:p>
    <w:p w:rsidR="00EB653F" w:rsidRPr="00A9469D" w:rsidRDefault="00EB653F" w:rsidP="00A9469D">
      <w:pPr>
        <w:pStyle w:val="Subitem"/>
      </w:pPr>
      <w:r w:rsidRPr="00A9469D">
        <w:t>(1)</w:t>
      </w:r>
      <w:r w:rsidRPr="00A9469D">
        <w:tab/>
        <w:t xml:space="preserve">This item applies in relation to an assessment certificate </w:t>
      </w:r>
      <w:r w:rsidR="00CE7912" w:rsidRPr="00A9469D">
        <w:t xml:space="preserve">for an industrial chemical </w:t>
      </w:r>
      <w:r w:rsidR="00A96885" w:rsidRPr="00A9469D">
        <w:t xml:space="preserve">that is in force under the old law </w:t>
      </w:r>
      <w:r w:rsidRPr="00A9469D">
        <w:t>immediately before 1</w:t>
      </w:r>
      <w:r w:rsidR="00A9469D" w:rsidRPr="00A9469D">
        <w:t> </w:t>
      </w:r>
      <w:r w:rsidRPr="00A9469D">
        <w:t>July 20</w:t>
      </w:r>
      <w:r w:rsidR="008574CA">
        <w:t>20</w:t>
      </w:r>
      <w:r w:rsidRPr="00A9469D">
        <w:t>.</w:t>
      </w:r>
    </w:p>
    <w:p w:rsidR="00CE7912" w:rsidRPr="00A9469D" w:rsidRDefault="00EB653F" w:rsidP="00A9469D">
      <w:pPr>
        <w:pStyle w:val="Subitem"/>
      </w:pPr>
      <w:r w:rsidRPr="00A9469D">
        <w:t>(2)</w:t>
      </w:r>
      <w:r w:rsidRPr="00A9469D">
        <w:tab/>
        <w:t>F</w:t>
      </w:r>
      <w:r w:rsidR="00CE7912" w:rsidRPr="00A9469D">
        <w:t>or the purposes of the new law</w:t>
      </w:r>
      <w:r w:rsidR="009066EB" w:rsidRPr="00A9469D">
        <w:t xml:space="preserve">, subject to </w:t>
      </w:r>
      <w:r w:rsidR="00C321EF" w:rsidRPr="00A9469D">
        <w:t xml:space="preserve">this Part and </w:t>
      </w:r>
      <w:r w:rsidR="009066EB" w:rsidRPr="00A9469D">
        <w:t>any modifications prescribed by the transitional rules</w:t>
      </w:r>
      <w:r w:rsidR="00CE7912" w:rsidRPr="00A9469D">
        <w:t>:</w:t>
      </w:r>
    </w:p>
    <w:p w:rsidR="00EB653F" w:rsidRPr="00A9469D" w:rsidRDefault="00CE7912" w:rsidP="00A9469D">
      <w:pPr>
        <w:pStyle w:val="paragraph"/>
      </w:pPr>
      <w:r w:rsidRPr="00A9469D">
        <w:tab/>
        <w:t>(a)</w:t>
      </w:r>
      <w:r w:rsidRPr="00A9469D">
        <w:tab/>
      </w:r>
      <w:r w:rsidR="00EB653F" w:rsidRPr="00A9469D">
        <w:t xml:space="preserve">the assessment certificate is taken, on and after </w:t>
      </w:r>
      <w:r w:rsidR="008574CA">
        <w:t>1 July 2020</w:t>
      </w:r>
      <w:r w:rsidR="00EB653F" w:rsidRPr="00A9469D">
        <w:t>, to be an assessment certi</w:t>
      </w:r>
      <w:r w:rsidRPr="00A9469D">
        <w:t>ficate issued for the industrial chemical under the new law; and</w:t>
      </w:r>
    </w:p>
    <w:p w:rsidR="00CE7912" w:rsidRPr="00A9469D" w:rsidRDefault="00CE7912" w:rsidP="00A9469D">
      <w:pPr>
        <w:pStyle w:val="paragraph"/>
      </w:pPr>
      <w:r w:rsidRPr="00A9469D">
        <w:tab/>
        <w:t>(b)</w:t>
      </w:r>
      <w:r w:rsidRPr="00A9469D">
        <w:tab/>
      </w:r>
      <w:r w:rsidR="009F4CA1" w:rsidRPr="00A9469D">
        <w:t>the</w:t>
      </w:r>
      <w:r w:rsidRPr="00A9469D">
        <w:t xml:space="preserve"> person who was, immediately before </w:t>
      </w:r>
      <w:r w:rsidR="008574CA">
        <w:t>1 July 2020</w:t>
      </w:r>
      <w:r w:rsidR="009F4CA1" w:rsidRPr="00A9469D">
        <w:t>,</w:t>
      </w:r>
      <w:r w:rsidRPr="00A9469D">
        <w:t xml:space="preserve"> </w:t>
      </w:r>
      <w:r w:rsidR="009F4CA1" w:rsidRPr="00A9469D">
        <w:t>the</w:t>
      </w:r>
      <w:r w:rsidRPr="00A9469D">
        <w:t xml:space="preserve"> holder in relation to the assessment certificate is taken to be the holder </w:t>
      </w:r>
      <w:r w:rsidR="00CF791D" w:rsidRPr="00A9469D">
        <w:t xml:space="preserve">of </w:t>
      </w:r>
      <w:r w:rsidR="00FB3183" w:rsidRPr="00A9469D">
        <w:t>the</w:t>
      </w:r>
      <w:r w:rsidR="00CF791D" w:rsidRPr="00A9469D">
        <w:t xml:space="preserve"> assessment certificate</w:t>
      </w:r>
      <w:r w:rsidR="00A2361D" w:rsidRPr="00A9469D">
        <w:t xml:space="preserve"> </w:t>
      </w:r>
      <w:r w:rsidRPr="00A9469D">
        <w:t>under the new law; and</w:t>
      </w:r>
    </w:p>
    <w:p w:rsidR="00EB6911" w:rsidRPr="00A9469D" w:rsidRDefault="00EB6911" w:rsidP="00A9469D">
      <w:pPr>
        <w:pStyle w:val="paragraph"/>
      </w:pPr>
      <w:r w:rsidRPr="00A9469D">
        <w:tab/>
        <w:t>(c)</w:t>
      </w:r>
      <w:r w:rsidRPr="00A9469D">
        <w:tab/>
        <w:t>if the assessment certificate has been extended under the old law to cover a person—the person is taken to be covered by the assessment certificate under the new law; and</w:t>
      </w:r>
    </w:p>
    <w:p w:rsidR="00B0045A" w:rsidRPr="00A9469D" w:rsidRDefault="00B0045A" w:rsidP="00A9469D">
      <w:pPr>
        <w:pStyle w:val="paragraph"/>
      </w:pPr>
      <w:r w:rsidRPr="00A9469D">
        <w:tab/>
        <w:t>(d)</w:t>
      </w:r>
      <w:r w:rsidRPr="00A9469D">
        <w:tab/>
        <w:t>the terms of the</w:t>
      </w:r>
      <w:r w:rsidR="00D334E9" w:rsidRPr="00A9469D">
        <w:t xml:space="preserve"> assessment</w:t>
      </w:r>
      <w:r w:rsidRPr="00A9469D">
        <w:t xml:space="preserve"> certificate under the ol</w:t>
      </w:r>
      <w:r w:rsidR="00DF5174" w:rsidRPr="00A9469D">
        <w:t>d law are taken to be the terms of the assessment certificate under the new law; and</w:t>
      </w:r>
    </w:p>
    <w:p w:rsidR="00B0045A" w:rsidRPr="00A9469D" w:rsidRDefault="00DF5174" w:rsidP="00A9469D">
      <w:pPr>
        <w:pStyle w:val="paragraph"/>
      </w:pPr>
      <w:r w:rsidRPr="00A9469D">
        <w:tab/>
        <w:t>(e)</w:t>
      </w:r>
      <w:r w:rsidRPr="00A9469D">
        <w:tab/>
      </w:r>
      <w:r w:rsidR="00B0638A" w:rsidRPr="00A9469D">
        <w:t>the notification obligations under subsection</w:t>
      </w:r>
      <w:r w:rsidR="00FB6FFF" w:rsidRPr="00A9469D">
        <w:t>s</w:t>
      </w:r>
      <w:r w:rsidR="00A9469D" w:rsidRPr="00A9469D">
        <w:t> </w:t>
      </w:r>
      <w:r w:rsidR="00B0638A" w:rsidRPr="00A9469D">
        <w:t>64</w:t>
      </w:r>
      <w:r w:rsidR="00FB6FFF" w:rsidRPr="00A9469D">
        <w:t xml:space="preserve">(1) and </w:t>
      </w:r>
      <w:r w:rsidR="00B0638A" w:rsidRPr="00A9469D">
        <w:t>(2) of the old law are taken to be specific requirements to provide information to the Executive Director under paragraph</w:t>
      </w:r>
      <w:r w:rsidR="00A9469D" w:rsidRPr="00A9469D">
        <w:t> </w:t>
      </w:r>
      <w:r w:rsidR="0040387E" w:rsidRPr="00A9469D">
        <w:t>38</w:t>
      </w:r>
      <w:r w:rsidR="009066EB" w:rsidRPr="00A9469D">
        <w:t>(1)(d) of the new law.</w:t>
      </w:r>
    </w:p>
    <w:p w:rsidR="00EB653F" w:rsidRPr="00A9469D" w:rsidRDefault="00EB653F" w:rsidP="00A9469D">
      <w:pPr>
        <w:pStyle w:val="Subitem"/>
      </w:pPr>
      <w:r w:rsidRPr="00A9469D">
        <w:t>(3)</w:t>
      </w:r>
      <w:r w:rsidRPr="00A9469D">
        <w:tab/>
        <w:t>To avoid doubt, nothing in this item is taken to change the time at which the assessment certificate was issued.</w:t>
      </w:r>
    </w:p>
    <w:p w:rsidR="00C805BF" w:rsidRPr="00A9469D" w:rsidRDefault="001B59A4" w:rsidP="00A9469D">
      <w:pPr>
        <w:pStyle w:val="ItemHead"/>
      </w:pPr>
      <w:r w:rsidRPr="00A9469D">
        <w:t>12</w:t>
      </w:r>
      <w:r w:rsidR="00C805BF" w:rsidRPr="00A9469D">
        <w:t xml:space="preserve">  </w:t>
      </w:r>
      <w:r w:rsidR="00CD6057" w:rsidRPr="00A9469D">
        <w:t>P</w:t>
      </w:r>
      <w:r w:rsidR="00C805BF" w:rsidRPr="00A9469D">
        <w:t>ublication requirements for assessment statements</w:t>
      </w:r>
    </w:p>
    <w:p w:rsidR="00C805BF" w:rsidRPr="00A9469D" w:rsidRDefault="0040387E" w:rsidP="00A9469D">
      <w:pPr>
        <w:pStyle w:val="Item"/>
      </w:pPr>
      <w:r w:rsidRPr="00A9469D">
        <w:t>Subsections</w:t>
      </w:r>
      <w:r w:rsidR="00A9469D" w:rsidRPr="00A9469D">
        <w:t> </w:t>
      </w:r>
      <w:r w:rsidRPr="00A9469D">
        <w:t>49(</w:t>
      </w:r>
      <w:r w:rsidR="008B125C" w:rsidRPr="00A9469D">
        <w:t>6</w:t>
      </w:r>
      <w:r w:rsidRPr="00A9469D">
        <w:t>)</w:t>
      </w:r>
      <w:r w:rsidR="00180631" w:rsidRPr="00A9469D">
        <w:t>,</w:t>
      </w:r>
      <w:r w:rsidRPr="00A9469D">
        <w:t xml:space="preserve"> 50</w:t>
      </w:r>
      <w:r w:rsidR="008B125C" w:rsidRPr="00A9469D">
        <w:t>(8</w:t>
      </w:r>
      <w:r w:rsidR="00C805BF" w:rsidRPr="00A9469D">
        <w:t xml:space="preserve">) </w:t>
      </w:r>
      <w:r w:rsidR="00180631" w:rsidRPr="00A9469D">
        <w:t xml:space="preserve">and 52(7) </w:t>
      </w:r>
      <w:r w:rsidR="00C805BF" w:rsidRPr="00A9469D">
        <w:t xml:space="preserve">of the new law do not apply in relation to an assessment certificate that is </w:t>
      </w:r>
      <w:r w:rsidR="00A80692" w:rsidRPr="00A9469D">
        <w:t>taken to have been issued</w:t>
      </w:r>
      <w:r w:rsidR="00C805BF" w:rsidRPr="00A9469D">
        <w:t xml:space="preserve"> </w:t>
      </w:r>
      <w:r w:rsidR="00314E75" w:rsidRPr="00A9469D">
        <w:t xml:space="preserve">under the new law </w:t>
      </w:r>
      <w:r w:rsidR="00C805BF" w:rsidRPr="00A9469D">
        <w:t>in accordance with item</w:t>
      </w:r>
      <w:r w:rsidR="00A9469D" w:rsidRPr="00A9469D">
        <w:t> </w:t>
      </w:r>
      <w:r w:rsidR="00EC19AF" w:rsidRPr="00A9469D">
        <w:t>11</w:t>
      </w:r>
      <w:r w:rsidR="00C805BF" w:rsidRPr="00A9469D">
        <w:t>.</w:t>
      </w:r>
    </w:p>
    <w:p w:rsidR="00675AD3" w:rsidRPr="00A9469D" w:rsidRDefault="001B59A4" w:rsidP="00A9469D">
      <w:pPr>
        <w:pStyle w:val="ItemHead"/>
      </w:pPr>
      <w:r w:rsidRPr="00A9469D">
        <w:lastRenderedPageBreak/>
        <w:t>13</w:t>
      </w:r>
      <w:r w:rsidR="00675AD3" w:rsidRPr="00A9469D">
        <w:t xml:space="preserve">  Pending applications for assessment certificate</w:t>
      </w:r>
      <w:r w:rsidR="00E44C20" w:rsidRPr="00A9469D">
        <w:t>s</w:t>
      </w:r>
    </w:p>
    <w:p w:rsidR="00675AD3" w:rsidRPr="00A9469D" w:rsidRDefault="00675AD3" w:rsidP="00A9469D">
      <w:pPr>
        <w:pStyle w:val="Subitem"/>
      </w:pPr>
      <w:r w:rsidRPr="00A9469D">
        <w:t>(1)</w:t>
      </w:r>
      <w:r w:rsidRPr="00A9469D">
        <w:tab/>
        <w:t>This item applies in relation to an application, if:</w:t>
      </w:r>
    </w:p>
    <w:p w:rsidR="009C3810" w:rsidRPr="00A9469D" w:rsidRDefault="00640886" w:rsidP="00A9469D">
      <w:pPr>
        <w:pStyle w:val="paragraph"/>
      </w:pPr>
      <w:r w:rsidRPr="00A9469D">
        <w:tab/>
        <w:t>(a)</w:t>
      </w:r>
      <w:r w:rsidRPr="00A9469D">
        <w:tab/>
        <w:t xml:space="preserve">the application is for </w:t>
      </w:r>
      <w:r w:rsidR="009C3810" w:rsidRPr="00A9469D">
        <w:t>an assessment certificate for an industrial chemical under section</w:t>
      </w:r>
      <w:r w:rsidR="00A9469D" w:rsidRPr="00A9469D">
        <w:t> </w:t>
      </w:r>
      <w:r w:rsidR="009C3810" w:rsidRPr="00A9469D">
        <w:t>23 of the old law; and</w:t>
      </w:r>
    </w:p>
    <w:p w:rsidR="00675AD3" w:rsidRPr="00A9469D" w:rsidRDefault="00B34EF0" w:rsidP="00A9469D">
      <w:pPr>
        <w:pStyle w:val="paragraph"/>
      </w:pPr>
      <w:r w:rsidRPr="00A9469D">
        <w:tab/>
        <w:t>(b</w:t>
      </w:r>
      <w:r w:rsidR="00675AD3" w:rsidRPr="00A9469D">
        <w:t>)</w:t>
      </w:r>
      <w:r w:rsidR="00675AD3" w:rsidRPr="00A9469D">
        <w:tab/>
        <w:t xml:space="preserve">the application is pending immediately before </w:t>
      </w:r>
      <w:r w:rsidR="00240528">
        <w:t>1 July 2020</w:t>
      </w:r>
      <w:r w:rsidR="00675AD3" w:rsidRPr="00A9469D">
        <w:t>.</w:t>
      </w:r>
    </w:p>
    <w:p w:rsidR="00675AD3" w:rsidRPr="00A9469D" w:rsidRDefault="00675AD3" w:rsidP="00A9469D">
      <w:pPr>
        <w:pStyle w:val="Subitem"/>
      </w:pPr>
      <w:r w:rsidRPr="00A9469D">
        <w:t>(2)</w:t>
      </w:r>
      <w:r w:rsidRPr="00A9469D">
        <w:tab/>
        <w:t>For the purposes of the new law,</w:t>
      </w:r>
      <w:r w:rsidRPr="00A9469D">
        <w:rPr>
          <w:i/>
        </w:rPr>
        <w:t xml:space="preserve"> </w:t>
      </w:r>
      <w:r w:rsidRPr="00A9469D">
        <w:t>subject to</w:t>
      </w:r>
      <w:r w:rsidR="00C321EF" w:rsidRPr="00A9469D">
        <w:t xml:space="preserve"> this Part and</w:t>
      </w:r>
      <w:r w:rsidRPr="00A9469D">
        <w:t xml:space="preserve"> any modifications prescribed by the transitional rules, the application has effect, on and after </w:t>
      </w:r>
      <w:r w:rsidR="00240528">
        <w:t>1 July 2020</w:t>
      </w:r>
      <w:r w:rsidRPr="00A9469D">
        <w:t xml:space="preserve">, as if it were an application </w:t>
      </w:r>
      <w:r w:rsidR="005D6383" w:rsidRPr="00A9469D">
        <w:t xml:space="preserve">for an assessment certificate for the introduction of the industrial chemical </w:t>
      </w:r>
      <w:r w:rsidRPr="00A9469D">
        <w:t xml:space="preserve">made under </w:t>
      </w:r>
      <w:r w:rsidR="0040387E" w:rsidRPr="00A9469D">
        <w:t>section</w:t>
      </w:r>
      <w:r w:rsidR="00A9469D" w:rsidRPr="00A9469D">
        <w:t> </w:t>
      </w:r>
      <w:r w:rsidR="0040387E" w:rsidRPr="00A9469D">
        <w:t>31</w:t>
      </w:r>
      <w:r w:rsidRPr="00A9469D">
        <w:t xml:space="preserve"> of the new law.</w:t>
      </w:r>
    </w:p>
    <w:p w:rsidR="00C805BF" w:rsidRPr="00A9469D" w:rsidRDefault="001B59A4" w:rsidP="00A9469D">
      <w:pPr>
        <w:pStyle w:val="ItemHead"/>
      </w:pPr>
      <w:r w:rsidRPr="00A9469D">
        <w:t>14</w:t>
      </w:r>
      <w:r w:rsidR="00C805BF" w:rsidRPr="00A9469D">
        <w:t xml:space="preserve">  </w:t>
      </w:r>
      <w:r w:rsidR="005612DB" w:rsidRPr="00A9469D">
        <w:t>C</w:t>
      </w:r>
      <w:r w:rsidR="00C805BF" w:rsidRPr="00A9469D">
        <w:t>onsultation required with prescribed bodies</w:t>
      </w:r>
    </w:p>
    <w:p w:rsidR="00C805BF" w:rsidRPr="00A9469D" w:rsidRDefault="00C805BF" w:rsidP="00A9469D">
      <w:pPr>
        <w:pStyle w:val="Item"/>
      </w:pPr>
      <w:r w:rsidRPr="00A9469D">
        <w:t>Section</w:t>
      </w:r>
      <w:r w:rsidR="00A9469D" w:rsidRPr="00A9469D">
        <w:t> </w:t>
      </w:r>
      <w:r w:rsidR="0040387E" w:rsidRPr="00A9469D">
        <w:t>34</w:t>
      </w:r>
      <w:r w:rsidR="00625C8F" w:rsidRPr="00A9469D">
        <w:t xml:space="preserve"> </w:t>
      </w:r>
      <w:r w:rsidR="008A156B" w:rsidRPr="00A9469D">
        <w:t>of the new law do</w:t>
      </w:r>
      <w:r w:rsidR="002D21B2" w:rsidRPr="00A9469D">
        <w:t>es</w:t>
      </w:r>
      <w:r w:rsidRPr="00A9469D">
        <w:t xml:space="preserve"> not apply in relation to an application for an assessment certificate that is taken to have been </w:t>
      </w:r>
      <w:r w:rsidR="00141E21" w:rsidRPr="00A9469D">
        <w:t>made</w:t>
      </w:r>
      <w:r w:rsidRPr="00A9469D">
        <w:t xml:space="preserve"> under the new law in accordance with item</w:t>
      </w:r>
      <w:r w:rsidR="00A9469D" w:rsidRPr="00A9469D">
        <w:t> </w:t>
      </w:r>
      <w:r w:rsidR="00EC19AF" w:rsidRPr="00A9469D">
        <w:t>13</w:t>
      </w:r>
      <w:r w:rsidRPr="00A9469D">
        <w:t>.</w:t>
      </w:r>
    </w:p>
    <w:p w:rsidR="00C805BF" w:rsidRPr="00A9469D" w:rsidRDefault="001B59A4" w:rsidP="00A9469D">
      <w:pPr>
        <w:pStyle w:val="ItemHead"/>
      </w:pPr>
      <w:r w:rsidRPr="00A9469D">
        <w:t>15</w:t>
      </w:r>
      <w:r w:rsidR="00C805BF" w:rsidRPr="00A9469D">
        <w:t xml:space="preserve">  </w:t>
      </w:r>
      <w:r w:rsidR="0085214B" w:rsidRPr="00A9469D">
        <w:t>Conditions on assessment certificate</w:t>
      </w:r>
    </w:p>
    <w:p w:rsidR="00552535" w:rsidRPr="00A9469D" w:rsidRDefault="0040387E" w:rsidP="00A9469D">
      <w:pPr>
        <w:pStyle w:val="Item"/>
      </w:pPr>
      <w:r w:rsidRPr="00A9469D">
        <w:t>Subsection</w:t>
      </w:r>
      <w:r w:rsidR="00A9469D" w:rsidRPr="00A9469D">
        <w:t> </w:t>
      </w:r>
      <w:r w:rsidRPr="00A9469D">
        <w:t>38</w:t>
      </w:r>
      <w:r w:rsidR="00C805BF" w:rsidRPr="00A9469D">
        <w:t>(2) of the new law does not apply in relation to an</w:t>
      </w:r>
      <w:r w:rsidR="00552535" w:rsidRPr="00A9469D">
        <w:t xml:space="preserve"> assessment certificate that:</w:t>
      </w:r>
    </w:p>
    <w:p w:rsidR="00552535" w:rsidRPr="00A9469D" w:rsidRDefault="00552535" w:rsidP="00A9469D">
      <w:pPr>
        <w:pStyle w:val="paragraph"/>
      </w:pPr>
      <w:r w:rsidRPr="00A9469D">
        <w:tab/>
        <w:t>(a)</w:t>
      </w:r>
      <w:r w:rsidRPr="00A9469D">
        <w:tab/>
        <w:t>is taken to have been issued under the new law in accordance with item</w:t>
      </w:r>
      <w:r w:rsidR="00A9469D" w:rsidRPr="00A9469D">
        <w:t> </w:t>
      </w:r>
      <w:r w:rsidRPr="00A9469D">
        <w:t>11; or</w:t>
      </w:r>
    </w:p>
    <w:p w:rsidR="00552535" w:rsidRPr="00A9469D" w:rsidRDefault="00552535" w:rsidP="00A9469D">
      <w:pPr>
        <w:pStyle w:val="paragraph"/>
      </w:pPr>
      <w:r w:rsidRPr="00A9469D">
        <w:tab/>
        <w:t>(b)</w:t>
      </w:r>
      <w:r w:rsidRPr="00A9469D">
        <w:tab/>
        <w:t>is issued under the new law in accordance with item</w:t>
      </w:r>
      <w:r w:rsidR="00A9469D" w:rsidRPr="00A9469D">
        <w:t> </w:t>
      </w:r>
      <w:r w:rsidRPr="00A9469D">
        <w:t>13.</w:t>
      </w:r>
    </w:p>
    <w:p w:rsidR="00C805BF" w:rsidRPr="00A9469D" w:rsidRDefault="001B59A4" w:rsidP="00A9469D">
      <w:pPr>
        <w:pStyle w:val="ItemHead"/>
      </w:pPr>
      <w:r w:rsidRPr="00A9469D">
        <w:t>16</w:t>
      </w:r>
      <w:r w:rsidR="00C805BF" w:rsidRPr="00A9469D">
        <w:t xml:space="preserve">  Publication requirements for assessment statements</w:t>
      </w:r>
    </w:p>
    <w:p w:rsidR="00F646BF" w:rsidRPr="00A9469D" w:rsidRDefault="0040387E" w:rsidP="00A9469D">
      <w:pPr>
        <w:pStyle w:val="Item"/>
      </w:pPr>
      <w:r w:rsidRPr="00A9469D">
        <w:t>Subsection</w:t>
      </w:r>
      <w:r w:rsidR="00A9469D" w:rsidRPr="00A9469D">
        <w:t> </w:t>
      </w:r>
      <w:r w:rsidRPr="00A9469D">
        <w:t>37</w:t>
      </w:r>
      <w:r w:rsidR="009B753C" w:rsidRPr="00A9469D">
        <w:t>(7</w:t>
      </w:r>
      <w:r w:rsidR="00F646BF" w:rsidRPr="00A9469D">
        <w:t>) of the new law does not apply in relation to an assessment certificate that is issued under the new law in accordance with item</w:t>
      </w:r>
      <w:r w:rsidR="00A9469D" w:rsidRPr="00A9469D">
        <w:t> </w:t>
      </w:r>
      <w:r w:rsidR="00EC19AF" w:rsidRPr="00A9469D">
        <w:t>13</w:t>
      </w:r>
      <w:r w:rsidR="00F646BF" w:rsidRPr="00A9469D">
        <w:t>.</w:t>
      </w:r>
    </w:p>
    <w:p w:rsidR="00152FAD" w:rsidRPr="00A9469D" w:rsidRDefault="00152FAD" w:rsidP="00A9469D">
      <w:pPr>
        <w:pStyle w:val="ActHead8"/>
      </w:pPr>
      <w:bookmarkStart w:id="25" w:name="_Toc3448254"/>
      <w:r w:rsidRPr="00A9469D">
        <w:t>Division</w:t>
      </w:r>
      <w:r w:rsidR="00A9469D" w:rsidRPr="00A9469D">
        <w:t> </w:t>
      </w:r>
      <w:r w:rsidRPr="00A9469D">
        <w:t>2—Commercial evaluation permits</w:t>
      </w:r>
      <w:bookmarkEnd w:id="25"/>
    </w:p>
    <w:p w:rsidR="00415002" w:rsidRPr="00A9469D" w:rsidRDefault="001B59A4" w:rsidP="00A9469D">
      <w:pPr>
        <w:pStyle w:val="ItemHead"/>
      </w:pPr>
      <w:r w:rsidRPr="00A9469D">
        <w:t>17</w:t>
      </w:r>
      <w:r w:rsidR="00415002" w:rsidRPr="00A9469D">
        <w:t xml:space="preserve">  Commercial evaluation permits</w:t>
      </w:r>
      <w:r w:rsidR="00EB4FB2" w:rsidRPr="00A9469D">
        <w:t xml:space="preserve"> issued under old law</w:t>
      </w:r>
    </w:p>
    <w:p w:rsidR="009F4CA1" w:rsidRPr="00A9469D" w:rsidRDefault="009F4CA1" w:rsidP="00A9469D">
      <w:pPr>
        <w:pStyle w:val="Subitem"/>
      </w:pPr>
      <w:r w:rsidRPr="00A9469D">
        <w:t>(1)</w:t>
      </w:r>
      <w:r w:rsidRPr="00A9469D">
        <w:tab/>
        <w:t xml:space="preserve">This item applies in relation to a commercial evaluation permit for </w:t>
      </w:r>
      <w:r w:rsidR="00A2361D" w:rsidRPr="00A9469D">
        <w:t xml:space="preserve">the </w:t>
      </w:r>
      <w:r w:rsidRPr="00A9469D">
        <w:t xml:space="preserve">introduction of an industrial chemical that is in force under the old law immediately before </w:t>
      </w:r>
      <w:r w:rsidR="00240528">
        <w:t>1 July 2020</w:t>
      </w:r>
      <w:r w:rsidRPr="00A9469D">
        <w:t>.</w:t>
      </w:r>
    </w:p>
    <w:p w:rsidR="009F4CA1" w:rsidRPr="00A9469D" w:rsidRDefault="009F4CA1" w:rsidP="00A9469D">
      <w:pPr>
        <w:pStyle w:val="Subitem"/>
      </w:pPr>
      <w:r w:rsidRPr="00A9469D">
        <w:t>(2)</w:t>
      </w:r>
      <w:r w:rsidRPr="00A9469D">
        <w:tab/>
        <w:t>For the purposes of the new law, subject to</w:t>
      </w:r>
      <w:r w:rsidR="00C321EF" w:rsidRPr="00A9469D">
        <w:t xml:space="preserve"> this Part and</w:t>
      </w:r>
      <w:r w:rsidRPr="00A9469D">
        <w:t xml:space="preserve"> any modifications prescribed by the transitional rules:</w:t>
      </w:r>
    </w:p>
    <w:p w:rsidR="009F4CA1" w:rsidRPr="00A9469D" w:rsidRDefault="009F4CA1" w:rsidP="00A9469D">
      <w:pPr>
        <w:pStyle w:val="paragraph"/>
      </w:pPr>
      <w:r w:rsidRPr="00A9469D">
        <w:lastRenderedPageBreak/>
        <w:tab/>
        <w:t>(a)</w:t>
      </w:r>
      <w:r w:rsidRPr="00A9469D">
        <w:tab/>
        <w:t xml:space="preserve">the commercial evaluation permit is taken, on and after </w:t>
      </w:r>
      <w:r w:rsidR="00561435">
        <w:t>1 July 2020</w:t>
      </w:r>
      <w:r w:rsidRPr="00A9469D">
        <w:t xml:space="preserve">, to be a commercial evaluation authorisation for the introduction of the industrial chemical </w:t>
      </w:r>
      <w:r w:rsidR="001C2888" w:rsidRPr="00A9469D">
        <w:t xml:space="preserve">issued </w:t>
      </w:r>
      <w:r w:rsidRPr="00A9469D">
        <w:t>under the new law; and</w:t>
      </w:r>
    </w:p>
    <w:p w:rsidR="009F4CA1" w:rsidRPr="00A9469D" w:rsidRDefault="009F4CA1" w:rsidP="00A9469D">
      <w:pPr>
        <w:pStyle w:val="paragraph"/>
      </w:pPr>
      <w:r w:rsidRPr="00A9469D">
        <w:tab/>
        <w:t>(b)</w:t>
      </w:r>
      <w:r w:rsidRPr="00A9469D">
        <w:tab/>
        <w:t xml:space="preserve">the person who was, immediately before </w:t>
      </w:r>
      <w:r w:rsidR="00561435">
        <w:t>1 July 2020</w:t>
      </w:r>
      <w:r w:rsidRPr="00A9469D">
        <w:t xml:space="preserve">, </w:t>
      </w:r>
      <w:r w:rsidR="005776AF" w:rsidRPr="00A9469D">
        <w:t xml:space="preserve">the holder of the commercial evaluation permit is taken to be </w:t>
      </w:r>
      <w:r w:rsidR="00600DEC" w:rsidRPr="00A9469D">
        <w:t xml:space="preserve">the </w:t>
      </w:r>
      <w:r w:rsidR="005776AF" w:rsidRPr="00A9469D">
        <w:t>holder of the commercial evaluation authorisation</w:t>
      </w:r>
      <w:r w:rsidR="007F64DA" w:rsidRPr="00A9469D">
        <w:t xml:space="preserve"> under the new law</w:t>
      </w:r>
      <w:r w:rsidR="005776AF" w:rsidRPr="00A9469D">
        <w:t>; and</w:t>
      </w:r>
    </w:p>
    <w:p w:rsidR="009F4CA1" w:rsidRPr="00A9469D" w:rsidRDefault="000B5406" w:rsidP="00A9469D">
      <w:pPr>
        <w:pStyle w:val="paragraph"/>
      </w:pPr>
      <w:r w:rsidRPr="00A9469D">
        <w:tab/>
        <w:t>(c</w:t>
      </w:r>
      <w:r w:rsidR="009F4CA1" w:rsidRPr="00A9469D">
        <w:t>)</w:t>
      </w:r>
      <w:r w:rsidR="009F4CA1" w:rsidRPr="00A9469D">
        <w:tab/>
        <w:t xml:space="preserve">the terms of the </w:t>
      </w:r>
      <w:r w:rsidRPr="00A9469D">
        <w:t>commercial evaluation permit</w:t>
      </w:r>
      <w:r w:rsidR="009F4CA1" w:rsidRPr="00A9469D">
        <w:t xml:space="preserve"> under the old law are taken to be the terms of the </w:t>
      </w:r>
      <w:r w:rsidRPr="00A9469D">
        <w:t>commercial evaluation authorisation</w:t>
      </w:r>
      <w:r w:rsidR="009F4CA1" w:rsidRPr="00A9469D">
        <w:t xml:space="preserve"> under the new law; and</w:t>
      </w:r>
    </w:p>
    <w:p w:rsidR="000B5406" w:rsidRPr="00A9469D" w:rsidRDefault="000B5406" w:rsidP="00A9469D">
      <w:pPr>
        <w:pStyle w:val="paragraph"/>
      </w:pPr>
      <w:r w:rsidRPr="00A9469D">
        <w:tab/>
        <w:t>(d)</w:t>
      </w:r>
      <w:r w:rsidRPr="00A9469D">
        <w:tab/>
        <w:t>the conditions the commercial evaluation permit is subject to under subsection</w:t>
      </w:r>
      <w:r w:rsidR="00A9469D" w:rsidRPr="00A9469D">
        <w:t> </w:t>
      </w:r>
      <w:r w:rsidRPr="00A9469D">
        <w:t xml:space="preserve">21L(1) </w:t>
      </w:r>
      <w:r w:rsidR="00DE7F9C" w:rsidRPr="00A9469D">
        <w:t>of the old</w:t>
      </w:r>
      <w:r w:rsidR="00EF4FF6" w:rsidRPr="00A9469D">
        <w:t xml:space="preserve"> law are taken to be conditions relating to the introduction or use of the industrial chemical</w:t>
      </w:r>
      <w:r w:rsidR="0040387E" w:rsidRPr="00A9469D">
        <w:t xml:space="preserve"> under paragraph</w:t>
      </w:r>
      <w:r w:rsidR="00A9469D" w:rsidRPr="00A9469D">
        <w:t> </w:t>
      </w:r>
      <w:r w:rsidR="0040387E" w:rsidRPr="00A9469D">
        <w:t>59</w:t>
      </w:r>
      <w:r w:rsidR="00BD02B0" w:rsidRPr="00A9469D">
        <w:t>(1)(e</w:t>
      </w:r>
      <w:r w:rsidR="00050233" w:rsidRPr="00A9469D">
        <w:t>) of the new law; and</w:t>
      </w:r>
    </w:p>
    <w:p w:rsidR="00050233" w:rsidRPr="00A9469D" w:rsidRDefault="00050233" w:rsidP="00A9469D">
      <w:pPr>
        <w:pStyle w:val="paragraph"/>
      </w:pPr>
      <w:r w:rsidRPr="00A9469D">
        <w:tab/>
        <w:t>(e)</w:t>
      </w:r>
      <w:r w:rsidRPr="00A9469D">
        <w:tab/>
        <w:t xml:space="preserve">the remaining </w:t>
      </w:r>
      <w:r w:rsidR="001911E3" w:rsidRPr="00A9469D">
        <w:t xml:space="preserve">period for which the </w:t>
      </w:r>
      <w:r w:rsidRPr="00A9469D">
        <w:t xml:space="preserve">commercial evaluation permit </w:t>
      </w:r>
      <w:r w:rsidR="001911E3" w:rsidRPr="00A9469D">
        <w:t xml:space="preserve">would have been in force </w:t>
      </w:r>
      <w:r w:rsidRPr="00A9469D">
        <w:t>under section</w:t>
      </w:r>
      <w:r w:rsidR="00A9469D" w:rsidRPr="00A9469D">
        <w:t> </w:t>
      </w:r>
      <w:r w:rsidRPr="00A9469D">
        <w:t>21K of the old law is taken to be the period for which the authorisation is in force under the new law.</w:t>
      </w:r>
    </w:p>
    <w:p w:rsidR="00E44C20" w:rsidRPr="00A9469D" w:rsidRDefault="001B59A4" w:rsidP="00A9469D">
      <w:pPr>
        <w:pStyle w:val="ItemHead"/>
      </w:pPr>
      <w:r w:rsidRPr="00A9469D">
        <w:t>18</w:t>
      </w:r>
      <w:r w:rsidR="00E44C20" w:rsidRPr="00A9469D">
        <w:t xml:space="preserve">  Pending applications for commercial evaluation </w:t>
      </w:r>
      <w:r w:rsidR="002F359B" w:rsidRPr="00A9469D">
        <w:t>permits</w:t>
      </w:r>
    </w:p>
    <w:p w:rsidR="00E44C20" w:rsidRPr="00A9469D" w:rsidRDefault="00E44C20" w:rsidP="00A9469D">
      <w:pPr>
        <w:pStyle w:val="Subitem"/>
      </w:pPr>
      <w:r w:rsidRPr="00A9469D">
        <w:t>(1)</w:t>
      </w:r>
      <w:r w:rsidRPr="00A9469D">
        <w:tab/>
        <w:t>This item applies in relation to an application, if:</w:t>
      </w:r>
    </w:p>
    <w:p w:rsidR="00561435" w:rsidRPr="00370DEB" w:rsidRDefault="00561435" w:rsidP="00561435">
      <w:pPr>
        <w:pStyle w:val="paragraph"/>
      </w:pPr>
      <w:r w:rsidRPr="00370DEB">
        <w:tab/>
        <w:t>(a)</w:t>
      </w:r>
      <w:r w:rsidRPr="00370DEB">
        <w:tab/>
        <w:t>the application is for a commercial evaluation permit relating to an industrial chemical under subsection 21B(1) of the old law; and</w:t>
      </w:r>
    </w:p>
    <w:p w:rsidR="00E44C20" w:rsidRPr="00A9469D" w:rsidRDefault="00B34EF0" w:rsidP="00A9469D">
      <w:pPr>
        <w:pStyle w:val="paragraph"/>
      </w:pPr>
      <w:r w:rsidRPr="00A9469D">
        <w:tab/>
        <w:t>(b</w:t>
      </w:r>
      <w:r w:rsidR="00E44C20" w:rsidRPr="00A9469D">
        <w:t>)</w:t>
      </w:r>
      <w:r w:rsidR="00E44C20" w:rsidRPr="00A9469D">
        <w:tab/>
        <w:t xml:space="preserve">the application is pending immediately before </w:t>
      </w:r>
      <w:r w:rsidR="00656ADE">
        <w:t>1 July 2020</w:t>
      </w:r>
      <w:r w:rsidR="00E44C20" w:rsidRPr="00A9469D">
        <w:t>.</w:t>
      </w:r>
    </w:p>
    <w:p w:rsidR="00E44C20" w:rsidRPr="00A9469D" w:rsidRDefault="00E44C20" w:rsidP="00A9469D">
      <w:pPr>
        <w:pStyle w:val="Subitem"/>
      </w:pPr>
      <w:r w:rsidRPr="00A9469D">
        <w:t>(2)</w:t>
      </w:r>
      <w:r w:rsidRPr="00A9469D">
        <w:tab/>
        <w:t>For the purposes of the new law,</w:t>
      </w:r>
      <w:r w:rsidRPr="00A9469D">
        <w:rPr>
          <w:i/>
        </w:rPr>
        <w:t xml:space="preserve"> </w:t>
      </w:r>
      <w:r w:rsidRPr="00A9469D">
        <w:t xml:space="preserve">subject to </w:t>
      </w:r>
      <w:r w:rsidR="00C321EF" w:rsidRPr="00A9469D">
        <w:t xml:space="preserve">this Part and </w:t>
      </w:r>
      <w:r w:rsidRPr="00A9469D">
        <w:t xml:space="preserve">any modifications prescribed by the transitional rules, the application has effect, on and after </w:t>
      </w:r>
      <w:r w:rsidR="00656ADE">
        <w:t>1 July 2020</w:t>
      </w:r>
      <w:r w:rsidRPr="00A9469D">
        <w:t xml:space="preserve">, as if it were an application </w:t>
      </w:r>
      <w:r w:rsidR="005D6383" w:rsidRPr="00A9469D">
        <w:t xml:space="preserve">for </w:t>
      </w:r>
      <w:r w:rsidR="00855C15" w:rsidRPr="00A9469D">
        <w:t>a commercial evaluation authorisation</w:t>
      </w:r>
      <w:r w:rsidR="005D6383" w:rsidRPr="00A9469D">
        <w:t xml:space="preserve"> for the introduction of </w:t>
      </w:r>
      <w:r w:rsidR="00855C15" w:rsidRPr="00A9469D">
        <w:t>the</w:t>
      </w:r>
      <w:r w:rsidR="005D6383" w:rsidRPr="00A9469D">
        <w:t xml:space="preserve"> industrial chemical </w:t>
      </w:r>
      <w:r w:rsidRPr="00A9469D">
        <w:t>made under section</w:t>
      </w:r>
      <w:r w:rsidR="00A9469D" w:rsidRPr="00A9469D">
        <w:t> </w:t>
      </w:r>
      <w:r w:rsidR="0040387E" w:rsidRPr="00A9469D">
        <w:t>53</w:t>
      </w:r>
      <w:r w:rsidRPr="00A9469D">
        <w:t xml:space="preserve"> of the new law.</w:t>
      </w:r>
    </w:p>
    <w:p w:rsidR="00152FAD" w:rsidRPr="00A9469D" w:rsidRDefault="00152FAD" w:rsidP="00A9469D">
      <w:pPr>
        <w:pStyle w:val="ActHead8"/>
      </w:pPr>
      <w:bookmarkStart w:id="26" w:name="_Toc3448255"/>
      <w:r w:rsidRPr="00A9469D">
        <w:lastRenderedPageBreak/>
        <w:t>Division</w:t>
      </w:r>
      <w:r w:rsidR="00A9469D" w:rsidRPr="00A9469D">
        <w:t> </w:t>
      </w:r>
      <w:r w:rsidRPr="00A9469D">
        <w:t>3—Low volume permits</w:t>
      </w:r>
      <w:bookmarkEnd w:id="26"/>
    </w:p>
    <w:p w:rsidR="00415002" w:rsidRPr="00A9469D" w:rsidRDefault="001B59A4" w:rsidP="00A9469D">
      <w:pPr>
        <w:pStyle w:val="ItemHead"/>
      </w:pPr>
      <w:r w:rsidRPr="00A9469D">
        <w:t>19</w:t>
      </w:r>
      <w:r w:rsidR="00415002" w:rsidRPr="00A9469D">
        <w:t xml:space="preserve">  Low volume permits</w:t>
      </w:r>
      <w:r w:rsidR="00EB4FB2" w:rsidRPr="00A9469D">
        <w:t xml:space="preserve"> issued under old law</w:t>
      </w:r>
    </w:p>
    <w:p w:rsidR="00600DEC" w:rsidRPr="00A9469D" w:rsidRDefault="00600DEC" w:rsidP="00A9469D">
      <w:pPr>
        <w:pStyle w:val="Subitem"/>
      </w:pPr>
      <w:r w:rsidRPr="00A9469D">
        <w:t>(1)</w:t>
      </w:r>
      <w:r w:rsidRPr="00A9469D">
        <w:tab/>
        <w:t xml:space="preserve">This item applies in relation to a low volume permit in respect of an industrial chemical that is in force under the old law immediately before </w:t>
      </w:r>
      <w:r w:rsidR="0095429B">
        <w:t>1 July 2020</w:t>
      </w:r>
      <w:r w:rsidRPr="00A9469D">
        <w:t>.</w:t>
      </w:r>
    </w:p>
    <w:p w:rsidR="00600DEC" w:rsidRPr="00A9469D" w:rsidRDefault="00600DEC" w:rsidP="00A9469D">
      <w:pPr>
        <w:pStyle w:val="Subitem"/>
      </w:pPr>
      <w:r w:rsidRPr="00A9469D">
        <w:t>(2)</w:t>
      </w:r>
      <w:r w:rsidRPr="00A9469D">
        <w:tab/>
        <w:t xml:space="preserve">For the purposes of the new law, subject to </w:t>
      </w:r>
      <w:r w:rsidR="00C321EF" w:rsidRPr="00A9469D">
        <w:t xml:space="preserve">this Part and </w:t>
      </w:r>
      <w:r w:rsidRPr="00A9469D">
        <w:t>any modifications prescribed by the transitional rules:</w:t>
      </w:r>
    </w:p>
    <w:p w:rsidR="00600DEC" w:rsidRPr="00A9469D" w:rsidRDefault="00600DEC" w:rsidP="00A9469D">
      <w:pPr>
        <w:pStyle w:val="paragraph"/>
      </w:pPr>
      <w:r w:rsidRPr="00A9469D">
        <w:tab/>
        <w:t>(a)</w:t>
      </w:r>
      <w:r w:rsidRPr="00A9469D">
        <w:tab/>
        <w:t xml:space="preserve">the low volume permit is taken, on and after </w:t>
      </w:r>
      <w:r w:rsidR="0095429B">
        <w:t>1 July 2020</w:t>
      </w:r>
      <w:r w:rsidRPr="00A9469D">
        <w:t>, to be an assessment certificate issued for the industrial chemical under the new law; and</w:t>
      </w:r>
    </w:p>
    <w:p w:rsidR="00600DEC" w:rsidRPr="00A9469D" w:rsidRDefault="00600DEC" w:rsidP="00A9469D">
      <w:pPr>
        <w:pStyle w:val="paragraph"/>
      </w:pPr>
      <w:r w:rsidRPr="00A9469D">
        <w:tab/>
        <w:t>(b)</w:t>
      </w:r>
      <w:r w:rsidRPr="00A9469D">
        <w:tab/>
        <w:t xml:space="preserve">the person who was, immediately before </w:t>
      </w:r>
      <w:r w:rsidR="0095429B">
        <w:t>1 July 2020</w:t>
      </w:r>
      <w:r w:rsidRPr="00A9469D">
        <w:t xml:space="preserve">, the holder of the low volume permit is taken to be the holder of the </w:t>
      </w:r>
      <w:r w:rsidR="00AF56F3" w:rsidRPr="00A9469D">
        <w:t>assessment certificate</w:t>
      </w:r>
      <w:r w:rsidR="00FF2BB2" w:rsidRPr="00A9469D">
        <w:t xml:space="preserve"> under the new law</w:t>
      </w:r>
      <w:r w:rsidRPr="00A9469D">
        <w:t>; and</w:t>
      </w:r>
    </w:p>
    <w:p w:rsidR="00600DEC" w:rsidRPr="00A9469D" w:rsidRDefault="00600DEC" w:rsidP="00A9469D">
      <w:pPr>
        <w:pStyle w:val="paragraph"/>
      </w:pPr>
      <w:r w:rsidRPr="00A9469D">
        <w:tab/>
        <w:t>(c)</w:t>
      </w:r>
      <w:r w:rsidRPr="00A9469D">
        <w:tab/>
        <w:t xml:space="preserve">the terms of the </w:t>
      </w:r>
      <w:r w:rsidR="00AF56F3" w:rsidRPr="00A9469D">
        <w:t>low</w:t>
      </w:r>
      <w:r w:rsidRPr="00A9469D">
        <w:t xml:space="preserve"> </w:t>
      </w:r>
      <w:r w:rsidR="00AF56F3" w:rsidRPr="00A9469D">
        <w:t>volume</w:t>
      </w:r>
      <w:r w:rsidRPr="00A9469D">
        <w:t xml:space="preserve"> permit under the old law are taken to be the terms of the </w:t>
      </w:r>
      <w:r w:rsidR="00AF56F3" w:rsidRPr="00A9469D">
        <w:t>assessment</w:t>
      </w:r>
      <w:r w:rsidRPr="00A9469D">
        <w:t xml:space="preserve"> </w:t>
      </w:r>
      <w:r w:rsidR="00AF56F3" w:rsidRPr="00A9469D">
        <w:t>certificate</w:t>
      </w:r>
      <w:r w:rsidRPr="00A9469D">
        <w:t xml:space="preserve"> under the new law; and</w:t>
      </w:r>
    </w:p>
    <w:p w:rsidR="00910E17" w:rsidRPr="00A9469D" w:rsidRDefault="00910E17" w:rsidP="00A9469D">
      <w:pPr>
        <w:pStyle w:val="paragraph"/>
      </w:pPr>
      <w:r w:rsidRPr="00A9469D">
        <w:tab/>
        <w:t>(d)</w:t>
      </w:r>
      <w:r w:rsidRPr="00A9469D">
        <w:tab/>
        <w:t>any conditions the low volume permit is subject to under subsection</w:t>
      </w:r>
      <w:r w:rsidR="00A9469D" w:rsidRPr="00A9469D">
        <w:t> </w:t>
      </w:r>
      <w:r w:rsidRPr="00A9469D">
        <w:t>21W(3) of the old law are taken to be conditions to which the assessment certificate is subject under paragraph</w:t>
      </w:r>
      <w:r w:rsidR="00A9469D" w:rsidRPr="00A9469D">
        <w:t> </w:t>
      </w:r>
      <w:r w:rsidRPr="00A9469D">
        <w:t>38(1)(c) of the new law; and</w:t>
      </w:r>
    </w:p>
    <w:p w:rsidR="00600DEC" w:rsidRPr="00A9469D" w:rsidRDefault="00910E17" w:rsidP="00A9469D">
      <w:pPr>
        <w:pStyle w:val="paragraph"/>
      </w:pPr>
      <w:r w:rsidRPr="00A9469D">
        <w:tab/>
        <w:t>(e</w:t>
      </w:r>
      <w:r w:rsidR="0041427B" w:rsidRPr="00A9469D">
        <w:t>)</w:t>
      </w:r>
      <w:r w:rsidR="0041427B" w:rsidRPr="00A9469D">
        <w:tab/>
        <w:t>the condition</w:t>
      </w:r>
      <w:r w:rsidR="00600DEC" w:rsidRPr="00A9469D">
        <w:t xml:space="preserve"> the </w:t>
      </w:r>
      <w:r w:rsidR="00207EEE" w:rsidRPr="00A9469D">
        <w:t>low</w:t>
      </w:r>
      <w:r w:rsidR="00600DEC" w:rsidRPr="00A9469D">
        <w:t xml:space="preserve"> </w:t>
      </w:r>
      <w:r w:rsidR="00207EEE" w:rsidRPr="00A9469D">
        <w:t>volume</w:t>
      </w:r>
      <w:r w:rsidR="00600DEC" w:rsidRPr="00A9469D">
        <w:t xml:space="preserve"> permit is subject</w:t>
      </w:r>
      <w:r w:rsidR="00207EEE" w:rsidRPr="00A9469D">
        <w:t xml:space="preserve"> to under subsection</w:t>
      </w:r>
      <w:r w:rsidR="00A9469D" w:rsidRPr="00A9469D">
        <w:t> </w:t>
      </w:r>
      <w:r w:rsidR="00207EEE" w:rsidRPr="00A9469D">
        <w:t>21W</w:t>
      </w:r>
      <w:r w:rsidR="00600DEC" w:rsidRPr="00A9469D">
        <w:t xml:space="preserve">(1) of the old law </w:t>
      </w:r>
      <w:r w:rsidR="0041427B" w:rsidRPr="00A9469D">
        <w:t>is</w:t>
      </w:r>
      <w:r w:rsidR="00600DEC" w:rsidRPr="00A9469D">
        <w:t xml:space="preserve"> taken to be </w:t>
      </w:r>
      <w:r w:rsidR="0041427B" w:rsidRPr="00A9469D">
        <w:t xml:space="preserve">a </w:t>
      </w:r>
      <w:r w:rsidR="00207EEE" w:rsidRPr="00A9469D">
        <w:t>specific requirement to provide information to the Execut</w:t>
      </w:r>
      <w:r w:rsidR="0040387E" w:rsidRPr="00A9469D">
        <w:t>ive Director under paragraph</w:t>
      </w:r>
      <w:r w:rsidR="00A9469D" w:rsidRPr="00A9469D">
        <w:t> </w:t>
      </w:r>
      <w:r w:rsidR="0040387E" w:rsidRPr="00A9469D">
        <w:t>38</w:t>
      </w:r>
      <w:r w:rsidR="00207EEE" w:rsidRPr="00A9469D">
        <w:t>(1)(d) of the new law</w:t>
      </w:r>
      <w:r w:rsidR="00534E6B" w:rsidRPr="00A9469D">
        <w:t>;</w:t>
      </w:r>
      <w:r w:rsidR="00F316DD" w:rsidRPr="00A9469D">
        <w:t xml:space="preserve"> and</w:t>
      </w:r>
    </w:p>
    <w:p w:rsidR="00534E6B" w:rsidRPr="00A9469D" w:rsidRDefault="0041427B" w:rsidP="00A9469D">
      <w:pPr>
        <w:pStyle w:val="paragraph"/>
      </w:pPr>
      <w:r w:rsidRPr="00A9469D">
        <w:tab/>
        <w:t>(f</w:t>
      </w:r>
      <w:r w:rsidR="00534E6B" w:rsidRPr="00A9469D">
        <w:t>)</w:t>
      </w:r>
      <w:r w:rsidR="00534E6B" w:rsidRPr="00A9469D">
        <w:tab/>
        <w:t>sectio</w:t>
      </w:r>
      <w:r w:rsidR="0040387E" w:rsidRPr="00A9469D">
        <w:t>n</w:t>
      </w:r>
      <w:r w:rsidR="00A9469D" w:rsidRPr="00A9469D">
        <w:t> </w:t>
      </w:r>
      <w:r w:rsidR="0040387E" w:rsidRPr="00A9469D">
        <w:t>39</w:t>
      </w:r>
      <w:r w:rsidR="00534E6B" w:rsidRPr="00A9469D">
        <w:t xml:space="preserve"> of the new law applies </w:t>
      </w:r>
      <w:r w:rsidR="00E25647" w:rsidRPr="00A9469D">
        <w:t xml:space="preserve">in relation to the assessment certificate </w:t>
      </w:r>
      <w:r w:rsidR="00534E6B" w:rsidRPr="00A9469D">
        <w:t xml:space="preserve">as if that section expressly limited the </w:t>
      </w:r>
      <w:r w:rsidR="00146CD4" w:rsidRPr="00A9469D">
        <w:t xml:space="preserve">period for which the </w:t>
      </w:r>
      <w:r w:rsidR="00534E6B" w:rsidRPr="00A9469D">
        <w:t xml:space="preserve">assessment certificate </w:t>
      </w:r>
      <w:r w:rsidR="00146CD4" w:rsidRPr="00A9469D">
        <w:t xml:space="preserve">is in force </w:t>
      </w:r>
      <w:r w:rsidR="00534E6B" w:rsidRPr="00A9469D">
        <w:t>to the remaining period for which the permit would have been in force under section</w:t>
      </w:r>
      <w:r w:rsidR="00A9469D" w:rsidRPr="00A9469D">
        <w:t> </w:t>
      </w:r>
      <w:r w:rsidR="00534E6B" w:rsidRPr="00A9469D">
        <w:t>21V of the old law.</w:t>
      </w:r>
    </w:p>
    <w:p w:rsidR="00A80692" w:rsidRPr="00A9469D" w:rsidRDefault="001B59A4" w:rsidP="00A9469D">
      <w:pPr>
        <w:pStyle w:val="ItemHead"/>
      </w:pPr>
      <w:r w:rsidRPr="00A9469D">
        <w:t>20</w:t>
      </w:r>
      <w:r w:rsidR="00A80692" w:rsidRPr="00A9469D">
        <w:t xml:space="preserve">  </w:t>
      </w:r>
      <w:r w:rsidR="00CD6057" w:rsidRPr="00A9469D">
        <w:t>P</w:t>
      </w:r>
      <w:r w:rsidR="00A80692" w:rsidRPr="00A9469D">
        <w:t>ublication requirements for assessment statements</w:t>
      </w:r>
    </w:p>
    <w:p w:rsidR="00A80692" w:rsidRPr="00A9469D" w:rsidRDefault="0040387E" w:rsidP="00A9469D">
      <w:pPr>
        <w:pStyle w:val="Item"/>
      </w:pPr>
      <w:r w:rsidRPr="00A9469D">
        <w:t>Subsections</w:t>
      </w:r>
      <w:r w:rsidR="00A9469D" w:rsidRPr="00A9469D">
        <w:t> </w:t>
      </w:r>
      <w:r w:rsidRPr="00A9469D">
        <w:t>49</w:t>
      </w:r>
      <w:r w:rsidR="008B2078" w:rsidRPr="00A9469D">
        <w:t>(6</w:t>
      </w:r>
      <w:r w:rsidR="00A80692" w:rsidRPr="00A9469D">
        <w:t>)</w:t>
      </w:r>
      <w:r w:rsidR="002B1F2B" w:rsidRPr="00A9469D">
        <w:t>,</w:t>
      </w:r>
      <w:r w:rsidR="00A80692" w:rsidRPr="00A9469D">
        <w:t xml:space="preserve"> </w:t>
      </w:r>
      <w:r w:rsidRPr="00A9469D">
        <w:t>50</w:t>
      </w:r>
      <w:r w:rsidR="008B2078" w:rsidRPr="00A9469D">
        <w:t>(8</w:t>
      </w:r>
      <w:r w:rsidR="00A80692" w:rsidRPr="00A9469D">
        <w:t xml:space="preserve">) </w:t>
      </w:r>
      <w:r w:rsidR="002B1F2B" w:rsidRPr="00A9469D">
        <w:t xml:space="preserve">and 52(7) </w:t>
      </w:r>
      <w:r w:rsidR="00A80692" w:rsidRPr="00A9469D">
        <w:t xml:space="preserve">of the new law do not apply in relation to an assessment certificate that is taken to have been issued </w:t>
      </w:r>
      <w:r w:rsidR="00314E75" w:rsidRPr="00A9469D">
        <w:t xml:space="preserve">under the new law </w:t>
      </w:r>
      <w:r w:rsidR="00A80692" w:rsidRPr="00A9469D">
        <w:t>in accordance with item</w:t>
      </w:r>
      <w:r w:rsidR="00A9469D" w:rsidRPr="00A9469D">
        <w:t> </w:t>
      </w:r>
      <w:r w:rsidR="001B59A4" w:rsidRPr="00A9469D">
        <w:t>19</w:t>
      </w:r>
      <w:r w:rsidR="00A80692" w:rsidRPr="00A9469D">
        <w:t>.</w:t>
      </w:r>
    </w:p>
    <w:p w:rsidR="00E44C20" w:rsidRPr="00A9469D" w:rsidRDefault="001B59A4" w:rsidP="00A9469D">
      <w:pPr>
        <w:pStyle w:val="ItemHead"/>
      </w:pPr>
      <w:r w:rsidRPr="00A9469D">
        <w:lastRenderedPageBreak/>
        <w:t>21</w:t>
      </w:r>
      <w:r w:rsidR="00E44C20" w:rsidRPr="00A9469D">
        <w:t xml:space="preserve">  Pending applications for </w:t>
      </w:r>
      <w:r w:rsidR="00C21AC0" w:rsidRPr="00A9469D">
        <w:t>low</w:t>
      </w:r>
      <w:r w:rsidR="00E44C20" w:rsidRPr="00A9469D">
        <w:t xml:space="preserve"> </w:t>
      </w:r>
      <w:r w:rsidR="00C21AC0" w:rsidRPr="00A9469D">
        <w:t>volume</w:t>
      </w:r>
      <w:r w:rsidR="00E44C20" w:rsidRPr="00A9469D">
        <w:t xml:space="preserve"> </w:t>
      </w:r>
      <w:r w:rsidR="00C21AC0" w:rsidRPr="00A9469D">
        <w:t>permits</w:t>
      </w:r>
    </w:p>
    <w:p w:rsidR="00E44C20" w:rsidRPr="00A9469D" w:rsidRDefault="00E44C20" w:rsidP="00A9469D">
      <w:pPr>
        <w:pStyle w:val="Subitem"/>
      </w:pPr>
      <w:r w:rsidRPr="00A9469D">
        <w:t>(1)</w:t>
      </w:r>
      <w:r w:rsidRPr="00A9469D">
        <w:tab/>
        <w:t>This item applies in relation to an application, if:</w:t>
      </w:r>
    </w:p>
    <w:p w:rsidR="0095429B" w:rsidRPr="00370DEB" w:rsidRDefault="0095429B" w:rsidP="0095429B">
      <w:pPr>
        <w:pStyle w:val="paragraph"/>
      </w:pPr>
      <w:r w:rsidRPr="00370DEB">
        <w:tab/>
        <w:t>(a)</w:t>
      </w:r>
      <w:r w:rsidRPr="00370DEB">
        <w:tab/>
        <w:t>the application is for a low volume permit in respect of an industrial chemical under subsection 21R(1) of the old law; and</w:t>
      </w:r>
    </w:p>
    <w:p w:rsidR="00E44C20" w:rsidRPr="00A9469D" w:rsidRDefault="00B34EF0" w:rsidP="00A9469D">
      <w:pPr>
        <w:pStyle w:val="paragraph"/>
      </w:pPr>
      <w:r w:rsidRPr="00A9469D">
        <w:tab/>
        <w:t>(b</w:t>
      </w:r>
      <w:r w:rsidR="00E44C20" w:rsidRPr="00A9469D">
        <w:t>)</w:t>
      </w:r>
      <w:r w:rsidR="00E44C20" w:rsidRPr="00A9469D">
        <w:tab/>
        <w:t xml:space="preserve">the application is pending immediately before </w:t>
      </w:r>
      <w:r w:rsidR="002031C6">
        <w:t>1 July 2020</w:t>
      </w:r>
      <w:r w:rsidR="00E44C20" w:rsidRPr="00A9469D">
        <w:t>.</w:t>
      </w:r>
    </w:p>
    <w:p w:rsidR="00FF42FF" w:rsidRPr="00A9469D" w:rsidRDefault="00E44C20" w:rsidP="00A9469D">
      <w:pPr>
        <w:pStyle w:val="Subitem"/>
      </w:pPr>
      <w:r w:rsidRPr="00A9469D">
        <w:t>(2)</w:t>
      </w:r>
      <w:r w:rsidRPr="00A9469D">
        <w:tab/>
        <w:t xml:space="preserve">For the purposes of the new law, subject to </w:t>
      </w:r>
      <w:r w:rsidR="00C321EF" w:rsidRPr="00A9469D">
        <w:t xml:space="preserve">this Part and </w:t>
      </w:r>
      <w:r w:rsidRPr="00A9469D">
        <w:t>any modifications presc</w:t>
      </w:r>
      <w:r w:rsidR="00AD69B7" w:rsidRPr="00A9469D">
        <w:t>ribed by the transitional rules</w:t>
      </w:r>
      <w:r w:rsidR="00FF42FF" w:rsidRPr="00A9469D">
        <w:t>:</w:t>
      </w:r>
    </w:p>
    <w:p w:rsidR="00E44C20" w:rsidRPr="00A9469D" w:rsidRDefault="00FF42FF" w:rsidP="00A9469D">
      <w:pPr>
        <w:pStyle w:val="paragraph"/>
      </w:pPr>
      <w:r w:rsidRPr="00A9469D">
        <w:tab/>
        <w:t>(a)</w:t>
      </w:r>
      <w:r w:rsidRPr="00A9469D">
        <w:tab/>
      </w:r>
      <w:r w:rsidR="00E44C20" w:rsidRPr="00A9469D">
        <w:t xml:space="preserve">the application has effect, on and after </w:t>
      </w:r>
      <w:r w:rsidR="002031C6">
        <w:t>1 July 2020</w:t>
      </w:r>
      <w:r w:rsidR="00E44C20" w:rsidRPr="00A9469D">
        <w:t xml:space="preserve">, as if it were an application </w:t>
      </w:r>
      <w:r w:rsidR="009D3A98" w:rsidRPr="00A9469D">
        <w:t>for an assessment certificate for the introduction of the industrial</w:t>
      </w:r>
      <w:r w:rsidR="0040387E" w:rsidRPr="00A9469D">
        <w:t xml:space="preserve"> chemical made under section</w:t>
      </w:r>
      <w:r w:rsidR="00A9469D" w:rsidRPr="00A9469D">
        <w:t> </w:t>
      </w:r>
      <w:r w:rsidR="0040387E" w:rsidRPr="00A9469D">
        <w:t>31</w:t>
      </w:r>
      <w:r w:rsidR="009D3A98" w:rsidRPr="00A9469D">
        <w:t xml:space="preserve"> of the new law</w:t>
      </w:r>
      <w:r w:rsidRPr="00A9469D">
        <w:t>; and</w:t>
      </w:r>
    </w:p>
    <w:p w:rsidR="00FF42FF" w:rsidRPr="00A9469D" w:rsidRDefault="00FF42FF" w:rsidP="00A9469D">
      <w:pPr>
        <w:pStyle w:val="paragraph"/>
      </w:pPr>
      <w:r w:rsidRPr="00A9469D">
        <w:tab/>
        <w:t>(b)</w:t>
      </w:r>
      <w:r w:rsidRPr="00A9469D">
        <w:tab/>
        <w:t>if the assessment c</w:t>
      </w:r>
      <w:r w:rsidR="0040387E" w:rsidRPr="00A9469D">
        <w:t>ertificate is issued—section</w:t>
      </w:r>
      <w:r w:rsidR="00A9469D" w:rsidRPr="00A9469D">
        <w:t> </w:t>
      </w:r>
      <w:r w:rsidR="0040387E" w:rsidRPr="00A9469D">
        <w:t>39</w:t>
      </w:r>
      <w:r w:rsidRPr="00A9469D">
        <w:t xml:space="preserve"> of the new law applies</w:t>
      </w:r>
      <w:r w:rsidR="003E2872" w:rsidRPr="00A9469D">
        <w:t xml:space="preserve"> in relation to the assessment certificate</w:t>
      </w:r>
      <w:r w:rsidRPr="00A9469D">
        <w:t xml:space="preserve"> as if that section expressly limited the </w:t>
      </w:r>
      <w:r w:rsidR="00C72D0D" w:rsidRPr="00A9469D">
        <w:t xml:space="preserve">period for which the </w:t>
      </w:r>
      <w:r w:rsidRPr="00A9469D">
        <w:t xml:space="preserve">assessment certificate </w:t>
      </w:r>
      <w:r w:rsidR="00C72D0D" w:rsidRPr="00A9469D">
        <w:t xml:space="preserve">is in force </w:t>
      </w:r>
      <w:r w:rsidRPr="00A9469D">
        <w:t xml:space="preserve">to </w:t>
      </w:r>
      <w:r w:rsidR="003E2872" w:rsidRPr="00A9469D">
        <w:t xml:space="preserve">the </w:t>
      </w:r>
      <w:r w:rsidRPr="00A9469D">
        <w:t>period of 3 years beginning the day the assessment certificate is issued</w:t>
      </w:r>
      <w:r w:rsidR="00E127C1" w:rsidRPr="00A9469D">
        <w:t xml:space="preserve"> under the new law</w:t>
      </w:r>
      <w:r w:rsidRPr="00A9469D">
        <w:t>.</w:t>
      </w:r>
    </w:p>
    <w:p w:rsidR="00314E75" w:rsidRPr="00A9469D" w:rsidRDefault="001B59A4" w:rsidP="00A9469D">
      <w:pPr>
        <w:pStyle w:val="ItemHead"/>
      </w:pPr>
      <w:r w:rsidRPr="00A9469D">
        <w:t>22</w:t>
      </w:r>
      <w:r w:rsidR="00314E75" w:rsidRPr="00A9469D">
        <w:t xml:space="preserve">  </w:t>
      </w:r>
      <w:r w:rsidR="005612DB" w:rsidRPr="00A9469D">
        <w:t>C</w:t>
      </w:r>
      <w:r w:rsidR="00314E75" w:rsidRPr="00A9469D">
        <w:t>onsultation required with prescribed bodies</w:t>
      </w:r>
    </w:p>
    <w:p w:rsidR="00314E75" w:rsidRPr="00A9469D" w:rsidRDefault="00314E75" w:rsidP="00A9469D">
      <w:pPr>
        <w:pStyle w:val="Item"/>
      </w:pPr>
      <w:r w:rsidRPr="00A9469D">
        <w:t>Section</w:t>
      </w:r>
      <w:r w:rsidR="00A9469D" w:rsidRPr="00A9469D">
        <w:t> </w:t>
      </w:r>
      <w:r w:rsidR="0040387E" w:rsidRPr="00A9469D">
        <w:t>34</w:t>
      </w:r>
      <w:r w:rsidRPr="00A9469D">
        <w:t xml:space="preserve"> of the new law do</w:t>
      </w:r>
      <w:r w:rsidR="002B1F2B" w:rsidRPr="00A9469D">
        <w:t>es</w:t>
      </w:r>
      <w:r w:rsidRPr="00A9469D">
        <w:t xml:space="preserve"> not apply in relation to an application for an assessment certificate that is taken to have been </w:t>
      </w:r>
      <w:r w:rsidR="00571E4A" w:rsidRPr="00A9469D">
        <w:t>made</w:t>
      </w:r>
      <w:r w:rsidRPr="00A9469D">
        <w:t xml:space="preserve"> under the new law in accordance with item</w:t>
      </w:r>
      <w:r w:rsidR="00A9469D" w:rsidRPr="00A9469D">
        <w:t> </w:t>
      </w:r>
      <w:r w:rsidR="001B59A4" w:rsidRPr="00A9469D">
        <w:t>21</w:t>
      </w:r>
      <w:r w:rsidRPr="00A9469D">
        <w:t>.</w:t>
      </w:r>
    </w:p>
    <w:p w:rsidR="0052256E" w:rsidRPr="00A9469D" w:rsidRDefault="001B59A4" w:rsidP="00A9469D">
      <w:pPr>
        <w:pStyle w:val="ItemHead"/>
      </w:pPr>
      <w:r w:rsidRPr="00A9469D">
        <w:t>23</w:t>
      </w:r>
      <w:r w:rsidR="0052256E" w:rsidRPr="00A9469D">
        <w:t xml:space="preserve">  Conditions on assessment certificate</w:t>
      </w:r>
    </w:p>
    <w:p w:rsidR="00552535" w:rsidRPr="00A9469D" w:rsidRDefault="0040387E" w:rsidP="00A9469D">
      <w:pPr>
        <w:pStyle w:val="Item"/>
      </w:pPr>
      <w:r w:rsidRPr="00A9469D">
        <w:t>Subsection</w:t>
      </w:r>
      <w:r w:rsidR="00A9469D" w:rsidRPr="00A9469D">
        <w:t> </w:t>
      </w:r>
      <w:r w:rsidRPr="00A9469D">
        <w:t>38</w:t>
      </w:r>
      <w:r w:rsidR="0052256E" w:rsidRPr="00A9469D">
        <w:t>(2) of the new law does not apply in relation to an assessment certificate that</w:t>
      </w:r>
      <w:r w:rsidR="00552535" w:rsidRPr="00A9469D">
        <w:t>:</w:t>
      </w:r>
    </w:p>
    <w:p w:rsidR="00552535" w:rsidRPr="00A9469D" w:rsidRDefault="00552535" w:rsidP="00A9469D">
      <w:pPr>
        <w:pStyle w:val="paragraph"/>
      </w:pPr>
      <w:r w:rsidRPr="00A9469D">
        <w:tab/>
        <w:t>(a)</w:t>
      </w:r>
      <w:r w:rsidRPr="00A9469D">
        <w:tab/>
      </w:r>
      <w:r w:rsidR="0052256E" w:rsidRPr="00A9469D">
        <w:t>is taken to have been issued</w:t>
      </w:r>
      <w:r w:rsidR="00314E75" w:rsidRPr="00A9469D">
        <w:t xml:space="preserve"> under the new law</w:t>
      </w:r>
      <w:r w:rsidR="0052256E" w:rsidRPr="00A9469D">
        <w:t xml:space="preserve"> in accordance with item</w:t>
      </w:r>
      <w:r w:rsidR="00A9469D" w:rsidRPr="00A9469D">
        <w:t> </w:t>
      </w:r>
      <w:r w:rsidR="001B59A4" w:rsidRPr="00A9469D">
        <w:t>19</w:t>
      </w:r>
      <w:r w:rsidRPr="00A9469D">
        <w:t>; or</w:t>
      </w:r>
    </w:p>
    <w:p w:rsidR="000F6B9F" w:rsidRPr="00A9469D" w:rsidRDefault="00552535" w:rsidP="00A9469D">
      <w:pPr>
        <w:pStyle w:val="paragraph"/>
      </w:pPr>
      <w:r w:rsidRPr="00A9469D">
        <w:tab/>
        <w:t>(b)</w:t>
      </w:r>
      <w:r w:rsidRPr="00A9469D">
        <w:tab/>
        <w:t>is issued under the new law in accordance with item</w:t>
      </w:r>
      <w:r w:rsidR="00A9469D" w:rsidRPr="00A9469D">
        <w:t> </w:t>
      </w:r>
      <w:r w:rsidRPr="00A9469D">
        <w:t>21</w:t>
      </w:r>
      <w:r w:rsidR="007444B5" w:rsidRPr="00A9469D">
        <w:t>.</w:t>
      </w:r>
    </w:p>
    <w:p w:rsidR="00C32341" w:rsidRPr="00A9469D" w:rsidRDefault="001B59A4" w:rsidP="00A9469D">
      <w:pPr>
        <w:pStyle w:val="ItemHead"/>
      </w:pPr>
      <w:r w:rsidRPr="00A9469D">
        <w:t>24</w:t>
      </w:r>
      <w:r w:rsidR="00C32341" w:rsidRPr="00A9469D">
        <w:t xml:space="preserve">  Publication requirements for assessment statements</w:t>
      </w:r>
    </w:p>
    <w:p w:rsidR="00C32341" w:rsidRPr="00A9469D" w:rsidRDefault="0040387E" w:rsidP="00A9469D">
      <w:pPr>
        <w:pStyle w:val="Item"/>
      </w:pPr>
      <w:r w:rsidRPr="00A9469D">
        <w:t>Subsection</w:t>
      </w:r>
      <w:r w:rsidR="00A9469D" w:rsidRPr="00A9469D">
        <w:t> </w:t>
      </w:r>
      <w:r w:rsidRPr="00A9469D">
        <w:t>37</w:t>
      </w:r>
      <w:r w:rsidR="00CB1DC3" w:rsidRPr="00A9469D">
        <w:t>(7</w:t>
      </w:r>
      <w:r w:rsidR="00C32341" w:rsidRPr="00A9469D">
        <w:t>) of the new law does not apply in relation to an assessment certificate that is issued under the new law in accordanc</w:t>
      </w:r>
      <w:r w:rsidR="00B00E0D" w:rsidRPr="00A9469D">
        <w:t>e with item</w:t>
      </w:r>
      <w:r w:rsidR="00A9469D" w:rsidRPr="00A9469D">
        <w:t> </w:t>
      </w:r>
      <w:r w:rsidR="001B59A4" w:rsidRPr="00A9469D">
        <w:t>21</w:t>
      </w:r>
      <w:r w:rsidR="00C32341" w:rsidRPr="00A9469D">
        <w:t>.</w:t>
      </w:r>
    </w:p>
    <w:p w:rsidR="00E600F2" w:rsidRPr="00A9469D" w:rsidRDefault="001B59A4" w:rsidP="00A9469D">
      <w:pPr>
        <w:pStyle w:val="ItemHead"/>
      </w:pPr>
      <w:r w:rsidRPr="00A9469D">
        <w:lastRenderedPageBreak/>
        <w:t>25</w:t>
      </w:r>
      <w:r w:rsidR="00E600F2" w:rsidRPr="00A9469D">
        <w:t xml:space="preserve">  </w:t>
      </w:r>
      <w:r w:rsidR="008B2078" w:rsidRPr="00A9469D">
        <w:t>L</w:t>
      </w:r>
      <w:r w:rsidR="00E600F2" w:rsidRPr="00A9469D">
        <w:t>isting on Inventory for low volume permits</w:t>
      </w:r>
    </w:p>
    <w:p w:rsidR="00593D67" w:rsidRPr="00A9469D" w:rsidRDefault="0040387E" w:rsidP="00A9469D">
      <w:pPr>
        <w:pStyle w:val="Item"/>
      </w:pPr>
      <w:r w:rsidRPr="00A9469D">
        <w:t>Section</w:t>
      </w:r>
      <w:r w:rsidR="00A9469D" w:rsidRPr="00A9469D">
        <w:t> </w:t>
      </w:r>
      <w:r w:rsidRPr="00A9469D">
        <w:t>83</w:t>
      </w:r>
      <w:r w:rsidR="00E600F2" w:rsidRPr="00A9469D">
        <w:t xml:space="preserve"> of the new law does not apply in relation to</w:t>
      </w:r>
      <w:r w:rsidR="00593D67" w:rsidRPr="00A9469D">
        <w:t xml:space="preserve"> an assessment certificate that:</w:t>
      </w:r>
    </w:p>
    <w:p w:rsidR="00593D67" w:rsidRPr="00A9469D" w:rsidRDefault="00593D67" w:rsidP="00A9469D">
      <w:pPr>
        <w:pStyle w:val="paragraph"/>
      </w:pPr>
      <w:r w:rsidRPr="00A9469D">
        <w:tab/>
        <w:t>(a)</w:t>
      </w:r>
      <w:r w:rsidRPr="00A9469D">
        <w:tab/>
      </w:r>
      <w:r w:rsidR="00E600F2" w:rsidRPr="00A9469D">
        <w:t xml:space="preserve">is taken to have been issued </w:t>
      </w:r>
      <w:r w:rsidR="00314E75" w:rsidRPr="00A9469D">
        <w:t xml:space="preserve">under the new law </w:t>
      </w:r>
      <w:r w:rsidR="00E600F2" w:rsidRPr="00A9469D">
        <w:t>in accordance with item</w:t>
      </w:r>
      <w:r w:rsidR="00A9469D" w:rsidRPr="00A9469D">
        <w:t> </w:t>
      </w:r>
      <w:r w:rsidR="001B59A4" w:rsidRPr="00A9469D">
        <w:t>19</w:t>
      </w:r>
      <w:r w:rsidRPr="00A9469D">
        <w:t xml:space="preserve">; </w:t>
      </w:r>
      <w:r w:rsidR="001B59A4" w:rsidRPr="00A9469D">
        <w:t>or</w:t>
      </w:r>
    </w:p>
    <w:p w:rsidR="00E600F2" w:rsidRPr="00A9469D" w:rsidRDefault="00593D67" w:rsidP="00A9469D">
      <w:pPr>
        <w:pStyle w:val="paragraph"/>
      </w:pPr>
      <w:r w:rsidRPr="00A9469D">
        <w:tab/>
        <w:t>(b)</w:t>
      </w:r>
      <w:r w:rsidRPr="00A9469D">
        <w:tab/>
        <w:t>is issued under the new law in accordance with item</w:t>
      </w:r>
      <w:r w:rsidR="00A9469D" w:rsidRPr="00A9469D">
        <w:t> </w:t>
      </w:r>
      <w:r w:rsidR="001B59A4" w:rsidRPr="00A9469D">
        <w:t>21</w:t>
      </w:r>
      <w:r w:rsidR="00E600F2" w:rsidRPr="00A9469D">
        <w:t>.</w:t>
      </w:r>
    </w:p>
    <w:p w:rsidR="00152FAD" w:rsidRPr="00A9469D" w:rsidRDefault="00152FAD" w:rsidP="00A9469D">
      <w:pPr>
        <w:pStyle w:val="ActHead8"/>
      </w:pPr>
      <w:bookmarkStart w:id="27" w:name="_Toc3448256"/>
      <w:r w:rsidRPr="00A9469D">
        <w:t>Division</w:t>
      </w:r>
      <w:r w:rsidR="00A9469D" w:rsidRPr="00A9469D">
        <w:t> </w:t>
      </w:r>
      <w:r w:rsidRPr="00A9469D">
        <w:t>4—Controlled use permits</w:t>
      </w:r>
      <w:bookmarkEnd w:id="27"/>
    </w:p>
    <w:p w:rsidR="00415002" w:rsidRPr="00A9469D" w:rsidRDefault="001B59A4" w:rsidP="00A9469D">
      <w:pPr>
        <w:pStyle w:val="ItemHead"/>
      </w:pPr>
      <w:r w:rsidRPr="00A9469D">
        <w:t>26</w:t>
      </w:r>
      <w:r w:rsidR="00415002" w:rsidRPr="00A9469D">
        <w:t xml:space="preserve">  Controlled use permits</w:t>
      </w:r>
      <w:r w:rsidR="00EB4FB2" w:rsidRPr="00A9469D">
        <w:t xml:space="preserve"> issued under old law</w:t>
      </w:r>
    </w:p>
    <w:p w:rsidR="005772CB" w:rsidRPr="00A9469D" w:rsidRDefault="005772CB" w:rsidP="00A9469D">
      <w:pPr>
        <w:pStyle w:val="Subitem"/>
      </w:pPr>
      <w:r w:rsidRPr="00A9469D">
        <w:t>(1)</w:t>
      </w:r>
      <w:r w:rsidRPr="00A9469D">
        <w:tab/>
        <w:t xml:space="preserve">This item applies in relation to a controlled </w:t>
      </w:r>
      <w:r w:rsidR="00C71265" w:rsidRPr="00A9469D">
        <w:t>use</w:t>
      </w:r>
      <w:r w:rsidRPr="00A9469D">
        <w:t xml:space="preserve"> permit in respect of an industrial chemical that is in force under the old law immediately before </w:t>
      </w:r>
      <w:r w:rsidR="002031C6">
        <w:t>1 July 2020</w:t>
      </w:r>
      <w:r w:rsidRPr="00A9469D">
        <w:t>.</w:t>
      </w:r>
    </w:p>
    <w:p w:rsidR="005772CB" w:rsidRPr="00A9469D" w:rsidRDefault="005772CB" w:rsidP="00A9469D">
      <w:pPr>
        <w:pStyle w:val="Subitem"/>
      </w:pPr>
      <w:r w:rsidRPr="00A9469D">
        <w:t>(2)</w:t>
      </w:r>
      <w:r w:rsidRPr="00A9469D">
        <w:tab/>
        <w:t xml:space="preserve">For the purposes of the new law, subject to </w:t>
      </w:r>
      <w:r w:rsidR="00C321EF" w:rsidRPr="00A9469D">
        <w:t xml:space="preserve">this Part and </w:t>
      </w:r>
      <w:r w:rsidRPr="00A9469D">
        <w:t>any modifications prescribed by the transitional rules:</w:t>
      </w:r>
    </w:p>
    <w:p w:rsidR="005772CB" w:rsidRPr="00A9469D" w:rsidRDefault="005772CB" w:rsidP="00A9469D">
      <w:pPr>
        <w:pStyle w:val="paragraph"/>
      </w:pPr>
      <w:r w:rsidRPr="00A9469D">
        <w:tab/>
        <w:t>(a)</w:t>
      </w:r>
      <w:r w:rsidRPr="00A9469D">
        <w:tab/>
        <w:t xml:space="preserve">the </w:t>
      </w:r>
      <w:r w:rsidR="00C71265" w:rsidRPr="00A9469D">
        <w:t>controlled</w:t>
      </w:r>
      <w:r w:rsidRPr="00A9469D">
        <w:t xml:space="preserve"> </w:t>
      </w:r>
      <w:r w:rsidR="00C71265" w:rsidRPr="00A9469D">
        <w:t>use</w:t>
      </w:r>
      <w:r w:rsidRPr="00A9469D">
        <w:t xml:space="preserve"> permit is taken, on and after </w:t>
      </w:r>
      <w:r w:rsidR="002031C6">
        <w:t>1 July 2020</w:t>
      </w:r>
      <w:r w:rsidRPr="00A9469D">
        <w:t>, to be an assessment certificate issued for the industrial chemical under the new law; and</w:t>
      </w:r>
    </w:p>
    <w:p w:rsidR="005772CB" w:rsidRPr="00A9469D" w:rsidRDefault="005772CB" w:rsidP="00A9469D">
      <w:pPr>
        <w:pStyle w:val="paragraph"/>
      </w:pPr>
      <w:r w:rsidRPr="00A9469D">
        <w:tab/>
        <w:t>(b)</w:t>
      </w:r>
      <w:r w:rsidRPr="00A9469D">
        <w:tab/>
        <w:t xml:space="preserve">the person who was, immediately before </w:t>
      </w:r>
      <w:r w:rsidR="002031C6">
        <w:t>1 July 2020</w:t>
      </w:r>
      <w:r w:rsidRPr="00A9469D">
        <w:t xml:space="preserve">, the holder of the </w:t>
      </w:r>
      <w:r w:rsidR="00C71265" w:rsidRPr="00A9469D">
        <w:t>controlled use</w:t>
      </w:r>
      <w:r w:rsidRPr="00A9469D">
        <w:t xml:space="preserve"> permit is taken to be the holder of the assessment certificate</w:t>
      </w:r>
      <w:r w:rsidR="00F61963" w:rsidRPr="00A9469D">
        <w:t xml:space="preserve"> under the new law</w:t>
      </w:r>
      <w:r w:rsidRPr="00A9469D">
        <w:t>; and</w:t>
      </w:r>
    </w:p>
    <w:p w:rsidR="005772CB" w:rsidRPr="00A9469D" w:rsidRDefault="005772CB" w:rsidP="00A9469D">
      <w:pPr>
        <w:pStyle w:val="paragraph"/>
      </w:pPr>
      <w:r w:rsidRPr="00A9469D">
        <w:tab/>
        <w:t>(c)</w:t>
      </w:r>
      <w:r w:rsidRPr="00A9469D">
        <w:tab/>
        <w:t xml:space="preserve">the terms of the </w:t>
      </w:r>
      <w:r w:rsidR="00C71265" w:rsidRPr="00A9469D">
        <w:t>controlled</w:t>
      </w:r>
      <w:r w:rsidRPr="00A9469D">
        <w:t xml:space="preserve"> </w:t>
      </w:r>
      <w:r w:rsidR="00C71265" w:rsidRPr="00A9469D">
        <w:t xml:space="preserve">use </w:t>
      </w:r>
      <w:r w:rsidRPr="00A9469D">
        <w:t>permit under the old law are taken to be the terms of the assessment certificate under the new law; and</w:t>
      </w:r>
    </w:p>
    <w:p w:rsidR="00F04B8D" w:rsidRPr="00A9469D" w:rsidRDefault="00F04B8D" w:rsidP="00A9469D">
      <w:pPr>
        <w:pStyle w:val="paragraph"/>
      </w:pPr>
      <w:r w:rsidRPr="00A9469D">
        <w:tab/>
        <w:t>(d)</w:t>
      </w:r>
      <w:r w:rsidRPr="00A9469D">
        <w:tab/>
        <w:t>the condition the controlled use permit is subject to under subsection</w:t>
      </w:r>
      <w:r w:rsidR="00A9469D" w:rsidRPr="00A9469D">
        <w:t> </w:t>
      </w:r>
      <w:r w:rsidRPr="00A9469D">
        <w:t>22H(1) of the old law is taken to be a condition to which the assessment certificat</w:t>
      </w:r>
      <w:r w:rsidR="0040387E" w:rsidRPr="00A9469D">
        <w:t>e is subject under paragraph</w:t>
      </w:r>
      <w:r w:rsidR="00A9469D" w:rsidRPr="00A9469D">
        <w:t> </w:t>
      </w:r>
      <w:r w:rsidR="0040387E" w:rsidRPr="00A9469D">
        <w:t>38</w:t>
      </w:r>
      <w:r w:rsidRPr="00A9469D">
        <w:t>(1)(c) of the new law; and</w:t>
      </w:r>
    </w:p>
    <w:p w:rsidR="005772CB" w:rsidRPr="00A9469D" w:rsidRDefault="00F04B8D" w:rsidP="00A9469D">
      <w:pPr>
        <w:pStyle w:val="paragraph"/>
      </w:pPr>
      <w:r w:rsidRPr="00A9469D">
        <w:tab/>
        <w:t>(e</w:t>
      </w:r>
      <w:r w:rsidR="005772CB" w:rsidRPr="00A9469D">
        <w:t>)</w:t>
      </w:r>
      <w:r w:rsidR="005772CB" w:rsidRPr="00A9469D">
        <w:tab/>
        <w:t xml:space="preserve">the condition the </w:t>
      </w:r>
      <w:r w:rsidR="00C71265" w:rsidRPr="00A9469D">
        <w:t>controlled use</w:t>
      </w:r>
      <w:r w:rsidR="005772CB" w:rsidRPr="00A9469D">
        <w:t xml:space="preserve"> permit is subject to under </w:t>
      </w:r>
      <w:r w:rsidR="00BD74C7" w:rsidRPr="00A9469D">
        <w:t>subsection</w:t>
      </w:r>
      <w:r w:rsidR="00A9469D" w:rsidRPr="00A9469D">
        <w:t> </w:t>
      </w:r>
      <w:r w:rsidR="00BD74C7" w:rsidRPr="00A9469D">
        <w:t>22H(2)</w:t>
      </w:r>
      <w:r w:rsidR="005772CB" w:rsidRPr="00A9469D">
        <w:t xml:space="preserve"> of the old law </w:t>
      </w:r>
      <w:r w:rsidR="00BD74C7" w:rsidRPr="00A9469D">
        <w:t>is</w:t>
      </w:r>
      <w:r w:rsidR="005772CB" w:rsidRPr="00A9469D">
        <w:t xml:space="preserve"> taken to be </w:t>
      </w:r>
      <w:r w:rsidR="00BD74C7" w:rsidRPr="00A9469D">
        <w:t xml:space="preserve">a specific requirement </w:t>
      </w:r>
      <w:r w:rsidR="005772CB" w:rsidRPr="00A9469D">
        <w:t>to provide information to the Executive Director under par</w:t>
      </w:r>
      <w:r w:rsidR="0040387E" w:rsidRPr="00A9469D">
        <w:t>agraph</w:t>
      </w:r>
      <w:r w:rsidR="00A9469D" w:rsidRPr="00A9469D">
        <w:t> </w:t>
      </w:r>
      <w:r w:rsidR="0040387E" w:rsidRPr="00A9469D">
        <w:t>38</w:t>
      </w:r>
      <w:r w:rsidR="00B07A14" w:rsidRPr="00A9469D">
        <w:t>(1)(d) of the new law; and</w:t>
      </w:r>
    </w:p>
    <w:p w:rsidR="00B07A14" w:rsidRPr="00A9469D" w:rsidRDefault="0040387E" w:rsidP="00A9469D">
      <w:pPr>
        <w:pStyle w:val="paragraph"/>
      </w:pPr>
      <w:r w:rsidRPr="00A9469D">
        <w:tab/>
        <w:t>(f)</w:t>
      </w:r>
      <w:r w:rsidRPr="00A9469D">
        <w:tab/>
        <w:t>section</w:t>
      </w:r>
      <w:r w:rsidR="00A9469D" w:rsidRPr="00A9469D">
        <w:t> </w:t>
      </w:r>
      <w:r w:rsidRPr="00A9469D">
        <w:t>39</w:t>
      </w:r>
      <w:r w:rsidR="00B07A14" w:rsidRPr="00A9469D">
        <w:t xml:space="preserve"> of the new law applies </w:t>
      </w:r>
      <w:r w:rsidR="00571E4A" w:rsidRPr="00A9469D">
        <w:t xml:space="preserve">in relation to the assessment certificate </w:t>
      </w:r>
      <w:r w:rsidR="00B07A14" w:rsidRPr="00A9469D">
        <w:t xml:space="preserve">as if that section expressly limited the </w:t>
      </w:r>
      <w:r w:rsidR="00C72D0D" w:rsidRPr="00A9469D">
        <w:t xml:space="preserve">period for which </w:t>
      </w:r>
      <w:r w:rsidR="00B07A14" w:rsidRPr="00A9469D">
        <w:t xml:space="preserve">the assessment certificate </w:t>
      </w:r>
      <w:r w:rsidR="00C72D0D" w:rsidRPr="00A9469D">
        <w:t xml:space="preserve">is in force </w:t>
      </w:r>
      <w:r w:rsidR="00B07A14" w:rsidRPr="00A9469D">
        <w:t>to the remaining period for which the permit would have been in force under section</w:t>
      </w:r>
      <w:r w:rsidR="00A9469D" w:rsidRPr="00A9469D">
        <w:t> </w:t>
      </w:r>
      <w:r w:rsidR="00B07A14" w:rsidRPr="00A9469D">
        <w:t>22G of the old law.</w:t>
      </w:r>
    </w:p>
    <w:p w:rsidR="008D12CD" w:rsidRPr="00A9469D" w:rsidRDefault="001B59A4" w:rsidP="00A9469D">
      <w:pPr>
        <w:pStyle w:val="ItemHead"/>
      </w:pPr>
      <w:r w:rsidRPr="00A9469D">
        <w:lastRenderedPageBreak/>
        <w:t>27</w:t>
      </w:r>
      <w:r w:rsidR="008D12CD" w:rsidRPr="00A9469D">
        <w:t xml:space="preserve">  </w:t>
      </w:r>
      <w:r w:rsidR="00CD6057" w:rsidRPr="00A9469D">
        <w:t>P</w:t>
      </w:r>
      <w:r w:rsidR="008D12CD" w:rsidRPr="00A9469D">
        <w:t>ublication requirements for assessment statements</w:t>
      </w:r>
    </w:p>
    <w:p w:rsidR="008D12CD" w:rsidRPr="00A9469D" w:rsidRDefault="009C1C93" w:rsidP="00A9469D">
      <w:pPr>
        <w:pStyle w:val="Item"/>
      </w:pPr>
      <w:r w:rsidRPr="00A9469D">
        <w:t>Subsections</w:t>
      </w:r>
      <w:r w:rsidR="00A9469D" w:rsidRPr="00A9469D">
        <w:t> </w:t>
      </w:r>
      <w:r w:rsidRPr="00A9469D">
        <w:t>49(6</w:t>
      </w:r>
      <w:r w:rsidR="0040387E" w:rsidRPr="00A9469D">
        <w:t>)</w:t>
      </w:r>
      <w:r w:rsidR="00464A42" w:rsidRPr="00A9469D">
        <w:t xml:space="preserve">, </w:t>
      </w:r>
      <w:r w:rsidR="0040387E" w:rsidRPr="00A9469D">
        <w:t>50</w:t>
      </w:r>
      <w:r w:rsidRPr="00A9469D">
        <w:t>(8</w:t>
      </w:r>
      <w:r w:rsidR="008D12CD" w:rsidRPr="00A9469D">
        <w:t xml:space="preserve">) </w:t>
      </w:r>
      <w:r w:rsidR="00464A42" w:rsidRPr="00A9469D">
        <w:t xml:space="preserve">and 52(7) </w:t>
      </w:r>
      <w:r w:rsidR="008D12CD" w:rsidRPr="00A9469D">
        <w:t>of the new law do not apply in relation to an assessment certificate that is taken to have been issued</w:t>
      </w:r>
      <w:r w:rsidR="00314E75" w:rsidRPr="00A9469D">
        <w:t xml:space="preserve"> under the new law</w:t>
      </w:r>
      <w:r w:rsidR="008D12CD" w:rsidRPr="00A9469D">
        <w:t xml:space="preserve"> in accordance with item</w:t>
      </w:r>
      <w:r w:rsidR="00A9469D" w:rsidRPr="00A9469D">
        <w:t> </w:t>
      </w:r>
      <w:r w:rsidR="001B59A4" w:rsidRPr="00A9469D">
        <w:t>26</w:t>
      </w:r>
      <w:r w:rsidR="008D12CD" w:rsidRPr="00A9469D">
        <w:t>.</w:t>
      </w:r>
    </w:p>
    <w:p w:rsidR="00E44C20" w:rsidRPr="00A9469D" w:rsidRDefault="001B59A4" w:rsidP="00A9469D">
      <w:pPr>
        <w:pStyle w:val="ItemHead"/>
      </w:pPr>
      <w:r w:rsidRPr="00A9469D">
        <w:t>28</w:t>
      </w:r>
      <w:r w:rsidR="00E44C20" w:rsidRPr="00A9469D">
        <w:t xml:space="preserve">  Pending applications for </w:t>
      </w:r>
      <w:r w:rsidR="005772CB" w:rsidRPr="00A9469D">
        <w:t>controlled use permits</w:t>
      </w:r>
    </w:p>
    <w:p w:rsidR="00E44C20" w:rsidRPr="00A9469D" w:rsidRDefault="00E44C20" w:rsidP="00A9469D">
      <w:pPr>
        <w:pStyle w:val="Subitem"/>
      </w:pPr>
      <w:r w:rsidRPr="00A9469D">
        <w:t>(1)</w:t>
      </w:r>
      <w:r w:rsidRPr="00A9469D">
        <w:tab/>
        <w:t>This item applies in relation to an application, if:</w:t>
      </w:r>
    </w:p>
    <w:p w:rsidR="002031C6" w:rsidRPr="00370DEB" w:rsidRDefault="002031C6" w:rsidP="002031C6">
      <w:pPr>
        <w:pStyle w:val="paragraph"/>
      </w:pPr>
      <w:r w:rsidRPr="00370DEB">
        <w:tab/>
        <w:t>(a)</w:t>
      </w:r>
      <w:r w:rsidRPr="00370DEB">
        <w:tab/>
        <w:t>the application is for a controlled use permit in respect of an industrial chemical under subsection 22B(1) of the old law; and</w:t>
      </w:r>
    </w:p>
    <w:p w:rsidR="00E44C20" w:rsidRPr="00A9469D" w:rsidRDefault="00B34EF0" w:rsidP="00A9469D">
      <w:pPr>
        <w:pStyle w:val="paragraph"/>
      </w:pPr>
      <w:r w:rsidRPr="00A9469D">
        <w:tab/>
        <w:t>(b</w:t>
      </w:r>
      <w:r w:rsidR="00E44C20" w:rsidRPr="00A9469D">
        <w:t>)</w:t>
      </w:r>
      <w:r w:rsidR="00E44C20" w:rsidRPr="00A9469D">
        <w:tab/>
        <w:t xml:space="preserve">the application is pending immediately before </w:t>
      </w:r>
      <w:r w:rsidR="00A3008C">
        <w:t>1 July 2020</w:t>
      </w:r>
      <w:r w:rsidR="00E44C20" w:rsidRPr="00A9469D">
        <w:t>.</w:t>
      </w:r>
    </w:p>
    <w:p w:rsidR="00FF42FF" w:rsidRPr="00A9469D" w:rsidRDefault="00E44C20" w:rsidP="00A9469D">
      <w:pPr>
        <w:pStyle w:val="Subitem"/>
      </w:pPr>
      <w:r w:rsidRPr="00A9469D">
        <w:t>(2)</w:t>
      </w:r>
      <w:r w:rsidRPr="00A9469D">
        <w:tab/>
        <w:t xml:space="preserve">For the purposes of the new law, subject to </w:t>
      </w:r>
      <w:r w:rsidR="00C321EF" w:rsidRPr="00A9469D">
        <w:t xml:space="preserve">this Part and </w:t>
      </w:r>
      <w:r w:rsidRPr="00A9469D">
        <w:t>any modifications presc</w:t>
      </w:r>
      <w:r w:rsidR="00F9293B" w:rsidRPr="00A9469D">
        <w:t>ribed by the transitional rules</w:t>
      </w:r>
      <w:r w:rsidR="00FF42FF" w:rsidRPr="00A9469D">
        <w:t>:</w:t>
      </w:r>
    </w:p>
    <w:p w:rsidR="00E44C20" w:rsidRPr="00A9469D" w:rsidRDefault="00FF42FF" w:rsidP="00A9469D">
      <w:pPr>
        <w:pStyle w:val="paragraph"/>
      </w:pPr>
      <w:r w:rsidRPr="00A9469D">
        <w:tab/>
        <w:t>(a)</w:t>
      </w:r>
      <w:r w:rsidRPr="00A9469D">
        <w:tab/>
      </w:r>
      <w:r w:rsidR="00E44C20" w:rsidRPr="00A9469D">
        <w:t xml:space="preserve">the application has effect, on and after </w:t>
      </w:r>
      <w:r w:rsidR="00A3008C">
        <w:t>1 July 2020</w:t>
      </w:r>
      <w:r w:rsidR="00E44C20" w:rsidRPr="00A9469D">
        <w:t>, as if it were an application</w:t>
      </w:r>
      <w:r w:rsidR="00E141F6" w:rsidRPr="00A9469D">
        <w:t xml:space="preserve"> for an assessment certificate for the introduction of the industrial chemical</w:t>
      </w:r>
      <w:r w:rsidR="00E44C20" w:rsidRPr="00A9469D">
        <w:t xml:space="preserve"> made u</w:t>
      </w:r>
      <w:r w:rsidR="0040387E" w:rsidRPr="00A9469D">
        <w:t>nder section</w:t>
      </w:r>
      <w:r w:rsidR="00A9469D" w:rsidRPr="00A9469D">
        <w:t> </w:t>
      </w:r>
      <w:r w:rsidR="0040387E" w:rsidRPr="00A9469D">
        <w:t>31</w:t>
      </w:r>
      <w:r w:rsidRPr="00A9469D">
        <w:t xml:space="preserve"> of the new law; and</w:t>
      </w:r>
    </w:p>
    <w:p w:rsidR="00FF42FF" w:rsidRPr="00A9469D" w:rsidRDefault="00FF42FF" w:rsidP="00A9469D">
      <w:pPr>
        <w:pStyle w:val="paragraph"/>
      </w:pPr>
      <w:r w:rsidRPr="00A9469D">
        <w:tab/>
        <w:t>(b)</w:t>
      </w:r>
      <w:r w:rsidRPr="00A9469D">
        <w:tab/>
        <w:t>if the assessment c</w:t>
      </w:r>
      <w:r w:rsidR="0040387E" w:rsidRPr="00A9469D">
        <w:t>ertificate is issued—section</w:t>
      </w:r>
      <w:r w:rsidR="00A9469D" w:rsidRPr="00A9469D">
        <w:t> </w:t>
      </w:r>
      <w:r w:rsidR="0040387E" w:rsidRPr="00A9469D">
        <w:t>39</w:t>
      </w:r>
      <w:r w:rsidRPr="00A9469D">
        <w:t xml:space="preserve"> of the new law applies </w:t>
      </w:r>
      <w:r w:rsidR="001A5598" w:rsidRPr="00A9469D">
        <w:t xml:space="preserve">in relation to the assessment certificate </w:t>
      </w:r>
      <w:r w:rsidRPr="00A9469D">
        <w:t xml:space="preserve">as if that section expressly limited the </w:t>
      </w:r>
      <w:r w:rsidR="00417AE5" w:rsidRPr="00A9469D">
        <w:t xml:space="preserve">period for which the </w:t>
      </w:r>
      <w:r w:rsidRPr="00A9469D">
        <w:t xml:space="preserve">assessment certificate </w:t>
      </w:r>
      <w:r w:rsidR="00417AE5" w:rsidRPr="00A9469D">
        <w:t xml:space="preserve">is in force </w:t>
      </w:r>
      <w:r w:rsidRPr="00A9469D">
        <w:t xml:space="preserve">to </w:t>
      </w:r>
      <w:r w:rsidR="00B20D80" w:rsidRPr="00A9469D">
        <w:t xml:space="preserve">the </w:t>
      </w:r>
      <w:r w:rsidRPr="00A9469D">
        <w:t>period of 3 years beginning the day the assessment certificate is issued</w:t>
      </w:r>
      <w:r w:rsidR="00F61963" w:rsidRPr="00A9469D">
        <w:t xml:space="preserve"> under the new law</w:t>
      </w:r>
      <w:r w:rsidRPr="00A9469D">
        <w:t>.</w:t>
      </w:r>
    </w:p>
    <w:p w:rsidR="001004E1" w:rsidRPr="00A9469D" w:rsidRDefault="001B59A4" w:rsidP="00A9469D">
      <w:pPr>
        <w:pStyle w:val="ItemHead"/>
      </w:pPr>
      <w:r w:rsidRPr="00A9469D">
        <w:t>29</w:t>
      </w:r>
      <w:r w:rsidR="001004E1" w:rsidRPr="00A9469D">
        <w:t xml:space="preserve">  </w:t>
      </w:r>
      <w:r w:rsidR="005612DB" w:rsidRPr="00A9469D">
        <w:t>C</w:t>
      </w:r>
      <w:r w:rsidR="001004E1" w:rsidRPr="00A9469D">
        <w:t>onsultation required with prescribed bodies</w:t>
      </w:r>
    </w:p>
    <w:p w:rsidR="001004E1" w:rsidRPr="00A9469D" w:rsidRDefault="00AF1651" w:rsidP="00A9469D">
      <w:pPr>
        <w:pStyle w:val="Item"/>
      </w:pPr>
      <w:r w:rsidRPr="00A9469D">
        <w:t>Section</w:t>
      </w:r>
      <w:r w:rsidR="00A9469D" w:rsidRPr="00A9469D">
        <w:t> </w:t>
      </w:r>
      <w:r w:rsidR="0040387E" w:rsidRPr="00A9469D">
        <w:t>34</w:t>
      </w:r>
      <w:r w:rsidRPr="00A9469D">
        <w:t xml:space="preserve"> </w:t>
      </w:r>
      <w:r w:rsidR="001004E1" w:rsidRPr="00A9469D">
        <w:t>of the new law do</w:t>
      </w:r>
      <w:r w:rsidRPr="00A9469D">
        <w:t>es</w:t>
      </w:r>
      <w:r w:rsidR="001004E1" w:rsidRPr="00A9469D">
        <w:t xml:space="preserve"> not apply in relation to an application for an assessment certificate that is taken to have been </w:t>
      </w:r>
      <w:r w:rsidR="00FC5A8E" w:rsidRPr="00A9469D">
        <w:t>made</w:t>
      </w:r>
      <w:r w:rsidR="001004E1" w:rsidRPr="00A9469D">
        <w:t xml:space="preserve"> under the new law in accordance with item</w:t>
      </w:r>
      <w:r w:rsidR="00A9469D" w:rsidRPr="00A9469D">
        <w:t> </w:t>
      </w:r>
      <w:r w:rsidR="001B59A4" w:rsidRPr="00A9469D">
        <w:t>28</w:t>
      </w:r>
      <w:r w:rsidR="001004E1" w:rsidRPr="00A9469D">
        <w:t>.</w:t>
      </w:r>
    </w:p>
    <w:p w:rsidR="00566FFE" w:rsidRPr="00A9469D" w:rsidRDefault="001B59A4" w:rsidP="00A9469D">
      <w:pPr>
        <w:pStyle w:val="ItemHead"/>
      </w:pPr>
      <w:r w:rsidRPr="00A9469D">
        <w:t>30</w:t>
      </w:r>
      <w:r w:rsidR="00566FFE" w:rsidRPr="00A9469D">
        <w:t xml:space="preserve">  Conditions on assessment certificate</w:t>
      </w:r>
    </w:p>
    <w:p w:rsidR="00BF3DD0" w:rsidRPr="00A9469D" w:rsidRDefault="0040387E" w:rsidP="00A9469D">
      <w:pPr>
        <w:pStyle w:val="Item"/>
      </w:pPr>
      <w:r w:rsidRPr="00A9469D">
        <w:t>Subsection</w:t>
      </w:r>
      <w:r w:rsidR="00A9469D" w:rsidRPr="00A9469D">
        <w:t> </w:t>
      </w:r>
      <w:r w:rsidRPr="00A9469D">
        <w:t>38</w:t>
      </w:r>
      <w:r w:rsidR="00566FFE" w:rsidRPr="00A9469D">
        <w:t>(2) of the new law does not apply in relation to an assessment certificate that</w:t>
      </w:r>
      <w:r w:rsidR="00BF3DD0" w:rsidRPr="00A9469D">
        <w:t>:</w:t>
      </w:r>
    </w:p>
    <w:p w:rsidR="00BF3DD0" w:rsidRPr="00A9469D" w:rsidRDefault="00BF3DD0" w:rsidP="00A9469D">
      <w:pPr>
        <w:pStyle w:val="paragraph"/>
      </w:pPr>
      <w:r w:rsidRPr="00A9469D">
        <w:tab/>
        <w:t>(a)</w:t>
      </w:r>
      <w:r w:rsidRPr="00A9469D">
        <w:tab/>
      </w:r>
      <w:r w:rsidR="00566FFE" w:rsidRPr="00A9469D">
        <w:t xml:space="preserve">is taken to have been </w:t>
      </w:r>
      <w:r w:rsidR="00FC5A8E" w:rsidRPr="00A9469D">
        <w:t>issued</w:t>
      </w:r>
      <w:r w:rsidR="00566FFE" w:rsidRPr="00A9469D">
        <w:t xml:space="preserve"> </w:t>
      </w:r>
      <w:r w:rsidR="00314E75" w:rsidRPr="00A9469D">
        <w:t xml:space="preserve">under the new law </w:t>
      </w:r>
      <w:r w:rsidR="00566FFE" w:rsidRPr="00A9469D">
        <w:t>in accordance with item</w:t>
      </w:r>
      <w:r w:rsidR="00A9469D" w:rsidRPr="00A9469D">
        <w:t> </w:t>
      </w:r>
      <w:r w:rsidR="001B59A4" w:rsidRPr="00A9469D">
        <w:t>26</w:t>
      </w:r>
      <w:r w:rsidRPr="00A9469D">
        <w:t>;</w:t>
      </w:r>
      <w:r w:rsidR="001B59A4" w:rsidRPr="00A9469D">
        <w:t xml:space="preserve"> or</w:t>
      </w:r>
    </w:p>
    <w:p w:rsidR="00566FFE" w:rsidRPr="00A9469D" w:rsidRDefault="00BF3DD0" w:rsidP="00A9469D">
      <w:pPr>
        <w:pStyle w:val="paragraph"/>
      </w:pPr>
      <w:r w:rsidRPr="00A9469D">
        <w:tab/>
        <w:t>(b)</w:t>
      </w:r>
      <w:r w:rsidRPr="00A9469D">
        <w:tab/>
        <w:t>is issued under the new law in accordance with item</w:t>
      </w:r>
      <w:r w:rsidR="00A9469D" w:rsidRPr="00A9469D">
        <w:t> </w:t>
      </w:r>
      <w:r w:rsidR="001B59A4" w:rsidRPr="00A9469D">
        <w:t>28</w:t>
      </w:r>
      <w:r w:rsidR="00566FFE" w:rsidRPr="00A9469D">
        <w:t>.</w:t>
      </w:r>
    </w:p>
    <w:p w:rsidR="00B00E0D" w:rsidRPr="00A9469D" w:rsidRDefault="001B59A4" w:rsidP="00A9469D">
      <w:pPr>
        <w:pStyle w:val="ItemHead"/>
      </w:pPr>
      <w:r w:rsidRPr="00A9469D">
        <w:lastRenderedPageBreak/>
        <w:t>31</w:t>
      </w:r>
      <w:r w:rsidR="00B00E0D" w:rsidRPr="00A9469D">
        <w:t xml:space="preserve">  Publication requirements for assessment statements</w:t>
      </w:r>
    </w:p>
    <w:p w:rsidR="00B00E0D" w:rsidRPr="00A9469D" w:rsidRDefault="0040387E" w:rsidP="00A9469D">
      <w:pPr>
        <w:pStyle w:val="Item"/>
      </w:pPr>
      <w:r w:rsidRPr="00A9469D">
        <w:t>Subsection</w:t>
      </w:r>
      <w:r w:rsidR="00A9469D" w:rsidRPr="00A9469D">
        <w:t> </w:t>
      </w:r>
      <w:r w:rsidRPr="00A9469D">
        <w:t>37</w:t>
      </w:r>
      <w:r w:rsidR="009C1C93" w:rsidRPr="00A9469D">
        <w:t>(7</w:t>
      </w:r>
      <w:r w:rsidR="00B00E0D" w:rsidRPr="00A9469D">
        <w:t>) of the new law does not apply in relation to an assessment certificate that is issued under the new law in accordance with item</w:t>
      </w:r>
      <w:r w:rsidR="00A9469D" w:rsidRPr="00A9469D">
        <w:t> </w:t>
      </w:r>
      <w:r w:rsidR="001B59A4" w:rsidRPr="00A9469D">
        <w:t>28</w:t>
      </w:r>
      <w:r w:rsidR="00B00E0D" w:rsidRPr="00A9469D">
        <w:t>.</w:t>
      </w:r>
    </w:p>
    <w:p w:rsidR="008D12CD" w:rsidRPr="00A9469D" w:rsidRDefault="001B59A4" w:rsidP="00A9469D">
      <w:pPr>
        <w:pStyle w:val="ItemHead"/>
      </w:pPr>
      <w:r w:rsidRPr="00A9469D">
        <w:t>32</w:t>
      </w:r>
      <w:r w:rsidR="008D12CD" w:rsidRPr="00A9469D">
        <w:t xml:space="preserve">  </w:t>
      </w:r>
      <w:r w:rsidR="008B2078" w:rsidRPr="00A9469D">
        <w:t>L</w:t>
      </w:r>
      <w:r w:rsidR="008D12CD" w:rsidRPr="00A9469D">
        <w:t>isting on Inventory for controlled use permits</w:t>
      </w:r>
    </w:p>
    <w:p w:rsidR="009D0359" w:rsidRPr="00A9469D" w:rsidRDefault="0040387E" w:rsidP="00A9469D">
      <w:pPr>
        <w:pStyle w:val="Item"/>
      </w:pPr>
      <w:r w:rsidRPr="00A9469D">
        <w:t>Section</w:t>
      </w:r>
      <w:r w:rsidR="00A9469D" w:rsidRPr="00A9469D">
        <w:t> </w:t>
      </w:r>
      <w:r w:rsidRPr="00A9469D">
        <w:t>83</w:t>
      </w:r>
      <w:r w:rsidR="008D12CD" w:rsidRPr="00A9469D">
        <w:t xml:space="preserve"> of the new law does not apply in relation to</w:t>
      </w:r>
      <w:r w:rsidR="009D0359" w:rsidRPr="00A9469D">
        <w:t xml:space="preserve"> an assessment certificate that:</w:t>
      </w:r>
    </w:p>
    <w:p w:rsidR="009D0359" w:rsidRPr="00A9469D" w:rsidRDefault="009D0359" w:rsidP="00A9469D">
      <w:pPr>
        <w:pStyle w:val="paragraph"/>
      </w:pPr>
      <w:r w:rsidRPr="00A9469D">
        <w:tab/>
        <w:t>(a)</w:t>
      </w:r>
      <w:r w:rsidRPr="00A9469D">
        <w:tab/>
      </w:r>
      <w:r w:rsidR="008D12CD" w:rsidRPr="00A9469D">
        <w:t xml:space="preserve">is </w:t>
      </w:r>
      <w:r w:rsidR="00314E75" w:rsidRPr="00A9469D">
        <w:t>taken to have been issued under the new law</w:t>
      </w:r>
      <w:r w:rsidR="008D12CD" w:rsidRPr="00A9469D">
        <w:t xml:space="preserve"> in accordance with item</w:t>
      </w:r>
      <w:r w:rsidR="00A9469D" w:rsidRPr="00A9469D">
        <w:t> </w:t>
      </w:r>
      <w:r w:rsidR="001B59A4" w:rsidRPr="00A9469D">
        <w:t>26</w:t>
      </w:r>
      <w:r w:rsidRPr="00A9469D">
        <w:t>; or</w:t>
      </w:r>
    </w:p>
    <w:p w:rsidR="008D12CD" w:rsidRPr="00A9469D" w:rsidRDefault="009D0359" w:rsidP="00A9469D">
      <w:pPr>
        <w:pStyle w:val="paragraph"/>
      </w:pPr>
      <w:r w:rsidRPr="00A9469D">
        <w:tab/>
        <w:t>(b)</w:t>
      </w:r>
      <w:r w:rsidRPr="00A9469D">
        <w:tab/>
        <w:t>is issued under the new law in accordance with item</w:t>
      </w:r>
      <w:r w:rsidR="00A9469D" w:rsidRPr="00A9469D">
        <w:t> </w:t>
      </w:r>
      <w:r w:rsidR="001B59A4" w:rsidRPr="00A9469D">
        <w:t>28</w:t>
      </w:r>
      <w:r w:rsidR="008D12CD" w:rsidRPr="00A9469D">
        <w:t>.</w:t>
      </w:r>
    </w:p>
    <w:p w:rsidR="00152FAD" w:rsidRPr="00A9469D" w:rsidRDefault="00152FAD" w:rsidP="00A9469D">
      <w:pPr>
        <w:pStyle w:val="ActHead8"/>
      </w:pPr>
      <w:bookmarkStart w:id="28" w:name="_Toc3448257"/>
      <w:r w:rsidRPr="00A9469D">
        <w:t>Division</w:t>
      </w:r>
      <w:r w:rsidR="00A9469D" w:rsidRPr="00A9469D">
        <w:t> </w:t>
      </w:r>
      <w:r w:rsidRPr="00A9469D">
        <w:t>5—Introductions under section</w:t>
      </w:r>
      <w:r w:rsidR="00A9469D" w:rsidRPr="00A9469D">
        <w:t> </w:t>
      </w:r>
      <w:r w:rsidRPr="00A9469D">
        <w:t>21 of old law</w:t>
      </w:r>
      <w:bookmarkEnd w:id="28"/>
    </w:p>
    <w:p w:rsidR="00FB2753" w:rsidRPr="00A9469D" w:rsidRDefault="001B59A4" w:rsidP="00A9469D">
      <w:pPr>
        <w:pStyle w:val="ItemHead"/>
      </w:pPr>
      <w:r w:rsidRPr="00A9469D">
        <w:t>33</w:t>
      </w:r>
      <w:r w:rsidR="00FB2753" w:rsidRPr="00A9469D">
        <w:t xml:space="preserve">  Introductions under section</w:t>
      </w:r>
      <w:r w:rsidR="00A9469D" w:rsidRPr="00A9469D">
        <w:t> </w:t>
      </w:r>
      <w:r w:rsidR="00FB2753" w:rsidRPr="00A9469D">
        <w:t>21 of old law</w:t>
      </w:r>
    </w:p>
    <w:p w:rsidR="00FB2753" w:rsidRPr="00A9469D" w:rsidRDefault="00FB2753" w:rsidP="00A9469D">
      <w:pPr>
        <w:pStyle w:val="Subitem"/>
      </w:pPr>
      <w:r w:rsidRPr="00A9469D">
        <w:t>(1)</w:t>
      </w:r>
      <w:r w:rsidRPr="00A9469D">
        <w:tab/>
        <w:t>This item applies in relation to the introduction of an industrial chemical if:</w:t>
      </w:r>
    </w:p>
    <w:p w:rsidR="00FB2753" w:rsidRPr="00A9469D" w:rsidRDefault="00FB2753" w:rsidP="00A9469D">
      <w:pPr>
        <w:pStyle w:val="paragraph"/>
      </w:pPr>
      <w:r w:rsidRPr="00A9469D">
        <w:tab/>
        <w:t>(a)</w:t>
      </w:r>
      <w:r w:rsidRPr="00A9469D">
        <w:tab/>
        <w:t>the industrial chemical was introduced in the registration year beginning on 1</w:t>
      </w:r>
      <w:r w:rsidR="00A9469D" w:rsidRPr="00A9469D">
        <w:t> </w:t>
      </w:r>
      <w:r w:rsidRPr="00A9469D">
        <w:t>September 201</w:t>
      </w:r>
      <w:r w:rsidR="00BF5D23">
        <w:t>9</w:t>
      </w:r>
      <w:r w:rsidRPr="00A9469D">
        <w:t xml:space="preserve"> under the old law;</w:t>
      </w:r>
      <w:r w:rsidR="005032F3" w:rsidRPr="00A9469D">
        <w:t xml:space="preserve"> and</w:t>
      </w:r>
    </w:p>
    <w:p w:rsidR="00FB2753" w:rsidRPr="00A9469D" w:rsidRDefault="00FB2753" w:rsidP="00A9469D">
      <w:pPr>
        <w:pStyle w:val="paragraph"/>
      </w:pPr>
      <w:r w:rsidRPr="00A9469D">
        <w:tab/>
        <w:t>(b)</w:t>
      </w:r>
      <w:r w:rsidRPr="00A9469D">
        <w:tab/>
        <w:t>the introduction was under paragraph</w:t>
      </w:r>
      <w:r w:rsidR="00A9469D" w:rsidRPr="00A9469D">
        <w:t> </w:t>
      </w:r>
      <w:r w:rsidRPr="00A9469D">
        <w:t xml:space="preserve">21(3)(b), </w:t>
      </w:r>
      <w:r w:rsidR="00A9469D" w:rsidRPr="00A9469D">
        <w:t>subsection (</w:t>
      </w:r>
      <w:r w:rsidR="00AB278B" w:rsidRPr="00A9469D">
        <w:t xml:space="preserve">4) or </w:t>
      </w:r>
      <w:r w:rsidR="00A9469D" w:rsidRPr="00A9469D">
        <w:t>paragraph (</w:t>
      </w:r>
      <w:r w:rsidR="00AB278B" w:rsidRPr="00A9469D">
        <w:t xml:space="preserve">6)(c) (the </w:t>
      </w:r>
      <w:r w:rsidR="00AB278B" w:rsidRPr="00A9469D">
        <w:rPr>
          <w:b/>
          <w:i/>
        </w:rPr>
        <w:t>authorising provisions</w:t>
      </w:r>
      <w:r w:rsidR="00AB278B" w:rsidRPr="00A9469D">
        <w:t>) of the old law; and</w:t>
      </w:r>
    </w:p>
    <w:p w:rsidR="00E251DA" w:rsidRPr="00A9469D" w:rsidRDefault="00AB278B" w:rsidP="00A9469D">
      <w:pPr>
        <w:pStyle w:val="paragraph"/>
      </w:pPr>
      <w:r w:rsidRPr="00A9469D">
        <w:tab/>
        <w:t>(c)</w:t>
      </w:r>
      <w:r w:rsidRPr="00A9469D">
        <w:tab/>
        <w:t>the introduction complies with</w:t>
      </w:r>
      <w:r w:rsidR="00E251DA" w:rsidRPr="00A9469D">
        <w:t>:</w:t>
      </w:r>
    </w:p>
    <w:p w:rsidR="00AB278B" w:rsidRPr="00A9469D" w:rsidRDefault="00E251DA" w:rsidP="00A9469D">
      <w:pPr>
        <w:pStyle w:val="paragraphsub"/>
      </w:pPr>
      <w:r w:rsidRPr="00A9469D">
        <w:tab/>
        <w:t>(</w:t>
      </w:r>
      <w:proofErr w:type="spellStart"/>
      <w:r w:rsidRPr="00A9469D">
        <w:t>i</w:t>
      </w:r>
      <w:proofErr w:type="spellEnd"/>
      <w:r w:rsidRPr="00A9469D">
        <w:t>)</w:t>
      </w:r>
      <w:r w:rsidRPr="00A9469D">
        <w:tab/>
      </w:r>
      <w:r w:rsidR="00AB278B" w:rsidRPr="00A9469D">
        <w:t xml:space="preserve">the requirements of the </w:t>
      </w:r>
      <w:r w:rsidR="00203FAB" w:rsidRPr="00A9469D">
        <w:t>relevant</w:t>
      </w:r>
      <w:r w:rsidR="00AB278B" w:rsidRPr="00A9469D">
        <w:t xml:space="preserve"> authorising provision</w:t>
      </w:r>
      <w:r w:rsidR="00A36679" w:rsidRPr="00A9469D">
        <w:t xml:space="preserve">, as if </w:t>
      </w:r>
      <w:r w:rsidR="00101FB0" w:rsidRPr="00A9469D">
        <w:t>the relevant provision</w:t>
      </w:r>
      <w:r w:rsidR="00A36679" w:rsidRPr="00A9469D">
        <w:t xml:space="preserve"> </w:t>
      </w:r>
      <w:r w:rsidR="00A21CD0" w:rsidRPr="00A9469D">
        <w:t>was</w:t>
      </w:r>
      <w:r w:rsidR="00A36679" w:rsidRPr="00A9469D">
        <w:t xml:space="preserve"> still in force</w:t>
      </w:r>
      <w:r w:rsidR="00AB278B" w:rsidRPr="00A9469D">
        <w:t>; and</w:t>
      </w:r>
    </w:p>
    <w:p w:rsidR="00E251DA" w:rsidRPr="00A9469D" w:rsidRDefault="00E251DA" w:rsidP="00A9469D">
      <w:pPr>
        <w:pStyle w:val="paragraphsub"/>
      </w:pPr>
      <w:r w:rsidRPr="00A9469D">
        <w:tab/>
        <w:t>(ii)</w:t>
      </w:r>
      <w:r w:rsidRPr="00A9469D">
        <w:tab/>
        <w:t xml:space="preserve">regulations made </w:t>
      </w:r>
      <w:r w:rsidR="0087261D" w:rsidRPr="00A9469D">
        <w:t>in relation to</w:t>
      </w:r>
      <w:r w:rsidRPr="00A9469D">
        <w:t xml:space="preserve"> the relevant authorising provision</w:t>
      </w:r>
      <w:r w:rsidR="00A21CD0" w:rsidRPr="00A9469D">
        <w:t>, as if those regulations</w:t>
      </w:r>
      <w:r w:rsidR="00A43654" w:rsidRPr="00A9469D">
        <w:t xml:space="preserve"> were still in force</w:t>
      </w:r>
      <w:r w:rsidRPr="00A9469D">
        <w:t>; and</w:t>
      </w:r>
    </w:p>
    <w:p w:rsidR="00AB278B" w:rsidRPr="00A9469D" w:rsidRDefault="00AB278B" w:rsidP="00A9469D">
      <w:pPr>
        <w:pStyle w:val="paragraph"/>
      </w:pPr>
      <w:r w:rsidRPr="00A9469D">
        <w:tab/>
        <w:t>(d)</w:t>
      </w:r>
      <w:r w:rsidRPr="00A9469D">
        <w:tab/>
        <w:t xml:space="preserve">the introduction is </w:t>
      </w:r>
      <w:r w:rsidR="001C1B44" w:rsidRPr="00A9469D">
        <w:t xml:space="preserve">made </w:t>
      </w:r>
      <w:r w:rsidRPr="00A9469D">
        <w:t xml:space="preserve">before </w:t>
      </w:r>
      <w:r w:rsidR="00BF5D23">
        <w:t>1 July 2021</w:t>
      </w:r>
      <w:r w:rsidRPr="00A9469D">
        <w:t>.</w:t>
      </w:r>
    </w:p>
    <w:p w:rsidR="00FB2753" w:rsidRPr="00A9469D" w:rsidRDefault="00FB2753" w:rsidP="00A9469D">
      <w:pPr>
        <w:pStyle w:val="Subitem"/>
      </w:pPr>
      <w:r w:rsidRPr="00A9469D">
        <w:t>(2)</w:t>
      </w:r>
      <w:r w:rsidRPr="00A9469D">
        <w:tab/>
      </w:r>
      <w:r w:rsidR="004F03FE" w:rsidRPr="00A9469D">
        <w:t>For the purposes of the new law</w:t>
      </w:r>
      <w:r w:rsidRPr="00A9469D">
        <w:t>, subject to any modifications prescribed by the transitional rules</w:t>
      </w:r>
      <w:r w:rsidR="00AB278B" w:rsidRPr="00A9469D">
        <w:t>:</w:t>
      </w:r>
    </w:p>
    <w:p w:rsidR="00FB2753" w:rsidRPr="00A9469D" w:rsidRDefault="00FB2753" w:rsidP="00A9469D">
      <w:pPr>
        <w:pStyle w:val="paragraph"/>
      </w:pPr>
      <w:r w:rsidRPr="00A9469D">
        <w:tab/>
        <w:t>(a)</w:t>
      </w:r>
      <w:r w:rsidRPr="00A9469D">
        <w:tab/>
        <w:t xml:space="preserve">the </w:t>
      </w:r>
      <w:r w:rsidR="00AB278B" w:rsidRPr="00A9469D">
        <w:t>introduction</w:t>
      </w:r>
      <w:r w:rsidRPr="00A9469D">
        <w:t xml:space="preserve"> </w:t>
      </w:r>
      <w:r w:rsidR="00AB278B" w:rsidRPr="00A9469D">
        <w:t xml:space="preserve">of the industrial chemical </w:t>
      </w:r>
      <w:r w:rsidRPr="00A9469D">
        <w:t xml:space="preserve">is taken, on and after </w:t>
      </w:r>
      <w:r w:rsidR="00BF5D23">
        <w:t>1 July 2020</w:t>
      </w:r>
      <w:r w:rsidRPr="00A9469D">
        <w:t xml:space="preserve">, to be </w:t>
      </w:r>
      <w:r w:rsidR="00AB278B" w:rsidRPr="00A9469D">
        <w:t>authorised</w:t>
      </w:r>
      <w:r w:rsidR="0040387E" w:rsidRPr="00A9469D">
        <w:t xml:space="preserve"> under section</w:t>
      </w:r>
      <w:r w:rsidR="00A9469D" w:rsidRPr="00A9469D">
        <w:t> </w:t>
      </w:r>
      <w:r w:rsidR="0040387E" w:rsidRPr="00A9469D">
        <w:t>27</w:t>
      </w:r>
      <w:r w:rsidRPr="00A9469D">
        <w:t xml:space="preserve"> of the new law; and</w:t>
      </w:r>
    </w:p>
    <w:p w:rsidR="00F21C44" w:rsidRPr="00A9469D" w:rsidRDefault="00FB2753" w:rsidP="00A9469D">
      <w:pPr>
        <w:pStyle w:val="paragraph"/>
      </w:pPr>
      <w:r w:rsidRPr="00A9469D">
        <w:tab/>
        <w:t>(b)</w:t>
      </w:r>
      <w:r w:rsidRPr="00A9469D">
        <w:tab/>
      </w:r>
      <w:r w:rsidR="00F21C44" w:rsidRPr="00A9469D">
        <w:t>the following are taken to be the terms of the pre</w:t>
      </w:r>
      <w:r w:rsidR="008B644E">
        <w:noBreakHyphen/>
      </w:r>
      <w:r w:rsidR="00F21C44" w:rsidRPr="00A9469D">
        <w:t xml:space="preserve">introduction report </w:t>
      </w:r>
      <w:r w:rsidR="00835700" w:rsidRPr="00A9469D">
        <w:t>for the purposes of</w:t>
      </w:r>
      <w:r w:rsidR="00F21C44" w:rsidRPr="00A9469D">
        <w:t xml:space="preserve"> paragraph</w:t>
      </w:r>
      <w:r w:rsidR="00A9469D" w:rsidRPr="00A9469D">
        <w:t> </w:t>
      </w:r>
      <w:r w:rsidR="00F21C44" w:rsidRPr="00A9469D">
        <w:t>2</w:t>
      </w:r>
      <w:r w:rsidR="0040387E" w:rsidRPr="00A9469D">
        <w:t>7</w:t>
      </w:r>
      <w:r w:rsidR="00F21C44" w:rsidRPr="00A9469D">
        <w:t>(1)(c) of the new law:</w:t>
      </w:r>
    </w:p>
    <w:p w:rsidR="00FB2753" w:rsidRPr="00A9469D" w:rsidRDefault="00F21C44" w:rsidP="00A9469D">
      <w:pPr>
        <w:pStyle w:val="paragraphsub"/>
      </w:pPr>
      <w:r w:rsidRPr="00A9469D">
        <w:tab/>
        <w:t>(</w:t>
      </w:r>
      <w:proofErr w:type="spellStart"/>
      <w:r w:rsidRPr="00A9469D">
        <w:t>i</w:t>
      </w:r>
      <w:proofErr w:type="spellEnd"/>
      <w:r w:rsidRPr="00A9469D">
        <w:t>)</w:t>
      </w:r>
      <w:r w:rsidRPr="00A9469D">
        <w:tab/>
      </w:r>
      <w:r w:rsidR="00FB2753" w:rsidRPr="00A9469D">
        <w:t xml:space="preserve">the </w:t>
      </w:r>
      <w:r w:rsidR="00203FAB" w:rsidRPr="00A9469D">
        <w:t>terms of the relevant authorising provision</w:t>
      </w:r>
      <w:r w:rsidR="00A43654" w:rsidRPr="00A9469D">
        <w:t xml:space="preserve">, as if the relevant provision </w:t>
      </w:r>
      <w:r w:rsidR="00A21CD0" w:rsidRPr="00A9469D">
        <w:t>was</w:t>
      </w:r>
      <w:r w:rsidR="00A43654" w:rsidRPr="00A9469D">
        <w:t xml:space="preserve"> still in force</w:t>
      </w:r>
      <w:r w:rsidRPr="00A9469D">
        <w:t>;</w:t>
      </w:r>
    </w:p>
    <w:p w:rsidR="00F21C44" w:rsidRPr="00A9469D" w:rsidRDefault="00F21C44" w:rsidP="00A9469D">
      <w:pPr>
        <w:pStyle w:val="paragraphsub"/>
      </w:pPr>
      <w:r w:rsidRPr="00A9469D">
        <w:lastRenderedPageBreak/>
        <w:tab/>
        <w:t>(ii)</w:t>
      </w:r>
      <w:r w:rsidRPr="00A9469D">
        <w:tab/>
      </w:r>
      <w:r w:rsidR="00A43654" w:rsidRPr="00A9469D">
        <w:t xml:space="preserve">regulations made in relation to the relevant authorising provision, as if </w:t>
      </w:r>
      <w:r w:rsidR="00A21CD0" w:rsidRPr="00A9469D">
        <w:t>those regulations</w:t>
      </w:r>
      <w:r w:rsidR="00A43654" w:rsidRPr="00A9469D">
        <w:t xml:space="preserve"> were still in force</w:t>
      </w:r>
      <w:r w:rsidRPr="00A9469D">
        <w:t>.</w:t>
      </w:r>
    </w:p>
    <w:p w:rsidR="00A36679" w:rsidRPr="00A9469D" w:rsidRDefault="001B59A4" w:rsidP="00A9469D">
      <w:pPr>
        <w:pStyle w:val="ItemHead"/>
      </w:pPr>
      <w:r w:rsidRPr="00A9469D">
        <w:t>34</w:t>
      </w:r>
      <w:r w:rsidR="00A36679" w:rsidRPr="00A9469D">
        <w:t xml:space="preserve">  Introductions under paragraph</w:t>
      </w:r>
      <w:r w:rsidR="00A9469D" w:rsidRPr="00A9469D">
        <w:t> </w:t>
      </w:r>
      <w:r w:rsidR="00A36679" w:rsidRPr="00A9469D">
        <w:t xml:space="preserve">21(6)(a) of </w:t>
      </w:r>
      <w:r w:rsidR="0010598B" w:rsidRPr="00A9469D">
        <w:t xml:space="preserve">the </w:t>
      </w:r>
      <w:r w:rsidR="00A36679" w:rsidRPr="00A9469D">
        <w:t>old law</w:t>
      </w:r>
    </w:p>
    <w:p w:rsidR="00A36679" w:rsidRPr="00A9469D" w:rsidRDefault="00A36679" w:rsidP="00A9469D">
      <w:pPr>
        <w:pStyle w:val="Subitem"/>
      </w:pPr>
      <w:r w:rsidRPr="00A9469D">
        <w:t>(1)</w:t>
      </w:r>
      <w:r w:rsidRPr="00A9469D">
        <w:tab/>
        <w:t>This item applies in relation to the introduction of an industrial chemical if:</w:t>
      </w:r>
    </w:p>
    <w:p w:rsidR="00A36679" w:rsidRPr="00A9469D" w:rsidRDefault="00A36679" w:rsidP="00A9469D">
      <w:pPr>
        <w:pStyle w:val="paragraph"/>
      </w:pPr>
      <w:r w:rsidRPr="00A9469D">
        <w:tab/>
        <w:t>(a)</w:t>
      </w:r>
      <w:r w:rsidRPr="00A9469D">
        <w:tab/>
        <w:t>the industrial chemical was introduced in the registration year beginning on 1</w:t>
      </w:r>
      <w:r w:rsidR="00A9469D" w:rsidRPr="00A9469D">
        <w:t> </w:t>
      </w:r>
      <w:r w:rsidRPr="00A9469D">
        <w:t>September 201</w:t>
      </w:r>
      <w:r w:rsidR="00E41E1C">
        <w:t>9</w:t>
      </w:r>
      <w:r w:rsidRPr="00A9469D">
        <w:t xml:space="preserve"> under the old law;</w:t>
      </w:r>
      <w:r w:rsidR="005032F3" w:rsidRPr="00A9469D">
        <w:t xml:space="preserve"> and</w:t>
      </w:r>
    </w:p>
    <w:p w:rsidR="00A36679" w:rsidRPr="00A9469D" w:rsidRDefault="00A36679" w:rsidP="00A9469D">
      <w:pPr>
        <w:pStyle w:val="paragraph"/>
      </w:pPr>
      <w:r w:rsidRPr="00A9469D">
        <w:tab/>
        <w:t>(b)</w:t>
      </w:r>
      <w:r w:rsidRPr="00A9469D">
        <w:tab/>
        <w:t>the introduction was under paragraph</w:t>
      </w:r>
      <w:r w:rsidR="00A9469D" w:rsidRPr="00A9469D">
        <w:t> </w:t>
      </w:r>
      <w:r w:rsidRPr="00A9469D">
        <w:t>21(6)(</w:t>
      </w:r>
      <w:r w:rsidR="0061525F" w:rsidRPr="00A9469D">
        <w:t>a</w:t>
      </w:r>
      <w:r w:rsidRPr="00A9469D">
        <w:t>) of the old law; and</w:t>
      </w:r>
    </w:p>
    <w:p w:rsidR="00F21C44" w:rsidRPr="00A9469D" w:rsidRDefault="00A36679" w:rsidP="00A9469D">
      <w:pPr>
        <w:pStyle w:val="paragraph"/>
      </w:pPr>
      <w:r w:rsidRPr="00A9469D">
        <w:tab/>
        <w:t>(c)</w:t>
      </w:r>
      <w:r w:rsidR="00F21C44" w:rsidRPr="00A9469D">
        <w:tab/>
        <w:t>the introduction complies with:</w:t>
      </w:r>
    </w:p>
    <w:p w:rsidR="00A36679" w:rsidRPr="00A9469D" w:rsidRDefault="00F21C44" w:rsidP="00A9469D">
      <w:pPr>
        <w:pStyle w:val="paragraphsub"/>
      </w:pPr>
      <w:r w:rsidRPr="00A9469D">
        <w:tab/>
        <w:t>(</w:t>
      </w:r>
      <w:proofErr w:type="spellStart"/>
      <w:r w:rsidRPr="00A9469D">
        <w:t>i</w:t>
      </w:r>
      <w:proofErr w:type="spellEnd"/>
      <w:r w:rsidRPr="00A9469D">
        <w:t>)</w:t>
      </w:r>
      <w:r w:rsidRPr="00A9469D">
        <w:tab/>
      </w:r>
      <w:r w:rsidR="00A36679" w:rsidRPr="00A9469D">
        <w:t xml:space="preserve">the requirements of that paragraph, as if </w:t>
      </w:r>
      <w:r w:rsidR="00101FB0" w:rsidRPr="00A9469D">
        <w:t>that paragraph</w:t>
      </w:r>
      <w:r w:rsidR="00A36679" w:rsidRPr="00A9469D">
        <w:t xml:space="preserve"> </w:t>
      </w:r>
      <w:r w:rsidR="00A21CD0" w:rsidRPr="00A9469D">
        <w:t>was</w:t>
      </w:r>
      <w:r w:rsidR="00A36679" w:rsidRPr="00A9469D">
        <w:t xml:space="preserve"> still in force; and</w:t>
      </w:r>
    </w:p>
    <w:p w:rsidR="00F21C44" w:rsidRPr="00A9469D" w:rsidRDefault="00F21C44" w:rsidP="00A9469D">
      <w:pPr>
        <w:pStyle w:val="paragraphsub"/>
      </w:pPr>
      <w:r w:rsidRPr="00A9469D">
        <w:tab/>
        <w:t>(ii)</w:t>
      </w:r>
      <w:r w:rsidRPr="00A9469D">
        <w:tab/>
      </w:r>
      <w:r w:rsidR="005E28C8" w:rsidRPr="00A9469D">
        <w:t xml:space="preserve">regulations made in relation to the relevant authorising provision, as if </w:t>
      </w:r>
      <w:r w:rsidR="00A21CD0" w:rsidRPr="00A9469D">
        <w:t>those regulations</w:t>
      </w:r>
      <w:r w:rsidR="005E28C8" w:rsidRPr="00A9469D">
        <w:t xml:space="preserve"> were still in force</w:t>
      </w:r>
      <w:r w:rsidRPr="00A9469D">
        <w:t>; and</w:t>
      </w:r>
    </w:p>
    <w:p w:rsidR="00A36679" w:rsidRPr="00A9469D" w:rsidRDefault="00A36679" w:rsidP="00A9469D">
      <w:pPr>
        <w:pStyle w:val="paragraph"/>
      </w:pPr>
      <w:r w:rsidRPr="00A9469D">
        <w:tab/>
        <w:t>(d)</w:t>
      </w:r>
      <w:r w:rsidRPr="00A9469D">
        <w:tab/>
        <w:t>the introduction is</w:t>
      </w:r>
      <w:r w:rsidR="001C1B44" w:rsidRPr="00A9469D">
        <w:t xml:space="preserve"> made</w:t>
      </w:r>
      <w:r w:rsidRPr="00A9469D">
        <w:t xml:space="preserve"> before 1</w:t>
      </w:r>
      <w:r w:rsidR="00A9469D" w:rsidRPr="00A9469D">
        <w:t> </w:t>
      </w:r>
      <w:r w:rsidRPr="00A9469D">
        <w:t>July 20</w:t>
      </w:r>
      <w:r w:rsidR="00E41E1C">
        <w:t>21</w:t>
      </w:r>
      <w:r w:rsidRPr="00A9469D">
        <w:t>.</w:t>
      </w:r>
    </w:p>
    <w:p w:rsidR="0087261D" w:rsidRPr="00A9469D" w:rsidRDefault="00A36679" w:rsidP="00A9469D">
      <w:pPr>
        <w:pStyle w:val="Subitem"/>
      </w:pPr>
      <w:r w:rsidRPr="00A9469D">
        <w:t>(2)</w:t>
      </w:r>
      <w:r w:rsidRPr="00A9469D">
        <w:tab/>
        <w:t>For the purposes of the new law, subject to any modifications prescribed by the transitional rules</w:t>
      </w:r>
      <w:r w:rsidR="005A7407" w:rsidRPr="00A9469D">
        <w:t xml:space="preserve">, </w:t>
      </w:r>
      <w:r w:rsidRPr="00A9469D">
        <w:t xml:space="preserve">the introduction of the industrial chemical is taken, on and after </w:t>
      </w:r>
      <w:r w:rsidR="00E41E1C">
        <w:t>1 July 2020</w:t>
      </w:r>
      <w:r w:rsidRPr="00A9469D">
        <w:t>, to be authorised under section</w:t>
      </w:r>
      <w:r w:rsidR="00A9469D" w:rsidRPr="00A9469D">
        <w:t> </w:t>
      </w:r>
      <w:r w:rsidRPr="00A9469D">
        <w:t>2</w:t>
      </w:r>
      <w:r w:rsidR="0040387E" w:rsidRPr="00A9469D">
        <w:t>6</w:t>
      </w:r>
      <w:r w:rsidR="005A7407" w:rsidRPr="00A9469D">
        <w:t xml:space="preserve"> of the new law if </w:t>
      </w:r>
      <w:r w:rsidRPr="00A9469D">
        <w:t xml:space="preserve">the </w:t>
      </w:r>
      <w:r w:rsidR="0014587F" w:rsidRPr="00A9469D">
        <w:t>introduction continues to comply with</w:t>
      </w:r>
      <w:r w:rsidR="0087261D" w:rsidRPr="00A9469D">
        <w:t>:</w:t>
      </w:r>
    </w:p>
    <w:p w:rsidR="00A36679" w:rsidRPr="00A9469D" w:rsidRDefault="0087261D" w:rsidP="00A9469D">
      <w:pPr>
        <w:pStyle w:val="paragraph"/>
      </w:pPr>
      <w:r w:rsidRPr="00A9469D">
        <w:tab/>
        <w:t>(a)</w:t>
      </w:r>
      <w:r w:rsidRPr="00A9469D">
        <w:tab/>
      </w:r>
      <w:r w:rsidR="0014587F" w:rsidRPr="00A9469D">
        <w:t xml:space="preserve">the </w:t>
      </w:r>
      <w:r w:rsidR="00AA44D0" w:rsidRPr="00A9469D">
        <w:t>requirements under</w:t>
      </w:r>
      <w:r w:rsidR="00686BBE" w:rsidRPr="00A9469D">
        <w:t xml:space="preserve"> paragraph</w:t>
      </w:r>
      <w:r w:rsidR="00A9469D" w:rsidRPr="00A9469D">
        <w:t> </w:t>
      </w:r>
      <w:r w:rsidR="0014587F" w:rsidRPr="00A9469D">
        <w:t>21(6)(a) of the old law</w:t>
      </w:r>
      <w:r w:rsidR="005E28C8" w:rsidRPr="00A9469D">
        <w:t xml:space="preserve">, as if that paragraph </w:t>
      </w:r>
      <w:r w:rsidR="00A21CD0" w:rsidRPr="00A9469D">
        <w:t>was</w:t>
      </w:r>
      <w:r w:rsidR="005E28C8" w:rsidRPr="00A9469D">
        <w:t xml:space="preserve"> still in force</w:t>
      </w:r>
      <w:r w:rsidRPr="00A9469D">
        <w:t>; and</w:t>
      </w:r>
    </w:p>
    <w:p w:rsidR="0087261D" w:rsidRPr="00A9469D" w:rsidRDefault="0087261D" w:rsidP="00A9469D">
      <w:pPr>
        <w:pStyle w:val="paragraph"/>
      </w:pPr>
      <w:r w:rsidRPr="00A9469D">
        <w:tab/>
        <w:t>(b)</w:t>
      </w:r>
      <w:r w:rsidRPr="00A9469D">
        <w:tab/>
      </w:r>
      <w:r w:rsidR="005E28C8" w:rsidRPr="00A9469D">
        <w:t xml:space="preserve">regulations made in relation to the relevant authorising provision, as if </w:t>
      </w:r>
      <w:r w:rsidR="00A21CD0" w:rsidRPr="00A9469D">
        <w:t>those regulations</w:t>
      </w:r>
      <w:r w:rsidR="005E28C8" w:rsidRPr="00A9469D">
        <w:t xml:space="preserve"> were still in force</w:t>
      </w:r>
      <w:r w:rsidRPr="00A9469D">
        <w:t>.</w:t>
      </w:r>
    </w:p>
    <w:p w:rsidR="00275F71" w:rsidRPr="00A9469D" w:rsidRDefault="00275F71" w:rsidP="00A9469D">
      <w:pPr>
        <w:pStyle w:val="ActHead7"/>
        <w:pageBreakBefore/>
      </w:pPr>
      <w:bookmarkStart w:id="29" w:name="_Toc3448258"/>
      <w:r w:rsidRPr="00A9469D">
        <w:rPr>
          <w:rStyle w:val="CharAmPartNo"/>
        </w:rPr>
        <w:lastRenderedPageBreak/>
        <w:t>Part</w:t>
      </w:r>
      <w:r w:rsidR="00A9469D" w:rsidRPr="00A9469D">
        <w:rPr>
          <w:rStyle w:val="CharAmPartNo"/>
        </w:rPr>
        <w:t> </w:t>
      </w:r>
      <w:r w:rsidR="00CD12AA" w:rsidRPr="00A9469D">
        <w:rPr>
          <w:rStyle w:val="CharAmPartNo"/>
        </w:rPr>
        <w:t>6</w:t>
      </w:r>
      <w:r w:rsidRPr="00A9469D">
        <w:t>—</w:t>
      </w:r>
      <w:r w:rsidRPr="00A9469D">
        <w:rPr>
          <w:rStyle w:val="CharAmPartText"/>
        </w:rPr>
        <w:t>Protection of confidential information</w:t>
      </w:r>
      <w:bookmarkEnd w:id="29"/>
    </w:p>
    <w:p w:rsidR="00F0645E" w:rsidRPr="00A9469D" w:rsidRDefault="001B59A4" w:rsidP="00A9469D">
      <w:pPr>
        <w:pStyle w:val="ItemHead"/>
      </w:pPr>
      <w:r w:rsidRPr="00A9469D">
        <w:t>35</w:t>
      </w:r>
      <w:r w:rsidR="00861699" w:rsidRPr="00A9469D">
        <w:t xml:space="preserve">  Holders of a confidence</w:t>
      </w:r>
      <w:r w:rsidR="002338E1" w:rsidRPr="00A9469D">
        <w:t xml:space="preserve"> under old law</w:t>
      </w:r>
    </w:p>
    <w:p w:rsidR="004A1F83" w:rsidRPr="00A9469D" w:rsidRDefault="004A1F83" w:rsidP="00A9469D">
      <w:pPr>
        <w:pStyle w:val="Subitem"/>
      </w:pPr>
      <w:r w:rsidRPr="00A9469D">
        <w:t>(1)</w:t>
      </w:r>
      <w:r w:rsidRPr="00A9469D">
        <w:tab/>
        <w:t>This item applies in relation to a person</w:t>
      </w:r>
      <w:r w:rsidR="002338E1" w:rsidRPr="00A9469D">
        <w:t xml:space="preserve"> if</w:t>
      </w:r>
      <w:r w:rsidR="007269F0" w:rsidRPr="00A9469D">
        <w:t>,</w:t>
      </w:r>
      <w:r w:rsidRPr="00A9469D">
        <w:t xml:space="preserve"> immediately before </w:t>
      </w:r>
      <w:r w:rsidR="00921DC3">
        <w:t>1 July 2020</w:t>
      </w:r>
      <w:r w:rsidRPr="00A9469D">
        <w:t xml:space="preserve">, the person was a holder of a confidence </w:t>
      </w:r>
      <w:r w:rsidR="001346F5" w:rsidRPr="00A9469D">
        <w:t xml:space="preserve">about an industrial chemical </w:t>
      </w:r>
      <w:r w:rsidRPr="00A9469D">
        <w:t>under the old law.</w:t>
      </w:r>
    </w:p>
    <w:p w:rsidR="004A1F83" w:rsidRPr="00A9469D" w:rsidRDefault="004A1F83" w:rsidP="00A9469D">
      <w:pPr>
        <w:pStyle w:val="Subitem"/>
      </w:pPr>
      <w:r w:rsidRPr="00A9469D">
        <w:t>(2)</w:t>
      </w:r>
      <w:r w:rsidRPr="00A9469D">
        <w:tab/>
        <w:t xml:space="preserve">For the purposes of the new law, subject to any modifications prescribed by the transitional rules, the person </w:t>
      </w:r>
      <w:r w:rsidR="001346F5" w:rsidRPr="00A9469D">
        <w:t>is taken, on and after 1</w:t>
      </w:r>
      <w:r w:rsidR="00A9469D" w:rsidRPr="00A9469D">
        <w:t> </w:t>
      </w:r>
      <w:r w:rsidR="00921DC3">
        <w:t>July 2020</w:t>
      </w:r>
      <w:r w:rsidR="001346F5" w:rsidRPr="00A9469D">
        <w:t xml:space="preserve">, to be a </w:t>
      </w:r>
      <w:r w:rsidR="00C9685D" w:rsidRPr="00A9469D">
        <w:t xml:space="preserve">confidence </w:t>
      </w:r>
      <w:r w:rsidR="001346F5" w:rsidRPr="00A9469D">
        <w:t xml:space="preserve">holder </w:t>
      </w:r>
      <w:r w:rsidR="00C9685D" w:rsidRPr="00A9469D">
        <w:t xml:space="preserve">for an approval for the proper </w:t>
      </w:r>
      <w:r w:rsidR="001346F5" w:rsidRPr="00A9469D">
        <w:t>name or end use for the industrial chemical to be treated as confidential business information</w:t>
      </w:r>
      <w:r w:rsidR="00C9685D" w:rsidRPr="00A9469D">
        <w:t xml:space="preserve"> under the new law</w:t>
      </w:r>
      <w:r w:rsidR="001346F5" w:rsidRPr="00A9469D">
        <w:t>.</w:t>
      </w:r>
    </w:p>
    <w:p w:rsidR="002338E1" w:rsidRPr="00A9469D" w:rsidRDefault="001B59A4" w:rsidP="00A9469D">
      <w:pPr>
        <w:pStyle w:val="ItemHead"/>
      </w:pPr>
      <w:r w:rsidRPr="00A9469D">
        <w:t>36</w:t>
      </w:r>
      <w:r w:rsidR="002338E1" w:rsidRPr="00A9469D">
        <w:t xml:space="preserve">  Applying to be a confidence holder </w:t>
      </w:r>
      <w:r w:rsidR="007269F0" w:rsidRPr="00A9469D">
        <w:t>in relation to confidential listing</w:t>
      </w:r>
      <w:r w:rsidR="007B13AF" w:rsidRPr="00A9469D">
        <w:t>s</w:t>
      </w:r>
    </w:p>
    <w:p w:rsidR="002338E1" w:rsidRPr="00A9469D" w:rsidRDefault="002338E1" w:rsidP="00A9469D">
      <w:pPr>
        <w:pStyle w:val="Subitem"/>
      </w:pPr>
      <w:r w:rsidRPr="00A9469D">
        <w:t>(1)</w:t>
      </w:r>
      <w:r w:rsidRPr="00A9469D">
        <w:tab/>
        <w:t>This item applies in relation to an industrial chemical that is listed on the Inventory with “confidential” in lieu of each term of the listing for the industrial chemical.</w:t>
      </w:r>
    </w:p>
    <w:p w:rsidR="002338E1" w:rsidRPr="00A9469D" w:rsidRDefault="002338E1" w:rsidP="00A9469D">
      <w:pPr>
        <w:pStyle w:val="Subitem"/>
      </w:pPr>
      <w:r w:rsidRPr="00A9469D">
        <w:t>(2)</w:t>
      </w:r>
      <w:r w:rsidRPr="00A9469D">
        <w:tab/>
        <w:t>A person may apply to the Executive Director to be taken</w:t>
      </w:r>
      <w:r w:rsidR="00561AA4" w:rsidRPr="00A9469D">
        <w:t>, for the purposes of the new law,</w:t>
      </w:r>
      <w:r w:rsidRPr="00A9469D">
        <w:t xml:space="preserve"> </w:t>
      </w:r>
      <w:r w:rsidR="00E6695E" w:rsidRPr="00A9469D">
        <w:t xml:space="preserve">subject to any modifications prescribed by the transitional rules, </w:t>
      </w:r>
      <w:r w:rsidR="00561AA4" w:rsidRPr="00A9469D">
        <w:t>t</w:t>
      </w:r>
      <w:r w:rsidRPr="00A9469D">
        <w:t>o be a confidence holder for an approval for the proper name or end use for the industrial chemical to be treated as confiden</w:t>
      </w:r>
      <w:r w:rsidR="00561AA4" w:rsidRPr="00A9469D">
        <w:t>tial business information under the new law</w:t>
      </w:r>
      <w:r w:rsidR="00E6695E" w:rsidRPr="00A9469D">
        <w:t>.</w:t>
      </w:r>
    </w:p>
    <w:p w:rsidR="00561AA4" w:rsidRPr="00A9469D" w:rsidRDefault="00561AA4" w:rsidP="00A9469D">
      <w:pPr>
        <w:pStyle w:val="Subitem"/>
      </w:pPr>
      <w:r w:rsidRPr="00A9469D">
        <w:t>(3)</w:t>
      </w:r>
      <w:r w:rsidRPr="00A9469D">
        <w:tab/>
        <w:t xml:space="preserve">The Executive Director must grant the application if the Executive Director is satisfied that the publication of some or all of the terms of the </w:t>
      </w:r>
      <w:r w:rsidR="00F61963" w:rsidRPr="00A9469D">
        <w:t xml:space="preserve">Inventory </w:t>
      </w:r>
      <w:r w:rsidRPr="00A9469D">
        <w:t xml:space="preserve">listing </w:t>
      </w:r>
      <w:r w:rsidR="00F61963" w:rsidRPr="00A9469D">
        <w:t>for</w:t>
      </w:r>
      <w:r w:rsidRPr="00A9469D">
        <w:t xml:space="preserve"> the industrial chemical could substantially prejudice the commercial interests of the applicant.</w:t>
      </w:r>
    </w:p>
    <w:p w:rsidR="00561AA4" w:rsidRPr="00A9469D" w:rsidRDefault="00561AA4" w:rsidP="00A9469D">
      <w:pPr>
        <w:pStyle w:val="Subitem"/>
      </w:pPr>
      <w:r w:rsidRPr="00A9469D">
        <w:t>(4)</w:t>
      </w:r>
      <w:r w:rsidRPr="00A9469D">
        <w:tab/>
        <w:t>After considering the application, the Executive Director must decide to:</w:t>
      </w:r>
    </w:p>
    <w:p w:rsidR="00561AA4" w:rsidRPr="00A9469D" w:rsidRDefault="00561AA4" w:rsidP="00A9469D">
      <w:pPr>
        <w:pStyle w:val="paragraph"/>
      </w:pPr>
      <w:r w:rsidRPr="00A9469D">
        <w:tab/>
        <w:t>(a)</w:t>
      </w:r>
      <w:r w:rsidRPr="00A9469D">
        <w:tab/>
      </w:r>
      <w:r w:rsidR="00972E47" w:rsidRPr="00A9469D">
        <w:t>approve</w:t>
      </w:r>
      <w:r w:rsidRPr="00A9469D">
        <w:t xml:space="preserve"> the application; or</w:t>
      </w:r>
    </w:p>
    <w:p w:rsidR="00561AA4" w:rsidRPr="00A9469D" w:rsidRDefault="00561AA4" w:rsidP="00A9469D">
      <w:pPr>
        <w:pStyle w:val="paragraph"/>
      </w:pPr>
      <w:r w:rsidRPr="00A9469D">
        <w:tab/>
        <w:t>(b)</w:t>
      </w:r>
      <w:r w:rsidRPr="00A9469D">
        <w:tab/>
      </w:r>
      <w:r w:rsidR="00972E47" w:rsidRPr="00A9469D">
        <w:t>not approve</w:t>
      </w:r>
      <w:r w:rsidRPr="00A9469D">
        <w:t xml:space="preserve"> the application.</w:t>
      </w:r>
    </w:p>
    <w:p w:rsidR="00561AA4" w:rsidRPr="00A9469D" w:rsidRDefault="00561AA4" w:rsidP="00A9469D">
      <w:pPr>
        <w:pStyle w:val="Subitem"/>
      </w:pPr>
      <w:r w:rsidRPr="00A9469D">
        <w:t>(5)</w:t>
      </w:r>
      <w:r w:rsidRPr="00A9469D">
        <w:tab/>
        <w:t>The Executive Director must:</w:t>
      </w:r>
    </w:p>
    <w:p w:rsidR="00561AA4" w:rsidRPr="00A9469D" w:rsidRDefault="00561AA4" w:rsidP="00A9469D">
      <w:pPr>
        <w:pStyle w:val="paragraph"/>
      </w:pPr>
      <w:r w:rsidRPr="00A9469D">
        <w:tab/>
        <w:t>(a)</w:t>
      </w:r>
      <w:r w:rsidRPr="00A9469D">
        <w:tab/>
        <w:t>give the applicant written notice of:</w:t>
      </w:r>
    </w:p>
    <w:p w:rsidR="00561AA4" w:rsidRPr="00A9469D" w:rsidRDefault="00561AA4" w:rsidP="00A9469D">
      <w:pPr>
        <w:pStyle w:val="paragraphsub"/>
      </w:pPr>
      <w:r w:rsidRPr="00A9469D">
        <w:lastRenderedPageBreak/>
        <w:tab/>
        <w:t>(</w:t>
      </w:r>
      <w:proofErr w:type="spellStart"/>
      <w:r w:rsidRPr="00A9469D">
        <w:t>i</w:t>
      </w:r>
      <w:proofErr w:type="spellEnd"/>
      <w:r w:rsidRPr="00A9469D">
        <w:t>)</w:t>
      </w:r>
      <w:r w:rsidRPr="00A9469D">
        <w:tab/>
        <w:t>the Executive Director’s decision on the application; and</w:t>
      </w:r>
    </w:p>
    <w:p w:rsidR="00561AA4" w:rsidRPr="00A9469D" w:rsidRDefault="00561AA4" w:rsidP="00A9469D">
      <w:pPr>
        <w:pStyle w:val="paragraphsub"/>
      </w:pPr>
      <w:r w:rsidRPr="00A9469D">
        <w:tab/>
        <w:t>(ii)</w:t>
      </w:r>
      <w:r w:rsidRPr="00A9469D">
        <w:tab/>
        <w:t xml:space="preserve">if the decision is to </w:t>
      </w:r>
      <w:r w:rsidR="00972E47" w:rsidRPr="00A9469D">
        <w:t>not approve</w:t>
      </w:r>
      <w:r w:rsidRPr="00A9469D">
        <w:t xml:space="preserve"> the application—the reasons for the decision; and</w:t>
      </w:r>
    </w:p>
    <w:p w:rsidR="00561AA4" w:rsidRPr="00A9469D" w:rsidRDefault="001405F3" w:rsidP="00A9469D">
      <w:pPr>
        <w:pStyle w:val="paragraph"/>
      </w:pPr>
      <w:r w:rsidRPr="00A9469D">
        <w:tab/>
        <w:t>(b)</w:t>
      </w:r>
      <w:r w:rsidRPr="00A9469D">
        <w:tab/>
        <w:t xml:space="preserve">do so within </w:t>
      </w:r>
      <w:r w:rsidR="00561AA4" w:rsidRPr="00A9469D">
        <w:t xml:space="preserve">20 working days </w:t>
      </w:r>
      <w:r w:rsidR="00D84A5F" w:rsidRPr="00A9469D">
        <w:t>after</w:t>
      </w:r>
      <w:r w:rsidR="00561AA4" w:rsidRPr="00A9469D">
        <w:t xml:space="preserve"> the day the application is made.</w:t>
      </w:r>
    </w:p>
    <w:p w:rsidR="002338E1" w:rsidRPr="00A9469D" w:rsidRDefault="00561AA4" w:rsidP="00A9469D">
      <w:pPr>
        <w:pStyle w:val="Subitem"/>
      </w:pPr>
      <w:r w:rsidRPr="00A9469D">
        <w:t>(</w:t>
      </w:r>
      <w:r w:rsidR="00E6695E" w:rsidRPr="00A9469D">
        <w:t>6</w:t>
      </w:r>
      <w:r w:rsidR="002338E1" w:rsidRPr="00A9469D">
        <w:t>)</w:t>
      </w:r>
      <w:r w:rsidR="002338E1" w:rsidRPr="00A9469D">
        <w:tab/>
        <w:t>Section</w:t>
      </w:r>
      <w:r w:rsidR="00A9469D" w:rsidRPr="00A9469D">
        <w:t> </w:t>
      </w:r>
      <w:r w:rsidR="002338E1" w:rsidRPr="00A9469D">
        <w:t xml:space="preserve">167 of the new law applies in relation to the application as if the application were an application </w:t>
      </w:r>
      <w:r w:rsidR="0085750E" w:rsidRPr="00A9469D">
        <w:t xml:space="preserve">made </w:t>
      </w:r>
      <w:r w:rsidR="002338E1" w:rsidRPr="00A9469D">
        <w:t>under the new law.</w:t>
      </w:r>
    </w:p>
    <w:p w:rsidR="00275F71" w:rsidRPr="00A9469D" w:rsidRDefault="001B59A4" w:rsidP="00A9469D">
      <w:pPr>
        <w:pStyle w:val="ItemHead"/>
      </w:pPr>
      <w:r w:rsidRPr="00A9469D">
        <w:t>37</w:t>
      </w:r>
      <w:r w:rsidR="00275F71" w:rsidRPr="00A9469D">
        <w:t xml:space="preserve">  </w:t>
      </w:r>
      <w:r w:rsidR="00F5757D" w:rsidRPr="00A9469D">
        <w:t>Pending applications for information to be treated as e</w:t>
      </w:r>
      <w:r w:rsidR="00275F71" w:rsidRPr="00A9469D">
        <w:t>xempt information</w:t>
      </w:r>
    </w:p>
    <w:p w:rsidR="00553C0A" w:rsidRPr="00A9469D" w:rsidRDefault="00B85047" w:rsidP="00A9469D">
      <w:pPr>
        <w:pStyle w:val="Subitem"/>
      </w:pPr>
      <w:r w:rsidRPr="00A9469D">
        <w:t>(1)</w:t>
      </w:r>
      <w:r w:rsidRPr="00A9469D">
        <w:tab/>
        <w:t>This item applies in relation to</w:t>
      </w:r>
      <w:r w:rsidR="005F781F" w:rsidRPr="00A9469D">
        <w:t xml:space="preserve"> an application that certain information be treated as exempt information</w:t>
      </w:r>
      <w:r w:rsidR="00553C0A" w:rsidRPr="00A9469D">
        <w:t>, if:</w:t>
      </w:r>
    </w:p>
    <w:p w:rsidR="00B85047" w:rsidRPr="00A9469D" w:rsidRDefault="00553C0A" w:rsidP="00A9469D">
      <w:pPr>
        <w:pStyle w:val="paragraph"/>
      </w:pPr>
      <w:r w:rsidRPr="00A9469D">
        <w:tab/>
        <w:t>(a)</w:t>
      </w:r>
      <w:r w:rsidRPr="00A9469D">
        <w:tab/>
        <w:t xml:space="preserve">the application </w:t>
      </w:r>
      <w:r w:rsidR="005F781F" w:rsidRPr="00A9469D">
        <w:t>was made under section</w:t>
      </w:r>
      <w:r w:rsidR="00A9469D" w:rsidRPr="00A9469D">
        <w:t> </w:t>
      </w:r>
      <w:r w:rsidR="00526B70" w:rsidRPr="00A9469D">
        <w:t xml:space="preserve">21AAA, </w:t>
      </w:r>
      <w:r w:rsidR="005F781F" w:rsidRPr="00A9469D">
        <w:t>21P, 21ZB, 22O</w:t>
      </w:r>
      <w:r w:rsidR="00E251DA" w:rsidRPr="00A9469D">
        <w:t>, 25</w:t>
      </w:r>
      <w:r w:rsidR="00526B70" w:rsidRPr="00A9469D">
        <w:t>, 29, 30B, 40D, 42, 45, 50, 60, 66 or 89</w:t>
      </w:r>
      <w:r w:rsidRPr="00A9469D">
        <w:t xml:space="preserve"> of the old law; and</w:t>
      </w:r>
    </w:p>
    <w:p w:rsidR="00553C0A" w:rsidRPr="00A9469D" w:rsidRDefault="00553C0A" w:rsidP="00A9469D">
      <w:pPr>
        <w:pStyle w:val="paragraph"/>
      </w:pPr>
      <w:r w:rsidRPr="00A9469D">
        <w:tab/>
        <w:t>(b)</w:t>
      </w:r>
      <w:r w:rsidRPr="00A9469D">
        <w:tab/>
        <w:t>the application is pending immediately before 1</w:t>
      </w:r>
      <w:r w:rsidR="00A9469D" w:rsidRPr="00A9469D">
        <w:t> </w:t>
      </w:r>
      <w:r w:rsidRPr="00A9469D">
        <w:t>July 20</w:t>
      </w:r>
      <w:r w:rsidR="00012CE9">
        <w:t>20</w:t>
      </w:r>
      <w:r w:rsidRPr="00A9469D">
        <w:t>.</w:t>
      </w:r>
    </w:p>
    <w:p w:rsidR="00B85047" w:rsidRPr="00A9469D" w:rsidRDefault="00B85047" w:rsidP="00A9469D">
      <w:pPr>
        <w:pStyle w:val="Subitem"/>
      </w:pPr>
      <w:r w:rsidRPr="00A9469D">
        <w:t>(2)</w:t>
      </w:r>
      <w:r w:rsidRPr="00A9469D">
        <w:tab/>
      </w:r>
      <w:r w:rsidR="00EF4FBF" w:rsidRPr="00A9469D">
        <w:t>For the purposes of the new law, subject to any modifications prescribed by the transitional rules, the application has effect, on and after 1</w:t>
      </w:r>
      <w:r w:rsidR="00A9469D" w:rsidRPr="00A9469D">
        <w:t> </w:t>
      </w:r>
      <w:r w:rsidR="00EF4FBF" w:rsidRPr="00A9469D">
        <w:t>July 20</w:t>
      </w:r>
      <w:r w:rsidR="00012CE9">
        <w:t>20</w:t>
      </w:r>
      <w:r w:rsidR="0010598B" w:rsidRPr="00A9469D">
        <w:t>,</w:t>
      </w:r>
      <w:r w:rsidR="00EF4FBF" w:rsidRPr="00A9469D">
        <w:t xml:space="preserve"> as if it were an application made under subsection</w:t>
      </w:r>
      <w:r w:rsidR="00A9469D" w:rsidRPr="00A9469D">
        <w:t> </w:t>
      </w:r>
      <w:r w:rsidR="00EF4FBF" w:rsidRPr="00A9469D">
        <w:t>113(2)</w:t>
      </w:r>
      <w:r w:rsidR="00F5757D" w:rsidRPr="00A9469D">
        <w:t xml:space="preserve"> of the new</w:t>
      </w:r>
      <w:r w:rsidR="009C1C93" w:rsidRPr="00A9469D">
        <w:t xml:space="preserve"> law</w:t>
      </w:r>
      <w:r w:rsidR="00F5757D" w:rsidRPr="00A9469D">
        <w:t xml:space="preserve"> in relation to the information</w:t>
      </w:r>
      <w:r w:rsidR="00EF4FBF" w:rsidRPr="00A9469D">
        <w:t>.</w:t>
      </w:r>
    </w:p>
    <w:p w:rsidR="00553C0A" w:rsidRPr="00A9469D" w:rsidRDefault="001B59A4" w:rsidP="00A9469D">
      <w:pPr>
        <w:pStyle w:val="ItemHead"/>
      </w:pPr>
      <w:r w:rsidRPr="00A9469D">
        <w:t>38</w:t>
      </w:r>
      <w:r w:rsidR="00F5757D" w:rsidRPr="00A9469D">
        <w:t xml:space="preserve">  Exempt information</w:t>
      </w:r>
    </w:p>
    <w:p w:rsidR="00F5757D" w:rsidRPr="00A9469D" w:rsidRDefault="00F5757D" w:rsidP="00A9469D">
      <w:pPr>
        <w:pStyle w:val="Subitem"/>
      </w:pPr>
      <w:r w:rsidRPr="00A9469D">
        <w:t>(1)</w:t>
      </w:r>
      <w:r w:rsidRPr="00A9469D">
        <w:tab/>
        <w:t>This item applies in relation to:</w:t>
      </w:r>
    </w:p>
    <w:p w:rsidR="00F5757D" w:rsidRPr="00A9469D" w:rsidRDefault="00F5757D" w:rsidP="00A9469D">
      <w:pPr>
        <w:pStyle w:val="paragraph"/>
      </w:pPr>
      <w:r w:rsidRPr="00A9469D">
        <w:tab/>
        <w:t>(a)</w:t>
      </w:r>
      <w:r w:rsidRPr="00A9469D">
        <w:tab/>
        <w:t>information that was treated as exempt information under the old law; and</w:t>
      </w:r>
    </w:p>
    <w:p w:rsidR="00F0239F" w:rsidRPr="00A9469D" w:rsidRDefault="00F5757D" w:rsidP="00A9469D">
      <w:pPr>
        <w:pStyle w:val="paragraph"/>
      </w:pPr>
      <w:r w:rsidRPr="00A9469D">
        <w:tab/>
        <w:t>(b)</w:t>
      </w:r>
      <w:r w:rsidRPr="00A9469D">
        <w:tab/>
        <w:t xml:space="preserve">information </w:t>
      </w:r>
      <w:r w:rsidR="00F0239F" w:rsidRPr="00A9469D">
        <w:t>for which an application to treat the information as confidential business information has been:</w:t>
      </w:r>
    </w:p>
    <w:p w:rsidR="00F0239F" w:rsidRPr="00A9469D" w:rsidRDefault="00F0239F" w:rsidP="00A9469D">
      <w:pPr>
        <w:pStyle w:val="paragraphsub"/>
      </w:pPr>
      <w:r w:rsidRPr="00A9469D">
        <w:tab/>
        <w:t>(</w:t>
      </w:r>
      <w:proofErr w:type="spellStart"/>
      <w:r w:rsidRPr="00A9469D">
        <w:t>i</w:t>
      </w:r>
      <w:proofErr w:type="spellEnd"/>
      <w:r w:rsidRPr="00A9469D">
        <w:t>)</w:t>
      </w:r>
      <w:r w:rsidRPr="00A9469D">
        <w:tab/>
        <w:t>made under subsection</w:t>
      </w:r>
      <w:r w:rsidR="00A9469D" w:rsidRPr="00A9469D">
        <w:t> </w:t>
      </w:r>
      <w:r w:rsidRPr="00A9469D">
        <w:t>113(2) of the new law, in accordance with item</w:t>
      </w:r>
      <w:r w:rsidR="00A9469D" w:rsidRPr="00A9469D">
        <w:t> </w:t>
      </w:r>
      <w:r w:rsidRPr="00A9469D">
        <w:t>37; and</w:t>
      </w:r>
    </w:p>
    <w:p w:rsidR="00F0239F" w:rsidRPr="00A9469D" w:rsidRDefault="00F0239F" w:rsidP="00A9469D">
      <w:pPr>
        <w:pStyle w:val="paragraphsub"/>
      </w:pPr>
      <w:r w:rsidRPr="00A9469D">
        <w:tab/>
        <w:t>(ii)</w:t>
      </w:r>
      <w:r w:rsidRPr="00A9469D">
        <w:tab/>
        <w:t>approved under paragraph</w:t>
      </w:r>
      <w:r w:rsidR="00A9469D" w:rsidRPr="00A9469D">
        <w:t> </w:t>
      </w:r>
      <w:r w:rsidRPr="00A9469D">
        <w:t>114(2)(a) of the new law.</w:t>
      </w:r>
    </w:p>
    <w:p w:rsidR="00F5757D" w:rsidRPr="00A9469D" w:rsidRDefault="00F5757D" w:rsidP="00A9469D">
      <w:pPr>
        <w:pStyle w:val="Subitem"/>
      </w:pPr>
      <w:r w:rsidRPr="00A9469D">
        <w:t>(2)</w:t>
      </w:r>
      <w:r w:rsidRPr="00A9469D">
        <w:tab/>
        <w:t xml:space="preserve">For the purposes of the new law, subject to </w:t>
      </w:r>
      <w:r w:rsidR="00DC04A2" w:rsidRPr="00A9469D">
        <w:t xml:space="preserve">this Part and </w:t>
      </w:r>
      <w:r w:rsidRPr="00A9469D">
        <w:t>any modifications prescribed by the transitional rules:</w:t>
      </w:r>
    </w:p>
    <w:p w:rsidR="00F5757D" w:rsidRPr="00A9469D" w:rsidRDefault="00F5757D" w:rsidP="00A9469D">
      <w:pPr>
        <w:pStyle w:val="paragraph"/>
      </w:pPr>
      <w:r w:rsidRPr="00A9469D">
        <w:tab/>
        <w:t>(a)</w:t>
      </w:r>
      <w:r w:rsidRPr="00A9469D">
        <w:tab/>
        <w:t>the information is taken to be protected information; and</w:t>
      </w:r>
    </w:p>
    <w:p w:rsidR="000F368E" w:rsidRPr="00A9469D" w:rsidRDefault="00F5757D" w:rsidP="00A9469D">
      <w:pPr>
        <w:pStyle w:val="paragraph"/>
      </w:pPr>
      <w:r w:rsidRPr="00A9469D">
        <w:lastRenderedPageBreak/>
        <w:tab/>
        <w:t>(b)</w:t>
      </w:r>
      <w:r w:rsidRPr="00A9469D">
        <w:tab/>
      </w:r>
      <w:r w:rsidR="00DC04A2" w:rsidRPr="00A9469D">
        <w:t>sections</w:t>
      </w:r>
      <w:r w:rsidR="00A9469D" w:rsidRPr="00A9469D">
        <w:t> </w:t>
      </w:r>
      <w:r w:rsidR="00DC04A2" w:rsidRPr="00A9469D">
        <w:t xml:space="preserve">117, 119, </w:t>
      </w:r>
      <w:r w:rsidR="005573DD" w:rsidRPr="00A9469D">
        <w:t>121, 122 and 124</w:t>
      </w:r>
      <w:r w:rsidR="00DC04A2" w:rsidRPr="00A9469D">
        <w:t xml:space="preserve"> of the new law do not apply in relation to the information.</w:t>
      </w:r>
    </w:p>
    <w:p w:rsidR="00F0645E" w:rsidRPr="00A9469D" w:rsidRDefault="00F0645E" w:rsidP="00A9469D">
      <w:pPr>
        <w:pStyle w:val="ActHead7"/>
        <w:pageBreakBefore/>
      </w:pPr>
      <w:bookmarkStart w:id="30" w:name="_Toc3448259"/>
      <w:r w:rsidRPr="00A9469D">
        <w:rPr>
          <w:rStyle w:val="CharAmPartNo"/>
        </w:rPr>
        <w:lastRenderedPageBreak/>
        <w:t>Part</w:t>
      </w:r>
      <w:r w:rsidR="00A9469D" w:rsidRPr="00A9469D">
        <w:rPr>
          <w:rStyle w:val="CharAmPartNo"/>
        </w:rPr>
        <w:t> </w:t>
      </w:r>
      <w:r w:rsidR="00CD12AA" w:rsidRPr="00A9469D">
        <w:rPr>
          <w:rStyle w:val="CharAmPartNo"/>
        </w:rPr>
        <w:t>7</w:t>
      </w:r>
      <w:r w:rsidRPr="00A9469D">
        <w:t>—</w:t>
      </w:r>
      <w:r w:rsidRPr="00A9469D">
        <w:rPr>
          <w:rStyle w:val="CharAmPartText"/>
        </w:rPr>
        <w:t>Inventory</w:t>
      </w:r>
      <w:bookmarkEnd w:id="30"/>
    </w:p>
    <w:p w:rsidR="002206C3" w:rsidRPr="00A9469D" w:rsidRDefault="002206C3" w:rsidP="00A9469D">
      <w:pPr>
        <w:pStyle w:val="ActHead8"/>
      </w:pPr>
      <w:bookmarkStart w:id="31" w:name="_Toc3448260"/>
      <w:r w:rsidRPr="00A9469D">
        <w:t>Division</w:t>
      </w:r>
      <w:r w:rsidR="00A9469D" w:rsidRPr="00A9469D">
        <w:t> </w:t>
      </w:r>
      <w:r w:rsidR="00A853EE" w:rsidRPr="00A9469D">
        <w:t>1</w:t>
      </w:r>
      <w:r w:rsidRPr="00A9469D">
        <w:t>—Industrial chemicals included in old Inventory</w:t>
      </w:r>
      <w:bookmarkEnd w:id="31"/>
    </w:p>
    <w:p w:rsidR="00F0645E" w:rsidRPr="00A9469D" w:rsidRDefault="001B59A4" w:rsidP="00A9469D">
      <w:pPr>
        <w:pStyle w:val="ItemHead"/>
      </w:pPr>
      <w:r w:rsidRPr="00A9469D">
        <w:t>39</w:t>
      </w:r>
      <w:r w:rsidR="00F0645E" w:rsidRPr="00A9469D">
        <w:t xml:space="preserve">  Indus</w:t>
      </w:r>
      <w:r w:rsidR="002206C3" w:rsidRPr="00A9469D">
        <w:t xml:space="preserve">trial chemicals included in </w:t>
      </w:r>
      <w:r w:rsidR="00F0645E" w:rsidRPr="00A9469D">
        <w:t>old Inventory</w:t>
      </w:r>
    </w:p>
    <w:p w:rsidR="00F0645E" w:rsidRPr="00A9469D" w:rsidRDefault="00F0645E" w:rsidP="00A9469D">
      <w:pPr>
        <w:pStyle w:val="Subitem"/>
      </w:pPr>
      <w:r w:rsidRPr="00A9469D">
        <w:t>(1)</w:t>
      </w:r>
      <w:r w:rsidRPr="00A9469D">
        <w:tab/>
        <w:t>This item applies if, immediately before 1</w:t>
      </w:r>
      <w:r w:rsidR="00A9469D" w:rsidRPr="00A9469D">
        <w:t> </w:t>
      </w:r>
      <w:r w:rsidR="00012CE9">
        <w:t>July 2020</w:t>
      </w:r>
      <w:r w:rsidRPr="00A9469D">
        <w:t>, an industrial chemical was included in the</w:t>
      </w:r>
      <w:r w:rsidR="00426D7A" w:rsidRPr="00A9469D">
        <w:t xml:space="preserve"> </w:t>
      </w:r>
      <w:r w:rsidR="00787AB8" w:rsidRPr="00A9469D">
        <w:t>non</w:t>
      </w:r>
      <w:r w:rsidR="008B644E">
        <w:noBreakHyphen/>
      </w:r>
      <w:r w:rsidR="00787AB8" w:rsidRPr="00A9469D">
        <w:t xml:space="preserve">confidential section of the </w:t>
      </w:r>
      <w:r w:rsidRPr="00A9469D">
        <w:t>old Inventory.</w:t>
      </w:r>
    </w:p>
    <w:p w:rsidR="00F0645E" w:rsidRPr="00A9469D" w:rsidRDefault="00F0645E" w:rsidP="00A9469D">
      <w:pPr>
        <w:pStyle w:val="Subitem"/>
      </w:pPr>
      <w:r w:rsidRPr="00A9469D">
        <w:t>(2)</w:t>
      </w:r>
      <w:r w:rsidRPr="00A9469D">
        <w:tab/>
      </w:r>
      <w:r w:rsidR="00251F22" w:rsidRPr="00A9469D">
        <w:t>For the purposes of the new law, s</w:t>
      </w:r>
      <w:r w:rsidRPr="00A9469D">
        <w:t>ubject to this Part</w:t>
      </w:r>
      <w:r w:rsidR="00251F22" w:rsidRPr="00A9469D">
        <w:t xml:space="preserve"> </w:t>
      </w:r>
      <w:r w:rsidR="00B36151" w:rsidRPr="00A9469D">
        <w:t xml:space="preserve">and any modifications prescribed by the </w:t>
      </w:r>
      <w:r w:rsidR="00300D09" w:rsidRPr="00A9469D">
        <w:t xml:space="preserve">transitional </w:t>
      </w:r>
      <w:r w:rsidR="00B36151" w:rsidRPr="00A9469D">
        <w:t>rules</w:t>
      </w:r>
      <w:r w:rsidRPr="00A9469D">
        <w:t>:</w:t>
      </w:r>
    </w:p>
    <w:p w:rsidR="00F0645E" w:rsidRPr="00A9469D" w:rsidRDefault="00F0645E" w:rsidP="00A9469D">
      <w:pPr>
        <w:pStyle w:val="paragraph"/>
      </w:pPr>
      <w:r w:rsidRPr="00A9469D">
        <w:tab/>
        <w:t>(a)</w:t>
      </w:r>
      <w:r w:rsidRPr="00A9469D">
        <w:tab/>
      </w:r>
      <w:r w:rsidR="00426D7A" w:rsidRPr="00A9469D">
        <w:t>t</w:t>
      </w:r>
      <w:r w:rsidRPr="00A9469D">
        <w:t xml:space="preserve">he </w:t>
      </w:r>
      <w:r w:rsidR="007943A6" w:rsidRPr="00A9469D">
        <w:t xml:space="preserve">industrial </w:t>
      </w:r>
      <w:r w:rsidRPr="00A9469D">
        <w:t xml:space="preserve">chemical </w:t>
      </w:r>
      <w:r w:rsidR="00251F22" w:rsidRPr="00A9469D">
        <w:t>is taken, on and after 1</w:t>
      </w:r>
      <w:r w:rsidR="00A9469D" w:rsidRPr="00A9469D">
        <w:t> </w:t>
      </w:r>
      <w:r w:rsidR="00251F22" w:rsidRPr="00A9469D">
        <w:t xml:space="preserve">July </w:t>
      </w:r>
      <w:r w:rsidR="00012CE9">
        <w:t>2020</w:t>
      </w:r>
      <w:r w:rsidR="00251F22" w:rsidRPr="00A9469D">
        <w:t>, to have been</w:t>
      </w:r>
      <w:r w:rsidRPr="00A9469D">
        <w:t xml:space="preserve"> listed on the Inventory under the new law; and</w:t>
      </w:r>
    </w:p>
    <w:p w:rsidR="00873ED4" w:rsidRPr="00A9469D" w:rsidRDefault="00426D7A" w:rsidP="00A9469D">
      <w:pPr>
        <w:pStyle w:val="paragraph"/>
      </w:pPr>
      <w:r w:rsidRPr="00A9469D">
        <w:tab/>
        <w:t>(b</w:t>
      </w:r>
      <w:r w:rsidR="00873ED4" w:rsidRPr="00A9469D">
        <w:t>)</w:t>
      </w:r>
      <w:r w:rsidR="00873ED4" w:rsidRPr="00A9469D">
        <w:tab/>
        <w:t xml:space="preserve">the </w:t>
      </w:r>
      <w:r w:rsidR="00251F22" w:rsidRPr="00A9469D">
        <w:t xml:space="preserve">approved particulars </w:t>
      </w:r>
      <w:r w:rsidR="007A1F2F" w:rsidRPr="00A9469D">
        <w:t>under</w:t>
      </w:r>
      <w:r w:rsidR="00A500C3" w:rsidRPr="00A9469D">
        <w:t xml:space="preserve"> </w:t>
      </w:r>
      <w:r w:rsidR="00873ED4" w:rsidRPr="00A9469D">
        <w:t>paragraphs 12(3)(</w:t>
      </w:r>
      <w:proofErr w:type="spellStart"/>
      <w:r w:rsidR="00873ED4" w:rsidRPr="00A9469D">
        <w:t>db</w:t>
      </w:r>
      <w:proofErr w:type="spellEnd"/>
      <w:r w:rsidR="00873ED4" w:rsidRPr="00A9469D">
        <w:t>), (f) and (g)</w:t>
      </w:r>
      <w:r w:rsidR="00A2276B" w:rsidRPr="00A9469D">
        <w:t xml:space="preserve"> of the old law</w:t>
      </w:r>
      <w:r w:rsidR="00251F22" w:rsidRPr="00A9469D">
        <w:t xml:space="preserve"> are taken to be </w:t>
      </w:r>
      <w:r w:rsidR="00F61963" w:rsidRPr="00A9469D">
        <w:t xml:space="preserve">the </w:t>
      </w:r>
      <w:r w:rsidR="00251F22" w:rsidRPr="00A9469D">
        <w:t xml:space="preserve">terms of the </w:t>
      </w:r>
      <w:r w:rsidR="00F61963" w:rsidRPr="00A9469D">
        <w:t xml:space="preserve">Inventory </w:t>
      </w:r>
      <w:r w:rsidR="00251F22" w:rsidRPr="00A9469D">
        <w:t>listing for the industrial chemical</w:t>
      </w:r>
      <w:r w:rsidR="006B5196" w:rsidRPr="00A9469D">
        <w:t xml:space="preserve"> under the new law</w:t>
      </w:r>
      <w:r w:rsidR="00251F22" w:rsidRPr="00A9469D">
        <w:t>.</w:t>
      </w:r>
    </w:p>
    <w:p w:rsidR="00886C37" w:rsidRPr="00A9469D" w:rsidRDefault="00886C37" w:rsidP="00A9469D">
      <w:pPr>
        <w:pStyle w:val="Subitem"/>
      </w:pPr>
      <w:r w:rsidRPr="00A9469D">
        <w:t>(3)</w:t>
      </w:r>
      <w:r w:rsidRPr="00A9469D">
        <w:tab/>
        <w:t xml:space="preserve">To avoid doubt, nothing in this item is taken to change the time at which the </w:t>
      </w:r>
      <w:r w:rsidR="00BF4C20" w:rsidRPr="00A9469D">
        <w:t xml:space="preserve">industrial chemical was </w:t>
      </w:r>
      <w:r w:rsidR="00063699" w:rsidRPr="00A9469D">
        <w:t>listed</w:t>
      </w:r>
      <w:r w:rsidR="009A7E6B" w:rsidRPr="00A9469D">
        <w:t xml:space="preserve"> </w:t>
      </w:r>
      <w:r w:rsidR="00063699" w:rsidRPr="00A9469D">
        <w:t>on</w:t>
      </w:r>
      <w:r w:rsidR="009A7E6B" w:rsidRPr="00A9469D">
        <w:t xml:space="preserve"> the Inventory</w:t>
      </w:r>
      <w:r w:rsidRPr="00A9469D">
        <w:t>.</w:t>
      </w:r>
    </w:p>
    <w:p w:rsidR="00CF234F" w:rsidRPr="00A9469D" w:rsidRDefault="001B59A4" w:rsidP="00A9469D">
      <w:pPr>
        <w:pStyle w:val="ItemHead"/>
      </w:pPr>
      <w:r w:rsidRPr="00A9469D">
        <w:t>40</w:t>
      </w:r>
      <w:r w:rsidR="00CF234F" w:rsidRPr="00A9469D">
        <w:t xml:space="preserve">  Industrial chemicals included in confidential section of old Inventory</w:t>
      </w:r>
    </w:p>
    <w:p w:rsidR="00CF234F" w:rsidRPr="00A9469D" w:rsidRDefault="00CF234F" w:rsidP="00A9469D">
      <w:pPr>
        <w:pStyle w:val="Subitem"/>
      </w:pPr>
      <w:r w:rsidRPr="00A9469D">
        <w:t>(1)</w:t>
      </w:r>
      <w:r w:rsidRPr="00A9469D">
        <w:tab/>
        <w:t>This item applies if, immediately before 1</w:t>
      </w:r>
      <w:r w:rsidR="00A9469D" w:rsidRPr="00A9469D">
        <w:t> </w:t>
      </w:r>
      <w:r w:rsidRPr="00A9469D">
        <w:t xml:space="preserve">July </w:t>
      </w:r>
      <w:r w:rsidR="00012CE9">
        <w:t>2020</w:t>
      </w:r>
      <w:r w:rsidRPr="00A9469D">
        <w:t xml:space="preserve">, an industrial chemical was included in the </w:t>
      </w:r>
      <w:r w:rsidR="006B5196" w:rsidRPr="00A9469D">
        <w:t xml:space="preserve">confidential section of the </w:t>
      </w:r>
      <w:r w:rsidRPr="00A9469D">
        <w:t>old Inventory.</w:t>
      </w:r>
    </w:p>
    <w:p w:rsidR="00787AB8" w:rsidRPr="00A9469D" w:rsidRDefault="00CF234F" w:rsidP="00A9469D">
      <w:pPr>
        <w:pStyle w:val="Subitem"/>
      </w:pPr>
      <w:r w:rsidRPr="00A9469D">
        <w:t>(2)</w:t>
      </w:r>
      <w:r w:rsidRPr="00A9469D">
        <w:tab/>
      </w:r>
      <w:r w:rsidR="00886C37" w:rsidRPr="00A9469D">
        <w:t>For the purposes of the new law, s</w:t>
      </w:r>
      <w:r w:rsidRPr="00A9469D">
        <w:t>ubject to this Part and any modifications prescribed by the</w:t>
      </w:r>
      <w:r w:rsidR="007A1F2F" w:rsidRPr="00A9469D">
        <w:t xml:space="preserve"> transitional</w:t>
      </w:r>
      <w:r w:rsidRPr="00A9469D">
        <w:t xml:space="preserve"> rules</w:t>
      </w:r>
      <w:r w:rsidR="00787AB8" w:rsidRPr="00A9469D">
        <w:t>:</w:t>
      </w:r>
    </w:p>
    <w:p w:rsidR="00787AB8" w:rsidRPr="00A9469D" w:rsidRDefault="00787AB8" w:rsidP="00A9469D">
      <w:pPr>
        <w:pStyle w:val="paragraph"/>
      </w:pPr>
      <w:r w:rsidRPr="00A9469D">
        <w:tab/>
        <w:t>(a)</w:t>
      </w:r>
      <w:r w:rsidRPr="00A9469D">
        <w:tab/>
        <w:t>the industrial chemical is taken, on and after 1</w:t>
      </w:r>
      <w:r w:rsidR="00A9469D" w:rsidRPr="00A9469D">
        <w:t> </w:t>
      </w:r>
      <w:r w:rsidRPr="00A9469D">
        <w:t xml:space="preserve">July </w:t>
      </w:r>
      <w:r w:rsidR="00012CE9">
        <w:t>2020</w:t>
      </w:r>
      <w:r w:rsidRPr="00A9469D">
        <w:t>, to have been listed on the Inventory under the new law; and</w:t>
      </w:r>
    </w:p>
    <w:p w:rsidR="00787AB8" w:rsidRPr="00A9469D" w:rsidRDefault="00787AB8" w:rsidP="00A9469D">
      <w:pPr>
        <w:pStyle w:val="paragraph"/>
      </w:pPr>
      <w:r w:rsidRPr="00A9469D">
        <w:tab/>
        <w:t>(b)</w:t>
      </w:r>
      <w:r w:rsidRPr="00A9469D">
        <w:tab/>
        <w:t xml:space="preserve">the approved particulars under </w:t>
      </w:r>
      <w:r w:rsidR="00D25FFB" w:rsidRPr="00A9469D">
        <w:t>subsections</w:t>
      </w:r>
      <w:r w:rsidR="00A9469D" w:rsidRPr="00A9469D">
        <w:t> </w:t>
      </w:r>
      <w:r w:rsidRPr="00A9469D">
        <w:t>12(</w:t>
      </w:r>
      <w:r w:rsidR="00D25FFB" w:rsidRPr="00A9469D">
        <w:t>4</w:t>
      </w:r>
      <w:r w:rsidRPr="00A9469D">
        <w:t>)</w:t>
      </w:r>
      <w:r w:rsidR="00D25FFB" w:rsidRPr="00A9469D">
        <w:t xml:space="preserve"> and (4A)</w:t>
      </w:r>
      <w:r w:rsidRPr="00A9469D">
        <w:t xml:space="preserve"> of the old law are taken to be </w:t>
      </w:r>
      <w:r w:rsidR="00F61963" w:rsidRPr="00A9469D">
        <w:t xml:space="preserve">the </w:t>
      </w:r>
      <w:r w:rsidRPr="00A9469D">
        <w:t xml:space="preserve">terms of the </w:t>
      </w:r>
      <w:r w:rsidR="00F61963" w:rsidRPr="00A9469D">
        <w:t xml:space="preserve">Inventory </w:t>
      </w:r>
      <w:r w:rsidRPr="00A9469D">
        <w:t>listing for the industrial chemical under the new law; and</w:t>
      </w:r>
    </w:p>
    <w:p w:rsidR="00787AB8" w:rsidRPr="00A9469D" w:rsidRDefault="00787AB8" w:rsidP="00A9469D">
      <w:pPr>
        <w:pStyle w:val="paragraph"/>
      </w:pPr>
      <w:r w:rsidRPr="00A9469D">
        <w:tab/>
        <w:t>(c)</w:t>
      </w:r>
      <w:r w:rsidRPr="00A9469D">
        <w:tab/>
        <w:t>Subdivisions A and B of Division</w:t>
      </w:r>
      <w:r w:rsidR="00A9469D" w:rsidRPr="00A9469D">
        <w:t> </w:t>
      </w:r>
      <w:r w:rsidRPr="00A9469D">
        <w:t>4 of Part</w:t>
      </w:r>
      <w:r w:rsidR="00A9469D" w:rsidRPr="00A9469D">
        <w:t> </w:t>
      </w:r>
      <w:r w:rsidR="00D25FFB" w:rsidRPr="00A9469D">
        <w:t>6 of the new law apply</w:t>
      </w:r>
      <w:r w:rsidRPr="00A9469D">
        <w:t xml:space="preserve"> as if an application for the proper name for the industrial chemical to be treated as confidential business </w:t>
      </w:r>
      <w:r w:rsidRPr="00A9469D">
        <w:lastRenderedPageBreak/>
        <w:t>information had been approved under subsection</w:t>
      </w:r>
      <w:r w:rsidR="00A9469D" w:rsidRPr="00A9469D">
        <w:t> </w:t>
      </w:r>
      <w:r w:rsidRPr="00A9469D">
        <w:t>108(1)</w:t>
      </w:r>
      <w:r w:rsidR="0010598B" w:rsidRPr="00A9469D">
        <w:t xml:space="preserve"> of the new law</w:t>
      </w:r>
      <w:r w:rsidRPr="00A9469D">
        <w:t>; and</w:t>
      </w:r>
    </w:p>
    <w:p w:rsidR="00787AB8" w:rsidRPr="00A9469D" w:rsidRDefault="00787AB8" w:rsidP="00A9469D">
      <w:pPr>
        <w:pStyle w:val="paragraph"/>
      </w:pPr>
      <w:r w:rsidRPr="00A9469D">
        <w:tab/>
        <w:t>(d)</w:t>
      </w:r>
      <w:r w:rsidRPr="00A9469D">
        <w:tab/>
        <w:t xml:space="preserve">a reference in the new law to a requirement to publish an AACN in lieu of the proper name (including the CAS name, CAS number or molecular formula) for </w:t>
      </w:r>
      <w:r w:rsidR="00950230" w:rsidRPr="00A9469D">
        <w:t>the</w:t>
      </w:r>
      <w:r w:rsidRPr="00A9469D">
        <w:t xml:space="preserve"> industrial chemical </w:t>
      </w:r>
      <w:r w:rsidR="00950230" w:rsidRPr="00A9469D">
        <w:t>were</w:t>
      </w:r>
      <w:r w:rsidRPr="00A9469D">
        <w:t xml:space="preserve"> instead taken to be a requirement to publish “confidential” in lieu of each term of the </w:t>
      </w:r>
      <w:r w:rsidR="00F61963" w:rsidRPr="00A9469D">
        <w:t xml:space="preserve">Inventory </w:t>
      </w:r>
      <w:r w:rsidRPr="00A9469D">
        <w:t>listing</w:t>
      </w:r>
      <w:r w:rsidR="00F61963" w:rsidRPr="00A9469D">
        <w:t xml:space="preserve"> for the industrial chemical</w:t>
      </w:r>
      <w:r w:rsidRPr="00A9469D">
        <w:t>.</w:t>
      </w:r>
    </w:p>
    <w:p w:rsidR="00886C37" w:rsidRPr="00A9469D" w:rsidRDefault="00886C37" w:rsidP="00A9469D">
      <w:pPr>
        <w:pStyle w:val="Subitem"/>
      </w:pPr>
      <w:r w:rsidRPr="00A9469D">
        <w:t>(3)</w:t>
      </w:r>
      <w:r w:rsidRPr="00A9469D">
        <w:tab/>
        <w:t xml:space="preserve">To avoid doubt, nothing in this item is taken to change the time at which the </w:t>
      </w:r>
      <w:r w:rsidR="00BC641F" w:rsidRPr="00A9469D">
        <w:t>industrial che</w:t>
      </w:r>
      <w:r w:rsidR="0004560E" w:rsidRPr="00A9469D">
        <w:t xml:space="preserve">mical was </w:t>
      </w:r>
      <w:r w:rsidR="00063699" w:rsidRPr="00A9469D">
        <w:t>listed o</w:t>
      </w:r>
      <w:r w:rsidR="009A7E6B" w:rsidRPr="00A9469D">
        <w:t>n the Inventory</w:t>
      </w:r>
      <w:r w:rsidRPr="00A9469D">
        <w:t>.</w:t>
      </w:r>
    </w:p>
    <w:p w:rsidR="002206C3" w:rsidRPr="00A9469D" w:rsidRDefault="002206C3" w:rsidP="00A9469D">
      <w:pPr>
        <w:pStyle w:val="ActHead8"/>
      </w:pPr>
      <w:bookmarkStart w:id="32" w:name="_Toc3448261"/>
      <w:r w:rsidRPr="00A9469D">
        <w:t>Division</w:t>
      </w:r>
      <w:r w:rsidR="00A9469D" w:rsidRPr="00A9469D">
        <w:t> </w:t>
      </w:r>
      <w:r w:rsidR="00A853EE" w:rsidRPr="00A9469D">
        <w:t>2</w:t>
      </w:r>
      <w:r w:rsidRPr="00A9469D">
        <w:t>—Pending applications</w:t>
      </w:r>
      <w:bookmarkEnd w:id="32"/>
    </w:p>
    <w:p w:rsidR="008551C3" w:rsidRPr="00A9469D" w:rsidRDefault="001B59A4" w:rsidP="00A9469D">
      <w:pPr>
        <w:pStyle w:val="ItemHead"/>
      </w:pPr>
      <w:r w:rsidRPr="00A9469D">
        <w:t>41</w:t>
      </w:r>
      <w:r w:rsidR="008551C3" w:rsidRPr="00A9469D">
        <w:t xml:space="preserve">  Pending applications for early </w:t>
      </w:r>
      <w:r w:rsidR="00063699" w:rsidRPr="00A9469D">
        <w:t>listing</w:t>
      </w:r>
      <w:r w:rsidR="008551C3" w:rsidRPr="00A9469D">
        <w:t xml:space="preserve"> in </w:t>
      </w:r>
      <w:r w:rsidR="00A32F0E" w:rsidRPr="00A9469D">
        <w:t>non</w:t>
      </w:r>
      <w:r w:rsidR="008B644E">
        <w:noBreakHyphen/>
      </w:r>
      <w:r w:rsidR="00A32F0E" w:rsidRPr="00A9469D">
        <w:t xml:space="preserve">confidential section of </w:t>
      </w:r>
      <w:r w:rsidR="008551C3" w:rsidRPr="00A9469D">
        <w:t>old Inventory</w:t>
      </w:r>
    </w:p>
    <w:p w:rsidR="008551C3" w:rsidRPr="00A9469D" w:rsidRDefault="008551C3" w:rsidP="00A9469D">
      <w:pPr>
        <w:pStyle w:val="Subitem"/>
      </w:pPr>
      <w:r w:rsidRPr="00A9469D">
        <w:t>(1)</w:t>
      </w:r>
      <w:r w:rsidRPr="00A9469D">
        <w:tab/>
        <w:t>This item applies in relation to an application, if:</w:t>
      </w:r>
    </w:p>
    <w:p w:rsidR="00813C59" w:rsidRPr="00A9469D" w:rsidRDefault="00813C59" w:rsidP="00A9469D">
      <w:pPr>
        <w:pStyle w:val="paragraph"/>
      </w:pPr>
      <w:r w:rsidRPr="00A9469D">
        <w:tab/>
        <w:t>(a)</w:t>
      </w:r>
      <w:r w:rsidRPr="00A9469D">
        <w:tab/>
        <w:t>the application is for the inclusion of an industrial chemical in the non</w:t>
      </w:r>
      <w:r w:rsidR="008B644E">
        <w:noBreakHyphen/>
      </w:r>
      <w:r w:rsidRPr="00A9469D">
        <w:t>confidential section of the old Inventory under section</w:t>
      </w:r>
      <w:r w:rsidR="00A9469D" w:rsidRPr="00A9469D">
        <w:t> </w:t>
      </w:r>
      <w:r w:rsidRPr="00A9469D">
        <w:t xml:space="preserve">13B of the old law; </w:t>
      </w:r>
      <w:r w:rsidR="00B93813" w:rsidRPr="00A9469D">
        <w:t>and</w:t>
      </w:r>
    </w:p>
    <w:p w:rsidR="008551C3" w:rsidRPr="00A9469D" w:rsidRDefault="00B34EF0" w:rsidP="00A9469D">
      <w:pPr>
        <w:pStyle w:val="paragraph"/>
      </w:pPr>
      <w:r w:rsidRPr="00A9469D">
        <w:tab/>
        <w:t>(b</w:t>
      </w:r>
      <w:r w:rsidR="008551C3" w:rsidRPr="00A9469D">
        <w:t>)</w:t>
      </w:r>
      <w:r w:rsidR="008551C3" w:rsidRPr="00A9469D">
        <w:tab/>
        <w:t>the application is pending immediately before 1</w:t>
      </w:r>
      <w:r w:rsidR="00A9469D" w:rsidRPr="00A9469D">
        <w:t> </w:t>
      </w:r>
      <w:r w:rsidR="008551C3" w:rsidRPr="00A9469D">
        <w:t xml:space="preserve">July </w:t>
      </w:r>
      <w:r w:rsidR="00012CE9">
        <w:t>2020</w:t>
      </w:r>
      <w:r w:rsidR="008551C3" w:rsidRPr="00A9469D">
        <w:t>.</w:t>
      </w:r>
    </w:p>
    <w:p w:rsidR="008551C3" w:rsidRPr="00A9469D" w:rsidRDefault="008551C3" w:rsidP="00A9469D">
      <w:pPr>
        <w:pStyle w:val="Subitem"/>
      </w:pPr>
      <w:r w:rsidRPr="00A9469D">
        <w:t>(2)</w:t>
      </w:r>
      <w:r w:rsidRPr="00A9469D">
        <w:tab/>
        <w:t>For the purposes of the new law,</w:t>
      </w:r>
      <w:r w:rsidR="009A7E6B" w:rsidRPr="00A9469D">
        <w:t xml:space="preserve"> </w:t>
      </w:r>
      <w:r w:rsidRPr="00A9469D">
        <w:t>subject to</w:t>
      </w:r>
      <w:r w:rsidR="00C321EF" w:rsidRPr="00A9469D">
        <w:t xml:space="preserve"> this Part and</w:t>
      </w:r>
      <w:r w:rsidRPr="00A9469D">
        <w:t xml:space="preserve"> any modifications prescribed by the transitional rules, the application has effect, on and after </w:t>
      </w:r>
      <w:r w:rsidR="00B34EF0" w:rsidRPr="00A9469D">
        <w:t>1</w:t>
      </w:r>
      <w:r w:rsidR="00A9469D" w:rsidRPr="00A9469D">
        <w:t> </w:t>
      </w:r>
      <w:r w:rsidR="00B34EF0" w:rsidRPr="00A9469D">
        <w:t xml:space="preserve">July </w:t>
      </w:r>
      <w:r w:rsidR="00012CE9">
        <w:t>2020</w:t>
      </w:r>
      <w:r w:rsidRPr="00A9469D">
        <w:t xml:space="preserve">, as if it were an application </w:t>
      </w:r>
      <w:r w:rsidR="00BC71FA" w:rsidRPr="00A9469D">
        <w:t>made under section</w:t>
      </w:r>
      <w:r w:rsidR="00A9469D" w:rsidRPr="00A9469D">
        <w:t> </w:t>
      </w:r>
      <w:r w:rsidR="00BC71FA" w:rsidRPr="00A9469D">
        <w:t xml:space="preserve">83 of the new law </w:t>
      </w:r>
      <w:r w:rsidRPr="00A9469D">
        <w:t>for the industrial chemical to be listed on the I</w:t>
      </w:r>
      <w:r w:rsidR="00BC71FA" w:rsidRPr="00A9469D">
        <w:t>nventory</w:t>
      </w:r>
      <w:r w:rsidRPr="00A9469D">
        <w:t>.</w:t>
      </w:r>
    </w:p>
    <w:p w:rsidR="00A20F42" w:rsidRPr="00A9469D" w:rsidRDefault="001B59A4" w:rsidP="00A9469D">
      <w:pPr>
        <w:pStyle w:val="ItemHead"/>
      </w:pPr>
      <w:r w:rsidRPr="00A9469D">
        <w:t>42</w:t>
      </w:r>
      <w:r w:rsidR="00A20F42" w:rsidRPr="00A9469D">
        <w:t xml:space="preserve">  Pending applications for </w:t>
      </w:r>
      <w:r w:rsidR="00063699" w:rsidRPr="00A9469D">
        <w:t>listing</w:t>
      </w:r>
      <w:r w:rsidR="00A20F42" w:rsidRPr="00A9469D">
        <w:t xml:space="preserve"> in confidential section of old Inventory</w:t>
      </w:r>
    </w:p>
    <w:p w:rsidR="00A20F42" w:rsidRPr="00A9469D" w:rsidRDefault="00A20F42" w:rsidP="00A9469D">
      <w:pPr>
        <w:pStyle w:val="Subitem"/>
      </w:pPr>
      <w:r w:rsidRPr="00A9469D">
        <w:t>(1)</w:t>
      </w:r>
      <w:r w:rsidRPr="00A9469D">
        <w:tab/>
        <w:t>This item applies in relation to an application if:</w:t>
      </w:r>
    </w:p>
    <w:p w:rsidR="00A20F42" w:rsidRPr="00A9469D" w:rsidRDefault="00A20F42" w:rsidP="00A9469D">
      <w:pPr>
        <w:pStyle w:val="paragraph"/>
      </w:pPr>
      <w:r w:rsidRPr="00A9469D">
        <w:tab/>
        <w:t>(a)</w:t>
      </w:r>
      <w:r w:rsidRPr="00A9469D">
        <w:tab/>
        <w:t>the application is for the inclusion of an industrial chemical in the confidential section of the old Inventory under subsection</w:t>
      </w:r>
      <w:r w:rsidR="00A9469D" w:rsidRPr="00A9469D">
        <w:t> </w:t>
      </w:r>
      <w:r w:rsidRPr="00A9469D">
        <w:t>14(3) of the old law; and</w:t>
      </w:r>
    </w:p>
    <w:p w:rsidR="00A20F42" w:rsidRPr="00A9469D" w:rsidRDefault="00B34EF0" w:rsidP="00A9469D">
      <w:pPr>
        <w:pStyle w:val="paragraph"/>
      </w:pPr>
      <w:r w:rsidRPr="00A9469D">
        <w:tab/>
        <w:t>(b</w:t>
      </w:r>
      <w:r w:rsidR="00A20F42" w:rsidRPr="00A9469D">
        <w:t>)</w:t>
      </w:r>
      <w:r w:rsidR="00A20F42" w:rsidRPr="00A9469D">
        <w:tab/>
        <w:t>the application is pending immediately before 1</w:t>
      </w:r>
      <w:r w:rsidR="00A9469D" w:rsidRPr="00A9469D">
        <w:t> </w:t>
      </w:r>
      <w:r w:rsidR="00A20F42" w:rsidRPr="00A9469D">
        <w:t xml:space="preserve">July </w:t>
      </w:r>
      <w:r w:rsidR="00012CE9">
        <w:t>2020</w:t>
      </w:r>
      <w:r w:rsidR="00A20F42" w:rsidRPr="00A9469D">
        <w:t>.</w:t>
      </w:r>
    </w:p>
    <w:p w:rsidR="003A6190" w:rsidRPr="00A9469D" w:rsidRDefault="00A20F42" w:rsidP="00A9469D">
      <w:pPr>
        <w:pStyle w:val="Subitem"/>
      </w:pPr>
      <w:r w:rsidRPr="00A9469D">
        <w:t>(2)</w:t>
      </w:r>
      <w:r w:rsidRPr="00A9469D">
        <w:tab/>
      </w:r>
      <w:r w:rsidR="003A6190" w:rsidRPr="00A9469D">
        <w:t>For the purposes of the new law, s</w:t>
      </w:r>
      <w:r w:rsidRPr="00A9469D">
        <w:t>ubject to this Part and any modifications presc</w:t>
      </w:r>
      <w:r w:rsidR="003A6190" w:rsidRPr="00A9469D">
        <w:t>ribed by the transitional rules:</w:t>
      </w:r>
    </w:p>
    <w:p w:rsidR="003A6190" w:rsidRPr="00A9469D" w:rsidRDefault="0004560E" w:rsidP="00A9469D">
      <w:pPr>
        <w:pStyle w:val="paragraph"/>
      </w:pPr>
      <w:r w:rsidRPr="00A9469D">
        <w:lastRenderedPageBreak/>
        <w:tab/>
        <w:t>(a)</w:t>
      </w:r>
      <w:r w:rsidRPr="00A9469D">
        <w:tab/>
        <w:t>the application has effect, on and after 1</w:t>
      </w:r>
      <w:r w:rsidR="00A9469D" w:rsidRPr="00A9469D">
        <w:t> </w:t>
      </w:r>
      <w:r w:rsidRPr="00A9469D">
        <w:t xml:space="preserve">July </w:t>
      </w:r>
      <w:r w:rsidR="009F1761">
        <w:t>2020</w:t>
      </w:r>
      <w:r w:rsidRPr="00A9469D">
        <w:t xml:space="preserve">, </w:t>
      </w:r>
      <w:r w:rsidR="00795DFF" w:rsidRPr="00A9469D">
        <w:t xml:space="preserve">as if it were an application </w:t>
      </w:r>
      <w:r w:rsidR="003A6190" w:rsidRPr="00A9469D">
        <w:t>made under subsection</w:t>
      </w:r>
      <w:r w:rsidR="00A9469D" w:rsidRPr="00A9469D">
        <w:t> </w:t>
      </w:r>
      <w:r w:rsidR="003A6190" w:rsidRPr="00A9469D">
        <w:t>1</w:t>
      </w:r>
      <w:r w:rsidR="00B81523" w:rsidRPr="00A9469D">
        <w:t>05</w:t>
      </w:r>
      <w:r w:rsidR="005F08B8" w:rsidRPr="00A9469D">
        <w:t>(1) of the new law</w:t>
      </w:r>
      <w:r w:rsidR="003A6190" w:rsidRPr="00A9469D">
        <w:t xml:space="preserve"> for the proper name for the industrial chemical to b</w:t>
      </w:r>
      <w:r w:rsidR="00B81523" w:rsidRPr="00A9469D">
        <w:t>e tr</w:t>
      </w:r>
      <w:r w:rsidR="003A6190" w:rsidRPr="00A9469D">
        <w:t>eated as confidential business information; and</w:t>
      </w:r>
    </w:p>
    <w:p w:rsidR="00B81523" w:rsidRPr="00A9469D" w:rsidRDefault="00B81523" w:rsidP="00A9469D">
      <w:pPr>
        <w:pStyle w:val="paragraph"/>
      </w:pPr>
      <w:r w:rsidRPr="00A9469D">
        <w:tab/>
        <w:t>(b)</w:t>
      </w:r>
      <w:r w:rsidRPr="00A9469D">
        <w:tab/>
        <w:t>subsection</w:t>
      </w:r>
      <w:r w:rsidR="00A9469D" w:rsidRPr="00A9469D">
        <w:t> </w:t>
      </w:r>
      <w:r w:rsidRPr="00A9469D">
        <w:t>82(2) of the new law applies as if:</w:t>
      </w:r>
    </w:p>
    <w:p w:rsidR="00B81523" w:rsidRPr="00A9469D" w:rsidRDefault="00B81523" w:rsidP="00A9469D">
      <w:pPr>
        <w:pStyle w:val="paragraphsub"/>
      </w:pPr>
      <w:r w:rsidRPr="00A9469D">
        <w:tab/>
        <w:t>(</w:t>
      </w:r>
      <w:proofErr w:type="spellStart"/>
      <w:r w:rsidRPr="00A9469D">
        <w:t>i</w:t>
      </w:r>
      <w:proofErr w:type="spellEnd"/>
      <w:r w:rsidRPr="00A9469D">
        <w:t>)</w:t>
      </w:r>
      <w:r w:rsidRPr="00A9469D">
        <w:tab/>
      </w:r>
      <w:r w:rsidR="00A9469D" w:rsidRPr="00A9469D">
        <w:t>paragraph (</w:t>
      </w:r>
      <w:r w:rsidRPr="00A9469D">
        <w:t>2)(b) did not apply; and</w:t>
      </w:r>
    </w:p>
    <w:p w:rsidR="00B81523" w:rsidRPr="00A9469D" w:rsidRDefault="00B81523" w:rsidP="00A9469D">
      <w:pPr>
        <w:pStyle w:val="paragraphsub"/>
      </w:pPr>
      <w:r w:rsidRPr="00A9469D">
        <w:tab/>
        <w:t>(ii)</w:t>
      </w:r>
      <w:r w:rsidRPr="00A9469D">
        <w:tab/>
      </w:r>
      <w:r w:rsidR="00A9469D" w:rsidRPr="00A9469D">
        <w:t>paragraph (</w:t>
      </w:r>
      <w:r w:rsidR="00F61963" w:rsidRPr="00A9469D">
        <w:t xml:space="preserve">2)(c) </w:t>
      </w:r>
      <w:r w:rsidRPr="00A9469D">
        <w:t xml:space="preserve">were instead </w:t>
      </w:r>
      <w:r w:rsidR="001E3629" w:rsidRPr="00A9469D">
        <w:t>a requirement for</w:t>
      </w:r>
      <w:r w:rsidRPr="00A9469D">
        <w:t xml:space="preserve"> a decision to have been made on the application</w:t>
      </w:r>
      <w:r w:rsidR="00B713D6" w:rsidRPr="00A9469D">
        <w:t xml:space="preserve"> and </w:t>
      </w:r>
      <w:r w:rsidR="00F61963" w:rsidRPr="00A9469D">
        <w:t xml:space="preserve">for </w:t>
      </w:r>
      <w:r w:rsidR="00B713D6" w:rsidRPr="00A9469D">
        <w:t>the reconsideration and review rights under section</w:t>
      </w:r>
      <w:r w:rsidR="00A9469D" w:rsidRPr="00A9469D">
        <w:t> </w:t>
      </w:r>
      <w:r w:rsidR="00B713D6" w:rsidRPr="00A9469D">
        <w:t xml:space="preserve">166 of the new law in relation to the decision </w:t>
      </w:r>
      <w:r w:rsidR="004E2A7A" w:rsidRPr="00A9469D">
        <w:t xml:space="preserve">to </w:t>
      </w:r>
      <w:r w:rsidR="00B713D6" w:rsidRPr="00A9469D">
        <w:t>have been exhausted or have expired</w:t>
      </w:r>
      <w:r w:rsidRPr="00A9469D">
        <w:t>;</w:t>
      </w:r>
      <w:r w:rsidR="0010598B" w:rsidRPr="00A9469D">
        <w:t xml:space="preserve"> and</w:t>
      </w:r>
    </w:p>
    <w:p w:rsidR="00B81523" w:rsidRPr="00A9469D" w:rsidRDefault="00B81523" w:rsidP="00A9469D">
      <w:pPr>
        <w:pStyle w:val="paragraphsub"/>
      </w:pPr>
      <w:r w:rsidRPr="00A9469D">
        <w:tab/>
        <w:t>(iii)</w:t>
      </w:r>
      <w:r w:rsidRPr="00A9469D">
        <w:tab/>
      </w:r>
      <w:r w:rsidR="00A9469D" w:rsidRPr="00A9469D">
        <w:t>paragraph (</w:t>
      </w:r>
      <w:r w:rsidRPr="00A9469D">
        <w:t>2)(d) did not apply; and</w:t>
      </w:r>
    </w:p>
    <w:p w:rsidR="00795DFF" w:rsidRPr="00A9469D" w:rsidRDefault="0004560E" w:rsidP="00A9469D">
      <w:pPr>
        <w:pStyle w:val="paragraph"/>
      </w:pPr>
      <w:r w:rsidRPr="00A9469D">
        <w:tab/>
        <w:t>(c</w:t>
      </w:r>
      <w:r w:rsidR="003A6190" w:rsidRPr="00A9469D">
        <w:t>)</w:t>
      </w:r>
      <w:r w:rsidR="003A6190" w:rsidRPr="00A9469D">
        <w:tab/>
      </w:r>
      <w:r w:rsidR="00795DFF" w:rsidRPr="00A9469D">
        <w:t>if the application is approved:</w:t>
      </w:r>
    </w:p>
    <w:p w:rsidR="00795DFF" w:rsidRPr="00A9469D" w:rsidRDefault="00B713D6" w:rsidP="00A9469D">
      <w:pPr>
        <w:pStyle w:val="paragraphsub"/>
      </w:pPr>
      <w:r w:rsidRPr="00A9469D">
        <w:tab/>
        <w:t>(</w:t>
      </w:r>
      <w:proofErr w:type="spellStart"/>
      <w:r w:rsidRPr="00A9469D">
        <w:t>i</w:t>
      </w:r>
      <w:proofErr w:type="spellEnd"/>
      <w:r w:rsidRPr="00A9469D">
        <w:t>)</w:t>
      </w:r>
      <w:r w:rsidRPr="00A9469D">
        <w:tab/>
        <w:t>paragraph</w:t>
      </w:r>
      <w:r w:rsidR="00A9469D" w:rsidRPr="00A9469D">
        <w:t> </w:t>
      </w:r>
      <w:r w:rsidRPr="00A9469D">
        <w:t>108(3)(a</w:t>
      </w:r>
      <w:r w:rsidR="00795DFF" w:rsidRPr="00A9469D">
        <w:t>) of the new law does not apply in relation to the industrial chemical; and</w:t>
      </w:r>
    </w:p>
    <w:p w:rsidR="003A6190" w:rsidRPr="00A9469D" w:rsidRDefault="00795DFF" w:rsidP="00A9469D">
      <w:pPr>
        <w:pStyle w:val="paragraphsub"/>
      </w:pPr>
      <w:r w:rsidRPr="00A9469D">
        <w:tab/>
        <w:t>(ii)</w:t>
      </w:r>
      <w:r w:rsidRPr="00A9469D">
        <w:tab/>
      </w:r>
      <w:r w:rsidR="003A6190" w:rsidRPr="00A9469D">
        <w:t xml:space="preserve">a reference in the new law to a requirement to publish an AACN in lieu of the proper name (including the CAS name, CAS number or molecular formula) for an industrial chemical is instead taken to be a </w:t>
      </w:r>
      <w:r w:rsidRPr="00A9469D">
        <w:t xml:space="preserve">reference to a </w:t>
      </w:r>
      <w:r w:rsidR="003A6190" w:rsidRPr="00A9469D">
        <w:t xml:space="preserve">requirement to publish “confidential” in lieu of </w:t>
      </w:r>
      <w:r w:rsidR="000307B6" w:rsidRPr="00A9469D">
        <w:t>each term of the</w:t>
      </w:r>
      <w:r w:rsidR="0004560E" w:rsidRPr="00A9469D">
        <w:t xml:space="preserve"> Inventory</w:t>
      </w:r>
      <w:r w:rsidR="000307B6" w:rsidRPr="00A9469D">
        <w:t xml:space="preserve"> listing</w:t>
      </w:r>
      <w:r w:rsidR="0004560E" w:rsidRPr="00A9469D">
        <w:t xml:space="preserve"> for the industrial chemical</w:t>
      </w:r>
      <w:r w:rsidR="003A6190" w:rsidRPr="00A9469D">
        <w:t>.</w:t>
      </w:r>
    </w:p>
    <w:p w:rsidR="00A20F42" w:rsidRPr="00A9469D" w:rsidRDefault="00A20F42" w:rsidP="00A9469D">
      <w:pPr>
        <w:pStyle w:val="ActHead8"/>
      </w:pPr>
      <w:bookmarkStart w:id="33" w:name="_Toc3448262"/>
      <w:r w:rsidRPr="00A9469D">
        <w:t>Division</w:t>
      </w:r>
      <w:r w:rsidR="00A9469D" w:rsidRPr="00A9469D">
        <w:t> </w:t>
      </w:r>
      <w:r w:rsidR="00A853EE" w:rsidRPr="00A9469D">
        <w:t>3</w:t>
      </w:r>
      <w:r w:rsidRPr="00A9469D">
        <w:t xml:space="preserve">—Confidential </w:t>
      </w:r>
      <w:r w:rsidR="00A853EE" w:rsidRPr="00A9469D">
        <w:t>listings</w:t>
      </w:r>
      <w:bookmarkEnd w:id="33"/>
    </w:p>
    <w:p w:rsidR="00F0645E" w:rsidRPr="00A9469D" w:rsidRDefault="001B59A4" w:rsidP="00A9469D">
      <w:pPr>
        <w:pStyle w:val="ItemHead"/>
      </w:pPr>
      <w:r w:rsidRPr="00A9469D">
        <w:t>43</w:t>
      </w:r>
      <w:r w:rsidR="00F0645E" w:rsidRPr="00A9469D">
        <w:t xml:space="preserve">  Application for </w:t>
      </w:r>
      <w:r w:rsidR="00A853EE" w:rsidRPr="00A9469D">
        <w:t>confidential listing</w:t>
      </w:r>
    </w:p>
    <w:p w:rsidR="00F0645E" w:rsidRPr="00A9469D" w:rsidRDefault="00F0645E" w:rsidP="00A9469D">
      <w:pPr>
        <w:pStyle w:val="Subitem"/>
      </w:pPr>
      <w:r w:rsidRPr="00A9469D">
        <w:t>(1)</w:t>
      </w:r>
      <w:r w:rsidRPr="00A9469D">
        <w:tab/>
        <w:t>This item applies in relation to an industrial chemical if:</w:t>
      </w:r>
    </w:p>
    <w:p w:rsidR="00F0645E" w:rsidRPr="00A9469D" w:rsidRDefault="00F0645E" w:rsidP="00A9469D">
      <w:pPr>
        <w:pStyle w:val="paragraph"/>
      </w:pPr>
      <w:r w:rsidRPr="00A9469D">
        <w:tab/>
        <w:t>(a)</w:t>
      </w:r>
      <w:r w:rsidRPr="00A9469D">
        <w:tab/>
        <w:t>immediately before 1</w:t>
      </w:r>
      <w:r w:rsidR="00A9469D" w:rsidRPr="00A9469D">
        <w:t> </w:t>
      </w:r>
      <w:r w:rsidRPr="00A9469D">
        <w:t xml:space="preserve">July </w:t>
      </w:r>
      <w:r w:rsidR="009F1761">
        <w:t xml:space="preserve">2020 </w:t>
      </w:r>
      <w:r w:rsidRPr="00A9469D">
        <w:t xml:space="preserve">an assessment certificate for </w:t>
      </w:r>
      <w:r w:rsidR="00544161" w:rsidRPr="00A9469D">
        <w:t>the</w:t>
      </w:r>
      <w:r w:rsidRPr="00A9469D">
        <w:t xml:space="preserve"> industrial chemical was in force under the old law; and</w:t>
      </w:r>
    </w:p>
    <w:p w:rsidR="00D8680D" w:rsidRPr="00A9469D" w:rsidRDefault="00F0645E" w:rsidP="00A9469D">
      <w:pPr>
        <w:pStyle w:val="paragraph"/>
      </w:pPr>
      <w:r w:rsidRPr="00A9469D">
        <w:tab/>
        <w:t>(b)</w:t>
      </w:r>
      <w:r w:rsidRPr="00A9469D">
        <w:tab/>
        <w:t>the Executive Director has</w:t>
      </w:r>
      <w:r w:rsidR="00D8680D" w:rsidRPr="00A9469D">
        <w:t xml:space="preserve"> given notice to a holder of the assessment certificate that the industrial chemical is to be listed on the Inventory; and</w:t>
      </w:r>
    </w:p>
    <w:p w:rsidR="00D8680D" w:rsidRPr="00A9469D" w:rsidRDefault="00D8680D" w:rsidP="00A9469D">
      <w:pPr>
        <w:pStyle w:val="paragraph"/>
      </w:pPr>
      <w:r w:rsidRPr="00A9469D">
        <w:tab/>
        <w:t>(c)</w:t>
      </w:r>
      <w:r w:rsidRPr="00A9469D">
        <w:tab/>
        <w:t>the notice was given under subsection</w:t>
      </w:r>
      <w:r w:rsidR="00A9469D" w:rsidRPr="00A9469D">
        <w:t> </w:t>
      </w:r>
      <w:r w:rsidRPr="00A9469D">
        <w:t>14(2) of the old law or paragraph</w:t>
      </w:r>
      <w:r w:rsidR="00A9469D" w:rsidRPr="00A9469D">
        <w:t> </w:t>
      </w:r>
      <w:r w:rsidRPr="00A9469D">
        <w:t>82(2)(a) of the new law.</w:t>
      </w:r>
    </w:p>
    <w:p w:rsidR="00A26D7D" w:rsidRPr="00A9469D" w:rsidRDefault="00F0645E" w:rsidP="00A9469D">
      <w:pPr>
        <w:pStyle w:val="Subitem"/>
      </w:pPr>
      <w:r w:rsidRPr="00A9469D">
        <w:t>(2)</w:t>
      </w:r>
      <w:r w:rsidRPr="00A9469D">
        <w:tab/>
      </w:r>
      <w:r w:rsidR="00A26D7D" w:rsidRPr="00A9469D">
        <w:t xml:space="preserve">The holder of the assessment certificate may apply to the Executive Director for </w:t>
      </w:r>
      <w:r w:rsidR="00D8680D" w:rsidRPr="00A9469D">
        <w:t>“confidential</w:t>
      </w:r>
      <w:r w:rsidR="004F64F8" w:rsidRPr="00A9469D">
        <w:t>”</w:t>
      </w:r>
      <w:r w:rsidR="005251A2" w:rsidRPr="00A9469D">
        <w:t xml:space="preserve"> </w:t>
      </w:r>
      <w:r w:rsidR="00D8680D" w:rsidRPr="00A9469D">
        <w:t xml:space="preserve">to be published in lieu of </w:t>
      </w:r>
      <w:r w:rsidR="0004560E" w:rsidRPr="00A9469D">
        <w:t xml:space="preserve">each term of the </w:t>
      </w:r>
      <w:r w:rsidR="00F61963" w:rsidRPr="00A9469D">
        <w:t xml:space="preserve">Inventory </w:t>
      </w:r>
      <w:r w:rsidR="0004560E" w:rsidRPr="00A9469D">
        <w:t>listing</w:t>
      </w:r>
      <w:r w:rsidR="00A56C94" w:rsidRPr="00A9469D">
        <w:t xml:space="preserve"> </w:t>
      </w:r>
      <w:r w:rsidR="00D8680D" w:rsidRPr="00A9469D">
        <w:t xml:space="preserve">for </w:t>
      </w:r>
      <w:r w:rsidR="00A56C94" w:rsidRPr="00A9469D">
        <w:t>the industrial chemical.</w:t>
      </w:r>
    </w:p>
    <w:p w:rsidR="00473C1F" w:rsidRPr="00A9469D" w:rsidRDefault="00BA46B9" w:rsidP="00A9469D">
      <w:pPr>
        <w:pStyle w:val="Subitem"/>
      </w:pPr>
      <w:r w:rsidRPr="00A9469D">
        <w:lastRenderedPageBreak/>
        <w:t>(3</w:t>
      </w:r>
      <w:r w:rsidR="00A26D7D" w:rsidRPr="00A9469D">
        <w:t>)</w:t>
      </w:r>
      <w:r w:rsidR="00A26D7D" w:rsidRPr="00A9469D">
        <w:tab/>
      </w:r>
      <w:r w:rsidR="00473C1F" w:rsidRPr="00A9469D">
        <w:t>For the purposes of the new law, subject to this Part and any modifications prescribed by the transitional rules:</w:t>
      </w:r>
    </w:p>
    <w:p w:rsidR="00D8680D" w:rsidRPr="00A9469D" w:rsidRDefault="00473C1F" w:rsidP="00A9469D">
      <w:pPr>
        <w:pStyle w:val="paragraph"/>
      </w:pPr>
      <w:r w:rsidRPr="00A9469D">
        <w:tab/>
        <w:t>(a)</w:t>
      </w:r>
      <w:r w:rsidRPr="00A9469D">
        <w:tab/>
        <w:t>a</w:t>
      </w:r>
      <w:r w:rsidR="00D8680D" w:rsidRPr="00A9469D">
        <w:t xml:space="preserve">n application made under </w:t>
      </w:r>
      <w:proofErr w:type="spellStart"/>
      <w:r w:rsidR="00A9469D" w:rsidRPr="00A9469D">
        <w:t>subitem</w:t>
      </w:r>
      <w:proofErr w:type="spellEnd"/>
      <w:r w:rsidR="00A9469D" w:rsidRPr="00A9469D">
        <w:t> (</w:t>
      </w:r>
      <w:r w:rsidR="003F551E" w:rsidRPr="00A9469D">
        <w:t>2)</w:t>
      </w:r>
      <w:r w:rsidR="00D8680D" w:rsidRPr="00A9469D">
        <w:t xml:space="preserve"> is taken</w:t>
      </w:r>
      <w:r w:rsidR="005F08B8" w:rsidRPr="00A9469D">
        <w:t xml:space="preserve"> </w:t>
      </w:r>
      <w:r w:rsidR="00D8680D" w:rsidRPr="00A9469D">
        <w:t>to be an application made under subsection</w:t>
      </w:r>
      <w:r w:rsidR="00A9469D" w:rsidRPr="00A9469D">
        <w:t> </w:t>
      </w:r>
      <w:r w:rsidR="00D8680D" w:rsidRPr="00A9469D">
        <w:t>1</w:t>
      </w:r>
      <w:r w:rsidR="0049442F" w:rsidRPr="00A9469D">
        <w:t>05</w:t>
      </w:r>
      <w:r w:rsidR="00D8680D" w:rsidRPr="00A9469D">
        <w:t xml:space="preserve">(1) of the new law for the proper name </w:t>
      </w:r>
      <w:r w:rsidR="005F08B8" w:rsidRPr="00A9469D">
        <w:t>for</w:t>
      </w:r>
      <w:r w:rsidR="00D8680D" w:rsidRPr="00A9469D">
        <w:t xml:space="preserve"> the industrial chemical to be treated as co</w:t>
      </w:r>
      <w:r w:rsidR="005F08B8" w:rsidRPr="00A9469D">
        <w:t>nfidential business information; and</w:t>
      </w:r>
    </w:p>
    <w:p w:rsidR="005F08B8" w:rsidRPr="00A9469D" w:rsidRDefault="005F08B8" w:rsidP="00A9469D">
      <w:pPr>
        <w:pStyle w:val="paragraph"/>
      </w:pPr>
      <w:r w:rsidRPr="00A9469D">
        <w:tab/>
        <w:t>(b)</w:t>
      </w:r>
      <w:r w:rsidRPr="00A9469D">
        <w:tab/>
        <w:t>subsection</w:t>
      </w:r>
      <w:r w:rsidR="00A9469D" w:rsidRPr="00A9469D">
        <w:t> </w:t>
      </w:r>
      <w:r w:rsidRPr="00A9469D">
        <w:t>82(2) of the new law applies as if:</w:t>
      </w:r>
    </w:p>
    <w:p w:rsidR="005F08B8" w:rsidRPr="00A9469D" w:rsidRDefault="005F08B8" w:rsidP="00A9469D">
      <w:pPr>
        <w:pStyle w:val="paragraphsub"/>
      </w:pPr>
      <w:r w:rsidRPr="00A9469D">
        <w:tab/>
        <w:t>(</w:t>
      </w:r>
      <w:proofErr w:type="spellStart"/>
      <w:r w:rsidRPr="00A9469D">
        <w:t>i</w:t>
      </w:r>
      <w:proofErr w:type="spellEnd"/>
      <w:r w:rsidRPr="00A9469D">
        <w:t>)</w:t>
      </w:r>
      <w:r w:rsidRPr="00A9469D">
        <w:tab/>
      </w:r>
      <w:r w:rsidR="00A9469D" w:rsidRPr="00A9469D">
        <w:t>paragraph (</w:t>
      </w:r>
      <w:r w:rsidRPr="00A9469D">
        <w:t>2)(b) did not apply; and</w:t>
      </w:r>
    </w:p>
    <w:p w:rsidR="005F08B8" w:rsidRPr="00A9469D" w:rsidRDefault="005F08B8" w:rsidP="00A9469D">
      <w:pPr>
        <w:pStyle w:val="paragraphsub"/>
      </w:pPr>
      <w:r w:rsidRPr="00A9469D">
        <w:tab/>
        <w:t>(ii)</w:t>
      </w:r>
      <w:r w:rsidRPr="00A9469D">
        <w:tab/>
      </w:r>
      <w:r w:rsidR="00A9469D" w:rsidRPr="00A9469D">
        <w:t>paragraph (</w:t>
      </w:r>
      <w:r w:rsidR="00F61963" w:rsidRPr="00A9469D">
        <w:t xml:space="preserve">2)(c) </w:t>
      </w:r>
      <w:r w:rsidRPr="00A9469D">
        <w:t>were instead a requirement for a decision to have been made on the application and</w:t>
      </w:r>
      <w:r w:rsidR="00217922" w:rsidRPr="00A9469D">
        <w:t xml:space="preserve"> for</w:t>
      </w:r>
      <w:r w:rsidRPr="00A9469D">
        <w:t xml:space="preserve"> the reconsideration and review rights under section</w:t>
      </w:r>
      <w:r w:rsidR="00A9469D" w:rsidRPr="00A9469D">
        <w:t> </w:t>
      </w:r>
      <w:r w:rsidRPr="00A9469D">
        <w:t xml:space="preserve">166 of the new law in relation to the decision </w:t>
      </w:r>
      <w:r w:rsidR="004E2A7A" w:rsidRPr="00A9469D">
        <w:t xml:space="preserve">to </w:t>
      </w:r>
      <w:r w:rsidRPr="00A9469D">
        <w:t>have been exhausted or have expired;</w:t>
      </w:r>
      <w:r w:rsidR="003F551E" w:rsidRPr="00A9469D">
        <w:t xml:space="preserve"> and</w:t>
      </w:r>
    </w:p>
    <w:p w:rsidR="005F08B8" w:rsidRPr="00A9469D" w:rsidRDefault="005F08B8" w:rsidP="00A9469D">
      <w:pPr>
        <w:pStyle w:val="paragraphsub"/>
      </w:pPr>
      <w:r w:rsidRPr="00A9469D">
        <w:tab/>
        <w:t>(iii)</w:t>
      </w:r>
      <w:r w:rsidRPr="00A9469D">
        <w:tab/>
      </w:r>
      <w:r w:rsidR="00A9469D" w:rsidRPr="00A9469D">
        <w:t>paragraph (</w:t>
      </w:r>
      <w:r w:rsidRPr="00A9469D">
        <w:t>2)(d) did not apply; and</w:t>
      </w:r>
    </w:p>
    <w:p w:rsidR="00942032" w:rsidRPr="00A9469D" w:rsidRDefault="005F08B8" w:rsidP="00A9469D">
      <w:pPr>
        <w:pStyle w:val="paragraph"/>
      </w:pPr>
      <w:r w:rsidRPr="00A9469D">
        <w:tab/>
        <w:t>(c)</w:t>
      </w:r>
      <w:r w:rsidRPr="00A9469D">
        <w:tab/>
        <w:t>i</w:t>
      </w:r>
      <w:r w:rsidR="00942032" w:rsidRPr="00A9469D">
        <w:t xml:space="preserve">f the </w:t>
      </w:r>
      <w:r w:rsidR="00853D19" w:rsidRPr="00A9469D">
        <w:t>application is approved:</w:t>
      </w:r>
    </w:p>
    <w:p w:rsidR="00853D19" w:rsidRPr="00A9469D" w:rsidRDefault="005F08B8" w:rsidP="00A9469D">
      <w:pPr>
        <w:pStyle w:val="paragraphsub"/>
      </w:pPr>
      <w:r w:rsidRPr="00A9469D">
        <w:tab/>
        <w:t>(</w:t>
      </w:r>
      <w:proofErr w:type="spellStart"/>
      <w:r w:rsidRPr="00A9469D">
        <w:t>i</w:t>
      </w:r>
      <w:proofErr w:type="spellEnd"/>
      <w:r w:rsidR="00853D19" w:rsidRPr="00A9469D">
        <w:t>)</w:t>
      </w:r>
      <w:r w:rsidR="00853D19" w:rsidRPr="00A9469D">
        <w:tab/>
        <w:t>paragr</w:t>
      </w:r>
      <w:r w:rsidR="0049442F" w:rsidRPr="00A9469D">
        <w:t>aph</w:t>
      </w:r>
      <w:r w:rsidR="00A9469D" w:rsidRPr="00A9469D">
        <w:t> </w:t>
      </w:r>
      <w:r w:rsidR="0049442F" w:rsidRPr="00A9469D">
        <w:t>108(3)(a</w:t>
      </w:r>
      <w:r w:rsidR="00853D19" w:rsidRPr="00A9469D">
        <w:t>) of the new law does not apply in relation to the industrial chemical; and</w:t>
      </w:r>
    </w:p>
    <w:p w:rsidR="00853D19" w:rsidRPr="00A9469D" w:rsidRDefault="005F08B8" w:rsidP="00A9469D">
      <w:pPr>
        <w:pStyle w:val="paragraphsub"/>
      </w:pPr>
      <w:r w:rsidRPr="00A9469D">
        <w:tab/>
        <w:t>(ii</w:t>
      </w:r>
      <w:r w:rsidR="00853D19" w:rsidRPr="00A9469D">
        <w:t>)</w:t>
      </w:r>
      <w:r w:rsidR="00853D19" w:rsidRPr="00A9469D">
        <w:tab/>
        <w:t>a reference in the new law to a requirement to publish an AACN in lieu of the proper name (including the CAS name, CAS number or molecular formula) for an industrial chemical is instead taken to be a reference to a requirement to publish “confidential” in lieu of each term of the Inventory listing for the industrial chemical</w:t>
      </w:r>
      <w:r w:rsidR="00B21965" w:rsidRPr="00A9469D">
        <w:t>.</w:t>
      </w:r>
    </w:p>
    <w:p w:rsidR="00F0645E" w:rsidRPr="00A9469D" w:rsidRDefault="001B59A4" w:rsidP="00A9469D">
      <w:pPr>
        <w:pStyle w:val="ItemHead"/>
      </w:pPr>
      <w:r w:rsidRPr="00A9469D">
        <w:t>44</w:t>
      </w:r>
      <w:r w:rsidR="00F0645E" w:rsidRPr="00A9469D">
        <w:t xml:space="preserve">  Variation of </w:t>
      </w:r>
      <w:r w:rsidR="003258F4" w:rsidRPr="00A9469D">
        <w:t xml:space="preserve">confidential </w:t>
      </w:r>
      <w:r w:rsidR="00D465A1" w:rsidRPr="00A9469D">
        <w:t>listing</w:t>
      </w:r>
    </w:p>
    <w:p w:rsidR="00C15AC9" w:rsidRPr="00A9469D" w:rsidRDefault="0040387E" w:rsidP="00A9469D">
      <w:pPr>
        <w:pStyle w:val="Item"/>
      </w:pPr>
      <w:r w:rsidRPr="00A9469D">
        <w:t>Sections</w:t>
      </w:r>
      <w:r w:rsidR="00A9469D" w:rsidRPr="00A9469D">
        <w:t> </w:t>
      </w:r>
      <w:r w:rsidRPr="00A9469D">
        <w:t>85, 86</w:t>
      </w:r>
      <w:r w:rsidR="003A6720" w:rsidRPr="00A9469D">
        <w:t>, 87</w:t>
      </w:r>
      <w:r w:rsidRPr="00A9469D">
        <w:t xml:space="preserve"> and 93</w:t>
      </w:r>
      <w:r w:rsidR="00F0645E" w:rsidRPr="00A9469D">
        <w:t xml:space="preserve"> of the new law apply in relation to a</w:t>
      </w:r>
      <w:r w:rsidR="007943A6" w:rsidRPr="00A9469D">
        <w:t xml:space="preserve">n industrial </w:t>
      </w:r>
      <w:r w:rsidR="00F0645E" w:rsidRPr="00A9469D">
        <w:t xml:space="preserve">chemical </w:t>
      </w:r>
      <w:r w:rsidR="00FE1530" w:rsidRPr="00A9469D">
        <w:t xml:space="preserve">for which </w:t>
      </w:r>
      <w:r w:rsidR="00861699" w:rsidRPr="00A9469D">
        <w:t xml:space="preserve">“confidential” </w:t>
      </w:r>
      <w:r w:rsidR="00FE1530" w:rsidRPr="00A9469D">
        <w:t xml:space="preserve">must be published </w:t>
      </w:r>
      <w:r w:rsidR="00861699" w:rsidRPr="00A9469D">
        <w:t xml:space="preserve">in lieu of </w:t>
      </w:r>
      <w:r w:rsidR="006037D1" w:rsidRPr="00A9469D">
        <w:t xml:space="preserve">each term of the </w:t>
      </w:r>
      <w:r w:rsidR="00853F57" w:rsidRPr="00A9469D">
        <w:t xml:space="preserve">Inventory </w:t>
      </w:r>
      <w:r w:rsidR="006037D1" w:rsidRPr="00A9469D">
        <w:t>listing</w:t>
      </w:r>
      <w:r w:rsidR="00846FBA" w:rsidRPr="00A9469D">
        <w:t xml:space="preserve"> for the industrial chemical</w:t>
      </w:r>
      <w:r w:rsidR="00F0645E" w:rsidRPr="00A9469D">
        <w:t>, as if the requirements under those sections for the Executive Director to publish a notice were instead a requirement for t</w:t>
      </w:r>
      <w:r w:rsidR="00C15AC9" w:rsidRPr="00A9469D">
        <w:t>he Executive Director to notify:</w:t>
      </w:r>
    </w:p>
    <w:p w:rsidR="00D607F7" w:rsidRPr="00A9469D" w:rsidRDefault="00D607F7" w:rsidP="00A9469D">
      <w:pPr>
        <w:pStyle w:val="paragraph"/>
      </w:pPr>
      <w:r w:rsidRPr="00A9469D">
        <w:tab/>
        <w:t>(a)</w:t>
      </w:r>
      <w:r w:rsidRPr="00A9469D">
        <w:tab/>
        <w:t>each confidence holder for an approval for the proper name or end use for the industrial chemical to be treated as confidential business information; and</w:t>
      </w:r>
    </w:p>
    <w:p w:rsidR="006037D1" w:rsidRPr="00A9469D" w:rsidRDefault="00C15AC9" w:rsidP="00A9469D">
      <w:pPr>
        <w:pStyle w:val="paragraph"/>
      </w:pPr>
      <w:r w:rsidRPr="00A9469D">
        <w:tab/>
        <w:t>(b)</w:t>
      </w:r>
      <w:r w:rsidRPr="00A9469D">
        <w:tab/>
      </w:r>
      <w:r w:rsidR="006037D1" w:rsidRPr="00A9469D">
        <w:t>if:</w:t>
      </w:r>
    </w:p>
    <w:p w:rsidR="00A14C71" w:rsidRPr="00A9469D" w:rsidRDefault="006037D1" w:rsidP="00A9469D">
      <w:pPr>
        <w:pStyle w:val="paragraphsub"/>
      </w:pPr>
      <w:r w:rsidRPr="00A9469D">
        <w:tab/>
        <w:t>(</w:t>
      </w:r>
      <w:proofErr w:type="spellStart"/>
      <w:r w:rsidRPr="00A9469D">
        <w:t>i</w:t>
      </w:r>
      <w:proofErr w:type="spellEnd"/>
      <w:r w:rsidRPr="00A9469D">
        <w:t>)</w:t>
      </w:r>
      <w:r w:rsidRPr="00A9469D">
        <w:tab/>
        <w:t xml:space="preserve">a </w:t>
      </w:r>
      <w:r w:rsidR="00C15AC9" w:rsidRPr="00A9469D">
        <w:t>person has inquired of the Director</w:t>
      </w:r>
      <w:r w:rsidR="00A14C71" w:rsidRPr="00A9469D">
        <w:t>, under subsection</w:t>
      </w:r>
      <w:r w:rsidR="00A9469D" w:rsidRPr="00A9469D">
        <w:t> </w:t>
      </w:r>
      <w:r w:rsidR="00A14C71" w:rsidRPr="00A9469D">
        <w:t>18(2) of the old law,</w:t>
      </w:r>
      <w:r w:rsidR="00C15AC9" w:rsidRPr="00A9469D">
        <w:t xml:space="preserve"> about whether the industrial chemical is included in the confidential section of the old Inventory</w:t>
      </w:r>
      <w:r w:rsidRPr="00A9469D">
        <w:t>; and</w:t>
      </w:r>
    </w:p>
    <w:p w:rsidR="006037D1" w:rsidRPr="00A9469D" w:rsidRDefault="006037D1" w:rsidP="00A9469D">
      <w:pPr>
        <w:pStyle w:val="paragraphsub"/>
      </w:pPr>
      <w:r w:rsidRPr="00A9469D">
        <w:lastRenderedPageBreak/>
        <w:tab/>
        <w:t>(ii)</w:t>
      </w:r>
      <w:r w:rsidRPr="00A9469D">
        <w:tab/>
        <w:t>the Director was satisfied, under paragraph</w:t>
      </w:r>
      <w:r w:rsidR="00A9469D" w:rsidRPr="00A9469D">
        <w:t> </w:t>
      </w:r>
      <w:r w:rsidRPr="00A9469D">
        <w:t>18(2)(b) of the old law, that the person intend</w:t>
      </w:r>
      <w:r w:rsidR="007D5D28" w:rsidRPr="00A9469D">
        <w:t>ed</w:t>
      </w:r>
      <w:r w:rsidRPr="00A9469D">
        <w:t xml:space="preserve"> to introduce the chemical;</w:t>
      </w:r>
    </w:p>
    <w:p w:rsidR="00CB2200" w:rsidRPr="00A9469D" w:rsidRDefault="006037D1" w:rsidP="00A9469D">
      <w:pPr>
        <w:pStyle w:val="paragraph"/>
      </w:pPr>
      <w:r w:rsidRPr="00A9469D">
        <w:tab/>
      </w:r>
      <w:r w:rsidRPr="00A9469D">
        <w:tab/>
        <w:t>each such person</w:t>
      </w:r>
      <w:r w:rsidR="00CB2200" w:rsidRPr="00A9469D">
        <w:t>; and</w:t>
      </w:r>
    </w:p>
    <w:p w:rsidR="00CB2200" w:rsidRPr="00A9469D" w:rsidRDefault="00CB2200" w:rsidP="00A9469D">
      <w:pPr>
        <w:pStyle w:val="paragraph"/>
      </w:pPr>
      <w:r w:rsidRPr="00A9469D">
        <w:tab/>
        <w:t>(c)</w:t>
      </w:r>
      <w:r w:rsidRPr="00A9469D">
        <w:tab/>
        <w:t>if subsection</w:t>
      </w:r>
      <w:r w:rsidR="00A9469D" w:rsidRPr="00A9469D">
        <w:t> </w:t>
      </w:r>
      <w:r w:rsidRPr="00A9469D">
        <w:t>120(2) of the new law applies to a person in relation to the industrial chemical—each such person.</w:t>
      </w:r>
    </w:p>
    <w:p w:rsidR="00F0645E" w:rsidRPr="00A9469D" w:rsidRDefault="001B59A4" w:rsidP="00A9469D">
      <w:pPr>
        <w:pStyle w:val="ItemHead"/>
      </w:pPr>
      <w:r w:rsidRPr="00A9469D">
        <w:t>45</w:t>
      </w:r>
      <w:r w:rsidR="00F0645E" w:rsidRPr="00A9469D">
        <w:t xml:space="preserve">  Removing </w:t>
      </w:r>
      <w:r w:rsidR="007943A6" w:rsidRPr="00A9469D">
        <w:t xml:space="preserve">industrial </w:t>
      </w:r>
      <w:r w:rsidR="00F0645E" w:rsidRPr="00A9469D">
        <w:t>chemical</w:t>
      </w:r>
      <w:r w:rsidR="00367B46" w:rsidRPr="00A9469D">
        <w:t>s</w:t>
      </w:r>
      <w:r w:rsidR="00F0645E" w:rsidRPr="00A9469D">
        <w:t xml:space="preserve"> from Inventory</w:t>
      </w:r>
      <w:r w:rsidR="00266DAA" w:rsidRPr="00A9469D">
        <w:t xml:space="preserve"> on Executive Director’s initiative</w:t>
      </w:r>
    </w:p>
    <w:p w:rsidR="004F7F70" w:rsidRPr="00A9469D" w:rsidRDefault="0040387E" w:rsidP="00A9469D">
      <w:pPr>
        <w:pStyle w:val="Item"/>
      </w:pPr>
      <w:r w:rsidRPr="00A9469D">
        <w:t>Section</w:t>
      </w:r>
      <w:r w:rsidR="00A9469D" w:rsidRPr="00A9469D">
        <w:t> </w:t>
      </w:r>
      <w:r w:rsidRPr="00A9469D">
        <w:t>95</w:t>
      </w:r>
      <w:r w:rsidR="00F0645E" w:rsidRPr="00A9469D">
        <w:t xml:space="preserve"> of the new law applies in relation to a</w:t>
      </w:r>
      <w:r w:rsidR="007943A6" w:rsidRPr="00A9469D">
        <w:t>n</w:t>
      </w:r>
      <w:r w:rsidR="00F0645E" w:rsidRPr="00A9469D">
        <w:t xml:space="preserve"> </w:t>
      </w:r>
      <w:r w:rsidR="007943A6" w:rsidRPr="00A9469D">
        <w:t xml:space="preserve">industrial </w:t>
      </w:r>
      <w:r w:rsidR="00F0645E" w:rsidRPr="00A9469D">
        <w:t xml:space="preserve">chemical listed </w:t>
      </w:r>
      <w:r w:rsidR="005F6410" w:rsidRPr="00A9469D">
        <w:t xml:space="preserve">for which </w:t>
      </w:r>
      <w:r w:rsidR="00861699" w:rsidRPr="00A9469D">
        <w:t xml:space="preserve">“confidential” </w:t>
      </w:r>
      <w:r w:rsidR="005F6410" w:rsidRPr="00A9469D">
        <w:t xml:space="preserve">must be published </w:t>
      </w:r>
      <w:r w:rsidR="00861699" w:rsidRPr="00A9469D">
        <w:t xml:space="preserve">in lieu of </w:t>
      </w:r>
      <w:r w:rsidR="00846FBA" w:rsidRPr="00A9469D">
        <w:t xml:space="preserve">each term of the </w:t>
      </w:r>
      <w:r w:rsidR="00853F57" w:rsidRPr="00A9469D">
        <w:t xml:space="preserve">Inventory </w:t>
      </w:r>
      <w:r w:rsidR="00846FBA" w:rsidRPr="00A9469D">
        <w:t>listing for the industrial chemical</w:t>
      </w:r>
      <w:r w:rsidR="00F0645E" w:rsidRPr="00A9469D">
        <w:t>, as if the requirements under that section for the Executive Director to publish a notice were instead a requirement for the Executive Director to notify</w:t>
      </w:r>
      <w:r w:rsidR="004F7F70" w:rsidRPr="00A9469D">
        <w:t>:</w:t>
      </w:r>
    </w:p>
    <w:p w:rsidR="004F7F70" w:rsidRPr="00A9469D" w:rsidRDefault="004F7F70" w:rsidP="00A9469D">
      <w:pPr>
        <w:pStyle w:val="paragraph"/>
      </w:pPr>
      <w:r w:rsidRPr="00A9469D">
        <w:tab/>
        <w:t>(a)</w:t>
      </w:r>
      <w:r w:rsidRPr="00A9469D">
        <w:tab/>
      </w:r>
      <w:r w:rsidR="00D607F7" w:rsidRPr="00A9469D">
        <w:t>each confidence holder for an approval for the proper name or end use for the industrial chemical to be treated as confidential business information</w:t>
      </w:r>
      <w:r w:rsidRPr="00A9469D">
        <w:t>; and</w:t>
      </w:r>
    </w:p>
    <w:p w:rsidR="008B30C4" w:rsidRPr="00A9469D" w:rsidRDefault="008B30C4" w:rsidP="00A9469D">
      <w:pPr>
        <w:pStyle w:val="paragraph"/>
      </w:pPr>
      <w:r w:rsidRPr="00A9469D">
        <w:tab/>
        <w:t>(b)</w:t>
      </w:r>
      <w:r w:rsidRPr="00A9469D">
        <w:tab/>
        <w:t>if:</w:t>
      </w:r>
    </w:p>
    <w:p w:rsidR="008B30C4" w:rsidRPr="00A9469D" w:rsidRDefault="008B30C4" w:rsidP="00A9469D">
      <w:pPr>
        <w:pStyle w:val="paragraphsub"/>
      </w:pPr>
      <w:r w:rsidRPr="00A9469D">
        <w:tab/>
        <w:t>(</w:t>
      </w:r>
      <w:proofErr w:type="spellStart"/>
      <w:r w:rsidRPr="00A9469D">
        <w:t>i</w:t>
      </w:r>
      <w:proofErr w:type="spellEnd"/>
      <w:r w:rsidRPr="00A9469D">
        <w:t>)</w:t>
      </w:r>
      <w:r w:rsidRPr="00A9469D">
        <w:tab/>
        <w:t>a person has inquired of the Director, under subsection</w:t>
      </w:r>
      <w:r w:rsidR="00A9469D" w:rsidRPr="00A9469D">
        <w:t> </w:t>
      </w:r>
      <w:r w:rsidRPr="00A9469D">
        <w:t>18(2) of the old law, about whether the industrial chemical is included in the confidential section of the old Inventory; and</w:t>
      </w:r>
    </w:p>
    <w:p w:rsidR="008B30C4" w:rsidRPr="00A9469D" w:rsidRDefault="008B30C4" w:rsidP="00A9469D">
      <w:pPr>
        <w:pStyle w:val="paragraphsub"/>
      </w:pPr>
      <w:r w:rsidRPr="00A9469D">
        <w:tab/>
        <w:t>(ii)</w:t>
      </w:r>
      <w:r w:rsidRPr="00A9469D">
        <w:tab/>
        <w:t>the Director was satisfied, under paragraph</w:t>
      </w:r>
      <w:r w:rsidR="00A9469D" w:rsidRPr="00A9469D">
        <w:t> </w:t>
      </w:r>
      <w:r w:rsidRPr="00A9469D">
        <w:t xml:space="preserve">18(2)(b) of the </w:t>
      </w:r>
      <w:r w:rsidR="00853F57" w:rsidRPr="00A9469D">
        <w:t>old law, that the person intended</w:t>
      </w:r>
      <w:r w:rsidRPr="00A9469D">
        <w:t xml:space="preserve"> to introduce the chemical;</w:t>
      </w:r>
    </w:p>
    <w:p w:rsidR="008B30C4" w:rsidRPr="00A9469D" w:rsidRDefault="008B30C4" w:rsidP="00A9469D">
      <w:pPr>
        <w:pStyle w:val="paragraph"/>
      </w:pPr>
      <w:r w:rsidRPr="00A9469D">
        <w:tab/>
      </w:r>
      <w:r w:rsidRPr="00A9469D">
        <w:tab/>
        <w:t>each such person; and</w:t>
      </w:r>
    </w:p>
    <w:p w:rsidR="008B30C4" w:rsidRPr="00A9469D" w:rsidRDefault="008B30C4" w:rsidP="00A9469D">
      <w:pPr>
        <w:pStyle w:val="paragraph"/>
      </w:pPr>
      <w:r w:rsidRPr="00A9469D">
        <w:tab/>
        <w:t>(c)</w:t>
      </w:r>
      <w:r w:rsidRPr="00A9469D">
        <w:tab/>
        <w:t>if subsection</w:t>
      </w:r>
      <w:r w:rsidR="00A9469D" w:rsidRPr="00A9469D">
        <w:t> </w:t>
      </w:r>
      <w:r w:rsidRPr="00A9469D">
        <w:t>120(2) of the new law applies to a person in relation to the industrial chemical—each such person.</w:t>
      </w:r>
    </w:p>
    <w:p w:rsidR="004F64F8" w:rsidRPr="00A9469D" w:rsidRDefault="001B59A4" w:rsidP="00A9469D">
      <w:pPr>
        <w:pStyle w:val="ItemHead"/>
      </w:pPr>
      <w:r w:rsidRPr="00A9469D">
        <w:t>46</w:t>
      </w:r>
      <w:r w:rsidR="004F64F8" w:rsidRPr="00A9469D">
        <w:t xml:space="preserve">  Review of protection</w:t>
      </w:r>
    </w:p>
    <w:p w:rsidR="004F64F8" w:rsidRPr="00A9469D" w:rsidRDefault="004F64F8" w:rsidP="00A9469D">
      <w:pPr>
        <w:pStyle w:val="Item"/>
      </w:pPr>
      <w:r w:rsidRPr="00A9469D">
        <w:t>Section</w:t>
      </w:r>
      <w:r w:rsidR="00A9469D" w:rsidRPr="00A9469D">
        <w:t> </w:t>
      </w:r>
      <w:r w:rsidRPr="00A9469D">
        <w:t>110 of the new law applies in relation to an industrial chemical that was included in the confidential section of the old Inventory as if:</w:t>
      </w:r>
    </w:p>
    <w:p w:rsidR="004F64F8" w:rsidRPr="00A9469D" w:rsidRDefault="004F64F8" w:rsidP="00A9469D">
      <w:pPr>
        <w:pStyle w:val="paragraph"/>
      </w:pPr>
      <w:r w:rsidRPr="00A9469D">
        <w:tab/>
        <w:t>(a)</w:t>
      </w:r>
      <w:r w:rsidRPr="00A9469D">
        <w:tab/>
        <w:t>the reference in paragraph</w:t>
      </w:r>
      <w:r w:rsidR="00A9469D" w:rsidRPr="00A9469D">
        <w:t> </w:t>
      </w:r>
      <w:r w:rsidRPr="00A9469D">
        <w:t>110(1)(a) of the new law to 5 years having passed since notice of the approval was given were instead a reference to 5 years having passed since the industrial chemical was included in the confidential section of the old Inventory; and</w:t>
      </w:r>
    </w:p>
    <w:p w:rsidR="004F64F8" w:rsidRPr="00A9469D" w:rsidRDefault="004F64F8" w:rsidP="00A9469D">
      <w:pPr>
        <w:pStyle w:val="paragraph"/>
      </w:pPr>
      <w:r w:rsidRPr="00A9469D">
        <w:lastRenderedPageBreak/>
        <w:tab/>
        <w:t>(b)</w:t>
      </w:r>
      <w:r w:rsidRPr="00A9469D">
        <w:tab/>
      </w:r>
      <w:r w:rsidR="00A90E31" w:rsidRPr="00A9469D">
        <w:t>a review of the inclusion of the industrial chemical in the confidential section of the old Inventory under section</w:t>
      </w:r>
      <w:r w:rsidR="00A9469D" w:rsidRPr="00A9469D">
        <w:t> </w:t>
      </w:r>
      <w:r w:rsidR="004E3B42" w:rsidRPr="00A9469D">
        <w:t>19</w:t>
      </w:r>
      <w:r w:rsidR="00A90E31" w:rsidRPr="00A9469D">
        <w:t xml:space="preserve"> of the old law were taken to be a review under section</w:t>
      </w:r>
      <w:r w:rsidR="00A9469D" w:rsidRPr="00A9469D">
        <w:t> </w:t>
      </w:r>
      <w:r w:rsidR="00A90E31" w:rsidRPr="00A9469D">
        <w:t>110 of the new law.</w:t>
      </w:r>
    </w:p>
    <w:p w:rsidR="00EB653F" w:rsidRPr="00A9469D" w:rsidRDefault="00EB653F" w:rsidP="00A9469D">
      <w:pPr>
        <w:pStyle w:val="ActHead7"/>
        <w:pageBreakBefore/>
      </w:pPr>
      <w:bookmarkStart w:id="34" w:name="_Toc3448263"/>
      <w:r w:rsidRPr="00A9469D">
        <w:rPr>
          <w:rStyle w:val="CharAmPartNo"/>
        </w:rPr>
        <w:lastRenderedPageBreak/>
        <w:t>Part</w:t>
      </w:r>
      <w:r w:rsidR="00A9469D" w:rsidRPr="00A9469D">
        <w:rPr>
          <w:rStyle w:val="CharAmPartNo"/>
        </w:rPr>
        <w:t> </w:t>
      </w:r>
      <w:r w:rsidR="00CD12AA" w:rsidRPr="00A9469D">
        <w:rPr>
          <w:rStyle w:val="CharAmPartNo"/>
        </w:rPr>
        <w:t>8</w:t>
      </w:r>
      <w:r w:rsidRPr="00A9469D">
        <w:t>—</w:t>
      </w:r>
      <w:r w:rsidRPr="00A9469D">
        <w:rPr>
          <w:rStyle w:val="CharAmPartText"/>
        </w:rPr>
        <w:t>Miscellaneous</w:t>
      </w:r>
      <w:bookmarkEnd w:id="34"/>
    </w:p>
    <w:p w:rsidR="000510DC" w:rsidRPr="00A9469D" w:rsidRDefault="001B59A4" w:rsidP="00A9469D">
      <w:pPr>
        <w:pStyle w:val="ItemHead"/>
      </w:pPr>
      <w:r w:rsidRPr="00A9469D">
        <w:t>47</w:t>
      </w:r>
      <w:r w:rsidR="000510DC" w:rsidRPr="00A9469D">
        <w:t xml:space="preserve">  Reconsideration and review of decisions</w:t>
      </w:r>
    </w:p>
    <w:p w:rsidR="000510DC" w:rsidRPr="00A9469D" w:rsidRDefault="000510DC" w:rsidP="00A9469D">
      <w:pPr>
        <w:pStyle w:val="Item"/>
      </w:pPr>
      <w:r w:rsidRPr="00A9469D">
        <w:t>Section</w:t>
      </w:r>
      <w:r w:rsidR="00A9469D" w:rsidRPr="00A9469D">
        <w:t> </w:t>
      </w:r>
      <w:r w:rsidRPr="00A9469D">
        <w:t xml:space="preserve">166 of the new law applies as if the table in </w:t>
      </w:r>
      <w:r w:rsidR="00A9469D" w:rsidRPr="00A9469D">
        <w:t>subsection (</w:t>
      </w:r>
      <w:r w:rsidRPr="00A9469D">
        <w:t>1) of that section included the following</w:t>
      </w:r>
      <w:r w:rsidR="003F551E" w:rsidRPr="00A9469D">
        <w:t xml:space="preserve"> item at the end of the table</w:t>
      </w:r>
      <w:r w:rsidRPr="00A9469D">
        <w:t>:</w:t>
      </w:r>
    </w:p>
    <w:p w:rsidR="000510DC" w:rsidRPr="00A9469D" w:rsidRDefault="000510DC" w:rsidP="00A9469D">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0510DC" w:rsidRPr="00A9469D" w:rsidTr="003F551E">
        <w:tc>
          <w:tcPr>
            <w:tcW w:w="714" w:type="dxa"/>
            <w:shd w:val="clear" w:color="auto" w:fill="auto"/>
          </w:tcPr>
          <w:p w:rsidR="000510DC" w:rsidRPr="00A9469D" w:rsidRDefault="00BD4358" w:rsidP="00A9469D">
            <w:pPr>
              <w:pStyle w:val="Tabletext"/>
            </w:pPr>
            <w:r w:rsidRPr="00A9469D">
              <w:t>21</w:t>
            </w:r>
          </w:p>
        </w:tc>
        <w:tc>
          <w:tcPr>
            <w:tcW w:w="3187" w:type="dxa"/>
            <w:shd w:val="clear" w:color="auto" w:fill="auto"/>
          </w:tcPr>
          <w:p w:rsidR="000510DC" w:rsidRPr="00A9469D" w:rsidRDefault="000510DC" w:rsidP="00A9469D">
            <w:pPr>
              <w:pStyle w:val="Tabletext"/>
            </w:pPr>
            <w:r w:rsidRPr="00A9469D">
              <w:t>A decision to not approve an application for a person to be taken to be a confidence holder for an approval for the proper name or end use for an industrial chemical to be treated as confidential business information</w:t>
            </w:r>
          </w:p>
        </w:tc>
        <w:tc>
          <w:tcPr>
            <w:tcW w:w="3187" w:type="dxa"/>
            <w:shd w:val="clear" w:color="auto" w:fill="auto"/>
          </w:tcPr>
          <w:p w:rsidR="000510DC" w:rsidRPr="00A9469D" w:rsidRDefault="001B59A4" w:rsidP="00F347A1">
            <w:pPr>
              <w:pStyle w:val="Tabletext"/>
            </w:pPr>
            <w:r w:rsidRPr="00A9469D">
              <w:t>Paragraph 36</w:t>
            </w:r>
            <w:r w:rsidR="000510DC" w:rsidRPr="00A9469D">
              <w:t xml:space="preserve">(4)(b) of the </w:t>
            </w:r>
            <w:r w:rsidR="000510DC" w:rsidRPr="00A9469D">
              <w:rPr>
                <w:i/>
              </w:rPr>
              <w:t>Industrial Chemicals (Consequential Amendments and Transitional Provisions) Act 201</w:t>
            </w:r>
            <w:r w:rsidR="00F347A1">
              <w:rPr>
                <w:i/>
              </w:rPr>
              <w:t>9</w:t>
            </w:r>
          </w:p>
        </w:tc>
      </w:tr>
    </w:tbl>
    <w:p w:rsidR="000510DC" w:rsidRPr="00A9469D" w:rsidRDefault="000510DC" w:rsidP="00A9469D">
      <w:pPr>
        <w:pStyle w:val="Tabletext"/>
      </w:pPr>
    </w:p>
    <w:p w:rsidR="00EB653F" w:rsidRPr="00A9469D" w:rsidRDefault="001B59A4" w:rsidP="00A9469D">
      <w:pPr>
        <w:pStyle w:val="ItemHead"/>
      </w:pPr>
      <w:r w:rsidRPr="00A9469D">
        <w:t>48</w:t>
      </w:r>
      <w:r w:rsidR="00EB653F" w:rsidRPr="00A9469D">
        <w:t xml:space="preserve">  Things done by, or in relation to, the Director, before 1</w:t>
      </w:r>
      <w:r w:rsidR="00A9469D" w:rsidRPr="00A9469D">
        <w:t> </w:t>
      </w:r>
      <w:r w:rsidR="00EB653F" w:rsidRPr="00A9469D">
        <w:t>July 20</w:t>
      </w:r>
      <w:r w:rsidR="009F1761">
        <w:t>20</w:t>
      </w:r>
    </w:p>
    <w:p w:rsidR="00EB653F" w:rsidRPr="00A9469D" w:rsidRDefault="00EB653F" w:rsidP="00A9469D">
      <w:pPr>
        <w:pStyle w:val="Subitem"/>
      </w:pPr>
      <w:r w:rsidRPr="00A9469D">
        <w:t>(1)</w:t>
      </w:r>
      <w:r w:rsidRPr="00A9469D">
        <w:tab/>
        <w:t>Anything done by, or in relation to, the Director under the old law before 1</w:t>
      </w:r>
      <w:r w:rsidR="00A9469D" w:rsidRPr="00A9469D">
        <w:t> </w:t>
      </w:r>
      <w:r w:rsidRPr="00A9469D">
        <w:t>July 20</w:t>
      </w:r>
      <w:r w:rsidR="00E84EC1">
        <w:t>20</w:t>
      </w:r>
      <w:r w:rsidRPr="00A9469D">
        <w:t xml:space="preserve"> has effect on and after that day as if it had been done by the Executive Director under the new law. However, this is not taken to change the time at which the thing was actually done.</w:t>
      </w:r>
    </w:p>
    <w:p w:rsidR="00EB653F" w:rsidRPr="00A9469D" w:rsidRDefault="00EB653F" w:rsidP="00A9469D">
      <w:pPr>
        <w:pStyle w:val="Subitem"/>
      </w:pPr>
      <w:r w:rsidRPr="00A9469D">
        <w:t>(2)</w:t>
      </w:r>
      <w:r w:rsidRPr="00A9469D">
        <w:tab/>
        <w:t xml:space="preserve">The Minister may, by writing, determine that </w:t>
      </w:r>
      <w:proofErr w:type="spellStart"/>
      <w:r w:rsidR="00A9469D" w:rsidRPr="00A9469D">
        <w:t>subitem</w:t>
      </w:r>
      <w:proofErr w:type="spellEnd"/>
      <w:r w:rsidR="00A9469D" w:rsidRPr="00A9469D">
        <w:t> (</w:t>
      </w:r>
      <w:r w:rsidRPr="00A9469D">
        <w:t xml:space="preserve">1) does not apply in relation to a specified thing done by, or in relation to, the Director before </w:t>
      </w:r>
      <w:r w:rsidR="002656D2" w:rsidRPr="00A9469D">
        <w:t>1</w:t>
      </w:r>
      <w:r w:rsidR="00A9469D" w:rsidRPr="00A9469D">
        <w:t> </w:t>
      </w:r>
      <w:r w:rsidR="002656D2" w:rsidRPr="00A9469D">
        <w:t xml:space="preserve">July </w:t>
      </w:r>
      <w:r w:rsidR="00E84EC1">
        <w:t>2020</w:t>
      </w:r>
      <w:r w:rsidRPr="00A9469D">
        <w:t>.</w:t>
      </w:r>
    </w:p>
    <w:p w:rsidR="00EB653F" w:rsidRPr="00A9469D" w:rsidRDefault="00EB653F" w:rsidP="00A9469D">
      <w:pPr>
        <w:pStyle w:val="Subitem"/>
      </w:pPr>
      <w:r w:rsidRPr="00A9469D">
        <w:t>(3)</w:t>
      </w:r>
      <w:r w:rsidRPr="00A9469D">
        <w:tab/>
        <w:t xml:space="preserve">A determination made under </w:t>
      </w:r>
      <w:proofErr w:type="spellStart"/>
      <w:r w:rsidR="00A9469D" w:rsidRPr="00A9469D">
        <w:t>subitem</w:t>
      </w:r>
      <w:proofErr w:type="spellEnd"/>
      <w:r w:rsidR="00A9469D" w:rsidRPr="00A9469D">
        <w:t> (</w:t>
      </w:r>
      <w:r w:rsidRPr="00A9469D">
        <w:t>2) is not a legislative instrument.</w:t>
      </w:r>
    </w:p>
    <w:p w:rsidR="00BE3B62" w:rsidRPr="00A9469D" w:rsidRDefault="001B59A4" w:rsidP="00A9469D">
      <w:pPr>
        <w:pStyle w:val="ItemHead"/>
      </w:pPr>
      <w:r w:rsidRPr="00A9469D">
        <w:t>49</w:t>
      </w:r>
      <w:r w:rsidR="00BE3B62" w:rsidRPr="00A9469D">
        <w:t xml:space="preserve">  Compensation for acquisition of property</w:t>
      </w:r>
    </w:p>
    <w:p w:rsidR="00BE3B62" w:rsidRPr="00A9469D" w:rsidRDefault="00BE3B62" w:rsidP="00A9469D">
      <w:pPr>
        <w:pStyle w:val="Subitem"/>
      </w:pPr>
      <w:r w:rsidRPr="00A9469D">
        <w:t>(1)</w:t>
      </w:r>
      <w:r w:rsidRPr="00A9469D">
        <w:tab/>
        <w:t>If the operation of this Act</w:t>
      </w:r>
      <w:r w:rsidR="007132DB" w:rsidRPr="00A9469D">
        <w:t>, or the transitional rules,</w:t>
      </w:r>
      <w:r w:rsidRPr="00A9469D">
        <w:t xml:space="preserve"> would result in an acquisition of property (within the meaning of paragraph</w:t>
      </w:r>
      <w:r w:rsidR="00A9469D" w:rsidRPr="00A9469D">
        <w:t> </w:t>
      </w:r>
      <w:r w:rsidRPr="00A9469D">
        <w:t>51(xxxi) of the Constitution) from a person otherwise than on just terms (within the meaning of that paragraph), the Commonwealth is liable to pay a reasonable amount of compensation to the person.</w:t>
      </w:r>
    </w:p>
    <w:p w:rsidR="00BE3B62" w:rsidRPr="00A9469D" w:rsidRDefault="00BE3B62" w:rsidP="00A9469D">
      <w:pPr>
        <w:pStyle w:val="Subitem"/>
      </w:pPr>
      <w:r w:rsidRPr="00A9469D">
        <w:t>(2)</w:t>
      </w:r>
      <w:r w:rsidRPr="00A9469D">
        <w:tab/>
        <w:t xml:space="preserve">If the Commonwealth and the person do not agree on the amount of the compensation, the person may institute proceedings in the Federal Court of Australia or </w:t>
      </w:r>
      <w:r w:rsidR="00CC6B90" w:rsidRPr="00A9469D">
        <w:t>the Supreme Court of a State or Territory</w:t>
      </w:r>
      <w:r w:rsidRPr="00A9469D">
        <w:t xml:space="preserve"> for the </w:t>
      </w:r>
      <w:r w:rsidRPr="00A9469D">
        <w:lastRenderedPageBreak/>
        <w:t>recovery from the Commonwealth of such reasonable amount of compensation as the court determines.</w:t>
      </w:r>
    </w:p>
    <w:p w:rsidR="00AA5915" w:rsidRPr="00A9469D" w:rsidRDefault="001B59A4" w:rsidP="00A9469D">
      <w:pPr>
        <w:pStyle w:val="ItemHead"/>
      </w:pPr>
      <w:r w:rsidRPr="00A9469D">
        <w:t>50</w:t>
      </w:r>
      <w:r w:rsidR="00AA5915" w:rsidRPr="00A9469D">
        <w:t xml:space="preserve">  </w:t>
      </w:r>
      <w:r w:rsidR="00A654A7" w:rsidRPr="00A9469D">
        <w:t>Transitional r</w:t>
      </w:r>
      <w:r w:rsidR="00AA5915" w:rsidRPr="00A9469D">
        <w:t>ules</w:t>
      </w:r>
    </w:p>
    <w:p w:rsidR="00842FE9" w:rsidRPr="00A9469D" w:rsidRDefault="00842FE9" w:rsidP="00A9469D">
      <w:pPr>
        <w:pStyle w:val="Subitem"/>
      </w:pPr>
      <w:r w:rsidRPr="00A9469D">
        <w:t>(1)</w:t>
      </w:r>
      <w:r w:rsidRPr="00A9469D">
        <w:tab/>
        <w:t>The Minister may, by legislative instrument, make</w:t>
      </w:r>
      <w:r w:rsidR="00344C1B" w:rsidRPr="00A9469D">
        <w:t xml:space="preserve"> rules</w:t>
      </w:r>
      <w:r w:rsidRPr="00A9469D">
        <w:t xml:space="preserve"> prescribing matters:</w:t>
      </w:r>
    </w:p>
    <w:p w:rsidR="00842FE9" w:rsidRPr="00A9469D" w:rsidRDefault="00842FE9" w:rsidP="00A9469D">
      <w:pPr>
        <w:pStyle w:val="paragraph"/>
      </w:pPr>
      <w:r w:rsidRPr="00A9469D">
        <w:tab/>
        <w:t>(a)</w:t>
      </w:r>
      <w:r w:rsidRPr="00A9469D">
        <w:tab/>
        <w:t>required or permitted by this Act to be prescribed by the rules; or</w:t>
      </w:r>
    </w:p>
    <w:p w:rsidR="00842FE9" w:rsidRPr="00A9469D" w:rsidRDefault="00842FE9" w:rsidP="00A9469D">
      <w:pPr>
        <w:pStyle w:val="paragraph"/>
      </w:pPr>
      <w:r w:rsidRPr="00A9469D">
        <w:tab/>
        <w:t>(b)</w:t>
      </w:r>
      <w:r w:rsidRPr="00A9469D">
        <w:tab/>
        <w:t>necessary or convenient to be prescribed for carrying out or giving effect to this Act.</w:t>
      </w:r>
    </w:p>
    <w:p w:rsidR="008579AE" w:rsidRPr="00A9469D" w:rsidRDefault="00AA5915" w:rsidP="00A9469D">
      <w:pPr>
        <w:pStyle w:val="Subitem"/>
      </w:pPr>
      <w:r w:rsidRPr="00A9469D">
        <w:t>(</w:t>
      </w:r>
      <w:r w:rsidR="00842FE9" w:rsidRPr="00A9469D">
        <w:t>2</w:t>
      </w:r>
      <w:r w:rsidRPr="00A9469D">
        <w:t>)</w:t>
      </w:r>
      <w:r w:rsidRPr="00A9469D">
        <w:tab/>
      </w:r>
      <w:r w:rsidR="00344C1B" w:rsidRPr="00A9469D">
        <w:t>The</w:t>
      </w:r>
      <w:r w:rsidR="00842FE9" w:rsidRPr="00A9469D">
        <w:t xml:space="preserve"> rules may </w:t>
      </w:r>
      <w:r w:rsidR="006266D3" w:rsidRPr="00A9469D">
        <w:t xml:space="preserve">also </w:t>
      </w:r>
      <w:r w:rsidR="00842FE9" w:rsidRPr="00A9469D">
        <w:t>prescribe</w:t>
      </w:r>
      <w:r w:rsidR="00452C53" w:rsidRPr="00A9469D">
        <w:t xml:space="preserve"> matters of</w:t>
      </w:r>
      <w:r w:rsidR="008579AE" w:rsidRPr="00A9469D">
        <w:t xml:space="preserve"> a transitional nature (including prescribing any saving or application provisions) relating to:</w:t>
      </w:r>
    </w:p>
    <w:p w:rsidR="008579AE" w:rsidRPr="00A9469D" w:rsidRDefault="008579AE" w:rsidP="00A9469D">
      <w:pPr>
        <w:pStyle w:val="paragraph"/>
      </w:pPr>
      <w:r w:rsidRPr="00A9469D">
        <w:tab/>
        <w:t>(a)</w:t>
      </w:r>
      <w:r w:rsidRPr="00A9469D">
        <w:tab/>
        <w:t>the repeals or amendments made by this Act; or</w:t>
      </w:r>
    </w:p>
    <w:p w:rsidR="00AA5915" w:rsidRPr="00A9469D" w:rsidRDefault="008579AE" w:rsidP="00A9469D">
      <w:pPr>
        <w:pStyle w:val="paragraph"/>
      </w:pPr>
      <w:r w:rsidRPr="00A9469D">
        <w:tab/>
        <w:t>(b)</w:t>
      </w:r>
      <w:r w:rsidRPr="00A9469D">
        <w:tab/>
        <w:t xml:space="preserve">the enactment of this Act or the </w:t>
      </w:r>
      <w:r w:rsidRPr="00A9469D">
        <w:rPr>
          <w:i/>
        </w:rPr>
        <w:t>Industrial Chemicals Act 201</w:t>
      </w:r>
      <w:r w:rsidR="0007492B">
        <w:rPr>
          <w:i/>
        </w:rPr>
        <w:t>9</w:t>
      </w:r>
      <w:r w:rsidRPr="00A9469D">
        <w:t>.</w:t>
      </w:r>
    </w:p>
    <w:p w:rsidR="00F91FD7" w:rsidRPr="00A9469D" w:rsidRDefault="00842FE9" w:rsidP="00A9469D">
      <w:pPr>
        <w:pStyle w:val="Subitem"/>
      </w:pPr>
      <w:r w:rsidRPr="00A9469D">
        <w:t>(3</w:t>
      </w:r>
      <w:r w:rsidR="00F91FD7" w:rsidRPr="00A9469D">
        <w:t>)</w:t>
      </w:r>
      <w:r w:rsidR="00F91FD7" w:rsidRPr="00A9469D">
        <w:tab/>
      </w:r>
      <w:r w:rsidR="00344C1B" w:rsidRPr="00A9469D">
        <w:t xml:space="preserve">Without limiting </w:t>
      </w:r>
      <w:proofErr w:type="spellStart"/>
      <w:r w:rsidR="00A9469D" w:rsidRPr="00A9469D">
        <w:t>subitem</w:t>
      </w:r>
      <w:proofErr w:type="spellEnd"/>
      <w:r w:rsidR="00A9469D" w:rsidRPr="00A9469D">
        <w:t> (</w:t>
      </w:r>
      <w:r w:rsidR="00344C1B" w:rsidRPr="00A9469D">
        <w:t xml:space="preserve">1) or (2), </w:t>
      </w:r>
      <w:r w:rsidRPr="00A9469D">
        <w:t>r</w:t>
      </w:r>
      <w:r w:rsidR="00F91FD7" w:rsidRPr="00A9469D">
        <w:t xml:space="preserve">ules made </w:t>
      </w:r>
      <w:r w:rsidR="004A5AB4" w:rsidRPr="00A9469D">
        <w:t>before</w:t>
      </w:r>
      <w:r w:rsidR="00F91FD7" w:rsidRPr="00A9469D">
        <w:t xml:space="preserve"> </w:t>
      </w:r>
      <w:r w:rsidR="004A5AB4" w:rsidRPr="00A9469D">
        <w:t>1</w:t>
      </w:r>
      <w:r w:rsidR="00A9469D" w:rsidRPr="00A9469D">
        <w:t> </w:t>
      </w:r>
      <w:r w:rsidR="004A5AB4" w:rsidRPr="00A9469D">
        <w:t>July 202</w:t>
      </w:r>
      <w:r w:rsidR="009D6D0F">
        <w:t>2</w:t>
      </w:r>
      <w:r w:rsidR="00F91FD7" w:rsidRPr="00A9469D">
        <w:t xml:space="preserve"> may provide that this Act or any other Act or instrument has effect with any modifications prescribed by the rules.</w:t>
      </w:r>
    </w:p>
    <w:p w:rsidR="0000356D" w:rsidRPr="00A9469D" w:rsidRDefault="0000356D" w:rsidP="00A9469D">
      <w:pPr>
        <w:pStyle w:val="Subitem"/>
      </w:pPr>
      <w:r w:rsidRPr="00A9469D">
        <w:t>(</w:t>
      </w:r>
      <w:r w:rsidR="00842FE9" w:rsidRPr="00A9469D">
        <w:t>4</w:t>
      </w:r>
      <w:r w:rsidRPr="00A9469D">
        <w:t>)</w:t>
      </w:r>
      <w:r w:rsidRPr="00A9469D">
        <w:tab/>
        <w:t>Subsection</w:t>
      </w:r>
      <w:r w:rsidR="00A9469D" w:rsidRPr="00A9469D">
        <w:t> </w:t>
      </w:r>
      <w:r w:rsidRPr="00A9469D">
        <w:t xml:space="preserve">12(2) of the </w:t>
      </w:r>
      <w:r w:rsidRPr="00A9469D">
        <w:rPr>
          <w:i/>
        </w:rPr>
        <w:t>Legislation Act 2003</w:t>
      </w:r>
      <w:r w:rsidRPr="00A9469D">
        <w:t xml:space="preserve"> does not apply to </w:t>
      </w:r>
      <w:r w:rsidR="00C262B7" w:rsidRPr="00A9469D">
        <w:t xml:space="preserve">rules made before </w:t>
      </w:r>
      <w:r w:rsidR="004A5AB4" w:rsidRPr="00A9469D">
        <w:t>1</w:t>
      </w:r>
      <w:r w:rsidR="00A9469D" w:rsidRPr="00A9469D">
        <w:t> </w:t>
      </w:r>
      <w:r w:rsidR="004A5AB4" w:rsidRPr="00A9469D">
        <w:t>July 202</w:t>
      </w:r>
      <w:r w:rsidR="009D6D0F">
        <w:t>2</w:t>
      </w:r>
      <w:r w:rsidRPr="00A9469D">
        <w:t>.</w:t>
      </w:r>
    </w:p>
    <w:p w:rsidR="0000356D" w:rsidRPr="00A9469D" w:rsidRDefault="0000356D" w:rsidP="00A9469D">
      <w:pPr>
        <w:pStyle w:val="notemargin"/>
      </w:pPr>
      <w:r w:rsidRPr="00A9469D">
        <w:t>Note:</w:t>
      </w:r>
      <w:r w:rsidRPr="00A9469D">
        <w:tab/>
        <w:t>Subsection</w:t>
      </w:r>
      <w:r w:rsidR="00A9469D" w:rsidRPr="00A9469D">
        <w:t> </w:t>
      </w:r>
      <w:r w:rsidRPr="00A9469D">
        <w:t xml:space="preserve">12(2) of the </w:t>
      </w:r>
      <w:r w:rsidRPr="00A9469D">
        <w:rPr>
          <w:i/>
        </w:rPr>
        <w:t>Legislation Act 2003</w:t>
      </w:r>
      <w:r w:rsidRPr="00A9469D">
        <w:t xml:space="preserve"> is about the retrospective application of legislative instruments.</w:t>
      </w:r>
    </w:p>
    <w:p w:rsidR="00452C53" w:rsidRPr="00A9469D" w:rsidRDefault="00452C53" w:rsidP="00A9469D">
      <w:pPr>
        <w:pStyle w:val="Subitem"/>
      </w:pPr>
      <w:r w:rsidRPr="00A9469D">
        <w:t>(</w:t>
      </w:r>
      <w:r w:rsidR="00842FE9" w:rsidRPr="00A9469D">
        <w:t>5</w:t>
      </w:r>
      <w:r w:rsidRPr="00A9469D">
        <w:t>)</w:t>
      </w:r>
      <w:r w:rsidRPr="00A9469D">
        <w:tab/>
        <w:t xml:space="preserve">To avoid doubt, the </w:t>
      </w:r>
      <w:r w:rsidR="00F81CFB" w:rsidRPr="00A9469D">
        <w:t>rules</w:t>
      </w:r>
      <w:r w:rsidRPr="00A9469D">
        <w:t xml:space="preserve"> may not do the following:</w:t>
      </w:r>
    </w:p>
    <w:p w:rsidR="00452C53" w:rsidRPr="00A9469D" w:rsidRDefault="00452C53" w:rsidP="00A9469D">
      <w:pPr>
        <w:pStyle w:val="paragraph"/>
      </w:pPr>
      <w:r w:rsidRPr="00A9469D">
        <w:tab/>
        <w:t>(a)</w:t>
      </w:r>
      <w:r w:rsidRPr="00A9469D">
        <w:tab/>
        <w:t>create an offence or civil penalty;</w:t>
      </w:r>
    </w:p>
    <w:p w:rsidR="00452C53" w:rsidRPr="00A9469D" w:rsidRDefault="00452C53" w:rsidP="00A9469D">
      <w:pPr>
        <w:pStyle w:val="paragraph"/>
      </w:pPr>
      <w:r w:rsidRPr="00A9469D">
        <w:tab/>
        <w:t>(b)</w:t>
      </w:r>
      <w:r w:rsidRPr="00A9469D">
        <w:tab/>
        <w:t>provide powers of:</w:t>
      </w:r>
    </w:p>
    <w:p w:rsidR="00452C53" w:rsidRPr="00A9469D" w:rsidRDefault="00452C53" w:rsidP="00A9469D">
      <w:pPr>
        <w:pStyle w:val="paragraphsub"/>
      </w:pPr>
      <w:r w:rsidRPr="00A9469D">
        <w:tab/>
        <w:t>(</w:t>
      </w:r>
      <w:proofErr w:type="spellStart"/>
      <w:r w:rsidRPr="00A9469D">
        <w:t>i</w:t>
      </w:r>
      <w:proofErr w:type="spellEnd"/>
      <w:r w:rsidRPr="00A9469D">
        <w:t>)</w:t>
      </w:r>
      <w:r w:rsidRPr="00A9469D">
        <w:tab/>
        <w:t>arrest or detention; or</w:t>
      </w:r>
    </w:p>
    <w:p w:rsidR="00452C53" w:rsidRPr="00A9469D" w:rsidRDefault="00452C53" w:rsidP="00A9469D">
      <w:pPr>
        <w:pStyle w:val="paragraphsub"/>
      </w:pPr>
      <w:r w:rsidRPr="00A9469D">
        <w:tab/>
        <w:t>(ii)</w:t>
      </w:r>
      <w:r w:rsidRPr="00A9469D">
        <w:tab/>
        <w:t>entry, search or seizure;</w:t>
      </w:r>
    </w:p>
    <w:p w:rsidR="00452C53" w:rsidRPr="00A9469D" w:rsidRDefault="00452C53" w:rsidP="00A9469D">
      <w:pPr>
        <w:pStyle w:val="paragraph"/>
      </w:pPr>
      <w:r w:rsidRPr="00A9469D">
        <w:tab/>
        <w:t>(c)</w:t>
      </w:r>
      <w:r w:rsidRPr="00A9469D">
        <w:tab/>
        <w:t>impose a tax;</w:t>
      </w:r>
    </w:p>
    <w:p w:rsidR="00452C53" w:rsidRPr="00A9469D" w:rsidRDefault="00452C53" w:rsidP="00A9469D">
      <w:pPr>
        <w:pStyle w:val="paragraph"/>
      </w:pPr>
      <w:r w:rsidRPr="00A9469D">
        <w:tab/>
        <w:t>(d)</w:t>
      </w:r>
      <w:r w:rsidRPr="00A9469D">
        <w:tab/>
        <w:t>set an amount to be appropriated from the Consolidated Revenue Fund under an appropriation in this Act;</w:t>
      </w:r>
    </w:p>
    <w:p w:rsidR="00452C53" w:rsidRPr="00A9469D" w:rsidRDefault="00452C53" w:rsidP="00A9469D">
      <w:pPr>
        <w:pStyle w:val="paragraph"/>
      </w:pPr>
      <w:r w:rsidRPr="00A9469D">
        <w:tab/>
        <w:t>(e)</w:t>
      </w:r>
      <w:r w:rsidRPr="00A9469D">
        <w:tab/>
        <w:t>directly amend the text of this Act.</w:t>
      </w:r>
    </w:p>
    <w:p w:rsidR="008B644E" w:rsidRDefault="00F91FD7" w:rsidP="00A9469D">
      <w:pPr>
        <w:pStyle w:val="Subitem"/>
      </w:pPr>
      <w:r w:rsidRPr="00A9469D">
        <w:t>(</w:t>
      </w:r>
      <w:r w:rsidR="00842FE9" w:rsidRPr="00A9469D">
        <w:t>6</w:t>
      </w:r>
      <w:r w:rsidR="00411201" w:rsidRPr="00A9469D">
        <w:t>)</w:t>
      </w:r>
      <w:r w:rsidR="00411201" w:rsidRPr="00A9469D">
        <w:tab/>
        <w:t xml:space="preserve">This Act (other than </w:t>
      </w:r>
      <w:proofErr w:type="spellStart"/>
      <w:r w:rsidR="00A9469D" w:rsidRPr="00A9469D">
        <w:t>subitem</w:t>
      </w:r>
      <w:proofErr w:type="spellEnd"/>
      <w:r w:rsidR="00A9469D" w:rsidRPr="00A9469D">
        <w:t> (</w:t>
      </w:r>
      <w:r w:rsidR="00842FE9" w:rsidRPr="00A9469D">
        <w:t>5</w:t>
      </w:r>
      <w:r w:rsidR="00411201" w:rsidRPr="00A9469D">
        <w:t xml:space="preserve">)) does not limit the rules that </w:t>
      </w:r>
      <w:r w:rsidR="00842FE9" w:rsidRPr="00A9469D">
        <w:t>may be made</w:t>
      </w:r>
      <w:r w:rsidR="00411201" w:rsidRPr="00A9469D">
        <w:t>.</w:t>
      </w:r>
    </w:p>
    <w:p w:rsidR="0057306A" w:rsidRDefault="0057306A" w:rsidP="00FA3665">
      <w:pPr>
        <w:sectPr w:rsidR="0057306A" w:rsidSect="0057306A">
          <w:headerReference w:type="even" r:id="rId23"/>
          <w:headerReference w:type="default" r:id="rId24"/>
          <w:footerReference w:type="even" r:id="rId25"/>
          <w:footerReference w:type="default" r:id="rId26"/>
          <w:headerReference w:type="first" r:id="rId27"/>
          <w:footerReference w:type="first" r:id="rId28"/>
          <w:pgSz w:w="11907" w:h="16839" w:code="9"/>
          <w:pgMar w:top="1871" w:right="2409" w:bottom="4252" w:left="2409" w:header="720" w:footer="3402" w:gutter="0"/>
          <w:pgNumType w:start="1"/>
          <w:cols w:space="720"/>
          <w:titlePg/>
          <w:docGrid w:linePitch="299"/>
        </w:sectPr>
      </w:pPr>
    </w:p>
    <w:p w:rsidR="00FA3665" w:rsidRDefault="00FA3665" w:rsidP="000C5962">
      <w:pPr>
        <w:pStyle w:val="2ndRd"/>
        <w:keepNext/>
        <w:spacing w:line="260" w:lineRule="atLeast"/>
        <w:rPr>
          <w:i/>
        </w:rPr>
      </w:pPr>
      <w:r>
        <w:lastRenderedPageBreak/>
        <w:t>[</w:t>
      </w:r>
      <w:r>
        <w:rPr>
          <w:i/>
        </w:rPr>
        <w:t>Minister’s second reading speech made in—</w:t>
      </w:r>
    </w:p>
    <w:p w:rsidR="00FA3665" w:rsidRDefault="00FA3665" w:rsidP="000C5962">
      <w:pPr>
        <w:pStyle w:val="2ndRd"/>
        <w:keepNext/>
        <w:spacing w:line="260" w:lineRule="atLeast"/>
        <w:rPr>
          <w:i/>
        </w:rPr>
      </w:pPr>
      <w:r>
        <w:rPr>
          <w:i/>
        </w:rPr>
        <w:t>House of Representatives on 1 June 2017</w:t>
      </w:r>
    </w:p>
    <w:p w:rsidR="00FA3665" w:rsidRDefault="00FA3665" w:rsidP="000C5962">
      <w:pPr>
        <w:pStyle w:val="2ndRd"/>
        <w:keepNext/>
        <w:spacing w:line="260" w:lineRule="atLeast"/>
        <w:rPr>
          <w:i/>
        </w:rPr>
      </w:pPr>
      <w:r>
        <w:rPr>
          <w:i/>
        </w:rPr>
        <w:t>Senate on 18 October 2017</w:t>
      </w:r>
      <w:r>
        <w:t>]</w:t>
      </w:r>
    </w:p>
    <w:p w:rsidR="00FA3665" w:rsidRDefault="00FA3665" w:rsidP="00FA3665">
      <w:pPr>
        <w:framePr w:hSpace="180" w:wrap="around" w:vAnchor="text" w:hAnchor="page" w:x="2390" w:y="9373"/>
      </w:pPr>
      <w:r>
        <w:t>(99/17)</w:t>
      </w:r>
    </w:p>
    <w:p w:rsidR="00FA3665" w:rsidRDefault="00FA3665"/>
    <w:sectPr w:rsidR="00FA3665" w:rsidSect="0057306A">
      <w:headerReference w:type="even" r:id="rId29"/>
      <w:headerReference w:type="default" r:id="rId30"/>
      <w:footerReference w:type="even" r:id="rId31"/>
      <w:footerReference w:type="default" r:id="rId32"/>
      <w:headerReference w:type="first" r:id="rId33"/>
      <w:footerReference w:type="first" r:id="rId34"/>
      <w:pgSz w:w="11907" w:h="16839" w:code="9"/>
      <w:pgMar w:top="1871" w:right="2409" w:bottom="4252" w:left="2409"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88" w:rsidRDefault="00B10D88" w:rsidP="0048364F">
      <w:pPr>
        <w:spacing w:line="240" w:lineRule="auto"/>
      </w:pPr>
      <w:r>
        <w:separator/>
      </w:r>
    </w:p>
  </w:endnote>
  <w:endnote w:type="continuationSeparator" w:id="0">
    <w:p w:rsidR="00B10D88" w:rsidRDefault="00B10D8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5F1388" w:rsidRDefault="00B10D88" w:rsidP="00A9469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6A" w:rsidRPr="00A961C4" w:rsidRDefault="0057306A" w:rsidP="00A9469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7306A" w:rsidTr="00A9469D">
      <w:tc>
        <w:tcPr>
          <w:tcW w:w="1247" w:type="dxa"/>
        </w:tcPr>
        <w:p w:rsidR="0057306A" w:rsidRDefault="0057306A" w:rsidP="006612A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35EE">
            <w:rPr>
              <w:i/>
              <w:sz w:val="18"/>
            </w:rPr>
            <w:t>No. 13, 2019</w:t>
          </w:r>
          <w:r w:rsidRPr="007A1328">
            <w:rPr>
              <w:i/>
              <w:sz w:val="18"/>
            </w:rPr>
            <w:fldChar w:fldCharType="end"/>
          </w:r>
        </w:p>
      </w:tc>
      <w:tc>
        <w:tcPr>
          <w:tcW w:w="5387" w:type="dxa"/>
        </w:tcPr>
        <w:p w:rsidR="0057306A" w:rsidRDefault="0057306A" w:rsidP="006612A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35EE">
            <w:rPr>
              <w:i/>
              <w:sz w:val="18"/>
            </w:rPr>
            <w:t>Industrial Chemicals (Consequential Amendments and Transitional Provisions) Act 2019</w:t>
          </w:r>
          <w:r w:rsidRPr="007A1328">
            <w:rPr>
              <w:i/>
              <w:sz w:val="18"/>
            </w:rPr>
            <w:fldChar w:fldCharType="end"/>
          </w:r>
        </w:p>
      </w:tc>
      <w:tc>
        <w:tcPr>
          <w:tcW w:w="669" w:type="dxa"/>
        </w:tcPr>
        <w:p w:rsidR="0057306A" w:rsidRDefault="0057306A" w:rsidP="006612A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135EE">
            <w:rPr>
              <w:i/>
              <w:noProof/>
              <w:sz w:val="18"/>
            </w:rPr>
            <w:t>30</w:t>
          </w:r>
          <w:r w:rsidRPr="007A1328">
            <w:rPr>
              <w:i/>
              <w:sz w:val="18"/>
            </w:rPr>
            <w:fldChar w:fldCharType="end"/>
          </w:r>
        </w:p>
      </w:tc>
    </w:tr>
  </w:tbl>
  <w:p w:rsidR="0057306A" w:rsidRPr="00055B5C" w:rsidRDefault="0057306A" w:rsidP="0070053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6A" w:rsidRPr="00A961C4" w:rsidRDefault="0057306A" w:rsidP="00A9469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7306A" w:rsidTr="00A9469D">
      <w:tc>
        <w:tcPr>
          <w:tcW w:w="1247" w:type="dxa"/>
        </w:tcPr>
        <w:p w:rsidR="0057306A" w:rsidRDefault="0057306A" w:rsidP="006612A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35EE">
            <w:rPr>
              <w:i/>
              <w:sz w:val="18"/>
            </w:rPr>
            <w:t>No. 13, 2019</w:t>
          </w:r>
          <w:r w:rsidRPr="007A1328">
            <w:rPr>
              <w:i/>
              <w:sz w:val="18"/>
            </w:rPr>
            <w:fldChar w:fldCharType="end"/>
          </w:r>
        </w:p>
      </w:tc>
      <w:tc>
        <w:tcPr>
          <w:tcW w:w="5387" w:type="dxa"/>
        </w:tcPr>
        <w:p w:rsidR="0057306A" w:rsidRDefault="0057306A" w:rsidP="006612A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35EE">
            <w:rPr>
              <w:i/>
              <w:sz w:val="18"/>
            </w:rPr>
            <w:t>Industrial Chemicals (Consequential Amendments and Transitional Provisions) Act 2019</w:t>
          </w:r>
          <w:r w:rsidRPr="007A1328">
            <w:rPr>
              <w:i/>
              <w:sz w:val="18"/>
            </w:rPr>
            <w:fldChar w:fldCharType="end"/>
          </w:r>
        </w:p>
      </w:tc>
      <w:tc>
        <w:tcPr>
          <w:tcW w:w="669" w:type="dxa"/>
        </w:tcPr>
        <w:p w:rsidR="0057306A" w:rsidRDefault="0057306A" w:rsidP="006612A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135EE">
            <w:rPr>
              <w:i/>
              <w:noProof/>
              <w:sz w:val="18"/>
            </w:rPr>
            <w:t>30</w:t>
          </w:r>
          <w:r w:rsidRPr="007A1328">
            <w:rPr>
              <w:i/>
              <w:sz w:val="18"/>
            </w:rPr>
            <w:fldChar w:fldCharType="end"/>
          </w:r>
        </w:p>
      </w:tc>
    </w:tr>
  </w:tbl>
  <w:p w:rsidR="0057306A" w:rsidRPr="00A961C4" w:rsidRDefault="0057306A" w:rsidP="00700531">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65" w:rsidRDefault="00FA3665" w:rsidP="00CD12A5">
    <w:pPr>
      <w:pStyle w:val="ScalePlusRef"/>
    </w:pPr>
    <w:r>
      <w:t>Note: An electronic version of this Act is available on the Federal Register of Legislation (</w:t>
    </w:r>
    <w:hyperlink r:id="rId1" w:history="1">
      <w:r>
        <w:t>https://www.legislation.gov.au/</w:t>
      </w:r>
    </w:hyperlink>
    <w:r>
      <w:t>)</w:t>
    </w:r>
  </w:p>
  <w:p w:rsidR="00FA3665" w:rsidRDefault="00FA3665" w:rsidP="00CD12A5"/>
  <w:p w:rsidR="00B10D88" w:rsidRDefault="00B10D88" w:rsidP="00A9469D">
    <w:pPr>
      <w:pStyle w:val="Footer"/>
      <w:spacing w:before="120"/>
    </w:pPr>
  </w:p>
  <w:p w:rsidR="00B10D88" w:rsidRPr="005F1388" w:rsidRDefault="00B10D88" w:rsidP="00700531">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ED79B6" w:rsidRDefault="00B10D88" w:rsidP="00A9469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Default="00B10D88" w:rsidP="00A9469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10D88" w:rsidTr="006612A2">
      <w:tc>
        <w:tcPr>
          <w:tcW w:w="646" w:type="dxa"/>
        </w:tcPr>
        <w:p w:rsidR="00B10D88" w:rsidRDefault="00B10D88" w:rsidP="006612A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135EE">
            <w:rPr>
              <w:i/>
              <w:noProof/>
              <w:sz w:val="18"/>
            </w:rPr>
            <w:t>ii</w:t>
          </w:r>
          <w:r w:rsidRPr="00ED79B6">
            <w:rPr>
              <w:i/>
              <w:sz w:val="18"/>
            </w:rPr>
            <w:fldChar w:fldCharType="end"/>
          </w:r>
        </w:p>
      </w:tc>
      <w:tc>
        <w:tcPr>
          <w:tcW w:w="5387" w:type="dxa"/>
        </w:tcPr>
        <w:p w:rsidR="00B10D88" w:rsidRDefault="00B10D88" w:rsidP="006612A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135EE">
            <w:rPr>
              <w:i/>
              <w:sz w:val="18"/>
            </w:rPr>
            <w:t>Industrial Chemicals (Consequential Amendments and Transitional Provisions) Act 2019</w:t>
          </w:r>
          <w:r w:rsidRPr="00ED79B6">
            <w:rPr>
              <w:i/>
              <w:sz w:val="18"/>
            </w:rPr>
            <w:fldChar w:fldCharType="end"/>
          </w:r>
        </w:p>
      </w:tc>
      <w:tc>
        <w:tcPr>
          <w:tcW w:w="1270" w:type="dxa"/>
        </w:tcPr>
        <w:p w:rsidR="00B10D88" w:rsidRDefault="00B10D88" w:rsidP="006612A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135EE">
            <w:rPr>
              <w:i/>
              <w:sz w:val="18"/>
            </w:rPr>
            <w:t>No. 13, 2019</w:t>
          </w:r>
          <w:r w:rsidRPr="00ED79B6">
            <w:rPr>
              <w:i/>
              <w:sz w:val="18"/>
            </w:rPr>
            <w:fldChar w:fldCharType="end"/>
          </w:r>
        </w:p>
      </w:tc>
    </w:tr>
  </w:tbl>
  <w:p w:rsidR="00B10D88" w:rsidRDefault="00B10D88" w:rsidP="0070053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Default="00B10D88" w:rsidP="00A9469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10D88" w:rsidTr="006612A2">
      <w:tc>
        <w:tcPr>
          <w:tcW w:w="1247" w:type="dxa"/>
        </w:tcPr>
        <w:p w:rsidR="00B10D88" w:rsidRDefault="00B10D88" w:rsidP="006612A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135EE">
            <w:rPr>
              <w:i/>
              <w:sz w:val="18"/>
            </w:rPr>
            <w:t>No. 13, 2019</w:t>
          </w:r>
          <w:r w:rsidRPr="00ED79B6">
            <w:rPr>
              <w:i/>
              <w:sz w:val="18"/>
            </w:rPr>
            <w:fldChar w:fldCharType="end"/>
          </w:r>
        </w:p>
      </w:tc>
      <w:tc>
        <w:tcPr>
          <w:tcW w:w="5387" w:type="dxa"/>
        </w:tcPr>
        <w:p w:rsidR="00B10D88" w:rsidRDefault="00B10D88" w:rsidP="006612A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135EE">
            <w:rPr>
              <w:i/>
              <w:sz w:val="18"/>
            </w:rPr>
            <w:t>Industrial Chemicals (Consequential Amendments and Transitional Provisions) Act 2019</w:t>
          </w:r>
          <w:r w:rsidRPr="00ED79B6">
            <w:rPr>
              <w:i/>
              <w:sz w:val="18"/>
            </w:rPr>
            <w:fldChar w:fldCharType="end"/>
          </w:r>
        </w:p>
      </w:tc>
      <w:tc>
        <w:tcPr>
          <w:tcW w:w="669" w:type="dxa"/>
        </w:tcPr>
        <w:p w:rsidR="00B10D88" w:rsidRDefault="00B10D88" w:rsidP="006612A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135EE">
            <w:rPr>
              <w:i/>
              <w:noProof/>
              <w:sz w:val="18"/>
            </w:rPr>
            <w:t>i</w:t>
          </w:r>
          <w:r w:rsidRPr="00ED79B6">
            <w:rPr>
              <w:i/>
              <w:sz w:val="18"/>
            </w:rPr>
            <w:fldChar w:fldCharType="end"/>
          </w:r>
        </w:p>
      </w:tc>
    </w:tr>
  </w:tbl>
  <w:p w:rsidR="00B10D88" w:rsidRPr="00ED79B6" w:rsidRDefault="00B10D88" w:rsidP="00700531">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A961C4" w:rsidRDefault="00B10D88" w:rsidP="00A9469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10D88" w:rsidTr="00A9469D">
      <w:tc>
        <w:tcPr>
          <w:tcW w:w="646" w:type="dxa"/>
        </w:tcPr>
        <w:p w:rsidR="00B10D88" w:rsidRDefault="00B10D88" w:rsidP="006612A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135EE">
            <w:rPr>
              <w:i/>
              <w:noProof/>
              <w:sz w:val="18"/>
            </w:rPr>
            <w:t>2</w:t>
          </w:r>
          <w:r w:rsidRPr="007A1328">
            <w:rPr>
              <w:i/>
              <w:sz w:val="18"/>
            </w:rPr>
            <w:fldChar w:fldCharType="end"/>
          </w:r>
        </w:p>
      </w:tc>
      <w:tc>
        <w:tcPr>
          <w:tcW w:w="5387" w:type="dxa"/>
        </w:tcPr>
        <w:p w:rsidR="00B10D88" w:rsidRDefault="00B10D88" w:rsidP="006612A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35EE">
            <w:rPr>
              <w:i/>
              <w:sz w:val="18"/>
            </w:rPr>
            <w:t>Industrial Chemicals (Consequential Amendments and Transitional Provisions) Act 2019</w:t>
          </w:r>
          <w:r w:rsidRPr="007A1328">
            <w:rPr>
              <w:i/>
              <w:sz w:val="18"/>
            </w:rPr>
            <w:fldChar w:fldCharType="end"/>
          </w:r>
        </w:p>
      </w:tc>
      <w:tc>
        <w:tcPr>
          <w:tcW w:w="1270" w:type="dxa"/>
        </w:tcPr>
        <w:p w:rsidR="00B10D88" w:rsidRDefault="00B10D88" w:rsidP="006612A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35EE">
            <w:rPr>
              <w:i/>
              <w:sz w:val="18"/>
            </w:rPr>
            <w:t>No. 13, 2019</w:t>
          </w:r>
          <w:r w:rsidRPr="007A1328">
            <w:rPr>
              <w:i/>
              <w:sz w:val="18"/>
            </w:rPr>
            <w:fldChar w:fldCharType="end"/>
          </w:r>
        </w:p>
      </w:tc>
    </w:tr>
  </w:tbl>
  <w:p w:rsidR="00B10D88" w:rsidRPr="00A961C4" w:rsidRDefault="00B10D88" w:rsidP="0070053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A961C4" w:rsidRDefault="00B10D88" w:rsidP="00A9469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10D88" w:rsidTr="00A9469D">
      <w:tc>
        <w:tcPr>
          <w:tcW w:w="1247" w:type="dxa"/>
        </w:tcPr>
        <w:p w:rsidR="00B10D88" w:rsidRDefault="00B10D88" w:rsidP="006612A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35EE">
            <w:rPr>
              <w:i/>
              <w:sz w:val="18"/>
            </w:rPr>
            <w:t>No. 13, 2019</w:t>
          </w:r>
          <w:r w:rsidRPr="007A1328">
            <w:rPr>
              <w:i/>
              <w:sz w:val="18"/>
            </w:rPr>
            <w:fldChar w:fldCharType="end"/>
          </w:r>
        </w:p>
      </w:tc>
      <w:tc>
        <w:tcPr>
          <w:tcW w:w="5387" w:type="dxa"/>
        </w:tcPr>
        <w:p w:rsidR="00B10D88" w:rsidRDefault="00B10D88" w:rsidP="006612A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35EE">
            <w:rPr>
              <w:i/>
              <w:sz w:val="18"/>
            </w:rPr>
            <w:t>Industrial Chemicals (Consequential Amendments and Transitional Provisions) Act 2019</w:t>
          </w:r>
          <w:r w:rsidRPr="007A1328">
            <w:rPr>
              <w:i/>
              <w:sz w:val="18"/>
            </w:rPr>
            <w:fldChar w:fldCharType="end"/>
          </w:r>
        </w:p>
      </w:tc>
      <w:tc>
        <w:tcPr>
          <w:tcW w:w="669" w:type="dxa"/>
        </w:tcPr>
        <w:p w:rsidR="00B10D88" w:rsidRDefault="00B10D88" w:rsidP="006612A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135EE">
            <w:rPr>
              <w:i/>
              <w:noProof/>
              <w:sz w:val="18"/>
            </w:rPr>
            <w:t>31</w:t>
          </w:r>
          <w:r w:rsidRPr="007A1328">
            <w:rPr>
              <w:i/>
              <w:sz w:val="18"/>
            </w:rPr>
            <w:fldChar w:fldCharType="end"/>
          </w:r>
        </w:p>
      </w:tc>
    </w:tr>
  </w:tbl>
  <w:p w:rsidR="00B10D88" w:rsidRPr="00055B5C" w:rsidRDefault="00B10D88" w:rsidP="0070053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A961C4" w:rsidRDefault="00B10D88" w:rsidP="00A9469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10D88" w:rsidTr="00A9469D">
      <w:tc>
        <w:tcPr>
          <w:tcW w:w="1247" w:type="dxa"/>
        </w:tcPr>
        <w:p w:rsidR="00B10D88" w:rsidRDefault="00B10D88" w:rsidP="006612A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35EE">
            <w:rPr>
              <w:i/>
              <w:sz w:val="18"/>
            </w:rPr>
            <w:t>No. 13, 2019</w:t>
          </w:r>
          <w:r w:rsidRPr="007A1328">
            <w:rPr>
              <w:i/>
              <w:sz w:val="18"/>
            </w:rPr>
            <w:fldChar w:fldCharType="end"/>
          </w:r>
        </w:p>
      </w:tc>
      <w:tc>
        <w:tcPr>
          <w:tcW w:w="5387" w:type="dxa"/>
        </w:tcPr>
        <w:p w:rsidR="00B10D88" w:rsidRDefault="00B10D88" w:rsidP="006612A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35EE">
            <w:rPr>
              <w:i/>
              <w:sz w:val="18"/>
            </w:rPr>
            <w:t>Industrial Chemicals (Consequential Amendments and Transitional Provisions) Act 2019</w:t>
          </w:r>
          <w:r w:rsidRPr="007A1328">
            <w:rPr>
              <w:i/>
              <w:sz w:val="18"/>
            </w:rPr>
            <w:fldChar w:fldCharType="end"/>
          </w:r>
        </w:p>
      </w:tc>
      <w:tc>
        <w:tcPr>
          <w:tcW w:w="669" w:type="dxa"/>
        </w:tcPr>
        <w:p w:rsidR="00B10D88" w:rsidRDefault="00B10D88" w:rsidP="006612A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135EE">
            <w:rPr>
              <w:i/>
              <w:noProof/>
              <w:sz w:val="18"/>
            </w:rPr>
            <w:t>1</w:t>
          </w:r>
          <w:r w:rsidRPr="007A1328">
            <w:rPr>
              <w:i/>
              <w:sz w:val="18"/>
            </w:rPr>
            <w:fldChar w:fldCharType="end"/>
          </w:r>
        </w:p>
      </w:tc>
    </w:tr>
  </w:tbl>
  <w:p w:rsidR="00B10D88" w:rsidRPr="00A961C4" w:rsidRDefault="00B10D88" w:rsidP="00700531">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6A" w:rsidRPr="00A961C4" w:rsidRDefault="0057306A" w:rsidP="00A9469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7306A" w:rsidTr="00A9469D">
      <w:tc>
        <w:tcPr>
          <w:tcW w:w="646" w:type="dxa"/>
        </w:tcPr>
        <w:p w:rsidR="0057306A" w:rsidRDefault="0057306A" w:rsidP="006612A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135EE">
            <w:rPr>
              <w:i/>
              <w:noProof/>
              <w:sz w:val="18"/>
            </w:rPr>
            <w:t>32</w:t>
          </w:r>
          <w:r w:rsidRPr="007A1328">
            <w:rPr>
              <w:i/>
              <w:sz w:val="18"/>
            </w:rPr>
            <w:fldChar w:fldCharType="end"/>
          </w:r>
        </w:p>
      </w:tc>
      <w:tc>
        <w:tcPr>
          <w:tcW w:w="5387" w:type="dxa"/>
        </w:tcPr>
        <w:p w:rsidR="0057306A" w:rsidRDefault="0057306A" w:rsidP="006612A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35EE">
            <w:rPr>
              <w:i/>
              <w:sz w:val="18"/>
            </w:rPr>
            <w:t>Industrial Chemicals (Consequential Amendments and Transitional Provisions) Act 2019</w:t>
          </w:r>
          <w:r w:rsidRPr="007A1328">
            <w:rPr>
              <w:i/>
              <w:sz w:val="18"/>
            </w:rPr>
            <w:fldChar w:fldCharType="end"/>
          </w:r>
        </w:p>
      </w:tc>
      <w:tc>
        <w:tcPr>
          <w:tcW w:w="1270" w:type="dxa"/>
        </w:tcPr>
        <w:p w:rsidR="0057306A" w:rsidRDefault="0057306A" w:rsidP="006612A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35EE">
            <w:rPr>
              <w:i/>
              <w:sz w:val="18"/>
            </w:rPr>
            <w:t>No. 13, 2019</w:t>
          </w:r>
          <w:r w:rsidRPr="007A1328">
            <w:rPr>
              <w:i/>
              <w:sz w:val="18"/>
            </w:rPr>
            <w:fldChar w:fldCharType="end"/>
          </w:r>
        </w:p>
      </w:tc>
    </w:tr>
  </w:tbl>
  <w:p w:rsidR="0057306A" w:rsidRPr="00A961C4" w:rsidRDefault="0057306A" w:rsidP="00700531">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88" w:rsidRDefault="00B10D88" w:rsidP="0048364F">
      <w:pPr>
        <w:spacing w:line="240" w:lineRule="auto"/>
      </w:pPr>
      <w:r>
        <w:separator/>
      </w:r>
    </w:p>
  </w:footnote>
  <w:footnote w:type="continuationSeparator" w:id="0">
    <w:p w:rsidR="00B10D88" w:rsidRDefault="00B10D88"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5F1388" w:rsidRDefault="00B10D88" w:rsidP="00700531">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6A" w:rsidRPr="00A961C4" w:rsidRDefault="0057306A" w:rsidP="00700531">
    <w:pPr>
      <w:rPr>
        <w:b/>
        <w:sz w:val="20"/>
      </w:rPr>
    </w:pPr>
  </w:p>
  <w:p w:rsidR="0057306A" w:rsidRPr="00A961C4" w:rsidRDefault="0057306A" w:rsidP="00700531">
    <w:pPr>
      <w:rPr>
        <w:b/>
        <w:sz w:val="20"/>
      </w:rPr>
    </w:pPr>
  </w:p>
  <w:p w:rsidR="0057306A" w:rsidRPr="00A961C4" w:rsidRDefault="0057306A" w:rsidP="00700531">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6A" w:rsidRPr="00A961C4" w:rsidRDefault="0057306A" w:rsidP="00700531">
    <w:pPr>
      <w:jc w:val="right"/>
      <w:rPr>
        <w:sz w:val="20"/>
      </w:rPr>
    </w:pPr>
  </w:p>
  <w:p w:rsidR="0057306A" w:rsidRPr="00A961C4" w:rsidRDefault="0057306A" w:rsidP="00700531">
    <w:pPr>
      <w:jc w:val="right"/>
      <w:rPr>
        <w:b/>
        <w:sz w:val="20"/>
      </w:rPr>
    </w:pPr>
  </w:p>
  <w:p w:rsidR="0057306A" w:rsidRPr="00A961C4" w:rsidRDefault="0057306A" w:rsidP="00700531">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6A" w:rsidRPr="00A961C4" w:rsidRDefault="0057306A" w:rsidP="007005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5F1388" w:rsidRDefault="00B10D88" w:rsidP="00700531">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5F1388" w:rsidRDefault="00B10D88" w:rsidP="0070053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ED79B6" w:rsidRDefault="00B10D88" w:rsidP="0070053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ED79B6" w:rsidRDefault="00B10D88" w:rsidP="0070053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ED79B6" w:rsidRDefault="00B10D88" w:rsidP="0070053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A961C4" w:rsidRDefault="00B10D88" w:rsidP="00700531">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B10D88" w:rsidRPr="00A961C4" w:rsidRDefault="00B10D88" w:rsidP="00700531">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10D88" w:rsidRPr="00A961C4" w:rsidRDefault="00B10D88" w:rsidP="00700531">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A961C4" w:rsidRDefault="00B10D88" w:rsidP="00700531">
    <w:pPr>
      <w:jc w:val="right"/>
      <w:rPr>
        <w:sz w:val="20"/>
      </w:rPr>
    </w:pPr>
    <w:r w:rsidRPr="00A961C4">
      <w:rPr>
        <w:sz w:val="20"/>
      </w:rPr>
      <w:fldChar w:fldCharType="begin"/>
    </w:r>
    <w:r w:rsidRPr="00A961C4">
      <w:rPr>
        <w:sz w:val="20"/>
      </w:rPr>
      <w:instrText xml:space="preserve"> STYLEREF CharAmSchText </w:instrText>
    </w:r>
    <w:r w:rsidR="006135EE">
      <w:rPr>
        <w:sz w:val="20"/>
      </w:rPr>
      <w:fldChar w:fldCharType="separate"/>
    </w:r>
    <w:r w:rsidR="006135EE">
      <w:rPr>
        <w:noProof/>
        <w:sz w:val="20"/>
      </w:rPr>
      <w:t>Application, savings and 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135EE">
      <w:rPr>
        <w:b/>
        <w:sz w:val="20"/>
      </w:rPr>
      <w:fldChar w:fldCharType="separate"/>
    </w:r>
    <w:r w:rsidR="006135EE">
      <w:rPr>
        <w:b/>
        <w:noProof/>
        <w:sz w:val="20"/>
      </w:rPr>
      <w:t>Schedule 2</w:t>
    </w:r>
    <w:r>
      <w:rPr>
        <w:b/>
        <w:sz w:val="20"/>
      </w:rPr>
      <w:fldChar w:fldCharType="end"/>
    </w:r>
  </w:p>
  <w:p w:rsidR="00B10D88" w:rsidRPr="00A961C4" w:rsidRDefault="00B10D88" w:rsidP="00700531">
    <w:pPr>
      <w:jc w:val="right"/>
      <w:rPr>
        <w:b/>
        <w:sz w:val="20"/>
      </w:rPr>
    </w:pPr>
    <w:r w:rsidRPr="00A961C4">
      <w:rPr>
        <w:sz w:val="20"/>
      </w:rPr>
      <w:fldChar w:fldCharType="begin"/>
    </w:r>
    <w:r w:rsidRPr="00A961C4">
      <w:rPr>
        <w:sz w:val="20"/>
      </w:rPr>
      <w:instrText xml:space="preserve"> STYLEREF CharAmPartText </w:instrText>
    </w:r>
    <w:r w:rsidR="006135EE">
      <w:rPr>
        <w:sz w:val="20"/>
      </w:rPr>
      <w:fldChar w:fldCharType="separate"/>
    </w:r>
    <w:r w:rsidR="006135EE">
      <w:rPr>
        <w:noProof/>
        <w:sz w:val="20"/>
      </w:rPr>
      <w:t>Miscellaneous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6135EE">
      <w:rPr>
        <w:b/>
        <w:sz w:val="20"/>
      </w:rPr>
      <w:fldChar w:fldCharType="separate"/>
    </w:r>
    <w:r w:rsidR="006135EE">
      <w:rPr>
        <w:b/>
        <w:noProof/>
        <w:sz w:val="20"/>
      </w:rPr>
      <w:t>Part 8</w:t>
    </w:r>
    <w:r w:rsidRPr="00A961C4">
      <w:rPr>
        <w:b/>
        <w:sz w:val="20"/>
      </w:rPr>
      <w:fldChar w:fldCharType="end"/>
    </w:r>
  </w:p>
  <w:p w:rsidR="00B10D88" w:rsidRPr="00A961C4" w:rsidRDefault="00B10D88" w:rsidP="00700531">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8" w:rsidRPr="00A961C4" w:rsidRDefault="00B10D88" w:rsidP="007005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EBA92"/>
    <w:lvl w:ilvl="0">
      <w:start w:val="1"/>
      <w:numFmt w:val="decimal"/>
      <w:lvlText w:val="%1."/>
      <w:lvlJc w:val="left"/>
      <w:pPr>
        <w:tabs>
          <w:tab w:val="num" w:pos="1492"/>
        </w:tabs>
        <w:ind w:left="1492" w:hanging="360"/>
      </w:pPr>
    </w:lvl>
  </w:abstractNum>
  <w:abstractNum w:abstractNumId="1">
    <w:nsid w:val="FFFFFF7D"/>
    <w:multiLevelType w:val="singleLevel"/>
    <w:tmpl w:val="78CA415A"/>
    <w:lvl w:ilvl="0">
      <w:start w:val="1"/>
      <w:numFmt w:val="decimal"/>
      <w:lvlText w:val="%1."/>
      <w:lvlJc w:val="left"/>
      <w:pPr>
        <w:tabs>
          <w:tab w:val="num" w:pos="1209"/>
        </w:tabs>
        <w:ind w:left="1209" w:hanging="360"/>
      </w:pPr>
    </w:lvl>
  </w:abstractNum>
  <w:abstractNum w:abstractNumId="2">
    <w:nsid w:val="FFFFFF7E"/>
    <w:multiLevelType w:val="singleLevel"/>
    <w:tmpl w:val="F1A871C8"/>
    <w:lvl w:ilvl="0">
      <w:start w:val="1"/>
      <w:numFmt w:val="decimal"/>
      <w:lvlText w:val="%1."/>
      <w:lvlJc w:val="left"/>
      <w:pPr>
        <w:tabs>
          <w:tab w:val="num" w:pos="926"/>
        </w:tabs>
        <w:ind w:left="926" w:hanging="360"/>
      </w:pPr>
    </w:lvl>
  </w:abstractNum>
  <w:abstractNum w:abstractNumId="3">
    <w:nsid w:val="FFFFFF7F"/>
    <w:multiLevelType w:val="singleLevel"/>
    <w:tmpl w:val="0B10B068"/>
    <w:lvl w:ilvl="0">
      <w:start w:val="1"/>
      <w:numFmt w:val="decimal"/>
      <w:lvlText w:val="%1."/>
      <w:lvlJc w:val="left"/>
      <w:pPr>
        <w:tabs>
          <w:tab w:val="num" w:pos="643"/>
        </w:tabs>
        <w:ind w:left="643" w:hanging="360"/>
      </w:pPr>
    </w:lvl>
  </w:abstractNum>
  <w:abstractNum w:abstractNumId="4">
    <w:nsid w:val="FFFFFF80"/>
    <w:multiLevelType w:val="singleLevel"/>
    <w:tmpl w:val="7D14F2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881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98BF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B22A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ABE7C"/>
    <w:lvl w:ilvl="0">
      <w:start w:val="1"/>
      <w:numFmt w:val="decimal"/>
      <w:lvlText w:val="%1."/>
      <w:lvlJc w:val="left"/>
      <w:pPr>
        <w:tabs>
          <w:tab w:val="num" w:pos="360"/>
        </w:tabs>
        <w:ind w:left="360" w:hanging="360"/>
      </w:pPr>
    </w:lvl>
  </w:abstractNum>
  <w:abstractNum w:abstractNumId="9">
    <w:nsid w:val="FFFFFF89"/>
    <w:multiLevelType w:val="singleLevel"/>
    <w:tmpl w:val="F2DA213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5E"/>
    <w:rsid w:val="000026FB"/>
    <w:rsid w:val="0000356D"/>
    <w:rsid w:val="000113BC"/>
    <w:rsid w:val="00012CE9"/>
    <w:rsid w:val="000136AF"/>
    <w:rsid w:val="00016E9A"/>
    <w:rsid w:val="000307B6"/>
    <w:rsid w:val="00031A50"/>
    <w:rsid w:val="00032CBE"/>
    <w:rsid w:val="00034B90"/>
    <w:rsid w:val="000417C9"/>
    <w:rsid w:val="0004250E"/>
    <w:rsid w:val="00043EBA"/>
    <w:rsid w:val="0004560E"/>
    <w:rsid w:val="00050233"/>
    <w:rsid w:val="000510DC"/>
    <w:rsid w:val="00055B5C"/>
    <w:rsid w:val="00056391"/>
    <w:rsid w:val="00057134"/>
    <w:rsid w:val="00060FF9"/>
    <w:rsid w:val="000614BF"/>
    <w:rsid w:val="0006357B"/>
    <w:rsid w:val="00063699"/>
    <w:rsid w:val="0006390E"/>
    <w:rsid w:val="000700D7"/>
    <w:rsid w:val="000706AE"/>
    <w:rsid w:val="0007492B"/>
    <w:rsid w:val="00076071"/>
    <w:rsid w:val="000815EF"/>
    <w:rsid w:val="00084782"/>
    <w:rsid w:val="00084985"/>
    <w:rsid w:val="0009652B"/>
    <w:rsid w:val="000A104B"/>
    <w:rsid w:val="000A241F"/>
    <w:rsid w:val="000A528C"/>
    <w:rsid w:val="000A7621"/>
    <w:rsid w:val="000A7CA4"/>
    <w:rsid w:val="000B1784"/>
    <w:rsid w:val="000B1FD2"/>
    <w:rsid w:val="000B3544"/>
    <w:rsid w:val="000B5406"/>
    <w:rsid w:val="000C02A1"/>
    <w:rsid w:val="000D05EF"/>
    <w:rsid w:val="000D119F"/>
    <w:rsid w:val="000D21B1"/>
    <w:rsid w:val="000D3A18"/>
    <w:rsid w:val="000D49C1"/>
    <w:rsid w:val="000E2DF9"/>
    <w:rsid w:val="000F21C1"/>
    <w:rsid w:val="000F368E"/>
    <w:rsid w:val="000F3DEB"/>
    <w:rsid w:val="000F624B"/>
    <w:rsid w:val="000F6B9F"/>
    <w:rsid w:val="001004E1"/>
    <w:rsid w:val="00101D90"/>
    <w:rsid w:val="00101FB0"/>
    <w:rsid w:val="00104A13"/>
    <w:rsid w:val="0010598B"/>
    <w:rsid w:val="00107183"/>
    <w:rsid w:val="0010745C"/>
    <w:rsid w:val="00107A39"/>
    <w:rsid w:val="00113BD1"/>
    <w:rsid w:val="001163B5"/>
    <w:rsid w:val="001178CF"/>
    <w:rsid w:val="00122206"/>
    <w:rsid w:val="001249FE"/>
    <w:rsid w:val="00126C5D"/>
    <w:rsid w:val="00127B68"/>
    <w:rsid w:val="001301B4"/>
    <w:rsid w:val="001346F5"/>
    <w:rsid w:val="0013662C"/>
    <w:rsid w:val="00136749"/>
    <w:rsid w:val="001405F3"/>
    <w:rsid w:val="00141E21"/>
    <w:rsid w:val="0014587F"/>
    <w:rsid w:val="00146CD4"/>
    <w:rsid w:val="00147FD1"/>
    <w:rsid w:val="00152FAD"/>
    <w:rsid w:val="00153F95"/>
    <w:rsid w:val="0015646E"/>
    <w:rsid w:val="00160ADF"/>
    <w:rsid w:val="001643C9"/>
    <w:rsid w:val="0016548A"/>
    <w:rsid w:val="00165568"/>
    <w:rsid w:val="00166C2F"/>
    <w:rsid w:val="001716C9"/>
    <w:rsid w:val="00173363"/>
    <w:rsid w:val="00173B94"/>
    <w:rsid w:val="00175071"/>
    <w:rsid w:val="001750CC"/>
    <w:rsid w:val="00175A91"/>
    <w:rsid w:val="00176DC2"/>
    <w:rsid w:val="00176FCA"/>
    <w:rsid w:val="00180631"/>
    <w:rsid w:val="001854B4"/>
    <w:rsid w:val="0018564E"/>
    <w:rsid w:val="001911E3"/>
    <w:rsid w:val="00191814"/>
    <w:rsid w:val="0019241F"/>
    <w:rsid w:val="00193601"/>
    <w:rsid w:val="001939E1"/>
    <w:rsid w:val="00195382"/>
    <w:rsid w:val="00196BE9"/>
    <w:rsid w:val="001A2F4F"/>
    <w:rsid w:val="001A3658"/>
    <w:rsid w:val="001A4471"/>
    <w:rsid w:val="001A5598"/>
    <w:rsid w:val="001A7456"/>
    <w:rsid w:val="001A759A"/>
    <w:rsid w:val="001B132F"/>
    <w:rsid w:val="001B448E"/>
    <w:rsid w:val="001B59A4"/>
    <w:rsid w:val="001B7A5D"/>
    <w:rsid w:val="001C0E02"/>
    <w:rsid w:val="001C1B44"/>
    <w:rsid w:val="001C2418"/>
    <w:rsid w:val="001C2888"/>
    <w:rsid w:val="001C3845"/>
    <w:rsid w:val="001C499B"/>
    <w:rsid w:val="001C69C4"/>
    <w:rsid w:val="001C7BCB"/>
    <w:rsid w:val="001C7F2D"/>
    <w:rsid w:val="001D256E"/>
    <w:rsid w:val="001D7E78"/>
    <w:rsid w:val="001E3590"/>
    <w:rsid w:val="001E3629"/>
    <w:rsid w:val="001E7407"/>
    <w:rsid w:val="001F1D9D"/>
    <w:rsid w:val="001F342A"/>
    <w:rsid w:val="001F348B"/>
    <w:rsid w:val="001F5C0B"/>
    <w:rsid w:val="00201D13"/>
    <w:rsid w:val="00201D27"/>
    <w:rsid w:val="00202618"/>
    <w:rsid w:val="002031C6"/>
    <w:rsid w:val="00203FAB"/>
    <w:rsid w:val="00207EEE"/>
    <w:rsid w:val="00210A96"/>
    <w:rsid w:val="00211629"/>
    <w:rsid w:val="00215407"/>
    <w:rsid w:val="00217922"/>
    <w:rsid w:val="002206C3"/>
    <w:rsid w:val="00223898"/>
    <w:rsid w:val="002305CE"/>
    <w:rsid w:val="002330E5"/>
    <w:rsid w:val="002332D1"/>
    <w:rsid w:val="002338E1"/>
    <w:rsid w:val="0023590B"/>
    <w:rsid w:val="00240528"/>
    <w:rsid w:val="00240749"/>
    <w:rsid w:val="00240840"/>
    <w:rsid w:val="0024575A"/>
    <w:rsid w:val="00246A2C"/>
    <w:rsid w:val="00251F22"/>
    <w:rsid w:val="0025375B"/>
    <w:rsid w:val="002568AC"/>
    <w:rsid w:val="00260559"/>
    <w:rsid w:val="00261212"/>
    <w:rsid w:val="00263820"/>
    <w:rsid w:val="00265503"/>
    <w:rsid w:val="002656D2"/>
    <w:rsid w:val="00266DAA"/>
    <w:rsid w:val="00271743"/>
    <w:rsid w:val="00274D64"/>
    <w:rsid w:val="00275197"/>
    <w:rsid w:val="0027576D"/>
    <w:rsid w:val="00275F71"/>
    <w:rsid w:val="00280597"/>
    <w:rsid w:val="00281031"/>
    <w:rsid w:val="00286718"/>
    <w:rsid w:val="00291484"/>
    <w:rsid w:val="00293B89"/>
    <w:rsid w:val="00296818"/>
    <w:rsid w:val="00296A4F"/>
    <w:rsid w:val="00297ECB"/>
    <w:rsid w:val="002B1A2B"/>
    <w:rsid w:val="002B1EDB"/>
    <w:rsid w:val="002B1F2B"/>
    <w:rsid w:val="002B34F5"/>
    <w:rsid w:val="002B5A30"/>
    <w:rsid w:val="002C06F3"/>
    <w:rsid w:val="002D043A"/>
    <w:rsid w:val="002D126D"/>
    <w:rsid w:val="002D21B2"/>
    <w:rsid w:val="002D395A"/>
    <w:rsid w:val="002D7848"/>
    <w:rsid w:val="002E148E"/>
    <w:rsid w:val="002E5C5A"/>
    <w:rsid w:val="002E5D0B"/>
    <w:rsid w:val="002F359B"/>
    <w:rsid w:val="002F7798"/>
    <w:rsid w:val="00300A12"/>
    <w:rsid w:val="00300D09"/>
    <w:rsid w:val="00304F9F"/>
    <w:rsid w:val="00307648"/>
    <w:rsid w:val="00307F59"/>
    <w:rsid w:val="00314B84"/>
    <w:rsid w:val="00314E75"/>
    <w:rsid w:val="003258F4"/>
    <w:rsid w:val="00332CCD"/>
    <w:rsid w:val="003415D3"/>
    <w:rsid w:val="00341CAC"/>
    <w:rsid w:val="00341D86"/>
    <w:rsid w:val="00344C1B"/>
    <w:rsid w:val="003453A7"/>
    <w:rsid w:val="00350417"/>
    <w:rsid w:val="00352B0F"/>
    <w:rsid w:val="00353921"/>
    <w:rsid w:val="00354A4A"/>
    <w:rsid w:val="0035533E"/>
    <w:rsid w:val="00357529"/>
    <w:rsid w:val="00367B46"/>
    <w:rsid w:val="00367D3F"/>
    <w:rsid w:val="00374B39"/>
    <w:rsid w:val="00375C6C"/>
    <w:rsid w:val="00377AB1"/>
    <w:rsid w:val="003804B3"/>
    <w:rsid w:val="003833F3"/>
    <w:rsid w:val="00383897"/>
    <w:rsid w:val="00384BE4"/>
    <w:rsid w:val="00386161"/>
    <w:rsid w:val="00393A9C"/>
    <w:rsid w:val="00397DA7"/>
    <w:rsid w:val="003A5224"/>
    <w:rsid w:val="003A56DC"/>
    <w:rsid w:val="003A6190"/>
    <w:rsid w:val="003A6720"/>
    <w:rsid w:val="003A6C67"/>
    <w:rsid w:val="003B2359"/>
    <w:rsid w:val="003B2AAF"/>
    <w:rsid w:val="003B5E66"/>
    <w:rsid w:val="003C5F2B"/>
    <w:rsid w:val="003C66F3"/>
    <w:rsid w:val="003D0BFE"/>
    <w:rsid w:val="003D1FF8"/>
    <w:rsid w:val="003D5700"/>
    <w:rsid w:val="003E2872"/>
    <w:rsid w:val="003E2879"/>
    <w:rsid w:val="003E6AE7"/>
    <w:rsid w:val="003E6D42"/>
    <w:rsid w:val="003F07A4"/>
    <w:rsid w:val="003F1A9B"/>
    <w:rsid w:val="003F2022"/>
    <w:rsid w:val="003F4F02"/>
    <w:rsid w:val="003F551E"/>
    <w:rsid w:val="00400E97"/>
    <w:rsid w:val="00401C63"/>
    <w:rsid w:val="0040387E"/>
    <w:rsid w:val="00403F3E"/>
    <w:rsid w:val="00405579"/>
    <w:rsid w:val="00410B8E"/>
    <w:rsid w:val="00410F10"/>
    <w:rsid w:val="00411201"/>
    <w:rsid w:val="004116CD"/>
    <w:rsid w:val="0041427B"/>
    <w:rsid w:val="00415002"/>
    <w:rsid w:val="00417AE5"/>
    <w:rsid w:val="00417EBB"/>
    <w:rsid w:val="00421FC1"/>
    <w:rsid w:val="004229C7"/>
    <w:rsid w:val="00422EB1"/>
    <w:rsid w:val="00424CA9"/>
    <w:rsid w:val="00425140"/>
    <w:rsid w:val="00426775"/>
    <w:rsid w:val="00426D7A"/>
    <w:rsid w:val="004317CF"/>
    <w:rsid w:val="00431DB1"/>
    <w:rsid w:val="00432FC0"/>
    <w:rsid w:val="00436785"/>
    <w:rsid w:val="00436BD5"/>
    <w:rsid w:val="00437439"/>
    <w:rsid w:val="00437E4B"/>
    <w:rsid w:val="0044291A"/>
    <w:rsid w:val="00447DD6"/>
    <w:rsid w:val="00452C53"/>
    <w:rsid w:val="0045484B"/>
    <w:rsid w:val="00455904"/>
    <w:rsid w:val="00464A42"/>
    <w:rsid w:val="00464E49"/>
    <w:rsid w:val="00465BBC"/>
    <w:rsid w:val="004668A8"/>
    <w:rsid w:val="004677D1"/>
    <w:rsid w:val="00473C0D"/>
    <w:rsid w:val="00473C1F"/>
    <w:rsid w:val="0047727C"/>
    <w:rsid w:val="00480D4F"/>
    <w:rsid w:val="0048196B"/>
    <w:rsid w:val="0048364F"/>
    <w:rsid w:val="00484B20"/>
    <w:rsid w:val="0048597A"/>
    <w:rsid w:val="0049442F"/>
    <w:rsid w:val="00496F97"/>
    <w:rsid w:val="004A1595"/>
    <w:rsid w:val="004A1F83"/>
    <w:rsid w:val="004A2391"/>
    <w:rsid w:val="004A2741"/>
    <w:rsid w:val="004A51F3"/>
    <w:rsid w:val="004A5AB4"/>
    <w:rsid w:val="004B13FD"/>
    <w:rsid w:val="004C5838"/>
    <w:rsid w:val="004C61A9"/>
    <w:rsid w:val="004C7C8C"/>
    <w:rsid w:val="004E2A4A"/>
    <w:rsid w:val="004E2A7A"/>
    <w:rsid w:val="004E3B42"/>
    <w:rsid w:val="004E7924"/>
    <w:rsid w:val="004F03FE"/>
    <w:rsid w:val="004F0D23"/>
    <w:rsid w:val="004F1FAC"/>
    <w:rsid w:val="004F64F8"/>
    <w:rsid w:val="004F7F70"/>
    <w:rsid w:val="005032F3"/>
    <w:rsid w:val="00505041"/>
    <w:rsid w:val="005051FA"/>
    <w:rsid w:val="005061E6"/>
    <w:rsid w:val="00506858"/>
    <w:rsid w:val="00514BAF"/>
    <w:rsid w:val="00515012"/>
    <w:rsid w:val="00516997"/>
    <w:rsid w:val="00516B8D"/>
    <w:rsid w:val="0052256E"/>
    <w:rsid w:val="005249D5"/>
    <w:rsid w:val="005251A2"/>
    <w:rsid w:val="00526B70"/>
    <w:rsid w:val="00534E6B"/>
    <w:rsid w:val="00537FBC"/>
    <w:rsid w:val="00543469"/>
    <w:rsid w:val="00544161"/>
    <w:rsid w:val="00551B54"/>
    <w:rsid w:val="00552288"/>
    <w:rsid w:val="0055235E"/>
    <w:rsid w:val="00552535"/>
    <w:rsid w:val="00553C0A"/>
    <w:rsid w:val="005573DD"/>
    <w:rsid w:val="005612DB"/>
    <w:rsid w:val="00561435"/>
    <w:rsid w:val="00561AA4"/>
    <w:rsid w:val="00566FFE"/>
    <w:rsid w:val="00571E4A"/>
    <w:rsid w:val="00572204"/>
    <w:rsid w:val="0057306A"/>
    <w:rsid w:val="00573B64"/>
    <w:rsid w:val="005743E9"/>
    <w:rsid w:val="00575F15"/>
    <w:rsid w:val="005772CB"/>
    <w:rsid w:val="005776AF"/>
    <w:rsid w:val="00581C49"/>
    <w:rsid w:val="0058358B"/>
    <w:rsid w:val="00584811"/>
    <w:rsid w:val="00584D00"/>
    <w:rsid w:val="005933AE"/>
    <w:rsid w:val="00593AA6"/>
    <w:rsid w:val="00593D67"/>
    <w:rsid w:val="00594161"/>
    <w:rsid w:val="00594749"/>
    <w:rsid w:val="005A0D92"/>
    <w:rsid w:val="005A48C2"/>
    <w:rsid w:val="005A7407"/>
    <w:rsid w:val="005A75D0"/>
    <w:rsid w:val="005B0D0D"/>
    <w:rsid w:val="005B4067"/>
    <w:rsid w:val="005B5E83"/>
    <w:rsid w:val="005B77A2"/>
    <w:rsid w:val="005B7B3B"/>
    <w:rsid w:val="005B7BBE"/>
    <w:rsid w:val="005C26B9"/>
    <w:rsid w:val="005C3F41"/>
    <w:rsid w:val="005C4254"/>
    <w:rsid w:val="005C7585"/>
    <w:rsid w:val="005D0541"/>
    <w:rsid w:val="005D6383"/>
    <w:rsid w:val="005E0242"/>
    <w:rsid w:val="005E152A"/>
    <w:rsid w:val="005E1EE7"/>
    <w:rsid w:val="005E28C8"/>
    <w:rsid w:val="005E3250"/>
    <w:rsid w:val="005E36C0"/>
    <w:rsid w:val="005E5394"/>
    <w:rsid w:val="005F08B8"/>
    <w:rsid w:val="005F6410"/>
    <w:rsid w:val="005F781F"/>
    <w:rsid w:val="00600219"/>
    <w:rsid w:val="00600DEC"/>
    <w:rsid w:val="00602599"/>
    <w:rsid w:val="00602EBF"/>
    <w:rsid w:val="006037D1"/>
    <w:rsid w:val="00605F4B"/>
    <w:rsid w:val="00607510"/>
    <w:rsid w:val="006110C7"/>
    <w:rsid w:val="00611104"/>
    <w:rsid w:val="006135EE"/>
    <w:rsid w:val="0061525F"/>
    <w:rsid w:val="00616187"/>
    <w:rsid w:val="006209A9"/>
    <w:rsid w:val="00622BC2"/>
    <w:rsid w:val="00623FC9"/>
    <w:rsid w:val="00625C8F"/>
    <w:rsid w:val="00626074"/>
    <w:rsid w:val="006266D3"/>
    <w:rsid w:val="00630F97"/>
    <w:rsid w:val="00632112"/>
    <w:rsid w:val="00633366"/>
    <w:rsid w:val="00640886"/>
    <w:rsid w:val="00640FC2"/>
    <w:rsid w:val="00641DE5"/>
    <w:rsid w:val="00642750"/>
    <w:rsid w:val="00656ADE"/>
    <w:rsid w:val="00656F0C"/>
    <w:rsid w:val="006612A2"/>
    <w:rsid w:val="0066239F"/>
    <w:rsid w:val="0066705D"/>
    <w:rsid w:val="00675AD3"/>
    <w:rsid w:val="00676936"/>
    <w:rsid w:val="00677CC2"/>
    <w:rsid w:val="006816A8"/>
    <w:rsid w:val="00681F92"/>
    <w:rsid w:val="00682AC0"/>
    <w:rsid w:val="006842C2"/>
    <w:rsid w:val="0068441A"/>
    <w:rsid w:val="006859CA"/>
    <w:rsid w:val="00685F42"/>
    <w:rsid w:val="00686BBE"/>
    <w:rsid w:val="006871EE"/>
    <w:rsid w:val="00687829"/>
    <w:rsid w:val="0069207B"/>
    <w:rsid w:val="006B1D4F"/>
    <w:rsid w:val="006B4F59"/>
    <w:rsid w:val="006B5196"/>
    <w:rsid w:val="006C02FB"/>
    <w:rsid w:val="006C1D9E"/>
    <w:rsid w:val="006C2874"/>
    <w:rsid w:val="006C2B39"/>
    <w:rsid w:val="006C7F8C"/>
    <w:rsid w:val="006D17A3"/>
    <w:rsid w:val="006D380D"/>
    <w:rsid w:val="006D44C3"/>
    <w:rsid w:val="006E0135"/>
    <w:rsid w:val="006E0A49"/>
    <w:rsid w:val="006E2C00"/>
    <w:rsid w:val="006E303A"/>
    <w:rsid w:val="006E7A14"/>
    <w:rsid w:val="006F1ED8"/>
    <w:rsid w:val="006F1FB2"/>
    <w:rsid w:val="006F7E19"/>
    <w:rsid w:val="00700531"/>
    <w:rsid w:val="00700B2C"/>
    <w:rsid w:val="00701A23"/>
    <w:rsid w:val="00702C10"/>
    <w:rsid w:val="00707783"/>
    <w:rsid w:val="00712D8D"/>
    <w:rsid w:val="00713084"/>
    <w:rsid w:val="007132DB"/>
    <w:rsid w:val="007147C4"/>
    <w:rsid w:val="00714B26"/>
    <w:rsid w:val="0071593C"/>
    <w:rsid w:val="0072024D"/>
    <w:rsid w:val="0072663B"/>
    <w:rsid w:val="007269F0"/>
    <w:rsid w:val="00726C9E"/>
    <w:rsid w:val="00731E00"/>
    <w:rsid w:val="00732547"/>
    <w:rsid w:val="0074094D"/>
    <w:rsid w:val="00742400"/>
    <w:rsid w:val="00742672"/>
    <w:rsid w:val="007440B7"/>
    <w:rsid w:val="007444B5"/>
    <w:rsid w:val="00744FA2"/>
    <w:rsid w:val="00747A9B"/>
    <w:rsid w:val="007508E5"/>
    <w:rsid w:val="007531CB"/>
    <w:rsid w:val="00753FE0"/>
    <w:rsid w:val="00754E22"/>
    <w:rsid w:val="007634AD"/>
    <w:rsid w:val="00764722"/>
    <w:rsid w:val="00766C5E"/>
    <w:rsid w:val="00767C06"/>
    <w:rsid w:val="007715C9"/>
    <w:rsid w:val="00774EDD"/>
    <w:rsid w:val="007754E8"/>
    <w:rsid w:val="007757EC"/>
    <w:rsid w:val="007862E9"/>
    <w:rsid w:val="00787AB8"/>
    <w:rsid w:val="00791605"/>
    <w:rsid w:val="00791800"/>
    <w:rsid w:val="00792DEC"/>
    <w:rsid w:val="007943A6"/>
    <w:rsid w:val="0079554F"/>
    <w:rsid w:val="0079561E"/>
    <w:rsid w:val="00795DFF"/>
    <w:rsid w:val="007A1F2F"/>
    <w:rsid w:val="007A27A1"/>
    <w:rsid w:val="007A4785"/>
    <w:rsid w:val="007B0011"/>
    <w:rsid w:val="007B13AF"/>
    <w:rsid w:val="007B5507"/>
    <w:rsid w:val="007C60B0"/>
    <w:rsid w:val="007C611B"/>
    <w:rsid w:val="007D363E"/>
    <w:rsid w:val="007D5D28"/>
    <w:rsid w:val="007D5F76"/>
    <w:rsid w:val="007E0A9F"/>
    <w:rsid w:val="007E6954"/>
    <w:rsid w:val="007E7D4A"/>
    <w:rsid w:val="007F64DA"/>
    <w:rsid w:val="007F7108"/>
    <w:rsid w:val="007F7777"/>
    <w:rsid w:val="008006CC"/>
    <w:rsid w:val="00801074"/>
    <w:rsid w:val="00803BFD"/>
    <w:rsid w:val="00807C31"/>
    <w:rsid w:val="00807F18"/>
    <w:rsid w:val="00813C59"/>
    <w:rsid w:val="00831E8D"/>
    <w:rsid w:val="00835700"/>
    <w:rsid w:val="008361C6"/>
    <w:rsid w:val="00842FE9"/>
    <w:rsid w:val="008452AB"/>
    <w:rsid w:val="00846FBA"/>
    <w:rsid w:val="008500C0"/>
    <w:rsid w:val="0085214B"/>
    <w:rsid w:val="00853D19"/>
    <w:rsid w:val="00853F57"/>
    <w:rsid w:val="008551C3"/>
    <w:rsid w:val="00855C15"/>
    <w:rsid w:val="008565C2"/>
    <w:rsid w:val="00856903"/>
    <w:rsid w:val="00856A31"/>
    <w:rsid w:val="008574CA"/>
    <w:rsid w:val="0085750E"/>
    <w:rsid w:val="008579AE"/>
    <w:rsid w:val="00857D6B"/>
    <w:rsid w:val="00861699"/>
    <w:rsid w:val="00861CD3"/>
    <w:rsid w:val="00863BBD"/>
    <w:rsid w:val="0086736E"/>
    <w:rsid w:val="00871F7E"/>
    <w:rsid w:val="0087261D"/>
    <w:rsid w:val="00873ED4"/>
    <w:rsid w:val="008754D0"/>
    <w:rsid w:val="00877C69"/>
    <w:rsid w:val="00877D48"/>
    <w:rsid w:val="0088178A"/>
    <w:rsid w:val="00883042"/>
    <w:rsid w:val="00883781"/>
    <w:rsid w:val="0088394D"/>
    <w:rsid w:val="00885570"/>
    <w:rsid w:val="0088585C"/>
    <w:rsid w:val="00886C37"/>
    <w:rsid w:val="0088781A"/>
    <w:rsid w:val="008929E6"/>
    <w:rsid w:val="00893958"/>
    <w:rsid w:val="00894686"/>
    <w:rsid w:val="00896C2D"/>
    <w:rsid w:val="008A0702"/>
    <w:rsid w:val="008A156B"/>
    <w:rsid w:val="008A202D"/>
    <w:rsid w:val="008A2E77"/>
    <w:rsid w:val="008A56C4"/>
    <w:rsid w:val="008A77F1"/>
    <w:rsid w:val="008B125C"/>
    <w:rsid w:val="008B1290"/>
    <w:rsid w:val="008B2078"/>
    <w:rsid w:val="008B30C4"/>
    <w:rsid w:val="008B5ED3"/>
    <w:rsid w:val="008B644E"/>
    <w:rsid w:val="008C28BD"/>
    <w:rsid w:val="008C6F6F"/>
    <w:rsid w:val="008D0EE0"/>
    <w:rsid w:val="008D12CD"/>
    <w:rsid w:val="008D1F94"/>
    <w:rsid w:val="008F009D"/>
    <w:rsid w:val="008F1D97"/>
    <w:rsid w:val="008F4F1C"/>
    <w:rsid w:val="008F683F"/>
    <w:rsid w:val="008F77C4"/>
    <w:rsid w:val="008F7E09"/>
    <w:rsid w:val="009066EB"/>
    <w:rsid w:val="0090785F"/>
    <w:rsid w:val="009103F3"/>
    <w:rsid w:val="00910E17"/>
    <w:rsid w:val="00911A28"/>
    <w:rsid w:val="00911B4F"/>
    <w:rsid w:val="00916C96"/>
    <w:rsid w:val="00921DC3"/>
    <w:rsid w:val="00921DE8"/>
    <w:rsid w:val="009248CB"/>
    <w:rsid w:val="009277B3"/>
    <w:rsid w:val="00927D0A"/>
    <w:rsid w:val="00932377"/>
    <w:rsid w:val="00935591"/>
    <w:rsid w:val="00942032"/>
    <w:rsid w:val="00945B30"/>
    <w:rsid w:val="0094658C"/>
    <w:rsid w:val="0095001A"/>
    <w:rsid w:val="00950230"/>
    <w:rsid w:val="0095429B"/>
    <w:rsid w:val="00957689"/>
    <w:rsid w:val="00967042"/>
    <w:rsid w:val="00972E47"/>
    <w:rsid w:val="0098255A"/>
    <w:rsid w:val="009830FD"/>
    <w:rsid w:val="009845BE"/>
    <w:rsid w:val="009969C9"/>
    <w:rsid w:val="009A1273"/>
    <w:rsid w:val="009A341C"/>
    <w:rsid w:val="009A3E53"/>
    <w:rsid w:val="009A7E6B"/>
    <w:rsid w:val="009B646C"/>
    <w:rsid w:val="009B753C"/>
    <w:rsid w:val="009C1C93"/>
    <w:rsid w:val="009C223F"/>
    <w:rsid w:val="009C3810"/>
    <w:rsid w:val="009C473A"/>
    <w:rsid w:val="009C51F3"/>
    <w:rsid w:val="009C6C5E"/>
    <w:rsid w:val="009C78D8"/>
    <w:rsid w:val="009D00F7"/>
    <w:rsid w:val="009D0359"/>
    <w:rsid w:val="009D1125"/>
    <w:rsid w:val="009D290F"/>
    <w:rsid w:val="009D3A98"/>
    <w:rsid w:val="009D6D0F"/>
    <w:rsid w:val="009E4382"/>
    <w:rsid w:val="009E5B2D"/>
    <w:rsid w:val="009E76AC"/>
    <w:rsid w:val="009F1761"/>
    <w:rsid w:val="009F2FA1"/>
    <w:rsid w:val="009F4CA1"/>
    <w:rsid w:val="009F55AA"/>
    <w:rsid w:val="00A003FC"/>
    <w:rsid w:val="00A02FDE"/>
    <w:rsid w:val="00A048FF"/>
    <w:rsid w:val="00A06B6D"/>
    <w:rsid w:val="00A10775"/>
    <w:rsid w:val="00A14C71"/>
    <w:rsid w:val="00A14D1C"/>
    <w:rsid w:val="00A16C80"/>
    <w:rsid w:val="00A207F6"/>
    <w:rsid w:val="00A20F42"/>
    <w:rsid w:val="00A21CD0"/>
    <w:rsid w:val="00A2276B"/>
    <w:rsid w:val="00A231E2"/>
    <w:rsid w:val="00A2361D"/>
    <w:rsid w:val="00A23F07"/>
    <w:rsid w:val="00A25205"/>
    <w:rsid w:val="00A26B14"/>
    <w:rsid w:val="00A26D7D"/>
    <w:rsid w:val="00A26E5F"/>
    <w:rsid w:val="00A27489"/>
    <w:rsid w:val="00A3008C"/>
    <w:rsid w:val="00A31E26"/>
    <w:rsid w:val="00A32F0E"/>
    <w:rsid w:val="00A341F7"/>
    <w:rsid w:val="00A34B1B"/>
    <w:rsid w:val="00A36679"/>
    <w:rsid w:val="00A36C48"/>
    <w:rsid w:val="00A36D22"/>
    <w:rsid w:val="00A37642"/>
    <w:rsid w:val="00A37983"/>
    <w:rsid w:val="00A40B1E"/>
    <w:rsid w:val="00A4124D"/>
    <w:rsid w:val="00A41E0B"/>
    <w:rsid w:val="00A42241"/>
    <w:rsid w:val="00A431A6"/>
    <w:rsid w:val="00A4325B"/>
    <w:rsid w:val="00A43654"/>
    <w:rsid w:val="00A43925"/>
    <w:rsid w:val="00A46497"/>
    <w:rsid w:val="00A500C3"/>
    <w:rsid w:val="00A55631"/>
    <w:rsid w:val="00A56C94"/>
    <w:rsid w:val="00A60509"/>
    <w:rsid w:val="00A63051"/>
    <w:rsid w:val="00A64912"/>
    <w:rsid w:val="00A654A7"/>
    <w:rsid w:val="00A67209"/>
    <w:rsid w:val="00A70A74"/>
    <w:rsid w:val="00A80692"/>
    <w:rsid w:val="00A81EBE"/>
    <w:rsid w:val="00A822F8"/>
    <w:rsid w:val="00A853EE"/>
    <w:rsid w:val="00A85EB6"/>
    <w:rsid w:val="00A8746F"/>
    <w:rsid w:val="00A90288"/>
    <w:rsid w:val="00A90E31"/>
    <w:rsid w:val="00A9469D"/>
    <w:rsid w:val="00A96885"/>
    <w:rsid w:val="00A9706D"/>
    <w:rsid w:val="00AA1A14"/>
    <w:rsid w:val="00AA3795"/>
    <w:rsid w:val="00AA44D0"/>
    <w:rsid w:val="00AA5915"/>
    <w:rsid w:val="00AA5D14"/>
    <w:rsid w:val="00AB0665"/>
    <w:rsid w:val="00AB23DB"/>
    <w:rsid w:val="00AB278B"/>
    <w:rsid w:val="00AB6B81"/>
    <w:rsid w:val="00AB779A"/>
    <w:rsid w:val="00AC1E75"/>
    <w:rsid w:val="00AC2B3D"/>
    <w:rsid w:val="00AC510B"/>
    <w:rsid w:val="00AD4234"/>
    <w:rsid w:val="00AD5641"/>
    <w:rsid w:val="00AD69B7"/>
    <w:rsid w:val="00AD7005"/>
    <w:rsid w:val="00AE0B2E"/>
    <w:rsid w:val="00AE1088"/>
    <w:rsid w:val="00AE6724"/>
    <w:rsid w:val="00AE67AE"/>
    <w:rsid w:val="00AE7920"/>
    <w:rsid w:val="00AF1651"/>
    <w:rsid w:val="00AF1BA4"/>
    <w:rsid w:val="00AF26D8"/>
    <w:rsid w:val="00AF4222"/>
    <w:rsid w:val="00AF4810"/>
    <w:rsid w:val="00AF56F3"/>
    <w:rsid w:val="00B0045A"/>
    <w:rsid w:val="00B0048E"/>
    <w:rsid w:val="00B00E0D"/>
    <w:rsid w:val="00B00E99"/>
    <w:rsid w:val="00B032D8"/>
    <w:rsid w:val="00B0638A"/>
    <w:rsid w:val="00B07A14"/>
    <w:rsid w:val="00B10D88"/>
    <w:rsid w:val="00B1314B"/>
    <w:rsid w:val="00B13896"/>
    <w:rsid w:val="00B1494E"/>
    <w:rsid w:val="00B20D80"/>
    <w:rsid w:val="00B21965"/>
    <w:rsid w:val="00B239D0"/>
    <w:rsid w:val="00B26991"/>
    <w:rsid w:val="00B30353"/>
    <w:rsid w:val="00B331D2"/>
    <w:rsid w:val="00B33B3C"/>
    <w:rsid w:val="00B3454B"/>
    <w:rsid w:val="00B34B85"/>
    <w:rsid w:val="00B34EF0"/>
    <w:rsid w:val="00B36151"/>
    <w:rsid w:val="00B45B7A"/>
    <w:rsid w:val="00B50667"/>
    <w:rsid w:val="00B55003"/>
    <w:rsid w:val="00B6084A"/>
    <w:rsid w:val="00B62C04"/>
    <w:rsid w:val="00B62E92"/>
    <w:rsid w:val="00B6382D"/>
    <w:rsid w:val="00B64DD2"/>
    <w:rsid w:val="00B67009"/>
    <w:rsid w:val="00B70768"/>
    <w:rsid w:val="00B713D6"/>
    <w:rsid w:val="00B75458"/>
    <w:rsid w:val="00B764F7"/>
    <w:rsid w:val="00B77A7A"/>
    <w:rsid w:val="00B81523"/>
    <w:rsid w:val="00B83315"/>
    <w:rsid w:val="00B838DB"/>
    <w:rsid w:val="00B85047"/>
    <w:rsid w:val="00B9069C"/>
    <w:rsid w:val="00B93813"/>
    <w:rsid w:val="00B94813"/>
    <w:rsid w:val="00BA28B6"/>
    <w:rsid w:val="00BA4688"/>
    <w:rsid w:val="00BA46B9"/>
    <w:rsid w:val="00BA4C87"/>
    <w:rsid w:val="00BA5026"/>
    <w:rsid w:val="00BB0B12"/>
    <w:rsid w:val="00BB0DBB"/>
    <w:rsid w:val="00BB40BF"/>
    <w:rsid w:val="00BB7F70"/>
    <w:rsid w:val="00BC0CD1"/>
    <w:rsid w:val="00BC641F"/>
    <w:rsid w:val="00BC7051"/>
    <w:rsid w:val="00BC71FA"/>
    <w:rsid w:val="00BD02B0"/>
    <w:rsid w:val="00BD14A9"/>
    <w:rsid w:val="00BD3C30"/>
    <w:rsid w:val="00BD4358"/>
    <w:rsid w:val="00BD52FC"/>
    <w:rsid w:val="00BD74C7"/>
    <w:rsid w:val="00BE3B62"/>
    <w:rsid w:val="00BE719A"/>
    <w:rsid w:val="00BE720A"/>
    <w:rsid w:val="00BF0461"/>
    <w:rsid w:val="00BF223B"/>
    <w:rsid w:val="00BF33BC"/>
    <w:rsid w:val="00BF3DD0"/>
    <w:rsid w:val="00BF4944"/>
    <w:rsid w:val="00BF4C20"/>
    <w:rsid w:val="00BF56D4"/>
    <w:rsid w:val="00BF5D23"/>
    <w:rsid w:val="00C01825"/>
    <w:rsid w:val="00C04409"/>
    <w:rsid w:val="00C067E5"/>
    <w:rsid w:val="00C13F0C"/>
    <w:rsid w:val="00C144D5"/>
    <w:rsid w:val="00C1492E"/>
    <w:rsid w:val="00C15425"/>
    <w:rsid w:val="00C15AC9"/>
    <w:rsid w:val="00C164CA"/>
    <w:rsid w:val="00C176CF"/>
    <w:rsid w:val="00C219F2"/>
    <w:rsid w:val="00C21AC0"/>
    <w:rsid w:val="00C262B7"/>
    <w:rsid w:val="00C321EF"/>
    <w:rsid w:val="00C32341"/>
    <w:rsid w:val="00C34E5F"/>
    <w:rsid w:val="00C35D6E"/>
    <w:rsid w:val="00C40E15"/>
    <w:rsid w:val="00C429F6"/>
    <w:rsid w:val="00C42BF8"/>
    <w:rsid w:val="00C42C4D"/>
    <w:rsid w:val="00C460AE"/>
    <w:rsid w:val="00C50043"/>
    <w:rsid w:val="00C542F9"/>
    <w:rsid w:val="00C54E84"/>
    <w:rsid w:val="00C55CBE"/>
    <w:rsid w:val="00C56E1B"/>
    <w:rsid w:val="00C57AC0"/>
    <w:rsid w:val="00C71265"/>
    <w:rsid w:val="00C712F4"/>
    <w:rsid w:val="00C72D0D"/>
    <w:rsid w:val="00C7573B"/>
    <w:rsid w:val="00C761EE"/>
    <w:rsid w:val="00C76CF3"/>
    <w:rsid w:val="00C805BF"/>
    <w:rsid w:val="00C82953"/>
    <w:rsid w:val="00C82A6A"/>
    <w:rsid w:val="00C87D20"/>
    <w:rsid w:val="00C922FB"/>
    <w:rsid w:val="00C926CD"/>
    <w:rsid w:val="00C943B6"/>
    <w:rsid w:val="00C943B8"/>
    <w:rsid w:val="00C94514"/>
    <w:rsid w:val="00C95CE4"/>
    <w:rsid w:val="00C9685D"/>
    <w:rsid w:val="00CA0934"/>
    <w:rsid w:val="00CA48AD"/>
    <w:rsid w:val="00CB10F0"/>
    <w:rsid w:val="00CB1DC3"/>
    <w:rsid w:val="00CB2200"/>
    <w:rsid w:val="00CB41D7"/>
    <w:rsid w:val="00CB48B8"/>
    <w:rsid w:val="00CB510E"/>
    <w:rsid w:val="00CB6CEB"/>
    <w:rsid w:val="00CC0C18"/>
    <w:rsid w:val="00CC6B90"/>
    <w:rsid w:val="00CD0DC6"/>
    <w:rsid w:val="00CD1073"/>
    <w:rsid w:val="00CD12AA"/>
    <w:rsid w:val="00CD4F54"/>
    <w:rsid w:val="00CD6057"/>
    <w:rsid w:val="00CD72F8"/>
    <w:rsid w:val="00CE1848"/>
    <w:rsid w:val="00CE1E31"/>
    <w:rsid w:val="00CE7912"/>
    <w:rsid w:val="00CF0BB2"/>
    <w:rsid w:val="00CF234F"/>
    <w:rsid w:val="00CF791D"/>
    <w:rsid w:val="00D00EAA"/>
    <w:rsid w:val="00D0136F"/>
    <w:rsid w:val="00D02FA5"/>
    <w:rsid w:val="00D03599"/>
    <w:rsid w:val="00D13441"/>
    <w:rsid w:val="00D13B11"/>
    <w:rsid w:val="00D1699B"/>
    <w:rsid w:val="00D21D6E"/>
    <w:rsid w:val="00D2208D"/>
    <w:rsid w:val="00D243A3"/>
    <w:rsid w:val="00D25507"/>
    <w:rsid w:val="00D25FFB"/>
    <w:rsid w:val="00D262F3"/>
    <w:rsid w:val="00D306D4"/>
    <w:rsid w:val="00D31720"/>
    <w:rsid w:val="00D334E9"/>
    <w:rsid w:val="00D351CE"/>
    <w:rsid w:val="00D36721"/>
    <w:rsid w:val="00D465A1"/>
    <w:rsid w:val="00D477C3"/>
    <w:rsid w:val="00D50D91"/>
    <w:rsid w:val="00D516D4"/>
    <w:rsid w:val="00D52C08"/>
    <w:rsid w:val="00D52EFE"/>
    <w:rsid w:val="00D57673"/>
    <w:rsid w:val="00D607F7"/>
    <w:rsid w:val="00D609A4"/>
    <w:rsid w:val="00D61266"/>
    <w:rsid w:val="00D61A39"/>
    <w:rsid w:val="00D621EC"/>
    <w:rsid w:val="00D62CE3"/>
    <w:rsid w:val="00D63EF6"/>
    <w:rsid w:val="00D66CB7"/>
    <w:rsid w:val="00D70DFB"/>
    <w:rsid w:val="00D712D4"/>
    <w:rsid w:val="00D73029"/>
    <w:rsid w:val="00D738E4"/>
    <w:rsid w:val="00D766DF"/>
    <w:rsid w:val="00D83D42"/>
    <w:rsid w:val="00D84A5F"/>
    <w:rsid w:val="00D85815"/>
    <w:rsid w:val="00D8680D"/>
    <w:rsid w:val="00D87534"/>
    <w:rsid w:val="00D919BE"/>
    <w:rsid w:val="00D93A62"/>
    <w:rsid w:val="00D94A4F"/>
    <w:rsid w:val="00DA757E"/>
    <w:rsid w:val="00DB4B3E"/>
    <w:rsid w:val="00DC04A2"/>
    <w:rsid w:val="00DC209D"/>
    <w:rsid w:val="00DC298B"/>
    <w:rsid w:val="00DC4889"/>
    <w:rsid w:val="00DC64C9"/>
    <w:rsid w:val="00DD5DE5"/>
    <w:rsid w:val="00DE04D7"/>
    <w:rsid w:val="00DE2002"/>
    <w:rsid w:val="00DE2993"/>
    <w:rsid w:val="00DE7F9C"/>
    <w:rsid w:val="00DF5174"/>
    <w:rsid w:val="00DF7A70"/>
    <w:rsid w:val="00DF7AE9"/>
    <w:rsid w:val="00E002FE"/>
    <w:rsid w:val="00E027B8"/>
    <w:rsid w:val="00E04489"/>
    <w:rsid w:val="00E05704"/>
    <w:rsid w:val="00E127C1"/>
    <w:rsid w:val="00E141F6"/>
    <w:rsid w:val="00E14E00"/>
    <w:rsid w:val="00E20639"/>
    <w:rsid w:val="00E2444B"/>
    <w:rsid w:val="00E24D66"/>
    <w:rsid w:val="00E251DA"/>
    <w:rsid w:val="00E25647"/>
    <w:rsid w:val="00E31FF0"/>
    <w:rsid w:val="00E33C30"/>
    <w:rsid w:val="00E3475D"/>
    <w:rsid w:val="00E3651A"/>
    <w:rsid w:val="00E3775E"/>
    <w:rsid w:val="00E41E1C"/>
    <w:rsid w:val="00E44C20"/>
    <w:rsid w:val="00E47403"/>
    <w:rsid w:val="00E54292"/>
    <w:rsid w:val="00E54987"/>
    <w:rsid w:val="00E56EC5"/>
    <w:rsid w:val="00E600F2"/>
    <w:rsid w:val="00E643C4"/>
    <w:rsid w:val="00E6695E"/>
    <w:rsid w:val="00E6738C"/>
    <w:rsid w:val="00E72C17"/>
    <w:rsid w:val="00E74DC7"/>
    <w:rsid w:val="00E75D4F"/>
    <w:rsid w:val="00E80916"/>
    <w:rsid w:val="00E8175C"/>
    <w:rsid w:val="00E84EC1"/>
    <w:rsid w:val="00E86918"/>
    <w:rsid w:val="00E87699"/>
    <w:rsid w:val="00E9096B"/>
    <w:rsid w:val="00E9269D"/>
    <w:rsid w:val="00E931FE"/>
    <w:rsid w:val="00E93770"/>
    <w:rsid w:val="00E97A74"/>
    <w:rsid w:val="00EB4878"/>
    <w:rsid w:val="00EB4FB2"/>
    <w:rsid w:val="00EB653F"/>
    <w:rsid w:val="00EB6911"/>
    <w:rsid w:val="00EC19AF"/>
    <w:rsid w:val="00ED1010"/>
    <w:rsid w:val="00ED492F"/>
    <w:rsid w:val="00ED6ABA"/>
    <w:rsid w:val="00EE2C8E"/>
    <w:rsid w:val="00EF2E3A"/>
    <w:rsid w:val="00EF3FB7"/>
    <w:rsid w:val="00EF4FBF"/>
    <w:rsid w:val="00EF4FF6"/>
    <w:rsid w:val="00EF6688"/>
    <w:rsid w:val="00F0239F"/>
    <w:rsid w:val="00F047E2"/>
    <w:rsid w:val="00F04B8D"/>
    <w:rsid w:val="00F0645E"/>
    <w:rsid w:val="00F078DC"/>
    <w:rsid w:val="00F10278"/>
    <w:rsid w:val="00F10617"/>
    <w:rsid w:val="00F12B4D"/>
    <w:rsid w:val="00F13E86"/>
    <w:rsid w:val="00F16ADE"/>
    <w:rsid w:val="00F17B00"/>
    <w:rsid w:val="00F21C44"/>
    <w:rsid w:val="00F22E7C"/>
    <w:rsid w:val="00F267CE"/>
    <w:rsid w:val="00F316DD"/>
    <w:rsid w:val="00F329F1"/>
    <w:rsid w:val="00F347A1"/>
    <w:rsid w:val="00F361C7"/>
    <w:rsid w:val="00F364CD"/>
    <w:rsid w:val="00F402A2"/>
    <w:rsid w:val="00F453B2"/>
    <w:rsid w:val="00F570A8"/>
    <w:rsid w:val="00F5757D"/>
    <w:rsid w:val="00F609BB"/>
    <w:rsid w:val="00F61963"/>
    <w:rsid w:val="00F6266C"/>
    <w:rsid w:val="00F646BF"/>
    <w:rsid w:val="00F675A5"/>
    <w:rsid w:val="00F677A9"/>
    <w:rsid w:val="00F70E6D"/>
    <w:rsid w:val="00F72376"/>
    <w:rsid w:val="00F73AFE"/>
    <w:rsid w:val="00F75C5B"/>
    <w:rsid w:val="00F76338"/>
    <w:rsid w:val="00F81CFB"/>
    <w:rsid w:val="00F84CF5"/>
    <w:rsid w:val="00F9158E"/>
    <w:rsid w:val="00F91FD7"/>
    <w:rsid w:val="00F9293B"/>
    <w:rsid w:val="00F92D35"/>
    <w:rsid w:val="00F97DC0"/>
    <w:rsid w:val="00FA3665"/>
    <w:rsid w:val="00FA3A4B"/>
    <w:rsid w:val="00FA420B"/>
    <w:rsid w:val="00FA452B"/>
    <w:rsid w:val="00FA5FB1"/>
    <w:rsid w:val="00FB048F"/>
    <w:rsid w:val="00FB076D"/>
    <w:rsid w:val="00FB2753"/>
    <w:rsid w:val="00FB3183"/>
    <w:rsid w:val="00FB6FFF"/>
    <w:rsid w:val="00FB7CBC"/>
    <w:rsid w:val="00FC034B"/>
    <w:rsid w:val="00FC0836"/>
    <w:rsid w:val="00FC5A8E"/>
    <w:rsid w:val="00FC5E7E"/>
    <w:rsid w:val="00FD1201"/>
    <w:rsid w:val="00FD1E13"/>
    <w:rsid w:val="00FD623E"/>
    <w:rsid w:val="00FD7866"/>
    <w:rsid w:val="00FD7EB1"/>
    <w:rsid w:val="00FE1530"/>
    <w:rsid w:val="00FE3108"/>
    <w:rsid w:val="00FE41C9"/>
    <w:rsid w:val="00FE4885"/>
    <w:rsid w:val="00FE5323"/>
    <w:rsid w:val="00FE7AB1"/>
    <w:rsid w:val="00FE7F93"/>
    <w:rsid w:val="00FF115B"/>
    <w:rsid w:val="00FF11DA"/>
    <w:rsid w:val="00FF2BB2"/>
    <w:rsid w:val="00FF370F"/>
    <w:rsid w:val="00FF4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469D"/>
    <w:pPr>
      <w:spacing w:line="260" w:lineRule="atLeast"/>
    </w:pPr>
    <w:rPr>
      <w:sz w:val="22"/>
    </w:rPr>
  </w:style>
  <w:style w:type="paragraph" w:styleId="Heading1">
    <w:name w:val="heading 1"/>
    <w:basedOn w:val="Normal"/>
    <w:next w:val="Normal"/>
    <w:link w:val="Heading1Char"/>
    <w:uiPriority w:val="9"/>
    <w:qFormat/>
    <w:rsid w:val="00871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1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1F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1F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1F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71F7E"/>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871F7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1F7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71F7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9469D"/>
  </w:style>
  <w:style w:type="paragraph" w:customStyle="1" w:styleId="OPCParaBase">
    <w:name w:val="OPCParaBase"/>
    <w:link w:val="OPCParaBaseChar"/>
    <w:qFormat/>
    <w:rsid w:val="00A9469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9469D"/>
    <w:pPr>
      <w:spacing w:line="240" w:lineRule="auto"/>
    </w:pPr>
    <w:rPr>
      <w:b/>
      <w:sz w:val="40"/>
    </w:rPr>
  </w:style>
  <w:style w:type="paragraph" w:customStyle="1" w:styleId="ActHead1">
    <w:name w:val="ActHead 1"/>
    <w:aliases w:val="c"/>
    <w:basedOn w:val="OPCParaBase"/>
    <w:next w:val="Normal"/>
    <w:qFormat/>
    <w:rsid w:val="00A9469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9469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9469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469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9469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469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469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469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469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9469D"/>
  </w:style>
  <w:style w:type="paragraph" w:customStyle="1" w:styleId="Blocks">
    <w:name w:val="Blocks"/>
    <w:aliases w:val="bb"/>
    <w:basedOn w:val="OPCParaBase"/>
    <w:qFormat/>
    <w:rsid w:val="00A9469D"/>
    <w:pPr>
      <w:spacing w:line="240" w:lineRule="auto"/>
    </w:pPr>
    <w:rPr>
      <w:sz w:val="24"/>
    </w:rPr>
  </w:style>
  <w:style w:type="paragraph" w:customStyle="1" w:styleId="BoxText">
    <w:name w:val="BoxText"/>
    <w:aliases w:val="bt"/>
    <w:basedOn w:val="OPCParaBase"/>
    <w:qFormat/>
    <w:rsid w:val="00A9469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469D"/>
    <w:rPr>
      <w:b/>
    </w:rPr>
  </w:style>
  <w:style w:type="paragraph" w:customStyle="1" w:styleId="BoxHeadItalic">
    <w:name w:val="BoxHeadItalic"/>
    <w:aliases w:val="bhi"/>
    <w:basedOn w:val="BoxText"/>
    <w:next w:val="BoxStep"/>
    <w:qFormat/>
    <w:rsid w:val="00A9469D"/>
    <w:rPr>
      <w:i/>
    </w:rPr>
  </w:style>
  <w:style w:type="paragraph" w:customStyle="1" w:styleId="BoxList">
    <w:name w:val="BoxList"/>
    <w:aliases w:val="bl"/>
    <w:basedOn w:val="BoxText"/>
    <w:qFormat/>
    <w:rsid w:val="00A9469D"/>
    <w:pPr>
      <w:ind w:left="1559" w:hanging="425"/>
    </w:pPr>
  </w:style>
  <w:style w:type="paragraph" w:customStyle="1" w:styleId="BoxNote">
    <w:name w:val="BoxNote"/>
    <w:aliases w:val="bn"/>
    <w:basedOn w:val="BoxText"/>
    <w:qFormat/>
    <w:rsid w:val="00A9469D"/>
    <w:pPr>
      <w:tabs>
        <w:tab w:val="left" w:pos="1985"/>
      </w:tabs>
      <w:spacing w:before="122" w:line="198" w:lineRule="exact"/>
      <w:ind w:left="2948" w:hanging="1814"/>
    </w:pPr>
    <w:rPr>
      <w:sz w:val="18"/>
    </w:rPr>
  </w:style>
  <w:style w:type="paragraph" w:customStyle="1" w:styleId="BoxPara">
    <w:name w:val="BoxPara"/>
    <w:aliases w:val="bp"/>
    <w:basedOn w:val="BoxText"/>
    <w:qFormat/>
    <w:rsid w:val="00A9469D"/>
    <w:pPr>
      <w:tabs>
        <w:tab w:val="right" w:pos="2268"/>
      </w:tabs>
      <w:ind w:left="2552" w:hanging="1418"/>
    </w:pPr>
  </w:style>
  <w:style w:type="paragraph" w:customStyle="1" w:styleId="BoxStep">
    <w:name w:val="BoxStep"/>
    <w:aliases w:val="bs"/>
    <w:basedOn w:val="BoxText"/>
    <w:qFormat/>
    <w:rsid w:val="00A9469D"/>
    <w:pPr>
      <w:ind w:left="1985" w:hanging="851"/>
    </w:pPr>
  </w:style>
  <w:style w:type="character" w:customStyle="1" w:styleId="CharAmPartNo">
    <w:name w:val="CharAmPartNo"/>
    <w:basedOn w:val="OPCCharBase"/>
    <w:qFormat/>
    <w:rsid w:val="00A9469D"/>
  </w:style>
  <w:style w:type="character" w:customStyle="1" w:styleId="CharAmPartText">
    <w:name w:val="CharAmPartText"/>
    <w:basedOn w:val="OPCCharBase"/>
    <w:qFormat/>
    <w:rsid w:val="00A9469D"/>
  </w:style>
  <w:style w:type="character" w:customStyle="1" w:styleId="CharAmSchNo">
    <w:name w:val="CharAmSchNo"/>
    <w:basedOn w:val="OPCCharBase"/>
    <w:qFormat/>
    <w:rsid w:val="00A9469D"/>
  </w:style>
  <w:style w:type="character" w:customStyle="1" w:styleId="CharAmSchText">
    <w:name w:val="CharAmSchText"/>
    <w:basedOn w:val="OPCCharBase"/>
    <w:qFormat/>
    <w:rsid w:val="00A9469D"/>
  </w:style>
  <w:style w:type="character" w:customStyle="1" w:styleId="CharBoldItalic">
    <w:name w:val="CharBoldItalic"/>
    <w:basedOn w:val="OPCCharBase"/>
    <w:uiPriority w:val="1"/>
    <w:qFormat/>
    <w:rsid w:val="00A9469D"/>
    <w:rPr>
      <w:b/>
      <w:i/>
    </w:rPr>
  </w:style>
  <w:style w:type="character" w:customStyle="1" w:styleId="CharChapNo">
    <w:name w:val="CharChapNo"/>
    <w:basedOn w:val="OPCCharBase"/>
    <w:uiPriority w:val="1"/>
    <w:qFormat/>
    <w:rsid w:val="00A9469D"/>
  </w:style>
  <w:style w:type="character" w:customStyle="1" w:styleId="CharChapText">
    <w:name w:val="CharChapText"/>
    <w:basedOn w:val="OPCCharBase"/>
    <w:uiPriority w:val="1"/>
    <w:qFormat/>
    <w:rsid w:val="00A9469D"/>
  </w:style>
  <w:style w:type="character" w:customStyle="1" w:styleId="CharDivNo">
    <w:name w:val="CharDivNo"/>
    <w:basedOn w:val="OPCCharBase"/>
    <w:uiPriority w:val="1"/>
    <w:qFormat/>
    <w:rsid w:val="00A9469D"/>
  </w:style>
  <w:style w:type="character" w:customStyle="1" w:styleId="CharDivText">
    <w:name w:val="CharDivText"/>
    <w:basedOn w:val="OPCCharBase"/>
    <w:uiPriority w:val="1"/>
    <w:qFormat/>
    <w:rsid w:val="00A9469D"/>
  </w:style>
  <w:style w:type="character" w:customStyle="1" w:styleId="CharItalic">
    <w:name w:val="CharItalic"/>
    <w:basedOn w:val="OPCCharBase"/>
    <w:uiPriority w:val="1"/>
    <w:qFormat/>
    <w:rsid w:val="00A9469D"/>
    <w:rPr>
      <w:i/>
    </w:rPr>
  </w:style>
  <w:style w:type="character" w:customStyle="1" w:styleId="CharPartNo">
    <w:name w:val="CharPartNo"/>
    <w:basedOn w:val="OPCCharBase"/>
    <w:uiPriority w:val="1"/>
    <w:qFormat/>
    <w:rsid w:val="00A9469D"/>
  </w:style>
  <w:style w:type="character" w:customStyle="1" w:styleId="CharPartText">
    <w:name w:val="CharPartText"/>
    <w:basedOn w:val="OPCCharBase"/>
    <w:uiPriority w:val="1"/>
    <w:qFormat/>
    <w:rsid w:val="00A9469D"/>
  </w:style>
  <w:style w:type="character" w:customStyle="1" w:styleId="CharSectno">
    <w:name w:val="CharSectno"/>
    <w:basedOn w:val="OPCCharBase"/>
    <w:qFormat/>
    <w:rsid w:val="00A9469D"/>
  </w:style>
  <w:style w:type="character" w:customStyle="1" w:styleId="CharSubdNo">
    <w:name w:val="CharSubdNo"/>
    <w:basedOn w:val="OPCCharBase"/>
    <w:uiPriority w:val="1"/>
    <w:qFormat/>
    <w:rsid w:val="00A9469D"/>
  </w:style>
  <w:style w:type="character" w:customStyle="1" w:styleId="CharSubdText">
    <w:name w:val="CharSubdText"/>
    <w:basedOn w:val="OPCCharBase"/>
    <w:uiPriority w:val="1"/>
    <w:qFormat/>
    <w:rsid w:val="00A9469D"/>
  </w:style>
  <w:style w:type="paragraph" w:customStyle="1" w:styleId="CTA--">
    <w:name w:val="CTA --"/>
    <w:basedOn w:val="OPCParaBase"/>
    <w:next w:val="Normal"/>
    <w:rsid w:val="00A9469D"/>
    <w:pPr>
      <w:spacing w:before="60" w:line="240" w:lineRule="atLeast"/>
      <w:ind w:left="142" w:hanging="142"/>
    </w:pPr>
    <w:rPr>
      <w:sz w:val="20"/>
    </w:rPr>
  </w:style>
  <w:style w:type="paragraph" w:customStyle="1" w:styleId="CTA-">
    <w:name w:val="CTA -"/>
    <w:basedOn w:val="OPCParaBase"/>
    <w:rsid w:val="00A9469D"/>
    <w:pPr>
      <w:spacing w:before="60" w:line="240" w:lineRule="atLeast"/>
      <w:ind w:left="85" w:hanging="85"/>
    </w:pPr>
    <w:rPr>
      <w:sz w:val="20"/>
    </w:rPr>
  </w:style>
  <w:style w:type="paragraph" w:customStyle="1" w:styleId="CTA---">
    <w:name w:val="CTA ---"/>
    <w:basedOn w:val="OPCParaBase"/>
    <w:next w:val="Normal"/>
    <w:rsid w:val="00A9469D"/>
    <w:pPr>
      <w:spacing w:before="60" w:line="240" w:lineRule="atLeast"/>
      <w:ind w:left="198" w:hanging="198"/>
    </w:pPr>
    <w:rPr>
      <w:sz w:val="20"/>
    </w:rPr>
  </w:style>
  <w:style w:type="paragraph" w:customStyle="1" w:styleId="CTA----">
    <w:name w:val="CTA ----"/>
    <w:basedOn w:val="OPCParaBase"/>
    <w:next w:val="Normal"/>
    <w:rsid w:val="00A9469D"/>
    <w:pPr>
      <w:spacing w:before="60" w:line="240" w:lineRule="atLeast"/>
      <w:ind w:left="255" w:hanging="255"/>
    </w:pPr>
    <w:rPr>
      <w:sz w:val="20"/>
    </w:rPr>
  </w:style>
  <w:style w:type="paragraph" w:customStyle="1" w:styleId="CTA1a">
    <w:name w:val="CTA 1(a)"/>
    <w:basedOn w:val="OPCParaBase"/>
    <w:rsid w:val="00A9469D"/>
    <w:pPr>
      <w:tabs>
        <w:tab w:val="right" w:pos="414"/>
      </w:tabs>
      <w:spacing w:before="40" w:line="240" w:lineRule="atLeast"/>
      <w:ind w:left="675" w:hanging="675"/>
    </w:pPr>
    <w:rPr>
      <w:sz w:val="20"/>
    </w:rPr>
  </w:style>
  <w:style w:type="paragraph" w:customStyle="1" w:styleId="CTA1ai">
    <w:name w:val="CTA 1(a)(i)"/>
    <w:basedOn w:val="OPCParaBase"/>
    <w:rsid w:val="00A9469D"/>
    <w:pPr>
      <w:tabs>
        <w:tab w:val="right" w:pos="1004"/>
      </w:tabs>
      <w:spacing w:before="40" w:line="240" w:lineRule="atLeast"/>
      <w:ind w:left="1253" w:hanging="1253"/>
    </w:pPr>
    <w:rPr>
      <w:sz w:val="20"/>
    </w:rPr>
  </w:style>
  <w:style w:type="paragraph" w:customStyle="1" w:styleId="CTA2a">
    <w:name w:val="CTA 2(a)"/>
    <w:basedOn w:val="OPCParaBase"/>
    <w:rsid w:val="00A9469D"/>
    <w:pPr>
      <w:tabs>
        <w:tab w:val="right" w:pos="482"/>
      </w:tabs>
      <w:spacing w:before="40" w:line="240" w:lineRule="atLeast"/>
      <w:ind w:left="748" w:hanging="748"/>
    </w:pPr>
    <w:rPr>
      <w:sz w:val="20"/>
    </w:rPr>
  </w:style>
  <w:style w:type="paragraph" w:customStyle="1" w:styleId="CTA2ai">
    <w:name w:val="CTA 2(a)(i)"/>
    <w:basedOn w:val="OPCParaBase"/>
    <w:rsid w:val="00A9469D"/>
    <w:pPr>
      <w:tabs>
        <w:tab w:val="right" w:pos="1089"/>
      </w:tabs>
      <w:spacing w:before="40" w:line="240" w:lineRule="atLeast"/>
      <w:ind w:left="1327" w:hanging="1327"/>
    </w:pPr>
    <w:rPr>
      <w:sz w:val="20"/>
    </w:rPr>
  </w:style>
  <w:style w:type="paragraph" w:customStyle="1" w:styleId="CTA3a">
    <w:name w:val="CTA 3(a)"/>
    <w:basedOn w:val="OPCParaBase"/>
    <w:rsid w:val="00A9469D"/>
    <w:pPr>
      <w:tabs>
        <w:tab w:val="right" w:pos="556"/>
      </w:tabs>
      <w:spacing w:before="40" w:line="240" w:lineRule="atLeast"/>
      <w:ind w:left="805" w:hanging="805"/>
    </w:pPr>
    <w:rPr>
      <w:sz w:val="20"/>
    </w:rPr>
  </w:style>
  <w:style w:type="paragraph" w:customStyle="1" w:styleId="CTA3ai">
    <w:name w:val="CTA 3(a)(i)"/>
    <w:basedOn w:val="OPCParaBase"/>
    <w:rsid w:val="00A9469D"/>
    <w:pPr>
      <w:tabs>
        <w:tab w:val="right" w:pos="1140"/>
      </w:tabs>
      <w:spacing w:before="40" w:line="240" w:lineRule="atLeast"/>
      <w:ind w:left="1361" w:hanging="1361"/>
    </w:pPr>
    <w:rPr>
      <w:sz w:val="20"/>
    </w:rPr>
  </w:style>
  <w:style w:type="paragraph" w:customStyle="1" w:styleId="CTA4a">
    <w:name w:val="CTA 4(a)"/>
    <w:basedOn w:val="OPCParaBase"/>
    <w:rsid w:val="00A9469D"/>
    <w:pPr>
      <w:tabs>
        <w:tab w:val="right" w:pos="624"/>
      </w:tabs>
      <w:spacing w:before="40" w:line="240" w:lineRule="atLeast"/>
      <w:ind w:left="873" w:hanging="873"/>
    </w:pPr>
    <w:rPr>
      <w:sz w:val="20"/>
    </w:rPr>
  </w:style>
  <w:style w:type="paragraph" w:customStyle="1" w:styleId="CTA4ai">
    <w:name w:val="CTA 4(a)(i)"/>
    <w:basedOn w:val="OPCParaBase"/>
    <w:rsid w:val="00A9469D"/>
    <w:pPr>
      <w:tabs>
        <w:tab w:val="right" w:pos="1213"/>
      </w:tabs>
      <w:spacing w:before="40" w:line="240" w:lineRule="atLeast"/>
      <w:ind w:left="1452" w:hanging="1452"/>
    </w:pPr>
    <w:rPr>
      <w:sz w:val="20"/>
    </w:rPr>
  </w:style>
  <w:style w:type="paragraph" w:customStyle="1" w:styleId="CTACAPS">
    <w:name w:val="CTA CAPS"/>
    <w:basedOn w:val="OPCParaBase"/>
    <w:rsid w:val="00A9469D"/>
    <w:pPr>
      <w:spacing w:before="60" w:line="240" w:lineRule="atLeast"/>
    </w:pPr>
    <w:rPr>
      <w:sz w:val="20"/>
    </w:rPr>
  </w:style>
  <w:style w:type="paragraph" w:customStyle="1" w:styleId="CTAright">
    <w:name w:val="CTA right"/>
    <w:basedOn w:val="OPCParaBase"/>
    <w:rsid w:val="00A9469D"/>
    <w:pPr>
      <w:spacing w:before="60" w:line="240" w:lineRule="auto"/>
      <w:jc w:val="right"/>
    </w:pPr>
    <w:rPr>
      <w:sz w:val="20"/>
    </w:rPr>
  </w:style>
  <w:style w:type="paragraph" w:customStyle="1" w:styleId="subsection">
    <w:name w:val="subsection"/>
    <w:aliases w:val="ss"/>
    <w:basedOn w:val="OPCParaBase"/>
    <w:rsid w:val="00A9469D"/>
    <w:pPr>
      <w:tabs>
        <w:tab w:val="right" w:pos="1021"/>
      </w:tabs>
      <w:spacing w:before="180" w:line="240" w:lineRule="auto"/>
      <w:ind w:left="1134" w:hanging="1134"/>
    </w:pPr>
  </w:style>
  <w:style w:type="paragraph" w:customStyle="1" w:styleId="Definition">
    <w:name w:val="Definition"/>
    <w:aliases w:val="dd"/>
    <w:basedOn w:val="OPCParaBase"/>
    <w:rsid w:val="00A9469D"/>
    <w:pPr>
      <w:spacing w:before="180" w:line="240" w:lineRule="auto"/>
      <w:ind w:left="1134"/>
    </w:pPr>
  </w:style>
  <w:style w:type="paragraph" w:customStyle="1" w:styleId="ETAsubitem">
    <w:name w:val="ETA(subitem)"/>
    <w:basedOn w:val="OPCParaBase"/>
    <w:rsid w:val="00A9469D"/>
    <w:pPr>
      <w:tabs>
        <w:tab w:val="right" w:pos="340"/>
      </w:tabs>
      <w:spacing w:before="60" w:line="240" w:lineRule="auto"/>
      <w:ind w:left="454" w:hanging="454"/>
    </w:pPr>
    <w:rPr>
      <w:sz w:val="20"/>
    </w:rPr>
  </w:style>
  <w:style w:type="paragraph" w:customStyle="1" w:styleId="ETApara">
    <w:name w:val="ETA(para)"/>
    <w:basedOn w:val="OPCParaBase"/>
    <w:rsid w:val="00A9469D"/>
    <w:pPr>
      <w:tabs>
        <w:tab w:val="right" w:pos="754"/>
      </w:tabs>
      <w:spacing w:before="60" w:line="240" w:lineRule="auto"/>
      <w:ind w:left="828" w:hanging="828"/>
    </w:pPr>
    <w:rPr>
      <w:sz w:val="20"/>
    </w:rPr>
  </w:style>
  <w:style w:type="paragraph" w:customStyle="1" w:styleId="ETAsubpara">
    <w:name w:val="ETA(subpara)"/>
    <w:basedOn w:val="OPCParaBase"/>
    <w:rsid w:val="00A9469D"/>
    <w:pPr>
      <w:tabs>
        <w:tab w:val="right" w:pos="1083"/>
      </w:tabs>
      <w:spacing w:before="60" w:line="240" w:lineRule="auto"/>
      <w:ind w:left="1191" w:hanging="1191"/>
    </w:pPr>
    <w:rPr>
      <w:sz w:val="20"/>
    </w:rPr>
  </w:style>
  <w:style w:type="paragraph" w:customStyle="1" w:styleId="ETAsub-subpara">
    <w:name w:val="ETA(sub-subpara)"/>
    <w:basedOn w:val="OPCParaBase"/>
    <w:rsid w:val="00A9469D"/>
    <w:pPr>
      <w:tabs>
        <w:tab w:val="right" w:pos="1412"/>
      </w:tabs>
      <w:spacing w:before="60" w:line="240" w:lineRule="auto"/>
      <w:ind w:left="1525" w:hanging="1525"/>
    </w:pPr>
    <w:rPr>
      <w:sz w:val="20"/>
    </w:rPr>
  </w:style>
  <w:style w:type="paragraph" w:customStyle="1" w:styleId="Formula">
    <w:name w:val="Formula"/>
    <w:basedOn w:val="OPCParaBase"/>
    <w:rsid w:val="00A9469D"/>
    <w:pPr>
      <w:spacing w:line="240" w:lineRule="auto"/>
      <w:ind w:left="1134"/>
    </w:pPr>
    <w:rPr>
      <w:sz w:val="20"/>
    </w:rPr>
  </w:style>
  <w:style w:type="paragraph" w:styleId="Header">
    <w:name w:val="header"/>
    <w:basedOn w:val="OPCParaBase"/>
    <w:link w:val="HeaderChar"/>
    <w:unhideWhenUsed/>
    <w:rsid w:val="00A9469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9469D"/>
    <w:rPr>
      <w:rFonts w:eastAsia="Times New Roman" w:cs="Times New Roman"/>
      <w:sz w:val="16"/>
      <w:lang w:eastAsia="en-AU"/>
    </w:rPr>
  </w:style>
  <w:style w:type="paragraph" w:customStyle="1" w:styleId="House">
    <w:name w:val="House"/>
    <w:basedOn w:val="OPCParaBase"/>
    <w:rsid w:val="00A9469D"/>
    <w:pPr>
      <w:spacing w:line="240" w:lineRule="auto"/>
    </w:pPr>
    <w:rPr>
      <w:sz w:val="28"/>
    </w:rPr>
  </w:style>
  <w:style w:type="paragraph" w:customStyle="1" w:styleId="Item">
    <w:name w:val="Item"/>
    <w:aliases w:val="i"/>
    <w:basedOn w:val="OPCParaBase"/>
    <w:next w:val="ItemHead"/>
    <w:rsid w:val="00A9469D"/>
    <w:pPr>
      <w:keepLines/>
      <w:spacing w:before="80" w:line="240" w:lineRule="auto"/>
      <w:ind w:left="709"/>
    </w:pPr>
  </w:style>
  <w:style w:type="paragraph" w:customStyle="1" w:styleId="ItemHead">
    <w:name w:val="ItemHead"/>
    <w:aliases w:val="ih"/>
    <w:basedOn w:val="OPCParaBase"/>
    <w:next w:val="Item"/>
    <w:rsid w:val="00A9469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9469D"/>
    <w:pPr>
      <w:spacing w:line="240" w:lineRule="auto"/>
    </w:pPr>
    <w:rPr>
      <w:b/>
      <w:sz w:val="32"/>
    </w:rPr>
  </w:style>
  <w:style w:type="paragraph" w:customStyle="1" w:styleId="notedraft">
    <w:name w:val="note(draft)"/>
    <w:aliases w:val="nd"/>
    <w:basedOn w:val="OPCParaBase"/>
    <w:rsid w:val="00A9469D"/>
    <w:pPr>
      <w:spacing w:before="240" w:line="240" w:lineRule="auto"/>
      <w:ind w:left="284" w:hanging="284"/>
    </w:pPr>
    <w:rPr>
      <w:i/>
      <w:sz w:val="24"/>
    </w:rPr>
  </w:style>
  <w:style w:type="paragraph" w:customStyle="1" w:styleId="notemargin">
    <w:name w:val="note(margin)"/>
    <w:aliases w:val="nm"/>
    <w:basedOn w:val="OPCParaBase"/>
    <w:rsid w:val="00A9469D"/>
    <w:pPr>
      <w:tabs>
        <w:tab w:val="left" w:pos="709"/>
      </w:tabs>
      <w:spacing w:before="122" w:line="198" w:lineRule="exact"/>
      <w:ind w:left="709" w:hanging="709"/>
    </w:pPr>
    <w:rPr>
      <w:sz w:val="18"/>
    </w:rPr>
  </w:style>
  <w:style w:type="paragraph" w:customStyle="1" w:styleId="noteToPara">
    <w:name w:val="noteToPara"/>
    <w:aliases w:val="ntp"/>
    <w:basedOn w:val="OPCParaBase"/>
    <w:rsid w:val="00A9469D"/>
    <w:pPr>
      <w:spacing w:before="122" w:line="198" w:lineRule="exact"/>
      <w:ind w:left="2353" w:hanging="709"/>
    </w:pPr>
    <w:rPr>
      <w:sz w:val="18"/>
    </w:rPr>
  </w:style>
  <w:style w:type="paragraph" w:customStyle="1" w:styleId="noteParlAmend">
    <w:name w:val="note(ParlAmend)"/>
    <w:aliases w:val="npp"/>
    <w:basedOn w:val="OPCParaBase"/>
    <w:next w:val="ParlAmend"/>
    <w:rsid w:val="00A9469D"/>
    <w:pPr>
      <w:spacing w:line="240" w:lineRule="auto"/>
      <w:jc w:val="right"/>
    </w:pPr>
    <w:rPr>
      <w:rFonts w:ascii="Arial" w:hAnsi="Arial"/>
      <w:b/>
      <w:i/>
    </w:rPr>
  </w:style>
  <w:style w:type="paragraph" w:customStyle="1" w:styleId="Page1">
    <w:name w:val="Page1"/>
    <w:basedOn w:val="OPCParaBase"/>
    <w:rsid w:val="00A9469D"/>
    <w:pPr>
      <w:spacing w:before="400" w:line="240" w:lineRule="auto"/>
    </w:pPr>
    <w:rPr>
      <w:b/>
      <w:sz w:val="32"/>
    </w:rPr>
  </w:style>
  <w:style w:type="paragraph" w:customStyle="1" w:styleId="PageBreak">
    <w:name w:val="PageBreak"/>
    <w:aliases w:val="pb"/>
    <w:basedOn w:val="OPCParaBase"/>
    <w:rsid w:val="00A9469D"/>
    <w:pPr>
      <w:spacing w:line="240" w:lineRule="auto"/>
    </w:pPr>
    <w:rPr>
      <w:sz w:val="20"/>
    </w:rPr>
  </w:style>
  <w:style w:type="paragraph" w:customStyle="1" w:styleId="paragraphsub">
    <w:name w:val="paragraph(sub)"/>
    <w:aliases w:val="aa"/>
    <w:basedOn w:val="OPCParaBase"/>
    <w:rsid w:val="00A9469D"/>
    <w:pPr>
      <w:tabs>
        <w:tab w:val="right" w:pos="1985"/>
      </w:tabs>
      <w:spacing w:before="40" w:line="240" w:lineRule="auto"/>
      <w:ind w:left="2098" w:hanging="2098"/>
    </w:pPr>
  </w:style>
  <w:style w:type="paragraph" w:customStyle="1" w:styleId="paragraphsub-sub">
    <w:name w:val="paragraph(sub-sub)"/>
    <w:aliases w:val="aaa"/>
    <w:basedOn w:val="OPCParaBase"/>
    <w:rsid w:val="00A9469D"/>
    <w:pPr>
      <w:tabs>
        <w:tab w:val="right" w:pos="2722"/>
      </w:tabs>
      <w:spacing w:before="40" w:line="240" w:lineRule="auto"/>
      <w:ind w:left="2835" w:hanging="2835"/>
    </w:pPr>
  </w:style>
  <w:style w:type="paragraph" w:customStyle="1" w:styleId="paragraph">
    <w:name w:val="paragraph"/>
    <w:aliases w:val="a"/>
    <w:basedOn w:val="OPCParaBase"/>
    <w:link w:val="paragraphChar"/>
    <w:rsid w:val="00A9469D"/>
    <w:pPr>
      <w:tabs>
        <w:tab w:val="right" w:pos="1531"/>
      </w:tabs>
      <w:spacing w:before="40" w:line="240" w:lineRule="auto"/>
      <w:ind w:left="1644" w:hanging="1644"/>
    </w:pPr>
  </w:style>
  <w:style w:type="paragraph" w:customStyle="1" w:styleId="ParlAmend">
    <w:name w:val="ParlAmend"/>
    <w:aliases w:val="pp"/>
    <w:basedOn w:val="OPCParaBase"/>
    <w:rsid w:val="00A9469D"/>
    <w:pPr>
      <w:spacing w:before="240" w:line="240" w:lineRule="atLeast"/>
      <w:ind w:hanging="567"/>
    </w:pPr>
    <w:rPr>
      <w:sz w:val="24"/>
    </w:rPr>
  </w:style>
  <w:style w:type="paragraph" w:customStyle="1" w:styleId="Penalty">
    <w:name w:val="Penalty"/>
    <w:basedOn w:val="OPCParaBase"/>
    <w:rsid w:val="00A9469D"/>
    <w:pPr>
      <w:tabs>
        <w:tab w:val="left" w:pos="2977"/>
      </w:tabs>
      <w:spacing w:before="180" w:line="240" w:lineRule="auto"/>
      <w:ind w:left="1985" w:hanging="851"/>
    </w:pPr>
  </w:style>
  <w:style w:type="paragraph" w:customStyle="1" w:styleId="Portfolio">
    <w:name w:val="Portfolio"/>
    <w:basedOn w:val="OPCParaBase"/>
    <w:rsid w:val="00A9469D"/>
    <w:pPr>
      <w:spacing w:line="240" w:lineRule="auto"/>
    </w:pPr>
    <w:rPr>
      <w:i/>
      <w:sz w:val="20"/>
    </w:rPr>
  </w:style>
  <w:style w:type="paragraph" w:customStyle="1" w:styleId="Preamble">
    <w:name w:val="Preamble"/>
    <w:basedOn w:val="OPCParaBase"/>
    <w:next w:val="Normal"/>
    <w:rsid w:val="00A9469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469D"/>
    <w:pPr>
      <w:spacing w:line="240" w:lineRule="auto"/>
    </w:pPr>
    <w:rPr>
      <w:i/>
      <w:sz w:val="20"/>
    </w:rPr>
  </w:style>
  <w:style w:type="paragraph" w:customStyle="1" w:styleId="Session">
    <w:name w:val="Session"/>
    <w:basedOn w:val="OPCParaBase"/>
    <w:rsid w:val="00A9469D"/>
    <w:pPr>
      <w:spacing w:line="240" w:lineRule="auto"/>
    </w:pPr>
    <w:rPr>
      <w:sz w:val="28"/>
    </w:rPr>
  </w:style>
  <w:style w:type="paragraph" w:customStyle="1" w:styleId="Sponsor">
    <w:name w:val="Sponsor"/>
    <w:basedOn w:val="OPCParaBase"/>
    <w:rsid w:val="00A9469D"/>
    <w:pPr>
      <w:spacing w:line="240" w:lineRule="auto"/>
    </w:pPr>
    <w:rPr>
      <w:i/>
    </w:rPr>
  </w:style>
  <w:style w:type="paragraph" w:customStyle="1" w:styleId="Subitem">
    <w:name w:val="Subitem"/>
    <w:aliases w:val="iss"/>
    <w:basedOn w:val="OPCParaBase"/>
    <w:rsid w:val="00A9469D"/>
    <w:pPr>
      <w:spacing w:before="180" w:line="240" w:lineRule="auto"/>
      <w:ind w:left="709" w:hanging="709"/>
    </w:pPr>
  </w:style>
  <w:style w:type="paragraph" w:customStyle="1" w:styleId="SubitemHead">
    <w:name w:val="SubitemHead"/>
    <w:aliases w:val="issh"/>
    <w:basedOn w:val="OPCParaBase"/>
    <w:rsid w:val="00A9469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469D"/>
    <w:pPr>
      <w:spacing w:before="40" w:line="240" w:lineRule="auto"/>
      <w:ind w:left="1134"/>
    </w:pPr>
  </w:style>
  <w:style w:type="paragraph" w:customStyle="1" w:styleId="SubsectionHead">
    <w:name w:val="SubsectionHead"/>
    <w:aliases w:val="ssh"/>
    <w:basedOn w:val="OPCParaBase"/>
    <w:next w:val="subsection"/>
    <w:rsid w:val="00A9469D"/>
    <w:pPr>
      <w:keepNext/>
      <w:keepLines/>
      <w:spacing w:before="240" w:line="240" w:lineRule="auto"/>
      <w:ind w:left="1134"/>
    </w:pPr>
    <w:rPr>
      <w:i/>
    </w:rPr>
  </w:style>
  <w:style w:type="paragraph" w:customStyle="1" w:styleId="Tablea">
    <w:name w:val="Table(a)"/>
    <w:aliases w:val="ta"/>
    <w:basedOn w:val="OPCParaBase"/>
    <w:rsid w:val="00A9469D"/>
    <w:pPr>
      <w:spacing w:before="60" w:line="240" w:lineRule="auto"/>
      <w:ind w:left="284" w:hanging="284"/>
    </w:pPr>
    <w:rPr>
      <w:sz w:val="20"/>
    </w:rPr>
  </w:style>
  <w:style w:type="paragraph" w:customStyle="1" w:styleId="TableAA">
    <w:name w:val="Table(AA)"/>
    <w:aliases w:val="taaa"/>
    <w:basedOn w:val="OPCParaBase"/>
    <w:rsid w:val="00A9469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9469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9469D"/>
    <w:pPr>
      <w:spacing w:before="60" w:line="240" w:lineRule="atLeast"/>
    </w:pPr>
    <w:rPr>
      <w:sz w:val="20"/>
    </w:rPr>
  </w:style>
  <w:style w:type="paragraph" w:customStyle="1" w:styleId="TLPBoxTextnote">
    <w:name w:val="TLPBoxText(note"/>
    <w:aliases w:val="right)"/>
    <w:basedOn w:val="OPCParaBase"/>
    <w:rsid w:val="00A9469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469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469D"/>
    <w:pPr>
      <w:spacing w:before="122" w:line="198" w:lineRule="exact"/>
      <w:ind w:left="1985" w:hanging="851"/>
      <w:jc w:val="right"/>
    </w:pPr>
    <w:rPr>
      <w:sz w:val="18"/>
    </w:rPr>
  </w:style>
  <w:style w:type="paragraph" w:customStyle="1" w:styleId="TLPTableBullet">
    <w:name w:val="TLPTableBullet"/>
    <w:aliases w:val="ttb"/>
    <w:basedOn w:val="OPCParaBase"/>
    <w:rsid w:val="00A9469D"/>
    <w:pPr>
      <w:spacing w:line="240" w:lineRule="exact"/>
      <w:ind w:left="284" w:hanging="284"/>
    </w:pPr>
    <w:rPr>
      <w:sz w:val="20"/>
    </w:rPr>
  </w:style>
  <w:style w:type="paragraph" w:styleId="TOC1">
    <w:name w:val="toc 1"/>
    <w:basedOn w:val="OPCParaBase"/>
    <w:next w:val="Normal"/>
    <w:uiPriority w:val="39"/>
    <w:semiHidden/>
    <w:unhideWhenUsed/>
    <w:rsid w:val="00A9469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9469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9469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9469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9469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9469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9469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9469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9469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9469D"/>
    <w:pPr>
      <w:keepLines/>
      <w:spacing w:before="240" w:after="120" w:line="240" w:lineRule="auto"/>
      <w:ind w:left="794"/>
    </w:pPr>
    <w:rPr>
      <w:b/>
      <w:kern w:val="28"/>
      <w:sz w:val="20"/>
    </w:rPr>
  </w:style>
  <w:style w:type="paragraph" w:customStyle="1" w:styleId="TofSectsHeading">
    <w:name w:val="TofSects(Heading)"/>
    <w:basedOn w:val="OPCParaBase"/>
    <w:rsid w:val="00A9469D"/>
    <w:pPr>
      <w:spacing w:before="240" w:after="120" w:line="240" w:lineRule="auto"/>
    </w:pPr>
    <w:rPr>
      <w:b/>
      <w:sz w:val="24"/>
    </w:rPr>
  </w:style>
  <w:style w:type="paragraph" w:customStyle="1" w:styleId="TofSectsSection">
    <w:name w:val="TofSects(Section)"/>
    <w:basedOn w:val="OPCParaBase"/>
    <w:rsid w:val="00A9469D"/>
    <w:pPr>
      <w:keepLines/>
      <w:spacing w:before="40" w:line="240" w:lineRule="auto"/>
      <w:ind w:left="1588" w:hanging="794"/>
    </w:pPr>
    <w:rPr>
      <w:kern w:val="28"/>
      <w:sz w:val="18"/>
    </w:rPr>
  </w:style>
  <w:style w:type="paragraph" w:customStyle="1" w:styleId="TofSectsSubdiv">
    <w:name w:val="TofSects(Subdiv)"/>
    <w:basedOn w:val="OPCParaBase"/>
    <w:rsid w:val="00A9469D"/>
    <w:pPr>
      <w:keepLines/>
      <w:spacing w:before="80" w:line="240" w:lineRule="auto"/>
      <w:ind w:left="1588" w:hanging="794"/>
    </w:pPr>
    <w:rPr>
      <w:kern w:val="28"/>
    </w:rPr>
  </w:style>
  <w:style w:type="paragraph" w:customStyle="1" w:styleId="WRStyle">
    <w:name w:val="WR Style"/>
    <w:aliases w:val="WR"/>
    <w:basedOn w:val="OPCParaBase"/>
    <w:rsid w:val="00A9469D"/>
    <w:pPr>
      <w:spacing w:before="240" w:line="240" w:lineRule="auto"/>
      <w:ind w:left="284" w:hanging="284"/>
    </w:pPr>
    <w:rPr>
      <w:b/>
      <w:i/>
      <w:kern w:val="28"/>
      <w:sz w:val="24"/>
    </w:rPr>
  </w:style>
  <w:style w:type="paragraph" w:customStyle="1" w:styleId="notepara">
    <w:name w:val="note(para)"/>
    <w:aliases w:val="na"/>
    <w:basedOn w:val="OPCParaBase"/>
    <w:rsid w:val="00A9469D"/>
    <w:pPr>
      <w:spacing w:before="40" w:line="198" w:lineRule="exact"/>
      <w:ind w:left="2354" w:hanging="369"/>
    </w:pPr>
    <w:rPr>
      <w:sz w:val="18"/>
    </w:rPr>
  </w:style>
  <w:style w:type="paragraph" w:styleId="Footer">
    <w:name w:val="footer"/>
    <w:link w:val="FooterChar"/>
    <w:rsid w:val="00A9469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9469D"/>
    <w:rPr>
      <w:rFonts w:eastAsia="Times New Roman" w:cs="Times New Roman"/>
      <w:sz w:val="22"/>
      <w:szCs w:val="24"/>
      <w:lang w:eastAsia="en-AU"/>
    </w:rPr>
  </w:style>
  <w:style w:type="character" w:styleId="LineNumber">
    <w:name w:val="line number"/>
    <w:basedOn w:val="OPCCharBase"/>
    <w:uiPriority w:val="99"/>
    <w:semiHidden/>
    <w:unhideWhenUsed/>
    <w:rsid w:val="00A9469D"/>
    <w:rPr>
      <w:sz w:val="16"/>
    </w:rPr>
  </w:style>
  <w:style w:type="table" w:customStyle="1" w:styleId="CFlag">
    <w:name w:val="CFlag"/>
    <w:basedOn w:val="TableNormal"/>
    <w:uiPriority w:val="99"/>
    <w:rsid w:val="00A9469D"/>
    <w:rPr>
      <w:rFonts w:eastAsia="Times New Roman" w:cs="Times New Roman"/>
      <w:lang w:eastAsia="en-AU"/>
    </w:rPr>
    <w:tblPr/>
  </w:style>
  <w:style w:type="paragraph" w:customStyle="1" w:styleId="NotesHeading1">
    <w:name w:val="NotesHeading 1"/>
    <w:basedOn w:val="OPCParaBase"/>
    <w:next w:val="Normal"/>
    <w:rsid w:val="00A9469D"/>
    <w:rPr>
      <w:b/>
      <w:sz w:val="28"/>
      <w:szCs w:val="28"/>
    </w:rPr>
  </w:style>
  <w:style w:type="paragraph" w:customStyle="1" w:styleId="NotesHeading2">
    <w:name w:val="NotesHeading 2"/>
    <w:basedOn w:val="OPCParaBase"/>
    <w:next w:val="Normal"/>
    <w:rsid w:val="00A9469D"/>
    <w:rPr>
      <w:b/>
      <w:sz w:val="28"/>
      <w:szCs w:val="28"/>
    </w:rPr>
  </w:style>
  <w:style w:type="paragraph" w:customStyle="1" w:styleId="SignCoverPageEnd">
    <w:name w:val="SignCoverPageEnd"/>
    <w:basedOn w:val="OPCParaBase"/>
    <w:next w:val="Normal"/>
    <w:rsid w:val="00A9469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469D"/>
    <w:pPr>
      <w:pBdr>
        <w:top w:val="single" w:sz="4" w:space="1" w:color="auto"/>
      </w:pBdr>
      <w:spacing w:before="360"/>
      <w:ind w:right="397"/>
      <w:jc w:val="both"/>
    </w:pPr>
  </w:style>
  <w:style w:type="paragraph" w:customStyle="1" w:styleId="Paragraphsub-sub-sub">
    <w:name w:val="Paragraph(sub-sub-sub)"/>
    <w:aliases w:val="aaaa"/>
    <w:basedOn w:val="OPCParaBase"/>
    <w:rsid w:val="00A9469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469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469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469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469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9469D"/>
    <w:pPr>
      <w:spacing w:before="120"/>
    </w:pPr>
  </w:style>
  <w:style w:type="paragraph" w:customStyle="1" w:styleId="TableTextEndNotes">
    <w:name w:val="TableTextEndNotes"/>
    <w:aliases w:val="Tten"/>
    <w:basedOn w:val="Normal"/>
    <w:rsid w:val="00A9469D"/>
    <w:pPr>
      <w:spacing w:before="60" w:line="240" w:lineRule="auto"/>
    </w:pPr>
    <w:rPr>
      <w:rFonts w:cs="Arial"/>
      <w:sz w:val="20"/>
      <w:szCs w:val="22"/>
    </w:rPr>
  </w:style>
  <w:style w:type="paragraph" w:customStyle="1" w:styleId="TableHeading">
    <w:name w:val="TableHeading"/>
    <w:aliases w:val="th"/>
    <w:basedOn w:val="OPCParaBase"/>
    <w:next w:val="Tabletext"/>
    <w:rsid w:val="00A9469D"/>
    <w:pPr>
      <w:keepNext/>
      <w:spacing w:before="60" w:line="240" w:lineRule="atLeast"/>
    </w:pPr>
    <w:rPr>
      <w:b/>
      <w:sz w:val="20"/>
    </w:rPr>
  </w:style>
  <w:style w:type="paragraph" w:customStyle="1" w:styleId="NoteToSubpara">
    <w:name w:val="NoteToSubpara"/>
    <w:aliases w:val="nts"/>
    <w:basedOn w:val="OPCParaBase"/>
    <w:rsid w:val="00A9469D"/>
    <w:pPr>
      <w:spacing w:before="40" w:line="198" w:lineRule="exact"/>
      <w:ind w:left="2835" w:hanging="709"/>
    </w:pPr>
    <w:rPr>
      <w:sz w:val="18"/>
    </w:rPr>
  </w:style>
  <w:style w:type="paragraph" w:customStyle="1" w:styleId="ENoteTableHeading">
    <w:name w:val="ENoteTableHeading"/>
    <w:aliases w:val="enth"/>
    <w:basedOn w:val="OPCParaBase"/>
    <w:rsid w:val="00A9469D"/>
    <w:pPr>
      <w:keepNext/>
      <w:spacing w:before="60" w:line="240" w:lineRule="atLeast"/>
    </w:pPr>
    <w:rPr>
      <w:rFonts w:ascii="Arial" w:hAnsi="Arial"/>
      <w:b/>
      <w:sz w:val="16"/>
    </w:rPr>
  </w:style>
  <w:style w:type="paragraph" w:customStyle="1" w:styleId="ENoteTTi">
    <w:name w:val="ENoteTTi"/>
    <w:aliases w:val="entti"/>
    <w:basedOn w:val="OPCParaBase"/>
    <w:rsid w:val="00A9469D"/>
    <w:pPr>
      <w:keepNext/>
      <w:spacing w:before="60" w:line="240" w:lineRule="atLeast"/>
      <w:ind w:left="170"/>
    </w:pPr>
    <w:rPr>
      <w:sz w:val="16"/>
    </w:rPr>
  </w:style>
  <w:style w:type="paragraph" w:customStyle="1" w:styleId="ENotesHeading1">
    <w:name w:val="ENotesHeading 1"/>
    <w:aliases w:val="Enh1"/>
    <w:basedOn w:val="OPCParaBase"/>
    <w:next w:val="Normal"/>
    <w:rsid w:val="00A9469D"/>
    <w:pPr>
      <w:spacing w:before="120"/>
      <w:outlineLvl w:val="1"/>
    </w:pPr>
    <w:rPr>
      <w:b/>
      <w:sz w:val="28"/>
      <w:szCs w:val="28"/>
    </w:rPr>
  </w:style>
  <w:style w:type="paragraph" w:customStyle="1" w:styleId="ENotesHeading2">
    <w:name w:val="ENotesHeading 2"/>
    <w:aliases w:val="Enh2"/>
    <w:basedOn w:val="OPCParaBase"/>
    <w:next w:val="Normal"/>
    <w:rsid w:val="00A9469D"/>
    <w:pPr>
      <w:spacing w:before="120" w:after="120"/>
      <w:outlineLvl w:val="2"/>
    </w:pPr>
    <w:rPr>
      <w:b/>
      <w:sz w:val="24"/>
      <w:szCs w:val="28"/>
    </w:rPr>
  </w:style>
  <w:style w:type="paragraph" w:customStyle="1" w:styleId="ENoteTTIndentHeading">
    <w:name w:val="ENoteTTIndentHeading"/>
    <w:aliases w:val="enTTHi"/>
    <w:basedOn w:val="OPCParaBase"/>
    <w:rsid w:val="00A9469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9469D"/>
    <w:pPr>
      <w:spacing w:before="60" w:line="240" w:lineRule="atLeast"/>
    </w:pPr>
    <w:rPr>
      <w:sz w:val="16"/>
    </w:rPr>
  </w:style>
  <w:style w:type="paragraph" w:customStyle="1" w:styleId="MadeunderText">
    <w:name w:val="MadeunderText"/>
    <w:basedOn w:val="OPCParaBase"/>
    <w:next w:val="Normal"/>
    <w:rsid w:val="00A9469D"/>
    <w:pPr>
      <w:spacing w:before="240"/>
    </w:pPr>
    <w:rPr>
      <w:sz w:val="24"/>
      <w:szCs w:val="24"/>
    </w:rPr>
  </w:style>
  <w:style w:type="paragraph" w:customStyle="1" w:styleId="ENotesHeading3">
    <w:name w:val="ENotesHeading 3"/>
    <w:aliases w:val="Enh3"/>
    <w:basedOn w:val="OPCParaBase"/>
    <w:next w:val="Normal"/>
    <w:rsid w:val="00A9469D"/>
    <w:pPr>
      <w:keepNext/>
      <w:spacing w:before="120" w:line="240" w:lineRule="auto"/>
      <w:outlineLvl w:val="4"/>
    </w:pPr>
    <w:rPr>
      <w:b/>
      <w:szCs w:val="24"/>
    </w:rPr>
  </w:style>
  <w:style w:type="paragraph" w:customStyle="1" w:styleId="SubPartCASA">
    <w:name w:val="SubPart(CASA)"/>
    <w:aliases w:val="csp"/>
    <w:basedOn w:val="OPCParaBase"/>
    <w:next w:val="ActHead3"/>
    <w:rsid w:val="00A9469D"/>
    <w:pPr>
      <w:keepNext/>
      <w:keepLines/>
      <w:spacing w:before="280"/>
      <w:outlineLvl w:val="1"/>
    </w:pPr>
    <w:rPr>
      <w:b/>
      <w:kern w:val="28"/>
      <w:sz w:val="32"/>
    </w:rPr>
  </w:style>
  <w:style w:type="character" w:customStyle="1" w:styleId="CharSubPartTextCASA">
    <w:name w:val="CharSubPartText(CASA)"/>
    <w:basedOn w:val="OPCCharBase"/>
    <w:uiPriority w:val="1"/>
    <w:rsid w:val="00A9469D"/>
  </w:style>
  <w:style w:type="character" w:customStyle="1" w:styleId="CharSubPartNoCASA">
    <w:name w:val="CharSubPartNo(CASA)"/>
    <w:basedOn w:val="OPCCharBase"/>
    <w:uiPriority w:val="1"/>
    <w:rsid w:val="00A9469D"/>
  </w:style>
  <w:style w:type="paragraph" w:customStyle="1" w:styleId="ENoteTTIndentHeadingSub">
    <w:name w:val="ENoteTTIndentHeadingSub"/>
    <w:aliases w:val="enTTHis"/>
    <w:basedOn w:val="OPCParaBase"/>
    <w:rsid w:val="00A9469D"/>
    <w:pPr>
      <w:keepNext/>
      <w:spacing w:before="60" w:line="240" w:lineRule="atLeast"/>
      <w:ind w:left="340"/>
    </w:pPr>
    <w:rPr>
      <w:b/>
      <w:sz w:val="16"/>
    </w:rPr>
  </w:style>
  <w:style w:type="paragraph" w:customStyle="1" w:styleId="ENoteTTiSub">
    <w:name w:val="ENoteTTiSub"/>
    <w:aliases w:val="enttis"/>
    <w:basedOn w:val="OPCParaBase"/>
    <w:rsid w:val="00A9469D"/>
    <w:pPr>
      <w:keepNext/>
      <w:spacing w:before="60" w:line="240" w:lineRule="atLeast"/>
      <w:ind w:left="340"/>
    </w:pPr>
    <w:rPr>
      <w:sz w:val="16"/>
    </w:rPr>
  </w:style>
  <w:style w:type="paragraph" w:customStyle="1" w:styleId="SubDivisionMigration">
    <w:name w:val="SubDivisionMigration"/>
    <w:aliases w:val="sdm"/>
    <w:basedOn w:val="OPCParaBase"/>
    <w:rsid w:val="00A9469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469D"/>
    <w:pPr>
      <w:keepNext/>
      <w:keepLines/>
      <w:spacing w:before="240" w:line="240" w:lineRule="auto"/>
      <w:ind w:left="1134" w:hanging="1134"/>
    </w:pPr>
    <w:rPr>
      <w:b/>
      <w:sz w:val="28"/>
    </w:rPr>
  </w:style>
  <w:style w:type="table" w:styleId="TableGrid">
    <w:name w:val="Table Grid"/>
    <w:basedOn w:val="TableNormal"/>
    <w:uiPriority w:val="59"/>
    <w:rsid w:val="00A9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A9469D"/>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A9469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9469D"/>
    <w:rPr>
      <w:sz w:val="22"/>
    </w:rPr>
  </w:style>
  <w:style w:type="paragraph" w:customStyle="1" w:styleId="SOTextNote">
    <w:name w:val="SO TextNote"/>
    <w:aliases w:val="sont"/>
    <w:basedOn w:val="SOText"/>
    <w:qFormat/>
    <w:rsid w:val="00A9469D"/>
    <w:pPr>
      <w:spacing w:before="122" w:line="198" w:lineRule="exact"/>
      <w:ind w:left="1843" w:hanging="709"/>
    </w:pPr>
    <w:rPr>
      <w:sz w:val="18"/>
    </w:rPr>
  </w:style>
  <w:style w:type="paragraph" w:customStyle="1" w:styleId="SOPara">
    <w:name w:val="SO Para"/>
    <w:aliases w:val="soa"/>
    <w:basedOn w:val="SOText"/>
    <w:link w:val="SOParaChar"/>
    <w:qFormat/>
    <w:rsid w:val="00A9469D"/>
    <w:pPr>
      <w:tabs>
        <w:tab w:val="right" w:pos="1786"/>
      </w:tabs>
      <w:spacing w:before="40"/>
      <w:ind w:left="2070" w:hanging="936"/>
    </w:pPr>
  </w:style>
  <w:style w:type="character" w:customStyle="1" w:styleId="SOParaChar">
    <w:name w:val="SO Para Char"/>
    <w:aliases w:val="soa Char"/>
    <w:basedOn w:val="DefaultParagraphFont"/>
    <w:link w:val="SOPara"/>
    <w:rsid w:val="00A9469D"/>
    <w:rPr>
      <w:sz w:val="22"/>
    </w:rPr>
  </w:style>
  <w:style w:type="paragraph" w:customStyle="1" w:styleId="FileName">
    <w:name w:val="FileName"/>
    <w:basedOn w:val="Normal"/>
    <w:rsid w:val="00A9469D"/>
  </w:style>
  <w:style w:type="paragraph" w:customStyle="1" w:styleId="SOHeadBold">
    <w:name w:val="SO HeadBold"/>
    <w:aliases w:val="sohb"/>
    <w:basedOn w:val="SOText"/>
    <w:next w:val="SOText"/>
    <w:link w:val="SOHeadBoldChar"/>
    <w:qFormat/>
    <w:rsid w:val="00A9469D"/>
    <w:rPr>
      <w:b/>
    </w:rPr>
  </w:style>
  <w:style w:type="character" w:customStyle="1" w:styleId="SOHeadBoldChar">
    <w:name w:val="SO HeadBold Char"/>
    <w:aliases w:val="sohb Char"/>
    <w:basedOn w:val="DefaultParagraphFont"/>
    <w:link w:val="SOHeadBold"/>
    <w:rsid w:val="00A9469D"/>
    <w:rPr>
      <w:b/>
      <w:sz w:val="22"/>
    </w:rPr>
  </w:style>
  <w:style w:type="paragraph" w:customStyle="1" w:styleId="SOHeadItalic">
    <w:name w:val="SO HeadItalic"/>
    <w:aliases w:val="sohi"/>
    <w:basedOn w:val="SOText"/>
    <w:next w:val="SOText"/>
    <w:link w:val="SOHeadItalicChar"/>
    <w:qFormat/>
    <w:rsid w:val="00A9469D"/>
    <w:rPr>
      <w:i/>
    </w:rPr>
  </w:style>
  <w:style w:type="character" w:customStyle="1" w:styleId="SOHeadItalicChar">
    <w:name w:val="SO HeadItalic Char"/>
    <w:aliases w:val="sohi Char"/>
    <w:basedOn w:val="DefaultParagraphFont"/>
    <w:link w:val="SOHeadItalic"/>
    <w:rsid w:val="00A9469D"/>
    <w:rPr>
      <w:i/>
      <w:sz w:val="22"/>
    </w:rPr>
  </w:style>
  <w:style w:type="paragraph" w:customStyle="1" w:styleId="SOBullet">
    <w:name w:val="SO Bullet"/>
    <w:aliases w:val="sotb"/>
    <w:basedOn w:val="SOText"/>
    <w:link w:val="SOBulletChar"/>
    <w:qFormat/>
    <w:rsid w:val="00A9469D"/>
    <w:pPr>
      <w:ind w:left="1559" w:hanging="425"/>
    </w:pPr>
  </w:style>
  <w:style w:type="character" w:customStyle="1" w:styleId="SOBulletChar">
    <w:name w:val="SO Bullet Char"/>
    <w:aliases w:val="sotb Char"/>
    <w:basedOn w:val="DefaultParagraphFont"/>
    <w:link w:val="SOBullet"/>
    <w:rsid w:val="00A9469D"/>
    <w:rPr>
      <w:sz w:val="22"/>
    </w:rPr>
  </w:style>
  <w:style w:type="paragraph" w:customStyle="1" w:styleId="SOBulletNote">
    <w:name w:val="SO BulletNote"/>
    <w:aliases w:val="sonb"/>
    <w:basedOn w:val="SOTextNote"/>
    <w:link w:val="SOBulletNoteChar"/>
    <w:qFormat/>
    <w:rsid w:val="00A9469D"/>
    <w:pPr>
      <w:tabs>
        <w:tab w:val="left" w:pos="1560"/>
      </w:tabs>
      <w:ind w:left="2268" w:hanging="1134"/>
    </w:pPr>
  </w:style>
  <w:style w:type="character" w:customStyle="1" w:styleId="SOBulletNoteChar">
    <w:name w:val="SO BulletNote Char"/>
    <w:aliases w:val="sonb Char"/>
    <w:basedOn w:val="DefaultParagraphFont"/>
    <w:link w:val="SOBulletNote"/>
    <w:rsid w:val="00A9469D"/>
    <w:rPr>
      <w:sz w:val="18"/>
    </w:rPr>
  </w:style>
  <w:style w:type="paragraph" w:customStyle="1" w:styleId="SOText2">
    <w:name w:val="SO Text2"/>
    <w:aliases w:val="sot2"/>
    <w:basedOn w:val="Normal"/>
    <w:next w:val="SOText"/>
    <w:link w:val="SOText2Char"/>
    <w:rsid w:val="00A9469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9469D"/>
    <w:rPr>
      <w:sz w:val="22"/>
    </w:rPr>
  </w:style>
  <w:style w:type="character" w:customStyle="1" w:styleId="Heading6Char">
    <w:name w:val="Heading 6 Char"/>
    <w:basedOn w:val="DefaultParagraphFont"/>
    <w:link w:val="Heading6"/>
    <w:rsid w:val="00871F7E"/>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871F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1F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1F7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71F7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71F7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71F7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71F7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71F7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AA59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15"/>
    <w:rPr>
      <w:rFonts w:ascii="Tahoma" w:hAnsi="Tahoma" w:cs="Tahoma"/>
      <w:sz w:val="16"/>
      <w:szCs w:val="16"/>
    </w:rPr>
  </w:style>
  <w:style w:type="character" w:customStyle="1" w:styleId="paragraphChar">
    <w:name w:val="paragraph Char"/>
    <w:aliases w:val="a Char"/>
    <w:basedOn w:val="DefaultParagraphFont"/>
    <w:link w:val="paragraph"/>
    <w:locked/>
    <w:rsid w:val="00EB653F"/>
    <w:rPr>
      <w:rFonts w:eastAsia="Times New Roman" w:cs="Times New Roman"/>
      <w:sz w:val="22"/>
      <w:lang w:eastAsia="en-AU"/>
    </w:rPr>
  </w:style>
  <w:style w:type="paragraph" w:styleId="FootnoteText">
    <w:name w:val="footnote text"/>
    <w:basedOn w:val="Normal"/>
    <w:link w:val="FootnoteTextChar"/>
    <w:uiPriority w:val="99"/>
    <w:semiHidden/>
    <w:unhideWhenUsed/>
    <w:rsid w:val="00B10D88"/>
    <w:pPr>
      <w:spacing w:line="240" w:lineRule="auto"/>
    </w:pPr>
    <w:rPr>
      <w:sz w:val="20"/>
    </w:rPr>
  </w:style>
  <w:style w:type="character" w:customStyle="1" w:styleId="FootnoteTextChar">
    <w:name w:val="Footnote Text Char"/>
    <w:basedOn w:val="DefaultParagraphFont"/>
    <w:link w:val="FootnoteText"/>
    <w:uiPriority w:val="99"/>
    <w:semiHidden/>
    <w:rsid w:val="00B10D88"/>
  </w:style>
  <w:style w:type="character" w:styleId="FootnoteReference">
    <w:name w:val="footnote reference"/>
    <w:basedOn w:val="DefaultParagraphFont"/>
    <w:uiPriority w:val="99"/>
    <w:semiHidden/>
    <w:unhideWhenUsed/>
    <w:rsid w:val="00B10D88"/>
    <w:rPr>
      <w:vertAlign w:val="superscript"/>
    </w:rPr>
  </w:style>
  <w:style w:type="paragraph" w:customStyle="1" w:styleId="ShortTP1">
    <w:name w:val="ShortTP1"/>
    <w:basedOn w:val="ShortT"/>
    <w:link w:val="ShortTP1Char"/>
    <w:rsid w:val="0057306A"/>
    <w:pPr>
      <w:spacing w:before="800"/>
    </w:pPr>
  </w:style>
  <w:style w:type="character" w:customStyle="1" w:styleId="OPCParaBaseChar">
    <w:name w:val="OPCParaBase Char"/>
    <w:basedOn w:val="DefaultParagraphFont"/>
    <w:link w:val="OPCParaBase"/>
    <w:rsid w:val="0057306A"/>
    <w:rPr>
      <w:rFonts w:eastAsia="Times New Roman" w:cs="Times New Roman"/>
      <w:sz w:val="22"/>
      <w:lang w:eastAsia="en-AU"/>
    </w:rPr>
  </w:style>
  <w:style w:type="character" w:customStyle="1" w:styleId="ShortTChar">
    <w:name w:val="ShortT Char"/>
    <w:basedOn w:val="OPCParaBaseChar"/>
    <w:link w:val="ShortT"/>
    <w:rsid w:val="0057306A"/>
    <w:rPr>
      <w:rFonts w:eastAsia="Times New Roman" w:cs="Times New Roman"/>
      <w:b/>
      <w:sz w:val="40"/>
      <w:lang w:eastAsia="en-AU"/>
    </w:rPr>
  </w:style>
  <w:style w:type="character" w:customStyle="1" w:styleId="ShortTP1Char">
    <w:name w:val="ShortTP1 Char"/>
    <w:basedOn w:val="ShortTChar"/>
    <w:link w:val="ShortTP1"/>
    <w:rsid w:val="0057306A"/>
    <w:rPr>
      <w:rFonts w:eastAsia="Times New Roman" w:cs="Times New Roman"/>
      <w:b/>
      <w:sz w:val="40"/>
      <w:lang w:eastAsia="en-AU"/>
    </w:rPr>
  </w:style>
  <w:style w:type="paragraph" w:customStyle="1" w:styleId="ActNoP1">
    <w:name w:val="ActNoP1"/>
    <w:basedOn w:val="Actno"/>
    <w:link w:val="ActNoP1Char"/>
    <w:rsid w:val="0057306A"/>
    <w:pPr>
      <w:spacing w:before="800"/>
    </w:pPr>
    <w:rPr>
      <w:sz w:val="28"/>
    </w:rPr>
  </w:style>
  <w:style w:type="character" w:customStyle="1" w:styleId="ActnoChar">
    <w:name w:val="Actno Char"/>
    <w:basedOn w:val="ShortTChar"/>
    <w:link w:val="Actno"/>
    <w:rsid w:val="0057306A"/>
    <w:rPr>
      <w:rFonts w:eastAsia="Times New Roman" w:cs="Times New Roman"/>
      <w:b/>
      <w:sz w:val="40"/>
      <w:lang w:eastAsia="en-AU"/>
    </w:rPr>
  </w:style>
  <w:style w:type="character" w:customStyle="1" w:styleId="ActNoP1Char">
    <w:name w:val="ActNoP1 Char"/>
    <w:basedOn w:val="ActnoChar"/>
    <w:link w:val="ActNoP1"/>
    <w:rsid w:val="0057306A"/>
    <w:rPr>
      <w:rFonts w:eastAsia="Times New Roman" w:cs="Times New Roman"/>
      <w:b/>
      <w:sz w:val="28"/>
      <w:lang w:eastAsia="en-AU"/>
    </w:rPr>
  </w:style>
  <w:style w:type="paragraph" w:customStyle="1" w:styleId="ShortTCP">
    <w:name w:val="ShortTCP"/>
    <w:basedOn w:val="ShortT"/>
    <w:link w:val="ShortTCPChar"/>
    <w:rsid w:val="0057306A"/>
  </w:style>
  <w:style w:type="character" w:customStyle="1" w:styleId="ShortTCPChar">
    <w:name w:val="ShortTCP Char"/>
    <w:basedOn w:val="ShortTChar"/>
    <w:link w:val="ShortTCP"/>
    <w:rsid w:val="0057306A"/>
    <w:rPr>
      <w:rFonts w:eastAsia="Times New Roman" w:cs="Times New Roman"/>
      <w:b/>
      <w:sz w:val="40"/>
      <w:lang w:eastAsia="en-AU"/>
    </w:rPr>
  </w:style>
  <w:style w:type="paragraph" w:customStyle="1" w:styleId="ActNoCP">
    <w:name w:val="ActNoCP"/>
    <w:basedOn w:val="Actno"/>
    <w:link w:val="ActNoCPChar"/>
    <w:rsid w:val="0057306A"/>
    <w:pPr>
      <w:spacing w:before="400"/>
    </w:pPr>
  </w:style>
  <w:style w:type="character" w:customStyle="1" w:styleId="ActNoCPChar">
    <w:name w:val="ActNoCP Char"/>
    <w:basedOn w:val="ActnoChar"/>
    <w:link w:val="ActNoCP"/>
    <w:rsid w:val="0057306A"/>
    <w:rPr>
      <w:rFonts w:eastAsia="Times New Roman" w:cs="Times New Roman"/>
      <w:b/>
      <w:sz w:val="40"/>
      <w:lang w:eastAsia="en-AU"/>
    </w:rPr>
  </w:style>
  <w:style w:type="paragraph" w:customStyle="1" w:styleId="AssentBk">
    <w:name w:val="AssentBk"/>
    <w:basedOn w:val="Normal"/>
    <w:rsid w:val="0057306A"/>
    <w:pPr>
      <w:spacing w:line="240" w:lineRule="auto"/>
    </w:pPr>
    <w:rPr>
      <w:rFonts w:eastAsia="Times New Roman" w:cs="Times New Roman"/>
      <w:sz w:val="20"/>
      <w:lang w:eastAsia="en-AU"/>
    </w:rPr>
  </w:style>
  <w:style w:type="character" w:styleId="Hyperlink">
    <w:name w:val="Hyperlink"/>
    <w:basedOn w:val="DefaultParagraphFont"/>
    <w:uiPriority w:val="99"/>
    <w:semiHidden/>
    <w:unhideWhenUsed/>
    <w:rsid w:val="00A46497"/>
    <w:rPr>
      <w:color w:val="0000FF" w:themeColor="hyperlink"/>
      <w:u w:val="single"/>
    </w:rPr>
  </w:style>
  <w:style w:type="character" w:styleId="FollowedHyperlink">
    <w:name w:val="FollowedHyperlink"/>
    <w:basedOn w:val="DefaultParagraphFont"/>
    <w:uiPriority w:val="99"/>
    <w:semiHidden/>
    <w:unhideWhenUsed/>
    <w:rsid w:val="00A46497"/>
    <w:rPr>
      <w:color w:val="0000FF" w:themeColor="hyperlink"/>
      <w:u w:val="single"/>
    </w:rPr>
  </w:style>
  <w:style w:type="paragraph" w:customStyle="1" w:styleId="AssentDt">
    <w:name w:val="AssentDt"/>
    <w:basedOn w:val="Normal"/>
    <w:rsid w:val="00FA3665"/>
    <w:pPr>
      <w:spacing w:line="240" w:lineRule="auto"/>
    </w:pPr>
    <w:rPr>
      <w:rFonts w:eastAsia="Times New Roman" w:cs="Times New Roman"/>
      <w:sz w:val="20"/>
      <w:lang w:eastAsia="en-AU"/>
    </w:rPr>
  </w:style>
  <w:style w:type="paragraph" w:customStyle="1" w:styleId="2ndRd">
    <w:name w:val="2ndRd"/>
    <w:basedOn w:val="Normal"/>
    <w:rsid w:val="00FA3665"/>
    <w:pPr>
      <w:spacing w:line="240" w:lineRule="auto"/>
    </w:pPr>
    <w:rPr>
      <w:rFonts w:eastAsia="Times New Roman" w:cs="Times New Roman"/>
      <w:sz w:val="20"/>
      <w:lang w:eastAsia="en-AU"/>
    </w:rPr>
  </w:style>
  <w:style w:type="paragraph" w:customStyle="1" w:styleId="ScalePlusRef">
    <w:name w:val="ScalePlusRef"/>
    <w:basedOn w:val="Normal"/>
    <w:rsid w:val="00FA3665"/>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469D"/>
    <w:pPr>
      <w:spacing w:line="260" w:lineRule="atLeast"/>
    </w:pPr>
    <w:rPr>
      <w:sz w:val="22"/>
    </w:rPr>
  </w:style>
  <w:style w:type="paragraph" w:styleId="Heading1">
    <w:name w:val="heading 1"/>
    <w:basedOn w:val="Normal"/>
    <w:next w:val="Normal"/>
    <w:link w:val="Heading1Char"/>
    <w:uiPriority w:val="9"/>
    <w:qFormat/>
    <w:rsid w:val="00871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1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1F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1F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1F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71F7E"/>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871F7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1F7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71F7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9469D"/>
  </w:style>
  <w:style w:type="paragraph" w:customStyle="1" w:styleId="OPCParaBase">
    <w:name w:val="OPCParaBase"/>
    <w:link w:val="OPCParaBaseChar"/>
    <w:qFormat/>
    <w:rsid w:val="00A9469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9469D"/>
    <w:pPr>
      <w:spacing w:line="240" w:lineRule="auto"/>
    </w:pPr>
    <w:rPr>
      <w:b/>
      <w:sz w:val="40"/>
    </w:rPr>
  </w:style>
  <w:style w:type="paragraph" w:customStyle="1" w:styleId="ActHead1">
    <w:name w:val="ActHead 1"/>
    <w:aliases w:val="c"/>
    <w:basedOn w:val="OPCParaBase"/>
    <w:next w:val="Normal"/>
    <w:qFormat/>
    <w:rsid w:val="00A9469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9469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9469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469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9469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469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469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469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469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9469D"/>
  </w:style>
  <w:style w:type="paragraph" w:customStyle="1" w:styleId="Blocks">
    <w:name w:val="Blocks"/>
    <w:aliases w:val="bb"/>
    <w:basedOn w:val="OPCParaBase"/>
    <w:qFormat/>
    <w:rsid w:val="00A9469D"/>
    <w:pPr>
      <w:spacing w:line="240" w:lineRule="auto"/>
    </w:pPr>
    <w:rPr>
      <w:sz w:val="24"/>
    </w:rPr>
  </w:style>
  <w:style w:type="paragraph" w:customStyle="1" w:styleId="BoxText">
    <w:name w:val="BoxText"/>
    <w:aliases w:val="bt"/>
    <w:basedOn w:val="OPCParaBase"/>
    <w:qFormat/>
    <w:rsid w:val="00A9469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469D"/>
    <w:rPr>
      <w:b/>
    </w:rPr>
  </w:style>
  <w:style w:type="paragraph" w:customStyle="1" w:styleId="BoxHeadItalic">
    <w:name w:val="BoxHeadItalic"/>
    <w:aliases w:val="bhi"/>
    <w:basedOn w:val="BoxText"/>
    <w:next w:val="BoxStep"/>
    <w:qFormat/>
    <w:rsid w:val="00A9469D"/>
    <w:rPr>
      <w:i/>
    </w:rPr>
  </w:style>
  <w:style w:type="paragraph" w:customStyle="1" w:styleId="BoxList">
    <w:name w:val="BoxList"/>
    <w:aliases w:val="bl"/>
    <w:basedOn w:val="BoxText"/>
    <w:qFormat/>
    <w:rsid w:val="00A9469D"/>
    <w:pPr>
      <w:ind w:left="1559" w:hanging="425"/>
    </w:pPr>
  </w:style>
  <w:style w:type="paragraph" w:customStyle="1" w:styleId="BoxNote">
    <w:name w:val="BoxNote"/>
    <w:aliases w:val="bn"/>
    <w:basedOn w:val="BoxText"/>
    <w:qFormat/>
    <w:rsid w:val="00A9469D"/>
    <w:pPr>
      <w:tabs>
        <w:tab w:val="left" w:pos="1985"/>
      </w:tabs>
      <w:spacing w:before="122" w:line="198" w:lineRule="exact"/>
      <w:ind w:left="2948" w:hanging="1814"/>
    </w:pPr>
    <w:rPr>
      <w:sz w:val="18"/>
    </w:rPr>
  </w:style>
  <w:style w:type="paragraph" w:customStyle="1" w:styleId="BoxPara">
    <w:name w:val="BoxPara"/>
    <w:aliases w:val="bp"/>
    <w:basedOn w:val="BoxText"/>
    <w:qFormat/>
    <w:rsid w:val="00A9469D"/>
    <w:pPr>
      <w:tabs>
        <w:tab w:val="right" w:pos="2268"/>
      </w:tabs>
      <w:ind w:left="2552" w:hanging="1418"/>
    </w:pPr>
  </w:style>
  <w:style w:type="paragraph" w:customStyle="1" w:styleId="BoxStep">
    <w:name w:val="BoxStep"/>
    <w:aliases w:val="bs"/>
    <w:basedOn w:val="BoxText"/>
    <w:qFormat/>
    <w:rsid w:val="00A9469D"/>
    <w:pPr>
      <w:ind w:left="1985" w:hanging="851"/>
    </w:pPr>
  </w:style>
  <w:style w:type="character" w:customStyle="1" w:styleId="CharAmPartNo">
    <w:name w:val="CharAmPartNo"/>
    <w:basedOn w:val="OPCCharBase"/>
    <w:qFormat/>
    <w:rsid w:val="00A9469D"/>
  </w:style>
  <w:style w:type="character" w:customStyle="1" w:styleId="CharAmPartText">
    <w:name w:val="CharAmPartText"/>
    <w:basedOn w:val="OPCCharBase"/>
    <w:qFormat/>
    <w:rsid w:val="00A9469D"/>
  </w:style>
  <w:style w:type="character" w:customStyle="1" w:styleId="CharAmSchNo">
    <w:name w:val="CharAmSchNo"/>
    <w:basedOn w:val="OPCCharBase"/>
    <w:qFormat/>
    <w:rsid w:val="00A9469D"/>
  </w:style>
  <w:style w:type="character" w:customStyle="1" w:styleId="CharAmSchText">
    <w:name w:val="CharAmSchText"/>
    <w:basedOn w:val="OPCCharBase"/>
    <w:qFormat/>
    <w:rsid w:val="00A9469D"/>
  </w:style>
  <w:style w:type="character" w:customStyle="1" w:styleId="CharBoldItalic">
    <w:name w:val="CharBoldItalic"/>
    <w:basedOn w:val="OPCCharBase"/>
    <w:uiPriority w:val="1"/>
    <w:qFormat/>
    <w:rsid w:val="00A9469D"/>
    <w:rPr>
      <w:b/>
      <w:i/>
    </w:rPr>
  </w:style>
  <w:style w:type="character" w:customStyle="1" w:styleId="CharChapNo">
    <w:name w:val="CharChapNo"/>
    <w:basedOn w:val="OPCCharBase"/>
    <w:uiPriority w:val="1"/>
    <w:qFormat/>
    <w:rsid w:val="00A9469D"/>
  </w:style>
  <w:style w:type="character" w:customStyle="1" w:styleId="CharChapText">
    <w:name w:val="CharChapText"/>
    <w:basedOn w:val="OPCCharBase"/>
    <w:uiPriority w:val="1"/>
    <w:qFormat/>
    <w:rsid w:val="00A9469D"/>
  </w:style>
  <w:style w:type="character" w:customStyle="1" w:styleId="CharDivNo">
    <w:name w:val="CharDivNo"/>
    <w:basedOn w:val="OPCCharBase"/>
    <w:uiPriority w:val="1"/>
    <w:qFormat/>
    <w:rsid w:val="00A9469D"/>
  </w:style>
  <w:style w:type="character" w:customStyle="1" w:styleId="CharDivText">
    <w:name w:val="CharDivText"/>
    <w:basedOn w:val="OPCCharBase"/>
    <w:uiPriority w:val="1"/>
    <w:qFormat/>
    <w:rsid w:val="00A9469D"/>
  </w:style>
  <w:style w:type="character" w:customStyle="1" w:styleId="CharItalic">
    <w:name w:val="CharItalic"/>
    <w:basedOn w:val="OPCCharBase"/>
    <w:uiPriority w:val="1"/>
    <w:qFormat/>
    <w:rsid w:val="00A9469D"/>
    <w:rPr>
      <w:i/>
    </w:rPr>
  </w:style>
  <w:style w:type="character" w:customStyle="1" w:styleId="CharPartNo">
    <w:name w:val="CharPartNo"/>
    <w:basedOn w:val="OPCCharBase"/>
    <w:uiPriority w:val="1"/>
    <w:qFormat/>
    <w:rsid w:val="00A9469D"/>
  </w:style>
  <w:style w:type="character" w:customStyle="1" w:styleId="CharPartText">
    <w:name w:val="CharPartText"/>
    <w:basedOn w:val="OPCCharBase"/>
    <w:uiPriority w:val="1"/>
    <w:qFormat/>
    <w:rsid w:val="00A9469D"/>
  </w:style>
  <w:style w:type="character" w:customStyle="1" w:styleId="CharSectno">
    <w:name w:val="CharSectno"/>
    <w:basedOn w:val="OPCCharBase"/>
    <w:qFormat/>
    <w:rsid w:val="00A9469D"/>
  </w:style>
  <w:style w:type="character" w:customStyle="1" w:styleId="CharSubdNo">
    <w:name w:val="CharSubdNo"/>
    <w:basedOn w:val="OPCCharBase"/>
    <w:uiPriority w:val="1"/>
    <w:qFormat/>
    <w:rsid w:val="00A9469D"/>
  </w:style>
  <w:style w:type="character" w:customStyle="1" w:styleId="CharSubdText">
    <w:name w:val="CharSubdText"/>
    <w:basedOn w:val="OPCCharBase"/>
    <w:uiPriority w:val="1"/>
    <w:qFormat/>
    <w:rsid w:val="00A9469D"/>
  </w:style>
  <w:style w:type="paragraph" w:customStyle="1" w:styleId="CTA--">
    <w:name w:val="CTA --"/>
    <w:basedOn w:val="OPCParaBase"/>
    <w:next w:val="Normal"/>
    <w:rsid w:val="00A9469D"/>
    <w:pPr>
      <w:spacing w:before="60" w:line="240" w:lineRule="atLeast"/>
      <w:ind w:left="142" w:hanging="142"/>
    </w:pPr>
    <w:rPr>
      <w:sz w:val="20"/>
    </w:rPr>
  </w:style>
  <w:style w:type="paragraph" w:customStyle="1" w:styleId="CTA-">
    <w:name w:val="CTA -"/>
    <w:basedOn w:val="OPCParaBase"/>
    <w:rsid w:val="00A9469D"/>
    <w:pPr>
      <w:spacing w:before="60" w:line="240" w:lineRule="atLeast"/>
      <w:ind w:left="85" w:hanging="85"/>
    </w:pPr>
    <w:rPr>
      <w:sz w:val="20"/>
    </w:rPr>
  </w:style>
  <w:style w:type="paragraph" w:customStyle="1" w:styleId="CTA---">
    <w:name w:val="CTA ---"/>
    <w:basedOn w:val="OPCParaBase"/>
    <w:next w:val="Normal"/>
    <w:rsid w:val="00A9469D"/>
    <w:pPr>
      <w:spacing w:before="60" w:line="240" w:lineRule="atLeast"/>
      <w:ind w:left="198" w:hanging="198"/>
    </w:pPr>
    <w:rPr>
      <w:sz w:val="20"/>
    </w:rPr>
  </w:style>
  <w:style w:type="paragraph" w:customStyle="1" w:styleId="CTA----">
    <w:name w:val="CTA ----"/>
    <w:basedOn w:val="OPCParaBase"/>
    <w:next w:val="Normal"/>
    <w:rsid w:val="00A9469D"/>
    <w:pPr>
      <w:spacing w:before="60" w:line="240" w:lineRule="atLeast"/>
      <w:ind w:left="255" w:hanging="255"/>
    </w:pPr>
    <w:rPr>
      <w:sz w:val="20"/>
    </w:rPr>
  </w:style>
  <w:style w:type="paragraph" w:customStyle="1" w:styleId="CTA1a">
    <w:name w:val="CTA 1(a)"/>
    <w:basedOn w:val="OPCParaBase"/>
    <w:rsid w:val="00A9469D"/>
    <w:pPr>
      <w:tabs>
        <w:tab w:val="right" w:pos="414"/>
      </w:tabs>
      <w:spacing w:before="40" w:line="240" w:lineRule="atLeast"/>
      <w:ind w:left="675" w:hanging="675"/>
    </w:pPr>
    <w:rPr>
      <w:sz w:val="20"/>
    </w:rPr>
  </w:style>
  <w:style w:type="paragraph" w:customStyle="1" w:styleId="CTA1ai">
    <w:name w:val="CTA 1(a)(i)"/>
    <w:basedOn w:val="OPCParaBase"/>
    <w:rsid w:val="00A9469D"/>
    <w:pPr>
      <w:tabs>
        <w:tab w:val="right" w:pos="1004"/>
      </w:tabs>
      <w:spacing w:before="40" w:line="240" w:lineRule="atLeast"/>
      <w:ind w:left="1253" w:hanging="1253"/>
    </w:pPr>
    <w:rPr>
      <w:sz w:val="20"/>
    </w:rPr>
  </w:style>
  <w:style w:type="paragraph" w:customStyle="1" w:styleId="CTA2a">
    <w:name w:val="CTA 2(a)"/>
    <w:basedOn w:val="OPCParaBase"/>
    <w:rsid w:val="00A9469D"/>
    <w:pPr>
      <w:tabs>
        <w:tab w:val="right" w:pos="482"/>
      </w:tabs>
      <w:spacing w:before="40" w:line="240" w:lineRule="atLeast"/>
      <w:ind w:left="748" w:hanging="748"/>
    </w:pPr>
    <w:rPr>
      <w:sz w:val="20"/>
    </w:rPr>
  </w:style>
  <w:style w:type="paragraph" w:customStyle="1" w:styleId="CTA2ai">
    <w:name w:val="CTA 2(a)(i)"/>
    <w:basedOn w:val="OPCParaBase"/>
    <w:rsid w:val="00A9469D"/>
    <w:pPr>
      <w:tabs>
        <w:tab w:val="right" w:pos="1089"/>
      </w:tabs>
      <w:spacing w:before="40" w:line="240" w:lineRule="atLeast"/>
      <w:ind w:left="1327" w:hanging="1327"/>
    </w:pPr>
    <w:rPr>
      <w:sz w:val="20"/>
    </w:rPr>
  </w:style>
  <w:style w:type="paragraph" w:customStyle="1" w:styleId="CTA3a">
    <w:name w:val="CTA 3(a)"/>
    <w:basedOn w:val="OPCParaBase"/>
    <w:rsid w:val="00A9469D"/>
    <w:pPr>
      <w:tabs>
        <w:tab w:val="right" w:pos="556"/>
      </w:tabs>
      <w:spacing w:before="40" w:line="240" w:lineRule="atLeast"/>
      <w:ind w:left="805" w:hanging="805"/>
    </w:pPr>
    <w:rPr>
      <w:sz w:val="20"/>
    </w:rPr>
  </w:style>
  <w:style w:type="paragraph" w:customStyle="1" w:styleId="CTA3ai">
    <w:name w:val="CTA 3(a)(i)"/>
    <w:basedOn w:val="OPCParaBase"/>
    <w:rsid w:val="00A9469D"/>
    <w:pPr>
      <w:tabs>
        <w:tab w:val="right" w:pos="1140"/>
      </w:tabs>
      <w:spacing w:before="40" w:line="240" w:lineRule="atLeast"/>
      <w:ind w:left="1361" w:hanging="1361"/>
    </w:pPr>
    <w:rPr>
      <w:sz w:val="20"/>
    </w:rPr>
  </w:style>
  <w:style w:type="paragraph" w:customStyle="1" w:styleId="CTA4a">
    <w:name w:val="CTA 4(a)"/>
    <w:basedOn w:val="OPCParaBase"/>
    <w:rsid w:val="00A9469D"/>
    <w:pPr>
      <w:tabs>
        <w:tab w:val="right" w:pos="624"/>
      </w:tabs>
      <w:spacing w:before="40" w:line="240" w:lineRule="atLeast"/>
      <w:ind w:left="873" w:hanging="873"/>
    </w:pPr>
    <w:rPr>
      <w:sz w:val="20"/>
    </w:rPr>
  </w:style>
  <w:style w:type="paragraph" w:customStyle="1" w:styleId="CTA4ai">
    <w:name w:val="CTA 4(a)(i)"/>
    <w:basedOn w:val="OPCParaBase"/>
    <w:rsid w:val="00A9469D"/>
    <w:pPr>
      <w:tabs>
        <w:tab w:val="right" w:pos="1213"/>
      </w:tabs>
      <w:spacing w:before="40" w:line="240" w:lineRule="atLeast"/>
      <w:ind w:left="1452" w:hanging="1452"/>
    </w:pPr>
    <w:rPr>
      <w:sz w:val="20"/>
    </w:rPr>
  </w:style>
  <w:style w:type="paragraph" w:customStyle="1" w:styleId="CTACAPS">
    <w:name w:val="CTA CAPS"/>
    <w:basedOn w:val="OPCParaBase"/>
    <w:rsid w:val="00A9469D"/>
    <w:pPr>
      <w:spacing w:before="60" w:line="240" w:lineRule="atLeast"/>
    </w:pPr>
    <w:rPr>
      <w:sz w:val="20"/>
    </w:rPr>
  </w:style>
  <w:style w:type="paragraph" w:customStyle="1" w:styleId="CTAright">
    <w:name w:val="CTA right"/>
    <w:basedOn w:val="OPCParaBase"/>
    <w:rsid w:val="00A9469D"/>
    <w:pPr>
      <w:spacing w:before="60" w:line="240" w:lineRule="auto"/>
      <w:jc w:val="right"/>
    </w:pPr>
    <w:rPr>
      <w:sz w:val="20"/>
    </w:rPr>
  </w:style>
  <w:style w:type="paragraph" w:customStyle="1" w:styleId="subsection">
    <w:name w:val="subsection"/>
    <w:aliases w:val="ss"/>
    <w:basedOn w:val="OPCParaBase"/>
    <w:rsid w:val="00A9469D"/>
    <w:pPr>
      <w:tabs>
        <w:tab w:val="right" w:pos="1021"/>
      </w:tabs>
      <w:spacing w:before="180" w:line="240" w:lineRule="auto"/>
      <w:ind w:left="1134" w:hanging="1134"/>
    </w:pPr>
  </w:style>
  <w:style w:type="paragraph" w:customStyle="1" w:styleId="Definition">
    <w:name w:val="Definition"/>
    <w:aliases w:val="dd"/>
    <w:basedOn w:val="OPCParaBase"/>
    <w:rsid w:val="00A9469D"/>
    <w:pPr>
      <w:spacing w:before="180" w:line="240" w:lineRule="auto"/>
      <w:ind w:left="1134"/>
    </w:pPr>
  </w:style>
  <w:style w:type="paragraph" w:customStyle="1" w:styleId="ETAsubitem">
    <w:name w:val="ETA(subitem)"/>
    <w:basedOn w:val="OPCParaBase"/>
    <w:rsid w:val="00A9469D"/>
    <w:pPr>
      <w:tabs>
        <w:tab w:val="right" w:pos="340"/>
      </w:tabs>
      <w:spacing w:before="60" w:line="240" w:lineRule="auto"/>
      <w:ind w:left="454" w:hanging="454"/>
    </w:pPr>
    <w:rPr>
      <w:sz w:val="20"/>
    </w:rPr>
  </w:style>
  <w:style w:type="paragraph" w:customStyle="1" w:styleId="ETApara">
    <w:name w:val="ETA(para)"/>
    <w:basedOn w:val="OPCParaBase"/>
    <w:rsid w:val="00A9469D"/>
    <w:pPr>
      <w:tabs>
        <w:tab w:val="right" w:pos="754"/>
      </w:tabs>
      <w:spacing w:before="60" w:line="240" w:lineRule="auto"/>
      <w:ind w:left="828" w:hanging="828"/>
    </w:pPr>
    <w:rPr>
      <w:sz w:val="20"/>
    </w:rPr>
  </w:style>
  <w:style w:type="paragraph" w:customStyle="1" w:styleId="ETAsubpara">
    <w:name w:val="ETA(subpara)"/>
    <w:basedOn w:val="OPCParaBase"/>
    <w:rsid w:val="00A9469D"/>
    <w:pPr>
      <w:tabs>
        <w:tab w:val="right" w:pos="1083"/>
      </w:tabs>
      <w:spacing w:before="60" w:line="240" w:lineRule="auto"/>
      <w:ind w:left="1191" w:hanging="1191"/>
    </w:pPr>
    <w:rPr>
      <w:sz w:val="20"/>
    </w:rPr>
  </w:style>
  <w:style w:type="paragraph" w:customStyle="1" w:styleId="ETAsub-subpara">
    <w:name w:val="ETA(sub-subpara)"/>
    <w:basedOn w:val="OPCParaBase"/>
    <w:rsid w:val="00A9469D"/>
    <w:pPr>
      <w:tabs>
        <w:tab w:val="right" w:pos="1412"/>
      </w:tabs>
      <w:spacing w:before="60" w:line="240" w:lineRule="auto"/>
      <w:ind w:left="1525" w:hanging="1525"/>
    </w:pPr>
    <w:rPr>
      <w:sz w:val="20"/>
    </w:rPr>
  </w:style>
  <w:style w:type="paragraph" w:customStyle="1" w:styleId="Formula">
    <w:name w:val="Formula"/>
    <w:basedOn w:val="OPCParaBase"/>
    <w:rsid w:val="00A9469D"/>
    <w:pPr>
      <w:spacing w:line="240" w:lineRule="auto"/>
      <w:ind w:left="1134"/>
    </w:pPr>
    <w:rPr>
      <w:sz w:val="20"/>
    </w:rPr>
  </w:style>
  <w:style w:type="paragraph" w:styleId="Header">
    <w:name w:val="header"/>
    <w:basedOn w:val="OPCParaBase"/>
    <w:link w:val="HeaderChar"/>
    <w:unhideWhenUsed/>
    <w:rsid w:val="00A9469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9469D"/>
    <w:rPr>
      <w:rFonts w:eastAsia="Times New Roman" w:cs="Times New Roman"/>
      <w:sz w:val="16"/>
      <w:lang w:eastAsia="en-AU"/>
    </w:rPr>
  </w:style>
  <w:style w:type="paragraph" w:customStyle="1" w:styleId="House">
    <w:name w:val="House"/>
    <w:basedOn w:val="OPCParaBase"/>
    <w:rsid w:val="00A9469D"/>
    <w:pPr>
      <w:spacing w:line="240" w:lineRule="auto"/>
    </w:pPr>
    <w:rPr>
      <w:sz w:val="28"/>
    </w:rPr>
  </w:style>
  <w:style w:type="paragraph" w:customStyle="1" w:styleId="Item">
    <w:name w:val="Item"/>
    <w:aliases w:val="i"/>
    <w:basedOn w:val="OPCParaBase"/>
    <w:next w:val="ItemHead"/>
    <w:rsid w:val="00A9469D"/>
    <w:pPr>
      <w:keepLines/>
      <w:spacing w:before="80" w:line="240" w:lineRule="auto"/>
      <w:ind w:left="709"/>
    </w:pPr>
  </w:style>
  <w:style w:type="paragraph" w:customStyle="1" w:styleId="ItemHead">
    <w:name w:val="ItemHead"/>
    <w:aliases w:val="ih"/>
    <w:basedOn w:val="OPCParaBase"/>
    <w:next w:val="Item"/>
    <w:rsid w:val="00A9469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9469D"/>
    <w:pPr>
      <w:spacing w:line="240" w:lineRule="auto"/>
    </w:pPr>
    <w:rPr>
      <w:b/>
      <w:sz w:val="32"/>
    </w:rPr>
  </w:style>
  <w:style w:type="paragraph" w:customStyle="1" w:styleId="notedraft">
    <w:name w:val="note(draft)"/>
    <w:aliases w:val="nd"/>
    <w:basedOn w:val="OPCParaBase"/>
    <w:rsid w:val="00A9469D"/>
    <w:pPr>
      <w:spacing w:before="240" w:line="240" w:lineRule="auto"/>
      <w:ind w:left="284" w:hanging="284"/>
    </w:pPr>
    <w:rPr>
      <w:i/>
      <w:sz w:val="24"/>
    </w:rPr>
  </w:style>
  <w:style w:type="paragraph" w:customStyle="1" w:styleId="notemargin">
    <w:name w:val="note(margin)"/>
    <w:aliases w:val="nm"/>
    <w:basedOn w:val="OPCParaBase"/>
    <w:rsid w:val="00A9469D"/>
    <w:pPr>
      <w:tabs>
        <w:tab w:val="left" w:pos="709"/>
      </w:tabs>
      <w:spacing w:before="122" w:line="198" w:lineRule="exact"/>
      <w:ind w:left="709" w:hanging="709"/>
    </w:pPr>
    <w:rPr>
      <w:sz w:val="18"/>
    </w:rPr>
  </w:style>
  <w:style w:type="paragraph" w:customStyle="1" w:styleId="noteToPara">
    <w:name w:val="noteToPara"/>
    <w:aliases w:val="ntp"/>
    <w:basedOn w:val="OPCParaBase"/>
    <w:rsid w:val="00A9469D"/>
    <w:pPr>
      <w:spacing w:before="122" w:line="198" w:lineRule="exact"/>
      <w:ind w:left="2353" w:hanging="709"/>
    </w:pPr>
    <w:rPr>
      <w:sz w:val="18"/>
    </w:rPr>
  </w:style>
  <w:style w:type="paragraph" w:customStyle="1" w:styleId="noteParlAmend">
    <w:name w:val="note(ParlAmend)"/>
    <w:aliases w:val="npp"/>
    <w:basedOn w:val="OPCParaBase"/>
    <w:next w:val="ParlAmend"/>
    <w:rsid w:val="00A9469D"/>
    <w:pPr>
      <w:spacing w:line="240" w:lineRule="auto"/>
      <w:jc w:val="right"/>
    </w:pPr>
    <w:rPr>
      <w:rFonts w:ascii="Arial" w:hAnsi="Arial"/>
      <w:b/>
      <w:i/>
    </w:rPr>
  </w:style>
  <w:style w:type="paragraph" w:customStyle="1" w:styleId="Page1">
    <w:name w:val="Page1"/>
    <w:basedOn w:val="OPCParaBase"/>
    <w:rsid w:val="00A9469D"/>
    <w:pPr>
      <w:spacing w:before="400" w:line="240" w:lineRule="auto"/>
    </w:pPr>
    <w:rPr>
      <w:b/>
      <w:sz w:val="32"/>
    </w:rPr>
  </w:style>
  <w:style w:type="paragraph" w:customStyle="1" w:styleId="PageBreak">
    <w:name w:val="PageBreak"/>
    <w:aliases w:val="pb"/>
    <w:basedOn w:val="OPCParaBase"/>
    <w:rsid w:val="00A9469D"/>
    <w:pPr>
      <w:spacing w:line="240" w:lineRule="auto"/>
    </w:pPr>
    <w:rPr>
      <w:sz w:val="20"/>
    </w:rPr>
  </w:style>
  <w:style w:type="paragraph" w:customStyle="1" w:styleId="paragraphsub">
    <w:name w:val="paragraph(sub)"/>
    <w:aliases w:val="aa"/>
    <w:basedOn w:val="OPCParaBase"/>
    <w:rsid w:val="00A9469D"/>
    <w:pPr>
      <w:tabs>
        <w:tab w:val="right" w:pos="1985"/>
      </w:tabs>
      <w:spacing w:before="40" w:line="240" w:lineRule="auto"/>
      <w:ind w:left="2098" w:hanging="2098"/>
    </w:pPr>
  </w:style>
  <w:style w:type="paragraph" w:customStyle="1" w:styleId="paragraphsub-sub">
    <w:name w:val="paragraph(sub-sub)"/>
    <w:aliases w:val="aaa"/>
    <w:basedOn w:val="OPCParaBase"/>
    <w:rsid w:val="00A9469D"/>
    <w:pPr>
      <w:tabs>
        <w:tab w:val="right" w:pos="2722"/>
      </w:tabs>
      <w:spacing w:before="40" w:line="240" w:lineRule="auto"/>
      <w:ind w:left="2835" w:hanging="2835"/>
    </w:pPr>
  </w:style>
  <w:style w:type="paragraph" w:customStyle="1" w:styleId="paragraph">
    <w:name w:val="paragraph"/>
    <w:aliases w:val="a"/>
    <w:basedOn w:val="OPCParaBase"/>
    <w:link w:val="paragraphChar"/>
    <w:rsid w:val="00A9469D"/>
    <w:pPr>
      <w:tabs>
        <w:tab w:val="right" w:pos="1531"/>
      </w:tabs>
      <w:spacing w:before="40" w:line="240" w:lineRule="auto"/>
      <w:ind w:left="1644" w:hanging="1644"/>
    </w:pPr>
  </w:style>
  <w:style w:type="paragraph" w:customStyle="1" w:styleId="ParlAmend">
    <w:name w:val="ParlAmend"/>
    <w:aliases w:val="pp"/>
    <w:basedOn w:val="OPCParaBase"/>
    <w:rsid w:val="00A9469D"/>
    <w:pPr>
      <w:spacing w:before="240" w:line="240" w:lineRule="atLeast"/>
      <w:ind w:hanging="567"/>
    </w:pPr>
    <w:rPr>
      <w:sz w:val="24"/>
    </w:rPr>
  </w:style>
  <w:style w:type="paragraph" w:customStyle="1" w:styleId="Penalty">
    <w:name w:val="Penalty"/>
    <w:basedOn w:val="OPCParaBase"/>
    <w:rsid w:val="00A9469D"/>
    <w:pPr>
      <w:tabs>
        <w:tab w:val="left" w:pos="2977"/>
      </w:tabs>
      <w:spacing w:before="180" w:line="240" w:lineRule="auto"/>
      <w:ind w:left="1985" w:hanging="851"/>
    </w:pPr>
  </w:style>
  <w:style w:type="paragraph" w:customStyle="1" w:styleId="Portfolio">
    <w:name w:val="Portfolio"/>
    <w:basedOn w:val="OPCParaBase"/>
    <w:rsid w:val="00A9469D"/>
    <w:pPr>
      <w:spacing w:line="240" w:lineRule="auto"/>
    </w:pPr>
    <w:rPr>
      <w:i/>
      <w:sz w:val="20"/>
    </w:rPr>
  </w:style>
  <w:style w:type="paragraph" w:customStyle="1" w:styleId="Preamble">
    <w:name w:val="Preamble"/>
    <w:basedOn w:val="OPCParaBase"/>
    <w:next w:val="Normal"/>
    <w:rsid w:val="00A9469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469D"/>
    <w:pPr>
      <w:spacing w:line="240" w:lineRule="auto"/>
    </w:pPr>
    <w:rPr>
      <w:i/>
      <w:sz w:val="20"/>
    </w:rPr>
  </w:style>
  <w:style w:type="paragraph" w:customStyle="1" w:styleId="Session">
    <w:name w:val="Session"/>
    <w:basedOn w:val="OPCParaBase"/>
    <w:rsid w:val="00A9469D"/>
    <w:pPr>
      <w:spacing w:line="240" w:lineRule="auto"/>
    </w:pPr>
    <w:rPr>
      <w:sz w:val="28"/>
    </w:rPr>
  </w:style>
  <w:style w:type="paragraph" w:customStyle="1" w:styleId="Sponsor">
    <w:name w:val="Sponsor"/>
    <w:basedOn w:val="OPCParaBase"/>
    <w:rsid w:val="00A9469D"/>
    <w:pPr>
      <w:spacing w:line="240" w:lineRule="auto"/>
    </w:pPr>
    <w:rPr>
      <w:i/>
    </w:rPr>
  </w:style>
  <w:style w:type="paragraph" w:customStyle="1" w:styleId="Subitem">
    <w:name w:val="Subitem"/>
    <w:aliases w:val="iss"/>
    <w:basedOn w:val="OPCParaBase"/>
    <w:rsid w:val="00A9469D"/>
    <w:pPr>
      <w:spacing w:before="180" w:line="240" w:lineRule="auto"/>
      <w:ind w:left="709" w:hanging="709"/>
    </w:pPr>
  </w:style>
  <w:style w:type="paragraph" w:customStyle="1" w:styleId="SubitemHead">
    <w:name w:val="SubitemHead"/>
    <w:aliases w:val="issh"/>
    <w:basedOn w:val="OPCParaBase"/>
    <w:rsid w:val="00A9469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469D"/>
    <w:pPr>
      <w:spacing w:before="40" w:line="240" w:lineRule="auto"/>
      <w:ind w:left="1134"/>
    </w:pPr>
  </w:style>
  <w:style w:type="paragraph" w:customStyle="1" w:styleId="SubsectionHead">
    <w:name w:val="SubsectionHead"/>
    <w:aliases w:val="ssh"/>
    <w:basedOn w:val="OPCParaBase"/>
    <w:next w:val="subsection"/>
    <w:rsid w:val="00A9469D"/>
    <w:pPr>
      <w:keepNext/>
      <w:keepLines/>
      <w:spacing w:before="240" w:line="240" w:lineRule="auto"/>
      <w:ind w:left="1134"/>
    </w:pPr>
    <w:rPr>
      <w:i/>
    </w:rPr>
  </w:style>
  <w:style w:type="paragraph" w:customStyle="1" w:styleId="Tablea">
    <w:name w:val="Table(a)"/>
    <w:aliases w:val="ta"/>
    <w:basedOn w:val="OPCParaBase"/>
    <w:rsid w:val="00A9469D"/>
    <w:pPr>
      <w:spacing w:before="60" w:line="240" w:lineRule="auto"/>
      <w:ind w:left="284" w:hanging="284"/>
    </w:pPr>
    <w:rPr>
      <w:sz w:val="20"/>
    </w:rPr>
  </w:style>
  <w:style w:type="paragraph" w:customStyle="1" w:styleId="TableAA">
    <w:name w:val="Table(AA)"/>
    <w:aliases w:val="taaa"/>
    <w:basedOn w:val="OPCParaBase"/>
    <w:rsid w:val="00A9469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9469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9469D"/>
    <w:pPr>
      <w:spacing w:before="60" w:line="240" w:lineRule="atLeast"/>
    </w:pPr>
    <w:rPr>
      <w:sz w:val="20"/>
    </w:rPr>
  </w:style>
  <w:style w:type="paragraph" w:customStyle="1" w:styleId="TLPBoxTextnote">
    <w:name w:val="TLPBoxText(note"/>
    <w:aliases w:val="right)"/>
    <w:basedOn w:val="OPCParaBase"/>
    <w:rsid w:val="00A9469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469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469D"/>
    <w:pPr>
      <w:spacing w:before="122" w:line="198" w:lineRule="exact"/>
      <w:ind w:left="1985" w:hanging="851"/>
      <w:jc w:val="right"/>
    </w:pPr>
    <w:rPr>
      <w:sz w:val="18"/>
    </w:rPr>
  </w:style>
  <w:style w:type="paragraph" w:customStyle="1" w:styleId="TLPTableBullet">
    <w:name w:val="TLPTableBullet"/>
    <w:aliases w:val="ttb"/>
    <w:basedOn w:val="OPCParaBase"/>
    <w:rsid w:val="00A9469D"/>
    <w:pPr>
      <w:spacing w:line="240" w:lineRule="exact"/>
      <w:ind w:left="284" w:hanging="284"/>
    </w:pPr>
    <w:rPr>
      <w:sz w:val="20"/>
    </w:rPr>
  </w:style>
  <w:style w:type="paragraph" w:styleId="TOC1">
    <w:name w:val="toc 1"/>
    <w:basedOn w:val="OPCParaBase"/>
    <w:next w:val="Normal"/>
    <w:uiPriority w:val="39"/>
    <w:semiHidden/>
    <w:unhideWhenUsed/>
    <w:rsid w:val="00A9469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9469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9469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9469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9469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9469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9469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9469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9469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9469D"/>
    <w:pPr>
      <w:keepLines/>
      <w:spacing w:before="240" w:after="120" w:line="240" w:lineRule="auto"/>
      <w:ind w:left="794"/>
    </w:pPr>
    <w:rPr>
      <w:b/>
      <w:kern w:val="28"/>
      <w:sz w:val="20"/>
    </w:rPr>
  </w:style>
  <w:style w:type="paragraph" w:customStyle="1" w:styleId="TofSectsHeading">
    <w:name w:val="TofSects(Heading)"/>
    <w:basedOn w:val="OPCParaBase"/>
    <w:rsid w:val="00A9469D"/>
    <w:pPr>
      <w:spacing w:before="240" w:after="120" w:line="240" w:lineRule="auto"/>
    </w:pPr>
    <w:rPr>
      <w:b/>
      <w:sz w:val="24"/>
    </w:rPr>
  </w:style>
  <w:style w:type="paragraph" w:customStyle="1" w:styleId="TofSectsSection">
    <w:name w:val="TofSects(Section)"/>
    <w:basedOn w:val="OPCParaBase"/>
    <w:rsid w:val="00A9469D"/>
    <w:pPr>
      <w:keepLines/>
      <w:spacing w:before="40" w:line="240" w:lineRule="auto"/>
      <w:ind w:left="1588" w:hanging="794"/>
    </w:pPr>
    <w:rPr>
      <w:kern w:val="28"/>
      <w:sz w:val="18"/>
    </w:rPr>
  </w:style>
  <w:style w:type="paragraph" w:customStyle="1" w:styleId="TofSectsSubdiv">
    <w:name w:val="TofSects(Subdiv)"/>
    <w:basedOn w:val="OPCParaBase"/>
    <w:rsid w:val="00A9469D"/>
    <w:pPr>
      <w:keepLines/>
      <w:spacing w:before="80" w:line="240" w:lineRule="auto"/>
      <w:ind w:left="1588" w:hanging="794"/>
    </w:pPr>
    <w:rPr>
      <w:kern w:val="28"/>
    </w:rPr>
  </w:style>
  <w:style w:type="paragraph" w:customStyle="1" w:styleId="WRStyle">
    <w:name w:val="WR Style"/>
    <w:aliases w:val="WR"/>
    <w:basedOn w:val="OPCParaBase"/>
    <w:rsid w:val="00A9469D"/>
    <w:pPr>
      <w:spacing w:before="240" w:line="240" w:lineRule="auto"/>
      <w:ind w:left="284" w:hanging="284"/>
    </w:pPr>
    <w:rPr>
      <w:b/>
      <w:i/>
      <w:kern w:val="28"/>
      <w:sz w:val="24"/>
    </w:rPr>
  </w:style>
  <w:style w:type="paragraph" w:customStyle="1" w:styleId="notepara">
    <w:name w:val="note(para)"/>
    <w:aliases w:val="na"/>
    <w:basedOn w:val="OPCParaBase"/>
    <w:rsid w:val="00A9469D"/>
    <w:pPr>
      <w:spacing w:before="40" w:line="198" w:lineRule="exact"/>
      <w:ind w:left="2354" w:hanging="369"/>
    </w:pPr>
    <w:rPr>
      <w:sz w:val="18"/>
    </w:rPr>
  </w:style>
  <w:style w:type="paragraph" w:styleId="Footer">
    <w:name w:val="footer"/>
    <w:link w:val="FooterChar"/>
    <w:rsid w:val="00A9469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9469D"/>
    <w:rPr>
      <w:rFonts w:eastAsia="Times New Roman" w:cs="Times New Roman"/>
      <w:sz w:val="22"/>
      <w:szCs w:val="24"/>
      <w:lang w:eastAsia="en-AU"/>
    </w:rPr>
  </w:style>
  <w:style w:type="character" w:styleId="LineNumber">
    <w:name w:val="line number"/>
    <w:basedOn w:val="OPCCharBase"/>
    <w:uiPriority w:val="99"/>
    <w:semiHidden/>
    <w:unhideWhenUsed/>
    <w:rsid w:val="00A9469D"/>
    <w:rPr>
      <w:sz w:val="16"/>
    </w:rPr>
  </w:style>
  <w:style w:type="table" w:customStyle="1" w:styleId="CFlag">
    <w:name w:val="CFlag"/>
    <w:basedOn w:val="TableNormal"/>
    <w:uiPriority w:val="99"/>
    <w:rsid w:val="00A9469D"/>
    <w:rPr>
      <w:rFonts w:eastAsia="Times New Roman" w:cs="Times New Roman"/>
      <w:lang w:eastAsia="en-AU"/>
    </w:rPr>
    <w:tblPr/>
  </w:style>
  <w:style w:type="paragraph" w:customStyle="1" w:styleId="NotesHeading1">
    <w:name w:val="NotesHeading 1"/>
    <w:basedOn w:val="OPCParaBase"/>
    <w:next w:val="Normal"/>
    <w:rsid w:val="00A9469D"/>
    <w:rPr>
      <w:b/>
      <w:sz w:val="28"/>
      <w:szCs w:val="28"/>
    </w:rPr>
  </w:style>
  <w:style w:type="paragraph" w:customStyle="1" w:styleId="NotesHeading2">
    <w:name w:val="NotesHeading 2"/>
    <w:basedOn w:val="OPCParaBase"/>
    <w:next w:val="Normal"/>
    <w:rsid w:val="00A9469D"/>
    <w:rPr>
      <w:b/>
      <w:sz w:val="28"/>
      <w:szCs w:val="28"/>
    </w:rPr>
  </w:style>
  <w:style w:type="paragraph" w:customStyle="1" w:styleId="SignCoverPageEnd">
    <w:name w:val="SignCoverPageEnd"/>
    <w:basedOn w:val="OPCParaBase"/>
    <w:next w:val="Normal"/>
    <w:rsid w:val="00A9469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469D"/>
    <w:pPr>
      <w:pBdr>
        <w:top w:val="single" w:sz="4" w:space="1" w:color="auto"/>
      </w:pBdr>
      <w:spacing w:before="360"/>
      <w:ind w:right="397"/>
      <w:jc w:val="both"/>
    </w:pPr>
  </w:style>
  <w:style w:type="paragraph" w:customStyle="1" w:styleId="Paragraphsub-sub-sub">
    <w:name w:val="Paragraph(sub-sub-sub)"/>
    <w:aliases w:val="aaaa"/>
    <w:basedOn w:val="OPCParaBase"/>
    <w:rsid w:val="00A9469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469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469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469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469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9469D"/>
    <w:pPr>
      <w:spacing w:before="120"/>
    </w:pPr>
  </w:style>
  <w:style w:type="paragraph" w:customStyle="1" w:styleId="TableTextEndNotes">
    <w:name w:val="TableTextEndNotes"/>
    <w:aliases w:val="Tten"/>
    <w:basedOn w:val="Normal"/>
    <w:rsid w:val="00A9469D"/>
    <w:pPr>
      <w:spacing w:before="60" w:line="240" w:lineRule="auto"/>
    </w:pPr>
    <w:rPr>
      <w:rFonts w:cs="Arial"/>
      <w:sz w:val="20"/>
      <w:szCs w:val="22"/>
    </w:rPr>
  </w:style>
  <w:style w:type="paragraph" w:customStyle="1" w:styleId="TableHeading">
    <w:name w:val="TableHeading"/>
    <w:aliases w:val="th"/>
    <w:basedOn w:val="OPCParaBase"/>
    <w:next w:val="Tabletext"/>
    <w:rsid w:val="00A9469D"/>
    <w:pPr>
      <w:keepNext/>
      <w:spacing w:before="60" w:line="240" w:lineRule="atLeast"/>
    </w:pPr>
    <w:rPr>
      <w:b/>
      <w:sz w:val="20"/>
    </w:rPr>
  </w:style>
  <w:style w:type="paragraph" w:customStyle="1" w:styleId="NoteToSubpara">
    <w:name w:val="NoteToSubpara"/>
    <w:aliases w:val="nts"/>
    <w:basedOn w:val="OPCParaBase"/>
    <w:rsid w:val="00A9469D"/>
    <w:pPr>
      <w:spacing w:before="40" w:line="198" w:lineRule="exact"/>
      <w:ind w:left="2835" w:hanging="709"/>
    </w:pPr>
    <w:rPr>
      <w:sz w:val="18"/>
    </w:rPr>
  </w:style>
  <w:style w:type="paragraph" w:customStyle="1" w:styleId="ENoteTableHeading">
    <w:name w:val="ENoteTableHeading"/>
    <w:aliases w:val="enth"/>
    <w:basedOn w:val="OPCParaBase"/>
    <w:rsid w:val="00A9469D"/>
    <w:pPr>
      <w:keepNext/>
      <w:spacing w:before="60" w:line="240" w:lineRule="atLeast"/>
    </w:pPr>
    <w:rPr>
      <w:rFonts w:ascii="Arial" w:hAnsi="Arial"/>
      <w:b/>
      <w:sz w:val="16"/>
    </w:rPr>
  </w:style>
  <w:style w:type="paragraph" w:customStyle="1" w:styleId="ENoteTTi">
    <w:name w:val="ENoteTTi"/>
    <w:aliases w:val="entti"/>
    <w:basedOn w:val="OPCParaBase"/>
    <w:rsid w:val="00A9469D"/>
    <w:pPr>
      <w:keepNext/>
      <w:spacing w:before="60" w:line="240" w:lineRule="atLeast"/>
      <w:ind w:left="170"/>
    </w:pPr>
    <w:rPr>
      <w:sz w:val="16"/>
    </w:rPr>
  </w:style>
  <w:style w:type="paragraph" w:customStyle="1" w:styleId="ENotesHeading1">
    <w:name w:val="ENotesHeading 1"/>
    <w:aliases w:val="Enh1"/>
    <w:basedOn w:val="OPCParaBase"/>
    <w:next w:val="Normal"/>
    <w:rsid w:val="00A9469D"/>
    <w:pPr>
      <w:spacing w:before="120"/>
      <w:outlineLvl w:val="1"/>
    </w:pPr>
    <w:rPr>
      <w:b/>
      <w:sz w:val="28"/>
      <w:szCs w:val="28"/>
    </w:rPr>
  </w:style>
  <w:style w:type="paragraph" w:customStyle="1" w:styleId="ENotesHeading2">
    <w:name w:val="ENotesHeading 2"/>
    <w:aliases w:val="Enh2"/>
    <w:basedOn w:val="OPCParaBase"/>
    <w:next w:val="Normal"/>
    <w:rsid w:val="00A9469D"/>
    <w:pPr>
      <w:spacing w:before="120" w:after="120"/>
      <w:outlineLvl w:val="2"/>
    </w:pPr>
    <w:rPr>
      <w:b/>
      <w:sz w:val="24"/>
      <w:szCs w:val="28"/>
    </w:rPr>
  </w:style>
  <w:style w:type="paragraph" w:customStyle="1" w:styleId="ENoteTTIndentHeading">
    <w:name w:val="ENoteTTIndentHeading"/>
    <w:aliases w:val="enTTHi"/>
    <w:basedOn w:val="OPCParaBase"/>
    <w:rsid w:val="00A9469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9469D"/>
    <w:pPr>
      <w:spacing w:before="60" w:line="240" w:lineRule="atLeast"/>
    </w:pPr>
    <w:rPr>
      <w:sz w:val="16"/>
    </w:rPr>
  </w:style>
  <w:style w:type="paragraph" w:customStyle="1" w:styleId="MadeunderText">
    <w:name w:val="MadeunderText"/>
    <w:basedOn w:val="OPCParaBase"/>
    <w:next w:val="Normal"/>
    <w:rsid w:val="00A9469D"/>
    <w:pPr>
      <w:spacing w:before="240"/>
    </w:pPr>
    <w:rPr>
      <w:sz w:val="24"/>
      <w:szCs w:val="24"/>
    </w:rPr>
  </w:style>
  <w:style w:type="paragraph" w:customStyle="1" w:styleId="ENotesHeading3">
    <w:name w:val="ENotesHeading 3"/>
    <w:aliases w:val="Enh3"/>
    <w:basedOn w:val="OPCParaBase"/>
    <w:next w:val="Normal"/>
    <w:rsid w:val="00A9469D"/>
    <w:pPr>
      <w:keepNext/>
      <w:spacing w:before="120" w:line="240" w:lineRule="auto"/>
      <w:outlineLvl w:val="4"/>
    </w:pPr>
    <w:rPr>
      <w:b/>
      <w:szCs w:val="24"/>
    </w:rPr>
  </w:style>
  <w:style w:type="paragraph" w:customStyle="1" w:styleId="SubPartCASA">
    <w:name w:val="SubPart(CASA)"/>
    <w:aliases w:val="csp"/>
    <w:basedOn w:val="OPCParaBase"/>
    <w:next w:val="ActHead3"/>
    <w:rsid w:val="00A9469D"/>
    <w:pPr>
      <w:keepNext/>
      <w:keepLines/>
      <w:spacing w:before="280"/>
      <w:outlineLvl w:val="1"/>
    </w:pPr>
    <w:rPr>
      <w:b/>
      <w:kern w:val="28"/>
      <w:sz w:val="32"/>
    </w:rPr>
  </w:style>
  <w:style w:type="character" w:customStyle="1" w:styleId="CharSubPartTextCASA">
    <w:name w:val="CharSubPartText(CASA)"/>
    <w:basedOn w:val="OPCCharBase"/>
    <w:uiPriority w:val="1"/>
    <w:rsid w:val="00A9469D"/>
  </w:style>
  <w:style w:type="character" w:customStyle="1" w:styleId="CharSubPartNoCASA">
    <w:name w:val="CharSubPartNo(CASA)"/>
    <w:basedOn w:val="OPCCharBase"/>
    <w:uiPriority w:val="1"/>
    <w:rsid w:val="00A9469D"/>
  </w:style>
  <w:style w:type="paragraph" w:customStyle="1" w:styleId="ENoteTTIndentHeadingSub">
    <w:name w:val="ENoteTTIndentHeadingSub"/>
    <w:aliases w:val="enTTHis"/>
    <w:basedOn w:val="OPCParaBase"/>
    <w:rsid w:val="00A9469D"/>
    <w:pPr>
      <w:keepNext/>
      <w:spacing w:before="60" w:line="240" w:lineRule="atLeast"/>
      <w:ind w:left="340"/>
    </w:pPr>
    <w:rPr>
      <w:b/>
      <w:sz w:val="16"/>
    </w:rPr>
  </w:style>
  <w:style w:type="paragraph" w:customStyle="1" w:styleId="ENoteTTiSub">
    <w:name w:val="ENoteTTiSub"/>
    <w:aliases w:val="enttis"/>
    <w:basedOn w:val="OPCParaBase"/>
    <w:rsid w:val="00A9469D"/>
    <w:pPr>
      <w:keepNext/>
      <w:spacing w:before="60" w:line="240" w:lineRule="atLeast"/>
      <w:ind w:left="340"/>
    </w:pPr>
    <w:rPr>
      <w:sz w:val="16"/>
    </w:rPr>
  </w:style>
  <w:style w:type="paragraph" w:customStyle="1" w:styleId="SubDivisionMigration">
    <w:name w:val="SubDivisionMigration"/>
    <w:aliases w:val="sdm"/>
    <w:basedOn w:val="OPCParaBase"/>
    <w:rsid w:val="00A9469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469D"/>
    <w:pPr>
      <w:keepNext/>
      <w:keepLines/>
      <w:spacing w:before="240" w:line="240" w:lineRule="auto"/>
      <w:ind w:left="1134" w:hanging="1134"/>
    </w:pPr>
    <w:rPr>
      <w:b/>
      <w:sz w:val="28"/>
    </w:rPr>
  </w:style>
  <w:style w:type="table" w:styleId="TableGrid">
    <w:name w:val="Table Grid"/>
    <w:basedOn w:val="TableNormal"/>
    <w:uiPriority w:val="59"/>
    <w:rsid w:val="00A9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A9469D"/>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A9469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9469D"/>
    <w:rPr>
      <w:sz w:val="22"/>
    </w:rPr>
  </w:style>
  <w:style w:type="paragraph" w:customStyle="1" w:styleId="SOTextNote">
    <w:name w:val="SO TextNote"/>
    <w:aliases w:val="sont"/>
    <w:basedOn w:val="SOText"/>
    <w:qFormat/>
    <w:rsid w:val="00A9469D"/>
    <w:pPr>
      <w:spacing w:before="122" w:line="198" w:lineRule="exact"/>
      <w:ind w:left="1843" w:hanging="709"/>
    </w:pPr>
    <w:rPr>
      <w:sz w:val="18"/>
    </w:rPr>
  </w:style>
  <w:style w:type="paragraph" w:customStyle="1" w:styleId="SOPara">
    <w:name w:val="SO Para"/>
    <w:aliases w:val="soa"/>
    <w:basedOn w:val="SOText"/>
    <w:link w:val="SOParaChar"/>
    <w:qFormat/>
    <w:rsid w:val="00A9469D"/>
    <w:pPr>
      <w:tabs>
        <w:tab w:val="right" w:pos="1786"/>
      </w:tabs>
      <w:spacing w:before="40"/>
      <w:ind w:left="2070" w:hanging="936"/>
    </w:pPr>
  </w:style>
  <w:style w:type="character" w:customStyle="1" w:styleId="SOParaChar">
    <w:name w:val="SO Para Char"/>
    <w:aliases w:val="soa Char"/>
    <w:basedOn w:val="DefaultParagraphFont"/>
    <w:link w:val="SOPara"/>
    <w:rsid w:val="00A9469D"/>
    <w:rPr>
      <w:sz w:val="22"/>
    </w:rPr>
  </w:style>
  <w:style w:type="paragraph" w:customStyle="1" w:styleId="FileName">
    <w:name w:val="FileName"/>
    <w:basedOn w:val="Normal"/>
    <w:rsid w:val="00A9469D"/>
  </w:style>
  <w:style w:type="paragraph" w:customStyle="1" w:styleId="SOHeadBold">
    <w:name w:val="SO HeadBold"/>
    <w:aliases w:val="sohb"/>
    <w:basedOn w:val="SOText"/>
    <w:next w:val="SOText"/>
    <w:link w:val="SOHeadBoldChar"/>
    <w:qFormat/>
    <w:rsid w:val="00A9469D"/>
    <w:rPr>
      <w:b/>
    </w:rPr>
  </w:style>
  <w:style w:type="character" w:customStyle="1" w:styleId="SOHeadBoldChar">
    <w:name w:val="SO HeadBold Char"/>
    <w:aliases w:val="sohb Char"/>
    <w:basedOn w:val="DefaultParagraphFont"/>
    <w:link w:val="SOHeadBold"/>
    <w:rsid w:val="00A9469D"/>
    <w:rPr>
      <w:b/>
      <w:sz w:val="22"/>
    </w:rPr>
  </w:style>
  <w:style w:type="paragraph" w:customStyle="1" w:styleId="SOHeadItalic">
    <w:name w:val="SO HeadItalic"/>
    <w:aliases w:val="sohi"/>
    <w:basedOn w:val="SOText"/>
    <w:next w:val="SOText"/>
    <w:link w:val="SOHeadItalicChar"/>
    <w:qFormat/>
    <w:rsid w:val="00A9469D"/>
    <w:rPr>
      <w:i/>
    </w:rPr>
  </w:style>
  <w:style w:type="character" w:customStyle="1" w:styleId="SOHeadItalicChar">
    <w:name w:val="SO HeadItalic Char"/>
    <w:aliases w:val="sohi Char"/>
    <w:basedOn w:val="DefaultParagraphFont"/>
    <w:link w:val="SOHeadItalic"/>
    <w:rsid w:val="00A9469D"/>
    <w:rPr>
      <w:i/>
      <w:sz w:val="22"/>
    </w:rPr>
  </w:style>
  <w:style w:type="paragraph" w:customStyle="1" w:styleId="SOBullet">
    <w:name w:val="SO Bullet"/>
    <w:aliases w:val="sotb"/>
    <w:basedOn w:val="SOText"/>
    <w:link w:val="SOBulletChar"/>
    <w:qFormat/>
    <w:rsid w:val="00A9469D"/>
    <w:pPr>
      <w:ind w:left="1559" w:hanging="425"/>
    </w:pPr>
  </w:style>
  <w:style w:type="character" w:customStyle="1" w:styleId="SOBulletChar">
    <w:name w:val="SO Bullet Char"/>
    <w:aliases w:val="sotb Char"/>
    <w:basedOn w:val="DefaultParagraphFont"/>
    <w:link w:val="SOBullet"/>
    <w:rsid w:val="00A9469D"/>
    <w:rPr>
      <w:sz w:val="22"/>
    </w:rPr>
  </w:style>
  <w:style w:type="paragraph" w:customStyle="1" w:styleId="SOBulletNote">
    <w:name w:val="SO BulletNote"/>
    <w:aliases w:val="sonb"/>
    <w:basedOn w:val="SOTextNote"/>
    <w:link w:val="SOBulletNoteChar"/>
    <w:qFormat/>
    <w:rsid w:val="00A9469D"/>
    <w:pPr>
      <w:tabs>
        <w:tab w:val="left" w:pos="1560"/>
      </w:tabs>
      <w:ind w:left="2268" w:hanging="1134"/>
    </w:pPr>
  </w:style>
  <w:style w:type="character" w:customStyle="1" w:styleId="SOBulletNoteChar">
    <w:name w:val="SO BulletNote Char"/>
    <w:aliases w:val="sonb Char"/>
    <w:basedOn w:val="DefaultParagraphFont"/>
    <w:link w:val="SOBulletNote"/>
    <w:rsid w:val="00A9469D"/>
    <w:rPr>
      <w:sz w:val="18"/>
    </w:rPr>
  </w:style>
  <w:style w:type="paragraph" w:customStyle="1" w:styleId="SOText2">
    <w:name w:val="SO Text2"/>
    <w:aliases w:val="sot2"/>
    <w:basedOn w:val="Normal"/>
    <w:next w:val="SOText"/>
    <w:link w:val="SOText2Char"/>
    <w:rsid w:val="00A9469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9469D"/>
    <w:rPr>
      <w:sz w:val="22"/>
    </w:rPr>
  </w:style>
  <w:style w:type="character" w:customStyle="1" w:styleId="Heading6Char">
    <w:name w:val="Heading 6 Char"/>
    <w:basedOn w:val="DefaultParagraphFont"/>
    <w:link w:val="Heading6"/>
    <w:rsid w:val="00871F7E"/>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871F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1F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1F7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71F7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71F7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71F7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71F7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71F7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AA59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15"/>
    <w:rPr>
      <w:rFonts w:ascii="Tahoma" w:hAnsi="Tahoma" w:cs="Tahoma"/>
      <w:sz w:val="16"/>
      <w:szCs w:val="16"/>
    </w:rPr>
  </w:style>
  <w:style w:type="character" w:customStyle="1" w:styleId="paragraphChar">
    <w:name w:val="paragraph Char"/>
    <w:aliases w:val="a Char"/>
    <w:basedOn w:val="DefaultParagraphFont"/>
    <w:link w:val="paragraph"/>
    <w:locked/>
    <w:rsid w:val="00EB653F"/>
    <w:rPr>
      <w:rFonts w:eastAsia="Times New Roman" w:cs="Times New Roman"/>
      <w:sz w:val="22"/>
      <w:lang w:eastAsia="en-AU"/>
    </w:rPr>
  </w:style>
  <w:style w:type="paragraph" w:styleId="FootnoteText">
    <w:name w:val="footnote text"/>
    <w:basedOn w:val="Normal"/>
    <w:link w:val="FootnoteTextChar"/>
    <w:uiPriority w:val="99"/>
    <w:semiHidden/>
    <w:unhideWhenUsed/>
    <w:rsid w:val="00B10D88"/>
    <w:pPr>
      <w:spacing w:line="240" w:lineRule="auto"/>
    </w:pPr>
    <w:rPr>
      <w:sz w:val="20"/>
    </w:rPr>
  </w:style>
  <w:style w:type="character" w:customStyle="1" w:styleId="FootnoteTextChar">
    <w:name w:val="Footnote Text Char"/>
    <w:basedOn w:val="DefaultParagraphFont"/>
    <w:link w:val="FootnoteText"/>
    <w:uiPriority w:val="99"/>
    <w:semiHidden/>
    <w:rsid w:val="00B10D88"/>
  </w:style>
  <w:style w:type="character" w:styleId="FootnoteReference">
    <w:name w:val="footnote reference"/>
    <w:basedOn w:val="DefaultParagraphFont"/>
    <w:uiPriority w:val="99"/>
    <w:semiHidden/>
    <w:unhideWhenUsed/>
    <w:rsid w:val="00B10D88"/>
    <w:rPr>
      <w:vertAlign w:val="superscript"/>
    </w:rPr>
  </w:style>
  <w:style w:type="paragraph" w:customStyle="1" w:styleId="ShortTP1">
    <w:name w:val="ShortTP1"/>
    <w:basedOn w:val="ShortT"/>
    <w:link w:val="ShortTP1Char"/>
    <w:rsid w:val="0057306A"/>
    <w:pPr>
      <w:spacing w:before="800"/>
    </w:pPr>
  </w:style>
  <w:style w:type="character" w:customStyle="1" w:styleId="OPCParaBaseChar">
    <w:name w:val="OPCParaBase Char"/>
    <w:basedOn w:val="DefaultParagraphFont"/>
    <w:link w:val="OPCParaBase"/>
    <w:rsid w:val="0057306A"/>
    <w:rPr>
      <w:rFonts w:eastAsia="Times New Roman" w:cs="Times New Roman"/>
      <w:sz w:val="22"/>
      <w:lang w:eastAsia="en-AU"/>
    </w:rPr>
  </w:style>
  <w:style w:type="character" w:customStyle="1" w:styleId="ShortTChar">
    <w:name w:val="ShortT Char"/>
    <w:basedOn w:val="OPCParaBaseChar"/>
    <w:link w:val="ShortT"/>
    <w:rsid w:val="0057306A"/>
    <w:rPr>
      <w:rFonts w:eastAsia="Times New Roman" w:cs="Times New Roman"/>
      <w:b/>
      <w:sz w:val="40"/>
      <w:lang w:eastAsia="en-AU"/>
    </w:rPr>
  </w:style>
  <w:style w:type="character" w:customStyle="1" w:styleId="ShortTP1Char">
    <w:name w:val="ShortTP1 Char"/>
    <w:basedOn w:val="ShortTChar"/>
    <w:link w:val="ShortTP1"/>
    <w:rsid w:val="0057306A"/>
    <w:rPr>
      <w:rFonts w:eastAsia="Times New Roman" w:cs="Times New Roman"/>
      <w:b/>
      <w:sz w:val="40"/>
      <w:lang w:eastAsia="en-AU"/>
    </w:rPr>
  </w:style>
  <w:style w:type="paragraph" w:customStyle="1" w:styleId="ActNoP1">
    <w:name w:val="ActNoP1"/>
    <w:basedOn w:val="Actno"/>
    <w:link w:val="ActNoP1Char"/>
    <w:rsid w:val="0057306A"/>
    <w:pPr>
      <w:spacing w:before="800"/>
    </w:pPr>
    <w:rPr>
      <w:sz w:val="28"/>
    </w:rPr>
  </w:style>
  <w:style w:type="character" w:customStyle="1" w:styleId="ActnoChar">
    <w:name w:val="Actno Char"/>
    <w:basedOn w:val="ShortTChar"/>
    <w:link w:val="Actno"/>
    <w:rsid w:val="0057306A"/>
    <w:rPr>
      <w:rFonts w:eastAsia="Times New Roman" w:cs="Times New Roman"/>
      <w:b/>
      <w:sz w:val="40"/>
      <w:lang w:eastAsia="en-AU"/>
    </w:rPr>
  </w:style>
  <w:style w:type="character" w:customStyle="1" w:styleId="ActNoP1Char">
    <w:name w:val="ActNoP1 Char"/>
    <w:basedOn w:val="ActnoChar"/>
    <w:link w:val="ActNoP1"/>
    <w:rsid w:val="0057306A"/>
    <w:rPr>
      <w:rFonts w:eastAsia="Times New Roman" w:cs="Times New Roman"/>
      <w:b/>
      <w:sz w:val="28"/>
      <w:lang w:eastAsia="en-AU"/>
    </w:rPr>
  </w:style>
  <w:style w:type="paragraph" w:customStyle="1" w:styleId="ShortTCP">
    <w:name w:val="ShortTCP"/>
    <w:basedOn w:val="ShortT"/>
    <w:link w:val="ShortTCPChar"/>
    <w:rsid w:val="0057306A"/>
  </w:style>
  <w:style w:type="character" w:customStyle="1" w:styleId="ShortTCPChar">
    <w:name w:val="ShortTCP Char"/>
    <w:basedOn w:val="ShortTChar"/>
    <w:link w:val="ShortTCP"/>
    <w:rsid w:val="0057306A"/>
    <w:rPr>
      <w:rFonts w:eastAsia="Times New Roman" w:cs="Times New Roman"/>
      <w:b/>
      <w:sz w:val="40"/>
      <w:lang w:eastAsia="en-AU"/>
    </w:rPr>
  </w:style>
  <w:style w:type="paragraph" w:customStyle="1" w:styleId="ActNoCP">
    <w:name w:val="ActNoCP"/>
    <w:basedOn w:val="Actno"/>
    <w:link w:val="ActNoCPChar"/>
    <w:rsid w:val="0057306A"/>
    <w:pPr>
      <w:spacing w:before="400"/>
    </w:pPr>
  </w:style>
  <w:style w:type="character" w:customStyle="1" w:styleId="ActNoCPChar">
    <w:name w:val="ActNoCP Char"/>
    <w:basedOn w:val="ActnoChar"/>
    <w:link w:val="ActNoCP"/>
    <w:rsid w:val="0057306A"/>
    <w:rPr>
      <w:rFonts w:eastAsia="Times New Roman" w:cs="Times New Roman"/>
      <w:b/>
      <w:sz w:val="40"/>
      <w:lang w:eastAsia="en-AU"/>
    </w:rPr>
  </w:style>
  <w:style w:type="paragraph" w:customStyle="1" w:styleId="AssentBk">
    <w:name w:val="AssentBk"/>
    <w:basedOn w:val="Normal"/>
    <w:rsid w:val="0057306A"/>
    <w:pPr>
      <w:spacing w:line="240" w:lineRule="auto"/>
    </w:pPr>
    <w:rPr>
      <w:rFonts w:eastAsia="Times New Roman" w:cs="Times New Roman"/>
      <w:sz w:val="20"/>
      <w:lang w:eastAsia="en-AU"/>
    </w:rPr>
  </w:style>
  <w:style w:type="character" w:styleId="Hyperlink">
    <w:name w:val="Hyperlink"/>
    <w:basedOn w:val="DefaultParagraphFont"/>
    <w:uiPriority w:val="99"/>
    <w:semiHidden/>
    <w:unhideWhenUsed/>
    <w:rsid w:val="00A46497"/>
    <w:rPr>
      <w:color w:val="0000FF" w:themeColor="hyperlink"/>
      <w:u w:val="single"/>
    </w:rPr>
  </w:style>
  <w:style w:type="character" w:styleId="FollowedHyperlink">
    <w:name w:val="FollowedHyperlink"/>
    <w:basedOn w:val="DefaultParagraphFont"/>
    <w:uiPriority w:val="99"/>
    <w:semiHidden/>
    <w:unhideWhenUsed/>
    <w:rsid w:val="00A46497"/>
    <w:rPr>
      <w:color w:val="0000FF" w:themeColor="hyperlink"/>
      <w:u w:val="single"/>
    </w:rPr>
  </w:style>
  <w:style w:type="paragraph" w:customStyle="1" w:styleId="AssentDt">
    <w:name w:val="AssentDt"/>
    <w:basedOn w:val="Normal"/>
    <w:rsid w:val="00FA3665"/>
    <w:pPr>
      <w:spacing w:line="240" w:lineRule="auto"/>
    </w:pPr>
    <w:rPr>
      <w:rFonts w:eastAsia="Times New Roman" w:cs="Times New Roman"/>
      <w:sz w:val="20"/>
      <w:lang w:eastAsia="en-AU"/>
    </w:rPr>
  </w:style>
  <w:style w:type="paragraph" w:customStyle="1" w:styleId="2ndRd">
    <w:name w:val="2ndRd"/>
    <w:basedOn w:val="Normal"/>
    <w:rsid w:val="00FA3665"/>
    <w:pPr>
      <w:spacing w:line="240" w:lineRule="auto"/>
    </w:pPr>
    <w:rPr>
      <w:rFonts w:eastAsia="Times New Roman" w:cs="Times New Roman"/>
      <w:sz w:val="20"/>
      <w:lang w:eastAsia="en-AU"/>
    </w:rPr>
  </w:style>
  <w:style w:type="paragraph" w:customStyle="1" w:styleId="ScalePlusRef">
    <w:name w:val="ScalePlusRef"/>
    <w:basedOn w:val="Normal"/>
    <w:rsid w:val="00FA366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1CD0-5FF9-4526-B2F7-E0AE2BE0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36</Pages>
  <Words>6378</Words>
  <Characters>36360</Characters>
  <Application>Microsoft Office Word</Application>
  <DocSecurity>0</DocSecurity>
  <PresentationFormat/>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2017-05-16T05:01:00Z</cp:lastPrinted>
  <dcterms:created xsi:type="dcterms:W3CDTF">2019-03-13T22:25:00Z</dcterms:created>
  <dcterms:modified xsi:type="dcterms:W3CDTF">2019-03-13T22:35:00Z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Industrial Chemicals (Consequential Amendments and Transitional Provisions) Act 2019</vt:lpwstr>
  </property>
  <property fmtid="{D5CDD505-2E9C-101B-9397-08002B2CF9AE}" pid="5" name="ActNo">
    <vt:lpwstr>No. 13,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OPC6347</vt:lpwstr>
  </property>
</Properties>
</file>