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60" w:rsidRDefault="00DA0C6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16311964" r:id="rId9"/>
        </w:object>
      </w:r>
    </w:p>
    <w:p w:rsidR="00DA0C60" w:rsidRDefault="00DA0C60"/>
    <w:p w:rsidR="00DA0C60" w:rsidRDefault="00DA0C60" w:rsidP="00DA0C60">
      <w:pPr>
        <w:spacing w:line="240" w:lineRule="auto"/>
      </w:pPr>
    </w:p>
    <w:p w:rsidR="00DA0C60" w:rsidRDefault="00DA0C60" w:rsidP="00DA0C60"/>
    <w:p w:rsidR="00DA0C60" w:rsidRDefault="00DA0C60" w:rsidP="00DA0C60"/>
    <w:p w:rsidR="00DA0C60" w:rsidRDefault="00DA0C60" w:rsidP="00DA0C60"/>
    <w:p w:rsidR="00DA0C60" w:rsidRDefault="00DA0C60" w:rsidP="00DA0C60"/>
    <w:p w:rsidR="0048364F" w:rsidRPr="002436FD" w:rsidRDefault="00CF3F32" w:rsidP="0048364F">
      <w:pPr>
        <w:pStyle w:val="ShortT"/>
      </w:pPr>
      <w:r w:rsidRPr="002436FD">
        <w:t>Treasury Laws Amendment (</w:t>
      </w:r>
      <w:r w:rsidR="002D2C32" w:rsidRPr="002436FD">
        <w:t xml:space="preserve">2019 </w:t>
      </w:r>
      <w:r w:rsidRPr="002436FD">
        <w:t>Petroleum Resource Rent Tax Reforms No.</w:t>
      </w:r>
      <w:r w:rsidR="002436FD" w:rsidRPr="002436FD">
        <w:t> </w:t>
      </w:r>
      <w:r w:rsidRPr="002436FD">
        <w:t xml:space="preserve">1) </w:t>
      </w:r>
      <w:r w:rsidR="00DA0C60">
        <w:t>Act</w:t>
      </w:r>
      <w:r w:rsidRPr="002436FD">
        <w:t xml:space="preserve"> 2019</w:t>
      </w:r>
    </w:p>
    <w:p w:rsidR="0048364F" w:rsidRPr="002436FD" w:rsidRDefault="0048364F" w:rsidP="0048364F"/>
    <w:p w:rsidR="0048364F" w:rsidRPr="002436FD" w:rsidRDefault="00C164CA" w:rsidP="00DA0C60">
      <w:pPr>
        <w:pStyle w:val="Actno"/>
        <w:spacing w:before="400"/>
      </w:pPr>
      <w:r w:rsidRPr="002436FD">
        <w:t>No.</w:t>
      </w:r>
      <w:r w:rsidR="00300329">
        <w:t xml:space="preserve"> 43</w:t>
      </w:r>
      <w:r w:rsidRPr="002436FD">
        <w:t>, 201</w:t>
      </w:r>
      <w:r w:rsidR="00373874" w:rsidRPr="002436FD">
        <w:t>9</w:t>
      </w:r>
    </w:p>
    <w:p w:rsidR="0048364F" w:rsidRPr="002436FD" w:rsidRDefault="0048364F" w:rsidP="0048364F"/>
    <w:p w:rsidR="00DA0C60" w:rsidRDefault="00DA0C60" w:rsidP="00DA0C60"/>
    <w:p w:rsidR="00DA0C60" w:rsidRDefault="00DA0C60" w:rsidP="00DA0C60"/>
    <w:p w:rsidR="00DA0C60" w:rsidRDefault="00DA0C60" w:rsidP="00DA0C60"/>
    <w:p w:rsidR="00DA0C60" w:rsidRDefault="00DA0C60" w:rsidP="00DA0C60"/>
    <w:p w:rsidR="0048364F" w:rsidRPr="002436FD" w:rsidRDefault="00DA0C60" w:rsidP="0048364F">
      <w:pPr>
        <w:pStyle w:val="LongT"/>
      </w:pPr>
      <w:r>
        <w:t>An Act</w:t>
      </w:r>
      <w:r w:rsidR="0048364F" w:rsidRPr="002436FD">
        <w:t xml:space="preserve"> to </w:t>
      </w:r>
      <w:r w:rsidR="001041BC" w:rsidRPr="002436FD">
        <w:t>amend the law relating to petroleum resource rent tax</w:t>
      </w:r>
      <w:r w:rsidR="0048364F" w:rsidRPr="002436FD">
        <w:t>, and for related purposes</w:t>
      </w:r>
    </w:p>
    <w:p w:rsidR="0048364F" w:rsidRPr="002436FD" w:rsidRDefault="0048364F" w:rsidP="0048364F">
      <w:pPr>
        <w:pStyle w:val="Header"/>
        <w:tabs>
          <w:tab w:val="clear" w:pos="4150"/>
          <w:tab w:val="clear" w:pos="8307"/>
        </w:tabs>
      </w:pPr>
      <w:r w:rsidRPr="002436FD">
        <w:rPr>
          <w:rStyle w:val="CharAmSchNo"/>
        </w:rPr>
        <w:t xml:space="preserve"> </w:t>
      </w:r>
      <w:r w:rsidRPr="002436FD">
        <w:rPr>
          <w:rStyle w:val="CharAmSchText"/>
        </w:rPr>
        <w:t xml:space="preserve"> </w:t>
      </w:r>
    </w:p>
    <w:p w:rsidR="0048364F" w:rsidRPr="002436FD" w:rsidRDefault="0048364F" w:rsidP="0048364F">
      <w:pPr>
        <w:pStyle w:val="Header"/>
        <w:tabs>
          <w:tab w:val="clear" w:pos="4150"/>
          <w:tab w:val="clear" w:pos="8307"/>
        </w:tabs>
      </w:pPr>
      <w:r w:rsidRPr="002436FD">
        <w:rPr>
          <w:rStyle w:val="CharAmPartNo"/>
        </w:rPr>
        <w:t xml:space="preserve"> </w:t>
      </w:r>
      <w:r w:rsidRPr="002436FD">
        <w:rPr>
          <w:rStyle w:val="CharAmPartText"/>
        </w:rPr>
        <w:t xml:space="preserve"> </w:t>
      </w:r>
    </w:p>
    <w:p w:rsidR="0048364F" w:rsidRPr="002436FD" w:rsidRDefault="0048364F" w:rsidP="0048364F">
      <w:pPr>
        <w:sectPr w:rsidR="0048364F" w:rsidRPr="002436FD" w:rsidSect="00DA0C6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436FD" w:rsidRDefault="0048364F" w:rsidP="005024CA">
      <w:pPr>
        <w:rPr>
          <w:sz w:val="36"/>
        </w:rPr>
      </w:pPr>
      <w:r w:rsidRPr="002436FD">
        <w:rPr>
          <w:sz w:val="36"/>
        </w:rPr>
        <w:lastRenderedPageBreak/>
        <w:t>Contents</w:t>
      </w:r>
    </w:p>
    <w:p w:rsidR="00300329" w:rsidRDefault="0030032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00329">
        <w:rPr>
          <w:noProof/>
        </w:rPr>
        <w:tab/>
      </w:r>
      <w:r w:rsidRPr="00300329">
        <w:rPr>
          <w:noProof/>
        </w:rPr>
        <w:fldChar w:fldCharType="begin"/>
      </w:r>
      <w:r w:rsidRPr="00300329">
        <w:rPr>
          <w:noProof/>
        </w:rPr>
        <w:instrText xml:space="preserve"> PAGEREF _Toc5698320 \h </w:instrText>
      </w:r>
      <w:r w:rsidRPr="00300329">
        <w:rPr>
          <w:noProof/>
        </w:rPr>
      </w:r>
      <w:r w:rsidRPr="00300329">
        <w:rPr>
          <w:noProof/>
        </w:rPr>
        <w:fldChar w:fldCharType="separate"/>
      </w:r>
      <w:r w:rsidR="00A4430B">
        <w:rPr>
          <w:noProof/>
        </w:rPr>
        <w:t>1</w:t>
      </w:r>
      <w:r w:rsidRPr="00300329">
        <w:rPr>
          <w:noProof/>
        </w:rPr>
        <w:fldChar w:fldCharType="end"/>
      </w:r>
    </w:p>
    <w:p w:rsidR="00300329" w:rsidRDefault="00300329">
      <w:pPr>
        <w:pStyle w:val="TOC5"/>
        <w:rPr>
          <w:rFonts w:asciiTheme="minorHAnsi" w:eastAsiaTheme="minorEastAsia" w:hAnsiTheme="minorHAnsi" w:cstheme="minorBidi"/>
          <w:noProof/>
          <w:kern w:val="0"/>
          <w:sz w:val="22"/>
          <w:szCs w:val="22"/>
        </w:rPr>
      </w:pPr>
      <w:r>
        <w:rPr>
          <w:noProof/>
        </w:rPr>
        <w:t>2</w:t>
      </w:r>
      <w:r>
        <w:rPr>
          <w:noProof/>
        </w:rPr>
        <w:tab/>
        <w:t>Commencement</w:t>
      </w:r>
      <w:bookmarkStart w:id="0" w:name="_GoBack"/>
      <w:bookmarkEnd w:id="0"/>
      <w:r w:rsidRPr="00300329">
        <w:rPr>
          <w:noProof/>
        </w:rPr>
        <w:tab/>
      </w:r>
      <w:r w:rsidRPr="00300329">
        <w:rPr>
          <w:noProof/>
        </w:rPr>
        <w:fldChar w:fldCharType="begin"/>
      </w:r>
      <w:r w:rsidRPr="00300329">
        <w:rPr>
          <w:noProof/>
        </w:rPr>
        <w:instrText xml:space="preserve"> PAGEREF _Toc5698321 \h </w:instrText>
      </w:r>
      <w:r w:rsidRPr="00300329">
        <w:rPr>
          <w:noProof/>
        </w:rPr>
      </w:r>
      <w:r w:rsidRPr="00300329">
        <w:rPr>
          <w:noProof/>
        </w:rPr>
        <w:fldChar w:fldCharType="separate"/>
      </w:r>
      <w:r w:rsidR="00A4430B">
        <w:rPr>
          <w:noProof/>
        </w:rPr>
        <w:t>2</w:t>
      </w:r>
      <w:r w:rsidRPr="00300329">
        <w:rPr>
          <w:noProof/>
        </w:rPr>
        <w:fldChar w:fldCharType="end"/>
      </w:r>
    </w:p>
    <w:p w:rsidR="00300329" w:rsidRDefault="00300329">
      <w:pPr>
        <w:pStyle w:val="TOC5"/>
        <w:rPr>
          <w:rFonts w:asciiTheme="minorHAnsi" w:eastAsiaTheme="minorEastAsia" w:hAnsiTheme="minorHAnsi" w:cstheme="minorBidi"/>
          <w:noProof/>
          <w:kern w:val="0"/>
          <w:sz w:val="22"/>
          <w:szCs w:val="22"/>
        </w:rPr>
      </w:pPr>
      <w:r>
        <w:rPr>
          <w:noProof/>
        </w:rPr>
        <w:t>3</w:t>
      </w:r>
      <w:r>
        <w:rPr>
          <w:noProof/>
        </w:rPr>
        <w:tab/>
        <w:t>Schedules</w:t>
      </w:r>
      <w:r w:rsidRPr="00300329">
        <w:rPr>
          <w:noProof/>
        </w:rPr>
        <w:tab/>
      </w:r>
      <w:r w:rsidRPr="00300329">
        <w:rPr>
          <w:noProof/>
        </w:rPr>
        <w:fldChar w:fldCharType="begin"/>
      </w:r>
      <w:r w:rsidRPr="00300329">
        <w:rPr>
          <w:noProof/>
        </w:rPr>
        <w:instrText xml:space="preserve"> PAGEREF _Toc5698322 \h </w:instrText>
      </w:r>
      <w:r w:rsidRPr="00300329">
        <w:rPr>
          <w:noProof/>
        </w:rPr>
      </w:r>
      <w:r w:rsidRPr="00300329">
        <w:rPr>
          <w:noProof/>
        </w:rPr>
        <w:fldChar w:fldCharType="separate"/>
      </w:r>
      <w:r w:rsidR="00A4430B">
        <w:rPr>
          <w:noProof/>
        </w:rPr>
        <w:t>2</w:t>
      </w:r>
      <w:r w:rsidRPr="00300329">
        <w:rPr>
          <w:noProof/>
        </w:rPr>
        <w:fldChar w:fldCharType="end"/>
      </w:r>
    </w:p>
    <w:p w:rsidR="00300329" w:rsidRDefault="00300329">
      <w:pPr>
        <w:pStyle w:val="TOC6"/>
        <w:rPr>
          <w:rFonts w:asciiTheme="minorHAnsi" w:eastAsiaTheme="minorEastAsia" w:hAnsiTheme="minorHAnsi" w:cstheme="minorBidi"/>
          <w:b w:val="0"/>
          <w:noProof/>
          <w:kern w:val="0"/>
          <w:sz w:val="22"/>
          <w:szCs w:val="22"/>
        </w:rPr>
      </w:pPr>
      <w:r>
        <w:rPr>
          <w:noProof/>
        </w:rPr>
        <w:t>Schedule 1—Reform of the petroleum resource rent tax</w:t>
      </w:r>
      <w:r w:rsidRPr="00300329">
        <w:rPr>
          <w:b w:val="0"/>
          <w:noProof/>
          <w:sz w:val="18"/>
        </w:rPr>
        <w:tab/>
      </w:r>
      <w:r w:rsidRPr="00300329">
        <w:rPr>
          <w:b w:val="0"/>
          <w:noProof/>
          <w:sz w:val="18"/>
        </w:rPr>
        <w:fldChar w:fldCharType="begin"/>
      </w:r>
      <w:r w:rsidRPr="00300329">
        <w:rPr>
          <w:b w:val="0"/>
          <w:noProof/>
          <w:sz w:val="18"/>
        </w:rPr>
        <w:instrText xml:space="preserve"> PAGEREF _Toc5698323 \h </w:instrText>
      </w:r>
      <w:r w:rsidRPr="00300329">
        <w:rPr>
          <w:b w:val="0"/>
          <w:noProof/>
          <w:sz w:val="18"/>
        </w:rPr>
      </w:r>
      <w:r w:rsidRPr="00300329">
        <w:rPr>
          <w:b w:val="0"/>
          <w:noProof/>
          <w:sz w:val="18"/>
        </w:rPr>
        <w:fldChar w:fldCharType="separate"/>
      </w:r>
      <w:r w:rsidR="00A4430B">
        <w:rPr>
          <w:b w:val="0"/>
          <w:noProof/>
          <w:sz w:val="18"/>
        </w:rPr>
        <w:t>3</w:t>
      </w:r>
      <w:r w:rsidRPr="00300329">
        <w:rPr>
          <w:b w:val="0"/>
          <w:noProof/>
          <w:sz w:val="18"/>
        </w:rPr>
        <w:fldChar w:fldCharType="end"/>
      </w:r>
    </w:p>
    <w:p w:rsidR="00300329" w:rsidRDefault="00300329">
      <w:pPr>
        <w:pStyle w:val="TOC7"/>
        <w:rPr>
          <w:rFonts w:asciiTheme="minorHAnsi" w:eastAsiaTheme="minorEastAsia" w:hAnsiTheme="minorHAnsi" w:cstheme="minorBidi"/>
          <w:noProof/>
          <w:kern w:val="0"/>
          <w:sz w:val="22"/>
          <w:szCs w:val="22"/>
        </w:rPr>
      </w:pPr>
      <w:r>
        <w:rPr>
          <w:noProof/>
        </w:rPr>
        <w:t>Part 1—Uplifts for general expenditure for new projects</w:t>
      </w:r>
      <w:r w:rsidRPr="00300329">
        <w:rPr>
          <w:noProof/>
          <w:sz w:val="18"/>
        </w:rPr>
        <w:tab/>
      </w:r>
      <w:r w:rsidRPr="00300329">
        <w:rPr>
          <w:noProof/>
          <w:sz w:val="18"/>
        </w:rPr>
        <w:fldChar w:fldCharType="begin"/>
      </w:r>
      <w:r w:rsidRPr="00300329">
        <w:rPr>
          <w:noProof/>
          <w:sz w:val="18"/>
        </w:rPr>
        <w:instrText xml:space="preserve"> PAGEREF _Toc5698324 \h </w:instrText>
      </w:r>
      <w:r w:rsidRPr="00300329">
        <w:rPr>
          <w:noProof/>
          <w:sz w:val="18"/>
        </w:rPr>
      </w:r>
      <w:r w:rsidRPr="00300329">
        <w:rPr>
          <w:noProof/>
          <w:sz w:val="18"/>
        </w:rPr>
        <w:fldChar w:fldCharType="separate"/>
      </w:r>
      <w:r w:rsidR="00A4430B">
        <w:rPr>
          <w:noProof/>
          <w:sz w:val="18"/>
        </w:rPr>
        <w:t>3</w:t>
      </w:r>
      <w:r w:rsidRPr="00300329">
        <w:rPr>
          <w:noProof/>
          <w:sz w:val="18"/>
        </w:rPr>
        <w:fldChar w:fldCharType="end"/>
      </w:r>
    </w:p>
    <w:p w:rsidR="00300329" w:rsidRDefault="00300329">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300329">
        <w:rPr>
          <w:i w:val="0"/>
          <w:noProof/>
          <w:sz w:val="18"/>
        </w:rPr>
        <w:tab/>
      </w:r>
      <w:r w:rsidRPr="00300329">
        <w:rPr>
          <w:i w:val="0"/>
          <w:noProof/>
          <w:sz w:val="18"/>
        </w:rPr>
        <w:fldChar w:fldCharType="begin"/>
      </w:r>
      <w:r w:rsidRPr="00300329">
        <w:rPr>
          <w:i w:val="0"/>
          <w:noProof/>
          <w:sz w:val="18"/>
        </w:rPr>
        <w:instrText xml:space="preserve"> PAGEREF _Toc5698325 \h </w:instrText>
      </w:r>
      <w:r w:rsidRPr="00300329">
        <w:rPr>
          <w:i w:val="0"/>
          <w:noProof/>
          <w:sz w:val="18"/>
        </w:rPr>
      </w:r>
      <w:r w:rsidRPr="00300329">
        <w:rPr>
          <w:i w:val="0"/>
          <w:noProof/>
          <w:sz w:val="18"/>
        </w:rPr>
        <w:fldChar w:fldCharType="separate"/>
      </w:r>
      <w:r w:rsidR="00A4430B">
        <w:rPr>
          <w:i w:val="0"/>
          <w:noProof/>
          <w:sz w:val="18"/>
        </w:rPr>
        <w:t>3</w:t>
      </w:r>
      <w:r w:rsidRPr="00300329">
        <w:rPr>
          <w:i w:val="0"/>
          <w:noProof/>
          <w:sz w:val="18"/>
        </w:rPr>
        <w:fldChar w:fldCharType="end"/>
      </w:r>
    </w:p>
    <w:p w:rsidR="00300329" w:rsidRDefault="00300329">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300329">
        <w:rPr>
          <w:i w:val="0"/>
          <w:noProof/>
          <w:sz w:val="18"/>
        </w:rPr>
        <w:tab/>
      </w:r>
      <w:r w:rsidRPr="00300329">
        <w:rPr>
          <w:i w:val="0"/>
          <w:noProof/>
          <w:sz w:val="18"/>
        </w:rPr>
        <w:fldChar w:fldCharType="begin"/>
      </w:r>
      <w:r w:rsidRPr="00300329">
        <w:rPr>
          <w:i w:val="0"/>
          <w:noProof/>
          <w:sz w:val="18"/>
        </w:rPr>
        <w:instrText xml:space="preserve"> PAGEREF _Toc5698326 \h </w:instrText>
      </w:r>
      <w:r w:rsidRPr="00300329">
        <w:rPr>
          <w:i w:val="0"/>
          <w:noProof/>
          <w:sz w:val="18"/>
        </w:rPr>
      </w:r>
      <w:r w:rsidRPr="00300329">
        <w:rPr>
          <w:i w:val="0"/>
          <w:noProof/>
          <w:sz w:val="18"/>
        </w:rPr>
        <w:fldChar w:fldCharType="separate"/>
      </w:r>
      <w:r w:rsidR="00A4430B">
        <w:rPr>
          <w:i w:val="0"/>
          <w:noProof/>
          <w:sz w:val="18"/>
        </w:rPr>
        <w:t>3</w:t>
      </w:r>
      <w:r w:rsidRPr="00300329">
        <w:rPr>
          <w:i w:val="0"/>
          <w:noProof/>
          <w:sz w:val="18"/>
        </w:rPr>
        <w:fldChar w:fldCharType="end"/>
      </w:r>
    </w:p>
    <w:p w:rsidR="00300329" w:rsidRDefault="00300329">
      <w:pPr>
        <w:pStyle w:val="TOC7"/>
        <w:rPr>
          <w:rFonts w:asciiTheme="minorHAnsi" w:eastAsiaTheme="minorEastAsia" w:hAnsiTheme="minorHAnsi" w:cstheme="minorBidi"/>
          <w:noProof/>
          <w:kern w:val="0"/>
          <w:sz w:val="22"/>
          <w:szCs w:val="22"/>
        </w:rPr>
      </w:pPr>
      <w:r>
        <w:rPr>
          <w:noProof/>
        </w:rPr>
        <w:t>Part 2—Standard uplift expenditure</w:t>
      </w:r>
      <w:r w:rsidRPr="00300329">
        <w:rPr>
          <w:noProof/>
          <w:sz w:val="18"/>
        </w:rPr>
        <w:tab/>
      </w:r>
      <w:r w:rsidRPr="00300329">
        <w:rPr>
          <w:noProof/>
          <w:sz w:val="18"/>
        </w:rPr>
        <w:fldChar w:fldCharType="begin"/>
      </w:r>
      <w:r w:rsidRPr="00300329">
        <w:rPr>
          <w:noProof/>
          <w:sz w:val="18"/>
        </w:rPr>
        <w:instrText xml:space="preserve"> PAGEREF _Toc5698327 \h </w:instrText>
      </w:r>
      <w:r w:rsidRPr="00300329">
        <w:rPr>
          <w:noProof/>
          <w:sz w:val="18"/>
        </w:rPr>
      </w:r>
      <w:r w:rsidRPr="00300329">
        <w:rPr>
          <w:noProof/>
          <w:sz w:val="18"/>
        </w:rPr>
        <w:fldChar w:fldCharType="separate"/>
      </w:r>
      <w:r w:rsidR="00A4430B">
        <w:rPr>
          <w:noProof/>
          <w:sz w:val="18"/>
        </w:rPr>
        <w:t>5</w:t>
      </w:r>
      <w:r w:rsidRPr="00300329">
        <w:rPr>
          <w:noProof/>
          <w:sz w:val="18"/>
        </w:rPr>
        <w:fldChar w:fldCharType="end"/>
      </w:r>
    </w:p>
    <w:p w:rsidR="00300329" w:rsidRDefault="00300329">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300329">
        <w:rPr>
          <w:i w:val="0"/>
          <w:noProof/>
          <w:sz w:val="18"/>
        </w:rPr>
        <w:tab/>
      </w:r>
      <w:r w:rsidRPr="00300329">
        <w:rPr>
          <w:i w:val="0"/>
          <w:noProof/>
          <w:sz w:val="18"/>
        </w:rPr>
        <w:fldChar w:fldCharType="begin"/>
      </w:r>
      <w:r w:rsidRPr="00300329">
        <w:rPr>
          <w:i w:val="0"/>
          <w:noProof/>
          <w:sz w:val="18"/>
        </w:rPr>
        <w:instrText xml:space="preserve"> PAGEREF _Toc5698328 \h </w:instrText>
      </w:r>
      <w:r w:rsidRPr="00300329">
        <w:rPr>
          <w:i w:val="0"/>
          <w:noProof/>
          <w:sz w:val="18"/>
        </w:rPr>
      </w:r>
      <w:r w:rsidRPr="00300329">
        <w:rPr>
          <w:i w:val="0"/>
          <w:noProof/>
          <w:sz w:val="18"/>
        </w:rPr>
        <w:fldChar w:fldCharType="separate"/>
      </w:r>
      <w:r w:rsidR="00A4430B">
        <w:rPr>
          <w:i w:val="0"/>
          <w:noProof/>
          <w:sz w:val="18"/>
        </w:rPr>
        <w:t>5</w:t>
      </w:r>
      <w:r w:rsidRPr="00300329">
        <w:rPr>
          <w:i w:val="0"/>
          <w:noProof/>
          <w:sz w:val="18"/>
        </w:rPr>
        <w:fldChar w:fldCharType="end"/>
      </w:r>
    </w:p>
    <w:p w:rsidR="00300329" w:rsidRDefault="00300329">
      <w:pPr>
        <w:pStyle w:val="TOC7"/>
        <w:rPr>
          <w:rFonts w:asciiTheme="minorHAnsi" w:eastAsiaTheme="minorEastAsia" w:hAnsiTheme="minorHAnsi" w:cstheme="minorBidi"/>
          <w:noProof/>
          <w:kern w:val="0"/>
          <w:sz w:val="22"/>
          <w:szCs w:val="22"/>
        </w:rPr>
      </w:pPr>
      <w:r>
        <w:rPr>
          <w:noProof/>
        </w:rPr>
        <w:t>Part 3—Other amendments</w:t>
      </w:r>
      <w:r w:rsidRPr="00300329">
        <w:rPr>
          <w:noProof/>
          <w:sz w:val="18"/>
        </w:rPr>
        <w:tab/>
      </w:r>
      <w:r w:rsidRPr="00300329">
        <w:rPr>
          <w:noProof/>
          <w:sz w:val="18"/>
        </w:rPr>
        <w:fldChar w:fldCharType="begin"/>
      </w:r>
      <w:r w:rsidRPr="00300329">
        <w:rPr>
          <w:noProof/>
          <w:sz w:val="18"/>
        </w:rPr>
        <w:instrText xml:space="preserve"> PAGEREF _Toc5698332 \h </w:instrText>
      </w:r>
      <w:r w:rsidRPr="00300329">
        <w:rPr>
          <w:noProof/>
          <w:sz w:val="18"/>
        </w:rPr>
      </w:r>
      <w:r w:rsidRPr="00300329">
        <w:rPr>
          <w:noProof/>
          <w:sz w:val="18"/>
        </w:rPr>
        <w:fldChar w:fldCharType="separate"/>
      </w:r>
      <w:r w:rsidR="00A4430B">
        <w:rPr>
          <w:noProof/>
          <w:sz w:val="18"/>
        </w:rPr>
        <w:t>16</w:t>
      </w:r>
      <w:r w:rsidRPr="00300329">
        <w:rPr>
          <w:noProof/>
          <w:sz w:val="18"/>
        </w:rPr>
        <w:fldChar w:fldCharType="end"/>
      </w:r>
    </w:p>
    <w:p w:rsidR="00300329" w:rsidRDefault="00300329">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300329">
        <w:rPr>
          <w:i w:val="0"/>
          <w:noProof/>
          <w:sz w:val="18"/>
        </w:rPr>
        <w:tab/>
      </w:r>
      <w:r w:rsidRPr="00300329">
        <w:rPr>
          <w:i w:val="0"/>
          <w:noProof/>
          <w:sz w:val="18"/>
        </w:rPr>
        <w:fldChar w:fldCharType="begin"/>
      </w:r>
      <w:r w:rsidRPr="00300329">
        <w:rPr>
          <w:i w:val="0"/>
          <w:noProof/>
          <w:sz w:val="18"/>
        </w:rPr>
        <w:instrText xml:space="preserve"> PAGEREF _Toc5698333 \h </w:instrText>
      </w:r>
      <w:r w:rsidRPr="00300329">
        <w:rPr>
          <w:i w:val="0"/>
          <w:noProof/>
          <w:sz w:val="18"/>
        </w:rPr>
      </w:r>
      <w:r w:rsidRPr="00300329">
        <w:rPr>
          <w:i w:val="0"/>
          <w:noProof/>
          <w:sz w:val="18"/>
        </w:rPr>
        <w:fldChar w:fldCharType="separate"/>
      </w:r>
      <w:r w:rsidR="00A4430B">
        <w:rPr>
          <w:i w:val="0"/>
          <w:noProof/>
          <w:sz w:val="18"/>
        </w:rPr>
        <w:t>16</w:t>
      </w:r>
      <w:r w:rsidRPr="00300329">
        <w:rPr>
          <w:i w:val="0"/>
          <w:noProof/>
          <w:sz w:val="18"/>
        </w:rPr>
        <w:fldChar w:fldCharType="end"/>
      </w:r>
    </w:p>
    <w:p w:rsidR="00300329" w:rsidRDefault="00300329">
      <w:pPr>
        <w:pStyle w:val="TOC6"/>
        <w:rPr>
          <w:rFonts w:asciiTheme="minorHAnsi" w:eastAsiaTheme="minorEastAsia" w:hAnsiTheme="minorHAnsi" w:cstheme="minorBidi"/>
          <w:b w:val="0"/>
          <w:noProof/>
          <w:kern w:val="0"/>
          <w:sz w:val="22"/>
          <w:szCs w:val="22"/>
        </w:rPr>
      </w:pPr>
      <w:r>
        <w:rPr>
          <w:noProof/>
        </w:rPr>
        <w:t>Schedule 2—Removing onshore projects from the petroleum resource rent tax</w:t>
      </w:r>
      <w:r w:rsidRPr="00300329">
        <w:rPr>
          <w:b w:val="0"/>
          <w:noProof/>
          <w:sz w:val="18"/>
        </w:rPr>
        <w:tab/>
      </w:r>
      <w:r w:rsidRPr="00300329">
        <w:rPr>
          <w:b w:val="0"/>
          <w:noProof/>
          <w:sz w:val="18"/>
        </w:rPr>
        <w:fldChar w:fldCharType="begin"/>
      </w:r>
      <w:r w:rsidRPr="00300329">
        <w:rPr>
          <w:b w:val="0"/>
          <w:noProof/>
          <w:sz w:val="18"/>
        </w:rPr>
        <w:instrText xml:space="preserve"> PAGEREF _Toc5698334 \h </w:instrText>
      </w:r>
      <w:r w:rsidRPr="00300329">
        <w:rPr>
          <w:b w:val="0"/>
          <w:noProof/>
          <w:sz w:val="18"/>
        </w:rPr>
      </w:r>
      <w:r w:rsidRPr="00300329">
        <w:rPr>
          <w:b w:val="0"/>
          <w:noProof/>
          <w:sz w:val="18"/>
        </w:rPr>
        <w:fldChar w:fldCharType="separate"/>
      </w:r>
      <w:r w:rsidR="00A4430B">
        <w:rPr>
          <w:b w:val="0"/>
          <w:noProof/>
          <w:sz w:val="18"/>
        </w:rPr>
        <w:t>18</w:t>
      </w:r>
      <w:r w:rsidRPr="00300329">
        <w:rPr>
          <w:b w:val="0"/>
          <w:noProof/>
          <w:sz w:val="18"/>
        </w:rPr>
        <w:fldChar w:fldCharType="end"/>
      </w:r>
    </w:p>
    <w:p w:rsidR="00300329" w:rsidRDefault="00300329">
      <w:pPr>
        <w:pStyle w:val="TOC7"/>
        <w:rPr>
          <w:rFonts w:asciiTheme="minorHAnsi" w:eastAsiaTheme="minorEastAsia" w:hAnsiTheme="minorHAnsi" w:cstheme="minorBidi"/>
          <w:noProof/>
          <w:kern w:val="0"/>
          <w:sz w:val="22"/>
          <w:szCs w:val="22"/>
        </w:rPr>
      </w:pPr>
      <w:r>
        <w:rPr>
          <w:noProof/>
        </w:rPr>
        <w:t>Part 1—Amendment of the Petroleum Resource Rent Tax Assessment Act 1987</w:t>
      </w:r>
      <w:r w:rsidRPr="00300329">
        <w:rPr>
          <w:noProof/>
          <w:sz w:val="18"/>
        </w:rPr>
        <w:tab/>
      </w:r>
      <w:r w:rsidRPr="00300329">
        <w:rPr>
          <w:noProof/>
          <w:sz w:val="18"/>
        </w:rPr>
        <w:fldChar w:fldCharType="begin"/>
      </w:r>
      <w:r w:rsidRPr="00300329">
        <w:rPr>
          <w:noProof/>
          <w:sz w:val="18"/>
        </w:rPr>
        <w:instrText xml:space="preserve"> PAGEREF _Toc5698335 \h </w:instrText>
      </w:r>
      <w:r w:rsidRPr="00300329">
        <w:rPr>
          <w:noProof/>
          <w:sz w:val="18"/>
        </w:rPr>
      </w:r>
      <w:r w:rsidRPr="00300329">
        <w:rPr>
          <w:noProof/>
          <w:sz w:val="18"/>
        </w:rPr>
        <w:fldChar w:fldCharType="separate"/>
      </w:r>
      <w:r w:rsidR="00A4430B">
        <w:rPr>
          <w:noProof/>
          <w:sz w:val="18"/>
        </w:rPr>
        <w:t>18</w:t>
      </w:r>
      <w:r w:rsidRPr="00300329">
        <w:rPr>
          <w:noProof/>
          <w:sz w:val="18"/>
        </w:rPr>
        <w:fldChar w:fldCharType="end"/>
      </w:r>
    </w:p>
    <w:p w:rsidR="00300329" w:rsidRDefault="00300329">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300329">
        <w:rPr>
          <w:i w:val="0"/>
          <w:noProof/>
          <w:sz w:val="18"/>
        </w:rPr>
        <w:tab/>
      </w:r>
      <w:r w:rsidRPr="00300329">
        <w:rPr>
          <w:i w:val="0"/>
          <w:noProof/>
          <w:sz w:val="18"/>
        </w:rPr>
        <w:fldChar w:fldCharType="begin"/>
      </w:r>
      <w:r w:rsidRPr="00300329">
        <w:rPr>
          <w:i w:val="0"/>
          <w:noProof/>
          <w:sz w:val="18"/>
        </w:rPr>
        <w:instrText xml:space="preserve"> PAGEREF _Toc5698336 \h </w:instrText>
      </w:r>
      <w:r w:rsidRPr="00300329">
        <w:rPr>
          <w:i w:val="0"/>
          <w:noProof/>
          <w:sz w:val="18"/>
        </w:rPr>
      </w:r>
      <w:r w:rsidRPr="00300329">
        <w:rPr>
          <w:i w:val="0"/>
          <w:noProof/>
          <w:sz w:val="18"/>
        </w:rPr>
        <w:fldChar w:fldCharType="separate"/>
      </w:r>
      <w:r w:rsidR="00A4430B">
        <w:rPr>
          <w:i w:val="0"/>
          <w:noProof/>
          <w:sz w:val="18"/>
        </w:rPr>
        <w:t>18</w:t>
      </w:r>
      <w:r w:rsidRPr="00300329">
        <w:rPr>
          <w:i w:val="0"/>
          <w:noProof/>
          <w:sz w:val="18"/>
        </w:rPr>
        <w:fldChar w:fldCharType="end"/>
      </w:r>
    </w:p>
    <w:p w:rsidR="00300329" w:rsidRDefault="00300329">
      <w:pPr>
        <w:pStyle w:val="TOC7"/>
        <w:rPr>
          <w:rFonts w:asciiTheme="minorHAnsi" w:eastAsiaTheme="minorEastAsia" w:hAnsiTheme="minorHAnsi" w:cstheme="minorBidi"/>
          <w:noProof/>
          <w:kern w:val="0"/>
          <w:sz w:val="22"/>
          <w:szCs w:val="22"/>
        </w:rPr>
      </w:pPr>
      <w:r>
        <w:rPr>
          <w:noProof/>
        </w:rPr>
        <w:t>Part 2—Amendments of other Acts</w:t>
      </w:r>
      <w:r w:rsidRPr="00300329">
        <w:rPr>
          <w:noProof/>
          <w:sz w:val="18"/>
        </w:rPr>
        <w:tab/>
      </w:r>
      <w:r w:rsidRPr="00300329">
        <w:rPr>
          <w:noProof/>
          <w:sz w:val="18"/>
        </w:rPr>
        <w:fldChar w:fldCharType="begin"/>
      </w:r>
      <w:r w:rsidRPr="00300329">
        <w:rPr>
          <w:noProof/>
          <w:sz w:val="18"/>
        </w:rPr>
        <w:instrText xml:space="preserve"> PAGEREF _Toc5698338 \h </w:instrText>
      </w:r>
      <w:r w:rsidRPr="00300329">
        <w:rPr>
          <w:noProof/>
          <w:sz w:val="18"/>
        </w:rPr>
      </w:r>
      <w:r w:rsidRPr="00300329">
        <w:rPr>
          <w:noProof/>
          <w:sz w:val="18"/>
        </w:rPr>
        <w:fldChar w:fldCharType="separate"/>
      </w:r>
      <w:r w:rsidR="00A4430B">
        <w:rPr>
          <w:noProof/>
          <w:sz w:val="18"/>
        </w:rPr>
        <w:t>28</w:t>
      </w:r>
      <w:r w:rsidRPr="00300329">
        <w:rPr>
          <w:noProof/>
          <w:sz w:val="18"/>
        </w:rPr>
        <w:fldChar w:fldCharType="end"/>
      </w:r>
    </w:p>
    <w:p w:rsidR="00300329" w:rsidRDefault="00300329">
      <w:pPr>
        <w:pStyle w:val="TOC9"/>
        <w:rPr>
          <w:rFonts w:asciiTheme="minorHAnsi" w:eastAsiaTheme="minorEastAsia" w:hAnsiTheme="minorHAnsi" w:cstheme="minorBidi"/>
          <w:i w:val="0"/>
          <w:noProof/>
          <w:kern w:val="0"/>
          <w:sz w:val="22"/>
          <w:szCs w:val="22"/>
        </w:rPr>
      </w:pPr>
      <w:r>
        <w:rPr>
          <w:noProof/>
        </w:rPr>
        <w:t>Excise Tariff Act 1921</w:t>
      </w:r>
      <w:r w:rsidRPr="00300329">
        <w:rPr>
          <w:i w:val="0"/>
          <w:noProof/>
          <w:sz w:val="18"/>
        </w:rPr>
        <w:tab/>
      </w:r>
      <w:r w:rsidRPr="00300329">
        <w:rPr>
          <w:i w:val="0"/>
          <w:noProof/>
          <w:sz w:val="18"/>
        </w:rPr>
        <w:fldChar w:fldCharType="begin"/>
      </w:r>
      <w:r w:rsidRPr="00300329">
        <w:rPr>
          <w:i w:val="0"/>
          <w:noProof/>
          <w:sz w:val="18"/>
        </w:rPr>
        <w:instrText xml:space="preserve"> PAGEREF _Toc5698339 \h </w:instrText>
      </w:r>
      <w:r w:rsidRPr="00300329">
        <w:rPr>
          <w:i w:val="0"/>
          <w:noProof/>
          <w:sz w:val="18"/>
        </w:rPr>
      </w:r>
      <w:r w:rsidRPr="00300329">
        <w:rPr>
          <w:i w:val="0"/>
          <w:noProof/>
          <w:sz w:val="18"/>
        </w:rPr>
        <w:fldChar w:fldCharType="separate"/>
      </w:r>
      <w:r w:rsidR="00A4430B">
        <w:rPr>
          <w:i w:val="0"/>
          <w:noProof/>
          <w:sz w:val="18"/>
        </w:rPr>
        <w:t>28</w:t>
      </w:r>
      <w:r w:rsidRPr="00300329">
        <w:rPr>
          <w:i w:val="0"/>
          <w:noProof/>
          <w:sz w:val="18"/>
        </w:rPr>
        <w:fldChar w:fldCharType="end"/>
      </w:r>
    </w:p>
    <w:p w:rsidR="00300329" w:rsidRDefault="00300329">
      <w:pPr>
        <w:pStyle w:val="TOC9"/>
        <w:rPr>
          <w:rFonts w:asciiTheme="minorHAnsi" w:eastAsiaTheme="minorEastAsia" w:hAnsiTheme="minorHAnsi" w:cstheme="minorBidi"/>
          <w:i w:val="0"/>
          <w:noProof/>
          <w:kern w:val="0"/>
          <w:sz w:val="22"/>
          <w:szCs w:val="22"/>
        </w:rPr>
      </w:pPr>
      <w:r>
        <w:rPr>
          <w:noProof/>
        </w:rPr>
        <w:t>Income Tax Assessment Act 1997</w:t>
      </w:r>
      <w:r w:rsidRPr="00300329">
        <w:rPr>
          <w:i w:val="0"/>
          <w:noProof/>
          <w:sz w:val="18"/>
        </w:rPr>
        <w:tab/>
      </w:r>
      <w:r w:rsidRPr="00300329">
        <w:rPr>
          <w:i w:val="0"/>
          <w:noProof/>
          <w:sz w:val="18"/>
        </w:rPr>
        <w:fldChar w:fldCharType="begin"/>
      </w:r>
      <w:r w:rsidRPr="00300329">
        <w:rPr>
          <w:i w:val="0"/>
          <w:noProof/>
          <w:sz w:val="18"/>
        </w:rPr>
        <w:instrText xml:space="preserve"> PAGEREF _Toc5698340 \h </w:instrText>
      </w:r>
      <w:r w:rsidRPr="00300329">
        <w:rPr>
          <w:i w:val="0"/>
          <w:noProof/>
          <w:sz w:val="18"/>
        </w:rPr>
      </w:r>
      <w:r w:rsidRPr="00300329">
        <w:rPr>
          <w:i w:val="0"/>
          <w:noProof/>
          <w:sz w:val="18"/>
        </w:rPr>
        <w:fldChar w:fldCharType="separate"/>
      </w:r>
      <w:r w:rsidR="00A4430B">
        <w:rPr>
          <w:i w:val="0"/>
          <w:noProof/>
          <w:sz w:val="18"/>
        </w:rPr>
        <w:t>28</w:t>
      </w:r>
      <w:r w:rsidRPr="00300329">
        <w:rPr>
          <w:i w:val="0"/>
          <w:noProof/>
          <w:sz w:val="18"/>
        </w:rPr>
        <w:fldChar w:fldCharType="end"/>
      </w:r>
    </w:p>
    <w:p w:rsidR="00300329" w:rsidRDefault="00300329">
      <w:pPr>
        <w:pStyle w:val="TOC7"/>
        <w:rPr>
          <w:rFonts w:asciiTheme="minorHAnsi" w:eastAsiaTheme="minorEastAsia" w:hAnsiTheme="minorHAnsi" w:cstheme="minorBidi"/>
          <w:noProof/>
          <w:kern w:val="0"/>
          <w:sz w:val="22"/>
          <w:szCs w:val="22"/>
        </w:rPr>
      </w:pPr>
      <w:r>
        <w:rPr>
          <w:noProof/>
        </w:rPr>
        <w:t>Part 3—Application, transitional and savings provisions</w:t>
      </w:r>
      <w:r w:rsidRPr="00300329">
        <w:rPr>
          <w:noProof/>
          <w:sz w:val="18"/>
        </w:rPr>
        <w:tab/>
      </w:r>
      <w:r w:rsidRPr="00300329">
        <w:rPr>
          <w:noProof/>
          <w:sz w:val="18"/>
        </w:rPr>
        <w:fldChar w:fldCharType="begin"/>
      </w:r>
      <w:r w:rsidRPr="00300329">
        <w:rPr>
          <w:noProof/>
          <w:sz w:val="18"/>
        </w:rPr>
        <w:instrText xml:space="preserve"> PAGEREF _Toc5698341 \h </w:instrText>
      </w:r>
      <w:r w:rsidRPr="00300329">
        <w:rPr>
          <w:noProof/>
          <w:sz w:val="18"/>
        </w:rPr>
      </w:r>
      <w:r w:rsidRPr="00300329">
        <w:rPr>
          <w:noProof/>
          <w:sz w:val="18"/>
        </w:rPr>
        <w:fldChar w:fldCharType="separate"/>
      </w:r>
      <w:r w:rsidR="00A4430B">
        <w:rPr>
          <w:noProof/>
          <w:sz w:val="18"/>
        </w:rPr>
        <w:t>29</w:t>
      </w:r>
      <w:r w:rsidRPr="00300329">
        <w:rPr>
          <w:noProof/>
          <w:sz w:val="18"/>
        </w:rPr>
        <w:fldChar w:fldCharType="end"/>
      </w:r>
    </w:p>
    <w:p w:rsidR="00300329" w:rsidRDefault="00300329">
      <w:pPr>
        <w:pStyle w:val="TOC8"/>
        <w:rPr>
          <w:rFonts w:asciiTheme="minorHAnsi" w:eastAsiaTheme="minorEastAsia" w:hAnsiTheme="minorHAnsi" w:cstheme="minorBidi"/>
          <w:noProof/>
          <w:kern w:val="0"/>
          <w:sz w:val="22"/>
          <w:szCs w:val="22"/>
        </w:rPr>
      </w:pPr>
      <w:r>
        <w:rPr>
          <w:noProof/>
        </w:rPr>
        <w:t>Division 1—Application of amendments to deductible expenditure and assessable receipts</w:t>
      </w:r>
      <w:r w:rsidRPr="00300329">
        <w:rPr>
          <w:noProof/>
          <w:sz w:val="18"/>
        </w:rPr>
        <w:tab/>
      </w:r>
      <w:r w:rsidRPr="00300329">
        <w:rPr>
          <w:noProof/>
          <w:sz w:val="18"/>
        </w:rPr>
        <w:fldChar w:fldCharType="begin"/>
      </w:r>
      <w:r w:rsidRPr="00300329">
        <w:rPr>
          <w:noProof/>
          <w:sz w:val="18"/>
        </w:rPr>
        <w:instrText xml:space="preserve"> PAGEREF _Toc5698342 \h </w:instrText>
      </w:r>
      <w:r w:rsidRPr="00300329">
        <w:rPr>
          <w:noProof/>
          <w:sz w:val="18"/>
        </w:rPr>
      </w:r>
      <w:r w:rsidRPr="00300329">
        <w:rPr>
          <w:noProof/>
          <w:sz w:val="18"/>
        </w:rPr>
        <w:fldChar w:fldCharType="separate"/>
      </w:r>
      <w:r w:rsidR="00A4430B">
        <w:rPr>
          <w:noProof/>
          <w:sz w:val="18"/>
        </w:rPr>
        <w:t>29</w:t>
      </w:r>
      <w:r w:rsidRPr="00300329">
        <w:rPr>
          <w:noProof/>
          <w:sz w:val="18"/>
        </w:rPr>
        <w:fldChar w:fldCharType="end"/>
      </w:r>
    </w:p>
    <w:p w:rsidR="00300329" w:rsidRDefault="00300329">
      <w:pPr>
        <w:pStyle w:val="TOC8"/>
        <w:rPr>
          <w:rFonts w:asciiTheme="minorHAnsi" w:eastAsiaTheme="minorEastAsia" w:hAnsiTheme="minorHAnsi" w:cstheme="minorBidi"/>
          <w:noProof/>
          <w:kern w:val="0"/>
          <w:sz w:val="22"/>
          <w:szCs w:val="22"/>
        </w:rPr>
      </w:pPr>
      <w:r>
        <w:rPr>
          <w:noProof/>
        </w:rPr>
        <w:t>Division 2—General application of amendments</w:t>
      </w:r>
      <w:r w:rsidRPr="00300329">
        <w:rPr>
          <w:noProof/>
          <w:sz w:val="18"/>
        </w:rPr>
        <w:tab/>
      </w:r>
      <w:r w:rsidRPr="00300329">
        <w:rPr>
          <w:noProof/>
          <w:sz w:val="18"/>
        </w:rPr>
        <w:fldChar w:fldCharType="begin"/>
      </w:r>
      <w:r w:rsidRPr="00300329">
        <w:rPr>
          <w:noProof/>
          <w:sz w:val="18"/>
        </w:rPr>
        <w:instrText xml:space="preserve"> PAGEREF _Toc5698343 \h </w:instrText>
      </w:r>
      <w:r w:rsidRPr="00300329">
        <w:rPr>
          <w:noProof/>
          <w:sz w:val="18"/>
        </w:rPr>
      </w:r>
      <w:r w:rsidRPr="00300329">
        <w:rPr>
          <w:noProof/>
          <w:sz w:val="18"/>
        </w:rPr>
        <w:fldChar w:fldCharType="separate"/>
      </w:r>
      <w:r w:rsidR="00A4430B">
        <w:rPr>
          <w:noProof/>
          <w:sz w:val="18"/>
        </w:rPr>
        <w:t>30</w:t>
      </w:r>
      <w:r w:rsidRPr="00300329">
        <w:rPr>
          <w:noProof/>
          <w:sz w:val="18"/>
        </w:rPr>
        <w:fldChar w:fldCharType="end"/>
      </w:r>
    </w:p>
    <w:p w:rsidR="00060FF9" w:rsidRPr="002436FD" w:rsidRDefault="00300329" w:rsidP="0048364F">
      <w:r>
        <w:fldChar w:fldCharType="end"/>
      </w:r>
    </w:p>
    <w:p w:rsidR="00FE7F93" w:rsidRPr="002436FD" w:rsidRDefault="00FE7F93" w:rsidP="0048364F">
      <w:pPr>
        <w:sectPr w:rsidR="00FE7F93" w:rsidRPr="002436FD" w:rsidSect="00DA0C6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A0C60" w:rsidRDefault="00DA0C60">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16311965" r:id="rId21"/>
        </w:object>
      </w:r>
    </w:p>
    <w:p w:rsidR="00DA0C60" w:rsidRDefault="00DA0C60"/>
    <w:p w:rsidR="00DA0C60" w:rsidRDefault="00DA0C60" w:rsidP="00DA0C60">
      <w:pPr>
        <w:spacing w:line="240" w:lineRule="auto"/>
      </w:pPr>
    </w:p>
    <w:p w:rsidR="00DA0C60" w:rsidRDefault="00A4430B" w:rsidP="00DA0C60">
      <w:pPr>
        <w:pStyle w:val="ShortTP1"/>
      </w:pPr>
      <w:r>
        <w:fldChar w:fldCharType="begin"/>
      </w:r>
      <w:r>
        <w:instrText xml:space="preserve"> STYLEREF ShortT </w:instrText>
      </w:r>
      <w:r>
        <w:fldChar w:fldCharType="separate"/>
      </w:r>
      <w:r>
        <w:rPr>
          <w:noProof/>
        </w:rPr>
        <w:t>Treasury Laws Amendment (2019 Petroleum Resource Rent Tax Reforms No. 1) Act 2019</w:t>
      </w:r>
      <w:r>
        <w:rPr>
          <w:noProof/>
        </w:rPr>
        <w:fldChar w:fldCharType="end"/>
      </w:r>
    </w:p>
    <w:p w:rsidR="00DA0C60" w:rsidRDefault="00A4430B" w:rsidP="00DA0C60">
      <w:pPr>
        <w:pStyle w:val="ActNoP1"/>
      </w:pPr>
      <w:r>
        <w:fldChar w:fldCharType="begin"/>
      </w:r>
      <w:r>
        <w:instrText xml:space="preserve"> STYLEREF Actno </w:instrText>
      </w:r>
      <w:r>
        <w:fldChar w:fldCharType="separate"/>
      </w:r>
      <w:r>
        <w:rPr>
          <w:noProof/>
        </w:rPr>
        <w:t>No. 43, 2019</w:t>
      </w:r>
      <w:r>
        <w:rPr>
          <w:noProof/>
        </w:rPr>
        <w:fldChar w:fldCharType="end"/>
      </w:r>
    </w:p>
    <w:p w:rsidR="00DA0C60" w:rsidRPr="009A0728" w:rsidRDefault="00DA0C60" w:rsidP="009A0728">
      <w:pPr>
        <w:pBdr>
          <w:bottom w:val="single" w:sz="6" w:space="0" w:color="auto"/>
        </w:pBdr>
        <w:spacing w:before="400" w:line="240" w:lineRule="auto"/>
        <w:rPr>
          <w:rFonts w:eastAsia="Times New Roman"/>
          <w:b/>
          <w:sz w:val="28"/>
        </w:rPr>
      </w:pPr>
    </w:p>
    <w:p w:rsidR="00DA0C60" w:rsidRPr="009A0728" w:rsidRDefault="00DA0C60" w:rsidP="009A0728">
      <w:pPr>
        <w:spacing w:line="40" w:lineRule="exact"/>
        <w:rPr>
          <w:rFonts w:eastAsia="Calibri"/>
          <w:b/>
          <w:sz w:val="28"/>
        </w:rPr>
      </w:pPr>
    </w:p>
    <w:p w:rsidR="00DA0C60" w:rsidRPr="009A0728" w:rsidRDefault="00DA0C60" w:rsidP="009A0728">
      <w:pPr>
        <w:pBdr>
          <w:top w:val="single" w:sz="12" w:space="0" w:color="auto"/>
        </w:pBdr>
        <w:spacing w:line="240" w:lineRule="auto"/>
        <w:rPr>
          <w:rFonts w:eastAsia="Times New Roman"/>
          <w:b/>
          <w:sz w:val="28"/>
        </w:rPr>
      </w:pPr>
    </w:p>
    <w:p w:rsidR="0048364F" w:rsidRPr="002436FD" w:rsidRDefault="00DA0C60" w:rsidP="002436FD">
      <w:pPr>
        <w:pStyle w:val="Page1"/>
      </w:pPr>
      <w:r>
        <w:t>An Act</w:t>
      </w:r>
      <w:r w:rsidR="002436FD" w:rsidRPr="002436FD">
        <w:t xml:space="preserve"> to amend the law relating to petroleum resource rent tax, and for related purposes</w:t>
      </w:r>
    </w:p>
    <w:p w:rsidR="00300329" w:rsidRDefault="00300329" w:rsidP="000C5962">
      <w:pPr>
        <w:pStyle w:val="AssentDt"/>
        <w:spacing w:before="240"/>
        <w:rPr>
          <w:sz w:val="24"/>
        </w:rPr>
      </w:pPr>
      <w:r>
        <w:rPr>
          <w:sz w:val="24"/>
        </w:rPr>
        <w:t>[</w:t>
      </w:r>
      <w:r>
        <w:rPr>
          <w:i/>
          <w:sz w:val="24"/>
        </w:rPr>
        <w:t>Assented to 5 April 2019</w:t>
      </w:r>
      <w:r>
        <w:rPr>
          <w:sz w:val="24"/>
        </w:rPr>
        <w:t>]</w:t>
      </w:r>
    </w:p>
    <w:p w:rsidR="0048364F" w:rsidRPr="002436FD" w:rsidRDefault="0048364F" w:rsidP="002436FD">
      <w:pPr>
        <w:spacing w:before="240" w:line="240" w:lineRule="auto"/>
        <w:rPr>
          <w:sz w:val="32"/>
        </w:rPr>
      </w:pPr>
      <w:r w:rsidRPr="002436FD">
        <w:rPr>
          <w:sz w:val="32"/>
        </w:rPr>
        <w:t>The Parliament of Australia enacts:</w:t>
      </w:r>
    </w:p>
    <w:p w:rsidR="0048364F" w:rsidRPr="002436FD" w:rsidRDefault="0048364F" w:rsidP="002436FD">
      <w:pPr>
        <w:pStyle w:val="ActHead5"/>
      </w:pPr>
      <w:bookmarkStart w:id="1" w:name="_Toc5698320"/>
      <w:r w:rsidRPr="002436FD">
        <w:rPr>
          <w:rStyle w:val="CharSectno"/>
        </w:rPr>
        <w:t>1</w:t>
      </w:r>
      <w:r w:rsidRPr="002436FD">
        <w:t xml:space="preserve">  Short title</w:t>
      </w:r>
      <w:bookmarkEnd w:id="1"/>
    </w:p>
    <w:p w:rsidR="0048364F" w:rsidRPr="002436FD" w:rsidRDefault="0048364F" w:rsidP="002436FD">
      <w:pPr>
        <w:pStyle w:val="subsection"/>
      </w:pPr>
      <w:r w:rsidRPr="002436FD">
        <w:tab/>
      </w:r>
      <w:r w:rsidRPr="002436FD">
        <w:tab/>
        <w:t xml:space="preserve">This Act </w:t>
      </w:r>
      <w:r w:rsidR="00275197" w:rsidRPr="002436FD">
        <w:t xml:space="preserve">is </w:t>
      </w:r>
      <w:r w:rsidRPr="002436FD">
        <w:t xml:space="preserve">the </w:t>
      </w:r>
      <w:r w:rsidR="00EE3ACD" w:rsidRPr="002436FD">
        <w:rPr>
          <w:i/>
        </w:rPr>
        <w:t>Treasury Laws Amendment (</w:t>
      </w:r>
      <w:r w:rsidR="002D2C32" w:rsidRPr="002436FD">
        <w:rPr>
          <w:i/>
        </w:rPr>
        <w:t xml:space="preserve">2019 </w:t>
      </w:r>
      <w:r w:rsidR="00EE3ACD" w:rsidRPr="002436FD">
        <w:rPr>
          <w:i/>
        </w:rPr>
        <w:t>Petroleum Resource Rent Tax Reforms No.</w:t>
      </w:r>
      <w:r w:rsidR="002436FD" w:rsidRPr="002436FD">
        <w:rPr>
          <w:i/>
        </w:rPr>
        <w:t> </w:t>
      </w:r>
      <w:r w:rsidR="00EE3ACD" w:rsidRPr="002436FD">
        <w:rPr>
          <w:i/>
        </w:rPr>
        <w:t>1)</w:t>
      </w:r>
      <w:r w:rsidR="00E947C6" w:rsidRPr="002436FD">
        <w:rPr>
          <w:i/>
        </w:rPr>
        <w:t xml:space="preserve"> Act 201</w:t>
      </w:r>
      <w:r w:rsidR="00EE3ACD" w:rsidRPr="002436FD">
        <w:rPr>
          <w:i/>
        </w:rPr>
        <w:t>9</w:t>
      </w:r>
      <w:r w:rsidRPr="002436FD">
        <w:t>.</w:t>
      </w:r>
    </w:p>
    <w:p w:rsidR="0048364F" w:rsidRPr="002436FD" w:rsidRDefault="0048364F" w:rsidP="002436FD">
      <w:pPr>
        <w:pStyle w:val="ActHead5"/>
      </w:pPr>
      <w:bookmarkStart w:id="2" w:name="_Toc5698321"/>
      <w:r w:rsidRPr="002436FD">
        <w:rPr>
          <w:rStyle w:val="CharSectno"/>
        </w:rPr>
        <w:lastRenderedPageBreak/>
        <w:t>2</w:t>
      </w:r>
      <w:r w:rsidRPr="002436FD">
        <w:t xml:space="preserve">  Commencement</w:t>
      </w:r>
      <w:bookmarkEnd w:id="2"/>
    </w:p>
    <w:p w:rsidR="00D95C97" w:rsidRPr="002436FD" w:rsidRDefault="00D95C97" w:rsidP="002436FD">
      <w:pPr>
        <w:pStyle w:val="subsection"/>
      </w:pPr>
      <w:r w:rsidRPr="002436FD">
        <w:tab/>
        <w:t>(1)</w:t>
      </w:r>
      <w:r w:rsidRPr="002436FD">
        <w:tab/>
        <w:t>Each provision of this Act specified in column 1 of the table commences, or is taken to have commenced, in accordance with column 2 of the table. Any other statement in column 2 has effect according to its terms.</w:t>
      </w:r>
    </w:p>
    <w:p w:rsidR="00D95C97" w:rsidRPr="002436FD" w:rsidRDefault="00D95C97" w:rsidP="002436F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95C97" w:rsidRPr="002436FD" w:rsidTr="003927AF">
        <w:trPr>
          <w:tblHeader/>
        </w:trPr>
        <w:tc>
          <w:tcPr>
            <w:tcW w:w="7111" w:type="dxa"/>
            <w:gridSpan w:val="3"/>
            <w:tcBorders>
              <w:top w:val="single" w:sz="12" w:space="0" w:color="auto"/>
              <w:bottom w:val="single" w:sz="2" w:space="0" w:color="auto"/>
            </w:tcBorders>
            <w:shd w:val="clear" w:color="auto" w:fill="auto"/>
            <w:hideMark/>
          </w:tcPr>
          <w:p w:rsidR="00D95C97" w:rsidRPr="002436FD" w:rsidRDefault="00D95C97" w:rsidP="002436FD">
            <w:pPr>
              <w:pStyle w:val="TableHeading"/>
            </w:pPr>
            <w:r w:rsidRPr="002436FD">
              <w:t>Commencement information</w:t>
            </w:r>
          </w:p>
        </w:tc>
      </w:tr>
      <w:tr w:rsidR="00D95C97" w:rsidRPr="002436FD" w:rsidTr="003927AF">
        <w:trPr>
          <w:tblHeader/>
        </w:trPr>
        <w:tc>
          <w:tcPr>
            <w:tcW w:w="1701" w:type="dxa"/>
            <w:tcBorders>
              <w:top w:val="single" w:sz="2" w:space="0" w:color="auto"/>
              <w:bottom w:val="single" w:sz="2" w:space="0" w:color="auto"/>
            </w:tcBorders>
            <w:shd w:val="clear" w:color="auto" w:fill="auto"/>
            <w:hideMark/>
          </w:tcPr>
          <w:p w:rsidR="00D95C97" w:rsidRPr="002436FD" w:rsidRDefault="00D95C97" w:rsidP="002436FD">
            <w:pPr>
              <w:pStyle w:val="TableHeading"/>
            </w:pPr>
            <w:r w:rsidRPr="002436FD">
              <w:t>Column 1</w:t>
            </w:r>
          </w:p>
        </w:tc>
        <w:tc>
          <w:tcPr>
            <w:tcW w:w="3828" w:type="dxa"/>
            <w:tcBorders>
              <w:top w:val="single" w:sz="2" w:space="0" w:color="auto"/>
              <w:bottom w:val="single" w:sz="2" w:space="0" w:color="auto"/>
            </w:tcBorders>
            <w:shd w:val="clear" w:color="auto" w:fill="auto"/>
            <w:hideMark/>
          </w:tcPr>
          <w:p w:rsidR="00D95C97" w:rsidRPr="002436FD" w:rsidRDefault="00D95C97" w:rsidP="002436FD">
            <w:pPr>
              <w:pStyle w:val="TableHeading"/>
            </w:pPr>
            <w:r w:rsidRPr="002436FD">
              <w:t>Column 2</w:t>
            </w:r>
          </w:p>
        </w:tc>
        <w:tc>
          <w:tcPr>
            <w:tcW w:w="1582" w:type="dxa"/>
            <w:tcBorders>
              <w:top w:val="single" w:sz="2" w:space="0" w:color="auto"/>
              <w:bottom w:val="single" w:sz="2" w:space="0" w:color="auto"/>
            </w:tcBorders>
            <w:shd w:val="clear" w:color="auto" w:fill="auto"/>
            <w:hideMark/>
          </w:tcPr>
          <w:p w:rsidR="00D95C97" w:rsidRPr="002436FD" w:rsidRDefault="00D95C97" w:rsidP="002436FD">
            <w:pPr>
              <w:pStyle w:val="TableHeading"/>
            </w:pPr>
            <w:r w:rsidRPr="002436FD">
              <w:t>Column 3</w:t>
            </w:r>
          </w:p>
        </w:tc>
      </w:tr>
      <w:tr w:rsidR="00D95C97" w:rsidRPr="002436FD" w:rsidTr="003927AF">
        <w:trPr>
          <w:tblHeader/>
        </w:trPr>
        <w:tc>
          <w:tcPr>
            <w:tcW w:w="1701" w:type="dxa"/>
            <w:tcBorders>
              <w:top w:val="single" w:sz="2" w:space="0" w:color="auto"/>
              <w:bottom w:val="single" w:sz="12" w:space="0" w:color="auto"/>
            </w:tcBorders>
            <w:shd w:val="clear" w:color="auto" w:fill="auto"/>
            <w:hideMark/>
          </w:tcPr>
          <w:p w:rsidR="00D95C97" w:rsidRPr="002436FD" w:rsidRDefault="00D95C97" w:rsidP="002436FD">
            <w:pPr>
              <w:pStyle w:val="TableHeading"/>
            </w:pPr>
            <w:r w:rsidRPr="002436FD">
              <w:t>Provisions</w:t>
            </w:r>
          </w:p>
        </w:tc>
        <w:tc>
          <w:tcPr>
            <w:tcW w:w="3828" w:type="dxa"/>
            <w:tcBorders>
              <w:top w:val="single" w:sz="2" w:space="0" w:color="auto"/>
              <w:bottom w:val="single" w:sz="12" w:space="0" w:color="auto"/>
            </w:tcBorders>
            <w:shd w:val="clear" w:color="auto" w:fill="auto"/>
            <w:hideMark/>
          </w:tcPr>
          <w:p w:rsidR="00D95C97" w:rsidRPr="002436FD" w:rsidRDefault="00D95C97" w:rsidP="002436FD">
            <w:pPr>
              <w:pStyle w:val="TableHeading"/>
            </w:pPr>
            <w:r w:rsidRPr="002436FD">
              <w:t>Commencement</w:t>
            </w:r>
          </w:p>
        </w:tc>
        <w:tc>
          <w:tcPr>
            <w:tcW w:w="1582" w:type="dxa"/>
            <w:tcBorders>
              <w:top w:val="single" w:sz="2" w:space="0" w:color="auto"/>
              <w:bottom w:val="single" w:sz="12" w:space="0" w:color="auto"/>
            </w:tcBorders>
            <w:shd w:val="clear" w:color="auto" w:fill="auto"/>
            <w:hideMark/>
          </w:tcPr>
          <w:p w:rsidR="00D95C97" w:rsidRPr="002436FD" w:rsidRDefault="00D95C97" w:rsidP="002436FD">
            <w:pPr>
              <w:pStyle w:val="TableHeading"/>
            </w:pPr>
            <w:r w:rsidRPr="002436FD">
              <w:t>Date/Details</w:t>
            </w:r>
          </w:p>
        </w:tc>
      </w:tr>
      <w:tr w:rsidR="00D95C97" w:rsidRPr="002436FD" w:rsidTr="003927AF">
        <w:tc>
          <w:tcPr>
            <w:tcW w:w="1701" w:type="dxa"/>
            <w:tcBorders>
              <w:top w:val="single" w:sz="12" w:space="0" w:color="auto"/>
              <w:bottom w:val="single" w:sz="12" w:space="0" w:color="auto"/>
            </w:tcBorders>
            <w:shd w:val="clear" w:color="auto" w:fill="auto"/>
            <w:hideMark/>
          </w:tcPr>
          <w:p w:rsidR="00D95C97" w:rsidRPr="002436FD" w:rsidRDefault="00D95C97" w:rsidP="002436FD">
            <w:pPr>
              <w:pStyle w:val="Tabletext"/>
            </w:pPr>
            <w:r w:rsidRPr="002436FD">
              <w:t>1.  The whole of this Act</w:t>
            </w:r>
          </w:p>
        </w:tc>
        <w:tc>
          <w:tcPr>
            <w:tcW w:w="3828" w:type="dxa"/>
            <w:tcBorders>
              <w:top w:val="single" w:sz="12" w:space="0" w:color="auto"/>
              <w:bottom w:val="single" w:sz="12" w:space="0" w:color="auto"/>
            </w:tcBorders>
            <w:shd w:val="clear" w:color="auto" w:fill="auto"/>
            <w:hideMark/>
          </w:tcPr>
          <w:p w:rsidR="00D95C97" w:rsidRPr="002436FD" w:rsidRDefault="00D95C97" w:rsidP="002436FD">
            <w:pPr>
              <w:pStyle w:val="Tabletext"/>
            </w:pPr>
            <w:r w:rsidRPr="002436FD">
              <w:t>1</w:t>
            </w:r>
            <w:r w:rsidR="002436FD" w:rsidRPr="002436FD">
              <w:t> </w:t>
            </w:r>
            <w:r w:rsidRPr="002436FD">
              <w:t>July 2019.</w:t>
            </w:r>
          </w:p>
        </w:tc>
        <w:tc>
          <w:tcPr>
            <w:tcW w:w="1582" w:type="dxa"/>
            <w:tcBorders>
              <w:top w:val="single" w:sz="12" w:space="0" w:color="auto"/>
              <w:bottom w:val="single" w:sz="12" w:space="0" w:color="auto"/>
            </w:tcBorders>
            <w:shd w:val="clear" w:color="auto" w:fill="auto"/>
          </w:tcPr>
          <w:p w:rsidR="00D95C97" w:rsidRPr="002436FD" w:rsidRDefault="00D95C97" w:rsidP="002436FD">
            <w:pPr>
              <w:pStyle w:val="Tabletext"/>
            </w:pPr>
            <w:r w:rsidRPr="002436FD">
              <w:t>1</w:t>
            </w:r>
            <w:r w:rsidR="002436FD" w:rsidRPr="002436FD">
              <w:t> </w:t>
            </w:r>
            <w:r w:rsidRPr="002436FD">
              <w:t>July 2019</w:t>
            </w:r>
          </w:p>
        </w:tc>
      </w:tr>
    </w:tbl>
    <w:p w:rsidR="00D95C97" w:rsidRPr="002436FD" w:rsidRDefault="00D95C97" w:rsidP="002436FD">
      <w:pPr>
        <w:pStyle w:val="notetext"/>
      </w:pPr>
      <w:r w:rsidRPr="002436FD">
        <w:rPr>
          <w:snapToGrid w:val="0"/>
          <w:lang w:eastAsia="en-US"/>
        </w:rPr>
        <w:t>Note:</w:t>
      </w:r>
      <w:r w:rsidRPr="002436FD">
        <w:rPr>
          <w:snapToGrid w:val="0"/>
          <w:lang w:eastAsia="en-US"/>
        </w:rPr>
        <w:tab/>
        <w:t>This table relates only to the provisions of this Act as originally enacted. It will not be amended to deal with any later amendments of this Act.</w:t>
      </w:r>
    </w:p>
    <w:p w:rsidR="00D95C97" w:rsidRPr="002436FD" w:rsidRDefault="00D95C97" w:rsidP="002436FD">
      <w:pPr>
        <w:pStyle w:val="subsection"/>
      </w:pPr>
      <w:r w:rsidRPr="002436FD">
        <w:tab/>
        <w:t>(2)</w:t>
      </w:r>
      <w:r w:rsidRPr="002436FD">
        <w:tab/>
        <w:t>Any information in column 3 of the table is not part of this Act. Information may be inserted in this column, or information in it may be edited, in any published version of this Act.</w:t>
      </w:r>
    </w:p>
    <w:p w:rsidR="0048364F" w:rsidRPr="002436FD" w:rsidRDefault="0048364F" w:rsidP="002436FD">
      <w:pPr>
        <w:pStyle w:val="ActHead5"/>
      </w:pPr>
      <w:bookmarkStart w:id="3" w:name="_Toc5698322"/>
      <w:r w:rsidRPr="002436FD">
        <w:rPr>
          <w:rStyle w:val="CharSectno"/>
        </w:rPr>
        <w:t>3</w:t>
      </w:r>
      <w:r w:rsidRPr="002436FD">
        <w:t xml:space="preserve">  Schedules</w:t>
      </w:r>
      <w:bookmarkEnd w:id="3"/>
    </w:p>
    <w:p w:rsidR="0048364F" w:rsidRPr="002436FD" w:rsidRDefault="0048364F" w:rsidP="002436FD">
      <w:pPr>
        <w:pStyle w:val="subsection"/>
      </w:pPr>
      <w:r w:rsidRPr="002436FD">
        <w:tab/>
      </w:r>
      <w:r w:rsidRPr="002436FD">
        <w:tab/>
      </w:r>
      <w:r w:rsidR="00202618" w:rsidRPr="002436FD">
        <w:t>Legislation that is specified in a Schedule to this Act is amended or repealed as set out in the applicable items in the Schedule concerned, and any other item in a Schedule to this Act has effect according to its terms.</w:t>
      </w:r>
    </w:p>
    <w:p w:rsidR="0016447E" w:rsidRPr="002436FD" w:rsidRDefault="0016447E" w:rsidP="002436FD">
      <w:pPr>
        <w:pStyle w:val="ActHead6"/>
        <w:pageBreakBefore/>
      </w:pPr>
      <w:bookmarkStart w:id="4" w:name="_Toc5698323"/>
      <w:bookmarkStart w:id="5" w:name="opcAmSched"/>
      <w:r w:rsidRPr="002436FD">
        <w:rPr>
          <w:rStyle w:val="CharAmSchNo"/>
        </w:rPr>
        <w:lastRenderedPageBreak/>
        <w:t>Schedule</w:t>
      </w:r>
      <w:r w:rsidR="002436FD" w:rsidRPr="002436FD">
        <w:rPr>
          <w:rStyle w:val="CharAmSchNo"/>
        </w:rPr>
        <w:t> </w:t>
      </w:r>
      <w:r w:rsidRPr="002436FD">
        <w:rPr>
          <w:rStyle w:val="CharAmSchNo"/>
        </w:rPr>
        <w:t>1</w:t>
      </w:r>
      <w:r w:rsidRPr="002436FD">
        <w:t>—</w:t>
      </w:r>
      <w:r w:rsidR="00FC5AA0" w:rsidRPr="002436FD">
        <w:rPr>
          <w:rStyle w:val="CharAmSchText"/>
        </w:rPr>
        <w:t>R</w:t>
      </w:r>
      <w:r w:rsidRPr="002436FD">
        <w:rPr>
          <w:rStyle w:val="CharAmSchText"/>
        </w:rPr>
        <w:t>eform</w:t>
      </w:r>
      <w:r w:rsidR="00FC5AA0" w:rsidRPr="002436FD">
        <w:rPr>
          <w:rStyle w:val="CharAmSchText"/>
        </w:rPr>
        <w:t xml:space="preserve"> of the petroleum resource rent tax</w:t>
      </w:r>
      <w:bookmarkEnd w:id="4"/>
    </w:p>
    <w:p w:rsidR="0016447E" w:rsidRPr="002436FD" w:rsidRDefault="0016447E" w:rsidP="002436FD">
      <w:pPr>
        <w:pStyle w:val="ActHead7"/>
      </w:pPr>
      <w:bookmarkStart w:id="6" w:name="_Toc5698324"/>
      <w:bookmarkEnd w:id="5"/>
      <w:r w:rsidRPr="002436FD">
        <w:rPr>
          <w:rStyle w:val="CharAmPartNo"/>
        </w:rPr>
        <w:t>Part</w:t>
      </w:r>
      <w:r w:rsidR="002436FD" w:rsidRPr="002436FD">
        <w:rPr>
          <w:rStyle w:val="CharAmPartNo"/>
        </w:rPr>
        <w:t> </w:t>
      </w:r>
      <w:r w:rsidRPr="002436FD">
        <w:rPr>
          <w:rStyle w:val="CharAmPartNo"/>
        </w:rPr>
        <w:t>1</w:t>
      </w:r>
      <w:r w:rsidRPr="002436FD">
        <w:t>—</w:t>
      </w:r>
      <w:r w:rsidRPr="002436FD">
        <w:rPr>
          <w:rStyle w:val="CharAmPartText"/>
        </w:rPr>
        <w:t>Uplifts for general expenditure for new projects</w:t>
      </w:r>
      <w:bookmarkEnd w:id="6"/>
    </w:p>
    <w:p w:rsidR="00783776" w:rsidRPr="002436FD" w:rsidRDefault="00783776" w:rsidP="002436FD">
      <w:pPr>
        <w:pStyle w:val="ActHead9"/>
        <w:rPr>
          <w:i w:val="0"/>
        </w:rPr>
      </w:pPr>
      <w:bookmarkStart w:id="7" w:name="_Toc5698325"/>
      <w:r w:rsidRPr="002436FD">
        <w:t>Offshore Petroleum and Greenhouse Gas Storage Act 2006</w:t>
      </w:r>
      <w:bookmarkEnd w:id="7"/>
    </w:p>
    <w:p w:rsidR="00783776" w:rsidRPr="002436FD" w:rsidRDefault="00EF06A8" w:rsidP="002436FD">
      <w:pPr>
        <w:pStyle w:val="ItemHead"/>
      </w:pPr>
      <w:r w:rsidRPr="002436FD">
        <w:t>1</w:t>
      </w:r>
      <w:r w:rsidR="00783776" w:rsidRPr="002436FD">
        <w:t xml:space="preserve">  Subsection</w:t>
      </w:r>
      <w:r w:rsidR="002436FD" w:rsidRPr="002436FD">
        <w:t> </w:t>
      </w:r>
      <w:r w:rsidR="00783776" w:rsidRPr="002436FD">
        <w:t>258(7) (note)</w:t>
      </w:r>
    </w:p>
    <w:p w:rsidR="00783776" w:rsidRPr="002436FD" w:rsidRDefault="00783776" w:rsidP="002436FD">
      <w:pPr>
        <w:pStyle w:val="Item"/>
      </w:pPr>
      <w:r w:rsidRPr="002436FD">
        <w:t>After “paragraph</w:t>
      </w:r>
      <w:r w:rsidR="002436FD" w:rsidRPr="002436FD">
        <w:t> </w:t>
      </w:r>
      <w:r w:rsidRPr="002436FD">
        <w:t>34A(1)(a)”, insert “and subsection</w:t>
      </w:r>
      <w:r w:rsidR="002436FD" w:rsidRPr="002436FD">
        <w:t> </w:t>
      </w:r>
      <w:r w:rsidRPr="002436FD">
        <w:t>34A(5)”.</w:t>
      </w:r>
    </w:p>
    <w:p w:rsidR="0016447E" w:rsidRPr="002436FD" w:rsidRDefault="0016447E" w:rsidP="002436FD">
      <w:pPr>
        <w:pStyle w:val="ActHead9"/>
        <w:rPr>
          <w:i w:val="0"/>
        </w:rPr>
      </w:pPr>
      <w:bookmarkStart w:id="8" w:name="_Toc5698326"/>
      <w:r w:rsidRPr="002436FD">
        <w:t>Petroleum Resource Rent Tax Assessment Act 1987</w:t>
      </w:r>
      <w:bookmarkEnd w:id="8"/>
    </w:p>
    <w:p w:rsidR="009369F5" w:rsidRPr="002436FD" w:rsidRDefault="00EF06A8" w:rsidP="002436FD">
      <w:pPr>
        <w:pStyle w:val="ItemHead"/>
      </w:pPr>
      <w:r w:rsidRPr="002436FD">
        <w:t>2</w:t>
      </w:r>
      <w:r w:rsidR="009369F5" w:rsidRPr="002436FD">
        <w:t xml:space="preserve">  Subsection</w:t>
      </w:r>
      <w:r w:rsidR="002436FD" w:rsidRPr="002436FD">
        <w:t> </w:t>
      </w:r>
      <w:r w:rsidR="009369F5" w:rsidRPr="002436FD">
        <w:t>34A(4) (formula)</w:t>
      </w:r>
    </w:p>
    <w:p w:rsidR="009369F5" w:rsidRPr="002436FD" w:rsidRDefault="000165E3" w:rsidP="002436FD">
      <w:pPr>
        <w:pStyle w:val="Item"/>
      </w:pPr>
      <w:r w:rsidRPr="002436FD">
        <w:t>Repeal the formula, substitute:</w:t>
      </w:r>
    </w:p>
    <w:p w:rsidR="00170801" w:rsidRPr="002436FD" w:rsidRDefault="00DD4790" w:rsidP="002436FD">
      <w:pPr>
        <w:pStyle w:val="subsection2"/>
      </w:pPr>
      <w:r w:rsidRPr="002436FD">
        <w:rPr>
          <w:position w:val="-10"/>
        </w:rPr>
        <w:object w:dxaOrig="2540" w:dyaOrig="420">
          <v:shape id="_x0000_i1027" type="#_x0000_t75" style="width:125.25pt;height:21pt" o:ole="">
            <v:imagedata r:id="rId22" o:title=""/>
          </v:shape>
          <o:OLEObject Type="Embed" ProgID="Equation.DSMT4" ShapeID="_x0000_i1027" DrawAspect="Content" ObjectID="_1616311966" r:id="rId23"/>
        </w:object>
      </w:r>
    </w:p>
    <w:p w:rsidR="0016447E" w:rsidRPr="002436FD" w:rsidRDefault="00EF06A8" w:rsidP="002436FD">
      <w:pPr>
        <w:pStyle w:val="ItemHead"/>
      </w:pPr>
      <w:r w:rsidRPr="002436FD">
        <w:t>3</w:t>
      </w:r>
      <w:r w:rsidR="0016447E" w:rsidRPr="002436FD">
        <w:t xml:space="preserve">  Subsection</w:t>
      </w:r>
      <w:r w:rsidR="002436FD" w:rsidRPr="002436FD">
        <w:t> </w:t>
      </w:r>
      <w:r w:rsidR="0016447E" w:rsidRPr="002436FD">
        <w:t xml:space="preserve">34A(4) (definition of </w:t>
      </w:r>
      <w:r w:rsidR="0016447E" w:rsidRPr="002436FD">
        <w:rPr>
          <w:i/>
        </w:rPr>
        <w:t>Augmented bond rate</w:t>
      </w:r>
      <w:r w:rsidR="0016447E" w:rsidRPr="002436FD">
        <w:t>)</w:t>
      </w:r>
    </w:p>
    <w:p w:rsidR="0016447E" w:rsidRPr="002436FD" w:rsidRDefault="0016447E" w:rsidP="002436FD">
      <w:pPr>
        <w:pStyle w:val="Item"/>
      </w:pPr>
      <w:r w:rsidRPr="002436FD">
        <w:t>Repeal the definition</w:t>
      </w:r>
      <w:r w:rsidR="00E55B1F" w:rsidRPr="002436FD">
        <w:t>.</w:t>
      </w:r>
    </w:p>
    <w:p w:rsidR="00E55B1F" w:rsidRPr="002436FD" w:rsidRDefault="00EF06A8" w:rsidP="002436FD">
      <w:pPr>
        <w:pStyle w:val="ItemHead"/>
      </w:pPr>
      <w:r w:rsidRPr="002436FD">
        <w:t>4</w:t>
      </w:r>
      <w:r w:rsidR="00E55B1F" w:rsidRPr="002436FD">
        <w:t xml:space="preserve">  Subsection</w:t>
      </w:r>
      <w:r w:rsidR="002436FD" w:rsidRPr="002436FD">
        <w:t> </w:t>
      </w:r>
      <w:r w:rsidR="00E55B1F" w:rsidRPr="002436FD">
        <w:t>34A(4)</w:t>
      </w:r>
    </w:p>
    <w:p w:rsidR="00E55B1F" w:rsidRPr="002436FD" w:rsidRDefault="00E55B1F" w:rsidP="002436FD">
      <w:pPr>
        <w:pStyle w:val="Item"/>
      </w:pPr>
      <w:r w:rsidRPr="002436FD">
        <w:t>Insert:</w:t>
      </w:r>
    </w:p>
    <w:p w:rsidR="0016447E" w:rsidRPr="002436FD" w:rsidRDefault="00E55B1F" w:rsidP="002436FD">
      <w:pPr>
        <w:pStyle w:val="Definition"/>
      </w:pPr>
      <w:r w:rsidRPr="002436FD">
        <w:rPr>
          <w:b/>
          <w:i/>
        </w:rPr>
        <w:t>uplift</w:t>
      </w:r>
      <w:r w:rsidR="0016447E" w:rsidRPr="002436FD">
        <w:rPr>
          <w:b/>
          <w:i/>
        </w:rPr>
        <w:t xml:space="preserve"> rate</w:t>
      </w:r>
      <w:r w:rsidR="0016447E" w:rsidRPr="002436FD">
        <w:t>:</w:t>
      </w:r>
    </w:p>
    <w:p w:rsidR="0016447E" w:rsidRPr="002436FD" w:rsidRDefault="0016447E" w:rsidP="002436FD">
      <w:pPr>
        <w:pStyle w:val="paragraph"/>
      </w:pPr>
      <w:r w:rsidRPr="002436FD">
        <w:tab/>
        <w:t>(a)</w:t>
      </w:r>
      <w:r w:rsidRPr="002436FD">
        <w:tab/>
        <w:t>if:</w:t>
      </w:r>
    </w:p>
    <w:p w:rsidR="0016447E" w:rsidRPr="002436FD" w:rsidRDefault="0016447E" w:rsidP="002436FD">
      <w:pPr>
        <w:pStyle w:val="paragraphsub"/>
      </w:pPr>
      <w:r w:rsidRPr="002436FD">
        <w:tab/>
        <w:t>(</w:t>
      </w:r>
      <w:proofErr w:type="spellStart"/>
      <w:r w:rsidRPr="002436FD">
        <w:t>i</w:t>
      </w:r>
      <w:proofErr w:type="spellEnd"/>
      <w:r w:rsidRPr="002436FD">
        <w:t>)</w:t>
      </w:r>
      <w:r w:rsidRPr="002436FD">
        <w:tab/>
        <w:t>the project is not a combined project; and</w:t>
      </w:r>
    </w:p>
    <w:p w:rsidR="0016447E" w:rsidRPr="002436FD" w:rsidRDefault="0016447E" w:rsidP="002436FD">
      <w:pPr>
        <w:pStyle w:val="paragraphsub"/>
      </w:pPr>
      <w:r w:rsidRPr="002436FD">
        <w:tab/>
        <w:t>(ii)</w:t>
      </w:r>
      <w:r w:rsidRPr="002436FD">
        <w:tab/>
        <w:t>the production licence in relation to the project is a post</w:t>
      </w:r>
      <w:r w:rsidR="004802C7">
        <w:noBreakHyphen/>
      </w:r>
      <w:r w:rsidRPr="002436FD">
        <w:t>June 2019 licence; and</w:t>
      </w:r>
    </w:p>
    <w:p w:rsidR="0016447E" w:rsidRPr="002436FD" w:rsidRDefault="0016447E" w:rsidP="002436FD">
      <w:pPr>
        <w:pStyle w:val="paragraphsub"/>
      </w:pPr>
      <w:r w:rsidRPr="002436FD">
        <w:tab/>
        <w:t>(iii)</w:t>
      </w:r>
      <w:r w:rsidRPr="002436FD">
        <w:tab/>
        <w:t>any person derived assessable petroleum receipts in relation to the project at any time after the licence was granted; and</w:t>
      </w:r>
    </w:p>
    <w:p w:rsidR="0016447E" w:rsidRPr="002436FD" w:rsidRDefault="0016447E" w:rsidP="002436FD">
      <w:pPr>
        <w:pStyle w:val="paragraphsub"/>
      </w:pPr>
      <w:r w:rsidRPr="002436FD">
        <w:tab/>
        <w:t>(iv)</w:t>
      </w:r>
      <w:r w:rsidRPr="002436FD">
        <w:tab/>
        <w:t>the assessable year is 10 or more years after the first financial year in which such assessable petroleum receipts were derived;</w:t>
      </w:r>
    </w:p>
    <w:p w:rsidR="0016447E" w:rsidRPr="002436FD" w:rsidRDefault="0016447E" w:rsidP="002436FD">
      <w:pPr>
        <w:pStyle w:val="paragraph"/>
      </w:pPr>
      <w:r w:rsidRPr="002436FD">
        <w:tab/>
      </w:r>
      <w:r w:rsidRPr="002436FD">
        <w:tab/>
        <w:t xml:space="preserve">the </w:t>
      </w:r>
      <w:r w:rsidR="00E55B1F" w:rsidRPr="002436FD">
        <w:rPr>
          <w:b/>
          <w:i/>
        </w:rPr>
        <w:t>uplift</w:t>
      </w:r>
      <w:r w:rsidRPr="002436FD">
        <w:rPr>
          <w:b/>
          <w:i/>
        </w:rPr>
        <w:t xml:space="preserve"> rate</w:t>
      </w:r>
      <w:r w:rsidRPr="002436FD">
        <w:t xml:space="preserve"> is the long</w:t>
      </w:r>
      <w:r w:rsidR="004802C7">
        <w:noBreakHyphen/>
      </w:r>
      <w:r w:rsidRPr="002436FD">
        <w:t xml:space="preserve">term bond rate in relation to the assessable year plus 1; </w:t>
      </w:r>
      <w:r w:rsidR="00F52895" w:rsidRPr="002436FD">
        <w:t>or</w:t>
      </w:r>
    </w:p>
    <w:p w:rsidR="0016447E" w:rsidRPr="002436FD" w:rsidRDefault="0016447E" w:rsidP="002436FD">
      <w:pPr>
        <w:pStyle w:val="paragraph"/>
      </w:pPr>
      <w:r w:rsidRPr="002436FD">
        <w:lastRenderedPageBreak/>
        <w:tab/>
        <w:t>(b)</w:t>
      </w:r>
      <w:r w:rsidRPr="002436FD">
        <w:tab/>
        <w:t>if:</w:t>
      </w:r>
    </w:p>
    <w:p w:rsidR="0016447E" w:rsidRPr="002436FD" w:rsidRDefault="0016447E" w:rsidP="002436FD">
      <w:pPr>
        <w:pStyle w:val="paragraphsub"/>
      </w:pPr>
      <w:r w:rsidRPr="002436FD">
        <w:tab/>
        <w:t>(</w:t>
      </w:r>
      <w:proofErr w:type="spellStart"/>
      <w:r w:rsidRPr="002436FD">
        <w:t>i</w:t>
      </w:r>
      <w:proofErr w:type="spellEnd"/>
      <w:r w:rsidRPr="002436FD">
        <w:t>)</w:t>
      </w:r>
      <w:r w:rsidRPr="002436FD">
        <w:tab/>
        <w:t>the project is a combined project; and</w:t>
      </w:r>
    </w:p>
    <w:p w:rsidR="0016447E" w:rsidRPr="002436FD" w:rsidRDefault="0016447E" w:rsidP="002436FD">
      <w:pPr>
        <w:pStyle w:val="paragraphsub"/>
      </w:pPr>
      <w:r w:rsidRPr="002436FD">
        <w:tab/>
        <w:t>(ii)</w:t>
      </w:r>
      <w:r w:rsidRPr="002436FD">
        <w:tab/>
        <w:t>one or more post</w:t>
      </w:r>
      <w:r w:rsidR="004802C7">
        <w:noBreakHyphen/>
      </w:r>
      <w:r w:rsidRPr="002436FD">
        <w:t>June 2019 licences are, or have been, in force in relation to the project, or a pre</w:t>
      </w:r>
      <w:r w:rsidR="004802C7">
        <w:noBreakHyphen/>
      </w:r>
      <w:r w:rsidRPr="002436FD">
        <w:t>combination project in relation to the project; and</w:t>
      </w:r>
    </w:p>
    <w:p w:rsidR="0016447E" w:rsidRPr="002436FD" w:rsidRDefault="0016447E" w:rsidP="002436FD">
      <w:pPr>
        <w:pStyle w:val="paragraphsub"/>
      </w:pPr>
      <w:r w:rsidRPr="002436FD">
        <w:tab/>
        <w:t>(iii)</w:t>
      </w:r>
      <w:r w:rsidRPr="002436FD">
        <w:tab/>
        <w:t>any person derived assessable petroleum receipts in relation to the project, or a pre</w:t>
      </w:r>
      <w:r w:rsidR="004802C7">
        <w:noBreakHyphen/>
      </w:r>
      <w:r w:rsidRPr="002436FD">
        <w:t>combination project in relation to the project, at any time after the first such licence was granted; and</w:t>
      </w:r>
    </w:p>
    <w:p w:rsidR="0016447E" w:rsidRPr="002436FD" w:rsidRDefault="0016447E" w:rsidP="002436FD">
      <w:pPr>
        <w:pStyle w:val="paragraphsub"/>
      </w:pPr>
      <w:r w:rsidRPr="002436FD">
        <w:tab/>
        <w:t>(iv)</w:t>
      </w:r>
      <w:r w:rsidRPr="002436FD">
        <w:tab/>
        <w:t>the assessable year is 10 or more years after the first financial year in which such assessable petroleum receipts were derived;</w:t>
      </w:r>
    </w:p>
    <w:p w:rsidR="0016447E" w:rsidRPr="002436FD" w:rsidRDefault="0016447E" w:rsidP="002436FD">
      <w:pPr>
        <w:pStyle w:val="paragraph"/>
      </w:pPr>
      <w:r w:rsidRPr="002436FD">
        <w:tab/>
      </w:r>
      <w:r w:rsidRPr="002436FD">
        <w:tab/>
        <w:t xml:space="preserve">the </w:t>
      </w:r>
      <w:r w:rsidR="00E55B1F" w:rsidRPr="002436FD">
        <w:rPr>
          <w:b/>
          <w:i/>
        </w:rPr>
        <w:t xml:space="preserve">uplift </w:t>
      </w:r>
      <w:r w:rsidRPr="002436FD">
        <w:rPr>
          <w:b/>
          <w:i/>
        </w:rPr>
        <w:t>rate</w:t>
      </w:r>
      <w:r w:rsidRPr="002436FD">
        <w:t xml:space="preserve"> is the long</w:t>
      </w:r>
      <w:r w:rsidR="004802C7">
        <w:noBreakHyphen/>
      </w:r>
      <w:r w:rsidRPr="002436FD">
        <w:t xml:space="preserve">term bond rate in relation to the assessable year plus 1; </w:t>
      </w:r>
      <w:r w:rsidR="00F52895" w:rsidRPr="002436FD">
        <w:t>or</w:t>
      </w:r>
    </w:p>
    <w:p w:rsidR="0016447E" w:rsidRPr="002436FD" w:rsidRDefault="0016447E" w:rsidP="002436FD">
      <w:pPr>
        <w:pStyle w:val="paragraph"/>
      </w:pPr>
      <w:r w:rsidRPr="002436FD">
        <w:tab/>
        <w:t>(c)</w:t>
      </w:r>
      <w:r w:rsidRPr="002436FD">
        <w:tab/>
        <w:t xml:space="preserve">if </w:t>
      </w:r>
      <w:r w:rsidR="002436FD" w:rsidRPr="002436FD">
        <w:t>paragraphs (</w:t>
      </w:r>
      <w:r w:rsidRPr="002436FD">
        <w:t xml:space="preserve">a) and (b) do not apply—the </w:t>
      </w:r>
      <w:r w:rsidR="00E55B1F" w:rsidRPr="002436FD">
        <w:rPr>
          <w:b/>
          <w:i/>
        </w:rPr>
        <w:t xml:space="preserve">uplift </w:t>
      </w:r>
      <w:r w:rsidRPr="002436FD">
        <w:rPr>
          <w:b/>
          <w:i/>
        </w:rPr>
        <w:t>rate</w:t>
      </w:r>
      <w:r w:rsidRPr="002436FD">
        <w:t xml:space="preserve"> is the long</w:t>
      </w:r>
      <w:r w:rsidR="004802C7">
        <w:noBreakHyphen/>
      </w:r>
      <w:r w:rsidRPr="002436FD">
        <w:t>term bond rate in relation to the assessable year plus 1.05.</w:t>
      </w:r>
    </w:p>
    <w:p w:rsidR="0016447E" w:rsidRPr="002436FD" w:rsidRDefault="00EF06A8" w:rsidP="002436FD">
      <w:pPr>
        <w:pStyle w:val="ItemHead"/>
      </w:pPr>
      <w:r w:rsidRPr="002436FD">
        <w:t>5</w:t>
      </w:r>
      <w:r w:rsidR="0016447E" w:rsidRPr="002436FD">
        <w:t xml:space="preserve">  Subsection</w:t>
      </w:r>
      <w:r w:rsidR="002436FD" w:rsidRPr="002436FD">
        <w:t> </w:t>
      </w:r>
      <w:r w:rsidR="0016447E" w:rsidRPr="002436FD">
        <w:t>34A(5)</w:t>
      </w:r>
    </w:p>
    <w:p w:rsidR="0016447E" w:rsidRPr="002436FD" w:rsidRDefault="0016447E" w:rsidP="002436FD">
      <w:pPr>
        <w:pStyle w:val="Item"/>
      </w:pPr>
      <w:r w:rsidRPr="002436FD">
        <w:t>Insert:</w:t>
      </w:r>
    </w:p>
    <w:p w:rsidR="0016447E" w:rsidRPr="002436FD" w:rsidRDefault="0016447E" w:rsidP="002436FD">
      <w:pPr>
        <w:pStyle w:val="Definition"/>
      </w:pPr>
      <w:r w:rsidRPr="002436FD">
        <w:rPr>
          <w:b/>
          <w:i/>
        </w:rPr>
        <w:t>post</w:t>
      </w:r>
      <w:r w:rsidR="004802C7">
        <w:rPr>
          <w:b/>
          <w:i/>
        </w:rPr>
        <w:noBreakHyphen/>
      </w:r>
      <w:r w:rsidRPr="002436FD">
        <w:rPr>
          <w:b/>
          <w:i/>
        </w:rPr>
        <w:t>June 2019 licence</w:t>
      </w:r>
      <w:r w:rsidRPr="002436FD">
        <w:t xml:space="preserve">: a production licence is a </w:t>
      </w:r>
      <w:r w:rsidRPr="002436FD">
        <w:rPr>
          <w:b/>
          <w:i/>
        </w:rPr>
        <w:t>post</w:t>
      </w:r>
      <w:r w:rsidR="004802C7">
        <w:rPr>
          <w:b/>
          <w:i/>
        </w:rPr>
        <w:noBreakHyphen/>
      </w:r>
      <w:r w:rsidRPr="002436FD">
        <w:rPr>
          <w:b/>
          <w:i/>
        </w:rPr>
        <w:t>June 2019 licence</w:t>
      </w:r>
      <w:r w:rsidRPr="002436FD">
        <w:t xml:space="preserve"> if the earlier of the following is on or after 1</w:t>
      </w:r>
      <w:r w:rsidR="002436FD" w:rsidRPr="002436FD">
        <w:t> </w:t>
      </w:r>
      <w:r w:rsidRPr="002436FD">
        <w:t>July 2019:</w:t>
      </w:r>
    </w:p>
    <w:p w:rsidR="0016447E" w:rsidRPr="002436FD" w:rsidRDefault="0016447E" w:rsidP="002436FD">
      <w:pPr>
        <w:pStyle w:val="paragraph"/>
      </w:pPr>
      <w:r w:rsidRPr="002436FD">
        <w:tab/>
        <w:t>(a)</w:t>
      </w:r>
      <w:r w:rsidRPr="002436FD">
        <w:tab/>
        <w:t>if a notice was given under subsection</w:t>
      </w:r>
      <w:r w:rsidR="002436FD" w:rsidRPr="002436FD">
        <w:t> </w:t>
      </w:r>
      <w:r w:rsidRPr="002436FD">
        <w:t xml:space="preserve">258(7) of the </w:t>
      </w:r>
      <w:r w:rsidRPr="002436FD">
        <w:rPr>
          <w:i/>
        </w:rPr>
        <w:t>Offshore Petroleum and Greenhouse Gas Storage Act 2006</w:t>
      </w:r>
      <w:r w:rsidRPr="002436FD">
        <w:t xml:space="preserve"> in relation to the application for the licence—the date specified in the notice as the last date on which information was provided;</w:t>
      </w:r>
    </w:p>
    <w:p w:rsidR="0016447E" w:rsidRPr="002436FD" w:rsidRDefault="0016447E" w:rsidP="002436FD">
      <w:pPr>
        <w:pStyle w:val="paragraph"/>
      </w:pPr>
      <w:r w:rsidRPr="002436FD">
        <w:tab/>
        <w:t>(b)</w:t>
      </w:r>
      <w:r w:rsidRPr="002436FD">
        <w:tab/>
        <w:t>the day the production licence is granted.</w:t>
      </w:r>
    </w:p>
    <w:p w:rsidR="0016447E" w:rsidRPr="002436FD" w:rsidRDefault="0016447E" w:rsidP="002436FD">
      <w:pPr>
        <w:pStyle w:val="ActHead7"/>
        <w:pageBreakBefore/>
      </w:pPr>
      <w:bookmarkStart w:id="9" w:name="_Toc5698327"/>
      <w:r w:rsidRPr="002436FD">
        <w:rPr>
          <w:rStyle w:val="CharAmPartNo"/>
        </w:rPr>
        <w:lastRenderedPageBreak/>
        <w:t>Part</w:t>
      </w:r>
      <w:r w:rsidR="002436FD" w:rsidRPr="002436FD">
        <w:rPr>
          <w:rStyle w:val="CharAmPartNo"/>
        </w:rPr>
        <w:t> </w:t>
      </w:r>
      <w:r w:rsidRPr="002436FD">
        <w:rPr>
          <w:rStyle w:val="CharAmPartNo"/>
        </w:rPr>
        <w:t>2</w:t>
      </w:r>
      <w:r w:rsidRPr="002436FD">
        <w:t>—</w:t>
      </w:r>
      <w:r w:rsidR="0032361B" w:rsidRPr="002436FD">
        <w:rPr>
          <w:rStyle w:val="CharAmPartText"/>
        </w:rPr>
        <w:t>Standard uplift expenditure</w:t>
      </w:r>
      <w:bookmarkEnd w:id="9"/>
    </w:p>
    <w:p w:rsidR="0016447E" w:rsidRPr="002436FD" w:rsidRDefault="0016447E" w:rsidP="002436FD">
      <w:pPr>
        <w:pStyle w:val="ActHead9"/>
        <w:rPr>
          <w:i w:val="0"/>
        </w:rPr>
      </w:pPr>
      <w:bookmarkStart w:id="10" w:name="_Toc5698328"/>
      <w:r w:rsidRPr="002436FD">
        <w:t>Petroleum Resource Rent Tax Assessment Act 1987</w:t>
      </w:r>
      <w:bookmarkEnd w:id="10"/>
    </w:p>
    <w:p w:rsidR="0032361B" w:rsidRPr="002436FD" w:rsidRDefault="00EF06A8" w:rsidP="002436FD">
      <w:pPr>
        <w:pStyle w:val="ItemHead"/>
      </w:pPr>
      <w:r w:rsidRPr="002436FD">
        <w:t>6</w:t>
      </w:r>
      <w:r w:rsidR="0032361B" w:rsidRPr="002436FD">
        <w:t xml:space="preserve">  Paragraphs 32(c) and (e)</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7</w:t>
      </w:r>
      <w:r w:rsidR="0032361B" w:rsidRPr="002436FD">
        <w:t xml:space="preserve">  Section</w:t>
      </w:r>
      <w:r w:rsidR="002436FD" w:rsidRPr="002436FD">
        <w:t> </w:t>
      </w:r>
      <w:r w:rsidR="0032361B" w:rsidRPr="002436FD">
        <w:t>34A (heading)</w:t>
      </w:r>
    </w:p>
    <w:p w:rsidR="0032361B" w:rsidRPr="002436FD" w:rsidRDefault="0032361B" w:rsidP="002436FD">
      <w:pPr>
        <w:pStyle w:val="Item"/>
      </w:pPr>
      <w:r w:rsidRPr="002436FD">
        <w:t>Omit “</w:t>
      </w:r>
      <w:r w:rsidR="00DD4790" w:rsidRPr="002436FD">
        <w:rPr>
          <w:b/>
        </w:rPr>
        <w:t>C</w:t>
      </w:r>
      <w:r w:rsidRPr="002436FD">
        <w:rPr>
          <w:b/>
        </w:rPr>
        <w:t>lass 2</w:t>
      </w:r>
      <w:r w:rsidRPr="002436FD">
        <w:t xml:space="preserve"> </w:t>
      </w:r>
      <w:r w:rsidRPr="002436FD">
        <w:rPr>
          <w:b/>
        </w:rPr>
        <w:t>augmented bond rate</w:t>
      </w:r>
      <w:r w:rsidRPr="002436FD">
        <w:t>”, substitute “</w:t>
      </w:r>
      <w:r w:rsidR="00DD4790" w:rsidRPr="002436FD">
        <w:rPr>
          <w:b/>
        </w:rPr>
        <w:t>C</w:t>
      </w:r>
      <w:r w:rsidRPr="002436FD">
        <w:rPr>
          <w:b/>
        </w:rPr>
        <w:t>lass 2</w:t>
      </w:r>
      <w:r w:rsidRPr="002436FD">
        <w:t xml:space="preserve"> </w:t>
      </w:r>
      <w:r w:rsidRPr="002436FD">
        <w:rPr>
          <w:b/>
        </w:rPr>
        <w:t>uplifted</w:t>
      </w:r>
      <w:r w:rsidRPr="002436FD">
        <w:t>”.</w:t>
      </w:r>
    </w:p>
    <w:p w:rsidR="0032361B" w:rsidRPr="002436FD" w:rsidRDefault="00EF06A8" w:rsidP="002436FD">
      <w:pPr>
        <w:pStyle w:val="ItemHead"/>
      </w:pPr>
      <w:r w:rsidRPr="002436FD">
        <w:t>8</w:t>
      </w:r>
      <w:r w:rsidR="0032361B" w:rsidRPr="002436FD">
        <w:t xml:space="preserve">  Subsection</w:t>
      </w:r>
      <w:r w:rsidR="002436FD" w:rsidRPr="002436FD">
        <w:t> </w:t>
      </w:r>
      <w:r w:rsidR="0032361B" w:rsidRPr="002436FD">
        <w:t>34A(1)</w:t>
      </w:r>
    </w:p>
    <w:p w:rsidR="0032361B" w:rsidRPr="002436FD" w:rsidRDefault="0032361B" w:rsidP="002436FD">
      <w:pPr>
        <w:pStyle w:val="Item"/>
      </w:pPr>
      <w:r w:rsidRPr="002436FD">
        <w:t>Omit “class 2 augmented bond rate”</w:t>
      </w:r>
      <w:r w:rsidR="00F52895" w:rsidRPr="002436FD">
        <w:t xml:space="preserve"> (wherever occurring)</w:t>
      </w:r>
      <w:r w:rsidRPr="002436FD">
        <w:t>, substitute “class 2 uplifted”.</w:t>
      </w:r>
    </w:p>
    <w:p w:rsidR="0032361B" w:rsidRPr="002436FD" w:rsidRDefault="00EF06A8" w:rsidP="002436FD">
      <w:pPr>
        <w:pStyle w:val="ItemHead"/>
      </w:pPr>
      <w:r w:rsidRPr="002436FD">
        <w:t>9</w:t>
      </w:r>
      <w:r w:rsidR="0032361B" w:rsidRPr="002436FD">
        <w:t xml:space="preserve">  Subsection</w:t>
      </w:r>
      <w:r w:rsidR="002436FD" w:rsidRPr="002436FD">
        <w:t> </w:t>
      </w:r>
      <w:r w:rsidR="0032361B" w:rsidRPr="002436FD">
        <w:t>34A(2)</w:t>
      </w:r>
    </w:p>
    <w:p w:rsidR="0032361B" w:rsidRPr="002436FD" w:rsidRDefault="0032361B" w:rsidP="002436FD">
      <w:pPr>
        <w:pStyle w:val="Item"/>
      </w:pPr>
      <w:r w:rsidRPr="002436FD">
        <w:t>Omit “class 2 augmented bond rate”</w:t>
      </w:r>
      <w:r w:rsidR="00F52895" w:rsidRPr="002436FD">
        <w:t xml:space="preserve"> (wherever occurring)</w:t>
      </w:r>
      <w:r w:rsidRPr="002436FD">
        <w:t>, substitute “class 2 uplifted”.</w:t>
      </w:r>
    </w:p>
    <w:p w:rsidR="0032361B" w:rsidRPr="002436FD" w:rsidRDefault="00EF06A8" w:rsidP="002436FD">
      <w:pPr>
        <w:pStyle w:val="ItemHead"/>
      </w:pPr>
      <w:r w:rsidRPr="002436FD">
        <w:t>10</w:t>
      </w:r>
      <w:r w:rsidR="0032361B" w:rsidRPr="002436FD">
        <w:t xml:space="preserve">  Subsection</w:t>
      </w:r>
      <w:r w:rsidR="002436FD" w:rsidRPr="002436FD">
        <w:t> </w:t>
      </w:r>
      <w:r w:rsidR="0032361B" w:rsidRPr="002436FD">
        <w:t>34A(3)</w:t>
      </w:r>
    </w:p>
    <w:p w:rsidR="0032361B" w:rsidRPr="002436FD" w:rsidRDefault="0032361B" w:rsidP="002436FD">
      <w:pPr>
        <w:pStyle w:val="Item"/>
      </w:pPr>
      <w:r w:rsidRPr="002436FD">
        <w:t>Omit “class 2 augmented bond rate”</w:t>
      </w:r>
      <w:r w:rsidR="00F52895" w:rsidRPr="002436FD">
        <w:t xml:space="preserve"> (wherever occurring)</w:t>
      </w:r>
      <w:r w:rsidRPr="002436FD">
        <w:t>, substitute “class 2 uplifted”.</w:t>
      </w:r>
    </w:p>
    <w:p w:rsidR="0032361B" w:rsidRPr="002436FD" w:rsidRDefault="00EF06A8" w:rsidP="002436FD">
      <w:pPr>
        <w:pStyle w:val="ItemHead"/>
      </w:pPr>
      <w:r w:rsidRPr="002436FD">
        <w:t>11</w:t>
      </w:r>
      <w:r w:rsidR="0032361B" w:rsidRPr="002436FD">
        <w:t xml:space="preserve">  Paragraph </w:t>
      </w:r>
      <w:r w:rsidR="00F52895" w:rsidRPr="002436FD">
        <w:t>34A</w:t>
      </w:r>
      <w:r w:rsidR="0032361B" w:rsidRPr="002436FD">
        <w:t>(4)(c)</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12</w:t>
      </w:r>
      <w:r w:rsidR="0032361B" w:rsidRPr="002436FD">
        <w:t xml:space="preserve">  Subsection</w:t>
      </w:r>
      <w:r w:rsidR="002436FD" w:rsidRPr="002436FD">
        <w:t> </w:t>
      </w:r>
      <w:r w:rsidR="0032361B" w:rsidRPr="002436FD">
        <w:t>34A(4)</w:t>
      </w:r>
    </w:p>
    <w:p w:rsidR="0032361B" w:rsidRPr="002436FD" w:rsidRDefault="0032361B" w:rsidP="002436FD">
      <w:pPr>
        <w:pStyle w:val="Item"/>
      </w:pPr>
      <w:r w:rsidRPr="002436FD">
        <w:t>Omit “</w:t>
      </w:r>
      <w:r w:rsidR="00F52895" w:rsidRPr="002436FD">
        <w:t xml:space="preserve">an amount of </w:t>
      </w:r>
      <w:r w:rsidRPr="002436FD">
        <w:t>class 2 augmented bond rate”, substitute “</w:t>
      </w:r>
      <w:r w:rsidR="00F52895" w:rsidRPr="002436FD">
        <w:t xml:space="preserve">an amount of </w:t>
      </w:r>
      <w:r w:rsidRPr="002436FD">
        <w:t>class 2 uplifted”.</w:t>
      </w:r>
    </w:p>
    <w:p w:rsidR="0032361B" w:rsidRPr="002436FD" w:rsidRDefault="00EF06A8" w:rsidP="002436FD">
      <w:pPr>
        <w:pStyle w:val="ItemHead"/>
      </w:pPr>
      <w:r w:rsidRPr="002436FD">
        <w:t>13</w:t>
      </w:r>
      <w:r w:rsidR="0032361B" w:rsidRPr="002436FD">
        <w:t xml:space="preserve">  Subsection</w:t>
      </w:r>
      <w:r w:rsidR="002436FD" w:rsidRPr="002436FD">
        <w:t> </w:t>
      </w:r>
      <w:r w:rsidR="0032361B" w:rsidRPr="002436FD">
        <w:t xml:space="preserve">34A(4) (definition of </w:t>
      </w:r>
      <w:r w:rsidR="0032361B" w:rsidRPr="002436FD">
        <w:rPr>
          <w:i/>
        </w:rPr>
        <w:t>Available excess</w:t>
      </w:r>
      <w:r w:rsidR="0032361B" w:rsidRPr="002436FD">
        <w:t>)</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14</w:t>
      </w:r>
      <w:r w:rsidR="0032361B" w:rsidRPr="002436FD">
        <w:t xml:space="preserve">  Paragraph 35(3)(c)</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lastRenderedPageBreak/>
        <w:t>15</w:t>
      </w:r>
      <w:r w:rsidR="0032361B" w:rsidRPr="002436FD">
        <w:t xml:space="preserve">  Section</w:t>
      </w:r>
      <w:r w:rsidR="002436FD" w:rsidRPr="002436FD">
        <w:t> </w:t>
      </w:r>
      <w:r w:rsidR="0032361B" w:rsidRPr="002436FD">
        <w:t>35A (heading)</w:t>
      </w:r>
    </w:p>
    <w:p w:rsidR="0032361B" w:rsidRPr="002436FD" w:rsidRDefault="0032361B" w:rsidP="002436FD">
      <w:pPr>
        <w:pStyle w:val="Item"/>
      </w:pPr>
      <w:r w:rsidRPr="002436FD">
        <w:t>Omit “</w:t>
      </w:r>
      <w:r w:rsidRPr="002436FD">
        <w:rPr>
          <w:b/>
        </w:rPr>
        <w:t>Class 2</w:t>
      </w:r>
      <w:r w:rsidRPr="002436FD">
        <w:t xml:space="preserve"> </w:t>
      </w:r>
      <w:r w:rsidRPr="002436FD">
        <w:rPr>
          <w:b/>
        </w:rPr>
        <w:t>augmented bond rate</w:t>
      </w:r>
      <w:r w:rsidRPr="002436FD">
        <w:t>”, substitute “</w:t>
      </w:r>
      <w:r w:rsidRPr="002436FD">
        <w:rPr>
          <w:b/>
        </w:rPr>
        <w:t>Class 2</w:t>
      </w:r>
      <w:r w:rsidRPr="002436FD">
        <w:t xml:space="preserve"> </w:t>
      </w:r>
      <w:r w:rsidRPr="002436FD">
        <w:rPr>
          <w:b/>
        </w:rPr>
        <w:t>uplifted</w:t>
      </w:r>
      <w:r w:rsidRPr="002436FD">
        <w:t>”.</w:t>
      </w:r>
    </w:p>
    <w:p w:rsidR="00F52895" w:rsidRPr="002436FD" w:rsidRDefault="00EF06A8" w:rsidP="002436FD">
      <w:pPr>
        <w:pStyle w:val="ItemHead"/>
      </w:pPr>
      <w:r w:rsidRPr="002436FD">
        <w:t>16</w:t>
      </w:r>
      <w:r w:rsidR="00F52895" w:rsidRPr="002436FD">
        <w:t xml:space="preserve">  Subsection</w:t>
      </w:r>
      <w:r w:rsidR="002436FD" w:rsidRPr="002436FD">
        <w:t> </w:t>
      </w:r>
      <w:r w:rsidR="00F52895" w:rsidRPr="002436FD">
        <w:t>35A(1)</w:t>
      </w:r>
    </w:p>
    <w:p w:rsidR="00F52895" w:rsidRPr="002436FD" w:rsidRDefault="00F52895" w:rsidP="002436FD">
      <w:pPr>
        <w:pStyle w:val="Item"/>
      </w:pPr>
      <w:r w:rsidRPr="002436FD">
        <w:t>Omit “class 2 augmented bond rate”, substitute “class 2 uplifted”.</w:t>
      </w:r>
    </w:p>
    <w:p w:rsidR="0032361B" w:rsidRPr="002436FD" w:rsidRDefault="00EF06A8" w:rsidP="002436FD">
      <w:pPr>
        <w:pStyle w:val="ItemHead"/>
      </w:pPr>
      <w:r w:rsidRPr="002436FD">
        <w:t>17</w:t>
      </w:r>
      <w:r w:rsidR="0032361B" w:rsidRPr="002436FD">
        <w:t xml:space="preserve">  Subsection</w:t>
      </w:r>
      <w:r w:rsidR="002436FD" w:rsidRPr="002436FD">
        <w:t> </w:t>
      </w:r>
      <w:r w:rsidR="0032361B" w:rsidRPr="002436FD">
        <w:t>35A(1) (note)</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18</w:t>
      </w:r>
      <w:r w:rsidR="0032361B" w:rsidRPr="002436FD">
        <w:t xml:space="preserve">  Subsection</w:t>
      </w:r>
      <w:r w:rsidR="002436FD" w:rsidRPr="002436FD">
        <w:t> </w:t>
      </w:r>
      <w:r w:rsidR="0032361B" w:rsidRPr="002436FD">
        <w:t>35A(2)</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19</w:t>
      </w:r>
      <w:r w:rsidR="0032361B" w:rsidRPr="002436FD">
        <w:t xml:space="preserve">  Subsection</w:t>
      </w:r>
      <w:r w:rsidR="002436FD" w:rsidRPr="002436FD">
        <w:t> </w:t>
      </w:r>
      <w:r w:rsidR="0032361B" w:rsidRPr="002436FD">
        <w:t>35A(2) (note)</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20</w:t>
      </w:r>
      <w:r w:rsidR="0032361B" w:rsidRPr="002436FD">
        <w:t xml:space="preserve">  Paragraphs 35C(5)(c) and (e)</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21</w:t>
      </w:r>
      <w:r w:rsidR="0032361B" w:rsidRPr="002436FD">
        <w:t xml:space="preserve">  Paragraphs 35E(3)(c) and (e)</w:t>
      </w:r>
    </w:p>
    <w:p w:rsidR="0032361B" w:rsidRPr="002436FD" w:rsidRDefault="0032361B" w:rsidP="002436FD">
      <w:pPr>
        <w:pStyle w:val="Item"/>
      </w:pPr>
      <w:r w:rsidRPr="002436FD">
        <w:t>Omit “class 2 augmented bond rate”, substitute “class 2 uplifted”.</w:t>
      </w:r>
    </w:p>
    <w:p w:rsidR="005778C8" w:rsidRPr="002436FD" w:rsidRDefault="00EF06A8" w:rsidP="002436FD">
      <w:pPr>
        <w:pStyle w:val="ItemHead"/>
      </w:pPr>
      <w:r w:rsidRPr="002436FD">
        <w:t>22</w:t>
      </w:r>
      <w:r w:rsidR="005778C8" w:rsidRPr="002436FD">
        <w:t xml:space="preserve">  Section</w:t>
      </w:r>
      <w:r w:rsidR="002436FD" w:rsidRPr="002436FD">
        <w:t> </w:t>
      </w:r>
      <w:r w:rsidR="005778C8" w:rsidRPr="002436FD">
        <w:t>36A (note)</w:t>
      </w:r>
    </w:p>
    <w:p w:rsidR="005778C8" w:rsidRPr="002436FD" w:rsidRDefault="005778C8" w:rsidP="002436FD">
      <w:pPr>
        <w:pStyle w:val="Item"/>
      </w:pPr>
      <w:r w:rsidRPr="002436FD">
        <w:t>Omit “before the GDP factor or the augmented bond rate is applied to the amount under Schedule</w:t>
      </w:r>
      <w:r w:rsidR="002436FD" w:rsidRPr="002436FD">
        <w:t> </w:t>
      </w:r>
      <w:r w:rsidRPr="002436FD">
        <w:t>1”, substitute “before the amount is further increased under Schedule</w:t>
      </w:r>
      <w:r w:rsidR="002436FD" w:rsidRPr="002436FD">
        <w:t> </w:t>
      </w:r>
      <w:r w:rsidRPr="002436FD">
        <w:t>1”.</w:t>
      </w:r>
    </w:p>
    <w:p w:rsidR="005778C8" w:rsidRPr="002436FD" w:rsidRDefault="00EF06A8" w:rsidP="002436FD">
      <w:pPr>
        <w:pStyle w:val="ItemHead"/>
      </w:pPr>
      <w:r w:rsidRPr="002436FD">
        <w:t>23</w:t>
      </w:r>
      <w:r w:rsidR="005778C8" w:rsidRPr="002436FD">
        <w:t xml:space="preserve">  Subsection</w:t>
      </w:r>
      <w:r w:rsidR="002436FD" w:rsidRPr="002436FD">
        <w:t> </w:t>
      </w:r>
      <w:r w:rsidR="005778C8" w:rsidRPr="002436FD">
        <w:t>36B(1) (note)</w:t>
      </w:r>
    </w:p>
    <w:p w:rsidR="005778C8" w:rsidRPr="002436FD" w:rsidRDefault="005778C8" w:rsidP="002436FD">
      <w:pPr>
        <w:pStyle w:val="Item"/>
      </w:pPr>
      <w:r w:rsidRPr="002436FD">
        <w:t>Omit “before the GDP factor or the augmented bond rate is applied to the amount under Schedule</w:t>
      </w:r>
      <w:r w:rsidR="002436FD" w:rsidRPr="002436FD">
        <w:t> </w:t>
      </w:r>
      <w:r w:rsidRPr="002436FD">
        <w:t>1”, substitute “before the amount is further increased under Schedule</w:t>
      </w:r>
      <w:r w:rsidR="002436FD" w:rsidRPr="002436FD">
        <w:t> </w:t>
      </w:r>
      <w:r w:rsidRPr="002436FD">
        <w:t>1”.</w:t>
      </w:r>
    </w:p>
    <w:p w:rsidR="0032361B" w:rsidRPr="002436FD" w:rsidRDefault="00EF06A8" w:rsidP="002436FD">
      <w:pPr>
        <w:pStyle w:val="ItemHead"/>
      </w:pPr>
      <w:r w:rsidRPr="002436FD">
        <w:t>24</w:t>
      </w:r>
      <w:r w:rsidR="0032361B" w:rsidRPr="002436FD">
        <w:t xml:space="preserve">  Subparagraph 48(1)(a)(</w:t>
      </w:r>
      <w:proofErr w:type="spellStart"/>
      <w:r w:rsidR="0032361B" w:rsidRPr="002436FD">
        <w:t>i</w:t>
      </w:r>
      <w:proofErr w:type="spellEnd"/>
      <w:r w:rsidR="0032361B" w:rsidRPr="002436FD">
        <w:t>)</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25</w:t>
      </w:r>
      <w:r w:rsidR="0032361B" w:rsidRPr="002436FD">
        <w:t xml:space="preserve">  Subparagraph 48(1)(a)(</w:t>
      </w:r>
      <w:proofErr w:type="spellStart"/>
      <w:r w:rsidR="0032361B" w:rsidRPr="002436FD">
        <w:t>i</w:t>
      </w:r>
      <w:r w:rsidR="00DD4790" w:rsidRPr="002436FD">
        <w:t>a</w:t>
      </w:r>
      <w:proofErr w:type="spellEnd"/>
      <w:r w:rsidR="0032361B" w:rsidRPr="002436FD">
        <w:t>) (note)</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lastRenderedPageBreak/>
        <w:t>26</w:t>
      </w:r>
      <w:r w:rsidR="0032361B" w:rsidRPr="002436FD">
        <w:t xml:space="preserve">  Paragraph 48A(5)(b)</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27</w:t>
      </w:r>
      <w:r w:rsidR="0032361B" w:rsidRPr="002436FD">
        <w:t xml:space="preserve">  Paragraph 48A(5)(</w:t>
      </w:r>
      <w:r w:rsidR="00DD4790" w:rsidRPr="002436FD">
        <w:t>c</w:t>
      </w:r>
      <w:r w:rsidR="0032361B" w:rsidRPr="002436FD">
        <w:t>) (note)</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28</w:t>
      </w:r>
      <w:r w:rsidR="0032361B" w:rsidRPr="002436FD">
        <w:t xml:space="preserve">  Subparagraph 58K(1)(b)(iii)</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29</w:t>
      </w:r>
      <w:r w:rsidR="0032361B" w:rsidRPr="002436FD">
        <w:t xml:space="preserve">  Subsection</w:t>
      </w:r>
      <w:r w:rsidR="002436FD" w:rsidRPr="002436FD">
        <w:t> </w:t>
      </w:r>
      <w:r w:rsidR="0032361B" w:rsidRPr="002436FD">
        <w:t>58K(2) (heading)</w:t>
      </w:r>
    </w:p>
    <w:p w:rsidR="0032361B" w:rsidRPr="002436FD" w:rsidRDefault="0032361B" w:rsidP="002436FD">
      <w:pPr>
        <w:pStyle w:val="Item"/>
      </w:pPr>
      <w:r w:rsidRPr="002436FD">
        <w:t>Omit “</w:t>
      </w:r>
      <w:r w:rsidRPr="002436FD">
        <w:rPr>
          <w:i/>
        </w:rPr>
        <w:t>Class 2 augmented bond rate</w:t>
      </w:r>
      <w:r w:rsidRPr="002436FD">
        <w:t>”, substitute “</w:t>
      </w:r>
      <w:r w:rsidRPr="002436FD">
        <w:rPr>
          <w:i/>
        </w:rPr>
        <w:t>Class 2 uplifted</w:t>
      </w:r>
      <w:r w:rsidRPr="002436FD">
        <w:t>”.</w:t>
      </w:r>
    </w:p>
    <w:p w:rsidR="0032361B" w:rsidRPr="002436FD" w:rsidRDefault="00EF06A8" w:rsidP="002436FD">
      <w:pPr>
        <w:pStyle w:val="ItemHead"/>
      </w:pPr>
      <w:r w:rsidRPr="002436FD">
        <w:t>30</w:t>
      </w:r>
      <w:r w:rsidR="0032361B" w:rsidRPr="002436FD">
        <w:t xml:space="preserve">  Paragraph 58K(2)(a)</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31</w:t>
      </w:r>
      <w:r w:rsidR="0032361B" w:rsidRPr="002436FD">
        <w:t xml:space="preserve">  Subparagraph 58M(1)(c)(iii)</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32</w:t>
      </w:r>
      <w:r w:rsidR="0032361B" w:rsidRPr="002436FD">
        <w:t xml:space="preserve">  Subsection</w:t>
      </w:r>
      <w:r w:rsidR="002436FD" w:rsidRPr="002436FD">
        <w:t> </w:t>
      </w:r>
      <w:r w:rsidR="0032361B" w:rsidRPr="002436FD">
        <w:t>58M(2) (heading)</w:t>
      </w:r>
    </w:p>
    <w:p w:rsidR="0032361B" w:rsidRPr="002436FD" w:rsidRDefault="0032361B" w:rsidP="002436FD">
      <w:pPr>
        <w:pStyle w:val="Item"/>
      </w:pPr>
      <w:r w:rsidRPr="002436FD">
        <w:t>Omit “</w:t>
      </w:r>
      <w:r w:rsidRPr="002436FD">
        <w:rPr>
          <w:i/>
        </w:rPr>
        <w:t>Class 2 augmented bond rate</w:t>
      </w:r>
      <w:r w:rsidRPr="002436FD">
        <w:t>”, substitute “</w:t>
      </w:r>
      <w:r w:rsidRPr="002436FD">
        <w:rPr>
          <w:i/>
        </w:rPr>
        <w:t>Class 2 uplifted</w:t>
      </w:r>
      <w:r w:rsidRPr="002436FD">
        <w:t>”.</w:t>
      </w:r>
    </w:p>
    <w:p w:rsidR="0032361B" w:rsidRPr="002436FD" w:rsidRDefault="00EF06A8" w:rsidP="002436FD">
      <w:pPr>
        <w:pStyle w:val="ItemHead"/>
      </w:pPr>
      <w:r w:rsidRPr="002436FD">
        <w:t>33</w:t>
      </w:r>
      <w:r w:rsidR="0032361B" w:rsidRPr="002436FD">
        <w:t xml:space="preserve">  Paragraph 58M(2)(a)</w:t>
      </w:r>
    </w:p>
    <w:p w:rsidR="0032361B" w:rsidRPr="002436FD" w:rsidRDefault="0032361B" w:rsidP="002436FD">
      <w:pPr>
        <w:pStyle w:val="Item"/>
      </w:pPr>
      <w:r w:rsidRPr="002436FD">
        <w:t>Omit “class 2 augmented bond rate”, substitute “class 2 uplifted”.</w:t>
      </w:r>
    </w:p>
    <w:p w:rsidR="00DC5B80" w:rsidRPr="002436FD" w:rsidRDefault="00EF06A8" w:rsidP="002436FD">
      <w:pPr>
        <w:pStyle w:val="ItemHead"/>
      </w:pPr>
      <w:r w:rsidRPr="002436FD">
        <w:t>34</w:t>
      </w:r>
      <w:r w:rsidR="00DC5B80" w:rsidRPr="002436FD">
        <w:t xml:space="preserve">  Clause</w:t>
      </w:r>
      <w:r w:rsidR="002436FD" w:rsidRPr="002436FD">
        <w:t> </w:t>
      </w:r>
      <w:r w:rsidR="00DC5B80" w:rsidRPr="002436FD">
        <w:t>1 of Schedule</w:t>
      </w:r>
      <w:r w:rsidR="002436FD" w:rsidRPr="002436FD">
        <w:t> </w:t>
      </w:r>
      <w:r w:rsidR="00DC5B80" w:rsidRPr="002436FD">
        <w:t>1</w:t>
      </w:r>
    </w:p>
    <w:p w:rsidR="00DC5B80" w:rsidRPr="002436FD" w:rsidRDefault="00DC5B80" w:rsidP="002436FD">
      <w:pPr>
        <w:pStyle w:val="Item"/>
      </w:pPr>
      <w:r w:rsidRPr="002436FD">
        <w:t>Repeal the following definitions:</w:t>
      </w:r>
    </w:p>
    <w:p w:rsidR="00DC5B80" w:rsidRPr="002436FD" w:rsidRDefault="002E6EAC" w:rsidP="002436FD">
      <w:pPr>
        <w:pStyle w:val="paragraph"/>
      </w:pPr>
      <w:r w:rsidRPr="002436FD">
        <w:tab/>
        <w:t>(a)</w:t>
      </w:r>
      <w:r w:rsidRPr="002436FD">
        <w:tab/>
        <w:t xml:space="preserve">definition of </w:t>
      </w:r>
      <w:r w:rsidRPr="002436FD">
        <w:rPr>
          <w:b/>
          <w:i/>
        </w:rPr>
        <w:t>ABR expenditure year</w:t>
      </w:r>
      <w:r w:rsidRPr="002436FD">
        <w:t>;</w:t>
      </w:r>
    </w:p>
    <w:p w:rsidR="002E6EAC" w:rsidRPr="002436FD" w:rsidRDefault="002E6EAC" w:rsidP="002436FD">
      <w:pPr>
        <w:pStyle w:val="paragraph"/>
      </w:pPr>
      <w:r w:rsidRPr="002436FD">
        <w:tab/>
        <w:t>(b)</w:t>
      </w:r>
      <w:r w:rsidRPr="002436FD">
        <w:tab/>
        <w:t xml:space="preserve">definition of </w:t>
      </w:r>
      <w:r w:rsidRPr="002436FD">
        <w:rPr>
          <w:b/>
          <w:i/>
        </w:rPr>
        <w:t>augmented bond rate</w:t>
      </w:r>
      <w:r w:rsidRPr="002436FD">
        <w:t>.</w:t>
      </w:r>
    </w:p>
    <w:p w:rsidR="004951D4" w:rsidRPr="002436FD" w:rsidRDefault="00EF06A8" w:rsidP="002436FD">
      <w:pPr>
        <w:pStyle w:val="ItemHead"/>
      </w:pPr>
      <w:r w:rsidRPr="002436FD">
        <w:t>35</w:t>
      </w:r>
      <w:r w:rsidR="004951D4" w:rsidRPr="002436FD">
        <w:t xml:space="preserve">  Clause</w:t>
      </w:r>
      <w:r w:rsidR="002436FD" w:rsidRPr="002436FD">
        <w:t> </w:t>
      </w:r>
      <w:r w:rsidR="004951D4" w:rsidRPr="002436FD">
        <w:t>1 of Schedule</w:t>
      </w:r>
      <w:r w:rsidR="002436FD" w:rsidRPr="002436FD">
        <w:t> </w:t>
      </w:r>
      <w:r w:rsidR="004951D4" w:rsidRPr="002436FD">
        <w:t xml:space="preserve">1 (definition of </w:t>
      </w:r>
      <w:r w:rsidR="004951D4" w:rsidRPr="002436FD">
        <w:rPr>
          <w:i/>
        </w:rPr>
        <w:t>GDP expenditure year</w:t>
      </w:r>
      <w:r w:rsidR="004951D4" w:rsidRPr="002436FD">
        <w:t>)</w:t>
      </w:r>
    </w:p>
    <w:p w:rsidR="004951D4" w:rsidRPr="002436FD" w:rsidRDefault="004951D4" w:rsidP="002436FD">
      <w:pPr>
        <w:pStyle w:val="Item"/>
      </w:pPr>
      <w:r w:rsidRPr="002436FD">
        <w:t>Omit “</w:t>
      </w:r>
      <w:r w:rsidR="00FF0A4F" w:rsidRPr="002436FD">
        <w:t>ABR expenditure</w:t>
      </w:r>
      <w:r w:rsidRPr="002436FD">
        <w:t>”, substitute “</w:t>
      </w:r>
      <w:r w:rsidR="00FF0A4F" w:rsidRPr="002436FD">
        <w:t>standard uplift expenditure</w:t>
      </w:r>
      <w:r w:rsidRPr="002436FD">
        <w:t>”.</w:t>
      </w:r>
    </w:p>
    <w:p w:rsidR="004951D4" w:rsidRPr="002436FD" w:rsidRDefault="00EF06A8" w:rsidP="002436FD">
      <w:pPr>
        <w:pStyle w:val="ItemHead"/>
      </w:pPr>
      <w:r w:rsidRPr="002436FD">
        <w:t>36</w:t>
      </w:r>
      <w:r w:rsidR="004951D4" w:rsidRPr="002436FD">
        <w:t xml:space="preserve">  Clause</w:t>
      </w:r>
      <w:r w:rsidR="002436FD" w:rsidRPr="002436FD">
        <w:t> </w:t>
      </w:r>
      <w:r w:rsidR="004951D4" w:rsidRPr="002436FD">
        <w:t>1 of Schedule</w:t>
      </w:r>
      <w:r w:rsidR="002436FD" w:rsidRPr="002436FD">
        <w:t> </w:t>
      </w:r>
      <w:r w:rsidR="004951D4" w:rsidRPr="002436FD">
        <w:t>1</w:t>
      </w:r>
    </w:p>
    <w:p w:rsidR="004951D4" w:rsidRPr="002436FD" w:rsidRDefault="004951D4" w:rsidP="002436FD">
      <w:pPr>
        <w:pStyle w:val="Item"/>
      </w:pPr>
      <w:r w:rsidRPr="002436FD">
        <w:t>Insert:</w:t>
      </w:r>
    </w:p>
    <w:p w:rsidR="004951D4" w:rsidRPr="002436FD" w:rsidRDefault="004951D4" w:rsidP="002436FD">
      <w:pPr>
        <w:pStyle w:val="Definition"/>
      </w:pPr>
      <w:r w:rsidRPr="002436FD">
        <w:rPr>
          <w:b/>
          <w:i/>
        </w:rPr>
        <w:lastRenderedPageBreak/>
        <w:t>standard uplift expenditure year</w:t>
      </w:r>
      <w:r w:rsidRPr="002436FD">
        <w:t>, in relation to a petroleum project, means the earlier of the following financial years and each financial year after that financial year:</w:t>
      </w:r>
    </w:p>
    <w:p w:rsidR="004951D4" w:rsidRPr="002436FD" w:rsidRDefault="004951D4" w:rsidP="002436FD">
      <w:pPr>
        <w:pStyle w:val="paragraph"/>
      </w:pPr>
      <w:r w:rsidRPr="002436FD">
        <w:tab/>
        <w:t>(a)</w:t>
      </w:r>
      <w:r w:rsidRPr="002436FD">
        <w:tab/>
        <w:t>the financial year in which the relevant pre</w:t>
      </w:r>
      <w:r w:rsidR="004802C7">
        <w:noBreakHyphen/>
      </w:r>
      <w:r w:rsidRPr="002436FD">
        <w:t>commencement day occurred;</w:t>
      </w:r>
    </w:p>
    <w:p w:rsidR="004951D4" w:rsidRPr="002436FD" w:rsidRDefault="004951D4" w:rsidP="002436FD">
      <w:pPr>
        <w:pStyle w:val="paragraph"/>
      </w:pPr>
      <w:r w:rsidRPr="002436FD">
        <w:tab/>
        <w:t>(b)</w:t>
      </w:r>
      <w:r w:rsidRPr="002436FD">
        <w:tab/>
        <w:t>the financial year that starts on 1</w:t>
      </w:r>
      <w:r w:rsidR="002436FD" w:rsidRPr="002436FD">
        <w:t> </w:t>
      </w:r>
      <w:r w:rsidRPr="002436FD">
        <w:t>July 2019.</w:t>
      </w:r>
    </w:p>
    <w:p w:rsidR="0032361B" w:rsidRPr="002436FD" w:rsidRDefault="00EF06A8" w:rsidP="002436FD">
      <w:pPr>
        <w:pStyle w:val="ItemHead"/>
      </w:pPr>
      <w:r w:rsidRPr="002436FD">
        <w:t>37</w:t>
      </w:r>
      <w:r w:rsidR="0032361B" w:rsidRPr="002436FD">
        <w:t xml:space="preserve">  Part</w:t>
      </w:r>
      <w:r w:rsidR="002436FD" w:rsidRPr="002436FD">
        <w:t> </w:t>
      </w:r>
      <w:r w:rsidR="0032361B" w:rsidRPr="002436FD">
        <w:t>2 of Schedule</w:t>
      </w:r>
      <w:r w:rsidR="002436FD" w:rsidRPr="002436FD">
        <w:t> </w:t>
      </w:r>
      <w:r w:rsidR="0032361B" w:rsidRPr="002436FD">
        <w:t>1 (heading)</w:t>
      </w:r>
    </w:p>
    <w:p w:rsidR="0032361B" w:rsidRPr="002436FD" w:rsidRDefault="0032361B" w:rsidP="002436FD">
      <w:pPr>
        <w:pStyle w:val="Item"/>
      </w:pPr>
      <w:r w:rsidRPr="002436FD">
        <w:t>Omit “</w:t>
      </w:r>
      <w:r w:rsidRPr="002436FD">
        <w:rPr>
          <w:b/>
        </w:rPr>
        <w:t>Class 2 augmented bond rate</w:t>
      </w:r>
      <w:r w:rsidRPr="002436FD">
        <w:t>”, substitute “</w:t>
      </w:r>
      <w:r w:rsidRPr="002436FD">
        <w:rPr>
          <w:b/>
        </w:rPr>
        <w:t>Class 2 uplifted</w:t>
      </w:r>
      <w:r w:rsidRPr="002436FD">
        <w:t>”.</w:t>
      </w:r>
    </w:p>
    <w:p w:rsidR="0032361B" w:rsidRPr="002436FD" w:rsidRDefault="00EF06A8" w:rsidP="002436FD">
      <w:pPr>
        <w:pStyle w:val="ItemHead"/>
      </w:pPr>
      <w:r w:rsidRPr="002436FD">
        <w:t>38</w:t>
      </w:r>
      <w:r w:rsidR="0032361B" w:rsidRPr="002436FD">
        <w:t xml:space="preserve">  Clause</w:t>
      </w:r>
      <w:r w:rsidR="002436FD" w:rsidRPr="002436FD">
        <w:t> </w:t>
      </w:r>
      <w:r w:rsidR="0032361B" w:rsidRPr="002436FD">
        <w:t>5 of Schedule</w:t>
      </w:r>
      <w:r w:rsidR="002436FD" w:rsidRPr="002436FD">
        <w:t> </w:t>
      </w:r>
      <w:r w:rsidR="0032361B" w:rsidRPr="002436FD">
        <w:t>1 (</w:t>
      </w:r>
      <w:r w:rsidR="002436FD" w:rsidRPr="002436FD">
        <w:t>paragraph (</w:t>
      </w:r>
      <w:r w:rsidR="0032361B" w:rsidRPr="002436FD">
        <w:t xml:space="preserve">a) of the definition of </w:t>
      </w:r>
      <w:r w:rsidR="0032361B" w:rsidRPr="002436FD">
        <w:rPr>
          <w:i/>
        </w:rPr>
        <w:t>notional taxable profit</w:t>
      </w:r>
      <w:r w:rsidR="0032361B" w:rsidRPr="002436FD">
        <w:t>)</w:t>
      </w:r>
    </w:p>
    <w:p w:rsidR="0032361B" w:rsidRPr="002436FD" w:rsidRDefault="0032361B" w:rsidP="002436FD">
      <w:pPr>
        <w:pStyle w:val="Item"/>
      </w:pPr>
      <w:r w:rsidRPr="002436FD">
        <w:t>Omit “class 2 augmented bond rate”, substitute “class 2 uplifted”.</w:t>
      </w:r>
    </w:p>
    <w:p w:rsidR="0032361B" w:rsidRPr="002436FD" w:rsidRDefault="00EF06A8" w:rsidP="002436FD">
      <w:pPr>
        <w:pStyle w:val="ItemHead"/>
      </w:pPr>
      <w:r w:rsidRPr="002436FD">
        <w:t>39</w:t>
      </w:r>
      <w:r w:rsidR="0032361B" w:rsidRPr="002436FD">
        <w:t xml:space="preserve">  Paragraph 6(1)(a) of Schedule</w:t>
      </w:r>
      <w:r w:rsidR="002436FD" w:rsidRPr="002436FD">
        <w:t> </w:t>
      </w:r>
      <w:r w:rsidR="0032361B" w:rsidRPr="002436FD">
        <w:t>1</w:t>
      </w:r>
    </w:p>
    <w:p w:rsidR="0032361B" w:rsidRPr="002436FD" w:rsidRDefault="0032361B" w:rsidP="002436FD">
      <w:pPr>
        <w:pStyle w:val="Item"/>
      </w:pPr>
      <w:r w:rsidRPr="002436FD">
        <w:t>Omit “class 2 augmented bond rate”, substitute “class 2 uplifted”.</w:t>
      </w:r>
    </w:p>
    <w:p w:rsidR="004951D4" w:rsidRPr="002436FD" w:rsidRDefault="00EF06A8" w:rsidP="002436FD">
      <w:pPr>
        <w:pStyle w:val="ItemHead"/>
      </w:pPr>
      <w:r w:rsidRPr="002436FD">
        <w:t>40</w:t>
      </w:r>
      <w:r w:rsidR="004951D4" w:rsidRPr="002436FD">
        <w:t xml:space="preserve">  Paragraph 6(1)(b) of Schedule</w:t>
      </w:r>
      <w:r w:rsidR="002436FD" w:rsidRPr="002436FD">
        <w:t> </w:t>
      </w:r>
      <w:r w:rsidR="004951D4" w:rsidRPr="002436FD">
        <w:t>1</w:t>
      </w:r>
    </w:p>
    <w:p w:rsidR="004951D4" w:rsidRPr="002436FD" w:rsidRDefault="004951D4" w:rsidP="002436FD">
      <w:pPr>
        <w:pStyle w:val="Item"/>
      </w:pPr>
      <w:r w:rsidRPr="002436FD">
        <w:t>Omit “</w:t>
      </w:r>
      <w:r w:rsidR="00FF0A4F" w:rsidRPr="002436FD">
        <w:t>ABR expenditure</w:t>
      </w:r>
      <w:r w:rsidRPr="002436FD">
        <w:t>”, substitute “</w:t>
      </w:r>
      <w:r w:rsidR="00FF0A4F" w:rsidRPr="002436FD">
        <w:t>standard uplift expenditure</w:t>
      </w:r>
      <w:r w:rsidRPr="002436FD">
        <w:t>”.</w:t>
      </w:r>
    </w:p>
    <w:p w:rsidR="0032361B" w:rsidRPr="002436FD" w:rsidRDefault="00EF06A8" w:rsidP="002436FD">
      <w:pPr>
        <w:pStyle w:val="ItemHead"/>
      </w:pPr>
      <w:r w:rsidRPr="002436FD">
        <w:t>41</w:t>
      </w:r>
      <w:r w:rsidR="0032361B" w:rsidRPr="002436FD">
        <w:t xml:space="preserve">  Paragraph 7(a) of Schedule</w:t>
      </w:r>
      <w:r w:rsidR="002436FD" w:rsidRPr="002436FD">
        <w:t> </w:t>
      </w:r>
      <w:r w:rsidR="0032361B" w:rsidRPr="002436FD">
        <w:t>1</w:t>
      </w:r>
    </w:p>
    <w:p w:rsidR="0032361B" w:rsidRPr="002436FD" w:rsidRDefault="0032361B" w:rsidP="002436FD">
      <w:pPr>
        <w:pStyle w:val="Item"/>
      </w:pPr>
      <w:r w:rsidRPr="002436FD">
        <w:t>Omit “class 2 augmented bond rate”, substitute “class 2 uplifted”.</w:t>
      </w:r>
    </w:p>
    <w:p w:rsidR="004951D4" w:rsidRPr="002436FD" w:rsidRDefault="00EF06A8" w:rsidP="002436FD">
      <w:pPr>
        <w:pStyle w:val="ItemHead"/>
      </w:pPr>
      <w:r w:rsidRPr="002436FD">
        <w:t>42</w:t>
      </w:r>
      <w:r w:rsidR="004951D4" w:rsidRPr="002436FD">
        <w:t xml:space="preserve">  Paragraph 7(b) of Schedule</w:t>
      </w:r>
      <w:r w:rsidR="002436FD" w:rsidRPr="002436FD">
        <w:t> </w:t>
      </w:r>
      <w:r w:rsidR="004951D4" w:rsidRPr="002436FD">
        <w:t>1</w:t>
      </w:r>
    </w:p>
    <w:p w:rsidR="004951D4" w:rsidRPr="002436FD" w:rsidRDefault="004951D4" w:rsidP="002436FD">
      <w:pPr>
        <w:pStyle w:val="Item"/>
      </w:pPr>
      <w:r w:rsidRPr="002436FD">
        <w:t>Omit “</w:t>
      </w:r>
      <w:r w:rsidR="00FF0A4F" w:rsidRPr="002436FD">
        <w:t>ABR expenditure</w:t>
      </w:r>
      <w:r w:rsidRPr="002436FD">
        <w:t>”, substitute “</w:t>
      </w:r>
      <w:r w:rsidR="00FF0A4F" w:rsidRPr="002436FD">
        <w:t>standard uplift expenditure</w:t>
      </w:r>
      <w:r w:rsidRPr="002436FD">
        <w:t>”.</w:t>
      </w:r>
    </w:p>
    <w:p w:rsidR="004951D4" w:rsidRPr="002436FD" w:rsidRDefault="00EF06A8" w:rsidP="002436FD">
      <w:pPr>
        <w:pStyle w:val="ItemHead"/>
      </w:pPr>
      <w:r w:rsidRPr="002436FD">
        <w:t>43</w:t>
      </w:r>
      <w:r w:rsidR="00FF0A4F" w:rsidRPr="002436FD">
        <w:t xml:space="preserve">  Subclause</w:t>
      </w:r>
      <w:r w:rsidR="002436FD" w:rsidRPr="002436FD">
        <w:t> </w:t>
      </w:r>
      <w:r w:rsidR="00FF0A4F" w:rsidRPr="002436FD">
        <w:t>8(3) of Schedule</w:t>
      </w:r>
      <w:r w:rsidR="002436FD" w:rsidRPr="002436FD">
        <w:t> </w:t>
      </w:r>
      <w:r w:rsidR="00FF0A4F" w:rsidRPr="002436FD">
        <w:t>1</w:t>
      </w:r>
    </w:p>
    <w:p w:rsidR="00FF0A4F" w:rsidRPr="002436FD" w:rsidRDefault="00FF0A4F" w:rsidP="002436FD">
      <w:pPr>
        <w:pStyle w:val="Item"/>
      </w:pPr>
      <w:r w:rsidRPr="002436FD">
        <w:t>Omit “</w:t>
      </w:r>
      <w:r w:rsidR="00A257AF" w:rsidRPr="002436FD">
        <w:t xml:space="preserve">an </w:t>
      </w:r>
      <w:r w:rsidRPr="002436FD">
        <w:t>ABR expenditure”, substitute “</w:t>
      </w:r>
      <w:r w:rsidR="00A257AF" w:rsidRPr="002436FD">
        <w:t xml:space="preserve">a </w:t>
      </w:r>
      <w:r w:rsidRPr="002436FD">
        <w:t>standard uplift expenditure”.</w:t>
      </w:r>
    </w:p>
    <w:p w:rsidR="0016447E" w:rsidRPr="002436FD" w:rsidRDefault="00EF06A8" w:rsidP="002436FD">
      <w:pPr>
        <w:pStyle w:val="ItemHead"/>
      </w:pPr>
      <w:r w:rsidRPr="002436FD">
        <w:t>44</w:t>
      </w:r>
      <w:r w:rsidR="0016447E" w:rsidRPr="002436FD">
        <w:t xml:space="preserve">  Paragraph</w:t>
      </w:r>
      <w:r w:rsidR="00FF0A4F" w:rsidRPr="002436FD">
        <w:t>s</w:t>
      </w:r>
      <w:r w:rsidR="0016447E" w:rsidRPr="002436FD">
        <w:t xml:space="preserve"> 8(3)(a) </w:t>
      </w:r>
      <w:r w:rsidR="00FF0A4F" w:rsidRPr="002436FD">
        <w:t xml:space="preserve">and (b) </w:t>
      </w:r>
      <w:r w:rsidR="0016447E" w:rsidRPr="002436FD">
        <w:t>of Schedule</w:t>
      </w:r>
      <w:r w:rsidR="002436FD" w:rsidRPr="002436FD">
        <w:t> </w:t>
      </w:r>
      <w:r w:rsidR="0016447E" w:rsidRPr="002436FD">
        <w:t>1</w:t>
      </w:r>
    </w:p>
    <w:p w:rsidR="00FF0A4F" w:rsidRPr="002436FD" w:rsidRDefault="00FF0A4F" w:rsidP="002436FD">
      <w:pPr>
        <w:pStyle w:val="Item"/>
      </w:pPr>
      <w:r w:rsidRPr="002436FD">
        <w:t>Repeal the paragraphs, substitute:</w:t>
      </w:r>
    </w:p>
    <w:p w:rsidR="0016447E" w:rsidRPr="002436FD" w:rsidRDefault="00FF0A4F" w:rsidP="002436FD">
      <w:pPr>
        <w:pStyle w:val="paragraph"/>
      </w:pPr>
      <w:r w:rsidRPr="002436FD">
        <w:tab/>
        <w:t>(a)</w:t>
      </w:r>
      <w:r w:rsidRPr="002436FD">
        <w:tab/>
        <w:t>if the standard uplift expenditure year is the financial year immediately before the assessable year—multiply the incurred exploration expenditure amount in relation to the standard uplift expenditure year by</w:t>
      </w:r>
      <w:r w:rsidR="0016447E" w:rsidRPr="002436FD">
        <w:t>:</w:t>
      </w:r>
    </w:p>
    <w:p w:rsidR="0016447E" w:rsidRPr="002436FD" w:rsidRDefault="0016447E" w:rsidP="002436FD">
      <w:pPr>
        <w:pStyle w:val="paragraphsub"/>
      </w:pPr>
      <w:r w:rsidRPr="002436FD">
        <w:tab/>
        <w:t>(</w:t>
      </w:r>
      <w:proofErr w:type="spellStart"/>
      <w:r w:rsidRPr="002436FD">
        <w:t>i</w:t>
      </w:r>
      <w:proofErr w:type="spellEnd"/>
      <w:r w:rsidRPr="002436FD">
        <w:t>)</w:t>
      </w:r>
      <w:r w:rsidRPr="002436FD">
        <w:tab/>
        <w:t xml:space="preserve">if the </w:t>
      </w:r>
      <w:r w:rsidR="00FF0A4F" w:rsidRPr="002436FD">
        <w:t xml:space="preserve">standard uplift </w:t>
      </w:r>
      <w:r w:rsidRPr="002436FD">
        <w:t>expenditure year starts before 1</w:t>
      </w:r>
      <w:r w:rsidR="002436FD" w:rsidRPr="002436FD">
        <w:t> </w:t>
      </w:r>
      <w:r w:rsidRPr="002436FD">
        <w:t>July 2019—the long</w:t>
      </w:r>
      <w:r w:rsidR="004802C7">
        <w:noBreakHyphen/>
      </w:r>
      <w:r w:rsidRPr="002436FD">
        <w:t xml:space="preserve">term bond rate in relation to the </w:t>
      </w:r>
      <w:r w:rsidR="00FF0A4F" w:rsidRPr="002436FD">
        <w:t xml:space="preserve">standard uplift </w:t>
      </w:r>
      <w:r w:rsidRPr="002436FD">
        <w:t>expenditure year plus 1.15; or</w:t>
      </w:r>
    </w:p>
    <w:p w:rsidR="0016447E" w:rsidRPr="002436FD" w:rsidRDefault="0016447E" w:rsidP="002436FD">
      <w:pPr>
        <w:pStyle w:val="paragraphsub"/>
      </w:pPr>
      <w:r w:rsidRPr="002436FD">
        <w:lastRenderedPageBreak/>
        <w:tab/>
        <w:t>(ii)</w:t>
      </w:r>
      <w:r w:rsidRPr="002436FD">
        <w:tab/>
        <w:t>otherwise—the long</w:t>
      </w:r>
      <w:r w:rsidR="004802C7">
        <w:noBreakHyphen/>
      </w:r>
      <w:r w:rsidRPr="002436FD">
        <w:t xml:space="preserve">term bond rate in relation to the </w:t>
      </w:r>
      <w:r w:rsidR="00FF0A4F" w:rsidRPr="002436FD">
        <w:t xml:space="preserve">standard uplift </w:t>
      </w:r>
      <w:r w:rsidRPr="002436FD">
        <w:t>expenditure year plus 1.05;</w:t>
      </w:r>
    </w:p>
    <w:p w:rsidR="00FF0A4F" w:rsidRPr="002436FD" w:rsidRDefault="00FF0A4F" w:rsidP="002436FD">
      <w:pPr>
        <w:pStyle w:val="paragraph"/>
      </w:pPr>
      <w:r w:rsidRPr="002436FD">
        <w:tab/>
        <w:t>(b)</w:t>
      </w:r>
      <w:r w:rsidRPr="002436FD">
        <w:tab/>
        <w:t>if the standard uplift expenditure year is an earlier financial year—work out, in relation to the standard uplift expenditure year and each later financial year ending before the assessable year, an amount in accordance with the formula:</w:t>
      </w:r>
    </w:p>
    <w:p w:rsidR="00C40722" w:rsidRPr="002436FD" w:rsidRDefault="00C40722" w:rsidP="002436FD">
      <w:pPr>
        <w:pStyle w:val="paragraph"/>
      </w:pPr>
      <w:r w:rsidRPr="002436FD">
        <w:tab/>
      </w:r>
      <w:r w:rsidRPr="002436FD">
        <w:tab/>
      </w:r>
      <w:r w:rsidR="00DD4790" w:rsidRPr="002436FD">
        <w:rPr>
          <w:position w:val="-10"/>
        </w:rPr>
        <w:object w:dxaOrig="3780" w:dyaOrig="420">
          <v:shape id="_x0000_i1028" type="#_x0000_t75" style="width:189pt;height:21pt" o:ole="">
            <v:imagedata r:id="rId24" o:title=""/>
          </v:shape>
          <o:OLEObject Type="Embed" ProgID="Equation.DSMT4" ShapeID="_x0000_i1028" DrawAspect="Content" ObjectID="_1616311967" r:id="rId25"/>
        </w:object>
      </w:r>
    </w:p>
    <w:p w:rsidR="00FF0A4F" w:rsidRPr="002436FD" w:rsidRDefault="00FF0A4F" w:rsidP="002436FD">
      <w:pPr>
        <w:pStyle w:val="paragraph"/>
      </w:pPr>
      <w:r w:rsidRPr="002436FD">
        <w:tab/>
      </w:r>
      <w:r w:rsidRPr="002436FD">
        <w:tab/>
        <w:t>where:</w:t>
      </w:r>
    </w:p>
    <w:p w:rsidR="00FF0A4F" w:rsidRPr="002436FD" w:rsidRDefault="00FF0A4F" w:rsidP="002436FD">
      <w:pPr>
        <w:pStyle w:val="paragraph"/>
      </w:pPr>
      <w:r w:rsidRPr="002436FD">
        <w:tab/>
      </w:r>
      <w:r w:rsidRPr="002436FD">
        <w:tab/>
      </w:r>
      <w:r w:rsidRPr="002436FD">
        <w:rPr>
          <w:b/>
          <w:i/>
        </w:rPr>
        <w:t>exploration expenditure amount</w:t>
      </w:r>
      <w:r w:rsidRPr="002436FD">
        <w:t xml:space="preserve"> means:</w:t>
      </w:r>
    </w:p>
    <w:p w:rsidR="00FF0A4F" w:rsidRPr="002436FD" w:rsidRDefault="00FF0A4F" w:rsidP="002436FD">
      <w:pPr>
        <w:pStyle w:val="paragraphsub"/>
      </w:pPr>
      <w:r w:rsidRPr="002436FD">
        <w:tab/>
        <w:t>(</w:t>
      </w:r>
      <w:proofErr w:type="spellStart"/>
      <w:r w:rsidRPr="002436FD">
        <w:t>i</w:t>
      </w:r>
      <w:proofErr w:type="spellEnd"/>
      <w:r w:rsidRPr="002436FD">
        <w:t>)</w:t>
      </w:r>
      <w:r w:rsidRPr="002436FD">
        <w:tab/>
        <w:t>in making the calculation in relation to the standard uplift expenditure year—the incurred exploration expenditure amount in relation to the standard uplift expenditure year; or</w:t>
      </w:r>
    </w:p>
    <w:p w:rsidR="00FF0A4F" w:rsidRPr="002436FD" w:rsidRDefault="00FF0A4F" w:rsidP="002436FD">
      <w:pPr>
        <w:pStyle w:val="paragraphsub"/>
      </w:pPr>
      <w:r w:rsidRPr="002436FD">
        <w:tab/>
        <w:t>(ii)</w:t>
      </w:r>
      <w:r w:rsidRPr="002436FD">
        <w:tab/>
        <w:t>in making the calculation in relation to one of the later financial years—the amount calculated under this paragraph in relation to the immediately preceding financial year for the purpose of working out the available exploration expenditure amount for the standard uplift expenditure year.</w:t>
      </w:r>
    </w:p>
    <w:p w:rsidR="00FF0A4F" w:rsidRPr="002436FD" w:rsidRDefault="00FF0A4F" w:rsidP="002436FD">
      <w:pPr>
        <w:pStyle w:val="paragraph"/>
      </w:pPr>
      <w:r w:rsidRPr="002436FD">
        <w:rPr>
          <w:b/>
          <w:i/>
        </w:rPr>
        <w:tab/>
      </w:r>
      <w:r w:rsidRPr="002436FD">
        <w:rPr>
          <w:b/>
          <w:i/>
        </w:rPr>
        <w:tab/>
        <w:t>uplift rate</w:t>
      </w:r>
      <w:r w:rsidRPr="002436FD">
        <w:t>, for the financial year in relation to which the calculation is being made</w:t>
      </w:r>
      <w:r w:rsidR="002E6EAC" w:rsidRPr="002436FD">
        <w:t xml:space="preserve"> (the </w:t>
      </w:r>
      <w:r w:rsidR="002E6EAC" w:rsidRPr="002436FD">
        <w:rPr>
          <w:b/>
          <w:i/>
        </w:rPr>
        <w:t>calculation year</w:t>
      </w:r>
      <w:r w:rsidR="002E6EAC" w:rsidRPr="002436FD">
        <w:t>)</w:t>
      </w:r>
      <w:r w:rsidRPr="002436FD">
        <w:t>, means:</w:t>
      </w:r>
    </w:p>
    <w:p w:rsidR="00FF0A4F" w:rsidRPr="002436FD" w:rsidRDefault="00FF0A4F" w:rsidP="002436FD">
      <w:pPr>
        <w:pStyle w:val="paragraphsub"/>
      </w:pPr>
      <w:r w:rsidRPr="002436FD">
        <w:tab/>
        <w:t>(</w:t>
      </w:r>
      <w:proofErr w:type="spellStart"/>
      <w:r w:rsidRPr="002436FD">
        <w:t>i</w:t>
      </w:r>
      <w:proofErr w:type="spellEnd"/>
      <w:r w:rsidRPr="002436FD">
        <w:t>)</w:t>
      </w:r>
      <w:r w:rsidRPr="002436FD">
        <w:tab/>
        <w:t>if both the standard uplift expenditure year and the calculation year start before 1</w:t>
      </w:r>
      <w:r w:rsidR="002436FD" w:rsidRPr="002436FD">
        <w:t> </w:t>
      </w:r>
      <w:r w:rsidRPr="002436FD">
        <w:t>July 2019—the long</w:t>
      </w:r>
      <w:r w:rsidR="004802C7">
        <w:noBreakHyphen/>
      </w:r>
      <w:r w:rsidRPr="002436FD">
        <w:t xml:space="preserve">term bond rate in relation to the calculation year plus 1.15; </w:t>
      </w:r>
      <w:r w:rsidR="00D00ADE" w:rsidRPr="002436FD">
        <w:t>or</w:t>
      </w:r>
    </w:p>
    <w:p w:rsidR="00FF0A4F" w:rsidRPr="002436FD" w:rsidRDefault="00FF0A4F" w:rsidP="002436FD">
      <w:pPr>
        <w:pStyle w:val="paragraphsub"/>
      </w:pPr>
      <w:r w:rsidRPr="002436FD">
        <w:tab/>
        <w:t>(ii)</w:t>
      </w:r>
      <w:r w:rsidRPr="002436FD">
        <w:tab/>
        <w:t>if the standard uplift expenditure year starts before 1</w:t>
      </w:r>
      <w:r w:rsidR="002436FD" w:rsidRPr="002436FD">
        <w:t> </w:t>
      </w:r>
      <w:r w:rsidRPr="002436FD">
        <w:t>July 2019 and the calculation year starts on or after 1</w:t>
      </w:r>
      <w:r w:rsidR="002436FD" w:rsidRPr="002436FD">
        <w:t> </w:t>
      </w:r>
      <w:r w:rsidRPr="002436FD">
        <w:t>July 2019—the long</w:t>
      </w:r>
      <w:r w:rsidR="004802C7">
        <w:noBreakHyphen/>
      </w:r>
      <w:r w:rsidRPr="002436FD">
        <w:t xml:space="preserve">term bond rate in relation to the calculation year plus 1.05; </w:t>
      </w:r>
      <w:r w:rsidR="00D00ADE" w:rsidRPr="002436FD">
        <w:t>or</w:t>
      </w:r>
    </w:p>
    <w:p w:rsidR="00FF0A4F" w:rsidRPr="002436FD" w:rsidRDefault="00FF0A4F" w:rsidP="002436FD">
      <w:pPr>
        <w:pStyle w:val="paragraphsub"/>
      </w:pPr>
      <w:r w:rsidRPr="002436FD">
        <w:tab/>
        <w:t>(iii)</w:t>
      </w:r>
      <w:r w:rsidRPr="002436FD">
        <w:tab/>
        <w:t>if the standard uplift expenditure year starts on or after 1</w:t>
      </w:r>
      <w:r w:rsidR="002436FD" w:rsidRPr="002436FD">
        <w:t> </w:t>
      </w:r>
      <w:r w:rsidRPr="002436FD">
        <w:t xml:space="preserve">July 2019 and the calculation year is 10 or more years after the standard uplift expenditure year—the GDP factor for the calculation year; </w:t>
      </w:r>
      <w:r w:rsidR="00D00ADE" w:rsidRPr="002436FD">
        <w:t>or</w:t>
      </w:r>
    </w:p>
    <w:p w:rsidR="00FF0A4F" w:rsidRPr="002436FD" w:rsidRDefault="00FF0A4F" w:rsidP="002436FD">
      <w:pPr>
        <w:pStyle w:val="paragraphsub"/>
      </w:pPr>
      <w:r w:rsidRPr="002436FD">
        <w:tab/>
        <w:t>(iv)</w:t>
      </w:r>
      <w:r w:rsidRPr="002436FD">
        <w:tab/>
        <w:t>in any other case—the long</w:t>
      </w:r>
      <w:r w:rsidR="004802C7">
        <w:noBreakHyphen/>
      </w:r>
      <w:r w:rsidRPr="002436FD">
        <w:t>term bond rate in relation to the calculation year plus 1.05;</w:t>
      </w:r>
    </w:p>
    <w:p w:rsidR="00FF0A4F" w:rsidRPr="002436FD" w:rsidRDefault="00EF06A8" w:rsidP="002436FD">
      <w:pPr>
        <w:pStyle w:val="ItemHead"/>
      </w:pPr>
      <w:r w:rsidRPr="002436FD">
        <w:t>45</w:t>
      </w:r>
      <w:r w:rsidR="00FF0A4F" w:rsidRPr="002436FD">
        <w:t xml:space="preserve">  Paragraph</w:t>
      </w:r>
      <w:r w:rsidR="00C40722" w:rsidRPr="002436FD">
        <w:t>s</w:t>
      </w:r>
      <w:r w:rsidR="00FF0A4F" w:rsidRPr="002436FD">
        <w:t xml:space="preserve"> 8(3)(</w:t>
      </w:r>
      <w:r w:rsidR="00C40722" w:rsidRPr="002436FD">
        <w:t>c</w:t>
      </w:r>
      <w:r w:rsidR="00FF0A4F" w:rsidRPr="002436FD">
        <w:t xml:space="preserve">) </w:t>
      </w:r>
      <w:r w:rsidR="00C40722" w:rsidRPr="002436FD">
        <w:t xml:space="preserve">and (d) </w:t>
      </w:r>
      <w:r w:rsidR="00FF0A4F" w:rsidRPr="002436FD">
        <w:t>of Schedule</w:t>
      </w:r>
      <w:r w:rsidR="002436FD" w:rsidRPr="002436FD">
        <w:t> </w:t>
      </w:r>
      <w:r w:rsidR="00FF0A4F" w:rsidRPr="002436FD">
        <w:t>1</w:t>
      </w:r>
    </w:p>
    <w:p w:rsidR="00C40722" w:rsidRPr="002436FD" w:rsidRDefault="00C40722" w:rsidP="002436FD">
      <w:pPr>
        <w:pStyle w:val="Item"/>
      </w:pPr>
      <w:r w:rsidRPr="002436FD">
        <w:t>Omit “ABR expenditure”, substitute “standard uplift expenditure”.</w:t>
      </w:r>
    </w:p>
    <w:p w:rsidR="002E6EAC" w:rsidRPr="002436FD" w:rsidRDefault="00EF06A8" w:rsidP="002436FD">
      <w:pPr>
        <w:pStyle w:val="ItemHead"/>
      </w:pPr>
      <w:r w:rsidRPr="002436FD">
        <w:lastRenderedPageBreak/>
        <w:t>46</w:t>
      </w:r>
      <w:r w:rsidR="002E6EAC" w:rsidRPr="002436FD">
        <w:t xml:space="preserve">  Subclause</w:t>
      </w:r>
      <w:r w:rsidR="002436FD" w:rsidRPr="002436FD">
        <w:t> </w:t>
      </w:r>
      <w:r w:rsidR="002E6EAC" w:rsidRPr="002436FD">
        <w:t>8(4) of Schedule</w:t>
      </w:r>
      <w:r w:rsidR="002436FD" w:rsidRPr="002436FD">
        <w:t> </w:t>
      </w:r>
      <w:r w:rsidR="002E6EAC" w:rsidRPr="002436FD">
        <w:t>1</w:t>
      </w:r>
    </w:p>
    <w:p w:rsidR="002E6EAC" w:rsidRPr="002436FD" w:rsidRDefault="002E6EAC" w:rsidP="002436FD">
      <w:pPr>
        <w:pStyle w:val="Item"/>
      </w:pPr>
      <w:r w:rsidRPr="002436FD">
        <w:t>Omit “ABR expenditure years is less”, substitute “standard uplift expenditure years is less”.</w:t>
      </w:r>
    </w:p>
    <w:p w:rsidR="002E6EAC" w:rsidRPr="002436FD" w:rsidRDefault="00EF06A8" w:rsidP="002436FD">
      <w:pPr>
        <w:pStyle w:val="ItemHead"/>
      </w:pPr>
      <w:r w:rsidRPr="002436FD">
        <w:t>47</w:t>
      </w:r>
      <w:r w:rsidR="002E6EAC" w:rsidRPr="002436FD">
        <w:t xml:space="preserve">  Paragraphs 8(4)(a) and (b) of Schedule</w:t>
      </w:r>
      <w:r w:rsidR="002436FD" w:rsidRPr="002436FD">
        <w:t> </w:t>
      </w:r>
      <w:r w:rsidR="002E6EAC" w:rsidRPr="002436FD">
        <w:t>1</w:t>
      </w:r>
    </w:p>
    <w:p w:rsidR="002E6EAC" w:rsidRPr="002436FD" w:rsidRDefault="002E6EAC" w:rsidP="002436FD">
      <w:pPr>
        <w:pStyle w:val="Item"/>
      </w:pPr>
      <w:r w:rsidRPr="002436FD">
        <w:t>Omit “class 2 augmented bond rate”, substitute “class 2 uplifted”.</w:t>
      </w:r>
    </w:p>
    <w:p w:rsidR="002E6EAC" w:rsidRPr="002436FD" w:rsidRDefault="00EF06A8" w:rsidP="002436FD">
      <w:pPr>
        <w:pStyle w:val="ItemHead"/>
      </w:pPr>
      <w:r w:rsidRPr="002436FD">
        <w:t>48</w:t>
      </w:r>
      <w:r w:rsidR="002E6EAC" w:rsidRPr="002436FD">
        <w:t xml:space="preserve">  Paragraphs 8(4)(b) and (c) of Schedule</w:t>
      </w:r>
      <w:r w:rsidR="002436FD" w:rsidRPr="002436FD">
        <w:t> </w:t>
      </w:r>
      <w:r w:rsidR="002E6EAC" w:rsidRPr="002436FD">
        <w:t>1</w:t>
      </w:r>
    </w:p>
    <w:p w:rsidR="002E6EAC" w:rsidRPr="002436FD" w:rsidRDefault="002E6EAC" w:rsidP="002436FD">
      <w:pPr>
        <w:pStyle w:val="Item"/>
      </w:pPr>
      <w:r w:rsidRPr="002436FD">
        <w:t>Omit “ABR expenditure”, substitute “standard uplift expenditure”.</w:t>
      </w:r>
    </w:p>
    <w:p w:rsidR="002E6EAC" w:rsidRPr="002436FD" w:rsidRDefault="00EF06A8" w:rsidP="002436FD">
      <w:pPr>
        <w:pStyle w:val="ItemHead"/>
      </w:pPr>
      <w:r w:rsidRPr="002436FD">
        <w:t>49</w:t>
      </w:r>
      <w:r w:rsidR="002E6EAC" w:rsidRPr="002436FD">
        <w:t xml:space="preserve">  Subclause</w:t>
      </w:r>
      <w:r w:rsidR="002436FD" w:rsidRPr="002436FD">
        <w:t> </w:t>
      </w:r>
      <w:r w:rsidR="002E6EAC" w:rsidRPr="002436FD">
        <w:t>8(5) of Schedule</w:t>
      </w:r>
      <w:r w:rsidR="002436FD" w:rsidRPr="002436FD">
        <w:t> </w:t>
      </w:r>
      <w:r w:rsidR="002E6EAC" w:rsidRPr="002436FD">
        <w:t>1</w:t>
      </w:r>
    </w:p>
    <w:p w:rsidR="002E6EAC" w:rsidRPr="002436FD" w:rsidRDefault="002E6EAC" w:rsidP="002436FD">
      <w:pPr>
        <w:pStyle w:val="Item"/>
      </w:pPr>
      <w:r w:rsidRPr="002436FD">
        <w:t>Omit “ABR expenditure years exceeds”, substitute “standard uplift expenditure years exceeds”.</w:t>
      </w:r>
    </w:p>
    <w:p w:rsidR="002E6EAC" w:rsidRPr="002436FD" w:rsidRDefault="00EF06A8" w:rsidP="002436FD">
      <w:pPr>
        <w:pStyle w:val="ItemHead"/>
      </w:pPr>
      <w:r w:rsidRPr="002436FD">
        <w:t>50</w:t>
      </w:r>
      <w:r w:rsidR="002E6EAC" w:rsidRPr="002436FD">
        <w:t xml:space="preserve">  Paragraphs 8(5)(a) and (b) of Schedule</w:t>
      </w:r>
      <w:r w:rsidR="002436FD" w:rsidRPr="002436FD">
        <w:t> </w:t>
      </w:r>
      <w:r w:rsidR="002E6EAC" w:rsidRPr="002436FD">
        <w:t>1</w:t>
      </w:r>
    </w:p>
    <w:p w:rsidR="002E6EAC" w:rsidRPr="002436FD" w:rsidRDefault="002E6EAC" w:rsidP="002436FD">
      <w:pPr>
        <w:pStyle w:val="Item"/>
      </w:pPr>
      <w:r w:rsidRPr="002436FD">
        <w:t>Omit “class 2 augmented bond rate”, substitute “class 2 uplifted”.</w:t>
      </w:r>
    </w:p>
    <w:p w:rsidR="002E6EAC" w:rsidRPr="002436FD" w:rsidRDefault="00EF06A8" w:rsidP="002436FD">
      <w:pPr>
        <w:pStyle w:val="ItemHead"/>
      </w:pPr>
      <w:r w:rsidRPr="002436FD">
        <w:t>51</w:t>
      </w:r>
      <w:r w:rsidR="002E6EAC" w:rsidRPr="002436FD">
        <w:t xml:space="preserve">  Paragraph 8(5)(c) of Schedule</w:t>
      </w:r>
      <w:r w:rsidR="002436FD" w:rsidRPr="002436FD">
        <w:t> </w:t>
      </w:r>
      <w:r w:rsidR="002E6EAC" w:rsidRPr="002436FD">
        <w:t>1</w:t>
      </w:r>
    </w:p>
    <w:p w:rsidR="002E6EAC" w:rsidRPr="002436FD" w:rsidRDefault="002E6EAC" w:rsidP="002436FD">
      <w:pPr>
        <w:pStyle w:val="Item"/>
      </w:pPr>
      <w:r w:rsidRPr="002436FD">
        <w:t>Omit “ABR expenditure years that is not expenditure to which that class 2 augmented bond rate”, substitute “standard uplift expenditure years that is not expenditure to which that class 2 uplifted”.</w:t>
      </w:r>
    </w:p>
    <w:p w:rsidR="002E6EAC" w:rsidRPr="002436FD" w:rsidRDefault="00EF06A8" w:rsidP="002436FD">
      <w:pPr>
        <w:pStyle w:val="ItemHead"/>
      </w:pPr>
      <w:r w:rsidRPr="002436FD">
        <w:t>52</w:t>
      </w:r>
      <w:r w:rsidR="002E6EAC" w:rsidRPr="002436FD">
        <w:t xml:space="preserve">  Paragraph 8(6)(a) of Sched</w:t>
      </w:r>
      <w:r w:rsidR="00080472" w:rsidRPr="002436FD">
        <w:t>u</w:t>
      </w:r>
      <w:r w:rsidR="002E6EAC" w:rsidRPr="002436FD">
        <w:t>le</w:t>
      </w:r>
      <w:r w:rsidR="002436FD" w:rsidRPr="002436FD">
        <w:t> </w:t>
      </w:r>
      <w:r w:rsidR="002E6EAC" w:rsidRPr="002436FD">
        <w:t>1</w:t>
      </w:r>
    </w:p>
    <w:p w:rsidR="00080472" w:rsidRPr="002436FD" w:rsidRDefault="00080472" w:rsidP="002436FD">
      <w:pPr>
        <w:pStyle w:val="Item"/>
      </w:pPr>
      <w:r w:rsidRPr="002436FD">
        <w:t>Omit “class 2 augmented bond rate”, substitute “class 2 uplifted”.</w:t>
      </w:r>
    </w:p>
    <w:p w:rsidR="002E6EAC" w:rsidRPr="002436FD" w:rsidRDefault="00EF06A8" w:rsidP="002436FD">
      <w:pPr>
        <w:pStyle w:val="ItemHead"/>
      </w:pPr>
      <w:r w:rsidRPr="002436FD">
        <w:t>53</w:t>
      </w:r>
      <w:r w:rsidR="00080472" w:rsidRPr="002436FD">
        <w:t xml:space="preserve">  Paragraph 8(6)(b) of Schedule</w:t>
      </w:r>
      <w:r w:rsidR="002436FD" w:rsidRPr="002436FD">
        <w:t> </w:t>
      </w:r>
      <w:r w:rsidR="00080472" w:rsidRPr="002436FD">
        <w:t>1</w:t>
      </w:r>
    </w:p>
    <w:p w:rsidR="00080472" w:rsidRPr="002436FD" w:rsidRDefault="00080472" w:rsidP="002436FD">
      <w:pPr>
        <w:pStyle w:val="Item"/>
      </w:pPr>
      <w:r w:rsidRPr="002436FD">
        <w:t>Omit “ABR expenditure”, substitute “standard uplift expenditure”.</w:t>
      </w:r>
    </w:p>
    <w:p w:rsidR="00080472" w:rsidRPr="002436FD" w:rsidRDefault="00EF06A8" w:rsidP="002436FD">
      <w:pPr>
        <w:pStyle w:val="ItemHead"/>
      </w:pPr>
      <w:r w:rsidRPr="002436FD">
        <w:t>54</w:t>
      </w:r>
      <w:r w:rsidR="00080472" w:rsidRPr="002436FD">
        <w:t xml:space="preserve">  Subclause</w:t>
      </w:r>
      <w:r w:rsidR="002436FD" w:rsidRPr="002436FD">
        <w:t> </w:t>
      </w:r>
      <w:r w:rsidR="00080472" w:rsidRPr="002436FD">
        <w:t>8(6) of Schedule</w:t>
      </w:r>
      <w:r w:rsidR="002436FD" w:rsidRPr="002436FD">
        <w:t> </w:t>
      </w:r>
      <w:r w:rsidR="00080472" w:rsidRPr="002436FD">
        <w:t>1</w:t>
      </w:r>
    </w:p>
    <w:p w:rsidR="00080472" w:rsidRPr="002436FD" w:rsidRDefault="00080472" w:rsidP="002436FD">
      <w:pPr>
        <w:pStyle w:val="Item"/>
      </w:pPr>
      <w:r w:rsidRPr="002436FD">
        <w:t>Omit “the class 2 augmented bond rate”, substitute “</w:t>
      </w:r>
      <w:r w:rsidR="00F03613" w:rsidRPr="002436FD">
        <w:t xml:space="preserve">the </w:t>
      </w:r>
      <w:r w:rsidRPr="002436FD">
        <w:t>class 2 uplifted”.</w:t>
      </w:r>
    </w:p>
    <w:p w:rsidR="00080472" w:rsidRPr="002436FD" w:rsidRDefault="00EF06A8" w:rsidP="002436FD">
      <w:pPr>
        <w:pStyle w:val="ItemHead"/>
      </w:pPr>
      <w:r w:rsidRPr="002436FD">
        <w:t>55</w:t>
      </w:r>
      <w:r w:rsidR="00080472" w:rsidRPr="002436FD">
        <w:t xml:space="preserve">  Subclause</w:t>
      </w:r>
      <w:r w:rsidR="002436FD" w:rsidRPr="002436FD">
        <w:t> </w:t>
      </w:r>
      <w:r w:rsidR="00080472" w:rsidRPr="002436FD">
        <w:t>8(6) of Schedule</w:t>
      </w:r>
      <w:r w:rsidR="002436FD" w:rsidRPr="002436FD">
        <w:t> </w:t>
      </w:r>
      <w:r w:rsidR="00080472" w:rsidRPr="002436FD">
        <w:t>1</w:t>
      </w:r>
    </w:p>
    <w:p w:rsidR="00080472" w:rsidRPr="002436FD" w:rsidRDefault="00080472" w:rsidP="002436FD">
      <w:pPr>
        <w:pStyle w:val="Item"/>
      </w:pPr>
      <w:r w:rsidRPr="002436FD">
        <w:t>Omit “for that ABR expenditure year” (wherever occurring), substitute “for that standard uplift expenditure year”.</w:t>
      </w:r>
    </w:p>
    <w:p w:rsidR="0032361B" w:rsidRPr="002436FD" w:rsidRDefault="00EF06A8" w:rsidP="002436FD">
      <w:pPr>
        <w:pStyle w:val="ItemHead"/>
      </w:pPr>
      <w:r w:rsidRPr="002436FD">
        <w:lastRenderedPageBreak/>
        <w:t>56</w:t>
      </w:r>
      <w:r w:rsidR="0032361B" w:rsidRPr="002436FD">
        <w:t xml:space="preserve">  Paragraph 8(7)(a) of Schedule</w:t>
      </w:r>
      <w:r w:rsidR="002436FD" w:rsidRPr="002436FD">
        <w:t> </w:t>
      </w:r>
      <w:r w:rsidR="0032361B" w:rsidRPr="002436FD">
        <w:t>1</w:t>
      </w:r>
    </w:p>
    <w:p w:rsidR="0032361B" w:rsidRPr="002436FD" w:rsidRDefault="0032361B" w:rsidP="002436FD">
      <w:pPr>
        <w:pStyle w:val="Item"/>
      </w:pPr>
      <w:r w:rsidRPr="002436FD">
        <w:t>Omit “class 2 augmented bond rate”, substitute “class 2 uplifted”.</w:t>
      </w:r>
    </w:p>
    <w:p w:rsidR="00A257AF" w:rsidRPr="002436FD" w:rsidRDefault="00EF06A8" w:rsidP="002436FD">
      <w:pPr>
        <w:pStyle w:val="ItemHead"/>
      </w:pPr>
      <w:r w:rsidRPr="002436FD">
        <w:t>57</w:t>
      </w:r>
      <w:r w:rsidR="00A257AF" w:rsidRPr="002436FD">
        <w:t xml:space="preserve">  Paragraph 8(7)(b) of Schedule</w:t>
      </w:r>
      <w:r w:rsidR="002436FD" w:rsidRPr="002436FD">
        <w:t> </w:t>
      </w:r>
      <w:r w:rsidR="00A257AF" w:rsidRPr="002436FD">
        <w:t>1</w:t>
      </w:r>
    </w:p>
    <w:p w:rsidR="00A257AF" w:rsidRPr="002436FD" w:rsidRDefault="00A257AF" w:rsidP="002436FD">
      <w:pPr>
        <w:pStyle w:val="Item"/>
      </w:pPr>
      <w:r w:rsidRPr="002436FD">
        <w:t>Omit “ABR expenditure”, substitute “standard uplift expenditure”.</w:t>
      </w:r>
    </w:p>
    <w:p w:rsidR="00A257AF" w:rsidRPr="002436FD" w:rsidRDefault="00EF06A8" w:rsidP="002436FD">
      <w:pPr>
        <w:pStyle w:val="ItemHead"/>
      </w:pPr>
      <w:r w:rsidRPr="002436FD">
        <w:t>58</w:t>
      </w:r>
      <w:r w:rsidR="00A257AF" w:rsidRPr="002436FD">
        <w:t xml:space="preserve">  Subparagraph 8(7)(c)(</w:t>
      </w:r>
      <w:proofErr w:type="spellStart"/>
      <w:r w:rsidR="00A257AF" w:rsidRPr="002436FD">
        <w:t>i</w:t>
      </w:r>
      <w:proofErr w:type="spellEnd"/>
      <w:r w:rsidR="00A257AF" w:rsidRPr="002436FD">
        <w:t>) of Schedule</w:t>
      </w:r>
      <w:r w:rsidR="002436FD" w:rsidRPr="002436FD">
        <w:t> </w:t>
      </w:r>
      <w:r w:rsidR="00A257AF" w:rsidRPr="002436FD">
        <w:t>1</w:t>
      </w:r>
    </w:p>
    <w:p w:rsidR="00A257AF" w:rsidRPr="002436FD" w:rsidRDefault="00A257AF" w:rsidP="002436FD">
      <w:pPr>
        <w:pStyle w:val="Item"/>
      </w:pPr>
      <w:r w:rsidRPr="002436FD">
        <w:t>Omit “ABR expenditure” (wherever occurring), substitute “standard uplift expenditure”.</w:t>
      </w:r>
    </w:p>
    <w:p w:rsidR="002E23F7" w:rsidRPr="002436FD" w:rsidRDefault="00EF06A8" w:rsidP="002436FD">
      <w:pPr>
        <w:pStyle w:val="ItemHead"/>
      </w:pPr>
      <w:r w:rsidRPr="002436FD">
        <w:t>59</w:t>
      </w:r>
      <w:r w:rsidR="002E23F7" w:rsidRPr="002436FD">
        <w:t xml:space="preserve">  Subparagraph 8(7)(c)(ii) of Schedule</w:t>
      </w:r>
      <w:r w:rsidR="002436FD" w:rsidRPr="002436FD">
        <w:t> </w:t>
      </w:r>
      <w:r w:rsidR="002E23F7" w:rsidRPr="002436FD">
        <w:t>1</w:t>
      </w:r>
    </w:p>
    <w:p w:rsidR="002E23F7" w:rsidRPr="002436FD" w:rsidRDefault="002E23F7" w:rsidP="002436FD">
      <w:pPr>
        <w:pStyle w:val="Item"/>
      </w:pPr>
      <w:r w:rsidRPr="002436FD">
        <w:t>Omit “an ABR expenditure”, substitute “a standard uplift expenditure”.</w:t>
      </w:r>
    </w:p>
    <w:p w:rsidR="002E23F7" w:rsidRPr="002436FD" w:rsidRDefault="00EF06A8" w:rsidP="002436FD">
      <w:pPr>
        <w:pStyle w:val="ItemHead"/>
      </w:pPr>
      <w:r w:rsidRPr="002436FD">
        <w:t>60</w:t>
      </w:r>
      <w:r w:rsidR="002E23F7" w:rsidRPr="002436FD">
        <w:t xml:space="preserve">  Subparagraph 8(7)(c)(ii) of Schedule</w:t>
      </w:r>
      <w:r w:rsidR="002436FD" w:rsidRPr="002436FD">
        <w:t> </w:t>
      </w:r>
      <w:r w:rsidR="002E23F7" w:rsidRPr="002436FD">
        <w:t>1</w:t>
      </w:r>
    </w:p>
    <w:p w:rsidR="002E23F7" w:rsidRPr="002436FD" w:rsidRDefault="002E23F7" w:rsidP="002436FD">
      <w:pPr>
        <w:pStyle w:val="Item"/>
      </w:pPr>
      <w:r w:rsidRPr="002436FD">
        <w:t>Omit “later ABR expenditure”, substitute “later standard uplift expenditure”.</w:t>
      </w:r>
    </w:p>
    <w:p w:rsidR="0032361B" w:rsidRPr="002436FD" w:rsidRDefault="00EF06A8" w:rsidP="002436FD">
      <w:pPr>
        <w:pStyle w:val="ItemHead"/>
      </w:pPr>
      <w:r w:rsidRPr="002436FD">
        <w:t>61</w:t>
      </w:r>
      <w:r w:rsidR="0032361B" w:rsidRPr="002436FD">
        <w:t xml:space="preserve">  Paragraph 8(7)(d) of Schedule</w:t>
      </w:r>
      <w:r w:rsidR="002436FD" w:rsidRPr="002436FD">
        <w:t> </w:t>
      </w:r>
      <w:r w:rsidR="0032361B" w:rsidRPr="002436FD">
        <w:t>1</w:t>
      </w:r>
    </w:p>
    <w:p w:rsidR="0032361B" w:rsidRPr="002436FD" w:rsidRDefault="0032361B" w:rsidP="002436FD">
      <w:pPr>
        <w:pStyle w:val="Item"/>
      </w:pPr>
      <w:r w:rsidRPr="002436FD">
        <w:t>Omit “class 2 augmented bond rate”, substitute “class 2 uplifted”.</w:t>
      </w:r>
    </w:p>
    <w:p w:rsidR="002E23F7" w:rsidRPr="002436FD" w:rsidRDefault="00EF06A8" w:rsidP="002436FD">
      <w:pPr>
        <w:pStyle w:val="ItemHead"/>
      </w:pPr>
      <w:r w:rsidRPr="002436FD">
        <w:t>62</w:t>
      </w:r>
      <w:r w:rsidR="002E23F7" w:rsidRPr="002436FD">
        <w:t xml:space="preserve">  Subparagraph 8(7)(d)(</w:t>
      </w:r>
      <w:proofErr w:type="spellStart"/>
      <w:r w:rsidR="002E23F7" w:rsidRPr="002436FD">
        <w:t>i</w:t>
      </w:r>
      <w:proofErr w:type="spellEnd"/>
      <w:r w:rsidR="002E23F7" w:rsidRPr="002436FD">
        <w:t>) of Schedule</w:t>
      </w:r>
      <w:r w:rsidR="002436FD" w:rsidRPr="002436FD">
        <w:t> </w:t>
      </w:r>
      <w:r w:rsidR="002E23F7" w:rsidRPr="002436FD">
        <w:t>1</w:t>
      </w:r>
    </w:p>
    <w:p w:rsidR="002E23F7" w:rsidRPr="002436FD" w:rsidRDefault="002E23F7" w:rsidP="002436FD">
      <w:pPr>
        <w:pStyle w:val="Item"/>
      </w:pPr>
      <w:r w:rsidRPr="002436FD">
        <w:t>Omit “ABR expenditure”, substitute “standard uplift expenditure”.</w:t>
      </w:r>
    </w:p>
    <w:p w:rsidR="002E23F7" w:rsidRPr="002436FD" w:rsidRDefault="00EF06A8" w:rsidP="002436FD">
      <w:pPr>
        <w:pStyle w:val="ItemHead"/>
      </w:pPr>
      <w:r w:rsidRPr="002436FD">
        <w:t>63</w:t>
      </w:r>
      <w:r w:rsidR="002E23F7" w:rsidRPr="002436FD">
        <w:t xml:space="preserve">  Subparagraph 8(7)(d)(ii) of Schedule</w:t>
      </w:r>
      <w:r w:rsidR="002436FD" w:rsidRPr="002436FD">
        <w:t> </w:t>
      </w:r>
      <w:r w:rsidR="002E23F7" w:rsidRPr="002436FD">
        <w:t>1</w:t>
      </w:r>
    </w:p>
    <w:p w:rsidR="002E23F7" w:rsidRPr="002436FD" w:rsidRDefault="002E23F7" w:rsidP="002436FD">
      <w:pPr>
        <w:pStyle w:val="Item"/>
      </w:pPr>
      <w:r w:rsidRPr="002436FD">
        <w:t>Omit “an ABR expenditure”, substitute “a standard uplift expenditure”.</w:t>
      </w:r>
    </w:p>
    <w:p w:rsidR="002E23F7" w:rsidRPr="002436FD" w:rsidRDefault="00EF06A8" w:rsidP="002436FD">
      <w:pPr>
        <w:pStyle w:val="ItemHead"/>
      </w:pPr>
      <w:r w:rsidRPr="002436FD">
        <w:t>64</w:t>
      </w:r>
      <w:r w:rsidR="002E23F7" w:rsidRPr="002436FD">
        <w:t xml:space="preserve">  Subparagraph 8(7)(d)(ii) of Schedule</w:t>
      </w:r>
      <w:r w:rsidR="002436FD" w:rsidRPr="002436FD">
        <w:t> </w:t>
      </w:r>
      <w:r w:rsidR="002E23F7" w:rsidRPr="002436FD">
        <w:t>1</w:t>
      </w:r>
    </w:p>
    <w:p w:rsidR="002E23F7" w:rsidRPr="002436FD" w:rsidRDefault="002E23F7" w:rsidP="002436FD">
      <w:pPr>
        <w:pStyle w:val="Item"/>
      </w:pPr>
      <w:r w:rsidRPr="002436FD">
        <w:t>Omit “that ABR expenditure”</w:t>
      </w:r>
      <w:r w:rsidR="00D00ADE" w:rsidRPr="002436FD">
        <w:t xml:space="preserve"> (wherever occurring)</w:t>
      </w:r>
      <w:r w:rsidRPr="002436FD">
        <w:t>, substitute “that standard uplift expenditure”.</w:t>
      </w:r>
    </w:p>
    <w:p w:rsidR="001D2276" w:rsidRPr="002436FD" w:rsidRDefault="00EF06A8" w:rsidP="002436FD">
      <w:pPr>
        <w:pStyle w:val="ItemHead"/>
      </w:pPr>
      <w:r w:rsidRPr="002436FD">
        <w:t>65</w:t>
      </w:r>
      <w:r w:rsidR="001D2276" w:rsidRPr="002436FD">
        <w:t xml:space="preserve">  Clause</w:t>
      </w:r>
      <w:r w:rsidR="002436FD" w:rsidRPr="002436FD">
        <w:t> </w:t>
      </w:r>
      <w:r w:rsidR="001D2276" w:rsidRPr="002436FD">
        <w:t>24 of Schedule</w:t>
      </w:r>
      <w:r w:rsidR="002436FD" w:rsidRPr="002436FD">
        <w:t> </w:t>
      </w:r>
      <w:r w:rsidR="001D2276" w:rsidRPr="002436FD">
        <w:t>1</w:t>
      </w:r>
      <w:r w:rsidR="002D4C2D" w:rsidRPr="002436FD">
        <w:t xml:space="preserve"> (heading)</w:t>
      </w:r>
    </w:p>
    <w:p w:rsidR="002D4C2D" w:rsidRPr="002436FD" w:rsidRDefault="00F03613" w:rsidP="002436FD">
      <w:pPr>
        <w:pStyle w:val="Item"/>
      </w:pPr>
      <w:r w:rsidRPr="002436FD">
        <w:t>Omit “</w:t>
      </w:r>
      <w:r w:rsidRPr="002436FD">
        <w:rPr>
          <w:b/>
        </w:rPr>
        <w:t>ABR expenditure</w:t>
      </w:r>
      <w:r w:rsidRPr="002436FD">
        <w:t xml:space="preserve">”, substitute </w:t>
      </w:r>
      <w:r w:rsidR="002D4C2D" w:rsidRPr="002436FD">
        <w:t>“</w:t>
      </w:r>
      <w:r w:rsidR="002D4C2D" w:rsidRPr="002436FD">
        <w:rPr>
          <w:b/>
        </w:rPr>
        <w:t>standard uplift expenditure</w:t>
      </w:r>
      <w:r w:rsidR="002D4C2D" w:rsidRPr="002436FD">
        <w:t>”.</w:t>
      </w:r>
    </w:p>
    <w:p w:rsidR="001D2276" w:rsidRPr="002436FD" w:rsidRDefault="00EF06A8" w:rsidP="002436FD">
      <w:pPr>
        <w:pStyle w:val="ItemHead"/>
      </w:pPr>
      <w:r w:rsidRPr="002436FD">
        <w:t>66</w:t>
      </w:r>
      <w:r w:rsidR="001D2276" w:rsidRPr="002436FD">
        <w:t xml:space="preserve">  Paragraph 24(a) of Schedule</w:t>
      </w:r>
      <w:r w:rsidR="002436FD" w:rsidRPr="002436FD">
        <w:t> </w:t>
      </w:r>
      <w:r w:rsidR="001D2276" w:rsidRPr="002436FD">
        <w:t>1</w:t>
      </w:r>
    </w:p>
    <w:p w:rsidR="001D2276" w:rsidRPr="002436FD" w:rsidRDefault="001D2276" w:rsidP="002436FD">
      <w:pPr>
        <w:pStyle w:val="Item"/>
      </w:pPr>
      <w:r w:rsidRPr="002436FD">
        <w:t>Omit “</w:t>
      </w:r>
      <w:r w:rsidR="002E23F7" w:rsidRPr="002436FD">
        <w:t xml:space="preserve">an </w:t>
      </w:r>
      <w:r w:rsidRPr="002436FD">
        <w:t>ABR expenditure”, substitute “</w:t>
      </w:r>
      <w:r w:rsidR="002E23F7" w:rsidRPr="002436FD">
        <w:t xml:space="preserve">a </w:t>
      </w:r>
      <w:r w:rsidRPr="002436FD">
        <w:t>standard uplift expenditure”.</w:t>
      </w:r>
    </w:p>
    <w:p w:rsidR="002E23F7" w:rsidRPr="002436FD" w:rsidRDefault="00EF06A8" w:rsidP="002436FD">
      <w:pPr>
        <w:pStyle w:val="ItemHead"/>
      </w:pPr>
      <w:r w:rsidRPr="002436FD">
        <w:lastRenderedPageBreak/>
        <w:t>67</w:t>
      </w:r>
      <w:r w:rsidR="002E23F7" w:rsidRPr="002436FD">
        <w:t xml:space="preserve">  Paragraph 24(c) of Schedule</w:t>
      </w:r>
      <w:r w:rsidR="002436FD" w:rsidRPr="002436FD">
        <w:t> </w:t>
      </w:r>
      <w:r w:rsidR="002E23F7" w:rsidRPr="002436FD">
        <w:t>1</w:t>
      </w:r>
    </w:p>
    <w:p w:rsidR="002E23F7" w:rsidRPr="002436FD" w:rsidRDefault="002E23F7" w:rsidP="002436FD">
      <w:pPr>
        <w:pStyle w:val="Item"/>
      </w:pPr>
      <w:r w:rsidRPr="002436FD">
        <w:t>Omit “ABR expenditure”, substitute “standard uplift expenditure”.</w:t>
      </w:r>
    </w:p>
    <w:p w:rsidR="001D2276" w:rsidRPr="002436FD" w:rsidRDefault="00EF06A8" w:rsidP="002436FD">
      <w:pPr>
        <w:pStyle w:val="ItemHead"/>
      </w:pPr>
      <w:r w:rsidRPr="002436FD">
        <w:t>68</w:t>
      </w:r>
      <w:r w:rsidR="001D2276" w:rsidRPr="002436FD">
        <w:t xml:space="preserve">  Subparagraph 25(c)(</w:t>
      </w:r>
      <w:proofErr w:type="spellStart"/>
      <w:r w:rsidR="001D2276" w:rsidRPr="002436FD">
        <w:t>i</w:t>
      </w:r>
      <w:proofErr w:type="spellEnd"/>
      <w:r w:rsidR="001D2276" w:rsidRPr="002436FD">
        <w:t>) of Schedule</w:t>
      </w:r>
      <w:r w:rsidR="002436FD" w:rsidRPr="002436FD">
        <w:t> </w:t>
      </w:r>
      <w:r w:rsidR="001D2276" w:rsidRPr="002436FD">
        <w:t>1</w:t>
      </w:r>
    </w:p>
    <w:p w:rsidR="001D2276" w:rsidRPr="002436FD" w:rsidRDefault="001D2276" w:rsidP="002436FD">
      <w:pPr>
        <w:pStyle w:val="Item"/>
      </w:pPr>
      <w:r w:rsidRPr="002436FD">
        <w:t>Omit “</w:t>
      </w:r>
      <w:r w:rsidR="002E23F7" w:rsidRPr="002436FD">
        <w:t xml:space="preserve">an </w:t>
      </w:r>
      <w:r w:rsidRPr="002436FD">
        <w:t>ABR expenditure”, substitute “</w:t>
      </w:r>
      <w:r w:rsidR="002E23F7" w:rsidRPr="002436FD">
        <w:t xml:space="preserve">a </w:t>
      </w:r>
      <w:r w:rsidRPr="002436FD">
        <w:t>standard uplift expenditure”.</w:t>
      </w:r>
    </w:p>
    <w:p w:rsidR="002D4C2D" w:rsidRPr="002436FD" w:rsidRDefault="00EF06A8" w:rsidP="002436FD">
      <w:pPr>
        <w:pStyle w:val="ItemHead"/>
      </w:pPr>
      <w:r w:rsidRPr="002436FD">
        <w:t>69</w:t>
      </w:r>
      <w:r w:rsidR="002D4C2D" w:rsidRPr="002436FD">
        <w:t xml:space="preserve">  Clause</w:t>
      </w:r>
      <w:r w:rsidR="002436FD" w:rsidRPr="002436FD">
        <w:t> </w:t>
      </w:r>
      <w:r w:rsidR="002D4C2D" w:rsidRPr="002436FD">
        <w:t>33 of Schedule</w:t>
      </w:r>
      <w:r w:rsidR="002436FD" w:rsidRPr="002436FD">
        <w:t> </w:t>
      </w:r>
      <w:r w:rsidR="002D4C2D" w:rsidRPr="002436FD">
        <w:t>1</w:t>
      </w:r>
    </w:p>
    <w:p w:rsidR="00F03613" w:rsidRPr="002436FD" w:rsidRDefault="00F03613" w:rsidP="002436FD">
      <w:pPr>
        <w:pStyle w:val="Item"/>
      </w:pPr>
      <w:r w:rsidRPr="002436FD">
        <w:t>Omit “</w:t>
      </w:r>
      <w:r w:rsidRPr="002436FD">
        <w:rPr>
          <w:b/>
        </w:rPr>
        <w:t>ABR expenditure</w:t>
      </w:r>
      <w:r w:rsidRPr="002436FD">
        <w:t>”, substitute “</w:t>
      </w:r>
      <w:r w:rsidRPr="002436FD">
        <w:rPr>
          <w:b/>
        </w:rPr>
        <w:t>standard uplift expenditure</w:t>
      </w:r>
      <w:r w:rsidRPr="002436FD">
        <w:t>”.</w:t>
      </w:r>
    </w:p>
    <w:p w:rsidR="001D2276" w:rsidRPr="002436FD" w:rsidRDefault="00EF06A8" w:rsidP="002436FD">
      <w:pPr>
        <w:pStyle w:val="ItemHead"/>
      </w:pPr>
      <w:r w:rsidRPr="002436FD">
        <w:t>70</w:t>
      </w:r>
      <w:r w:rsidR="001D2276" w:rsidRPr="002436FD">
        <w:t xml:space="preserve">  Paragraph 33(a) of Schedule</w:t>
      </w:r>
      <w:r w:rsidR="002436FD" w:rsidRPr="002436FD">
        <w:t> </w:t>
      </w:r>
      <w:r w:rsidR="001D2276" w:rsidRPr="002436FD">
        <w:t>1</w:t>
      </w:r>
    </w:p>
    <w:p w:rsidR="001D2276" w:rsidRPr="002436FD" w:rsidRDefault="001D2276" w:rsidP="002436FD">
      <w:pPr>
        <w:pStyle w:val="Item"/>
      </w:pPr>
      <w:r w:rsidRPr="002436FD">
        <w:t>Omit “</w:t>
      </w:r>
      <w:r w:rsidR="002E23F7" w:rsidRPr="002436FD">
        <w:t xml:space="preserve">an </w:t>
      </w:r>
      <w:r w:rsidRPr="002436FD">
        <w:t>ABR expenditure”, substitute “</w:t>
      </w:r>
      <w:r w:rsidR="002E23F7" w:rsidRPr="002436FD">
        <w:t xml:space="preserve">a </w:t>
      </w:r>
      <w:r w:rsidRPr="002436FD">
        <w:t>standard uplift expenditure”.</w:t>
      </w:r>
    </w:p>
    <w:p w:rsidR="002E23F7" w:rsidRPr="002436FD" w:rsidRDefault="00EF06A8" w:rsidP="002436FD">
      <w:pPr>
        <w:pStyle w:val="ItemHead"/>
      </w:pPr>
      <w:r w:rsidRPr="002436FD">
        <w:t>71</w:t>
      </w:r>
      <w:r w:rsidR="002E23F7" w:rsidRPr="002436FD">
        <w:t xml:space="preserve">  Paragraph 33(c) of Schedule</w:t>
      </w:r>
      <w:r w:rsidR="002436FD" w:rsidRPr="002436FD">
        <w:t> </w:t>
      </w:r>
      <w:r w:rsidR="002E23F7" w:rsidRPr="002436FD">
        <w:t>1</w:t>
      </w:r>
    </w:p>
    <w:p w:rsidR="002E23F7" w:rsidRPr="002436FD" w:rsidRDefault="002E23F7" w:rsidP="002436FD">
      <w:pPr>
        <w:pStyle w:val="Item"/>
      </w:pPr>
      <w:r w:rsidRPr="002436FD">
        <w:t>Omit “ABR expenditure”, substitute “standard uplift expenditure”.</w:t>
      </w:r>
    </w:p>
    <w:p w:rsidR="001D2276" w:rsidRPr="002436FD" w:rsidRDefault="00EF06A8" w:rsidP="002436FD">
      <w:pPr>
        <w:pStyle w:val="ItemHead"/>
      </w:pPr>
      <w:r w:rsidRPr="002436FD">
        <w:t>72</w:t>
      </w:r>
      <w:r w:rsidR="001D2276" w:rsidRPr="002436FD">
        <w:t xml:space="preserve">  Subparagraph 34(c)(</w:t>
      </w:r>
      <w:proofErr w:type="spellStart"/>
      <w:r w:rsidR="001D2276" w:rsidRPr="002436FD">
        <w:t>i</w:t>
      </w:r>
      <w:proofErr w:type="spellEnd"/>
      <w:r w:rsidR="001D2276" w:rsidRPr="002436FD">
        <w:t>) of Schedule</w:t>
      </w:r>
      <w:r w:rsidR="002436FD" w:rsidRPr="002436FD">
        <w:t> </w:t>
      </w:r>
      <w:r w:rsidR="001D2276" w:rsidRPr="002436FD">
        <w:t>1</w:t>
      </w:r>
    </w:p>
    <w:p w:rsidR="001D2276" w:rsidRPr="002436FD" w:rsidRDefault="001D2276" w:rsidP="002436FD">
      <w:pPr>
        <w:pStyle w:val="Item"/>
      </w:pPr>
      <w:r w:rsidRPr="002436FD">
        <w:t>Omit “</w:t>
      </w:r>
      <w:r w:rsidR="002E23F7" w:rsidRPr="002436FD">
        <w:t xml:space="preserve">an </w:t>
      </w:r>
      <w:r w:rsidRPr="002436FD">
        <w:t>ABR expenditure”, substitute “</w:t>
      </w:r>
      <w:r w:rsidR="002E23F7" w:rsidRPr="002436FD">
        <w:t xml:space="preserve">a </w:t>
      </w:r>
      <w:r w:rsidRPr="002436FD">
        <w:t>standard uplift expenditure”.</w:t>
      </w:r>
    </w:p>
    <w:p w:rsidR="009D1098" w:rsidRPr="002436FD" w:rsidRDefault="00EF06A8" w:rsidP="002436FD">
      <w:pPr>
        <w:pStyle w:val="ItemHead"/>
      </w:pPr>
      <w:r w:rsidRPr="002436FD">
        <w:t>73</w:t>
      </w:r>
      <w:r w:rsidR="009D1098" w:rsidRPr="002436FD">
        <w:t xml:space="preserve">  Clause</w:t>
      </w:r>
      <w:r w:rsidR="002436FD" w:rsidRPr="002436FD">
        <w:t> </w:t>
      </w:r>
      <w:r w:rsidR="009D1098" w:rsidRPr="002436FD">
        <w:t>37 of Schedule</w:t>
      </w:r>
      <w:r w:rsidR="002436FD" w:rsidRPr="002436FD">
        <w:t> </w:t>
      </w:r>
      <w:r w:rsidR="009D1098" w:rsidRPr="002436FD">
        <w:t>1</w:t>
      </w:r>
    </w:p>
    <w:p w:rsidR="009D1098" w:rsidRPr="002436FD" w:rsidRDefault="009D1098" w:rsidP="002436FD">
      <w:pPr>
        <w:pStyle w:val="Item"/>
      </w:pPr>
      <w:r w:rsidRPr="002436FD">
        <w:t>Repeal the clause, substitute:</w:t>
      </w:r>
    </w:p>
    <w:p w:rsidR="00655F58" w:rsidRPr="002436FD" w:rsidRDefault="00655F58" w:rsidP="002436FD">
      <w:pPr>
        <w:pStyle w:val="ActHead5"/>
      </w:pPr>
      <w:bookmarkStart w:id="11" w:name="_Toc5698329"/>
      <w:r w:rsidRPr="002436FD">
        <w:rPr>
          <w:rStyle w:val="CharSectno"/>
        </w:rPr>
        <w:t>36A</w:t>
      </w:r>
      <w:r w:rsidRPr="002436FD">
        <w:t xml:space="preserve">  Transfer years that start on or after 1</w:t>
      </w:r>
      <w:r w:rsidR="002436FD" w:rsidRPr="002436FD">
        <w:t> </w:t>
      </w:r>
      <w:r w:rsidRPr="002436FD">
        <w:t>July 2019</w:t>
      </w:r>
      <w:bookmarkEnd w:id="11"/>
    </w:p>
    <w:p w:rsidR="00655F58" w:rsidRPr="002436FD" w:rsidRDefault="00655F58" w:rsidP="002436FD">
      <w:pPr>
        <w:pStyle w:val="subsection"/>
      </w:pPr>
      <w:r w:rsidRPr="002436FD">
        <w:tab/>
        <w:t>(1)</w:t>
      </w:r>
      <w:r w:rsidRPr="002436FD">
        <w:tab/>
        <w:t>This clause applies if the transfer year starts on or after 1</w:t>
      </w:r>
      <w:r w:rsidR="002436FD" w:rsidRPr="002436FD">
        <w:t> </w:t>
      </w:r>
      <w:r w:rsidRPr="002436FD">
        <w:t>July 2019.</w:t>
      </w:r>
    </w:p>
    <w:p w:rsidR="00655F58" w:rsidRPr="002436FD" w:rsidRDefault="00655F58" w:rsidP="002436FD">
      <w:pPr>
        <w:pStyle w:val="subsection"/>
      </w:pPr>
      <w:r w:rsidRPr="002436FD">
        <w:tab/>
        <w:t>(2)</w:t>
      </w:r>
      <w:r w:rsidRPr="002436FD">
        <w:tab/>
        <w:t xml:space="preserve">If the financial year in which the expenditure was incurred (the </w:t>
      </w:r>
      <w:r w:rsidRPr="002436FD">
        <w:rPr>
          <w:b/>
          <w:i/>
        </w:rPr>
        <w:t>expenditure year</w:t>
      </w:r>
      <w:r w:rsidRPr="002436FD">
        <w:t>) is the financial year immediately before the transfer year then, for the purposes of subsection</w:t>
      </w:r>
      <w:r w:rsidR="002436FD" w:rsidRPr="002436FD">
        <w:t> </w:t>
      </w:r>
      <w:r w:rsidRPr="002436FD">
        <w:t>45D(2), the transfer is taken to be of the amount worked out by multiplying the amount actually transferred by the long</w:t>
      </w:r>
      <w:r w:rsidR="004802C7">
        <w:noBreakHyphen/>
      </w:r>
      <w:r w:rsidRPr="002436FD">
        <w:t>term bond rate in relation to the expenditure year plus 1.05.</w:t>
      </w:r>
    </w:p>
    <w:p w:rsidR="00655F58" w:rsidRPr="002436FD" w:rsidRDefault="00655F58" w:rsidP="002436FD">
      <w:pPr>
        <w:pStyle w:val="subsection"/>
      </w:pPr>
      <w:r w:rsidRPr="002436FD">
        <w:tab/>
        <w:t>(3)</w:t>
      </w:r>
      <w:r w:rsidRPr="002436FD">
        <w:tab/>
      </w:r>
      <w:r w:rsidR="005237DA" w:rsidRPr="002436FD">
        <w:t xml:space="preserve">If the financial year in which the expenditure was incurred (the </w:t>
      </w:r>
      <w:r w:rsidR="005237DA" w:rsidRPr="002436FD">
        <w:rPr>
          <w:b/>
          <w:i/>
        </w:rPr>
        <w:t>expenditure year</w:t>
      </w:r>
      <w:r w:rsidR="005237DA" w:rsidRPr="002436FD">
        <w:t xml:space="preserve">) </w:t>
      </w:r>
      <w:r w:rsidRPr="002436FD">
        <w:t>is not the financial year immediately before the transfer year, the following provisions apply:</w:t>
      </w:r>
    </w:p>
    <w:p w:rsidR="00655F58" w:rsidRPr="002436FD" w:rsidRDefault="00655F58" w:rsidP="002436FD">
      <w:pPr>
        <w:pStyle w:val="paragraph"/>
      </w:pPr>
      <w:r w:rsidRPr="002436FD">
        <w:tab/>
        <w:t>(a)</w:t>
      </w:r>
      <w:r w:rsidRPr="002436FD">
        <w:tab/>
        <w:t>work out, in relation to the expenditure year and each later financial year ending before the transfer year, an amount in accordance with the formula:</w:t>
      </w:r>
    </w:p>
    <w:p w:rsidR="00655F58" w:rsidRPr="002436FD" w:rsidRDefault="00655F58" w:rsidP="002436FD">
      <w:pPr>
        <w:pStyle w:val="paragraph"/>
      </w:pPr>
      <w:r w:rsidRPr="002436FD">
        <w:lastRenderedPageBreak/>
        <w:tab/>
      </w:r>
      <w:r w:rsidRPr="002436FD">
        <w:tab/>
      </w:r>
      <w:r w:rsidRPr="002436FD">
        <w:rPr>
          <w:position w:val="-10"/>
        </w:rPr>
        <w:object w:dxaOrig="2780" w:dyaOrig="420">
          <v:shape id="_x0000_i1029" type="#_x0000_t75" style="width:139.5pt;height:21pt" o:ole="">
            <v:imagedata r:id="rId26" o:title=""/>
          </v:shape>
          <o:OLEObject Type="Embed" ProgID="Equation.DSMT4" ShapeID="_x0000_i1029" DrawAspect="Content" ObjectID="_1616311968" r:id="rId27"/>
        </w:object>
      </w:r>
    </w:p>
    <w:p w:rsidR="00655F58" w:rsidRPr="002436FD" w:rsidRDefault="00655F58" w:rsidP="002436FD">
      <w:pPr>
        <w:pStyle w:val="paragraph"/>
      </w:pPr>
      <w:r w:rsidRPr="002436FD">
        <w:tab/>
      </w:r>
      <w:r w:rsidRPr="002436FD">
        <w:tab/>
        <w:t>where:</w:t>
      </w:r>
    </w:p>
    <w:p w:rsidR="00655F58" w:rsidRPr="002436FD" w:rsidRDefault="00655F58" w:rsidP="002436FD">
      <w:pPr>
        <w:pStyle w:val="paragraph"/>
        <w:keepNext/>
      </w:pPr>
      <w:r w:rsidRPr="002436FD">
        <w:rPr>
          <w:b/>
          <w:i/>
        </w:rPr>
        <w:tab/>
      </w:r>
      <w:r w:rsidRPr="002436FD">
        <w:rPr>
          <w:b/>
        </w:rPr>
        <w:tab/>
      </w:r>
      <w:r w:rsidRPr="002436FD">
        <w:rPr>
          <w:b/>
          <w:i/>
        </w:rPr>
        <w:t>transferred amount</w:t>
      </w:r>
      <w:r w:rsidRPr="002436FD">
        <w:t xml:space="preserve"> means:</w:t>
      </w:r>
    </w:p>
    <w:p w:rsidR="00655F58" w:rsidRPr="002436FD" w:rsidRDefault="00655F58" w:rsidP="002436FD">
      <w:pPr>
        <w:pStyle w:val="paragraphsub"/>
      </w:pPr>
      <w:r w:rsidRPr="002436FD">
        <w:tab/>
        <w:t>(</w:t>
      </w:r>
      <w:proofErr w:type="spellStart"/>
      <w:r w:rsidRPr="002436FD">
        <w:t>i</w:t>
      </w:r>
      <w:proofErr w:type="spellEnd"/>
      <w:r w:rsidRPr="002436FD">
        <w:t>)</w:t>
      </w:r>
      <w:r w:rsidRPr="002436FD">
        <w:tab/>
        <w:t>in making the calculation in relation to the expenditure year—the amount of expenditure actually transferred; and</w:t>
      </w:r>
    </w:p>
    <w:p w:rsidR="00655F58" w:rsidRPr="002436FD" w:rsidRDefault="00655F58" w:rsidP="002436FD">
      <w:pPr>
        <w:pStyle w:val="paragraphsub"/>
      </w:pPr>
      <w:r w:rsidRPr="002436FD">
        <w:tab/>
        <w:t>(ii)</w:t>
      </w:r>
      <w:r w:rsidRPr="002436FD">
        <w:tab/>
        <w:t>in making the calculation in relation to a later financial year—the amount calculated under this paragraph in relation to the expenditure and the immediately preceding financial year.</w:t>
      </w:r>
    </w:p>
    <w:p w:rsidR="005237DA" w:rsidRPr="002436FD" w:rsidRDefault="005237DA" w:rsidP="002436FD">
      <w:pPr>
        <w:pStyle w:val="paragraph"/>
      </w:pPr>
      <w:r w:rsidRPr="002436FD">
        <w:rPr>
          <w:b/>
          <w:i/>
        </w:rPr>
        <w:tab/>
      </w:r>
      <w:r w:rsidRPr="002436FD">
        <w:rPr>
          <w:b/>
          <w:i/>
        </w:rPr>
        <w:tab/>
        <w:t>uplift rate</w:t>
      </w:r>
      <w:r w:rsidRPr="002436FD">
        <w:t xml:space="preserve">, for the financial year in relation to which the calculation is being made (the </w:t>
      </w:r>
      <w:r w:rsidRPr="002436FD">
        <w:rPr>
          <w:b/>
          <w:i/>
        </w:rPr>
        <w:t>calculation year</w:t>
      </w:r>
      <w:r w:rsidRPr="002436FD">
        <w:t>), means:</w:t>
      </w:r>
    </w:p>
    <w:p w:rsidR="005237DA" w:rsidRPr="002436FD" w:rsidRDefault="005237DA" w:rsidP="002436FD">
      <w:pPr>
        <w:pStyle w:val="paragraphsub"/>
      </w:pPr>
      <w:r w:rsidRPr="002436FD">
        <w:tab/>
        <w:t>(</w:t>
      </w:r>
      <w:proofErr w:type="spellStart"/>
      <w:r w:rsidRPr="002436FD">
        <w:t>i</w:t>
      </w:r>
      <w:proofErr w:type="spellEnd"/>
      <w:r w:rsidRPr="002436FD">
        <w:t>)</w:t>
      </w:r>
      <w:r w:rsidRPr="002436FD">
        <w:tab/>
        <w:t>if the calculation year is 10 or more years after the expenditure year—the GDP factor for the calculation year; and</w:t>
      </w:r>
    </w:p>
    <w:p w:rsidR="005237DA" w:rsidRPr="002436FD" w:rsidRDefault="005237DA" w:rsidP="002436FD">
      <w:pPr>
        <w:pStyle w:val="paragraphsub"/>
      </w:pPr>
      <w:r w:rsidRPr="002436FD">
        <w:tab/>
        <w:t>(ii)</w:t>
      </w:r>
      <w:r w:rsidRPr="002436FD">
        <w:tab/>
      </w:r>
      <w:r w:rsidR="009D1098" w:rsidRPr="002436FD">
        <w:t>otherwise</w:t>
      </w:r>
      <w:r w:rsidRPr="002436FD">
        <w:t>—the long</w:t>
      </w:r>
      <w:r w:rsidR="004802C7">
        <w:noBreakHyphen/>
      </w:r>
      <w:r w:rsidRPr="002436FD">
        <w:t>term bond rate in relation to the calculation year plus 1.05;</w:t>
      </w:r>
    </w:p>
    <w:p w:rsidR="00655F58" w:rsidRPr="002436FD" w:rsidRDefault="00655F58" w:rsidP="002436FD">
      <w:pPr>
        <w:pStyle w:val="paragraph"/>
      </w:pPr>
      <w:r w:rsidRPr="002436FD">
        <w:tab/>
        <w:t>(b)</w:t>
      </w:r>
      <w:r w:rsidRPr="002436FD">
        <w:tab/>
        <w:t>for the purposes of subsection</w:t>
      </w:r>
      <w:r w:rsidR="002436FD" w:rsidRPr="002436FD">
        <w:t> </w:t>
      </w:r>
      <w:r w:rsidRPr="002436FD">
        <w:t xml:space="preserve">45D(2), the transfer is taken to be of the amount worked out under </w:t>
      </w:r>
      <w:r w:rsidR="002436FD" w:rsidRPr="002436FD">
        <w:t>paragraph (</w:t>
      </w:r>
      <w:r w:rsidRPr="002436FD">
        <w:t>a) in relation to the expenditure and the financial year immediately before the transfer year.</w:t>
      </w:r>
    </w:p>
    <w:p w:rsidR="002D2C32" w:rsidRPr="002436FD" w:rsidRDefault="002D2C32" w:rsidP="002436FD">
      <w:pPr>
        <w:pStyle w:val="ActHead5"/>
      </w:pPr>
      <w:bookmarkStart w:id="12" w:name="_Toc5698330"/>
      <w:r w:rsidRPr="002436FD">
        <w:rPr>
          <w:rStyle w:val="CharSectno"/>
        </w:rPr>
        <w:t>37</w:t>
      </w:r>
      <w:r w:rsidRPr="002436FD">
        <w:t xml:space="preserve">  </w:t>
      </w:r>
      <w:r w:rsidR="009D1098" w:rsidRPr="002436FD">
        <w:t>Transfer years that start before 1</w:t>
      </w:r>
      <w:r w:rsidR="002436FD" w:rsidRPr="002436FD">
        <w:t> </w:t>
      </w:r>
      <w:r w:rsidR="009D1098" w:rsidRPr="002436FD">
        <w:t>July 2019—e</w:t>
      </w:r>
      <w:r w:rsidRPr="002436FD">
        <w:t>xpenditure incurred in a standard uplift expenditure year</w:t>
      </w:r>
      <w:bookmarkEnd w:id="12"/>
    </w:p>
    <w:p w:rsidR="008717DF" w:rsidRPr="002436FD" w:rsidRDefault="008717DF" w:rsidP="002436FD">
      <w:pPr>
        <w:pStyle w:val="subsection"/>
      </w:pPr>
      <w:r w:rsidRPr="002436FD">
        <w:tab/>
        <w:t>(1)</w:t>
      </w:r>
      <w:r w:rsidRPr="002436FD">
        <w:tab/>
        <w:t>This clause applies if:</w:t>
      </w:r>
    </w:p>
    <w:p w:rsidR="008717DF" w:rsidRPr="002436FD" w:rsidRDefault="008717DF" w:rsidP="002436FD">
      <w:pPr>
        <w:pStyle w:val="paragraph"/>
      </w:pPr>
      <w:r w:rsidRPr="002436FD">
        <w:tab/>
        <w:t>(a)</w:t>
      </w:r>
      <w:r w:rsidRPr="002436FD">
        <w:tab/>
        <w:t>the transfer year starts before 1</w:t>
      </w:r>
      <w:r w:rsidR="002436FD" w:rsidRPr="002436FD">
        <w:t> </w:t>
      </w:r>
      <w:r w:rsidRPr="002436FD">
        <w:t>July 2019; and</w:t>
      </w:r>
    </w:p>
    <w:p w:rsidR="008717DF" w:rsidRPr="002436FD" w:rsidRDefault="008717DF" w:rsidP="002436FD">
      <w:pPr>
        <w:pStyle w:val="paragraph"/>
      </w:pPr>
      <w:r w:rsidRPr="002436FD">
        <w:tab/>
        <w:t>(b)</w:t>
      </w:r>
      <w:r w:rsidRPr="002436FD">
        <w:tab/>
        <w:t xml:space="preserve">the financial year in which the expenditure was incurred (the </w:t>
      </w:r>
      <w:r w:rsidRPr="002436FD">
        <w:rPr>
          <w:b/>
          <w:i/>
        </w:rPr>
        <w:t>expenditure year</w:t>
      </w:r>
      <w:r w:rsidRPr="002436FD">
        <w:t>) is a standard uplift expenditure year in relation to the project.</w:t>
      </w:r>
    </w:p>
    <w:p w:rsidR="008717DF" w:rsidRPr="002436FD" w:rsidRDefault="002D2C32" w:rsidP="002436FD">
      <w:pPr>
        <w:pStyle w:val="subsection"/>
      </w:pPr>
      <w:r w:rsidRPr="002436FD">
        <w:tab/>
        <w:t>(</w:t>
      </w:r>
      <w:r w:rsidR="008717DF" w:rsidRPr="002436FD">
        <w:t>2</w:t>
      </w:r>
      <w:r w:rsidRPr="002436FD">
        <w:t>)</w:t>
      </w:r>
      <w:r w:rsidRPr="002436FD">
        <w:tab/>
      </w:r>
      <w:r w:rsidR="008717DF" w:rsidRPr="002436FD">
        <w:t>If the expenditure year is the financial year immediately before the transfer year then, for the purposes of subsection</w:t>
      </w:r>
      <w:r w:rsidR="002436FD" w:rsidRPr="002436FD">
        <w:t> </w:t>
      </w:r>
      <w:r w:rsidR="008717DF" w:rsidRPr="002436FD">
        <w:t>45D(2), the transfer is taken to be of the amount worked out by multiplying the amount actually transferred by the long</w:t>
      </w:r>
      <w:r w:rsidR="004802C7">
        <w:noBreakHyphen/>
      </w:r>
      <w:r w:rsidR="008717DF" w:rsidRPr="002436FD">
        <w:t>term bond rate in relation to the expenditure year plus 1.</w:t>
      </w:r>
      <w:r w:rsidR="005237DA" w:rsidRPr="002436FD">
        <w:t>1</w:t>
      </w:r>
      <w:r w:rsidR="008717DF" w:rsidRPr="002436FD">
        <w:t>5.</w:t>
      </w:r>
    </w:p>
    <w:p w:rsidR="008717DF" w:rsidRPr="002436FD" w:rsidRDefault="008717DF" w:rsidP="002436FD">
      <w:pPr>
        <w:pStyle w:val="subsection"/>
      </w:pPr>
      <w:r w:rsidRPr="002436FD">
        <w:tab/>
        <w:t>(3)</w:t>
      </w:r>
      <w:r w:rsidRPr="002436FD">
        <w:tab/>
        <w:t>If the expenditure year is not the financial year immediately before the transfer year, the following provisions apply:</w:t>
      </w:r>
    </w:p>
    <w:p w:rsidR="008717DF" w:rsidRPr="002436FD" w:rsidRDefault="008717DF" w:rsidP="002436FD">
      <w:pPr>
        <w:pStyle w:val="paragraph"/>
      </w:pPr>
      <w:r w:rsidRPr="002436FD">
        <w:lastRenderedPageBreak/>
        <w:tab/>
        <w:t>(a)</w:t>
      </w:r>
      <w:r w:rsidRPr="002436FD">
        <w:tab/>
        <w:t>work out, in relation to the expenditure year and each later financial year ending before the transfer year, an amount in accordance with the formula:</w:t>
      </w:r>
    </w:p>
    <w:p w:rsidR="008717DF" w:rsidRPr="002436FD" w:rsidRDefault="008717DF" w:rsidP="002436FD">
      <w:pPr>
        <w:pStyle w:val="paragraph"/>
      </w:pPr>
      <w:r w:rsidRPr="002436FD">
        <w:tab/>
      </w:r>
      <w:r w:rsidRPr="002436FD">
        <w:tab/>
      </w:r>
      <w:r w:rsidRPr="002436FD">
        <w:rPr>
          <w:position w:val="-10"/>
        </w:rPr>
        <w:object w:dxaOrig="2780" w:dyaOrig="420">
          <v:shape id="_x0000_i1030" type="#_x0000_t75" style="width:139.5pt;height:21pt" o:ole="">
            <v:imagedata r:id="rId26" o:title=""/>
          </v:shape>
          <o:OLEObject Type="Embed" ProgID="Equation.DSMT4" ShapeID="_x0000_i1030" DrawAspect="Content" ObjectID="_1616311969" r:id="rId28"/>
        </w:object>
      </w:r>
    </w:p>
    <w:p w:rsidR="008717DF" w:rsidRPr="002436FD" w:rsidRDefault="008717DF" w:rsidP="002436FD">
      <w:pPr>
        <w:pStyle w:val="paragraph"/>
      </w:pPr>
      <w:r w:rsidRPr="002436FD">
        <w:tab/>
      </w:r>
      <w:r w:rsidRPr="002436FD">
        <w:tab/>
        <w:t>where:</w:t>
      </w:r>
    </w:p>
    <w:p w:rsidR="008717DF" w:rsidRPr="002436FD" w:rsidRDefault="008717DF" w:rsidP="002436FD">
      <w:pPr>
        <w:pStyle w:val="paragraph"/>
        <w:keepNext/>
      </w:pPr>
      <w:r w:rsidRPr="002436FD">
        <w:rPr>
          <w:b/>
          <w:i/>
        </w:rPr>
        <w:tab/>
      </w:r>
      <w:r w:rsidRPr="002436FD">
        <w:rPr>
          <w:b/>
        </w:rPr>
        <w:tab/>
      </w:r>
      <w:r w:rsidRPr="002436FD">
        <w:rPr>
          <w:b/>
          <w:i/>
        </w:rPr>
        <w:t>transferred amount</w:t>
      </w:r>
      <w:r w:rsidRPr="002436FD">
        <w:t xml:space="preserve"> means:</w:t>
      </w:r>
    </w:p>
    <w:p w:rsidR="008717DF" w:rsidRPr="002436FD" w:rsidRDefault="008717DF" w:rsidP="002436FD">
      <w:pPr>
        <w:pStyle w:val="paragraphsub"/>
      </w:pPr>
      <w:r w:rsidRPr="002436FD">
        <w:tab/>
        <w:t>(</w:t>
      </w:r>
      <w:proofErr w:type="spellStart"/>
      <w:r w:rsidRPr="002436FD">
        <w:t>i</w:t>
      </w:r>
      <w:proofErr w:type="spellEnd"/>
      <w:r w:rsidRPr="002436FD">
        <w:t>)</w:t>
      </w:r>
      <w:r w:rsidRPr="002436FD">
        <w:tab/>
        <w:t>in making the calculation in relation to the expenditure year—the amount of expenditure actually transferred; and</w:t>
      </w:r>
    </w:p>
    <w:p w:rsidR="008717DF" w:rsidRPr="002436FD" w:rsidRDefault="008717DF" w:rsidP="002436FD">
      <w:pPr>
        <w:pStyle w:val="paragraphsub"/>
      </w:pPr>
      <w:r w:rsidRPr="002436FD">
        <w:tab/>
        <w:t>(ii)</w:t>
      </w:r>
      <w:r w:rsidRPr="002436FD">
        <w:tab/>
        <w:t>in making the calculation in relation to a later financial year—the amount calculated under this paragraph in relation to the expenditure and the immediately preceding financial year.</w:t>
      </w:r>
    </w:p>
    <w:p w:rsidR="008717DF" w:rsidRPr="002436FD" w:rsidRDefault="008717DF" w:rsidP="002436FD">
      <w:pPr>
        <w:pStyle w:val="paragraph"/>
      </w:pPr>
      <w:r w:rsidRPr="002436FD">
        <w:rPr>
          <w:b/>
          <w:i/>
        </w:rPr>
        <w:tab/>
      </w:r>
      <w:r w:rsidRPr="002436FD">
        <w:rPr>
          <w:b/>
          <w:i/>
        </w:rPr>
        <w:tab/>
        <w:t>uplift rate</w:t>
      </w:r>
      <w:r w:rsidRPr="002436FD">
        <w:t xml:space="preserve">, for the financial year in relation to which the calculation is being made (the </w:t>
      </w:r>
      <w:r w:rsidRPr="002436FD">
        <w:rPr>
          <w:b/>
          <w:i/>
        </w:rPr>
        <w:t>calculation year</w:t>
      </w:r>
      <w:r w:rsidRPr="002436FD">
        <w:t>), means the long</w:t>
      </w:r>
      <w:r w:rsidR="004802C7">
        <w:noBreakHyphen/>
      </w:r>
      <w:r w:rsidRPr="002436FD">
        <w:t>term bond rate in relation to the calculation year plus 1.15</w:t>
      </w:r>
      <w:r w:rsidR="00655F58" w:rsidRPr="002436FD">
        <w:t>;</w:t>
      </w:r>
    </w:p>
    <w:p w:rsidR="008717DF" w:rsidRPr="002436FD" w:rsidRDefault="00655F58" w:rsidP="002436FD">
      <w:pPr>
        <w:pStyle w:val="paragraph"/>
      </w:pPr>
      <w:r w:rsidRPr="002436FD">
        <w:tab/>
        <w:t>(b)</w:t>
      </w:r>
      <w:r w:rsidRPr="002436FD">
        <w:tab/>
        <w:t>for the purposes of subsection</w:t>
      </w:r>
      <w:r w:rsidR="002436FD" w:rsidRPr="002436FD">
        <w:t> </w:t>
      </w:r>
      <w:r w:rsidRPr="002436FD">
        <w:t xml:space="preserve">45D(2), the transfer is taken to be of the amount worked out under </w:t>
      </w:r>
      <w:r w:rsidR="002436FD" w:rsidRPr="002436FD">
        <w:t>paragraph (</w:t>
      </w:r>
      <w:r w:rsidRPr="002436FD">
        <w:t>a) in relation to the expenditure and the financial year immediately before the transfer year.</w:t>
      </w:r>
    </w:p>
    <w:p w:rsidR="00677570" w:rsidRPr="002436FD" w:rsidRDefault="00EF06A8" w:rsidP="002436FD">
      <w:pPr>
        <w:pStyle w:val="ItemHead"/>
      </w:pPr>
      <w:r w:rsidRPr="002436FD">
        <w:t>74</w:t>
      </w:r>
      <w:r w:rsidR="00677570" w:rsidRPr="002436FD">
        <w:t xml:space="preserve">  Clause</w:t>
      </w:r>
      <w:r w:rsidR="002436FD" w:rsidRPr="002436FD">
        <w:t> </w:t>
      </w:r>
      <w:r w:rsidR="00677570" w:rsidRPr="002436FD">
        <w:t>38 of Schedule</w:t>
      </w:r>
      <w:r w:rsidR="002436FD" w:rsidRPr="002436FD">
        <w:t> </w:t>
      </w:r>
      <w:r w:rsidR="00677570" w:rsidRPr="002436FD">
        <w:t>1 (heading)</w:t>
      </w:r>
    </w:p>
    <w:p w:rsidR="00677570" w:rsidRPr="002436FD" w:rsidRDefault="00677570" w:rsidP="002436FD">
      <w:pPr>
        <w:pStyle w:val="Item"/>
      </w:pPr>
      <w:r w:rsidRPr="002436FD">
        <w:t>Repeal the heading, substitute:</w:t>
      </w:r>
    </w:p>
    <w:p w:rsidR="00376B5D" w:rsidRPr="002436FD" w:rsidRDefault="00376B5D" w:rsidP="002436FD">
      <w:pPr>
        <w:pStyle w:val="ActHead5"/>
      </w:pPr>
      <w:bookmarkStart w:id="13" w:name="_Toc5698331"/>
      <w:r w:rsidRPr="002436FD">
        <w:rPr>
          <w:rStyle w:val="CharSectno"/>
        </w:rPr>
        <w:t>38</w:t>
      </w:r>
      <w:r w:rsidRPr="002436FD">
        <w:t xml:space="preserve">  Transfer years that start before 1</w:t>
      </w:r>
      <w:r w:rsidR="002436FD" w:rsidRPr="002436FD">
        <w:t> </w:t>
      </w:r>
      <w:r w:rsidRPr="002436FD">
        <w:t>July 2019—expenditure incurred in a GDP expenditure year</w:t>
      </w:r>
      <w:bookmarkEnd w:id="13"/>
    </w:p>
    <w:p w:rsidR="00677570" w:rsidRPr="002436FD" w:rsidRDefault="00EF06A8" w:rsidP="002436FD">
      <w:pPr>
        <w:pStyle w:val="ItemHead"/>
      </w:pPr>
      <w:r w:rsidRPr="002436FD">
        <w:t>75</w:t>
      </w:r>
      <w:r w:rsidR="00677570" w:rsidRPr="002436FD">
        <w:t xml:space="preserve">  Clause</w:t>
      </w:r>
      <w:r w:rsidR="002436FD" w:rsidRPr="002436FD">
        <w:t> </w:t>
      </w:r>
      <w:r w:rsidR="00677570" w:rsidRPr="002436FD">
        <w:t>38 of Schedule</w:t>
      </w:r>
      <w:r w:rsidR="002436FD" w:rsidRPr="002436FD">
        <w:t> </w:t>
      </w:r>
      <w:r w:rsidR="00677570" w:rsidRPr="002436FD">
        <w:t>1</w:t>
      </w:r>
    </w:p>
    <w:p w:rsidR="00677570" w:rsidRPr="002436FD" w:rsidRDefault="00677570" w:rsidP="002436FD">
      <w:pPr>
        <w:pStyle w:val="Item"/>
      </w:pPr>
      <w:r w:rsidRPr="002436FD">
        <w:t>Omit “If the financial year in which the expenditure was incurred is a GDP expenditure year the following provisions apply:”</w:t>
      </w:r>
      <w:r w:rsidR="00376B5D" w:rsidRPr="002436FD">
        <w:t>, substitute:</w:t>
      </w:r>
    </w:p>
    <w:p w:rsidR="00677570" w:rsidRPr="002436FD" w:rsidRDefault="00677570" w:rsidP="002436FD">
      <w:pPr>
        <w:pStyle w:val="subsection"/>
      </w:pPr>
      <w:r w:rsidRPr="002436FD">
        <w:tab/>
      </w:r>
      <w:r w:rsidRPr="002436FD">
        <w:tab/>
        <w:t>If:</w:t>
      </w:r>
    </w:p>
    <w:p w:rsidR="00677570" w:rsidRPr="002436FD" w:rsidRDefault="00677570" w:rsidP="002436FD">
      <w:pPr>
        <w:pStyle w:val="paragraph"/>
      </w:pPr>
      <w:r w:rsidRPr="002436FD">
        <w:tab/>
        <w:t>(aa)</w:t>
      </w:r>
      <w:r w:rsidRPr="002436FD">
        <w:tab/>
        <w:t>the transfer year starts before 1</w:t>
      </w:r>
      <w:r w:rsidR="002436FD" w:rsidRPr="002436FD">
        <w:t> </w:t>
      </w:r>
      <w:r w:rsidRPr="002436FD">
        <w:t>July 2019; and</w:t>
      </w:r>
    </w:p>
    <w:p w:rsidR="00677570" w:rsidRPr="002436FD" w:rsidRDefault="00677570" w:rsidP="002436FD">
      <w:pPr>
        <w:pStyle w:val="paragraph"/>
      </w:pPr>
      <w:r w:rsidRPr="002436FD">
        <w:tab/>
        <w:t>(ab)</w:t>
      </w:r>
      <w:r w:rsidRPr="002436FD">
        <w:tab/>
        <w:t xml:space="preserve">the financial year in which the expenditure was incurred (the </w:t>
      </w:r>
      <w:r w:rsidRPr="002436FD">
        <w:rPr>
          <w:b/>
          <w:i/>
        </w:rPr>
        <w:t>expenditure year</w:t>
      </w:r>
      <w:r w:rsidRPr="002436FD">
        <w:t>) is a GDP expenditure year</w:t>
      </w:r>
      <w:r w:rsidR="009D1098" w:rsidRPr="002436FD">
        <w:t xml:space="preserve"> in relation to the project</w:t>
      </w:r>
      <w:r w:rsidRPr="002436FD">
        <w:t>;</w:t>
      </w:r>
    </w:p>
    <w:p w:rsidR="00677570" w:rsidRPr="002436FD" w:rsidRDefault="00677570" w:rsidP="002436FD">
      <w:pPr>
        <w:pStyle w:val="subsection2"/>
      </w:pPr>
      <w:r w:rsidRPr="002436FD">
        <w:t>the following provisions apply:</w:t>
      </w:r>
    </w:p>
    <w:p w:rsidR="00677570" w:rsidRPr="002436FD" w:rsidRDefault="00EF06A8" w:rsidP="002436FD">
      <w:pPr>
        <w:pStyle w:val="ItemHead"/>
      </w:pPr>
      <w:r w:rsidRPr="002436FD">
        <w:lastRenderedPageBreak/>
        <w:t>76</w:t>
      </w:r>
      <w:r w:rsidR="00677570" w:rsidRPr="002436FD">
        <w:t xml:space="preserve">  Paragraph 38(</w:t>
      </w:r>
      <w:r w:rsidR="00F62A1B" w:rsidRPr="002436FD">
        <w:t>a</w:t>
      </w:r>
      <w:r w:rsidR="00677570" w:rsidRPr="002436FD">
        <w:t>) of Schedule</w:t>
      </w:r>
      <w:r w:rsidR="002436FD" w:rsidRPr="002436FD">
        <w:t> </w:t>
      </w:r>
      <w:r w:rsidR="00677570" w:rsidRPr="002436FD">
        <w:t>1</w:t>
      </w:r>
    </w:p>
    <w:p w:rsidR="00677570" w:rsidRPr="002436FD" w:rsidRDefault="00677570" w:rsidP="002436FD">
      <w:pPr>
        <w:pStyle w:val="Item"/>
      </w:pPr>
      <w:r w:rsidRPr="002436FD">
        <w:t>Omit “GDP</w:t>
      </w:r>
      <w:r w:rsidR="009D1098" w:rsidRPr="002436FD">
        <w:t xml:space="preserve"> expenditure year and</w:t>
      </w:r>
      <w:r w:rsidRPr="002436FD">
        <w:t>”</w:t>
      </w:r>
      <w:r w:rsidR="009D1098" w:rsidRPr="002436FD">
        <w:t>, substitute “expenditure year and”</w:t>
      </w:r>
      <w:r w:rsidRPr="002436FD">
        <w:t>.</w:t>
      </w:r>
    </w:p>
    <w:p w:rsidR="009D1098" w:rsidRPr="002436FD" w:rsidRDefault="00EF06A8" w:rsidP="002436FD">
      <w:pPr>
        <w:pStyle w:val="ItemHead"/>
      </w:pPr>
      <w:r w:rsidRPr="002436FD">
        <w:t>77</w:t>
      </w:r>
      <w:r w:rsidR="009D1098" w:rsidRPr="002436FD">
        <w:t xml:space="preserve">  Paragraph 38(</w:t>
      </w:r>
      <w:r w:rsidR="00F62A1B" w:rsidRPr="002436FD">
        <w:t>a</w:t>
      </w:r>
      <w:r w:rsidR="009D1098" w:rsidRPr="002436FD">
        <w:t>) of Schedule</w:t>
      </w:r>
      <w:r w:rsidR="002436FD" w:rsidRPr="002436FD">
        <w:t> </w:t>
      </w:r>
      <w:r w:rsidR="009D1098" w:rsidRPr="002436FD">
        <w:t>1 (</w:t>
      </w:r>
      <w:r w:rsidR="002436FD" w:rsidRPr="002436FD">
        <w:t>subparagraph (</w:t>
      </w:r>
      <w:proofErr w:type="spellStart"/>
      <w:r w:rsidR="009D1098" w:rsidRPr="002436FD">
        <w:t>i</w:t>
      </w:r>
      <w:proofErr w:type="spellEnd"/>
      <w:r w:rsidR="009D1098" w:rsidRPr="002436FD">
        <w:t xml:space="preserve">) of the definition of </w:t>
      </w:r>
      <w:r w:rsidR="009D1098" w:rsidRPr="002436FD">
        <w:rPr>
          <w:i/>
        </w:rPr>
        <w:t>Transferred amount</w:t>
      </w:r>
      <w:r w:rsidR="009D1098" w:rsidRPr="002436FD">
        <w:t>)</w:t>
      </w:r>
    </w:p>
    <w:p w:rsidR="00A257AF" w:rsidRPr="002436FD" w:rsidRDefault="009D1098" w:rsidP="002436FD">
      <w:pPr>
        <w:pStyle w:val="Item"/>
      </w:pPr>
      <w:r w:rsidRPr="002436FD">
        <w:t>Omit “GDP expenditure year”, substitute “expenditure year”.</w:t>
      </w:r>
    </w:p>
    <w:p w:rsidR="00376B5D" w:rsidRPr="002436FD" w:rsidRDefault="00376B5D" w:rsidP="002436FD">
      <w:pPr>
        <w:pStyle w:val="ActHead7"/>
        <w:pageBreakBefore/>
      </w:pPr>
      <w:bookmarkStart w:id="14" w:name="_Toc5698332"/>
      <w:r w:rsidRPr="002436FD">
        <w:rPr>
          <w:rStyle w:val="CharAmPartNo"/>
        </w:rPr>
        <w:lastRenderedPageBreak/>
        <w:t>Part</w:t>
      </w:r>
      <w:r w:rsidR="002436FD" w:rsidRPr="002436FD">
        <w:rPr>
          <w:rStyle w:val="CharAmPartNo"/>
        </w:rPr>
        <w:t> </w:t>
      </w:r>
      <w:r w:rsidRPr="002436FD">
        <w:rPr>
          <w:rStyle w:val="CharAmPartNo"/>
        </w:rPr>
        <w:t>3</w:t>
      </w:r>
      <w:r w:rsidRPr="002436FD">
        <w:t>—</w:t>
      </w:r>
      <w:r w:rsidRPr="002436FD">
        <w:rPr>
          <w:rStyle w:val="CharAmPartText"/>
        </w:rPr>
        <w:t>Other amendments</w:t>
      </w:r>
      <w:bookmarkEnd w:id="14"/>
    </w:p>
    <w:p w:rsidR="00376B5D" w:rsidRPr="002436FD" w:rsidRDefault="00376B5D" w:rsidP="002436FD">
      <w:pPr>
        <w:pStyle w:val="ActHead9"/>
        <w:rPr>
          <w:i w:val="0"/>
        </w:rPr>
      </w:pPr>
      <w:bookmarkStart w:id="15" w:name="_Toc5698333"/>
      <w:r w:rsidRPr="002436FD">
        <w:t>Petroleum Resource Rent Tax Assessment Act 1987</w:t>
      </w:r>
      <w:bookmarkEnd w:id="15"/>
    </w:p>
    <w:p w:rsidR="00376B5D" w:rsidRPr="002436FD" w:rsidRDefault="00EF06A8" w:rsidP="002436FD">
      <w:pPr>
        <w:pStyle w:val="ItemHead"/>
      </w:pPr>
      <w:r w:rsidRPr="002436FD">
        <w:t>78</w:t>
      </w:r>
      <w:r w:rsidR="00376B5D" w:rsidRPr="002436FD">
        <w:t xml:space="preserve">  Subsection</w:t>
      </w:r>
      <w:r w:rsidR="002436FD" w:rsidRPr="002436FD">
        <w:t> </w:t>
      </w:r>
      <w:r w:rsidR="00376B5D" w:rsidRPr="002436FD">
        <w:t>20(1)</w:t>
      </w:r>
    </w:p>
    <w:p w:rsidR="000B7AD7" w:rsidRPr="002436FD" w:rsidRDefault="000B7AD7" w:rsidP="002436FD">
      <w:pPr>
        <w:pStyle w:val="Item"/>
      </w:pPr>
      <w:r w:rsidRPr="002436FD">
        <w:t>Omit “within the qualifying period in relation to a production licence in relation to a petroleum project, the Resources Minister, whether on application, request or otherwise”, substitute “the Resources Minister</w:t>
      </w:r>
      <w:r w:rsidR="005B4C90" w:rsidRPr="002436FD">
        <w:t>,</w:t>
      </w:r>
      <w:r w:rsidR="000A3075" w:rsidRPr="002436FD">
        <w:t xml:space="preserve"> </w:t>
      </w:r>
      <w:r w:rsidR="005B4C90" w:rsidRPr="002436FD">
        <w:t>in relation to a production licence in relation to a petroleum project</w:t>
      </w:r>
      <w:r w:rsidRPr="002436FD">
        <w:t>”.</w:t>
      </w:r>
    </w:p>
    <w:p w:rsidR="000B7AD7" w:rsidRPr="002436FD" w:rsidRDefault="00EF06A8" w:rsidP="002436FD">
      <w:pPr>
        <w:pStyle w:val="ItemHead"/>
      </w:pPr>
      <w:r w:rsidRPr="002436FD">
        <w:t>79</w:t>
      </w:r>
      <w:r w:rsidR="000B7AD7" w:rsidRPr="002436FD">
        <w:t xml:space="preserve">  Subsection</w:t>
      </w:r>
      <w:r w:rsidR="002436FD" w:rsidRPr="002436FD">
        <w:t> </w:t>
      </w:r>
      <w:r w:rsidR="000B7AD7" w:rsidRPr="002436FD">
        <w:t>20(2)</w:t>
      </w:r>
    </w:p>
    <w:p w:rsidR="000B7AD7" w:rsidRPr="002436FD" w:rsidRDefault="000B7AD7" w:rsidP="002436FD">
      <w:pPr>
        <w:pStyle w:val="Item"/>
      </w:pPr>
      <w:r w:rsidRPr="002436FD">
        <w:t>Repeal the subsection.</w:t>
      </w:r>
    </w:p>
    <w:p w:rsidR="004B37BA" w:rsidRPr="002436FD" w:rsidRDefault="00EF06A8" w:rsidP="002436FD">
      <w:pPr>
        <w:pStyle w:val="ItemHead"/>
      </w:pPr>
      <w:r w:rsidRPr="002436FD">
        <w:t>80</w:t>
      </w:r>
      <w:r w:rsidR="004B37BA" w:rsidRPr="002436FD">
        <w:t xml:space="preserve">  Subsection</w:t>
      </w:r>
      <w:r w:rsidR="002436FD" w:rsidRPr="002436FD">
        <w:t> </w:t>
      </w:r>
      <w:r w:rsidR="004B37BA" w:rsidRPr="002436FD">
        <w:t>20(4)</w:t>
      </w:r>
    </w:p>
    <w:p w:rsidR="004B37BA" w:rsidRPr="002436FD" w:rsidRDefault="004B37BA" w:rsidP="002436FD">
      <w:pPr>
        <w:pStyle w:val="Item"/>
      </w:pPr>
      <w:r w:rsidRPr="002436FD">
        <w:t>Repeal the subsection, substitute:</w:t>
      </w:r>
    </w:p>
    <w:p w:rsidR="004B37BA" w:rsidRPr="002436FD" w:rsidRDefault="004B37BA" w:rsidP="002436FD">
      <w:pPr>
        <w:pStyle w:val="subsection"/>
      </w:pPr>
      <w:r w:rsidRPr="002436FD">
        <w:tab/>
        <w:t>(4)</w:t>
      </w:r>
      <w:r w:rsidRPr="002436FD">
        <w:tab/>
        <w:t xml:space="preserve">The Minister may only issue a certificate under </w:t>
      </w:r>
      <w:r w:rsidR="002436FD" w:rsidRPr="002436FD">
        <w:t>subsection (</w:t>
      </w:r>
      <w:r w:rsidRPr="002436FD">
        <w:t>1) in respect of petroleum projects if:</w:t>
      </w:r>
    </w:p>
    <w:p w:rsidR="004B37BA" w:rsidRPr="002436FD" w:rsidRDefault="004B37BA" w:rsidP="002436FD">
      <w:pPr>
        <w:pStyle w:val="paragraph"/>
      </w:pPr>
      <w:r w:rsidRPr="002436FD">
        <w:tab/>
        <w:t>(a)</w:t>
      </w:r>
      <w:r w:rsidRPr="002436FD">
        <w:tab/>
        <w:t>a person who is entitled to receive at least half of the receipts from the sale of petroleum or marketable petroleum commodities produced in relation to each of the projects</w:t>
      </w:r>
      <w:r w:rsidR="00FC7FFD" w:rsidRPr="002436FD">
        <w:t xml:space="preserve"> applies</w:t>
      </w:r>
      <w:r w:rsidR="00F62A1B" w:rsidRPr="002436FD">
        <w:t>, in writing,</w:t>
      </w:r>
      <w:r w:rsidR="00FC7FFD" w:rsidRPr="002436FD">
        <w:t xml:space="preserve"> to the Minister for the certificate to be issued</w:t>
      </w:r>
      <w:r w:rsidRPr="002436FD">
        <w:t>; or</w:t>
      </w:r>
    </w:p>
    <w:p w:rsidR="004B37BA" w:rsidRPr="002436FD" w:rsidRDefault="004B37BA" w:rsidP="002436FD">
      <w:pPr>
        <w:pStyle w:val="paragraph"/>
      </w:pPr>
      <w:r w:rsidRPr="002436FD">
        <w:tab/>
        <w:t>(b)</w:t>
      </w:r>
      <w:r w:rsidRPr="002436FD">
        <w:tab/>
        <w:t>2 or more persons who together are entitled to receive at least half of those receipts</w:t>
      </w:r>
      <w:r w:rsidR="00FC7FFD" w:rsidRPr="002436FD">
        <w:t xml:space="preserve"> a</w:t>
      </w:r>
      <w:r w:rsidRPr="002436FD">
        <w:t>ppl</w:t>
      </w:r>
      <w:r w:rsidR="00FC7FFD" w:rsidRPr="002436FD">
        <w:t>y</w:t>
      </w:r>
      <w:r w:rsidR="00F62A1B" w:rsidRPr="002436FD">
        <w:t>, in writing,</w:t>
      </w:r>
      <w:r w:rsidRPr="002436FD">
        <w:t xml:space="preserve"> to the Minister for the certificate to be issued.</w:t>
      </w:r>
    </w:p>
    <w:p w:rsidR="007C2903" w:rsidRPr="002436FD" w:rsidRDefault="007C2903" w:rsidP="002436FD">
      <w:pPr>
        <w:pStyle w:val="subsection"/>
      </w:pPr>
      <w:r w:rsidRPr="002436FD">
        <w:tab/>
        <w:t>(4A)</w:t>
      </w:r>
      <w:r w:rsidRPr="002436FD">
        <w:tab/>
        <w:t xml:space="preserve">An application under </w:t>
      </w:r>
      <w:r w:rsidR="002436FD" w:rsidRPr="002436FD">
        <w:t>subsection (</w:t>
      </w:r>
      <w:r w:rsidRPr="002436FD">
        <w:t>4) may only be made within:</w:t>
      </w:r>
    </w:p>
    <w:p w:rsidR="007C2903" w:rsidRPr="002436FD" w:rsidRDefault="007C2903" w:rsidP="002436FD">
      <w:pPr>
        <w:pStyle w:val="paragraph"/>
      </w:pPr>
      <w:r w:rsidRPr="002436FD">
        <w:tab/>
        <w:t>(a)</w:t>
      </w:r>
      <w:r w:rsidRPr="002436FD">
        <w:tab/>
        <w:t>the period of 90 days beginning on the day the most recent production licence in relation to any of the petroleum projects came into force; or</w:t>
      </w:r>
    </w:p>
    <w:p w:rsidR="007C2903" w:rsidRPr="002436FD" w:rsidRDefault="007C2903" w:rsidP="002436FD">
      <w:pPr>
        <w:pStyle w:val="paragraph"/>
      </w:pPr>
      <w:r w:rsidRPr="002436FD">
        <w:tab/>
        <w:t>(b)</w:t>
      </w:r>
      <w:r w:rsidRPr="002436FD">
        <w:tab/>
        <w:t>if the Minister allows a longer period—that longer period.</w:t>
      </w:r>
    </w:p>
    <w:p w:rsidR="00994222" w:rsidRPr="002436FD" w:rsidRDefault="00994222" w:rsidP="002436FD">
      <w:pPr>
        <w:pStyle w:val="subsection"/>
      </w:pPr>
      <w:r w:rsidRPr="002436FD">
        <w:tab/>
        <w:t>(4B)</w:t>
      </w:r>
      <w:r w:rsidRPr="002436FD">
        <w:tab/>
        <w:t xml:space="preserve">If the Minister does not make a decision on an application under </w:t>
      </w:r>
      <w:r w:rsidR="002436FD" w:rsidRPr="002436FD">
        <w:t>subsection (</w:t>
      </w:r>
      <w:r w:rsidRPr="002436FD">
        <w:t>4) before the later of</w:t>
      </w:r>
      <w:r w:rsidR="005B4C90" w:rsidRPr="002436FD">
        <w:t xml:space="preserve"> the following times</w:t>
      </w:r>
      <w:r w:rsidRPr="002436FD">
        <w:t>:</w:t>
      </w:r>
    </w:p>
    <w:p w:rsidR="00994222" w:rsidRPr="002436FD" w:rsidRDefault="005B4C90" w:rsidP="002436FD">
      <w:pPr>
        <w:pStyle w:val="paragraph"/>
      </w:pPr>
      <w:r w:rsidRPr="002436FD">
        <w:tab/>
        <w:t>(a)</w:t>
      </w:r>
      <w:r w:rsidRPr="002436FD">
        <w:tab/>
        <w:t xml:space="preserve">the end of </w:t>
      </w:r>
      <w:r w:rsidR="000A3075" w:rsidRPr="002436FD">
        <w:t xml:space="preserve">the period of </w:t>
      </w:r>
      <w:r w:rsidR="00994222" w:rsidRPr="002436FD">
        <w:t>90 days</w:t>
      </w:r>
      <w:r w:rsidRPr="002436FD">
        <w:t xml:space="preserve"> after the application is made;</w:t>
      </w:r>
    </w:p>
    <w:p w:rsidR="00994222" w:rsidRPr="002436FD" w:rsidRDefault="005B4C90" w:rsidP="002436FD">
      <w:pPr>
        <w:pStyle w:val="paragraph"/>
      </w:pPr>
      <w:r w:rsidRPr="002436FD">
        <w:tab/>
        <w:t>(b)</w:t>
      </w:r>
      <w:r w:rsidRPr="002436FD">
        <w:tab/>
      </w:r>
      <w:r w:rsidR="000A3075" w:rsidRPr="002436FD">
        <w:t xml:space="preserve">if the Minister extends that period under </w:t>
      </w:r>
      <w:r w:rsidR="002436FD" w:rsidRPr="002436FD">
        <w:t>subsection (</w:t>
      </w:r>
      <w:r w:rsidR="000A3075" w:rsidRPr="002436FD">
        <w:t>4C)—</w:t>
      </w:r>
      <w:r w:rsidRPr="002436FD">
        <w:t>t</w:t>
      </w:r>
      <w:r w:rsidR="00994222" w:rsidRPr="002436FD">
        <w:t xml:space="preserve">he </w:t>
      </w:r>
      <w:r w:rsidRPr="002436FD">
        <w:t xml:space="preserve">end of </w:t>
      </w:r>
      <w:r w:rsidR="000A3075" w:rsidRPr="002436FD">
        <w:t>the</w:t>
      </w:r>
      <w:r w:rsidRPr="002436FD">
        <w:t xml:space="preserve"> </w:t>
      </w:r>
      <w:r w:rsidR="00994222" w:rsidRPr="002436FD">
        <w:t>extended period</w:t>
      </w:r>
      <w:r w:rsidRPr="002436FD">
        <w:t>;</w:t>
      </w:r>
    </w:p>
    <w:p w:rsidR="005B4C90" w:rsidRPr="002436FD" w:rsidRDefault="005B4C90" w:rsidP="002436FD">
      <w:pPr>
        <w:pStyle w:val="subsection2"/>
      </w:pPr>
      <w:r w:rsidRPr="002436FD">
        <w:lastRenderedPageBreak/>
        <w:t xml:space="preserve">the Minister is taken, for the purposes of </w:t>
      </w:r>
      <w:r w:rsidR="002436FD" w:rsidRPr="002436FD">
        <w:t>subsection (</w:t>
      </w:r>
      <w:r w:rsidRPr="002436FD">
        <w:t>12), to have refused the application at that time.</w:t>
      </w:r>
    </w:p>
    <w:p w:rsidR="00764D77" w:rsidRPr="002436FD" w:rsidRDefault="00764D77" w:rsidP="002436FD">
      <w:pPr>
        <w:pStyle w:val="subsection"/>
      </w:pPr>
      <w:r w:rsidRPr="002436FD">
        <w:tab/>
        <w:t>(4</w:t>
      </w:r>
      <w:r w:rsidR="00B41099" w:rsidRPr="002436FD">
        <w:t>C</w:t>
      </w:r>
      <w:r w:rsidRPr="002436FD">
        <w:t>)</w:t>
      </w:r>
      <w:r w:rsidRPr="002436FD">
        <w:tab/>
        <w:t xml:space="preserve">The Minister may, by written notice to the applicant or applicants, extend the period mentioned in </w:t>
      </w:r>
      <w:r w:rsidR="002436FD" w:rsidRPr="002436FD">
        <w:t>subsection (</w:t>
      </w:r>
      <w:r w:rsidRPr="002436FD">
        <w:t>4</w:t>
      </w:r>
      <w:r w:rsidR="00B41099" w:rsidRPr="002436FD">
        <w:t>B</w:t>
      </w:r>
      <w:r w:rsidRPr="002436FD">
        <w:t>) if the Minister is satisfied that it is necessary to do so to adequately consider the application.</w:t>
      </w:r>
    </w:p>
    <w:p w:rsidR="00376B5D" w:rsidRPr="002436FD" w:rsidRDefault="00EF06A8" w:rsidP="002436FD">
      <w:pPr>
        <w:pStyle w:val="ItemHead"/>
      </w:pPr>
      <w:r w:rsidRPr="002436FD">
        <w:t>81</w:t>
      </w:r>
      <w:r w:rsidR="004B37BA" w:rsidRPr="002436FD">
        <w:t xml:space="preserve">  Paragraph 20(9)(b)</w:t>
      </w:r>
    </w:p>
    <w:p w:rsidR="004B37BA" w:rsidRPr="002436FD" w:rsidRDefault="004B37BA" w:rsidP="002436FD">
      <w:pPr>
        <w:pStyle w:val="Item"/>
      </w:pPr>
      <w:r w:rsidRPr="002436FD">
        <w:t>Omit “or request” (wherever occurring).</w:t>
      </w:r>
    </w:p>
    <w:p w:rsidR="004B37BA" w:rsidRPr="002436FD" w:rsidRDefault="00EF06A8" w:rsidP="002436FD">
      <w:pPr>
        <w:pStyle w:val="ItemHead"/>
      </w:pPr>
      <w:r w:rsidRPr="002436FD">
        <w:t>82</w:t>
      </w:r>
      <w:r w:rsidR="004B37BA" w:rsidRPr="002436FD">
        <w:t xml:space="preserve">  Subsection</w:t>
      </w:r>
      <w:r w:rsidR="002436FD" w:rsidRPr="002436FD">
        <w:t> </w:t>
      </w:r>
      <w:r w:rsidR="004B37BA" w:rsidRPr="002436FD">
        <w:t>20(10)</w:t>
      </w:r>
    </w:p>
    <w:p w:rsidR="004B37BA" w:rsidRPr="002436FD" w:rsidRDefault="004B37BA" w:rsidP="002436FD">
      <w:pPr>
        <w:pStyle w:val="Item"/>
      </w:pPr>
      <w:r w:rsidRPr="002436FD">
        <w:t>Omit “or request”.</w:t>
      </w:r>
    </w:p>
    <w:p w:rsidR="004B37BA" w:rsidRPr="002436FD" w:rsidRDefault="00EF06A8" w:rsidP="002436FD">
      <w:pPr>
        <w:pStyle w:val="ItemHead"/>
      </w:pPr>
      <w:r w:rsidRPr="002436FD">
        <w:t>83</w:t>
      </w:r>
      <w:r w:rsidR="004B37BA" w:rsidRPr="002436FD">
        <w:t xml:space="preserve">  Paragraph 20(12)(b)</w:t>
      </w:r>
    </w:p>
    <w:p w:rsidR="004B37BA" w:rsidRPr="002436FD" w:rsidRDefault="004B37BA" w:rsidP="002436FD">
      <w:pPr>
        <w:pStyle w:val="Item"/>
      </w:pPr>
      <w:r w:rsidRPr="002436FD">
        <w:t>Omit “or reques</w:t>
      </w:r>
      <w:r w:rsidR="00B41099" w:rsidRPr="002436FD">
        <w:t>t”</w:t>
      </w:r>
      <w:r w:rsidRPr="002436FD">
        <w:t>.</w:t>
      </w:r>
    </w:p>
    <w:p w:rsidR="00F005F9" w:rsidRPr="002436FD" w:rsidRDefault="0016447E" w:rsidP="002436FD">
      <w:pPr>
        <w:pStyle w:val="ActHead6"/>
        <w:pageBreakBefore/>
      </w:pPr>
      <w:bookmarkStart w:id="16" w:name="_Toc5698334"/>
      <w:bookmarkStart w:id="17" w:name="opcCurrentFind"/>
      <w:r w:rsidRPr="002436FD">
        <w:rPr>
          <w:rStyle w:val="CharAmSchNo"/>
        </w:rPr>
        <w:lastRenderedPageBreak/>
        <w:t>Schedule</w:t>
      </w:r>
      <w:r w:rsidR="002436FD" w:rsidRPr="002436FD">
        <w:rPr>
          <w:rStyle w:val="CharAmSchNo"/>
        </w:rPr>
        <w:t> </w:t>
      </w:r>
      <w:r w:rsidRPr="002436FD">
        <w:rPr>
          <w:rStyle w:val="CharAmSchNo"/>
        </w:rPr>
        <w:t>2</w:t>
      </w:r>
      <w:r w:rsidRPr="002436FD">
        <w:t>—</w:t>
      </w:r>
      <w:r w:rsidRPr="002436FD">
        <w:rPr>
          <w:rStyle w:val="CharAmSchText"/>
        </w:rPr>
        <w:t>Removing onshore projects</w:t>
      </w:r>
      <w:r w:rsidR="00FC5AA0" w:rsidRPr="002436FD">
        <w:rPr>
          <w:rStyle w:val="CharAmSchText"/>
        </w:rPr>
        <w:t xml:space="preserve"> from the petroleum resource rent tax</w:t>
      </w:r>
      <w:bookmarkEnd w:id="16"/>
    </w:p>
    <w:p w:rsidR="0016447E" w:rsidRPr="002436FD" w:rsidRDefault="0016447E" w:rsidP="002436FD">
      <w:pPr>
        <w:pStyle w:val="ActHead7"/>
      </w:pPr>
      <w:bookmarkStart w:id="18" w:name="_Toc5698335"/>
      <w:bookmarkEnd w:id="17"/>
      <w:r w:rsidRPr="002436FD">
        <w:rPr>
          <w:rStyle w:val="CharAmPartNo"/>
        </w:rPr>
        <w:t>Part</w:t>
      </w:r>
      <w:r w:rsidR="002436FD" w:rsidRPr="002436FD">
        <w:rPr>
          <w:rStyle w:val="CharAmPartNo"/>
        </w:rPr>
        <w:t> </w:t>
      </w:r>
      <w:r w:rsidRPr="002436FD">
        <w:rPr>
          <w:rStyle w:val="CharAmPartNo"/>
        </w:rPr>
        <w:t>1</w:t>
      </w:r>
      <w:r w:rsidRPr="002436FD">
        <w:t>—</w:t>
      </w:r>
      <w:r w:rsidR="00F5020D" w:rsidRPr="002436FD">
        <w:rPr>
          <w:rStyle w:val="CharAmPartText"/>
        </w:rPr>
        <w:t>Amendment of the Petroleum Resource Rent Tax Assessment Act 1987</w:t>
      </w:r>
      <w:bookmarkEnd w:id="18"/>
    </w:p>
    <w:p w:rsidR="0016447E" w:rsidRPr="002436FD" w:rsidRDefault="0016447E" w:rsidP="002436FD">
      <w:pPr>
        <w:pStyle w:val="ActHead9"/>
        <w:rPr>
          <w:i w:val="0"/>
        </w:rPr>
      </w:pPr>
      <w:bookmarkStart w:id="19" w:name="_Toc5698336"/>
      <w:r w:rsidRPr="002436FD">
        <w:t>Petroleum Resource Rent Tax Assessment Act 1987</w:t>
      </w:r>
      <w:bookmarkEnd w:id="19"/>
    </w:p>
    <w:p w:rsidR="0016447E" w:rsidRPr="002436FD" w:rsidRDefault="00EF06A8" w:rsidP="002436FD">
      <w:pPr>
        <w:pStyle w:val="ItemHead"/>
      </w:pPr>
      <w:r w:rsidRPr="002436FD">
        <w:t>1</w:t>
      </w:r>
      <w:r w:rsidR="0016447E" w:rsidRPr="002436FD">
        <w:t xml:space="preserve">  Section</w:t>
      </w:r>
      <w:r w:rsidR="002436FD" w:rsidRPr="002436FD">
        <w:t> </w:t>
      </w:r>
      <w:r w:rsidR="0016447E" w:rsidRPr="002436FD">
        <w:t xml:space="preserve">2 (definition of </w:t>
      </w:r>
      <w:r w:rsidR="0016447E" w:rsidRPr="002436FD">
        <w:rPr>
          <w:i/>
        </w:rPr>
        <w:t>access authority</w:t>
      </w:r>
      <w:r w:rsidR="0016447E" w:rsidRPr="002436FD">
        <w:t>)</w:t>
      </w:r>
    </w:p>
    <w:p w:rsidR="0016447E" w:rsidRPr="002436FD" w:rsidRDefault="0016447E" w:rsidP="002436FD">
      <w:pPr>
        <w:pStyle w:val="Item"/>
      </w:pPr>
      <w:r w:rsidRPr="002436FD">
        <w:t>Repeal the definition</w:t>
      </w:r>
      <w:r w:rsidR="00080472" w:rsidRPr="002436FD">
        <w:t xml:space="preserve"> (including the note)</w:t>
      </w:r>
      <w:r w:rsidRPr="002436FD">
        <w:t>, substitute:</w:t>
      </w:r>
    </w:p>
    <w:p w:rsidR="0016447E" w:rsidRPr="002436FD" w:rsidRDefault="0016447E" w:rsidP="002436FD">
      <w:pPr>
        <w:pStyle w:val="Definition"/>
      </w:pPr>
      <w:r w:rsidRPr="002436FD">
        <w:rPr>
          <w:b/>
          <w:i/>
        </w:rPr>
        <w:t>access authority</w:t>
      </w:r>
      <w:r w:rsidRPr="002436FD">
        <w:t xml:space="preserve"> means a petroleum access authority within the meaning of the </w:t>
      </w:r>
      <w:r w:rsidRPr="002436FD">
        <w:rPr>
          <w:i/>
        </w:rPr>
        <w:t>Offshore Petroleum and Greenhouse Gas Storage Act 2006</w:t>
      </w:r>
      <w:r w:rsidRPr="002436FD">
        <w:t>.</w:t>
      </w:r>
    </w:p>
    <w:p w:rsidR="0016447E" w:rsidRPr="002436FD" w:rsidRDefault="00EF06A8" w:rsidP="002436FD">
      <w:pPr>
        <w:pStyle w:val="ItemHead"/>
      </w:pPr>
      <w:r w:rsidRPr="002436FD">
        <w:t>2</w:t>
      </w:r>
      <w:r w:rsidR="0016447E" w:rsidRPr="002436FD">
        <w:t xml:space="preserve">  Section</w:t>
      </w:r>
      <w:r w:rsidR="002436FD" w:rsidRPr="002436FD">
        <w:t> </w:t>
      </w:r>
      <w:r w:rsidR="0016447E" w:rsidRPr="002436FD">
        <w:t xml:space="preserve">2 (definition of </w:t>
      </w:r>
      <w:r w:rsidR="0016447E" w:rsidRPr="002436FD">
        <w:rPr>
          <w:i/>
        </w:rPr>
        <w:t>acquisition</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acquisition</w:t>
      </w:r>
      <w:r w:rsidRPr="002436FD">
        <w:t xml:space="preserve"> has the meaning given by section</w:t>
      </w:r>
      <w:r w:rsidR="002436FD" w:rsidRPr="002436FD">
        <w:t> </w:t>
      </w:r>
      <w:r w:rsidRPr="002436FD">
        <w:t>195</w:t>
      </w:r>
      <w:r w:rsidR="004802C7">
        <w:noBreakHyphen/>
      </w:r>
      <w:r w:rsidRPr="002436FD">
        <w:t>1 of the GST Act.</w:t>
      </w:r>
    </w:p>
    <w:p w:rsidR="0016447E" w:rsidRPr="002436FD" w:rsidRDefault="00EF06A8" w:rsidP="002436FD">
      <w:pPr>
        <w:pStyle w:val="ItemHead"/>
      </w:pPr>
      <w:r w:rsidRPr="002436FD">
        <w:t>3</w:t>
      </w:r>
      <w:r w:rsidR="0016447E" w:rsidRPr="002436FD">
        <w:t xml:space="preserve">  Section</w:t>
      </w:r>
      <w:r w:rsidR="002436FD" w:rsidRPr="002436FD">
        <w:t> </w:t>
      </w:r>
      <w:r w:rsidR="0016447E" w:rsidRPr="002436FD">
        <w:t>2 (</w:t>
      </w:r>
      <w:r w:rsidR="002436FD" w:rsidRPr="002436FD">
        <w:t>paragraph (</w:t>
      </w:r>
      <w:r w:rsidR="0016447E" w:rsidRPr="002436FD">
        <w:t xml:space="preserve">c) of the definition of </w:t>
      </w:r>
      <w:r w:rsidR="0016447E" w:rsidRPr="002436FD">
        <w:rPr>
          <w:i/>
        </w:rPr>
        <w:t>applicable commencement date</w:t>
      </w:r>
      <w:r w:rsidR="0016447E" w:rsidRPr="002436FD">
        <w:t>)</w:t>
      </w:r>
    </w:p>
    <w:p w:rsidR="0016447E" w:rsidRPr="002436FD" w:rsidRDefault="0016447E" w:rsidP="002436FD">
      <w:pPr>
        <w:pStyle w:val="Item"/>
      </w:pPr>
      <w:r w:rsidRPr="002436FD">
        <w:t>Repeal the paragraph, substitute:</w:t>
      </w:r>
    </w:p>
    <w:p w:rsidR="0016447E" w:rsidRPr="002436FD" w:rsidRDefault="0016447E" w:rsidP="002436FD">
      <w:pPr>
        <w:pStyle w:val="paragraph"/>
      </w:pPr>
      <w:r w:rsidRPr="002436FD">
        <w:tab/>
        <w:t>(c)</w:t>
      </w:r>
      <w:r w:rsidRPr="002436FD">
        <w:tab/>
        <w:t>if the project is the North West Shelf project—1</w:t>
      </w:r>
      <w:r w:rsidR="002436FD" w:rsidRPr="002436FD">
        <w:t> </w:t>
      </w:r>
      <w:r w:rsidRPr="002436FD">
        <w:t>July 2012.</w:t>
      </w:r>
    </w:p>
    <w:p w:rsidR="0016447E" w:rsidRPr="002436FD" w:rsidRDefault="00EF06A8" w:rsidP="002436FD">
      <w:pPr>
        <w:pStyle w:val="ItemHead"/>
      </w:pPr>
      <w:r w:rsidRPr="002436FD">
        <w:t>4</w:t>
      </w:r>
      <w:r w:rsidR="0016447E" w:rsidRPr="002436FD">
        <w:t xml:space="preserve">  Section</w:t>
      </w:r>
      <w:r w:rsidR="002436FD" w:rsidRPr="002436FD">
        <w:t> </w:t>
      </w:r>
      <w:r w:rsidR="0016447E" w:rsidRPr="002436FD">
        <w:t xml:space="preserve">2 (note to the definition of </w:t>
      </w:r>
      <w:r w:rsidR="0016447E" w:rsidRPr="002436FD">
        <w:rPr>
          <w:i/>
        </w:rPr>
        <w:t>assessment</w:t>
      </w:r>
      <w:r w:rsidR="0016447E" w:rsidRPr="002436FD">
        <w:t>)</w:t>
      </w:r>
    </w:p>
    <w:p w:rsidR="0016447E" w:rsidRPr="002436FD" w:rsidRDefault="0016447E" w:rsidP="002436FD">
      <w:pPr>
        <w:pStyle w:val="Item"/>
      </w:pPr>
      <w:r w:rsidRPr="002436FD">
        <w:t>Repeal the note.</w:t>
      </w:r>
    </w:p>
    <w:p w:rsidR="0016447E" w:rsidRPr="002436FD" w:rsidRDefault="00EF06A8" w:rsidP="002436FD">
      <w:pPr>
        <w:pStyle w:val="ItemHead"/>
        <w:rPr>
          <w:i/>
        </w:rPr>
      </w:pPr>
      <w:r w:rsidRPr="002436FD">
        <w:t>5</w:t>
      </w:r>
      <w:r w:rsidR="0016447E" w:rsidRPr="002436FD">
        <w:t xml:space="preserve">  Section</w:t>
      </w:r>
      <w:r w:rsidR="002436FD" w:rsidRPr="002436FD">
        <w:t> </w:t>
      </w:r>
      <w:r w:rsidR="0016447E" w:rsidRPr="002436FD">
        <w:t xml:space="preserve">2 (definition of </w:t>
      </w:r>
      <w:r w:rsidR="0016447E" w:rsidRPr="002436FD">
        <w:rPr>
          <w:i/>
        </w:rPr>
        <w:t>block</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block</w:t>
      </w:r>
      <w:r w:rsidRPr="002436FD">
        <w:t xml:space="preserve"> has the same meaning as in the </w:t>
      </w:r>
      <w:r w:rsidRPr="002436FD">
        <w:rPr>
          <w:i/>
        </w:rPr>
        <w:t>Offshore Petroleum and Greenhouse Gas Storage Act 2006</w:t>
      </w:r>
      <w:r w:rsidRPr="002436FD">
        <w:t>.</w:t>
      </w:r>
    </w:p>
    <w:p w:rsidR="00080472" w:rsidRPr="002436FD" w:rsidRDefault="00EF06A8" w:rsidP="002436FD">
      <w:pPr>
        <w:pStyle w:val="ItemHead"/>
      </w:pPr>
      <w:r w:rsidRPr="002436FD">
        <w:t>6</w:t>
      </w:r>
      <w:r w:rsidR="0016447E" w:rsidRPr="002436FD">
        <w:t xml:space="preserve">  Section</w:t>
      </w:r>
      <w:r w:rsidR="002436FD" w:rsidRPr="002436FD">
        <w:t> </w:t>
      </w:r>
      <w:r w:rsidR="0016447E" w:rsidRPr="002436FD">
        <w:t>2</w:t>
      </w:r>
    </w:p>
    <w:p w:rsidR="00080472" w:rsidRPr="002436FD" w:rsidRDefault="00080472" w:rsidP="002436FD">
      <w:pPr>
        <w:pStyle w:val="Item"/>
      </w:pPr>
      <w:r w:rsidRPr="002436FD">
        <w:t>Repeal the following definitions:</w:t>
      </w:r>
    </w:p>
    <w:p w:rsidR="00080472" w:rsidRPr="002436FD" w:rsidRDefault="00080472" w:rsidP="002436FD">
      <w:pPr>
        <w:pStyle w:val="paragraph"/>
      </w:pPr>
      <w:r w:rsidRPr="002436FD">
        <w:lastRenderedPageBreak/>
        <w:tab/>
        <w:t>(a)</w:t>
      </w:r>
      <w:r w:rsidRPr="002436FD">
        <w:tab/>
        <w:t xml:space="preserve">definition of </w:t>
      </w:r>
      <w:r w:rsidRPr="002436FD">
        <w:rPr>
          <w:b/>
          <w:i/>
        </w:rPr>
        <w:t>consolidated group</w:t>
      </w:r>
      <w:r w:rsidRPr="002436FD">
        <w:t>;</w:t>
      </w:r>
    </w:p>
    <w:p w:rsidR="00080472" w:rsidRPr="002436FD" w:rsidRDefault="00080472" w:rsidP="002436FD">
      <w:pPr>
        <w:pStyle w:val="paragraph"/>
      </w:pPr>
      <w:r w:rsidRPr="002436FD">
        <w:tab/>
        <w:t>(b)</w:t>
      </w:r>
      <w:r w:rsidRPr="002436FD">
        <w:tab/>
        <w:t xml:space="preserve">definition of </w:t>
      </w:r>
      <w:r w:rsidRPr="002436FD">
        <w:rPr>
          <w:b/>
          <w:i/>
        </w:rPr>
        <w:t>created</w:t>
      </w:r>
      <w:r w:rsidRPr="002436FD">
        <w:t>.</w:t>
      </w:r>
    </w:p>
    <w:p w:rsidR="002D4C2D" w:rsidRPr="002436FD" w:rsidRDefault="00EF06A8" w:rsidP="002436FD">
      <w:pPr>
        <w:pStyle w:val="ItemHead"/>
      </w:pPr>
      <w:r w:rsidRPr="002436FD">
        <w:t>7</w:t>
      </w:r>
      <w:r w:rsidR="002D4C2D" w:rsidRPr="002436FD">
        <w:t xml:space="preserve">  Section</w:t>
      </w:r>
      <w:r w:rsidR="002436FD" w:rsidRPr="002436FD">
        <w:t> </w:t>
      </w:r>
      <w:r w:rsidR="002D4C2D" w:rsidRPr="002436FD">
        <w:t xml:space="preserve">2 (definition of </w:t>
      </w:r>
      <w:r w:rsidR="002D4C2D" w:rsidRPr="002436FD">
        <w:rPr>
          <w:i/>
        </w:rPr>
        <w:t>eligible real expenditure</w:t>
      </w:r>
      <w:r w:rsidR="002D4C2D" w:rsidRPr="002436FD">
        <w:t>)</w:t>
      </w:r>
    </w:p>
    <w:p w:rsidR="002D4C2D" w:rsidRPr="002436FD" w:rsidRDefault="002D4C2D" w:rsidP="002436FD">
      <w:pPr>
        <w:pStyle w:val="Item"/>
      </w:pPr>
      <w:r w:rsidRPr="002436FD">
        <w:t>Omit “acquired exploration expenditure,”.</w:t>
      </w:r>
    </w:p>
    <w:p w:rsidR="0016447E" w:rsidRPr="002436FD" w:rsidRDefault="00EF06A8" w:rsidP="002436FD">
      <w:pPr>
        <w:pStyle w:val="ItemHead"/>
      </w:pPr>
      <w:r w:rsidRPr="002436FD">
        <w:t>8</w:t>
      </w:r>
      <w:r w:rsidR="0016447E" w:rsidRPr="002436FD">
        <w:t xml:space="preserve">  Section</w:t>
      </w:r>
      <w:r w:rsidR="002436FD" w:rsidRPr="002436FD">
        <w:t> </w:t>
      </w:r>
      <w:r w:rsidR="0016447E" w:rsidRPr="002436FD">
        <w:t xml:space="preserve">2 (definition of </w:t>
      </w:r>
      <w:r w:rsidR="0016447E" w:rsidRPr="002436FD">
        <w:rPr>
          <w:i/>
        </w:rPr>
        <w:t>excluded fee</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excluded fee</w:t>
      </w:r>
      <w:r w:rsidRPr="002436FD">
        <w:t xml:space="preserve"> means an amount of a kind referred to in paragraph</w:t>
      </w:r>
      <w:r w:rsidR="002436FD" w:rsidRPr="002436FD">
        <w:t> </w:t>
      </w:r>
      <w:r w:rsidRPr="002436FD">
        <w:t>113(1)(c), subsection</w:t>
      </w:r>
      <w:r w:rsidR="002436FD" w:rsidRPr="002436FD">
        <w:t> </w:t>
      </w:r>
      <w:r w:rsidRPr="002436FD">
        <w:t>115(5), paragraph</w:t>
      </w:r>
      <w:r w:rsidR="002436FD" w:rsidRPr="002436FD">
        <w:t> </w:t>
      </w:r>
      <w:r w:rsidRPr="002436FD">
        <w:t>118(1)(c), subsection</w:t>
      </w:r>
      <w:r w:rsidR="002436FD" w:rsidRPr="002436FD">
        <w:t> </w:t>
      </w:r>
      <w:r w:rsidRPr="002436FD">
        <w:t>178(4) or paragraph</w:t>
      </w:r>
      <w:r w:rsidR="002436FD" w:rsidRPr="002436FD">
        <w:t> </w:t>
      </w:r>
      <w:r w:rsidRPr="002436FD">
        <w:t xml:space="preserve">181(1)(c) of the </w:t>
      </w:r>
      <w:r w:rsidRPr="002436FD">
        <w:rPr>
          <w:i/>
        </w:rPr>
        <w:t>Offshore Petroleum and Greenhouse Gas Storage Act 2006</w:t>
      </w:r>
      <w:r w:rsidRPr="002436FD">
        <w:t>.</w:t>
      </w:r>
    </w:p>
    <w:p w:rsidR="0016447E" w:rsidRPr="002436FD" w:rsidRDefault="00EF06A8" w:rsidP="002436FD">
      <w:pPr>
        <w:pStyle w:val="ItemHead"/>
      </w:pPr>
      <w:r w:rsidRPr="002436FD">
        <w:t>9</w:t>
      </w:r>
      <w:r w:rsidR="0016447E" w:rsidRPr="002436FD">
        <w:t xml:space="preserve">  Section</w:t>
      </w:r>
      <w:r w:rsidR="002436FD" w:rsidRPr="002436FD">
        <w:t> </w:t>
      </w:r>
      <w:r w:rsidR="0016447E" w:rsidRPr="002436FD">
        <w:t xml:space="preserve">2 (definition of </w:t>
      </w:r>
      <w:r w:rsidR="0016447E" w:rsidRPr="002436FD">
        <w:rPr>
          <w:i/>
        </w:rPr>
        <w:t>exploration permit</w:t>
      </w:r>
      <w:r w:rsidR="0016447E" w:rsidRPr="002436FD">
        <w:t>)</w:t>
      </w:r>
    </w:p>
    <w:p w:rsidR="0016447E" w:rsidRPr="002436FD" w:rsidRDefault="0016447E" w:rsidP="002436FD">
      <w:pPr>
        <w:pStyle w:val="Item"/>
      </w:pPr>
      <w:r w:rsidRPr="002436FD">
        <w:t>Repeal the definition</w:t>
      </w:r>
      <w:r w:rsidR="00080472" w:rsidRPr="002436FD">
        <w:t xml:space="preserve"> (including the note)</w:t>
      </w:r>
      <w:r w:rsidRPr="002436FD">
        <w:t>, substitute:</w:t>
      </w:r>
    </w:p>
    <w:p w:rsidR="0016447E" w:rsidRPr="002436FD" w:rsidRDefault="0016447E" w:rsidP="002436FD">
      <w:pPr>
        <w:pStyle w:val="Definition"/>
      </w:pPr>
      <w:r w:rsidRPr="002436FD">
        <w:rPr>
          <w:b/>
          <w:i/>
        </w:rPr>
        <w:t>exploration permit</w:t>
      </w:r>
      <w:r w:rsidRPr="002436FD">
        <w:t xml:space="preserve"> means a petroleum exploration permit within the meaning of the </w:t>
      </w:r>
      <w:r w:rsidRPr="002436FD">
        <w:rPr>
          <w:i/>
        </w:rPr>
        <w:t>Offshore Petroleum and Greenhouse Gas Storage Act 2006</w:t>
      </w:r>
      <w:r w:rsidRPr="002436FD">
        <w:t>.</w:t>
      </w:r>
    </w:p>
    <w:p w:rsidR="0016447E" w:rsidRPr="002436FD" w:rsidRDefault="00EF06A8" w:rsidP="002436FD">
      <w:pPr>
        <w:pStyle w:val="ItemHead"/>
      </w:pPr>
      <w:r w:rsidRPr="002436FD">
        <w:t>10</w:t>
      </w:r>
      <w:r w:rsidR="0016447E" w:rsidRPr="002436FD">
        <w:t xml:space="preserve">  Section</w:t>
      </w:r>
      <w:r w:rsidR="002436FD" w:rsidRPr="002436FD">
        <w:t> </w:t>
      </w:r>
      <w:r w:rsidR="0016447E" w:rsidRPr="002436FD">
        <w:t xml:space="preserve">2 (definition of </w:t>
      </w:r>
      <w:r w:rsidR="0016447E" w:rsidRPr="002436FD">
        <w:rPr>
          <w:i/>
        </w:rPr>
        <w:t>exploration permit area</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exploration permit area</w:t>
      </w:r>
      <w:r w:rsidRPr="002436FD">
        <w:t xml:space="preserve"> means a petroleum exploration permit area within the meaning of the </w:t>
      </w:r>
      <w:r w:rsidRPr="002436FD">
        <w:rPr>
          <w:i/>
        </w:rPr>
        <w:t>Offshore Petroleum and Greenhouse Gas Storage Act 2006</w:t>
      </w:r>
      <w:r w:rsidRPr="002436FD">
        <w:t>.</w:t>
      </w:r>
    </w:p>
    <w:p w:rsidR="0016447E" w:rsidRPr="002436FD" w:rsidRDefault="00EF06A8" w:rsidP="002436FD">
      <w:pPr>
        <w:pStyle w:val="ItemHead"/>
      </w:pPr>
      <w:r w:rsidRPr="002436FD">
        <w:t>11</w:t>
      </w:r>
      <w:r w:rsidR="0016447E" w:rsidRPr="002436FD">
        <w:t xml:space="preserve">  Section</w:t>
      </w:r>
      <w:r w:rsidR="002436FD" w:rsidRPr="002436FD">
        <w:t> </w:t>
      </w:r>
      <w:r w:rsidR="0016447E" w:rsidRPr="002436FD">
        <w:t xml:space="preserve">2 (definition of </w:t>
      </w:r>
      <w:r w:rsidR="0016447E" w:rsidRPr="002436FD">
        <w:rPr>
          <w:i/>
        </w:rPr>
        <w:t>head company</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head company</w:t>
      </w:r>
      <w:r w:rsidRPr="002436FD">
        <w:t>, of a designated company group, has the meaning given by section</w:t>
      </w:r>
      <w:r w:rsidR="002436FD" w:rsidRPr="002436FD">
        <w:t> </w:t>
      </w:r>
      <w:r w:rsidRPr="002436FD">
        <w:t>2BA.</w:t>
      </w:r>
    </w:p>
    <w:p w:rsidR="0016447E" w:rsidRPr="002436FD" w:rsidRDefault="00EF06A8" w:rsidP="002436FD">
      <w:pPr>
        <w:pStyle w:val="ItemHead"/>
      </w:pPr>
      <w:r w:rsidRPr="002436FD">
        <w:t>12</w:t>
      </w:r>
      <w:r w:rsidR="0016447E" w:rsidRPr="002436FD">
        <w:t xml:space="preserve">  Section</w:t>
      </w:r>
      <w:r w:rsidR="002436FD" w:rsidRPr="002436FD">
        <w:t> </w:t>
      </w:r>
      <w:r w:rsidR="0016447E" w:rsidRPr="002436FD">
        <w:t xml:space="preserve">2 (definition of </w:t>
      </w:r>
      <w:r w:rsidR="0016447E" w:rsidRPr="002436FD">
        <w:rPr>
          <w:i/>
        </w:rPr>
        <w:t>holder of a registered interest</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holder of a registered interest</w:t>
      </w:r>
      <w:r w:rsidRPr="002436FD">
        <w:t xml:space="preserve">, in relation to a production licence, means a person holding an interest in the production licence, being an interest created by a dealing in relation to which an entry has </w:t>
      </w:r>
      <w:r w:rsidRPr="002436FD">
        <w:lastRenderedPageBreak/>
        <w:t>been made under subsection</w:t>
      </w:r>
      <w:r w:rsidR="002436FD" w:rsidRPr="002436FD">
        <w:t> </w:t>
      </w:r>
      <w:r w:rsidRPr="002436FD">
        <w:t xml:space="preserve">494(3) of the </w:t>
      </w:r>
      <w:r w:rsidRPr="002436FD">
        <w:rPr>
          <w:i/>
        </w:rPr>
        <w:t>Offshore Petroleum and Greenhouse Gas Storage Act 2006</w:t>
      </w:r>
      <w:r w:rsidRPr="002436FD">
        <w:t>.</w:t>
      </w:r>
    </w:p>
    <w:p w:rsidR="0016447E" w:rsidRPr="002436FD" w:rsidRDefault="00EF06A8" w:rsidP="002436FD">
      <w:pPr>
        <w:pStyle w:val="ItemHead"/>
      </w:pPr>
      <w:r w:rsidRPr="002436FD">
        <w:t>13</w:t>
      </w:r>
      <w:r w:rsidR="0016447E" w:rsidRPr="002436FD">
        <w:t xml:space="preserve">  Section</w:t>
      </w:r>
      <w:r w:rsidR="002436FD" w:rsidRPr="002436FD">
        <w:t> </w:t>
      </w:r>
      <w:r w:rsidR="0016447E" w:rsidRPr="002436FD">
        <w:t xml:space="preserve">2 (definition of </w:t>
      </w:r>
      <w:r w:rsidR="0016447E" w:rsidRPr="002436FD">
        <w:rPr>
          <w:i/>
        </w:rPr>
        <w:t>infrastructure licence</w:t>
      </w:r>
      <w:r w:rsidR="0016447E" w:rsidRPr="002436FD">
        <w:t>)</w:t>
      </w:r>
    </w:p>
    <w:p w:rsidR="0016447E" w:rsidRPr="002436FD" w:rsidRDefault="0016447E" w:rsidP="002436FD">
      <w:pPr>
        <w:pStyle w:val="Item"/>
      </w:pPr>
      <w:r w:rsidRPr="002436FD">
        <w:t>Repeal the definition</w:t>
      </w:r>
      <w:r w:rsidR="00080472" w:rsidRPr="002436FD">
        <w:t xml:space="preserve"> (including the note)</w:t>
      </w:r>
      <w:r w:rsidRPr="002436FD">
        <w:t>, substitute:</w:t>
      </w:r>
    </w:p>
    <w:p w:rsidR="0016447E" w:rsidRPr="002436FD" w:rsidRDefault="0016447E" w:rsidP="002436FD">
      <w:pPr>
        <w:pStyle w:val="Definition"/>
      </w:pPr>
      <w:r w:rsidRPr="002436FD">
        <w:rPr>
          <w:b/>
          <w:i/>
        </w:rPr>
        <w:t>infrastructure licence</w:t>
      </w:r>
      <w:r w:rsidRPr="002436FD">
        <w:t xml:space="preserve"> has the meaning given by section</w:t>
      </w:r>
      <w:r w:rsidR="002436FD" w:rsidRPr="002436FD">
        <w:t> </w:t>
      </w:r>
      <w:r w:rsidRPr="002436FD">
        <w:t xml:space="preserve">7 of the </w:t>
      </w:r>
      <w:r w:rsidRPr="002436FD">
        <w:rPr>
          <w:i/>
        </w:rPr>
        <w:t>Offshore Petroleum and Greenhouse Gas Storage Act 2006</w:t>
      </w:r>
      <w:r w:rsidRPr="002436FD">
        <w:t>.</w:t>
      </w:r>
    </w:p>
    <w:p w:rsidR="0016447E" w:rsidRPr="002436FD" w:rsidRDefault="00EF06A8" w:rsidP="002436FD">
      <w:pPr>
        <w:pStyle w:val="ItemHead"/>
      </w:pPr>
      <w:r w:rsidRPr="002436FD">
        <w:t>14</w:t>
      </w:r>
      <w:r w:rsidR="0016447E" w:rsidRPr="002436FD">
        <w:t xml:space="preserve">  Section</w:t>
      </w:r>
      <w:r w:rsidR="002436FD" w:rsidRPr="002436FD">
        <w:t> </w:t>
      </w:r>
      <w:r w:rsidR="0016447E" w:rsidRPr="002436FD">
        <w:t>2</w:t>
      </w:r>
    </w:p>
    <w:p w:rsidR="00080472" w:rsidRPr="002436FD" w:rsidRDefault="00080472" w:rsidP="002436FD">
      <w:pPr>
        <w:pStyle w:val="Item"/>
      </w:pPr>
      <w:r w:rsidRPr="002436FD">
        <w:t>Repeal the following definitions:</w:t>
      </w:r>
    </w:p>
    <w:p w:rsidR="00080472" w:rsidRPr="002436FD" w:rsidRDefault="00080472" w:rsidP="002436FD">
      <w:pPr>
        <w:pStyle w:val="paragraph"/>
      </w:pPr>
      <w:r w:rsidRPr="002436FD">
        <w:tab/>
        <w:t>(a)</w:t>
      </w:r>
      <w:r w:rsidRPr="002436FD">
        <w:tab/>
        <w:t xml:space="preserve">definition of </w:t>
      </w:r>
      <w:r w:rsidRPr="002436FD">
        <w:rPr>
          <w:b/>
          <w:i/>
        </w:rPr>
        <w:t>MEC group</w:t>
      </w:r>
      <w:r w:rsidRPr="002436FD">
        <w:t>;</w:t>
      </w:r>
    </w:p>
    <w:p w:rsidR="00080472" w:rsidRPr="002436FD" w:rsidRDefault="00080472" w:rsidP="002436FD">
      <w:pPr>
        <w:pStyle w:val="paragraph"/>
      </w:pPr>
      <w:r w:rsidRPr="002436FD">
        <w:tab/>
        <w:t>(b)</w:t>
      </w:r>
      <w:r w:rsidRPr="002436FD">
        <w:tab/>
        <w:t xml:space="preserve">definition of </w:t>
      </w:r>
      <w:r w:rsidRPr="002436FD">
        <w:rPr>
          <w:b/>
          <w:i/>
        </w:rPr>
        <w:t>member</w:t>
      </w:r>
      <w:r w:rsidRPr="002436FD">
        <w:t>;</w:t>
      </w:r>
    </w:p>
    <w:p w:rsidR="00080472" w:rsidRPr="002436FD" w:rsidRDefault="00080472" w:rsidP="002436FD">
      <w:pPr>
        <w:pStyle w:val="paragraph"/>
      </w:pPr>
      <w:r w:rsidRPr="002436FD">
        <w:tab/>
        <w:t>(c)</w:t>
      </w:r>
      <w:r w:rsidRPr="002436FD">
        <w:tab/>
        <w:t xml:space="preserve">definition of </w:t>
      </w:r>
      <w:r w:rsidRPr="002436FD">
        <w:rPr>
          <w:b/>
          <w:i/>
        </w:rPr>
        <w:t>onshore area</w:t>
      </w:r>
      <w:r w:rsidRPr="002436FD">
        <w:t>;</w:t>
      </w:r>
    </w:p>
    <w:p w:rsidR="00080472" w:rsidRPr="002436FD" w:rsidRDefault="00080472" w:rsidP="002436FD">
      <w:pPr>
        <w:pStyle w:val="paragraph"/>
      </w:pPr>
      <w:r w:rsidRPr="002436FD">
        <w:tab/>
        <w:t>(d)</w:t>
      </w:r>
      <w:r w:rsidRPr="002436FD">
        <w:tab/>
        <w:t xml:space="preserve">definition of </w:t>
      </w:r>
      <w:r w:rsidRPr="002436FD">
        <w:rPr>
          <w:b/>
          <w:i/>
        </w:rPr>
        <w:t>onshore petroleum project</w:t>
      </w:r>
      <w:r w:rsidRPr="002436FD">
        <w:t>.</w:t>
      </w:r>
    </w:p>
    <w:p w:rsidR="0016447E" w:rsidRPr="002436FD" w:rsidRDefault="00EF06A8" w:rsidP="002436FD">
      <w:pPr>
        <w:pStyle w:val="ItemHead"/>
      </w:pPr>
      <w:r w:rsidRPr="002436FD">
        <w:t>15</w:t>
      </w:r>
      <w:r w:rsidR="0016447E" w:rsidRPr="002436FD">
        <w:t xml:space="preserve">  Section</w:t>
      </w:r>
      <w:r w:rsidR="002436FD" w:rsidRPr="002436FD">
        <w:t> </w:t>
      </w:r>
      <w:r w:rsidR="0016447E" w:rsidRPr="002436FD">
        <w:t xml:space="preserve">2 (definition of </w:t>
      </w:r>
      <w:r w:rsidR="0016447E" w:rsidRPr="002436FD">
        <w:rPr>
          <w:i/>
        </w:rPr>
        <w:t>pipeline licence</w:t>
      </w:r>
      <w:r w:rsidR="0016447E" w:rsidRPr="002436FD">
        <w:t>)</w:t>
      </w:r>
    </w:p>
    <w:p w:rsidR="0016447E" w:rsidRPr="002436FD" w:rsidRDefault="0016447E" w:rsidP="002436FD">
      <w:pPr>
        <w:pStyle w:val="Item"/>
      </w:pPr>
      <w:r w:rsidRPr="002436FD">
        <w:t>Repeal the definition</w:t>
      </w:r>
      <w:r w:rsidR="00080472" w:rsidRPr="002436FD">
        <w:t xml:space="preserve"> (including the note)</w:t>
      </w:r>
      <w:r w:rsidRPr="002436FD">
        <w:t>, substitute:</w:t>
      </w:r>
    </w:p>
    <w:p w:rsidR="0016447E" w:rsidRPr="002436FD" w:rsidRDefault="0016447E" w:rsidP="002436FD">
      <w:pPr>
        <w:pStyle w:val="Definition"/>
      </w:pPr>
      <w:r w:rsidRPr="002436FD">
        <w:rPr>
          <w:b/>
          <w:i/>
        </w:rPr>
        <w:t>pipeline licence</w:t>
      </w:r>
      <w:r w:rsidRPr="002436FD">
        <w:t xml:space="preserve"> has the same meaning as in the </w:t>
      </w:r>
      <w:r w:rsidRPr="002436FD">
        <w:rPr>
          <w:i/>
        </w:rPr>
        <w:t>Offshore Petroleum and Greenhouse Gas Storage Act 2006</w:t>
      </w:r>
      <w:r w:rsidRPr="002436FD">
        <w:t>.</w:t>
      </w:r>
    </w:p>
    <w:p w:rsidR="0016447E" w:rsidRPr="002436FD" w:rsidRDefault="00EF06A8" w:rsidP="002436FD">
      <w:pPr>
        <w:pStyle w:val="ItemHead"/>
      </w:pPr>
      <w:r w:rsidRPr="002436FD">
        <w:t>16</w:t>
      </w:r>
      <w:r w:rsidR="0016447E" w:rsidRPr="002436FD">
        <w:t xml:space="preserve">  Section</w:t>
      </w:r>
      <w:r w:rsidR="002436FD" w:rsidRPr="002436FD">
        <w:t> </w:t>
      </w:r>
      <w:r w:rsidR="0016447E" w:rsidRPr="002436FD">
        <w:t xml:space="preserve">2 (definition of </w:t>
      </w:r>
      <w:r w:rsidR="0016447E" w:rsidRPr="002436FD">
        <w:rPr>
          <w:i/>
        </w:rPr>
        <w:t>post</w:t>
      </w:r>
      <w:r w:rsidR="004802C7">
        <w:rPr>
          <w:i/>
        </w:rPr>
        <w:noBreakHyphen/>
      </w:r>
      <w:r w:rsidR="0016447E" w:rsidRPr="002436FD">
        <w:rPr>
          <w:i/>
        </w:rPr>
        <w:t>30</w:t>
      </w:r>
      <w:r w:rsidR="002436FD" w:rsidRPr="002436FD">
        <w:rPr>
          <w:i/>
        </w:rPr>
        <w:t> </w:t>
      </w:r>
      <w:r w:rsidR="0016447E" w:rsidRPr="002436FD">
        <w:rPr>
          <w:i/>
        </w:rPr>
        <w:t>June 2008 petroleum project</w:t>
      </w:r>
      <w:r w:rsidR="0016447E" w:rsidRPr="002436FD">
        <w:t>)</w:t>
      </w:r>
    </w:p>
    <w:p w:rsidR="0016447E" w:rsidRPr="002436FD" w:rsidRDefault="0016447E" w:rsidP="002436FD">
      <w:pPr>
        <w:pStyle w:val="Item"/>
      </w:pPr>
      <w:r w:rsidRPr="002436FD">
        <w:t>Omit “an onshore petroleum project and”.</w:t>
      </w:r>
    </w:p>
    <w:p w:rsidR="0016447E" w:rsidRPr="002436FD" w:rsidRDefault="00EF06A8" w:rsidP="002436FD">
      <w:pPr>
        <w:pStyle w:val="ItemHead"/>
      </w:pPr>
      <w:r w:rsidRPr="002436FD">
        <w:t>17</w:t>
      </w:r>
      <w:r w:rsidR="0016447E" w:rsidRPr="002436FD">
        <w:t xml:space="preserve">  Section</w:t>
      </w:r>
      <w:r w:rsidR="002436FD" w:rsidRPr="002436FD">
        <w:t> </w:t>
      </w:r>
      <w:r w:rsidR="0016447E" w:rsidRPr="002436FD">
        <w:t>2 (</w:t>
      </w:r>
      <w:r w:rsidR="002436FD" w:rsidRPr="002436FD">
        <w:t>paragraph (</w:t>
      </w:r>
      <w:r w:rsidR="0016447E" w:rsidRPr="002436FD">
        <w:t xml:space="preserve">b) of the definition of </w:t>
      </w:r>
      <w:r w:rsidR="0016447E" w:rsidRPr="002436FD">
        <w:rPr>
          <w:i/>
        </w:rPr>
        <w:t>production licence</w:t>
      </w:r>
      <w:r w:rsidR="0016447E" w:rsidRPr="002436FD">
        <w:t>)</w:t>
      </w:r>
    </w:p>
    <w:p w:rsidR="0016447E" w:rsidRPr="002436FD" w:rsidRDefault="0016447E" w:rsidP="002436FD">
      <w:pPr>
        <w:pStyle w:val="Item"/>
      </w:pPr>
      <w:r w:rsidRPr="002436FD">
        <w:t>Omit “reservoirs; or”, substitute “reservoirs.”.</w:t>
      </w:r>
    </w:p>
    <w:p w:rsidR="0016447E" w:rsidRPr="002436FD" w:rsidRDefault="00EF06A8" w:rsidP="002436FD">
      <w:pPr>
        <w:pStyle w:val="ItemHead"/>
      </w:pPr>
      <w:r w:rsidRPr="002436FD">
        <w:t>18</w:t>
      </w:r>
      <w:r w:rsidR="0016447E" w:rsidRPr="002436FD">
        <w:t xml:space="preserve">  Section</w:t>
      </w:r>
      <w:r w:rsidR="002436FD" w:rsidRPr="002436FD">
        <w:t> </w:t>
      </w:r>
      <w:r w:rsidR="0016447E" w:rsidRPr="002436FD">
        <w:t>2 (</w:t>
      </w:r>
      <w:r w:rsidR="002436FD" w:rsidRPr="002436FD">
        <w:t>paragraph (</w:t>
      </w:r>
      <w:r w:rsidR="0016447E" w:rsidRPr="002436FD">
        <w:t xml:space="preserve">c) of the definition of </w:t>
      </w:r>
      <w:r w:rsidR="0016447E" w:rsidRPr="002436FD">
        <w:rPr>
          <w:i/>
        </w:rPr>
        <w:t>production licence</w:t>
      </w:r>
      <w:r w:rsidR="0016447E" w:rsidRPr="002436FD">
        <w:t>)</w:t>
      </w:r>
    </w:p>
    <w:p w:rsidR="0016447E" w:rsidRPr="002436FD" w:rsidRDefault="0016447E" w:rsidP="002436FD">
      <w:pPr>
        <w:pStyle w:val="Item"/>
      </w:pPr>
      <w:r w:rsidRPr="002436FD">
        <w:t>Repeal the paragraph.</w:t>
      </w:r>
    </w:p>
    <w:p w:rsidR="0016447E" w:rsidRPr="002436FD" w:rsidRDefault="00EF06A8" w:rsidP="002436FD">
      <w:pPr>
        <w:pStyle w:val="ItemHead"/>
      </w:pPr>
      <w:r w:rsidRPr="002436FD">
        <w:t>19</w:t>
      </w:r>
      <w:r w:rsidR="0016447E" w:rsidRPr="002436FD">
        <w:t xml:space="preserve">  Section</w:t>
      </w:r>
      <w:r w:rsidR="002436FD" w:rsidRPr="002436FD">
        <w:t> </w:t>
      </w:r>
      <w:r w:rsidR="0016447E" w:rsidRPr="002436FD">
        <w:t xml:space="preserve">2 (note to the definition of </w:t>
      </w:r>
      <w:r w:rsidR="0016447E" w:rsidRPr="002436FD">
        <w:rPr>
          <w:i/>
        </w:rPr>
        <w:t>production licence</w:t>
      </w:r>
      <w:r w:rsidR="0016447E" w:rsidRPr="002436FD">
        <w:t>)</w:t>
      </w:r>
    </w:p>
    <w:p w:rsidR="0016447E" w:rsidRPr="002436FD" w:rsidRDefault="0016447E" w:rsidP="002436FD">
      <w:pPr>
        <w:pStyle w:val="Item"/>
      </w:pPr>
      <w:r w:rsidRPr="002436FD">
        <w:t>Repeal the note.</w:t>
      </w:r>
    </w:p>
    <w:p w:rsidR="0016447E" w:rsidRPr="002436FD" w:rsidRDefault="00EF06A8" w:rsidP="002436FD">
      <w:pPr>
        <w:pStyle w:val="ItemHead"/>
      </w:pPr>
      <w:r w:rsidRPr="002436FD">
        <w:lastRenderedPageBreak/>
        <w:t>20</w:t>
      </w:r>
      <w:r w:rsidR="0016447E" w:rsidRPr="002436FD">
        <w:t xml:space="preserve">  Section</w:t>
      </w:r>
      <w:r w:rsidR="002436FD" w:rsidRPr="002436FD">
        <w:t> </w:t>
      </w:r>
      <w:r w:rsidR="0016447E" w:rsidRPr="002436FD">
        <w:t xml:space="preserve">2 (definition of </w:t>
      </w:r>
      <w:r w:rsidR="0016447E" w:rsidRPr="002436FD">
        <w:rPr>
          <w:i/>
        </w:rPr>
        <w:t>production licence area</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production licence area</w:t>
      </w:r>
      <w:r w:rsidRPr="002436FD">
        <w:t xml:space="preserve"> means a petroleum production licence area within the meaning of the </w:t>
      </w:r>
      <w:r w:rsidRPr="002436FD">
        <w:rPr>
          <w:i/>
        </w:rPr>
        <w:t>Offshore Petroleum and Greenhouse Gas Storage Act 2006</w:t>
      </w:r>
      <w:r w:rsidRPr="002436FD">
        <w:t xml:space="preserve"> and, in relation to a Greater Sunrise project, includes the Western Greater Sunrise area.</w:t>
      </w:r>
    </w:p>
    <w:p w:rsidR="0016447E" w:rsidRPr="002436FD" w:rsidRDefault="00EF06A8" w:rsidP="002436FD">
      <w:pPr>
        <w:pStyle w:val="ItemHead"/>
      </w:pPr>
      <w:r w:rsidRPr="002436FD">
        <w:t>21</w:t>
      </w:r>
      <w:r w:rsidR="0016447E" w:rsidRPr="002436FD">
        <w:t xml:space="preserve">  Section</w:t>
      </w:r>
      <w:r w:rsidR="002436FD" w:rsidRPr="002436FD">
        <w:t> </w:t>
      </w:r>
      <w:r w:rsidR="0016447E" w:rsidRPr="002436FD">
        <w:t xml:space="preserve">2 (definition of </w:t>
      </w:r>
      <w:r w:rsidR="0016447E" w:rsidRPr="002436FD">
        <w:rPr>
          <w:i/>
        </w:rPr>
        <w:t>production licence notice</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production licence notice</w:t>
      </w:r>
      <w:r w:rsidRPr="002436FD">
        <w:t>, in relation to a petroleum project, means a notice issued under subsection</w:t>
      </w:r>
      <w:r w:rsidR="002436FD" w:rsidRPr="002436FD">
        <w:t> </w:t>
      </w:r>
      <w:r w:rsidRPr="002436FD">
        <w:t xml:space="preserve">258(7) of the </w:t>
      </w:r>
      <w:r w:rsidRPr="002436FD">
        <w:rPr>
          <w:i/>
        </w:rPr>
        <w:t>Offshore Petroleum and Greenhouse Gas Storage Act 2006</w:t>
      </w:r>
      <w:r w:rsidRPr="002436FD">
        <w:t xml:space="preserve"> in relation to the project.</w:t>
      </w:r>
    </w:p>
    <w:p w:rsidR="0016447E" w:rsidRPr="002436FD" w:rsidRDefault="00EF06A8" w:rsidP="002436FD">
      <w:pPr>
        <w:pStyle w:val="ItemHead"/>
      </w:pPr>
      <w:r w:rsidRPr="002436FD">
        <w:t>22</w:t>
      </w:r>
      <w:r w:rsidR="0016447E" w:rsidRPr="002436FD">
        <w:t xml:space="preserve">  Section</w:t>
      </w:r>
      <w:r w:rsidR="002436FD" w:rsidRPr="002436FD">
        <w:t> </w:t>
      </w:r>
      <w:r w:rsidR="0016447E" w:rsidRPr="002436FD">
        <w:t xml:space="preserve">2 (definition of </w:t>
      </w:r>
      <w:r w:rsidR="0016447E" w:rsidRPr="002436FD">
        <w:rPr>
          <w:i/>
        </w:rPr>
        <w:t>provisional head company</w:t>
      </w:r>
      <w:r w:rsidR="0016447E" w:rsidRPr="002436FD">
        <w:t>)</w:t>
      </w:r>
    </w:p>
    <w:p w:rsidR="0016447E" w:rsidRPr="002436FD" w:rsidRDefault="0016447E" w:rsidP="002436FD">
      <w:pPr>
        <w:pStyle w:val="Item"/>
      </w:pPr>
      <w:r w:rsidRPr="002436FD">
        <w:t>Repeal the definition.</w:t>
      </w:r>
    </w:p>
    <w:p w:rsidR="0016447E" w:rsidRPr="002436FD" w:rsidRDefault="00EF06A8" w:rsidP="002436FD">
      <w:pPr>
        <w:pStyle w:val="ItemHead"/>
      </w:pPr>
      <w:r w:rsidRPr="002436FD">
        <w:t>23</w:t>
      </w:r>
      <w:r w:rsidR="0016447E" w:rsidRPr="002436FD">
        <w:t xml:space="preserve">  Section</w:t>
      </w:r>
      <w:r w:rsidR="002436FD" w:rsidRPr="002436FD">
        <w:t> </w:t>
      </w:r>
      <w:r w:rsidR="0016447E" w:rsidRPr="002436FD">
        <w:t xml:space="preserve">2 (definition of </w:t>
      </w:r>
      <w:r w:rsidR="0016447E" w:rsidRPr="002436FD">
        <w:rPr>
          <w:i/>
        </w:rPr>
        <w:t>registered holder</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registered holder</w:t>
      </w:r>
      <w:r w:rsidRPr="002436FD">
        <w:t xml:space="preserve"> has the same meaning as in the </w:t>
      </w:r>
      <w:r w:rsidRPr="002436FD">
        <w:rPr>
          <w:i/>
        </w:rPr>
        <w:t>Offshore Petroleum and Greenhouse Gas Storage Act 2006</w:t>
      </w:r>
      <w:r w:rsidRPr="002436FD">
        <w:t>.</w:t>
      </w:r>
    </w:p>
    <w:p w:rsidR="0016447E" w:rsidRPr="002436FD" w:rsidRDefault="00EF06A8" w:rsidP="002436FD">
      <w:pPr>
        <w:pStyle w:val="ItemHead"/>
      </w:pPr>
      <w:r w:rsidRPr="002436FD">
        <w:t>24</w:t>
      </w:r>
      <w:r w:rsidR="0016447E" w:rsidRPr="002436FD">
        <w:t xml:space="preserve">  Section</w:t>
      </w:r>
      <w:r w:rsidR="002436FD" w:rsidRPr="002436FD">
        <w:t> </w:t>
      </w:r>
      <w:r w:rsidR="0016447E" w:rsidRPr="002436FD">
        <w:t xml:space="preserve">2 (definition of </w:t>
      </w:r>
      <w:r w:rsidR="0016447E" w:rsidRPr="002436FD">
        <w:rPr>
          <w:i/>
        </w:rPr>
        <w:t>retention lease</w:t>
      </w:r>
      <w:r w:rsidR="0016447E" w:rsidRPr="002436FD">
        <w:t>)</w:t>
      </w:r>
    </w:p>
    <w:p w:rsidR="0016447E" w:rsidRPr="002436FD" w:rsidRDefault="0016447E" w:rsidP="002436FD">
      <w:pPr>
        <w:pStyle w:val="Item"/>
      </w:pPr>
      <w:r w:rsidRPr="002436FD">
        <w:t>Repeal the definition</w:t>
      </w:r>
      <w:r w:rsidR="00080472" w:rsidRPr="002436FD">
        <w:t xml:space="preserve"> (including the note)</w:t>
      </w:r>
      <w:r w:rsidRPr="002436FD">
        <w:t>, substitute:</w:t>
      </w:r>
    </w:p>
    <w:p w:rsidR="0016447E" w:rsidRPr="002436FD" w:rsidRDefault="0016447E" w:rsidP="002436FD">
      <w:pPr>
        <w:pStyle w:val="Definition"/>
      </w:pPr>
      <w:r w:rsidRPr="002436FD">
        <w:rPr>
          <w:b/>
          <w:i/>
        </w:rPr>
        <w:t>retention lease</w:t>
      </w:r>
      <w:r w:rsidRPr="002436FD">
        <w:t xml:space="preserve"> means a petroleum retention lease within the meaning of the </w:t>
      </w:r>
      <w:r w:rsidRPr="002436FD">
        <w:rPr>
          <w:i/>
        </w:rPr>
        <w:t>Offshore Petroleum and Greenhouse Gas Storage Act 2006</w:t>
      </w:r>
      <w:r w:rsidRPr="002436FD">
        <w:t>.</w:t>
      </w:r>
    </w:p>
    <w:p w:rsidR="0016447E" w:rsidRPr="002436FD" w:rsidRDefault="00EF06A8" w:rsidP="002436FD">
      <w:pPr>
        <w:pStyle w:val="ItemHead"/>
      </w:pPr>
      <w:r w:rsidRPr="002436FD">
        <w:t>25</w:t>
      </w:r>
      <w:r w:rsidR="0016447E" w:rsidRPr="002436FD">
        <w:t xml:space="preserve">  Section</w:t>
      </w:r>
      <w:r w:rsidR="002436FD" w:rsidRPr="002436FD">
        <w:t> </w:t>
      </w:r>
      <w:r w:rsidR="0016447E" w:rsidRPr="002436FD">
        <w:t xml:space="preserve">2 (definition of </w:t>
      </w:r>
      <w:r w:rsidR="0016447E" w:rsidRPr="002436FD">
        <w:rPr>
          <w:i/>
        </w:rPr>
        <w:t>retention lease area</w:t>
      </w:r>
      <w:r w:rsidR="0016447E" w:rsidRPr="002436FD">
        <w:t>)</w:t>
      </w:r>
    </w:p>
    <w:p w:rsidR="0016447E" w:rsidRPr="002436FD" w:rsidRDefault="0016447E" w:rsidP="002436FD">
      <w:pPr>
        <w:pStyle w:val="Item"/>
      </w:pPr>
      <w:r w:rsidRPr="002436FD">
        <w:t>Repeal the definition, substitute:</w:t>
      </w:r>
    </w:p>
    <w:p w:rsidR="0016447E" w:rsidRPr="002436FD" w:rsidRDefault="0016447E" w:rsidP="002436FD">
      <w:pPr>
        <w:pStyle w:val="Definition"/>
      </w:pPr>
      <w:r w:rsidRPr="002436FD">
        <w:rPr>
          <w:b/>
          <w:i/>
        </w:rPr>
        <w:t>retention lease area</w:t>
      </w:r>
      <w:r w:rsidRPr="002436FD">
        <w:t xml:space="preserve"> means a petroleum retention lease area within the meaning of the </w:t>
      </w:r>
      <w:r w:rsidRPr="002436FD">
        <w:rPr>
          <w:i/>
        </w:rPr>
        <w:t>Offshore Petroleum and Greenhouse Gas Storage Act 2006</w:t>
      </w:r>
      <w:r w:rsidRPr="002436FD">
        <w:t>.</w:t>
      </w:r>
    </w:p>
    <w:p w:rsidR="00CF7F40" w:rsidRPr="002436FD" w:rsidRDefault="00EF06A8" w:rsidP="002436FD">
      <w:pPr>
        <w:pStyle w:val="ItemHead"/>
      </w:pPr>
      <w:r w:rsidRPr="002436FD">
        <w:lastRenderedPageBreak/>
        <w:t>26</w:t>
      </w:r>
      <w:r w:rsidR="00CF7F40" w:rsidRPr="002436FD">
        <w:t xml:space="preserve">  Section</w:t>
      </w:r>
      <w:r w:rsidR="002436FD" w:rsidRPr="002436FD">
        <w:t> </w:t>
      </w:r>
      <w:r w:rsidR="00CF7F40" w:rsidRPr="002436FD">
        <w:t xml:space="preserve">2 (definition of </w:t>
      </w:r>
      <w:r w:rsidR="00CF7F40" w:rsidRPr="002436FD">
        <w:rPr>
          <w:i/>
        </w:rPr>
        <w:t>starting base amount</w:t>
      </w:r>
      <w:r w:rsidR="00CF7F40" w:rsidRPr="002436FD">
        <w:t>)</w:t>
      </w:r>
    </w:p>
    <w:p w:rsidR="00CF7F40" w:rsidRPr="002436FD" w:rsidRDefault="00CF7F40" w:rsidP="002436FD">
      <w:pPr>
        <w:pStyle w:val="Item"/>
      </w:pPr>
      <w:r w:rsidRPr="002436FD">
        <w:t>Repeal the definition, substitute:</w:t>
      </w:r>
    </w:p>
    <w:p w:rsidR="00CF7F40" w:rsidRPr="002436FD" w:rsidRDefault="00CF7F40" w:rsidP="002436FD">
      <w:pPr>
        <w:pStyle w:val="Definition"/>
      </w:pPr>
      <w:r w:rsidRPr="002436FD">
        <w:rPr>
          <w:b/>
          <w:i/>
        </w:rPr>
        <w:t>starting base amount</w:t>
      </w:r>
      <w:r w:rsidRPr="002436FD">
        <w:t>, in relation to a person’s interest in a petroleum project, means the amount (if any) assessed as the starting base amount in relation to the person’s interest under clause</w:t>
      </w:r>
      <w:r w:rsidR="002436FD" w:rsidRPr="002436FD">
        <w:t> </w:t>
      </w:r>
      <w:r w:rsidRPr="002436FD">
        <w:t>23 of Schedule</w:t>
      </w:r>
      <w:r w:rsidR="002436FD" w:rsidRPr="002436FD">
        <w:t> </w:t>
      </w:r>
      <w:r w:rsidRPr="002436FD">
        <w:t>2 as in force before 1</w:t>
      </w:r>
      <w:r w:rsidR="002436FD" w:rsidRPr="002436FD">
        <w:t> </w:t>
      </w:r>
      <w:r w:rsidRPr="002436FD">
        <w:t>July 2019.</w:t>
      </w:r>
    </w:p>
    <w:p w:rsidR="0016447E" w:rsidRPr="002436FD" w:rsidRDefault="00EF06A8" w:rsidP="002436FD">
      <w:pPr>
        <w:pStyle w:val="ItemHead"/>
      </w:pPr>
      <w:r w:rsidRPr="002436FD">
        <w:t>27</w:t>
      </w:r>
      <w:r w:rsidR="0016447E" w:rsidRPr="002436FD">
        <w:t xml:space="preserve">  Section</w:t>
      </w:r>
      <w:r w:rsidR="002436FD" w:rsidRPr="002436FD">
        <w:t> </w:t>
      </w:r>
      <w:r w:rsidR="0016447E" w:rsidRPr="002436FD">
        <w:t>2</w:t>
      </w:r>
    </w:p>
    <w:p w:rsidR="00080472" w:rsidRPr="002436FD" w:rsidRDefault="00080472" w:rsidP="002436FD">
      <w:pPr>
        <w:pStyle w:val="Item"/>
      </w:pPr>
      <w:r w:rsidRPr="002436FD">
        <w:t>Repeal the following definitions:</w:t>
      </w:r>
    </w:p>
    <w:p w:rsidR="00080472" w:rsidRPr="002436FD" w:rsidRDefault="00080472" w:rsidP="002436FD">
      <w:pPr>
        <w:pStyle w:val="paragraph"/>
      </w:pPr>
      <w:r w:rsidRPr="002436FD">
        <w:tab/>
        <w:t>(</w:t>
      </w:r>
      <w:r w:rsidR="00CF7F40" w:rsidRPr="002436FD">
        <w:t>a</w:t>
      </w:r>
      <w:r w:rsidRPr="002436FD">
        <w:t>)</w:t>
      </w:r>
      <w:r w:rsidRPr="002436FD">
        <w:tab/>
        <w:t xml:space="preserve">definition of </w:t>
      </w:r>
      <w:r w:rsidRPr="002436FD">
        <w:rPr>
          <w:b/>
          <w:i/>
        </w:rPr>
        <w:t>starting base asset</w:t>
      </w:r>
      <w:r w:rsidRPr="002436FD">
        <w:t>;</w:t>
      </w:r>
    </w:p>
    <w:p w:rsidR="00D95C97" w:rsidRPr="002436FD" w:rsidRDefault="00CF7F40" w:rsidP="002436FD">
      <w:pPr>
        <w:pStyle w:val="paragraph"/>
      </w:pPr>
      <w:r w:rsidRPr="002436FD">
        <w:tab/>
        <w:t>(b</w:t>
      </w:r>
      <w:r w:rsidR="00D95C97" w:rsidRPr="002436FD">
        <w:t>)</w:t>
      </w:r>
      <w:r w:rsidR="00D95C97" w:rsidRPr="002436FD">
        <w:tab/>
        <w:t xml:space="preserve">definition of </w:t>
      </w:r>
      <w:r w:rsidR="00D95C97" w:rsidRPr="002436FD">
        <w:rPr>
          <w:b/>
          <w:i/>
        </w:rPr>
        <w:t>subsidiary member</w:t>
      </w:r>
      <w:r w:rsidR="00D95C97" w:rsidRPr="002436FD">
        <w:t>;</w:t>
      </w:r>
    </w:p>
    <w:p w:rsidR="00080472" w:rsidRPr="002436FD" w:rsidRDefault="00CF7F40" w:rsidP="002436FD">
      <w:pPr>
        <w:pStyle w:val="paragraph"/>
      </w:pPr>
      <w:r w:rsidRPr="002436FD">
        <w:tab/>
        <w:t>(c</w:t>
      </w:r>
      <w:r w:rsidR="00080472" w:rsidRPr="002436FD">
        <w:t>)</w:t>
      </w:r>
      <w:r w:rsidR="00080472" w:rsidRPr="002436FD">
        <w:tab/>
        <w:t xml:space="preserve">definition of </w:t>
      </w:r>
      <w:r w:rsidR="00080472" w:rsidRPr="002436FD">
        <w:rPr>
          <w:b/>
          <w:i/>
        </w:rPr>
        <w:t>value</w:t>
      </w:r>
      <w:r w:rsidR="00080472" w:rsidRPr="002436FD">
        <w:t>.</w:t>
      </w:r>
    </w:p>
    <w:p w:rsidR="0016447E" w:rsidRPr="002436FD" w:rsidRDefault="00EF06A8" w:rsidP="002436FD">
      <w:pPr>
        <w:pStyle w:val="ItemHead"/>
      </w:pPr>
      <w:r w:rsidRPr="002436FD">
        <w:t>28</w:t>
      </w:r>
      <w:r w:rsidR="0016447E" w:rsidRPr="002436FD">
        <w:t xml:space="preserve">  Sections</w:t>
      </w:r>
      <w:r w:rsidR="002436FD" w:rsidRPr="002436FD">
        <w:t> </w:t>
      </w:r>
      <w:r w:rsidR="0016447E" w:rsidRPr="002436FD">
        <w:t>2AA, 2AB and 2AC</w:t>
      </w:r>
    </w:p>
    <w:p w:rsidR="0016447E" w:rsidRPr="002436FD" w:rsidRDefault="0016447E" w:rsidP="002436FD">
      <w:pPr>
        <w:pStyle w:val="Item"/>
      </w:pPr>
      <w:r w:rsidRPr="002436FD">
        <w:t>Repeal the sections.</w:t>
      </w:r>
    </w:p>
    <w:p w:rsidR="0016447E" w:rsidRPr="002436FD" w:rsidRDefault="00EF06A8" w:rsidP="002436FD">
      <w:pPr>
        <w:pStyle w:val="ItemHead"/>
      </w:pPr>
      <w:r w:rsidRPr="002436FD">
        <w:t>29</w:t>
      </w:r>
      <w:r w:rsidR="0016447E" w:rsidRPr="002436FD">
        <w:t xml:space="preserve">  Paragraph 20(1)(c)</w:t>
      </w:r>
    </w:p>
    <w:p w:rsidR="0016447E" w:rsidRPr="002436FD" w:rsidRDefault="0016447E" w:rsidP="002436FD">
      <w:pPr>
        <w:pStyle w:val="Item"/>
      </w:pPr>
      <w:r w:rsidRPr="002436FD">
        <w:t>Repeal the paragraph.</w:t>
      </w:r>
    </w:p>
    <w:p w:rsidR="0016447E" w:rsidRPr="002436FD" w:rsidRDefault="00EF06A8" w:rsidP="002436FD">
      <w:pPr>
        <w:pStyle w:val="ItemHead"/>
      </w:pPr>
      <w:r w:rsidRPr="002436FD">
        <w:t>30</w:t>
      </w:r>
      <w:r w:rsidR="0016447E" w:rsidRPr="002436FD">
        <w:t xml:space="preserve">  Paragraph 20(1)(d)</w:t>
      </w:r>
    </w:p>
    <w:p w:rsidR="0016447E" w:rsidRPr="002436FD" w:rsidRDefault="0016447E" w:rsidP="002436FD">
      <w:pPr>
        <w:pStyle w:val="Item"/>
      </w:pPr>
      <w:r w:rsidRPr="002436FD">
        <w:t>Omit “to the extent (if any) that the projects are not onshore petroleum projects—”.</w:t>
      </w:r>
    </w:p>
    <w:p w:rsidR="0016447E" w:rsidRPr="002436FD" w:rsidRDefault="00EF06A8" w:rsidP="002436FD">
      <w:pPr>
        <w:pStyle w:val="ItemHead"/>
      </w:pPr>
      <w:r w:rsidRPr="002436FD">
        <w:t>31</w:t>
      </w:r>
      <w:r w:rsidR="0016447E" w:rsidRPr="002436FD">
        <w:t xml:space="preserve">  Subsection</w:t>
      </w:r>
      <w:r w:rsidR="002436FD" w:rsidRPr="002436FD">
        <w:t> </w:t>
      </w:r>
      <w:r w:rsidR="0016447E" w:rsidRPr="002436FD">
        <w:t>20(1A)</w:t>
      </w:r>
    </w:p>
    <w:p w:rsidR="0016447E" w:rsidRPr="002436FD" w:rsidRDefault="0016447E" w:rsidP="002436FD">
      <w:pPr>
        <w:pStyle w:val="Item"/>
      </w:pPr>
      <w:r w:rsidRPr="002436FD">
        <w:t>Repeal the subsection, substitute:</w:t>
      </w:r>
    </w:p>
    <w:p w:rsidR="0016447E" w:rsidRPr="002436FD" w:rsidRDefault="0016447E" w:rsidP="002436FD">
      <w:pPr>
        <w:pStyle w:val="subsection"/>
      </w:pPr>
      <w:r w:rsidRPr="002436FD">
        <w:tab/>
        <w:t>(1A)</w:t>
      </w:r>
      <w:r w:rsidRPr="002436FD">
        <w:tab/>
        <w:t xml:space="preserve">Despite </w:t>
      </w:r>
      <w:r w:rsidR="002436FD" w:rsidRPr="002436FD">
        <w:t>subsection (</w:t>
      </w:r>
      <w:r w:rsidRPr="002436FD">
        <w:t>1), the Minister cannot specify, under that subsection, a production licence relating to the North West Shelf project.</w:t>
      </w:r>
    </w:p>
    <w:p w:rsidR="0016447E" w:rsidRPr="002436FD" w:rsidRDefault="00EF06A8" w:rsidP="002436FD">
      <w:pPr>
        <w:pStyle w:val="ItemHead"/>
      </w:pPr>
      <w:r w:rsidRPr="002436FD">
        <w:t>32</w:t>
      </w:r>
      <w:r w:rsidR="0016447E" w:rsidRPr="002436FD">
        <w:t xml:space="preserve">  Paragraph 24(1)(a)</w:t>
      </w:r>
    </w:p>
    <w:p w:rsidR="0016447E" w:rsidRPr="002436FD" w:rsidRDefault="0016447E" w:rsidP="002436FD">
      <w:pPr>
        <w:pStyle w:val="Item"/>
      </w:pPr>
      <w:r w:rsidRPr="002436FD">
        <w:t xml:space="preserve">Omit “(other than project natural gas (within the meaning of the regulations) to which </w:t>
      </w:r>
      <w:r w:rsidR="002436FD" w:rsidRPr="002436FD">
        <w:t>paragraph (</w:t>
      </w:r>
      <w:r w:rsidRPr="002436FD">
        <w:t>f) applies)”.</w:t>
      </w:r>
    </w:p>
    <w:p w:rsidR="0016447E" w:rsidRPr="002436FD" w:rsidRDefault="00EF06A8" w:rsidP="002436FD">
      <w:pPr>
        <w:pStyle w:val="ItemHead"/>
      </w:pPr>
      <w:r w:rsidRPr="002436FD">
        <w:t>33</w:t>
      </w:r>
      <w:r w:rsidR="0016447E" w:rsidRPr="002436FD">
        <w:t xml:space="preserve">  Paragraph 24(1)(e)</w:t>
      </w:r>
    </w:p>
    <w:p w:rsidR="0016447E" w:rsidRPr="002436FD" w:rsidRDefault="0016447E" w:rsidP="002436FD">
      <w:pPr>
        <w:pStyle w:val="Item"/>
      </w:pPr>
      <w:r w:rsidRPr="002436FD">
        <w:t>Omit “regulations; and”, substitute “regulations.”.</w:t>
      </w:r>
    </w:p>
    <w:p w:rsidR="0016447E" w:rsidRPr="002436FD" w:rsidRDefault="00EF06A8" w:rsidP="002436FD">
      <w:pPr>
        <w:pStyle w:val="ItemHead"/>
      </w:pPr>
      <w:r w:rsidRPr="002436FD">
        <w:lastRenderedPageBreak/>
        <w:t>34</w:t>
      </w:r>
      <w:r w:rsidR="0016447E" w:rsidRPr="002436FD">
        <w:t xml:space="preserve">  Paragraph 24(1)(f)</w:t>
      </w:r>
    </w:p>
    <w:p w:rsidR="0016447E" w:rsidRPr="002436FD" w:rsidRDefault="0016447E" w:rsidP="002436FD">
      <w:pPr>
        <w:pStyle w:val="Item"/>
      </w:pPr>
      <w:r w:rsidRPr="002436FD">
        <w:t>Repeal the paragraph.</w:t>
      </w:r>
    </w:p>
    <w:p w:rsidR="0016447E" w:rsidRPr="002436FD" w:rsidRDefault="00EF06A8" w:rsidP="002436FD">
      <w:pPr>
        <w:pStyle w:val="ItemHead"/>
      </w:pPr>
      <w:r w:rsidRPr="002436FD">
        <w:t>35</w:t>
      </w:r>
      <w:r w:rsidR="0016447E" w:rsidRPr="002436FD">
        <w:t xml:space="preserve">  Subsection</w:t>
      </w:r>
      <w:r w:rsidR="002436FD" w:rsidRPr="002436FD">
        <w:t> </w:t>
      </w:r>
      <w:r w:rsidR="0016447E" w:rsidRPr="002436FD">
        <w:t xml:space="preserve">24(2) (definition of </w:t>
      </w:r>
      <w:r w:rsidR="0016447E" w:rsidRPr="002436FD">
        <w:rPr>
          <w:i/>
        </w:rPr>
        <w:t>non</w:t>
      </w:r>
      <w:r w:rsidR="004802C7">
        <w:rPr>
          <w:i/>
        </w:rPr>
        <w:noBreakHyphen/>
      </w:r>
      <w:r w:rsidR="0016447E" w:rsidRPr="002436FD">
        <w:rPr>
          <w:i/>
        </w:rPr>
        <w:t>arm’s length transaction</w:t>
      </w:r>
      <w:r w:rsidR="0016447E" w:rsidRPr="002436FD">
        <w:t>)</w:t>
      </w:r>
    </w:p>
    <w:p w:rsidR="0016447E" w:rsidRPr="002436FD" w:rsidRDefault="0016447E" w:rsidP="002436FD">
      <w:pPr>
        <w:pStyle w:val="Item"/>
      </w:pPr>
      <w:r w:rsidRPr="002436FD">
        <w:t>Repeal the definition.</w:t>
      </w:r>
    </w:p>
    <w:p w:rsidR="0016447E" w:rsidRPr="002436FD" w:rsidRDefault="00EF06A8" w:rsidP="002436FD">
      <w:pPr>
        <w:pStyle w:val="ItemHead"/>
      </w:pPr>
      <w:r w:rsidRPr="002436FD">
        <w:t>36</w:t>
      </w:r>
      <w:r w:rsidR="0016447E" w:rsidRPr="002436FD">
        <w:t xml:space="preserve">  Subsection</w:t>
      </w:r>
      <w:r w:rsidR="002436FD" w:rsidRPr="002436FD">
        <w:t> </w:t>
      </w:r>
      <w:r w:rsidR="0016447E" w:rsidRPr="002436FD">
        <w:t>29A(1) (example)</w:t>
      </w:r>
    </w:p>
    <w:p w:rsidR="0016447E" w:rsidRPr="002436FD" w:rsidRDefault="0016447E" w:rsidP="002436FD">
      <w:pPr>
        <w:pStyle w:val="Item"/>
      </w:pPr>
      <w:r w:rsidRPr="002436FD">
        <w:t>Repeal the example, substitute:</w:t>
      </w:r>
    </w:p>
    <w:p w:rsidR="0016447E" w:rsidRPr="002436FD" w:rsidRDefault="0016447E" w:rsidP="002436FD">
      <w:pPr>
        <w:pStyle w:val="notetext"/>
      </w:pPr>
      <w:r w:rsidRPr="002436FD">
        <w:t>Example:</w:t>
      </w:r>
      <w:r w:rsidRPr="002436FD">
        <w:tab/>
        <w:t>Excess electricity that is produced as part of the petroleum project is sold.</w:t>
      </w:r>
    </w:p>
    <w:p w:rsidR="0016447E" w:rsidRPr="002436FD" w:rsidRDefault="00EF06A8" w:rsidP="002436FD">
      <w:pPr>
        <w:pStyle w:val="ItemHead"/>
      </w:pPr>
      <w:r w:rsidRPr="002436FD">
        <w:t>37</w:t>
      </w:r>
      <w:r w:rsidR="0016447E" w:rsidRPr="002436FD">
        <w:t xml:space="preserve">  Subsection</w:t>
      </w:r>
      <w:r w:rsidR="002436FD" w:rsidRPr="002436FD">
        <w:t> </w:t>
      </w:r>
      <w:r w:rsidR="0016447E" w:rsidRPr="002436FD">
        <w:t>31(1)</w:t>
      </w:r>
    </w:p>
    <w:p w:rsidR="0016447E" w:rsidRPr="002436FD" w:rsidRDefault="0016447E" w:rsidP="002436FD">
      <w:pPr>
        <w:pStyle w:val="Item"/>
      </w:pPr>
      <w:r w:rsidRPr="002436FD">
        <w:t>Omit “(1)”.</w:t>
      </w:r>
    </w:p>
    <w:p w:rsidR="0016447E" w:rsidRPr="002436FD" w:rsidRDefault="00EF06A8" w:rsidP="002436FD">
      <w:pPr>
        <w:pStyle w:val="ItemHead"/>
      </w:pPr>
      <w:r w:rsidRPr="002436FD">
        <w:t>38</w:t>
      </w:r>
      <w:r w:rsidR="0016447E" w:rsidRPr="002436FD">
        <w:t xml:space="preserve">  Subsection</w:t>
      </w:r>
      <w:r w:rsidR="002436FD" w:rsidRPr="002436FD">
        <w:t> </w:t>
      </w:r>
      <w:r w:rsidR="0016447E" w:rsidRPr="002436FD">
        <w:t>31(1)(h)</w:t>
      </w:r>
    </w:p>
    <w:p w:rsidR="0016447E" w:rsidRPr="002436FD" w:rsidRDefault="0016447E" w:rsidP="002436FD">
      <w:pPr>
        <w:pStyle w:val="Item"/>
      </w:pPr>
      <w:r w:rsidRPr="002436FD">
        <w:t>Omit “an onshore petroleum project or”.</w:t>
      </w:r>
    </w:p>
    <w:p w:rsidR="0016447E" w:rsidRPr="002436FD" w:rsidRDefault="00EF06A8" w:rsidP="002436FD">
      <w:pPr>
        <w:pStyle w:val="ItemHead"/>
      </w:pPr>
      <w:r w:rsidRPr="002436FD">
        <w:t>39</w:t>
      </w:r>
      <w:r w:rsidR="0016447E" w:rsidRPr="002436FD">
        <w:t xml:space="preserve">  Subsection</w:t>
      </w:r>
      <w:r w:rsidR="002436FD" w:rsidRPr="002436FD">
        <w:t> </w:t>
      </w:r>
      <w:r w:rsidR="0016447E" w:rsidRPr="002436FD">
        <w:t>31(2)</w:t>
      </w:r>
    </w:p>
    <w:p w:rsidR="0016447E" w:rsidRPr="002436FD" w:rsidRDefault="0016447E" w:rsidP="002436FD">
      <w:pPr>
        <w:pStyle w:val="Item"/>
      </w:pPr>
      <w:r w:rsidRPr="002436FD">
        <w:t>Repeal the subsection.</w:t>
      </w:r>
    </w:p>
    <w:p w:rsidR="0016447E" w:rsidRPr="002436FD" w:rsidRDefault="00EF06A8" w:rsidP="002436FD">
      <w:pPr>
        <w:pStyle w:val="ItemHead"/>
      </w:pPr>
      <w:r w:rsidRPr="002436FD">
        <w:t>40</w:t>
      </w:r>
      <w:r w:rsidR="0016447E" w:rsidRPr="002436FD">
        <w:t xml:space="preserve">  Section</w:t>
      </w:r>
      <w:r w:rsidR="002436FD" w:rsidRPr="002436FD">
        <w:t> </w:t>
      </w:r>
      <w:r w:rsidR="0016447E" w:rsidRPr="002436FD">
        <w:t>31AA</w:t>
      </w:r>
    </w:p>
    <w:p w:rsidR="0016447E" w:rsidRPr="002436FD" w:rsidRDefault="0016447E" w:rsidP="002436FD">
      <w:pPr>
        <w:pStyle w:val="Item"/>
      </w:pPr>
      <w:r w:rsidRPr="002436FD">
        <w:t>Repeal the section, substitute:</w:t>
      </w:r>
    </w:p>
    <w:p w:rsidR="0016447E" w:rsidRPr="002436FD" w:rsidRDefault="0016447E" w:rsidP="002436FD">
      <w:pPr>
        <w:pStyle w:val="ActHead5"/>
      </w:pPr>
      <w:bookmarkStart w:id="20" w:name="_Toc5698337"/>
      <w:r w:rsidRPr="002436FD">
        <w:rPr>
          <w:rStyle w:val="CharSectno"/>
        </w:rPr>
        <w:t>31AA</w:t>
      </w:r>
      <w:r w:rsidRPr="002436FD">
        <w:t xml:space="preserve">  Eligible real expenditure—North West Shelf project</w:t>
      </w:r>
      <w:bookmarkEnd w:id="20"/>
    </w:p>
    <w:p w:rsidR="0016447E" w:rsidRPr="002436FD" w:rsidRDefault="0016447E" w:rsidP="002436FD">
      <w:pPr>
        <w:pStyle w:val="subsection"/>
      </w:pPr>
      <w:r w:rsidRPr="002436FD">
        <w:tab/>
      </w:r>
      <w:r w:rsidRPr="002436FD">
        <w:tab/>
        <w:t>Despite section</w:t>
      </w:r>
      <w:r w:rsidR="002436FD" w:rsidRPr="002436FD">
        <w:t> </w:t>
      </w:r>
      <w:r w:rsidRPr="002436FD">
        <w:t>45, this Division applies in relation to the North West Shelf project as if eligible real expenditure could be incurred in relation to the project at any time, including a time before 1</w:t>
      </w:r>
      <w:r w:rsidR="002436FD" w:rsidRPr="002436FD">
        <w:t> </w:t>
      </w:r>
      <w:r w:rsidRPr="002436FD">
        <w:t>July 2012.</w:t>
      </w:r>
    </w:p>
    <w:p w:rsidR="002D4C2D" w:rsidRPr="002436FD" w:rsidRDefault="00EF06A8" w:rsidP="002436FD">
      <w:pPr>
        <w:pStyle w:val="ItemHead"/>
      </w:pPr>
      <w:r w:rsidRPr="002436FD">
        <w:t>41</w:t>
      </w:r>
      <w:r w:rsidR="002D4C2D" w:rsidRPr="002436FD">
        <w:t xml:space="preserve">  Paragraph 32(fb)</w:t>
      </w:r>
    </w:p>
    <w:p w:rsidR="002D4C2D" w:rsidRPr="002436FD" w:rsidRDefault="002D4C2D" w:rsidP="002436FD">
      <w:pPr>
        <w:pStyle w:val="Item"/>
      </w:pPr>
      <w:r w:rsidRPr="002436FD">
        <w:t>Repeal the paragraph.</w:t>
      </w:r>
    </w:p>
    <w:p w:rsidR="002D4C2D" w:rsidRPr="002436FD" w:rsidRDefault="00EF06A8" w:rsidP="002436FD">
      <w:pPr>
        <w:pStyle w:val="ItemHead"/>
      </w:pPr>
      <w:r w:rsidRPr="002436FD">
        <w:t>42</w:t>
      </w:r>
      <w:r w:rsidR="002D4C2D" w:rsidRPr="002436FD">
        <w:t xml:space="preserve">  Subsection</w:t>
      </w:r>
      <w:r w:rsidR="002436FD" w:rsidRPr="002436FD">
        <w:t> </w:t>
      </w:r>
      <w:r w:rsidR="002D4C2D" w:rsidRPr="002436FD">
        <w:t xml:space="preserve">34A(5) (definition of </w:t>
      </w:r>
      <w:r w:rsidR="002D4C2D" w:rsidRPr="002436FD">
        <w:rPr>
          <w:i/>
        </w:rPr>
        <w:t>class 2 general project expenditure</w:t>
      </w:r>
      <w:r w:rsidR="002D4C2D" w:rsidRPr="002436FD">
        <w:t>)</w:t>
      </w:r>
    </w:p>
    <w:p w:rsidR="002D4C2D" w:rsidRPr="002436FD" w:rsidRDefault="002D4C2D" w:rsidP="002436FD">
      <w:pPr>
        <w:pStyle w:val="Item"/>
      </w:pPr>
      <w:r w:rsidRPr="002436FD">
        <w:t>Omit “acquired exploration expenditure or”.</w:t>
      </w:r>
    </w:p>
    <w:p w:rsidR="0016447E" w:rsidRPr="002436FD" w:rsidRDefault="00EF06A8" w:rsidP="002436FD">
      <w:pPr>
        <w:pStyle w:val="ItemHead"/>
      </w:pPr>
      <w:r w:rsidRPr="002436FD">
        <w:lastRenderedPageBreak/>
        <w:t>43</w:t>
      </w:r>
      <w:r w:rsidR="0016447E" w:rsidRPr="002436FD">
        <w:t xml:space="preserve">  Subparagraph 35C(3)(c)(</w:t>
      </w:r>
      <w:proofErr w:type="spellStart"/>
      <w:r w:rsidR="0016447E" w:rsidRPr="002436FD">
        <w:t>i</w:t>
      </w:r>
      <w:proofErr w:type="spellEnd"/>
      <w:r w:rsidR="0016447E" w:rsidRPr="002436FD">
        <w:t>)</w:t>
      </w:r>
    </w:p>
    <w:p w:rsidR="0016447E" w:rsidRPr="002436FD" w:rsidRDefault="0016447E" w:rsidP="002436FD">
      <w:pPr>
        <w:pStyle w:val="Item"/>
      </w:pPr>
      <w:r w:rsidRPr="002436FD">
        <w:t>Omit “, or a State or Territory,”.</w:t>
      </w:r>
    </w:p>
    <w:p w:rsidR="0016447E" w:rsidRPr="002436FD" w:rsidRDefault="00EF06A8" w:rsidP="002436FD">
      <w:pPr>
        <w:pStyle w:val="ItemHead"/>
      </w:pPr>
      <w:r w:rsidRPr="002436FD">
        <w:t>44</w:t>
      </w:r>
      <w:r w:rsidR="0016447E" w:rsidRPr="002436FD">
        <w:t xml:space="preserve">  Section</w:t>
      </w:r>
      <w:r w:rsidR="002436FD" w:rsidRPr="002436FD">
        <w:t> </w:t>
      </w:r>
      <w:r w:rsidR="0016447E" w:rsidRPr="002436FD">
        <w:t>35D</w:t>
      </w:r>
    </w:p>
    <w:p w:rsidR="0016447E" w:rsidRPr="002436FD" w:rsidRDefault="0016447E" w:rsidP="002436FD">
      <w:pPr>
        <w:pStyle w:val="Item"/>
      </w:pPr>
      <w:r w:rsidRPr="002436FD">
        <w:t>Repeal the section.</w:t>
      </w:r>
    </w:p>
    <w:p w:rsidR="00EA4697" w:rsidRPr="002436FD" w:rsidRDefault="00EF06A8" w:rsidP="002436FD">
      <w:pPr>
        <w:pStyle w:val="ItemHead"/>
      </w:pPr>
      <w:r w:rsidRPr="002436FD">
        <w:t>45</w:t>
      </w:r>
      <w:r w:rsidR="00EA4697" w:rsidRPr="002436FD">
        <w:t xml:space="preserve">  Paragraph 35E(1)(a)</w:t>
      </w:r>
    </w:p>
    <w:p w:rsidR="00EA4697" w:rsidRPr="002436FD" w:rsidRDefault="00EA4697" w:rsidP="002436FD">
      <w:pPr>
        <w:pStyle w:val="Item"/>
      </w:pPr>
      <w:r w:rsidRPr="002436FD">
        <w:t>Repeal the paragraph, substitute:</w:t>
      </w:r>
    </w:p>
    <w:p w:rsidR="00EA4697" w:rsidRPr="002436FD" w:rsidRDefault="00EA4697" w:rsidP="002436FD">
      <w:pPr>
        <w:pStyle w:val="paragraph"/>
      </w:pPr>
      <w:r w:rsidRPr="002436FD">
        <w:tab/>
        <w:t>(a)</w:t>
      </w:r>
      <w:r w:rsidRPr="002436FD">
        <w:tab/>
        <w:t>in relation to the starting base financial year for the project—the person’s starting base amount in relation to the interest; or</w:t>
      </w:r>
    </w:p>
    <w:p w:rsidR="00EA4697" w:rsidRPr="002436FD" w:rsidRDefault="00EF06A8" w:rsidP="002436FD">
      <w:pPr>
        <w:pStyle w:val="ItemHead"/>
      </w:pPr>
      <w:r w:rsidRPr="002436FD">
        <w:t>46</w:t>
      </w:r>
      <w:r w:rsidR="00EA4697" w:rsidRPr="002436FD">
        <w:t xml:space="preserve">  Subsection</w:t>
      </w:r>
      <w:r w:rsidR="002436FD" w:rsidRPr="002436FD">
        <w:t> </w:t>
      </w:r>
      <w:r w:rsidR="00EA4697" w:rsidRPr="002436FD">
        <w:t>35E(1) (note)</w:t>
      </w:r>
    </w:p>
    <w:p w:rsidR="00EA4697" w:rsidRPr="002436FD" w:rsidRDefault="00EA4697" w:rsidP="002436FD">
      <w:pPr>
        <w:pStyle w:val="Item"/>
      </w:pPr>
      <w:r w:rsidRPr="002436FD">
        <w:t>Repeal the note.</w:t>
      </w:r>
    </w:p>
    <w:p w:rsidR="001022A3" w:rsidRPr="002436FD" w:rsidRDefault="00EF06A8" w:rsidP="002436FD">
      <w:pPr>
        <w:pStyle w:val="ItemHead"/>
      </w:pPr>
      <w:r w:rsidRPr="002436FD">
        <w:t>47</w:t>
      </w:r>
      <w:r w:rsidR="001022A3" w:rsidRPr="002436FD">
        <w:t xml:space="preserve">  Paragraph 35E(3)(h)</w:t>
      </w:r>
    </w:p>
    <w:p w:rsidR="001022A3" w:rsidRPr="002436FD" w:rsidRDefault="001022A3" w:rsidP="002436FD">
      <w:pPr>
        <w:pStyle w:val="Item"/>
      </w:pPr>
      <w:r w:rsidRPr="002436FD">
        <w:t>Repeal the paragraph.</w:t>
      </w:r>
    </w:p>
    <w:p w:rsidR="00EA4697" w:rsidRPr="002436FD" w:rsidRDefault="00EF06A8" w:rsidP="002436FD">
      <w:pPr>
        <w:pStyle w:val="ItemHead"/>
      </w:pPr>
      <w:r w:rsidRPr="002436FD">
        <w:t>48</w:t>
      </w:r>
      <w:r w:rsidR="001022A3" w:rsidRPr="002436FD">
        <w:t xml:space="preserve">  Subsection</w:t>
      </w:r>
      <w:r w:rsidR="002436FD" w:rsidRPr="002436FD">
        <w:t> </w:t>
      </w:r>
      <w:r w:rsidR="001022A3" w:rsidRPr="002436FD">
        <w:t>35E(4)</w:t>
      </w:r>
    </w:p>
    <w:p w:rsidR="00CF7F40" w:rsidRPr="002436FD" w:rsidRDefault="00CF7F40" w:rsidP="002436FD">
      <w:pPr>
        <w:pStyle w:val="Item"/>
      </w:pPr>
      <w:r w:rsidRPr="002436FD">
        <w:t>Omit all the words after “are references”, substitute “to the earliest financial year, after 30</w:t>
      </w:r>
      <w:r w:rsidR="002436FD" w:rsidRPr="002436FD">
        <w:t> </w:t>
      </w:r>
      <w:r w:rsidRPr="002436FD">
        <w:t>June 2012, in which a production licence relating to the project is in existence”.</w:t>
      </w:r>
    </w:p>
    <w:p w:rsidR="0016447E" w:rsidRPr="002436FD" w:rsidRDefault="00EF06A8" w:rsidP="002436FD">
      <w:pPr>
        <w:pStyle w:val="ItemHead"/>
      </w:pPr>
      <w:r w:rsidRPr="002436FD">
        <w:t>49</w:t>
      </w:r>
      <w:r w:rsidR="0016447E" w:rsidRPr="002436FD">
        <w:t xml:space="preserve">  Subsections</w:t>
      </w:r>
      <w:r w:rsidR="002436FD" w:rsidRPr="002436FD">
        <w:t> </w:t>
      </w:r>
      <w:r w:rsidR="0016447E" w:rsidRPr="002436FD">
        <w:t>37(2A), (2B) and (2C)</w:t>
      </w:r>
    </w:p>
    <w:p w:rsidR="0016447E" w:rsidRPr="002436FD" w:rsidRDefault="0016447E" w:rsidP="002436FD">
      <w:pPr>
        <w:pStyle w:val="Item"/>
      </w:pPr>
      <w:r w:rsidRPr="002436FD">
        <w:t>Repeal the subsections.</w:t>
      </w:r>
    </w:p>
    <w:p w:rsidR="0016447E" w:rsidRPr="002436FD" w:rsidRDefault="00EF06A8" w:rsidP="002436FD">
      <w:pPr>
        <w:pStyle w:val="ItemHead"/>
      </w:pPr>
      <w:r w:rsidRPr="002436FD">
        <w:t>50</w:t>
      </w:r>
      <w:r w:rsidR="0016447E" w:rsidRPr="002436FD">
        <w:t xml:space="preserve">  Subsection</w:t>
      </w:r>
      <w:r w:rsidR="002436FD" w:rsidRPr="002436FD">
        <w:t> </w:t>
      </w:r>
      <w:r w:rsidR="0016447E" w:rsidRPr="002436FD">
        <w:t>44(2) (note)</w:t>
      </w:r>
    </w:p>
    <w:p w:rsidR="0016447E" w:rsidRPr="002436FD" w:rsidRDefault="003D712D" w:rsidP="002436FD">
      <w:pPr>
        <w:pStyle w:val="Item"/>
      </w:pPr>
      <w:r w:rsidRPr="002436FD">
        <w:t>Repeal the note.</w:t>
      </w:r>
    </w:p>
    <w:p w:rsidR="0016447E" w:rsidRPr="002436FD" w:rsidRDefault="00EF06A8" w:rsidP="002436FD">
      <w:pPr>
        <w:pStyle w:val="ItemHead"/>
      </w:pPr>
      <w:r w:rsidRPr="002436FD">
        <w:t>51</w:t>
      </w:r>
      <w:r w:rsidR="0016447E" w:rsidRPr="002436FD">
        <w:t xml:space="preserve">  Subsection</w:t>
      </w:r>
      <w:r w:rsidR="002436FD" w:rsidRPr="002436FD">
        <w:t> </w:t>
      </w:r>
      <w:r w:rsidR="0016447E" w:rsidRPr="002436FD">
        <w:t>45(1)</w:t>
      </w:r>
    </w:p>
    <w:p w:rsidR="0016447E" w:rsidRPr="002436FD" w:rsidRDefault="0016447E" w:rsidP="002436FD">
      <w:pPr>
        <w:pStyle w:val="Item"/>
      </w:pPr>
      <w:r w:rsidRPr="002436FD">
        <w:t>Omit “an onshore petroleum project,”.</w:t>
      </w:r>
    </w:p>
    <w:p w:rsidR="0016447E" w:rsidRPr="002436FD" w:rsidRDefault="00EF06A8" w:rsidP="002436FD">
      <w:pPr>
        <w:pStyle w:val="ItemHead"/>
      </w:pPr>
      <w:r w:rsidRPr="002436FD">
        <w:t>52</w:t>
      </w:r>
      <w:r w:rsidR="0016447E" w:rsidRPr="002436FD">
        <w:t xml:space="preserve">  Subsection</w:t>
      </w:r>
      <w:r w:rsidR="002436FD" w:rsidRPr="002436FD">
        <w:t> </w:t>
      </w:r>
      <w:r w:rsidR="0016447E" w:rsidRPr="002436FD">
        <w:t>45(2)</w:t>
      </w:r>
    </w:p>
    <w:p w:rsidR="0016447E" w:rsidRPr="002436FD" w:rsidRDefault="0016447E" w:rsidP="002436FD">
      <w:pPr>
        <w:pStyle w:val="Item"/>
      </w:pPr>
      <w:r w:rsidRPr="002436FD">
        <w:t>Repeal the subsection.</w:t>
      </w:r>
    </w:p>
    <w:p w:rsidR="0016447E" w:rsidRPr="002436FD" w:rsidRDefault="00EF06A8" w:rsidP="002436FD">
      <w:pPr>
        <w:pStyle w:val="ItemHead"/>
      </w:pPr>
      <w:r w:rsidRPr="002436FD">
        <w:lastRenderedPageBreak/>
        <w:t>53</w:t>
      </w:r>
      <w:r w:rsidR="0016447E" w:rsidRPr="002436FD">
        <w:t xml:space="preserve">  Subsection</w:t>
      </w:r>
      <w:r w:rsidR="002436FD" w:rsidRPr="002436FD">
        <w:t> </w:t>
      </w:r>
      <w:r w:rsidR="0016447E" w:rsidRPr="002436FD">
        <w:t>45(4)</w:t>
      </w:r>
    </w:p>
    <w:p w:rsidR="0016447E" w:rsidRPr="002436FD" w:rsidRDefault="0016447E" w:rsidP="002436FD">
      <w:pPr>
        <w:pStyle w:val="Item"/>
      </w:pPr>
      <w:r w:rsidRPr="002436FD">
        <w:t xml:space="preserve">Omit “the starting base day under </w:t>
      </w:r>
      <w:r w:rsidR="002436FD" w:rsidRPr="002436FD">
        <w:t>subsection (</w:t>
      </w:r>
      <w:r w:rsidRPr="002436FD">
        <w:t>5) for the person’s interest in the project”, substitute “1</w:t>
      </w:r>
      <w:r w:rsidR="002436FD" w:rsidRPr="002436FD">
        <w:t> </w:t>
      </w:r>
      <w:r w:rsidRPr="002436FD">
        <w:t>July 2012”.</w:t>
      </w:r>
    </w:p>
    <w:p w:rsidR="0016447E" w:rsidRPr="002436FD" w:rsidRDefault="00EF06A8" w:rsidP="002436FD">
      <w:pPr>
        <w:pStyle w:val="ItemHead"/>
      </w:pPr>
      <w:r w:rsidRPr="002436FD">
        <w:t>54</w:t>
      </w:r>
      <w:r w:rsidR="0016447E" w:rsidRPr="002436FD">
        <w:t xml:space="preserve">  Subsections</w:t>
      </w:r>
      <w:r w:rsidR="002436FD" w:rsidRPr="002436FD">
        <w:t> </w:t>
      </w:r>
      <w:r w:rsidR="0016447E" w:rsidRPr="002436FD">
        <w:t>45(5) and (6)</w:t>
      </w:r>
    </w:p>
    <w:p w:rsidR="0016447E" w:rsidRPr="002436FD" w:rsidRDefault="0016447E" w:rsidP="002436FD">
      <w:pPr>
        <w:pStyle w:val="Item"/>
      </w:pPr>
      <w:r w:rsidRPr="002436FD">
        <w:t>Repeal the subsections.</w:t>
      </w:r>
    </w:p>
    <w:p w:rsidR="0016447E" w:rsidRPr="002436FD" w:rsidRDefault="00EF06A8" w:rsidP="002436FD">
      <w:pPr>
        <w:pStyle w:val="ItemHead"/>
      </w:pPr>
      <w:r w:rsidRPr="002436FD">
        <w:t>55</w:t>
      </w:r>
      <w:r w:rsidR="0016447E" w:rsidRPr="002436FD">
        <w:t xml:space="preserve">  Subsection</w:t>
      </w:r>
      <w:r w:rsidR="002436FD" w:rsidRPr="002436FD">
        <w:t> </w:t>
      </w:r>
      <w:r w:rsidR="0016447E" w:rsidRPr="002436FD">
        <w:t>45(7)</w:t>
      </w:r>
    </w:p>
    <w:p w:rsidR="0016447E" w:rsidRPr="002436FD" w:rsidRDefault="0016447E" w:rsidP="002436FD">
      <w:pPr>
        <w:pStyle w:val="Item"/>
      </w:pPr>
      <w:r w:rsidRPr="002436FD">
        <w:t>Omit “(2),”.</w:t>
      </w:r>
    </w:p>
    <w:p w:rsidR="0016447E" w:rsidRPr="002436FD" w:rsidRDefault="00EF06A8" w:rsidP="002436FD">
      <w:pPr>
        <w:pStyle w:val="ItemHead"/>
      </w:pPr>
      <w:r w:rsidRPr="002436FD">
        <w:t>56</w:t>
      </w:r>
      <w:r w:rsidR="0016447E" w:rsidRPr="002436FD">
        <w:t xml:space="preserve">  Subsection</w:t>
      </w:r>
      <w:r w:rsidR="002436FD" w:rsidRPr="002436FD">
        <w:t> </w:t>
      </w:r>
      <w:r w:rsidR="0016447E" w:rsidRPr="002436FD">
        <w:t>45(8) (heading)</w:t>
      </w:r>
    </w:p>
    <w:p w:rsidR="0016447E" w:rsidRPr="002436FD" w:rsidRDefault="0016447E" w:rsidP="002436FD">
      <w:pPr>
        <w:pStyle w:val="Item"/>
      </w:pPr>
      <w:r w:rsidRPr="002436FD">
        <w:t>Omit “</w:t>
      </w:r>
      <w:r w:rsidRPr="002436FD">
        <w:rPr>
          <w:i/>
        </w:rPr>
        <w:t>onshore petroleum projects or</w:t>
      </w:r>
      <w:r w:rsidRPr="002436FD">
        <w:t>”.</w:t>
      </w:r>
    </w:p>
    <w:p w:rsidR="0016447E" w:rsidRPr="002436FD" w:rsidRDefault="00EF06A8" w:rsidP="002436FD">
      <w:pPr>
        <w:pStyle w:val="ItemHead"/>
      </w:pPr>
      <w:r w:rsidRPr="002436FD">
        <w:t>57</w:t>
      </w:r>
      <w:r w:rsidR="0016447E" w:rsidRPr="002436FD">
        <w:t xml:space="preserve">  Subsection</w:t>
      </w:r>
      <w:r w:rsidR="002436FD" w:rsidRPr="002436FD">
        <w:t> </w:t>
      </w:r>
      <w:r w:rsidR="0016447E" w:rsidRPr="002436FD">
        <w:t>45(8)</w:t>
      </w:r>
    </w:p>
    <w:p w:rsidR="0016447E" w:rsidRPr="002436FD" w:rsidRDefault="0016447E" w:rsidP="002436FD">
      <w:pPr>
        <w:pStyle w:val="Item"/>
      </w:pPr>
      <w:r w:rsidRPr="002436FD">
        <w:t>Omit “an onshore petroleum project, or the North West Shelf project,”, substitute “the North West Shelf project”.</w:t>
      </w:r>
    </w:p>
    <w:p w:rsidR="0016447E" w:rsidRPr="002436FD" w:rsidRDefault="00EF06A8" w:rsidP="002436FD">
      <w:pPr>
        <w:pStyle w:val="ItemHead"/>
      </w:pPr>
      <w:r w:rsidRPr="002436FD">
        <w:t>58</w:t>
      </w:r>
      <w:r w:rsidR="0016447E" w:rsidRPr="002436FD">
        <w:t xml:space="preserve">  Subparagraph 48(1)(a)(</w:t>
      </w:r>
      <w:proofErr w:type="spellStart"/>
      <w:r w:rsidR="0016447E" w:rsidRPr="002436FD">
        <w:t>ib</w:t>
      </w:r>
      <w:proofErr w:type="spellEnd"/>
      <w:r w:rsidR="0016447E" w:rsidRPr="002436FD">
        <w:t>)</w:t>
      </w:r>
    </w:p>
    <w:p w:rsidR="00CF7F40" w:rsidRPr="002436FD" w:rsidRDefault="00CF7F40" w:rsidP="002436FD">
      <w:pPr>
        <w:pStyle w:val="Item"/>
      </w:pPr>
      <w:r w:rsidRPr="002436FD">
        <w:t>Omit “, and the look</w:t>
      </w:r>
      <w:r w:rsidR="004802C7">
        <w:noBreakHyphen/>
      </w:r>
      <w:r w:rsidRPr="002436FD">
        <w:t>back approach is not the valuation approach for vendor’s interest in the project under Part</w:t>
      </w:r>
      <w:r w:rsidR="002436FD" w:rsidRPr="002436FD">
        <w:t> </w:t>
      </w:r>
      <w:r w:rsidRPr="002436FD">
        <w:t>2 of Schedule</w:t>
      </w:r>
      <w:r w:rsidR="002436FD" w:rsidRPr="002436FD">
        <w:t> </w:t>
      </w:r>
      <w:r w:rsidRPr="002436FD">
        <w:t>2”.</w:t>
      </w:r>
    </w:p>
    <w:p w:rsidR="0016447E" w:rsidRPr="002436FD" w:rsidRDefault="00EF06A8" w:rsidP="002436FD">
      <w:pPr>
        <w:pStyle w:val="ItemHead"/>
      </w:pPr>
      <w:r w:rsidRPr="002436FD">
        <w:t>59</w:t>
      </w:r>
      <w:r w:rsidR="0016447E" w:rsidRPr="002436FD">
        <w:t xml:space="preserve">  Paragraph 48(3)(c)</w:t>
      </w:r>
    </w:p>
    <w:p w:rsidR="0016447E" w:rsidRPr="002436FD" w:rsidRDefault="0016447E" w:rsidP="002436FD">
      <w:pPr>
        <w:pStyle w:val="Item"/>
      </w:pPr>
      <w:r w:rsidRPr="002436FD">
        <w:t>Omit “an onshore petroleum project, or”.</w:t>
      </w:r>
    </w:p>
    <w:p w:rsidR="0016447E" w:rsidRPr="002436FD" w:rsidRDefault="00EF06A8" w:rsidP="002436FD">
      <w:pPr>
        <w:pStyle w:val="ItemHead"/>
      </w:pPr>
      <w:r w:rsidRPr="002436FD">
        <w:t>60</w:t>
      </w:r>
      <w:r w:rsidR="0016447E" w:rsidRPr="002436FD">
        <w:t xml:space="preserve">  Paragraph 48A(5)(ca)</w:t>
      </w:r>
    </w:p>
    <w:p w:rsidR="00CF7F40" w:rsidRPr="002436FD" w:rsidRDefault="0016447E" w:rsidP="002436FD">
      <w:pPr>
        <w:pStyle w:val="Item"/>
      </w:pPr>
      <w:r w:rsidRPr="002436FD">
        <w:t>Repeal the paragraph</w:t>
      </w:r>
      <w:r w:rsidR="00CF7F40" w:rsidRPr="002436FD">
        <w:t>, substitute:</w:t>
      </w:r>
    </w:p>
    <w:p w:rsidR="0016447E" w:rsidRPr="002436FD" w:rsidRDefault="00CF7F40" w:rsidP="002436FD">
      <w:pPr>
        <w:pStyle w:val="paragraph"/>
      </w:pPr>
      <w:r w:rsidRPr="002436FD">
        <w:tab/>
        <w:t>(ca)</w:t>
      </w:r>
      <w:r w:rsidRPr="002436FD">
        <w:tab/>
        <w:t>if section</w:t>
      </w:r>
      <w:r w:rsidR="002436FD" w:rsidRPr="002436FD">
        <w:t> </w:t>
      </w:r>
      <w:r w:rsidRPr="002436FD">
        <w:t>35E did not apply immediately before the transfer time</w:t>
      </w:r>
      <w:r w:rsidR="003F6696" w:rsidRPr="002436FD">
        <w:t>—</w:t>
      </w:r>
      <w:r w:rsidRPr="002436FD">
        <w:t>to have incurred starting base expenditure, in relation to the project, of the transfer percentage of the starting base amount in relation to the vendor’s interest; and</w:t>
      </w:r>
    </w:p>
    <w:p w:rsidR="0016447E" w:rsidRPr="002436FD" w:rsidRDefault="00EF06A8" w:rsidP="002436FD">
      <w:pPr>
        <w:pStyle w:val="ItemHead"/>
      </w:pPr>
      <w:r w:rsidRPr="002436FD">
        <w:t>61</w:t>
      </w:r>
      <w:r w:rsidR="0016447E" w:rsidRPr="002436FD">
        <w:t xml:space="preserve">  Paragraph 48A(11)(c)</w:t>
      </w:r>
    </w:p>
    <w:p w:rsidR="0016447E" w:rsidRPr="002436FD" w:rsidRDefault="0016447E" w:rsidP="002436FD">
      <w:pPr>
        <w:pStyle w:val="Item"/>
      </w:pPr>
      <w:r w:rsidRPr="002436FD">
        <w:t>Omit “an onshore petroleum project, or”.</w:t>
      </w:r>
    </w:p>
    <w:p w:rsidR="002D4C2D" w:rsidRPr="002436FD" w:rsidRDefault="00EF06A8" w:rsidP="002436FD">
      <w:pPr>
        <w:pStyle w:val="ItemHead"/>
      </w:pPr>
      <w:r w:rsidRPr="002436FD">
        <w:t>62</w:t>
      </w:r>
      <w:r w:rsidR="002D4C2D" w:rsidRPr="002436FD">
        <w:t xml:space="preserve">  Subparagraph 58K(1)(b)(v)</w:t>
      </w:r>
    </w:p>
    <w:p w:rsidR="002D4C2D" w:rsidRPr="002436FD" w:rsidRDefault="002D4C2D" w:rsidP="002436FD">
      <w:pPr>
        <w:pStyle w:val="Item"/>
      </w:pPr>
      <w:r w:rsidRPr="002436FD">
        <w:t>Repeal the subparagraph.</w:t>
      </w:r>
    </w:p>
    <w:p w:rsidR="0016447E" w:rsidRPr="002436FD" w:rsidRDefault="00EF06A8" w:rsidP="002436FD">
      <w:pPr>
        <w:pStyle w:val="ItemHead"/>
      </w:pPr>
      <w:r w:rsidRPr="002436FD">
        <w:lastRenderedPageBreak/>
        <w:t>63</w:t>
      </w:r>
      <w:r w:rsidR="0016447E" w:rsidRPr="002436FD">
        <w:t xml:space="preserve">  Subparagraph 58K(1)(b)(vii)</w:t>
      </w:r>
    </w:p>
    <w:p w:rsidR="0016447E" w:rsidRPr="002436FD" w:rsidRDefault="003F6696" w:rsidP="002436FD">
      <w:pPr>
        <w:pStyle w:val="Item"/>
      </w:pPr>
      <w:r w:rsidRPr="002436FD">
        <w:t>Omit “under Division</w:t>
      </w:r>
      <w:r w:rsidR="002436FD" w:rsidRPr="002436FD">
        <w:t> </w:t>
      </w:r>
      <w:r w:rsidRPr="002436FD">
        <w:t>1 of Part</w:t>
      </w:r>
      <w:r w:rsidR="002436FD" w:rsidRPr="002436FD">
        <w:t> </w:t>
      </w:r>
      <w:r w:rsidRPr="002436FD">
        <w:t>3 of Schedule</w:t>
      </w:r>
      <w:r w:rsidR="002436FD" w:rsidRPr="002436FD">
        <w:t> </w:t>
      </w:r>
      <w:r w:rsidRPr="002436FD">
        <w:t>2, an amount is the starting base amount that the person has”, substitute “the person has a starting base amount”.</w:t>
      </w:r>
    </w:p>
    <w:p w:rsidR="002D4C2D" w:rsidRPr="002436FD" w:rsidRDefault="00EF06A8" w:rsidP="002436FD">
      <w:pPr>
        <w:pStyle w:val="ItemHead"/>
      </w:pPr>
      <w:r w:rsidRPr="002436FD">
        <w:t>64</w:t>
      </w:r>
      <w:r w:rsidR="002D4C2D" w:rsidRPr="002436FD">
        <w:t xml:space="preserve">  Subparagraph 58M(1)(c)(v)</w:t>
      </w:r>
    </w:p>
    <w:p w:rsidR="002D4C2D" w:rsidRPr="002436FD" w:rsidRDefault="002D4C2D" w:rsidP="002436FD">
      <w:pPr>
        <w:pStyle w:val="Item"/>
      </w:pPr>
      <w:r w:rsidRPr="002436FD">
        <w:t>Repeal the subparagraph.</w:t>
      </w:r>
    </w:p>
    <w:p w:rsidR="0016447E" w:rsidRPr="002436FD" w:rsidRDefault="00EF06A8" w:rsidP="002436FD">
      <w:pPr>
        <w:pStyle w:val="ItemHead"/>
      </w:pPr>
      <w:r w:rsidRPr="002436FD">
        <w:t>65</w:t>
      </w:r>
      <w:r w:rsidR="0016447E" w:rsidRPr="002436FD">
        <w:t xml:space="preserve">  Subparagraph 58M(1)(c)(vii)</w:t>
      </w:r>
    </w:p>
    <w:p w:rsidR="003F6696" w:rsidRPr="002436FD" w:rsidRDefault="003F6696" w:rsidP="002436FD">
      <w:pPr>
        <w:pStyle w:val="Item"/>
      </w:pPr>
      <w:r w:rsidRPr="002436FD">
        <w:t>Omit “under Division</w:t>
      </w:r>
      <w:r w:rsidR="002436FD" w:rsidRPr="002436FD">
        <w:t> </w:t>
      </w:r>
      <w:r w:rsidRPr="002436FD">
        <w:t>1 of Part</w:t>
      </w:r>
      <w:r w:rsidR="002436FD" w:rsidRPr="002436FD">
        <w:t> </w:t>
      </w:r>
      <w:r w:rsidRPr="002436FD">
        <w:t>3 of Schedule</w:t>
      </w:r>
      <w:r w:rsidR="002436FD" w:rsidRPr="002436FD">
        <w:t> </w:t>
      </w:r>
      <w:r w:rsidRPr="002436FD">
        <w:t>2, an amount is the starting base amount that the person has”, substitute “the person has a starting base amount”.</w:t>
      </w:r>
    </w:p>
    <w:p w:rsidR="0016447E" w:rsidRPr="002436FD" w:rsidRDefault="00EF06A8" w:rsidP="002436FD">
      <w:pPr>
        <w:pStyle w:val="ItemHead"/>
      </w:pPr>
      <w:r w:rsidRPr="002436FD">
        <w:t>66</w:t>
      </w:r>
      <w:r w:rsidR="0016447E" w:rsidRPr="002436FD">
        <w:t xml:space="preserve">  Division</w:t>
      </w:r>
      <w:r w:rsidR="002436FD" w:rsidRPr="002436FD">
        <w:t> </w:t>
      </w:r>
      <w:r w:rsidR="0016447E" w:rsidRPr="002436FD">
        <w:t>8 of Part</w:t>
      </w:r>
      <w:r w:rsidR="002436FD" w:rsidRPr="002436FD">
        <w:t> </w:t>
      </w:r>
      <w:r w:rsidR="0016447E" w:rsidRPr="002436FD">
        <w:t>V</w:t>
      </w:r>
    </w:p>
    <w:p w:rsidR="0016447E" w:rsidRPr="002436FD" w:rsidRDefault="0016447E" w:rsidP="002436FD">
      <w:pPr>
        <w:pStyle w:val="Item"/>
      </w:pPr>
      <w:r w:rsidRPr="002436FD">
        <w:t>Repeal the Division.</w:t>
      </w:r>
    </w:p>
    <w:p w:rsidR="0016447E" w:rsidRPr="002436FD" w:rsidRDefault="00EF06A8" w:rsidP="002436FD">
      <w:pPr>
        <w:pStyle w:val="ItemHead"/>
      </w:pPr>
      <w:r w:rsidRPr="002436FD">
        <w:t>67</w:t>
      </w:r>
      <w:r w:rsidR="0016447E" w:rsidRPr="002436FD">
        <w:t xml:space="preserve">  Section</w:t>
      </w:r>
      <w:r w:rsidR="002436FD" w:rsidRPr="002436FD">
        <w:t> </w:t>
      </w:r>
      <w:r w:rsidR="0016447E" w:rsidRPr="002436FD">
        <w:t>61 (note)</w:t>
      </w:r>
    </w:p>
    <w:p w:rsidR="0016447E" w:rsidRPr="002436FD" w:rsidRDefault="0016447E" w:rsidP="002436FD">
      <w:pPr>
        <w:pStyle w:val="Item"/>
      </w:pPr>
      <w:r w:rsidRPr="002436FD">
        <w:t>Repeal the note.</w:t>
      </w:r>
    </w:p>
    <w:p w:rsidR="0016447E" w:rsidRPr="002436FD" w:rsidRDefault="00EF06A8" w:rsidP="002436FD">
      <w:pPr>
        <w:pStyle w:val="ItemHead"/>
      </w:pPr>
      <w:r w:rsidRPr="002436FD">
        <w:t>68</w:t>
      </w:r>
      <w:r w:rsidR="0016447E" w:rsidRPr="002436FD">
        <w:t xml:space="preserve">  Subsection</w:t>
      </w:r>
      <w:r w:rsidR="002436FD" w:rsidRPr="002436FD">
        <w:t> </w:t>
      </w:r>
      <w:r w:rsidR="0016447E" w:rsidRPr="002436FD">
        <w:t>67(2) (note)</w:t>
      </w:r>
    </w:p>
    <w:p w:rsidR="0016447E" w:rsidRPr="002436FD" w:rsidRDefault="0016447E" w:rsidP="002436FD">
      <w:pPr>
        <w:pStyle w:val="Item"/>
      </w:pPr>
      <w:r w:rsidRPr="002436FD">
        <w:t>Repeal the note.</w:t>
      </w:r>
    </w:p>
    <w:p w:rsidR="0016447E" w:rsidRPr="002436FD" w:rsidRDefault="00EF06A8" w:rsidP="002436FD">
      <w:pPr>
        <w:pStyle w:val="ItemHead"/>
      </w:pPr>
      <w:r w:rsidRPr="002436FD">
        <w:t>69</w:t>
      </w:r>
      <w:r w:rsidR="0016447E" w:rsidRPr="002436FD">
        <w:t xml:space="preserve">  Subsection</w:t>
      </w:r>
      <w:r w:rsidR="002436FD" w:rsidRPr="002436FD">
        <w:t> </w:t>
      </w:r>
      <w:r w:rsidR="0016447E" w:rsidRPr="002436FD">
        <w:t>93(1)</w:t>
      </w:r>
    </w:p>
    <w:p w:rsidR="0016447E" w:rsidRPr="002436FD" w:rsidRDefault="0016447E" w:rsidP="002436FD">
      <w:pPr>
        <w:pStyle w:val="Item"/>
      </w:pPr>
      <w:r w:rsidRPr="002436FD">
        <w:t>Omit “58P,”.</w:t>
      </w:r>
    </w:p>
    <w:p w:rsidR="00D95C97" w:rsidRPr="002436FD" w:rsidRDefault="00EF06A8" w:rsidP="002436FD">
      <w:pPr>
        <w:pStyle w:val="ItemHead"/>
      </w:pPr>
      <w:r w:rsidRPr="002436FD">
        <w:t>70</w:t>
      </w:r>
      <w:r w:rsidR="00D95C97" w:rsidRPr="002436FD">
        <w:t xml:space="preserve">  Paragraph 97(1A)(b)</w:t>
      </w:r>
    </w:p>
    <w:p w:rsidR="00D95C97" w:rsidRPr="002436FD" w:rsidRDefault="00D95C97" w:rsidP="002436FD">
      <w:pPr>
        <w:pStyle w:val="Item"/>
      </w:pPr>
      <w:r w:rsidRPr="002436FD">
        <w:t>Omit “35D(3) and (4),”.</w:t>
      </w:r>
    </w:p>
    <w:p w:rsidR="00FC7FFD" w:rsidRPr="002436FD" w:rsidRDefault="00EF06A8" w:rsidP="002436FD">
      <w:pPr>
        <w:pStyle w:val="ItemHead"/>
      </w:pPr>
      <w:r w:rsidRPr="002436FD">
        <w:t>71</w:t>
      </w:r>
      <w:r w:rsidR="00FC7FFD" w:rsidRPr="002436FD">
        <w:t xml:space="preserve">  Subsection</w:t>
      </w:r>
      <w:r w:rsidR="002436FD" w:rsidRPr="002436FD">
        <w:t> </w:t>
      </w:r>
      <w:r w:rsidR="00FC7FFD" w:rsidRPr="002436FD">
        <w:t>97(1AA)</w:t>
      </w:r>
    </w:p>
    <w:p w:rsidR="00FC7FFD" w:rsidRPr="002436FD" w:rsidRDefault="00FC7FFD" w:rsidP="002436FD">
      <w:pPr>
        <w:pStyle w:val="Item"/>
      </w:pPr>
      <w:r w:rsidRPr="002436FD">
        <w:t>Omit “24(1)(d), (e) or (f)”, substitute “24(1)(d) or (e)”.</w:t>
      </w:r>
    </w:p>
    <w:p w:rsidR="0016447E" w:rsidRPr="002436FD" w:rsidRDefault="00EF06A8" w:rsidP="002436FD">
      <w:pPr>
        <w:pStyle w:val="ItemHead"/>
      </w:pPr>
      <w:r w:rsidRPr="002436FD">
        <w:t>72</w:t>
      </w:r>
      <w:r w:rsidR="0016447E" w:rsidRPr="002436FD">
        <w:t xml:space="preserve">  Subsection</w:t>
      </w:r>
      <w:r w:rsidR="002436FD" w:rsidRPr="002436FD">
        <w:t> </w:t>
      </w:r>
      <w:r w:rsidR="0016447E" w:rsidRPr="002436FD">
        <w:t>109(5)</w:t>
      </w:r>
    </w:p>
    <w:p w:rsidR="0016447E" w:rsidRPr="002436FD" w:rsidRDefault="0016447E" w:rsidP="002436FD">
      <w:pPr>
        <w:pStyle w:val="Item"/>
      </w:pPr>
      <w:r w:rsidRPr="002436FD">
        <w:t>Repeal the subsection.</w:t>
      </w:r>
    </w:p>
    <w:p w:rsidR="0016447E" w:rsidRPr="002436FD" w:rsidRDefault="00EF06A8" w:rsidP="002436FD">
      <w:pPr>
        <w:pStyle w:val="ItemHead"/>
      </w:pPr>
      <w:r w:rsidRPr="002436FD">
        <w:t>73</w:t>
      </w:r>
      <w:r w:rsidR="0016447E" w:rsidRPr="002436FD">
        <w:t xml:space="preserve">  Clause</w:t>
      </w:r>
      <w:r w:rsidR="002436FD" w:rsidRPr="002436FD">
        <w:t> </w:t>
      </w:r>
      <w:r w:rsidR="0016447E" w:rsidRPr="002436FD">
        <w:t>4C of Schedule</w:t>
      </w:r>
      <w:r w:rsidR="002436FD" w:rsidRPr="002436FD">
        <w:t> </w:t>
      </w:r>
      <w:r w:rsidR="0016447E" w:rsidRPr="002436FD">
        <w:t>1 (heading)</w:t>
      </w:r>
    </w:p>
    <w:p w:rsidR="0016447E" w:rsidRPr="002436FD" w:rsidRDefault="0016447E" w:rsidP="002436FD">
      <w:pPr>
        <w:pStyle w:val="Item"/>
      </w:pPr>
      <w:r w:rsidRPr="002436FD">
        <w:t>Omit “</w:t>
      </w:r>
      <w:r w:rsidRPr="002436FD">
        <w:rPr>
          <w:b/>
        </w:rPr>
        <w:t>onshore or</w:t>
      </w:r>
      <w:r w:rsidRPr="002436FD">
        <w:t>”.</w:t>
      </w:r>
    </w:p>
    <w:p w:rsidR="0016447E" w:rsidRPr="002436FD" w:rsidRDefault="00EF06A8" w:rsidP="002436FD">
      <w:pPr>
        <w:pStyle w:val="ItemHead"/>
      </w:pPr>
      <w:r w:rsidRPr="002436FD">
        <w:lastRenderedPageBreak/>
        <w:t>74</w:t>
      </w:r>
      <w:r w:rsidR="0016447E" w:rsidRPr="002436FD">
        <w:t xml:space="preserve">  Clause</w:t>
      </w:r>
      <w:r w:rsidR="002436FD" w:rsidRPr="002436FD">
        <w:t> </w:t>
      </w:r>
      <w:r w:rsidR="0016447E" w:rsidRPr="002436FD">
        <w:t>4C of Schedule</w:t>
      </w:r>
      <w:r w:rsidR="002436FD" w:rsidRPr="002436FD">
        <w:t> </w:t>
      </w:r>
      <w:r w:rsidR="0016447E" w:rsidRPr="002436FD">
        <w:t>1</w:t>
      </w:r>
    </w:p>
    <w:p w:rsidR="0016447E" w:rsidRPr="002436FD" w:rsidRDefault="0016447E" w:rsidP="002436FD">
      <w:pPr>
        <w:pStyle w:val="Item"/>
      </w:pPr>
      <w:r w:rsidRPr="002436FD">
        <w:t>Omit all the words after “1</w:t>
      </w:r>
      <w:r w:rsidR="002436FD" w:rsidRPr="002436FD">
        <w:t> </w:t>
      </w:r>
      <w:r w:rsidRPr="002436FD">
        <w:t>July 2012,”, substitute “in relation to the North West Shelf project are not transferable under section</w:t>
      </w:r>
      <w:r w:rsidR="002436FD" w:rsidRPr="002436FD">
        <w:t> </w:t>
      </w:r>
      <w:r w:rsidRPr="002436FD">
        <w:t>45A, 45B or 45C”.</w:t>
      </w:r>
    </w:p>
    <w:p w:rsidR="002D4C2D" w:rsidRPr="002436FD" w:rsidRDefault="00EF06A8" w:rsidP="002436FD">
      <w:pPr>
        <w:pStyle w:val="ItemHead"/>
      </w:pPr>
      <w:r w:rsidRPr="002436FD">
        <w:t>75</w:t>
      </w:r>
      <w:r w:rsidR="002D4C2D" w:rsidRPr="002436FD">
        <w:t xml:space="preserve">  Clause</w:t>
      </w:r>
      <w:r w:rsidR="002436FD" w:rsidRPr="002436FD">
        <w:t> </w:t>
      </w:r>
      <w:r w:rsidR="002D4C2D" w:rsidRPr="002436FD">
        <w:t>5 of Schedule</w:t>
      </w:r>
      <w:r w:rsidR="002436FD" w:rsidRPr="002436FD">
        <w:t> </w:t>
      </w:r>
      <w:r w:rsidR="002D4C2D" w:rsidRPr="002436FD">
        <w:t>1 (</w:t>
      </w:r>
      <w:r w:rsidR="002436FD" w:rsidRPr="002436FD">
        <w:t>paragraph (</w:t>
      </w:r>
      <w:r w:rsidR="002D4C2D" w:rsidRPr="002436FD">
        <w:t xml:space="preserve">a) of the definition of </w:t>
      </w:r>
      <w:r w:rsidR="002D4C2D" w:rsidRPr="002436FD">
        <w:rPr>
          <w:i/>
        </w:rPr>
        <w:t>notional taxable profit</w:t>
      </w:r>
      <w:r w:rsidR="002D4C2D" w:rsidRPr="002436FD">
        <w:t>)</w:t>
      </w:r>
    </w:p>
    <w:p w:rsidR="002D4C2D" w:rsidRPr="002436FD" w:rsidRDefault="002D4C2D" w:rsidP="002436FD">
      <w:pPr>
        <w:pStyle w:val="Item"/>
      </w:pPr>
      <w:r w:rsidRPr="002436FD">
        <w:t>Omit “acquired exploration expenditure,”.</w:t>
      </w:r>
    </w:p>
    <w:p w:rsidR="002D4C2D" w:rsidRPr="002436FD" w:rsidRDefault="00EF06A8" w:rsidP="002436FD">
      <w:pPr>
        <w:pStyle w:val="ItemHead"/>
      </w:pPr>
      <w:r w:rsidRPr="002436FD">
        <w:t>76</w:t>
      </w:r>
      <w:r w:rsidR="002D4C2D" w:rsidRPr="002436FD">
        <w:t xml:space="preserve">  Clause</w:t>
      </w:r>
      <w:r w:rsidR="002436FD" w:rsidRPr="002436FD">
        <w:t> </w:t>
      </w:r>
      <w:r w:rsidR="002D4C2D" w:rsidRPr="002436FD">
        <w:t>9 of Schedule</w:t>
      </w:r>
      <w:r w:rsidR="002436FD" w:rsidRPr="002436FD">
        <w:t> </w:t>
      </w:r>
      <w:r w:rsidR="002D4C2D" w:rsidRPr="002436FD">
        <w:t>1 (</w:t>
      </w:r>
      <w:r w:rsidR="002436FD" w:rsidRPr="002436FD">
        <w:t>paragraph (</w:t>
      </w:r>
      <w:r w:rsidR="002D4C2D" w:rsidRPr="002436FD">
        <w:t xml:space="preserve">a) of the definition of </w:t>
      </w:r>
      <w:r w:rsidR="002D4C2D" w:rsidRPr="002436FD">
        <w:rPr>
          <w:i/>
        </w:rPr>
        <w:t>notional taxable profit</w:t>
      </w:r>
      <w:r w:rsidR="002D4C2D" w:rsidRPr="002436FD">
        <w:t>)</w:t>
      </w:r>
    </w:p>
    <w:p w:rsidR="002D4C2D" w:rsidRPr="002436FD" w:rsidRDefault="002D4C2D" w:rsidP="002436FD">
      <w:pPr>
        <w:pStyle w:val="Item"/>
      </w:pPr>
      <w:r w:rsidRPr="002436FD">
        <w:t>Omit “acquired exploration expenditure,”.</w:t>
      </w:r>
    </w:p>
    <w:p w:rsidR="0016447E" w:rsidRPr="002436FD" w:rsidRDefault="00EF06A8" w:rsidP="002436FD">
      <w:pPr>
        <w:pStyle w:val="ItemHead"/>
      </w:pPr>
      <w:r w:rsidRPr="002436FD">
        <w:t>77</w:t>
      </w:r>
      <w:r w:rsidR="0016447E" w:rsidRPr="002436FD">
        <w:t xml:space="preserve">  Schedule</w:t>
      </w:r>
      <w:r w:rsidR="002436FD" w:rsidRPr="002436FD">
        <w:t> </w:t>
      </w:r>
      <w:r w:rsidR="0016447E" w:rsidRPr="002436FD">
        <w:t>2</w:t>
      </w:r>
    </w:p>
    <w:p w:rsidR="0016447E" w:rsidRPr="002436FD" w:rsidRDefault="0016447E" w:rsidP="002436FD">
      <w:pPr>
        <w:pStyle w:val="Item"/>
      </w:pPr>
      <w:r w:rsidRPr="002436FD">
        <w:t>Repeal the Schedule.</w:t>
      </w:r>
    </w:p>
    <w:p w:rsidR="00F5020D" w:rsidRPr="002436FD" w:rsidRDefault="00F5020D" w:rsidP="002436FD">
      <w:pPr>
        <w:pStyle w:val="ActHead7"/>
        <w:pageBreakBefore/>
      </w:pPr>
      <w:bookmarkStart w:id="21" w:name="_Toc5698338"/>
      <w:r w:rsidRPr="002436FD">
        <w:rPr>
          <w:rStyle w:val="CharAmPartNo"/>
        </w:rPr>
        <w:lastRenderedPageBreak/>
        <w:t>Part</w:t>
      </w:r>
      <w:r w:rsidR="002436FD" w:rsidRPr="002436FD">
        <w:rPr>
          <w:rStyle w:val="CharAmPartNo"/>
        </w:rPr>
        <w:t> </w:t>
      </w:r>
      <w:r w:rsidRPr="002436FD">
        <w:rPr>
          <w:rStyle w:val="CharAmPartNo"/>
        </w:rPr>
        <w:t>2</w:t>
      </w:r>
      <w:r w:rsidRPr="002436FD">
        <w:t>—</w:t>
      </w:r>
      <w:r w:rsidRPr="002436FD">
        <w:rPr>
          <w:rStyle w:val="CharAmPartText"/>
        </w:rPr>
        <w:t>Amendment</w:t>
      </w:r>
      <w:r w:rsidR="00237652" w:rsidRPr="002436FD">
        <w:rPr>
          <w:rStyle w:val="CharAmPartText"/>
        </w:rPr>
        <w:t>s</w:t>
      </w:r>
      <w:r w:rsidRPr="002436FD">
        <w:rPr>
          <w:rStyle w:val="CharAmPartText"/>
        </w:rPr>
        <w:t xml:space="preserve"> of other Acts</w:t>
      </w:r>
      <w:bookmarkEnd w:id="21"/>
    </w:p>
    <w:p w:rsidR="00F5020D" w:rsidRPr="002436FD" w:rsidRDefault="00F5020D" w:rsidP="002436FD">
      <w:pPr>
        <w:pStyle w:val="ActHead9"/>
        <w:rPr>
          <w:i w:val="0"/>
        </w:rPr>
      </w:pPr>
      <w:bookmarkStart w:id="22" w:name="_Toc5698339"/>
      <w:r w:rsidRPr="002436FD">
        <w:t>Excise Tariff Act 1921</w:t>
      </w:r>
      <w:bookmarkEnd w:id="22"/>
    </w:p>
    <w:p w:rsidR="00F5020D" w:rsidRPr="002436FD" w:rsidRDefault="00EF06A8" w:rsidP="002436FD">
      <w:pPr>
        <w:pStyle w:val="ItemHead"/>
      </w:pPr>
      <w:r w:rsidRPr="002436FD">
        <w:t>78</w:t>
      </w:r>
      <w:r w:rsidR="00F5020D" w:rsidRPr="002436FD">
        <w:t xml:space="preserve">  Subsection</w:t>
      </w:r>
      <w:r w:rsidR="002436FD" w:rsidRPr="002436FD">
        <w:t> </w:t>
      </w:r>
      <w:r w:rsidR="00F5020D" w:rsidRPr="002436FD">
        <w:t xml:space="preserve">3(1) (definition of </w:t>
      </w:r>
      <w:r w:rsidR="00F5020D" w:rsidRPr="002436FD">
        <w:rPr>
          <w:i/>
        </w:rPr>
        <w:t>Resource Rent Tax area</w:t>
      </w:r>
      <w:r w:rsidR="00F5020D" w:rsidRPr="002436FD">
        <w:t>)</w:t>
      </w:r>
    </w:p>
    <w:p w:rsidR="00F5020D" w:rsidRPr="002436FD" w:rsidRDefault="00F5020D" w:rsidP="002436FD">
      <w:pPr>
        <w:pStyle w:val="Item"/>
      </w:pPr>
      <w:r w:rsidRPr="002436FD">
        <w:t>Omit all the words after “for the purposes of”, substitute:</w:t>
      </w:r>
    </w:p>
    <w:p w:rsidR="00F5020D" w:rsidRPr="002436FD" w:rsidRDefault="00F5020D" w:rsidP="002436FD">
      <w:pPr>
        <w:pStyle w:val="Definition"/>
      </w:pPr>
      <w:r w:rsidRPr="002436FD">
        <w:t xml:space="preserve">the </w:t>
      </w:r>
      <w:r w:rsidRPr="002436FD">
        <w:rPr>
          <w:i/>
        </w:rPr>
        <w:t>Petroleum Resource Rent Tax Assessment Act 1987</w:t>
      </w:r>
      <w:r w:rsidRPr="002436FD">
        <w:t>, is:</w:t>
      </w:r>
    </w:p>
    <w:p w:rsidR="00F5020D" w:rsidRPr="002436FD" w:rsidRDefault="00F5020D" w:rsidP="002436FD">
      <w:pPr>
        <w:pStyle w:val="paragraph"/>
      </w:pPr>
      <w:r w:rsidRPr="002436FD">
        <w:tab/>
        <w:t>(a)</w:t>
      </w:r>
      <w:r w:rsidRPr="002436FD">
        <w:tab/>
        <w:t>the exploration permit area of an exploration permit other than one of the North West Shelf exploration permits; or</w:t>
      </w:r>
    </w:p>
    <w:p w:rsidR="00F5020D" w:rsidRPr="002436FD" w:rsidRDefault="00F5020D" w:rsidP="002436FD">
      <w:pPr>
        <w:pStyle w:val="paragraph"/>
      </w:pPr>
      <w:r w:rsidRPr="002436FD">
        <w:tab/>
        <w:t>(b)</w:t>
      </w:r>
      <w:r w:rsidRPr="002436FD">
        <w:tab/>
        <w:t>the retention lease area of a retention lease that is related to an exploration permit other than one of the North West Shelf exploration permits; or</w:t>
      </w:r>
    </w:p>
    <w:p w:rsidR="00F5020D" w:rsidRPr="002436FD" w:rsidRDefault="00F5020D" w:rsidP="002436FD">
      <w:pPr>
        <w:pStyle w:val="paragraph"/>
      </w:pPr>
      <w:r w:rsidRPr="002436FD">
        <w:tab/>
        <w:t>(c)</w:t>
      </w:r>
      <w:r w:rsidRPr="002436FD">
        <w:tab/>
        <w:t>the production licence area of a production licence that is related to an exploration permit other than one of the North West Shelf exploration permits.</w:t>
      </w:r>
    </w:p>
    <w:p w:rsidR="0016447E" w:rsidRPr="002436FD" w:rsidRDefault="0016447E" w:rsidP="002436FD">
      <w:pPr>
        <w:pStyle w:val="ActHead9"/>
        <w:rPr>
          <w:i w:val="0"/>
        </w:rPr>
      </w:pPr>
      <w:bookmarkStart w:id="23" w:name="_Toc5698340"/>
      <w:r w:rsidRPr="002436FD">
        <w:t>Income Tax Assessment Act 1997</w:t>
      </w:r>
      <w:bookmarkEnd w:id="23"/>
    </w:p>
    <w:p w:rsidR="0016447E" w:rsidRPr="002436FD" w:rsidRDefault="00EF06A8" w:rsidP="002436FD">
      <w:pPr>
        <w:pStyle w:val="ItemHead"/>
      </w:pPr>
      <w:r w:rsidRPr="002436FD">
        <w:t>79</w:t>
      </w:r>
      <w:r w:rsidR="0016447E" w:rsidRPr="002436FD">
        <w:t xml:space="preserve">  Subsection</w:t>
      </w:r>
      <w:r w:rsidR="002436FD" w:rsidRPr="002436FD">
        <w:t> </w:t>
      </w:r>
      <w:r w:rsidR="0016447E" w:rsidRPr="002436FD">
        <w:t>703</w:t>
      </w:r>
      <w:r w:rsidR="004802C7">
        <w:noBreakHyphen/>
      </w:r>
      <w:r w:rsidR="0016447E" w:rsidRPr="002436FD">
        <w:t>50(1) (note 1)</w:t>
      </w:r>
    </w:p>
    <w:p w:rsidR="0016447E" w:rsidRPr="002436FD" w:rsidRDefault="0016447E" w:rsidP="002436FD">
      <w:pPr>
        <w:pStyle w:val="Item"/>
      </w:pPr>
      <w:r w:rsidRPr="002436FD">
        <w:t>Omit “Note 1”, substitute “Note”.</w:t>
      </w:r>
    </w:p>
    <w:p w:rsidR="0016447E" w:rsidRPr="002436FD" w:rsidRDefault="00EF06A8" w:rsidP="002436FD">
      <w:pPr>
        <w:pStyle w:val="ItemHead"/>
      </w:pPr>
      <w:r w:rsidRPr="002436FD">
        <w:t>80</w:t>
      </w:r>
      <w:r w:rsidR="0016447E" w:rsidRPr="002436FD">
        <w:t xml:space="preserve">  Subsection</w:t>
      </w:r>
      <w:r w:rsidR="002436FD" w:rsidRPr="002436FD">
        <w:t> </w:t>
      </w:r>
      <w:r w:rsidR="0016447E" w:rsidRPr="002436FD">
        <w:t>703</w:t>
      </w:r>
      <w:r w:rsidR="004802C7">
        <w:noBreakHyphen/>
      </w:r>
      <w:r w:rsidR="0016447E" w:rsidRPr="002436FD">
        <w:t>50(1) (note 3)</w:t>
      </w:r>
    </w:p>
    <w:p w:rsidR="0016447E" w:rsidRPr="002436FD" w:rsidRDefault="0016447E" w:rsidP="002436FD">
      <w:pPr>
        <w:pStyle w:val="Item"/>
      </w:pPr>
      <w:r w:rsidRPr="002436FD">
        <w:t>Repeal the note.</w:t>
      </w:r>
    </w:p>
    <w:p w:rsidR="00783776" w:rsidRPr="002436FD" w:rsidRDefault="00EF06A8" w:rsidP="002436FD">
      <w:pPr>
        <w:pStyle w:val="ItemHead"/>
      </w:pPr>
      <w:r w:rsidRPr="002436FD">
        <w:t>81</w:t>
      </w:r>
      <w:r w:rsidR="00783776" w:rsidRPr="002436FD">
        <w:t xml:space="preserve">  Subsection</w:t>
      </w:r>
      <w:r w:rsidR="002436FD" w:rsidRPr="002436FD">
        <w:t> </w:t>
      </w:r>
      <w:r w:rsidR="00783776" w:rsidRPr="002436FD">
        <w:t>719</w:t>
      </w:r>
      <w:r w:rsidR="004802C7">
        <w:noBreakHyphen/>
      </w:r>
      <w:r w:rsidR="00783776" w:rsidRPr="002436FD">
        <w:t>50(1) (note 1)</w:t>
      </w:r>
    </w:p>
    <w:p w:rsidR="00783776" w:rsidRPr="002436FD" w:rsidRDefault="00783776" w:rsidP="002436FD">
      <w:pPr>
        <w:pStyle w:val="Item"/>
      </w:pPr>
      <w:r w:rsidRPr="002436FD">
        <w:t>Omit “Note 1”, substitute “Note”.</w:t>
      </w:r>
    </w:p>
    <w:p w:rsidR="00783776" w:rsidRPr="002436FD" w:rsidRDefault="00EF06A8" w:rsidP="002436FD">
      <w:pPr>
        <w:pStyle w:val="ItemHead"/>
      </w:pPr>
      <w:r w:rsidRPr="002436FD">
        <w:t>82</w:t>
      </w:r>
      <w:r w:rsidR="00783776" w:rsidRPr="002436FD">
        <w:t xml:space="preserve">  Subsection</w:t>
      </w:r>
      <w:r w:rsidR="002436FD" w:rsidRPr="002436FD">
        <w:t> </w:t>
      </w:r>
      <w:r w:rsidR="00783776" w:rsidRPr="002436FD">
        <w:t>719</w:t>
      </w:r>
      <w:r w:rsidR="004802C7">
        <w:noBreakHyphen/>
      </w:r>
      <w:r w:rsidR="00783776" w:rsidRPr="002436FD">
        <w:t>50(1) (note 3)</w:t>
      </w:r>
    </w:p>
    <w:p w:rsidR="00783776" w:rsidRPr="002436FD" w:rsidRDefault="00783776" w:rsidP="002436FD">
      <w:pPr>
        <w:pStyle w:val="Item"/>
      </w:pPr>
      <w:r w:rsidRPr="002436FD">
        <w:t>Repeal the note.</w:t>
      </w:r>
    </w:p>
    <w:p w:rsidR="0016447E" w:rsidRPr="002436FD" w:rsidRDefault="00EF06A8" w:rsidP="002436FD">
      <w:pPr>
        <w:pStyle w:val="ItemHead"/>
      </w:pPr>
      <w:r w:rsidRPr="002436FD">
        <w:t>83</w:t>
      </w:r>
      <w:r w:rsidR="0016447E" w:rsidRPr="002436FD">
        <w:t xml:space="preserve">  Subsection</w:t>
      </w:r>
      <w:r w:rsidR="002436FD" w:rsidRPr="002436FD">
        <w:t> </w:t>
      </w:r>
      <w:r w:rsidR="0016447E" w:rsidRPr="002436FD">
        <w:t>721</w:t>
      </w:r>
      <w:r w:rsidR="004802C7">
        <w:noBreakHyphen/>
      </w:r>
      <w:r w:rsidR="0016447E" w:rsidRPr="002436FD">
        <w:t>10(2) (table items</w:t>
      </w:r>
      <w:r w:rsidR="002436FD" w:rsidRPr="002436FD">
        <w:t> </w:t>
      </w:r>
      <w:r w:rsidR="0016447E" w:rsidRPr="002436FD">
        <w:t>95, 100, 105 and 110)</w:t>
      </w:r>
    </w:p>
    <w:p w:rsidR="0016447E" w:rsidRPr="002436FD" w:rsidRDefault="0016447E" w:rsidP="002436FD">
      <w:pPr>
        <w:pStyle w:val="Item"/>
      </w:pPr>
      <w:r w:rsidRPr="002436FD">
        <w:t>Repeal the items.</w:t>
      </w:r>
    </w:p>
    <w:p w:rsidR="0016447E" w:rsidRPr="002436FD" w:rsidRDefault="00EF06A8" w:rsidP="002436FD">
      <w:pPr>
        <w:pStyle w:val="ItemHead"/>
      </w:pPr>
      <w:r w:rsidRPr="002436FD">
        <w:t>84</w:t>
      </w:r>
      <w:r w:rsidR="0016447E" w:rsidRPr="002436FD">
        <w:t xml:space="preserve">  Subsections</w:t>
      </w:r>
      <w:r w:rsidR="002436FD" w:rsidRPr="002436FD">
        <w:t> </w:t>
      </w:r>
      <w:r w:rsidR="0016447E" w:rsidRPr="002436FD">
        <w:t>721</w:t>
      </w:r>
      <w:r w:rsidR="004802C7">
        <w:noBreakHyphen/>
      </w:r>
      <w:r w:rsidR="0016447E" w:rsidRPr="002436FD">
        <w:t>10(5) and (6)</w:t>
      </w:r>
    </w:p>
    <w:p w:rsidR="0016447E" w:rsidRPr="002436FD" w:rsidRDefault="0016447E" w:rsidP="002436FD">
      <w:pPr>
        <w:pStyle w:val="Item"/>
      </w:pPr>
      <w:r w:rsidRPr="002436FD">
        <w:t>Repeal the subsections.</w:t>
      </w:r>
    </w:p>
    <w:p w:rsidR="00F5020D" w:rsidRPr="002436FD" w:rsidRDefault="00F5020D" w:rsidP="002436FD">
      <w:pPr>
        <w:pStyle w:val="ActHead7"/>
        <w:pageBreakBefore/>
      </w:pPr>
      <w:bookmarkStart w:id="24" w:name="_Toc5698341"/>
      <w:r w:rsidRPr="002436FD">
        <w:rPr>
          <w:rStyle w:val="CharAmPartNo"/>
        </w:rPr>
        <w:lastRenderedPageBreak/>
        <w:t>Part</w:t>
      </w:r>
      <w:r w:rsidR="002436FD" w:rsidRPr="002436FD">
        <w:rPr>
          <w:rStyle w:val="CharAmPartNo"/>
        </w:rPr>
        <w:t> </w:t>
      </w:r>
      <w:r w:rsidRPr="002436FD">
        <w:rPr>
          <w:rStyle w:val="CharAmPartNo"/>
        </w:rPr>
        <w:t>3</w:t>
      </w:r>
      <w:r w:rsidRPr="002436FD">
        <w:t>—</w:t>
      </w:r>
      <w:r w:rsidRPr="002436FD">
        <w:rPr>
          <w:rStyle w:val="CharAmPartText"/>
        </w:rPr>
        <w:t>Application</w:t>
      </w:r>
      <w:r w:rsidR="00BB6B0D" w:rsidRPr="002436FD">
        <w:rPr>
          <w:rStyle w:val="CharAmPartText"/>
        </w:rPr>
        <w:t>, transitional and savings provisions</w:t>
      </w:r>
      <w:bookmarkEnd w:id="24"/>
    </w:p>
    <w:p w:rsidR="00916015" w:rsidRPr="002436FD" w:rsidRDefault="00916015" w:rsidP="002436FD">
      <w:pPr>
        <w:pStyle w:val="ActHead8"/>
      </w:pPr>
      <w:bookmarkStart w:id="25" w:name="_Toc5698342"/>
      <w:r w:rsidRPr="002436FD">
        <w:t>Division</w:t>
      </w:r>
      <w:r w:rsidR="002436FD" w:rsidRPr="002436FD">
        <w:t> </w:t>
      </w:r>
      <w:r w:rsidRPr="002436FD">
        <w:t>1—Application of amendments to deductible expenditure and assessable receipts</w:t>
      </w:r>
      <w:bookmarkEnd w:id="25"/>
    </w:p>
    <w:p w:rsidR="00916015" w:rsidRPr="002436FD" w:rsidRDefault="006031BA" w:rsidP="002436FD">
      <w:pPr>
        <w:pStyle w:val="Transitional"/>
      </w:pPr>
      <w:r w:rsidRPr="002436FD">
        <w:t>8</w:t>
      </w:r>
      <w:r w:rsidR="00967565" w:rsidRPr="002436FD">
        <w:t>5</w:t>
      </w:r>
      <w:r w:rsidR="00916015" w:rsidRPr="002436FD">
        <w:t xml:space="preserve">  Application</w:t>
      </w:r>
      <w:r w:rsidRPr="002436FD">
        <w:t>—</w:t>
      </w:r>
      <w:r w:rsidR="00916015" w:rsidRPr="002436FD">
        <w:t>deductible expenditure and assessable receipts</w:t>
      </w:r>
    </w:p>
    <w:p w:rsidR="00AF2C70" w:rsidRPr="002436FD" w:rsidRDefault="00AF2C70" w:rsidP="002436FD">
      <w:pPr>
        <w:pStyle w:val="Subitem"/>
      </w:pPr>
      <w:r w:rsidRPr="002436FD">
        <w:t>(1)</w:t>
      </w:r>
      <w:r w:rsidRPr="002436FD">
        <w:tab/>
        <w:t>The object of this item is:</w:t>
      </w:r>
    </w:p>
    <w:p w:rsidR="00AF2C70" w:rsidRPr="002436FD" w:rsidRDefault="00AF2C70" w:rsidP="002436FD">
      <w:pPr>
        <w:pStyle w:val="paragraph"/>
      </w:pPr>
      <w:r w:rsidRPr="002436FD">
        <w:tab/>
        <w:t>(a)</w:t>
      </w:r>
      <w:r w:rsidRPr="002436FD">
        <w:tab/>
        <w:t>to provide for petroleum resource rent tax to cease to apply to onshore petroleum projects as of 1</w:t>
      </w:r>
      <w:r w:rsidR="002436FD" w:rsidRPr="002436FD">
        <w:t> </w:t>
      </w:r>
      <w:r w:rsidRPr="002436FD">
        <w:t>July 2019; and</w:t>
      </w:r>
    </w:p>
    <w:p w:rsidR="00AF2C70" w:rsidRPr="002436FD" w:rsidRDefault="00AF2C70" w:rsidP="002436FD">
      <w:pPr>
        <w:pStyle w:val="paragraph"/>
      </w:pPr>
      <w:r w:rsidRPr="002436FD">
        <w:tab/>
        <w:t>(b)</w:t>
      </w:r>
      <w:r w:rsidRPr="002436FD">
        <w:tab/>
        <w:t xml:space="preserve">to prevent expenditure incurred in relation to onshore petroleum projects </w:t>
      </w:r>
      <w:r w:rsidR="004376CC" w:rsidRPr="002436FD">
        <w:t>reducing</w:t>
      </w:r>
      <w:r w:rsidRPr="002436FD">
        <w:t xml:space="preserve"> taxable profit in relation to other kinds of projects and financial years starting on or after 1</w:t>
      </w:r>
      <w:r w:rsidR="002436FD" w:rsidRPr="002436FD">
        <w:t> </w:t>
      </w:r>
      <w:r w:rsidRPr="002436FD">
        <w:t>July 2019.</w:t>
      </w:r>
    </w:p>
    <w:p w:rsidR="00916015" w:rsidRPr="002436FD" w:rsidRDefault="00916015" w:rsidP="002436FD">
      <w:pPr>
        <w:pStyle w:val="Subitem"/>
      </w:pPr>
      <w:r w:rsidRPr="002436FD">
        <w:t>(</w:t>
      </w:r>
      <w:r w:rsidR="00AF2C70" w:rsidRPr="002436FD">
        <w:t>2</w:t>
      </w:r>
      <w:r w:rsidRPr="002436FD">
        <w:t>)</w:t>
      </w:r>
      <w:r w:rsidRPr="002436FD">
        <w:tab/>
        <w:t>The amendments made by this Schedule apply to</w:t>
      </w:r>
      <w:r w:rsidR="00967565" w:rsidRPr="002436FD">
        <w:t xml:space="preserve"> the following</w:t>
      </w:r>
      <w:r w:rsidRPr="002436FD">
        <w:t>:</w:t>
      </w:r>
    </w:p>
    <w:p w:rsidR="00916015" w:rsidRPr="002436FD" w:rsidRDefault="00916015" w:rsidP="002436FD">
      <w:pPr>
        <w:pStyle w:val="paragraph"/>
      </w:pPr>
      <w:r w:rsidRPr="002436FD">
        <w:tab/>
        <w:t>(a)</w:t>
      </w:r>
      <w:r w:rsidRPr="002436FD">
        <w:tab/>
        <w:t>an amount of deductible expenditure incurred</w:t>
      </w:r>
      <w:r w:rsidR="00091B32" w:rsidRPr="002436FD">
        <w:t>, or taken to be incurred,</w:t>
      </w:r>
      <w:r w:rsidRPr="002436FD">
        <w:t xml:space="preserve"> in the financial year starting on 1</w:t>
      </w:r>
      <w:r w:rsidR="002436FD" w:rsidRPr="002436FD">
        <w:t> </w:t>
      </w:r>
      <w:r w:rsidRPr="002436FD">
        <w:t>July 2019 or any later financial year;</w:t>
      </w:r>
    </w:p>
    <w:p w:rsidR="00EA341D" w:rsidRPr="002436FD" w:rsidRDefault="00916015" w:rsidP="002436FD">
      <w:pPr>
        <w:pStyle w:val="paragraph"/>
      </w:pPr>
      <w:r w:rsidRPr="002436FD">
        <w:tab/>
        <w:t>(b)</w:t>
      </w:r>
      <w:r w:rsidRPr="002436FD">
        <w:tab/>
        <w:t>an amount of assessable receipts derived</w:t>
      </w:r>
      <w:r w:rsidR="00091B32" w:rsidRPr="002436FD">
        <w:t xml:space="preserve">, or taken to be </w:t>
      </w:r>
      <w:r w:rsidR="00BD586B" w:rsidRPr="002436FD">
        <w:t>derived</w:t>
      </w:r>
      <w:r w:rsidR="00091B32" w:rsidRPr="002436FD">
        <w:t>,</w:t>
      </w:r>
      <w:r w:rsidRPr="002436FD">
        <w:t xml:space="preserve"> in the financial year starting on 1</w:t>
      </w:r>
      <w:r w:rsidR="002436FD" w:rsidRPr="002436FD">
        <w:t> </w:t>
      </w:r>
      <w:r w:rsidRPr="002436FD">
        <w:t>July 2019 or any later financial year</w:t>
      </w:r>
      <w:r w:rsidR="00EA341D" w:rsidRPr="002436FD">
        <w:t>.</w:t>
      </w:r>
    </w:p>
    <w:p w:rsidR="00834133" w:rsidRPr="002436FD" w:rsidRDefault="00834133" w:rsidP="002436FD">
      <w:pPr>
        <w:pStyle w:val="Subitem"/>
      </w:pPr>
      <w:r w:rsidRPr="002436FD">
        <w:t>(3)</w:t>
      </w:r>
      <w:r w:rsidRPr="002436FD">
        <w:tab/>
        <w:t>The amendments made by this Schedule also apply to the following:</w:t>
      </w:r>
    </w:p>
    <w:p w:rsidR="00834133" w:rsidRPr="002436FD" w:rsidRDefault="00834133" w:rsidP="002436FD">
      <w:pPr>
        <w:pStyle w:val="paragraph"/>
      </w:pPr>
      <w:r w:rsidRPr="002436FD">
        <w:tab/>
        <w:t>(a)</w:t>
      </w:r>
      <w:r w:rsidRPr="002436FD">
        <w:tab/>
        <w:t>a transfer of expenditure under Division</w:t>
      </w:r>
      <w:r w:rsidR="002436FD" w:rsidRPr="002436FD">
        <w:t> </w:t>
      </w:r>
      <w:r w:rsidRPr="002436FD">
        <w:t>3A of Part</w:t>
      </w:r>
      <w:r w:rsidR="002436FD" w:rsidRPr="002436FD">
        <w:t> </w:t>
      </w:r>
      <w:r w:rsidRPr="002436FD">
        <w:t xml:space="preserve">V of the </w:t>
      </w:r>
      <w:r w:rsidRPr="002436FD">
        <w:rPr>
          <w:i/>
        </w:rPr>
        <w:t>Petroleum Resource Rent Tax Assessment Act 1987</w:t>
      </w:r>
      <w:r w:rsidRPr="002436FD">
        <w:t xml:space="preserve"> in relation to the financial year starting on 1</w:t>
      </w:r>
      <w:r w:rsidR="002436FD" w:rsidRPr="002436FD">
        <w:t> </w:t>
      </w:r>
      <w:r w:rsidRPr="002436FD">
        <w:t>July 2019 or any later financial year, regardless of the financial year in which the expenditure was incurred or taken to be incurred;</w:t>
      </w:r>
    </w:p>
    <w:p w:rsidR="00834133" w:rsidRPr="002436FD" w:rsidRDefault="00834133" w:rsidP="002436FD">
      <w:pPr>
        <w:pStyle w:val="paragraph"/>
      </w:pPr>
      <w:r w:rsidRPr="002436FD">
        <w:tab/>
        <w:t>(b)</w:t>
      </w:r>
      <w:r w:rsidRPr="002436FD">
        <w:tab/>
        <w:t>a transaction of a kind described in section</w:t>
      </w:r>
      <w:r w:rsidR="002436FD" w:rsidRPr="002436FD">
        <w:t> </w:t>
      </w:r>
      <w:r w:rsidRPr="002436FD">
        <w:t xml:space="preserve">48 or 48A of the </w:t>
      </w:r>
      <w:r w:rsidRPr="002436FD">
        <w:rPr>
          <w:i/>
        </w:rPr>
        <w:t>Petroleum Resource Rent Tax Assessment Act 1987</w:t>
      </w:r>
      <w:r w:rsidRPr="002436FD">
        <w:t xml:space="preserve"> that is entered into on or after 1</w:t>
      </w:r>
      <w:r w:rsidR="002436FD" w:rsidRPr="002436FD">
        <w:t> </w:t>
      </w:r>
      <w:r w:rsidRPr="002436FD">
        <w:t>July 2019, regardless of the financial year in which any expenditure referred to in those sections was incurred or taken to be incurred.</w:t>
      </w:r>
    </w:p>
    <w:p w:rsidR="00916015" w:rsidRPr="002436FD" w:rsidRDefault="00916015" w:rsidP="002436FD">
      <w:pPr>
        <w:pStyle w:val="ActHead8"/>
      </w:pPr>
      <w:bookmarkStart w:id="26" w:name="_Toc5698343"/>
      <w:r w:rsidRPr="002436FD">
        <w:lastRenderedPageBreak/>
        <w:t>Division</w:t>
      </w:r>
      <w:r w:rsidR="002436FD" w:rsidRPr="002436FD">
        <w:t> </w:t>
      </w:r>
      <w:r w:rsidRPr="002436FD">
        <w:t>2—General application of amendments</w:t>
      </w:r>
      <w:bookmarkEnd w:id="26"/>
    </w:p>
    <w:p w:rsidR="00BB6B0D" w:rsidRPr="002436FD" w:rsidRDefault="00EF06A8" w:rsidP="002436FD">
      <w:pPr>
        <w:pStyle w:val="Transitional"/>
      </w:pPr>
      <w:r w:rsidRPr="002436FD">
        <w:t>8</w:t>
      </w:r>
      <w:r w:rsidR="00967565" w:rsidRPr="002436FD">
        <w:t>6</w:t>
      </w:r>
      <w:r w:rsidR="00BB6B0D" w:rsidRPr="002436FD">
        <w:t xml:space="preserve">  Object</w:t>
      </w:r>
    </w:p>
    <w:p w:rsidR="00BB6B0D" w:rsidRPr="002436FD" w:rsidRDefault="00BB6B0D" w:rsidP="002436FD">
      <w:pPr>
        <w:pStyle w:val="Item"/>
      </w:pPr>
      <w:r w:rsidRPr="002436FD">
        <w:t xml:space="preserve">The object of this </w:t>
      </w:r>
      <w:r w:rsidR="006031BA" w:rsidRPr="002436FD">
        <w:t>Division</w:t>
      </w:r>
      <w:r w:rsidRPr="002436FD">
        <w:t xml:space="preserve"> is to ensure that, despite the repeals and amendments made by this Schedule, the full legal and administrative consequences of:</w:t>
      </w:r>
    </w:p>
    <w:p w:rsidR="00BB6B0D" w:rsidRPr="002436FD" w:rsidRDefault="00BB6B0D" w:rsidP="002436FD">
      <w:pPr>
        <w:pStyle w:val="paragraph"/>
      </w:pPr>
      <w:r w:rsidRPr="002436FD">
        <w:tab/>
        <w:t>(a)</w:t>
      </w:r>
      <w:r w:rsidRPr="002436FD">
        <w:tab/>
        <w:t>any act done or omitted to be done; or</w:t>
      </w:r>
    </w:p>
    <w:p w:rsidR="00BB6B0D" w:rsidRPr="002436FD" w:rsidRDefault="00BB6B0D" w:rsidP="002436FD">
      <w:pPr>
        <w:pStyle w:val="paragraph"/>
      </w:pPr>
      <w:r w:rsidRPr="002436FD">
        <w:tab/>
        <w:t>(b)</w:t>
      </w:r>
      <w:r w:rsidRPr="002436FD">
        <w:tab/>
        <w:t>any state of affairs existing; or</w:t>
      </w:r>
    </w:p>
    <w:p w:rsidR="00BB6B0D" w:rsidRPr="002436FD" w:rsidRDefault="00BB6B0D" w:rsidP="002436FD">
      <w:pPr>
        <w:pStyle w:val="paragraph"/>
      </w:pPr>
      <w:r w:rsidRPr="002436FD">
        <w:tab/>
        <w:t>(c)</w:t>
      </w:r>
      <w:r w:rsidRPr="002436FD">
        <w:tab/>
        <w:t>any period ending;</w:t>
      </w:r>
    </w:p>
    <w:p w:rsidR="00BB6B0D" w:rsidRPr="002436FD" w:rsidRDefault="00BB6B0D" w:rsidP="002436FD">
      <w:pPr>
        <w:pStyle w:val="Item"/>
      </w:pPr>
      <w:r w:rsidRPr="002436FD">
        <w:t xml:space="preserve">before </w:t>
      </w:r>
      <w:r w:rsidR="007031E7" w:rsidRPr="002436FD">
        <w:t>1</w:t>
      </w:r>
      <w:r w:rsidR="002436FD" w:rsidRPr="002436FD">
        <w:t> </w:t>
      </w:r>
      <w:r w:rsidR="007031E7" w:rsidRPr="002436FD">
        <w:t>July 2019</w:t>
      </w:r>
      <w:r w:rsidRPr="002436FD">
        <w:t xml:space="preserve"> can continue to arise and be carried out, directly or indirectly through an indefinite number of steps, even if some or all of those steps are taken </w:t>
      </w:r>
      <w:r w:rsidR="007031E7" w:rsidRPr="002436FD">
        <w:t>on or after that day</w:t>
      </w:r>
      <w:r w:rsidRPr="002436FD">
        <w:t>.</w:t>
      </w:r>
    </w:p>
    <w:p w:rsidR="00BB6B0D" w:rsidRPr="002436FD" w:rsidRDefault="00EF06A8" w:rsidP="002436FD">
      <w:pPr>
        <w:pStyle w:val="Transitional"/>
      </w:pPr>
      <w:r w:rsidRPr="002436FD">
        <w:t>8</w:t>
      </w:r>
      <w:r w:rsidR="00967565" w:rsidRPr="002436FD">
        <w:t>7</w:t>
      </w:r>
      <w:r w:rsidR="00BB6B0D" w:rsidRPr="002436FD">
        <w:t xml:space="preserve">  Making and amending assessments, and doing other things, in relation to past matters</w:t>
      </w:r>
    </w:p>
    <w:p w:rsidR="00BB6B0D" w:rsidRPr="002436FD" w:rsidRDefault="00BB6B0D" w:rsidP="002436FD">
      <w:pPr>
        <w:pStyle w:val="Item"/>
      </w:pPr>
      <w:r w:rsidRPr="002436FD">
        <w:t>Even though an Act is amended by this Schedule, the amendment is disregarded for the purpose of doing any of the following under any Act or legislative instrument:</w:t>
      </w:r>
    </w:p>
    <w:p w:rsidR="00BB6B0D" w:rsidRPr="002436FD" w:rsidRDefault="00BB6B0D" w:rsidP="002436FD">
      <w:pPr>
        <w:pStyle w:val="paragraph"/>
      </w:pPr>
      <w:r w:rsidRPr="002436FD">
        <w:tab/>
        <w:t>(a)</w:t>
      </w:r>
      <w:r w:rsidRPr="002436FD">
        <w:tab/>
        <w:t>making or amending an assessment (including under a provision that is itself repealed or amended);</w:t>
      </w:r>
    </w:p>
    <w:p w:rsidR="00BB6B0D" w:rsidRPr="002436FD" w:rsidRDefault="00BB6B0D" w:rsidP="002436FD">
      <w:pPr>
        <w:pStyle w:val="paragraph"/>
      </w:pPr>
      <w:r w:rsidRPr="002436FD">
        <w:tab/>
        <w:t>(b)</w:t>
      </w:r>
      <w:r w:rsidRPr="002436FD">
        <w:tab/>
        <w:t>exercising any right or power, performing any obligation or duty or doing any other thing (including under a provision that is itself repealed or amended);</w:t>
      </w:r>
    </w:p>
    <w:p w:rsidR="00BB6B0D" w:rsidRPr="002436FD" w:rsidRDefault="00BB6B0D" w:rsidP="002436FD">
      <w:pPr>
        <w:pStyle w:val="Item"/>
      </w:pPr>
      <w:r w:rsidRPr="002436FD">
        <w:t xml:space="preserve">in relation to any act done or omitted to be done, any state of affairs existing, or any period ending, before </w:t>
      </w:r>
      <w:r w:rsidR="007031E7" w:rsidRPr="002436FD">
        <w:t>1</w:t>
      </w:r>
      <w:r w:rsidR="002436FD" w:rsidRPr="002436FD">
        <w:t> </w:t>
      </w:r>
      <w:r w:rsidR="007031E7" w:rsidRPr="002436FD">
        <w:t>July 2019</w:t>
      </w:r>
      <w:r w:rsidRPr="002436FD">
        <w:t>.</w:t>
      </w:r>
    </w:p>
    <w:p w:rsidR="00BB6B0D" w:rsidRPr="002436FD" w:rsidRDefault="00EF06A8" w:rsidP="002436FD">
      <w:pPr>
        <w:pStyle w:val="Transitional"/>
      </w:pPr>
      <w:r w:rsidRPr="002436FD">
        <w:t>8</w:t>
      </w:r>
      <w:r w:rsidR="00967565" w:rsidRPr="002436FD">
        <w:t>8</w:t>
      </w:r>
      <w:r w:rsidR="00BB6B0D" w:rsidRPr="002436FD">
        <w:t xml:space="preserve">  Saving of provisions about effect of assessments</w:t>
      </w:r>
    </w:p>
    <w:p w:rsidR="00BB6B0D" w:rsidRPr="002436FD" w:rsidRDefault="00BB6B0D" w:rsidP="002436FD">
      <w:pPr>
        <w:pStyle w:val="Item"/>
      </w:pPr>
      <w:r w:rsidRPr="002436FD">
        <w:t xml:space="preserve">If a provision or part of a provision that is repealed or amended by this Schedule deals with the effect of an assessment, the repeal or amendment is disregarded in relation to assessments made </w:t>
      </w:r>
      <w:r w:rsidR="007031E7" w:rsidRPr="002436FD">
        <w:t xml:space="preserve">on, </w:t>
      </w:r>
      <w:r w:rsidRPr="002436FD">
        <w:t>before or after</w:t>
      </w:r>
      <w:r w:rsidR="007031E7" w:rsidRPr="002436FD">
        <w:t xml:space="preserve"> 1</w:t>
      </w:r>
      <w:r w:rsidR="002436FD" w:rsidRPr="002436FD">
        <w:t> </w:t>
      </w:r>
      <w:r w:rsidR="007031E7" w:rsidRPr="002436FD">
        <w:t>July 2019</w:t>
      </w:r>
      <w:r w:rsidRPr="002436FD">
        <w:t xml:space="preserve"> in relation to any act done or omitted to be done, any state of affairs existing, or any period ending, before </w:t>
      </w:r>
      <w:r w:rsidR="007031E7" w:rsidRPr="002436FD">
        <w:t>1</w:t>
      </w:r>
      <w:r w:rsidR="002436FD" w:rsidRPr="002436FD">
        <w:t> </w:t>
      </w:r>
      <w:r w:rsidR="007031E7" w:rsidRPr="002436FD">
        <w:t>July 2019</w:t>
      </w:r>
      <w:r w:rsidRPr="002436FD">
        <w:t>.</w:t>
      </w:r>
    </w:p>
    <w:p w:rsidR="00BB6B0D" w:rsidRPr="002436FD" w:rsidRDefault="00EF06A8" w:rsidP="002436FD">
      <w:pPr>
        <w:pStyle w:val="Transitional"/>
      </w:pPr>
      <w:r w:rsidRPr="002436FD">
        <w:lastRenderedPageBreak/>
        <w:t>8</w:t>
      </w:r>
      <w:r w:rsidR="00967565" w:rsidRPr="002436FD">
        <w:t>9</w:t>
      </w:r>
      <w:r w:rsidR="00BB6B0D" w:rsidRPr="002436FD">
        <w:t xml:space="preserve">  Repeals disregarded for the purposes of dependent provisions</w:t>
      </w:r>
    </w:p>
    <w:p w:rsidR="00BB6B0D" w:rsidRPr="002436FD" w:rsidRDefault="00BB6B0D" w:rsidP="002436FD">
      <w:pPr>
        <w:pStyle w:val="Item"/>
      </w:pPr>
      <w:r w:rsidRPr="002436FD">
        <w:t xml:space="preserve">If the operation of a provision (the </w:t>
      </w:r>
      <w:r w:rsidRPr="002436FD">
        <w:rPr>
          <w:b/>
          <w:i/>
        </w:rPr>
        <w:t>subject provision</w:t>
      </w:r>
      <w:r w:rsidRPr="002436FD">
        <w:t>) of any Act or legislative instrument depends to any extent on a provision of an Act that is repealed by this Schedule, the repeal is disregarded so far as it affects the operation of the subject provision.</w:t>
      </w:r>
    </w:p>
    <w:p w:rsidR="00BB6B0D" w:rsidRPr="002436FD" w:rsidRDefault="00967565" w:rsidP="002436FD">
      <w:pPr>
        <w:pStyle w:val="Transitional"/>
      </w:pPr>
      <w:r w:rsidRPr="002436FD">
        <w:t>90</w:t>
      </w:r>
      <w:r w:rsidR="00BB6B0D" w:rsidRPr="002436FD">
        <w:t xml:space="preserve">  </w:t>
      </w:r>
      <w:r w:rsidR="006031BA" w:rsidRPr="002436FD">
        <w:t>Division</w:t>
      </w:r>
      <w:r w:rsidR="00BB6B0D" w:rsidRPr="002436FD">
        <w:t xml:space="preserve"> does not limit operation of section</w:t>
      </w:r>
      <w:r w:rsidR="002436FD" w:rsidRPr="002436FD">
        <w:t> </w:t>
      </w:r>
      <w:r w:rsidR="00BB6B0D" w:rsidRPr="002436FD">
        <w:t xml:space="preserve">7 of the </w:t>
      </w:r>
      <w:r w:rsidR="00BB6B0D" w:rsidRPr="002436FD">
        <w:rPr>
          <w:i/>
        </w:rPr>
        <w:t>Acts Interpretation Act 1901</w:t>
      </w:r>
    </w:p>
    <w:p w:rsidR="00BB6B0D" w:rsidRPr="002436FD" w:rsidRDefault="00BB6B0D" w:rsidP="002436FD">
      <w:pPr>
        <w:pStyle w:val="Item"/>
      </w:pPr>
      <w:r w:rsidRPr="002436FD">
        <w:t xml:space="preserve">This </w:t>
      </w:r>
      <w:r w:rsidR="006031BA" w:rsidRPr="002436FD">
        <w:t>Division</w:t>
      </w:r>
      <w:r w:rsidRPr="002436FD">
        <w:t xml:space="preserve"> does not limit the operation of section</w:t>
      </w:r>
      <w:r w:rsidR="002436FD" w:rsidRPr="002436FD">
        <w:t> </w:t>
      </w:r>
      <w:r w:rsidRPr="002436FD">
        <w:t xml:space="preserve">7 of the </w:t>
      </w:r>
      <w:r w:rsidRPr="002436FD">
        <w:rPr>
          <w:i/>
        </w:rPr>
        <w:t>Acts Interpretation Act 1901</w:t>
      </w:r>
      <w:r w:rsidRPr="002436FD">
        <w:t>.</w:t>
      </w:r>
    </w:p>
    <w:p w:rsidR="00202D91" w:rsidRPr="002436FD" w:rsidRDefault="00EF06A8" w:rsidP="002436FD">
      <w:pPr>
        <w:pStyle w:val="Transitional"/>
      </w:pPr>
      <w:r w:rsidRPr="002436FD">
        <w:t>91</w:t>
      </w:r>
      <w:r w:rsidR="00202D91" w:rsidRPr="002436FD">
        <w:t xml:space="preserve">  Annual returns for the financial year starting 1</w:t>
      </w:r>
      <w:r w:rsidR="002436FD" w:rsidRPr="002436FD">
        <w:t> </w:t>
      </w:r>
      <w:r w:rsidR="00202D91" w:rsidRPr="002436FD">
        <w:t>July 2018</w:t>
      </w:r>
    </w:p>
    <w:p w:rsidR="00202D91" w:rsidRPr="002436FD" w:rsidRDefault="00202D91" w:rsidP="002436FD">
      <w:pPr>
        <w:pStyle w:val="Item"/>
      </w:pPr>
      <w:r w:rsidRPr="002436FD">
        <w:t>A person is not required to furnish to the Commissioner a return, under section</w:t>
      </w:r>
      <w:r w:rsidR="002436FD" w:rsidRPr="002436FD">
        <w:t> </w:t>
      </w:r>
      <w:r w:rsidRPr="002436FD">
        <w:t xml:space="preserve">59 of the </w:t>
      </w:r>
      <w:r w:rsidRPr="002436FD">
        <w:rPr>
          <w:i/>
        </w:rPr>
        <w:t>Petroleum Resource Rent Tax Assessment Act 1987</w:t>
      </w:r>
      <w:r w:rsidRPr="002436FD">
        <w:t>, in relation to an onshore petroleum project in relation to the year of tax that starts on 1</w:t>
      </w:r>
      <w:r w:rsidR="002436FD" w:rsidRPr="002436FD">
        <w:t> </w:t>
      </w:r>
      <w:r w:rsidRPr="002436FD">
        <w:t>July 2018 if both of the following apply:</w:t>
      </w:r>
    </w:p>
    <w:p w:rsidR="00202D91" w:rsidRPr="002436FD" w:rsidRDefault="00202D91" w:rsidP="002436FD">
      <w:pPr>
        <w:pStyle w:val="paragraph"/>
      </w:pPr>
      <w:r w:rsidRPr="002436FD">
        <w:tab/>
        <w:t>(a)</w:t>
      </w:r>
      <w:r w:rsidRPr="002436FD">
        <w:tab/>
        <w:t>the person does not have a taxable profit in relation to the project in relation to that year of tax;</w:t>
      </w:r>
    </w:p>
    <w:p w:rsidR="003927AF" w:rsidRPr="002436FD" w:rsidRDefault="003927AF" w:rsidP="002436FD">
      <w:pPr>
        <w:pStyle w:val="paragraph"/>
      </w:pPr>
      <w:r w:rsidRPr="002436FD">
        <w:tab/>
        <w:t>(b)</w:t>
      </w:r>
      <w:r w:rsidRPr="002436FD">
        <w:tab/>
        <w:t>sections</w:t>
      </w:r>
      <w:r w:rsidR="002436FD" w:rsidRPr="002436FD">
        <w:t> </w:t>
      </w:r>
      <w:r w:rsidRPr="002436FD">
        <w:t>45A and 45B of that Act do not require the person to transfer any transferable exploration expenditure in relation to that year of tax</w:t>
      </w:r>
      <w:r w:rsidR="00BD704D" w:rsidRPr="002436FD">
        <w:t xml:space="preserve"> (whether or not the expenditure was incurred in relation to, or is required to be transferred to, an onshore petroleum project)</w:t>
      </w:r>
      <w:r w:rsidRPr="002436FD">
        <w:t>.</w:t>
      </w:r>
    </w:p>
    <w:p w:rsidR="00202D91" w:rsidRPr="002436FD" w:rsidRDefault="00202D91" w:rsidP="002436FD">
      <w:pPr>
        <w:pStyle w:val="notemargin"/>
      </w:pPr>
      <w:r w:rsidRPr="002436FD">
        <w:t>Note:</w:t>
      </w:r>
      <w:r w:rsidRPr="002436FD">
        <w:tab/>
        <w:t>However, the Commissioner may require the person to furnish a return under section</w:t>
      </w:r>
      <w:r w:rsidR="002436FD" w:rsidRPr="002436FD">
        <w:t> </w:t>
      </w:r>
      <w:r w:rsidRPr="002436FD">
        <w:t xml:space="preserve">60 of </w:t>
      </w:r>
      <w:r w:rsidR="00237652" w:rsidRPr="002436FD">
        <w:t xml:space="preserve">the </w:t>
      </w:r>
      <w:r w:rsidR="00237652" w:rsidRPr="002436FD">
        <w:rPr>
          <w:i/>
        </w:rPr>
        <w:t>Petroleum Resource Rent Tax Assessment Act 1987</w:t>
      </w:r>
      <w:r w:rsidRPr="002436FD">
        <w:t xml:space="preserve"> in relation to the project in relation to the year of tax</w:t>
      </w:r>
      <w:r w:rsidR="001904E5" w:rsidRPr="002436FD">
        <w:t xml:space="preserve">, or </w:t>
      </w:r>
      <w:r w:rsidRPr="002436FD">
        <w:t>mak</w:t>
      </w:r>
      <w:r w:rsidR="004002F2" w:rsidRPr="002436FD">
        <w:t xml:space="preserve">e an assessment of the person’s taxable profit </w:t>
      </w:r>
      <w:r w:rsidR="001904E5" w:rsidRPr="002436FD">
        <w:t xml:space="preserve">in relation to the year of tax </w:t>
      </w:r>
      <w:r w:rsidR="004002F2" w:rsidRPr="002436FD">
        <w:t>under subsection</w:t>
      </w:r>
      <w:r w:rsidR="002436FD" w:rsidRPr="002436FD">
        <w:t> </w:t>
      </w:r>
      <w:r w:rsidR="004002F2" w:rsidRPr="002436FD">
        <w:t>63(1) of that Act.</w:t>
      </w:r>
    </w:p>
    <w:p w:rsidR="002E0CD9" w:rsidRPr="002436FD" w:rsidRDefault="00EF06A8" w:rsidP="002436FD">
      <w:pPr>
        <w:pStyle w:val="Transitional"/>
      </w:pPr>
      <w:r w:rsidRPr="002436FD">
        <w:t>92</w:t>
      </w:r>
      <w:r w:rsidR="002E0CD9" w:rsidRPr="002436FD">
        <w:t xml:space="preserve">  </w:t>
      </w:r>
      <w:r w:rsidR="007C7E71" w:rsidRPr="002436FD">
        <w:t>Tax</w:t>
      </w:r>
      <w:r w:rsidR="004802C7">
        <w:noBreakHyphen/>
      </w:r>
      <w:r w:rsidR="007C7E71" w:rsidRPr="002436FD">
        <w:t>related liabilities incurred in relation to periods ending before 1</w:t>
      </w:r>
      <w:r w:rsidR="002436FD" w:rsidRPr="002436FD">
        <w:t> </w:t>
      </w:r>
      <w:r w:rsidR="007C7E71" w:rsidRPr="002436FD">
        <w:t>July 2019</w:t>
      </w:r>
    </w:p>
    <w:p w:rsidR="00AB3BDD" w:rsidRPr="002436FD" w:rsidRDefault="00AB3BDD" w:rsidP="002436FD">
      <w:pPr>
        <w:pStyle w:val="Item"/>
      </w:pPr>
      <w:r w:rsidRPr="002436FD">
        <w:t>The repeal of Division</w:t>
      </w:r>
      <w:r w:rsidR="002436FD" w:rsidRPr="002436FD">
        <w:t> </w:t>
      </w:r>
      <w:r w:rsidRPr="002436FD">
        <w:t>8 of Part</w:t>
      </w:r>
      <w:r w:rsidR="002436FD" w:rsidRPr="002436FD">
        <w:t> </w:t>
      </w:r>
      <w:r w:rsidRPr="002436FD">
        <w:t xml:space="preserve">V of the </w:t>
      </w:r>
      <w:r w:rsidRPr="002436FD">
        <w:rPr>
          <w:i/>
        </w:rPr>
        <w:t>Petroleum Resource Rent Tax Assessment Act 1987</w:t>
      </w:r>
      <w:r w:rsidRPr="002436FD">
        <w:t xml:space="preserve"> and the amendments of Division</w:t>
      </w:r>
      <w:r w:rsidR="002436FD" w:rsidRPr="002436FD">
        <w:t> </w:t>
      </w:r>
      <w:r w:rsidRPr="002436FD">
        <w:t xml:space="preserve">721 of the </w:t>
      </w:r>
      <w:r w:rsidRPr="002436FD">
        <w:rPr>
          <w:i/>
        </w:rPr>
        <w:t>Income Tax Assessment Act 1997</w:t>
      </w:r>
      <w:r w:rsidRPr="002436FD">
        <w:t xml:space="preserve"> made by this Schedule do not apply in relation to the following liabilities that become due and payable on or after 1</w:t>
      </w:r>
      <w:r w:rsidR="002436FD" w:rsidRPr="002436FD">
        <w:t> </w:t>
      </w:r>
      <w:r w:rsidRPr="002436FD">
        <w:t>July 2019:</w:t>
      </w:r>
    </w:p>
    <w:p w:rsidR="00AB3BDD" w:rsidRPr="002436FD" w:rsidRDefault="00AB3BDD" w:rsidP="002436FD">
      <w:pPr>
        <w:pStyle w:val="paragraph"/>
      </w:pPr>
      <w:r w:rsidRPr="002436FD">
        <w:tab/>
        <w:t>(a)</w:t>
      </w:r>
      <w:r w:rsidRPr="002436FD">
        <w:tab/>
        <w:t>general interest charge mentioned in item</w:t>
      </w:r>
      <w:r w:rsidR="002436FD" w:rsidRPr="002436FD">
        <w:t> </w:t>
      </w:r>
      <w:r w:rsidRPr="002436FD">
        <w:t>40 of the table in subsection</w:t>
      </w:r>
      <w:r w:rsidR="002436FD" w:rsidRPr="002436FD">
        <w:t> </w:t>
      </w:r>
      <w:r w:rsidRPr="002436FD">
        <w:t>721</w:t>
      </w:r>
      <w:r w:rsidR="004802C7">
        <w:noBreakHyphen/>
      </w:r>
      <w:r w:rsidRPr="002436FD">
        <w:t xml:space="preserve">10(2) of </w:t>
      </w:r>
      <w:r w:rsidR="00994222" w:rsidRPr="002436FD">
        <w:t xml:space="preserve">the </w:t>
      </w:r>
      <w:r w:rsidR="00994222" w:rsidRPr="002436FD">
        <w:rPr>
          <w:i/>
        </w:rPr>
        <w:t>Income Tax Assessment Act 1997</w:t>
      </w:r>
      <w:r w:rsidRPr="002436FD">
        <w:t>;</w:t>
      </w:r>
    </w:p>
    <w:p w:rsidR="00AB3BDD" w:rsidRPr="002436FD" w:rsidRDefault="00AB3BDD" w:rsidP="002436FD">
      <w:pPr>
        <w:pStyle w:val="paragraph"/>
      </w:pPr>
      <w:r w:rsidRPr="002436FD">
        <w:lastRenderedPageBreak/>
        <w:tab/>
        <w:t>(b)</w:t>
      </w:r>
      <w:r w:rsidRPr="002436FD">
        <w:tab/>
        <w:t>an administrative penalty mentioned in item</w:t>
      </w:r>
      <w:r w:rsidR="002436FD" w:rsidRPr="002436FD">
        <w:t> </w:t>
      </w:r>
      <w:r w:rsidRPr="002436FD">
        <w:t>65 of that table;</w:t>
      </w:r>
    </w:p>
    <w:p w:rsidR="00AB3BDD" w:rsidRPr="002436FD" w:rsidRDefault="00AB3BDD" w:rsidP="002436FD">
      <w:pPr>
        <w:pStyle w:val="paragraph"/>
      </w:pPr>
      <w:r w:rsidRPr="002436FD">
        <w:tab/>
        <w:t>(c)</w:t>
      </w:r>
      <w:r w:rsidRPr="002436FD">
        <w:tab/>
        <w:t>shortfall interest charge mentioned in item</w:t>
      </w:r>
      <w:r w:rsidR="002436FD" w:rsidRPr="002436FD">
        <w:t> </w:t>
      </w:r>
      <w:r w:rsidRPr="002436FD">
        <w:t>100 of that table;</w:t>
      </w:r>
    </w:p>
    <w:p w:rsidR="004802C7" w:rsidRDefault="00AB3BDD" w:rsidP="002436FD">
      <w:pPr>
        <w:pStyle w:val="Item"/>
      </w:pPr>
      <w:r w:rsidRPr="002436FD">
        <w:t>to the extent that the period to which the liability relates, as mentioned in the table, ends before 1</w:t>
      </w:r>
      <w:r w:rsidR="002436FD" w:rsidRPr="002436FD">
        <w:t> </w:t>
      </w:r>
      <w:r w:rsidRPr="002436FD">
        <w:t>July 2019.</w:t>
      </w:r>
    </w:p>
    <w:p w:rsidR="00DA0C60" w:rsidRDefault="00DA0C60" w:rsidP="00300329"/>
    <w:p w:rsidR="003E3827" w:rsidRDefault="003E3827" w:rsidP="00027C40">
      <w:pPr>
        <w:pStyle w:val="AssentBk"/>
        <w:keepNext/>
        <w:rPr>
          <w:sz w:val="22"/>
        </w:rPr>
      </w:pPr>
    </w:p>
    <w:p w:rsidR="00300329" w:rsidRDefault="00300329" w:rsidP="000C5962"/>
    <w:p w:rsidR="00300329" w:rsidRDefault="00300329" w:rsidP="000C5962">
      <w:pPr>
        <w:pStyle w:val="2ndRd"/>
        <w:keepNext/>
        <w:pBdr>
          <w:top w:val="single" w:sz="2" w:space="1" w:color="auto"/>
        </w:pBdr>
      </w:pPr>
    </w:p>
    <w:p w:rsidR="00300329" w:rsidRDefault="00300329" w:rsidP="000C5962">
      <w:pPr>
        <w:pStyle w:val="2ndRd"/>
        <w:keepNext/>
        <w:spacing w:line="260" w:lineRule="atLeast"/>
        <w:rPr>
          <w:i/>
        </w:rPr>
      </w:pPr>
      <w:r>
        <w:t>[</w:t>
      </w:r>
      <w:r>
        <w:rPr>
          <w:i/>
        </w:rPr>
        <w:t>Minister’s second reading speech made in—</w:t>
      </w:r>
    </w:p>
    <w:p w:rsidR="00300329" w:rsidRDefault="00300329" w:rsidP="000C5962">
      <w:pPr>
        <w:pStyle w:val="2ndRd"/>
        <w:keepNext/>
        <w:spacing w:line="260" w:lineRule="atLeast"/>
        <w:rPr>
          <w:i/>
        </w:rPr>
      </w:pPr>
      <w:r>
        <w:rPr>
          <w:i/>
        </w:rPr>
        <w:t>House of Representatives on 13 February 2019</w:t>
      </w:r>
    </w:p>
    <w:p w:rsidR="00300329" w:rsidRDefault="00300329" w:rsidP="000C5962">
      <w:pPr>
        <w:pStyle w:val="2ndRd"/>
        <w:keepNext/>
        <w:spacing w:line="260" w:lineRule="atLeast"/>
        <w:rPr>
          <w:i/>
        </w:rPr>
      </w:pPr>
      <w:r>
        <w:rPr>
          <w:i/>
        </w:rPr>
        <w:t>Senate on 3 April 2019</w:t>
      </w:r>
      <w:r>
        <w:t>]</w:t>
      </w:r>
    </w:p>
    <w:p w:rsidR="00300329" w:rsidRDefault="00300329" w:rsidP="000C5962"/>
    <w:p w:rsidR="00DA0C60" w:rsidRPr="00300329" w:rsidRDefault="00300329" w:rsidP="00300329">
      <w:pPr>
        <w:framePr w:hSpace="180" w:wrap="around" w:vAnchor="text" w:hAnchor="page" w:x="2386" w:y="6975"/>
      </w:pPr>
      <w:r>
        <w:t>(18/19)</w:t>
      </w:r>
    </w:p>
    <w:p w:rsidR="00300329" w:rsidRDefault="00300329"/>
    <w:sectPr w:rsidR="00300329" w:rsidSect="00DA0C60">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65" w:rsidRDefault="00C14565" w:rsidP="0048364F">
      <w:pPr>
        <w:spacing w:line="240" w:lineRule="auto"/>
      </w:pPr>
      <w:r>
        <w:separator/>
      </w:r>
    </w:p>
  </w:endnote>
  <w:endnote w:type="continuationSeparator" w:id="0">
    <w:p w:rsidR="00C14565" w:rsidRDefault="00C145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5F1388" w:rsidRDefault="00C14565" w:rsidP="002436F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29" w:rsidRDefault="00300329" w:rsidP="00CD12A5">
    <w:pPr>
      <w:pStyle w:val="ScalePlusRef"/>
    </w:pPr>
    <w:r>
      <w:t>Note: An electronic version of this Act is available on the Federal Register of Legislation (</w:t>
    </w:r>
    <w:hyperlink r:id="rId1" w:history="1">
      <w:r>
        <w:t>https://www.legislation.gov.au/</w:t>
      </w:r>
    </w:hyperlink>
    <w:r>
      <w:t>)</w:t>
    </w:r>
  </w:p>
  <w:p w:rsidR="00300329" w:rsidRDefault="00300329" w:rsidP="00CD12A5"/>
  <w:p w:rsidR="00C14565" w:rsidRDefault="00C14565" w:rsidP="002436FD">
    <w:pPr>
      <w:pStyle w:val="Footer"/>
      <w:spacing w:before="120"/>
    </w:pPr>
  </w:p>
  <w:p w:rsidR="00C14565" w:rsidRPr="005F1388" w:rsidRDefault="00C1456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ED79B6" w:rsidRDefault="00C14565" w:rsidP="002436F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Default="00C14565" w:rsidP="00243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4565" w:rsidTr="00F5020D">
      <w:tc>
        <w:tcPr>
          <w:tcW w:w="646" w:type="dxa"/>
        </w:tcPr>
        <w:p w:rsidR="00C14565" w:rsidRDefault="00C14565" w:rsidP="00F5020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430B">
            <w:rPr>
              <w:i/>
              <w:noProof/>
              <w:sz w:val="18"/>
            </w:rPr>
            <w:t>xxx</w:t>
          </w:r>
          <w:r w:rsidRPr="00ED79B6">
            <w:rPr>
              <w:i/>
              <w:sz w:val="18"/>
            </w:rPr>
            <w:fldChar w:fldCharType="end"/>
          </w:r>
        </w:p>
      </w:tc>
      <w:tc>
        <w:tcPr>
          <w:tcW w:w="5387" w:type="dxa"/>
        </w:tcPr>
        <w:p w:rsidR="00C14565" w:rsidRDefault="00C14565" w:rsidP="00F5020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430B">
            <w:rPr>
              <w:i/>
              <w:sz w:val="18"/>
            </w:rPr>
            <w:t>Treasury Laws Amendment (2019 Petroleum Resource Rent Tax Reforms No. 1) Act 2019</w:t>
          </w:r>
          <w:r w:rsidRPr="00ED79B6">
            <w:rPr>
              <w:i/>
              <w:sz w:val="18"/>
            </w:rPr>
            <w:fldChar w:fldCharType="end"/>
          </w:r>
        </w:p>
      </w:tc>
      <w:tc>
        <w:tcPr>
          <w:tcW w:w="1270" w:type="dxa"/>
        </w:tcPr>
        <w:p w:rsidR="00C14565" w:rsidRDefault="00C14565" w:rsidP="00F5020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430B">
            <w:rPr>
              <w:i/>
              <w:sz w:val="18"/>
            </w:rPr>
            <w:t>No. 43, 2019</w:t>
          </w:r>
          <w:r w:rsidRPr="00ED79B6">
            <w:rPr>
              <w:i/>
              <w:sz w:val="18"/>
            </w:rPr>
            <w:fldChar w:fldCharType="end"/>
          </w:r>
        </w:p>
      </w:tc>
    </w:tr>
  </w:tbl>
  <w:p w:rsidR="00C14565" w:rsidRDefault="00C1456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Default="00C14565" w:rsidP="00243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4565" w:rsidTr="00F5020D">
      <w:tc>
        <w:tcPr>
          <w:tcW w:w="1247" w:type="dxa"/>
        </w:tcPr>
        <w:p w:rsidR="00C14565" w:rsidRDefault="00C14565" w:rsidP="00F5020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430B">
            <w:rPr>
              <w:i/>
              <w:sz w:val="18"/>
            </w:rPr>
            <w:t>No. 43, 2019</w:t>
          </w:r>
          <w:r w:rsidRPr="00ED79B6">
            <w:rPr>
              <w:i/>
              <w:sz w:val="18"/>
            </w:rPr>
            <w:fldChar w:fldCharType="end"/>
          </w:r>
        </w:p>
      </w:tc>
      <w:tc>
        <w:tcPr>
          <w:tcW w:w="5387" w:type="dxa"/>
        </w:tcPr>
        <w:p w:rsidR="00C14565" w:rsidRDefault="00C14565" w:rsidP="00F5020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430B">
            <w:rPr>
              <w:i/>
              <w:sz w:val="18"/>
            </w:rPr>
            <w:t>Treasury Laws Amendment (2019 Petroleum Resource Rent Tax Reforms No. 1) Act 2019</w:t>
          </w:r>
          <w:r w:rsidRPr="00ED79B6">
            <w:rPr>
              <w:i/>
              <w:sz w:val="18"/>
            </w:rPr>
            <w:fldChar w:fldCharType="end"/>
          </w:r>
        </w:p>
      </w:tc>
      <w:tc>
        <w:tcPr>
          <w:tcW w:w="669" w:type="dxa"/>
        </w:tcPr>
        <w:p w:rsidR="00C14565" w:rsidRDefault="00C14565" w:rsidP="00F5020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430B">
            <w:rPr>
              <w:i/>
              <w:noProof/>
              <w:sz w:val="18"/>
            </w:rPr>
            <w:t>i</w:t>
          </w:r>
          <w:r w:rsidRPr="00ED79B6">
            <w:rPr>
              <w:i/>
              <w:sz w:val="18"/>
            </w:rPr>
            <w:fldChar w:fldCharType="end"/>
          </w:r>
        </w:p>
      </w:tc>
    </w:tr>
  </w:tbl>
  <w:p w:rsidR="00C14565" w:rsidRPr="00ED79B6" w:rsidRDefault="00C1456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A961C4" w:rsidRDefault="00C14565" w:rsidP="002436F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4565" w:rsidTr="002436FD">
      <w:tc>
        <w:tcPr>
          <w:tcW w:w="646" w:type="dxa"/>
        </w:tcPr>
        <w:p w:rsidR="00C14565" w:rsidRDefault="00C14565" w:rsidP="00F5020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30B">
            <w:rPr>
              <w:i/>
              <w:noProof/>
              <w:sz w:val="18"/>
            </w:rPr>
            <w:t>32</w:t>
          </w:r>
          <w:r w:rsidRPr="007A1328">
            <w:rPr>
              <w:i/>
              <w:sz w:val="18"/>
            </w:rPr>
            <w:fldChar w:fldCharType="end"/>
          </w:r>
        </w:p>
      </w:tc>
      <w:tc>
        <w:tcPr>
          <w:tcW w:w="5387" w:type="dxa"/>
        </w:tcPr>
        <w:p w:rsidR="00C14565" w:rsidRDefault="00C14565" w:rsidP="00F502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30B">
            <w:rPr>
              <w:i/>
              <w:sz w:val="18"/>
            </w:rPr>
            <w:t>Treasury Laws Amendment (2019 Petroleum Resource Rent Tax Reforms No. 1) Act 2019</w:t>
          </w:r>
          <w:r w:rsidRPr="007A1328">
            <w:rPr>
              <w:i/>
              <w:sz w:val="18"/>
            </w:rPr>
            <w:fldChar w:fldCharType="end"/>
          </w:r>
        </w:p>
      </w:tc>
      <w:tc>
        <w:tcPr>
          <w:tcW w:w="1270" w:type="dxa"/>
        </w:tcPr>
        <w:p w:rsidR="00C14565" w:rsidRDefault="00C14565" w:rsidP="00F5020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30B">
            <w:rPr>
              <w:i/>
              <w:sz w:val="18"/>
            </w:rPr>
            <w:t>No. 43, 2019</w:t>
          </w:r>
          <w:r w:rsidRPr="007A1328">
            <w:rPr>
              <w:i/>
              <w:sz w:val="18"/>
            </w:rPr>
            <w:fldChar w:fldCharType="end"/>
          </w:r>
        </w:p>
      </w:tc>
    </w:tr>
  </w:tbl>
  <w:p w:rsidR="00C14565" w:rsidRPr="00A961C4" w:rsidRDefault="00C1456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A961C4" w:rsidRDefault="00C14565" w:rsidP="00243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4565" w:rsidTr="002436FD">
      <w:tc>
        <w:tcPr>
          <w:tcW w:w="1247" w:type="dxa"/>
        </w:tcPr>
        <w:p w:rsidR="00C14565" w:rsidRDefault="00C14565" w:rsidP="00F502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30B">
            <w:rPr>
              <w:i/>
              <w:sz w:val="18"/>
            </w:rPr>
            <w:t>No. 43, 2019</w:t>
          </w:r>
          <w:r w:rsidRPr="007A1328">
            <w:rPr>
              <w:i/>
              <w:sz w:val="18"/>
            </w:rPr>
            <w:fldChar w:fldCharType="end"/>
          </w:r>
        </w:p>
      </w:tc>
      <w:tc>
        <w:tcPr>
          <w:tcW w:w="5387" w:type="dxa"/>
        </w:tcPr>
        <w:p w:rsidR="00C14565" w:rsidRDefault="00C14565" w:rsidP="00F502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30B">
            <w:rPr>
              <w:i/>
              <w:sz w:val="18"/>
            </w:rPr>
            <w:t>Treasury Laws Amendment (2019 Petroleum Resource Rent Tax Reforms No. 1) Act 2019</w:t>
          </w:r>
          <w:r w:rsidRPr="007A1328">
            <w:rPr>
              <w:i/>
              <w:sz w:val="18"/>
            </w:rPr>
            <w:fldChar w:fldCharType="end"/>
          </w:r>
        </w:p>
      </w:tc>
      <w:tc>
        <w:tcPr>
          <w:tcW w:w="669" w:type="dxa"/>
        </w:tcPr>
        <w:p w:rsidR="00C14565" w:rsidRDefault="00C14565" w:rsidP="00F502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30B">
            <w:rPr>
              <w:i/>
              <w:noProof/>
              <w:sz w:val="18"/>
            </w:rPr>
            <w:t>31</w:t>
          </w:r>
          <w:r w:rsidRPr="007A1328">
            <w:rPr>
              <w:i/>
              <w:sz w:val="18"/>
            </w:rPr>
            <w:fldChar w:fldCharType="end"/>
          </w:r>
        </w:p>
      </w:tc>
    </w:tr>
  </w:tbl>
  <w:p w:rsidR="00C14565" w:rsidRPr="00055B5C" w:rsidRDefault="00C1456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A961C4" w:rsidRDefault="00C14565" w:rsidP="00243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14565" w:rsidTr="002436FD">
      <w:tc>
        <w:tcPr>
          <w:tcW w:w="1247" w:type="dxa"/>
        </w:tcPr>
        <w:p w:rsidR="00C14565" w:rsidRDefault="00C14565" w:rsidP="00F502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30B">
            <w:rPr>
              <w:i/>
              <w:sz w:val="18"/>
            </w:rPr>
            <w:t>No. 43, 2019</w:t>
          </w:r>
          <w:r w:rsidRPr="007A1328">
            <w:rPr>
              <w:i/>
              <w:sz w:val="18"/>
            </w:rPr>
            <w:fldChar w:fldCharType="end"/>
          </w:r>
        </w:p>
      </w:tc>
      <w:tc>
        <w:tcPr>
          <w:tcW w:w="5387" w:type="dxa"/>
        </w:tcPr>
        <w:p w:rsidR="00C14565" w:rsidRDefault="00C14565" w:rsidP="00F502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30B">
            <w:rPr>
              <w:i/>
              <w:sz w:val="18"/>
            </w:rPr>
            <w:t>Treasury Laws Amendment (2019 Petroleum Resource Rent Tax Reforms No. 1) Act 2019</w:t>
          </w:r>
          <w:r w:rsidRPr="007A1328">
            <w:rPr>
              <w:i/>
              <w:sz w:val="18"/>
            </w:rPr>
            <w:fldChar w:fldCharType="end"/>
          </w:r>
        </w:p>
      </w:tc>
      <w:tc>
        <w:tcPr>
          <w:tcW w:w="669" w:type="dxa"/>
        </w:tcPr>
        <w:p w:rsidR="00C14565" w:rsidRDefault="00C14565" w:rsidP="00F502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30B">
            <w:rPr>
              <w:i/>
              <w:noProof/>
              <w:sz w:val="18"/>
            </w:rPr>
            <w:t>1</w:t>
          </w:r>
          <w:r w:rsidRPr="007A1328">
            <w:rPr>
              <w:i/>
              <w:sz w:val="18"/>
            </w:rPr>
            <w:fldChar w:fldCharType="end"/>
          </w:r>
        </w:p>
      </w:tc>
    </w:tr>
  </w:tbl>
  <w:p w:rsidR="00C14565" w:rsidRPr="00A961C4" w:rsidRDefault="00C1456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65" w:rsidRDefault="00C14565" w:rsidP="0048364F">
      <w:pPr>
        <w:spacing w:line="240" w:lineRule="auto"/>
      </w:pPr>
      <w:r>
        <w:separator/>
      </w:r>
    </w:p>
  </w:footnote>
  <w:footnote w:type="continuationSeparator" w:id="0">
    <w:p w:rsidR="00C14565" w:rsidRDefault="00C1456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5F1388" w:rsidRDefault="00C1456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5F1388" w:rsidRDefault="00C1456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5F1388" w:rsidRDefault="00C1456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ED79B6" w:rsidRDefault="00C1456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ED79B6" w:rsidRDefault="00C1456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ED79B6" w:rsidRDefault="00C1456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A961C4" w:rsidRDefault="00C14565" w:rsidP="0048364F">
    <w:pPr>
      <w:rPr>
        <w:b/>
        <w:sz w:val="20"/>
      </w:rPr>
    </w:pPr>
    <w:r>
      <w:rPr>
        <w:b/>
        <w:sz w:val="20"/>
      </w:rPr>
      <w:fldChar w:fldCharType="begin"/>
    </w:r>
    <w:r>
      <w:rPr>
        <w:b/>
        <w:sz w:val="20"/>
      </w:rPr>
      <w:instrText xml:space="preserve"> STYLEREF CharAmSchNo </w:instrText>
    </w:r>
    <w:r w:rsidR="00A4430B">
      <w:rPr>
        <w:b/>
        <w:sz w:val="20"/>
      </w:rPr>
      <w:fldChar w:fldCharType="separate"/>
    </w:r>
    <w:r w:rsidR="00A4430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4430B">
      <w:rPr>
        <w:sz w:val="20"/>
      </w:rPr>
      <w:fldChar w:fldCharType="separate"/>
    </w:r>
    <w:r w:rsidR="00A4430B">
      <w:rPr>
        <w:noProof/>
        <w:sz w:val="20"/>
      </w:rPr>
      <w:t>Removing onshore projects from the petroleum resource rent tax</w:t>
    </w:r>
    <w:r>
      <w:rPr>
        <w:sz w:val="20"/>
      </w:rPr>
      <w:fldChar w:fldCharType="end"/>
    </w:r>
  </w:p>
  <w:p w:rsidR="00C14565" w:rsidRPr="00A961C4" w:rsidRDefault="00C14565" w:rsidP="0048364F">
    <w:pPr>
      <w:rPr>
        <w:b/>
        <w:sz w:val="20"/>
      </w:rPr>
    </w:pPr>
    <w:r>
      <w:rPr>
        <w:b/>
        <w:sz w:val="20"/>
      </w:rPr>
      <w:fldChar w:fldCharType="begin"/>
    </w:r>
    <w:r>
      <w:rPr>
        <w:b/>
        <w:sz w:val="20"/>
      </w:rPr>
      <w:instrText xml:space="preserve"> STYLEREF CharAmPartNo </w:instrText>
    </w:r>
    <w:r w:rsidR="00A4430B">
      <w:rPr>
        <w:b/>
        <w:sz w:val="20"/>
      </w:rPr>
      <w:fldChar w:fldCharType="separate"/>
    </w:r>
    <w:r w:rsidR="00A4430B">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4430B">
      <w:rPr>
        <w:sz w:val="20"/>
      </w:rPr>
      <w:fldChar w:fldCharType="separate"/>
    </w:r>
    <w:r w:rsidR="00A4430B">
      <w:rPr>
        <w:noProof/>
        <w:sz w:val="20"/>
      </w:rPr>
      <w:t>Application, transitional and savings provisions</w:t>
    </w:r>
    <w:r>
      <w:rPr>
        <w:sz w:val="20"/>
      </w:rPr>
      <w:fldChar w:fldCharType="end"/>
    </w:r>
  </w:p>
  <w:p w:rsidR="00C14565" w:rsidRPr="00A961C4" w:rsidRDefault="00C1456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A961C4" w:rsidRDefault="00C14565" w:rsidP="0048364F">
    <w:pPr>
      <w:jc w:val="right"/>
      <w:rPr>
        <w:sz w:val="20"/>
      </w:rPr>
    </w:pPr>
    <w:r w:rsidRPr="00A961C4">
      <w:rPr>
        <w:sz w:val="20"/>
      </w:rPr>
      <w:fldChar w:fldCharType="begin"/>
    </w:r>
    <w:r w:rsidRPr="00A961C4">
      <w:rPr>
        <w:sz w:val="20"/>
      </w:rPr>
      <w:instrText xml:space="preserve"> STYLEREF CharAmSchText </w:instrText>
    </w:r>
    <w:r w:rsidR="00A4430B">
      <w:rPr>
        <w:sz w:val="20"/>
      </w:rPr>
      <w:fldChar w:fldCharType="separate"/>
    </w:r>
    <w:r w:rsidR="00A4430B">
      <w:rPr>
        <w:noProof/>
        <w:sz w:val="20"/>
      </w:rPr>
      <w:t>Removing onshore projects from the petroleum resource rent tax</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4430B">
      <w:rPr>
        <w:b/>
        <w:sz w:val="20"/>
      </w:rPr>
      <w:fldChar w:fldCharType="separate"/>
    </w:r>
    <w:r w:rsidR="00A4430B">
      <w:rPr>
        <w:b/>
        <w:noProof/>
        <w:sz w:val="20"/>
      </w:rPr>
      <w:t>Schedule 2</w:t>
    </w:r>
    <w:r>
      <w:rPr>
        <w:b/>
        <w:sz w:val="20"/>
      </w:rPr>
      <w:fldChar w:fldCharType="end"/>
    </w:r>
  </w:p>
  <w:p w:rsidR="00C14565" w:rsidRPr="00A961C4" w:rsidRDefault="00C14565" w:rsidP="0048364F">
    <w:pPr>
      <w:jc w:val="right"/>
      <w:rPr>
        <w:b/>
        <w:sz w:val="20"/>
      </w:rPr>
    </w:pPr>
    <w:r w:rsidRPr="00A961C4">
      <w:rPr>
        <w:sz w:val="20"/>
      </w:rPr>
      <w:fldChar w:fldCharType="begin"/>
    </w:r>
    <w:r w:rsidRPr="00A961C4">
      <w:rPr>
        <w:sz w:val="20"/>
      </w:rPr>
      <w:instrText xml:space="preserve"> STYLEREF CharAmPartText </w:instrText>
    </w:r>
    <w:r w:rsidR="00A4430B">
      <w:rPr>
        <w:sz w:val="20"/>
      </w:rPr>
      <w:fldChar w:fldCharType="separate"/>
    </w:r>
    <w:r w:rsidR="00A4430B">
      <w:rPr>
        <w:noProof/>
        <w:sz w:val="20"/>
      </w:rPr>
      <w:t>Application, transitional and savings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4430B">
      <w:rPr>
        <w:b/>
        <w:sz w:val="20"/>
      </w:rPr>
      <w:fldChar w:fldCharType="separate"/>
    </w:r>
    <w:r w:rsidR="00A4430B">
      <w:rPr>
        <w:b/>
        <w:noProof/>
        <w:sz w:val="20"/>
      </w:rPr>
      <w:t>Part 3</w:t>
    </w:r>
    <w:r w:rsidRPr="00A961C4">
      <w:rPr>
        <w:b/>
        <w:sz w:val="20"/>
      </w:rPr>
      <w:fldChar w:fldCharType="end"/>
    </w:r>
  </w:p>
  <w:p w:rsidR="00C14565" w:rsidRPr="00A961C4" w:rsidRDefault="00C1456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65" w:rsidRPr="00A961C4" w:rsidRDefault="00C1456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32"/>
    <w:rsid w:val="00005012"/>
    <w:rsid w:val="000113BC"/>
    <w:rsid w:val="000136AF"/>
    <w:rsid w:val="000165E3"/>
    <w:rsid w:val="000170AF"/>
    <w:rsid w:val="0002476D"/>
    <w:rsid w:val="000334D3"/>
    <w:rsid w:val="000417C9"/>
    <w:rsid w:val="00055B5C"/>
    <w:rsid w:val="00056391"/>
    <w:rsid w:val="00060FF9"/>
    <w:rsid w:val="000614BF"/>
    <w:rsid w:val="00061A87"/>
    <w:rsid w:val="00062C31"/>
    <w:rsid w:val="00080472"/>
    <w:rsid w:val="00091B32"/>
    <w:rsid w:val="000A3075"/>
    <w:rsid w:val="000B1FD2"/>
    <w:rsid w:val="000B7AD7"/>
    <w:rsid w:val="000D05EF"/>
    <w:rsid w:val="000F21C1"/>
    <w:rsid w:val="00101D90"/>
    <w:rsid w:val="001022A3"/>
    <w:rsid w:val="001041BC"/>
    <w:rsid w:val="001056BF"/>
    <w:rsid w:val="0010745C"/>
    <w:rsid w:val="00113BD1"/>
    <w:rsid w:val="00122206"/>
    <w:rsid w:val="00150E04"/>
    <w:rsid w:val="0015646E"/>
    <w:rsid w:val="001643C9"/>
    <w:rsid w:val="0016447E"/>
    <w:rsid w:val="00165568"/>
    <w:rsid w:val="00166C2F"/>
    <w:rsid w:val="00170801"/>
    <w:rsid w:val="001716C9"/>
    <w:rsid w:val="00171E19"/>
    <w:rsid w:val="00173363"/>
    <w:rsid w:val="00173B94"/>
    <w:rsid w:val="00183FCB"/>
    <w:rsid w:val="001854B4"/>
    <w:rsid w:val="001904E5"/>
    <w:rsid w:val="001939E1"/>
    <w:rsid w:val="00195382"/>
    <w:rsid w:val="001A3658"/>
    <w:rsid w:val="001A4A39"/>
    <w:rsid w:val="001A759A"/>
    <w:rsid w:val="001B5EF0"/>
    <w:rsid w:val="001B7A5D"/>
    <w:rsid w:val="001C2418"/>
    <w:rsid w:val="001C69C4"/>
    <w:rsid w:val="001D2276"/>
    <w:rsid w:val="001E11F5"/>
    <w:rsid w:val="001E3590"/>
    <w:rsid w:val="001E7407"/>
    <w:rsid w:val="00201D27"/>
    <w:rsid w:val="00202618"/>
    <w:rsid w:val="00202D91"/>
    <w:rsid w:val="00203389"/>
    <w:rsid w:val="00207AB2"/>
    <w:rsid w:val="0022104F"/>
    <w:rsid w:val="00226711"/>
    <w:rsid w:val="00231E7C"/>
    <w:rsid w:val="002349FD"/>
    <w:rsid w:val="00237652"/>
    <w:rsid w:val="00240749"/>
    <w:rsid w:val="00242CA7"/>
    <w:rsid w:val="002436FD"/>
    <w:rsid w:val="002607CA"/>
    <w:rsid w:val="00263820"/>
    <w:rsid w:val="00275197"/>
    <w:rsid w:val="00293B89"/>
    <w:rsid w:val="00297ECB"/>
    <w:rsid w:val="002B5A30"/>
    <w:rsid w:val="002D043A"/>
    <w:rsid w:val="002D2C32"/>
    <w:rsid w:val="002D395A"/>
    <w:rsid w:val="002D4C2D"/>
    <w:rsid w:val="002E0CD9"/>
    <w:rsid w:val="002E23F7"/>
    <w:rsid w:val="002E6EAC"/>
    <w:rsid w:val="00300329"/>
    <w:rsid w:val="00305EA8"/>
    <w:rsid w:val="0032361B"/>
    <w:rsid w:val="00330BC4"/>
    <w:rsid w:val="003415D3"/>
    <w:rsid w:val="003477AE"/>
    <w:rsid w:val="00350417"/>
    <w:rsid w:val="00352B0F"/>
    <w:rsid w:val="00373874"/>
    <w:rsid w:val="00375C6C"/>
    <w:rsid w:val="00376B5D"/>
    <w:rsid w:val="0038025C"/>
    <w:rsid w:val="003877D1"/>
    <w:rsid w:val="003927AF"/>
    <w:rsid w:val="003A7B3C"/>
    <w:rsid w:val="003B4E3D"/>
    <w:rsid w:val="003C5E67"/>
    <w:rsid w:val="003C5F2B"/>
    <w:rsid w:val="003D0BFE"/>
    <w:rsid w:val="003D5700"/>
    <w:rsid w:val="003D712D"/>
    <w:rsid w:val="003D714A"/>
    <w:rsid w:val="003E116E"/>
    <w:rsid w:val="003E3827"/>
    <w:rsid w:val="003F6696"/>
    <w:rsid w:val="004002F2"/>
    <w:rsid w:val="00405579"/>
    <w:rsid w:val="00410B8E"/>
    <w:rsid w:val="004116CD"/>
    <w:rsid w:val="00421FC1"/>
    <w:rsid w:val="004229C7"/>
    <w:rsid w:val="00424CA9"/>
    <w:rsid w:val="004343BF"/>
    <w:rsid w:val="00436785"/>
    <w:rsid w:val="00436BD5"/>
    <w:rsid w:val="004376CC"/>
    <w:rsid w:val="00437E4B"/>
    <w:rsid w:val="0044291A"/>
    <w:rsid w:val="004635A1"/>
    <w:rsid w:val="00477A93"/>
    <w:rsid w:val="00477F7F"/>
    <w:rsid w:val="004802C7"/>
    <w:rsid w:val="0048196B"/>
    <w:rsid w:val="0048364F"/>
    <w:rsid w:val="00485E2D"/>
    <w:rsid w:val="004951D4"/>
    <w:rsid w:val="00496F97"/>
    <w:rsid w:val="004B37BA"/>
    <w:rsid w:val="004B3CD6"/>
    <w:rsid w:val="004C7C8C"/>
    <w:rsid w:val="004D6CDB"/>
    <w:rsid w:val="004E2A4A"/>
    <w:rsid w:val="004F0D23"/>
    <w:rsid w:val="004F1FAC"/>
    <w:rsid w:val="00500D3A"/>
    <w:rsid w:val="005024CA"/>
    <w:rsid w:val="005116CC"/>
    <w:rsid w:val="00515D85"/>
    <w:rsid w:val="00516B8D"/>
    <w:rsid w:val="00523780"/>
    <w:rsid w:val="005237DA"/>
    <w:rsid w:val="00537FBC"/>
    <w:rsid w:val="00543469"/>
    <w:rsid w:val="00551B54"/>
    <w:rsid w:val="00560FD7"/>
    <w:rsid w:val="00570656"/>
    <w:rsid w:val="00571AE1"/>
    <w:rsid w:val="005778C8"/>
    <w:rsid w:val="00584811"/>
    <w:rsid w:val="00593AA6"/>
    <w:rsid w:val="00594161"/>
    <w:rsid w:val="00594749"/>
    <w:rsid w:val="005A0D92"/>
    <w:rsid w:val="005B4067"/>
    <w:rsid w:val="005B4C90"/>
    <w:rsid w:val="005C3F41"/>
    <w:rsid w:val="005D6AD7"/>
    <w:rsid w:val="005E152A"/>
    <w:rsid w:val="00600219"/>
    <w:rsid w:val="006031BA"/>
    <w:rsid w:val="00620F8F"/>
    <w:rsid w:val="0063788B"/>
    <w:rsid w:val="006419C9"/>
    <w:rsid w:val="00641DE5"/>
    <w:rsid w:val="00655F58"/>
    <w:rsid w:val="00656E05"/>
    <w:rsid w:val="00656F0C"/>
    <w:rsid w:val="00662929"/>
    <w:rsid w:val="0067201F"/>
    <w:rsid w:val="00677570"/>
    <w:rsid w:val="00677CC2"/>
    <w:rsid w:val="00681F92"/>
    <w:rsid w:val="006842C2"/>
    <w:rsid w:val="00685F42"/>
    <w:rsid w:val="0069207B"/>
    <w:rsid w:val="006A4B23"/>
    <w:rsid w:val="006B7331"/>
    <w:rsid w:val="006C2874"/>
    <w:rsid w:val="006C7F8C"/>
    <w:rsid w:val="006D380D"/>
    <w:rsid w:val="006E0135"/>
    <w:rsid w:val="006E303A"/>
    <w:rsid w:val="006E404E"/>
    <w:rsid w:val="006E6E1C"/>
    <w:rsid w:val="006F7E19"/>
    <w:rsid w:val="00700B2C"/>
    <w:rsid w:val="007031E7"/>
    <w:rsid w:val="00712D8D"/>
    <w:rsid w:val="00713084"/>
    <w:rsid w:val="00714B26"/>
    <w:rsid w:val="00731E00"/>
    <w:rsid w:val="007440B7"/>
    <w:rsid w:val="007634AD"/>
    <w:rsid w:val="00764D77"/>
    <w:rsid w:val="007715C9"/>
    <w:rsid w:val="00774EDD"/>
    <w:rsid w:val="007757EC"/>
    <w:rsid w:val="00783776"/>
    <w:rsid w:val="007C2903"/>
    <w:rsid w:val="007C7E71"/>
    <w:rsid w:val="007E7D4A"/>
    <w:rsid w:val="008006CC"/>
    <w:rsid w:val="00807F18"/>
    <w:rsid w:val="00830C29"/>
    <w:rsid w:val="00831E8D"/>
    <w:rsid w:val="00834133"/>
    <w:rsid w:val="008356DD"/>
    <w:rsid w:val="00856A31"/>
    <w:rsid w:val="00857D6B"/>
    <w:rsid w:val="00862389"/>
    <w:rsid w:val="008717DF"/>
    <w:rsid w:val="008754D0"/>
    <w:rsid w:val="00876AC0"/>
    <w:rsid w:val="00877D48"/>
    <w:rsid w:val="00883781"/>
    <w:rsid w:val="00885570"/>
    <w:rsid w:val="0089058D"/>
    <w:rsid w:val="00893958"/>
    <w:rsid w:val="008A1C4F"/>
    <w:rsid w:val="008A2E77"/>
    <w:rsid w:val="008C431E"/>
    <w:rsid w:val="008C568D"/>
    <w:rsid w:val="008C6F6F"/>
    <w:rsid w:val="008D0EE0"/>
    <w:rsid w:val="008D3E94"/>
    <w:rsid w:val="008E5F61"/>
    <w:rsid w:val="008F4F1C"/>
    <w:rsid w:val="008F77C4"/>
    <w:rsid w:val="009103F3"/>
    <w:rsid w:val="00916015"/>
    <w:rsid w:val="0092682B"/>
    <w:rsid w:val="00932377"/>
    <w:rsid w:val="009369F5"/>
    <w:rsid w:val="00937EEE"/>
    <w:rsid w:val="00956469"/>
    <w:rsid w:val="00967042"/>
    <w:rsid w:val="00967565"/>
    <w:rsid w:val="0098255A"/>
    <w:rsid w:val="009845BE"/>
    <w:rsid w:val="00994222"/>
    <w:rsid w:val="009969C9"/>
    <w:rsid w:val="009D1098"/>
    <w:rsid w:val="009F3F98"/>
    <w:rsid w:val="009F7BD0"/>
    <w:rsid w:val="00A048FF"/>
    <w:rsid w:val="00A10775"/>
    <w:rsid w:val="00A231E2"/>
    <w:rsid w:val="00A2350D"/>
    <w:rsid w:val="00A257AF"/>
    <w:rsid w:val="00A36C48"/>
    <w:rsid w:val="00A41E0B"/>
    <w:rsid w:val="00A42008"/>
    <w:rsid w:val="00A4430B"/>
    <w:rsid w:val="00A55631"/>
    <w:rsid w:val="00A64912"/>
    <w:rsid w:val="00A70A74"/>
    <w:rsid w:val="00A816BC"/>
    <w:rsid w:val="00AA3795"/>
    <w:rsid w:val="00AA689F"/>
    <w:rsid w:val="00AB2123"/>
    <w:rsid w:val="00AB3BDD"/>
    <w:rsid w:val="00AC1E75"/>
    <w:rsid w:val="00AC4A83"/>
    <w:rsid w:val="00AD5641"/>
    <w:rsid w:val="00AE1088"/>
    <w:rsid w:val="00AF1BA4"/>
    <w:rsid w:val="00AF2C70"/>
    <w:rsid w:val="00B02500"/>
    <w:rsid w:val="00B032D8"/>
    <w:rsid w:val="00B3349D"/>
    <w:rsid w:val="00B33B3C"/>
    <w:rsid w:val="00B40524"/>
    <w:rsid w:val="00B41099"/>
    <w:rsid w:val="00B6382D"/>
    <w:rsid w:val="00BA5026"/>
    <w:rsid w:val="00BB40BF"/>
    <w:rsid w:val="00BB6B0D"/>
    <w:rsid w:val="00BC0CD1"/>
    <w:rsid w:val="00BD586B"/>
    <w:rsid w:val="00BD704D"/>
    <w:rsid w:val="00BE0749"/>
    <w:rsid w:val="00BE719A"/>
    <w:rsid w:val="00BE720A"/>
    <w:rsid w:val="00BF0461"/>
    <w:rsid w:val="00BF4944"/>
    <w:rsid w:val="00BF56D4"/>
    <w:rsid w:val="00C04409"/>
    <w:rsid w:val="00C067E5"/>
    <w:rsid w:val="00C14565"/>
    <w:rsid w:val="00C164CA"/>
    <w:rsid w:val="00C176CF"/>
    <w:rsid w:val="00C23404"/>
    <w:rsid w:val="00C32C2A"/>
    <w:rsid w:val="00C40722"/>
    <w:rsid w:val="00C42BF8"/>
    <w:rsid w:val="00C460AE"/>
    <w:rsid w:val="00C463D4"/>
    <w:rsid w:val="00C50043"/>
    <w:rsid w:val="00C54E84"/>
    <w:rsid w:val="00C61334"/>
    <w:rsid w:val="00C712BA"/>
    <w:rsid w:val="00C7573B"/>
    <w:rsid w:val="00C76CF3"/>
    <w:rsid w:val="00CC2CA2"/>
    <w:rsid w:val="00CD51C9"/>
    <w:rsid w:val="00CE1E31"/>
    <w:rsid w:val="00CE54E9"/>
    <w:rsid w:val="00CF0BB2"/>
    <w:rsid w:val="00CF3F32"/>
    <w:rsid w:val="00CF7F40"/>
    <w:rsid w:val="00D00ADE"/>
    <w:rsid w:val="00D00EAA"/>
    <w:rsid w:val="00D13441"/>
    <w:rsid w:val="00D243A3"/>
    <w:rsid w:val="00D31023"/>
    <w:rsid w:val="00D3192D"/>
    <w:rsid w:val="00D360C5"/>
    <w:rsid w:val="00D362CA"/>
    <w:rsid w:val="00D41BFF"/>
    <w:rsid w:val="00D477C3"/>
    <w:rsid w:val="00D52EFE"/>
    <w:rsid w:val="00D63EF6"/>
    <w:rsid w:val="00D70DFB"/>
    <w:rsid w:val="00D73029"/>
    <w:rsid w:val="00D766DF"/>
    <w:rsid w:val="00D95C97"/>
    <w:rsid w:val="00DA0C60"/>
    <w:rsid w:val="00DA1F31"/>
    <w:rsid w:val="00DA54C3"/>
    <w:rsid w:val="00DA69B6"/>
    <w:rsid w:val="00DB131A"/>
    <w:rsid w:val="00DC5B80"/>
    <w:rsid w:val="00DD28D6"/>
    <w:rsid w:val="00DD4790"/>
    <w:rsid w:val="00DD6712"/>
    <w:rsid w:val="00DE2002"/>
    <w:rsid w:val="00DF4EF7"/>
    <w:rsid w:val="00DF7AE9"/>
    <w:rsid w:val="00E01F65"/>
    <w:rsid w:val="00E05704"/>
    <w:rsid w:val="00E24D66"/>
    <w:rsid w:val="00E54292"/>
    <w:rsid w:val="00E55B1F"/>
    <w:rsid w:val="00E679E9"/>
    <w:rsid w:val="00E74DC7"/>
    <w:rsid w:val="00E87699"/>
    <w:rsid w:val="00E947C6"/>
    <w:rsid w:val="00EA341D"/>
    <w:rsid w:val="00EA4697"/>
    <w:rsid w:val="00EA606D"/>
    <w:rsid w:val="00ED0B2B"/>
    <w:rsid w:val="00ED492F"/>
    <w:rsid w:val="00EE0F79"/>
    <w:rsid w:val="00EE3ACD"/>
    <w:rsid w:val="00EF06A8"/>
    <w:rsid w:val="00EF2E3A"/>
    <w:rsid w:val="00EF787C"/>
    <w:rsid w:val="00F005F9"/>
    <w:rsid w:val="00F00E0D"/>
    <w:rsid w:val="00F03613"/>
    <w:rsid w:val="00F047E2"/>
    <w:rsid w:val="00F078DC"/>
    <w:rsid w:val="00F13E86"/>
    <w:rsid w:val="00F17B00"/>
    <w:rsid w:val="00F5020D"/>
    <w:rsid w:val="00F52895"/>
    <w:rsid w:val="00F62A1B"/>
    <w:rsid w:val="00F677A9"/>
    <w:rsid w:val="00F7207D"/>
    <w:rsid w:val="00F728C7"/>
    <w:rsid w:val="00F84CF5"/>
    <w:rsid w:val="00F878AD"/>
    <w:rsid w:val="00F92D35"/>
    <w:rsid w:val="00FA420B"/>
    <w:rsid w:val="00FC5AA0"/>
    <w:rsid w:val="00FC7FFD"/>
    <w:rsid w:val="00FD1E13"/>
    <w:rsid w:val="00FD7EB1"/>
    <w:rsid w:val="00FE41C9"/>
    <w:rsid w:val="00FE7F93"/>
    <w:rsid w:val="00FF0A4F"/>
    <w:rsid w:val="00FF3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36FD"/>
    <w:pPr>
      <w:spacing w:line="260" w:lineRule="atLeast"/>
    </w:pPr>
    <w:rPr>
      <w:sz w:val="22"/>
    </w:rPr>
  </w:style>
  <w:style w:type="paragraph" w:styleId="Heading1">
    <w:name w:val="heading 1"/>
    <w:basedOn w:val="Normal"/>
    <w:next w:val="Normal"/>
    <w:link w:val="Heading1Char"/>
    <w:uiPriority w:val="9"/>
    <w:qFormat/>
    <w:rsid w:val="005024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24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24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24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24C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24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24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24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36FD"/>
  </w:style>
  <w:style w:type="paragraph" w:customStyle="1" w:styleId="OPCParaBase">
    <w:name w:val="OPCParaBase"/>
    <w:link w:val="OPCParaBaseChar"/>
    <w:qFormat/>
    <w:rsid w:val="002436F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436FD"/>
    <w:pPr>
      <w:spacing w:line="240" w:lineRule="auto"/>
    </w:pPr>
    <w:rPr>
      <w:b/>
      <w:sz w:val="40"/>
    </w:rPr>
  </w:style>
  <w:style w:type="paragraph" w:customStyle="1" w:styleId="ActHead1">
    <w:name w:val="ActHead 1"/>
    <w:aliases w:val="c"/>
    <w:basedOn w:val="OPCParaBase"/>
    <w:next w:val="Normal"/>
    <w:qFormat/>
    <w:rsid w:val="002436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36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36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36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436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36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36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36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36F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436FD"/>
  </w:style>
  <w:style w:type="paragraph" w:customStyle="1" w:styleId="Blocks">
    <w:name w:val="Blocks"/>
    <w:aliases w:val="bb"/>
    <w:basedOn w:val="OPCParaBase"/>
    <w:qFormat/>
    <w:rsid w:val="002436FD"/>
    <w:pPr>
      <w:spacing w:line="240" w:lineRule="auto"/>
    </w:pPr>
    <w:rPr>
      <w:sz w:val="24"/>
    </w:rPr>
  </w:style>
  <w:style w:type="paragraph" w:customStyle="1" w:styleId="BoxText">
    <w:name w:val="BoxText"/>
    <w:aliases w:val="bt"/>
    <w:basedOn w:val="OPCParaBase"/>
    <w:qFormat/>
    <w:rsid w:val="002436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36FD"/>
    <w:rPr>
      <w:b/>
    </w:rPr>
  </w:style>
  <w:style w:type="paragraph" w:customStyle="1" w:styleId="BoxHeadItalic">
    <w:name w:val="BoxHeadItalic"/>
    <w:aliases w:val="bhi"/>
    <w:basedOn w:val="BoxText"/>
    <w:next w:val="BoxStep"/>
    <w:qFormat/>
    <w:rsid w:val="002436FD"/>
    <w:rPr>
      <w:i/>
    </w:rPr>
  </w:style>
  <w:style w:type="paragraph" w:customStyle="1" w:styleId="BoxList">
    <w:name w:val="BoxList"/>
    <w:aliases w:val="bl"/>
    <w:basedOn w:val="BoxText"/>
    <w:qFormat/>
    <w:rsid w:val="002436FD"/>
    <w:pPr>
      <w:ind w:left="1559" w:hanging="425"/>
    </w:pPr>
  </w:style>
  <w:style w:type="paragraph" w:customStyle="1" w:styleId="BoxNote">
    <w:name w:val="BoxNote"/>
    <w:aliases w:val="bn"/>
    <w:basedOn w:val="BoxText"/>
    <w:qFormat/>
    <w:rsid w:val="002436FD"/>
    <w:pPr>
      <w:tabs>
        <w:tab w:val="left" w:pos="1985"/>
      </w:tabs>
      <w:spacing w:before="122" w:line="198" w:lineRule="exact"/>
      <w:ind w:left="2948" w:hanging="1814"/>
    </w:pPr>
    <w:rPr>
      <w:sz w:val="18"/>
    </w:rPr>
  </w:style>
  <w:style w:type="paragraph" w:customStyle="1" w:styleId="BoxPara">
    <w:name w:val="BoxPara"/>
    <w:aliases w:val="bp"/>
    <w:basedOn w:val="BoxText"/>
    <w:qFormat/>
    <w:rsid w:val="002436FD"/>
    <w:pPr>
      <w:tabs>
        <w:tab w:val="right" w:pos="2268"/>
      </w:tabs>
      <w:ind w:left="2552" w:hanging="1418"/>
    </w:pPr>
  </w:style>
  <w:style w:type="paragraph" w:customStyle="1" w:styleId="BoxStep">
    <w:name w:val="BoxStep"/>
    <w:aliases w:val="bs"/>
    <w:basedOn w:val="BoxText"/>
    <w:qFormat/>
    <w:rsid w:val="002436FD"/>
    <w:pPr>
      <w:ind w:left="1985" w:hanging="851"/>
    </w:pPr>
  </w:style>
  <w:style w:type="character" w:customStyle="1" w:styleId="CharAmPartNo">
    <w:name w:val="CharAmPartNo"/>
    <w:basedOn w:val="OPCCharBase"/>
    <w:qFormat/>
    <w:rsid w:val="002436FD"/>
  </w:style>
  <w:style w:type="character" w:customStyle="1" w:styleId="CharAmPartText">
    <w:name w:val="CharAmPartText"/>
    <w:basedOn w:val="OPCCharBase"/>
    <w:qFormat/>
    <w:rsid w:val="002436FD"/>
  </w:style>
  <w:style w:type="character" w:customStyle="1" w:styleId="CharAmSchNo">
    <w:name w:val="CharAmSchNo"/>
    <w:basedOn w:val="OPCCharBase"/>
    <w:qFormat/>
    <w:rsid w:val="002436FD"/>
  </w:style>
  <w:style w:type="character" w:customStyle="1" w:styleId="CharAmSchText">
    <w:name w:val="CharAmSchText"/>
    <w:basedOn w:val="OPCCharBase"/>
    <w:qFormat/>
    <w:rsid w:val="002436FD"/>
  </w:style>
  <w:style w:type="character" w:customStyle="1" w:styleId="CharBoldItalic">
    <w:name w:val="CharBoldItalic"/>
    <w:basedOn w:val="OPCCharBase"/>
    <w:uiPriority w:val="1"/>
    <w:qFormat/>
    <w:rsid w:val="002436FD"/>
    <w:rPr>
      <w:b/>
      <w:i/>
    </w:rPr>
  </w:style>
  <w:style w:type="character" w:customStyle="1" w:styleId="CharChapNo">
    <w:name w:val="CharChapNo"/>
    <w:basedOn w:val="OPCCharBase"/>
    <w:uiPriority w:val="1"/>
    <w:qFormat/>
    <w:rsid w:val="002436FD"/>
  </w:style>
  <w:style w:type="character" w:customStyle="1" w:styleId="CharChapText">
    <w:name w:val="CharChapText"/>
    <w:basedOn w:val="OPCCharBase"/>
    <w:uiPriority w:val="1"/>
    <w:qFormat/>
    <w:rsid w:val="002436FD"/>
  </w:style>
  <w:style w:type="character" w:customStyle="1" w:styleId="CharDivNo">
    <w:name w:val="CharDivNo"/>
    <w:basedOn w:val="OPCCharBase"/>
    <w:uiPriority w:val="1"/>
    <w:qFormat/>
    <w:rsid w:val="002436FD"/>
  </w:style>
  <w:style w:type="character" w:customStyle="1" w:styleId="CharDivText">
    <w:name w:val="CharDivText"/>
    <w:basedOn w:val="OPCCharBase"/>
    <w:uiPriority w:val="1"/>
    <w:qFormat/>
    <w:rsid w:val="002436FD"/>
  </w:style>
  <w:style w:type="character" w:customStyle="1" w:styleId="CharItalic">
    <w:name w:val="CharItalic"/>
    <w:basedOn w:val="OPCCharBase"/>
    <w:uiPriority w:val="1"/>
    <w:qFormat/>
    <w:rsid w:val="002436FD"/>
    <w:rPr>
      <w:i/>
    </w:rPr>
  </w:style>
  <w:style w:type="character" w:customStyle="1" w:styleId="CharPartNo">
    <w:name w:val="CharPartNo"/>
    <w:basedOn w:val="OPCCharBase"/>
    <w:uiPriority w:val="1"/>
    <w:qFormat/>
    <w:rsid w:val="002436FD"/>
  </w:style>
  <w:style w:type="character" w:customStyle="1" w:styleId="CharPartText">
    <w:name w:val="CharPartText"/>
    <w:basedOn w:val="OPCCharBase"/>
    <w:uiPriority w:val="1"/>
    <w:qFormat/>
    <w:rsid w:val="002436FD"/>
  </w:style>
  <w:style w:type="character" w:customStyle="1" w:styleId="CharSectno">
    <w:name w:val="CharSectno"/>
    <w:basedOn w:val="OPCCharBase"/>
    <w:qFormat/>
    <w:rsid w:val="002436FD"/>
  </w:style>
  <w:style w:type="character" w:customStyle="1" w:styleId="CharSubdNo">
    <w:name w:val="CharSubdNo"/>
    <w:basedOn w:val="OPCCharBase"/>
    <w:uiPriority w:val="1"/>
    <w:qFormat/>
    <w:rsid w:val="002436FD"/>
  </w:style>
  <w:style w:type="character" w:customStyle="1" w:styleId="CharSubdText">
    <w:name w:val="CharSubdText"/>
    <w:basedOn w:val="OPCCharBase"/>
    <w:uiPriority w:val="1"/>
    <w:qFormat/>
    <w:rsid w:val="002436FD"/>
  </w:style>
  <w:style w:type="paragraph" w:customStyle="1" w:styleId="CTA--">
    <w:name w:val="CTA --"/>
    <w:basedOn w:val="OPCParaBase"/>
    <w:next w:val="Normal"/>
    <w:rsid w:val="002436FD"/>
    <w:pPr>
      <w:spacing w:before="60" w:line="240" w:lineRule="atLeast"/>
      <w:ind w:left="142" w:hanging="142"/>
    </w:pPr>
    <w:rPr>
      <w:sz w:val="20"/>
    </w:rPr>
  </w:style>
  <w:style w:type="paragraph" w:customStyle="1" w:styleId="CTA-">
    <w:name w:val="CTA -"/>
    <w:basedOn w:val="OPCParaBase"/>
    <w:rsid w:val="002436FD"/>
    <w:pPr>
      <w:spacing w:before="60" w:line="240" w:lineRule="atLeast"/>
      <w:ind w:left="85" w:hanging="85"/>
    </w:pPr>
    <w:rPr>
      <w:sz w:val="20"/>
    </w:rPr>
  </w:style>
  <w:style w:type="paragraph" w:customStyle="1" w:styleId="CTA---">
    <w:name w:val="CTA ---"/>
    <w:basedOn w:val="OPCParaBase"/>
    <w:next w:val="Normal"/>
    <w:rsid w:val="002436FD"/>
    <w:pPr>
      <w:spacing w:before="60" w:line="240" w:lineRule="atLeast"/>
      <w:ind w:left="198" w:hanging="198"/>
    </w:pPr>
    <w:rPr>
      <w:sz w:val="20"/>
    </w:rPr>
  </w:style>
  <w:style w:type="paragraph" w:customStyle="1" w:styleId="CTA----">
    <w:name w:val="CTA ----"/>
    <w:basedOn w:val="OPCParaBase"/>
    <w:next w:val="Normal"/>
    <w:rsid w:val="002436FD"/>
    <w:pPr>
      <w:spacing w:before="60" w:line="240" w:lineRule="atLeast"/>
      <w:ind w:left="255" w:hanging="255"/>
    </w:pPr>
    <w:rPr>
      <w:sz w:val="20"/>
    </w:rPr>
  </w:style>
  <w:style w:type="paragraph" w:customStyle="1" w:styleId="CTA1a">
    <w:name w:val="CTA 1(a)"/>
    <w:basedOn w:val="OPCParaBase"/>
    <w:rsid w:val="002436FD"/>
    <w:pPr>
      <w:tabs>
        <w:tab w:val="right" w:pos="414"/>
      </w:tabs>
      <w:spacing w:before="40" w:line="240" w:lineRule="atLeast"/>
      <w:ind w:left="675" w:hanging="675"/>
    </w:pPr>
    <w:rPr>
      <w:sz w:val="20"/>
    </w:rPr>
  </w:style>
  <w:style w:type="paragraph" w:customStyle="1" w:styleId="CTA1ai">
    <w:name w:val="CTA 1(a)(i)"/>
    <w:basedOn w:val="OPCParaBase"/>
    <w:rsid w:val="002436FD"/>
    <w:pPr>
      <w:tabs>
        <w:tab w:val="right" w:pos="1004"/>
      </w:tabs>
      <w:spacing w:before="40" w:line="240" w:lineRule="atLeast"/>
      <w:ind w:left="1253" w:hanging="1253"/>
    </w:pPr>
    <w:rPr>
      <w:sz w:val="20"/>
    </w:rPr>
  </w:style>
  <w:style w:type="paragraph" w:customStyle="1" w:styleId="CTA2a">
    <w:name w:val="CTA 2(a)"/>
    <w:basedOn w:val="OPCParaBase"/>
    <w:rsid w:val="002436FD"/>
    <w:pPr>
      <w:tabs>
        <w:tab w:val="right" w:pos="482"/>
      </w:tabs>
      <w:spacing w:before="40" w:line="240" w:lineRule="atLeast"/>
      <w:ind w:left="748" w:hanging="748"/>
    </w:pPr>
    <w:rPr>
      <w:sz w:val="20"/>
    </w:rPr>
  </w:style>
  <w:style w:type="paragraph" w:customStyle="1" w:styleId="CTA2ai">
    <w:name w:val="CTA 2(a)(i)"/>
    <w:basedOn w:val="OPCParaBase"/>
    <w:rsid w:val="002436FD"/>
    <w:pPr>
      <w:tabs>
        <w:tab w:val="right" w:pos="1089"/>
      </w:tabs>
      <w:spacing w:before="40" w:line="240" w:lineRule="atLeast"/>
      <w:ind w:left="1327" w:hanging="1327"/>
    </w:pPr>
    <w:rPr>
      <w:sz w:val="20"/>
    </w:rPr>
  </w:style>
  <w:style w:type="paragraph" w:customStyle="1" w:styleId="CTA3a">
    <w:name w:val="CTA 3(a)"/>
    <w:basedOn w:val="OPCParaBase"/>
    <w:rsid w:val="002436FD"/>
    <w:pPr>
      <w:tabs>
        <w:tab w:val="right" w:pos="556"/>
      </w:tabs>
      <w:spacing w:before="40" w:line="240" w:lineRule="atLeast"/>
      <w:ind w:left="805" w:hanging="805"/>
    </w:pPr>
    <w:rPr>
      <w:sz w:val="20"/>
    </w:rPr>
  </w:style>
  <w:style w:type="paragraph" w:customStyle="1" w:styleId="CTA3ai">
    <w:name w:val="CTA 3(a)(i)"/>
    <w:basedOn w:val="OPCParaBase"/>
    <w:rsid w:val="002436FD"/>
    <w:pPr>
      <w:tabs>
        <w:tab w:val="right" w:pos="1140"/>
      </w:tabs>
      <w:spacing w:before="40" w:line="240" w:lineRule="atLeast"/>
      <w:ind w:left="1361" w:hanging="1361"/>
    </w:pPr>
    <w:rPr>
      <w:sz w:val="20"/>
    </w:rPr>
  </w:style>
  <w:style w:type="paragraph" w:customStyle="1" w:styleId="CTA4a">
    <w:name w:val="CTA 4(a)"/>
    <w:basedOn w:val="OPCParaBase"/>
    <w:rsid w:val="002436FD"/>
    <w:pPr>
      <w:tabs>
        <w:tab w:val="right" w:pos="624"/>
      </w:tabs>
      <w:spacing w:before="40" w:line="240" w:lineRule="atLeast"/>
      <w:ind w:left="873" w:hanging="873"/>
    </w:pPr>
    <w:rPr>
      <w:sz w:val="20"/>
    </w:rPr>
  </w:style>
  <w:style w:type="paragraph" w:customStyle="1" w:styleId="CTA4ai">
    <w:name w:val="CTA 4(a)(i)"/>
    <w:basedOn w:val="OPCParaBase"/>
    <w:rsid w:val="002436FD"/>
    <w:pPr>
      <w:tabs>
        <w:tab w:val="right" w:pos="1213"/>
      </w:tabs>
      <w:spacing w:before="40" w:line="240" w:lineRule="atLeast"/>
      <w:ind w:left="1452" w:hanging="1452"/>
    </w:pPr>
    <w:rPr>
      <w:sz w:val="20"/>
    </w:rPr>
  </w:style>
  <w:style w:type="paragraph" w:customStyle="1" w:styleId="CTACAPS">
    <w:name w:val="CTA CAPS"/>
    <w:basedOn w:val="OPCParaBase"/>
    <w:rsid w:val="002436FD"/>
    <w:pPr>
      <w:spacing w:before="60" w:line="240" w:lineRule="atLeast"/>
    </w:pPr>
    <w:rPr>
      <w:sz w:val="20"/>
    </w:rPr>
  </w:style>
  <w:style w:type="paragraph" w:customStyle="1" w:styleId="CTAright">
    <w:name w:val="CTA right"/>
    <w:basedOn w:val="OPCParaBase"/>
    <w:rsid w:val="002436FD"/>
    <w:pPr>
      <w:spacing w:before="60" w:line="240" w:lineRule="auto"/>
      <w:jc w:val="right"/>
    </w:pPr>
    <w:rPr>
      <w:sz w:val="20"/>
    </w:rPr>
  </w:style>
  <w:style w:type="paragraph" w:customStyle="1" w:styleId="subsection">
    <w:name w:val="subsection"/>
    <w:aliases w:val="ss"/>
    <w:basedOn w:val="OPCParaBase"/>
    <w:link w:val="subsectionChar"/>
    <w:rsid w:val="002436FD"/>
    <w:pPr>
      <w:tabs>
        <w:tab w:val="right" w:pos="1021"/>
      </w:tabs>
      <w:spacing w:before="180" w:line="240" w:lineRule="auto"/>
      <w:ind w:left="1134" w:hanging="1134"/>
    </w:pPr>
  </w:style>
  <w:style w:type="paragraph" w:customStyle="1" w:styleId="Definition">
    <w:name w:val="Definition"/>
    <w:aliases w:val="dd"/>
    <w:basedOn w:val="OPCParaBase"/>
    <w:rsid w:val="002436FD"/>
    <w:pPr>
      <w:spacing w:before="180" w:line="240" w:lineRule="auto"/>
      <w:ind w:left="1134"/>
    </w:pPr>
  </w:style>
  <w:style w:type="paragraph" w:customStyle="1" w:styleId="ETAsubitem">
    <w:name w:val="ETA(subitem)"/>
    <w:basedOn w:val="OPCParaBase"/>
    <w:rsid w:val="002436FD"/>
    <w:pPr>
      <w:tabs>
        <w:tab w:val="right" w:pos="340"/>
      </w:tabs>
      <w:spacing w:before="60" w:line="240" w:lineRule="auto"/>
      <w:ind w:left="454" w:hanging="454"/>
    </w:pPr>
    <w:rPr>
      <w:sz w:val="20"/>
    </w:rPr>
  </w:style>
  <w:style w:type="paragraph" w:customStyle="1" w:styleId="ETApara">
    <w:name w:val="ETA(para)"/>
    <w:basedOn w:val="OPCParaBase"/>
    <w:rsid w:val="002436FD"/>
    <w:pPr>
      <w:tabs>
        <w:tab w:val="right" w:pos="754"/>
      </w:tabs>
      <w:spacing w:before="60" w:line="240" w:lineRule="auto"/>
      <w:ind w:left="828" w:hanging="828"/>
    </w:pPr>
    <w:rPr>
      <w:sz w:val="20"/>
    </w:rPr>
  </w:style>
  <w:style w:type="paragraph" w:customStyle="1" w:styleId="ETAsubpara">
    <w:name w:val="ETA(subpara)"/>
    <w:basedOn w:val="OPCParaBase"/>
    <w:rsid w:val="002436FD"/>
    <w:pPr>
      <w:tabs>
        <w:tab w:val="right" w:pos="1083"/>
      </w:tabs>
      <w:spacing w:before="60" w:line="240" w:lineRule="auto"/>
      <w:ind w:left="1191" w:hanging="1191"/>
    </w:pPr>
    <w:rPr>
      <w:sz w:val="20"/>
    </w:rPr>
  </w:style>
  <w:style w:type="paragraph" w:customStyle="1" w:styleId="ETAsub-subpara">
    <w:name w:val="ETA(sub-subpara)"/>
    <w:basedOn w:val="OPCParaBase"/>
    <w:rsid w:val="002436FD"/>
    <w:pPr>
      <w:tabs>
        <w:tab w:val="right" w:pos="1412"/>
      </w:tabs>
      <w:spacing w:before="60" w:line="240" w:lineRule="auto"/>
      <w:ind w:left="1525" w:hanging="1525"/>
    </w:pPr>
    <w:rPr>
      <w:sz w:val="20"/>
    </w:rPr>
  </w:style>
  <w:style w:type="paragraph" w:customStyle="1" w:styleId="Formula">
    <w:name w:val="Formula"/>
    <w:basedOn w:val="OPCParaBase"/>
    <w:rsid w:val="002436FD"/>
    <w:pPr>
      <w:spacing w:line="240" w:lineRule="auto"/>
      <w:ind w:left="1134"/>
    </w:pPr>
    <w:rPr>
      <w:sz w:val="20"/>
    </w:rPr>
  </w:style>
  <w:style w:type="paragraph" w:styleId="Header">
    <w:name w:val="header"/>
    <w:basedOn w:val="OPCParaBase"/>
    <w:link w:val="HeaderChar"/>
    <w:unhideWhenUsed/>
    <w:rsid w:val="002436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36FD"/>
    <w:rPr>
      <w:rFonts w:eastAsia="Times New Roman" w:cs="Times New Roman"/>
      <w:sz w:val="16"/>
      <w:lang w:eastAsia="en-AU"/>
    </w:rPr>
  </w:style>
  <w:style w:type="paragraph" w:customStyle="1" w:styleId="House">
    <w:name w:val="House"/>
    <w:basedOn w:val="OPCParaBase"/>
    <w:rsid w:val="002436FD"/>
    <w:pPr>
      <w:spacing w:line="240" w:lineRule="auto"/>
    </w:pPr>
    <w:rPr>
      <w:sz w:val="28"/>
    </w:rPr>
  </w:style>
  <w:style w:type="paragraph" w:customStyle="1" w:styleId="Item">
    <w:name w:val="Item"/>
    <w:aliases w:val="i"/>
    <w:basedOn w:val="OPCParaBase"/>
    <w:next w:val="ItemHead"/>
    <w:rsid w:val="002436FD"/>
    <w:pPr>
      <w:keepLines/>
      <w:spacing w:before="80" w:line="240" w:lineRule="auto"/>
      <w:ind w:left="709"/>
    </w:pPr>
  </w:style>
  <w:style w:type="paragraph" w:customStyle="1" w:styleId="ItemHead">
    <w:name w:val="ItemHead"/>
    <w:aliases w:val="ih"/>
    <w:basedOn w:val="OPCParaBase"/>
    <w:next w:val="Item"/>
    <w:rsid w:val="002436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36FD"/>
    <w:pPr>
      <w:spacing w:line="240" w:lineRule="auto"/>
    </w:pPr>
    <w:rPr>
      <w:b/>
      <w:sz w:val="32"/>
    </w:rPr>
  </w:style>
  <w:style w:type="paragraph" w:customStyle="1" w:styleId="notedraft">
    <w:name w:val="note(draft)"/>
    <w:aliases w:val="nd"/>
    <w:basedOn w:val="OPCParaBase"/>
    <w:rsid w:val="002436FD"/>
    <w:pPr>
      <w:spacing w:before="240" w:line="240" w:lineRule="auto"/>
      <w:ind w:left="284" w:hanging="284"/>
    </w:pPr>
    <w:rPr>
      <w:i/>
      <w:sz w:val="24"/>
    </w:rPr>
  </w:style>
  <w:style w:type="paragraph" w:customStyle="1" w:styleId="notemargin">
    <w:name w:val="note(margin)"/>
    <w:aliases w:val="nm"/>
    <w:basedOn w:val="OPCParaBase"/>
    <w:rsid w:val="002436FD"/>
    <w:pPr>
      <w:tabs>
        <w:tab w:val="left" w:pos="709"/>
      </w:tabs>
      <w:spacing w:before="122" w:line="198" w:lineRule="exact"/>
      <w:ind w:left="709" w:hanging="709"/>
    </w:pPr>
    <w:rPr>
      <w:sz w:val="18"/>
    </w:rPr>
  </w:style>
  <w:style w:type="paragraph" w:customStyle="1" w:styleId="noteToPara">
    <w:name w:val="noteToPara"/>
    <w:aliases w:val="ntp"/>
    <w:basedOn w:val="OPCParaBase"/>
    <w:rsid w:val="002436FD"/>
    <w:pPr>
      <w:spacing w:before="122" w:line="198" w:lineRule="exact"/>
      <w:ind w:left="2353" w:hanging="709"/>
    </w:pPr>
    <w:rPr>
      <w:sz w:val="18"/>
    </w:rPr>
  </w:style>
  <w:style w:type="paragraph" w:customStyle="1" w:styleId="noteParlAmend">
    <w:name w:val="note(ParlAmend)"/>
    <w:aliases w:val="npp"/>
    <w:basedOn w:val="OPCParaBase"/>
    <w:next w:val="ParlAmend"/>
    <w:rsid w:val="002436FD"/>
    <w:pPr>
      <w:spacing w:line="240" w:lineRule="auto"/>
      <w:jc w:val="right"/>
    </w:pPr>
    <w:rPr>
      <w:rFonts w:ascii="Arial" w:hAnsi="Arial"/>
      <w:b/>
      <w:i/>
    </w:rPr>
  </w:style>
  <w:style w:type="paragraph" w:customStyle="1" w:styleId="Page1">
    <w:name w:val="Page1"/>
    <w:basedOn w:val="OPCParaBase"/>
    <w:rsid w:val="002436FD"/>
    <w:pPr>
      <w:spacing w:before="400" w:line="240" w:lineRule="auto"/>
    </w:pPr>
    <w:rPr>
      <w:b/>
      <w:sz w:val="32"/>
    </w:rPr>
  </w:style>
  <w:style w:type="paragraph" w:customStyle="1" w:styleId="PageBreak">
    <w:name w:val="PageBreak"/>
    <w:aliases w:val="pb"/>
    <w:basedOn w:val="OPCParaBase"/>
    <w:rsid w:val="002436FD"/>
    <w:pPr>
      <w:spacing w:line="240" w:lineRule="auto"/>
    </w:pPr>
    <w:rPr>
      <w:sz w:val="20"/>
    </w:rPr>
  </w:style>
  <w:style w:type="paragraph" w:customStyle="1" w:styleId="paragraphsub">
    <w:name w:val="paragraph(sub)"/>
    <w:aliases w:val="aa"/>
    <w:basedOn w:val="OPCParaBase"/>
    <w:rsid w:val="002436FD"/>
    <w:pPr>
      <w:tabs>
        <w:tab w:val="right" w:pos="1985"/>
      </w:tabs>
      <w:spacing w:before="40" w:line="240" w:lineRule="auto"/>
      <w:ind w:left="2098" w:hanging="2098"/>
    </w:pPr>
  </w:style>
  <w:style w:type="paragraph" w:customStyle="1" w:styleId="paragraphsub-sub">
    <w:name w:val="paragraph(sub-sub)"/>
    <w:aliases w:val="aaa"/>
    <w:basedOn w:val="OPCParaBase"/>
    <w:rsid w:val="002436FD"/>
    <w:pPr>
      <w:tabs>
        <w:tab w:val="right" w:pos="2722"/>
      </w:tabs>
      <w:spacing w:before="40" w:line="240" w:lineRule="auto"/>
      <w:ind w:left="2835" w:hanging="2835"/>
    </w:pPr>
  </w:style>
  <w:style w:type="paragraph" w:customStyle="1" w:styleId="paragraph">
    <w:name w:val="paragraph"/>
    <w:aliases w:val="a"/>
    <w:basedOn w:val="OPCParaBase"/>
    <w:link w:val="paragraphChar"/>
    <w:rsid w:val="002436FD"/>
    <w:pPr>
      <w:tabs>
        <w:tab w:val="right" w:pos="1531"/>
      </w:tabs>
      <w:spacing w:before="40" w:line="240" w:lineRule="auto"/>
      <w:ind w:left="1644" w:hanging="1644"/>
    </w:pPr>
  </w:style>
  <w:style w:type="paragraph" w:customStyle="1" w:styleId="ParlAmend">
    <w:name w:val="ParlAmend"/>
    <w:aliases w:val="pp"/>
    <w:basedOn w:val="OPCParaBase"/>
    <w:rsid w:val="002436FD"/>
    <w:pPr>
      <w:spacing w:before="240" w:line="240" w:lineRule="atLeast"/>
      <w:ind w:hanging="567"/>
    </w:pPr>
    <w:rPr>
      <w:sz w:val="24"/>
    </w:rPr>
  </w:style>
  <w:style w:type="paragraph" w:customStyle="1" w:styleId="Penalty">
    <w:name w:val="Penalty"/>
    <w:basedOn w:val="OPCParaBase"/>
    <w:rsid w:val="002436FD"/>
    <w:pPr>
      <w:tabs>
        <w:tab w:val="left" w:pos="2977"/>
      </w:tabs>
      <w:spacing w:before="180" w:line="240" w:lineRule="auto"/>
      <w:ind w:left="1985" w:hanging="851"/>
    </w:pPr>
  </w:style>
  <w:style w:type="paragraph" w:customStyle="1" w:styleId="Portfolio">
    <w:name w:val="Portfolio"/>
    <w:basedOn w:val="OPCParaBase"/>
    <w:rsid w:val="002436FD"/>
    <w:pPr>
      <w:spacing w:line="240" w:lineRule="auto"/>
    </w:pPr>
    <w:rPr>
      <w:i/>
      <w:sz w:val="20"/>
    </w:rPr>
  </w:style>
  <w:style w:type="paragraph" w:customStyle="1" w:styleId="Preamble">
    <w:name w:val="Preamble"/>
    <w:basedOn w:val="OPCParaBase"/>
    <w:next w:val="Normal"/>
    <w:rsid w:val="002436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36FD"/>
    <w:pPr>
      <w:spacing w:line="240" w:lineRule="auto"/>
    </w:pPr>
    <w:rPr>
      <w:i/>
      <w:sz w:val="20"/>
    </w:rPr>
  </w:style>
  <w:style w:type="paragraph" w:customStyle="1" w:styleId="Session">
    <w:name w:val="Session"/>
    <w:basedOn w:val="OPCParaBase"/>
    <w:rsid w:val="002436FD"/>
    <w:pPr>
      <w:spacing w:line="240" w:lineRule="auto"/>
    </w:pPr>
    <w:rPr>
      <w:sz w:val="28"/>
    </w:rPr>
  </w:style>
  <w:style w:type="paragraph" w:customStyle="1" w:styleId="Sponsor">
    <w:name w:val="Sponsor"/>
    <w:basedOn w:val="OPCParaBase"/>
    <w:rsid w:val="002436FD"/>
    <w:pPr>
      <w:spacing w:line="240" w:lineRule="auto"/>
    </w:pPr>
    <w:rPr>
      <w:i/>
    </w:rPr>
  </w:style>
  <w:style w:type="paragraph" w:customStyle="1" w:styleId="Subitem">
    <w:name w:val="Subitem"/>
    <w:aliases w:val="iss"/>
    <w:basedOn w:val="OPCParaBase"/>
    <w:rsid w:val="002436FD"/>
    <w:pPr>
      <w:spacing w:before="180" w:line="240" w:lineRule="auto"/>
      <w:ind w:left="709" w:hanging="709"/>
    </w:pPr>
  </w:style>
  <w:style w:type="paragraph" w:customStyle="1" w:styleId="SubitemHead">
    <w:name w:val="SubitemHead"/>
    <w:aliases w:val="issh"/>
    <w:basedOn w:val="OPCParaBase"/>
    <w:rsid w:val="002436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36FD"/>
    <w:pPr>
      <w:spacing w:before="40" w:line="240" w:lineRule="auto"/>
      <w:ind w:left="1134"/>
    </w:pPr>
  </w:style>
  <w:style w:type="paragraph" w:customStyle="1" w:styleId="SubsectionHead">
    <w:name w:val="SubsectionHead"/>
    <w:aliases w:val="ssh"/>
    <w:basedOn w:val="OPCParaBase"/>
    <w:next w:val="subsection"/>
    <w:rsid w:val="002436FD"/>
    <w:pPr>
      <w:keepNext/>
      <w:keepLines/>
      <w:spacing w:before="240" w:line="240" w:lineRule="auto"/>
      <w:ind w:left="1134"/>
    </w:pPr>
    <w:rPr>
      <w:i/>
    </w:rPr>
  </w:style>
  <w:style w:type="paragraph" w:customStyle="1" w:styleId="Tablea">
    <w:name w:val="Table(a)"/>
    <w:aliases w:val="ta"/>
    <w:basedOn w:val="OPCParaBase"/>
    <w:rsid w:val="002436FD"/>
    <w:pPr>
      <w:spacing w:before="60" w:line="240" w:lineRule="auto"/>
      <w:ind w:left="284" w:hanging="284"/>
    </w:pPr>
    <w:rPr>
      <w:sz w:val="20"/>
    </w:rPr>
  </w:style>
  <w:style w:type="paragraph" w:customStyle="1" w:styleId="TableAA">
    <w:name w:val="Table(AA)"/>
    <w:aliases w:val="taaa"/>
    <w:basedOn w:val="OPCParaBase"/>
    <w:rsid w:val="002436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36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36FD"/>
    <w:pPr>
      <w:spacing w:before="60" w:line="240" w:lineRule="atLeast"/>
    </w:pPr>
    <w:rPr>
      <w:sz w:val="20"/>
    </w:rPr>
  </w:style>
  <w:style w:type="paragraph" w:customStyle="1" w:styleId="TLPBoxTextnote">
    <w:name w:val="TLPBoxText(note"/>
    <w:aliases w:val="right)"/>
    <w:basedOn w:val="OPCParaBase"/>
    <w:rsid w:val="002436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36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36FD"/>
    <w:pPr>
      <w:spacing w:before="122" w:line="198" w:lineRule="exact"/>
      <w:ind w:left="1985" w:hanging="851"/>
      <w:jc w:val="right"/>
    </w:pPr>
    <w:rPr>
      <w:sz w:val="18"/>
    </w:rPr>
  </w:style>
  <w:style w:type="paragraph" w:customStyle="1" w:styleId="TLPTableBullet">
    <w:name w:val="TLPTableBullet"/>
    <w:aliases w:val="ttb"/>
    <w:basedOn w:val="OPCParaBase"/>
    <w:rsid w:val="002436FD"/>
    <w:pPr>
      <w:spacing w:line="240" w:lineRule="exact"/>
      <w:ind w:left="284" w:hanging="284"/>
    </w:pPr>
    <w:rPr>
      <w:sz w:val="20"/>
    </w:rPr>
  </w:style>
  <w:style w:type="paragraph" w:styleId="TOC1">
    <w:name w:val="toc 1"/>
    <w:basedOn w:val="OPCParaBase"/>
    <w:next w:val="Normal"/>
    <w:uiPriority w:val="39"/>
    <w:semiHidden/>
    <w:unhideWhenUsed/>
    <w:rsid w:val="002436F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436F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436F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436F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436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36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36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36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36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36FD"/>
    <w:pPr>
      <w:keepLines/>
      <w:spacing w:before="240" w:after="120" w:line="240" w:lineRule="auto"/>
      <w:ind w:left="794"/>
    </w:pPr>
    <w:rPr>
      <w:b/>
      <w:kern w:val="28"/>
      <w:sz w:val="20"/>
    </w:rPr>
  </w:style>
  <w:style w:type="paragraph" w:customStyle="1" w:styleId="TofSectsHeading">
    <w:name w:val="TofSects(Heading)"/>
    <w:basedOn w:val="OPCParaBase"/>
    <w:rsid w:val="002436FD"/>
    <w:pPr>
      <w:spacing w:before="240" w:after="120" w:line="240" w:lineRule="auto"/>
    </w:pPr>
    <w:rPr>
      <w:b/>
      <w:sz w:val="24"/>
    </w:rPr>
  </w:style>
  <w:style w:type="paragraph" w:customStyle="1" w:styleId="TofSectsSection">
    <w:name w:val="TofSects(Section)"/>
    <w:basedOn w:val="OPCParaBase"/>
    <w:rsid w:val="002436FD"/>
    <w:pPr>
      <w:keepLines/>
      <w:spacing w:before="40" w:line="240" w:lineRule="auto"/>
      <w:ind w:left="1588" w:hanging="794"/>
    </w:pPr>
    <w:rPr>
      <w:kern w:val="28"/>
      <w:sz w:val="18"/>
    </w:rPr>
  </w:style>
  <w:style w:type="paragraph" w:customStyle="1" w:styleId="TofSectsSubdiv">
    <w:name w:val="TofSects(Subdiv)"/>
    <w:basedOn w:val="OPCParaBase"/>
    <w:rsid w:val="002436FD"/>
    <w:pPr>
      <w:keepLines/>
      <w:spacing w:before="80" w:line="240" w:lineRule="auto"/>
      <w:ind w:left="1588" w:hanging="794"/>
    </w:pPr>
    <w:rPr>
      <w:kern w:val="28"/>
    </w:rPr>
  </w:style>
  <w:style w:type="paragraph" w:customStyle="1" w:styleId="WRStyle">
    <w:name w:val="WR Style"/>
    <w:aliases w:val="WR"/>
    <w:basedOn w:val="OPCParaBase"/>
    <w:rsid w:val="002436FD"/>
    <w:pPr>
      <w:spacing w:before="240" w:line="240" w:lineRule="auto"/>
      <w:ind w:left="284" w:hanging="284"/>
    </w:pPr>
    <w:rPr>
      <w:b/>
      <w:i/>
      <w:kern w:val="28"/>
      <w:sz w:val="24"/>
    </w:rPr>
  </w:style>
  <w:style w:type="paragraph" w:customStyle="1" w:styleId="notepara">
    <w:name w:val="note(para)"/>
    <w:aliases w:val="na"/>
    <w:basedOn w:val="OPCParaBase"/>
    <w:rsid w:val="002436FD"/>
    <w:pPr>
      <w:spacing w:before="40" w:line="198" w:lineRule="exact"/>
      <w:ind w:left="2354" w:hanging="369"/>
    </w:pPr>
    <w:rPr>
      <w:sz w:val="18"/>
    </w:rPr>
  </w:style>
  <w:style w:type="paragraph" w:styleId="Footer">
    <w:name w:val="footer"/>
    <w:link w:val="FooterChar"/>
    <w:rsid w:val="002436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36FD"/>
    <w:rPr>
      <w:rFonts w:eastAsia="Times New Roman" w:cs="Times New Roman"/>
      <w:sz w:val="22"/>
      <w:szCs w:val="24"/>
      <w:lang w:eastAsia="en-AU"/>
    </w:rPr>
  </w:style>
  <w:style w:type="character" w:styleId="LineNumber">
    <w:name w:val="line number"/>
    <w:basedOn w:val="OPCCharBase"/>
    <w:uiPriority w:val="99"/>
    <w:semiHidden/>
    <w:unhideWhenUsed/>
    <w:rsid w:val="002436FD"/>
    <w:rPr>
      <w:sz w:val="16"/>
    </w:rPr>
  </w:style>
  <w:style w:type="table" w:customStyle="1" w:styleId="CFlag">
    <w:name w:val="CFlag"/>
    <w:basedOn w:val="TableNormal"/>
    <w:uiPriority w:val="99"/>
    <w:rsid w:val="002436FD"/>
    <w:rPr>
      <w:rFonts w:eastAsia="Times New Roman" w:cs="Times New Roman"/>
      <w:lang w:eastAsia="en-AU"/>
    </w:rPr>
    <w:tblPr/>
  </w:style>
  <w:style w:type="paragraph" w:customStyle="1" w:styleId="NotesHeading1">
    <w:name w:val="NotesHeading 1"/>
    <w:basedOn w:val="OPCParaBase"/>
    <w:next w:val="Normal"/>
    <w:rsid w:val="002436FD"/>
    <w:rPr>
      <w:b/>
      <w:sz w:val="28"/>
      <w:szCs w:val="28"/>
    </w:rPr>
  </w:style>
  <w:style w:type="paragraph" w:customStyle="1" w:styleId="NotesHeading2">
    <w:name w:val="NotesHeading 2"/>
    <w:basedOn w:val="OPCParaBase"/>
    <w:next w:val="Normal"/>
    <w:rsid w:val="002436FD"/>
    <w:rPr>
      <w:b/>
      <w:sz w:val="28"/>
      <w:szCs w:val="28"/>
    </w:rPr>
  </w:style>
  <w:style w:type="paragraph" w:customStyle="1" w:styleId="SignCoverPageEnd">
    <w:name w:val="SignCoverPageEnd"/>
    <w:basedOn w:val="OPCParaBase"/>
    <w:next w:val="Normal"/>
    <w:rsid w:val="002436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36FD"/>
    <w:pPr>
      <w:pBdr>
        <w:top w:val="single" w:sz="4" w:space="1" w:color="auto"/>
      </w:pBdr>
      <w:spacing w:before="360"/>
      <w:ind w:right="397"/>
      <w:jc w:val="both"/>
    </w:pPr>
  </w:style>
  <w:style w:type="paragraph" w:customStyle="1" w:styleId="Paragraphsub-sub-sub">
    <w:name w:val="Paragraph(sub-sub-sub)"/>
    <w:aliases w:val="aaaa"/>
    <w:basedOn w:val="OPCParaBase"/>
    <w:rsid w:val="002436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36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36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36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36F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436FD"/>
    <w:pPr>
      <w:spacing w:before="120"/>
    </w:pPr>
  </w:style>
  <w:style w:type="paragraph" w:customStyle="1" w:styleId="TableTextEndNotes">
    <w:name w:val="TableTextEndNotes"/>
    <w:aliases w:val="Tten"/>
    <w:basedOn w:val="Normal"/>
    <w:rsid w:val="002436FD"/>
    <w:pPr>
      <w:spacing w:before="60" w:line="240" w:lineRule="auto"/>
    </w:pPr>
    <w:rPr>
      <w:rFonts w:cs="Arial"/>
      <w:sz w:val="20"/>
      <w:szCs w:val="22"/>
    </w:rPr>
  </w:style>
  <w:style w:type="paragraph" w:customStyle="1" w:styleId="TableHeading">
    <w:name w:val="TableHeading"/>
    <w:aliases w:val="th"/>
    <w:basedOn w:val="OPCParaBase"/>
    <w:next w:val="Tabletext"/>
    <w:rsid w:val="002436FD"/>
    <w:pPr>
      <w:keepNext/>
      <w:spacing w:before="60" w:line="240" w:lineRule="atLeast"/>
    </w:pPr>
    <w:rPr>
      <w:b/>
      <w:sz w:val="20"/>
    </w:rPr>
  </w:style>
  <w:style w:type="paragraph" w:customStyle="1" w:styleId="NoteToSubpara">
    <w:name w:val="NoteToSubpara"/>
    <w:aliases w:val="nts"/>
    <w:basedOn w:val="OPCParaBase"/>
    <w:rsid w:val="002436FD"/>
    <w:pPr>
      <w:spacing w:before="40" w:line="198" w:lineRule="exact"/>
      <w:ind w:left="2835" w:hanging="709"/>
    </w:pPr>
    <w:rPr>
      <w:sz w:val="18"/>
    </w:rPr>
  </w:style>
  <w:style w:type="paragraph" w:customStyle="1" w:styleId="ENoteTableHeading">
    <w:name w:val="ENoteTableHeading"/>
    <w:aliases w:val="enth"/>
    <w:basedOn w:val="OPCParaBase"/>
    <w:rsid w:val="002436FD"/>
    <w:pPr>
      <w:keepNext/>
      <w:spacing w:before="60" w:line="240" w:lineRule="atLeast"/>
    </w:pPr>
    <w:rPr>
      <w:rFonts w:ascii="Arial" w:hAnsi="Arial"/>
      <w:b/>
      <w:sz w:val="16"/>
    </w:rPr>
  </w:style>
  <w:style w:type="paragraph" w:customStyle="1" w:styleId="ENoteTTi">
    <w:name w:val="ENoteTTi"/>
    <w:aliases w:val="entti"/>
    <w:basedOn w:val="OPCParaBase"/>
    <w:rsid w:val="002436FD"/>
    <w:pPr>
      <w:keepNext/>
      <w:spacing w:before="60" w:line="240" w:lineRule="atLeast"/>
      <w:ind w:left="170"/>
    </w:pPr>
    <w:rPr>
      <w:sz w:val="16"/>
    </w:rPr>
  </w:style>
  <w:style w:type="paragraph" w:customStyle="1" w:styleId="ENotesHeading1">
    <w:name w:val="ENotesHeading 1"/>
    <w:aliases w:val="Enh1"/>
    <w:basedOn w:val="OPCParaBase"/>
    <w:next w:val="Normal"/>
    <w:rsid w:val="002436FD"/>
    <w:pPr>
      <w:spacing w:before="120"/>
      <w:outlineLvl w:val="1"/>
    </w:pPr>
    <w:rPr>
      <w:b/>
      <w:sz w:val="28"/>
      <w:szCs w:val="28"/>
    </w:rPr>
  </w:style>
  <w:style w:type="paragraph" w:customStyle="1" w:styleId="ENotesHeading2">
    <w:name w:val="ENotesHeading 2"/>
    <w:aliases w:val="Enh2"/>
    <w:basedOn w:val="OPCParaBase"/>
    <w:next w:val="Normal"/>
    <w:rsid w:val="002436FD"/>
    <w:pPr>
      <w:spacing w:before="120" w:after="120"/>
      <w:outlineLvl w:val="2"/>
    </w:pPr>
    <w:rPr>
      <w:b/>
      <w:sz w:val="24"/>
      <w:szCs w:val="28"/>
    </w:rPr>
  </w:style>
  <w:style w:type="paragraph" w:customStyle="1" w:styleId="ENoteTTIndentHeading">
    <w:name w:val="ENoteTTIndentHeading"/>
    <w:aliases w:val="enTTHi"/>
    <w:basedOn w:val="OPCParaBase"/>
    <w:rsid w:val="002436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36FD"/>
    <w:pPr>
      <w:spacing w:before="60" w:line="240" w:lineRule="atLeast"/>
    </w:pPr>
    <w:rPr>
      <w:sz w:val="16"/>
    </w:rPr>
  </w:style>
  <w:style w:type="paragraph" w:customStyle="1" w:styleId="MadeunderText">
    <w:name w:val="MadeunderText"/>
    <w:basedOn w:val="OPCParaBase"/>
    <w:next w:val="Normal"/>
    <w:rsid w:val="002436FD"/>
    <w:pPr>
      <w:spacing w:before="240"/>
    </w:pPr>
    <w:rPr>
      <w:sz w:val="24"/>
      <w:szCs w:val="24"/>
    </w:rPr>
  </w:style>
  <w:style w:type="paragraph" w:customStyle="1" w:styleId="ENotesHeading3">
    <w:name w:val="ENotesHeading 3"/>
    <w:aliases w:val="Enh3"/>
    <w:basedOn w:val="OPCParaBase"/>
    <w:next w:val="Normal"/>
    <w:rsid w:val="002436FD"/>
    <w:pPr>
      <w:keepNext/>
      <w:spacing w:before="120" w:line="240" w:lineRule="auto"/>
      <w:outlineLvl w:val="4"/>
    </w:pPr>
    <w:rPr>
      <w:b/>
      <w:szCs w:val="24"/>
    </w:rPr>
  </w:style>
  <w:style w:type="paragraph" w:customStyle="1" w:styleId="SubPartCASA">
    <w:name w:val="SubPart(CASA)"/>
    <w:aliases w:val="csp"/>
    <w:basedOn w:val="OPCParaBase"/>
    <w:next w:val="ActHead3"/>
    <w:rsid w:val="002436FD"/>
    <w:pPr>
      <w:keepNext/>
      <w:keepLines/>
      <w:spacing w:before="280"/>
      <w:outlineLvl w:val="1"/>
    </w:pPr>
    <w:rPr>
      <w:b/>
      <w:kern w:val="28"/>
      <w:sz w:val="32"/>
    </w:rPr>
  </w:style>
  <w:style w:type="character" w:customStyle="1" w:styleId="CharSubPartTextCASA">
    <w:name w:val="CharSubPartText(CASA)"/>
    <w:basedOn w:val="OPCCharBase"/>
    <w:uiPriority w:val="1"/>
    <w:rsid w:val="002436FD"/>
  </w:style>
  <w:style w:type="character" w:customStyle="1" w:styleId="CharSubPartNoCASA">
    <w:name w:val="CharSubPartNo(CASA)"/>
    <w:basedOn w:val="OPCCharBase"/>
    <w:uiPriority w:val="1"/>
    <w:rsid w:val="002436FD"/>
  </w:style>
  <w:style w:type="paragraph" w:customStyle="1" w:styleId="ENoteTTIndentHeadingSub">
    <w:name w:val="ENoteTTIndentHeadingSub"/>
    <w:aliases w:val="enTTHis"/>
    <w:basedOn w:val="OPCParaBase"/>
    <w:rsid w:val="002436FD"/>
    <w:pPr>
      <w:keepNext/>
      <w:spacing w:before="60" w:line="240" w:lineRule="atLeast"/>
      <w:ind w:left="340"/>
    </w:pPr>
    <w:rPr>
      <w:b/>
      <w:sz w:val="16"/>
    </w:rPr>
  </w:style>
  <w:style w:type="paragraph" w:customStyle="1" w:styleId="ENoteTTiSub">
    <w:name w:val="ENoteTTiSub"/>
    <w:aliases w:val="enttis"/>
    <w:basedOn w:val="OPCParaBase"/>
    <w:rsid w:val="002436FD"/>
    <w:pPr>
      <w:keepNext/>
      <w:spacing w:before="60" w:line="240" w:lineRule="atLeast"/>
      <w:ind w:left="340"/>
    </w:pPr>
    <w:rPr>
      <w:sz w:val="16"/>
    </w:rPr>
  </w:style>
  <w:style w:type="paragraph" w:customStyle="1" w:styleId="SubDivisionMigration">
    <w:name w:val="SubDivisionMigration"/>
    <w:aliases w:val="sdm"/>
    <w:basedOn w:val="OPCParaBase"/>
    <w:rsid w:val="002436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36FD"/>
    <w:pPr>
      <w:keepNext/>
      <w:keepLines/>
      <w:spacing w:before="240" w:line="240" w:lineRule="auto"/>
      <w:ind w:left="1134" w:hanging="1134"/>
    </w:pPr>
    <w:rPr>
      <w:b/>
      <w:sz w:val="28"/>
    </w:rPr>
  </w:style>
  <w:style w:type="table" w:styleId="TableGrid">
    <w:name w:val="Table Grid"/>
    <w:basedOn w:val="TableNormal"/>
    <w:uiPriority w:val="59"/>
    <w:rsid w:val="0024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436F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2436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36FD"/>
    <w:rPr>
      <w:sz w:val="22"/>
    </w:rPr>
  </w:style>
  <w:style w:type="paragraph" w:customStyle="1" w:styleId="SOTextNote">
    <w:name w:val="SO TextNote"/>
    <w:aliases w:val="sont"/>
    <w:basedOn w:val="SOText"/>
    <w:qFormat/>
    <w:rsid w:val="002436FD"/>
    <w:pPr>
      <w:spacing w:before="122" w:line="198" w:lineRule="exact"/>
      <w:ind w:left="1843" w:hanging="709"/>
    </w:pPr>
    <w:rPr>
      <w:sz w:val="18"/>
    </w:rPr>
  </w:style>
  <w:style w:type="paragraph" w:customStyle="1" w:styleId="SOPara">
    <w:name w:val="SO Para"/>
    <w:aliases w:val="soa"/>
    <w:basedOn w:val="SOText"/>
    <w:link w:val="SOParaChar"/>
    <w:qFormat/>
    <w:rsid w:val="002436FD"/>
    <w:pPr>
      <w:tabs>
        <w:tab w:val="right" w:pos="1786"/>
      </w:tabs>
      <w:spacing w:before="40"/>
      <w:ind w:left="2070" w:hanging="936"/>
    </w:pPr>
  </w:style>
  <w:style w:type="character" w:customStyle="1" w:styleId="SOParaChar">
    <w:name w:val="SO Para Char"/>
    <w:aliases w:val="soa Char"/>
    <w:basedOn w:val="DefaultParagraphFont"/>
    <w:link w:val="SOPara"/>
    <w:rsid w:val="002436FD"/>
    <w:rPr>
      <w:sz w:val="22"/>
    </w:rPr>
  </w:style>
  <w:style w:type="paragraph" w:customStyle="1" w:styleId="FileName">
    <w:name w:val="FileName"/>
    <w:basedOn w:val="Normal"/>
    <w:rsid w:val="002436FD"/>
  </w:style>
  <w:style w:type="paragraph" w:customStyle="1" w:styleId="SOHeadBold">
    <w:name w:val="SO HeadBold"/>
    <w:aliases w:val="sohb"/>
    <w:basedOn w:val="SOText"/>
    <w:next w:val="SOText"/>
    <w:link w:val="SOHeadBoldChar"/>
    <w:qFormat/>
    <w:rsid w:val="002436FD"/>
    <w:rPr>
      <w:b/>
    </w:rPr>
  </w:style>
  <w:style w:type="character" w:customStyle="1" w:styleId="SOHeadBoldChar">
    <w:name w:val="SO HeadBold Char"/>
    <w:aliases w:val="sohb Char"/>
    <w:basedOn w:val="DefaultParagraphFont"/>
    <w:link w:val="SOHeadBold"/>
    <w:rsid w:val="002436FD"/>
    <w:rPr>
      <w:b/>
      <w:sz w:val="22"/>
    </w:rPr>
  </w:style>
  <w:style w:type="paragraph" w:customStyle="1" w:styleId="SOHeadItalic">
    <w:name w:val="SO HeadItalic"/>
    <w:aliases w:val="sohi"/>
    <w:basedOn w:val="SOText"/>
    <w:next w:val="SOText"/>
    <w:link w:val="SOHeadItalicChar"/>
    <w:qFormat/>
    <w:rsid w:val="002436FD"/>
    <w:rPr>
      <w:i/>
    </w:rPr>
  </w:style>
  <w:style w:type="character" w:customStyle="1" w:styleId="SOHeadItalicChar">
    <w:name w:val="SO HeadItalic Char"/>
    <w:aliases w:val="sohi Char"/>
    <w:basedOn w:val="DefaultParagraphFont"/>
    <w:link w:val="SOHeadItalic"/>
    <w:rsid w:val="002436FD"/>
    <w:rPr>
      <w:i/>
      <w:sz w:val="22"/>
    </w:rPr>
  </w:style>
  <w:style w:type="paragraph" w:customStyle="1" w:styleId="SOBullet">
    <w:name w:val="SO Bullet"/>
    <w:aliases w:val="sotb"/>
    <w:basedOn w:val="SOText"/>
    <w:link w:val="SOBulletChar"/>
    <w:qFormat/>
    <w:rsid w:val="002436FD"/>
    <w:pPr>
      <w:ind w:left="1559" w:hanging="425"/>
    </w:pPr>
  </w:style>
  <w:style w:type="character" w:customStyle="1" w:styleId="SOBulletChar">
    <w:name w:val="SO Bullet Char"/>
    <w:aliases w:val="sotb Char"/>
    <w:basedOn w:val="DefaultParagraphFont"/>
    <w:link w:val="SOBullet"/>
    <w:rsid w:val="002436FD"/>
    <w:rPr>
      <w:sz w:val="22"/>
    </w:rPr>
  </w:style>
  <w:style w:type="paragraph" w:customStyle="1" w:styleId="SOBulletNote">
    <w:name w:val="SO BulletNote"/>
    <w:aliases w:val="sonb"/>
    <w:basedOn w:val="SOTextNote"/>
    <w:link w:val="SOBulletNoteChar"/>
    <w:qFormat/>
    <w:rsid w:val="002436FD"/>
    <w:pPr>
      <w:tabs>
        <w:tab w:val="left" w:pos="1560"/>
      </w:tabs>
      <w:ind w:left="2268" w:hanging="1134"/>
    </w:pPr>
  </w:style>
  <w:style w:type="character" w:customStyle="1" w:styleId="SOBulletNoteChar">
    <w:name w:val="SO BulletNote Char"/>
    <w:aliases w:val="sonb Char"/>
    <w:basedOn w:val="DefaultParagraphFont"/>
    <w:link w:val="SOBulletNote"/>
    <w:rsid w:val="002436FD"/>
    <w:rPr>
      <w:sz w:val="18"/>
    </w:rPr>
  </w:style>
  <w:style w:type="paragraph" w:customStyle="1" w:styleId="SOText2">
    <w:name w:val="SO Text2"/>
    <w:aliases w:val="sot2"/>
    <w:basedOn w:val="Normal"/>
    <w:next w:val="SOText"/>
    <w:link w:val="SOText2Char"/>
    <w:rsid w:val="002436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36FD"/>
    <w:rPr>
      <w:sz w:val="22"/>
    </w:rPr>
  </w:style>
  <w:style w:type="paragraph" w:customStyle="1" w:styleId="Transitional">
    <w:name w:val="Transitional"/>
    <w:aliases w:val="tr"/>
    <w:basedOn w:val="ItemHead"/>
    <w:next w:val="Item"/>
    <w:rsid w:val="002436FD"/>
  </w:style>
  <w:style w:type="character" w:customStyle="1" w:styleId="paragraphChar">
    <w:name w:val="paragraph Char"/>
    <w:aliases w:val="a Char"/>
    <w:link w:val="paragraph"/>
    <w:rsid w:val="00862389"/>
    <w:rPr>
      <w:rFonts w:eastAsia="Times New Roman" w:cs="Times New Roman"/>
      <w:sz w:val="22"/>
      <w:lang w:eastAsia="en-AU"/>
    </w:rPr>
  </w:style>
  <w:style w:type="character" w:customStyle="1" w:styleId="subsectionChar">
    <w:name w:val="subsection Char"/>
    <w:aliases w:val="ss Char"/>
    <w:link w:val="subsection"/>
    <w:rsid w:val="008C568D"/>
    <w:rPr>
      <w:rFonts w:eastAsia="Times New Roman" w:cs="Times New Roman"/>
      <w:sz w:val="22"/>
      <w:lang w:eastAsia="en-AU"/>
    </w:rPr>
  </w:style>
  <w:style w:type="character" w:customStyle="1" w:styleId="Heading1Char">
    <w:name w:val="Heading 1 Char"/>
    <w:basedOn w:val="DefaultParagraphFont"/>
    <w:link w:val="Heading1"/>
    <w:uiPriority w:val="9"/>
    <w:rsid w:val="005024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24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24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24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24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24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24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24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24CA"/>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D95C97"/>
    <w:rPr>
      <w:rFonts w:eastAsia="Times New Roman" w:cs="Times New Roman"/>
      <w:sz w:val="18"/>
      <w:lang w:eastAsia="en-AU"/>
    </w:rPr>
  </w:style>
  <w:style w:type="paragraph" w:customStyle="1" w:styleId="ShortTP1">
    <w:name w:val="ShortTP1"/>
    <w:basedOn w:val="ShortT"/>
    <w:link w:val="ShortTP1Char"/>
    <w:rsid w:val="00DA0C60"/>
    <w:pPr>
      <w:spacing w:before="800"/>
    </w:pPr>
  </w:style>
  <w:style w:type="character" w:customStyle="1" w:styleId="OPCParaBaseChar">
    <w:name w:val="OPCParaBase Char"/>
    <w:basedOn w:val="DefaultParagraphFont"/>
    <w:link w:val="OPCParaBase"/>
    <w:rsid w:val="00DA0C60"/>
    <w:rPr>
      <w:rFonts w:eastAsia="Times New Roman" w:cs="Times New Roman"/>
      <w:sz w:val="22"/>
      <w:lang w:eastAsia="en-AU"/>
    </w:rPr>
  </w:style>
  <w:style w:type="character" w:customStyle="1" w:styleId="ShortTChar">
    <w:name w:val="ShortT Char"/>
    <w:basedOn w:val="OPCParaBaseChar"/>
    <w:link w:val="ShortT"/>
    <w:rsid w:val="00DA0C60"/>
    <w:rPr>
      <w:rFonts w:eastAsia="Times New Roman" w:cs="Times New Roman"/>
      <w:b/>
      <w:sz w:val="40"/>
      <w:lang w:eastAsia="en-AU"/>
    </w:rPr>
  </w:style>
  <w:style w:type="character" w:customStyle="1" w:styleId="ShortTP1Char">
    <w:name w:val="ShortTP1 Char"/>
    <w:basedOn w:val="ShortTChar"/>
    <w:link w:val="ShortTP1"/>
    <w:rsid w:val="00DA0C60"/>
    <w:rPr>
      <w:rFonts w:eastAsia="Times New Roman" w:cs="Times New Roman"/>
      <w:b/>
      <w:sz w:val="40"/>
      <w:lang w:eastAsia="en-AU"/>
    </w:rPr>
  </w:style>
  <w:style w:type="paragraph" w:customStyle="1" w:styleId="ActNoP1">
    <w:name w:val="ActNoP1"/>
    <w:basedOn w:val="Actno"/>
    <w:link w:val="ActNoP1Char"/>
    <w:rsid w:val="00DA0C60"/>
    <w:pPr>
      <w:spacing w:before="800"/>
    </w:pPr>
    <w:rPr>
      <w:sz w:val="28"/>
    </w:rPr>
  </w:style>
  <w:style w:type="character" w:customStyle="1" w:styleId="ActnoChar">
    <w:name w:val="Actno Char"/>
    <w:basedOn w:val="ShortTChar"/>
    <w:link w:val="Actno"/>
    <w:rsid w:val="00DA0C60"/>
    <w:rPr>
      <w:rFonts w:eastAsia="Times New Roman" w:cs="Times New Roman"/>
      <w:b/>
      <w:sz w:val="40"/>
      <w:lang w:eastAsia="en-AU"/>
    </w:rPr>
  </w:style>
  <w:style w:type="character" w:customStyle="1" w:styleId="ActNoP1Char">
    <w:name w:val="ActNoP1 Char"/>
    <w:basedOn w:val="ActnoChar"/>
    <w:link w:val="ActNoP1"/>
    <w:rsid w:val="00DA0C60"/>
    <w:rPr>
      <w:rFonts w:eastAsia="Times New Roman" w:cs="Times New Roman"/>
      <w:b/>
      <w:sz w:val="28"/>
      <w:lang w:eastAsia="en-AU"/>
    </w:rPr>
  </w:style>
  <w:style w:type="paragraph" w:customStyle="1" w:styleId="ShortTCP">
    <w:name w:val="ShortTCP"/>
    <w:basedOn w:val="ShortT"/>
    <w:link w:val="ShortTCPChar"/>
    <w:rsid w:val="00DA0C60"/>
  </w:style>
  <w:style w:type="character" w:customStyle="1" w:styleId="ShortTCPChar">
    <w:name w:val="ShortTCP Char"/>
    <w:basedOn w:val="ShortTChar"/>
    <w:link w:val="ShortTCP"/>
    <w:rsid w:val="00DA0C60"/>
    <w:rPr>
      <w:rFonts w:eastAsia="Times New Roman" w:cs="Times New Roman"/>
      <w:b/>
      <w:sz w:val="40"/>
      <w:lang w:eastAsia="en-AU"/>
    </w:rPr>
  </w:style>
  <w:style w:type="paragraph" w:customStyle="1" w:styleId="ActNoCP">
    <w:name w:val="ActNoCP"/>
    <w:basedOn w:val="Actno"/>
    <w:link w:val="ActNoCPChar"/>
    <w:rsid w:val="00DA0C60"/>
    <w:pPr>
      <w:spacing w:before="400"/>
    </w:pPr>
  </w:style>
  <w:style w:type="character" w:customStyle="1" w:styleId="ActNoCPChar">
    <w:name w:val="ActNoCP Char"/>
    <w:basedOn w:val="ActnoChar"/>
    <w:link w:val="ActNoCP"/>
    <w:rsid w:val="00DA0C60"/>
    <w:rPr>
      <w:rFonts w:eastAsia="Times New Roman" w:cs="Times New Roman"/>
      <w:b/>
      <w:sz w:val="40"/>
      <w:lang w:eastAsia="en-AU"/>
    </w:rPr>
  </w:style>
  <w:style w:type="paragraph" w:customStyle="1" w:styleId="AssentBk">
    <w:name w:val="AssentBk"/>
    <w:basedOn w:val="Normal"/>
    <w:rsid w:val="00DA0C60"/>
    <w:pPr>
      <w:spacing w:line="240" w:lineRule="auto"/>
    </w:pPr>
    <w:rPr>
      <w:rFonts w:eastAsia="Times New Roman" w:cs="Times New Roman"/>
      <w:sz w:val="20"/>
      <w:lang w:eastAsia="en-AU"/>
    </w:rPr>
  </w:style>
  <w:style w:type="paragraph" w:customStyle="1" w:styleId="AssentDt">
    <w:name w:val="AssentDt"/>
    <w:basedOn w:val="Normal"/>
    <w:rsid w:val="00300329"/>
    <w:pPr>
      <w:spacing w:line="240" w:lineRule="auto"/>
    </w:pPr>
    <w:rPr>
      <w:rFonts w:eastAsia="Times New Roman" w:cs="Times New Roman"/>
      <w:sz w:val="20"/>
      <w:lang w:eastAsia="en-AU"/>
    </w:rPr>
  </w:style>
  <w:style w:type="paragraph" w:customStyle="1" w:styleId="2ndRd">
    <w:name w:val="2ndRd"/>
    <w:basedOn w:val="Normal"/>
    <w:rsid w:val="00300329"/>
    <w:pPr>
      <w:spacing w:line="240" w:lineRule="auto"/>
    </w:pPr>
    <w:rPr>
      <w:rFonts w:eastAsia="Times New Roman" w:cs="Times New Roman"/>
      <w:sz w:val="20"/>
      <w:lang w:eastAsia="en-AU"/>
    </w:rPr>
  </w:style>
  <w:style w:type="paragraph" w:customStyle="1" w:styleId="ScalePlusRef">
    <w:name w:val="ScalePlusRef"/>
    <w:basedOn w:val="Normal"/>
    <w:rsid w:val="0030032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36FD"/>
    <w:pPr>
      <w:spacing w:line="260" w:lineRule="atLeast"/>
    </w:pPr>
    <w:rPr>
      <w:sz w:val="22"/>
    </w:rPr>
  </w:style>
  <w:style w:type="paragraph" w:styleId="Heading1">
    <w:name w:val="heading 1"/>
    <w:basedOn w:val="Normal"/>
    <w:next w:val="Normal"/>
    <w:link w:val="Heading1Char"/>
    <w:uiPriority w:val="9"/>
    <w:qFormat/>
    <w:rsid w:val="005024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24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24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24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24C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24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24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24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36FD"/>
  </w:style>
  <w:style w:type="paragraph" w:customStyle="1" w:styleId="OPCParaBase">
    <w:name w:val="OPCParaBase"/>
    <w:link w:val="OPCParaBaseChar"/>
    <w:qFormat/>
    <w:rsid w:val="002436F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436FD"/>
    <w:pPr>
      <w:spacing w:line="240" w:lineRule="auto"/>
    </w:pPr>
    <w:rPr>
      <w:b/>
      <w:sz w:val="40"/>
    </w:rPr>
  </w:style>
  <w:style w:type="paragraph" w:customStyle="1" w:styleId="ActHead1">
    <w:name w:val="ActHead 1"/>
    <w:aliases w:val="c"/>
    <w:basedOn w:val="OPCParaBase"/>
    <w:next w:val="Normal"/>
    <w:qFormat/>
    <w:rsid w:val="002436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36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36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36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436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36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36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36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36F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436FD"/>
  </w:style>
  <w:style w:type="paragraph" w:customStyle="1" w:styleId="Blocks">
    <w:name w:val="Blocks"/>
    <w:aliases w:val="bb"/>
    <w:basedOn w:val="OPCParaBase"/>
    <w:qFormat/>
    <w:rsid w:val="002436FD"/>
    <w:pPr>
      <w:spacing w:line="240" w:lineRule="auto"/>
    </w:pPr>
    <w:rPr>
      <w:sz w:val="24"/>
    </w:rPr>
  </w:style>
  <w:style w:type="paragraph" w:customStyle="1" w:styleId="BoxText">
    <w:name w:val="BoxText"/>
    <w:aliases w:val="bt"/>
    <w:basedOn w:val="OPCParaBase"/>
    <w:qFormat/>
    <w:rsid w:val="002436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36FD"/>
    <w:rPr>
      <w:b/>
    </w:rPr>
  </w:style>
  <w:style w:type="paragraph" w:customStyle="1" w:styleId="BoxHeadItalic">
    <w:name w:val="BoxHeadItalic"/>
    <w:aliases w:val="bhi"/>
    <w:basedOn w:val="BoxText"/>
    <w:next w:val="BoxStep"/>
    <w:qFormat/>
    <w:rsid w:val="002436FD"/>
    <w:rPr>
      <w:i/>
    </w:rPr>
  </w:style>
  <w:style w:type="paragraph" w:customStyle="1" w:styleId="BoxList">
    <w:name w:val="BoxList"/>
    <w:aliases w:val="bl"/>
    <w:basedOn w:val="BoxText"/>
    <w:qFormat/>
    <w:rsid w:val="002436FD"/>
    <w:pPr>
      <w:ind w:left="1559" w:hanging="425"/>
    </w:pPr>
  </w:style>
  <w:style w:type="paragraph" w:customStyle="1" w:styleId="BoxNote">
    <w:name w:val="BoxNote"/>
    <w:aliases w:val="bn"/>
    <w:basedOn w:val="BoxText"/>
    <w:qFormat/>
    <w:rsid w:val="002436FD"/>
    <w:pPr>
      <w:tabs>
        <w:tab w:val="left" w:pos="1985"/>
      </w:tabs>
      <w:spacing w:before="122" w:line="198" w:lineRule="exact"/>
      <w:ind w:left="2948" w:hanging="1814"/>
    </w:pPr>
    <w:rPr>
      <w:sz w:val="18"/>
    </w:rPr>
  </w:style>
  <w:style w:type="paragraph" w:customStyle="1" w:styleId="BoxPara">
    <w:name w:val="BoxPara"/>
    <w:aliases w:val="bp"/>
    <w:basedOn w:val="BoxText"/>
    <w:qFormat/>
    <w:rsid w:val="002436FD"/>
    <w:pPr>
      <w:tabs>
        <w:tab w:val="right" w:pos="2268"/>
      </w:tabs>
      <w:ind w:left="2552" w:hanging="1418"/>
    </w:pPr>
  </w:style>
  <w:style w:type="paragraph" w:customStyle="1" w:styleId="BoxStep">
    <w:name w:val="BoxStep"/>
    <w:aliases w:val="bs"/>
    <w:basedOn w:val="BoxText"/>
    <w:qFormat/>
    <w:rsid w:val="002436FD"/>
    <w:pPr>
      <w:ind w:left="1985" w:hanging="851"/>
    </w:pPr>
  </w:style>
  <w:style w:type="character" w:customStyle="1" w:styleId="CharAmPartNo">
    <w:name w:val="CharAmPartNo"/>
    <w:basedOn w:val="OPCCharBase"/>
    <w:qFormat/>
    <w:rsid w:val="002436FD"/>
  </w:style>
  <w:style w:type="character" w:customStyle="1" w:styleId="CharAmPartText">
    <w:name w:val="CharAmPartText"/>
    <w:basedOn w:val="OPCCharBase"/>
    <w:qFormat/>
    <w:rsid w:val="002436FD"/>
  </w:style>
  <w:style w:type="character" w:customStyle="1" w:styleId="CharAmSchNo">
    <w:name w:val="CharAmSchNo"/>
    <w:basedOn w:val="OPCCharBase"/>
    <w:qFormat/>
    <w:rsid w:val="002436FD"/>
  </w:style>
  <w:style w:type="character" w:customStyle="1" w:styleId="CharAmSchText">
    <w:name w:val="CharAmSchText"/>
    <w:basedOn w:val="OPCCharBase"/>
    <w:qFormat/>
    <w:rsid w:val="002436FD"/>
  </w:style>
  <w:style w:type="character" w:customStyle="1" w:styleId="CharBoldItalic">
    <w:name w:val="CharBoldItalic"/>
    <w:basedOn w:val="OPCCharBase"/>
    <w:uiPriority w:val="1"/>
    <w:qFormat/>
    <w:rsid w:val="002436FD"/>
    <w:rPr>
      <w:b/>
      <w:i/>
    </w:rPr>
  </w:style>
  <w:style w:type="character" w:customStyle="1" w:styleId="CharChapNo">
    <w:name w:val="CharChapNo"/>
    <w:basedOn w:val="OPCCharBase"/>
    <w:uiPriority w:val="1"/>
    <w:qFormat/>
    <w:rsid w:val="002436FD"/>
  </w:style>
  <w:style w:type="character" w:customStyle="1" w:styleId="CharChapText">
    <w:name w:val="CharChapText"/>
    <w:basedOn w:val="OPCCharBase"/>
    <w:uiPriority w:val="1"/>
    <w:qFormat/>
    <w:rsid w:val="002436FD"/>
  </w:style>
  <w:style w:type="character" w:customStyle="1" w:styleId="CharDivNo">
    <w:name w:val="CharDivNo"/>
    <w:basedOn w:val="OPCCharBase"/>
    <w:uiPriority w:val="1"/>
    <w:qFormat/>
    <w:rsid w:val="002436FD"/>
  </w:style>
  <w:style w:type="character" w:customStyle="1" w:styleId="CharDivText">
    <w:name w:val="CharDivText"/>
    <w:basedOn w:val="OPCCharBase"/>
    <w:uiPriority w:val="1"/>
    <w:qFormat/>
    <w:rsid w:val="002436FD"/>
  </w:style>
  <w:style w:type="character" w:customStyle="1" w:styleId="CharItalic">
    <w:name w:val="CharItalic"/>
    <w:basedOn w:val="OPCCharBase"/>
    <w:uiPriority w:val="1"/>
    <w:qFormat/>
    <w:rsid w:val="002436FD"/>
    <w:rPr>
      <w:i/>
    </w:rPr>
  </w:style>
  <w:style w:type="character" w:customStyle="1" w:styleId="CharPartNo">
    <w:name w:val="CharPartNo"/>
    <w:basedOn w:val="OPCCharBase"/>
    <w:uiPriority w:val="1"/>
    <w:qFormat/>
    <w:rsid w:val="002436FD"/>
  </w:style>
  <w:style w:type="character" w:customStyle="1" w:styleId="CharPartText">
    <w:name w:val="CharPartText"/>
    <w:basedOn w:val="OPCCharBase"/>
    <w:uiPriority w:val="1"/>
    <w:qFormat/>
    <w:rsid w:val="002436FD"/>
  </w:style>
  <w:style w:type="character" w:customStyle="1" w:styleId="CharSectno">
    <w:name w:val="CharSectno"/>
    <w:basedOn w:val="OPCCharBase"/>
    <w:qFormat/>
    <w:rsid w:val="002436FD"/>
  </w:style>
  <w:style w:type="character" w:customStyle="1" w:styleId="CharSubdNo">
    <w:name w:val="CharSubdNo"/>
    <w:basedOn w:val="OPCCharBase"/>
    <w:uiPriority w:val="1"/>
    <w:qFormat/>
    <w:rsid w:val="002436FD"/>
  </w:style>
  <w:style w:type="character" w:customStyle="1" w:styleId="CharSubdText">
    <w:name w:val="CharSubdText"/>
    <w:basedOn w:val="OPCCharBase"/>
    <w:uiPriority w:val="1"/>
    <w:qFormat/>
    <w:rsid w:val="002436FD"/>
  </w:style>
  <w:style w:type="paragraph" w:customStyle="1" w:styleId="CTA--">
    <w:name w:val="CTA --"/>
    <w:basedOn w:val="OPCParaBase"/>
    <w:next w:val="Normal"/>
    <w:rsid w:val="002436FD"/>
    <w:pPr>
      <w:spacing w:before="60" w:line="240" w:lineRule="atLeast"/>
      <w:ind w:left="142" w:hanging="142"/>
    </w:pPr>
    <w:rPr>
      <w:sz w:val="20"/>
    </w:rPr>
  </w:style>
  <w:style w:type="paragraph" w:customStyle="1" w:styleId="CTA-">
    <w:name w:val="CTA -"/>
    <w:basedOn w:val="OPCParaBase"/>
    <w:rsid w:val="002436FD"/>
    <w:pPr>
      <w:spacing w:before="60" w:line="240" w:lineRule="atLeast"/>
      <w:ind w:left="85" w:hanging="85"/>
    </w:pPr>
    <w:rPr>
      <w:sz w:val="20"/>
    </w:rPr>
  </w:style>
  <w:style w:type="paragraph" w:customStyle="1" w:styleId="CTA---">
    <w:name w:val="CTA ---"/>
    <w:basedOn w:val="OPCParaBase"/>
    <w:next w:val="Normal"/>
    <w:rsid w:val="002436FD"/>
    <w:pPr>
      <w:spacing w:before="60" w:line="240" w:lineRule="atLeast"/>
      <w:ind w:left="198" w:hanging="198"/>
    </w:pPr>
    <w:rPr>
      <w:sz w:val="20"/>
    </w:rPr>
  </w:style>
  <w:style w:type="paragraph" w:customStyle="1" w:styleId="CTA----">
    <w:name w:val="CTA ----"/>
    <w:basedOn w:val="OPCParaBase"/>
    <w:next w:val="Normal"/>
    <w:rsid w:val="002436FD"/>
    <w:pPr>
      <w:spacing w:before="60" w:line="240" w:lineRule="atLeast"/>
      <w:ind w:left="255" w:hanging="255"/>
    </w:pPr>
    <w:rPr>
      <w:sz w:val="20"/>
    </w:rPr>
  </w:style>
  <w:style w:type="paragraph" w:customStyle="1" w:styleId="CTA1a">
    <w:name w:val="CTA 1(a)"/>
    <w:basedOn w:val="OPCParaBase"/>
    <w:rsid w:val="002436FD"/>
    <w:pPr>
      <w:tabs>
        <w:tab w:val="right" w:pos="414"/>
      </w:tabs>
      <w:spacing w:before="40" w:line="240" w:lineRule="atLeast"/>
      <w:ind w:left="675" w:hanging="675"/>
    </w:pPr>
    <w:rPr>
      <w:sz w:val="20"/>
    </w:rPr>
  </w:style>
  <w:style w:type="paragraph" w:customStyle="1" w:styleId="CTA1ai">
    <w:name w:val="CTA 1(a)(i)"/>
    <w:basedOn w:val="OPCParaBase"/>
    <w:rsid w:val="002436FD"/>
    <w:pPr>
      <w:tabs>
        <w:tab w:val="right" w:pos="1004"/>
      </w:tabs>
      <w:spacing w:before="40" w:line="240" w:lineRule="atLeast"/>
      <w:ind w:left="1253" w:hanging="1253"/>
    </w:pPr>
    <w:rPr>
      <w:sz w:val="20"/>
    </w:rPr>
  </w:style>
  <w:style w:type="paragraph" w:customStyle="1" w:styleId="CTA2a">
    <w:name w:val="CTA 2(a)"/>
    <w:basedOn w:val="OPCParaBase"/>
    <w:rsid w:val="002436FD"/>
    <w:pPr>
      <w:tabs>
        <w:tab w:val="right" w:pos="482"/>
      </w:tabs>
      <w:spacing w:before="40" w:line="240" w:lineRule="atLeast"/>
      <w:ind w:left="748" w:hanging="748"/>
    </w:pPr>
    <w:rPr>
      <w:sz w:val="20"/>
    </w:rPr>
  </w:style>
  <w:style w:type="paragraph" w:customStyle="1" w:styleId="CTA2ai">
    <w:name w:val="CTA 2(a)(i)"/>
    <w:basedOn w:val="OPCParaBase"/>
    <w:rsid w:val="002436FD"/>
    <w:pPr>
      <w:tabs>
        <w:tab w:val="right" w:pos="1089"/>
      </w:tabs>
      <w:spacing w:before="40" w:line="240" w:lineRule="atLeast"/>
      <w:ind w:left="1327" w:hanging="1327"/>
    </w:pPr>
    <w:rPr>
      <w:sz w:val="20"/>
    </w:rPr>
  </w:style>
  <w:style w:type="paragraph" w:customStyle="1" w:styleId="CTA3a">
    <w:name w:val="CTA 3(a)"/>
    <w:basedOn w:val="OPCParaBase"/>
    <w:rsid w:val="002436FD"/>
    <w:pPr>
      <w:tabs>
        <w:tab w:val="right" w:pos="556"/>
      </w:tabs>
      <w:spacing w:before="40" w:line="240" w:lineRule="atLeast"/>
      <w:ind w:left="805" w:hanging="805"/>
    </w:pPr>
    <w:rPr>
      <w:sz w:val="20"/>
    </w:rPr>
  </w:style>
  <w:style w:type="paragraph" w:customStyle="1" w:styleId="CTA3ai">
    <w:name w:val="CTA 3(a)(i)"/>
    <w:basedOn w:val="OPCParaBase"/>
    <w:rsid w:val="002436FD"/>
    <w:pPr>
      <w:tabs>
        <w:tab w:val="right" w:pos="1140"/>
      </w:tabs>
      <w:spacing w:before="40" w:line="240" w:lineRule="atLeast"/>
      <w:ind w:left="1361" w:hanging="1361"/>
    </w:pPr>
    <w:rPr>
      <w:sz w:val="20"/>
    </w:rPr>
  </w:style>
  <w:style w:type="paragraph" w:customStyle="1" w:styleId="CTA4a">
    <w:name w:val="CTA 4(a)"/>
    <w:basedOn w:val="OPCParaBase"/>
    <w:rsid w:val="002436FD"/>
    <w:pPr>
      <w:tabs>
        <w:tab w:val="right" w:pos="624"/>
      </w:tabs>
      <w:spacing w:before="40" w:line="240" w:lineRule="atLeast"/>
      <w:ind w:left="873" w:hanging="873"/>
    </w:pPr>
    <w:rPr>
      <w:sz w:val="20"/>
    </w:rPr>
  </w:style>
  <w:style w:type="paragraph" w:customStyle="1" w:styleId="CTA4ai">
    <w:name w:val="CTA 4(a)(i)"/>
    <w:basedOn w:val="OPCParaBase"/>
    <w:rsid w:val="002436FD"/>
    <w:pPr>
      <w:tabs>
        <w:tab w:val="right" w:pos="1213"/>
      </w:tabs>
      <w:spacing w:before="40" w:line="240" w:lineRule="atLeast"/>
      <w:ind w:left="1452" w:hanging="1452"/>
    </w:pPr>
    <w:rPr>
      <w:sz w:val="20"/>
    </w:rPr>
  </w:style>
  <w:style w:type="paragraph" w:customStyle="1" w:styleId="CTACAPS">
    <w:name w:val="CTA CAPS"/>
    <w:basedOn w:val="OPCParaBase"/>
    <w:rsid w:val="002436FD"/>
    <w:pPr>
      <w:spacing w:before="60" w:line="240" w:lineRule="atLeast"/>
    </w:pPr>
    <w:rPr>
      <w:sz w:val="20"/>
    </w:rPr>
  </w:style>
  <w:style w:type="paragraph" w:customStyle="1" w:styleId="CTAright">
    <w:name w:val="CTA right"/>
    <w:basedOn w:val="OPCParaBase"/>
    <w:rsid w:val="002436FD"/>
    <w:pPr>
      <w:spacing w:before="60" w:line="240" w:lineRule="auto"/>
      <w:jc w:val="right"/>
    </w:pPr>
    <w:rPr>
      <w:sz w:val="20"/>
    </w:rPr>
  </w:style>
  <w:style w:type="paragraph" w:customStyle="1" w:styleId="subsection">
    <w:name w:val="subsection"/>
    <w:aliases w:val="ss"/>
    <w:basedOn w:val="OPCParaBase"/>
    <w:link w:val="subsectionChar"/>
    <w:rsid w:val="002436FD"/>
    <w:pPr>
      <w:tabs>
        <w:tab w:val="right" w:pos="1021"/>
      </w:tabs>
      <w:spacing w:before="180" w:line="240" w:lineRule="auto"/>
      <w:ind w:left="1134" w:hanging="1134"/>
    </w:pPr>
  </w:style>
  <w:style w:type="paragraph" w:customStyle="1" w:styleId="Definition">
    <w:name w:val="Definition"/>
    <w:aliases w:val="dd"/>
    <w:basedOn w:val="OPCParaBase"/>
    <w:rsid w:val="002436FD"/>
    <w:pPr>
      <w:spacing w:before="180" w:line="240" w:lineRule="auto"/>
      <w:ind w:left="1134"/>
    </w:pPr>
  </w:style>
  <w:style w:type="paragraph" w:customStyle="1" w:styleId="ETAsubitem">
    <w:name w:val="ETA(subitem)"/>
    <w:basedOn w:val="OPCParaBase"/>
    <w:rsid w:val="002436FD"/>
    <w:pPr>
      <w:tabs>
        <w:tab w:val="right" w:pos="340"/>
      </w:tabs>
      <w:spacing w:before="60" w:line="240" w:lineRule="auto"/>
      <w:ind w:left="454" w:hanging="454"/>
    </w:pPr>
    <w:rPr>
      <w:sz w:val="20"/>
    </w:rPr>
  </w:style>
  <w:style w:type="paragraph" w:customStyle="1" w:styleId="ETApara">
    <w:name w:val="ETA(para)"/>
    <w:basedOn w:val="OPCParaBase"/>
    <w:rsid w:val="002436FD"/>
    <w:pPr>
      <w:tabs>
        <w:tab w:val="right" w:pos="754"/>
      </w:tabs>
      <w:spacing w:before="60" w:line="240" w:lineRule="auto"/>
      <w:ind w:left="828" w:hanging="828"/>
    </w:pPr>
    <w:rPr>
      <w:sz w:val="20"/>
    </w:rPr>
  </w:style>
  <w:style w:type="paragraph" w:customStyle="1" w:styleId="ETAsubpara">
    <w:name w:val="ETA(subpara)"/>
    <w:basedOn w:val="OPCParaBase"/>
    <w:rsid w:val="002436FD"/>
    <w:pPr>
      <w:tabs>
        <w:tab w:val="right" w:pos="1083"/>
      </w:tabs>
      <w:spacing w:before="60" w:line="240" w:lineRule="auto"/>
      <w:ind w:left="1191" w:hanging="1191"/>
    </w:pPr>
    <w:rPr>
      <w:sz w:val="20"/>
    </w:rPr>
  </w:style>
  <w:style w:type="paragraph" w:customStyle="1" w:styleId="ETAsub-subpara">
    <w:name w:val="ETA(sub-subpara)"/>
    <w:basedOn w:val="OPCParaBase"/>
    <w:rsid w:val="002436FD"/>
    <w:pPr>
      <w:tabs>
        <w:tab w:val="right" w:pos="1412"/>
      </w:tabs>
      <w:spacing w:before="60" w:line="240" w:lineRule="auto"/>
      <w:ind w:left="1525" w:hanging="1525"/>
    </w:pPr>
    <w:rPr>
      <w:sz w:val="20"/>
    </w:rPr>
  </w:style>
  <w:style w:type="paragraph" w:customStyle="1" w:styleId="Formula">
    <w:name w:val="Formula"/>
    <w:basedOn w:val="OPCParaBase"/>
    <w:rsid w:val="002436FD"/>
    <w:pPr>
      <w:spacing w:line="240" w:lineRule="auto"/>
      <w:ind w:left="1134"/>
    </w:pPr>
    <w:rPr>
      <w:sz w:val="20"/>
    </w:rPr>
  </w:style>
  <w:style w:type="paragraph" w:styleId="Header">
    <w:name w:val="header"/>
    <w:basedOn w:val="OPCParaBase"/>
    <w:link w:val="HeaderChar"/>
    <w:unhideWhenUsed/>
    <w:rsid w:val="002436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36FD"/>
    <w:rPr>
      <w:rFonts w:eastAsia="Times New Roman" w:cs="Times New Roman"/>
      <w:sz w:val="16"/>
      <w:lang w:eastAsia="en-AU"/>
    </w:rPr>
  </w:style>
  <w:style w:type="paragraph" w:customStyle="1" w:styleId="House">
    <w:name w:val="House"/>
    <w:basedOn w:val="OPCParaBase"/>
    <w:rsid w:val="002436FD"/>
    <w:pPr>
      <w:spacing w:line="240" w:lineRule="auto"/>
    </w:pPr>
    <w:rPr>
      <w:sz w:val="28"/>
    </w:rPr>
  </w:style>
  <w:style w:type="paragraph" w:customStyle="1" w:styleId="Item">
    <w:name w:val="Item"/>
    <w:aliases w:val="i"/>
    <w:basedOn w:val="OPCParaBase"/>
    <w:next w:val="ItemHead"/>
    <w:rsid w:val="002436FD"/>
    <w:pPr>
      <w:keepLines/>
      <w:spacing w:before="80" w:line="240" w:lineRule="auto"/>
      <w:ind w:left="709"/>
    </w:pPr>
  </w:style>
  <w:style w:type="paragraph" w:customStyle="1" w:styleId="ItemHead">
    <w:name w:val="ItemHead"/>
    <w:aliases w:val="ih"/>
    <w:basedOn w:val="OPCParaBase"/>
    <w:next w:val="Item"/>
    <w:rsid w:val="002436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36FD"/>
    <w:pPr>
      <w:spacing w:line="240" w:lineRule="auto"/>
    </w:pPr>
    <w:rPr>
      <w:b/>
      <w:sz w:val="32"/>
    </w:rPr>
  </w:style>
  <w:style w:type="paragraph" w:customStyle="1" w:styleId="notedraft">
    <w:name w:val="note(draft)"/>
    <w:aliases w:val="nd"/>
    <w:basedOn w:val="OPCParaBase"/>
    <w:rsid w:val="002436FD"/>
    <w:pPr>
      <w:spacing w:before="240" w:line="240" w:lineRule="auto"/>
      <w:ind w:left="284" w:hanging="284"/>
    </w:pPr>
    <w:rPr>
      <w:i/>
      <w:sz w:val="24"/>
    </w:rPr>
  </w:style>
  <w:style w:type="paragraph" w:customStyle="1" w:styleId="notemargin">
    <w:name w:val="note(margin)"/>
    <w:aliases w:val="nm"/>
    <w:basedOn w:val="OPCParaBase"/>
    <w:rsid w:val="002436FD"/>
    <w:pPr>
      <w:tabs>
        <w:tab w:val="left" w:pos="709"/>
      </w:tabs>
      <w:spacing w:before="122" w:line="198" w:lineRule="exact"/>
      <w:ind w:left="709" w:hanging="709"/>
    </w:pPr>
    <w:rPr>
      <w:sz w:val="18"/>
    </w:rPr>
  </w:style>
  <w:style w:type="paragraph" w:customStyle="1" w:styleId="noteToPara">
    <w:name w:val="noteToPara"/>
    <w:aliases w:val="ntp"/>
    <w:basedOn w:val="OPCParaBase"/>
    <w:rsid w:val="002436FD"/>
    <w:pPr>
      <w:spacing w:before="122" w:line="198" w:lineRule="exact"/>
      <w:ind w:left="2353" w:hanging="709"/>
    </w:pPr>
    <w:rPr>
      <w:sz w:val="18"/>
    </w:rPr>
  </w:style>
  <w:style w:type="paragraph" w:customStyle="1" w:styleId="noteParlAmend">
    <w:name w:val="note(ParlAmend)"/>
    <w:aliases w:val="npp"/>
    <w:basedOn w:val="OPCParaBase"/>
    <w:next w:val="ParlAmend"/>
    <w:rsid w:val="002436FD"/>
    <w:pPr>
      <w:spacing w:line="240" w:lineRule="auto"/>
      <w:jc w:val="right"/>
    </w:pPr>
    <w:rPr>
      <w:rFonts w:ascii="Arial" w:hAnsi="Arial"/>
      <w:b/>
      <w:i/>
    </w:rPr>
  </w:style>
  <w:style w:type="paragraph" w:customStyle="1" w:styleId="Page1">
    <w:name w:val="Page1"/>
    <w:basedOn w:val="OPCParaBase"/>
    <w:rsid w:val="002436FD"/>
    <w:pPr>
      <w:spacing w:before="400" w:line="240" w:lineRule="auto"/>
    </w:pPr>
    <w:rPr>
      <w:b/>
      <w:sz w:val="32"/>
    </w:rPr>
  </w:style>
  <w:style w:type="paragraph" w:customStyle="1" w:styleId="PageBreak">
    <w:name w:val="PageBreak"/>
    <w:aliases w:val="pb"/>
    <w:basedOn w:val="OPCParaBase"/>
    <w:rsid w:val="002436FD"/>
    <w:pPr>
      <w:spacing w:line="240" w:lineRule="auto"/>
    </w:pPr>
    <w:rPr>
      <w:sz w:val="20"/>
    </w:rPr>
  </w:style>
  <w:style w:type="paragraph" w:customStyle="1" w:styleId="paragraphsub">
    <w:name w:val="paragraph(sub)"/>
    <w:aliases w:val="aa"/>
    <w:basedOn w:val="OPCParaBase"/>
    <w:rsid w:val="002436FD"/>
    <w:pPr>
      <w:tabs>
        <w:tab w:val="right" w:pos="1985"/>
      </w:tabs>
      <w:spacing w:before="40" w:line="240" w:lineRule="auto"/>
      <w:ind w:left="2098" w:hanging="2098"/>
    </w:pPr>
  </w:style>
  <w:style w:type="paragraph" w:customStyle="1" w:styleId="paragraphsub-sub">
    <w:name w:val="paragraph(sub-sub)"/>
    <w:aliases w:val="aaa"/>
    <w:basedOn w:val="OPCParaBase"/>
    <w:rsid w:val="002436FD"/>
    <w:pPr>
      <w:tabs>
        <w:tab w:val="right" w:pos="2722"/>
      </w:tabs>
      <w:spacing w:before="40" w:line="240" w:lineRule="auto"/>
      <w:ind w:left="2835" w:hanging="2835"/>
    </w:pPr>
  </w:style>
  <w:style w:type="paragraph" w:customStyle="1" w:styleId="paragraph">
    <w:name w:val="paragraph"/>
    <w:aliases w:val="a"/>
    <w:basedOn w:val="OPCParaBase"/>
    <w:link w:val="paragraphChar"/>
    <w:rsid w:val="002436FD"/>
    <w:pPr>
      <w:tabs>
        <w:tab w:val="right" w:pos="1531"/>
      </w:tabs>
      <w:spacing w:before="40" w:line="240" w:lineRule="auto"/>
      <w:ind w:left="1644" w:hanging="1644"/>
    </w:pPr>
  </w:style>
  <w:style w:type="paragraph" w:customStyle="1" w:styleId="ParlAmend">
    <w:name w:val="ParlAmend"/>
    <w:aliases w:val="pp"/>
    <w:basedOn w:val="OPCParaBase"/>
    <w:rsid w:val="002436FD"/>
    <w:pPr>
      <w:spacing w:before="240" w:line="240" w:lineRule="atLeast"/>
      <w:ind w:hanging="567"/>
    </w:pPr>
    <w:rPr>
      <w:sz w:val="24"/>
    </w:rPr>
  </w:style>
  <w:style w:type="paragraph" w:customStyle="1" w:styleId="Penalty">
    <w:name w:val="Penalty"/>
    <w:basedOn w:val="OPCParaBase"/>
    <w:rsid w:val="002436FD"/>
    <w:pPr>
      <w:tabs>
        <w:tab w:val="left" w:pos="2977"/>
      </w:tabs>
      <w:spacing w:before="180" w:line="240" w:lineRule="auto"/>
      <w:ind w:left="1985" w:hanging="851"/>
    </w:pPr>
  </w:style>
  <w:style w:type="paragraph" w:customStyle="1" w:styleId="Portfolio">
    <w:name w:val="Portfolio"/>
    <w:basedOn w:val="OPCParaBase"/>
    <w:rsid w:val="002436FD"/>
    <w:pPr>
      <w:spacing w:line="240" w:lineRule="auto"/>
    </w:pPr>
    <w:rPr>
      <w:i/>
      <w:sz w:val="20"/>
    </w:rPr>
  </w:style>
  <w:style w:type="paragraph" w:customStyle="1" w:styleId="Preamble">
    <w:name w:val="Preamble"/>
    <w:basedOn w:val="OPCParaBase"/>
    <w:next w:val="Normal"/>
    <w:rsid w:val="002436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36FD"/>
    <w:pPr>
      <w:spacing w:line="240" w:lineRule="auto"/>
    </w:pPr>
    <w:rPr>
      <w:i/>
      <w:sz w:val="20"/>
    </w:rPr>
  </w:style>
  <w:style w:type="paragraph" w:customStyle="1" w:styleId="Session">
    <w:name w:val="Session"/>
    <w:basedOn w:val="OPCParaBase"/>
    <w:rsid w:val="002436FD"/>
    <w:pPr>
      <w:spacing w:line="240" w:lineRule="auto"/>
    </w:pPr>
    <w:rPr>
      <w:sz w:val="28"/>
    </w:rPr>
  </w:style>
  <w:style w:type="paragraph" w:customStyle="1" w:styleId="Sponsor">
    <w:name w:val="Sponsor"/>
    <w:basedOn w:val="OPCParaBase"/>
    <w:rsid w:val="002436FD"/>
    <w:pPr>
      <w:spacing w:line="240" w:lineRule="auto"/>
    </w:pPr>
    <w:rPr>
      <w:i/>
    </w:rPr>
  </w:style>
  <w:style w:type="paragraph" w:customStyle="1" w:styleId="Subitem">
    <w:name w:val="Subitem"/>
    <w:aliases w:val="iss"/>
    <w:basedOn w:val="OPCParaBase"/>
    <w:rsid w:val="002436FD"/>
    <w:pPr>
      <w:spacing w:before="180" w:line="240" w:lineRule="auto"/>
      <w:ind w:left="709" w:hanging="709"/>
    </w:pPr>
  </w:style>
  <w:style w:type="paragraph" w:customStyle="1" w:styleId="SubitemHead">
    <w:name w:val="SubitemHead"/>
    <w:aliases w:val="issh"/>
    <w:basedOn w:val="OPCParaBase"/>
    <w:rsid w:val="002436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36FD"/>
    <w:pPr>
      <w:spacing w:before="40" w:line="240" w:lineRule="auto"/>
      <w:ind w:left="1134"/>
    </w:pPr>
  </w:style>
  <w:style w:type="paragraph" w:customStyle="1" w:styleId="SubsectionHead">
    <w:name w:val="SubsectionHead"/>
    <w:aliases w:val="ssh"/>
    <w:basedOn w:val="OPCParaBase"/>
    <w:next w:val="subsection"/>
    <w:rsid w:val="002436FD"/>
    <w:pPr>
      <w:keepNext/>
      <w:keepLines/>
      <w:spacing w:before="240" w:line="240" w:lineRule="auto"/>
      <w:ind w:left="1134"/>
    </w:pPr>
    <w:rPr>
      <w:i/>
    </w:rPr>
  </w:style>
  <w:style w:type="paragraph" w:customStyle="1" w:styleId="Tablea">
    <w:name w:val="Table(a)"/>
    <w:aliases w:val="ta"/>
    <w:basedOn w:val="OPCParaBase"/>
    <w:rsid w:val="002436FD"/>
    <w:pPr>
      <w:spacing w:before="60" w:line="240" w:lineRule="auto"/>
      <w:ind w:left="284" w:hanging="284"/>
    </w:pPr>
    <w:rPr>
      <w:sz w:val="20"/>
    </w:rPr>
  </w:style>
  <w:style w:type="paragraph" w:customStyle="1" w:styleId="TableAA">
    <w:name w:val="Table(AA)"/>
    <w:aliases w:val="taaa"/>
    <w:basedOn w:val="OPCParaBase"/>
    <w:rsid w:val="002436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36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36FD"/>
    <w:pPr>
      <w:spacing w:before="60" w:line="240" w:lineRule="atLeast"/>
    </w:pPr>
    <w:rPr>
      <w:sz w:val="20"/>
    </w:rPr>
  </w:style>
  <w:style w:type="paragraph" w:customStyle="1" w:styleId="TLPBoxTextnote">
    <w:name w:val="TLPBoxText(note"/>
    <w:aliases w:val="right)"/>
    <w:basedOn w:val="OPCParaBase"/>
    <w:rsid w:val="002436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36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36FD"/>
    <w:pPr>
      <w:spacing w:before="122" w:line="198" w:lineRule="exact"/>
      <w:ind w:left="1985" w:hanging="851"/>
      <w:jc w:val="right"/>
    </w:pPr>
    <w:rPr>
      <w:sz w:val="18"/>
    </w:rPr>
  </w:style>
  <w:style w:type="paragraph" w:customStyle="1" w:styleId="TLPTableBullet">
    <w:name w:val="TLPTableBullet"/>
    <w:aliases w:val="ttb"/>
    <w:basedOn w:val="OPCParaBase"/>
    <w:rsid w:val="002436FD"/>
    <w:pPr>
      <w:spacing w:line="240" w:lineRule="exact"/>
      <w:ind w:left="284" w:hanging="284"/>
    </w:pPr>
    <w:rPr>
      <w:sz w:val="20"/>
    </w:rPr>
  </w:style>
  <w:style w:type="paragraph" w:styleId="TOC1">
    <w:name w:val="toc 1"/>
    <w:basedOn w:val="OPCParaBase"/>
    <w:next w:val="Normal"/>
    <w:uiPriority w:val="39"/>
    <w:semiHidden/>
    <w:unhideWhenUsed/>
    <w:rsid w:val="002436F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436F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436F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436F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436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36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36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36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36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36FD"/>
    <w:pPr>
      <w:keepLines/>
      <w:spacing w:before="240" w:after="120" w:line="240" w:lineRule="auto"/>
      <w:ind w:left="794"/>
    </w:pPr>
    <w:rPr>
      <w:b/>
      <w:kern w:val="28"/>
      <w:sz w:val="20"/>
    </w:rPr>
  </w:style>
  <w:style w:type="paragraph" w:customStyle="1" w:styleId="TofSectsHeading">
    <w:name w:val="TofSects(Heading)"/>
    <w:basedOn w:val="OPCParaBase"/>
    <w:rsid w:val="002436FD"/>
    <w:pPr>
      <w:spacing w:before="240" w:after="120" w:line="240" w:lineRule="auto"/>
    </w:pPr>
    <w:rPr>
      <w:b/>
      <w:sz w:val="24"/>
    </w:rPr>
  </w:style>
  <w:style w:type="paragraph" w:customStyle="1" w:styleId="TofSectsSection">
    <w:name w:val="TofSects(Section)"/>
    <w:basedOn w:val="OPCParaBase"/>
    <w:rsid w:val="002436FD"/>
    <w:pPr>
      <w:keepLines/>
      <w:spacing w:before="40" w:line="240" w:lineRule="auto"/>
      <w:ind w:left="1588" w:hanging="794"/>
    </w:pPr>
    <w:rPr>
      <w:kern w:val="28"/>
      <w:sz w:val="18"/>
    </w:rPr>
  </w:style>
  <w:style w:type="paragraph" w:customStyle="1" w:styleId="TofSectsSubdiv">
    <w:name w:val="TofSects(Subdiv)"/>
    <w:basedOn w:val="OPCParaBase"/>
    <w:rsid w:val="002436FD"/>
    <w:pPr>
      <w:keepLines/>
      <w:spacing w:before="80" w:line="240" w:lineRule="auto"/>
      <w:ind w:left="1588" w:hanging="794"/>
    </w:pPr>
    <w:rPr>
      <w:kern w:val="28"/>
    </w:rPr>
  </w:style>
  <w:style w:type="paragraph" w:customStyle="1" w:styleId="WRStyle">
    <w:name w:val="WR Style"/>
    <w:aliases w:val="WR"/>
    <w:basedOn w:val="OPCParaBase"/>
    <w:rsid w:val="002436FD"/>
    <w:pPr>
      <w:spacing w:before="240" w:line="240" w:lineRule="auto"/>
      <w:ind w:left="284" w:hanging="284"/>
    </w:pPr>
    <w:rPr>
      <w:b/>
      <w:i/>
      <w:kern w:val="28"/>
      <w:sz w:val="24"/>
    </w:rPr>
  </w:style>
  <w:style w:type="paragraph" w:customStyle="1" w:styleId="notepara">
    <w:name w:val="note(para)"/>
    <w:aliases w:val="na"/>
    <w:basedOn w:val="OPCParaBase"/>
    <w:rsid w:val="002436FD"/>
    <w:pPr>
      <w:spacing w:before="40" w:line="198" w:lineRule="exact"/>
      <w:ind w:left="2354" w:hanging="369"/>
    </w:pPr>
    <w:rPr>
      <w:sz w:val="18"/>
    </w:rPr>
  </w:style>
  <w:style w:type="paragraph" w:styleId="Footer">
    <w:name w:val="footer"/>
    <w:link w:val="FooterChar"/>
    <w:rsid w:val="002436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36FD"/>
    <w:rPr>
      <w:rFonts w:eastAsia="Times New Roman" w:cs="Times New Roman"/>
      <w:sz w:val="22"/>
      <w:szCs w:val="24"/>
      <w:lang w:eastAsia="en-AU"/>
    </w:rPr>
  </w:style>
  <w:style w:type="character" w:styleId="LineNumber">
    <w:name w:val="line number"/>
    <w:basedOn w:val="OPCCharBase"/>
    <w:uiPriority w:val="99"/>
    <w:semiHidden/>
    <w:unhideWhenUsed/>
    <w:rsid w:val="002436FD"/>
    <w:rPr>
      <w:sz w:val="16"/>
    </w:rPr>
  </w:style>
  <w:style w:type="table" w:customStyle="1" w:styleId="CFlag">
    <w:name w:val="CFlag"/>
    <w:basedOn w:val="TableNormal"/>
    <w:uiPriority w:val="99"/>
    <w:rsid w:val="002436FD"/>
    <w:rPr>
      <w:rFonts w:eastAsia="Times New Roman" w:cs="Times New Roman"/>
      <w:lang w:eastAsia="en-AU"/>
    </w:rPr>
    <w:tblPr/>
  </w:style>
  <w:style w:type="paragraph" w:customStyle="1" w:styleId="NotesHeading1">
    <w:name w:val="NotesHeading 1"/>
    <w:basedOn w:val="OPCParaBase"/>
    <w:next w:val="Normal"/>
    <w:rsid w:val="002436FD"/>
    <w:rPr>
      <w:b/>
      <w:sz w:val="28"/>
      <w:szCs w:val="28"/>
    </w:rPr>
  </w:style>
  <w:style w:type="paragraph" w:customStyle="1" w:styleId="NotesHeading2">
    <w:name w:val="NotesHeading 2"/>
    <w:basedOn w:val="OPCParaBase"/>
    <w:next w:val="Normal"/>
    <w:rsid w:val="002436FD"/>
    <w:rPr>
      <w:b/>
      <w:sz w:val="28"/>
      <w:szCs w:val="28"/>
    </w:rPr>
  </w:style>
  <w:style w:type="paragraph" w:customStyle="1" w:styleId="SignCoverPageEnd">
    <w:name w:val="SignCoverPageEnd"/>
    <w:basedOn w:val="OPCParaBase"/>
    <w:next w:val="Normal"/>
    <w:rsid w:val="002436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36FD"/>
    <w:pPr>
      <w:pBdr>
        <w:top w:val="single" w:sz="4" w:space="1" w:color="auto"/>
      </w:pBdr>
      <w:spacing w:before="360"/>
      <w:ind w:right="397"/>
      <w:jc w:val="both"/>
    </w:pPr>
  </w:style>
  <w:style w:type="paragraph" w:customStyle="1" w:styleId="Paragraphsub-sub-sub">
    <w:name w:val="Paragraph(sub-sub-sub)"/>
    <w:aliases w:val="aaaa"/>
    <w:basedOn w:val="OPCParaBase"/>
    <w:rsid w:val="002436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36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36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36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36F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436FD"/>
    <w:pPr>
      <w:spacing w:before="120"/>
    </w:pPr>
  </w:style>
  <w:style w:type="paragraph" w:customStyle="1" w:styleId="TableTextEndNotes">
    <w:name w:val="TableTextEndNotes"/>
    <w:aliases w:val="Tten"/>
    <w:basedOn w:val="Normal"/>
    <w:rsid w:val="002436FD"/>
    <w:pPr>
      <w:spacing w:before="60" w:line="240" w:lineRule="auto"/>
    </w:pPr>
    <w:rPr>
      <w:rFonts w:cs="Arial"/>
      <w:sz w:val="20"/>
      <w:szCs w:val="22"/>
    </w:rPr>
  </w:style>
  <w:style w:type="paragraph" w:customStyle="1" w:styleId="TableHeading">
    <w:name w:val="TableHeading"/>
    <w:aliases w:val="th"/>
    <w:basedOn w:val="OPCParaBase"/>
    <w:next w:val="Tabletext"/>
    <w:rsid w:val="002436FD"/>
    <w:pPr>
      <w:keepNext/>
      <w:spacing w:before="60" w:line="240" w:lineRule="atLeast"/>
    </w:pPr>
    <w:rPr>
      <w:b/>
      <w:sz w:val="20"/>
    </w:rPr>
  </w:style>
  <w:style w:type="paragraph" w:customStyle="1" w:styleId="NoteToSubpara">
    <w:name w:val="NoteToSubpara"/>
    <w:aliases w:val="nts"/>
    <w:basedOn w:val="OPCParaBase"/>
    <w:rsid w:val="002436FD"/>
    <w:pPr>
      <w:spacing w:before="40" w:line="198" w:lineRule="exact"/>
      <w:ind w:left="2835" w:hanging="709"/>
    </w:pPr>
    <w:rPr>
      <w:sz w:val="18"/>
    </w:rPr>
  </w:style>
  <w:style w:type="paragraph" w:customStyle="1" w:styleId="ENoteTableHeading">
    <w:name w:val="ENoteTableHeading"/>
    <w:aliases w:val="enth"/>
    <w:basedOn w:val="OPCParaBase"/>
    <w:rsid w:val="002436FD"/>
    <w:pPr>
      <w:keepNext/>
      <w:spacing w:before="60" w:line="240" w:lineRule="atLeast"/>
    </w:pPr>
    <w:rPr>
      <w:rFonts w:ascii="Arial" w:hAnsi="Arial"/>
      <w:b/>
      <w:sz w:val="16"/>
    </w:rPr>
  </w:style>
  <w:style w:type="paragraph" w:customStyle="1" w:styleId="ENoteTTi">
    <w:name w:val="ENoteTTi"/>
    <w:aliases w:val="entti"/>
    <w:basedOn w:val="OPCParaBase"/>
    <w:rsid w:val="002436FD"/>
    <w:pPr>
      <w:keepNext/>
      <w:spacing w:before="60" w:line="240" w:lineRule="atLeast"/>
      <w:ind w:left="170"/>
    </w:pPr>
    <w:rPr>
      <w:sz w:val="16"/>
    </w:rPr>
  </w:style>
  <w:style w:type="paragraph" w:customStyle="1" w:styleId="ENotesHeading1">
    <w:name w:val="ENotesHeading 1"/>
    <w:aliases w:val="Enh1"/>
    <w:basedOn w:val="OPCParaBase"/>
    <w:next w:val="Normal"/>
    <w:rsid w:val="002436FD"/>
    <w:pPr>
      <w:spacing w:before="120"/>
      <w:outlineLvl w:val="1"/>
    </w:pPr>
    <w:rPr>
      <w:b/>
      <w:sz w:val="28"/>
      <w:szCs w:val="28"/>
    </w:rPr>
  </w:style>
  <w:style w:type="paragraph" w:customStyle="1" w:styleId="ENotesHeading2">
    <w:name w:val="ENotesHeading 2"/>
    <w:aliases w:val="Enh2"/>
    <w:basedOn w:val="OPCParaBase"/>
    <w:next w:val="Normal"/>
    <w:rsid w:val="002436FD"/>
    <w:pPr>
      <w:spacing w:before="120" w:after="120"/>
      <w:outlineLvl w:val="2"/>
    </w:pPr>
    <w:rPr>
      <w:b/>
      <w:sz w:val="24"/>
      <w:szCs w:val="28"/>
    </w:rPr>
  </w:style>
  <w:style w:type="paragraph" w:customStyle="1" w:styleId="ENoteTTIndentHeading">
    <w:name w:val="ENoteTTIndentHeading"/>
    <w:aliases w:val="enTTHi"/>
    <w:basedOn w:val="OPCParaBase"/>
    <w:rsid w:val="002436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36FD"/>
    <w:pPr>
      <w:spacing w:before="60" w:line="240" w:lineRule="atLeast"/>
    </w:pPr>
    <w:rPr>
      <w:sz w:val="16"/>
    </w:rPr>
  </w:style>
  <w:style w:type="paragraph" w:customStyle="1" w:styleId="MadeunderText">
    <w:name w:val="MadeunderText"/>
    <w:basedOn w:val="OPCParaBase"/>
    <w:next w:val="Normal"/>
    <w:rsid w:val="002436FD"/>
    <w:pPr>
      <w:spacing w:before="240"/>
    </w:pPr>
    <w:rPr>
      <w:sz w:val="24"/>
      <w:szCs w:val="24"/>
    </w:rPr>
  </w:style>
  <w:style w:type="paragraph" w:customStyle="1" w:styleId="ENotesHeading3">
    <w:name w:val="ENotesHeading 3"/>
    <w:aliases w:val="Enh3"/>
    <w:basedOn w:val="OPCParaBase"/>
    <w:next w:val="Normal"/>
    <w:rsid w:val="002436FD"/>
    <w:pPr>
      <w:keepNext/>
      <w:spacing w:before="120" w:line="240" w:lineRule="auto"/>
      <w:outlineLvl w:val="4"/>
    </w:pPr>
    <w:rPr>
      <w:b/>
      <w:szCs w:val="24"/>
    </w:rPr>
  </w:style>
  <w:style w:type="paragraph" w:customStyle="1" w:styleId="SubPartCASA">
    <w:name w:val="SubPart(CASA)"/>
    <w:aliases w:val="csp"/>
    <w:basedOn w:val="OPCParaBase"/>
    <w:next w:val="ActHead3"/>
    <w:rsid w:val="002436FD"/>
    <w:pPr>
      <w:keepNext/>
      <w:keepLines/>
      <w:spacing w:before="280"/>
      <w:outlineLvl w:val="1"/>
    </w:pPr>
    <w:rPr>
      <w:b/>
      <w:kern w:val="28"/>
      <w:sz w:val="32"/>
    </w:rPr>
  </w:style>
  <w:style w:type="character" w:customStyle="1" w:styleId="CharSubPartTextCASA">
    <w:name w:val="CharSubPartText(CASA)"/>
    <w:basedOn w:val="OPCCharBase"/>
    <w:uiPriority w:val="1"/>
    <w:rsid w:val="002436FD"/>
  </w:style>
  <w:style w:type="character" w:customStyle="1" w:styleId="CharSubPartNoCASA">
    <w:name w:val="CharSubPartNo(CASA)"/>
    <w:basedOn w:val="OPCCharBase"/>
    <w:uiPriority w:val="1"/>
    <w:rsid w:val="002436FD"/>
  </w:style>
  <w:style w:type="paragraph" w:customStyle="1" w:styleId="ENoteTTIndentHeadingSub">
    <w:name w:val="ENoteTTIndentHeadingSub"/>
    <w:aliases w:val="enTTHis"/>
    <w:basedOn w:val="OPCParaBase"/>
    <w:rsid w:val="002436FD"/>
    <w:pPr>
      <w:keepNext/>
      <w:spacing w:before="60" w:line="240" w:lineRule="atLeast"/>
      <w:ind w:left="340"/>
    </w:pPr>
    <w:rPr>
      <w:b/>
      <w:sz w:val="16"/>
    </w:rPr>
  </w:style>
  <w:style w:type="paragraph" w:customStyle="1" w:styleId="ENoteTTiSub">
    <w:name w:val="ENoteTTiSub"/>
    <w:aliases w:val="enttis"/>
    <w:basedOn w:val="OPCParaBase"/>
    <w:rsid w:val="002436FD"/>
    <w:pPr>
      <w:keepNext/>
      <w:spacing w:before="60" w:line="240" w:lineRule="atLeast"/>
      <w:ind w:left="340"/>
    </w:pPr>
    <w:rPr>
      <w:sz w:val="16"/>
    </w:rPr>
  </w:style>
  <w:style w:type="paragraph" w:customStyle="1" w:styleId="SubDivisionMigration">
    <w:name w:val="SubDivisionMigration"/>
    <w:aliases w:val="sdm"/>
    <w:basedOn w:val="OPCParaBase"/>
    <w:rsid w:val="002436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36FD"/>
    <w:pPr>
      <w:keepNext/>
      <w:keepLines/>
      <w:spacing w:before="240" w:line="240" w:lineRule="auto"/>
      <w:ind w:left="1134" w:hanging="1134"/>
    </w:pPr>
    <w:rPr>
      <w:b/>
      <w:sz w:val="28"/>
    </w:rPr>
  </w:style>
  <w:style w:type="table" w:styleId="TableGrid">
    <w:name w:val="Table Grid"/>
    <w:basedOn w:val="TableNormal"/>
    <w:uiPriority w:val="59"/>
    <w:rsid w:val="0024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436F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2436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36FD"/>
    <w:rPr>
      <w:sz w:val="22"/>
    </w:rPr>
  </w:style>
  <w:style w:type="paragraph" w:customStyle="1" w:styleId="SOTextNote">
    <w:name w:val="SO TextNote"/>
    <w:aliases w:val="sont"/>
    <w:basedOn w:val="SOText"/>
    <w:qFormat/>
    <w:rsid w:val="002436FD"/>
    <w:pPr>
      <w:spacing w:before="122" w:line="198" w:lineRule="exact"/>
      <w:ind w:left="1843" w:hanging="709"/>
    </w:pPr>
    <w:rPr>
      <w:sz w:val="18"/>
    </w:rPr>
  </w:style>
  <w:style w:type="paragraph" w:customStyle="1" w:styleId="SOPara">
    <w:name w:val="SO Para"/>
    <w:aliases w:val="soa"/>
    <w:basedOn w:val="SOText"/>
    <w:link w:val="SOParaChar"/>
    <w:qFormat/>
    <w:rsid w:val="002436FD"/>
    <w:pPr>
      <w:tabs>
        <w:tab w:val="right" w:pos="1786"/>
      </w:tabs>
      <w:spacing w:before="40"/>
      <w:ind w:left="2070" w:hanging="936"/>
    </w:pPr>
  </w:style>
  <w:style w:type="character" w:customStyle="1" w:styleId="SOParaChar">
    <w:name w:val="SO Para Char"/>
    <w:aliases w:val="soa Char"/>
    <w:basedOn w:val="DefaultParagraphFont"/>
    <w:link w:val="SOPara"/>
    <w:rsid w:val="002436FD"/>
    <w:rPr>
      <w:sz w:val="22"/>
    </w:rPr>
  </w:style>
  <w:style w:type="paragraph" w:customStyle="1" w:styleId="FileName">
    <w:name w:val="FileName"/>
    <w:basedOn w:val="Normal"/>
    <w:rsid w:val="002436FD"/>
  </w:style>
  <w:style w:type="paragraph" w:customStyle="1" w:styleId="SOHeadBold">
    <w:name w:val="SO HeadBold"/>
    <w:aliases w:val="sohb"/>
    <w:basedOn w:val="SOText"/>
    <w:next w:val="SOText"/>
    <w:link w:val="SOHeadBoldChar"/>
    <w:qFormat/>
    <w:rsid w:val="002436FD"/>
    <w:rPr>
      <w:b/>
    </w:rPr>
  </w:style>
  <w:style w:type="character" w:customStyle="1" w:styleId="SOHeadBoldChar">
    <w:name w:val="SO HeadBold Char"/>
    <w:aliases w:val="sohb Char"/>
    <w:basedOn w:val="DefaultParagraphFont"/>
    <w:link w:val="SOHeadBold"/>
    <w:rsid w:val="002436FD"/>
    <w:rPr>
      <w:b/>
      <w:sz w:val="22"/>
    </w:rPr>
  </w:style>
  <w:style w:type="paragraph" w:customStyle="1" w:styleId="SOHeadItalic">
    <w:name w:val="SO HeadItalic"/>
    <w:aliases w:val="sohi"/>
    <w:basedOn w:val="SOText"/>
    <w:next w:val="SOText"/>
    <w:link w:val="SOHeadItalicChar"/>
    <w:qFormat/>
    <w:rsid w:val="002436FD"/>
    <w:rPr>
      <w:i/>
    </w:rPr>
  </w:style>
  <w:style w:type="character" w:customStyle="1" w:styleId="SOHeadItalicChar">
    <w:name w:val="SO HeadItalic Char"/>
    <w:aliases w:val="sohi Char"/>
    <w:basedOn w:val="DefaultParagraphFont"/>
    <w:link w:val="SOHeadItalic"/>
    <w:rsid w:val="002436FD"/>
    <w:rPr>
      <w:i/>
      <w:sz w:val="22"/>
    </w:rPr>
  </w:style>
  <w:style w:type="paragraph" w:customStyle="1" w:styleId="SOBullet">
    <w:name w:val="SO Bullet"/>
    <w:aliases w:val="sotb"/>
    <w:basedOn w:val="SOText"/>
    <w:link w:val="SOBulletChar"/>
    <w:qFormat/>
    <w:rsid w:val="002436FD"/>
    <w:pPr>
      <w:ind w:left="1559" w:hanging="425"/>
    </w:pPr>
  </w:style>
  <w:style w:type="character" w:customStyle="1" w:styleId="SOBulletChar">
    <w:name w:val="SO Bullet Char"/>
    <w:aliases w:val="sotb Char"/>
    <w:basedOn w:val="DefaultParagraphFont"/>
    <w:link w:val="SOBullet"/>
    <w:rsid w:val="002436FD"/>
    <w:rPr>
      <w:sz w:val="22"/>
    </w:rPr>
  </w:style>
  <w:style w:type="paragraph" w:customStyle="1" w:styleId="SOBulletNote">
    <w:name w:val="SO BulletNote"/>
    <w:aliases w:val="sonb"/>
    <w:basedOn w:val="SOTextNote"/>
    <w:link w:val="SOBulletNoteChar"/>
    <w:qFormat/>
    <w:rsid w:val="002436FD"/>
    <w:pPr>
      <w:tabs>
        <w:tab w:val="left" w:pos="1560"/>
      </w:tabs>
      <w:ind w:left="2268" w:hanging="1134"/>
    </w:pPr>
  </w:style>
  <w:style w:type="character" w:customStyle="1" w:styleId="SOBulletNoteChar">
    <w:name w:val="SO BulletNote Char"/>
    <w:aliases w:val="sonb Char"/>
    <w:basedOn w:val="DefaultParagraphFont"/>
    <w:link w:val="SOBulletNote"/>
    <w:rsid w:val="002436FD"/>
    <w:rPr>
      <w:sz w:val="18"/>
    </w:rPr>
  </w:style>
  <w:style w:type="paragraph" w:customStyle="1" w:styleId="SOText2">
    <w:name w:val="SO Text2"/>
    <w:aliases w:val="sot2"/>
    <w:basedOn w:val="Normal"/>
    <w:next w:val="SOText"/>
    <w:link w:val="SOText2Char"/>
    <w:rsid w:val="002436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36FD"/>
    <w:rPr>
      <w:sz w:val="22"/>
    </w:rPr>
  </w:style>
  <w:style w:type="paragraph" w:customStyle="1" w:styleId="Transitional">
    <w:name w:val="Transitional"/>
    <w:aliases w:val="tr"/>
    <w:basedOn w:val="ItemHead"/>
    <w:next w:val="Item"/>
    <w:rsid w:val="002436FD"/>
  </w:style>
  <w:style w:type="character" w:customStyle="1" w:styleId="paragraphChar">
    <w:name w:val="paragraph Char"/>
    <w:aliases w:val="a Char"/>
    <w:link w:val="paragraph"/>
    <w:rsid w:val="00862389"/>
    <w:rPr>
      <w:rFonts w:eastAsia="Times New Roman" w:cs="Times New Roman"/>
      <w:sz w:val="22"/>
      <w:lang w:eastAsia="en-AU"/>
    </w:rPr>
  </w:style>
  <w:style w:type="character" w:customStyle="1" w:styleId="subsectionChar">
    <w:name w:val="subsection Char"/>
    <w:aliases w:val="ss Char"/>
    <w:link w:val="subsection"/>
    <w:rsid w:val="008C568D"/>
    <w:rPr>
      <w:rFonts w:eastAsia="Times New Roman" w:cs="Times New Roman"/>
      <w:sz w:val="22"/>
      <w:lang w:eastAsia="en-AU"/>
    </w:rPr>
  </w:style>
  <w:style w:type="character" w:customStyle="1" w:styleId="Heading1Char">
    <w:name w:val="Heading 1 Char"/>
    <w:basedOn w:val="DefaultParagraphFont"/>
    <w:link w:val="Heading1"/>
    <w:uiPriority w:val="9"/>
    <w:rsid w:val="005024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24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24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24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24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24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24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24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24CA"/>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D95C97"/>
    <w:rPr>
      <w:rFonts w:eastAsia="Times New Roman" w:cs="Times New Roman"/>
      <w:sz w:val="18"/>
      <w:lang w:eastAsia="en-AU"/>
    </w:rPr>
  </w:style>
  <w:style w:type="paragraph" w:customStyle="1" w:styleId="ShortTP1">
    <w:name w:val="ShortTP1"/>
    <w:basedOn w:val="ShortT"/>
    <w:link w:val="ShortTP1Char"/>
    <w:rsid w:val="00DA0C60"/>
    <w:pPr>
      <w:spacing w:before="800"/>
    </w:pPr>
  </w:style>
  <w:style w:type="character" w:customStyle="1" w:styleId="OPCParaBaseChar">
    <w:name w:val="OPCParaBase Char"/>
    <w:basedOn w:val="DefaultParagraphFont"/>
    <w:link w:val="OPCParaBase"/>
    <w:rsid w:val="00DA0C60"/>
    <w:rPr>
      <w:rFonts w:eastAsia="Times New Roman" w:cs="Times New Roman"/>
      <w:sz w:val="22"/>
      <w:lang w:eastAsia="en-AU"/>
    </w:rPr>
  </w:style>
  <w:style w:type="character" w:customStyle="1" w:styleId="ShortTChar">
    <w:name w:val="ShortT Char"/>
    <w:basedOn w:val="OPCParaBaseChar"/>
    <w:link w:val="ShortT"/>
    <w:rsid w:val="00DA0C60"/>
    <w:rPr>
      <w:rFonts w:eastAsia="Times New Roman" w:cs="Times New Roman"/>
      <w:b/>
      <w:sz w:val="40"/>
      <w:lang w:eastAsia="en-AU"/>
    </w:rPr>
  </w:style>
  <w:style w:type="character" w:customStyle="1" w:styleId="ShortTP1Char">
    <w:name w:val="ShortTP1 Char"/>
    <w:basedOn w:val="ShortTChar"/>
    <w:link w:val="ShortTP1"/>
    <w:rsid w:val="00DA0C60"/>
    <w:rPr>
      <w:rFonts w:eastAsia="Times New Roman" w:cs="Times New Roman"/>
      <w:b/>
      <w:sz w:val="40"/>
      <w:lang w:eastAsia="en-AU"/>
    </w:rPr>
  </w:style>
  <w:style w:type="paragraph" w:customStyle="1" w:styleId="ActNoP1">
    <w:name w:val="ActNoP1"/>
    <w:basedOn w:val="Actno"/>
    <w:link w:val="ActNoP1Char"/>
    <w:rsid w:val="00DA0C60"/>
    <w:pPr>
      <w:spacing w:before="800"/>
    </w:pPr>
    <w:rPr>
      <w:sz w:val="28"/>
    </w:rPr>
  </w:style>
  <w:style w:type="character" w:customStyle="1" w:styleId="ActnoChar">
    <w:name w:val="Actno Char"/>
    <w:basedOn w:val="ShortTChar"/>
    <w:link w:val="Actno"/>
    <w:rsid w:val="00DA0C60"/>
    <w:rPr>
      <w:rFonts w:eastAsia="Times New Roman" w:cs="Times New Roman"/>
      <w:b/>
      <w:sz w:val="40"/>
      <w:lang w:eastAsia="en-AU"/>
    </w:rPr>
  </w:style>
  <w:style w:type="character" w:customStyle="1" w:styleId="ActNoP1Char">
    <w:name w:val="ActNoP1 Char"/>
    <w:basedOn w:val="ActnoChar"/>
    <w:link w:val="ActNoP1"/>
    <w:rsid w:val="00DA0C60"/>
    <w:rPr>
      <w:rFonts w:eastAsia="Times New Roman" w:cs="Times New Roman"/>
      <w:b/>
      <w:sz w:val="28"/>
      <w:lang w:eastAsia="en-AU"/>
    </w:rPr>
  </w:style>
  <w:style w:type="paragraph" w:customStyle="1" w:styleId="ShortTCP">
    <w:name w:val="ShortTCP"/>
    <w:basedOn w:val="ShortT"/>
    <w:link w:val="ShortTCPChar"/>
    <w:rsid w:val="00DA0C60"/>
  </w:style>
  <w:style w:type="character" w:customStyle="1" w:styleId="ShortTCPChar">
    <w:name w:val="ShortTCP Char"/>
    <w:basedOn w:val="ShortTChar"/>
    <w:link w:val="ShortTCP"/>
    <w:rsid w:val="00DA0C60"/>
    <w:rPr>
      <w:rFonts w:eastAsia="Times New Roman" w:cs="Times New Roman"/>
      <w:b/>
      <w:sz w:val="40"/>
      <w:lang w:eastAsia="en-AU"/>
    </w:rPr>
  </w:style>
  <w:style w:type="paragraph" w:customStyle="1" w:styleId="ActNoCP">
    <w:name w:val="ActNoCP"/>
    <w:basedOn w:val="Actno"/>
    <w:link w:val="ActNoCPChar"/>
    <w:rsid w:val="00DA0C60"/>
    <w:pPr>
      <w:spacing w:before="400"/>
    </w:pPr>
  </w:style>
  <w:style w:type="character" w:customStyle="1" w:styleId="ActNoCPChar">
    <w:name w:val="ActNoCP Char"/>
    <w:basedOn w:val="ActnoChar"/>
    <w:link w:val="ActNoCP"/>
    <w:rsid w:val="00DA0C60"/>
    <w:rPr>
      <w:rFonts w:eastAsia="Times New Roman" w:cs="Times New Roman"/>
      <w:b/>
      <w:sz w:val="40"/>
      <w:lang w:eastAsia="en-AU"/>
    </w:rPr>
  </w:style>
  <w:style w:type="paragraph" w:customStyle="1" w:styleId="AssentBk">
    <w:name w:val="AssentBk"/>
    <w:basedOn w:val="Normal"/>
    <w:rsid w:val="00DA0C60"/>
    <w:pPr>
      <w:spacing w:line="240" w:lineRule="auto"/>
    </w:pPr>
    <w:rPr>
      <w:rFonts w:eastAsia="Times New Roman" w:cs="Times New Roman"/>
      <w:sz w:val="20"/>
      <w:lang w:eastAsia="en-AU"/>
    </w:rPr>
  </w:style>
  <w:style w:type="paragraph" w:customStyle="1" w:styleId="AssentDt">
    <w:name w:val="AssentDt"/>
    <w:basedOn w:val="Normal"/>
    <w:rsid w:val="00300329"/>
    <w:pPr>
      <w:spacing w:line="240" w:lineRule="auto"/>
    </w:pPr>
    <w:rPr>
      <w:rFonts w:eastAsia="Times New Roman" w:cs="Times New Roman"/>
      <w:sz w:val="20"/>
      <w:lang w:eastAsia="en-AU"/>
    </w:rPr>
  </w:style>
  <w:style w:type="paragraph" w:customStyle="1" w:styleId="2ndRd">
    <w:name w:val="2ndRd"/>
    <w:basedOn w:val="Normal"/>
    <w:rsid w:val="00300329"/>
    <w:pPr>
      <w:spacing w:line="240" w:lineRule="auto"/>
    </w:pPr>
    <w:rPr>
      <w:rFonts w:eastAsia="Times New Roman" w:cs="Times New Roman"/>
      <w:sz w:val="20"/>
      <w:lang w:eastAsia="en-AU"/>
    </w:rPr>
  </w:style>
  <w:style w:type="paragraph" w:customStyle="1" w:styleId="ScalePlusRef">
    <w:name w:val="ScalePlusRef"/>
    <w:basedOn w:val="Normal"/>
    <w:rsid w:val="0030032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header" Target="header8.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36</Pages>
  <Words>7703</Words>
  <Characters>30585</Characters>
  <Application>Microsoft Office Word</Application>
  <DocSecurity>0</DocSecurity>
  <PresentationFormat/>
  <Lines>2780</Lines>
  <Paragraphs>1160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2018-12-12T04:36:00Z</cp:lastPrinted>
  <dcterms:created xsi:type="dcterms:W3CDTF">2019-04-08T22:52:00Z</dcterms:created>
  <dcterms:modified xsi:type="dcterms:W3CDTF">2019-04-09T00:41:00Z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(2019 Petroleum Resource Rent Tax Reforms No. 1) Act 2019</vt:lpwstr>
  </property>
  <property fmtid="{D5CDD505-2E9C-101B-9397-08002B2CF9AE}" pid="5" name="ActNo">
    <vt:lpwstr>No. 43,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OPC7023</vt:lpwstr>
  </property>
  <property fmtid="{D5CDD505-2E9C-101B-9397-08002B2CF9AE}" pid="10" name="PreventSessionPrompt">
    <vt:lpwstr>Yes</vt:lpwstr>
  </property>
  <property fmtid="{D5CDD505-2E9C-101B-9397-08002B2CF9AE}" pid="11" name="DoNotAsk">
    <vt:lpwstr>0</vt:lpwstr>
  </property>
  <property fmtid="{D5CDD505-2E9C-101B-9397-08002B2CF9AE}" pid="12" name="ChangedTitle">
    <vt:lpwstr/>
  </property>
</Properties>
</file>