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49" w:rsidRDefault="0014464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6313561" r:id="rId9"/>
        </w:object>
      </w:r>
    </w:p>
    <w:p w:rsidR="00144649" w:rsidRDefault="00144649"/>
    <w:p w:rsidR="00144649" w:rsidRDefault="00144649" w:rsidP="00144649">
      <w:pPr>
        <w:spacing w:line="240" w:lineRule="auto"/>
      </w:pPr>
    </w:p>
    <w:p w:rsidR="00144649" w:rsidRDefault="00144649" w:rsidP="00144649"/>
    <w:p w:rsidR="00144649" w:rsidRDefault="00144649" w:rsidP="00144649"/>
    <w:p w:rsidR="00144649" w:rsidRDefault="00144649" w:rsidP="00144649"/>
    <w:p w:rsidR="00144649" w:rsidRDefault="00144649" w:rsidP="00144649"/>
    <w:p w:rsidR="0048364F" w:rsidRPr="00E1199F" w:rsidRDefault="007E5245" w:rsidP="0048364F">
      <w:pPr>
        <w:pStyle w:val="ShortT"/>
      </w:pPr>
      <w:r w:rsidRPr="00E1199F">
        <w:t>Excise Tariff Amendment (</w:t>
      </w:r>
      <w:r w:rsidR="00EC7A44" w:rsidRPr="00E1199F">
        <w:t>Supporting Craft Brewers</w:t>
      </w:r>
      <w:r w:rsidRPr="00E1199F">
        <w:t xml:space="preserve">) </w:t>
      </w:r>
      <w:r w:rsidR="00144649">
        <w:t>Act</w:t>
      </w:r>
      <w:r w:rsidR="00C164CA" w:rsidRPr="00E1199F">
        <w:t xml:space="preserve"> 201</w:t>
      </w:r>
      <w:r w:rsidR="00F439B8" w:rsidRPr="00E1199F">
        <w:t>9</w:t>
      </w:r>
    </w:p>
    <w:p w:rsidR="0048364F" w:rsidRPr="00E1199F" w:rsidRDefault="0048364F" w:rsidP="0048364F"/>
    <w:p w:rsidR="00F439B8" w:rsidRPr="00E1199F" w:rsidRDefault="00F439B8" w:rsidP="00144649">
      <w:pPr>
        <w:pStyle w:val="Actno"/>
        <w:spacing w:before="400"/>
      </w:pPr>
      <w:r w:rsidRPr="00E1199F">
        <w:t>No.</w:t>
      </w:r>
      <w:r w:rsidR="001A5423">
        <w:t xml:space="preserve"> 48</w:t>
      </w:r>
      <w:r w:rsidRPr="00E1199F">
        <w:t>, 2019</w:t>
      </w:r>
    </w:p>
    <w:p w:rsidR="0048364F" w:rsidRPr="00E1199F" w:rsidRDefault="0048364F" w:rsidP="0048364F"/>
    <w:p w:rsidR="00144649" w:rsidRDefault="00144649" w:rsidP="00144649"/>
    <w:p w:rsidR="00144649" w:rsidRDefault="00144649" w:rsidP="00144649"/>
    <w:p w:rsidR="00144649" w:rsidRDefault="00144649" w:rsidP="00144649"/>
    <w:p w:rsidR="00144649" w:rsidRDefault="00144649" w:rsidP="00144649"/>
    <w:p w:rsidR="0048364F" w:rsidRPr="00E1199F" w:rsidRDefault="00144649" w:rsidP="0048364F">
      <w:pPr>
        <w:pStyle w:val="LongT"/>
      </w:pPr>
      <w:r>
        <w:t>An Act</w:t>
      </w:r>
      <w:r w:rsidR="0048364F" w:rsidRPr="00E1199F">
        <w:t xml:space="preserve"> to </w:t>
      </w:r>
      <w:r w:rsidR="007E5245" w:rsidRPr="00E1199F">
        <w:t xml:space="preserve">amend the </w:t>
      </w:r>
      <w:r w:rsidR="007E5245" w:rsidRPr="00E1199F">
        <w:rPr>
          <w:i/>
        </w:rPr>
        <w:t>Excise Tariff Act 1921</w:t>
      </w:r>
      <w:r w:rsidR="0048364F" w:rsidRPr="00E1199F">
        <w:t>, and for related purposes</w:t>
      </w:r>
    </w:p>
    <w:p w:rsidR="0048364F" w:rsidRPr="00E1199F" w:rsidRDefault="0048364F" w:rsidP="0048364F">
      <w:pPr>
        <w:pStyle w:val="Header"/>
        <w:tabs>
          <w:tab w:val="clear" w:pos="4150"/>
          <w:tab w:val="clear" w:pos="8307"/>
        </w:tabs>
      </w:pPr>
      <w:r w:rsidRPr="00E1199F">
        <w:rPr>
          <w:rStyle w:val="CharAmSchNo"/>
        </w:rPr>
        <w:t xml:space="preserve"> </w:t>
      </w:r>
      <w:r w:rsidRPr="00E1199F">
        <w:rPr>
          <w:rStyle w:val="CharAmSchText"/>
        </w:rPr>
        <w:t xml:space="preserve"> </w:t>
      </w:r>
    </w:p>
    <w:p w:rsidR="0048364F" w:rsidRPr="00E1199F" w:rsidRDefault="0048364F" w:rsidP="0048364F">
      <w:pPr>
        <w:pStyle w:val="Header"/>
        <w:tabs>
          <w:tab w:val="clear" w:pos="4150"/>
          <w:tab w:val="clear" w:pos="8307"/>
        </w:tabs>
      </w:pPr>
      <w:r w:rsidRPr="00E1199F">
        <w:rPr>
          <w:rStyle w:val="CharAmPartNo"/>
        </w:rPr>
        <w:t xml:space="preserve"> </w:t>
      </w:r>
      <w:r w:rsidRPr="00E1199F">
        <w:rPr>
          <w:rStyle w:val="CharAmPartText"/>
        </w:rPr>
        <w:t xml:space="preserve"> </w:t>
      </w:r>
    </w:p>
    <w:p w:rsidR="0048364F" w:rsidRPr="00E1199F" w:rsidRDefault="0048364F" w:rsidP="0048364F">
      <w:pPr>
        <w:sectPr w:rsidR="0048364F" w:rsidRPr="00E1199F" w:rsidSect="001446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1199F" w:rsidRDefault="0048364F" w:rsidP="00147D9C">
      <w:pPr>
        <w:rPr>
          <w:sz w:val="36"/>
        </w:rPr>
      </w:pPr>
      <w:r w:rsidRPr="00E1199F">
        <w:rPr>
          <w:sz w:val="36"/>
        </w:rPr>
        <w:lastRenderedPageBreak/>
        <w:t>Contents</w:t>
      </w:r>
    </w:p>
    <w:p w:rsidR="00253E60" w:rsidRDefault="00253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53E60">
        <w:rPr>
          <w:noProof/>
        </w:rPr>
        <w:tab/>
      </w:r>
      <w:r w:rsidRPr="00253E60">
        <w:rPr>
          <w:noProof/>
        </w:rPr>
        <w:fldChar w:fldCharType="begin"/>
      </w:r>
      <w:r w:rsidRPr="00253E60">
        <w:rPr>
          <w:noProof/>
        </w:rPr>
        <w:instrText xml:space="preserve"> PAGEREF _Toc5700148 \h </w:instrText>
      </w:r>
      <w:r w:rsidRPr="00253E60">
        <w:rPr>
          <w:noProof/>
        </w:rPr>
      </w:r>
      <w:r w:rsidRPr="00253E60">
        <w:rPr>
          <w:noProof/>
        </w:rPr>
        <w:fldChar w:fldCharType="separate"/>
      </w:r>
      <w:r w:rsidR="003528B6">
        <w:rPr>
          <w:noProof/>
        </w:rPr>
        <w:t>1</w:t>
      </w:r>
      <w:r w:rsidRPr="00253E60">
        <w:rPr>
          <w:noProof/>
        </w:rPr>
        <w:fldChar w:fldCharType="end"/>
      </w:r>
    </w:p>
    <w:p w:rsidR="00253E60" w:rsidRDefault="00253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53E60">
        <w:rPr>
          <w:noProof/>
        </w:rPr>
        <w:tab/>
      </w:r>
      <w:r w:rsidRPr="00253E60">
        <w:rPr>
          <w:noProof/>
        </w:rPr>
        <w:fldChar w:fldCharType="begin"/>
      </w:r>
      <w:r w:rsidRPr="00253E60">
        <w:rPr>
          <w:noProof/>
        </w:rPr>
        <w:instrText xml:space="preserve"> PAGEREF _Toc5700149 \h </w:instrText>
      </w:r>
      <w:r w:rsidRPr="00253E60">
        <w:rPr>
          <w:noProof/>
        </w:rPr>
      </w:r>
      <w:r w:rsidRPr="00253E60">
        <w:rPr>
          <w:noProof/>
        </w:rPr>
        <w:fldChar w:fldCharType="separate"/>
      </w:r>
      <w:r w:rsidR="003528B6">
        <w:rPr>
          <w:noProof/>
        </w:rPr>
        <w:t>2</w:t>
      </w:r>
      <w:r w:rsidRPr="00253E60">
        <w:rPr>
          <w:noProof/>
        </w:rPr>
        <w:fldChar w:fldCharType="end"/>
      </w:r>
    </w:p>
    <w:p w:rsidR="00253E60" w:rsidRDefault="00253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53E60">
        <w:rPr>
          <w:noProof/>
        </w:rPr>
        <w:tab/>
      </w:r>
      <w:r w:rsidRPr="00253E60">
        <w:rPr>
          <w:noProof/>
        </w:rPr>
        <w:fldChar w:fldCharType="begin"/>
      </w:r>
      <w:r w:rsidRPr="00253E60">
        <w:rPr>
          <w:noProof/>
        </w:rPr>
        <w:instrText xml:space="preserve"> PAGEREF _Toc5700150 \h </w:instrText>
      </w:r>
      <w:r w:rsidRPr="00253E60">
        <w:rPr>
          <w:noProof/>
        </w:rPr>
      </w:r>
      <w:r w:rsidRPr="00253E60">
        <w:rPr>
          <w:noProof/>
        </w:rPr>
        <w:fldChar w:fldCharType="separate"/>
      </w:r>
      <w:r w:rsidR="003528B6">
        <w:rPr>
          <w:noProof/>
        </w:rPr>
        <w:t>2</w:t>
      </w:r>
      <w:r w:rsidRPr="00253E60">
        <w:rPr>
          <w:noProof/>
        </w:rPr>
        <w:fldChar w:fldCharType="end"/>
      </w:r>
    </w:p>
    <w:p w:rsidR="00253E60" w:rsidRDefault="00253E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0" w:name="_GoBack"/>
      <w:bookmarkEnd w:id="0"/>
      <w:r w:rsidRPr="00253E60">
        <w:rPr>
          <w:b w:val="0"/>
          <w:noProof/>
          <w:sz w:val="18"/>
        </w:rPr>
        <w:tab/>
      </w:r>
      <w:r w:rsidRPr="00253E60">
        <w:rPr>
          <w:b w:val="0"/>
          <w:noProof/>
          <w:sz w:val="18"/>
        </w:rPr>
        <w:fldChar w:fldCharType="begin"/>
      </w:r>
      <w:r w:rsidRPr="00253E60">
        <w:rPr>
          <w:b w:val="0"/>
          <w:noProof/>
          <w:sz w:val="18"/>
        </w:rPr>
        <w:instrText xml:space="preserve"> PAGEREF _Toc5700151 \h </w:instrText>
      </w:r>
      <w:r w:rsidRPr="00253E60">
        <w:rPr>
          <w:b w:val="0"/>
          <w:noProof/>
          <w:sz w:val="18"/>
        </w:rPr>
      </w:r>
      <w:r w:rsidRPr="00253E60">
        <w:rPr>
          <w:b w:val="0"/>
          <w:noProof/>
          <w:sz w:val="18"/>
        </w:rPr>
        <w:fldChar w:fldCharType="separate"/>
      </w:r>
      <w:r w:rsidR="003528B6">
        <w:rPr>
          <w:b w:val="0"/>
          <w:noProof/>
          <w:sz w:val="18"/>
        </w:rPr>
        <w:t>3</w:t>
      </w:r>
      <w:r w:rsidRPr="00253E60">
        <w:rPr>
          <w:b w:val="0"/>
          <w:noProof/>
          <w:sz w:val="18"/>
        </w:rPr>
        <w:fldChar w:fldCharType="end"/>
      </w:r>
    </w:p>
    <w:p w:rsidR="00253E60" w:rsidRDefault="00253E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253E60">
        <w:rPr>
          <w:i w:val="0"/>
          <w:noProof/>
          <w:sz w:val="18"/>
        </w:rPr>
        <w:tab/>
      </w:r>
      <w:r w:rsidRPr="00253E60">
        <w:rPr>
          <w:i w:val="0"/>
          <w:noProof/>
          <w:sz w:val="18"/>
        </w:rPr>
        <w:fldChar w:fldCharType="begin"/>
      </w:r>
      <w:r w:rsidRPr="00253E60">
        <w:rPr>
          <w:i w:val="0"/>
          <w:noProof/>
          <w:sz w:val="18"/>
        </w:rPr>
        <w:instrText xml:space="preserve"> PAGEREF _Toc5700152 \h </w:instrText>
      </w:r>
      <w:r w:rsidRPr="00253E60">
        <w:rPr>
          <w:i w:val="0"/>
          <w:noProof/>
          <w:sz w:val="18"/>
        </w:rPr>
      </w:r>
      <w:r w:rsidRPr="00253E60">
        <w:rPr>
          <w:i w:val="0"/>
          <w:noProof/>
          <w:sz w:val="18"/>
        </w:rPr>
        <w:fldChar w:fldCharType="separate"/>
      </w:r>
      <w:r w:rsidR="003528B6">
        <w:rPr>
          <w:i w:val="0"/>
          <w:noProof/>
          <w:sz w:val="18"/>
        </w:rPr>
        <w:t>3</w:t>
      </w:r>
      <w:r w:rsidRPr="00253E60">
        <w:rPr>
          <w:i w:val="0"/>
          <w:noProof/>
          <w:sz w:val="18"/>
        </w:rPr>
        <w:fldChar w:fldCharType="end"/>
      </w:r>
    </w:p>
    <w:p w:rsidR="00060FF9" w:rsidRPr="00E1199F" w:rsidRDefault="00253E60" w:rsidP="0048364F">
      <w:r>
        <w:fldChar w:fldCharType="end"/>
      </w:r>
    </w:p>
    <w:p w:rsidR="00FE7F93" w:rsidRPr="00E1199F" w:rsidRDefault="00FE7F93" w:rsidP="0048364F">
      <w:pPr>
        <w:sectPr w:rsidR="00FE7F93" w:rsidRPr="00E1199F" w:rsidSect="001446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44649" w:rsidRDefault="00144649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6313562" r:id="rId21"/>
        </w:object>
      </w:r>
    </w:p>
    <w:p w:rsidR="00144649" w:rsidRDefault="00144649"/>
    <w:p w:rsidR="00144649" w:rsidRDefault="00144649" w:rsidP="00144649">
      <w:pPr>
        <w:spacing w:line="240" w:lineRule="auto"/>
      </w:pPr>
    </w:p>
    <w:p w:rsidR="00144649" w:rsidRDefault="003528B6" w:rsidP="0014464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Excise Tariff Amendment (Supporting Craft Brewers) Act 2019</w:t>
      </w:r>
      <w:r>
        <w:rPr>
          <w:noProof/>
        </w:rPr>
        <w:fldChar w:fldCharType="end"/>
      </w:r>
    </w:p>
    <w:p w:rsidR="00144649" w:rsidRDefault="003528B6" w:rsidP="0014464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48, 2019</w:t>
      </w:r>
      <w:r>
        <w:rPr>
          <w:noProof/>
        </w:rPr>
        <w:fldChar w:fldCharType="end"/>
      </w:r>
    </w:p>
    <w:p w:rsidR="00144649" w:rsidRPr="009A0728" w:rsidRDefault="0014464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44649" w:rsidRPr="009A0728" w:rsidRDefault="00144649" w:rsidP="009A0728">
      <w:pPr>
        <w:spacing w:line="40" w:lineRule="exact"/>
        <w:rPr>
          <w:rFonts w:eastAsia="Calibri"/>
          <w:b/>
          <w:sz w:val="28"/>
        </w:rPr>
      </w:pPr>
    </w:p>
    <w:p w:rsidR="00144649" w:rsidRPr="009A0728" w:rsidRDefault="0014464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1199F" w:rsidRDefault="00144649" w:rsidP="00E1199F">
      <w:pPr>
        <w:pStyle w:val="Page1"/>
      </w:pPr>
      <w:r>
        <w:t>An Act</w:t>
      </w:r>
      <w:r w:rsidR="00E1199F" w:rsidRPr="00E1199F">
        <w:t xml:space="preserve"> to amend the </w:t>
      </w:r>
      <w:r w:rsidR="00E1199F" w:rsidRPr="00E1199F">
        <w:rPr>
          <w:i/>
        </w:rPr>
        <w:t>Excise Tariff Act 1921</w:t>
      </w:r>
      <w:r w:rsidR="00E1199F" w:rsidRPr="00E1199F">
        <w:t>, and for related purposes</w:t>
      </w:r>
    </w:p>
    <w:p w:rsidR="001A5423" w:rsidRDefault="001A542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E1199F" w:rsidRDefault="0048364F" w:rsidP="00E1199F">
      <w:pPr>
        <w:spacing w:before="240" w:line="240" w:lineRule="auto"/>
        <w:rPr>
          <w:sz w:val="32"/>
        </w:rPr>
      </w:pPr>
      <w:r w:rsidRPr="00E1199F">
        <w:rPr>
          <w:sz w:val="32"/>
        </w:rPr>
        <w:t>The Parliament of Australia enacts:</w:t>
      </w:r>
    </w:p>
    <w:p w:rsidR="0048364F" w:rsidRPr="00E1199F" w:rsidRDefault="0048364F" w:rsidP="00E1199F">
      <w:pPr>
        <w:pStyle w:val="ActHead5"/>
      </w:pPr>
      <w:bookmarkStart w:id="1" w:name="_Toc5700148"/>
      <w:r w:rsidRPr="00E1199F">
        <w:rPr>
          <w:rStyle w:val="CharSectno"/>
        </w:rPr>
        <w:t>1</w:t>
      </w:r>
      <w:r w:rsidRPr="00E1199F">
        <w:t xml:space="preserve">  Short title</w:t>
      </w:r>
      <w:bookmarkEnd w:id="1"/>
    </w:p>
    <w:p w:rsidR="0048364F" w:rsidRPr="00E1199F" w:rsidRDefault="0048364F" w:rsidP="00E1199F">
      <w:pPr>
        <w:pStyle w:val="subsection"/>
      </w:pPr>
      <w:r w:rsidRPr="00E1199F">
        <w:tab/>
      </w:r>
      <w:r w:rsidRPr="00E1199F">
        <w:tab/>
        <w:t xml:space="preserve">This Act </w:t>
      </w:r>
      <w:r w:rsidR="00275197" w:rsidRPr="00E1199F">
        <w:t xml:space="preserve">is </w:t>
      </w:r>
      <w:r w:rsidRPr="00E1199F">
        <w:t xml:space="preserve">the </w:t>
      </w:r>
      <w:r w:rsidR="00B511B7" w:rsidRPr="00E1199F">
        <w:rPr>
          <w:i/>
        </w:rPr>
        <w:t>Excise Tariff Amendment (</w:t>
      </w:r>
      <w:r w:rsidR="00D629F4" w:rsidRPr="00E1199F">
        <w:rPr>
          <w:i/>
        </w:rPr>
        <w:t>Supporting Craft Brewers</w:t>
      </w:r>
      <w:r w:rsidR="00B511B7" w:rsidRPr="00E1199F">
        <w:rPr>
          <w:i/>
        </w:rPr>
        <w:t>)</w:t>
      </w:r>
      <w:r w:rsidR="00B511B7" w:rsidRPr="00E1199F">
        <w:t xml:space="preserve"> </w:t>
      </w:r>
      <w:r w:rsidR="00F439B8" w:rsidRPr="00E1199F">
        <w:rPr>
          <w:i/>
        </w:rPr>
        <w:t>Act 2019</w:t>
      </w:r>
      <w:r w:rsidRPr="00E1199F">
        <w:t>.</w:t>
      </w:r>
    </w:p>
    <w:p w:rsidR="0048364F" w:rsidRPr="00E1199F" w:rsidRDefault="0048364F" w:rsidP="00E1199F">
      <w:pPr>
        <w:pStyle w:val="ActHead5"/>
      </w:pPr>
      <w:bookmarkStart w:id="2" w:name="_Toc5700149"/>
      <w:r w:rsidRPr="00E1199F">
        <w:rPr>
          <w:rStyle w:val="CharSectno"/>
        </w:rPr>
        <w:lastRenderedPageBreak/>
        <w:t>2</w:t>
      </w:r>
      <w:r w:rsidRPr="00E1199F">
        <w:t xml:space="preserve">  Commencement</w:t>
      </w:r>
      <w:bookmarkEnd w:id="2"/>
    </w:p>
    <w:p w:rsidR="003C27A6" w:rsidRPr="00E1199F" w:rsidRDefault="003C27A6" w:rsidP="00E1199F">
      <w:pPr>
        <w:pStyle w:val="subsection"/>
      </w:pPr>
      <w:r w:rsidRPr="00E1199F">
        <w:tab/>
        <w:t>(1)</w:t>
      </w:r>
      <w:r w:rsidRPr="00E1199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C27A6" w:rsidRPr="00E1199F" w:rsidRDefault="003C27A6" w:rsidP="00E1199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C27A6" w:rsidRPr="00E1199F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Commencement information</w:t>
            </w:r>
          </w:p>
        </w:tc>
      </w:tr>
      <w:tr w:rsidR="003C27A6" w:rsidRPr="00E1199F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Column 3</w:t>
            </w:r>
          </w:p>
        </w:tc>
      </w:tr>
      <w:tr w:rsidR="003C27A6" w:rsidRPr="00E1199F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Heading"/>
            </w:pPr>
            <w:r w:rsidRPr="00E1199F">
              <w:t>Date/Details</w:t>
            </w:r>
          </w:p>
        </w:tc>
      </w:tr>
      <w:tr w:rsidR="003C27A6" w:rsidRPr="00E1199F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text"/>
            </w:pPr>
            <w:r w:rsidRPr="00E1199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C27A6" w:rsidRPr="00E1199F" w:rsidRDefault="003C27A6" w:rsidP="00E1199F">
            <w:pPr>
              <w:pStyle w:val="Tabletext"/>
            </w:pPr>
            <w:r w:rsidRPr="00E1199F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27A6" w:rsidRPr="00E1199F" w:rsidRDefault="00253E60" w:rsidP="00253E60">
            <w:pPr>
              <w:pStyle w:val="Tabletext"/>
            </w:pPr>
            <w:r>
              <w:t>6 April 2019</w:t>
            </w:r>
          </w:p>
        </w:tc>
      </w:tr>
    </w:tbl>
    <w:p w:rsidR="003C27A6" w:rsidRPr="00E1199F" w:rsidRDefault="003C27A6" w:rsidP="00E1199F">
      <w:pPr>
        <w:pStyle w:val="notetext"/>
      </w:pPr>
      <w:r w:rsidRPr="00E1199F">
        <w:rPr>
          <w:snapToGrid w:val="0"/>
          <w:lang w:eastAsia="en-US"/>
        </w:rPr>
        <w:t>Note:</w:t>
      </w:r>
      <w:r w:rsidRPr="00E1199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C27A6" w:rsidRPr="00E1199F" w:rsidRDefault="003C27A6" w:rsidP="00E1199F">
      <w:pPr>
        <w:pStyle w:val="subsection"/>
      </w:pPr>
      <w:r w:rsidRPr="00E1199F">
        <w:tab/>
        <w:t>(2)</w:t>
      </w:r>
      <w:r w:rsidRPr="00E1199F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1199F" w:rsidRDefault="0048364F" w:rsidP="00E1199F">
      <w:pPr>
        <w:pStyle w:val="ActHead5"/>
      </w:pPr>
      <w:bookmarkStart w:id="3" w:name="_Toc5700150"/>
      <w:r w:rsidRPr="00E1199F">
        <w:rPr>
          <w:rStyle w:val="CharSectno"/>
        </w:rPr>
        <w:t>3</w:t>
      </w:r>
      <w:r w:rsidRPr="00E1199F">
        <w:t xml:space="preserve">  Schedules</w:t>
      </w:r>
      <w:bookmarkEnd w:id="3"/>
    </w:p>
    <w:p w:rsidR="0048364F" w:rsidRPr="00E1199F" w:rsidRDefault="0048364F" w:rsidP="00E1199F">
      <w:pPr>
        <w:pStyle w:val="subsection"/>
      </w:pPr>
      <w:r w:rsidRPr="00E1199F">
        <w:tab/>
      </w:r>
      <w:r w:rsidRPr="00E1199F">
        <w:tab/>
      </w:r>
      <w:r w:rsidR="00202618" w:rsidRPr="00E1199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E1199F" w:rsidRDefault="0048364F" w:rsidP="00E1199F">
      <w:pPr>
        <w:pStyle w:val="ActHead6"/>
        <w:pageBreakBefore/>
      </w:pPr>
      <w:bookmarkStart w:id="4" w:name="_Toc5700151"/>
      <w:bookmarkStart w:id="5" w:name="opcAmSched"/>
      <w:bookmarkStart w:id="6" w:name="opcCurrentFind"/>
      <w:r w:rsidRPr="00E1199F">
        <w:rPr>
          <w:rStyle w:val="CharAmSchNo"/>
        </w:rPr>
        <w:lastRenderedPageBreak/>
        <w:t>Schedule</w:t>
      </w:r>
      <w:r w:rsidR="00E1199F" w:rsidRPr="00E1199F">
        <w:rPr>
          <w:rStyle w:val="CharAmSchNo"/>
        </w:rPr>
        <w:t> </w:t>
      </w:r>
      <w:r w:rsidRPr="00E1199F">
        <w:rPr>
          <w:rStyle w:val="CharAmSchNo"/>
        </w:rPr>
        <w:t>1</w:t>
      </w:r>
      <w:r w:rsidRPr="00E1199F">
        <w:t>—</w:t>
      </w:r>
      <w:r w:rsidR="00B511B7" w:rsidRPr="00E1199F">
        <w:rPr>
          <w:rStyle w:val="CharAmSchText"/>
        </w:rPr>
        <w:t>Amendments</w:t>
      </w:r>
      <w:bookmarkEnd w:id="4"/>
    </w:p>
    <w:bookmarkEnd w:id="5"/>
    <w:bookmarkEnd w:id="6"/>
    <w:p w:rsidR="00AD65B9" w:rsidRPr="00E1199F" w:rsidRDefault="00AD65B9" w:rsidP="00E1199F">
      <w:pPr>
        <w:pStyle w:val="Header"/>
      </w:pPr>
      <w:r w:rsidRPr="00E1199F">
        <w:rPr>
          <w:rStyle w:val="CharAmPartNo"/>
        </w:rPr>
        <w:t xml:space="preserve"> </w:t>
      </w:r>
      <w:r w:rsidRPr="00E1199F">
        <w:rPr>
          <w:rStyle w:val="CharAmPartText"/>
        </w:rPr>
        <w:t xml:space="preserve"> </w:t>
      </w:r>
    </w:p>
    <w:p w:rsidR="00B511B7" w:rsidRPr="00E1199F" w:rsidRDefault="00B511B7" w:rsidP="00E1199F">
      <w:pPr>
        <w:pStyle w:val="ActHead9"/>
        <w:rPr>
          <w:i w:val="0"/>
        </w:rPr>
      </w:pPr>
      <w:bookmarkStart w:id="7" w:name="_Toc5700152"/>
      <w:r w:rsidRPr="00E1199F">
        <w:t>Excise Tariff Act 1921</w:t>
      </w:r>
      <w:bookmarkEnd w:id="7"/>
    </w:p>
    <w:p w:rsidR="00B511B7" w:rsidRPr="00E1199F" w:rsidRDefault="00CD036C" w:rsidP="00E1199F">
      <w:pPr>
        <w:pStyle w:val="ItemHead"/>
      </w:pPr>
      <w:r w:rsidRPr="00E1199F">
        <w:t>1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1.1,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t>Beer not exceeding 3%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 xml:space="preserve">(a) an individual container </w:t>
            </w:r>
            <w:r w:rsidR="009A49A8" w:rsidRPr="00E1199F">
              <w:t xml:space="preserve">of less than </w:t>
            </w:r>
            <w:r w:rsidRPr="00E1199F">
              <w:t>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>of at least</w:t>
            </w:r>
            <w:r w:rsidRPr="00E1199F">
              <w:t xml:space="preserve"> 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not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ItemHead"/>
      </w:pPr>
      <w:r w:rsidRPr="00E1199F">
        <w:t>2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1.2,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t>Beer not exceeding 3%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(a) an individual container exceeding 48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>of at least</w:t>
            </w:r>
            <w:r w:rsidRPr="00E1199F">
              <w:t xml:space="preserve"> 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ItemHead"/>
      </w:pPr>
      <w:r w:rsidRPr="00E1199F">
        <w:t>3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1.5,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lastRenderedPageBreak/>
              <w:t>Beer exceeding 3% but not exceeding 3.5%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 xml:space="preserve">(a) an individual container </w:t>
            </w:r>
            <w:r w:rsidR="009A49A8" w:rsidRPr="00E1199F">
              <w:t xml:space="preserve">of less than </w:t>
            </w:r>
            <w:r w:rsidRPr="00E1199F">
              <w:t>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 xml:space="preserve">of at least </w:t>
            </w:r>
            <w:r w:rsidRPr="00E1199F">
              <w:t>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not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ItemHead"/>
      </w:pPr>
      <w:r w:rsidRPr="00E1199F">
        <w:t>4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1.6,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t>Beer exceeding 3% but not exceeding 3.5%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(a) an individual container exceeding 48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>of at least</w:t>
            </w:r>
            <w:r w:rsidRPr="00E1199F">
              <w:t xml:space="preserve"> 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ItemHead"/>
      </w:pPr>
      <w:r w:rsidRPr="00E1199F">
        <w:t>5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1.10,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lastRenderedPageBreak/>
              <w:t>Beer exceeding 3.5%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 xml:space="preserve">(a) an individual container </w:t>
            </w:r>
            <w:r w:rsidR="009A49A8" w:rsidRPr="00E1199F">
              <w:t xml:space="preserve">of less than </w:t>
            </w:r>
            <w:r w:rsidRPr="00E1199F">
              <w:t>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>of at least</w:t>
            </w:r>
            <w:r w:rsidRPr="00E1199F">
              <w:t xml:space="preserve"> 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not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ItemHead"/>
      </w:pPr>
      <w:r w:rsidRPr="00E1199F">
        <w:t>6</w:t>
      </w:r>
      <w:r w:rsidR="00B511B7" w:rsidRPr="00E1199F">
        <w:t xml:space="preserve">  Schedule (cell at table </w:t>
      </w:r>
      <w:proofErr w:type="spellStart"/>
      <w:r w:rsidR="00B511B7" w:rsidRPr="00E1199F">
        <w:t>subitem</w:t>
      </w:r>
      <w:proofErr w:type="spellEnd"/>
      <w:r w:rsidR="00E1199F" w:rsidRPr="00E1199F">
        <w:t> </w:t>
      </w:r>
      <w:r w:rsidR="00B511B7" w:rsidRPr="00E1199F">
        <w:t>1.11, column headed “Description of goods”)</w:t>
      </w:r>
    </w:p>
    <w:p w:rsidR="00B511B7" w:rsidRPr="00E1199F" w:rsidRDefault="00B511B7" w:rsidP="00E1199F">
      <w:pPr>
        <w:pStyle w:val="Item"/>
        <w:rPr>
          <w:rFonts w:eastAsiaTheme="minorHAnsi"/>
        </w:rPr>
      </w:pPr>
      <w:r w:rsidRPr="00E1199F">
        <w:rPr>
          <w:rFonts w:eastAsiaTheme="minorHAnsi"/>
        </w:rPr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B511B7" w:rsidRPr="00E1199F" w:rsidTr="004F5583">
        <w:trPr>
          <w:cantSplit/>
        </w:trPr>
        <w:tc>
          <w:tcPr>
            <w:tcW w:w="3675" w:type="dxa"/>
            <w:shd w:val="clear" w:color="auto" w:fill="auto"/>
          </w:tcPr>
          <w:p w:rsidR="00B511B7" w:rsidRPr="00E1199F" w:rsidRDefault="00B511B7" w:rsidP="00E1199F">
            <w:pPr>
              <w:pStyle w:val="Tabletext"/>
            </w:pPr>
            <w:r w:rsidRPr="00E1199F">
              <w:t>Beer exceeding 3.5% by volume of alcohol packaged in: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(a) an individual container exceeding 48 litres; or</w:t>
            </w:r>
          </w:p>
          <w:p w:rsidR="00B511B7" w:rsidRPr="00E1199F" w:rsidRDefault="00B511B7" w:rsidP="00E1199F">
            <w:pPr>
              <w:pStyle w:val="Tablea"/>
            </w:pPr>
            <w:r w:rsidRPr="00E1199F">
              <w:t>(b) an individual container: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</w:t>
            </w:r>
            <w:proofErr w:type="spellStart"/>
            <w:r w:rsidRPr="00E1199F">
              <w:t>i</w:t>
            </w:r>
            <w:proofErr w:type="spellEnd"/>
            <w:r w:rsidRPr="00E1199F">
              <w:t xml:space="preserve">) </w:t>
            </w:r>
            <w:r w:rsidR="009A49A8" w:rsidRPr="00E1199F">
              <w:t>of at least</w:t>
            </w:r>
            <w:r w:rsidRPr="00E1199F">
              <w:t xml:space="preserve"> 8 litres but not exceeding 48 litres; and</w:t>
            </w:r>
          </w:p>
          <w:p w:rsidR="00B511B7" w:rsidRPr="00E1199F" w:rsidRDefault="00B511B7" w:rsidP="00E1199F">
            <w:pPr>
              <w:pStyle w:val="Tablei"/>
            </w:pPr>
            <w:r w:rsidRPr="00E1199F">
              <w:t>(ii) designed to connect to a pressurised gas delivery system, pump delivery system or other system prescribed by the regulations</w:t>
            </w:r>
          </w:p>
        </w:tc>
      </w:tr>
    </w:tbl>
    <w:p w:rsidR="00B511B7" w:rsidRPr="00E1199F" w:rsidRDefault="00CD036C" w:rsidP="00E1199F">
      <w:pPr>
        <w:pStyle w:val="Transitional"/>
      </w:pPr>
      <w:r w:rsidRPr="00E1199F">
        <w:t>7</w:t>
      </w:r>
      <w:r w:rsidR="00B511B7" w:rsidRPr="00E1199F">
        <w:t xml:space="preserve">  Application</w:t>
      </w:r>
    </w:p>
    <w:p w:rsidR="00B511B7" w:rsidRPr="00E1199F" w:rsidRDefault="00B511B7" w:rsidP="00E1199F">
      <w:pPr>
        <w:pStyle w:val="Subitem"/>
      </w:pPr>
      <w:r w:rsidRPr="00E1199F">
        <w:t>(1)</w:t>
      </w:r>
      <w:r w:rsidRPr="00E1199F">
        <w:tab/>
        <w:t>The amendments made by this Schedule apply in relation to goods entered for home consumption on or after</w:t>
      </w:r>
      <w:r w:rsidRPr="00E1199F">
        <w:rPr>
          <w:i/>
        </w:rPr>
        <w:t xml:space="preserve"> </w:t>
      </w:r>
      <w:r w:rsidRPr="00E1199F">
        <w:t>1</w:t>
      </w:r>
      <w:r w:rsidR="00E1199F" w:rsidRPr="00E1199F">
        <w:t> </w:t>
      </w:r>
      <w:r w:rsidRPr="00E1199F">
        <w:t>July 2019.</w:t>
      </w:r>
    </w:p>
    <w:p w:rsidR="00A9182E" w:rsidRDefault="00B511B7" w:rsidP="00E1199F">
      <w:pPr>
        <w:pStyle w:val="Subitem"/>
      </w:pPr>
      <w:r w:rsidRPr="00E1199F">
        <w:t>(2)</w:t>
      </w:r>
      <w:r w:rsidRPr="00E1199F">
        <w:tab/>
        <w:t>This item has effect despite subsection</w:t>
      </w:r>
      <w:r w:rsidR="00E1199F" w:rsidRPr="00E1199F">
        <w:t> </w:t>
      </w:r>
      <w:r w:rsidRPr="00E1199F">
        <w:t xml:space="preserve">5(2) of the </w:t>
      </w:r>
      <w:r w:rsidRPr="00E1199F">
        <w:rPr>
          <w:i/>
        </w:rPr>
        <w:t>Excise Tariff Act 1921</w:t>
      </w:r>
      <w:r w:rsidRPr="00E1199F">
        <w:t>.</w:t>
      </w:r>
    </w:p>
    <w:p w:rsidR="00144649" w:rsidRDefault="00144649" w:rsidP="00E1199F">
      <w:pPr>
        <w:pStyle w:val="Subitem"/>
        <w:sectPr w:rsidR="00144649" w:rsidSect="0014464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1A5423" w:rsidRDefault="001A5423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1A5423" w:rsidRDefault="001A542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2019</w:t>
      </w:r>
    </w:p>
    <w:p w:rsidR="001A5423" w:rsidRDefault="001A542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April 2019</w:t>
      </w:r>
      <w:r>
        <w:t>]</w:t>
      </w:r>
    </w:p>
    <w:p w:rsidR="001A5423" w:rsidRDefault="001A5423" w:rsidP="009B6A62">
      <w:pPr>
        <w:framePr w:hSpace="180" w:wrap="around" w:vAnchor="text" w:hAnchor="page" w:x="2375" w:y="9696"/>
      </w:pPr>
      <w:r>
        <w:t>(25/19)</w:t>
      </w:r>
    </w:p>
    <w:p w:rsidR="001A5423" w:rsidRDefault="001A5423"/>
    <w:sectPr w:rsidR="001A5423" w:rsidSect="001446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45" w:rsidRDefault="007E5245" w:rsidP="0048364F">
      <w:pPr>
        <w:spacing w:line="240" w:lineRule="auto"/>
      </w:pPr>
      <w:r>
        <w:separator/>
      </w:r>
    </w:p>
  </w:endnote>
  <w:endnote w:type="continuationSeparator" w:id="0">
    <w:p w:rsidR="007E5245" w:rsidRDefault="007E52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5F1388" w:rsidRDefault="002E3CD4" w:rsidP="00E119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44649" w:rsidTr="00E6693D">
      <w:tc>
        <w:tcPr>
          <w:tcW w:w="1247" w:type="dxa"/>
        </w:tcPr>
        <w:p w:rsidR="00144649" w:rsidRDefault="00144649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44649" w:rsidRDefault="00144649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44649" w:rsidRDefault="00144649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44649" w:rsidRPr="00055B5C" w:rsidRDefault="00144649" w:rsidP="002E3CD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44649" w:rsidTr="00E6693D">
      <w:tc>
        <w:tcPr>
          <w:tcW w:w="1247" w:type="dxa"/>
        </w:tcPr>
        <w:p w:rsidR="00144649" w:rsidRDefault="00144649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44649" w:rsidRDefault="00144649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44649" w:rsidRDefault="00144649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44649" w:rsidRPr="00A961C4" w:rsidRDefault="00144649" w:rsidP="002E3CD4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23" w:rsidRDefault="001A542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A5423" w:rsidRDefault="001A5423" w:rsidP="00CD12A5"/>
  <w:p w:rsidR="002E3CD4" w:rsidRDefault="002E3CD4" w:rsidP="00E1199F">
    <w:pPr>
      <w:pStyle w:val="Footer"/>
      <w:spacing w:before="120"/>
    </w:pPr>
  </w:p>
  <w:p w:rsidR="002E3CD4" w:rsidRPr="005F1388" w:rsidRDefault="002E3CD4" w:rsidP="002E3C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ED79B6" w:rsidRDefault="002E3CD4" w:rsidP="00E119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Default="002E3CD4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3CD4" w:rsidTr="002D74E0">
      <w:tc>
        <w:tcPr>
          <w:tcW w:w="646" w:type="dxa"/>
        </w:tcPr>
        <w:p w:rsidR="002E3CD4" w:rsidRDefault="002E3CD4" w:rsidP="002D74E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CD4" w:rsidRDefault="002E3CD4" w:rsidP="002D74E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E3CD4" w:rsidRDefault="002E3CD4" w:rsidP="002D74E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3CD4" w:rsidRDefault="002E3CD4" w:rsidP="002E3C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Default="002E3CD4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3CD4" w:rsidTr="002D74E0">
      <w:tc>
        <w:tcPr>
          <w:tcW w:w="1247" w:type="dxa"/>
        </w:tcPr>
        <w:p w:rsidR="002E3CD4" w:rsidRDefault="002E3CD4" w:rsidP="002D74E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CD4" w:rsidRDefault="002E3CD4" w:rsidP="002D74E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E3CD4" w:rsidRDefault="002E3CD4" w:rsidP="002D74E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3CD4" w:rsidRPr="00ED79B6" w:rsidRDefault="002E3CD4" w:rsidP="002E3CD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E1199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3CD4" w:rsidTr="00E6693D">
      <w:tc>
        <w:tcPr>
          <w:tcW w:w="646" w:type="dxa"/>
        </w:tcPr>
        <w:p w:rsidR="002E3CD4" w:rsidRDefault="002E3CD4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CD4" w:rsidRDefault="002E3CD4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E3CD4" w:rsidRDefault="002E3CD4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E3CD4" w:rsidRPr="00A961C4" w:rsidRDefault="002E3CD4" w:rsidP="002E3CD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3CD4" w:rsidTr="00E6693D">
      <w:tc>
        <w:tcPr>
          <w:tcW w:w="1247" w:type="dxa"/>
        </w:tcPr>
        <w:p w:rsidR="002E3CD4" w:rsidRDefault="002E3CD4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CD4" w:rsidRDefault="002E3CD4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E3CD4" w:rsidRDefault="002E3CD4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E3CD4" w:rsidRPr="00055B5C" w:rsidRDefault="002E3CD4" w:rsidP="002E3CD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E1199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3CD4" w:rsidTr="00E6693D">
      <w:tc>
        <w:tcPr>
          <w:tcW w:w="1247" w:type="dxa"/>
        </w:tcPr>
        <w:p w:rsidR="002E3CD4" w:rsidRDefault="002E3CD4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3CD4" w:rsidRDefault="002E3CD4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E3CD4" w:rsidRDefault="002E3CD4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E3CD4" w:rsidRPr="00A961C4" w:rsidRDefault="002E3CD4" w:rsidP="002E3CD4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E1199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44649" w:rsidTr="00E6693D">
      <w:tc>
        <w:tcPr>
          <w:tcW w:w="646" w:type="dxa"/>
        </w:tcPr>
        <w:p w:rsidR="00144649" w:rsidRDefault="00144649" w:rsidP="002D74E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44649" w:rsidRDefault="00144649" w:rsidP="002D74E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Excise Tariff Amendment (Supporting Craft Brewers)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44649" w:rsidRDefault="00144649" w:rsidP="002D74E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8B6">
            <w:rPr>
              <w:i/>
              <w:sz w:val="18"/>
            </w:rPr>
            <w:t>No. 48,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44649" w:rsidRPr="00A961C4" w:rsidRDefault="00144649" w:rsidP="002E3CD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45" w:rsidRDefault="007E5245" w:rsidP="0048364F">
      <w:pPr>
        <w:spacing w:line="240" w:lineRule="auto"/>
      </w:pPr>
      <w:r>
        <w:separator/>
      </w:r>
    </w:p>
  </w:footnote>
  <w:footnote w:type="continuationSeparator" w:id="0">
    <w:p w:rsidR="007E5245" w:rsidRDefault="007E52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5F1388" w:rsidRDefault="002E3CD4" w:rsidP="002E3CD4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2E3CD4">
    <w:pPr>
      <w:rPr>
        <w:b/>
        <w:sz w:val="20"/>
      </w:rPr>
    </w:pPr>
  </w:p>
  <w:p w:rsidR="00144649" w:rsidRPr="00A961C4" w:rsidRDefault="00144649" w:rsidP="002E3CD4">
    <w:pPr>
      <w:rPr>
        <w:b/>
        <w:sz w:val="20"/>
      </w:rPr>
    </w:pPr>
  </w:p>
  <w:p w:rsidR="00144649" w:rsidRPr="00A961C4" w:rsidRDefault="00144649" w:rsidP="002E3CD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2E3CD4">
    <w:pPr>
      <w:jc w:val="right"/>
      <w:rPr>
        <w:sz w:val="20"/>
      </w:rPr>
    </w:pPr>
  </w:p>
  <w:p w:rsidR="00144649" w:rsidRPr="00A961C4" w:rsidRDefault="00144649" w:rsidP="002E3CD4">
    <w:pPr>
      <w:jc w:val="right"/>
      <w:rPr>
        <w:b/>
        <w:sz w:val="20"/>
      </w:rPr>
    </w:pPr>
  </w:p>
  <w:p w:rsidR="00144649" w:rsidRPr="00A961C4" w:rsidRDefault="00144649" w:rsidP="002E3CD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9" w:rsidRPr="00A961C4" w:rsidRDefault="00144649" w:rsidP="002E3C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5F1388" w:rsidRDefault="002E3CD4" w:rsidP="002E3CD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5F1388" w:rsidRDefault="002E3CD4" w:rsidP="002E3CD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ED79B6" w:rsidRDefault="002E3CD4" w:rsidP="002E3CD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ED79B6" w:rsidRDefault="002E3CD4" w:rsidP="002E3CD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ED79B6" w:rsidRDefault="002E3CD4" w:rsidP="002E3CD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2E3C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28B6">
      <w:rPr>
        <w:b/>
        <w:sz w:val="20"/>
      </w:rPr>
      <w:fldChar w:fldCharType="separate"/>
    </w:r>
    <w:r w:rsidR="003528B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528B6">
      <w:rPr>
        <w:sz w:val="20"/>
      </w:rPr>
      <w:fldChar w:fldCharType="separate"/>
    </w:r>
    <w:r w:rsidR="003528B6">
      <w:rPr>
        <w:noProof/>
        <w:sz w:val="20"/>
      </w:rPr>
      <w:t>Amendments</w:t>
    </w:r>
    <w:r>
      <w:rPr>
        <w:sz w:val="20"/>
      </w:rPr>
      <w:fldChar w:fldCharType="end"/>
    </w:r>
  </w:p>
  <w:p w:rsidR="002E3CD4" w:rsidRPr="00A961C4" w:rsidRDefault="002E3CD4" w:rsidP="002E3C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E3CD4" w:rsidRPr="00A961C4" w:rsidRDefault="002E3CD4" w:rsidP="002E3CD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2E3CD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528B6">
      <w:rPr>
        <w:sz w:val="20"/>
      </w:rPr>
      <w:fldChar w:fldCharType="separate"/>
    </w:r>
    <w:r w:rsidR="003528B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28B6">
      <w:rPr>
        <w:b/>
        <w:sz w:val="20"/>
      </w:rPr>
      <w:fldChar w:fldCharType="separate"/>
    </w:r>
    <w:r w:rsidR="003528B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E3CD4" w:rsidRPr="00A961C4" w:rsidRDefault="002E3CD4" w:rsidP="002E3CD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E3CD4" w:rsidRPr="00A961C4" w:rsidRDefault="002E3CD4" w:rsidP="002E3CD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Pr="00A961C4" w:rsidRDefault="002E3CD4" w:rsidP="002E3C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5"/>
    <w:rsid w:val="000113BC"/>
    <w:rsid w:val="000136AF"/>
    <w:rsid w:val="000417C9"/>
    <w:rsid w:val="00055B5C"/>
    <w:rsid w:val="00056391"/>
    <w:rsid w:val="00060FF9"/>
    <w:rsid w:val="000614BF"/>
    <w:rsid w:val="000962DE"/>
    <w:rsid w:val="000B1FD2"/>
    <w:rsid w:val="000D05EF"/>
    <w:rsid w:val="000F21C1"/>
    <w:rsid w:val="00101D90"/>
    <w:rsid w:val="0010745C"/>
    <w:rsid w:val="00113BD1"/>
    <w:rsid w:val="00114E3C"/>
    <w:rsid w:val="00122206"/>
    <w:rsid w:val="00144649"/>
    <w:rsid w:val="00147D9C"/>
    <w:rsid w:val="00155923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423"/>
    <w:rsid w:val="001A759A"/>
    <w:rsid w:val="001B7A5D"/>
    <w:rsid w:val="001C2418"/>
    <w:rsid w:val="001C69C4"/>
    <w:rsid w:val="001E3590"/>
    <w:rsid w:val="001E7407"/>
    <w:rsid w:val="00201D27"/>
    <w:rsid w:val="00202618"/>
    <w:rsid w:val="00222B0D"/>
    <w:rsid w:val="00240749"/>
    <w:rsid w:val="00253E60"/>
    <w:rsid w:val="0025549F"/>
    <w:rsid w:val="00263820"/>
    <w:rsid w:val="00275197"/>
    <w:rsid w:val="00293B89"/>
    <w:rsid w:val="00297ECB"/>
    <w:rsid w:val="002B3281"/>
    <w:rsid w:val="002B5A30"/>
    <w:rsid w:val="002D043A"/>
    <w:rsid w:val="002D395A"/>
    <w:rsid w:val="002D64A2"/>
    <w:rsid w:val="002E3CD4"/>
    <w:rsid w:val="003371D9"/>
    <w:rsid w:val="003415D3"/>
    <w:rsid w:val="00350417"/>
    <w:rsid w:val="003528B6"/>
    <w:rsid w:val="00352B0F"/>
    <w:rsid w:val="00375C6C"/>
    <w:rsid w:val="003A3A1B"/>
    <w:rsid w:val="003A7B3C"/>
    <w:rsid w:val="003B4E3D"/>
    <w:rsid w:val="003C27A6"/>
    <w:rsid w:val="003C5F2B"/>
    <w:rsid w:val="003D0BFE"/>
    <w:rsid w:val="003D5700"/>
    <w:rsid w:val="003E0F52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72DC6"/>
    <w:rsid w:val="00584811"/>
    <w:rsid w:val="00593AA6"/>
    <w:rsid w:val="00594161"/>
    <w:rsid w:val="00594749"/>
    <w:rsid w:val="005A0D92"/>
    <w:rsid w:val="005B4067"/>
    <w:rsid w:val="005C3F41"/>
    <w:rsid w:val="005E07B1"/>
    <w:rsid w:val="005E152A"/>
    <w:rsid w:val="00600219"/>
    <w:rsid w:val="006259E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653D5"/>
    <w:rsid w:val="007715C9"/>
    <w:rsid w:val="00774EDD"/>
    <w:rsid w:val="007757EC"/>
    <w:rsid w:val="007E5245"/>
    <w:rsid w:val="007E7D4A"/>
    <w:rsid w:val="008006CC"/>
    <w:rsid w:val="00807F18"/>
    <w:rsid w:val="00831E8D"/>
    <w:rsid w:val="00856A31"/>
    <w:rsid w:val="00857D6B"/>
    <w:rsid w:val="00870D37"/>
    <w:rsid w:val="00872BC1"/>
    <w:rsid w:val="008754D0"/>
    <w:rsid w:val="00877D48"/>
    <w:rsid w:val="00883781"/>
    <w:rsid w:val="00885570"/>
    <w:rsid w:val="00893958"/>
    <w:rsid w:val="008A2E77"/>
    <w:rsid w:val="008C3462"/>
    <w:rsid w:val="008C6F6F"/>
    <w:rsid w:val="008D0EE0"/>
    <w:rsid w:val="008D3E94"/>
    <w:rsid w:val="008D59B8"/>
    <w:rsid w:val="008F4F1C"/>
    <w:rsid w:val="008F77C4"/>
    <w:rsid w:val="009103F3"/>
    <w:rsid w:val="00911C55"/>
    <w:rsid w:val="00932377"/>
    <w:rsid w:val="00967042"/>
    <w:rsid w:val="0098255A"/>
    <w:rsid w:val="009845BE"/>
    <w:rsid w:val="009969C9"/>
    <w:rsid w:val="009A49A8"/>
    <w:rsid w:val="009B6A62"/>
    <w:rsid w:val="009F64D6"/>
    <w:rsid w:val="009F7BD0"/>
    <w:rsid w:val="00A048FF"/>
    <w:rsid w:val="00A10775"/>
    <w:rsid w:val="00A231E2"/>
    <w:rsid w:val="00A2763C"/>
    <w:rsid w:val="00A36C48"/>
    <w:rsid w:val="00A41E0B"/>
    <w:rsid w:val="00A55631"/>
    <w:rsid w:val="00A64912"/>
    <w:rsid w:val="00A70A74"/>
    <w:rsid w:val="00A9182E"/>
    <w:rsid w:val="00AA3795"/>
    <w:rsid w:val="00AC1E75"/>
    <w:rsid w:val="00AD5641"/>
    <w:rsid w:val="00AD65B9"/>
    <w:rsid w:val="00AE1088"/>
    <w:rsid w:val="00AE305D"/>
    <w:rsid w:val="00AF1BA4"/>
    <w:rsid w:val="00B02A17"/>
    <w:rsid w:val="00B032D8"/>
    <w:rsid w:val="00B33B3C"/>
    <w:rsid w:val="00B4291D"/>
    <w:rsid w:val="00B511B7"/>
    <w:rsid w:val="00B6382D"/>
    <w:rsid w:val="00B93A50"/>
    <w:rsid w:val="00BA5026"/>
    <w:rsid w:val="00BB40BF"/>
    <w:rsid w:val="00BC0CD1"/>
    <w:rsid w:val="00BD0C4C"/>
    <w:rsid w:val="00BE719A"/>
    <w:rsid w:val="00BE720A"/>
    <w:rsid w:val="00BF0461"/>
    <w:rsid w:val="00BF1E31"/>
    <w:rsid w:val="00BF4944"/>
    <w:rsid w:val="00BF56D4"/>
    <w:rsid w:val="00C04409"/>
    <w:rsid w:val="00C067E5"/>
    <w:rsid w:val="00C164CA"/>
    <w:rsid w:val="00C176CF"/>
    <w:rsid w:val="00C33662"/>
    <w:rsid w:val="00C42BF8"/>
    <w:rsid w:val="00C460AE"/>
    <w:rsid w:val="00C50043"/>
    <w:rsid w:val="00C54E84"/>
    <w:rsid w:val="00C7573B"/>
    <w:rsid w:val="00C76CF3"/>
    <w:rsid w:val="00C9709B"/>
    <w:rsid w:val="00CD036C"/>
    <w:rsid w:val="00CE1E31"/>
    <w:rsid w:val="00CF0BB2"/>
    <w:rsid w:val="00D00EAA"/>
    <w:rsid w:val="00D13441"/>
    <w:rsid w:val="00D243A3"/>
    <w:rsid w:val="00D4518D"/>
    <w:rsid w:val="00D477C3"/>
    <w:rsid w:val="00D52EFE"/>
    <w:rsid w:val="00D629F4"/>
    <w:rsid w:val="00D63EF6"/>
    <w:rsid w:val="00D70DFB"/>
    <w:rsid w:val="00D73029"/>
    <w:rsid w:val="00D766DF"/>
    <w:rsid w:val="00DA55A8"/>
    <w:rsid w:val="00DB1731"/>
    <w:rsid w:val="00DB5A89"/>
    <w:rsid w:val="00DE2002"/>
    <w:rsid w:val="00DF7AE9"/>
    <w:rsid w:val="00E05704"/>
    <w:rsid w:val="00E1199F"/>
    <w:rsid w:val="00E24D66"/>
    <w:rsid w:val="00E54292"/>
    <w:rsid w:val="00E6693D"/>
    <w:rsid w:val="00E70CE8"/>
    <w:rsid w:val="00E74DC7"/>
    <w:rsid w:val="00E774FA"/>
    <w:rsid w:val="00E87699"/>
    <w:rsid w:val="00E947C6"/>
    <w:rsid w:val="00EC7A44"/>
    <w:rsid w:val="00ED492F"/>
    <w:rsid w:val="00EF2E3A"/>
    <w:rsid w:val="00F00329"/>
    <w:rsid w:val="00F047E2"/>
    <w:rsid w:val="00F05529"/>
    <w:rsid w:val="00F078DC"/>
    <w:rsid w:val="00F13E86"/>
    <w:rsid w:val="00F17B00"/>
    <w:rsid w:val="00F439B8"/>
    <w:rsid w:val="00F47591"/>
    <w:rsid w:val="00F677A9"/>
    <w:rsid w:val="00F734CC"/>
    <w:rsid w:val="00F802EC"/>
    <w:rsid w:val="00F84CF5"/>
    <w:rsid w:val="00F92D35"/>
    <w:rsid w:val="00FA420B"/>
    <w:rsid w:val="00FB6BFE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19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199F"/>
  </w:style>
  <w:style w:type="paragraph" w:customStyle="1" w:styleId="OPCParaBase">
    <w:name w:val="OPCParaBase"/>
    <w:link w:val="OPCParaBaseChar"/>
    <w:qFormat/>
    <w:rsid w:val="00E119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19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19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19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19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19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19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19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19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19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19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199F"/>
  </w:style>
  <w:style w:type="paragraph" w:customStyle="1" w:styleId="Blocks">
    <w:name w:val="Blocks"/>
    <w:aliases w:val="bb"/>
    <w:basedOn w:val="OPCParaBase"/>
    <w:qFormat/>
    <w:rsid w:val="00E119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19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199F"/>
    <w:rPr>
      <w:i/>
    </w:rPr>
  </w:style>
  <w:style w:type="paragraph" w:customStyle="1" w:styleId="BoxList">
    <w:name w:val="BoxList"/>
    <w:aliases w:val="bl"/>
    <w:basedOn w:val="BoxText"/>
    <w:qFormat/>
    <w:rsid w:val="00E119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19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19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199F"/>
    <w:pPr>
      <w:ind w:left="1985" w:hanging="851"/>
    </w:pPr>
  </w:style>
  <w:style w:type="character" w:customStyle="1" w:styleId="CharAmPartNo">
    <w:name w:val="CharAmPartNo"/>
    <w:basedOn w:val="OPCCharBase"/>
    <w:qFormat/>
    <w:rsid w:val="00E1199F"/>
  </w:style>
  <w:style w:type="character" w:customStyle="1" w:styleId="CharAmPartText">
    <w:name w:val="CharAmPartText"/>
    <w:basedOn w:val="OPCCharBase"/>
    <w:qFormat/>
    <w:rsid w:val="00E1199F"/>
  </w:style>
  <w:style w:type="character" w:customStyle="1" w:styleId="CharAmSchNo">
    <w:name w:val="CharAmSchNo"/>
    <w:basedOn w:val="OPCCharBase"/>
    <w:qFormat/>
    <w:rsid w:val="00E1199F"/>
  </w:style>
  <w:style w:type="character" w:customStyle="1" w:styleId="CharAmSchText">
    <w:name w:val="CharAmSchText"/>
    <w:basedOn w:val="OPCCharBase"/>
    <w:qFormat/>
    <w:rsid w:val="00E1199F"/>
  </w:style>
  <w:style w:type="character" w:customStyle="1" w:styleId="CharBoldItalic">
    <w:name w:val="CharBoldItalic"/>
    <w:basedOn w:val="OPCCharBase"/>
    <w:uiPriority w:val="1"/>
    <w:qFormat/>
    <w:rsid w:val="00E119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199F"/>
  </w:style>
  <w:style w:type="character" w:customStyle="1" w:styleId="CharChapText">
    <w:name w:val="CharChapText"/>
    <w:basedOn w:val="OPCCharBase"/>
    <w:uiPriority w:val="1"/>
    <w:qFormat/>
    <w:rsid w:val="00E1199F"/>
  </w:style>
  <w:style w:type="character" w:customStyle="1" w:styleId="CharDivNo">
    <w:name w:val="CharDivNo"/>
    <w:basedOn w:val="OPCCharBase"/>
    <w:uiPriority w:val="1"/>
    <w:qFormat/>
    <w:rsid w:val="00E1199F"/>
  </w:style>
  <w:style w:type="character" w:customStyle="1" w:styleId="CharDivText">
    <w:name w:val="CharDivText"/>
    <w:basedOn w:val="OPCCharBase"/>
    <w:uiPriority w:val="1"/>
    <w:qFormat/>
    <w:rsid w:val="00E1199F"/>
  </w:style>
  <w:style w:type="character" w:customStyle="1" w:styleId="CharItalic">
    <w:name w:val="CharItalic"/>
    <w:basedOn w:val="OPCCharBase"/>
    <w:uiPriority w:val="1"/>
    <w:qFormat/>
    <w:rsid w:val="00E1199F"/>
    <w:rPr>
      <w:i/>
    </w:rPr>
  </w:style>
  <w:style w:type="character" w:customStyle="1" w:styleId="CharPartNo">
    <w:name w:val="CharPartNo"/>
    <w:basedOn w:val="OPCCharBase"/>
    <w:uiPriority w:val="1"/>
    <w:qFormat/>
    <w:rsid w:val="00E1199F"/>
  </w:style>
  <w:style w:type="character" w:customStyle="1" w:styleId="CharPartText">
    <w:name w:val="CharPartText"/>
    <w:basedOn w:val="OPCCharBase"/>
    <w:uiPriority w:val="1"/>
    <w:qFormat/>
    <w:rsid w:val="00E1199F"/>
  </w:style>
  <w:style w:type="character" w:customStyle="1" w:styleId="CharSectno">
    <w:name w:val="CharSectno"/>
    <w:basedOn w:val="OPCCharBase"/>
    <w:qFormat/>
    <w:rsid w:val="00E1199F"/>
  </w:style>
  <w:style w:type="character" w:customStyle="1" w:styleId="CharSubdNo">
    <w:name w:val="CharSubdNo"/>
    <w:basedOn w:val="OPCCharBase"/>
    <w:uiPriority w:val="1"/>
    <w:qFormat/>
    <w:rsid w:val="00E1199F"/>
  </w:style>
  <w:style w:type="character" w:customStyle="1" w:styleId="CharSubdText">
    <w:name w:val="CharSubdText"/>
    <w:basedOn w:val="OPCCharBase"/>
    <w:uiPriority w:val="1"/>
    <w:qFormat/>
    <w:rsid w:val="00E1199F"/>
  </w:style>
  <w:style w:type="paragraph" w:customStyle="1" w:styleId="CTA--">
    <w:name w:val="CTA --"/>
    <w:basedOn w:val="OPCParaBase"/>
    <w:next w:val="Normal"/>
    <w:rsid w:val="00E119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19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19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19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19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19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19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19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19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19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19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19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19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19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19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19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19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19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19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19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19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19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19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19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19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19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19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19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19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19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19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199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19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19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19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19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19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19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19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19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19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19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19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19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19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19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19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19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19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19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19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19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19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19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199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199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199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19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19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19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19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19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19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19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19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199F"/>
    <w:rPr>
      <w:sz w:val="16"/>
    </w:rPr>
  </w:style>
  <w:style w:type="table" w:customStyle="1" w:styleId="CFlag">
    <w:name w:val="CFlag"/>
    <w:basedOn w:val="TableNormal"/>
    <w:uiPriority w:val="99"/>
    <w:rsid w:val="00E1199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19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199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19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19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19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19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19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19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19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199F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199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199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19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19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19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19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19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19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19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19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19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19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199F"/>
  </w:style>
  <w:style w:type="character" w:customStyle="1" w:styleId="CharSubPartNoCASA">
    <w:name w:val="CharSubPartNo(CASA)"/>
    <w:basedOn w:val="OPCCharBase"/>
    <w:uiPriority w:val="1"/>
    <w:rsid w:val="00E1199F"/>
  </w:style>
  <w:style w:type="paragraph" w:customStyle="1" w:styleId="ENoteTTIndentHeadingSub">
    <w:name w:val="ENoteTTIndentHeadingSub"/>
    <w:aliases w:val="enTTHis"/>
    <w:basedOn w:val="OPCParaBase"/>
    <w:rsid w:val="00E119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19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19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199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119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199F"/>
    <w:rPr>
      <w:sz w:val="22"/>
    </w:rPr>
  </w:style>
  <w:style w:type="paragraph" w:customStyle="1" w:styleId="SOTextNote">
    <w:name w:val="SO TextNote"/>
    <w:aliases w:val="sont"/>
    <w:basedOn w:val="SOText"/>
    <w:qFormat/>
    <w:rsid w:val="00E119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19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199F"/>
    <w:rPr>
      <w:sz w:val="22"/>
    </w:rPr>
  </w:style>
  <w:style w:type="paragraph" w:customStyle="1" w:styleId="FileName">
    <w:name w:val="FileName"/>
    <w:basedOn w:val="Normal"/>
    <w:rsid w:val="00E1199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19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19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19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19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19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19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19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19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199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1199F"/>
  </w:style>
  <w:style w:type="character" w:customStyle="1" w:styleId="Heading1Char">
    <w:name w:val="Heading 1 Char"/>
    <w:basedOn w:val="DefaultParagraphFont"/>
    <w:link w:val="Heading1"/>
    <w:uiPriority w:val="9"/>
    <w:rsid w:val="00B51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27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27A6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B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4464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464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464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464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464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464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464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4649"/>
  </w:style>
  <w:style w:type="character" w:customStyle="1" w:styleId="ShortTCPChar">
    <w:name w:val="ShortTCP Char"/>
    <w:basedOn w:val="ShortTChar"/>
    <w:link w:val="ShortTCP"/>
    <w:rsid w:val="0014464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4649"/>
    <w:pPr>
      <w:spacing w:before="400"/>
    </w:pPr>
  </w:style>
  <w:style w:type="character" w:customStyle="1" w:styleId="ActNoCPChar">
    <w:name w:val="ActNoCP Char"/>
    <w:basedOn w:val="ActnoChar"/>
    <w:link w:val="ActNoCP"/>
    <w:rsid w:val="0014464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464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A54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54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54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19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199F"/>
  </w:style>
  <w:style w:type="paragraph" w:customStyle="1" w:styleId="OPCParaBase">
    <w:name w:val="OPCParaBase"/>
    <w:link w:val="OPCParaBaseChar"/>
    <w:qFormat/>
    <w:rsid w:val="00E119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19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19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19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19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19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19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19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19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19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19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199F"/>
  </w:style>
  <w:style w:type="paragraph" w:customStyle="1" w:styleId="Blocks">
    <w:name w:val="Blocks"/>
    <w:aliases w:val="bb"/>
    <w:basedOn w:val="OPCParaBase"/>
    <w:qFormat/>
    <w:rsid w:val="00E119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19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199F"/>
    <w:rPr>
      <w:i/>
    </w:rPr>
  </w:style>
  <w:style w:type="paragraph" w:customStyle="1" w:styleId="BoxList">
    <w:name w:val="BoxList"/>
    <w:aliases w:val="bl"/>
    <w:basedOn w:val="BoxText"/>
    <w:qFormat/>
    <w:rsid w:val="00E119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19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19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199F"/>
    <w:pPr>
      <w:ind w:left="1985" w:hanging="851"/>
    </w:pPr>
  </w:style>
  <w:style w:type="character" w:customStyle="1" w:styleId="CharAmPartNo">
    <w:name w:val="CharAmPartNo"/>
    <w:basedOn w:val="OPCCharBase"/>
    <w:qFormat/>
    <w:rsid w:val="00E1199F"/>
  </w:style>
  <w:style w:type="character" w:customStyle="1" w:styleId="CharAmPartText">
    <w:name w:val="CharAmPartText"/>
    <w:basedOn w:val="OPCCharBase"/>
    <w:qFormat/>
    <w:rsid w:val="00E1199F"/>
  </w:style>
  <w:style w:type="character" w:customStyle="1" w:styleId="CharAmSchNo">
    <w:name w:val="CharAmSchNo"/>
    <w:basedOn w:val="OPCCharBase"/>
    <w:qFormat/>
    <w:rsid w:val="00E1199F"/>
  </w:style>
  <w:style w:type="character" w:customStyle="1" w:styleId="CharAmSchText">
    <w:name w:val="CharAmSchText"/>
    <w:basedOn w:val="OPCCharBase"/>
    <w:qFormat/>
    <w:rsid w:val="00E1199F"/>
  </w:style>
  <w:style w:type="character" w:customStyle="1" w:styleId="CharBoldItalic">
    <w:name w:val="CharBoldItalic"/>
    <w:basedOn w:val="OPCCharBase"/>
    <w:uiPriority w:val="1"/>
    <w:qFormat/>
    <w:rsid w:val="00E119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199F"/>
  </w:style>
  <w:style w:type="character" w:customStyle="1" w:styleId="CharChapText">
    <w:name w:val="CharChapText"/>
    <w:basedOn w:val="OPCCharBase"/>
    <w:uiPriority w:val="1"/>
    <w:qFormat/>
    <w:rsid w:val="00E1199F"/>
  </w:style>
  <w:style w:type="character" w:customStyle="1" w:styleId="CharDivNo">
    <w:name w:val="CharDivNo"/>
    <w:basedOn w:val="OPCCharBase"/>
    <w:uiPriority w:val="1"/>
    <w:qFormat/>
    <w:rsid w:val="00E1199F"/>
  </w:style>
  <w:style w:type="character" w:customStyle="1" w:styleId="CharDivText">
    <w:name w:val="CharDivText"/>
    <w:basedOn w:val="OPCCharBase"/>
    <w:uiPriority w:val="1"/>
    <w:qFormat/>
    <w:rsid w:val="00E1199F"/>
  </w:style>
  <w:style w:type="character" w:customStyle="1" w:styleId="CharItalic">
    <w:name w:val="CharItalic"/>
    <w:basedOn w:val="OPCCharBase"/>
    <w:uiPriority w:val="1"/>
    <w:qFormat/>
    <w:rsid w:val="00E1199F"/>
    <w:rPr>
      <w:i/>
    </w:rPr>
  </w:style>
  <w:style w:type="character" w:customStyle="1" w:styleId="CharPartNo">
    <w:name w:val="CharPartNo"/>
    <w:basedOn w:val="OPCCharBase"/>
    <w:uiPriority w:val="1"/>
    <w:qFormat/>
    <w:rsid w:val="00E1199F"/>
  </w:style>
  <w:style w:type="character" w:customStyle="1" w:styleId="CharPartText">
    <w:name w:val="CharPartText"/>
    <w:basedOn w:val="OPCCharBase"/>
    <w:uiPriority w:val="1"/>
    <w:qFormat/>
    <w:rsid w:val="00E1199F"/>
  </w:style>
  <w:style w:type="character" w:customStyle="1" w:styleId="CharSectno">
    <w:name w:val="CharSectno"/>
    <w:basedOn w:val="OPCCharBase"/>
    <w:qFormat/>
    <w:rsid w:val="00E1199F"/>
  </w:style>
  <w:style w:type="character" w:customStyle="1" w:styleId="CharSubdNo">
    <w:name w:val="CharSubdNo"/>
    <w:basedOn w:val="OPCCharBase"/>
    <w:uiPriority w:val="1"/>
    <w:qFormat/>
    <w:rsid w:val="00E1199F"/>
  </w:style>
  <w:style w:type="character" w:customStyle="1" w:styleId="CharSubdText">
    <w:name w:val="CharSubdText"/>
    <w:basedOn w:val="OPCCharBase"/>
    <w:uiPriority w:val="1"/>
    <w:qFormat/>
    <w:rsid w:val="00E1199F"/>
  </w:style>
  <w:style w:type="paragraph" w:customStyle="1" w:styleId="CTA--">
    <w:name w:val="CTA --"/>
    <w:basedOn w:val="OPCParaBase"/>
    <w:next w:val="Normal"/>
    <w:rsid w:val="00E119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19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19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19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19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19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19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19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19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19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19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19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19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19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19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19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19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19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19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19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19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19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19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19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19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19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19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19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19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19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19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199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19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19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19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19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19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19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19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19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19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19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19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19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19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19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19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19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19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19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19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19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19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19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199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199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199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199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19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19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19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19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19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19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19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19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199F"/>
    <w:rPr>
      <w:sz w:val="16"/>
    </w:rPr>
  </w:style>
  <w:style w:type="table" w:customStyle="1" w:styleId="CFlag">
    <w:name w:val="CFlag"/>
    <w:basedOn w:val="TableNormal"/>
    <w:uiPriority w:val="99"/>
    <w:rsid w:val="00E1199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19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199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19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19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19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19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19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19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19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199F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199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199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19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19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19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19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19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19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19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19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19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19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199F"/>
  </w:style>
  <w:style w:type="character" w:customStyle="1" w:styleId="CharSubPartNoCASA">
    <w:name w:val="CharSubPartNo(CASA)"/>
    <w:basedOn w:val="OPCCharBase"/>
    <w:uiPriority w:val="1"/>
    <w:rsid w:val="00E1199F"/>
  </w:style>
  <w:style w:type="paragraph" w:customStyle="1" w:styleId="ENoteTTIndentHeadingSub">
    <w:name w:val="ENoteTTIndentHeadingSub"/>
    <w:aliases w:val="enTTHis"/>
    <w:basedOn w:val="OPCParaBase"/>
    <w:rsid w:val="00E119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19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19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199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119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199F"/>
    <w:rPr>
      <w:sz w:val="22"/>
    </w:rPr>
  </w:style>
  <w:style w:type="paragraph" w:customStyle="1" w:styleId="SOTextNote">
    <w:name w:val="SO TextNote"/>
    <w:aliases w:val="sont"/>
    <w:basedOn w:val="SOText"/>
    <w:qFormat/>
    <w:rsid w:val="00E119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19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199F"/>
    <w:rPr>
      <w:sz w:val="22"/>
    </w:rPr>
  </w:style>
  <w:style w:type="paragraph" w:customStyle="1" w:styleId="FileName">
    <w:name w:val="FileName"/>
    <w:basedOn w:val="Normal"/>
    <w:rsid w:val="00E1199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19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19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19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19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19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19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19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19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19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199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1199F"/>
  </w:style>
  <w:style w:type="character" w:customStyle="1" w:styleId="Heading1Char">
    <w:name w:val="Heading 1 Char"/>
    <w:basedOn w:val="DefaultParagraphFont"/>
    <w:link w:val="Heading1"/>
    <w:uiPriority w:val="9"/>
    <w:rsid w:val="00B51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27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27A6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B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4464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464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464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464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464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464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464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4649"/>
  </w:style>
  <w:style w:type="character" w:customStyle="1" w:styleId="ShortTCPChar">
    <w:name w:val="ShortTCP Char"/>
    <w:basedOn w:val="ShortTChar"/>
    <w:link w:val="ShortTCP"/>
    <w:rsid w:val="0014464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4649"/>
    <w:pPr>
      <w:spacing w:before="400"/>
    </w:pPr>
  </w:style>
  <w:style w:type="character" w:customStyle="1" w:styleId="ActNoCPChar">
    <w:name w:val="ActNoCP Char"/>
    <w:basedOn w:val="ActnoChar"/>
    <w:link w:val="ActNoCP"/>
    <w:rsid w:val="0014464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464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A54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54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54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977</Words>
  <Characters>3879</Characters>
  <Application>Microsoft Office Word</Application>
  <DocSecurity>0</DocSecurity>
  <PresentationFormat/>
  <Lines>352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2019-04-08T22:40:00Z</dcterms:created>
  <dcterms:modified xsi:type="dcterms:W3CDTF">2019-04-09T01:06:00Z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Excise Tariff Amendment (Supporting Craft Brewers) Act 2019</vt:lpwstr>
  </property>
  <property fmtid="{D5CDD505-2E9C-101B-9397-08002B2CF9AE}" pid="5" name="ActNo">
    <vt:lpwstr>No. 48,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OPC6927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