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8" w:rsidRDefault="00400D3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1pt" o:ole="" fillcolor="window">
            <v:imagedata r:id="rId8" o:title=""/>
          </v:shape>
          <o:OLEObject Type="Embed" ProgID="Word.Picture.8" ShapeID="_x0000_i1026" DrawAspect="Content" ObjectID="_1631610915" r:id="rId9"/>
        </w:object>
      </w:r>
    </w:p>
    <w:p w:rsidR="00400D38" w:rsidRDefault="00400D38"/>
    <w:p w:rsidR="00400D38" w:rsidRDefault="00400D38" w:rsidP="00400D38">
      <w:pPr>
        <w:spacing w:line="240" w:lineRule="auto"/>
      </w:pPr>
    </w:p>
    <w:p w:rsidR="00400D38" w:rsidRDefault="00400D38" w:rsidP="00400D38"/>
    <w:p w:rsidR="00400D38" w:rsidRDefault="00400D38" w:rsidP="00400D38"/>
    <w:p w:rsidR="00400D38" w:rsidRDefault="00400D38" w:rsidP="00400D38"/>
    <w:p w:rsidR="00400D38" w:rsidRDefault="00400D38" w:rsidP="00400D38"/>
    <w:p w:rsidR="006E03F7" w:rsidRPr="00D329A8" w:rsidRDefault="006E03F7" w:rsidP="006E03F7">
      <w:pPr>
        <w:pStyle w:val="ShortT"/>
      </w:pPr>
      <w:r w:rsidRPr="00D329A8">
        <w:t>Treasury Laws Amendment (2018 Superannuation Measures No.</w:t>
      </w:r>
      <w:r w:rsidR="00D329A8" w:rsidRPr="00D329A8">
        <w:t> </w:t>
      </w:r>
      <w:r w:rsidRPr="00D329A8">
        <w:t xml:space="preserve">1) </w:t>
      </w:r>
      <w:r w:rsidR="00400D38">
        <w:t>Act</w:t>
      </w:r>
      <w:r w:rsidRPr="00D329A8">
        <w:t xml:space="preserve"> 2019</w:t>
      </w:r>
    </w:p>
    <w:p w:rsidR="006E03F7" w:rsidRPr="00D329A8" w:rsidRDefault="006E03F7" w:rsidP="006E03F7"/>
    <w:p w:rsidR="006E03F7" w:rsidRPr="00D329A8" w:rsidRDefault="006E03F7" w:rsidP="00400D38">
      <w:pPr>
        <w:pStyle w:val="Actno"/>
        <w:spacing w:before="400"/>
      </w:pPr>
      <w:r w:rsidRPr="00D329A8">
        <w:t>No.</w:t>
      </w:r>
      <w:r w:rsidR="00C23A35">
        <w:t xml:space="preserve"> 78</w:t>
      </w:r>
      <w:r w:rsidRPr="00D329A8">
        <w:t>, 2019</w:t>
      </w:r>
      <w:bookmarkStart w:id="0" w:name="_GoBack"/>
      <w:bookmarkEnd w:id="0"/>
    </w:p>
    <w:p w:rsidR="006E03F7" w:rsidRPr="00D329A8" w:rsidRDefault="006E03F7" w:rsidP="006E03F7"/>
    <w:p w:rsidR="00400D38" w:rsidRDefault="00400D38" w:rsidP="00400D38"/>
    <w:p w:rsidR="00400D38" w:rsidRDefault="00400D38" w:rsidP="00400D38"/>
    <w:p w:rsidR="00400D38" w:rsidRDefault="00400D38" w:rsidP="00400D38"/>
    <w:p w:rsidR="00400D38" w:rsidRDefault="00400D38" w:rsidP="00400D38"/>
    <w:p w:rsidR="006E03F7" w:rsidRPr="00D329A8" w:rsidRDefault="00400D38" w:rsidP="006E03F7">
      <w:pPr>
        <w:pStyle w:val="LongT"/>
      </w:pPr>
      <w:r>
        <w:t>An Act</w:t>
      </w:r>
      <w:r w:rsidR="006E03F7" w:rsidRPr="00D329A8">
        <w:t xml:space="preserve"> to amend the law relating to taxation and superannuation, and for related purposes</w:t>
      </w:r>
    </w:p>
    <w:p w:rsidR="006E03F7" w:rsidRPr="00D329A8" w:rsidRDefault="006E03F7" w:rsidP="006E03F7">
      <w:pPr>
        <w:pStyle w:val="Header"/>
        <w:tabs>
          <w:tab w:val="clear" w:pos="4150"/>
          <w:tab w:val="clear" w:pos="8307"/>
        </w:tabs>
      </w:pPr>
      <w:r w:rsidRPr="00D329A8">
        <w:rPr>
          <w:rStyle w:val="CharAmSchNo"/>
        </w:rPr>
        <w:t xml:space="preserve"> </w:t>
      </w:r>
      <w:r w:rsidRPr="00D329A8">
        <w:rPr>
          <w:rStyle w:val="CharAmSchText"/>
        </w:rPr>
        <w:t xml:space="preserve"> </w:t>
      </w:r>
    </w:p>
    <w:p w:rsidR="006E03F7" w:rsidRPr="00D329A8" w:rsidRDefault="006E03F7" w:rsidP="006E03F7">
      <w:pPr>
        <w:pStyle w:val="Header"/>
        <w:tabs>
          <w:tab w:val="clear" w:pos="4150"/>
          <w:tab w:val="clear" w:pos="8307"/>
        </w:tabs>
      </w:pPr>
      <w:r w:rsidRPr="00D329A8">
        <w:rPr>
          <w:rStyle w:val="CharAmPartNo"/>
        </w:rPr>
        <w:t xml:space="preserve"> </w:t>
      </w:r>
      <w:r w:rsidRPr="00D329A8">
        <w:rPr>
          <w:rStyle w:val="CharAmPartText"/>
        </w:rPr>
        <w:t xml:space="preserve"> </w:t>
      </w:r>
    </w:p>
    <w:p w:rsidR="006E03F7" w:rsidRPr="00D329A8" w:rsidRDefault="006E03F7" w:rsidP="006E03F7">
      <w:pPr>
        <w:sectPr w:rsidR="006E03F7" w:rsidRPr="00D329A8" w:rsidSect="00400D3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6E03F7" w:rsidRPr="00D329A8" w:rsidRDefault="006E03F7" w:rsidP="006E03F7">
      <w:pPr>
        <w:rPr>
          <w:sz w:val="36"/>
        </w:rPr>
      </w:pPr>
      <w:r w:rsidRPr="00D329A8">
        <w:rPr>
          <w:sz w:val="36"/>
        </w:rPr>
        <w:lastRenderedPageBreak/>
        <w:t>Contents</w:t>
      </w:r>
    </w:p>
    <w:p w:rsidR="00C23A35" w:rsidRDefault="00C23A3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23A35">
        <w:rPr>
          <w:noProof/>
        </w:rPr>
        <w:tab/>
      </w:r>
      <w:r w:rsidRPr="00C23A35">
        <w:rPr>
          <w:noProof/>
        </w:rPr>
        <w:fldChar w:fldCharType="begin"/>
      </w:r>
      <w:r w:rsidRPr="00C23A35">
        <w:rPr>
          <w:noProof/>
        </w:rPr>
        <w:instrText xml:space="preserve"> PAGEREF _Toc20997578 \h </w:instrText>
      </w:r>
      <w:r w:rsidRPr="00C23A35">
        <w:rPr>
          <w:noProof/>
        </w:rPr>
      </w:r>
      <w:r w:rsidRPr="00C23A35">
        <w:rPr>
          <w:noProof/>
        </w:rPr>
        <w:fldChar w:fldCharType="separate"/>
      </w:r>
      <w:r w:rsidR="004F0996">
        <w:rPr>
          <w:noProof/>
        </w:rPr>
        <w:t>1</w:t>
      </w:r>
      <w:r w:rsidRPr="00C23A35">
        <w:rPr>
          <w:noProof/>
        </w:rPr>
        <w:fldChar w:fldCharType="end"/>
      </w:r>
    </w:p>
    <w:p w:rsidR="00C23A35" w:rsidRDefault="00C23A35">
      <w:pPr>
        <w:pStyle w:val="TOC5"/>
        <w:rPr>
          <w:rFonts w:asciiTheme="minorHAnsi" w:eastAsiaTheme="minorEastAsia" w:hAnsiTheme="minorHAnsi" w:cstheme="minorBidi"/>
          <w:noProof/>
          <w:kern w:val="0"/>
          <w:sz w:val="22"/>
          <w:szCs w:val="22"/>
        </w:rPr>
      </w:pPr>
      <w:r>
        <w:rPr>
          <w:noProof/>
        </w:rPr>
        <w:t>2</w:t>
      </w:r>
      <w:r>
        <w:rPr>
          <w:noProof/>
        </w:rPr>
        <w:tab/>
        <w:t>Commencement</w:t>
      </w:r>
      <w:r w:rsidRPr="00C23A35">
        <w:rPr>
          <w:noProof/>
        </w:rPr>
        <w:tab/>
      </w:r>
      <w:r w:rsidRPr="00C23A35">
        <w:rPr>
          <w:noProof/>
        </w:rPr>
        <w:fldChar w:fldCharType="begin"/>
      </w:r>
      <w:r w:rsidRPr="00C23A35">
        <w:rPr>
          <w:noProof/>
        </w:rPr>
        <w:instrText xml:space="preserve"> PAGEREF _Toc20997579 \h </w:instrText>
      </w:r>
      <w:r w:rsidRPr="00C23A35">
        <w:rPr>
          <w:noProof/>
        </w:rPr>
      </w:r>
      <w:r w:rsidRPr="00C23A35">
        <w:rPr>
          <w:noProof/>
        </w:rPr>
        <w:fldChar w:fldCharType="separate"/>
      </w:r>
      <w:r w:rsidR="004F0996">
        <w:rPr>
          <w:noProof/>
        </w:rPr>
        <w:t>2</w:t>
      </w:r>
      <w:r w:rsidRPr="00C23A35">
        <w:rPr>
          <w:noProof/>
        </w:rPr>
        <w:fldChar w:fldCharType="end"/>
      </w:r>
    </w:p>
    <w:p w:rsidR="00C23A35" w:rsidRDefault="00C23A35">
      <w:pPr>
        <w:pStyle w:val="TOC5"/>
        <w:rPr>
          <w:rFonts w:asciiTheme="minorHAnsi" w:eastAsiaTheme="minorEastAsia" w:hAnsiTheme="minorHAnsi" w:cstheme="minorBidi"/>
          <w:noProof/>
          <w:kern w:val="0"/>
          <w:sz w:val="22"/>
          <w:szCs w:val="22"/>
        </w:rPr>
      </w:pPr>
      <w:r>
        <w:rPr>
          <w:noProof/>
        </w:rPr>
        <w:t>3</w:t>
      </w:r>
      <w:r>
        <w:rPr>
          <w:noProof/>
        </w:rPr>
        <w:tab/>
        <w:t>Schedules</w:t>
      </w:r>
      <w:r w:rsidRPr="00C23A35">
        <w:rPr>
          <w:noProof/>
        </w:rPr>
        <w:tab/>
      </w:r>
      <w:r w:rsidRPr="00C23A35">
        <w:rPr>
          <w:noProof/>
        </w:rPr>
        <w:fldChar w:fldCharType="begin"/>
      </w:r>
      <w:r w:rsidRPr="00C23A35">
        <w:rPr>
          <w:noProof/>
        </w:rPr>
        <w:instrText xml:space="preserve"> PAGEREF _Toc20997580 \h </w:instrText>
      </w:r>
      <w:r w:rsidRPr="00C23A35">
        <w:rPr>
          <w:noProof/>
        </w:rPr>
      </w:r>
      <w:r w:rsidRPr="00C23A35">
        <w:rPr>
          <w:noProof/>
        </w:rPr>
        <w:fldChar w:fldCharType="separate"/>
      </w:r>
      <w:r w:rsidR="004F0996">
        <w:rPr>
          <w:noProof/>
        </w:rPr>
        <w:t>2</w:t>
      </w:r>
      <w:r w:rsidRPr="00C23A35">
        <w:rPr>
          <w:noProof/>
        </w:rPr>
        <w:fldChar w:fldCharType="end"/>
      </w:r>
    </w:p>
    <w:p w:rsidR="00C23A35" w:rsidRDefault="00C23A35">
      <w:pPr>
        <w:pStyle w:val="TOC6"/>
        <w:rPr>
          <w:rFonts w:asciiTheme="minorHAnsi" w:eastAsiaTheme="minorEastAsia" w:hAnsiTheme="minorHAnsi" w:cstheme="minorBidi"/>
          <w:b w:val="0"/>
          <w:noProof/>
          <w:kern w:val="0"/>
          <w:sz w:val="22"/>
          <w:szCs w:val="22"/>
        </w:rPr>
      </w:pPr>
      <w:r>
        <w:rPr>
          <w:noProof/>
        </w:rPr>
        <w:t>Schedule 1—Superannuation: employees with multiple employers</w:t>
      </w:r>
      <w:r w:rsidRPr="00C23A35">
        <w:rPr>
          <w:b w:val="0"/>
          <w:noProof/>
          <w:sz w:val="18"/>
        </w:rPr>
        <w:tab/>
      </w:r>
      <w:r w:rsidRPr="00C23A35">
        <w:rPr>
          <w:b w:val="0"/>
          <w:noProof/>
          <w:sz w:val="18"/>
        </w:rPr>
        <w:fldChar w:fldCharType="begin"/>
      </w:r>
      <w:r w:rsidRPr="00C23A35">
        <w:rPr>
          <w:b w:val="0"/>
          <w:noProof/>
          <w:sz w:val="18"/>
        </w:rPr>
        <w:instrText xml:space="preserve"> PAGEREF _Toc20997581 \h </w:instrText>
      </w:r>
      <w:r w:rsidRPr="00C23A35">
        <w:rPr>
          <w:b w:val="0"/>
          <w:noProof/>
          <w:sz w:val="18"/>
        </w:rPr>
      </w:r>
      <w:r w:rsidRPr="00C23A35">
        <w:rPr>
          <w:b w:val="0"/>
          <w:noProof/>
          <w:sz w:val="18"/>
        </w:rPr>
        <w:fldChar w:fldCharType="separate"/>
      </w:r>
      <w:r w:rsidR="004F0996">
        <w:rPr>
          <w:b w:val="0"/>
          <w:noProof/>
          <w:sz w:val="18"/>
        </w:rPr>
        <w:t>3</w:t>
      </w:r>
      <w:r w:rsidRPr="00C23A35">
        <w:rPr>
          <w:b w:val="0"/>
          <w:noProof/>
          <w:sz w:val="18"/>
        </w:rPr>
        <w:fldChar w:fldCharType="end"/>
      </w:r>
    </w:p>
    <w:p w:rsidR="00C23A35" w:rsidRDefault="00C23A35">
      <w:pPr>
        <w:pStyle w:val="TOC7"/>
        <w:rPr>
          <w:rFonts w:asciiTheme="minorHAnsi" w:eastAsiaTheme="minorEastAsia" w:hAnsiTheme="minorHAnsi" w:cstheme="minorBidi"/>
          <w:noProof/>
          <w:kern w:val="0"/>
          <w:sz w:val="22"/>
          <w:szCs w:val="22"/>
        </w:rPr>
      </w:pPr>
      <w:r>
        <w:rPr>
          <w:noProof/>
        </w:rPr>
        <w:t>Part 1—Main amendments</w:t>
      </w:r>
      <w:r w:rsidRPr="00C23A35">
        <w:rPr>
          <w:noProof/>
          <w:sz w:val="18"/>
        </w:rPr>
        <w:tab/>
      </w:r>
      <w:r w:rsidRPr="00C23A35">
        <w:rPr>
          <w:noProof/>
          <w:sz w:val="18"/>
        </w:rPr>
        <w:fldChar w:fldCharType="begin"/>
      </w:r>
      <w:r w:rsidRPr="00C23A35">
        <w:rPr>
          <w:noProof/>
          <w:sz w:val="18"/>
        </w:rPr>
        <w:instrText xml:space="preserve"> PAGEREF _Toc20997582 \h </w:instrText>
      </w:r>
      <w:r w:rsidRPr="00C23A35">
        <w:rPr>
          <w:noProof/>
          <w:sz w:val="18"/>
        </w:rPr>
      </w:r>
      <w:r w:rsidRPr="00C23A35">
        <w:rPr>
          <w:noProof/>
          <w:sz w:val="18"/>
        </w:rPr>
        <w:fldChar w:fldCharType="separate"/>
      </w:r>
      <w:r w:rsidR="004F0996">
        <w:rPr>
          <w:noProof/>
          <w:sz w:val="18"/>
        </w:rPr>
        <w:t>3</w:t>
      </w:r>
      <w:r w:rsidRPr="00C23A35">
        <w:rPr>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C23A35">
        <w:rPr>
          <w:i w:val="0"/>
          <w:noProof/>
          <w:sz w:val="18"/>
        </w:rPr>
        <w:tab/>
      </w:r>
      <w:r w:rsidRPr="00C23A35">
        <w:rPr>
          <w:i w:val="0"/>
          <w:noProof/>
          <w:sz w:val="18"/>
        </w:rPr>
        <w:fldChar w:fldCharType="begin"/>
      </w:r>
      <w:r w:rsidRPr="00C23A35">
        <w:rPr>
          <w:i w:val="0"/>
          <w:noProof/>
          <w:sz w:val="18"/>
        </w:rPr>
        <w:instrText xml:space="preserve"> PAGEREF _Toc20997583 \h </w:instrText>
      </w:r>
      <w:r w:rsidRPr="00C23A35">
        <w:rPr>
          <w:i w:val="0"/>
          <w:noProof/>
          <w:sz w:val="18"/>
        </w:rPr>
      </w:r>
      <w:r w:rsidRPr="00C23A35">
        <w:rPr>
          <w:i w:val="0"/>
          <w:noProof/>
          <w:sz w:val="18"/>
        </w:rPr>
        <w:fldChar w:fldCharType="separate"/>
      </w:r>
      <w:r w:rsidR="004F0996">
        <w:rPr>
          <w:i w:val="0"/>
          <w:noProof/>
          <w:sz w:val="18"/>
        </w:rPr>
        <w:t>3</w:t>
      </w:r>
      <w:r w:rsidRPr="00C23A35">
        <w:rPr>
          <w:i w:val="0"/>
          <w:noProof/>
          <w:sz w:val="18"/>
        </w:rPr>
        <w:fldChar w:fldCharType="end"/>
      </w:r>
    </w:p>
    <w:p w:rsidR="00C23A35" w:rsidRDefault="00C23A35">
      <w:pPr>
        <w:pStyle w:val="TOC7"/>
        <w:rPr>
          <w:rFonts w:asciiTheme="minorHAnsi" w:eastAsiaTheme="minorEastAsia" w:hAnsiTheme="minorHAnsi" w:cstheme="minorBidi"/>
          <w:noProof/>
          <w:kern w:val="0"/>
          <w:sz w:val="22"/>
          <w:szCs w:val="22"/>
        </w:rPr>
      </w:pPr>
      <w:r>
        <w:rPr>
          <w:noProof/>
        </w:rPr>
        <w:t>Part 2—Consequential amendments</w:t>
      </w:r>
      <w:r w:rsidRPr="00C23A35">
        <w:rPr>
          <w:noProof/>
          <w:sz w:val="18"/>
        </w:rPr>
        <w:tab/>
      </w:r>
      <w:r w:rsidRPr="00C23A35">
        <w:rPr>
          <w:noProof/>
          <w:sz w:val="18"/>
        </w:rPr>
        <w:fldChar w:fldCharType="begin"/>
      </w:r>
      <w:r w:rsidRPr="00C23A35">
        <w:rPr>
          <w:noProof/>
          <w:sz w:val="18"/>
        </w:rPr>
        <w:instrText xml:space="preserve"> PAGEREF _Toc20997587 \h </w:instrText>
      </w:r>
      <w:r w:rsidRPr="00C23A35">
        <w:rPr>
          <w:noProof/>
          <w:sz w:val="18"/>
        </w:rPr>
      </w:r>
      <w:r w:rsidRPr="00C23A35">
        <w:rPr>
          <w:noProof/>
          <w:sz w:val="18"/>
        </w:rPr>
        <w:fldChar w:fldCharType="separate"/>
      </w:r>
      <w:r w:rsidR="004F0996">
        <w:rPr>
          <w:noProof/>
          <w:sz w:val="18"/>
        </w:rPr>
        <w:t>7</w:t>
      </w:r>
      <w:r w:rsidRPr="00C23A35">
        <w:rPr>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C23A35">
        <w:rPr>
          <w:i w:val="0"/>
          <w:noProof/>
          <w:sz w:val="18"/>
        </w:rPr>
        <w:tab/>
      </w:r>
      <w:r w:rsidRPr="00C23A35">
        <w:rPr>
          <w:i w:val="0"/>
          <w:noProof/>
          <w:sz w:val="18"/>
        </w:rPr>
        <w:fldChar w:fldCharType="begin"/>
      </w:r>
      <w:r w:rsidRPr="00C23A35">
        <w:rPr>
          <w:i w:val="0"/>
          <w:noProof/>
          <w:sz w:val="18"/>
        </w:rPr>
        <w:instrText xml:space="preserve"> PAGEREF _Toc20997588 \h </w:instrText>
      </w:r>
      <w:r w:rsidRPr="00C23A35">
        <w:rPr>
          <w:i w:val="0"/>
          <w:noProof/>
          <w:sz w:val="18"/>
        </w:rPr>
      </w:r>
      <w:r w:rsidRPr="00C23A35">
        <w:rPr>
          <w:i w:val="0"/>
          <w:noProof/>
          <w:sz w:val="18"/>
        </w:rPr>
        <w:fldChar w:fldCharType="separate"/>
      </w:r>
      <w:r w:rsidR="004F0996">
        <w:rPr>
          <w:i w:val="0"/>
          <w:noProof/>
          <w:sz w:val="18"/>
        </w:rPr>
        <w:t>7</w:t>
      </w:r>
      <w:r w:rsidRPr="00C23A35">
        <w:rPr>
          <w:i w:val="0"/>
          <w:noProof/>
          <w:sz w:val="18"/>
        </w:rPr>
        <w:fldChar w:fldCharType="end"/>
      </w:r>
    </w:p>
    <w:p w:rsidR="00C23A35" w:rsidRDefault="00C23A35">
      <w:pPr>
        <w:pStyle w:val="TOC6"/>
        <w:rPr>
          <w:rFonts w:asciiTheme="minorHAnsi" w:eastAsiaTheme="minorEastAsia" w:hAnsiTheme="minorHAnsi" w:cstheme="minorBidi"/>
          <w:b w:val="0"/>
          <w:noProof/>
          <w:kern w:val="0"/>
          <w:sz w:val="22"/>
          <w:szCs w:val="22"/>
        </w:rPr>
      </w:pPr>
      <w:r>
        <w:rPr>
          <w:noProof/>
        </w:rPr>
        <w:t>Schedule 2—Non</w:t>
      </w:r>
      <w:r>
        <w:rPr>
          <w:noProof/>
        </w:rPr>
        <w:noBreakHyphen/>
        <w:t>arm’s length income of complying superannuation entities</w:t>
      </w:r>
      <w:r w:rsidRPr="00C23A35">
        <w:rPr>
          <w:b w:val="0"/>
          <w:noProof/>
          <w:sz w:val="18"/>
        </w:rPr>
        <w:tab/>
      </w:r>
      <w:r w:rsidRPr="00C23A35">
        <w:rPr>
          <w:b w:val="0"/>
          <w:noProof/>
          <w:sz w:val="18"/>
        </w:rPr>
        <w:fldChar w:fldCharType="begin"/>
      </w:r>
      <w:r w:rsidRPr="00C23A35">
        <w:rPr>
          <w:b w:val="0"/>
          <w:noProof/>
          <w:sz w:val="18"/>
        </w:rPr>
        <w:instrText xml:space="preserve"> PAGEREF _Toc20997589 \h </w:instrText>
      </w:r>
      <w:r w:rsidRPr="00C23A35">
        <w:rPr>
          <w:b w:val="0"/>
          <w:noProof/>
          <w:sz w:val="18"/>
        </w:rPr>
      </w:r>
      <w:r w:rsidRPr="00C23A35">
        <w:rPr>
          <w:b w:val="0"/>
          <w:noProof/>
          <w:sz w:val="18"/>
        </w:rPr>
        <w:fldChar w:fldCharType="separate"/>
      </w:r>
      <w:r w:rsidR="004F0996">
        <w:rPr>
          <w:b w:val="0"/>
          <w:noProof/>
          <w:sz w:val="18"/>
        </w:rPr>
        <w:t>8</w:t>
      </w:r>
      <w:r w:rsidRPr="00C23A35">
        <w:rPr>
          <w:b w:val="0"/>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Income Tax Assessment Act 1997</w:t>
      </w:r>
      <w:r w:rsidRPr="00C23A35">
        <w:rPr>
          <w:i w:val="0"/>
          <w:noProof/>
          <w:sz w:val="18"/>
        </w:rPr>
        <w:tab/>
      </w:r>
      <w:r w:rsidRPr="00C23A35">
        <w:rPr>
          <w:i w:val="0"/>
          <w:noProof/>
          <w:sz w:val="18"/>
        </w:rPr>
        <w:fldChar w:fldCharType="begin"/>
      </w:r>
      <w:r w:rsidRPr="00C23A35">
        <w:rPr>
          <w:i w:val="0"/>
          <w:noProof/>
          <w:sz w:val="18"/>
        </w:rPr>
        <w:instrText xml:space="preserve"> PAGEREF _Toc20997590 \h </w:instrText>
      </w:r>
      <w:r w:rsidRPr="00C23A35">
        <w:rPr>
          <w:i w:val="0"/>
          <w:noProof/>
          <w:sz w:val="18"/>
        </w:rPr>
      </w:r>
      <w:r w:rsidRPr="00C23A35">
        <w:rPr>
          <w:i w:val="0"/>
          <w:noProof/>
          <w:sz w:val="18"/>
        </w:rPr>
        <w:fldChar w:fldCharType="separate"/>
      </w:r>
      <w:r w:rsidR="004F0996">
        <w:rPr>
          <w:i w:val="0"/>
          <w:noProof/>
          <w:sz w:val="18"/>
        </w:rPr>
        <w:t>8</w:t>
      </w:r>
      <w:r w:rsidRPr="00C23A35">
        <w:rPr>
          <w:i w:val="0"/>
          <w:noProof/>
          <w:sz w:val="18"/>
        </w:rPr>
        <w:fldChar w:fldCharType="end"/>
      </w:r>
    </w:p>
    <w:p w:rsidR="00C23A35" w:rsidRDefault="00C23A35">
      <w:pPr>
        <w:pStyle w:val="TOC6"/>
        <w:rPr>
          <w:rFonts w:asciiTheme="minorHAnsi" w:eastAsiaTheme="minorEastAsia" w:hAnsiTheme="minorHAnsi" w:cstheme="minorBidi"/>
          <w:b w:val="0"/>
          <w:noProof/>
          <w:kern w:val="0"/>
          <w:sz w:val="22"/>
          <w:szCs w:val="22"/>
        </w:rPr>
      </w:pPr>
      <w:r>
        <w:rPr>
          <w:noProof/>
        </w:rPr>
        <w:t>Schedule 3—Limited recourse borrowing arrangements</w:t>
      </w:r>
      <w:r w:rsidRPr="00C23A35">
        <w:rPr>
          <w:b w:val="0"/>
          <w:noProof/>
          <w:sz w:val="18"/>
        </w:rPr>
        <w:tab/>
      </w:r>
      <w:r w:rsidRPr="00C23A35">
        <w:rPr>
          <w:b w:val="0"/>
          <w:noProof/>
          <w:sz w:val="18"/>
        </w:rPr>
        <w:fldChar w:fldCharType="begin"/>
      </w:r>
      <w:r w:rsidRPr="00C23A35">
        <w:rPr>
          <w:b w:val="0"/>
          <w:noProof/>
          <w:sz w:val="18"/>
        </w:rPr>
        <w:instrText xml:space="preserve"> PAGEREF _Toc20997591 \h </w:instrText>
      </w:r>
      <w:r w:rsidRPr="00C23A35">
        <w:rPr>
          <w:b w:val="0"/>
          <w:noProof/>
          <w:sz w:val="18"/>
        </w:rPr>
      </w:r>
      <w:r w:rsidRPr="00C23A35">
        <w:rPr>
          <w:b w:val="0"/>
          <w:noProof/>
          <w:sz w:val="18"/>
        </w:rPr>
        <w:fldChar w:fldCharType="separate"/>
      </w:r>
      <w:r w:rsidR="004F0996">
        <w:rPr>
          <w:b w:val="0"/>
          <w:noProof/>
          <w:sz w:val="18"/>
        </w:rPr>
        <w:t>10</w:t>
      </w:r>
      <w:r w:rsidRPr="00C23A35">
        <w:rPr>
          <w:b w:val="0"/>
          <w:noProof/>
          <w:sz w:val="18"/>
        </w:rPr>
        <w:fldChar w:fldCharType="end"/>
      </w:r>
    </w:p>
    <w:p w:rsidR="00C23A35" w:rsidRDefault="00C23A35">
      <w:pPr>
        <w:pStyle w:val="TOC7"/>
        <w:rPr>
          <w:rFonts w:asciiTheme="minorHAnsi" w:eastAsiaTheme="minorEastAsia" w:hAnsiTheme="minorHAnsi" w:cstheme="minorBidi"/>
          <w:noProof/>
          <w:kern w:val="0"/>
          <w:sz w:val="22"/>
          <w:szCs w:val="22"/>
        </w:rPr>
      </w:pPr>
      <w:r>
        <w:rPr>
          <w:noProof/>
        </w:rPr>
        <w:t>Part 1—Amendments</w:t>
      </w:r>
      <w:r w:rsidRPr="00C23A35">
        <w:rPr>
          <w:noProof/>
          <w:sz w:val="18"/>
        </w:rPr>
        <w:tab/>
      </w:r>
      <w:r w:rsidRPr="00C23A35">
        <w:rPr>
          <w:noProof/>
          <w:sz w:val="18"/>
        </w:rPr>
        <w:fldChar w:fldCharType="begin"/>
      </w:r>
      <w:r w:rsidRPr="00C23A35">
        <w:rPr>
          <w:noProof/>
          <w:sz w:val="18"/>
        </w:rPr>
        <w:instrText xml:space="preserve"> PAGEREF _Toc20997592 \h </w:instrText>
      </w:r>
      <w:r w:rsidRPr="00C23A35">
        <w:rPr>
          <w:noProof/>
          <w:sz w:val="18"/>
        </w:rPr>
      </w:r>
      <w:r w:rsidRPr="00C23A35">
        <w:rPr>
          <w:noProof/>
          <w:sz w:val="18"/>
        </w:rPr>
        <w:fldChar w:fldCharType="separate"/>
      </w:r>
      <w:r w:rsidR="004F0996">
        <w:rPr>
          <w:noProof/>
          <w:sz w:val="18"/>
        </w:rPr>
        <w:t>10</w:t>
      </w:r>
      <w:r w:rsidRPr="00C23A35">
        <w:rPr>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Income Tax Assessment Act 1997</w:t>
      </w:r>
      <w:r w:rsidRPr="00C23A35">
        <w:rPr>
          <w:i w:val="0"/>
          <w:noProof/>
          <w:sz w:val="18"/>
        </w:rPr>
        <w:tab/>
      </w:r>
      <w:r w:rsidRPr="00C23A35">
        <w:rPr>
          <w:i w:val="0"/>
          <w:noProof/>
          <w:sz w:val="18"/>
        </w:rPr>
        <w:fldChar w:fldCharType="begin"/>
      </w:r>
      <w:r w:rsidRPr="00C23A35">
        <w:rPr>
          <w:i w:val="0"/>
          <w:noProof/>
          <w:sz w:val="18"/>
        </w:rPr>
        <w:instrText xml:space="preserve"> PAGEREF _Toc20997593 \h </w:instrText>
      </w:r>
      <w:r w:rsidRPr="00C23A35">
        <w:rPr>
          <w:i w:val="0"/>
          <w:noProof/>
          <w:sz w:val="18"/>
        </w:rPr>
      </w:r>
      <w:r w:rsidRPr="00C23A35">
        <w:rPr>
          <w:i w:val="0"/>
          <w:noProof/>
          <w:sz w:val="18"/>
        </w:rPr>
        <w:fldChar w:fldCharType="separate"/>
      </w:r>
      <w:r w:rsidR="004F0996">
        <w:rPr>
          <w:i w:val="0"/>
          <w:noProof/>
          <w:sz w:val="18"/>
        </w:rPr>
        <w:t>10</w:t>
      </w:r>
      <w:r w:rsidRPr="00C23A35">
        <w:rPr>
          <w:i w:val="0"/>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Taxation Administration Act 1953</w:t>
      </w:r>
      <w:r w:rsidRPr="00C23A35">
        <w:rPr>
          <w:i w:val="0"/>
          <w:noProof/>
          <w:sz w:val="18"/>
        </w:rPr>
        <w:tab/>
      </w:r>
      <w:r w:rsidRPr="00C23A35">
        <w:rPr>
          <w:i w:val="0"/>
          <w:noProof/>
          <w:sz w:val="18"/>
        </w:rPr>
        <w:fldChar w:fldCharType="begin"/>
      </w:r>
      <w:r w:rsidRPr="00C23A35">
        <w:rPr>
          <w:i w:val="0"/>
          <w:noProof/>
          <w:sz w:val="18"/>
        </w:rPr>
        <w:instrText xml:space="preserve"> PAGEREF _Toc20997595 \h </w:instrText>
      </w:r>
      <w:r w:rsidRPr="00C23A35">
        <w:rPr>
          <w:i w:val="0"/>
          <w:noProof/>
          <w:sz w:val="18"/>
        </w:rPr>
      </w:r>
      <w:r w:rsidRPr="00C23A35">
        <w:rPr>
          <w:i w:val="0"/>
          <w:noProof/>
          <w:sz w:val="18"/>
        </w:rPr>
        <w:fldChar w:fldCharType="separate"/>
      </w:r>
      <w:r w:rsidR="004F0996">
        <w:rPr>
          <w:i w:val="0"/>
          <w:noProof/>
          <w:sz w:val="18"/>
        </w:rPr>
        <w:t>12</w:t>
      </w:r>
      <w:r w:rsidRPr="00C23A35">
        <w:rPr>
          <w:i w:val="0"/>
          <w:noProof/>
          <w:sz w:val="18"/>
        </w:rPr>
        <w:fldChar w:fldCharType="end"/>
      </w:r>
    </w:p>
    <w:p w:rsidR="00C23A35" w:rsidRDefault="00C23A35">
      <w:pPr>
        <w:pStyle w:val="TOC7"/>
        <w:rPr>
          <w:rFonts w:asciiTheme="minorHAnsi" w:eastAsiaTheme="minorEastAsia" w:hAnsiTheme="minorHAnsi" w:cstheme="minorBidi"/>
          <w:noProof/>
          <w:kern w:val="0"/>
          <w:sz w:val="22"/>
          <w:szCs w:val="22"/>
        </w:rPr>
      </w:pPr>
      <w:r>
        <w:rPr>
          <w:noProof/>
        </w:rPr>
        <w:t>Part 2—Application provisions</w:t>
      </w:r>
      <w:r w:rsidRPr="00C23A35">
        <w:rPr>
          <w:noProof/>
          <w:sz w:val="18"/>
        </w:rPr>
        <w:tab/>
      </w:r>
      <w:r w:rsidRPr="00C23A35">
        <w:rPr>
          <w:noProof/>
          <w:sz w:val="18"/>
        </w:rPr>
        <w:fldChar w:fldCharType="begin"/>
      </w:r>
      <w:r w:rsidRPr="00C23A35">
        <w:rPr>
          <w:noProof/>
          <w:sz w:val="18"/>
        </w:rPr>
        <w:instrText xml:space="preserve"> PAGEREF _Toc20997596 \h </w:instrText>
      </w:r>
      <w:r w:rsidRPr="00C23A35">
        <w:rPr>
          <w:noProof/>
          <w:sz w:val="18"/>
        </w:rPr>
      </w:r>
      <w:r w:rsidRPr="00C23A35">
        <w:rPr>
          <w:noProof/>
          <w:sz w:val="18"/>
        </w:rPr>
        <w:fldChar w:fldCharType="separate"/>
      </w:r>
      <w:r w:rsidR="004F0996">
        <w:rPr>
          <w:noProof/>
          <w:sz w:val="18"/>
        </w:rPr>
        <w:t>13</w:t>
      </w:r>
      <w:r w:rsidRPr="00C23A35">
        <w:rPr>
          <w:noProof/>
          <w:sz w:val="18"/>
        </w:rPr>
        <w:fldChar w:fldCharType="end"/>
      </w:r>
    </w:p>
    <w:p w:rsidR="00C23A35" w:rsidRDefault="00C23A35">
      <w:pPr>
        <w:pStyle w:val="TOC9"/>
        <w:rPr>
          <w:rFonts w:asciiTheme="minorHAnsi" w:eastAsiaTheme="minorEastAsia" w:hAnsiTheme="minorHAnsi" w:cstheme="minorBidi"/>
          <w:i w:val="0"/>
          <w:noProof/>
          <w:kern w:val="0"/>
          <w:sz w:val="22"/>
          <w:szCs w:val="22"/>
        </w:rPr>
      </w:pPr>
      <w:r>
        <w:rPr>
          <w:noProof/>
        </w:rPr>
        <w:t>Income Tax (Transitional Provisions) Act 1997</w:t>
      </w:r>
      <w:r w:rsidRPr="00C23A35">
        <w:rPr>
          <w:i w:val="0"/>
          <w:noProof/>
          <w:sz w:val="18"/>
        </w:rPr>
        <w:tab/>
      </w:r>
      <w:r w:rsidRPr="00C23A35">
        <w:rPr>
          <w:i w:val="0"/>
          <w:noProof/>
          <w:sz w:val="18"/>
        </w:rPr>
        <w:fldChar w:fldCharType="begin"/>
      </w:r>
      <w:r w:rsidRPr="00C23A35">
        <w:rPr>
          <w:i w:val="0"/>
          <w:noProof/>
          <w:sz w:val="18"/>
        </w:rPr>
        <w:instrText xml:space="preserve"> PAGEREF _Toc20997597 \h </w:instrText>
      </w:r>
      <w:r w:rsidRPr="00C23A35">
        <w:rPr>
          <w:i w:val="0"/>
          <w:noProof/>
          <w:sz w:val="18"/>
        </w:rPr>
      </w:r>
      <w:r w:rsidRPr="00C23A35">
        <w:rPr>
          <w:i w:val="0"/>
          <w:noProof/>
          <w:sz w:val="18"/>
        </w:rPr>
        <w:fldChar w:fldCharType="separate"/>
      </w:r>
      <w:r w:rsidR="004F0996">
        <w:rPr>
          <w:i w:val="0"/>
          <w:noProof/>
          <w:sz w:val="18"/>
        </w:rPr>
        <w:t>13</w:t>
      </w:r>
      <w:r w:rsidRPr="00C23A35">
        <w:rPr>
          <w:i w:val="0"/>
          <w:noProof/>
          <w:sz w:val="18"/>
        </w:rPr>
        <w:fldChar w:fldCharType="end"/>
      </w:r>
    </w:p>
    <w:p w:rsidR="006E03F7" w:rsidRPr="00D329A8" w:rsidRDefault="00C23A35" w:rsidP="006E03F7">
      <w:r>
        <w:fldChar w:fldCharType="end"/>
      </w:r>
    </w:p>
    <w:p w:rsidR="006E03F7" w:rsidRPr="00D329A8" w:rsidRDefault="006E03F7" w:rsidP="006E03F7">
      <w:pPr>
        <w:sectPr w:rsidR="006E03F7" w:rsidRPr="00D329A8" w:rsidSect="00400D3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00D38" w:rsidRDefault="00400D38">
      <w:r>
        <w:object w:dxaOrig="2146" w:dyaOrig="1561">
          <v:shape id="_x0000_i1027" type="#_x0000_t75" alt="Commonwealth Coat of Arms of Australia" style="width:110.25pt;height:81pt" o:ole="" fillcolor="window">
            <v:imagedata r:id="rId8" o:title=""/>
          </v:shape>
          <o:OLEObject Type="Embed" ProgID="Word.Picture.8" ShapeID="_x0000_i1027" DrawAspect="Content" ObjectID="_1631610916" r:id="rId21"/>
        </w:object>
      </w:r>
    </w:p>
    <w:p w:rsidR="00400D38" w:rsidRDefault="00400D38"/>
    <w:p w:rsidR="00400D38" w:rsidRDefault="00400D38" w:rsidP="00400D38">
      <w:pPr>
        <w:spacing w:line="240" w:lineRule="auto"/>
      </w:pPr>
    </w:p>
    <w:p w:rsidR="00400D38" w:rsidRDefault="000A17C0" w:rsidP="00400D38">
      <w:pPr>
        <w:pStyle w:val="ShortTP1"/>
      </w:pPr>
      <w:fldSimple w:instr=" STYLEREF ShortT ">
        <w:r w:rsidR="004F0996">
          <w:rPr>
            <w:noProof/>
          </w:rPr>
          <w:t>Treasury Laws Amendment (2018 Superannuation Measures No. 1) Act 2019</w:t>
        </w:r>
      </w:fldSimple>
    </w:p>
    <w:p w:rsidR="00400D38" w:rsidRDefault="000A17C0" w:rsidP="00400D38">
      <w:pPr>
        <w:pStyle w:val="ActNoP1"/>
      </w:pPr>
      <w:fldSimple w:instr=" STYLEREF Actno ">
        <w:r w:rsidR="004F0996">
          <w:rPr>
            <w:noProof/>
          </w:rPr>
          <w:t>No. 78, 2019</w:t>
        </w:r>
      </w:fldSimple>
    </w:p>
    <w:p w:rsidR="00400D38" w:rsidRPr="009A0728" w:rsidRDefault="00400D38" w:rsidP="009A0728">
      <w:pPr>
        <w:pBdr>
          <w:bottom w:val="single" w:sz="6" w:space="0" w:color="auto"/>
        </w:pBdr>
        <w:spacing w:before="400" w:line="240" w:lineRule="auto"/>
        <w:rPr>
          <w:rFonts w:eastAsia="Times New Roman"/>
          <w:b/>
          <w:sz w:val="28"/>
        </w:rPr>
      </w:pPr>
    </w:p>
    <w:p w:rsidR="00400D38" w:rsidRPr="009A0728" w:rsidRDefault="00400D38" w:rsidP="009A0728">
      <w:pPr>
        <w:spacing w:line="40" w:lineRule="exact"/>
        <w:rPr>
          <w:rFonts w:eastAsia="Calibri"/>
          <w:b/>
          <w:sz w:val="28"/>
        </w:rPr>
      </w:pPr>
    </w:p>
    <w:p w:rsidR="00400D38" w:rsidRPr="009A0728" w:rsidRDefault="00400D38" w:rsidP="009A0728">
      <w:pPr>
        <w:pBdr>
          <w:top w:val="single" w:sz="12" w:space="0" w:color="auto"/>
        </w:pBdr>
        <w:spacing w:line="240" w:lineRule="auto"/>
        <w:rPr>
          <w:rFonts w:eastAsia="Times New Roman"/>
          <w:b/>
          <w:sz w:val="28"/>
        </w:rPr>
      </w:pPr>
    </w:p>
    <w:p w:rsidR="006E03F7" w:rsidRPr="00D329A8" w:rsidRDefault="00400D38" w:rsidP="00D329A8">
      <w:pPr>
        <w:pStyle w:val="Page1"/>
      </w:pPr>
      <w:r>
        <w:t>An Act</w:t>
      </w:r>
      <w:r w:rsidR="00D329A8" w:rsidRPr="00D329A8">
        <w:t xml:space="preserve"> to amend the law relating to taxation and superannuation, and for related purposes</w:t>
      </w:r>
    </w:p>
    <w:p w:rsidR="00C23A35" w:rsidRDefault="00C23A35" w:rsidP="000C5962">
      <w:pPr>
        <w:pStyle w:val="AssentDt"/>
        <w:spacing w:before="240"/>
        <w:rPr>
          <w:sz w:val="24"/>
        </w:rPr>
      </w:pPr>
      <w:r>
        <w:rPr>
          <w:sz w:val="24"/>
        </w:rPr>
        <w:t>[</w:t>
      </w:r>
      <w:r>
        <w:rPr>
          <w:i/>
          <w:sz w:val="24"/>
        </w:rPr>
        <w:t>Assented to 2 October 2019</w:t>
      </w:r>
      <w:r>
        <w:rPr>
          <w:sz w:val="24"/>
        </w:rPr>
        <w:t>]</w:t>
      </w:r>
    </w:p>
    <w:p w:rsidR="006E03F7" w:rsidRPr="00D329A8" w:rsidRDefault="006E03F7" w:rsidP="00D329A8">
      <w:pPr>
        <w:spacing w:before="240" w:line="240" w:lineRule="auto"/>
        <w:rPr>
          <w:sz w:val="32"/>
        </w:rPr>
      </w:pPr>
      <w:r w:rsidRPr="00D329A8">
        <w:rPr>
          <w:sz w:val="32"/>
        </w:rPr>
        <w:t>The Parliament of Australia enacts:</w:t>
      </w:r>
    </w:p>
    <w:p w:rsidR="006E03F7" w:rsidRPr="00D329A8" w:rsidRDefault="006E03F7" w:rsidP="00D329A8">
      <w:pPr>
        <w:pStyle w:val="ActHead5"/>
      </w:pPr>
      <w:bookmarkStart w:id="1" w:name="_Toc20997578"/>
      <w:r w:rsidRPr="00D329A8">
        <w:rPr>
          <w:rStyle w:val="CharSectno"/>
        </w:rPr>
        <w:t>1</w:t>
      </w:r>
      <w:r w:rsidRPr="00D329A8">
        <w:t xml:space="preserve">  Short title</w:t>
      </w:r>
      <w:bookmarkEnd w:id="1"/>
    </w:p>
    <w:p w:rsidR="006E03F7" w:rsidRPr="00D329A8" w:rsidRDefault="006E03F7" w:rsidP="00D329A8">
      <w:pPr>
        <w:pStyle w:val="subsection"/>
      </w:pPr>
      <w:r w:rsidRPr="00D329A8">
        <w:tab/>
      </w:r>
      <w:r w:rsidRPr="00D329A8">
        <w:tab/>
        <w:t xml:space="preserve">This Act is the </w:t>
      </w:r>
      <w:r w:rsidRPr="00D329A8">
        <w:rPr>
          <w:i/>
        </w:rPr>
        <w:t xml:space="preserve">Treasury Laws Amendment (2018 Superannuation Measures </w:t>
      </w:r>
      <w:r w:rsidR="00EE74DA" w:rsidRPr="00D329A8">
        <w:rPr>
          <w:i/>
        </w:rPr>
        <w:t>No</w:t>
      </w:r>
      <w:r w:rsidRPr="00D329A8">
        <w:rPr>
          <w:i/>
        </w:rPr>
        <w:t>.</w:t>
      </w:r>
      <w:r w:rsidR="00D329A8" w:rsidRPr="00D329A8">
        <w:rPr>
          <w:i/>
        </w:rPr>
        <w:t> </w:t>
      </w:r>
      <w:r w:rsidRPr="00D329A8">
        <w:rPr>
          <w:i/>
        </w:rPr>
        <w:t>1) Act 201</w:t>
      </w:r>
      <w:r w:rsidR="00EE74DA" w:rsidRPr="00D329A8">
        <w:rPr>
          <w:i/>
        </w:rPr>
        <w:t>9</w:t>
      </w:r>
      <w:r w:rsidRPr="00D329A8">
        <w:t>.</w:t>
      </w:r>
    </w:p>
    <w:p w:rsidR="006E03F7" w:rsidRPr="00D329A8" w:rsidRDefault="006E03F7" w:rsidP="00D329A8">
      <w:pPr>
        <w:pStyle w:val="ActHead5"/>
      </w:pPr>
      <w:bookmarkStart w:id="2" w:name="_Toc20997579"/>
      <w:r w:rsidRPr="00D329A8">
        <w:rPr>
          <w:rStyle w:val="CharSectno"/>
        </w:rPr>
        <w:t>2</w:t>
      </w:r>
      <w:r w:rsidRPr="00D329A8">
        <w:t xml:space="preserve">  Commencement</w:t>
      </w:r>
      <w:bookmarkEnd w:id="2"/>
    </w:p>
    <w:p w:rsidR="006E03F7" w:rsidRPr="00D329A8" w:rsidRDefault="006E03F7" w:rsidP="00D329A8">
      <w:pPr>
        <w:pStyle w:val="subsection"/>
      </w:pPr>
      <w:r w:rsidRPr="00D329A8">
        <w:tab/>
        <w:t>(1)</w:t>
      </w:r>
      <w:r w:rsidRPr="00D329A8">
        <w:tab/>
        <w:t>Each provision of this Act specified in column 1 of the table commences, or is taken to have commenced, in accordance with column 2 of the table. Any other statement in column 2 has effect according to its terms.</w:t>
      </w:r>
    </w:p>
    <w:p w:rsidR="006E03F7" w:rsidRPr="00D329A8" w:rsidRDefault="006E03F7" w:rsidP="00D329A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E03F7" w:rsidRPr="00D329A8" w:rsidTr="00B44F17">
        <w:trPr>
          <w:tblHeader/>
        </w:trPr>
        <w:tc>
          <w:tcPr>
            <w:tcW w:w="7111" w:type="dxa"/>
            <w:gridSpan w:val="3"/>
            <w:tcBorders>
              <w:top w:val="single" w:sz="12" w:space="0" w:color="auto"/>
              <w:bottom w:val="single" w:sz="6" w:space="0" w:color="auto"/>
            </w:tcBorders>
            <w:shd w:val="clear" w:color="auto" w:fill="auto"/>
          </w:tcPr>
          <w:p w:rsidR="006E03F7" w:rsidRPr="00D329A8" w:rsidRDefault="006E03F7" w:rsidP="00D329A8">
            <w:pPr>
              <w:pStyle w:val="TableHeading"/>
            </w:pPr>
            <w:r w:rsidRPr="00D329A8">
              <w:lastRenderedPageBreak/>
              <w:t>Commencement information</w:t>
            </w:r>
          </w:p>
        </w:tc>
      </w:tr>
      <w:tr w:rsidR="006E03F7" w:rsidRPr="00D329A8" w:rsidTr="00B44F17">
        <w:trPr>
          <w:tblHeader/>
        </w:trPr>
        <w:tc>
          <w:tcPr>
            <w:tcW w:w="1701" w:type="dxa"/>
            <w:tcBorders>
              <w:top w:val="single" w:sz="6" w:space="0" w:color="auto"/>
              <w:bottom w:val="single" w:sz="6" w:space="0" w:color="auto"/>
            </w:tcBorders>
            <w:shd w:val="clear" w:color="auto" w:fill="auto"/>
          </w:tcPr>
          <w:p w:rsidR="006E03F7" w:rsidRPr="00D329A8" w:rsidRDefault="006E03F7" w:rsidP="00D329A8">
            <w:pPr>
              <w:pStyle w:val="TableHeading"/>
            </w:pPr>
            <w:r w:rsidRPr="00D329A8">
              <w:t>Column 1</w:t>
            </w:r>
          </w:p>
        </w:tc>
        <w:tc>
          <w:tcPr>
            <w:tcW w:w="3828" w:type="dxa"/>
            <w:tcBorders>
              <w:top w:val="single" w:sz="6" w:space="0" w:color="auto"/>
              <w:bottom w:val="single" w:sz="6" w:space="0" w:color="auto"/>
            </w:tcBorders>
            <w:shd w:val="clear" w:color="auto" w:fill="auto"/>
          </w:tcPr>
          <w:p w:rsidR="006E03F7" w:rsidRPr="00D329A8" w:rsidRDefault="006E03F7" w:rsidP="00D329A8">
            <w:pPr>
              <w:pStyle w:val="TableHeading"/>
            </w:pPr>
            <w:r w:rsidRPr="00D329A8">
              <w:t>Column 2</w:t>
            </w:r>
          </w:p>
        </w:tc>
        <w:tc>
          <w:tcPr>
            <w:tcW w:w="1582" w:type="dxa"/>
            <w:tcBorders>
              <w:top w:val="single" w:sz="6" w:space="0" w:color="auto"/>
              <w:bottom w:val="single" w:sz="6" w:space="0" w:color="auto"/>
            </w:tcBorders>
            <w:shd w:val="clear" w:color="auto" w:fill="auto"/>
          </w:tcPr>
          <w:p w:rsidR="006E03F7" w:rsidRPr="00D329A8" w:rsidRDefault="006E03F7" w:rsidP="00D329A8">
            <w:pPr>
              <w:pStyle w:val="TableHeading"/>
            </w:pPr>
            <w:r w:rsidRPr="00D329A8">
              <w:t>Column 3</w:t>
            </w:r>
          </w:p>
        </w:tc>
      </w:tr>
      <w:tr w:rsidR="006E03F7" w:rsidRPr="00D329A8" w:rsidTr="00B44F17">
        <w:trPr>
          <w:tblHeader/>
        </w:trPr>
        <w:tc>
          <w:tcPr>
            <w:tcW w:w="1701" w:type="dxa"/>
            <w:tcBorders>
              <w:top w:val="single" w:sz="6" w:space="0" w:color="auto"/>
              <w:bottom w:val="single" w:sz="12" w:space="0" w:color="auto"/>
            </w:tcBorders>
            <w:shd w:val="clear" w:color="auto" w:fill="auto"/>
          </w:tcPr>
          <w:p w:rsidR="006E03F7" w:rsidRPr="00D329A8" w:rsidRDefault="006E03F7" w:rsidP="00D329A8">
            <w:pPr>
              <w:pStyle w:val="TableHeading"/>
            </w:pPr>
            <w:r w:rsidRPr="00D329A8">
              <w:t>Provisions</w:t>
            </w:r>
          </w:p>
        </w:tc>
        <w:tc>
          <w:tcPr>
            <w:tcW w:w="3828" w:type="dxa"/>
            <w:tcBorders>
              <w:top w:val="single" w:sz="6" w:space="0" w:color="auto"/>
              <w:bottom w:val="single" w:sz="12" w:space="0" w:color="auto"/>
            </w:tcBorders>
            <w:shd w:val="clear" w:color="auto" w:fill="auto"/>
          </w:tcPr>
          <w:p w:rsidR="006E03F7" w:rsidRPr="00D329A8" w:rsidRDefault="006E03F7" w:rsidP="00D329A8">
            <w:pPr>
              <w:pStyle w:val="TableHeading"/>
            </w:pPr>
            <w:r w:rsidRPr="00D329A8">
              <w:t>Commencement</w:t>
            </w:r>
          </w:p>
        </w:tc>
        <w:tc>
          <w:tcPr>
            <w:tcW w:w="1582" w:type="dxa"/>
            <w:tcBorders>
              <w:top w:val="single" w:sz="6" w:space="0" w:color="auto"/>
              <w:bottom w:val="single" w:sz="12" w:space="0" w:color="auto"/>
            </w:tcBorders>
            <w:shd w:val="clear" w:color="auto" w:fill="auto"/>
          </w:tcPr>
          <w:p w:rsidR="006E03F7" w:rsidRPr="00D329A8" w:rsidRDefault="006E03F7" w:rsidP="00D329A8">
            <w:pPr>
              <w:pStyle w:val="TableHeading"/>
            </w:pPr>
            <w:r w:rsidRPr="00D329A8">
              <w:t>Date/Details</w:t>
            </w:r>
          </w:p>
        </w:tc>
      </w:tr>
      <w:tr w:rsidR="006E03F7" w:rsidRPr="00D329A8" w:rsidTr="00B44F17">
        <w:tc>
          <w:tcPr>
            <w:tcW w:w="1701" w:type="dxa"/>
            <w:tcBorders>
              <w:top w:val="single" w:sz="12" w:space="0" w:color="auto"/>
            </w:tcBorders>
            <w:shd w:val="clear" w:color="auto" w:fill="auto"/>
          </w:tcPr>
          <w:p w:rsidR="006E03F7" w:rsidRPr="00D329A8" w:rsidRDefault="006E03F7" w:rsidP="00D329A8">
            <w:pPr>
              <w:pStyle w:val="Tabletext"/>
            </w:pPr>
            <w:r w:rsidRPr="00D329A8">
              <w:t>1.  Sections</w:t>
            </w:r>
            <w:r w:rsidR="00D329A8" w:rsidRPr="00D329A8">
              <w:t> </w:t>
            </w:r>
            <w:r w:rsidRPr="00D329A8">
              <w:t>1 to 3 and anything in this Act not elsewhere covered by this table</w:t>
            </w:r>
          </w:p>
        </w:tc>
        <w:tc>
          <w:tcPr>
            <w:tcW w:w="3828" w:type="dxa"/>
            <w:tcBorders>
              <w:top w:val="single" w:sz="12" w:space="0" w:color="auto"/>
            </w:tcBorders>
            <w:shd w:val="clear" w:color="auto" w:fill="auto"/>
          </w:tcPr>
          <w:p w:rsidR="006E03F7" w:rsidRPr="00D329A8" w:rsidRDefault="006E03F7" w:rsidP="00D329A8">
            <w:pPr>
              <w:pStyle w:val="Tabletext"/>
            </w:pPr>
            <w:r w:rsidRPr="00D329A8">
              <w:t>The day this Act receives the Royal Assent.</w:t>
            </w:r>
          </w:p>
        </w:tc>
        <w:tc>
          <w:tcPr>
            <w:tcW w:w="1582" w:type="dxa"/>
            <w:tcBorders>
              <w:top w:val="single" w:sz="12" w:space="0" w:color="auto"/>
            </w:tcBorders>
            <w:shd w:val="clear" w:color="auto" w:fill="auto"/>
          </w:tcPr>
          <w:p w:rsidR="006E03F7" w:rsidRPr="00D329A8" w:rsidRDefault="00C23A35" w:rsidP="00D329A8">
            <w:pPr>
              <w:pStyle w:val="Tabletext"/>
            </w:pPr>
            <w:r>
              <w:t>2 October 2019</w:t>
            </w:r>
          </w:p>
        </w:tc>
      </w:tr>
      <w:tr w:rsidR="006E03F7" w:rsidRPr="00D329A8" w:rsidTr="00B44F17">
        <w:tc>
          <w:tcPr>
            <w:tcW w:w="1701" w:type="dxa"/>
            <w:tcBorders>
              <w:bottom w:val="single" w:sz="2" w:space="0" w:color="auto"/>
            </w:tcBorders>
            <w:shd w:val="clear" w:color="auto" w:fill="auto"/>
          </w:tcPr>
          <w:p w:rsidR="006E03F7" w:rsidRPr="00D329A8" w:rsidRDefault="00B44F17" w:rsidP="00D329A8">
            <w:pPr>
              <w:pStyle w:val="Tabletext"/>
            </w:pPr>
            <w:r w:rsidRPr="00D329A8">
              <w:t>2</w:t>
            </w:r>
            <w:r w:rsidR="006E03F7" w:rsidRPr="00D329A8">
              <w:t>.  Schedule</w:t>
            </w:r>
            <w:r w:rsidR="00D329A8" w:rsidRPr="00D329A8">
              <w:t> </w:t>
            </w:r>
            <w:r w:rsidR="00BC34EF" w:rsidRPr="00D329A8">
              <w:t>1</w:t>
            </w:r>
          </w:p>
        </w:tc>
        <w:tc>
          <w:tcPr>
            <w:tcW w:w="3828" w:type="dxa"/>
            <w:tcBorders>
              <w:bottom w:val="single" w:sz="2" w:space="0" w:color="auto"/>
            </w:tcBorders>
            <w:shd w:val="clear" w:color="auto" w:fill="auto"/>
          </w:tcPr>
          <w:p w:rsidR="006E03F7" w:rsidRPr="00D329A8" w:rsidRDefault="006E03F7" w:rsidP="00D329A8">
            <w:pPr>
              <w:pStyle w:val="Tabletext"/>
            </w:pPr>
            <w:r w:rsidRPr="00D329A8">
              <w:t>The day after this Act receives the Royal Assent.</w:t>
            </w:r>
          </w:p>
        </w:tc>
        <w:tc>
          <w:tcPr>
            <w:tcW w:w="1582" w:type="dxa"/>
            <w:tcBorders>
              <w:bottom w:val="single" w:sz="2" w:space="0" w:color="auto"/>
            </w:tcBorders>
            <w:shd w:val="clear" w:color="auto" w:fill="auto"/>
          </w:tcPr>
          <w:p w:rsidR="006E03F7" w:rsidRPr="00D329A8" w:rsidRDefault="00C23A35" w:rsidP="00D329A8">
            <w:pPr>
              <w:pStyle w:val="Tabletext"/>
            </w:pPr>
            <w:r>
              <w:t>3 October 2019</w:t>
            </w:r>
          </w:p>
        </w:tc>
      </w:tr>
      <w:tr w:rsidR="006E03F7" w:rsidRPr="00D329A8" w:rsidTr="00B44F17">
        <w:tc>
          <w:tcPr>
            <w:tcW w:w="1701" w:type="dxa"/>
            <w:tcBorders>
              <w:top w:val="single" w:sz="2" w:space="0" w:color="auto"/>
              <w:bottom w:val="single" w:sz="12" w:space="0" w:color="auto"/>
            </w:tcBorders>
            <w:shd w:val="clear" w:color="auto" w:fill="auto"/>
          </w:tcPr>
          <w:p w:rsidR="006E03F7" w:rsidRPr="00D329A8" w:rsidRDefault="00B44F17" w:rsidP="00D329A8">
            <w:pPr>
              <w:pStyle w:val="Tabletext"/>
            </w:pPr>
            <w:r w:rsidRPr="00D329A8">
              <w:t>3</w:t>
            </w:r>
            <w:r w:rsidR="006E03F7" w:rsidRPr="00D329A8">
              <w:t>.  Schedules</w:t>
            </w:r>
            <w:r w:rsidR="00D329A8" w:rsidRPr="00D329A8">
              <w:t> </w:t>
            </w:r>
            <w:r w:rsidR="00BC34EF" w:rsidRPr="00D329A8">
              <w:t>2</w:t>
            </w:r>
            <w:r w:rsidR="006E03F7" w:rsidRPr="00D329A8">
              <w:t xml:space="preserve"> and </w:t>
            </w:r>
            <w:r w:rsidR="00BC34EF" w:rsidRPr="00D329A8">
              <w:t>3</w:t>
            </w:r>
          </w:p>
        </w:tc>
        <w:tc>
          <w:tcPr>
            <w:tcW w:w="3828" w:type="dxa"/>
            <w:tcBorders>
              <w:top w:val="single" w:sz="2" w:space="0" w:color="auto"/>
              <w:bottom w:val="single" w:sz="12" w:space="0" w:color="auto"/>
            </w:tcBorders>
            <w:shd w:val="clear" w:color="auto" w:fill="auto"/>
          </w:tcPr>
          <w:p w:rsidR="006E03F7" w:rsidRPr="00D329A8" w:rsidRDefault="006E03F7" w:rsidP="00D329A8">
            <w:pPr>
              <w:pStyle w:val="Tabletext"/>
            </w:pPr>
            <w:r w:rsidRPr="00D329A8">
              <w:t>The first 1</w:t>
            </w:r>
            <w:r w:rsidR="00D329A8" w:rsidRPr="00D329A8">
              <w:t> </w:t>
            </w:r>
            <w:r w:rsidRPr="00D329A8">
              <w:t>January, 1</w:t>
            </w:r>
            <w:r w:rsidR="00D329A8" w:rsidRPr="00D329A8">
              <w:t> </w:t>
            </w:r>
            <w:r w:rsidRPr="00D329A8">
              <w:t>April, 1</w:t>
            </w:r>
            <w:r w:rsidR="00D329A8" w:rsidRPr="00D329A8">
              <w:t> </w:t>
            </w:r>
            <w:r w:rsidRPr="00D329A8">
              <w:t>July or 1</w:t>
            </w:r>
            <w:r w:rsidR="00D329A8" w:rsidRPr="00D329A8">
              <w:t> </w:t>
            </w:r>
            <w:r w:rsidRPr="00D329A8">
              <w:t>October to occur after the day this Act receives the Royal Assent.</w:t>
            </w:r>
          </w:p>
        </w:tc>
        <w:tc>
          <w:tcPr>
            <w:tcW w:w="1582" w:type="dxa"/>
            <w:tcBorders>
              <w:top w:val="single" w:sz="2" w:space="0" w:color="auto"/>
              <w:bottom w:val="single" w:sz="12" w:space="0" w:color="auto"/>
            </w:tcBorders>
            <w:shd w:val="clear" w:color="auto" w:fill="auto"/>
          </w:tcPr>
          <w:p w:rsidR="006E03F7" w:rsidRPr="00D329A8" w:rsidRDefault="00C23A35" w:rsidP="00D329A8">
            <w:pPr>
              <w:pStyle w:val="Tabletext"/>
            </w:pPr>
            <w:r>
              <w:t>1 January 2020</w:t>
            </w:r>
          </w:p>
        </w:tc>
      </w:tr>
    </w:tbl>
    <w:p w:rsidR="006E03F7" w:rsidRPr="00D329A8" w:rsidRDefault="006E03F7" w:rsidP="00D329A8">
      <w:pPr>
        <w:pStyle w:val="notetext"/>
      </w:pPr>
      <w:r w:rsidRPr="00D329A8">
        <w:t>Note:</w:t>
      </w:r>
      <w:r w:rsidRPr="00D329A8">
        <w:tab/>
        <w:t>This table relates only to the provisions of this Act as originally enacted. It will not be amended to deal with any later amendments of this Act.</w:t>
      </w:r>
    </w:p>
    <w:p w:rsidR="006E03F7" w:rsidRPr="00D329A8" w:rsidRDefault="006E03F7" w:rsidP="00D329A8">
      <w:pPr>
        <w:pStyle w:val="subsection"/>
      </w:pPr>
      <w:r w:rsidRPr="00D329A8">
        <w:tab/>
        <w:t>(2)</w:t>
      </w:r>
      <w:r w:rsidRPr="00D329A8">
        <w:tab/>
        <w:t>Any information in column 3 of the table is not part of this Act. Information may be inserted in this column, or information in it may be edited, in any published version of this Act.</w:t>
      </w:r>
    </w:p>
    <w:p w:rsidR="006E03F7" w:rsidRPr="00D329A8" w:rsidRDefault="006E03F7" w:rsidP="00D329A8">
      <w:pPr>
        <w:pStyle w:val="ActHead5"/>
      </w:pPr>
      <w:bookmarkStart w:id="3" w:name="_Toc20997580"/>
      <w:r w:rsidRPr="00D329A8">
        <w:rPr>
          <w:rStyle w:val="CharSectno"/>
        </w:rPr>
        <w:t>3</w:t>
      </w:r>
      <w:r w:rsidRPr="00D329A8">
        <w:t xml:space="preserve">  Schedules</w:t>
      </w:r>
      <w:bookmarkEnd w:id="3"/>
    </w:p>
    <w:p w:rsidR="006E03F7" w:rsidRPr="00D329A8" w:rsidRDefault="006E03F7" w:rsidP="00D329A8">
      <w:pPr>
        <w:pStyle w:val="subsection"/>
      </w:pPr>
      <w:r w:rsidRPr="00D329A8">
        <w:tab/>
      </w:r>
      <w:r w:rsidRPr="00D329A8">
        <w:tab/>
        <w:t>Legislation that is specified in a Schedule to this Act is amended or repealed as set out in the applicable items in the Schedule concerned, and any other item in a Schedule to this Act has effect according to its terms.</w:t>
      </w:r>
    </w:p>
    <w:p w:rsidR="006E03F7" w:rsidRPr="00D329A8" w:rsidRDefault="00B44F17" w:rsidP="00D329A8">
      <w:pPr>
        <w:pStyle w:val="ActHead6"/>
        <w:pageBreakBefore/>
      </w:pPr>
      <w:bookmarkStart w:id="4" w:name="opcAmSched"/>
      <w:bookmarkStart w:id="5" w:name="_Toc20997581"/>
      <w:r w:rsidRPr="00D329A8">
        <w:rPr>
          <w:rStyle w:val="CharAmSchNo"/>
        </w:rPr>
        <w:t>Schedule</w:t>
      </w:r>
      <w:r w:rsidR="00D329A8" w:rsidRPr="00D329A8">
        <w:rPr>
          <w:rStyle w:val="CharAmSchNo"/>
        </w:rPr>
        <w:t> </w:t>
      </w:r>
      <w:r w:rsidRPr="00D329A8">
        <w:rPr>
          <w:rStyle w:val="CharAmSchNo"/>
        </w:rPr>
        <w:t>1</w:t>
      </w:r>
      <w:r w:rsidR="006E03F7" w:rsidRPr="00D329A8">
        <w:t>—</w:t>
      </w:r>
      <w:r w:rsidR="006E03F7" w:rsidRPr="00D329A8">
        <w:rPr>
          <w:rStyle w:val="CharAmSchText"/>
        </w:rPr>
        <w:t>Superannuation: employees with multiple employers</w:t>
      </w:r>
      <w:bookmarkEnd w:id="5"/>
    </w:p>
    <w:p w:rsidR="006E03F7" w:rsidRPr="00D329A8" w:rsidRDefault="006E03F7" w:rsidP="00D329A8">
      <w:pPr>
        <w:pStyle w:val="ActHead7"/>
      </w:pPr>
      <w:bookmarkStart w:id="6" w:name="_Toc20997582"/>
      <w:bookmarkEnd w:id="4"/>
      <w:r w:rsidRPr="00D329A8">
        <w:rPr>
          <w:rStyle w:val="CharAmPartNo"/>
        </w:rPr>
        <w:t>Part</w:t>
      </w:r>
      <w:r w:rsidR="00D329A8" w:rsidRPr="00D329A8">
        <w:rPr>
          <w:rStyle w:val="CharAmPartNo"/>
        </w:rPr>
        <w:t> </w:t>
      </w:r>
      <w:r w:rsidRPr="00D329A8">
        <w:rPr>
          <w:rStyle w:val="CharAmPartNo"/>
        </w:rPr>
        <w:t>1</w:t>
      </w:r>
      <w:r w:rsidRPr="00D329A8">
        <w:t>—</w:t>
      </w:r>
      <w:r w:rsidRPr="00D329A8">
        <w:rPr>
          <w:rStyle w:val="CharAmPartText"/>
        </w:rPr>
        <w:t>Main amendments</w:t>
      </w:r>
      <w:bookmarkEnd w:id="6"/>
    </w:p>
    <w:p w:rsidR="006E03F7" w:rsidRPr="00D329A8" w:rsidRDefault="006E03F7" w:rsidP="00D329A8">
      <w:pPr>
        <w:pStyle w:val="ActHead9"/>
        <w:rPr>
          <w:i w:val="0"/>
        </w:rPr>
      </w:pPr>
      <w:bookmarkStart w:id="7" w:name="_Toc20997583"/>
      <w:r w:rsidRPr="00D329A8">
        <w:t>Superannuation Guarantee (Administration) Act 1992</w:t>
      </w:r>
      <w:bookmarkEnd w:id="7"/>
    </w:p>
    <w:p w:rsidR="006E03F7" w:rsidRPr="00D329A8" w:rsidRDefault="006E03F7" w:rsidP="00D329A8">
      <w:pPr>
        <w:pStyle w:val="ItemHead"/>
      </w:pPr>
      <w:r w:rsidRPr="00D329A8">
        <w:t>1  Subsection</w:t>
      </w:r>
      <w:r w:rsidR="00D329A8" w:rsidRPr="00D329A8">
        <w:t> </w:t>
      </w:r>
      <w:r w:rsidRPr="00D329A8">
        <w:t>6(1)</w:t>
      </w:r>
    </w:p>
    <w:p w:rsidR="006E03F7" w:rsidRPr="00D329A8" w:rsidRDefault="006E03F7" w:rsidP="00D329A8">
      <w:pPr>
        <w:pStyle w:val="Item"/>
      </w:pPr>
      <w:r w:rsidRPr="00D329A8">
        <w:t>Insert:</w:t>
      </w:r>
    </w:p>
    <w:p w:rsidR="006E03F7" w:rsidRPr="00D329A8" w:rsidRDefault="006E03F7" w:rsidP="00D329A8">
      <w:pPr>
        <w:pStyle w:val="Definition"/>
      </w:pPr>
      <w:r w:rsidRPr="00D329A8">
        <w:rPr>
          <w:b/>
          <w:i/>
        </w:rPr>
        <w:t>employer shortfall exemption certificate</w:t>
      </w:r>
      <w:r w:rsidRPr="00D329A8">
        <w:t xml:space="preserve"> means a certificate issued under section</w:t>
      </w:r>
      <w:r w:rsidR="00D329A8" w:rsidRPr="00D329A8">
        <w:t> </w:t>
      </w:r>
      <w:r w:rsidRPr="00D329A8">
        <w:t>19AB.</w:t>
      </w:r>
    </w:p>
    <w:p w:rsidR="006E03F7" w:rsidRPr="00D329A8" w:rsidRDefault="006E03F7" w:rsidP="00D329A8">
      <w:pPr>
        <w:pStyle w:val="ItemHead"/>
      </w:pPr>
      <w:r w:rsidRPr="00D329A8">
        <w:t>2  After section</w:t>
      </w:r>
      <w:r w:rsidR="00D329A8" w:rsidRPr="00D329A8">
        <w:t> </w:t>
      </w:r>
      <w:r w:rsidRPr="00D329A8">
        <w:t>19</w:t>
      </w:r>
    </w:p>
    <w:p w:rsidR="006E03F7" w:rsidRPr="00D329A8" w:rsidRDefault="006E03F7" w:rsidP="00D329A8">
      <w:pPr>
        <w:pStyle w:val="Item"/>
      </w:pPr>
      <w:r w:rsidRPr="00D329A8">
        <w:t>Insert:</w:t>
      </w:r>
    </w:p>
    <w:p w:rsidR="006E03F7" w:rsidRPr="00D329A8" w:rsidRDefault="006E03F7" w:rsidP="00D329A8">
      <w:pPr>
        <w:pStyle w:val="ActHead5"/>
      </w:pPr>
      <w:bookmarkStart w:id="8" w:name="_Toc20997584"/>
      <w:r w:rsidRPr="00D329A8">
        <w:rPr>
          <w:rStyle w:val="CharSectno"/>
        </w:rPr>
        <w:t>19AA</w:t>
      </w:r>
      <w:r w:rsidRPr="00D329A8">
        <w:t xml:space="preserve">  Employer shortfall exemption certificate</w:t>
      </w:r>
      <w:bookmarkEnd w:id="8"/>
    </w:p>
    <w:p w:rsidR="006E03F7" w:rsidRPr="00D329A8" w:rsidRDefault="006E03F7" w:rsidP="00D329A8">
      <w:pPr>
        <w:pStyle w:val="subsection"/>
      </w:pPr>
      <w:r w:rsidRPr="00D329A8">
        <w:tab/>
        <w:t>(1)</w:t>
      </w:r>
      <w:r w:rsidRPr="00D329A8">
        <w:tab/>
        <w:t>This section applies if the Commissioner has issued an employer shortfall exemption certificate to a person in relation to:</w:t>
      </w:r>
    </w:p>
    <w:p w:rsidR="006E03F7" w:rsidRPr="00D329A8" w:rsidRDefault="006E03F7" w:rsidP="00D329A8">
      <w:pPr>
        <w:pStyle w:val="paragraph"/>
      </w:pPr>
      <w:r w:rsidRPr="00D329A8">
        <w:tab/>
        <w:t>(a)</w:t>
      </w:r>
      <w:r w:rsidRPr="00D329A8">
        <w:tab/>
        <w:t>an employer of the person; and</w:t>
      </w:r>
    </w:p>
    <w:p w:rsidR="006E03F7" w:rsidRPr="00D329A8" w:rsidRDefault="006E03F7" w:rsidP="00D329A8">
      <w:pPr>
        <w:pStyle w:val="paragraph"/>
      </w:pPr>
      <w:r w:rsidRPr="00D329A8">
        <w:tab/>
        <w:t>(b)</w:t>
      </w:r>
      <w:r w:rsidRPr="00D329A8">
        <w:tab/>
        <w:t>a quarter in a financial year.</w:t>
      </w:r>
    </w:p>
    <w:p w:rsidR="006E03F7" w:rsidRPr="00D329A8" w:rsidRDefault="006E03F7" w:rsidP="00D329A8">
      <w:pPr>
        <w:pStyle w:val="subsection"/>
      </w:pPr>
      <w:r w:rsidRPr="00D329A8">
        <w:tab/>
        <w:t>(2)</w:t>
      </w:r>
      <w:r w:rsidRPr="00D329A8">
        <w:tab/>
        <w:t>Treat the maximum contribution base for the quarter as nil for the purposes of working out the employer’s individual superannuation guarantee shortfall under section</w:t>
      </w:r>
      <w:r w:rsidR="00D329A8" w:rsidRPr="00D329A8">
        <w:t> </w:t>
      </w:r>
      <w:r w:rsidRPr="00D329A8">
        <w:t>19 for the person for the quarter.</w:t>
      </w:r>
    </w:p>
    <w:p w:rsidR="006E03F7" w:rsidRPr="00D329A8" w:rsidRDefault="006E03F7" w:rsidP="00D329A8">
      <w:pPr>
        <w:pStyle w:val="notetext"/>
      </w:pPr>
      <w:r w:rsidRPr="00D329A8">
        <w:t>Note:</w:t>
      </w:r>
      <w:r w:rsidRPr="00D329A8">
        <w:tab/>
        <w:t>An employer shortfall exemption certificate issued to a person in relation to a particular employer does not affect any other employer’s individual superannuation guarantee shortfall for the person.</w:t>
      </w:r>
    </w:p>
    <w:p w:rsidR="006E03F7" w:rsidRPr="00D329A8" w:rsidRDefault="006E03F7" w:rsidP="00D329A8">
      <w:pPr>
        <w:pStyle w:val="ActHead5"/>
      </w:pPr>
      <w:bookmarkStart w:id="9" w:name="_Toc20997585"/>
      <w:r w:rsidRPr="00D329A8">
        <w:rPr>
          <w:rStyle w:val="CharSectno"/>
        </w:rPr>
        <w:t>19AB</w:t>
      </w:r>
      <w:r w:rsidRPr="00D329A8">
        <w:t xml:space="preserve">  Employer shortfall exemption certificate—application and issuing</w:t>
      </w:r>
      <w:bookmarkEnd w:id="9"/>
    </w:p>
    <w:p w:rsidR="006E03F7" w:rsidRPr="00D329A8" w:rsidRDefault="006E03F7" w:rsidP="00D329A8">
      <w:pPr>
        <w:pStyle w:val="SubsectionHead"/>
      </w:pPr>
      <w:r w:rsidRPr="00D329A8">
        <w:t>Application for certificate</w:t>
      </w:r>
    </w:p>
    <w:p w:rsidR="006E03F7" w:rsidRPr="00D329A8" w:rsidRDefault="006E03F7" w:rsidP="00D329A8">
      <w:pPr>
        <w:pStyle w:val="subsection"/>
      </w:pPr>
      <w:r w:rsidRPr="00D329A8">
        <w:tab/>
        <w:t>(1)</w:t>
      </w:r>
      <w:r w:rsidRPr="00D329A8">
        <w:tab/>
        <w:t xml:space="preserve">A person may apply to the Commissioner for the Commissioner to issue a certificate under this section (an </w:t>
      </w:r>
      <w:r w:rsidRPr="00D329A8">
        <w:rPr>
          <w:b/>
          <w:i/>
        </w:rPr>
        <w:t>employer shortfall exemption certificate</w:t>
      </w:r>
      <w:r w:rsidRPr="00D329A8">
        <w:t>) to the person in relation to:</w:t>
      </w:r>
    </w:p>
    <w:p w:rsidR="006E03F7" w:rsidRPr="00D329A8" w:rsidRDefault="006E03F7" w:rsidP="00D329A8">
      <w:pPr>
        <w:pStyle w:val="paragraph"/>
      </w:pPr>
      <w:r w:rsidRPr="00D329A8">
        <w:tab/>
        <w:t>(a)</w:t>
      </w:r>
      <w:r w:rsidRPr="00D329A8">
        <w:tab/>
        <w:t>a specified employer of the person (which must be an employer of the person at the time the application is made); and</w:t>
      </w:r>
    </w:p>
    <w:p w:rsidR="006E03F7" w:rsidRPr="00D329A8" w:rsidRDefault="006E03F7" w:rsidP="00D329A8">
      <w:pPr>
        <w:pStyle w:val="paragraph"/>
      </w:pPr>
      <w:r w:rsidRPr="00D329A8">
        <w:tab/>
        <w:t>(b)</w:t>
      </w:r>
      <w:r w:rsidRPr="00D329A8">
        <w:tab/>
        <w:t>a specified quarter in a specified financial year.</w:t>
      </w:r>
    </w:p>
    <w:p w:rsidR="006E03F7" w:rsidRPr="00D329A8" w:rsidRDefault="006E03F7" w:rsidP="00D329A8">
      <w:pPr>
        <w:pStyle w:val="subsection"/>
      </w:pPr>
      <w:r w:rsidRPr="00D329A8">
        <w:tab/>
        <w:t>(2)</w:t>
      </w:r>
      <w:r w:rsidRPr="00D329A8">
        <w:tab/>
        <w:t>The application:</w:t>
      </w:r>
    </w:p>
    <w:p w:rsidR="006E03F7" w:rsidRPr="00D329A8" w:rsidRDefault="006E03F7" w:rsidP="00D329A8">
      <w:pPr>
        <w:pStyle w:val="paragraph"/>
      </w:pPr>
      <w:r w:rsidRPr="00D329A8">
        <w:tab/>
        <w:t>(a)</w:t>
      </w:r>
      <w:r w:rsidRPr="00D329A8">
        <w:tab/>
        <w:t>must be in the approved form; and</w:t>
      </w:r>
    </w:p>
    <w:p w:rsidR="006E03F7" w:rsidRPr="00D329A8" w:rsidRDefault="006E03F7" w:rsidP="00D329A8">
      <w:pPr>
        <w:pStyle w:val="paragraph"/>
      </w:pPr>
      <w:r w:rsidRPr="00D329A8">
        <w:tab/>
        <w:t>(b)</w:t>
      </w:r>
      <w:r w:rsidRPr="00D329A8">
        <w:tab/>
        <w:t>must specify the employer, the quarter and the financial year; and</w:t>
      </w:r>
    </w:p>
    <w:p w:rsidR="006E03F7" w:rsidRPr="00D329A8" w:rsidRDefault="006E03F7" w:rsidP="00D329A8">
      <w:pPr>
        <w:pStyle w:val="paragraph"/>
      </w:pPr>
      <w:r w:rsidRPr="00D329A8">
        <w:tab/>
        <w:t>(c)</w:t>
      </w:r>
      <w:r w:rsidRPr="00D329A8">
        <w:tab/>
        <w:t>must be made on or before the day that is 60 days before the first day of the quarter.</w:t>
      </w:r>
    </w:p>
    <w:p w:rsidR="006E03F7" w:rsidRPr="00D329A8" w:rsidRDefault="006E03F7" w:rsidP="00D329A8">
      <w:pPr>
        <w:pStyle w:val="SubsectionHead"/>
      </w:pPr>
      <w:r w:rsidRPr="00D329A8">
        <w:t>Issuing of certificate</w:t>
      </w:r>
    </w:p>
    <w:p w:rsidR="006E03F7" w:rsidRPr="00D329A8" w:rsidRDefault="006E03F7" w:rsidP="00D329A8">
      <w:pPr>
        <w:pStyle w:val="subsection"/>
      </w:pPr>
      <w:r w:rsidRPr="00D329A8">
        <w:tab/>
        <w:t>(3)</w:t>
      </w:r>
      <w:r w:rsidRPr="00D329A8">
        <w:tab/>
        <w:t>The Commissioner may issue the employer shortfall exemption certificate if the Commissioner is satisfied that:</w:t>
      </w:r>
    </w:p>
    <w:p w:rsidR="006E03F7" w:rsidRPr="00D329A8" w:rsidRDefault="006E03F7" w:rsidP="00D329A8">
      <w:pPr>
        <w:pStyle w:val="paragraph"/>
      </w:pPr>
      <w:r w:rsidRPr="00D329A8">
        <w:tab/>
        <w:t>(a)</w:t>
      </w:r>
      <w:r w:rsidRPr="00D329A8">
        <w:tab/>
        <w:t xml:space="preserve">if the certificate is not issued, the person is likely to have excess concessional contributions (within the meaning of the </w:t>
      </w:r>
      <w:r w:rsidRPr="00D329A8">
        <w:rPr>
          <w:i/>
        </w:rPr>
        <w:t>Income Tax Assessment Act 1997</w:t>
      </w:r>
      <w:r w:rsidRPr="00D329A8">
        <w:t>) for the financial year (whether or not issuing the certificate would prevent that result); and</w:t>
      </w:r>
    </w:p>
    <w:p w:rsidR="006E03F7" w:rsidRPr="00D329A8" w:rsidRDefault="006E03F7" w:rsidP="00D329A8">
      <w:pPr>
        <w:pStyle w:val="paragraph"/>
      </w:pPr>
      <w:r w:rsidRPr="00D329A8">
        <w:tab/>
        <w:t>(b)</w:t>
      </w:r>
      <w:r w:rsidRPr="00D329A8">
        <w:tab/>
        <w:t>if the certificate is issued, at least one other employer of the person is likely to have an individual superannuation guarantee shortfall for the person for the quarter that:</w:t>
      </w:r>
    </w:p>
    <w:p w:rsidR="006E03F7" w:rsidRPr="00D329A8" w:rsidRDefault="006E03F7" w:rsidP="00D329A8">
      <w:pPr>
        <w:pStyle w:val="paragraphsub"/>
      </w:pPr>
      <w:r w:rsidRPr="00D329A8">
        <w:tab/>
        <w:t>(</w:t>
      </w:r>
      <w:proofErr w:type="spellStart"/>
      <w:r w:rsidRPr="00D329A8">
        <w:t>i</w:t>
      </w:r>
      <w:proofErr w:type="spellEnd"/>
      <w:r w:rsidRPr="00D329A8">
        <w:t>)</w:t>
      </w:r>
      <w:r w:rsidRPr="00D329A8">
        <w:tab/>
        <w:t>is greater than nil; or</w:t>
      </w:r>
    </w:p>
    <w:p w:rsidR="006E03F7" w:rsidRPr="00D329A8" w:rsidRDefault="006E03F7" w:rsidP="00D329A8">
      <w:pPr>
        <w:pStyle w:val="paragraphsub"/>
      </w:pPr>
      <w:r w:rsidRPr="00D329A8">
        <w:tab/>
        <w:t>(ii)</w:t>
      </w:r>
      <w:r w:rsidRPr="00D329A8">
        <w:tab/>
        <w:t>would be greater than nil but for a reduction under section</w:t>
      </w:r>
      <w:r w:rsidR="00D329A8" w:rsidRPr="00D329A8">
        <w:t> </w:t>
      </w:r>
      <w:r w:rsidRPr="00D329A8">
        <w:t>22 or 23; and</w:t>
      </w:r>
    </w:p>
    <w:p w:rsidR="006E03F7" w:rsidRPr="00D329A8" w:rsidRDefault="006E03F7" w:rsidP="00D329A8">
      <w:pPr>
        <w:pStyle w:val="paragraph"/>
      </w:pPr>
      <w:r w:rsidRPr="00D329A8">
        <w:tab/>
        <w:t>(c)</w:t>
      </w:r>
      <w:r w:rsidRPr="00D329A8">
        <w:tab/>
        <w:t>it is appropriate in the circumstances to issue the certificate.</w:t>
      </w:r>
    </w:p>
    <w:p w:rsidR="006E03F7" w:rsidRPr="00D329A8" w:rsidRDefault="006E03F7" w:rsidP="00D329A8">
      <w:pPr>
        <w:pStyle w:val="subsection"/>
      </w:pPr>
      <w:r w:rsidRPr="00D329A8">
        <w:tab/>
        <w:t>(4)</w:t>
      </w:r>
      <w:r w:rsidRPr="00D329A8">
        <w:tab/>
        <w:t xml:space="preserve">For the purposes of </w:t>
      </w:r>
      <w:r w:rsidR="00D329A8" w:rsidRPr="00D329A8">
        <w:t>paragraph (</w:t>
      </w:r>
      <w:r w:rsidRPr="00D329A8">
        <w:t>3)(a), the Commissioner is to have regard to any other employer shortfall exemption certificate that has been issued, or is proposed to be issued, in relation to the person and a quarter in the financial year.</w:t>
      </w:r>
    </w:p>
    <w:p w:rsidR="006E03F7" w:rsidRPr="00D329A8" w:rsidRDefault="006E03F7" w:rsidP="00D329A8">
      <w:pPr>
        <w:pStyle w:val="subsection"/>
      </w:pPr>
      <w:r w:rsidRPr="00D329A8">
        <w:tab/>
        <w:t>(5)</w:t>
      </w:r>
      <w:r w:rsidRPr="00D329A8">
        <w:tab/>
        <w:t xml:space="preserve">For the purposes of </w:t>
      </w:r>
      <w:r w:rsidR="00D329A8" w:rsidRPr="00D329A8">
        <w:t>paragraph (</w:t>
      </w:r>
      <w:r w:rsidRPr="00D329A8">
        <w:t>3)(b), the Commissioner is to have regard to any other employer shortfall exemption certificate that has been issued, or is proposed to be issued, in relation to the person and the quarter.</w:t>
      </w:r>
    </w:p>
    <w:p w:rsidR="006E03F7" w:rsidRPr="00D329A8" w:rsidRDefault="006E03F7" w:rsidP="00D329A8">
      <w:pPr>
        <w:pStyle w:val="subsection"/>
      </w:pPr>
      <w:r w:rsidRPr="00D329A8">
        <w:tab/>
        <w:t>(6)</w:t>
      </w:r>
      <w:r w:rsidRPr="00D329A8">
        <w:tab/>
        <w:t xml:space="preserve">For the purposes of </w:t>
      </w:r>
      <w:r w:rsidR="00D329A8" w:rsidRPr="00D329A8">
        <w:t>paragraph (</w:t>
      </w:r>
      <w:r w:rsidRPr="00D329A8">
        <w:t>3)(c), the Commissioner may have regard to:</w:t>
      </w:r>
    </w:p>
    <w:p w:rsidR="006E03F7" w:rsidRPr="00D329A8" w:rsidRDefault="006E03F7" w:rsidP="00D329A8">
      <w:pPr>
        <w:pStyle w:val="paragraph"/>
      </w:pPr>
      <w:r w:rsidRPr="00D329A8">
        <w:tab/>
        <w:t>(a)</w:t>
      </w:r>
      <w:r w:rsidRPr="00D329A8">
        <w:tab/>
        <w:t xml:space="preserve">the effect that issuing the employer shortfall exemption certificate is likely to have on the person’s concessional contributions (within the meaning of the </w:t>
      </w:r>
      <w:r w:rsidRPr="00D329A8">
        <w:rPr>
          <w:i/>
        </w:rPr>
        <w:t>Income Tax Assessment Act 1997</w:t>
      </w:r>
      <w:r w:rsidRPr="00D329A8">
        <w:t>) for the financial year; and</w:t>
      </w:r>
    </w:p>
    <w:p w:rsidR="006E03F7" w:rsidRPr="00D329A8" w:rsidRDefault="006E03F7" w:rsidP="00D329A8">
      <w:pPr>
        <w:pStyle w:val="paragraph"/>
      </w:pPr>
      <w:r w:rsidRPr="00D329A8">
        <w:tab/>
        <w:t>(b)</w:t>
      </w:r>
      <w:r w:rsidRPr="00D329A8">
        <w:tab/>
        <w:t>any other matter that the Commissioner considers relevant.</w:t>
      </w:r>
    </w:p>
    <w:p w:rsidR="006E03F7" w:rsidRPr="00D329A8" w:rsidRDefault="006E03F7" w:rsidP="00D329A8">
      <w:pPr>
        <w:pStyle w:val="subsection"/>
      </w:pPr>
      <w:r w:rsidRPr="00D329A8">
        <w:tab/>
        <w:t>(7)</w:t>
      </w:r>
      <w:r w:rsidRPr="00D329A8">
        <w:tab/>
        <w:t xml:space="preserve">A person who is dissatisfied with a decision of the Commissioner under </w:t>
      </w:r>
      <w:r w:rsidR="00D329A8" w:rsidRPr="00D329A8">
        <w:t>subsection (</w:t>
      </w:r>
      <w:r w:rsidRPr="00D329A8">
        <w:t>3) may object against the decision in the manner set out in Part</w:t>
      </w:r>
      <w:r w:rsidR="00D329A8" w:rsidRPr="00D329A8">
        <w:t> </w:t>
      </w:r>
      <w:r w:rsidRPr="00D329A8">
        <w:t xml:space="preserve">IVC of the </w:t>
      </w:r>
      <w:r w:rsidRPr="00D329A8">
        <w:rPr>
          <w:i/>
        </w:rPr>
        <w:t>Taxation Administration Act 1953</w:t>
      </w:r>
      <w:r w:rsidRPr="00D329A8">
        <w:t>.</w:t>
      </w:r>
    </w:p>
    <w:p w:rsidR="006E03F7" w:rsidRPr="00D329A8" w:rsidRDefault="006E03F7" w:rsidP="00D329A8">
      <w:pPr>
        <w:pStyle w:val="subsection"/>
      </w:pPr>
      <w:r w:rsidRPr="00D329A8">
        <w:tab/>
        <w:t>(8)</w:t>
      </w:r>
      <w:r w:rsidRPr="00D329A8">
        <w:tab/>
        <w:t>The Commissioner may not vary or revoke an employer shortfall exemption certificate.</w:t>
      </w:r>
    </w:p>
    <w:p w:rsidR="006E03F7" w:rsidRPr="00D329A8" w:rsidRDefault="006E03F7" w:rsidP="00D329A8">
      <w:pPr>
        <w:pStyle w:val="subsection"/>
      </w:pPr>
      <w:r w:rsidRPr="00D329A8">
        <w:tab/>
        <w:t>(9)</w:t>
      </w:r>
      <w:r w:rsidRPr="00D329A8">
        <w:tab/>
        <w:t>An employer shortfall exemption certificate is not a legislative instrument.</w:t>
      </w:r>
    </w:p>
    <w:p w:rsidR="006E03F7" w:rsidRPr="00D329A8" w:rsidRDefault="006E03F7" w:rsidP="00D329A8">
      <w:pPr>
        <w:pStyle w:val="ActHead5"/>
      </w:pPr>
      <w:bookmarkStart w:id="10" w:name="_Toc20997586"/>
      <w:r w:rsidRPr="00D329A8">
        <w:rPr>
          <w:rStyle w:val="CharSectno"/>
        </w:rPr>
        <w:t>19AC</w:t>
      </w:r>
      <w:r w:rsidRPr="00D329A8">
        <w:t xml:space="preserve">  Employer shortfall exemption certificate—notice of decision</w:t>
      </w:r>
      <w:bookmarkEnd w:id="10"/>
    </w:p>
    <w:p w:rsidR="006E03F7" w:rsidRPr="00D329A8" w:rsidRDefault="006E03F7" w:rsidP="00D329A8">
      <w:pPr>
        <w:pStyle w:val="subsection"/>
      </w:pPr>
      <w:r w:rsidRPr="00D329A8">
        <w:tab/>
        <w:t>(1)</w:t>
      </w:r>
      <w:r w:rsidRPr="00D329A8">
        <w:tab/>
        <w:t>If the Commissioner issues an employer shortfall exemption certificate to a person under section</w:t>
      </w:r>
      <w:r w:rsidR="00D329A8" w:rsidRPr="00D329A8">
        <w:t> </w:t>
      </w:r>
      <w:r w:rsidRPr="00D329A8">
        <w:t>19AB, the Commissioner must give written notice of the decision to:</w:t>
      </w:r>
    </w:p>
    <w:p w:rsidR="006E03F7" w:rsidRPr="00D329A8" w:rsidRDefault="006E03F7" w:rsidP="00D329A8">
      <w:pPr>
        <w:pStyle w:val="paragraph"/>
      </w:pPr>
      <w:r w:rsidRPr="00D329A8">
        <w:tab/>
        <w:t>(a)</w:t>
      </w:r>
      <w:r w:rsidRPr="00D329A8">
        <w:tab/>
        <w:t>the person; and</w:t>
      </w:r>
    </w:p>
    <w:p w:rsidR="006E03F7" w:rsidRPr="00D329A8" w:rsidRDefault="006E03F7" w:rsidP="00D329A8">
      <w:pPr>
        <w:pStyle w:val="paragraph"/>
      </w:pPr>
      <w:r w:rsidRPr="00D329A8">
        <w:tab/>
        <w:t>(b)</w:t>
      </w:r>
      <w:r w:rsidRPr="00D329A8">
        <w:tab/>
        <w:t>the employer to which the certificate relates.</w:t>
      </w:r>
    </w:p>
    <w:p w:rsidR="006E03F7" w:rsidRPr="00D329A8" w:rsidRDefault="006E03F7" w:rsidP="00D329A8">
      <w:pPr>
        <w:pStyle w:val="subsection"/>
      </w:pPr>
      <w:r w:rsidRPr="00D329A8">
        <w:tab/>
        <w:t>(2)</w:t>
      </w:r>
      <w:r w:rsidRPr="00D329A8">
        <w:tab/>
        <w:t xml:space="preserve">A notice under </w:t>
      </w:r>
      <w:r w:rsidR="00D329A8" w:rsidRPr="00D329A8">
        <w:t>subsection (</w:t>
      </w:r>
      <w:r w:rsidRPr="00D329A8">
        <w:t>1) must identify the following:</w:t>
      </w:r>
    </w:p>
    <w:p w:rsidR="006E03F7" w:rsidRPr="00D329A8" w:rsidRDefault="006E03F7" w:rsidP="00D329A8">
      <w:pPr>
        <w:pStyle w:val="paragraph"/>
      </w:pPr>
      <w:r w:rsidRPr="00D329A8">
        <w:tab/>
        <w:t>(a)</w:t>
      </w:r>
      <w:r w:rsidRPr="00D329A8">
        <w:tab/>
        <w:t>the person;</w:t>
      </w:r>
    </w:p>
    <w:p w:rsidR="006E03F7" w:rsidRPr="00D329A8" w:rsidRDefault="006E03F7" w:rsidP="00D329A8">
      <w:pPr>
        <w:pStyle w:val="paragraph"/>
      </w:pPr>
      <w:r w:rsidRPr="00D329A8">
        <w:tab/>
        <w:t>(b)</w:t>
      </w:r>
      <w:r w:rsidRPr="00D329A8">
        <w:tab/>
        <w:t>the employer;</w:t>
      </w:r>
    </w:p>
    <w:p w:rsidR="006E03F7" w:rsidRPr="00D329A8" w:rsidRDefault="006E03F7" w:rsidP="00D329A8">
      <w:pPr>
        <w:pStyle w:val="paragraph"/>
      </w:pPr>
      <w:r w:rsidRPr="00D329A8">
        <w:tab/>
        <w:t>(c)</w:t>
      </w:r>
      <w:r w:rsidRPr="00D329A8">
        <w:tab/>
        <w:t>the quarter to which the certificate relates.</w:t>
      </w:r>
    </w:p>
    <w:p w:rsidR="006E03F7" w:rsidRPr="00D329A8" w:rsidRDefault="006E03F7" w:rsidP="00D329A8">
      <w:pPr>
        <w:pStyle w:val="subsection"/>
      </w:pPr>
      <w:r w:rsidRPr="00D329A8">
        <w:tab/>
        <w:t>(3)</w:t>
      </w:r>
      <w:r w:rsidRPr="00D329A8">
        <w:tab/>
        <w:t>If the Commissioner decides not to issue an employer shortfall exemption certificate to a person under section</w:t>
      </w:r>
      <w:r w:rsidR="00D329A8" w:rsidRPr="00D329A8">
        <w:t> </w:t>
      </w:r>
      <w:r w:rsidRPr="00D329A8">
        <w:t>19AB, the Commissioner must give written notice of the decision to the person.</w:t>
      </w:r>
    </w:p>
    <w:p w:rsidR="006E03F7" w:rsidRPr="00D329A8" w:rsidRDefault="006E03F7" w:rsidP="00D329A8">
      <w:pPr>
        <w:pStyle w:val="subsection"/>
      </w:pPr>
      <w:r w:rsidRPr="00D329A8">
        <w:tab/>
        <w:t>(4)</w:t>
      </w:r>
      <w:r w:rsidRPr="00D329A8">
        <w:tab/>
        <w:t>The Commissioner is taken to have refused to issue an employer shortfall exemption certificate to a person if the Commissioner does not give notice of the Commissioner’s decision before the end of 60 days after the person made the application for the certificate.</w:t>
      </w:r>
    </w:p>
    <w:p w:rsidR="006E03F7" w:rsidRPr="00D329A8" w:rsidRDefault="006E03F7" w:rsidP="00D329A8">
      <w:pPr>
        <w:pStyle w:val="ItemHead"/>
      </w:pPr>
      <w:r w:rsidRPr="00D329A8">
        <w:t>3  Application of amendments</w:t>
      </w:r>
    </w:p>
    <w:p w:rsidR="006E03F7" w:rsidRPr="00D329A8" w:rsidRDefault="006E03F7" w:rsidP="00D329A8">
      <w:pPr>
        <w:pStyle w:val="Item"/>
      </w:pPr>
      <w:r w:rsidRPr="00D329A8">
        <w:t>The amendments made by this Schedule apply in relation to quarters starting on or after 1</w:t>
      </w:r>
      <w:r w:rsidR="00D329A8" w:rsidRPr="00D329A8">
        <w:t> </w:t>
      </w:r>
      <w:r w:rsidRPr="00D329A8">
        <w:t>July 2018.</w:t>
      </w:r>
    </w:p>
    <w:p w:rsidR="006E03F7" w:rsidRPr="00D329A8" w:rsidRDefault="006E03F7" w:rsidP="00D329A8">
      <w:pPr>
        <w:pStyle w:val="ActHead7"/>
        <w:pageBreakBefore/>
      </w:pPr>
      <w:bookmarkStart w:id="11" w:name="_Toc20997587"/>
      <w:r w:rsidRPr="00D329A8">
        <w:rPr>
          <w:rStyle w:val="CharAmPartNo"/>
        </w:rPr>
        <w:t>Part</w:t>
      </w:r>
      <w:r w:rsidR="00D329A8" w:rsidRPr="00D329A8">
        <w:rPr>
          <w:rStyle w:val="CharAmPartNo"/>
        </w:rPr>
        <w:t> </w:t>
      </w:r>
      <w:r w:rsidRPr="00D329A8">
        <w:rPr>
          <w:rStyle w:val="CharAmPartNo"/>
        </w:rPr>
        <w:t>2</w:t>
      </w:r>
      <w:r w:rsidRPr="00D329A8">
        <w:t>—</w:t>
      </w:r>
      <w:r w:rsidRPr="00D329A8">
        <w:rPr>
          <w:rStyle w:val="CharAmPartText"/>
        </w:rPr>
        <w:t>Consequential amendments</w:t>
      </w:r>
      <w:bookmarkEnd w:id="11"/>
    </w:p>
    <w:p w:rsidR="006E03F7" w:rsidRPr="00D329A8" w:rsidRDefault="006E03F7" w:rsidP="00D329A8">
      <w:pPr>
        <w:pStyle w:val="ActHead9"/>
        <w:rPr>
          <w:i w:val="0"/>
        </w:rPr>
      </w:pPr>
      <w:bookmarkStart w:id="12" w:name="_Toc20997588"/>
      <w:r w:rsidRPr="00D329A8">
        <w:t>Administrative Decisions (Judicial Review) Act 1977</w:t>
      </w:r>
      <w:bookmarkEnd w:id="12"/>
    </w:p>
    <w:p w:rsidR="006E03F7" w:rsidRPr="00D329A8" w:rsidRDefault="006E03F7" w:rsidP="00D329A8">
      <w:pPr>
        <w:pStyle w:val="ItemHead"/>
      </w:pPr>
      <w:r w:rsidRPr="00D329A8">
        <w:t xml:space="preserve">4  Before </w:t>
      </w:r>
      <w:r w:rsidR="00D329A8" w:rsidRPr="00D329A8">
        <w:t>paragraph (</w:t>
      </w:r>
      <w:proofErr w:type="spellStart"/>
      <w:r w:rsidRPr="00D329A8">
        <w:t>gb</w:t>
      </w:r>
      <w:proofErr w:type="spellEnd"/>
      <w:r w:rsidRPr="00D329A8">
        <w:t>) of Schedule</w:t>
      </w:r>
      <w:r w:rsidR="00D329A8" w:rsidRPr="00D329A8">
        <w:t> </w:t>
      </w:r>
      <w:r w:rsidRPr="00D329A8">
        <w:t>1</w:t>
      </w:r>
    </w:p>
    <w:p w:rsidR="006E03F7" w:rsidRPr="00D329A8" w:rsidRDefault="006E03F7" w:rsidP="00D329A8">
      <w:pPr>
        <w:pStyle w:val="Item"/>
      </w:pPr>
      <w:r w:rsidRPr="00D329A8">
        <w:t>Insert:</w:t>
      </w:r>
    </w:p>
    <w:p w:rsidR="006E03F7" w:rsidRPr="00D329A8" w:rsidRDefault="006E03F7" w:rsidP="00D329A8">
      <w:pPr>
        <w:pStyle w:val="paragraph"/>
      </w:pPr>
      <w:r w:rsidRPr="00D329A8">
        <w:tab/>
        <w:t>(</w:t>
      </w:r>
      <w:proofErr w:type="spellStart"/>
      <w:r w:rsidRPr="00D329A8">
        <w:t>gae</w:t>
      </w:r>
      <w:proofErr w:type="spellEnd"/>
      <w:r w:rsidRPr="00D329A8">
        <w:t>)</w:t>
      </w:r>
      <w:r w:rsidRPr="00D329A8">
        <w:tab/>
        <w:t>decisions of the Commissioner of Taxation under section</w:t>
      </w:r>
      <w:r w:rsidR="00D329A8" w:rsidRPr="00D329A8">
        <w:t> </w:t>
      </w:r>
      <w:r w:rsidRPr="00D329A8">
        <w:t xml:space="preserve">19AB of the </w:t>
      </w:r>
      <w:r w:rsidRPr="00D329A8">
        <w:rPr>
          <w:i/>
        </w:rPr>
        <w:t>Superannuation Guarantee (Administration) Act 1992</w:t>
      </w:r>
      <w:r w:rsidRPr="00D329A8">
        <w:t>;</w:t>
      </w:r>
    </w:p>
    <w:p w:rsidR="006E03F7" w:rsidRPr="00D329A8" w:rsidRDefault="006E03F7" w:rsidP="00D329A8">
      <w:pPr>
        <w:pStyle w:val="ActHead6"/>
        <w:pageBreakBefore/>
      </w:pPr>
      <w:bookmarkStart w:id="13" w:name="_Toc20997589"/>
      <w:r w:rsidRPr="00D329A8">
        <w:rPr>
          <w:rStyle w:val="CharAmSchNo"/>
        </w:rPr>
        <w:t>Schedule</w:t>
      </w:r>
      <w:r w:rsidR="00D329A8" w:rsidRPr="00D329A8">
        <w:rPr>
          <w:rStyle w:val="CharAmSchNo"/>
        </w:rPr>
        <w:t> </w:t>
      </w:r>
      <w:r w:rsidR="00B44F17" w:rsidRPr="00D329A8">
        <w:rPr>
          <w:rStyle w:val="CharAmSchNo"/>
        </w:rPr>
        <w:t>2</w:t>
      </w:r>
      <w:r w:rsidRPr="00D329A8">
        <w:t>—</w:t>
      </w:r>
      <w:r w:rsidRPr="00D329A8">
        <w:rPr>
          <w:rStyle w:val="CharAmSchText"/>
        </w:rPr>
        <w:t>Non</w:t>
      </w:r>
      <w:r w:rsidR="00E67292">
        <w:rPr>
          <w:rStyle w:val="CharAmSchText"/>
        </w:rPr>
        <w:noBreakHyphen/>
      </w:r>
      <w:r w:rsidRPr="00D329A8">
        <w:rPr>
          <w:rStyle w:val="CharAmSchText"/>
        </w:rPr>
        <w:t>arm’s length income of complying superannuation entities</w:t>
      </w:r>
      <w:bookmarkEnd w:id="13"/>
    </w:p>
    <w:p w:rsidR="006E03F7" w:rsidRPr="00D329A8" w:rsidRDefault="006E03F7" w:rsidP="00D329A8">
      <w:pPr>
        <w:pStyle w:val="Header"/>
      </w:pPr>
      <w:r w:rsidRPr="00D329A8">
        <w:rPr>
          <w:rStyle w:val="CharAmPartNo"/>
        </w:rPr>
        <w:t xml:space="preserve"> </w:t>
      </w:r>
      <w:r w:rsidRPr="00D329A8">
        <w:rPr>
          <w:rStyle w:val="CharAmPartText"/>
        </w:rPr>
        <w:t xml:space="preserve"> </w:t>
      </w:r>
    </w:p>
    <w:p w:rsidR="006E03F7" w:rsidRPr="00D329A8" w:rsidRDefault="006E03F7" w:rsidP="00D329A8">
      <w:pPr>
        <w:pStyle w:val="ActHead9"/>
        <w:rPr>
          <w:i w:val="0"/>
        </w:rPr>
      </w:pPr>
      <w:bookmarkStart w:id="14" w:name="_Toc20997590"/>
      <w:r w:rsidRPr="00D329A8">
        <w:t>Income Tax Assessment Act 1997</w:t>
      </w:r>
      <w:bookmarkEnd w:id="14"/>
    </w:p>
    <w:p w:rsidR="006E03F7" w:rsidRPr="00D329A8" w:rsidRDefault="006E03F7" w:rsidP="00D329A8">
      <w:pPr>
        <w:pStyle w:val="ItemHead"/>
      </w:pPr>
      <w:r w:rsidRPr="00D329A8">
        <w:t>1  Subsection</w:t>
      </w:r>
      <w:r w:rsidR="00D329A8" w:rsidRPr="00D329A8">
        <w:t> </w:t>
      </w:r>
      <w:r w:rsidRPr="00D329A8">
        <w:t>295</w:t>
      </w:r>
      <w:r w:rsidR="00E67292">
        <w:noBreakHyphen/>
      </w:r>
      <w:r w:rsidRPr="00D329A8">
        <w:t>550(1)</w:t>
      </w:r>
    </w:p>
    <w:p w:rsidR="006E03F7" w:rsidRPr="00D329A8" w:rsidRDefault="006E03F7" w:rsidP="00D329A8">
      <w:pPr>
        <w:pStyle w:val="Item"/>
      </w:pPr>
      <w:r w:rsidRPr="00D329A8">
        <w:t>Repeal the subsection, substitute:</w:t>
      </w:r>
    </w:p>
    <w:p w:rsidR="006E03F7" w:rsidRPr="00D329A8" w:rsidRDefault="006E03F7" w:rsidP="00D329A8">
      <w:pPr>
        <w:pStyle w:val="subsection"/>
      </w:pPr>
      <w:r w:rsidRPr="00D329A8">
        <w:tab/>
        <w:t>(1)</w:t>
      </w:r>
      <w:r w:rsidRPr="00D329A8">
        <w:tab/>
        <w:t xml:space="preserve">An amount of </w:t>
      </w:r>
      <w:r w:rsidR="00D329A8" w:rsidRPr="00D329A8">
        <w:rPr>
          <w:position w:val="6"/>
          <w:sz w:val="16"/>
        </w:rPr>
        <w:t>*</w:t>
      </w:r>
      <w:r w:rsidRPr="00D329A8">
        <w:t xml:space="preserve">ordinary income or </w:t>
      </w:r>
      <w:r w:rsidR="00D329A8" w:rsidRPr="00D329A8">
        <w:rPr>
          <w:position w:val="6"/>
          <w:sz w:val="16"/>
        </w:rPr>
        <w:t>*</w:t>
      </w:r>
      <w:r w:rsidRPr="00D329A8">
        <w:t xml:space="preserve">statutory income is </w:t>
      </w:r>
      <w:r w:rsidRPr="00D329A8">
        <w:rPr>
          <w:b/>
          <w:i/>
        </w:rPr>
        <w:t>non</w:t>
      </w:r>
      <w:r w:rsidR="00E67292">
        <w:rPr>
          <w:b/>
          <w:i/>
        </w:rPr>
        <w:noBreakHyphen/>
      </w:r>
      <w:r w:rsidRPr="00D329A8">
        <w:rPr>
          <w:b/>
          <w:i/>
        </w:rPr>
        <w:t>arm’s length income</w:t>
      </w:r>
      <w:r w:rsidRPr="00D329A8">
        <w:t xml:space="preserve"> of a </w:t>
      </w:r>
      <w:r w:rsidR="00D329A8" w:rsidRPr="00D329A8">
        <w:rPr>
          <w:position w:val="6"/>
          <w:sz w:val="16"/>
        </w:rPr>
        <w:t>*</w:t>
      </w:r>
      <w:r w:rsidRPr="00D329A8">
        <w:t xml:space="preserve">complying superannuation fund, a </w:t>
      </w:r>
      <w:r w:rsidR="00D329A8" w:rsidRPr="00D329A8">
        <w:rPr>
          <w:position w:val="6"/>
          <w:sz w:val="16"/>
        </w:rPr>
        <w:t>*</w:t>
      </w:r>
      <w:r w:rsidRPr="00D329A8">
        <w:t xml:space="preserve">complying approved deposit fund or a </w:t>
      </w:r>
      <w:r w:rsidR="00D329A8" w:rsidRPr="00D329A8">
        <w:rPr>
          <w:position w:val="6"/>
          <w:sz w:val="16"/>
        </w:rPr>
        <w:t>*</w:t>
      </w:r>
      <w:r w:rsidRPr="00D329A8">
        <w:t xml:space="preserve">pooled superannuation trust if, as a result of a </w:t>
      </w:r>
      <w:r w:rsidR="00D329A8" w:rsidRPr="00D329A8">
        <w:rPr>
          <w:position w:val="6"/>
          <w:sz w:val="16"/>
        </w:rPr>
        <w:t>*</w:t>
      </w:r>
      <w:r w:rsidRPr="00D329A8">
        <w:t xml:space="preserve">scheme the parties to which were not dealing with each other at </w:t>
      </w:r>
      <w:r w:rsidR="00D329A8" w:rsidRPr="00D329A8">
        <w:rPr>
          <w:position w:val="6"/>
          <w:sz w:val="16"/>
        </w:rPr>
        <w:t>*</w:t>
      </w:r>
      <w:r w:rsidRPr="00D329A8">
        <w:t>arm’s length in relation to the scheme, one or more of the following applies:</w:t>
      </w:r>
    </w:p>
    <w:p w:rsidR="006E03F7" w:rsidRPr="00D329A8" w:rsidRDefault="006E03F7" w:rsidP="00D329A8">
      <w:pPr>
        <w:pStyle w:val="paragraph"/>
      </w:pPr>
      <w:r w:rsidRPr="00D329A8">
        <w:tab/>
        <w:t>(a)</w:t>
      </w:r>
      <w:r w:rsidRPr="00D329A8">
        <w:tab/>
        <w:t>the amount of the income is more than the amount that the entity might have been expected to derive if those parties had been dealing with each other at arm’s length in relation to the scheme;</w:t>
      </w:r>
    </w:p>
    <w:p w:rsidR="006E03F7" w:rsidRPr="00D329A8" w:rsidRDefault="006E03F7" w:rsidP="00D329A8">
      <w:pPr>
        <w:pStyle w:val="paragraph"/>
      </w:pPr>
      <w:r w:rsidRPr="00D329A8">
        <w:tab/>
        <w:t>(b)</w:t>
      </w:r>
      <w:r w:rsidRPr="00D329A8">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6E03F7" w:rsidRPr="00D329A8" w:rsidRDefault="006E03F7" w:rsidP="00D329A8">
      <w:pPr>
        <w:pStyle w:val="paragraph"/>
      </w:pPr>
      <w:r w:rsidRPr="00D329A8">
        <w:tab/>
        <w:t>(c)</w:t>
      </w:r>
      <w:r w:rsidRPr="00D329A8">
        <w:tab/>
        <w:t>in gaining or producing the income, the entity does not incur a loss, outgoing or expenditure that the entity might have been expected to incur if those parties had been dealing with each other at arm’s length in relation to the scheme.</w:t>
      </w:r>
    </w:p>
    <w:p w:rsidR="006E03F7" w:rsidRPr="00D329A8" w:rsidRDefault="006E03F7" w:rsidP="00D329A8">
      <w:pPr>
        <w:pStyle w:val="subsection2"/>
      </w:pPr>
      <w:r w:rsidRPr="00D329A8">
        <w:t xml:space="preserve">This subsection does not apply to an amount to which </w:t>
      </w:r>
      <w:r w:rsidR="00D329A8" w:rsidRPr="00D329A8">
        <w:t>subsection (</w:t>
      </w:r>
      <w:r w:rsidRPr="00D329A8">
        <w:t xml:space="preserve">2) applies or an amount </w:t>
      </w:r>
      <w:r w:rsidR="00D329A8" w:rsidRPr="00D329A8">
        <w:rPr>
          <w:position w:val="6"/>
          <w:sz w:val="16"/>
        </w:rPr>
        <w:t>*</w:t>
      </w:r>
      <w:r w:rsidRPr="00D329A8">
        <w:t>derived by the entity in the capacity of beneficiary of a trust.</w:t>
      </w:r>
    </w:p>
    <w:p w:rsidR="006E03F7" w:rsidRPr="00D329A8" w:rsidRDefault="006E03F7" w:rsidP="00D329A8">
      <w:pPr>
        <w:pStyle w:val="ItemHead"/>
      </w:pPr>
      <w:r w:rsidRPr="00D329A8">
        <w:t>2  Subsection</w:t>
      </w:r>
      <w:r w:rsidR="00D329A8" w:rsidRPr="00D329A8">
        <w:t> </w:t>
      </w:r>
      <w:r w:rsidRPr="00D329A8">
        <w:t>295</w:t>
      </w:r>
      <w:r w:rsidR="00E67292">
        <w:noBreakHyphen/>
      </w:r>
      <w:r w:rsidRPr="00D329A8">
        <w:t>550(5)</w:t>
      </w:r>
    </w:p>
    <w:p w:rsidR="006E03F7" w:rsidRPr="00D329A8" w:rsidRDefault="006E03F7" w:rsidP="00D329A8">
      <w:pPr>
        <w:pStyle w:val="Item"/>
      </w:pPr>
      <w:r w:rsidRPr="00D329A8">
        <w:t>Repeal the subsection, substitute:</w:t>
      </w:r>
    </w:p>
    <w:p w:rsidR="006E03F7" w:rsidRPr="00D329A8" w:rsidRDefault="006E03F7" w:rsidP="00D329A8">
      <w:pPr>
        <w:pStyle w:val="subsection"/>
      </w:pPr>
      <w:r w:rsidRPr="00D329A8">
        <w:tab/>
        <w:t>(5)</w:t>
      </w:r>
      <w:r w:rsidRPr="00D329A8">
        <w:tab/>
        <w:t xml:space="preserve">Other income </w:t>
      </w:r>
      <w:r w:rsidR="00D329A8" w:rsidRPr="00D329A8">
        <w:rPr>
          <w:position w:val="6"/>
          <w:sz w:val="16"/>
        </w:rPr>
        <w:t>*</w:t>
      </w:r>
      <w:r w:rsidRPr="00D329A8">
        <w:t xml:space="preserve">derived by the entity as a beneficiary of a trust through holding a fixed entitlement to the income of the trust is </w:t>
      </w:r>
      <w:r w:rsidRPr="00D329A8">
        <w:rPr>
          <w:b/>
          <w:i/>
        </w:rPr>
        <w:t>non</w:t>
      </w:r>
      <w:r w:rsidR="00E67292">
        <w:rPr>
          <w:b/>
          <w:i/>
        </w:rPr>
        <w:noBreakHyphen/>
      </w:r>
      <w:r w:rsidRPr="00D329A8">
        <w:rPr>
          <w:b/>
          <w:i/>
        </w:rPr>
        <w:t>arm’s length income</w:t>
      </w:r>
      <w:r w:rsidRPr="00D329A8">
        <w:t xml:space="preserve"> of the entity if, as a result of a </w:t>
      </w:r>
      <w:r w:rsidR="00D329A8" w:rsidRPr="00D329A8">
        <w:rPr>
          <w:position w:val="6"/>
          <w:sz w:val="16"/>
        </w:rPr>
        <w:t>*</w:t>
      </w:r>
      <w:r w:rsidRPr="00D329A8">
        <w:t xml:space="preserve">scheme the parties to which were not dealing with each other at </w:t>
      </w:r>
      <w:r w:rsidR="00D329A8" w:rsidRPr="00D329A8">
        <w:rPr>
          <w:position w:val="6"/>
          <w:sz w:val="16"/>
        </w:rPr>
        <w:t>*</w:t>
      </w:r>
      <w:r w:rsidRPr="00D329A8">
        <w:t>arm’s length in relation to the scheme, one or more of the following applies:</w:t>
      </w:r>
    </w:p>
    <w:p w:rsidR="006E03F7" w:rsidRPr="00D329A8" w:rsidRDefault="006E03F7" w:rsidP="00D329A8">
      <w:pPr>
        <w:pStyle w:val="paragraph"/>
      </w:pPr>
      <w:r w:rsidRPr="00D329A8">
        <w:tab/>
        <w:t>(a)</w:t>
      </w:r>
      <w:r w:rsidRPr="00D329A8">
        <w:tab/>
        <w:t>the amount of the income is more than the amount that the entity might have been expected to derive if those parties had been dealing with each other at arm’s length in relation to the scheme;</w:t>
      </w:r>
    </w:p>
    <w:p w:rsidR="006E03F7" w:rsidRPr="00D329A8" w:rsidRDefault="006E03F7" w:rsidP="00D329A8">
      <w:pPr>
        <w:pStyle w:val="paragraph"/>
      </w:pPr>
      <w:r w:rsidRPr="00D329A8">
        <w:tab/>
        <w:t>(b)</w:t>
      </w:r>
      <w:r w:rsidRPr="00D329A8">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6E03F7" w:rsidRPr="00D329A8" w:rsidRDefault="006E03F7" w:rsidP="00D329A8">
      <w:pPr>
        <w:pStyle w:val="paragraph"/>
      </w:pPr>
      <w:r w:rsidRPr="00D329A8">
        <w:tab/>
        <w:t>(c)</w:t>
      </w:r>
      <w:r w:rsidRPr="00D329A8">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6E03F7" w:rsidRPr="00D329A8" w:rsidRDefault="006E03F7" w:rsidP="00D329A8">
      <w:pPr>
        <w:pStyle w:val="ItemHead"/>
      </w:pPr>
      <w:r w:rsidRPr="00D329A8">
        <w:t>3  At the end of section</w:t>
      </w:r>
      <w:r w:rsidR="00D329A8" w:rsidRPr="00D329A8">
        <w:t> </w:t>
      </w:r>
      <w:r w:rsidRPr="00D329A8">
        <w:t>295</w:t>
      </w:r>
      <w:r w:rsidR="00E67292">
        <w:noBreakHyphen/>
      </w:r>
      <w:r w:rsidRPr="00D329A8">
        <w:t>550</w:t>
      </w:r>
    </w:p>
    <w:p w:rsidR="006E03F7" w:rsidRPr="00D329A8" w:rsidRDefault="006E03F7" w:rsidP="00D329A8">
      <w:pPr>
        <w:pStyle w:val="Item"/>
      </w:pPr>
      <w:r w:rsidRPr="00D329A8">
        <w:t>Add:</w:t>
      </w:r>
    </w:p>
    <w:p w:rsidR="006E03F7" w:rsidRPr="00D329A8" w:rsidRDefault="006E03F7" w:rsidP="00D329A8">
      <w:pPr>
        <w:pStyle w:val="subsection"/>
      </w:pPr>
      <w:r w:rsidRPr="00D329A8">
        <w:tab/>
        <w:t>(7)</w:t>
      </w:r>
      <w:r w:rsidRPr="00D329A8">
        <w:tab/>
      </w:r>
      <w:r w:rsidR="00D329A8" w:rsidRPr="00D329A8">
        <w:t>Paragraphs (</w:t>
      </w:r>
      <w:r w:rsidRPr="00D329A8">
        <w:t>1)(b) and (c) and (5)(b) and (c) apply to a loss, outgoing or expenditure whether or not it is of capital or of a capital nature.</w:t>
      </w:r>
    </w:p>
    <w:p w:rsidR="006E03F7" w:rsidRPr="00D329A8" w:rsidRDefault="006E03F7" w:rsidP="00D329A8">
      <w:pPr>
        <w:pStyle w:val="ItemHead"/>
        <w:rPr>
          <w:b w:val="0"/>
        </w:rPr>
      </w:pPr>
      <w:r w:rsidRPr="00D329A8">
        <w:t>4  Application of amendments</w:t>
      </w:r>
    </w:p>
    <w:p w:rsidR="006E03F7" w:rsidRPr="00D329A8" w:rsidRDefault="006E03F7" w:rsidP="00D329A8">
      <w:pPr>
        <w:pStyle w:val="Item"/>
      </w:pPr>
      <w:r w:rsidRPr="00D329A8">
        <w:t>The amendments made by this Schedule apply in relation to income derived in the 2018</w:t>
      </w:r>
      <w:r w:rsidR="00E67292">
        <w:noBreakHyphen/>
      </w:r>
      <w:r w:rsidRPr="00D329A8">
        <w:t>19 income year and later income years.</w:t>
      </w:r>
    </w:p>
    <w:p w:rsidR="006E03F7" w:rsidRPr="00D329A8" w:rsidRDefault="006E03F7" w:rsidP="00D329A8">
      <w:pPr>
        <w:pStyle w:val="ActHead6"/>
        <w:pageBreakBefore/>
      </w:pPr>
      <w:bookmarkStart w:id="15" w:name="opcCurrentFind"/>
      <w:bookmarkStart w:id="16" w:name="_Toc20997591"/>
      <w:r w:rsidRPr="00D329A8">
        <w:rPr>
          <w:rStyle w:val="CharAmSchNo"/>
        </w:rPr>
        <w:t>Schedule</w:t>
      </w:r>
      <w:r w:rsidR="00D329A8" w:rsidRPr="00D329A8">
        <w:rPr>
          <w:rStyle w:val="CharAmSchNo"/>
        </w:rPr>
        <w:t> </w:t>
      </w:r>
      <w:r w:rsidR="00B44F17" w:rsidRPr="00D329A8">
        <w:rPr>
          <w:rStyle w:val="CharAmSchNo"/>
        </w:rPr>
        <w:t>3</w:t>
      </w:r>
      <w:r w:rsidRPr="00D329A8">
        <w:t>—</w:t>
      </w:r>
      <w:r w:rsidRPr="00D329A8">
        <w:rPr>
          <w:rStyle w:val="CharAmSchText"/>
        </w:rPr>
        <w:t>Limited recourse borrowing arrangements</w:t>
      </w:r>
      <w:bookmarkEnd w:id="16"/>
    </w:p>
    <w:p w:rsidR="006E03F7" w:rsidRPr="00D329A8" w:rsidRDefault="006E03F7" w:rsidP="00D329A8">
      <w:pPr>
        <w:pStyle w:val="ActHead7"/>
      </w:pPr>
      <w:bookmarkStart w:id="17" w:name="_Toc20997592"/>
      <w:bookmarkEnd w:id="15"/>
      <w:r w:rsidRPr="00D329A8">
        <w:rPr>
          <w:rStyle w:val="CharAmPartNo"/>
        </w:rPr>
        <w:t>Part</w:t>
      </w:r>
      <w:r w:rsidR="00D329A8" w:rsidRPr="00D329A8">
        <w:rPr>
          <w:rStyle w:val="CharAmPartNo"/>
        </w:rPr>
        <w:t> </w:t>
      </w:r>
      <w:r w:rsidRPr="00D329A8">
        <w:rPr>
          <w:rStyle w:val="CharAmPartNo"/>
        </w:rPr>
        <w:t>1</w:t>
      </w:r>
      <w:r w:rsidRPr="00D329A8">
        <w:t>—</w:t>
      </w:r>
      <w:r w:rsidRPr="00D329A8">
        <w:rPr>
          <w:rStyle w:val="CharAmPartText"/>
        </w:rPr>
        <w:t>Amendments</w:t>
      </w:r>
      <w:bookmarkEnd w:id="17"/>
    </w:p>
    <w:p w:rsidR="006E03F7" w:rsidRPr="00D329A8" w:rsidRDefault="006E03F7" w:rsidP="00D329A8">
      <w:pPr>
        <w:pStyle w:val="ActHead9"/>
        <w:rPr>
          <w:i w:val="0"/>
        </w:rPr>
      </w:pPr>
      <w:bookmarkStart w:id="18" w:name="_Toc20997593"/>
      <w:r w:rsidRPr="00D329A8">
        <w:t>Income Tax Assessment Act 1997</w:t>
      </w:r>
      <w:bookmarkEnd w:id="18"/>
    </w:p>
    <w:p w:rsidR="006E03F7" w:rsidRPr="00D329A8" w:rsidRDefault="006E03F7" w:rsidP="00D329A8">
      <w:pPr>
        <w:pStyle w:val="ItemHead"/>
      </w:pPr>
      <w:r w:rsidRPr="00D329A8">
        <w:t>1  At the end of subsection</w:t>
      </w:r>
      <w:r w:rsidR="00D329A8" w:rsidRPr="00D329A8">
        <w:t> </w:t>
      </w:r>
      <w:r w:rsidRPr="00D329A8">
        <w:t>307</w:t>
      </w:r>
      <w:r w:rsidR="00E67292">
        <w:noBreakHyphen/>
      </w:r>
      <w:r w:rsidRPr="00D329A8">
        <w:t>230(1)</w:t>
      </w:r>
    </w:p>
    <w:p w:rsidR="006E03F7" w:rsidRPr="00D329A8" w:rsidRDefault="006E03F7" w:rsidP="00D329A8">
      <w:pPr>
        <w:pStyle w:val="Item"/>
      </w:pPr>
      <w:r w:rsidRPr="00D329A8">
        <w:t>Add:</w:t>
      </w:r>
    </w:p>
    <w:p w:rsidR="006E03F7" w:rsidRPr="00D329A8" w:rsidRDefault="006E03F7" w:rsidP="00D329A8">
      <w:pPr>
        <w:pStyle w:val="paragraph"/>
      </w:pPr>
      <w:r w:rsidRPr="00D329A8">
        <w:tab/>
        <w:t>; (d)</w:t>
      </w:r>
      <w:r w:rsidRPr="00D329A8">
        <w:tab/>
        <w:t>if you have an LRBA amount under section</w:t>
      </w:r>
      <w:r w:rsidR="00D329A8" w:rsidRPr="00D329A8">
        <w:t> </w:t>
      </w:r>
      <w:r w:rsidRPr="00D329A8">
        <w:t>307</w:t>
      </w:r>
      <w:r w:rsidR="00E67292">
        <w:noBreakHyphen/>
      </w:r>
      <w:r w:rsidRPr="00D329A8">
        <w:t xml:space="preserve">231 (about limited recourse borrowing arrangements) in relation to one or more </w:t>
      </w:r>
      <w:r w:rsidR="00D329A8" w:rsidRPr="00D329A8">
        <w:rPr>
          <w:position w:val="6"/>
          <w:sz w:val="16"/>
        </w:rPr>
        <w:t>*</w:t>
      </w:r>
      <w:r w:rsidRPr="00D329A8">
        <w:t>regulated superannuation funds—the LRBA amounts for each such regulated superannuation fund.</w:t>
      </w:r>
    </w:p>
    <w:p w:rsidR="006E03F7" w:rsidRPr="00D329A8" w:rsidRDefault="006E03F7" w:rsidP="00D329A8">
      <w:pPr>
        <w:pStyle w:val="ItemHead"/>
      </w:pPr>
      <w:r w:rsidRPr="00D329A8">
        <w:t>2  At the end of Subdivision</w:t>
      </w:r>
      <w:r w:rsidR="00D329A8" w:rsidRPr="00D329A8">
        <w:t> </w:t>
      </w:r>
      <w:r w:rsidRPr="00D329A8">
        <w:t>307</w:t>
      </w:r>
      <w:r w:rsidR="00E67292">
        <w:noBreakHyphen/>
      </w:r>
      <w:r w:rsidRPr="00D329A8">
        <w:t>D</w:t>
      </w:r>
    </w:p>
    <w:p w:rsidR="006E03F7" w:rsidRPr="00D329A8" w:rsidRDefault="006E03F7" w:rsidP="00D329A8">
      <w:pPr>
        <w:pStyle w:val="Item"/>
      </w:pPr>
      <w:r w:rsidRPr="00D329A8">
        <w:t>Add:</w:t>
      </w:r>
    </w:p>
    <w:p w:rsidR="006E03F7" w:rsidRPr="00D329A8" w:rsidRDefault="006E03F7" w:rsidP="00D329A8">
      <w:pPr>
        <w:pStyle w:val="ActHead5"/>
      </w:pPr>
      <w:bookmarkStart w:id="19" w:name="_Toc20997594"/>
      <w:r w:rsidRPr="00D329A8">
        <w:rPr>
          <w:rStyle w:val="CharSectno"/>
        </w:rPr>
        <w:t>307</w:t>
      </w:r>
      <w:r w:rsidR="00E67292">
        <w:rPr>
          <w:rStyle w:val="CharSectno"/>
        </w:rPr>
        <w:noBreakHyphen/>
      </w:r>
      <w:r w:rsidRPr="00D329A8">
        <w:rPr>
          <w:rStyle w:val="CharSectno"/>
        </w:rPr>
        <w:t>231</w:t>
      </w:r>
      <w:r w:rsidRPr="00D329A8">
        <w:t xml:space="preserve">  Limited recourse borrowing arrangements</w:t>
      </w:r>
      <w:bookmarkEnd w:id="19"/>
    </w:p>
    <w:p w:rsidR="006E03F7" w:rsidRPr="00D329A8" w:rsidRDefault="006E03F7" w:rsidP="00D329A8">
      <w:pPr>
        <w:pStyle w:val="subsection"/>
      </w:pPr>
      <w:r w:rsidRPr="00D329A8">
        <w:tab/>
        <w:t>(1)</w:t>
      </w:r>
      <w:r w:rsidRPr="00D329A8">
        <w:tab/>
        <w:t xml:space="preserve">You have an amount under this section (an </w:t>
      </w:r>
      <w:r w:rsidRPr="00D329A8">
        <w:rPr>
          <w:b/>
          <w:i/>
        </w:rPr>
        <w:t>LRBA amount</w:t>
      </w:r>
      <w:r w:rsidRPr="00D329A8">
        <w:t xml:space="preserve">), in relation to a </w:t>
      </w:r>
      <w:r w:rsidR="00D329A8" w:rsidRPr="00D329A8">
        <w:rPr>
          <w:position w:val="6"/>
          <w:sz w:val="16"/>
        </w:rPr>
        <w:t>*</w:t>
      </w:r>
      <w:r w:rsidRPr="00D329A8">
        <w:t xml:space="preserve">regulated superannuation fund in which you have one or more </w:t>
      </w:r>
      <w:r w:rsidR="00D329A8" w:rsidRPr="00D329A8">
        <w:rPr>
          <w:position w:val="6"/>
          <w:sz w:val="16"/>
        </w:rPr>
        <w:t>*</w:t>
      </w:r>
      <w:r w:rsidRPr="00D329A8">
        <w:t>superannuation interests, if:</w:t>
      </w:r>
    </w:p>
    <w:p w:rsidR="006E03F7" w:rsidRPr="00D329A8" w:rsidRDefault="006E03F7" w:rsidP="00D329A8">
      <w:pPr>
        <w:pStyle w:val="paragraph"/>
      </w:pPr>
      <w:r w:rsidRPr="00D329A8">
        <w:tab/>
        <w:t>(a)</w:t>
      </w:r>
      <w:r w:rsidRPr="00D329A8">
        <w:tab/>
        <w:t xml:space="preserve">the </w:t>
      </w:r>
      <w:r w:rsidR="00D329A8" w:rsidRPr="00D329A8">
        <w:rPr>
          <w:position w:val="6"/>
          <w:sz w:val="16"/>
        </w:rPr>
        <w:t>*</w:t>
      </w:r>
      <w:r w:rsidRPr="00D329A8">
        <w:t xml:space="preserve">superannuation provider in relation to the fund has a </w:t>
      </w:r>
      <w:r w:rsidR="00D329A8" w:rsidRPr="00D329A8">
        <w:rPr>
          <w:position w:val="6"/>
          <w:sz w:val="16"/>
        </w:rPr>
        <w:t>*</w:t>
      </w:r>
      <w:r w:rsidRPr="00D329A8">
        <w:t xml:space="preserve">borrowing under an </w:t>
      </w:r>
      <w:r w:rsidR="00D329A8" w:rsidRPr="00D329A8">
        <w:rPr>
          <w:position w:val="6"/>
          <w:sz w:val="16"/>
        </w:rPr>
        <w:t>*</w:t>
      </w:r>
      <w:r w:rsidRPr="00D329A8">
        <w:t>arrangement that is covered by the exception in subsection</w:t>
      </w:r>
      <w:r w:rsidR="00D329A8" w:rsidRPr="00D329A8">
        <w:t> </w:t>
      </w:r>
      <w:r w:rsidRPr="00D329A8">
        <w:t xml:space="preserve">67A(1) of the </w:t>
      </w:r>
      <w:r w:rsidRPr="00D329A8">
        <w:rPr>
          <w:i/>
        </w:rPr>
        <w:t>Superannuation Industry (Supervision) Act 1993</w:t>
      </w:r>
      <w:r w:rsidRPr="00D329A8">
        <w:t xml:space="preserve"> (which is about limited recourse borrowing arrangements); and</w:t>
      </w:r>
    </w:p>
    <w:p w:rsidR="006E03F7" w:rsidRPr="00D329A8" w:rsidRDefault="006E03F7" w:rsidP="00D329A8">
      <w:pPr>
        <w:pStyle w:val="paragraph"/>
      </w:pPr>
      <w:r w:rsidRPr="00D329A8">
        <w:tab/>
        <w:t>(b)</w:t>
      </w:r>
      <w:r w:rsidRPr="00D329A8">
        <w:tab/>
        <w:t xml:space="preserve">the borrowing has not been repaid at the time of working out your </w:t>
      </w:r>
      <w:r w:rsidR="00D329A8" w:rsidRPr="00D329A8">
        <w:rPr>
          <w:position w:val="6"/>
          <w:sz w:val="16"/>
        </w:rPr>
        <w:t>*</w:t>
      </w:r>
      <w:r w:rsidRPr="00D329A8">
        <w:t>total superannuation balance; and</w:t>
      </w:r>
    </w:p>
    <w:p w:rsidR="006E03F7" w:rsidRPr="00D329A8" w:rsidRDefault="006E03F7" w:rsidP="00D329A8">
      <w:pPr>
        <w:pStyle w:val="paragraph"/>
      </w:pPr>
      <w:r w:rsidRPr="00D329A8">
        <w:tab/>
        <w:t>(c)</w:t>
      </w:r>
      <w:r w:rsidRPr="00D329A8">
        <w:tab/>
        <w:t>at that time, the asset or assets that secure the borrowing support, to an extent, a superannuation interest of yours; and</w:t>
      </w:r>
    </w:p>
    <w:p w:rsidR="006E03F7" w:rsidRPr="00D329A8" w:rsidRDefault="006E03F7" w:rsidP="00D329A8">
      <w:pPr>
        <w:pStyle w:val="paragraph"/>
      </w:pPr>
      <w:r w:rsidRPr="00D329A8">
        <w:tab/>
        <w:t>(d)</w:t>
      </w:r>
      <w:r w:rsidRPr="00D329A8">
        <w:tab/>
        <w:t xml:space="preserve">the fund is covered by </w:t>
      </w:r>
      <w:r w:rsidR="00D329A8" w:rsidRPr="00D329A8">
        <w:t>subsection (</w:t>
      </w:r>
      <w:r w:rsidRPr="00D329A8">
        <w:t>4) at that time; and</w:t>
      </w:r>
    </w:p>
    <w:p w:rsidR="006E03F7" w:rsidRPr="00D329A8" w:rsidRDefault="006E03F7" w:rsidP="00D329A8">
      <w:pPr>
        <w:pStyle w:val="paragraph"/>
      </w:pPr>
      <w:r w:rsidRPr="00D329A8">
        <w:tab/>
        <w:t>(e)</w:t>
      </w:r>
      <w:r w:rsidRPr="00D329A8">
        <w:tab/>
        <w:t>either:</w:t>
      </w:r>
    </w:p>
    <w:p w:rsidR="006E03F7" w:rsidRPr="00D329A8" w:rsidRDefault="006E03F7" w:rsidP="00D329A8">
      <w:pPr>
        <w:pStyle w:val="paragraphsub"/>
      </w:pPr>
      <w:r w:rsidRPr="00D329A8">
        <w:tab/>
        <w:t>(</w:t>
      </w:r>
      <w:proofErr w:type="spellStart"/>
      <w:r w:rsidRPr="00D329A8">
        <w:t>i</w:t>
      </w:r>
      <w:proofErr w:type="spellEnd"/>
      <w:r w:rsidRPr="00D329A8">
        <w:t>)</w:t>
      </w:r>
      <w:r w:rsidRPr="00D329A8">
        <w:tab/>
        <w:t>you have satisfied (whether at or before that time) a condition of release specified in paragraph</w:t>
      </w:r>
      <w:r w:rsidR="00D329A8" w:rsidRPr="00D329A8">
        <w:t> </w:t>
      </w:r>
      <w:r w:rsidRPr="00D329A8">
        <w:t>307</w:t>
      </w:r>
      <w:r w:rsidR="00E67292">
        <w:noBreakHyphen/>
      </w:r>
      <w:r w:rsidRPr="00D329A8">
        <w:t>80(2)(c); or</w:t>
      </w:r>
    </w:p>
    <w:p w:rsidR="006E03F7" w:rsidRPr="00D329A8" w:rsidRDefault="006E03F7" w:rsidP="00D329A8">
      <w:pPr>
        <w:pStyle w:val="paragraphsub"/>
      </w:pPr>
      <w:r w:rsidRPr="00D329A8">
        <w:tab/>
        <w:t>(ii)</w:t>
      </w:r>
      <w:r w:rsidRPr="00D329A8">
        <w:tab/>
        <w:t xml:space="preserve">the lender is an </w:t>
      </w:r>
      <w:r w:rsidR="00D329A8" w:rsidRPr="00D329A8">
        <w:rPr>
          <w:position w:val="6"/>
          <w:sz w:val="16"/>
        </w:rPr>
        <w:t>*</w:t>
      </w:r>
      <w:r w:rsidRPr="00D329A8">
        <w:t>associate of the superannuation provider.</w:t>
      </w:r>
    </w:p>
    <w:p w:rsidR="006E03F7" w:rsidRPr="00D329A8" w:rsidRDefault="006E03F7" w:rsidP="00D329A8">
      <w:pPr>
        <w:pStyle w:val="notetext"/>
      </w:pPr>
      <w:r w:rsidRPr="00D329A8">
        <w:t>Note:</w:t>
      </w:r>
      <w:r w:rsidRPr="00D329A8">
        <w:tab/>
        <w:t>Subsection</w:t>
      </w:r>
      <w:r w:rsidR="00D329A8" w:rsidRPr="00D329A8">
        <w:t> </w:t>
      </w:r>
      <w:r w:rsidRPr="00D329A8">
        <w:t xml:space="preserve">318(3) of the </w:t>
      </w:r>
      <w:r w:rsidRPr="00D329A8">
        <w:rPr>
          <w:i/>
        </w:rPr>
        <w:t>Income Tax Assessment Act 1936</w:t>
      </w:r>
      <w:r w:rsidRPr="00D329A8">
        <w:t xml:space="preserve"> sets out when an entity is an associate of a trustee.</w:t>
      </w:r>
    </w:p>
    <w:p w:rsidR="006E03F7" w:rsidRPr="00D329A8" w:rsidRDefault="006E03F7" w:rsidP="00D329A8">
      <w:pPr>
        <w:pStyle w:val="subsection"/>
      </w:pPr>
      <w:r w:rsidRPr="00D329A8">
        <w:tab/>
        <w:t>(2)</w:t>
      </w:r>
      <w:r w:rsidRPr="00D329A8">
        <w:tab/>
        <w:t xml:space="preserve">The amount of your LRBA amount in relation to the </w:t>
      </w:r>
      <w:r w:rsidR="00D329A8" w:rsidRPr="00D329A8">
        <w:rPr>
          <w:position w:val="6"/>
          <w:sz w:val="16"/>
        </w:rPr>
        <w:t>*</w:t>
      </w:r>
      <w:r w:rsidRPr="00D329A8">
        <w:t xml:space="preserve">regulated superannuation fund is the sum of the amounts worked out under </w:t>
      </w:r>
      <w:r w:rsidR="00D329A8" w:rsidRPr="00D329A8">
        <w:t>subsection (</w:t>
      </w:r>
      <w:r w:rsidRPr="00D329A8">
        <w:t>3) for:</w:t>
      </w:r>
    </w:p>
    <w:p w:rsidR="006E03F7" w:rsidRPr="00D329A8" w:rsidRDefault="006E03F7" w:rsidP="00D329A8">
      <w:pPr>
        <w:pStyle w:val="paragraph"/>
      </w:pPr>
      <w:r w:rsidRPr="00D329A8">
        <w:tab/>
        <w:t>(a)</w:t>
      </w:r>
      <w:r w:rsidRPr="00D329A8">
        <w:tab/>
        <w:t xml:space="preserve">if </w:t>
      </w:r>
      <w:r w:rsidR="00D329A8" w:rsidRPr="00D329A8">
        <w:t>subparagraph (</w:t>
      </w:r>
      <w:r w:rsidRPr="00D329A8">
        <w:t>1)(e)(</w:t>
      </w:r>
      <w:proofErr w:type="spellStart"/>
      <w:r w:rsidRPr="00D329A8">
        <w:t>i</w:t>
      </w:r>
      <w:proofErr w:type="spellEnd"/>
      <w:r w:rsidRPr="00D329A8">
        <w:t xml:space="preserve">) applies—each </w:t>
      </w:r>
      <w:r w:rsidR="00D329A8" w:rsidRPr="00D329A8">
        <w:rPr>
          <w:position w:val="6"/>
          <w:sz w:val="16"/>
        </w:rPr>
        <w:t>*</w:t>
      </w:r>
      <w:r w:rsidRPr="00D329A8">
        <w:t xml:space="preserve">borrowing that satisfies </w:t>
      </w:r>
      <w:r w:rsidR="00D329A8" w:rsidRPr="00D329A8">
        <w:t>paragraphs (</w:t>
      </w:r>
      <w:r w:rsidRPr="00D329A8">
        <w:t>1)(a), (b) and (c); or</w:t>
      </w:r>
    </w:p>
    <w:p w:rsidR="006E03F7" w:rsidRPr="00D329A8" w:rsidRDefault="006E03F7" w:rsidP="00D329A8">
      <w:pPr>
        <w:pStyle w:val="paragraph"/>
      </w:pPr>
      <w:r w:rsidRPr="00D329A8">
        <w:tab/>
        <w:t>(b)</w:t>
      </w:r>
      <w:r w:rsidRPr="00D329A8">
        <w:tab/>
        <w:t xml:space="preserve">if </w:t>
      </w:r>
      <w:r w:rsidR="00D329A8" w:rsidRPr="00D329A8">
        <w:t>subparagraph (</w:t>
      </w:r>
      <w:r w:rsidRPr="00D329A8">
        <w:t>1)(e)(</w:t>
      </w:r>
      <w:proofErr w:type="spellStart"/>
      <w:r w:rsidRPr="00D329A8">
        <w:t>i</w:t>
      </w:r>
      <w:proofErr w:type="spellEnd"/>
      <w:r w:rsidRPr="00D329A8">
        <w:t xml:space="preserve">) does not apply—each borrowing that satisfies </w:t>
      </w:r>
      <w:r w:rsidR="00D329A8" w:rsidRPr="00D329A8">
        <w:t>paragraphs (</w:t>
      </w:r>
      <w:r w:rsidRPr="00D329A8">
        <w:t xml:space="preserve">1)(a), (b) and (c) and </w:t>
      </w:r>
      <w:r w:rsidR="00D329A8" w:rsidRPr="00D329A8">
        <w:t>subparagraph (</w:t>
      </w:r>
      <w:r w:rsidRPr="00D329A8">
        <w:t>1)(e)(ii).</w:t>
      </w:r>
    </w:p>
    <w:p w:rsidR="006E03F7" w:rsidRPr="00D329A8" w:rsidRDefault="006E03F7" w:rsidP="00D329A8">
      <w:pPr>
        <w:pStyle w:val="subsection"/>
      </w:pPr>
      <w:r w:rsidRPr="00D329A8">
        <w:tab/>
        <w:t>(3)</w:t>
      </w:r>
      <w:r w:rsidRPr="00D329A8">
        <w:tab/>
        <w:t xml:space="preserve">The amount under this subsection, in respect of a </w:t>
      </w:r>
      <w:r w:rsidR="00D329A8" w:rsidRPr="00D329A8">
        <w:rPr>
          <w:position w:val="6"/>
          <w:sz w:val="16"/>
        </w:rPr>
        <w:t>*</w:t>
      </w:r>
      <w:r w:rsidRPr="00D329A8">
        <w:t>borrowing, is worked out using the following formula:</w:t>
      </w:r>
    </w:p>
    <w:p w:rsidR="006E03F7" w:rsidRPr="00D329A8" w:rsidRDefault="006E03F7" w:rsidP="00D329A8">
      <w:pPr>
        <w:pStyle w:val="subsection2"/>
      </w:pPr>
      <w:r w:rsidRPr="00D329A8">
        <w:object w:dxaOrig="5160" w:dyaOrig="800">
          <v:shape id="_x0000_i1028" type="#_x0000_t75" style="width:258pt;height:40.5pt" o:ole="">
            <v:imagedata r:id="rId22" o:title=""/>
          </v:shape>
          <o:OLEObject Type="Embed" ProgID="Equation.DSMT4" ShapeID="_x0000_i1028" DrawAspect="Content" ObjectID="_1631610917" r:id="rId23"/>
        </w:object>
      </w:r>
    </w:p>
    <w:p w:rsidR="006E03F7" w:rsidRPr="00D329A8" w:rsidRDefault="006E03F7" w:rsidP="00D329A8">
      <w:pPr>
        <w:pStyle w:val="subsection2"/>
      </w:pPr>
      <w:r w:rsidRPr="00D329A8">
        <w:t>where:</w:t>
      </w:r>
    </w:p>
    <w:p w:rsidR="006E03F7" w:rsidRPr="00D329A8" w:rsidRDefault="006E03F7" w:rsidP="00D329A8">
      <w:pPr>
        <w:pStyle w:val="Definition"/>
      </w:pPr>
      <w:r w:rsidRPr="00D329A8">
        <w:rPr>
          <w:b/>
          <w:i/>
        </w:rPr>
        <w:t>outstanding balance</w:t>
      </w:r>
      <w:r w:rsidRPr="00D329A8">
        <w:t xml:space="preserve"> means the outstanding balance on the </w:t>
      </w:r>
      <w:r w:rsidR="00D329A8" w:rsidRPr="00D329A8">
        <w:rPr>
          <w:position w:val="6"/>
          <w:sz w:val="16"/>
        </w:rPr>
        <w:t>*</w:t>
      </w:r>
      <w:r w:rsidRPr="00D329A8">
        <w:t xml:space="preserve">borrowing at the time of working out your </w:t>
      </w:r>
      <w:r w:rsidR="00D329A8" w:rsidRPr="00D329A8">
        <w:rPr>
          <w:position w:val="6"/>
          <w:sz w:val="16"/>
        </w:rPr>
        <w:t>*</w:t>
      </w:r>
      <w:r w:rsidRPr="00D329A8">
        <w:t>total superannuation balance.</w:t>
      </w:r>
    </w:p>
    <w:p w:rsidR="006E03F7" w:rsidRPr="00D329A8" w:rsidRDefault="006E03F7" w:rsidP="00D329A8">
      <w:pPr>
        <w:pStyle w:val="Definition"/>
      </w:pPr>
      <w:r w:rsidRPr="00D329A8">
        <w:rPr>
          <w:b/>
          <w:i/>
        </w:rPr>
        <w:t xml:space="preserve">value of all supported super interests </w:t>
      </w:r>
      <w:r w:rsidRPr="00D329A8">
        <w:t xml:space="preserve">means the sum of the </w:t>
      </w:r>
      <w:r w:rsidR="00D329A8" w:rsidRPr="00D329A8">
        <w:rPr>
          <w:position w:val="6"/>
          <w:sz w:val="16"/>
        </w:rPr>
        <w:t>*</w:t>
      </w:r>
      <w:r w:rsidRPr="00D329A8">
        <w:t xml:space="preserve">values at that time of all </w:t>
      </w:r>
      <w:r w:rsidR="00D329A8" w:rsidRPr="00D329A8">
        <w:rPr>
          <w:position w:val="6"/>
          <w:sz w:val="16"/>
        </w:rPr>
        <w:t>*</w:t>
      </w:r>
      <w:r w:rsidRPr="00D329A8">
        <w:t xml:space="preserve">superannuation interests in the </w:t>
      </w:r>
      <w:r w:rsidR="00D329A8" w:rsidRPr="00D329A8">
        <w:rPr>
          <w:position w:val="6"/>
          <w:sz w:val="16"/>
        </w:rPr>
        <w:t>*</w:t>
      </w:r>
      <w:r w:rsidRPr="00D329A8">
        <w:t xml:space="preserve">regulated superannuation fund that are supported by the asset or assets that secure the </w:t>
      </w:r>
      <w:r w:rsidR="00D329A8" w:rsidRPr="00D329A8">
        <w:rPr>
          <w:position w:val="6"/>
          <w:sz w:val="16"/>
        </w:rPr>
        <w:t>*</w:t>
      </w:r>
      <w:r w:rsidRPr="00D329A8">
        <w:t>borrowing.</w:t>
      </w:r>
    </w:p>
    <w:p w:rsidR="006E03F7" w:rsidRPr="00D329A8" w:rsidRDefault="006E03F7" w:rsidP="00D329A8">
      <w:pPr>
        <w:pStyle w:val="Definition"/>
      </w:pPr>
      <w:r w:rsidRPr="00D329A8">
        <w:rPr>
          <w:b/>
          <w:i/>
        </w:rPr>
        <w:t>value of your supported super interests</w:t>
      </w:r>
      <w:r w:rsidRPr="00D329A8">
        <w:t xml:space="preserve"> means the sum of the </w:t>
      </w:r>
      <w:r w:rsidR="00D329A8" w:rsidRPr="00D329A8">
        <w:rPr>
          <w:position w:val="6"/>
          <w:sz w:val="16"/>
        </w:rPr>
        <w:t>*</w:t>
      </w:r>
      <w:r w:rsidRPr="00D329A8">
        <w:t xml:space="preserve">values at that time of each </w:t>
      </w:r>
      <w:r w:rsidR="00D329A8" w:rsidRPr="00D329A8">
        <w:rPr>
          <w:position w:val="6"/>
          <w:sz w:val="16"/>
        </w:rPr>
        <w:t>*</w:t>
      </w:r>
      <w:r w:rsidRPr="00D329A8">
        <w:t xml:space="preserve">superannuation interest of yours that is supported by the asset or assets that secure the </w:t>
      </w:r>
      <w:r w:rsidR="00D329A8" w:rsidRPr="00D329A8">
        <w:rPr>
          <w:position w:val="6"/>
          <w:sz w:val="16"/>
        </w:rPr>
        <w:t>*</w:t>
      </w:r>
      <w:r w:rsidRPr="00D329A8">
        <w:t>borrowing.</w:t>
      </w:r>
    </w:p>
    <w:p w:rsidR="006E03F7" w:rsidRPr="00D329A8" w:rsidRDefault="006E03F7" w:rsidP="00D329A8">
      <w:pPr>
        <w:pStyle w:val="subsection"/>
      </w:pPr>
      <w:r w:rsidRPr="00D329A8">
        <w:tab/>
        <w:t>(4)</w:t>
      </w:r>
      <w:r w:rsidRPr="00D329A8">
        <w:tab/>
        <w:t xml:space="preserve">A </w:t>
      </w:r>
      <w:r w:rsidR="00D329A8" w:rsidRPr="00D329A8">
        <w:rPr>
          <w:position w:val="6"/>
          <w:sz w:val="16"/>
        </w:rPr>
        <w:t>*</w:t>
      </w:r>
      <w:r w:rsidRPr="00D329A8">
        <w:t>regulated superannuation fund is covered by this subsection at a time if any of the following requirements are satisfied:</w:t>
      </w:r>
    </w:p>
    <w:p w:rsidR="006E03F7" w:rsidRPr="00D329A8" w:rsidRDefault="006E03F7" w:rsidP="00D329A8">
      <w:pPr>
        <w:pStyle w:val="paragraph"/>
      </w:pPr>
      <w:r w:rsidRPr="00D329A8">
        <w:tab/>
        <w:t>(a)</w:t>
      </w:r>
      <w:r w:rsidRPr="00D329A8">
        <w:tab/>
        <w:t xml:space="preserve">the fund is a </w:t>
      </w:r>
      <w:r w:rsidR="00D329A8" w:rsidRPr="00D329A8">
        <w:rPr>
          <w:position w:val="6"/>
          <w:sz w:val="16"/>
        </w:rPr>
        <w:t>*</w:t>
      </w:r>
      <w:proofErr w:type="spellStart"/>
      <w:r w:rsidRPr="00D329A8">
        <w:t>self managed</w:t>
      </w:r>
      <w:proofErr w:type="spellEnd"/>
      <w:r w:rsidRPr="00D329A8">
        <w:t xml:space="preserve"> superannuation fund at the time;</w:t>
      </w:r>
    </w:p>
    <w:p w:rsidR="006E03F7" w:rsidRPr="00D329A8" w:rsidRDefault="006E03F7" w:rsidP="00D329A8">
      <w:pPr>
        <w:pStyle w:val="paragraph"/>
      </w:pPr>
      <w:r w:rsidRPr="00D329A8">
        <w:tab/>
        <w:t>(b)</w:t>
      </w:r>
      <w:r w:rsidRPr="00D329A8">
        <w:tab/>
        <w:t xml:space="preserve">there are less than 5 </w:t>
      </w:r>
      <w:r w:rsidR="00D329A8" w:rsidRPr="00D329A8">
        <w:rPr>
          <w:position w:val="6"/>
          <w:sz w:val="16"/>
        </w:rPr>
        <w:t>*</w:t>
      </w:r>
      <w:r w:rsidRPr="00D329A8">
        <w:t>members of the fund at the time.</w:t>
      </w:r>
    </w:p>
    <w:p w:rsidR="006E03F7" w:rsidRPr="00D329A8" w:rsidRDefault="006E03F7" w:rsidP="00D329A8">
      <w:pPr>
        <w:pStyle w:val="ActHead9"/>
        <w:rPr>
          <w:i w:val="0"/>
        </w:rPr>
      </w:pPr>
      <w:bookmarkStart w:id="20" w:name="_Toc20997595"/>
      <w:r w:rsidRPr="00D329A8">
        <w:t>Taxation Administration Act 1953</w:t>
      </w:r>
      <w:bookmarkEnd w:id="20"/>
    </w:p>
    <w:p w:rsidR="006E03F7" w:rsidRPr="00D329A8" w:rsidRDefault="006E03F7" w:rsidP="00D329A8">
      <w:pPr>
        <w:pStyle w:val="ItemHead"/>
      </w:pPr>
      <w:r w:rsidRPr="00D329A8">
        <w:t>3  At the end of subsection</w:t>
      </w:r>
      <w:r w:rsidR="00D329A8" w:rsidRPr="00D329A8">
        <w:t> </w:t>
      </w:r>
      <w:r w:rsidRPr="00D329A8">
        <w:t>390</w:t>
      </w:r>
      <w:r w:rsidR="00E67292">
        <w:noBreakHyphen/>
      </w:r>
      <w:r w:rsidRPr="00D329A8">
        <w:t>5(9) in Schedule</w:t>
      </w:r>
      <w:r w:rsidR="00D329A8" w:rsidRPr="00D329A8">
        <w:t> </w:t>
      </w:r>
      <w:r w:rsidRPr="00D329A8">
        <w:t>1</w:t>
      </w:r>
    </w:p>
    <w:p w:rsidR="006E03F7" w:rsidRPr="00D329A8" w:rsidRDefault="006E03F7" w:rsidP="00D329A8">
      <w:pPr>
        <w:pStyle w:val="Item"/>
      </w:pPr>
      <w:r w:rsidRPr="00D329A8">
        <w:t>Add:</w:t>
      </w:r>
    </w:p>
    <w:p w:rsidR="006E03F7" w:rsidRPr="00D329A8" w:rsidRDefault="006E03F7" w:rsidP="00D329A8">
      <w:pPr>
        <w:pStyle w:val="paragraph"/>
      </w:pPr>
      <w:r w:rsidRPr="00D329A8">
        <w:tab/>
        <w:t>; (e)</w:t>
      </w:r>
      <w:r w:rsidRPr="00D329A8">
        <w:tab/>
        <w:t xml:space="preserve">if the superannuation plan is a </w:t>
      </w:r>
      <w:r w:rsidR="00D329A8" w:rsidRPr="00D329A8">
        <w:rPr>
          <w:position w:val="6"/>
          <w:sz w:val="16"/>
        </w:rPr>
        <w:t>*</w:t>
      </w:r>
      <w:r w:rsidRPr="00D329A8">
        <w:t>regulated superannuation fund in relation to which the individual has an LRBA amount under section</w:t>
      </w:r>
      <w:r w:rsidR="00D329A8" w:rsidRPr="00D329A8">
        <w:t> </w:t>
      </w:r>
      <w:r w:rsidRPr="00D329A8">
        <w:t>307</w:t>
      </w:r>
      <w:r w:rsidR="00E67292">
        <w:noBreakHyphen/>
      </w:r>
      <w:r w:rsidRPr="00D329A8">
        <w:t xml:space="preserve">231 of the </w:t>
      </w:r>
      <w:r w:rsidRPr="00D329A8">
        <w:rPr>
          <w:i/>
        </w:rPr>
        <w:t>Income Tax Assessment Act 1997</w:t>
      </w:r>
      <w:r w:rsidRPr="00D329A8">
        <w:t xml:space="preserve"> (about limited recourse borrowing arrangements)—the amount of the LRBA amount.</w:t>
      </w:r>
    </w:p>
    <w:p w:rsidR="006E03F7" w:rsidRPr="00D329A8" w:rsidRDefault="006E03F7" w:rsidP="00D329A8">
      <w:pPr>
        <w:pStyle w:val="ActHead7"/>
        <w:pageBreakBefore/>
      </w:pPr>
      <w:bookmarkStart w:id="21" w:name="_Toc20997596"/>
      <w:r w:rsidRPr="00D329A8">
        <w:rPr>
          <w:rStyle w:val="CharAmPartNo"/>
        </w:rPr>
        <w:t>Part</w:t>
      </w:r>
      <w:r w:rsidR="00D329A8" w:rsidRPr="00D329A8">
        <w:rPr>
          <w:rStyle w:val="CharAmPartNo"/>
        </w:rPr>
        <w:t> </w:t>
      </w:r>
      <w:r w:rsidRPr="00D329A8">
        <w:rPr>
          <w:rStyle w:val="CharAmPartNo"/>
        </w:rPr>
        <w:t>2</w:t>
      </w:r>
      <w:r w:rsidRPr="00D329A8">
        <w:t>—</w:t>
      </w:r>
      <w:r w:rsidRPr="00D329A8">
        <w:rPr>
          <w:rStyle w:val="CharAmPartText"/>
        </w:rPr>
        <w:t>Application provisions</w:t>
      </w:r>
      <w:bookmarkEnd w:id="21"/>
    </w:p>
    <w:p w:rsidR="006E03F7" w:rsidRPr="00D329A8" w:rsidRDefault="006E03F7" w:rsidP="00D329A8">
      <w:pPr>
        <w:pStyle w:val="ActHead9"/>
        <w:rPr>
          <w:i w:val="0"/>
        </w:rPr>
      </w:pPr>
      <w:bookmarkStart w:id="22" w:name="_Toc20997597"/>
      <w:r w:rsidRPr="00D329A8">
        <w:t>Income Tax (Transitional Provisions) Act 1997</w:t>
      </w:r>
      <w:bookmarkEnd w:id="22"/>
    </w:p>
    <w:p w:rsidR="006E03F7" w:rsidRPr="00D329A8" w:rsidRDefault="006E03F7" w:rsidP="00D329A8">
      <w:pPr>
        <w:pStyle w:val="ItemHead"/>
      </w:pPr>
      <w:r w:rsidRPr="00D329A8">
        <w:t>4  After section</w:t>
      </w:r>
      <w:r w:rsidR="00D329A8" w:rsidRPr="00D329A8">
        <w:t> </w:t>
      </w:r>
      <w:r w:rsidRPr="00D329A8">
        <w:t>307</w:t>
      </w:r>
      <w:r w:rsidR="00E67292">
        <w:noBreakHyphen/>
      </w:r>
      <w:r w:rsidRPr="00D329A8">
        <w:t>230</w:t>
      </w:r>
    </w:p>
    <w:p w:rsidR="006E03F7" w:rsidRPr="00D329A8" w:rsidRDefault="006E03F7" w:rsidP="00D329A8">
      <w:pPr>
        <w:pStyle w:val="Item"/>
      </w:pPr>
      <w:r w:rsidRPr="00D329A8">
        <w:t>Insert:</w:t>
      </w:r>
    </w:p>
    <w:p w:rsidR="006E03F7" w:rsidRPr="00D329A8" w:rsidRDefault="006E03F7" w:rsidP="00D329A8">
      <w:pPr>
        <w:pStyle w:val="ActHead5"/>
      </w:pPr>
      <w:bookmarkStart w:id="23" w:name="_Toc20997598"/>
      <w:r w:rsidRPr="00D329A8">
        <w:rPr>
          <w:rStyle w:val="CharSectno"/>
        </w:rPr>
        <w:t>307</w:t>
      </w:r>
      <w:r w:rsidR="00E67292">
        <w:rPr>
          <w:rStyle w:val="CharSectno"/>
        </w:rPr>
        <w:noBreakHyphen/>
      </w:r>
      <w:r w:rsidRPr="00D329A8">
        <w:rPr>
          <w:rStyle w:val="CharSectno"/>
        </w:rPr>
        <w:t>231</w:t>
      </w:r>
      <w:r w:rsidRPr="00D329A8">
        <w:t xml:space="preserve">  Total superannuation balance—limited recourse borrowing arrangements</w:t>
      </w:r>
      <w:bookmarkEnd w:id="23"/>
    </w:p>
    <w:p w:rsidR="006E03F7" w:rsidRPr="00D329A8" w:rsidRDefault="006E03F7" w:rsidP="00D329A8">
      <w:pPr>
        <w:pStyle w:val="subsection"/>
      </w:pPr>
      <w:r w:rsidRPr="00D329A8">
        <w:tab/>
        <w:t>(1)</w:t>
      </w:r>
      <w:r w:rsidRPr="00D329A8">
        <w:tab/>
        <w:t>Section</w:t>
      </w:r>
      <w:r w:rsidR="00D329A8" w:rsidRPr="00D329A8">
        <w:t> </w:t>
      </w:r>
      <w:r w:rsidRPr="00D329A8">
        <w:t>307</w:t>
      </w:r>
      <w:r w:rsidR="00E67292">
        <w:noBreakHyphen/>
      </w:r>
      <w:r w:rsidRPr="00D329A8">
        <w:t xml:space="preserve">231 of the </w:t>
      </w:r>
      <w:r w:rsidRPr="00D329A8">
        <w:rPr>
          <w:i/>
        </w:rPr>
        <w:t>Income Tax Assessment Act 1997</w:t>
      </w:r>
      <w:r w:rsidRPr="00D329A8">
        <w:t xml:space="preserve"> applies in relation to borrowings that arise under contracts entered into on or after 1</w:t>
      </w:r>
      <w:r w:rsidR="00D329A8" w:rsidRPr="00D329A8">
        <w:t> </w:t>
      </w:r>
      <w:r w:rsidRPr="00D329A8">
        <w:t>July 2018.</w:t>
      </w:r>
    </w:p>
    <w:p w:rsidR="006E03F7" w:rsidRPr="00D329A8" w:rsidRDefault="006E03F7" w:rsidP="00D329A8">
      <w:pPr>
        <w:pStyle w:val="subsection"/>
      </w:pPr>
      <w:r w:rsidRPr="00D329A8">
        <w:tab/>
        <w:t>(2)</w:t>
      </w:r>
      <w:r w:rsidRPr="00D329A8">
        <w:tab/>
        <w:t xml:space="preserve">For the purposes of </w:t>
      </w:r>
      <w:r w:rsidR="00D329A8" w:rsidRPr="00D329A8">
        <w:t>subsection (</w:t>
      </w:r>
      <w:r w:rsidRPr="00D329A8">
        <w:t xml:space="preserve">1), a borrowing (the </w:t>
      </w:r>
      <w:r w:rsidRPr="00D329A8">
        <w:rPr>
          <w:b/>
          <w:i/>
        </w:rPr>
        <w:t>new borrowing</w:t>
      </w:r>
      <w:r w:rsidRPr="00D329A8">
        <w:t>) that arises under a contract entered into on or after 1</w:t>
      </w:r>
      <w:r w:rsidR="00D329A8" w:rsidRPr="00D329A8">
        <w:t> </w:t>
      </w:r>
      <w:r w:rsidRPr="00D329A8">
        <w:t>July 2018 is treated as if it arose under a contract entered into before 1</w:t>
      </w:r>
      <w:r w:rsidR="00D329A8" w:rsidRPr="00D329A8">
        <w:t> </w:t>
      </w:r>
      <w:r w:rsidRPr="00D329A8">
        <w:t>July 2018 if:</w:t>
      </w:r>
    </w:p>
    <w:p w:rsidR="006E03F7" w:rsidRPr="00D329A8" w:rsidRDefault="006E03F7" w:rsidP="00D329A8">
      <w:pPr>
        <w:pStyle w:val="paragraph"/>
      </w:pPr>
      <w:r w:rsidRPr="00D329A8">
        <w:tab/>
        <w:t>(a)</w:t>
      </w:r>
      <w:r w:rsidRPr="00D329A8">
        <w:tab/>
        <w:t xml:space="preserve">the new borrowing is a refinancing of a borrowing (the </w:t>
      </w:r>
      <w:r w:rsidRPr="00D329A8">
        <w:rPr>
          <w:b/>
          <w:i/>
        </w:rPr>
        <w:t>old borrowing</w:t>
      </w:r>
      <w:r w:rsidRPr="00D329A8">
        <w:t>) that was made under a contract:</w:t>
      </w:r>
    </w:p>
    <w:p w:rsidR="006E03F7" w:rsidRPr="00D329A8" w:rsidRDefault="006E03F7" w:rsidP="00D329A8">
      <w:pPr>
        <w:pStyle w:val="paragraphsub"/>
      </w:pPr>
      <w:r w:rsidRPr="00D329A8">
        <w:tab/>
        <w:t>(</w:t>
      </w:r>
      <w:proofErr w:type="spellStart"/>
      <w:r w:rsidRPr="00D329A8">
        <w:t>i</w:t>
      </w:r>
      <w:proofErr w:type="spellEnd"/>
      <w:r w:rsidRPr="00D329A8">
        <w:t>)</w:t>
      </w:r>
      <w:r w:rsidRPr="00D329A8">
        <w:tab/>
        <w:t>entered into before 1</w:t>
      </w:r>
      <w:r w:rsidR="00D329A8" w:rsidRPr="00D329A8">
        <w:t> </w:t>
      </w:r>
      <w:r w:rsidRPr="00D329A8">
        <w:t>July 2018; and</w:t>
      </w:r>
    </w:p>
    <w:p w:rsidR="006E03F7" w:rsidRPr="00D329A8" w:rsidRDefault="006E03F7" w:rsidP="00D329A8">
      <w:pPr>
        <w:pStyle w:val="paragraphsub"/>
      </w:pPr>
      <w:r w:rsidRPr="00D329A8">
        <w:tab/>
        <w:t>(ii)</w:t>
      </w:r>
      <w:r w:rsidRPr="00D329A8">
        <w:tab/>
        <w:t>covered by the exception in subsection</w:t>
      </w:r>
      <w:r w:rsidR="00D329A8" w:rsidRPr="00D329A8">
        <w:t> </w:t>
      </w:r>
      <w:r w:rsidRPr="00D329A8">
        <w:t xml:space="preserve">67A(1) of the </w:t>
      </w:r>
      <w:r w:rsidRPr="00D329A8">
        <w:rPr>
          <w:i/>
        </w:rPr>
        <w:t>Superannuation Industry (Supervision) Act 1993</w:t>
      </w:r>
      <w:r w:rsidRPr="00D329A8">
        <w:t xml:space="preserve"> (which is about limited recourse borrowing arrangements); and</w:t>
      </w:r>
    </w:p>
    <w:p w:rsidR="006E03F7" w:rsidRPr="00D329A8" w:rsidRDefault="006E03F7" w:rsidP="00D329A8">
      <w:pPr>
        <w:pStyle w:val="paragraph"/>
      </w:pPr>
      <w:r w:rsidRPr="00D329A8">
        <w:tab/>
        <w:t>(b)</w:t>
      </w:r>
      <w:r w:rsidRPr="00D329A8">
        <w:tab/>
        <w:t>the new borrowing is secured by the same asset or assets as the old borrowing; and</w:t>
      </w:r>
    </w:p>
    <w:p w:rsidR="00E67292" w:rsidRDefault="006E03F7" w:rsidP="00D329A8">
      <w:pPr>
        <w:pStyle w:val="paragraph"/>
      </w:pPr>
      <w:r w:rsidRPr="00D329A8">
        <w:tab/>
        <w:t>(c)</w:t>
      </w:r>
      <w:r w:rsidRPr="00D329A8">
        <w:tab/>
        <w:t>the amount of the new borrowing at the time it is first made equals, or is less than, the outstanding balance on the old borrowing just before the refinancing.</w:t>
      </w:r>
    </w:p>
    <w:p w:rsidR="00400D38" w:rsidRDefault="00400D38" w:rsidP="00D329A8">
      <w:pPr>
        <w:pStyle w:val="paragraph"/>
        <w:sectPr w:rsidR="00400D38" w:rsidSect="00400D38">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pPr>
    </w:p>
    <w:p w:rsidR="00C23A35" w:rsidRDefault="00C23A35" w:rsidP="000C5962">
      <w:pPr>
        <w:pStyle w:val="2ndRd"/>
        <w:keepNext/>
        <w:spacing w:line="260" w:lineRule="atLeast"/>
        <w:rPr>
          <w:i/>
        </w:rPr>
      </w:pPr>
      <w:r>
        <w:t>[</w:t>
      </w:r>
      <w:r>
        <w:rPr>
          <w:i/>
        </w:rPr>
        <w:t>Minister’s second reading speech made in—</w:t>
      </w:r>
    </w:p>
    <w:p w:rsidR="00C23A35" w:rsidRDefault="00C23A35" w:rsidP="000C5962">
      <w:pPr>
        <w:pStyle w:val="2ndRd"/>
        <w:keepNext/>
        <w:spacing w:line="260" w:lineRule="atLeast"/>
        <w:rPr>
          <w:i/>
        </w:rPr>
      </w:pPr>
      <w:r>
        <w:rPr>
          <w:i/>
        </w:rPr>
        <w:t>House of Representatives on 24 July 2019</w:t>
      </w:r>
    </w:p>
    <w:p w:rsidR="00C23A35" w:rsidRDefault="00C23A35" w:rsidP="000C5962">
      <w:pPr>
        <w:pStyle w:val="2ndRd"/>
        <w:keepNext/>
        <w:spacing w:line="260" w:lineRule="atLeast"/>
        <w:rPr>
          <w:i/>
        </w:rPr>
      </w:pPr>
      <w:r>
        <w:rPr>
          <w:i/>
        </w:rPr>
        <w:t>Senate on 12 September 2019</w:t>
      </w:r>
      <w:r>
        <w:t>]</w:t>
      </w:r>
    </w:p>
    <w:p w:rsidR="00C23A35" w:rsidRDefault="00C23A35" w:rsidP="00C23A35">
      <w:pPr>
        <w:framePr w:hSpace="180" w:wrap="around" w:vAnchor="text" w:hAnchor="page" w:x="2386" w:y="9410"/>
      </w:pPr>
      <w:r>
        <w:t>(131/19)</w:t>
      </w:r>
    </w:p>
    <w:p w:rsidR="00C23A35" w:rsidRDefault="00C23A35"/>
    <w:sectPr w:rsidR="00C23A35" w:rsidSect="00400D38">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F7" w:rsidRDefault="006E03F7" w:rsidP="0048364F">
      <w:pPr>
        <w:spacing w:line="240" w:lineRule="auto"/>
      </w:pPr>
      <w:r>
        <w:separator/>
      </w:r>
    </w:p>
  </w:endnote>
  <w:endnote w:type="continuationSeparator" w:id="0">
    <w:p w:rsidR="006E03F7" w:rsidRDefault="006E03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5F1388" w:rsidRDefault="006E03F7" w:rsidP="00D329A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00D38" w:rsidTr="00D329A8">
      <w:tc>
        <w:tcPr>
          <w:tcW w:w="1247" w:type="dxa"/>
        </w:tcPr>
        <w:p w:rsidR="00400D38" w:rsidRDefault="00400D38"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c>
        <w:tcPr>
          <w:tcW w:w="5387" w:type="dxa"/>
        </w:tcPr>
        <w:p w:rsidR="00400D38" w:rsidRDefault="00400D3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669" w:type="dxa"/>
        </w:tcPr>
        <w:p w:rsidR="00400D38" w:rsidRDefault="00400D3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13</w:t>
          </w:r>
          <w:r w:rsidRPr="007A1328">
            <w:rPr>
              <w:i/>
              <w:sz w:val="18"/>
            </w:rPr>
            <w:fldChar w:fldCharType="end"/>
          </w:r>
        </w:p>
      </w:tc>
    </w:tr>
  </w:tbl>
  <w:p w:rsidR="00400D38" w:rsidRPr="00055B5C" w:rsidRDefault="00400D3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00D38" w:rsidTr="00D329A8">
      <w:tc>
        <w:tcPr>
          <w:tcW w:w="1247" w:type="dxa"/>
        </w:tcPr>
        <w:p w:rsidR="00400D38" w:rsidRDefault="00400D38"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c>
        <w:tcPr>
          <w:tcW w:w="5387" w:type="dxa"/>
        </w:tcPr>
        <w:p w:rsidR="00400D38" w:rsidRDefault="00400D3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669" w:type="dxa"/>
        </w:tcPr>
        <w:p w:rsidR="00400D38" w:rsidRDefault="00400D38"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13</w:t>
          </w:r>
          <w:r w:rsidRPr="007A1328">
            <w:rPr>
              <w:i/>
              <w:sz w:val="18"/>
            </w:rPr>
            <w:fldChar w:fldCharType="end"/>
          </w:r>
        </w:p>
      </w:tc>
    </w:tr>
  </w:tbl>
  <w:p w:rsidR="00400D38" w:rsidRPr="00A961C4" w:rsidRDefault="00400D3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35" w:rsidRDefault="00C23A35" w:rsidP="00CD12A5">
    <w:pPr>
      <w:pStyle w:val="ScalePlusRef"/>
    </w:pPr>
    <w:r>
      <w:t>Note: An electronic version of this Act is available on the Federal Register of Legislation (</w:t>
    </w:r>
    <w:hyperlink r:id="rId1" w:history="1">
      <w:r>
        <w:t>https://www.legislation.gov.au/</w:t>
      </w:r>
    </w:hyperlink>
    <w:r>
      <w:t>)</w:t>
    </w:r>
  </w:p>
  <w:p w:rsidR="00C23A35" w:rsidRDefault="00C23A35" w:rsidP="00CD12A5"/>
  <w:p w:rsidR="006E03F7" w:rsidRDefault="006E03F7" w:rsidP="00D329A8">
    <w:pPr>
      <w:pStyle w:val="Footer"/>
      <w:spacing w:before="120"/>
    </w:pPr>
  </w:p>
  <w:p w:rsidR="006E03F7" w:rsidRPr="005F1388" w:rsidRDefault="006E03F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ED79B6" w:rsidRDefault="006E03F7" w:rsidP="00D329A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Default="006E03F7"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E03F7" w:rsidTr="0066090A">
      <w:tc>
        <w:tcPr>
          <w:tcW w:w="646" w:type="dxa"/>
        </w:tcPr>
        <w:p w:rsidR="006E03F7" w:rsidRDefault="006E03F7"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0996">
            <w:rPr>
              <w:i/>
              <w:noProof/>
              <w:sz w:val="18"/>
            </w:rPr>
            <w:t>xiii</w:t>
          </w:r>
          <w:r w:rsidRPr="00ED79B6">
            <w:rPr>
              <w:i/>
              <w:sz w:val="18"/>
            </w:rPr>
            <w:fldChar w:fldCharType="end"/>
          </w:r>
        </w:p>
      </w:tc>
      <w:tc>
        <w:tcPr>
          <w:tcW w:w="5387" w:type="dxa"/>
        </w:tcPr>
        <w:p w:rsidR="006E03F7" w:rsidRDefault="006E03F7"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0996">
            <w:rPr>
              <w:i/>
              <w:sz w:val="18"/>
            </w:rPr>
            <w:t>Treasury Laws Amendment (2018 Superannuation Measures No. 1) Act 2019</w:t>
          </w:r>
          <w:r w:rsidRPr="00ED79B6">
            <w:rPr>
              <w:i/>
              <w:sz w:val="18"/>
            </w:rPr>
            <w:fldChar w:fldCharType="end"/>
          </w:r>
        </w:p>
      </w:tc>
      <w:tc>
        <w:tcPr>
          <w:tcW w:w="1270" w:type="dxa"/>
        </w:tcPr>
        <w:p w:rsidR="006E03F7" w:rsidRDefault="006E03F7"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0996">
            <w:rPr>
              <w:i/>
              <w:sz w:val="18"/>
            </w:rPr>
            <w:t>No. 78, 2019</w:t>
          </w:r>
          <w:r w:rsidRPr="00ED79B6">
            <w:rPr>
              <w:i/>
              <w:sz w:val="18"/>
            </w:rPr>
            <w:fldChar w:fldCharType="end"/>
          </w:r>
        </w:p>
      </w:tc>
    </w:tr>
  </w:tbl>
  <w:p w:rsidR="006E03F7" w:rsidRDefault="006E03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Default="006E03F7"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E03F7" w:rsidTr="0066090A">
      <w:tc>
        <w:tcPr>
          <w:tcW w:w="1247" w:type="dxa"/>
        </w:tcPr>
        <w:p w:rsidR="006E03F7" w:rsidRDefault="006E03F7"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0996">
            <w:rPr>
              <w:i/>
              <w:sz w:val="18"/>
            </w:rPr>
            <w:t>No. 78, 2019</w:t>
          </w:r>
          <w:r w:rsidRPr="00ED79B6">
            <w:rPr>
              <w:i/>
              <w:sz w:val="18"/>
            </w:rPr>
            <w:fldChar w:fldCharType="end"/>
          </w:r>
        </w:p>
      </w:tc>
      <w:tc>
        <w:tcPr>
          <w:tcW w:w="5387" w:type="dxa"/>
        </w:tcPr>
        <w:p w:rsidR="006E03F7" w:rsidRDefault="006E03F7"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0996">
            <w:rPr>
              <w:i/>
              <w:sz w:val="18"/>
            </w:rPr>
            <w:t>Treasury Laws Amendment (2018 Superannuation Measures No. 1) Act 2019</w:t>
          </w:r>
          <w:r w:rsidRPr="00ED79B6">
            <w:rPr>
              <w:i/>
              <w:sz w:val="18"/>
            </w:rPr>
            <w:fldChar w:fldCharType="end"/>
          </w:r>
        </w:p>
      </w:tc>
      <w:tc>
        <w:tcPr>
          <w:tcW w:w="669" w:type="dxa"/>
        </w:tcPr>
        <w:p w:rsidR="006E03F7" w:rsidRDefault="006E03F7"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0996">
            <w:rPr>
              <w:i/>
              <w:noProof/>
              <w:sz w:val="18"/>
            </w:rPr>
            <w:t>i</w:t>
          </w:r>
          <w:r w:rsidRPr="00ED79B6">
            <w:rPr>
              <w:i/>
              <w:sz w:val="18"/>
            </w:rPr>
            <w:fldChar w:fldCharType="end"/>
          </w:r>
        </w:p>
      </w:tc>
    </w:tr>
  </w:tbl>
  <w:p w:rsidR="006E03F7" w:rsidRPr="00ED79B6" w:rsidRDefault="006E03F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329A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329A8">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12</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329A8">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329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329A8">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D329A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00D38" w:rsidTr="00D329A8">
      <w:tc>
        <w:tcPr>
          <w:tcW w:w="646" w:type="dxa"/>
        </w:tcPr>
        <w:p w:rsidR="00400D38" w:rsidRDefault="00400D38"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0996">
            <w:rPr>
              <w:i/>
              <w:noProof/>
              <w:sz w:val="18"/>
            </w:rPr>
            <w:t>14</w:t>
          </w:r>
          <w:r w:rsidRPr="007A1328">
            <w:rPr>
              <w:i/>
              <w:sz w:val="18"/>
            </w:rPr>
            <w:fldChar w:fldCharType="end"/>
          </w:r>
        </w:p>
      </w:tc>
      <w:tc>
        <w:tcPr>
          <w:tcW w:w="5387" w:type="dxa"/>
        </w:tcPr>
        <w:p w:rsidR="00400D38" w:rsidRDefault="00400D38"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0996">
            <w:rPr>
              <w:i/>
              <w:sz w:val="18"/>
            </w:rPr>
            <w:t>Treasury Laws Amendment (2018 Superannuation Measures No. 1) Act 2019</w:t>
          </w:r>
          <w:r w:rsidRPr="007A1328">
            <w:rPr>
              <w:i/>
              <w:sz w:val="18"/>
            </w:rPr>
            <w:fldChar w:fldCharType="end"/>
          </w:r>
        </w:p>
      </w:tc>
      <w:tc>
        <w:tcPr>
          <w:tcW w:w="1270" w:type="dxa"/>
        </w:tcPr>
        <w:p w:rsidR="00400D38" w:rsidRDefault="00400D38"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0996">
            <w:rPr>
              <w:i/>
              <w:sz w:val="18"/>
            </w:rPr>
            <w:t>No. 78, 2019</w:t>
          </w:r>
          <w:r w:rsidRPr="007A1328">
            <w:rPr>
              <w:i/>
              <w:sz w:val="18"/>
            </w:rPr>
            <w:fldChar w:fldCharType="end"/>
          </w:r>
        </w:p>
      </w:tc>
    </w:tr>
  </w:tbl>
  <w:p w:rsidR="00400D38" w:rsidRPr="00A961C4" w:rsidRDefault="00400D3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F7" w:rsidRDefault="006E03F7" w:rsidP="0048364F">
      <w:pPr>
        <w:spacing w:line="240" w:lineRule="auto"/>
      </w:pPr>
      <w:r>
        <w:separator/>
      </w:r>
    </w:p>
  </w:footnote>
  <w:footnote w:type="continuationSeparator" w:id="0">
    <w:p w:rsidR="006E03F7" w:rsidRDefault="006E03F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5F1388" w:rsidRDefault="006E03F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48364F">
    <w:pPr>
      <w:rPr>
        <w:b/>
        <w:sz w:val="20"/>
      </w:rPr>
    </w:pPr>
  </w:p>
  <w:p w:rsidR="00400D38" w:rsidRPr="00A961C4" w:rsidRDefault="00400D38" w:rsidP="0048364F">
    <w:pPr>
      <w:rPr>
        <w:b/>
        <w:sz w:val="20"/>
      </w:rPr>
    </w:pPr>
  </w:p>
  <w:p w:rsidR="00400D38" w:rsidRPr="00A961C4" w:rsidRDefault="00400D3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48364F">
    <w:pPr>
      <w:jc w:val="right"/>
      <w:rPr>
        <w:sz w:val="20"/>
      </w:rPr>
    </w:pPr>
  </w:p>
  <w:p w:rsidR="00400D38" w:rsidRPr="00A961C4" w:rsidRDefault="00400D38" w:rsidP="0048364F">
    <w:pPr>
      <w:jc w:val="right"/>
      <w:rPr>
        <w:b/>
        <w:sz w:val="20"/>
      </w:rPr>
    </w:pPr>
  </w:p>
  <w:p w:rsidR="00400D38" w:rsidRPr="00A961C4" w:rsidRDefault="00400D3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38" w:rsidRPr="00A961C4" w:rsidRDefault="00400D3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5F1388" w:rsidRDefault="006E03F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5F1388" w:rsidRDefault="006E03F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ED79B6" w:rsidRDefault="006E03F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ED79B6" w:rsidRDefault="006E03F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F7" w:rsidRPr="00ED79B6" w:rsidRDefault="006E03F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4F0996">
      <w:rPr>
        <w:b/>
        <w:sz w:val="20"/>
      </w:rPr>
      <w:fldChar w:fldCharType="separate"/>
    </w:r>
    <w:r w:rsidR="004F0996">
      <w:rPr>
        <w:b/>
        <w:noProof/>
        <w:sz w:val="20"/>
      </w:rPr>
      <w:t>Schedule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4F0996">
      <w:rPr>
        <w:sz w:val="20"/>
      </w:rPr>
      <w:fldChar w:fldCharType="separate"/>
    </w:r>
    <w:r w:rsidR="004F0996">
      <w:rPr>
        <w:noProof/>
        <w:sz w:val="20"/>
      </w:rPr>
      <w:t>Limited recourse borrowing arrangements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4F0996">
      <w:rPr>
        <w:b/>
        <w:sz w:val="20"/>
      </w:rPr>
      <w:fldChar w:fldCharType="separate"/>
    </w:r>
    <w:r w:rsidR="004F0996">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4F0996">
      <w:rPr>
        <w:sz w:val="20"/>
      </w:rPr>
      <w:fldChar w:fldCharType="separate"/>
    </w:r>
    <w:r w:rsidR="004F0996">
      <w:rPr>
        <w:noProof/>
        <w:sz w:val="20"/>
      </w:rPr>
      <w:t>Amendments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4F0996">
      <w:rPr>
        <w:sz w:val="20"/>
      </w:rPr>
      <w:fldChar w:fldCharType="separate"/>
    </w:r>
    <w:r w:rsidR="004F0996">
      <w:rPr>
        <w:noProof/>
        <w:sz w:val="20"/>
      </w:rPr>
      <w:t>Limited recourse borrowing arrangements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4F0996">
      <w:rPr>
        <w:b/>
        <w:sz w:val="20"/>
      </w:rPr>
      <w:fldChar w:fldCharType="separate"/>
    </w:r>
    <w:r w:rsidR="004F0996">
      <w:rPr>
        <w:b/>
        <w:noProof/>
        <w:sz w:val="20"/>
      </w:rPr>
      <w:t>Schedule 3</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4F0996">
      <w:rPr>
        <w:sz w:val="20"/>
      </w:rPr>
      <w:fldChar w:fldCharType="separate"/>
    </w:r>
    <w:r w:rsidR="004F0996">
      <w:rPr>
        <w:noProof/>
        <w:sz w:val="20"/>
      </w:rPr>
      <w:t>Application provisions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4F0996">
      <w:rPr>
        <w:b/>
        <w:sz w:val="20"/>
      </w:rPr>
      <w:fldChar w:fldCharType="separate"/>
    </w:r>
    <w:r w:rsidR="004F0996">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F7"/>
    <w:rsid w:val="000113BC"/>
    <w:rsid w:val="000136AF"/>
    <w:rsid w:val="000417C9"/>
    <w:rsid w:val="00055B5C"/>
    <w:rsid w:val="00056391"/>
    <w:rsid w:val="00060FF9"/>
    <w:rsid w:val="000614BF"/>
    <w:rsid w:val="000A17C0"/>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2067"/>
    <w:rsid w:val="001B7A5D"/>
    <w:rsid w:val="001C2418"/>
    <w:rsid w:val="001C69C4"/>
    <w:rsid w:val="001E3590"/>
    <w:rsid w:val="001E7407"/>
    <w:rsid w:val="00201D27"/>
    <w:rsid w:val="00202618"/>
    <w:rsid w:val="00240749"/>
    <w:rsid w:val="00263820"/>
    <w:rsid w:val="00275197"/>
    <w:rsid w:val="00293B89"/>
    <w:rsid w:val="00297ECB"/>
    <w:rsid w:val="002B5A30"/>
    <w:rsid w:val="002D043A"/>
    <w:rsid w:val="002D395A"/>
    <w:rsid w:val="003415D3"/>
    <w:rsid w:val="00350417"/>
    <w:rsid w:val="00352B0F"/>
    <w:rsid w:val="003557DB"/>
    <w:rsid w:val="00373874"/>
    <w:rsid w:val="00375C6C"/>
    <w:rsid w:val="003A7B3C"/>
    <w:rsid w:val="003B4E3D"/>
    <w:rsid w:val="003C5F2B"/>
    <w:rsid w:val="003D0BFE"/>
    <w:rsid w:val="003D5700"/>
    <w:rsid w:val="003F2AC2"/>
    <w:rsid w:val="00400D38"/>
    <w:rsid w:val="00405579"/>
    <w:rsid w:val="00410B8E"/>
    <w:rsid w:val="004116CD"/>
    <w:rsid w:val="00421FC1"/>
    <w:rsid w:val="004229C7"/>
    <w:rsid w:val="00424CA9"/>
    <w:rsid w:val="00436785"/>
    <w:rsid w:val="00436BD5"/>
    <w:rsid w:val="00437E4B"/>
    <w:rsid w:val="0044291A"/>
    <w:rsid w:val="00445946"/>
    <w:rsid w:val="0048196B"/>
    <w:rsid w:val="0048364F"/>
    <w:rsid w:val="00486D05"/>
    <w:rsid w:val="00496F97"/>
    <w:rsid w:val="004C7C8C"/>
    <w:rsid w:val="004D7954"/>
    <w:rsid w:val="004E2A4A"/>
    <w:rsid w:val="004F0996"/>
    <w:rsid w:val="004F0D23"/>
    <w:rsid w:val="004F1FAC"/>
    <w:rsid w:val="00516B8D"/>
    <w:rsid w:val="00537FBC"/>
    <w:rsid w:val="00543469"/>
    <w:rsid w:val="00551B54"/>
    <w:rsid w:val="00557C5E"/>
    <w:rsid w:val="00584811"/>
    <w:rsid w:val="00593AA6"/>
    <w:rsid w:val="00594161"/>
    <w:rsid w:val="00594749"/>
    <w:rsid w:val="005A0D92"/>
    <w:rsid w:val="005B4067"/>
    <w:rsid w:val="005C3F41"/>
    <w:rsid w:val="005E152A"/>
    <w:rsid w:val="00600219"/>
    <w:rsid w:val="006115DA"/>
    <w:rsid w:val="00641DE5"/>
    <w:rsid w:val="00656F0C"/>
    <w:rsid w:val="00677CC2"/>
    <w:rsid w:val="00681F92"/>
    <w:rsid w:val="006842C2"/>
    <w:rsid w:val="00685F42"/>
    <w:rsid w:val="0069207B"/>
    <w:rsid w:val="006A4B23"/>
    <w:rsid w:val="006B3220"/>
    <w:rsid w:val="006C2874"/>
    <w:rsid w:val="006C7F8C"/>
    <w:rsid w:val="006D380D"/>
    <w:rsid w:val="006E0135"/>
    <w:rsid w:val="006E03F7"/>
    <w:rsid w:val="006E303A"/>
    <w:rsid w:val="006F7E19"/>
    <w:rsid w:val="00700B2C"/>
    <w:rsid w:val="00712D8D"/>
    <w:rsid w:val="00713084"/>
    <w:rsid w:val="00714B26"/>
    <w:rsid w:val="00731E00"/>
    <w:rsid w:val="007440B7"/>
    <w:rsid w:val="00757D34"/>
    <w:rsid w:val="007634AD"/>
    <w:rsid w:val="007715C9"/>
    <w:rsid w:val="00774EDD"/>
    <w:rsid w:val="007757EC"/>
    <w:rsid w:val="007B30AA"/>
    <w:rsid w:val="007E7D4A"/>
    <w:rsid w:val="008006CC"/>
    <w:rsid w:val="00807F18"/>
    <w:rsid w:val="00824187"/>
    <w:rsid w:val="00831E8D"/>
    <w:rsid w:val="00856A31"/>
    <w:rsid w:val="00857D6B"/>
    <w:rsid w:val="008754D0"/>
    <w:rsid w:val="00877D48"/>
    <w:rsid w:val="00883781"/>
    <w:rsid w:val="00885570"/>
    <w:rsid w:val="00893958"/>
    <w:rsid w:val="008A2E77"/>
    <w:rsid w:val="008B739A"/>
    <w:rsid w:val="008C6F6F"/>
    <w:rsid w:val="008D0EE0"/>
    <w:rsid w:val="008D3E94"/>
    <w:rsid w:val="008F4F1C"/>
    <w:rsid w:val="008F77C4"/>
    <w:rsid w:val="009103F3"/>
    <w:rsid w:val="00932377"/>
    <w:rsid w:val="00967042"/>
    <w:rsid w:val="009764F5"/>
    <w:rsid w:val="0098255A"/>
    <w:rsid w:val="009845BE"/>
    <w:rsid w:val="009969C9"/>
    <w:rsid w:val="009F7BD0"/>
    <w:rsid w:val="00A048FF"/>
    <w:rsid w:val="00A10775"/>
    <w:rsid w:val="00A231E2"/>
    <w:rsid w:val="00A36C48"/>
    <w:rsid w:val="00A41E0B"/>
    <w:rsid w:val="00A55631"/>
    <w:rsid w:val="00A60D1E"/>
    <w:rsid w:val="00A64912"/>
    <w:rsid w:val="00A70A74"/>
    <w:rsid w:val="00AA3795"/>
    <w:rsid w:val="00AB573A"/>
    <w:rsid w:val="00AC1E75"/>
    <w:rsid w:val="00AD01D7"/>
    <w:rsid w:val="00AD5641"/>
    <w:rsid w:val="00AE1088"/>
    <w:rsid w:val="00AF1BA4"/>
    <w:rsid w:val="00B032D8"/>
    <w:rsid w:val="00B33B3C"/>
    <w:rsid w:val="00B37504"/>
    <w:rsid w:val="00B44ED4"/>
    <w:rsid w:val="00B44F17"/>
    <w:rsid w:val="00B6382D"/>
    <w:rsid w:val="00B65EDD"/>
    <w:rsid w:val="00BA5026"/>
    <w:rsid w:val="00BB40BF"/>
    <w:rsid w:val="00BC0CD1"/>
    <w:rsid w:val="00BC34EF"/>
    <w:rsid w:val="00BE719A"/>
    <w:rsid w:val="00BE720A"/>
    <w:rsid w:val="00BF0461"/>
    <w:rsid w:val="00BF4944"/>
    <w:rsid w:val="00BF56D4"/>
    <w:rsid w:val="00C04409"/>
    <w:rsid w:val="00C067E5"/>
    <w:rsid w:val="00C164CA"/>
    <w:rsid w:val="00C176CF"/>
    <w:rsid w:val="00C23A35"/>
    <w:rsid w:val="00C42BF8"/>
    <w:rsid w:val="00C460AE"/>
    <w:rsid w:val="00C50043"/>
    <w:rsid w:val="00C54E84"/>
    <w:rsid w:val="00C7573B"/>
    <w:rsid w:val="00C76CF3"/>
    <w:rsid w:val="00CE1E31"/>
    <w:rsid w:val="00CF0BB2"/>
    <w:rsid w:val="00D00EAA"/>
    <w:rsid w:val="00D13441"/>
    <w:rsid w:val="00D243A3"/>
    <w:rsid w:val="00D329A8"/>
    <w:rsid w:val="00D35E5A"/>
    <w:rsid w:val="00D477C3"/>
    <w:rsid w:val="00D52EFE"/>
    <w:rsid w:val="00D6140C"/>
    <w:rsid w:val="00D63EF6"/>
    <w:rsid w:val="00D70DFB"/>
    <w:rsid w:val="00D73029"/>
    <w:rsid w:val="00D766DF"/>
    <w:rsid w:val="00DE2002"/>
    <w:rsid w:val="00DF7AE9"/>
    <w:rsid w:val="00E05704"/>
    <w:rsid w:val="00E149FC"/>
    <w:rsid w:val="00E24D66"/>
    <w:rsid w:val="00E54292"/>
    <w:rsid w:val="00E67292"/>
    <w:rsid w:val="00E74DC7"/>
    <w:rsid w:val="00E87699"/>
    <w:rsid w:val="00E947C6"/>
    <w:rsid w:val="00ED492F"/>
    <w:rsid w:val="00EE3E36"/>
    <w:rsid w:val="00EE74DA"/>
    <w:rsid w:val="00EF2E3A"/>
    <w:rsid w:val="00F047E2"/>
    <w:rsid w:val="00F078DC"/>
    <w:rsid w:val="00F13E86"/>
    <w:rsid w:val="00F17B00"/>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29A8"/>
    <w:pPr>
      <w:spacing w:line="260" w:lineRule="atLeast"/>
    </w:pPr>
    <w:rPr>
      <w:sz w:val="22"/>
    </w:rPr>
  </w:style>
  <w:style w:type="paragraph" w:styleId="Heading1">
    <w:name w:val="heading 1"/>
    <w:basedOn w:val="Normal"/>
    <w:next w:val="Normal"/>
    <w:link w:val="Heading1Char"/>
    <w:uiPriority w:val="9"/>
    <w:qFormat/>
    <w:rsid w:val="00400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D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0D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0D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0D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0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D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00D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29A8"/>
  </w:style>
  <w:style w:type="paragraph" w:customStyle="1" w:styleId="OPCParaBase">
    <w:name w:val="OPCParaBase"/>
    <w:link w:val="OPCParaBaseChar"/>
    <w:qFormat/>
    <w:rsid w:val="00D329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29A8"/>
    <w:pPr>
      <w:spacing w:line="240" w:lineRule="auto"/>
    </w:pPr>
    <w:rPr>
      <w:b/>
      <w:sz w:val="40"/>
    </w:rPr>
  </w:style>
  <w:style w:type="paragraph" w:customStyle="1" w:styleId="ActHead1">
    <w:name w:val="ActHead 1"/>
    <w:aliases w:val="c"/>
    <w:basedOn w:val="OPCParaBase"/>
    <w:next w:val="Normal"/>
    <w:qFormat/>
    <w:rsid w:val="00D329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29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29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29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29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29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29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29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29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29A8"/>
  </w:style>
  <w:style w:type="paragraph" w:customStyle="1" w:styleId="Blocks">
    <w:name w:val="Blocks"/>
    <w:aliases w:val="bb"/>
    <w:basedOn w:val="OPCParaBase"/>
    <w:qFormat/>
    <w:rsid w:val="00D329A8"/>
    <w:pPr>
      <w:spacing w:line="240" w:lineRule="auto"/>
    </w:pPr>
    <w:rPr>
      <w:sz w:val="24"/>
    </w:rPr>
  </w:style>
  <w:style w:type="paragraph" w:customStyle="1" w:styleId="BoxText">
    <w:name w:val="BoxText"/>
    <w:aliases w:val="bt"/>
    <w:basedOn w:val="OPCParaBase"/>
    <w:qFormat/>
    <w:rsid w:val="00D329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29A8"/>
    <w:rPr>
      <w:b/>
    </w:rPr>
  </w:style>
  <w:style w:type="paragraph" w:customStyle="1" w:styleId="BoxHeadItalic">
    <w:name w:val="BoxHeadItalic"/>
    <w:aliases w:val="bhi"/>
    <w:basedOn w:val="BoxText"/>
    <w:next w:val="BoxStep"/>
    <w:qFormat/>
    <w:rsid w:val="00D329A8"/>
    <w:rPr>
      <w:i/>
    </w:rPr>
  </w:style>
  <w:style w:type="paragraph" w:customStyle="1" w:styleId="BoxList">
    <w:name w:val="BoxList"/>
    <w:aliases w:val="bl"/>
    <w:basedOn w:val="BoxText"/>
    <w:qFormat/>
    <w:rsid w:val="00D329A8"/>
    <w:pPr>
      <w:ind w:left="1559" w:hanging="425"/>
    </w:pPr>
  </w:style>
  <w:style w:type="paragraph" w:customStyle="1" w:styleId="BoxNote">
    <w:name w:val="BoxNote"/>
    <w:aliases w:val="bn"/>
    <w:basedOn w:val="BoxText"/>
    <w:qFormat/>
    <w:rsid w:val="00D329A8"/>
    <w:pPr>
      <w:tabs>
        <w:tab w:val="left" w:pos="1985"/>
      </w:tabs>
      <w:spacing w:before="122" w:line="198" w:lineRule="exact"/>
      <w:ind w:left="2948" w:hanging="1814"/>
    </w:pPr>
    <w:rPr>
      <w:sz w:val="18"/>
    </w:rPr>
  </w:style>
  <w:style w:type="paragraph" w:customStyle="1" w:styleId="BoxPara">
    <w:name w:val="BoxPara"/>
    <w:aliases w:val="bp"/>
    <w:basedOn w:val="BoxText"/>
    <w:qFormat/>
    <w:rsid w:val="00D329A8"/>
    <w:pPr>
      <w:tabs>
        <w:tab w:val="right" w:pos="2268"/>
      </w:tabs>
      <w:ind w:left="2552" w:hanging="1418"/>
    </w:pPr>
  </w:style>
  <w:style w:type="paragraph" w:customStyle="1" w:styleId="BoxStep">
    <w:name w:val="BoxStep"/>
    <w:aliases w:val="bs"/>
    <w:basedOn w:val="BoxText"/>
    <w:qFormat/>
    <w:rsid w:val="00D329A8"/>
    <w:pPr>
      <w:ind w:left="1985" w:hanging="851"/>
    </w:pPr>
  </w:style>
  <w:style w:type="character" w:customStyle="1" w:styleId="CharAmPartNo">
    <w:name w:val="CharAmPartNo"/>
    <w:basedOn w:val="OPCCharBase"/>
    <w:qFormat/>
    <w:rsid w:val="00D329A8"/>
  </w:style>
  <w:style w:type="character" w:customStyle="1" w:styleId="CharAmPartText">
    <w:name w:val="CharAmPartText"/>
    <w:basedOn w:val="OPCCharBase"/>
    <w:qFormat/>
    <w:rsid w:val="00D329A8"/>
  </w:style>
  <w:style w:type="character" w:customStyle="1" w:styleId="CharAmSchNo">
    <w:name w:val="CharAmSchNo"/>
    <w:basedOn w:val="OPCCharBase"/>
    <w:qFormat/>
    <w:rsid w:val="00D329A8"/>
  </w:style>
  <w:style w:type="character" w:customStyle="1" w:styleId="CharAmSchText">
    <w:name w:val="CharAmSchText"/>
    <w:basedOn w:val="OPCCharBase"/>
    <w:qFormat/>
    <w:rsid w:val="00D329A8"/>
  </w:style>
  <w:style w:type="character" w:customStyle="1" w:styleId="CharBoldItalic">
    <w:name w:val="CharBoldItalic"/>
    <w:basedOn w:val="OPCCharBase"/>
    <w:uiPriority w:val="1"/>
    <w:qFormat/>
    <w:rsid w:val="00D329A8"/>
    <w:rPr>
      <w:b/>
      <w:i/>
    </w:rPr>
  </w:style>
  <w:style w:type="character" w:customStyle="1" w:styleId="CharChapNo">
    <w:name w:val="CharChapNo"/>
    <w:basedOn w:val="OPCCharBase"/>
    <w:uiPriority w:val="1"/>
    <w:qFormat/>
    <w:rsid w:val="00D329A8"/>
  </w:style>
  <w:style w:type="character" w:customStyle="1" w:styleId="CharChapText">
    <w:name w:val="CharChapText"/>
    <w:basedOn w:val="OPCCharBase"/>
    <w:uiPriority w:val="1"/>
    <w:qFormat/>
    <w:rsid w:val="00D329A8"/>
  </w:style>
  <w:style w:type="character" w:customStyle="1" w:styleId="CharDivNo">
    <w:name w:val="CharDivNo"/>
    <w:basedOn w:val="OPCCharBase"/>
    <w:uiPriority w:val="1"/>
    <w:qFormat/>
    <w:rsid w:val="00D329A8"/>
  </w:style>
  <w:style w:type="character" w:customStyle="1" w:styleId="CharDivText">
    <w:name w:val="CharDivText"/>
    <w:basedOn w:val="OPCCharBase"/>
    <w:uiPriority w:val="1"/>
    <w:qFormat/>
    <w:rsid w:val="00D329A8"/>
  </w:style>
  <w:style w:type="character" w:customStyle="1" w:styleId="CharItalic">
    <w:name w:val="CharItalic"/>
    <w:basedOn w:val="OPCCharBase"/>
    <w:uiPriority w:val="1"/>
    <w:qFormat/>
    <w:rsid w:val="00D329A8"/>
    <w:rPr>
      <w:i/>
    </w:rPr>
  </w:style>
  <w:style w:type="character" w:customStyle="1" w:styleId="CharPartNo">
    <w:name w:val="CharPartNo"/>
    <w:basedOn w:val="OPCCharBase"/>
    <w:uiPriority w:val="1"/>
    <w:qFormat/>
    <w:rsid w:val="00D329A8"/>
  </w:style>
  <w:style w:type="character" w:customStyle="1" w:styleId="CharPartText">
    <w:name w:val="CharPartText"/>
    <w:basedOn w:val="OPCCharBase"/>
    <w:uiPriority w:val="1"/>
    <w:qFormat/>
    <w:rsid w:val="00D329A8"/>
  </w:style>
  <w:style w:type="character" w:customStyle="1" w:styleId="CharSectno">
    <w:name w:val="CharSectno"/>
    <w:basedOn w:val="OPCCharBase"/>
    <w:qFormat/>
    <w:rsid w:val="00D329A8"/>
  </w:style>
  <w:style w:type="character" w:customStyle="1" w:styleId="CharSubdNo">
    <w:name w:val="CharSubdNo"/>
    <w:basedOn w:val="OPCCharBase"/>
    <w:uiPriority w:val="1"/>
    <w:qFormat/>
    <w:rsid w:val="00D329A8"/>
  </w:style>
  <w:style w:type="character" w:customStyle="1" w:styleId="CharSubdText">
    <w:name w:val="CharSubdText"/>
    <w:basedOn w:val="OPCCharBase"/>
    <w:uiPriority w:val="1"/>
    <w:qFormat/>
    <w:rsid w:val="00D329A8"/>
  </w:style>
  <w:style w:type="paragraph" w:customStyle="1" w:styleId="CTA--">
    <w:name w:val="CTA --"/>
    <w:basedOn w:val="OPCParaBase"/>
    <w:next w:val="Normal"/>
    <w:rsid w:val="00D329A8"/>
    <w:pPr>
      <w:spacing w:before="60" w:line="240" w:lineRule="atLeast"/>
      <w:ind w:left="142" w:hanging="142"/>
    </w:pPr>
    <w:rPr>
      <w:sz w:val="20"/>
    </w:rPr>
  </w:style>
  <w:style w:type="paragraph" w:customStyle="1" w:styleId="CTA-">
    <w:name w:val="CTA -"/>
    <w:basedOn w:val="OPCParaBase"/>
    <w:rsid w:val="00D329A8"/>
    <w:pPr>
      <w:spacing w:before="60" w:line="240" w:lineRule="atLeast"/>
      <w:ind w:left="85" w:hanging="85"/>
    </w:pPr>
    <w:rPr>
      <w:sz w:val="20"/>
    </w:rPr>
  </w:style>
  <w:style w:type="paragraph" w:customStyle="1" w:styleId="CTA---">
    <w:name w:val="CTA ---"/>
    <w:basedOn w:val="OPCParaBase"/>
    <w:next w:val="Normal"/>
    <w:rsid w:val="00D329A8"/>
    <w:pPr>
      <w:spacing w:before="60" w:line="240" w:lineRule="atLeast"/>
      <w:ind w:left="198" w:hanging="198"/>
    </w:pPr>
    <w:rPr>
      <w:sz w:val="20"/>
    </w:rPr>
  </w:style>
  <w:style w:type="paragraph" w:customStyle="1" w:styleId="CTA----">
    <w:name w:val="CTA ----"/>
    <w:basedOn w:val="OPCParaBase"/>
    <w:next w:val="Normal"/>
    <w:rsid w:val="00D329A8"/>
    <w:pPr>
      <w:spacing w:before="60" w:line="240" w:lineRule="atLeast"/>
      <w:ind w:left="255" w:hanging="255"/>
    </w:pPr>
    <w:rPr>
      <w:sz w:val="20"/>
    </w:rPr>
  </w:style>
  <w:style w:type="paragraph" w:customStyle="1" w:styleId="CTA1a">
    <w:name w:val="CTA 1(a)"/>
    <w:basedOn w:val="OPCParaBase"/>
    <w:rsid w:val="00D329A8"/>
    <w:pPr>
      <w:tabs>
        <w:tab w:val="right" w:pos="414"/>
      </w:tabs>
      <w:spacing w:before="40" w:line="240" w:lineRule="atLeast"/>
      <w:ind w:left="675" w:hanging="675"/>
    </w:pPr>
    <w:rPr>
      <w:sz w:val="20"/>
    </w:rPr>
  </w:style>
  <w:style w:type="paragraph" w:customStyle="1" w:styleId="CTA1ai">
    <w:name w:val="CTA 1(a)(i)"/>
    <w:basedOn w:val="OPCParaBase"/>
    <w:rsid w:val="00D329A8"/>
    <w:pPr>
      <w:tabs>
        <w:tab w:val="right" w:pos="1004"/>
      </w:tabs>
      <w:spacing w:before="40" w:line="240" w:lineRule="atLeast"/>
      <w:ind w:left="1253" w:hanging="1253"/>
    </w:pPr>
    <w:rPr>
      <w:sz w:val="20"/>
    </w:rPr>
  </w:style>
  <w:style w:type="paragraph" w:customStyle="1" w:styleId="CTA2a">
    <w:name w:val="CTA 2(a)"/>
    <w:basedOn w:val="OPCParaBase"/>
    <w:rsid w:val="00D329A8"/>
    <w:pPr>
      <w:tabs>
        <w:tab w:val="right" w:pos="482"/>
      </w:tabs>
      <w:spacing w:before="40" w:line="240" w:lineRule="atLeast"/>
      <w:ind w:left="748" w:hanging="748"/>
    </w:pPr>
    <w:rPr>
      <w:sz w:val="20"/>
    </w:rPr>
  </w:style>
  <w:style w:type="paragraph" w:customStyle="1" w:styleId="CTA2ai">
    <w:name w:val="CTA 2(a)(i)"/>
    <w:basedOn w:val="OPCParaBase"/>
    <w:rsid w:val="00D329A8"/>
    <w:pPr>
      <w:tabs>
        <w:tab w:val="right" w:pos="1089"/>
      </w:tabs>
      <w:spacing w:before="40" w:line="240" w:lineRule="atLeast"/>
      <w:ind w:left="1327" w:hanging="1327"/>
    </w:pPr>
    <w:rPr>
      <w:sz w:val="20"/>
    </w:rPr>
  </w:style>
  <w:style w:type="paragraph" w:customStyle="1" w:styleId="CTA3a">
    <w:name w:val="CTA 3(a)"/>
    <w:basedOn w:val="OPCParaBase"/>
    <w:rsid w:val="00D329A8"/>
    <w:pPr>
      <w:tabs>
        <w:tab w:val="right" w:pos="556"/>
      </w:tabs>
      <w:spacing w:before="40" w:line="240" w:lineRule="atLeast"/>
      <w:ind w:left="805" w:hanging="805"/>
    </w:pPr>
    <w:rPr>
      <w:sz w:val="20"/>
    </w:rPr>
  </w:style>
  <w:style w:type="paragraph" w:customStyle="1" w:styleId="CTA3ai">
    <w:name w:val="CTA 3(a)(i)"/>
    <w:basedOn w:val="OPCParaBase"/>
    <w:rsid w:val="00D329A8"/>
    <w:pPr>
      <w:tabs>
        <w:tab w:val="right" w:pos="1140"/>
      </w:tabs>
      <w:spacing w:before="40" w:line="240" w:lineRule="atLeast"/>
      <w:ind w:left="1361" w:hanging="1361"/>
    </w:pPr>
    <w:rPr>
      <w:sz w:val="20"/>
    </w:rPr>
  </w:style>
  <w:style w:type="paragraph" w:customStyle="1" w:styleId="CTA4a">
    <w:name w:val="CTA 4(a)"/>
    <w:basedOn w:val="OPCParaBase"/>
    <w:rsid w:val="00D329A8"/>
    <w:pPr>
      <w:tabs>
        <w:tab w:val="right" w:pos="624"/>
      </w:tabs>
      <w:spacing w:before="40" w:line="240" w:lineRule="atLeast"/>
      <w:ind w:left="873" w:hanging="873"/>
    </w:pPr>
    <w:rPr>
      <w:sz w:val="20"/>
    </w:rPr>
  </w:style>
  <w:style w:type="paragraph" w:customStyle="1" w:styleId="CTA4ai">
    <w:name w:val="CTA 4(a)(i)"/>
    <w:basedOn w:val="OPCParaBase"/>
    <w:rsid w:val="00D329A8"/>
    <w:pPr>
      <w:tabs>
        <w:tab w:val="right" w:pos="1213"/>
      </w:tabs>
      <w:spacing w:before="40" w:line="240" w:lineRule="atLeast"/>
      <w:ind w:left="1452" w:hanging="1452"/>
    </w:pPr>
    <w:rPr>
      <w:sz w:val="20"/>
    </w:rPr>
  </w:style>
  <w:style w:type="paragraph" w:customStyle="1" w:styleId="CTACAPS">
    <w:name w:val="CTA CAPS"/>
    <w:basedOn w:val="OPCParaBase"/>
    <w:rsid w:val="00D329A8"/>
    <w:pPr>
      <w:spacing w:before="60" w:line="240" w:lineRule="atLeast"/>
    </w:pPr>
    <w:rPr>
      <w:sz w:val="20"/>
    </w:rPr>
  </w:style>
  <w:style w:type="paragraph" w:customStyle="1" w:styleId="CTAright">
    <w:name w:val="CTA right"/>
    <w:basedOn w:val="OPCParaBase"/>
    <w:rsid w:val="00D329A8"/>
    <w:pPr>
      <w:spacing w:before="60" w:line="240" w:lineRule="auto"/>
      <w:jc w:val="right"/>
    </w:pPr>
    <w:rPr>
      <w:sz w:val="20"/>
    </w:rPr>
  </w:style>
  <w:style w:type="paragraph" w:customStyle="1" w:styleId="subsection">
    <w:name w:val="subsection"/>
    <w:aliases w:val="ss"/>
    <w:basedOn w:val="OPCParaBase"/>
    <w:link w:val="subsectionChar"/>
    <w:rsid w:val="00D329A8"/>
    <w:pPr>
      <w:tabs>
        <w:tab w:val="right" w:pos="1021"/>
      </w:tabs>
      <w:spacing w:before="180" w:line="240" w:lineRule="auto"/>
      <w:ind w:left="1134" w:hanging="1134"/>
    </w:pPr>
  </w:style>
  <w:style w:type="paragraph" w:customStyle="1" w:styleId="Definition">
    <w:name w:val="Definition"/>
    <w:aliases w:val="dd"/>
    <w:basedOn w:val="OPCParaBase"/>
    <w:rsid w:val="00D329A8"/>
    <w:pPr>
      <w:spacing w:before="180" w:line="240" w:lineRule="auto"/>
      <w:ind w:left="1134"/>
    </w:pPr>
  </w:style>
  <w:style w:type="paragraph" w:customStyle="1" w:styleId="ETAsubitem">
    <w:name w:val="ETA(subitem)"/>
    <w:basedOn w:val="OPCParaBase"/>
    <w:rsid w:val="00D329A8"/>
    <w:pPr>
      <w:tabs>
        <w:tab w:val="right" w:pos="340"/>
      </w:tabs>
      <w:spacing w:before="60" w:line="240" w:lineRule="auto"/>
      <w:ind w:left="454" w:hanging="454"/>
    </w:pPr>
    <w:rPr>
      <w:sz w:val="20"/>
    </w:rPr>
  </w:style>
  <w:style w:type="paragraph" w:customStyle="1" w:styleId="ETApara">
    <w:name w:val="ETA(para)"/>
    <w:basedOn w:val="OPCParaBase"/>
    <w:rsid w:val="00D329A8"/>
    <w:pPr>
      <w:tabs>
        <w:tab w:val="right" w:pos="754"/>
      </w:tabs>
      <w:spacing w:before="60" w:line="240" w:lineRule="auto"/>
      <w:ind w:left="828" w:hanging="828"/>
    </w:pPr>
    <w:rPr>
      <w:sz w:val="20"/>
    </w:rPr>
  </w:style>
  <w:style w:type="paragraph" w:customStyle="1" w:styleId="ETAsubpara">
    <w:name w:val="ETA(subpara)"/>
    <w:basedOn w:val="OPCParaBase"/>
    <w:rsid w:val="00D329A8"/>
    <w:pPr>
      <w:tabs>
        <w:tab w:val="right" w:pos="1083"/>
      </w:tabs>
      <w:spacing w:before="60" w:line="240" w:lineRule="auto"/>
      <w:ind w:left="1191" w:hanging="1191"/>
    </w:pPr>
    <w:rPr>
      <w:sz w:val="20"/>
    </w:rPr>
  </w:style>
  <w:style w:type="paragraph" w:customStyle="1" w:styleId="ETAsub-subpara">
    <w:name w:val="ETA(sub-subpara)"/>
    <w:basedOn w:val="OPCParaBase"/>
    <w:rsid w:val="00D329A8"/>
    <w:pPr>
      <w:tabs>
        <w:tab w:val="right" w:pos="1412"/>
      </w:tabs>
      <w:spacing w:before="60" w:line="240" w:lineRule="auto"/>
      <w:ind w:left="1525" w:hanging="1525"/>
    </w:pPr>
    <w:rPr>
      <w:sz w:val="20"/>
    </w:rPr>
  </w:style>
  <w:style w:type="paragraph" w:customStyle="1" w:styleId="Formula">
    <w:name w:val="Formula"/>
    <w:basedOn w:val="OPCParaBase"/>
    <w:rsid w:val="00D329A8"/>
    <w:pPr>
      <w:spacing w:line="240" w:lineRule="auto"/>
      <w:ind w:left="1134"/>
    </w:pPr>
    <w:rPr>
      <w:sz w:val="20"/>
    </w:rPr>
  </w:style>
  <w:style w:type="paragraph" w:styleId="Header">
    <w:name w:val="header"/>
    <w:basedOn w:val="OPCParaBase"/>
    <w:link w:val="HeaderChar"/>
    <w:unhideWhenUsed/>
    <w:rsid w:val="00D329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29A8"/>
    <w:rPr>
      <w:rFonts w:eastAsia="Times New Roman" w:cs="Times New Roman"/>
      <w:sz w:val="16"/>
      <w:lang w:eastAsia="en-AU"/>
    </w:rPr>
  </w:style>
  <w:style w:type="paragraph" w:customStyle="1" w:styleId="House">
    <w:name w:val="House"/>
    <w:basedOn w:val="OPCParaBase"/>
    <w:rsid w:val="00D329A8"/>
    <w:pPr>
      <w:spacing w:line="240" w:lineRule="auto"/>
    </w:pPr>
    <w:rPr>
      <w:sz w:val="28"/>
    </w:rPr>
  </w:style>
  <w:style w:type="paragraph" w:customStyle="1" w:styleId="Item">
    <w:name w:val="Item"/>
    <w:aliases w:val="i"/>
    <w:basedOn w:val="OPCParaBase"/>
    <w:next w:val="ItemHead"/>
    <w:link w:val="ItemChar"/>
    <w:rsid w:val="00D329A8"/>
    <w:pPr>
      <w:keepLines/>
      <w:spacing w:before="80" w:line="240" w:lineRule="auto"/>
      <w:ind w:left="709"/>
    </w:pPr>
  </w:style>
  <w:style w:type="paragraph" w:customStyle="1" w:styleId="ItemHead">
    <w:name w:val="ItemHead"/>
    <w:aliases w:val="ih"/>
    <w:basedOn w:val="OPCParaBase"/>
    <w:next w:val="Item"/>
    <w:link w:val="ItemHeadChar"/>
    <w:rsid w:val="00D329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29A8"/>
    <w:pPr>
      <w:spacing w:line="240" w:lineRule="auto"/>
    </w:pPr>
    <w:rPr>
      <w:b/>
      <w:sz w:val="32"/>
    </w:rPr>
  </w:style>
  <w:style w:type="paragraph" w:customStyle="1" w:styleId="notedraft">
    <w:name w:val="note(draft)"/>
    <w:aliases w:val="nd"/>
    <w:basedOn w:val="OPCParaBase"/>
    <w:rsid w:val="00D329A8"/>
    <w:pPr>
      <w:spacing w:before="240" w:line="240" w:lineRule="auto"/>
      <w:ind w:left="284" w:hanging="284"/>
    </w:pPr>
    <w:rPr>
      <w:i/>
      <w:sz w:val="24"/>
    </w:rPr>
  </w:style>
  <w:style w:type="paragraph" w:customStyle="1" w:styleId="notemargin">
    <w:name w:val="note(margin)"/>
    <w:aliases w:val="nm"/>
    <w:basedOn w:val="OPCParaBase"/>
    <w:rsid w:val="00D329A8"/>
    <w:pPr>
      <w:tabs>
        <w:tab w:val="left" w:pos="709"/>
      </w:tabs>
      <w:spacing w:before="122" w:line="198" w:lineRule="exact"/>
      <w:ind w:left="709" w:hanging="709"/>
    </w:pPr>
    <w:rPr>
      <w:sz w:val="18"/>
    </w:rPr>
  </w:style>
  <w:style w:type="paragraph" w:customStyle="1" w:styleId="noteToPara">
    <w:name w:val="noteToPara"/>
    <w:aliases w:val="ntp"/>
    <w:basedOn w:val="OPCParaBase"/>
    <w:rsid w:val="00D329A8"/>
    <w:pPr>
      <w:spacing w:before="122" w:line="198" w:lineRule="exact"/>
      <w:ind w:left="2353" w:hanging="709"/>
    </w:pPr>
    <w:rPr>
      <w:sz w:val="18"/>
    </w:rPr>
  </w:style>
  <w:style w:type="paragraph" w:customStyle="1" w:styleId="noteParlAmend">
    <w:name w:val="note(ParlAmend)"/>
    <w:aliases w:val="npp"/>
    <w:basedOn w:val="OPCParaBase"/>
    <w:next w:val="ParlAmend"/>
    <w:rsid w:val="00D329A8"/>
    <w:pPr>
      <w:spacing w:line="240" w:lineRule="auto"/>
      <w:jc w:val="right"/>
    </w:pPr>
    <w:rPr>
      <w:rFonts w:ascii="Arial" w:hAnsi="Arial"/>
      <w:b/>
      <w:i/>
    </w:rPr>
  </w:style>
  <w:style w:type="paragraph" w:customStyle="1" w:styleId="Page1">
    <w:name w:val="Page1"/>
    <w:basedOn w:val="OPCParaBase"/>
    <w:rsid w:val="00D329A8"/>
    <w:pPr>
      <w:spacing w:before="400" w:line="240" w:lineRule="auto"/>
    </w:pPr>
    <w:rPr>
      <w:b/>
      <w:sz w:val="32"/>
    </w:rPr>
  </w:style>
  <w:style w:type="paragraph" w:customStyle="1" w:styleId="PageBreak">
    <w:name w:val="PageBreak"/>
    <w:aliases w:val="pb"/>
    <w:basedOn w:val="OPCParaBase"/>
    <w:rsid w:val="00D329A8"/>
    <w:pPr>
      <w:spacing w:line="240" w:lineRule="auto"/>
    </w:pPr>
    <w:rPr>
      <w:sz w:val="20"/>
    </w:rPr>
  </w:style>
  <w:style w:type="paragraph" w:customStyle="1" w:styleId="paragraphsub">
    <w:name w:val="paragraph(sub)"/>
    <w:aliases w:val="aa"/>
    <w:basedOn w:val="OPCParaBase"/>
    <w:rsid w:val="00D329A8"/>
    <w:pPr>
      <w:tabs>
        <w:tab w:val="right" w:pos="1985"/>
      </w:tabs>
      <w:spacing w:before="40" w:line="240" w:lineRule="auto"/>
      <w:ind w:left="2098" w:hanging="2098"/>
    </w:pPr>
  </w:style>
  <w:style w:type="paragraph" w:customStyle="1" w:styleId="paragraphsub-sub">
    <w:name w:val="paragraph(sub-sub)"/>
    <w:aliases w:val="aaa"/>
    <w:basedOn w:val="OPCParaBase"/>
    <w:rsid w:val="00D329A8"/>
    <w:pPr>
      <w:tabs>
        <w:tab w:val="right" w:pos="2722"/>
      </w:tabs>
      <w:spacing w:before="40" w:line="240" w:lineRule="auto"/>
      <w:ind w:left="2835" w:hanging="2835"/>
    </w:pPr>
  </w:style>
  <w:style w:type="paragraph" w:customStyle="1" w:styleId="paragraph">
    <w:name w:val="paragraph"/>
    <w:aliases w:val="a"/>
    <w:basedOn w:val="OPCParaBase"/>
    <w:link w:val="paragraphChar"/>
    <w:rsid w:val="00D329A8"/>
    <w:pPr>
      <w:tabs>
        <w:tab w:val="right" w:pos="1531"/>
      </w:tabs>
      <w:spacing w:before="40" w:line="240" w:lineRule="auto"/>
      <w:ind w:left="1644" w:hanging="1644"/>
    </w:pPr>
  </w:style>
  <w:style w:type="paragraph" w:customStyle="1" w:styleId="ParlAmend">
    <w:name w:val="ParlAmend"/>
    <w:aliases w:val="pp"/>
    <w:basedOn w:val="OPCParaBase"/>
    <w:rsid w:val="00D329A8"/>
    <w:pPr>
      <w:spacing w:before="240" w:line="240" w:lineRule="atLeast"/>
      <w:ind w:hanging="567"/>
    </w:pPr>
    <w:rPr>
      <w:sz w:val="24"/>
    </w:rPr>
  </w:style>
  <w:style w:type="paragraph" w:customStyle="1" w:styleId="Penalty">
    <w:name w:val="Penalty"/>
    <w:basedOn w:val="OPCParaBase"/>
    <w:rsid w:val="00D329A8"/>
    <w:pPr>
      <w:tabs>
        <w:tab w:val="left" w:pos="2977"/>
      </w:tabs>
      <w:spacing w:before="180" w:line="240" w:lineRule="auto"/>
      <w:ind w:left="1985" w:hanging="851"/>
    </w:pPr>
  </w:style>
  <w:style w:type="paragraph" w:customStyle="1" w:styleId="Portfolio">
    <w:name w:val="Portfolio"/>
    <w:basedOn w:val="OPCParaBase"/>
    <w:rsid w:val="00D329A8"/>
    <w:pPr>
      <w:spacing w:line="240" w:lineRule="auto"/>
    </w:pPr>
    <w:rPr>
      <w:i/>
      <w:sz w:val="20"/>
    </w:rPr>
  </w:style>
  <w:style w:type="paragraph" w:customStyle="1" w:styleId="Preamble">
    <w:name w:val="Preamble"/>
    <w:basedOn w:val="OPCParaBase"/>
    <w:next w:val="Normal"/>
    <w:rsid w:val="00D329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29A8"/>
    <w:pPr>
      <w:spacing w:line="240" w:lineRule="auto"/>
    </w:pPr>
    <w:rPr>
      <w:i/>
      <w:sz w:val="20"/>
    </w:rPr>
  </w:style>
  <w:style w:type="paragraph" w:customStyle="1" w:styleId="Session">
    <w:name w:val="Session"/>
    <w:basedOn w:val="OPCParaBase"/>
    <w:rsid w:val="00D329A8"/>
    <w:pPr>
      <w:spacing w:line="240" w:lineRule="auto"/>
    </w:pPr>
    <w:rPr>
      <w:sz w:val="28"/>
    </w:rPr>
  </w:style>
  <w:style w:type="paragraph" w:customStyle="1" w:styleId="Sponsor">
    <w:name w:val="Sponsor"/>
    <w:basedOn w:val="OPCParaBase"/>
    <w:rsid w:val="00D329A8"/>
    <w:pPr>
      <w:spacing w:line="240" w:lineRule="auto"/>
    </w:pPr>
    <w:rPr>
      <w:i/>
    </w:rPr>
  </w:style>
  <w:style w:type="paragraph" w:customStyle="1" w:styleId="Subitem">
    <w:name w:val="Subitem"/>
    <w:aliases w:val="iss"/>
    <w:basedOn w:val="OPCParaBase"/>
    <w:rsid w:val="00D329A8"/>
    <w:pPr>
      <w:spacing w:before="180" w:line="240" w:lineRule="auto"/>
      <w:ind w:left="709" w:hanging="709"/>
    </w:pPr>
  </w:style>
  <w:style w:type="paragraph" w:customStyle="1" w:styleId="SubitemHead">
    <w:name w:val="SubitemHead"/>
    <w:aliases w:val="issh"/>
    <w:basedOn w:val="OPCParaBase"/>
    <w:rsid w:val="00D329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329A8"/>
    <w:pPr>
      <w:spacing w:before="40" w:line="240" w:lineRule="auto"/>
      <w:ind w:left="1134"/>
    </w:pPr>
  </w:style>
  <w:style w:type="paragraph" w:customStyle="1" w:styleId="SubsectionHead">
    <w:name w:val="SubsectionHead"/>
    <w:aliases w:val="ssh"/>
    <w:basedOn w:val="OPCParaBase"/>
    <w:next w:val="subsection"/>
    <w:rsid w:val="00D329A8"/>
    <w:pPr>
      <w:keepNext/>
      <w:keepLines/>
      <w:spacing w:before="240" w:line="240" w:lineRule="auto"/>
      <w:ind w:left="1134"/>
    </w:pPr>
    <w:rPr>
      <w:i/>
    </w:rPr>
  </w:style>
  <w:style w:type="paragraph" w:customStyle="1" w:styleId="Tablea">
    <w:name w:val="Table(a)"/>
    <w:aliases w:val="ta"/>
    <w:basedOn w:val="OPCParaBase"/>
    <w:rsid w:val="00D329A8"/>
    <w:pPr>
      <w:spacing w:before="60" w:line="240" w:lineRule="auto"/>
      <w:ind w:left="284" w:hanging="284"/>
    </w:pPr>
    <w:rPr>
      <w:sz w:val="20"/>
    </w:rPr>
  </w:style>
  <w:style w:type="paragraph" w:customStyle="1" w:styleId="TableAA">
    <w:name w:val="Table(AA)"/>
    <w:aliases w:val="taaa"/>
    <w:basedOn w:val="OPCParaBase"/>
    <w:rsid w:val="00D329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29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29A8"/>
    <w:pPr>
      <w:spacing w:before="60" w:line="240" w:lineRule="atLeast"/>
    </w:pPr>
    <w:rPr>
      <w:sz w:val="20"/>
    </w:rPr>
  </w:style>
  <w:style w:type="paragraph" w:customStyle="1" w:styleId="TLPBoxTextnote">
    <w:name w:val="TLPBoxText(note"/>
    <w:aliases w:val="right)"/>
    <w:basedOn w:val="OPCParaBase"/>
    <w:rsid w:val="00D329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29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29A8"/>
    <w:pPr>
      <w:spacing w:before="122" w:line="198" w:lineRule="exact"/>
      <w:ind w:left="1985" w:hanging="851"/>
      <w:jc w:val="right"/>
    </w:pPr>
    <w:rPr>
      <w:sz w:val="18"/>
    </w:rPr>
  </w:style>
  <w:style w:type="paragraph" w:customStyle="1" w:styleId="TLPTableBullet">
    <w:name w:val="TLPTableBullet"/>
    <w:aliases w:val="ttb"/>
    <w:basedOn w:val="OPCParaBase"/>
    <w:rsid w:val="00D329A8"/>
    <w:pPr>
      <w:spacing w:line="240" w:lineRule="exact"/>
      <w:ind w:left="284" w:hanging="284"/>
    </w:pPr>
    <w:rPr>
      <w:sz w:val="20"/>
    </w:rPr>
  </w:style>
  <w:style w:type="paragraph" w:styleId="TOC1">
    <w:name w:val="toc 1"/>
    <w:basedOn w:val="OPCParaBase"/>
    <w:next w:val="Normal"/>
    <w:uiPriority w:val="39"/>
    <w:semiHidden/>
    <w:unhideWhenUsed/>
    <w:rsid w:val="00D329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329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329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29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329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29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29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29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29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29A8"/>
    <w:pPr>
      <w:keepLines/>
      <w:spacing w:before="240" w:after="120" w:line="240" w:lineRule="auto"/>
      <w:ind w:left="794"/>
    </w:pPr>
    <w:rPr>
      <w:b/>
      <w:kern w:val="28"/>
      <w:sz w:val="20"/>
    </w:rPr>
  </w:style>
  <w:style w:type="paragraph" w:customStyle="1" w:styleId="TofSectsHeading">
    <w:name w:val="TofSects(Heading)"/>
    <w:basedOn w:val="OPCParaBase"/>
    <w:rsid w:val="00D329A8"/>
    <w:pPr>
      <w:spacing w:before="240" w:after="120" w:line="240" w:lineRule="auto"/>
    </w:pPr>
    <w:rPr>
      <w:b/>
      <w:sz w:val="24"/>
    </w:rPr>
  </w:style>
  <w:style w:type="paragraph" w:customStyle="1" w:styleId="TofSectsSection">
    <w:name w:val="TofSects(Section)"/>
    <w:basedOn w:val="OPCParaBase"/>
    <w:rsid w:val="00D329A8"/>
    <w:pPr>
      <w:keepLines/>
      <w:spacing w:before="40" w:line="240" w:lineRule="auto"/>
      <w:ind w:left="1588" w:hanging="794"/>
    </w:pPr>
    <w:rPr>
      <w:kern w:val="28"/>
      <w:sz w:val="18"/>
    </w:rPr>
  </w:style>
  <w:style w:type="paragraph" w:customStyle="1" w:styleId="TofSectsSubdiv">
    <w:name w:val="TofSects(Subdiv)"/>
    <w:basedOn w:val="OPCParaBase"/>
    <w:rsid w:val="00D329A8"/>
    <w:pPr>
      <w:keepLines/>
      <w:spacing w:before="80" w:line="240" w:lineRule="auto"/>
      <w:ind w:left="1588" w:hanging="794"/>
    </w:pPr>
    <w:rPr>
      <w:kern w:val="28"/>
    </w:rPr>
  </w:style>
  <w:style w:type="paragraph" w:customStyle="1" w:styleId="WRStyle">
    <w:name w:val="WR Style"/>
    <w:aliases w:val="WR"/>
    <w:basedOn w:val="OPCParaBase"/>
    <w:rsid w:val="00D329A8"/>
    <w:pPr>
      <w:spacing w:before="240" w:line="240" w:lineRule="auto"/>
      <w:ind w:left="284" w:hanging="284"/>
    </w:pPr>
    <w:rPr>
      <w:b/>
      <w:i/>
      <w:kern w:val="28"/>
      <w:sz w:val="24"/>
    </w:rPr>
  </w:style>
  <w:style w:type="paragraph" w:customStyle="1" w:styleId="notepara">
    <w:name w:val="note(para)"/>
    <w:aliases w:val="na"/>
    <w:basedOn w:val="OPCParaBase"/>
    <w:rsid w:val="00D329A8"/>
    <w:pPr>
      <w:spacing w:before="40" w:line="198" w:lineRule="exact"/>
      <w:ind w:left="2354" w:hanging="369"/>
    </w:pPr>
    <w:rPr>
      <w:sz w:val="18"/>
    </w:rPr>
  </w:style>
  <w:style w:type="paragraph" w:styleId="Footer">
    <w:name w:val="footer"/>
    <w:link w:val="FooterChar"/>
    <w:rsid w:val="00D329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29A8"/>
    <w:rPr>
      <w:rFonts w:eastAsia="Times New Roman" w:cs="Times New Roman"/>
      <w:sz w:val="22"/>
      <w:szCs w:val="24"/>
      <w:lang w:eastAsia="en-AU"/>
    </w:rPr>
  </w:style>
  <w:style w:type="character" w:styleId="LineNumber">
    <w:name w:val="line number"/>
    <w:basedOn w:val="OPCCharBase"/>
    <w:uiPriority w:val="99"/>
    <w:semiHidden/>
    <w:unhideWhenUsed/>
    <w:rsid w:val="00D329A8"/>
    <w:rPr>
      <w:sz w:val="16"/>
    </w:rPr>
  </w:style>
  <w:style w:type="table" w:customStyle="1" w:styleId="CFlag">
    <w:name w:val="CFlag"/>
    <w:basedOn w:val="TableNormal"/>
    <w:uiPriority w:val="99"/>
    <w:rsid w:val="00D329A8"/>
    <w:rPr>
      <w:rFonts w:eastAsia="Times New Roman" w:cs="Times New Roman"/>
      <w:lang w:eastAsia="en-AU"/>
    </w:rPr>
    <w:tblPr/>
  </w:style>
  <w:style w:type="paragraph" w:customStyle="1" w:styleId="NotesHeading1">
    <w:name w:val="NotesHeading 1"/>
    <w:basedOn w:val="OPCParaBase"/>
    <w:next w:val="Normal"/>
    <w:rsid w:val="00D329A8"/>
    <w:rPr>
      <w:b/>
      <w:sz w:val="28"/>
      <w:szCs w:val="28"/>
    </w:rPr>
  </w:style>
  <w:style w:type="paragraph" w:customStyle="1" w:styleId="NotesHeading2">
    <w:name w:val="NotesHeading 2"/>
    <w:basedOn w:val="OPCParaBase"/>
    <w:next w:val="Normal"/>
    <w:rsid w:val="00D329A8"/>
    <w:rPr>
      <w:b/>
      <w:sz w:val="28"/>
      <w:szCs w:val="28"/>
    </w:rPr>
  </w:style>
  <w:style w:type="paragraph" w:customStyle="1" w:styleId="SignCoverPageEnd">
    <w:name w:val="SignCoverPageEnd"/>
    <w:basedOn w:val="OPCParaBase"/>
    <w:next w:val="Normal"/>
    <w:rsid w:val="00D329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29A8"/>
    <w:pPr>
      <w:pBdr>
        <w:top w:val="single" w:sz="4" w:space="1" w:color="auto"/>
      </w:pBdr>
      <w:spacing w:before="360"/>
      <w:ind w:right="397"/>
      <w:jc w:val="both"/>
    </w:pPr>
  </w:style>
  <w:style w:type="paragraph" w:customStyle="1" w:styleId="Paragraphsub-sub-sub">
    <w:name w:val="Paragraph(sub-sub-sub)"/>
    <w:aliases w:val="aaaa"/>
    <w:basedOn w:val="OPCParaBase"/>
    <w:rsid w:val="00D329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29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29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29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29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329A8"/>
    <w:pPr>
      <w:spacing w:before="120"/>
    </w:pPr>
  </w:style>
  <w:style w:type="paragraph" w:customStyle="1" w:styleId="TableTextEndNotes">
    <w:name w:val="TableTextEndNotes"/>
    <w:aliases w:val="Tten"/>
    <w:basedOn w:val="Normal"/>
    <w:rsid w:val="00D329A8"/>
    <w:pPr>
      <w:spacing w:before="60" w:line="240" w:lineRule="auto"/>
    </w:pPr>
    <w:rPr>
      <w:rFonts w:cs="Arial"/>
      <w:sz w:val="20"/>
      <w:szCs w:val="22"/>
    </w:rPr>
  </w:style>
  <w:style w:type="paragraph" w:customStyle="1" w:styleId="TableHeading">
    <w:name w:val="TableHeading"/>
    <w:aliases w:val="th"/>
    <w:basedOn w:val="OPCParaBase"/>
    <w:next w:val="Tabletext"/>
    <w:rsid w:val="00D329A8"/>
    <w:pPr>
      <w:keepNext/>
      <w:spacing w:before="60" w:line="240" w:lineRule="atLeast"/>
    </w:pPr>
    <w:rPr>
      <w:b/>
      <w:sz w:val="20"/>
    </w:rPr>
  </w:style>
  <w:style w:type="paragraph" w:customStyle="1" w:styleId="NoteToSubpara">
    <w:name w:val="NoteToSubpara"/>
    <w:aliases w:val="nts"/>
    <w:basedOn w:val="OPCParaBase"/>
    <w:rsid w:val="00D329A8"/>
    <w:pPr>
      <w:spacing w:before="40" w:line="198" w:lineRule="exact"/>
      <w:ind w:left="2835" w:hanging="709"/>
    </w:pPr>
    <w:rPr>
      <w:sz w:val="18"/>
    </w:rPr>
  </w:style>
  <w:style w:type="paragraph" w:customStyle="1" w:styleId="ENoteTableHeading">
    <w:name w:val="ENoteTableHeading"/>
    <w:aliases w:val="enth"/>
    <w:basedOn w:val="OPCParaBase"/>
    <w:rsid w:val="00D329A8"/>
    <w:pPr>
      <w:keepNext/>
      <w:spacing w:before="60" w:line="240" w:lineRule="atLeast"/>
    </w:pPr>
    <w:rPr>
      <w:rFonts w:ascii="Arial" w:hAnsi="Arial"/>
      <w:b/>
      <w:sz w:val="16"/>
    </w:rPr>
  </w:style>
  <w:style w:type="paragraph" w:customStyle="1" w:styleId="ENoteTTi">
    <w:name w:val="ENoteTTi"/>
    <w:aliases w:val="entti"/>
    <w:basedOn w:val="OPCParaBase"/>
    <w:rsid w:val="00D329A8"/>
    <w:pPr>
      <w:keepNext/>
      <w:spacing w:before="60" w:line="240" w:lineRule="atLeast"/>
      <w:ind w:left="170"/>
    </w:pPr>
    <w:rPr>
      <w:sz w:val="16"/>
    </w:rPr>
  </w:style>
  <w:style w:type="paragraph" w:customStyle="1" w:styleId="ENotesHeading1">
    <w:name w:val="ENotesHeading 1"/>
    <w:aliases w:val="Enh1"/>
    <w:basedOn w:val="OPCParaBase"/>
    <w:next w:val="Normal"/>
    <w:rsid w:val="00D329A8"/>
    <w:pPr>
      <w:spacing w:before="120"/>
      <w:outlineLvl w:val="1"/>
    </w:pPr>
    <w:rPr>
      <w:b/>
      <w:sz w:val="28"/>
      <w:szCs w:val="28"/>
    </w:rPr>
  </w:style>
  <w:style w:type="paragraph" w:customStyle="1" w:styleId="ENotesHeading2">
    <w:name w:val="ENotesHeading 2"/>
    <w:aliases w:val="Enh2"/>
    <w:basedOn w:val="OPCParaBase"/>
    <w:next w:val="Normal"/>
    <w:rsid w:val="00D329A8"/>
    <w:pPr>
      <w:spacing w:before="120" w:after="120"/>
      <w:outlineLvl w:val="2"/>
    </w:pPr>
    <w:rPr>
      <w:b/>
      <w:sz w:val="24"/>
      <w:szCs w:val="28"/>
    </w:rPr>
  </w:style>
  <w:style w:type="paragraph" w:customStyle="1" w:styleId="ENoteTTIndentHeading">
    <w:name w:val="ENoteTTIndentHeading"/>
    <w:aliases w:val="enTTHi"/>
    <w:basedOn w:val="OPCParaBase"/>
    <w:rsid w:val="00D329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29A8"/>
    <w:pPr>
      <w:spacing w:before="60" w:line="240" w:lineRule="atLeast"/>
    </w:pPr>
    <w:rPr>
      <w:sz w:val="16"/>
    </w:rPr>
  </w:style>
  <w:style w:type="paragraph" w:customStyle="1" w:styleId="MadeunderText">
    <w:name w:val="MadeunderText"/>
    <w:basedOn w:val="OPCParaBase"/>
    <w:next w:val="Normal"/>
    <w:rsid w:val="00D329A8"/>
    <w:pPr>
      <w:spacing w:before="240"/>
    </w:pPr>
    <w:rPr>
      <w:sz w:val="24"/>
      <w:szCs w:val="24"/>
    </w:rPr>
  </w:style>
  <w:style w:type="paragraph" w:customStyle="1" w:styleId="ENotesHeading3">
    <w:name w:val="ENotesHeading 3"/>
    <w:aliases w:val="Enh3"/>
    <w:basedOn w:val="OPCParaBase"/>
    <w:next w:val="Normal"/>
    <w:rsid w:val="00D329A8"/>
    <w:pPr>
      <w:keepNext/>
      <w:spacing w:before="120" w:line="240" w:lineRule="auto"/>
      <w:outlineLvl w:val="4"/>
    </w:pPr>
    <w:rPr>
      <w:b/>
      <w:szCs w:val="24"/>
    </w:rPr>
  </w:style>
  <w:style w:type="paragraph" w:customStyle="1" w:styleId="SubPartCASA">
    <w:name w:val="SubPart(CASA)"/>
    <w:aliases w:val="csp"/>
    <w:basedOn w:val="OPCParaBase"/>
    <w:next w:val="ActHead3"/>
    <w:rsid w:val="00D329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329A8"/>
  </w:style>
  <w:style w:type="character" w:customStyle="1" w:styleId="CharSubPartNoCASA">
    <w:name w:val="CharSubPartNo(CASA)"/>
    <w:basedOn w:val="OPCCharBase"/>
    <w:uiPriority w:val="1"/>
    <w:rsid w:val="00D329A8"/>
  </w:style>
  <w:style w:type="paragraph" w:customStyle="1" w:styleId="ENoteTTIndentHeadingSub">
    <w:name w:val="ENoteTTIndentHeadingSub"/>
    <w:aliases w:val="enTTHis"/>
    <w:basedOn w:val="OPCParaBase"/>
    <w:rsid w:val="00D329A8"/>
    <w:pPr>
      <w:keepNext/>
      <w:spacing w:before="60" w:line="240" w:lineRule="atLeast"/>
      <w:ind w:left="340"/>
    </w:pPr>
    <w:rPr>
      <w:b/>
      <w:sz w:val="16"/>
    </w:rPr>
  </w:style>
  <w:style w:type="paragraph" w:customStyle="1" w:styleId="ENoteTTiSub">
    <w:name w:val="ENoteTTiSub"/>
    <w:aliases w:val="enttis"/>
    <w:basedOn w:val="OPCParaBase"/>
    <w:rsid w:val="00D329A8"/>
    <w:pPr>
      <w:keepNext/>
      <w:spacing w:before="60" w:line="240" w:lineRule="atLeast"/>
      <w:ind w:left="340"/>
    </w:pPr>
    <w:rPr>
      <w:sz w:val="16"/>
    </w:rPr>
  </w:style>
  <w:style w:type="paragraph" w:customStyle="1" w:styleId="SubDivisionMigration">
    <w:name w:val="SubDivisionMigration"/>
    <w:aliases w:val="sdm"/>
    <w:basedOn w:val="OPCParaBase"/>
    <w:rsid w:val="00D329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29A8"/>
    <w:pPr>
      <w:keepNext/>
      <w:keepLines/>
      <w:spacing w:before="240" w:line="240" w:lineRule="auto"/>
      <w:ind w:left="1134" w:hanging="1134"/>
    </w:pPr>
    <w:rPr>
      <w:b/>
      <w:sz w:val="28"/>
    </w:rPr>
  </w:style>
  <w:style w:type="table" w:styleId="TableGrid">
    <w:name w:val="Table Grid"/>
    <w:basedOn w:val="TableNormal"/>
    <w:uiPriority w:val="59"/>
    <w:rsid w:val="00D3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29A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329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29A8"/>
    <w:rPr>
      <w:sz w:val="22"/>
    </w:rPr>
  </w:style>
  <w:style w:type="paragraph" w:customStyle="1" w:styleId="SOTextNote">
    <w:name w:val="SO TextNote"/>
    <w:aliases w:val="sont"/>
    <w:basedOn w:val="SOText"/>
    <w:qFormat/>
    <w:rsid w:val="00D329A8"/>
    <w:pPr>
      <w:spacing w:before="122" w:line="198" w:lineRule="exact"/>
      <w:ind w:left="1843" w:hanging="709"/>
    </w:pPr>
    <w:rPr>
      <w:sz w:val="18"/>
    </w:rPr>
  </w:style>
  <w:style w:type="paragraph" w:customStyle="1" w:styleId="SOPara">
    <w:name w:val="SO Para"/>
    <w:aliases w:val="soa"/>
    <w:basedOn w:val="SOText"/>
    <w:link w:val="SOParaChar"/>
    <w:qFormat/>
    <w:rsid w:val="00D329A8"/>
    <w:pPr>
      <w:tabs>
        <w:tab w:val="right" w:pos="1786"/>
      </w:tabs>
      <w:spacing w:before="40"/>
      <w:ind w:left="2070" w:hanging="936"/>
    </w:pPr>
  </w:style>
  <w:style w:type="character" w:customStyle="1" w:styleId="SOParaChar">
    <w:name w:val="SO Para Char"/>
    <w:aliases w:val="soa Char"/>
    <w:basedOn w:val="DefaultParagraphFont"/>
    <w:link w:val="SOPara"/>
    <w:rsid w:val="00D329A8"/>
    <w:rPr>
      <w:sz w:val="22"/>
    </w:rPr>
  </w:style>
  <w:style w:type="paragraph" w:customStyle="1" w:styleId="FileName">
    <w:name w:val="FileName"/>
    <w:basedOn w:val="Normal"/>
    <w:rsid w:val="00D329A8"/>
  </w:style>
  <w:style w:type="paragraph" w:customStyle="1" w:styleId="SOHeadBold">
    <w:name w:val="SO HeadBold"/>
    <w:aliases w:val="sohb"/>
    <w:basedOn w:val="SOText"/>
    <w:next w:val="SOText"/>
    <w:link w:val="SOHeadBoldChar"/>
    <w:qFormat/>
    <w:rsid w:val="00D329A8"/>
    <w:rPr>
      <w:b/>
    </w:rPr>
  </w:style>
  <w:style w:type="character" w:customStyle="1" w:styleId="SOHeadBoldChar">
    <w:name w:val="SO HeadBold Char"/>
    <w:aliases w:val="sohb Char"/>
    <w:basedOn w:val="DefaultParagraphFont"/>
    <w:link w:val="SOHeadBold"/>
    <w:rsid w:val="00D329A8"/>
    <w:rPr>
      <w:b/>
      <w:sz w:val="22"/>
    </w:rPr>
  </w:style>
  <w:style w:type="paragraph" w:customStyle="1" w:styleId="SOHeadItalic">
    <w:name w:val="SO HeadItalic"/>
    <w:aliases w:val="sohi"/>
    <w:basedOn w:val="SOText"/>
    <w:next w:val="SOText"/>
    <w:link w:val="SOHeadItalicChar"/>
    <w:qFormat/>
    <w:rsid w:val="00D329A8"/>
    <w:rPr>
      <w:i/>
    </w:rPr>
  </w:style>
  <w:style w:type="character" w:customStyle="1" w:styleId="SOHeadItalicChar">
    <w:name w:val="SO HeadItalic Char"/>
    <w:aliases w:val="sohi Char"/>
    <w:basedOn w:val="DefaultParagraphFont"/>
    <w:link w:val="SOHeadItalic"/>
    <w:rsid w:val="00D329A8"/>
    <w:rPr>
      <w:i/>
      <w:sz w:val="22"/>
    </w:rPr>
  </w:style>
  <w:style w:type="paragraph" w:customStyle="1" w:styleId="SOBullet">
    <w:name w:val="SO Bullet"/>
    <w:aliases w:val="sotb"/>
    <w:basedOn w:val="SOText"/>
    <w:link w:val="SOBulletChar"/>
    <w:qFormat/>
    <w:rsid w:val="00D329A8"/>
    <w:pPr>
      <w:ind w:left="1559" w:hanging="425"/>
    </w:pPr>
  </w:style>
  <w:style w:type="character" w:customStyle="1" w:styleId="SOBulletChar">
    <w:name w:val="SO Bullet Char"/>
    <w:aliases w:val="sotb Char"/>
    <w:basedOn w:val="DefaultParagraphFont"/>
    <w:link w:val="SOBullet"/>
    <w:rsid w:val="00D329A8"/>
    <w:rPr>
      <w:sz w:val="22"/>
    </w:rPr>
  </w:style>
  <w:style w:type="paragraph" w:customStyle="1" w:styleId="SOBulletNote">
    <w:name w:val="SO BulletNote"/>
    <w:aliases w:val="sonb"/>
    <w:basedOn w:val="SOTextNote"/>
    <w:link w:val="SOBulletNoteChar"/>
    <w:qFormat/>
    <w:rsid w:val="00D329A8"/>
    <w:pPr>
      <w:tabs>
        <w:tab w:val="left" w:pos="1560"/>
      </w:tabs>
      <w:ind w:left="2268" w:hanging="1134"/>
    </w:pPr>
  </w:style>
  <w:style w:type="character" w:customStyle="1" w:styleId="SOBulletNoteChar">
    <w:name w:val="SO BulletNote Char"/>
    <w:aliases w:val="sonb Char"/>
    <w:basedOn w:val="DefaultParagraphFont"/>
    <w:link w:val="SOBulletNote"/>
    <w:rsid w:val="00D329A8"/>
    <w:rPr>
      <w:sz w:val="18"/>
    </w:rPr>
  </w:style>
  <w:style w:type="paragraph" w:customStyle="1" w:styleId="SOText2">
    <w:name w:val="SO Text2"/>
    <w:aliases w:val="sot2"/>
    <w:basedOn w:val="Normal"/>
    <w:next w:val="SOText"/>
    <w:link w:val="SOText2Char"/>
    <w:rsid w:val="00D329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29A8"/>
    <w:rPr>
      <w:sz w:val="22"/>
    </w:rPr>
  </w:style>
  <w:style w:type="paragraph" w:customStyle="1" w:styleId="Transitional">
    <w:name w:val="Transitional"/>
    <w:aliases w:val="tr"/>
    <w:basedOn w:val="ItemHead"/>
    <w:next w:val="Item"/>
    <w:rsid w:val="00D329A8"/>
  </w:style>
  <w:style w:type="character" w:customStyle="1" w:styleId="subsectionChar">
    <w:name w:val="subsection Char"/>
    <w:aliases w:val="ss Char"/>
    <w:basedOn w:val="DefaultParagraphFont"/>
    <w:link w:val="subsection"/>
    <w:locked/>
    <w:rsid w:val="006E03F7"/>
    <w:rPr>
      <w:rFonts w:eastAsia="Times New Roman" w:cs="Times New Roman"/>
      <w:sz w:val="22"/>
      <w:lang w:eastAsia="en-AU"/>
    </w:rPr>
  </w:style>
  <w:style w:type="character" w:customStyle="1" w:styleId="notetextChar">
    <w:name w:val="note(text) Char"/>
    <w:aliases w:val="n Char"/>
    <w:basedOn w:val="DefaultParagraphFont"/>
    <w:link w:val="notetext"/>
    <w:rsid w:val="006E03F7"/>
    <w:rPr>
      <w:rFonts w:eastAsia="Times New Roman" w:cs="Times New Roman"/>
      <w:sz w:val="18"/>
      <w:lang w:eastAsia="en-AU"/>
    </w:rPr>
  </w:style>
  <w:style w:type="character" w:customStyle="1" w:styleId="paragraphChar">
    <w:name w:val="paragraph Char"/>
    <w:aliases w:val="a Char"/>
    <w:link w:val="paragraph"/>
    <w:rsid w:val="006E03F7"/>
    <w:rPr>
      <w:rFonts w:eastAsia="Times New Roman" w:cs="Times New Roman"/>
      <w:sz w:val="22"/>
      <w:lang w:eastAsia="en-AU"/>
    </w:rPr>
  </w:style>
  <w:style w:type="character" w:customStyle="1" w:styleId="subsection2Char">
    <w:name w:val="subsection2 Char"/>
    <w:aliases w:val="ss2 Char"/>
    <w:link w:val="subsection2"/>
    <w:rsid w:val="006E03F7"/>
    <w:rPr>
      <w:rFonts w:eastAsia="Times New Roman" w:cs="Times New Roman"/>
      <w:sz w:val="22"/>
      <w:lang w:eastAsia="en-AU"/>
    </w:rPr>
  </w:style>
  <w:style w:type="character" w:customStyle="1" w:styleId="ItemHeadChar">
    <w:name w:val="ItemHead Char"/>
    <w:aliases w:val="ih Char"/>
    <w:link w:val="ItemHead"/>
    <w:rsid w:val="006E03F7"/>
    <w:rPr>
      <w:rFonts w:ascii="Arial" w:eastAsia="Times New Roman" w:hAnsi="Arial" w:cs="Times New Roman"/>
      <w:b/>
      <w:kern w:val="28"/>
      <w:sz w:val="24"/>
      <w:lang w:eastAsia="en-AU"/>
    </w:rPr>
  </w:style>
  <w:style w:type="character" w:customStyle="1" w:styleId="ItemChar">
    <w:name w:val="Item Char"/>
    <w:aliases w:val="i Char"/>
    <w:link w:val="Item"/>
    <w:rsid w:val="006E03F7"/>
    <w:rPr>
      <w:rFonts w:eastAsia="Times New Roman" w:cs="Times New Roman"/>
      <w:sz w:val="22"/>
      <w:lang w:eastAsia="en-AU"/>
    </w:rPr>
  </w:style>
  <w:style w:type="character" w:customStyle="1" w:styleId="ActHead5Char">
    <w:name w:val="ActHead 5 Char"/>
    <w:aliases w:val="s Char"/>
    <w:link w:val="ActHead5"/>
    <w:rsid w:val="006E03F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00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0D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0D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00D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00D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00D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00D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00D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00D3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00D38"/>
    <w:pPr>
      <w:spacing w:before="800"/>
    </w:pPr>
  </w:style>
  <w:style w:type="character" w:customStyle="1" w:styleId="OPCParaBaseChar">
    <w:name w:val="OPCParaBase Char"/>
    <w:basedOn w:val="DefaultParagraphFont"/>
    <w:link w:val="OPCParaBase"/>
    <w:rsid w:val="00400D38"/>
    <w:rPr>
      <w:rFonts w:eastAsia="Times New Roman" w:cs="Times New Roman"/>
      <w:sz w:val="22"/>
      <w:lang w:eastAsia="en-AU"/>
    </w:rPr>
  </w:style>
  <w:style w:type="character" w:customStyle="1" w:styleId="ShortTChar">
    <w:name w:val="ShortT Char"/>
    <w:basedOn w:val="OPCParaBaseChar"/>
    <w:link w:val="ShortT"/>
    <w:rsid w:val="00400D38"/>
    <w:rPr>
      <w:rFonts w:eastAsia="Times New Roman" w:cs="Times New Roman"/>
      <w:b/>
      <w:sz w:val="40"/>
      <w:lang w:eastAsia="en-AU"/>
    </w:rPr>
  </w:style>
  <w:style w:type="character" w:customStyle="1" w:styleId="ShortTP1Char">
    <w:name w:val="ShortTP1 Char"/>
    <w:basedOn w:val="ShortTChar"/>
    <w:link w:val="ShortTP1"/>
    <w:rsid w:val="00400D38"/>
    <w:rPr>
      <w:rFonts w:eastAsia="Times New Roman" w:cs="Times New Roman"/>
      <w:b/>
      <w:sz w:val="40"/>
      <w:lang w:eastAsia="en-AU"/>
    </w:rPr>
  </w:style>
  <w:style w:type="paragraph" w:customStyle="1" w:styleId="ActNoP1">
    <w:name w:val="ActNoP1"/>
    <w:basedOn w:val="Actno"/>
    <w:link w:val="ActNoP1Char"/>
    <w:rsid w:val="00400D38"/>
    <w:pPr>
      <w:spacing w:before="800"/>
    </w:pPr>
    <w:rPr>
      <w:sz w:val="28"/>
    </w:rPr>
  </w:style>
  <w:style w:type="character" w:customStyle="1" w:styleId="ActnoChar">
    <w:name w:val="Actno Char"/>
    <w:basedOn w:val="ShortTChar"/>
    <w:link w:val="Actno"/>
    <w:rsid w:val="00400D38"/>
    <w:rPr>
      <w:rFonts w:eastAsia="Times New Roman" w:cs="Times New Roman"/>
      <w:b/>
      <w:sz w:val="40"/>
      <w:lang w:eastAsia="en-AU"/>
    </w:rPr>
  </w:style>
  <w:style w:type="character" w:customStyle="1" w:styleId="ActNoP1Char">
    <w:name w:val="ActNoP1 Char"/>
    <w:basedOn w:val="ActnoChar"/>
    <w:link w:val="ActNoP1"/>
    <w:rsid w:val="00400D38"/>
    <w:rPr>
      <w:rFonts w:eastAsia="Times New Roman" w:cs="Times New Roman"/>
      <w:b/>
      <w:sz w:val="28"/>
      <w:lang w:eastAsia="en-AU"/>
    </w:rPr>
  </w:style>
  <w:style w:type="paragraph" w:customStyle="1" w:styleId="ShortTCP">
    <w:name w:val="ShortTCP"/>
    <w:basedOn w:val="ShortT"/>
    <w:link w:val="ShortTCPChar"/>
    <w:rsid w:val="00400D38"/>
  </w:style>
  <w:style w:type="character" w:customStyle="1" w:styleId="ShortTCPChar">
    <w:name w:val="ShortTCP Char"/>
    <w:basedOn w:val="ShortTChar"/>
    <w:link w:val="ShortTCP"/>
    <w:rsid w:val="00400D38"/>
    <w:rPr>
      <w:rFonts w:eastAsia="Times New Roman" w:cs="Times New Roman"/>
      <w:b/>
      <w:sz w:val="40"/>
      <w:lang w:eastAsia="en-AU"/>
    </w:rPr>
  </w:style>
  <w:style w:type="paragraph" w:customStyle="1" w:styleId="ActNoCP">
    <w:name w:val="ActNoCP"/>
    <w:basedOn w:val="Actno"/>
    <w:link w:val="ActNoCPChar"/>
    <w:rsid w:val="00400D38"/>
    <w:pPr>
      <w:spacing w:before="400"/>
    </w:pPr>
  </w:style>
  <w:style w:type="character" w:customStyle="1" w:styleId="ActNoCPChar">
    <w:name w:val="ActNoCP Char"/>
    <w:basedOn w:val="ActnoChar"/>
    <w:link w:val="ActNoCP"/>
    <w:rsid w:val="00400D38"/>
    <w:rPr>
      <w:rFonts w:eastAsia="Times New Roman" w:cs="Times New Roman"/>
      <w:b/>
      <w:sz w:val="40"/>
      <w:lang w:eastAsia="en-AU"/>
    </w:rPr>
  </w:style>
  <w:style w:type="paragraph" w:customStyle="1" w:styleId="AssentBk">
    <w:name w:val="AssentBk"/>
    <w:basedOn w:val="Normal"/>
    <w:rsid w:val="00400D38"/>
    <w:pPr>
      <w:spacing w:line="240" w:lineRule="auto"/>
    </w:pPr>
    <w:rPr>
      <w:rFonts w:eastAsia="Times New Roman" w:cs="Times New Roman"/>
      <w:sz w:val="20"/>
      <w:lang w:eastAsia="en-AU"/>
    </w:rPr>
  </w:style>
  <w:style w:type="paragraph" w:customStyle="1" w:styleId="AssentDt">
    <w:name w:val="AssentDt"/>
    <w:basedOn w:val="Normal"/>
    <w:rsid w:val="00C23A35"/>
    <w:pPr>
      <w:spacing w:line="240" w:lineRule="auto"/>
    </w:pPr>
    <w:rPr>
      <w:rFonts w:eastAsia="Times New Roman" w:cs="Times New Roman"/>
      <w:sz w:val="20"/>
      <w:lang w:eastAsia="en-AU"/>
    </w:rPr>
  </w:style>
  <w:style w:type="paragraph" w:customStyle="1" w:styleId="2ndRd">
    <w:name w:val="2ndRd"/>
    <w:basedOn w:val="Normal"/>
    <w:rsid w:val="00C23A35"/>
    <w:pPr>
      <w:spacing w:line="240" w:lineRule="auto"/>
    </w:pPr>
    <w:rPr>
      <w:rFonts w:eastAsia="Times New Roman" w:cs="Times New Roman"/>
      <w:sz w:val="20"/>
      <w:lang w:eastAsia="en-AU"/>
    </w:rPr>
  </w:style>
  <w:style w:type="paragraph" w:customStyle="1" w:styleId="ScalePlusRef">
    <w:name w:val="ScalePlusRef"/>
    <w:basedOn w:val="Normal"/>
    <w:rsid w:val="00C23A3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29A8"/>
    <w:pPr>
      <w:spacing w:line="260" w:lineRule="atLeast"/>
    </w:pPr>
    <w:rPr>
      <w:sz w:val="22"/>
    </w:rPr>
  </w:style>
  <w:style w:type="paragraph" w:styleId="Heading1">
    <w:name w:val="heading 1"/>
    <w:basedOn w:val="Normal"/>
    <w:next w:val="Normal"/>
    <w:link w:val="Heading1Char"/>
    <w:uiPriority w:val="9"/>
    <w:qFormat/>
    <w:rsid w:val="00400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D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0D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0D3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0D3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0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D3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00D3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29A8"/>
  </w:style>
  <w:style w:type="paragraph" w:customStyle="1" w:styleId="OPCParaBase">
    <w:name w:val="OPCParaBase"/>
    <w:link w:val="OPCParaBaseChar"/>
    <w:qFormat/>
    <w:rsid w:val="00D329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29A8"/>
    <w:pPr>
      <w:spacing w:line="240" w:lineRule="auto"/>
    </w:pPr>
    <w:rPr>
      <w:b/>
      <w:sz w:val="40"/>
    </w:rPr>
  </w:style>
  <w:style w:type="paragraph" w:customStyle="1" w:styleId="ActHead1">
    <w:name w:val="ActHead 1"/>
    <w:aliases w:val="c"/>
    <w:basedOn w:val="OPCParaBase"/>
    <w:next w:val="Normal"/>
    <w:qFormat/>
    <w:rsid w:val="00D329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29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29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29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29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29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29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29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29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29A8"/>
  </w:style>
  <w:style w:type="paragraph" w:customStyle="1" w:styleId="Blocks">
    <w:name w:val="Blocks"/>
    <w:aliases w:val="bb"/>
    <w:basedOn w:val="OPCParaBase"/>
    <w:qFormat/>
    <w:rsid w:val="00D329A8"/>
    <w:pPr>
      <w:spacing w:line="240" w:lineRule="auto"/>
    </w:pPr>
    <w:rPr>
      <w:sz w:val="24"/>
    </w:rPr>
  </w:style>
  <w:style w:type="paragraph" w:customStyle="1" w:styleId="BoxText">
    <w:name w:val="BoxText"/>
    <w:aliases w:val="bt"/>
    <w:basedOn w:val="OPCParaBase"/>
    <w:qFormat/>
    <w:rsid w:val="00D329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29A8"/>
    <w:rPr>
      <w:b/>
    </w:rPr>
  </w:style>
  <w:style w:type="paragraph" w:customStyle="1" w:styleId="BoxHeadItalic">
    <w:name w:val="BoxHeadItalic"/>
    <w:aliases w:val="bhi"/>
    <w:basedOn w:val="BoxText"/>
    <w:next w:val="BoxStep"/>
    <w:qFormat/>
    <w:rsid w:val="00D329A8"/>
    <w:rPr>
      <w:i/>
    </w:rPr>
  </w:style>
  <w:style w:type="paragraph" w:customStyle="1" w:styleId="BoxList">
    <w:name w:val="BoxList"/>
    <w:aliases w:val="bl"/>
    <w:basedOn w:val="BoxText"/>
    <w:qFormat/>
    <w:rsid w:val="00D329A8"/>
    <w:pPr>
      <w:ind w:left="1559" w:hanging="425"/>
    </w:pPr>
  </w:style>
  <w:style w:type="paragraph" w:customStyle="1" w:styleId="BoxNote">
    <w:name w:val="BoxNote"/>
    <w:aliases w:val="bn"/>
    <w:basedOn w:val="BoxText"/>
    <w:qFormat/>
    <w:rsid w:val="00D329A8"/>
    <w:pPr>
      <w:tabs>
        <w:tab w:val="left" w:pos="1985"/>
      </w:tabs>
      <w:spacing w:before="122" w:line="198" w:lineRule="exact"/>
      <w:ind w:left="2948" w:hanging="1814"/>
    </w:pPr>
    <w:rPr>
      <w:sz w:val="18"/>
    </w:rPr>
  </w:style>
  <w:style w:type="paragraph" w:customStyle="1" w:styleId="BoxPara">
    <w:name w:val="BoxPara"/>
    <w:aliases w:val="bp"/>
    <w:basedOn w:val="BoxText"/>
    <w:qFormat/>
    <w:rsid w:val="00D329A8"/>
    <w:pPr>
      <w:tabs>
        <w:tab w:val="right" w:pos="2268"/>
      </w:tabs>
      <w:ind w:left="2552" w:hanging="1418"/>
    </w:pPr>
  </w:style>
  <w:style w:type="paragraph" w:customStyle="1" w:styleId="BoxStep">
    <w:name w:val="BoxStep"/>
    <w:aliases w:val="bs"/>
    <w:basedOn w:val="BoxText"/>
    <w:qFormat/>
    <w:rsid w:val="00D329A8"/>
    <w:pPr>
      <w:ind w:left="1985" w:hanging="851"/>
    </w:pPr>
  </w:style>
  <w:style w:type="character" w:customStyle="1" w:styleId="CharAmPartNo">
    <w:name w:val="CharAmPartNo"/>
    <w:basedOn w:val="OPCCharBase"/>
    <w:qFormat/>
    <w:rsid w:val="00D329A8"/>
  </w:style>
  <w:style w:type="character" w:customStyle="1" w:styleId="CharAmPartText">
    <w:name w:val="CharAmPartText"/>
    <w:basedOn w:val="OPCCharBase"/>
    <w:qFormat/>
    <w:rsid w:val="00D329A8"/>
  </w:style>
  <w:style w:type="character" w:customStyle="1" w:styleId="CharAmSchNo">
    <w:name w:val="CharAmSchNo"/>
    <w:basedOn w:val="OPCCharBase"/>
    <w:qFormat/>
    <w:rsid w:val="00D329A8"/>
  </w:style>
  <w:style w:type="character" w:customStyle="1" w:styleId="CharAmSchText">
    <w:name w:val="CharAmSchText"/>
    <w:basedOn w:val="OPCCharBase"/>
    <w:qFormat/>
    <w:rsid w:val="00D329A8"/>
  </w:style>
  <w:style w:type="character" w:customStyle="1" w:styleId="CharBoldItalic">
    <w:name w:val="CharBoldItalic"/>
    <w:basedOn w:val="OPCCharBase"/>
    <w:uiPriority w:val="1"/>
    <w:qFormat/>
    <w:rsid w:val="00D329A8"/>
    <w:rPr>
      <w:b/>
      <w:i/>
    </w:rPr>
  </w:style>
  <w:style w:type="character" w:customStyle="1" w:styleId="CharChapNo">
    <w:name w:val="CharChapNo"/>
    <w:basedOn w:val="OPCCharBase"/>
    <w:uiPriority w:val="1"/>
    <w:qFormat/>
    <w:rsid w:val="00D329A8"/>
  </w:style>
  <w:style w:type="character" w:customStyle="1" w:styleId="CharChapText">
    <w:name w:val="CharChapText"/>
    <w:basedOn w:val="OPCCharBase"/>
    <w:uiPriority w:val="1"/>
    <w:qFormat/>
    <w:rsid w:val="00D329A8"/>
  </w:style>
  <w:style w:type="character" w:customStyle="1" w:styleId="CharDivNo">
    <w:name w:val="CharDivNo"/>
    <w:basedOn w:val="OPCCharBase"/>
    <w:uiPriority w:val="1"/>
    <w:qFormat/>
    <w:rsid w:val="00D329A8"/>
  </w:style>
  <w:style w:type="character" w:customStyle="1" w:styleId="CharDivText">
    <w:name w:val="CharDivText"/>
    <w:basedOn w:val="OPCCharBase"/>
    <w:uiPriority w:val="1"/>
    <w:qFormat/>
    <w:rsid w:val="00D329A8"/>
  </w:style>
  <w:style w:type="character" w:customStyle="1" w:styleId="CharItalic">
    <w:name w:val="CharItalic"/>
    <w:basedOn w:val="OPCCharBase"/>
    <w:uiPriority w:val="1"/>
    <w:qFormat/>
    <w:rsid w:val="00D329A8"/>
    <w:rPr>
      <w:i/>
    </w:rPr>
  </w:style>
  <w:style w:type="character" w:customStyle="1" w:styleId="CharPartNo">
    <w:name w:val="CharPartNo"/>
    <w:basedOn w:val="OPCCharBase"/>
    <w:uiPriority w:val="1"/>
    <w:qFormat/>
    <w:rsid w:val="00D329A8"/>
  </w:style>
  <w:style w:type="character" w:customStyle="1" w:styleId="CharPartText">
    <w:name w:val="CharPartText"/>
    <w:basedOn w:val="OPCCharBase"/>
    <w:uiPriority w:val="1"/>
    <w:qFormat/>
    <w:rsid w:val="00D329A8"/>
  </w:style>
  <w:style w:type="character" w:customStyle="1" w:styleId="CharSectno">
    <w:name w:val="CharSectno"/>
    <w:basedOn w:val="OPCCharBase"/>
    <w:qFormat/>
    <w:rsid w:val="00D329A8"/>
  </w:style>
  <w:style w:type="character" w:customStyle="1" w:styleId="CharSubdNo">
    <w:name w:val="CharSubdNo"/>
    <w:basedOn w:val="OPCCharBase"/>
    <w:uiPriority w:val="1"/>
    <w:qFormat/>
    <w:rsid w:val="00D329A8"/>
  </w:style>
  <w:style w:type="character" w:customStyle="1" w:styleId="CharSubdText">
    <w:name w:val="CharSubdText"/>
    <w:basedOn w:val="OPCCharBase"/>
    <w:uiPriority w:val="1"/>
    <w:qFormat/>
    <w:rsid w:val="00D329A8"/>
  </w:style>
  <w:style w:type="paragraph" w:customStyle="1" w:styleId="CTA--">
    <w:name w:val="CTA --"/>
    <w:basedOn w:val="OPCParaBase"/>
    <w:next w:val="Normal"/>
    <w:rsid w:val="00D329A8"/>
    <w:pPr>
      <w:spacing w:before="60" w:line="240" w:lineRule="atLeast"/>
      <w:ind w:left="142" w:hanging="142"/>
    </w:pPr>
    <w:rPr>
      <w:sz w:val="20"/>
    </w:rPr>
  </w:style>
  <w:style w:type="paragraph" w:customStyle="1" w:styleId="CTA-">
    <w:name w:val="CTA -"/>
    <w:basedOn w:val="OPCParaBase"/>
    <w:rsid w:val="00D329A8"/>
    <w:pPr>
      <w:spacing w:before="60" w:line="240" w:lineRule="atLeast"/>
      <w:ind w:left="85" w:hanging="85"/>
    </w:pPr>
    <w:rPr>
      <w:sz w:val="20"/>
    </w:rPr>
  </w:style>
  <w:style w:type="paragraph" w:customStyle="1" w:styleId="CTA---">
    <w:name w:val="CTA ---"/>
    <w:basedOn w:val="OPCParaBase"/>
    <w:next w:val="Normal"/>
    <w:rsid w:val="00D329A8"/>
    <w:pPr>
      <w:spacing w:before="60" w:line="240" w:lineRule="atLeast"/>
      <w:ind w:left="198" w:hanging="198"/>
    </w:pPr>
    <w:rPr>
      <w:sz w:val="20"/>
    </w:rPr>
  </w:style>
  <w:style w:type="paragraph" w:customStyle="1" w:styleId="CTA----">
    <w:name w:val="CTA ----"/>
    <w:basedOn w:val="OPCParaBase"/>
    <w:next w:val="Normal"/>
    <w:rsid w:val="00D329A8"/>
    <w:pPr>
      <w:spacing w:before="60" w:line="240" w:lineRule="atLeast"/>
      <w:ind w:left="255" w:hanging="255"/>
    </w:pPr>
    <w:rPr>
      <w:sz w:val="20"/>
    </w:rPr>
  </w:style>
  <w:style w:type="paragraph" w:customStyle="1" w:styleId="CTA1a">
    <w:name w:val="CTA 1(a)"/>
    <w:basedOn w:val="OPCParaBase"/>
    <w:rsid w:val="00D329A8"/>
    <w:pPr>
      <w:tabs>
        <w:tab w:val="right" w:pos="414"/>
      </w:tabs>
      <w:spacing w:before="40" w:line="240" w:lineRule="atLeast"/>
      <w:ind w:left="675" w:hanging="675"/>
    </w:pPr>
    <w:rPr>
      <w:sz w:val="20"/>
    </w:rPr>
  </w:style>
  <w:style w:type="paragraph" w:customStyle="1" w:styleId="CTA1ai">
    <w:name w:val="CTA 1(a)(i)"/>
    <w:basedOn w:val="OPCParaBase"/>
    <w:rsid w:val="00D329A8"/>
    <w:pPr>
      <w:tabs>
        <w:tab w:val="right" w:pos="1004"/>
      </w:tabs>
      <w:spacing w:before="40" w:line="240" w:lineRule="atLeast"/>
      <w:ind w:left="1253" w:hanging="1253"/>
    </w:pPr>
    <w:rPr>
      <w:sz w:val="20"/>
    </w:rPr>
  </w:style>
  <w:style w:type="paragraph" w:customStyle="1" w:styleId="CTA2a">
    <w:name w:val="CTA 2(a)"/>
    <w:basedOn w:val="OPCParaBase"/>
    <w:rsid w:val="00D329A8"/>
    <w:pPr>
      <w:tabs>
        <w:tab w:val="right" w:pos="482"/>
      </w:tabs>
      <w:spacing w:before="40" w:line="240" w:lineRule="atLeast"/>
      <w:ind w:left="748" w:hanging="748"/>
    </w:pPr>
    <w:rPr>
      <w:sz w:val="20"/>
    </w:rPr>
  </w:style>
  <w:style w:type="paragraph" w:customStyle="1" w:styleId="CTA2ai">
    <w:name w:val="CTA 2(a)(i)"/>
    <w:basedOn w:val="OPCParaBase"/>
    <w:rsid w:val="00D329A8"/>
    <w:pPr>
      <w:tabs>
        <w:tab w:val="right" w:pos="1089"/>
      </w:tabs>
      <w:spacing w:before="40" w:line="240" w:lineRule="atLeast"/>
      <w:ind w:left="1327" w:hanging="1327"/>
    </w:pPr>
    <w:rPr>
      <w:sz w:val="20"/>
    </w:rPr>
  </w:style>
  <w:style w:type="paragraph" w:customStyle="1" w:styleId="CTA3a">
    <w:name w:val="CTA 3(a)"/>
    <w:basedOn w:val="OPCParaBase"/>
    <w:rsid w:val="00D329A8"/>
    <w:pPr>
      <w:tabs>
        <w:tab w:val="right" w:pos="556"/>
      </w:tabs>
      <w:spacing w:before="40" w:line="240" w:lineRule="atLeast"/>
      <w:ind w:left="805" w:hanging="805"/>
    </w:pPr>
    <w:rPr>
      <w:sz w:val="20"/>
    </w:rPr>
  </w:style>
  <w:style w:type="paragraph" w:customStyle="1" w:styleId="CTA3ai">
    <w:name w:val="CTA 3(a)(i)"/>
    <w:basedOn w:val="OPCParaBase"/>
    <w:rsid w:val="00D329A8"/>
    <w:pPr>
      <w:tabs>
        <w:tab w:val="right" w:pos="1140"/>
      </w:tabs>
      <w:spacing w:before="40" w:line="240" w:lineRule="atLeast"/>
      <w:ind w:left="1361" w:hanging="1361"/>
    </w:pPr>
    <w:rPr>
      <w:sz w:val="20"/>
    </w:rPr>
  </w:style>
  <w:style w:type="paragraph" w:customStyle="1" w:styleId="CTA4a">
    <w:name w:val="CTA 4(a)"/>
    <w:basedOn w:val="OPCParaBase"/>
    <w:rsid w:val="00D329A8"/>
    <w:pPr>
      <w:tabs>
        <w:tab w:val="right" w:pos="624"/>
      </w:tabs>
      <w:spacing w:before="40" w:line="240" w:lineRule="atLeast"/>
      <w:ind w:left="873" w:hanging="873"/>
    </w:pPr>
    <w:rPr>
      <w:sz w:val="20"/>
    </w:rPr>
  </w:style>
  <w:style w:type="paragraph" w:customStyle="1" w:styleId="CTA4ai">
    <w:name w:val="CTA 4(a)(i)"/>
    <w:basedOn w:val="OPCParaBase"/>
    <w:rsid w:val="00D329A8"/>
    <w:pPr>
      <w:tabs>
        <w:tab w:val="right" w:pos="1213"/>
      </w:tabs>
      <w:spacing w:before="40" w:line="240" w:lineRule="atLeast"/>
      <w:ind w:left="1452" w:hanging="1452"/>
    </w:pPr>
    <w:rPr>
      <w:sz w:val="20"/>
    </w:rPr>
  </w:style>
  <w:style w:type="paragraph" w:customStyle="1" w:styleId="CTACAPS">
    <w:name w:val="CTA CAPS"/>
    <w:basedOn w:val="OPCParaBase"/>
    <w:rsid w:val="00D329A8"/>
    <w:pPr>
      <w:spacing w:before="60" w:line="240" w:lineRule="atLeast"/>
    </w:pPr>
    <w:rPr>
      <w:sz w:val="20"/>
    </w:rPr>
  </w:style>
  <w:style w:type="paragraph" w:customStyle="1" w:styleId="CTAright">
    <w:name w:val="CTA right"/>
    <w:basedOn w:val="OPCParaBase"/>
    <w:rsid w:val="00D329A8"/>
    <w:pPr>
      <w:spacing w:before="60" w:line="240" w:lineRule="auto"/>
      <w:jc w:val="right"/>
    </w:pPr>
    <w:rPr>
      <w:sz w:val="20"/>
    </w:rPr>
  </w:style>
  <w:style w:type="paragraph" w:customStyle="1" w:styleId="subsection">
    <w:name w:val="subsection"/>
    <w:aliases w:val="ss"/>
    <w:basedOn w:val="OPCParaBase"/>
    <w:link w:val="subsectionChar"/>
    <w:rsid w:val="00D329A8"/>
    <w:pPr>
      <w:tabs>
        <w:tab w:val="right" w:pos="1021"/>
      </w:tabs>
      <w:spacing w:before="180" w:line="240" w:lineRule="auto"/>
      <w:ind w:left="1134" w:hanging="1134"/>
    </w:pPr>
  </w:style>
  <w:style w:type="paragraph" w:customStyle="1" w:styleId="Definition">
    <w:name w:val="Definition"/>
    <w:aliases w:val="dd"/>
    <w:basedOn w:val="OPCParaBase"/>
    <w:rsid w:val="00D329A8"/>
    <w:pPr>
      <w:spacing w:before="180" w:line="240" w:lineRule="auto"/>
      <w:ind w:left="1134"/>
    </w:pPr>
  </w:style>
  <w:style w:type="paragraph" w:customStyle="1" w:styleId="ETAsubitem">
    <w:name w:val="ETA(subitem)"/>
    <w:basedOn w:val="OPCParaBase"/>
    <w:rsid w:val="00D329A8"/>
    <w:pPr>
      <w:tabs>
        <w:tab w:val="right" w:pos="340"/>
      </w:tabs>
      <w:spacing w:before="60" w:line="240" w:lineRule="auto"/>
      <w:ind w:left="454" w:hanging="454"/>
    </w:pPr>
    <w:rPr>
      <w:sz w:val="20"/>
    </w:rPr>
  </w:style>
  <w:style w:type="paragraph" w:customStyle="1" w:styleId="ETApara">
    <w:name w:val="ETA(para)"/>
    <w:basedOn w:val="OPCParaBase"/>
    <w:rsid w:val="00D329A8"/>
    <w:pPr>
      <w:tabs>
        <w:tab w:val="right" w:pos="754"/>
      </w:tabs>
      <w:spacing w:before="60" w:line="240" w:lineRule="auto"/>
      <w:ind w:left="828" w:hanging="828"/>
    </w:pPr>
    <w:rPr>
      <w:sz w:val="20"/>
    </w:rPr>
  </w:style>
  <w:style w:type="paragraph" w:customStyle="1" w:styleId="ETAsubpara">
    <w:name w:val="ETA(subpara)"/>
    <w:basedOn w:val="OPCParaBase"/>
    <w:rsid w:val="00D329A8"/>
    <w:pPr>
      <w:tabs>
        <w:tab w:val="right" w:pos="1083"/>
      </w:tabs>
      <w:spacing w:before="60" w:line="240" w:lineRule="auto"/>
      <w:ind w:left="1191" w:hanging="1191"/>
    </w:pPr>
    <w:rPr>
      <w:sz w:val="20"/>
    </w:rPr>
  </w:style>
  <w:style w:type="paragraph" w:customStyle="1" w:styleId="ETAsub-subpara">
    <w:name w:val="ETA(sub-subpara)"/>
    <w:basedOn w:val="OPCParaBase"/>
    <w:rsid w:val="00D329A8"/>
    <w:pPr>
      <w:tabs>
        <w:tab w:val="right" w:pos="1412"/>
      </w:tabs>
      <w:spacing w:before="60" w:line="240" w:lineRule="auto"/>
      <w:ind w:left="1525" w:hanging="1525"/>
    </w:pPr>
    <w:rPr>
      <w:sz w:val="20"/>
    </w:rPr>
  </w:style>
  <w:style w:type="paragraph" w:customStyle="1" w:styleId="Formula">
    <w:name w:val="Formula"/>
    <w:basedOn w:val="OPCParaBase"/>
    <w:rsid w:val="00D329A8"/>
    <w:pPr>
      <w:spacing w:line="240" w:lineRule="auto"/>
      <w:ind w:left="1134"/>
    </w:pPr>
    <w:rPr>
      <w:sz w:val="20"/>
    </w:rPr>
  </w:style>
  <w:style w:type="paragraph" w:styleId="Header">
    <w:name w:val="header"/>
    <w:basedOn w:val="OPCParaBase"/>
    <w:link w:val="HeaderChar"/>
    <w:unhideWhenUsed/>
    <w:rsid w:val="00D329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29A8"/>
    <w:rPr>
      <w:rFonts w:eastAsia="Times New Roman" w:cs="Times New Roman"/>
      <w:sz w:val="16"/>
      <w:lang w:eastAsia="en-AU"/>
    </w:rPr>
  </w:style>
  <w:style w:type="paragraph" w:customStyle="1" w:styleId="House">
    <w:name w:val="House"/>
    <w:basedOn w:val="OPCParaBase"/>
    <w:rsid w:val="00D329A8"/>
    <w:pPr>
      <w:spacing w:line="240" w:lineRule="auto"/>
    </w:pPr>
    <w:rPr>
      <w:sz w:val="28"/>
    </w:rPr>
  </w:style>
  <w:style w:type="paragraph" w:customStyle="1" w:styleId="Item">
    <w:name w:val="Item"/>
    <w:aliases w:val="i"/>
    <w:basedOn w:val="OPCParaBase"/>
    <w:next w:val="ItemHead"/>
    <w:link w:val="ItemChar"/>
    <w:rsid w:val="00D329A8"/>
    <w:pPr>
      <w:keepLines/>
      <w:spacing w:before="80" w:line="240" w:lineRule="auto"/>
      <w:ind w:left="709"/>
    </w:pPr>
  </w:style>
  <w:style w:type="paragraph" w:customStyle="1" w:styleId="ItemHead">
    <w:name w:val="ItemHead"/>
    <w:aliases w:val="ih"/>
    <w:basedOn w:val="OPCParaBase"/>
    <w:next w:val="Item"/>
    <w:link w:val="ItemHeadChar"/>
    <w:rsid w:val="00D329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29A8"/>
    <w:pPr>
      <w:spacing w:line="240" w:lineRule="auto"/>
    </w:pPr>
    <w:rPr>
      <w:b/>
      <w:sz w:val="32"/>
    </w:rPr>
  </w:style>
  <w:style w:type="paragraph" w:customStyle="1" w:styleId="notedraft">
    <w:name w:val="note(draft)"/>
    <w:aliases w:val="nd"/>
    <w:basedOn w:val="OPCParaBase"/>
    <w:rsid w:val="00D329A8"/>
    <w:pPr>
      <w:spacing w:before="240" w:line="240" w:lineRule="auto"/>
      <w:ind w:left="284" w:hanging="284"/>
    </w:pPr>
    <w:rPr>
      <w:i/>
      <w:sz w:val="24"/>
    </w:rPr>
  </w:style>
  <w:style w:type="paragraph" w:customStyle="1" w:styleId="notemargin">
    <w:name w:val="note(margin)"/>
    <w:aliases w:val="nm"/>
    <w:basedOn w:val="OPCParaBase"/>
    <w:rsid w:val="00D329A8"/>
    <w:pPr>
      <w:tabs>
        <w:tab w:val="left" w:pos="709"/>
      </w:tabs>
      <w:spacing w:before="122" w:line="198" w:lineRule="exact"/>
      <w:ind w:left="709" w:hanging="709"/>
    </w:pPr>
    <w:rPr>
      <w:sz w:val="18"/>
    </w:rPr>
  </w:style>
  <w:style w:type="paragraph" w:customStyle="1" w:styleId="noteToPara">
    <w:name w:val="noteToPara"/>
    <w:aliases w:val="ntp"/>
    <w:basedOn w:val="OPCParaBase"/>
    <w:rsid w:val="00D329A8"/>
    <w:pPr>
      <w:spacing w:before="122" w:line="198" w:lineRule="exact"/>
      <w:ind w:left="2353" w:hanging="709"/>
    </w:pPr>
    <w:rPr>
      <w:sz w:val="18"/>
    </w:rPr>
  </w:style>
  <w:style w:type="paragraph" w:customStyle="1" w:styleId="noteParlAmend">
    <w:name w:val="note(ParlAmend)"/>
    <w:aliases w:val="npp"/>
    <w:basedOn w:val="OPCParaBase"/>
    <w:next w:val="ParlAmend"/>
    <w:rsid w:val="00D329A8"/>
    <w:pPr>
      <w:spacing w:line="240" w:lineRule="auto"/>
      <w:jc w:val="right"/>
    </w:pPr>
    <w:rPr>
      <w:rFonts w:ascii="Arial" w:hAnsi="Arial"/>
      <w:b/>
      <w:i/>
    </w:rPr>
  </w:style>
  <w:style w:type="paragraph" w:customStyle="1" w:styleId="Page1">
    <w:name w:val="Page1"/>
    <w:basedOn w:val="OPCParaBase"/>
    <w:rsid w:val="00D329A8"/>
    <w:pPr>
      <w:spacing w:before="400" w:line="240" w:lineRule="auto"/>
    </w:pPr>
    <w:rPr>
      <w:b/>
      <w:sz w:val="32"/>
    </w:rPr>
  </w:style>
  <w:style w:type="paragraph" w:customStyle="1" w:styleId="PageBreak">
    <w:name w:val="PageBreak"/>
    <w:aliases w:val="pb"/>
    <w:basedOn w:val="OPCParaBase"/>
    <w:rsid w:val="00D329A8"/>
    <w:pPr>
      <w:spacing w:line="240" w:lineRule="auto"/>
    </w:pPr>
    <w:rPr>
      <w:sz w:val="20"/>
    </w:rPr>
  </w:style>
  <w:style w:type="paragraph" w:customStyle="1" w:styleId="paragraphsub">
    <w:name w:val="paragraph(sub)"/>
    <w:aliases w:val="aa"/>
    <w:basedOn w:val="OPCParaBase"/>
    <w:rsid w:val="00D329A8"/>
    <w:pPr>
      <w:tabs>
        <w:tab w:val="right" w:pos="1985"/>
      </w:tabs>
      <w:spacing w:before="40" w:line="240" w:lineRule="auto"/>
      <w:ind w:left="2098" w:hanging="2098"/>
    </w:pPr>
  </w:style>
  <w:style w:type="paragraph" w:customStyle="1" w:styleId="paragraphsub-sub">
    <w:name w:val="paragraph(sub-sub)"/>
    <w:aliases w:val="aaa"/>
    <w:basedOn w:val="OPCParaBase"/>
    <w:rsid w:val="00D329A8"/>
    <w:pPr>
      <w:tabs>
        <w:tab w:val="right" w:pos="2722"/>
      </w:tabs>
      <w:spacing w:before="40" w:line="240" w:lineRule="auto"/>
      <w:ind w:left="2835" w:hanging="2835"/>
    </w:pPr>
  </w:style>
  <w:style w:type="paragraph" w:customStyle="1" w:styleId="paragraph">
    <w:name w:val="paragraph"/>
    <w:aliases w:val="a"/>
    <w:basedOn w:val="OPCParaBase"/>
    <w:link w:val="paragraphChar"/>
    <w:rsid w:val="00D329A8"/>
    <w:pPr>
      <w:tabs>
        <w:tab w:val="right" w:pos="1531"/>
      </w:tabs>
      <w:spacing w:before="40" w:line="240" w:lineRule="auto"/>
      <w:ind w:left="1644" w:hanging="1644"/>
    </w:pPr>
  </w:style>
  <w:style w:type="paragraph" w:customStyle="1" w:styleId="ParlAmend">
    <w:name w:val="ParlAmend"/>
    <w:aliases w:val="pp"/>
    <w:basedOn w:val="OPCParaBase"/>
    <w:rsid w:val="00D329A8"/>
    <w:pPr>
      <w:spacing w:before="240" w:line="240" w:lineRule="atLeast"/>
      <w:ind w:hanging="567"/>
    </w:pPr>
    <w:rPr>
      <w:sz w:val="24"/>
    </w:rPr>
  </w:style>
  <w:style w:type="paragraph" w:customStyle="1" w:styleId="Penalty">
    <w:name w:val="Penalty"/>
    <w:basedOn w:val="OPCParaBase"/>
    <w:rsid w:val="00D329A8"/>
    <w:pPr>
      <w:tabs>
        <w:tab w:val="left" w:pos="2977"/>
      </w:tabs>
      <w:spacing w:before="180" w:line="240" w:lineRule="auto"/>
      <w:ind w:left="1985" w:hanging="851"/>
    </w:pPr>
  </w:style>
  <w:style w:type="paragraph" w:customStyle="1" w:styleId="Portfolio">
    <w:name w:val="Portfolio"/>
    <w:basedOn w:val="OPCParaBase"/>
    <w:rsid w:val="00D329A8"/>
    <w:pPr>
      <w:spacing w:line="240" w:lineRule="auto"/>
    </w:pPr>
    <w:rPr>
      <w:i/>
      <w:sz w:val="20"/>
    </w:rPr>
  </w:style>
  <w:style w:type="paragraph" w:customStyle="1" w:styleId="Preamble">
    <w:name w:val="Preamble"/>
    <w:basedOn w:val="OPCParaBase"/>
    <w:next w:val="Normal"/>
    <w:rsid w:val="00D329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29A8"/>
    <w:pPr>
      <w:spacing w:line="240" w:lineRule="auto"/>
    </w:pPr>
    <w:rPr>
      <w:i/>
      <w:sz w:val="20"/>
    </w:rPr>
  </w:style>
  <w:style w:type="paragraph" w:customStyle="1" w:styleId="Session">
    <w:name w:val="Session"/>
    <w:basedOn w:val="OPCParaBase"/>
    <w:rsid w:val="00D329A8"/>
    <w:pPr>
      <w:spacing w:line="240" w:lineRule="auto"/>
    </w:pPr>
    <w:rPr>
      <w:sz w:val="28"/>
    </w:rPr>
  </w:style>
  <w:style w:type="paragraph" w:customStyle="1" w:styleId="Sponsor">
    <w:name w:val="Sponsor"/>
    <w:basedOn w:val="OPCParaBase"/>
    <w:rsid w:val="00D329A8"/>
    <w:pPr>
      <w:spacing w:line="240" w:lineRule="auto"/>
    </w:pPr>
    <w:rPr>
      <w:i/>
    </w:rPr>
  </w:style>
  <w:style w:type="paragraph" w:customStyle="1" w:styleId="Subitem">
    <w:name w:val="Subitem"/>
    <w:aliases w:val="iss"/>
    <w:basedOn w:val="OPCParaBase"/>
    <w:rsid w:val="00D329A8"/>
    <w:pPr>
      <w:spacing w:before="180" w:line="240" w:lineRule="auto"/>
      <w:ind w:left="709" w:hanging="709"/>
    </w:pPr>
  </w:style>
  <w:style w:type="paragraph" w:customStyle="1" w:styleId="SubitemHead">
    <w:name w:val="SubitemHead"/>
    <w:aliases w:val="issh"/>
    <w:basedOn w:val="OPCParaBase"/>
    <w:rsid w:val="00D329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329A8"/>
    <w:pPr>
      <w:spacing w:before="40" w:line="240" w:lineRule="auto"/>
      <w:ind w:left="1134"/>
    </w:pPr>
  </w:style>
  <w:style w:type="paragraph" w:customStyle="1" w:styleId="SubsectionHead">
    <w:name w:val="SubsectionHead"/>
    <w:aliases w:val="ssh"/>
    <w:basedOn w:val="OPCParaBase"/>
    <w:next w:val="subsection"/>
    <w:rsid w:val="00D329A8"/>
    <w:pPr>
      <w:keepNext/>
      <w:keepLines/>
      <w:spacing w:before="240" w:line="240" w:lineRule="auto"/>
      <w:ind w:left="1134"/>
    </w:pPr>
    <w:rPr>
      <w:i/>
    </w:rPr>
  </w:style>
  <w:style w:type="paragraph" w:customStyle="1" w:styleId="Tablea">
    <w:name w:val="Table(a)"/>
    <w:aliases w:val="ta"/>
    <w:basedOn w:val="OPCParaBase"/>
    <w:rsid w:val="00D329A8"/>
    <w:pPr>
      <w:spacing w:before="60" w:line="240" w:lineRule="auto"/>
      <w:ind w:left="284" w:hanging="284"/>
    </w:pPr>
    <w:rPr>
      <w:sz w:val="20"/>
    </w:rPr>
  </w:style>
  <w:style w:type="paragraph" w:customStyle="1" w:styleId="TableAA">
    <w:name w:val="Table(AA)"/>
    <w:aliases w:val="taaa"/>
    <w:basedOn w:val="OPCParaBase"/>
    <w:rsid w:val="00D329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29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29A8"/>
    <w:pPr>
      <w:spacing w:before="60" w:line="240" w:lineRule="atLeast"/>
    </w:pPr>
    <w:rPr>
      <w:sz w:val="20"/>
    </w:rPr>
  </w:style>
  <w:style w:type="paragraph" w:customStyle="1" w:styleId="TLPBoxTextnote">
    <w:name w:val="TLPBoxText(note"/>
    <w:aliases w:val="right)"/>
    <w:basedOn w:val="OPCParaBase"/>
    <w:rsid w:val="00D329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29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29A8"/>
    <w:pPr>
      <w:spacing w:before="122" w:line="198" w:lineRule="exact"/>
      <w:ind w:left="1985" w:hanging="851"/>
      <w:jc w:val="right"/>
    </w:pPr>
    <w:rPr>
      <w:sz w:val="18"/>
    </w:rPr>
  </w:style>
  <w:style w:type="paragraph" w:customStyle="1" w:styleId="TLPTableBullet">
    <w:name w:val="TLPTableBullet"/>
    <w:aliases w:val="ttb"/>
    <w:basedOn w:val="OPCParaBase"/>
    <w:rsid w:val="00D329A8"/>
    <w:pPr>
      <w:spacing w:line="240" w:lineRule="exact"/>
      <w:ind w:left="284" w:hanging="284"/>
    </w:pPr>
    <w:rPr>
      <w:sz w:val="20"/>
    </w:rPr>
  </w:style>
  <w:style w:type="paragraph" w:styleId="TOC1">
    <w:name w:val="toc 1"/>
    <w:basedOn w:val="OPCParaBase"/>
    <w:next w:val="Normal"/>
    <w:uiPriority w:val="39"/>
    <w:semiHidden/>
    <w:unhideWhenUsed/>
    <w:rsid w:val="00D329A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329A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329A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29A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329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29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29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29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29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29A8"/>
    <w:pPr>
      <w:keepLines/>
      <w:spacing w:before="240" w:after="120" w:line="240" w:lineRule="auto"/>
      <w:ind w:left="794"/>
    </w:pPr>
    <w:rPr>
      <w:b/>
      <w:kern w:val="28"/>
      <w:sz w:val="20"/>
    </w:rPr>
  </w:style>
  <w:style w:type="paragraph" w:customStyle="1" w:styleId="TofSectsHeading">
    <w:name w:val="TofSects(Heading)"/>
    <w:basedOn w:val="OPCParaBase"/>
    <w:rsid w:val="00D329A8"/>
    <w:pPr>
      <w:spacing w:before="240" w:after="120" w:line="240" w:lineRule="auto"/>
    </w:pPr>
    <w:rPr>
      <w:b/>
      <w:sz w:val="24"/>
    </w:rPr>
  </w:style>
  <w:style w:type="paragraph" w:customStyle="1" w:styleId="TofSectsSection">
    <w:name w:val="TofSects(Section)"/>
    <w:basedOn w:val="OPCParaBase"/>
    <w:rsid w:val="00D329A8"/>
    <w:pPr>
      <w:keepLines/>
      <w:spacing w:before="40" w:line="240" w:lineRule="auto"/>
      <w:ind w:left="1588" w:hanging="794"/>
    </w:pPr>
    <w:rPr>
      <w:kern w:val="28"/>
      <w:sz w:val="18"/>
    </w:rPr>
  </w:style>
  <w:style w:type="paragraph" w:customStyle="1" w:styleId="TofSectsSubdiv">
    <w:name w:val="TofSects(Subdiv)"/>
    <w:basedOn w:val="OPCParaBase"/>
    <w:rsid w:val="00D329A8"/>
    <w:pPr>
      <w:keepLines/>
      <w:spacing w:before="80" w:line="240" w:lineRule="auto"/>
      <w:ind w:left="1588" w:hanging="794"/>
    </w:pPr>
    <w:rPr>
      <w:kern w:val="28"/>
    </w:rPr>
  </w:style>
  <w:style w:type="paragraph" w:customStyle="1" w:styleId="WRStyle">
    <w:name w:val="WR Style"/>
    <w:aliases w:val="WR"/>
    <w:basedOn w:val="OPCParaBase"/>
    <w:rsid w:val="00D329A8"/>
    <w:pPr>
      <w:spacing w:before="240" w:line="240" w:lineRule="auto"/>
      <w:ind w:left="284" w:hanging="284"/>
    </w:pPr>
    <w:rPr>
      <w:b/>
      <w:i/>
      <w:kern w:val="28"/>
      <w:sz w:val="24"/>
    </w:rPr>
  </w:style>
  <w:style w:type="paragraph" w:customStyle="1" w:styleId="notepara">
    <w:name w:val="note(para)"/>
    <w:aliases w:val="na"/>
    <w:basedOn w:val="OPCParaBase"/>
    <w:rsid w:val="00D329A8"/>
    <w:pPr>
      <w:spacing w:before="40" w:line="198" w:lineRule="exact"/>
      <w:ind w:left="2354" w:hanging="369"/>
    </w:pPr>
    <w:rPr>
      <w:sz w:val="18"/>
    </w:rPr>
  </w:style>
  <w:style w:type="paragraph" w:styleId="Footer">
    <w:name w:val="footer"/>
    <w:link w:val="FooterChar"/>
    <w:rsid w:val="00D329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29A8"/>
    <w:rPr>
      <w:rFonts w:eastAsia="Times New Roman" w:cs="Times New Roman"/>
      <w:sz w:val="22"/>
      <w:szCs w:val="24"/>
      <w:lang w:eastAsia="en-AU"/>
    </w:rPr>
  </w:style>
  <w:style w:type="character" w:styleId="LineNumber">
    <w:name w:val="line number"/>
    <w:basedOn w:val="OPCCharBase"/>
    <w:uiPriority w:val="99"/>
    <w:semiHidden/>
    <w:unhideWhenUsed/>
    <w:rsid w:val="00D329A8"/>
    <w:rPr>
      <w:sz w:val="16"/>
    </w:rPr>
  </w:style>
  <w:style w:type="table" w:customStyle="1" w:styleId="CFlag">
    <w:name w:val="CFlag"/>
    <w:basedOn w:val="TableNormal"/>
    <w:uiPriority w:val="99"/>
    <w:rsid w:val="00D329A8"/>
    <w:rPr>
      <w:rFonts w:eastAsia="Times New Roman" w:cs="Times New Roman"/>
      <w:lang w:eastAsia="en-AU"/>
    </w:rPr>
    <w:tblPr/>
  </w:style>
  <w:style w:type="paragraph" w:customStyle="1" w:styleId="NotesHeading1">
    <w:name w:val="NotesHeading 1"/>
    <w:basedOn w:val="OPCParaBase"/>
    <w:next w:val="Normal"/>
    <w:rsid w:val="00D329A8"/>
    <w:rPr>
      <w:b/>
      <w:sz w:val="28"/>
      <w:szCs w:val="28"/>
    </w:rPr>
  </w:style>
  <w:style w:type="paragraph" w:customStyle="1" w:styleId="NotesHeading2">
    <w:name w:val="NotesHeading 2"/>
    <w:basedOn w:val="OPCParaBase"/>
    <w:next w:val="Normal"/>
    <w:rsid w:val="00D329A8"/>
    <w:rPr>
      <w:b/>
      <w:sz w:val="28"/>
      <w:szCs w:val="28"/>
    </w:rPr>
  </w:style>
  <w:style w:type="paragraph" w:customStyle="1" w:styleId="SignCoverPageEnd">
    <w:name w:val="SignCoverPageEnd"/>
    <w:basedOn w:val="OPCParaBase"/>
    <w:next w:val="Normal"/>
    <w:rsid w:val="00D329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29A8"/>
    <w:pPr>
      <w:pBdr>
        <w:top w:val="single" w:sz="4" w:space="1" w:color="auto"/>
      </w:pBdr>
      <w:spacing w:before="360"/>
      <w:ind w:right="397"/>
      <w:jc w:val="both"/>
    </w:pPr>
  </w:style>
  <w:style w:type="paragraph" w:customStyle="1" w:styleId="Paragraphsub-sub-sub">
    <w:name w:val="Paragraph(sub-sub-sub)"/>
    <w:aliases w:val="aaaa"/>
    <w:basedOn w:val="OPCParaBase"/>
    <w:rsid w:val="00D329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29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29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29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29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329A8"/>
    <w:pPr>
      <w:spacing w:before="120"/>
    </w:pPr>
  </w:style>
  <w:style w:type="paragraph" w:customStyle="1" w:styleId="TableTextEndNotes">
    <w:name w:val="TableTextEndNotes"/>
    <w:aliases w:val="Tten"/>
    <w:basedOn w:val="Normal"/>
    <w:rsid w:val="00D329A8"/>
    <w:pPr>
      <w:spacing w:before="60" w:line="240" w:lineRule="auto"/>
    </w:pPr>
    <w:rPr>
      <w:rFonts w:cs="Arial"/>
      <w:sz w:val="20"/>
      <w:szCs w:val="22"/>
    </w:rPr>
  </w:style>
  <w:style w:type="paragraph" w:customStyle="1" w:styleId="TableHeading">
    <w:name w:val="TableHeading"/>
    <w:aliases w:val="th"/>
    <w:basedOn w:val="OPCParaBase"/>
    <w:next w:val="Tabletext"/>
    <w:rsid w:val="00D329A8"/>
    <w:pPr>
      <w:keepNext/>
      <w:spacing w:before="60" w:line="240" w:lineRule="atLeast"/>
    </w:pPr>
    <w:rPr>
      <w:b/>
      <w:sz w:val="20"/>
    </w:rPr>
  </w:style>
  <w:style w:type="paragraph" w:customStyle="1" w:styleId="NoteToSubpara">
    <w:name w:val="NoteToSubpara"/>
    <w:aliases w:val="nts"/>
    <w:basedOn w:val="OPCParaBase"/>
    <w:rsid w:val="00D329A8"/>
    <w:pPr>
      <w:spacing w:before="40" w:line="198" w:lineRule="exact"/>
      <w:ind w:left="2835" w:hanging="709"/>
    </w:pPr>
    <w:rPr>
      <w:sz w:val="18"/>
    </w:rPr>
  </w:style>
  <w:style w:type="paragraph" w:customStyle="1" w:styleId="ENoteTableHeading">
    <w:name w:val="ENoteTableHeading"/>
    <w:aliases w:val="enth"/>
    <w:basedOn w:val="OPCParaBase"/>
    <w:rsid w:val="00D329A8"/>
    <w:pPr>
      <w:keepNext/>
      <w:spacing w:before="60" w:line="240" w:lineRule="atLeast"/>
    </w:pPr>
    <w:rPr>
      <w:rFonts w:ascii="Arial" w:hAnsi="Arial"/>
      <w:b/>
      <w:sz w:val="16"/>
    </w:rPr>
  </w:style>
  <w:style w:type="paragraph" w:customStyle="1" w:styleId="ENoteTTi">
    <w:name w:val="ENoteTTi"/>
    <w:aliases w:val="entti"/>
    <w:basedOn w:val="OPCParaBase"/>
    <w:rsid w:val="00D329A8"/>
    <w:pPr>
      <w:keepNext/>
      <w:spacing w:before="60" w:line="240" w:lineRule="atLeast"/>
      <w:ind w:left="170"/>
    </w:pPr>
    <w:rPr>
      <w:sz w:val="16"/>
    </w:rPr>
  </w:style>
  <w:style w:type="paragraph" w:customStyle="1" w:styleId="ENotesHeading1">
    <w:name w:val="ENotesHeading 1"/>
    <w:aliases w:val="Enh1"/>
    <w:basedOn w:val="OPCParaBase"/>
    <w:next w:val="Normal"/>
    <w:rsid w:val="00D329A8"/>
    <w:pPr>
      <w:spacing w:before="120"/>
      <w:outlineLvl w:val="1"/>
    </w:pPr>
    <w:rPr>
      <w:b/>
      <w:sz w:val="28"/>
      <w:szCs w:val="28"/>
    </w:rPr>
  </w:style>
  <w:style w:type="paragraph" w:customStyle="1" w:styleId="ENotesHeading2">
    <w:name w:val="ENotesHeading 2"/>
    <w:aliases w:val="Enh2"/>
    <w:basedOn w:val="OPCParaBase"/>
    <w:next w:val="Normal"/>
    <w:rsid w:val="00D329A8"/>
    <w:pPr>
      <w:spacing w:before="120" w:after="120"/>
      <w:outlineLvl w:val="2"/>
    </w:pPr>
    <w:rPr>
      <w:b/>
      <w:sz w:val="24"/>
      <w:szCs w:val="28"/>
    </w:rPr>
  </w:style>
  <w:style w:type="paragraph" w:customStyle="1" w:styleId="ENoteTTIndentHeading">
    <w:name w:val="ENoteTTIndentHeading"/>
    <w:aliases w:val="enTTHi"/>
    <w:basedOn w:val="OPCParaBase"/>
    <w:rsid w:val="00D329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29A8"/>
    <w:pPr>
      <w:spacing w:before="60" w:line="240" w:lineRule="atLeast"/>
    </w:pPr>
    <w:rPr>
      <w:sz w:val="16"/>
    </w:rPr>
  </w:style>
  <w:style w:type="paragraph" w:customStyle="1" w:styleId="MadeunderText">
    <w:name w:val="MadeunderText"/>
    <w:basedOn w:val="OPCParaBase"/>
    <w:next w:val="Normal"/>
    <w:rsid w:val="00D329A8"/>
    <w:pPr>
      <w:spacing w:before="240"/>
    </w:pPr>
    <w:rPr>
      <w:sz w:val="24"/>
      <w:szCs w:val="24"/>
    </w:rPr>
  </w:style>
  <w:style w:type="paragraph" w:customStyle="1" w:styleId="ENotesHeading3">
    <w:name w:val="ENotesHeading 3"/>
    <w:aliases w:val="Enh3"/>
    <w:basedOn w:val="OPCParaBase"/>
    <w:next w:val="Normal"/>
    <w:rsid w:val="00D329A8"/>
    <w:pPr>
      <w:keepNext/>
      <w:spacing w:before="120" w:line="240" w:lineRule="auto"/>
      <w:outlineLvl w:val="4"/>
    </w:pPr>
    <w:rPr>
      <w:b/>
      <w:szCs w:val="24"/>
    </w:rPr>
  </w:style>
  <w:style w:type="paragraph" w:customStyle="1" w:styleId="SubPartCASA">
    <w:name w:val="SubPart(CASA)"/>
    <w:aliases w:val="csp"/>
    <w:basedOn w:val="OPCParaBase"/>
    <w:next w:val="ActHead3"/>
    <w:rsid w:val="00D329A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329A8"/>
  </w:style>
  <w:style w:type="character" w:customStyle="1" w:styleId="CharSubPartNoCASA">
    <w:name w:val="CharSubPartNo(CASA)"/>
    <w:basedOn w:val="OPCCharBase"/>
    <w:uiPriority w:val="1"/>
    <w:rsid w:val="00D329A8"/>
  </w:style>
  <w:style w:type="paragraph" w:customStyle="1" w:styleId="ENoteTTIndentHeadingSub">
    <w:name w:val="ENoteTTIndentHeadingSub"/>
    <w:aliases w:val="enTTHis"/>
    <w:basedOn w:val="OPCParaBase"/>
    <w:rsid w:val="00D329A8"/>
    <w:pPr>
      <w:keepNext/>
      <w:spacing w:before="60" w:line="240" w:lineRule="atLeast"/>
      <w:ind w:left="340"/>
    </w:pPr>
    <w:rPr>
      <w:b/>
      <w:sz w:val="16"/>
    </w:rPr>
  </w:style>
  <w:style w:type="paragraph" w:customStyle="1" w:styleId="ENoteTTiSub">
    <w:name w:val="ENoteTTiSub"/>
    <w:aliases w:val="enttis"/>
    <w:basedOn w:val="OPCParaBase"/>
    <w:rsid w:val="00D329A8"/>
    <w:pPr>
      <w:keepNext/>
      <w:spacing w:before="60" w:line="240" w:lineRule="atLeast"/>
      <w:ind w:left="340"/>
    </w:pPr>
    <w:rPr>
      <w:sz w:val="16"/>
    </w:rPr>
  </w:style>
  <w:style w:type="paragraph" w:customStyle="1" w:styleId="SubDivisionMigration">
    <w:name w:val="SubDivisionMigration"/>
    <w:aliases w:val="sdm"/>
    <w:basedOn w:val="OPCParaBase"/>
    <w:rsid w:val="00D329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29A8"/>
    <w:pPr>
      <w:keepNext/>
      <w:keepLines/>
      <w:spacing w:before="240" w:line="240" w:lineRule="auto"/>
      <w:ind w:left="1134" w:hanging="1134"/>
    </w:pPr>
    <w:rPr>
      <w:b/>
      <w:sz w:val="28"/>
    </w:rPr>
  </w:style>
  <w:style w:type="table" w:styleId="TableGrid">
    <w:name w:val="Table Grid"/>
    <w:basedOn w:val="TableNormal"/>
    <w:uiPriority w:val="59"/>
    <w:rsid w:val="00D32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29A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D329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29A8"/>
    <w:rPr>
      <w:sz w:val="22"/>
    </w:rPr>
  </w:style>
  <w:style w:type="paragraph" w:customStyle="1" w:styleId="SOTextNote">
    <w:name w:val="SO TextNote"/>
    <w:aliases w:val="sont"/>
    <w:basedOn w:val="SOText"/>
    <w:qFormat/>
    <w:rsid w:val="00D329A8"/>
    <w:pPr>
      <w:spacing w:before="122" w:line="198" w:lineRule="exact"/>
      <w:ind w:left="1843" w:hanging="709"/>
    </w:pPr>
    <w:rPr>
      <w:sz w:val="18"/>
    </w:rPr>
  </w:style>
  <w:style w:type="paragraph" w:customStyle="1" w:styleId="SOPara">
    <w:name w:val="SO Para"/>
    <w:aliases w:val="soa"/>
    <w:basedOn w:val="SOText"/>
    <w:link w:val="SOParaChar"/>
    <w:qFormat/>
    <w:rsid w:val="00D329A8"/>
    <w:pPr>
      <w:tabs>
        <w:tab w:val="right" w:pos="1786"/>
      </w:tabs>
      <w:spacing w:before="40"/>
      <w:ind w:left="2070" w:hanging="936"/>
    </w:pPr>
  </w:style>
  <w:style w:type="character" w:customStyle="1" w:styleId="SOParaChar">
    <w:name w:val="SO Para Char"/>
    <w:aliases w:val="soa Char"/>
    <w:basedOn w:val="DefaultParagraphFont"/>
    <w:link w:val="SOPara"/>
    <w:rsid w:val="00D329A8"/>
    <w:rPr>
      <w:sz w:val="22"/>
    </w:rPr>
  </w:style>
  <w:style w:type="paragraph" w:customStyle="1" w:styleId="FileName">
    <w:name w:val="FileName"/>
    <w:basedOn w:val="Normal"/>
    <w:rsid w:val="00D329A8"/>
  </w:style>
  <w:style w:type="paragraph" w:customStyle="1" w:styleId="SOHeadBold">
    <w:name w:val="SO HeadBold"/>
    <w:aliases w:val="sohb"/>
    <w:basedOn w:val="SOText"/>
    <w:next w:val="SOText"/>
    <w:link w:val="SOHeadBoldChar"/>
    <w:qFormat/>
    <w:rsid w:val="00D329A8"/>
    <w:rPr>
      <w:b/>
    </w:rPr>
  </w:style>
  <w:style w:type="character" w:customStyle="1" w:styleId="SOHeadBoldChar">
    <w:name w:val="SO HeadBold Char"/>
    <w:aliases w:val="sohb Char"/>
    <w:basedOn w:val="DefaultParagraphFont"/>
    <w:link w:val="SOHeadBold"/>
    <w:rsid w:val="00D329A8"/>
    <w:rPr>
      <w:b/>
      <w:sz w:val="22"/>
    </w:rPr>
  </w:style>
  <w:style w:type="paragraph" w:customStyle="1" w:styleId="SOHeadItalic">
    <w:name w:val="SO HeadItalic"/>
    <w:aliases w:val="sohi"/>
    <w:basedOn w:val="SOText"/>
    <w:next w:val="SOText"/>
    <w:link w:val="SOHeadItalicChar"/>
    <w:qFormat/>
    <w:rsid w:val="00D329A8"/>
    <w:rPr>
      <w:i/>
    </w:rPr>
  </w:style>
  <w:style w:type="character" w:customStyle="1" w:styleId="SOHeadItalicChar">
    <w:name w:val="SO HeadItalic Char"/>
    <w:aliases w:val="sohi Char"/>
    <w:basedOn w:val="DefaultParagraphFont"/>
    <w:link w:val="SOHeadItalic"/>
    <w:rsid w:val="00D329A8"/>
    <w:rPr>
      <w:i/>
      <w:sz w:val="22"/>
    </w:rPr>
  </w:style>
  <w:style w:type="paragraph" w:customStyle="1" w:styleId="SOBullet">
    <w:name w:val="SO Bullet"/>
    <w:aliases w:val="sotb"/>
    <w:basedOn w:val="SOText"/>
    <w:link w:val="SOBulletChar"/>
    <w:qFormat/>
    <w:rsid w:val="00D329A8"/>
    <w:pPr>
      <w:ind w:left="1559" w:hanging="425"/>
    </w:pPr>
  </w:style>
  <w:style w:type="character" w:customStyle="1" w:styleId="SOBulletChar">
    <w:name w:val="SO Bullet Char"/>
    <w:aliases w:val="sotb Char"/>
    <w:basedOn w:val="DefaultParagraphFont"/>
    <w:link w:val="SOBullet"/>
    <w:rsid w:val="00D329A8"/>
    <w:rPr>
      <w:sz w:val="22"/>
    </w:rPr>
  </w:style>
  <w:style w:type="paragraph" w:customStyle="1" w:styleId="SOBulletNote">
    <w:name w:val="SO BulletNote"/>
    <w:aliases w:val="sonb"/>
    <w:basedOn w:val="SOTextNote"/>
    <w:link w:val="SOBulletNoteChar"/>
    <w:qFormat/>
    <w:rsid w:val="00D329A8"/>
    <w:pPr>
      <w:tabs>
        <w:tab w:val="left" w:pos="1560"/>
      </w:tabs>
      <w:ind w:left="2268" w:hanging="1134"/>
    </w:pPr>
  </w:style>
  <w:style w:type="character" w:customStyle="1" w:styleId="SOBulletNoteChar">
    <w:name w:val="SO BulletNote Char"/>
    <w:aliases w:val="sonb Char"/>
    <w:basedOn w:val="DefaultParagraphFont"/>
    <w:link w:val="SOBulletNote"/>
    <w:rsid w:val="00D329A8"/>
    <w:rPr>
      <w:sz w:val="18"/>
    </w:rPr>
  </w:style>
  <w:style w:type="paragraph" w:customStyle="1" w:styleId="SOText2">
    <w:name w:val="SO Text2"/>
    <w:aliases w:val="sot2"/>
    <w:basedOn w:val="Normal"/>
    <w:next w:val="SOText"/>
    <w:link w:val="SOText2Char"/>
    <w:rsid w:val="00D329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29A8"/>
    <w:rPr>
      <w:sz w:val="22"/>
    </w:rPr>
  </w:style>
  <w:style w:type="paragraph" w:customStyle="1" w:styleId="Transitional">
    <w:name w:val="Transitional"/>
    <w:aliases w:val="tr"/>
    <w:basedOn w:val="ItemHead"/>
    <w:next w:val="Item"/>
    <w:rsid w:val="00D329A8"/>
  </w:style>
  <w:style w:type="character" w:customStyle="1" w:styleId="subsectionChar">
    <w:name w:val="subsection Char"/>
    <w:aliases w:val="ss Char"/>
    <w:basedOn w:val="DefaultParagraphFont"/>
    <w:link w:val="subsection"/>
    <w:locked/>
    <w:rsid w:val="006E03F7"/>
    <w:rPr>
      <w:rFonts w:eastAsia="Times New Roman" w:cs="Times New Roman"/>
      <w:sz w:val="22"/>
      <w:lang w:eastAsia="en-AU"/>
    </w:rPr>
  </w:style>
  <w:style w:type="character" w:customStyle="1" w:styleId="notetextChar">
    <w:name w:val="note(text) Char"/>
    <w:aliases w:val="n Char"/>
    <w:basedOn w:val="DefaultParagraphFont"/>
    <w:link w:val="notetext"/>
    <w:rsid w:val="006E03F7"/>
    <w:rPr>
      <w:rFonts w:eastAsia="Times New Roman" w:cs="Times New Roman"/>
      <w:sz w:val="18"/>
      <w:lang w:eastAsia="en-AU"/>
    </w:rPr>
  </w:style>
  <w:style w:type="character" w:customStyle="1" w:styleId="paragraphChar">
    <w:name w:val="paragraph Char"/>
    <w:aliases w:val="a Char"/>
    <w:link w:val="paragraph"/>
    <w:rsid w:val="006E03F7"/>
    <w:rPr>
      <w:rFonts w:eastAsia="Times New Roman" w:cs="Times New Roman"/>
      <w:sz w:val="22"/>
      <w:lang w:eastAsia="en-AU"/>
    </w:rPr>
  </w:style>
  <w:style w:type="character" w:customStyle="1" w:styleId="subsection2Char">
    <w:name w:val="subsection2 Char"/>
    <w:aliases w:val="ss2 Char"/>
    <w:link w:val="subsection2"/>
    <w:rsid w:val="006E03F7"/>
    <w:rPr>
      <w:rFonts w:eastAsia="Times New Roman" w:cs="Times New Roman"/>
      <w:sz w:val="22"/>
      <w:lang w:eastAsia="en-AU"/>
    </w:rPr>
  </w:style>
  <w:style w:type="character" w:customStyle="1" w:styleId="ItemHeadChar">
    <w:name w:val="ItemHead Char"/>
    <w:aliases w:val="ih Char"/>
    <w:link w:val="ItemHead"/>
    <w:rsid w:val="006E03F7"/>
    <w:rPr>
      <w:rFonts w:ascii="Arial" w:eastAsia="Times New Roman" w:hAnsi="Arial" w:cs="Times New Roman"/>
      <w:b/>
      <w:kern w:val="28"/>
      <w:sz w:val="24"/>
      <w:lang w:eastAsia="en-AU"/>
    </w:rPr>
  </w:style>
  <w:style w:type="character" w:customStyle="1" w:styleId="ItemChar">
    <w:name w:val="Item Char"/>
    <w:aliases w:val="i Char"/>
    <w:link w:val="Item"/>
    <w:rsid w:val="006E03F7"/>
    <w:rPr>
      <w:rFonts w:eastAsia="Times New Roman" w:cs="Times New Roman"/>
      <w:sz w:val="22"/>
      <w:lang w:eastAsia="en-AU"/>
    </w:rPr>
  </w:style>
  <w:style w:type="character" w:customStyle="1" w:styleId="ActHead5Char">
    <w:name w:val="ActHead 5 Char"/>
    <w:aliases w:val="s Char"/>
    <w:link w:val="ActHead5"/>
    <w:rsid w:val="006E03F7"/>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00D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0D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0D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00D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00D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00D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00D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00D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00D38"/>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00D38"/>
    <w:pPr>
      <w:spacing w:before="800"/>
    </w:pPr>
  </w:style>
  <w:style w:type="character" w:customStyle="1" w:styleId="OPCParaBaseChar">
    <w:name w:val="OPCParaBase Char"/>
    <w:basedOn w:val="DefaultParagraphFont"/>
    <w:link w:val="OPCParaBase"/>
    <w:rsid w:val="00400D38"/>
    <w:rPr>
      <w:rFonts w:eastAsia="Times New Roman" w:cs="Times New Roman"/>
      <w:sz w:val="22"/>
      <w:lang w:eastAsia="en-AU"/>
    </w:rPr>
  </w:style>
  <w:style w:type="character" w:customStyle="1" w:styleId="ShortTChar">
    <w:name w:val="ShortT Char"/>
    <w:basedOn w:val="OPCParaBaseChar"/>
    <w:link w:val="ShortT"/>
    <w:rsid w:val="00400D38"/>
    <w:rPr>
      <w:rFonts w:eastAsia="Times New Roman" w:cs="Times New Roman"/>
      <w:b/>
      <w:sz w:val="40"/>
      <w:lang w:eastAsia="en-AU"/>
    </w:rPr>
  </w:style>
  <w:style w:type="character" w:customStyle="1" w:styleId="ShortTP1Char">
    <w:name w:val="ShortTP1 Char"/>
    <w:basedOn w:val="ShortTChar"/>
    <w:link w:val="ShortTP1"/>
    <w:rsid w:val="00400D38"/>
    <w:rPr>
      <w:rFonts w:eastAsia="Times New Roman" w:cs="Times New Roman"/>
      <w:b/>
      <w:sz w:val="40"/>
      <w:lang w:eastAsia="en-AU"/>
    </w:rPr>
  </w:style>
  <w:style w:type="paragraph" w:customStyle="1" w:styleId="ActNoP1">
    <w:name w:val="ActNoP1"/>
    <w:basedOn w:val="Actno"/>
    <w:link w:val="ActNoP1Char"/>
    <w:rsid w:val="00400D38"/>
    <w:pPr>
      <w:spacing w:before="800"/>
    </w:pPr>
    <w:rPr>
      <w:sz w:val="28"/>
    </w:rPr>
  </w:style>
  <w:style w:type="character" w:customStyle="1" w:styleId="ActnoChar">
    <w:name w:val="Actno Char"/>
    <w:basedOn w:val="ShortTChar"/>
    <w:link w:val="Actno"/>
    <w:rsid w:val="00400D38"/>
    <w:rPr>
      <w:rFonts w:eastAsia="Times New Roman" w:cs="Times New Roman"/>
      <w:b/>
      <w:sz w:val="40"/>
      <w:lang w:eastAsia="en-AU"/>
    </w:rPr>
  </w:style>
  <w:style w:type="character" w:customStyle="1" w:styleId="ActNoP1Char">
    <w:name w:val="ActNoP1 Char"/>
    <w:basedOn w:val="ActnoChar"/>
    <w:link w:val="ActNoP1"/>
    <w:rsid w:val="00400D38"/>
    <w:rPr>
      <w:rFonts w:eastAsia="Times New Roman" w:cs="Times New Roman"/>
      <w:b/>
      <w:sz w:val="28"/>
      <w:lang w:eastAsia="en-AU"/>
    </w:rPr>
  </w:style>
  <w:style w:type="paragraph" w:customStyle="1" w:styleId="ShortTCP">
    <w:name w:val="ShortTCP"/>
    <w:basedOn w:val="ShortT"/>
    <w:link w:val="ShortTCPChar"/>
    <w:rsid w:val="00400D38"/>
  </w:style>
  <w:style w:type="character" w:customStyle="1" w:styleId="ShortTCPChar">
    <w:name w:val="ShortTCP Char"/>
    <w:basedOn w:val="ShortTChar"/>
    <w:link w:val="ShortTCP"/>
    <w:rsid w:val="00400D38"/>
    <w:rPr>
      <w:rFonts w:eastAsia="Times New Roman" w:cs="Times New Roman"/>
      <w:b/>
      <w:sz w:val="40"/>
      <w:lang w:eastAsia="en-AU"/>
    </w:rPr>
  </w:style>
  <w:style w:type="paragraph" w:customStyle="1" w:styleId="ActNoCP">
    <w:name w:val="ActNoCP"/>
    <w:basedOn w:val="Actno"/>
    <w:link w:val="ActNoCPChar"/>
    <w:rsid w:val="00400D38"/>
    <w:pPr>
      <w:spacing w:before="400"/>
    </w:pPr>
  </w:style>
  <w:style w:type="character" w:customStyle="1" w:styleId="ActNoCPChar">
    <w:name w:val="ActNoCP Char"/>
    <w:basedOn w:val="ActnoChar"/>
    <w:link w:val="ActNoCP"/>
    <w:rsid w:val="00400D38"/>
    <w:rPr>
      <w:rFonts w:eastAsia="Times New Roman" w:cs="Times New Roman"/>
      <w:b/>
      <w:sz w:val="40"/>
      <w:lang w:eastAsia="en-AU"/>
    </w:rPr>
  </w:style>
  <w:style w:type="paragraph" w:customStyle="1" w:styleId="AssentBk">
    <w:name w:val="AssentBk"/>
    <w:basedOn w:val="Normal"/>
    <w:rsid w:val="00400D38"/>
    <w:pPr>
      <w:spacing w:line="240" w:lineRule="auto"/>
    </w:pPr>
    <w:rPr>
      <w:rFonts w:eastAsia="Times New Roman" w:cs="Times New Roman"/>
      <w:sz w:val="20"/>
      <w:lang w:eastAsia="en-AU"/>
    </w:rPr>
  </w:style>
  <w:style w:type="paragraph" w:customStyle="1" w:styleId="AssentDt">
    <w:name w:val="AssentDt"/>
    <w:basedOn w:val="Normal"/>
    <w:rsid w:val="00C23A35"/>
    <w:pPr>
      <w:spacing w:line="240" w:lineRule="auto"/>
    </w:pPr>
    <w:rPr>
      <w:rFonts w:eastAsia="Times New Roman" w:cs="Times New Roman"/>
      <w:sz w:val="20"/>
      <w:lang w:eastAsia="en-AU"/>
    </w:rPr>
  </w:style>
  <w:style w:type="paragraph" w:customStyle="1" w:styleId="2ndRd">
    <w:name w:val="2ndRd"/>
    <w:basedOn w:val="Normal"/>
    <w:rsid w:val="00C23A35"/>
    <w:pPr>
      <w:spacing w:line="240" w:lineRule="auto"/>
    </w:pPr>
    <w:rPr>
      <w:rFonts w:eastAsia="Times New Roman" w:cs="Times New Roman"/>
      <w:sz w:val="20"/>
      <w:lang w:eastAsia="en-AU"/>
    </w:rPr>
  </w:style>
  <w:style w:type="paragraph" w:customStyle="1" w:styleId="ScalePlusRef">
    <w:name w:val="ScalePlusRef"/>
    <w:basedOn w:val="Normal"/>
    <w:rsid w:val="00C23A3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2534</Words>
  <Characters>12801</Characters>
  <Application>Microsoft Office Word</Application>
  <DocSecurity>0</DocSecurity>
  <PresentationFormat/>
  <Lines>412</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2019-06-27T06:03:00Z</cp:lastPrinted>
  <dcterms:created xsi:type="dcterms:W3CDTF">2019-10-03T01:49:00Z</dcterms:created>
  <dcterms:modified xsi:type="dcterms:W3CDTF">2019-10-03T02:24:00Z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(2018 Superannuation Measures No. 1) Act 2019</vt:lpwstr>
  </property>
  <property fmtid="{D5CDD505-2E9C-101B-9397-08002B2CF9AE}" pid="5" name="ActNo">
    <vt:lpwstr>No. 78,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OPC7222</vt:lpwstr>
  </property>
</Properties>
</file>