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5B" w:rsidRDefault="001C685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pt;height:80.15pt" o:ole="" fillcolor="window">
            <v:imagedata r:id="rId9" o:title=""/>
          </v:shape>
          <o:OLEObject Type="Embed" ProgID="Word.Picture.8" ShapeID="_x0000_i1025" DrawAspect="Content" ObjectID="_1634129976" r:id="rId10"/>
        </w:object>
      </w:r>
    </w:p>
    <w:p w:rsidR="001C685B" w:rsidRDefault="001C685B"/>
    <w:p w:rsidR="001C685B" w:rsidRDefault="001C685B" w:rsidP="001C685B">
      <w:pPr>
        <w:spacing w:line="240" w:lineRule="auto"/>
      </w:pPr>
    </w:p>
    <w:p w:rsidR="001C685B" w:rsidRDefault="001C685B" w:rsidP="001C685B"/>
    <w:p w:rsidR="001C685B" w:rsidRDefault="001C685B" w:rsidP="001C685B"/>
    <w:p w:rsidR="001C685B" w:rsidRDefault="001C685B" w:rsidP="001C685B"/>
    <w:p w:rsidR="001C685B" w:rsidRDefault="001C685B" w:rsidP="001C685B"/>
    <w:p w:rsidR="00AA1E3A" w:rsidRPr="005D2A31" w:rsidRDefault="00AA1E3A" w:rsidP="00AA1E3A">
      <w:pPr>
        <w:pStyle w:val="ShortT"/>
      </w:pPr>
      <w:r w:rsidRPr="005D2A31">
        <w:t>Australian Veterans’ Recognition (Putting Vete</w:t>
      </w:r>
      <w:bookmarkStart w:id="0" w:name="_GoBack"/>
      <w:bookmarkEnd w:id="0"/>
      <w:r w:rsidRPr="005D2A31">
        <w:t xml:space="preserve">rans and </w:t>
      </w:r>
      <w:r w:rsidR="00E23819" w:rsidRPr="005D2A31">
        <w:t>T</w:t>
      </w:r>
      <w:r w:rsidRPr="005D2A31">
        <w:t xml:space="preserve">heir Families First) </w:t>
      </w:r>
      <w:r w:rsidR="001C685B">
        <w:t>Act</w:t>
      </w:r>
      <w:r w:rsidRPr="005D2A31">
        <w:t xml:space="preserve"> 2019</w:t>
      </w:r>
    </w:p>
    <w:p w:rsidR="00AA1E3A" w:rsidRPr="005D2A31" w:rsidRDefault="00AA1E3A" w:rsidP="00AA1E3A"/>
    <w:p w:rsidR="00AA1E3A" w:rsidRPr="005D2A31" w:rsidRDefault="00AA1E3A" w:rsidP="001C685B">
      <w:pPr>
        <w:pStyle w:val="Actno"/>
        <w:spacing w:before="400"/>
      </w:pPr>
      <w:r w:rsidRPr="005D2A31">
        <w:t>No.</w:t>
      </w:r>
      <w:r w:rsidR="008F273E">
        <w:t xml:space="preserve"> 96</w:t>
      </w:r>
      <w:r w:rsidRPr="005D2A31">
        <w:t>, 2019</w:t>
      </w:r>
    </w:p>
    <w:p w:rsidR="00AA1E3A" w:rsidRPr="005D2A31" w:rsidRDefault="00AA1E3A" w:rsidP="00AA1E3A"/>
    <w:p w:rsidR="001C685B" w:rsidRDefault="001C685B" w:rsidP="001C685B"/>
    <w:p w:rsidR="001C685B" w:rsidRDefault="001C685B" w:rsidP="001C685B"/>
    <w:p w:rsidR="001C685B" w:rsidRDefault="001C685B" w:rsidP="001C685B"/>
    <w:p w:rsidR="001C685B" w:rsidRDefault="001C685B" w:rsidP="001C685B"/>
    <w:p w:rsidR="00AA1E3A" w:rsidRPr="005D2A31" w:rsidRDefault="001C685B" w:rsidP="00AA1E3A">
      <w:pPr>
        <w:pStyle w:val="LongT"/>
      </w:pPr>
      <w:r>
        <w:t>An Act</w:t>
      </w:r>
      <w:r w:rsidR="00AA1E3A" w:rsidRPr="005D2A31">
        <w:t xml:space="preserve"> to provide for the recognition of veterans, and for related purposes</w:t>
      </w:r>
    </w:p>
    <w:p w:rsidR="000035D9" w:rsidRPr="005D2A31" w:rsidRDefault="000035D9" w:rsidP="000035D9">
      <w:pPr>
        <w:pStyle w:val="Header"/>
        <w:tabs>
          <w:tab w:val="clear" w:pos="4150"/>
          <w:tab w:val="clear" w:pos="8307"/>
        </w:tabs>
      </w:pPr>
      <w:r w:rsidRPr="005D2A31">
        <w:rPr>
          <w:rStyle w:val="CharChapNo"/>
        </w:rPr>
        <w:t xml:space="preserve"> </w:t>
      </w:r>
      <w:r w:rsidRPr="005D2A31">
        <w:rPr>
          <w:rStyle w:val="CharChapText"/>
        </w:rPr>
        <w:t xml:space="preserve"> </w:t>
      </w:r>
    </w:p>
    <w:p w:rsidR="000035D9" w:rsidRPr="005D2A31" w:rsidRDefault="000035D9" w:rsidP="000035D9">
      <w:pPr>
        <w:pStyle w:val="Header"/>
        <w:tabs>
          <w:tab w:val="clear" w:pos="4150"/>
          <w:tab w:val="clear" w:pos="8307"/>
        </w:tabs>
      </w:pPr>
      <w:r w:rsidRPr="005D2A31">
        <w:rPr>
          <w:rStyle w:val="CharPartNo"/>
        </w:rPr>
        <w:t xml:space="preserve"> </w:t>
      </w:r>
      <w:r w:rsidRPr="005D2A31">
        <w:rPr>
          <w:rStyle w:val="CharPartText"/>
        </w:rPr>
        <w:t xml:space="preserve"> </w:t>
      </w:r>
    </w:p>
    <w:p w:rsidR="00AA1E3A" w:rsidRPr="005D2A31" w:rsidRDefault="00AA1E3A" w:rsidP="00AA1E3A">
      <w:pPr>
        <w:pStyle w:val="Header"/>
        <w:tabs>
          <w:tab w:val="clear" w:pos="4150"/>
          <w:tab w:val="clear" w:pos="8307"/>
        </w:tabs>
      </w:pPr>
      <w:r w:rsidRPr="005D2A31">
        <w:rPr>
          <w:rStyle w:val="CharDivNo"/>
        </w:rPr>
        <w:t xml:space="preserve"> </w:t>
      </w:r>
      <w:r w:rsidRPr="005D2A31">
        <w:rPr>
          <w:rStyle w:val="CharDivText"/>
        </w:rPr>
        <w:t xml:space="preserve"> </w:t>
      </w:r>
    </w:p>
    <w:p w:rsidR="00AA1E3A" w:rsidRPr="005D2A31" w:rsidRDefault="00AA1E3A" w:rsidP="00AA1E3A">
      <w:pPr>
        <w:sectPr w:rsidR="00AA1E3A" w:rsidRPr="005D2A31" w:rsidSect="001C685B">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AA1E3A" w:rsidRPr="005D2A31" w:rsidRDefault="00AA1E3A" w:rsidP="00AA1E3A">
      <w:pPr>
        <w:rPr>
          <w:sz w:val="36"/>
        </w:rPr>
      </w:pPr>
      <w:r w:rsidRPr="005D2A31">
        <w:rPr>
          <w:sz w:val="36"/>
        </w:rPr>
        <w:lastRenderedPageBreak/>
        <w:t>Contents</w:t>
      </w:r>
    </w:p>
    <w:p w:rsidR="005F6AD1" w:rsidRDefault="005F6AD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5F6AD1">
        <w:rPr>
          <w:b w:val="0"/>
          <w:noProof/>
          <w:sz w:val="18"/>
        </w:rPr>
        <w:tab/>
      </w:r>
      <w:r w:rsidRPr="005F6AD1">
        <w:rPr>
          <w:b w:val="0"/>
          <w:noProof/>
          <w:sz w:val="18"/>
        </w:rPr>
        <w:fldChar w:fldCharType="begin"/>
      </w:r>
      <w:r w:rsidRPr="005F6AD1">
        <w:rPr>
          <w:b w:val="0"/>
          <w:noProof/>
          <w:sz w:val="18"/>
        </w:rPr>
        <w:instrText xml:space="preserve"> PAGEREF _Toc23516911 \h </w:instrText>
      </w:r>
      <w:r w:rsidRPr="005F6AD1">
        <w:rPr>
          <w:b w:val="0"/>
          <w:noProof/>
          <w:sz w:val="18"/>
        </w:rPr>
      </w:r>
      <w:r w:rsidRPr="005F6AD1">
        <w:rPr>
          <w:b w:val="0"/>
          <w:noProof/>
          <w:sz w:val="18"/>
        </w:rPr>
        <w:fldChar w:fldCharType="separate"/>
      </w:r>
      <w:r w:rsidR="00F455F9">
        <w:rPr>
          <w:b w:val="0"/>
          <w:noProof/>
          <w:sz w:val="18"/>
        </w:rPr>
        <w:t>2</w:t>
      </w:r>
      <w:r w:rsidRPr="005F6AD1">
        <w:rPr>
          <w:b w:val="0"/>
          <w:noProof/>
          <w:sz w:val="18"/>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1</w:t>
      </w:r>
      <w:r>
        <w:rPr>
          <w:noProof/>
        </w:rPr>
        <w:tab/>
        <w:t>Short title</w:t>
      </w:r>
      <w:r w:rsidRPr="005F6AD1">
        <w:rPr>
          <w:noProof/>
        </w:rPr>
        <w:tab/>
      </w:r>
      <w:r w:rsidRPr="005F6AD1">
        <w:rPr>
          <w:noProof/>
        </w:rPr>
        <w:fldChar w:fldCharType="begin"/>
      </w:r>
      <w:r w:rsidRPr="005F6AD1">
        <w:rPr>
          <w:noProof/>
        </w:rPr>
        <w:instrText xml:space="preserve"> PAGEREF _Toc23516912 \h </w:instrText>
      </w:r>
      <w:r w:rsidRPr="005F6AD1">
        <w:rPr>
          <w:noProof/>
        </w:rPr>
      </w:r>
      <w:r w:rsidRPr="005F6AD1">
        <w:rPr>
          <w:noProof/>
        </w:rPr>
        <w:fldChar w:fldCharType="separate"/>
      </w:r>
      <w:r w:rsidR="00F455F9">
        <w:rPr>
          <w:noProof/>
        </w:rPr>
        <w:t>2</w:t>
      </w:r>
      <w:r w:rsidRPr="005F6AD1">
        <w:rPr>
          <w:noProof/>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2</w:t>
      </w:r>
      <w:r>
        <w:rPr>
          <w:noProof/>
        </w:rPr>
        <w:tab/>
        <w:t>Commencement</w:t>
      </w:r>
      <w:r w:rsidRPr="005F6AD1">
        <w:rPr>
          <w:noProof/>
        </w:rPr>
        <w:tab/>
      </w:r>
      <w:r w:rsidRPr="005F6AD1">
        <w:rPr>
          <w:noProof/>
        </w:rPr>
        <w:fldChar w:fldCharType="begin"/>
      </w:r>
      <w:r w:rsidRPr="005F6AD1">
        <w:rPr>
          <w:noProof/>
        </w:rPr>
        <w:instrText xml:space="preserve"> PAGEREF _Toc23516913 \h </w:instrText>
      </w:r>
      <w:r w:rsidRPr="005F6AD1">
        <w:rPr>
          <w:noProof/>
        </w:rPr>
      </w:r>
      <w:r w:rsidRPr="005F6AD1">
        <w:rPr>
          <w:noProof/>
        </w:rPr>
        <w:fldChar w:fldCharType="separate"/>
      </w:r>
      <w:r w:rsidR="00F455F9">
        <w:rPr>
          <w:noProof/>
        </w:rPr>
        <w:t>2</w:t>
      </w:r>
      <w:r w:rsidRPr="005F6AD1">
        <w:rPr>
          <w:noProof/>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3</w:t>
      </w:r>
      <w:r>
        <w:rPr>
          <w:noProof/>
        </w:rPr>
        <w:tab/>
        <w:t>Object of this Act</w:t>
      </w:r>
      <w:r w:rsidRPr="005F6AD1">
        <w:rPr>
          <w:noProof/>
        </w:rPr>
        <w:tab/>
      </w:r>
      <w:r w:rsidRPr="005F6AD1">
        <w:rPr>
          <w:noProof/>
        </w:rPr>
        <w:fldChar w:fldCharType="begin"/>
      </w:r>
      <w:r w:rsidRPr="005F6AD1">
        <w:rPr>
          <w:noProof/>
        </w:rPr>
        <w:instrText xml:space="preserve"> PAGEREF _Toc23516914 \h </w:instrText>
      </w:r>
      <w:r w:rsidRPr="005F6AD1">
        <w:rPr>
          <w:noProof/>
        </w:rPr>
      </w:r>
      <w:r w:rsidRPr="005F6AD1">
        <w:rPr>
          <w:noProof/>
        </w:rPr>
        <w:fldChar w:fldCharType="separate"/>
      </w:r>
      <w:r w:rsidR="00F455F9">
        <w:rPr>
          <w:noProof/>
        </w:rPr>
        <w:t>2</w:t>
      </w:r>
      <w:r w:rsidRPr="005F6AD1">
        <w:rPr>
          <w:noProof/>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4</w:t>
      </w:r>
      <w:r>
        <w:rPr>
          <w:noProof/>
        </w:rPr>
        <w:tab/>
        <w:t>Definitions</w:t>
      </w:r>
      <w:r w:rsidRPr="005F6AD1">
        <w:rPr>
          <w:noProof/>
        </w:rPr>
        <w:tab/>
      </w:r>
      <w:r w:rsidRPr="005F6AD1">
        <w:rPr>
          <w:noProof/>
        </w:rPr>
        <w:fldChar w:fldCharType="begin"/>
      </w:r>
      <w:r w:rsidRPr="005F6AD1">
        <w:rPr>
          <w:noProof/>
        </w:rPr>
        <w:instrText xml:space="preserve"> PAGEREF _Toc23516915 \h </w:instrText>
      </w:r>
      <w:r w:rsidRPr="005F6AD1">
        <w:rPr>
          <w:noProof/>
        </w:rPr>
      </w:r>
      <w:r w:rsidRPr="005F6AD1">
        <w:rPr>
          <w:noProof/>
        </w:rPr>
        <w:fldChar w:fldCharType="separate"/>
      </w:r>
      <w:r w:rsidR="00F455F9">
        <w:rPr>
          <w:noProof/>
        </w:rPr>
        <w:t>2</w:t>
      </w:r>
      <w:r w:rsidRPr="005F6AD1">
        <w:rPr>
          <w:noProof/>
        </w:rPr>
        <w:fldChar w:fldCharType="end"/>
      </w:r>
    </w:p>
    <w:p w:rsidR="005F6AD1" w:rsidRDefault="005F6AD1">
      <w:pPr>
        <w:pStyle w:val="TOC2"/>
        <w:rPr>
          <w:rFonts w:asciiTheme="minorHAnsi" w:eastAsiaTheme="minorEastAsia" w:hAnsiTheme="minorHAnsi" w:cstheme="minorBidi"/>
          <w:b w:val="0"/>
          <w:noProof/>
          <w:kern w:val="0"/>
          <w:sz w:val="22"/>
          <w:szCs w:val="22"/>
        </w:rPr>
      </w:pPr>
      <w:r>
        <w:rPr>
          <w:noProof/>
        </w:rPr>
        <w:t>Part 2—Recognition of veterans and their families</w:t>
      </w:r>
      <w:r w:rsidRPr="005F6AD1">
        <w:rPr>
          <w:b w:val="0"/>
          <w:noProof/>
          <w:sz w:val="18"/>
        </w:rPr>
        <w:tab/>
      </w:r>
      <w:r w:rsidRPr="005F6AD1">
        <w:rPr>
          <w:b w:val="0"/>
          <w:noProof/>
          <w:sz w:val="18"/>
        </w:rPr>
        <w:fldChar w:fldCharType="begin"/>
      </w:r>
      <w:r w:rsidRPr="005F6AD1">
        <w:rPr>
          <w:b w:val="0"/>
          <w:noProof/>
          <w:sz w:val="18"/>
        </w:rPr>
        <w:instrText xml:space="preserve"> PAGEREF _Toc23516916 \h </w:instrText>
      </w:r>
      <w:r w:rsidRPr="005F6AD1">
        <w:rPr>
          <w:b w:val="0"/>
          <w:noProof/>
          <w:sz w:val="18"/>
        </w:rPr>
      </w:r>
      <w:r w:rsidRPr="005F6AD1">
        <w:rPr>
          <w:b w:val="0"/>
          <w:noProof/>
          <w:sz w:val="18"/>
        </w:rPr>
        <w:fldChar w:fldCharType="separate"/>
      </w:r>
      <w:r w:rsidR="00F455F9">
        <w:rPr>
          <w:b w:val="0"/>
          <w:noProof/>
          <w:sz w:val="18"/>
        </w:rPr>
        <w:t>4</w:t>
      </w:r>
      <w:r w:rsidRPr="005F6AD1">
        <w:rPr>
          <w:b w:val="0"/>
          <w:noProof/>
          <w:sz w:val="18"/>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5</w:t>
      </w:r>
      <w:r>
        <w:rPr>
          <w:noProof/>
        </w:rPr>
        <w:tab/>
        <w:t>General recognition</w:t>
      </w:r>
      <w:r w:rsidRPr="005F6AD1">
        <w:rPr>
          <w:noProof/>
        </w:rPr>
        <w:tab/>
      </w:r>
      <w:r w:rsidRPr="005F6AD1">
        <w:rPr>
          <w:noProof/>
        </w:rPr>
        <w:fldChar w:fldCharType="begin"/>
      </w:r>
      <w:r w:rsidRPr="005F6AD1">
        <w:rPr>
          <w:noProof/>
        </w:rPr>
        <w:instrText xml:space="preserve"> PAGEREF _Toc23516917 \h </w:instrText>
      </w:r>
      <w:r w:rsidRPr="005F6AD1">
        <w:rPr>
          <w:noProof/>
        </w:rPr>
      </w:r>
      <w:r w:rsidRPr="005F6AD1">
        <w:rPr>
          <w:noProof/>
        </w:rPr>
        <w:fldChar w:fldCharType="separate"/>
      </w:r>
      <w:r w:rsidR="00F455F9">
        <w:rPr>
          <w:noProof/>
        </w:rPr>
        <w:t>4</w:t>
      </w:r>
      <w:r w:rsidRPr="005F6AD1">
        <w:rPr>
          <w:noProof/>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6</w:t>
      </w:r>
      <w:r>
        <w:rPr>
          <w:noProof/>
        </w:rPr>
        <w:tab/>
        <w:t>Australian Defence Veterans’ Covenant</w:t>
      </w:r>
      <w:r w:rsidRPr="005F6AD1">
        <w:rPr>
          <w:noProof/>
        </w:rPr>
        <w:tab/>
      </w:r>
      <w:r w:rsidRPr="005F6AD1">
        <w:rPr>
          <w:noProof/>
        </w:rPr>
        <w:fldChar w:fldCharType="begin"/>
      </w:r>
      <w:r w:rsidRPr="005F6AD1">
        <w:rPr>
          <w:noProof/>
        </w:rPr>
        <w:instrText xml:space="preserve"> PAGEREF _Toc23516918 \h </w:instrText>
      </w:r>
      <w:r w:rsidRPr="005F6AD1">
        <w:rPr>
          <w:noProof/>
        </w:rPr>
      </w:r>
      <w:r w:rsidRPr="005F6AD1">
        <w:rPr>
          <w:noProof/>
        </w:rPr>
        <w:fldChar w:fldCharType="separate"/>
      </w:r>
      <w:r w:rsidR="00F455F9">
        <w:rPr>
          <w:noProof/>
        </w:rPr>
        <w:t>4</w:t>
      </w:r>
      <w:r w:rsidRPr="005F6AD1">
        <w:rPr>
          <w:noProof/>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7</w:t>
      </w:r>
      <w:r>
        <w:rPr>
          <w:noProof/>
        </w:rPr>
        <w:tab/>
        <w:t>Beneficial interpretation of legislation</w:t>
      </w:r>
      <w:r w:rsidRPr="005F6AD1">
        <w:rPr>
          <w:noProof/>
        </w:rPr>
        <w:tab/>
      </w:r>
      <w:r w:rsidRPr="005F6AD1">
        <w:rPr>
          <w:noProof/>
        </w:rPr>
        <w:fldChar w:fldCharType="begin"/>
      </w:r>
      <w:r w:rsidRPr="005F6AD1">
        <w:rPr>
          <w:noProof/>
        </w:rPr>
        <w:instrText xml:space="preserve"> PAGEREF _Toc23516919 \h </w:instrText>
      </w:r>
      <w:r w:rsidRPr="005F6AD1">
        <w:rPr>
          <w:noProof/>
        </w:rPr>
      </w:r>
      <w:r w:rsidRPr="005F6AD1">
        <w:rPr>
          <w:noProof/>
        </w:rPr>
        <w:fldChar w:fldCharType="separate"/>
      </w:r>
      <w:r w:rsidR="00F455F9">
        <w:rPr>
          <w:noProof/>
        </w:rPr>
        <w:t>5</w:t>
      </w:r>
      <w:r w:rsidRPr="005F6AD1">
        <w:rPr>
          <w:noProof/>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8</w:t>
      </w:r>
      <w:r>
        <w:rPr>
          <w:noProof/>
        </w:rPr>
        <w:tab/>
        <w:t>Cooperation</w:t>
      </w:r>
      <w:r w:rsidRPr="005F6AD1">
        <w:rPr>
          <w:noProof/>
        </w:rPr>
        <w:tab/>
      </w:r>
      <w:r w:rsidRPr="005F6AD1">
        <w:rPr>
          <w:noProof/>
        </w:rPr>
        <w:fldChar w:fldCharType="begin"/>
      </w:r>
      <w:r w:rsidRPr="005F6AD1">
        <w:rPr>
          <w:noProof/>
        </w:rPr>
        <w:instrText xml:space="preserve"> PAGEREF _Toc23516920 \h </w:instrText>
      </w:r>
      <w:r w:rsidRPr="005F6AD1">
        <w:rPr>
          <w:noProof/>
        </w:rPr>
      </w:r>
      <w:r w:rsidRPr="005F6AD1">
        <w:rPr>
          <w:noProof/>
        </w:rPr>
        <w:fldChar w:fldCharType="separate"/>
      </w:r>
      <w:r w:rsidR="00F455F9">
        <w:rPr>
          <w:noProof/>
        </w:rPr>
        <w:t>5</w:t>
      </w:r>
      <w:r w:rsidRPr="005F6AD1">
        <w:rPr>
          <w:noProof/>
        </w:rPr>
        <w:fldChar w:fldCharType="end"/>
      </w:r>
    </w:p>
    <w:p w:rsidR="005F6AD1" w:rsidRDefault="005F6AD1">
      <w:pPr>
        <w:pStyle w:val="TOC2"/>
        <w:rPr>
          <w:rFonts w:asciiTheme="minorHAnsi" w:eastAsiaTheme="minorEastAsia" w:hAnsiTheme="minorHAnsi" w:cstheme="minorBidi"/>
          <w:b w:val="0"/>
          <w:noProof/>
          <w:kern w:val="0"/>
          <w:sz w:val="22"/>
          <w:szCs w:val="22"/>
        </w:rPr>
      </w:pPr>
      <w:r>
        <w:rPr>
          <w:noProof/>
        </w:rPr>
        <w:t>Part 3—Issue of pins, cards or other artefacts</w:t>
      </w:r>
      <w:r w:rsidRPr="005F6AD1">
        <w:rPr>
          <w:b w:val="0"/>
          <w:noProof/>
          <w:sz w:val="18"/>
        </w:rPr>
        <w:tab/>
      </w:r>
      <w:r w:rsidRPr="005F6AD1">
        <w:rPr>
          <w:b w:val="0"/>
          <w:noProof/>
          <w:sz w:val="18"/>
        </w:rPr>
        <w:fldChar w:fldCharType="begin"/>
      </w:r>
      <w:r w:rsidRPr="005F6AD1">
        <w:rPr>
          <w:b w:val="0"/>
          <w:noProof/>
          <w:sz w:val="18"/>
        </w:rPr>
        <w:instrText xml:space="preserve"> PAGEREF _Toc23516921 \h </w:instrText>
      </w:r>
      <w:r w:rsidRPr="005F6AD1">
        <w:rPr>
          <w:b w:val="0"/>
          <w:noProof/>
          <w:sz w:val="18"/>
        </w:rPr>
      </w:r>
      <w:r w:rsidRPr="005F6AD1">
        <w:rPr>
          <w:b w:val="0"/>
          <w:noProof/>
          <w:sz w:val="18"/>
        </w:rPr>
        <w:fldChar w:fldCharType="separate"/>
      </w:r>
      <w:r w:rsidR="00F455F9">
        <w:rPr>
          <w:b w:val="0"/>
          <w:noProof/>
          <w:sz w:val="18"/>
        </w:rPr>
        <w:t>6</w:t>
      </w:r>
      <w:r w:rsidRPr="005F6AD1">
        <w:rPr>
          <w:b w:val="0"/>
          <w:noProof/>
          <w:sz w:val="18"/>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9</w:t>
      </w:r>
      <w:r>
        <w:rPr>
          <w:noProof/>
        </w:rPr>
        <w:tab/>
        <w:t>Issue of pins, cards or other artefacts</w:t>
      </w:r>
      <w:r w:rsidRPr="005F6AD1">
        <w:rPr>
          <w:noProof/>
        </w:rPr>
        <w:tab/>
      </w:r>
      <w:r w:rsidRPr="005F6AD1">
        <w:rPr>
          <w:noProof/>
        </w:rPr>
        <w:fldChar w:fldCharType="begin"/>
      </w:r>
      <w:r w:rsidRPr="005F6AD1">
        <w:rPr>
          <w:noProof/>
        </w:rPr>
        <w:instrText xml:space="preserve"> PAGEREF _Toc23516922 \h </w:instrText>
      </w:r>
      <w:r w:rsidRPr="005F6AD1">
        <w:rPr>
          <w:noProof/>
        </w:rPr>
      </w:r>
      <w:r w:rsidRPr="005F6AD1">
        <w:rPr>
          <w:noProof/>
        </w:rPr>
        <w:fldChar w:fldCharType="separate"/>
      </w:r>
      <w:r w:rsidR="00F455F9">
        <w:rPr>
          <w:noProof/>
        </w:rPr>
        <w:t>6</w:t>
      </w:r>
      <w:r w:rsidRPr="005F6AD1">
        <w:rPr>
          <w:noProof/>
        </w:rPr>
        <w:fldChar w:fldCharType="end"/>
      </w:r>
    </w:p>
    <w:p w:rsidR="005F6AD1" w:rsidRDefault="005F6AD1">
      <w:pPr>
        <w:pStyle w:val="TOC2"/>
        <w:rPr>
          <w:rFonts w:asciiTheme="minorHAnsi" w:eastAsiaTheme="minorEastAsia" w:hAnsiTheme="minorHAnsi" w:cstheme="minorBidi"/>
          <w:b w:val="0"/>
          <w:noProof/>
          <w:kern w:val="0"/>
          <w:sz w:val="22"/>
          <w:szCs w:val="22"/>
        </w:rPr>
      </w:pPr>
      <w:r>
        <w:rPr>
          <w:noProof/>
        </w:rPr>
        <w:t>Part 4—Other matters</w:t>
      </w:r>
      <w:r w:rsidRPr="005F6AD1">
        <w:rPr>
          <w:b w:val="0"/>
          <w:noProof/>
          <w:sz w:val="18"/>
        </w:rPr>
        <w:tab/>
      </w:r>
      <w:r w:rsidRPr="005F6AD1">
        <w:rPr>
          <w:b w:val="0"/>
          <w:noProof/>
          <w:sz w:val="18"/>
        </w:rPr>
        <w:fldChar w:fldCharType="begin"/>
      </w:r>
      <w:r w:rsidRPr="005F6AD1">
        <w:rPr>
          <w:b w:val="0"/>
          <w:noProof/>
          <w:sz w:val="18"/>
        </w:rPr>
        <w:instrText xml:space="preserve"> PAGEREF _Toc23516923 \h </w:instrText>
      </w:r>
      <w:r w:rsidRPr="005F6AD1">
        <w:rPr>
          <w:b w:val="0"/>
          <w:noProof/>
          <w:sz w:val="18"/>
        </w:rPr>
      </w:r>
      <w:r w:rsidRPr="005F6AD1">
        <w:rPr>
          <w:b w:val="0"/>
          <w:noProof/>
          <w:sz w:val="18"/>
        </w:rPr>
        <w:fldChar w:fldCharType="separate"/>
      </w:r>
      <w:r w:rsidR="00F455F9">
        <w:rPr>
          <w:b w:val="0"/>
          <w:noProof/>
          <w:sz w:val="18"/>
        </w:rPr>
        <w:t>7</w:t>
      </w:r>
      <w:r w:rsidRPr="005F6AD1">
        <w:rPr>
          <w:b w:val="0"/>
          <w:noProof/>
          <w:sz w:val="18"/>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10</w:t>
      </w:r>
      <w:r>
        <w:rPr>
          <w:noProof/>
        </w:rPr>
        <w:tab/>
        <w:t>Part 2 does not create or give rise to rights or obligations</w:t>
      </w:r>
      <w:r w:rsidRPr="005F6AD1">
        <w:rPr>
          <w:noProof/>
        </w:rPr>
        <w:tab/>
      </w:r>
      <w:r w:rsidRPr="005F6AD1">
        <w:rPr>
          <w:noProof/>
        </w:rPr>
        <w:fldChar w:fldCharType="begin"/>
      </w:r>
      <w:r w:rsidRPr="005F6AD1">
        <w:rPr>
          <w:noProof/>
        </w:rPr>
        <w:instrText xml:space="preserve"> PAGEREF _Toc23516924 \h </w:instrText>
      </w:r>
      <w:r w:rsidRPr="005F6AD1">
        <w:rPr>
          <w:noProof/>
        </w:rPr>
      </w:r>
      <w:r w:rsidRPr="005F6AD1">
        <w:rPr>
          <w:noProof/>
        </w:rPr>
        <w:fldChar w:fldCharType="separate"/>
      </w:r>
      <w:r w:rsidR="00F455F9">
        <w:rPr>
          <w:noProof/>
        </w:rPr>
        <w:t>7</w:t>
      </w:r>
      <w:r w:rsidRPr="005F6AD1">
        <w:rPr>
          <w:noProof/>
        </w:rPr>
        <w:fldChar w:fldCharType="end"/>
      </w:r>
    </w:p>
    <w:p w:rsidR="005F6AD1" w:rsidRDefault="005F6AD1">
      <w:pPr>
        <w:pStyle w:val="TOC5"/>
        <w:rPr>
          <w:rFonts w:asciiTheme="minorHAnsi" w:eastAsiaTheme="minorEastAsia" w:hAnsiTheme="minorHAnsi" w:cstheme="minorBidi"/>
          <w:noProof/>
          <w:kern w:val="0"/>
          <w:sz w:val="22"/>
          <w:szCs w:val="22"/>
        </w:rPr>
      </w:pPr>
      <w:r>
        <w:rPr>
          <w:noProof/>
        </w:rPr>
        <w:t>11</w:t>
      </w:r>
      <w:r>
        <w:rPr>
          <w:noProof/>
        </w:rPr>
        <w:tab/>
        <w:t>Act not intended to exclude similar State or Territory laws</w:t>
      </w:r>
      <w:r w:rsidRPr="005F6AD1">
        <w:rPr>
          <w:noProof/>
        </w:rPr>
        <w:tab/>
      </w:r>
      <w:r w:rsidRPr="005F6AD1">
        <w:rPr>
          <w:noProof/>
        </w:rPr>
        <w:fldChar w:fldCharType="begin"/>
      </w:r>
      <w:r w:rsidRPr="005F6AD1">
        <w:rPr>
          <w:noProof/>
        </w:rPr>
        <w:instrText xml:space="preserve"> PAGEREF _Toc23516925 \h </w:instrText>
      </w:r>
      <w:r w:rsidRPr="005F6AD1">
        <w:rPr>
          <w:noProof/>
        </w:rPr>
      </w:r>
      <w:r w:rsidRPr="005F6AD1">
        <w:rPr>
          <w:noProof/>
        </w:rPr>
        <w:fldChar w:fldCharType="separate"/>
      </w:r>
      <w:r w:rsidR="00F455F9">
        <w:rPr>
          <w:noProof/>
        </w:rPr>
        <w:t>7</w:t>
      </w:r>
      <w:r w:rsidRPr="005F6AD1">
        <w:rPr>
          <w:noProof/>
        </w:rPr>
        <w:fldChar w:fldCharType="end"/>
      </w:r>
    </w:p>
    <w:p w:rsidR="005F6AD1" w:rsidRDefault="005F6AD1">
      <w:pPr>
        <w:pStyle w:val="TOC1"/>
        <w:rPr>
          <w:rFonts w:asciiTheme="minorHAnsi" w:eastAsiaTheme="minorEastAsia" w:hAnsiTheme="minorHAnsi" w:cstheme="minorBidi"/>
          <w:b w:val="0"/>
          <w:noProof/>
          <w:kern w:val="0"/>
          <w:sz w:val="22"/>
          <w:szCs w:val="22"/>
        </w:rPr>
      </w:pPr>
      <w:r>
        <w:rPr>
          <w:noProof/>
        </w:rPr>
        <w:t>Schedule 1—Australian Defence Veterans’ Covenant</w:t>
      </w:r>
      <w:r w:rsidRPr="005F6AD1">
        <w:rPr>
          <w:b w:val="0"/>
          <w:noProof/>
          <w:sz w:val="18"/>
        </w:rPr>
        <w:tab/>
      </w:r>
      <w:r w:rsidRPr="005F6AD1">
        <w:rPr>
          <w:b w:val="0"/>
          <w:noProof/>
          <w:sz w:val="18"/>
        </w:rPr>
        <w:fldChar w:fldCharType="begin"/>
      </w:r>
      <w:r w:rsidRPr="005F6AD1">
        <w:rPr>
          <w:b w:val="0"/>
          <w:noProof/>
          <w:sz w:val="18"/>
        </w:rPr>
        <w:instrText xml:space="preserve"> PAGEREF _Toc23516926 \h </w:instrText>
      </w:r>
      <w:r w:rsidRPr="005F6AD1">
        <w:rPr>
          <w:b w:val="0"/>
          <w:noProof/>
          <w:sz w:val="18"/>
        </w:rPr>
      </w:r>
      <w:r w:rsidRPr="005F6AD1">
        <w:rPr>
          <w:b w:val="0"/>
          <w:noProof/>
          <w:sz w:val="18"/>
        </w:rPr>
        <w:fldChar w:fldCharType="separate"/>
      </w:r>
      <w:r w:rsidR="00F455F9">
        <w:rPr>
          <w:b w:val="0"/>
          <w:noProof/>
          <w:sz w:val="18"/>
        </w:rPr>
        <w:t>8</w:t>
      </w:r>
      <w:r w:rsidRPr="005F6AD1">
        <w:rPr>
          <w:b w:val="0"/>
          <w:noProof/>
          <w:sz w:val="18"/>
        </w:rPr>
        <w:fldChar w:fldCharType="end"/>
      </w:r>
    </w:p>
    <w:p w:rsidR="00AA1E3A" w:rsidRPr="005D2A31" w:rsidRDefault="005F6AD1" w:rsidP="00AA1E3A">
      <w:r>
        <w:fldChar w:fldCharType="end"/>
      </w:r>
    </w:p>
    <w:p w:rsidR="00AA1E3A" w:rsidRPr="005D2A31" w:rsidRDefault="00AA1E3A" w:rsidP="00AA1E3A">
      <w:pPr>
        <w:sectPr w:rsidR="00AA1E3A" w:rsidRPr="005D2A31" w:rsidSect="001C685B">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1C685B" w:rsidRDefault="001C685B">
      <w:r>
        <w:object w:dxaOrig="2146" w:dyaOrig="1561">
          <v:shape id="_x0000_i1026" type="#_x0000_t75" alt="Commonwealth Coat of Arms of Australia" style="width:110.2pt;height:80.15pt" o:ole="" fillcolor="window">
            <v:imagedata r:id="rId9" o:title=""/>
          </v:shape>
          <o:OLEObject Type="Embed" ProgID="Word.Picture.8" ShapeID="_x0000_i1026" DrawAspect="Content" ObjectID="_1634129977" r:id="rId22"/>
        </w:object>
      </w:r>
    </w:p>
    <w:p w:rsidR="001C685B" w:rsidRDefault="001C685B"/>
    <w:p w:rsidR="001C685B" w:rsidRDefault="001C685B" w:rsidP="001C685B">
      <w:pPr>
        <w:spacing w:line="240" w:lineRule="auto"/>
      </w:pPr>
    </w:p>
    <w:p w:rsidR="001C685B" w:rsidRDefault="00F455F9" w:rsidP="001C685B">
      <w:pPr>
        <w:pStyle w:val="ShortTP1"/>
      </w:pPr>
      <w:r>
        <w:fldChar w:fldCharType="begin"/>
      </w:r>
      <w:r>
        <w:instrText xml:space="preserve"> STYLEREF ShortT </w:instrText>
      </w:r>
      <w:r>
        <w:fldChar w:fldCharType="separate"/>
      </w:r>
      <w:r>
        <w:rPr>
          <w:noProof/>
        </w:rPr>
        <w:t>Australian Veterans’ Recognition (Putting Veterans and Their Families First) Act 2019</w:t>
      </w:r>
      <w:r>
        <w:rPr>
          <w:noProof/>
        </w:rPr>
        <w:fldChar w:fldCharType="end"/>
      </w:r>
    </w:p>
    <w:p w:rsidR="001C685B" w:rsidRDefault="00F455F9" w:rsidP="001C685B">
      <w:pPr>
        <w:pStyle w:val="ActNoP1"/>
      </w:pPr>
      <w:r>
        <w:fldChar w:fldCharType="begin"/>
      </w:r>
      <w:r>
        <w:instrText xml:space="preserve"> STYLEREF Actno </w:instrText>
      </w:r>
      <w:r>
        <w:fldChar w:fldCharType="separate"/>
      </w:r>
      <w:r>
        <w:rPr>
          <w:noProof/>
        </w:rPr>
        <w:t>No. 96, 2019</w:t>
      </w:r>
      <w:r>
        <w:rPr>
          <w:noProof/>
        </w:rPr>
        <w:fldChar w:fldCharType="end"/>
      </w:r>
    </w:p>
    <w:p w:rsidR="001C685B" w:rsidRPr="009A0728" w:rsidRDefault="001C685B" w:rsidP="001C685B">
      <w:pPr>
        <w:pBdr>
          <w:bottom w:val="single" w:sz="6" w:space="0" w:color="auto"/>
        </w:pBdr>
        <w:spacing w:before="400" w:line="240" w:lineRule="auto"/>
        <w:rPr>
          <w:rFonts w:eastAsia="Times New Roman"/>
          <w:b/>
          <w:sz w:val="28"/>
        </w:rPr>
      </w:pPr>
    </w:p>
    <w:p w:rsidR="001C685B" w:rsidRPr="009A0728" w:rsidRDefault="001C685B" w:rsidP="001C685B">
      <w:pPr>
        <w:spacing w:line="40" w:lineRule="exact"/>
        <w:rPr>
          <w:rFonts w:eastAsia="Calibri"/>
          <w:b/>
          <w:sz w:val="28"/>
        </w:rPr>
      </w:pPr>
    </w:p>
    <w:p w:rsidR="001C685B" w:rsidRPr="009A0728" w:rsidRDefault="001C685B" w:rsidP="001C685B">
      <w:pPr>
        <w:pBdr>
          <w:top w:val="single" w:sz="12" w:space="0" w:color="auto"/>
        </w:pBdr>
        <w:spacing w:line="240" w:lineRule="auto"/>
        <w:rPr>
          <w:rFonts w:eastAsia="Times New Roman"/>
          <w:b/>
          <w:sz w:val="28"/>
        </w:rPr>
      </w:pPr>
    </w:p>
    <w:p w:rsidR="00AA1E3A" w:rsidRPr="005D2A31" w:rsidRDefault="001C685B" w:rsidP="005D2A31">
      <w:pPr>
        <w:pStyle w:val="Page1"/>
      </w:pPr>
      <w:r>
        <w:t>An Act</w:t>
      </w:r>
      <w:r w:rsidR="005D2A31" w:rsidRPr="005D2A31">
        <w:t xml:space="preserve"> to provide for the recognition of veterans, and for related purposes</w:t>
      </w:r>
    </w:p>
    <w:p w:rsidR="008F273E" w:rsidRPr="008F273E" w:rsidRDefault="008F273E" w:rsidP="008F273E">
      <w:pPr>
        <w:pStyle w:val="AssentDt"/>
        <w:spacing w:before="240"/>
        <w:rPr>
          <w:sz w:val="24"/>
        </w:rPr>
      </w:pPr>
      <w:r>
        <w:rPr>
          <w:sz w:val="24"/>
        </w:rPr>
        <w:t>[</w:t>
      </w:r>
      <w:r>
        <w:rPr>
          <w:i/>
          <w:sz w:val="24"/>
        </w:rPr>
        <w:t>Assented to 30 October 2019</w:t>
      </w:r>
      <w:r>
        <w:rPr>
          <w:sz w:val="24"/>
        </w:rPr>
        <w:t>]</w:t>
      </w:r>
    </w:p>
    <w:p w:rsidR="00AA1E3A" w:rsidRPr="005D2A31" w:rsidRDefault="00AA1E3A" w:rsidP="005D2A31">
      <w:pPr>
        <w:spacing w:before="240" w:line="240" w:lineRule="auto"/>
        <w:rPr>
          <w:sz w:val="32"/>
        </w:rPr>
      </w:pPr>
      <w:r w:rsidRPr="005D2A31">
        <w:rPr>
          <w:sz w:val="32"/>
        </w:rPr>
        <w:t>The Parliament of Australia enacts:</w:t>
      </w:r>
    </w:p>
    <w:p w:rsidR="00AA1E3A" w:rsidRPr="005D2A31" w:rsidRDefault="00AA1E3A" w:rsidP="005D2A31">
      <w:pPr>
        <w:pStyle w:val="ActHead2"/>
      </w:pPr>
      <w:bookmarkStart w:id="1" w:name="_Toc23516911"/>
      <w:r w:rsidRPr="005D2A31">
        <w:rPr>
          <w:rStyle w:val="CharPartNo"/>
        </w:rPr>
        <w:lastRenderedPageBreak/>
        <w:t>Part</w:t>
      </w:r>
      <w:r w:rsidR="005D2A31" w:rsidRPr="005D2A31">
        <w:rPr>
          <w:rStyle w:val="CharPartNo"/>
        </w:rPr>
        <w:t> </w:t>
      </w:r>
      <w:r w:rsidRPr="005D2A31">
        <w:rPr>
          <w:rStyle w:val="CharPartNo"/>
        </w:rPr>
        <w:t>1</w:t>
      </w:r>
      <w:r w:rsidRPr="005D2A31">
        <w:t>—</w:t>
      </w:r>
      <w:r w:rsidRPr="005D2A31">
        <w:rPr>
          <w:rStyle w:val="CharPartText"/>
        </w:rPr>
        <w:t>Preliminary</w:t>
      </w:r>
      <w:bookmarkEnd w:id="1"/>
    </w:p>
    <w:p w:rsidR="00AA1E3A" w:rsidRPr="005D2A31" w:rsidRDefault="00AA1E3A" w:rsidP="005D2A31">
      <w:pPr>
        <w:pStyle w:val="Header"/>
      </w:pPr>
      <w:r w:rsidRPr="005D2A31">
        <w:rPr>
          <w:rStyle w:val="CharDivNo"/>
        </w:rPr>
        <w:t xml:space="preserve"> </w:t>
      </w:r>
      <w:r w:rsidRPr="005D2A31">
        <w:rPr>
          <w:rStyle w:val="CharDivText"/>
        </w:rPr>
        <w:t xml:space="preserve"> </w:t>
      </w:r>
    </w:p>
    <w:p w:rsidR="00AA1E3A" w:rsidRPr="005D2A31" w:rsidRDefault="00AA1E3A" w:rsidP="005D2A31">
      <w:pPr>
        <w:pStyle w:val="ActHead5"/>
      </w:pPr>
      <w:bookmarkStart w:id="2" w:name="_Toc23516912"/>
      <w:r w:rsidRPr="005D2A31">
        <w:rPr>
          <w:rStyle w:val="CharSectno"/>
        </w:rPr>
        <w:t>1</w:t>
      </w:r>
      <w:r w:rsidRPr="005D2A31">
        <w:t xml:space="preserve">  Short title</w:t>
      </w:r>
      <w:bookmarkEnd w:id="2"/>
    </w:p>
    <w:p w:rsidR="00AA1E3A" w:rsidRPr="005D2A31" w:rsidRDefault="00AA1E3A" w:rsidP="005D2A31">
      <w:pPr>
        <w:pStyle w:val="subsection"/>
      </w:pPr>
      <w:r w:rsidRPr="005D2A31">
        <w:tab/>
      </w:r>
      <w:r w:rsidRPr="005D2A31">
        <w:tab/>
        <w:t xml:space="preserve">This Act is the </w:t>
      </w:r>
      <w:r w:rsidRPr="005D2A31">
        <w:rPr>
          <w:i/>
        </w:rPr>
        <w:t xml:space="preserve">Australian Veterans’ Recognition (Putting Veterans and </w:t>
      </w:r>
      <w:r w:rsidR="00E23819" w:rsidRPr="005D2A31">
        <w:rPr>
          <w:i/>
        </w:rPr>
        <w:t>T</w:t>
      </w:r>
      <w:r w:rsidRPr="005D2A31">
        <w:rPr>
          <w:i/>
        </w:rPr>
        <w:t>heir Families First) Act 2019.</w:t>
      </w:r>
    </w:p>
    <w:p w:rsidR="00AA1E3A" w:rsidRPr="005D2A31" w:rsidRDefault="00AA1E3A" w:rsidP="005D2A31">
      <w:pPr>
        <w:pStyle w:val="ActHead5"/>
      </w:pPr>
      <w:bookmarkStart w:id="3" w:name="_Toc23516913"/>
      <w:r w:rsidRPr="005D2A31">
        <w:rPr>
          <w:rStyle w:val="CharSectno"/>
        </w:rPr>
        <w:t>2</w:t>
      </w:r>
      <w:r w:rsidRPr="005D2A31">
        <w:t xml:space="preserve">  Commencement</w:t>
      </w:r>
      <w:bookmarkEnd w:id="3"/>
    </w:p>
    <w:p w:rsidR="00AA1E3A" w:rsidRPr="005D2A31" w:rsidRDefault="00AA1E3A" w:rsidP="005D2A31">
      <w:pPr>
        <w:pStyle w:val="subsection"/>
      </w:pPr>
      <w:r w:rsidRPr="005D2A31">
        <w:tab/>
        <w:t>(1)</w:t>
      </w:r>
      <w:r w:rsidRPr="005D2A31">
        <w:tab/>
        <w:t>Each provision of this Act specified in column 1 of the table commences, or is taken to have commenced, in accordance with column 2 of the table. Any other statement in column 2 has effect according to its terms.</w:t>
      </w:r>
    </w:p>
    <w:p w:rsidR="00AA1E3A" w:rsidRPr="005D2A31" w:rsidRDefault="00AA1E3A" w:rsidP="005D2A3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A1E3A" w:rsidRPr="005D2A31" w:rsidTr="00ED5936">
        <w:trPr>
          <w:tblHeader/>
        </w:trPr>
        <w:tc>
          <w:tcPr>
            <w:tcW w:w="7111" w:type="dxa"/>
            <w:gridSpan w:val="3"/>
            <w:tcBorders>
              <w:top w:val="single" w:sz="12" w:space="0" w:color="auto"/>
              <w:bottom w:val="single" w:sz="2" w:space="0" w:color="auto"/>
            </w:tcBorders>
            <w:shd w:val="clear" w:color="auto" w:fill="auto"/>
            <w:hideMark/>
          </w:tcPr>
          <w:p w:rsidR="00AA1E3A" w:rsidRPr="005D2A31" w:rsidRDefault="00AA1E3A" w:rsidP="005D2A31">
            <w:pPr>
              <w:pStyle w:val="TableHeading"/>
            </w:pPr>
            <w:r w:rsidRPr="005D2A31">
              <w:t>Commencement information</w:t>
            </w:r>
          </w:p>
        </w:tc>
      </w:tr>
      <w:tr w:rsidR="00AA1E3A" w:rsidRPr="005D2A31" w:rsidTr="00ED5936">
        <w:trPr>
          <w:tblHeader/>
        </w:trPr>
        <w:tc>
          <w:tcPr>
            <w:tcW w:w="1701" w:type="dxa"/>
            <w:tcBorders>
              <w:top w:val="single" w:sz="2" w:space="0" w:color="auto"/>
              <w:bottom w:val="single" w:sz="2" w:space="0" w:color="auto"/>
            </w:tcBorders>
            <w:shd w:val="clear" w:color="auto" w:fill="auto"/>
            <w:hideMark/>
          </w:tcPr>
          <w:p w:rsidR="00AA1E3A" w:rsidRPr="005D2A31" w:rsidRDefault="00AA1E3A" w:rsidP="005D2A31">
            <w:pPr>
              <w:pStyle w:val="TableHeading"/>
            </w:pPr>
            <w:r w:rsidRPr="005D2A31">
              <w:t>Column 1</w:t>
            </w:r>
          </w:p>
        </w:tc>
        <w:tc>
          <w:tcPr>
            <w:tcW w:w="3828" w:type="dxa"/>
            <w:tcBorders>
              <w:top w:val="single" w:sz="2" w:space="0" w:color="auto"/>
              <w:bottom w:val="single" w:sz="2" w:space="0" w:color="auto"/>
            </w:tcBorders>
            <w:shd w:val="clear" w:color="auto" w:fill="auto"/>
            <w:hideMark/>
          </w:tcPr>
          <w:p w:rsidR="00AA1E3A" w:rsidRPr="005D2A31" w:rsidRDefault="00AA1E3A" w:rsidP="005D2A31">
            <w:pPr>
              <w:pStyle w:val="TableHeading"/>
            </w:pPr>
            <w:r w:rsidRPr="005D2A31">
              <w:t>Column 2</w:t>
            </w:r>
          </w:p>
        </w:tc>
        <w:tc>
          <w:tcPr>
            <w:tcW w:w="1582" w:type="dxa"/>
            <w:tcBorders>
              <w:top w:val="single" w:sz="2" w:space="0" w:color="auto"/>
              <w:bottom w:val="single" w:sz="2" w:space="0" w:color="auto"/>
            </w:tcBorders>
            <w:shd w:val="clear" w:color="auto" w:fill="auto"/>
            <w:hideMark/>
          </w:tcPr>
          <w:p w:rsidR="00AA1E3A" w:rsidRPr="005D2A31" w:rsidRDefault="00AA1E3A" w:rsidP="005D2A31">
            <w:pPr>
              <w:pStyle w:val="TableHeading"/>
            </w:pPr>
            <w:r w:rsidRPr="005D2A31">
              <w:t>Column 3</w:t>
            </w:r>
          </w:p>
        </w:tc>
      </w:tr>
      <w:tr w:rsidR="00AA1E3A" w:rsidRPr="005D2A31" w:rsidTr="00ED5936">
        <w:trPr>
          <w:tblHeader/>
        </w:trPr>
        <w:tc>
          <w:tcPr>
            <w:tcW w:w="1701" w:type="dxa"/>
            <w:tcBorders>
              <w:top w:val="single" w:sz="2" w:space="0" w:color="auto"/>
              <w:bottom w:val="single" w:sz="12" w:space="0" w:color="auto"/>
            </w:tcBorders>
            <w:shd w:val="clear" w:color="auto" w:fill="auto"/>
            <w:hideMark/>
          </w:tcPr>
          <w:p w:rsidR="00AA1E3A" w:rsidRPr="005D2A31" w:rsidRDefault="00AA1E3A" w:rsidP="005D2A31">
            <w:pPr>
              <w:pStyle w:val="TableHeading"/>
            </w:pPr>
            <w:r w:rsidRPr="005D2A31">
              <w:t>Provisions</w:t>
            </w:r>
          </w:p>
        </w:tc>
        <w:tc>
          <w:tcPr>
            <w:tcW w:w="3828" w:type="dxa"/>
            <w:tcBorders>
              <w:top w:val="single" w:sz="2" w:space="0" w:color="auto"/>
              <w:bottom w:val="single" w:sz="12" w:space="0" w:color="auto"/>
            </w:tcBorders>
            <w:shd w:val="clear" w:color="auto" w:fill="auto"/>
            <w:hideMark/>
          </w:tcPr>
          <w:p w:rsidR="00AA1E3A" w:rsidRPr="005D2A31" w:rsidRDefault="00AA1E3A" w:rsidP="005D2A31">
            <w:pPr>
              <w:pStyle w:val="TableHeading"/>
            </w:pPr>
            <w:r w:rsidRPr="005D2A31">
              <w:t>Commencement</w:t>
            </w:r>
          </w:p>
        </w:tc>
        <w:tc>
          <w:tcPr>
            <w:tcW w:w="1582" w:type="dxa"/>
            <w:tcBorders>
              <w:top w:val="single" w:sz="2" w:space="0" w:color="auto"/>
              <w:bottom w:val="single" w:sz="12" w:space="0" w:color="auto"/>
            </w:tcBorders>
            <w:shd w:val="clear" w:color="auto" w:fill="auto"/>
            <w:hideMark/>
          </w:tcPr>
          <w:p w:rsidR="00AA1E3A" w:rsidRPr="005D2A31" w:rsidRDefault="00AA1E3A" w:rsidP="005D2A31">
            <w:pPr>
              <w:pStyle w:val="TableHeading"/>
            </w:pPr>
            <w:r w:rsidRPr="005D2A31">
              <w:t>Date/Details</w:t>
            </w:r>
          </w:p>
        </w:tc>
      </w:tr>
      <w:tr w:rsidR="00AA1E3A" w:rsidRPr="005D2A31" w:rsidTr="00ED5936">
        <w:tc>
          <w:tcPr>
            <w:tcW w:w="1701" w:type="dxa"/>
            <w:tcBorders>
              <w:top w:val="single" w:sz="12" w:space="0" w:color="auto"/>
              <w:bottom w:val="single" w:sz="12" w:space="0" w:color="auto"/>
            </w:tcBorders>
            <w:shd w:val="clear" w:color="auto" w:fill="auto"/>
            <w:hideMark/>
          </w:tcPr>
          <w:p w:rsidR="00AA1E3A" w:rsidRPr="005D2A31" w:rsidRDefault="00AA1E3A" w:rsidP="005D2A31">
            <w:pPr>
              <w:pStyle w:val="Tabletext"/>
            </w:pPr>
            <w:r w:rsidRPr="005D2A31">
              <w:t>1.  The whole of this Act</w:t>
            </w:r>
          </w:p>
        </w:tc>
        <w:tc>
          <w:tcPr>
            <w:tcW w:w="3828" w:type="dxa"/>
            <w:tcBorders>
              <w:top w:val="single" w:sz="12" w:space="0" w:color="auto"/>
              <w:bottom w:val="single" w:sz="12" w:space="0" w:color="auto"/>
            </w:tcBorders>
            <w:shd w:val="clear" w:color="auto" w:fill="auto"/>
            <w:hideMark/>
          </w:tcPr>
          <w:p w:rsidR="00AA1E3A" w:rsidRPr="005D2A31" w:rsidRDefault="00AA1E3A" w:rsidP="005D2A31">
            <w:pPr>
              <w:pStyle w:val="Tabletext"/>
            </w:pPr>
            <w:r w:rsidRPr="005D2A31">
              <w:t>The day after this Act receives the Royal Assent.</w:t>
            </w:r>
          </w:p>
        </w:tc>
        <w:tc>
          <w:tcPr>
            <w:tcW w:w="1582" w:type="dxa"/>
            <w:tcBorders>
              <w:top w:val="single" w:sz="12" w:space="0" w:color="auto"/>
              <w:bottom w:val="single" w:sz="12" w:space="0" w:color="auto"/>
            </w:tcBorders>
            <w:shd w:val="clear" w:color="auto" w:fill="auto"/>
          </w:tcPr>
          <w:p w:rsidR="00AA1E3A" w:rsidRPr="005D2A31" w:rsidRDefault="008F273E" w:rsidP="005D2A31">
            <w:pPr>
              <w:pStyle w:val="Tabletext"/>
            </w:pPr>
            <w:r>
              <w:t>31 October 2019</w:t>
            </w:r>
          </w:p>
        </w:tc>
      </w:tr>
    </w:tbl>
    <w:p w:rsidR="00AA1E3A" w:rsidRPr="005D2A31" w:rsidRDefault="00AA1E3A" w:rsidP="005D2A31">
      <w:pPr>
        <w:pStyle w:val="notetext"/>
      </w:pPr>
      <w:r w:rsidRPr="005D2A31">
        <w:rPr>
          <w:snapToGrid w:val="0"/>
          <w:lang w:eastAsia="en-US"/>
        </w:rPr>
        <w:t>Note:</w:t>
      </w:r>
      <w:r w:rsidRPr="005D2A31">
        <w:rPr>
          <w:snapToGrid w:val="0"/>
          <w:lang w:eastAsia="en-US"/>
        </w:rPr>
        <w:tab/>
        <w:t>This table relates only to the provisions of this Act as originally enacted. It will not be amended to deal with any later amendments of this Act.</w:t>
      </w:r>
    </w:p>
    <w:p w:rsidR="00AA1E3A" w:rsidRPr="005D2A31" w:rsidRDefault="00AA1E3A" w:rsidP="005D2A31">
      <w:pPr>
        <w:pStyle w:val="subsection"/>
      </w:pPr>
      <w:r w:rsidRPr="005D2A31">
        <w:tab/>
        <w:t>(2)</w:t>
      </w:r>
      <w:r w:rsidRPr="005D2A31">
        <w:tab/>
        <w:t>Any information in column 3 of the table is not part of this Act. Information may be inserted in this column, or information in it may be edited, in any published version of this Act.</w:t>
      </w:r>
    </w:p>
    <w:p w:rsidR="00AA1E3A" w:rsidRPr="005D2A31" w:rsidRDefault="00AA1E3A" w:rsidP="005D2A31">
      <w:pPr>
        <w:pStyle w:val="ActHead5"/>
      </w:pPr>
      <w:bookmarkStart w:id="4" w:name="_Toc23516914"/>
      <w:r w:rsidRPr="005D2A31">
        <w:rPr>
          <w:rStyle w:val="CharSectno"/>
        </w:rPr>
        <w:t>3</w:t>
      </w:r>
      <w:r w:rsidRPr="005D2A31">
        <w:t xml:space="preserve">  Object of this Act</w:t>
      </w:r>
      <w:bookmarkEnd w:id="4"/>
    </w:p>
    <w:p w:rsidR="00AA1E3A" w:rsidRPr="005D2A31" w:rsidRDefault="00AA1E3A" w:rsidP="005D2A31">
      <w:pPr>
        <w:pStyle w:val="subsection"/>
      </w:pPr>
      <w:r w:rsidRPr="005D2A31">
        <w:tab/>
      </w:r>
      <w:r w:rsidRPr="005D2A31">
        <w:tab/>
        <w:t>The object of this Act is to acknowledge the unique nature of military service and the sacrifice demanded of those who commit to defend our nation.</w:t>
      </w:r>
    </w:p>
    <w:p w:rsidR="00AA1E3A" w:rsidRPr="005D2A31" w:rsidRDefault="00AA1E3A" w:rsidP="005D2A31">
      <w:pPr>
        <w:pStyle w:val="ActHead5"/>
      </w:pPr>
      <w:bookmarkStart w:id="5" w:name="_Toc23516915"/>
      <w:r w:rsidRPr="005D2A31">
        <w:rPr>
          <w:rStyle w:val="CharSectno"/>
        </w:rPr>
        <w:t>4</w:t>
      </w:r>
      <w:r w:rsidRPr="005D2A31">
        <w:t xml:space="preserve">  Definitions</w:t>
      </w:r>
      <w:bookmarkEnd w:id="5"/>
    </w:p>
    <w:p w:rsidR="00AA1E3A" w:rsidRPr="005D2A31" w:rsidRDefault="00AA1E3A" w:rsidP="005D2A31">
      <w:pPr>
        <w:pStyle w:val="subsection"/>
      </w:pPr>
      <w:r w:rsidRPr="005D2A31">
        <w:tab/>
      </w:r>
      <w:r w:rsidRPr="005D2A31">
        <w:tab/>
        <w:t>In this Act:</w:t>
      </w:r>
    </w:p>
    <w:p w:rsidR="00AA1E3A" w:rsidRPr="005D2A31" w:rsidRDefault="00AA1E3A" w:rsidP="005D2A31">
      <w:pPr>
        <w:pStyle w:val="Definition"/>
        <w:rPr>
          <w:b/>
          <w:i/>
        </w:rPr>
      </w:pPr>
      <w:r w:rsidRPr="005D2A31">
        <w:rPr>
          <w:b/>
          <w:i/>
        </w:rPr>
        <w:lastRenderedPageBreak/>
        <w:t>Permanent Forces</w:t>
      </w:r>
      <w:r w:rsidRPr="005D2A31">
        <w:t xml:space="preserve"> has the same meaning as in the </w:t>
      </w:r>
      <w:r w:rsidRPr="005D2A31">
        <w:rPr>
          <w:i/>
        </w:rPr>
        <w:t>Defence Act 1903</w:t>
      </w:r>
      <w:r w:rsidRPr="005D2A31">
        <w:t>.</w:t>
      </w:r>
    </w:p>
    <w:p w:rsidR="00AA1E3A" w:rsidRPr="005D2A31" w:rsidRDefault="00AA1E3A" w:rsidP="005D2A31">
      <w:pPr>
        <w:pStyle w:val="Definition"/>
        <w:rPr>
          <w:b/>
          <w:i/>
        </w:rPr>
      </w:pPr>
      <w:r w:rsidRPr="005D2A31">
        <w:rPr>
          <w:b/>
          <w:i/>
        </w:rPr>
        <w:t>Reserves</w:t>
      </w:r>
      <w:r w:rsidRPr="005D2A31">
        <w:t xml:space="preserve"> has the same meaning as in the </w:t>
      </w:r>
      <w:r w:rsidRPr="005D2A31">
        <w:rPr>
          <w:i/>
        </w:rPr>
        <w:t>Defence Act 1903</w:t>
      </w:r>
      <w:r w:rsidRPr="005D2A31">
        <w:t>.</w:t>
      </w:r>
    </w:p>
    <w:p w:rsidR="00AA1E3A" w:rsidRPr="005D2A31" w:rsidRDefault="00AA1E3A" w:rsidP="005D2A31">
      <w:pPr>
        <w:pStyle w:val="Definition"/>
      </w:pPr>
      <w:r w:rsidRPr="005D2A31">
        <w:rPr>
          <w:b/>
          <w:i/>
        </w:rPr>
        <w:t xml:space="preserve">veteran </w:t>
      </w:r>
      <w:r w:rsidRPr="005D2A31">
        <w:t>means a person who has served, or is serving, as a member of the Permanent Forces or as a member of the Reserves.</w:t>
      </w:r>
    </w:p>
    <w:p w:rsidR="00AA1E3A" w:rsidRPr="005D2A31" w:rsidRDefault="00AA1E3A" w:rsidP="005D2A31">
      <w:pPr>
        <w:pStyle w:val="ActHead2"/>
        <w:pageBreakBefore/>
      </w:pPr>
      <w:bookmarkStart w:id="6" w:name="_Toc23516916"/>
      <w:r w:rsidRPr="005D2A31">
        <w:rPr>
          <w:rStyle w:val="CharPartNo"/>
        </w:rPr>
        <w:lastRenderedPageBreak/>
        <w:t>Part</w:t>
      </w:r>
      <w:r w:rsidR="005D2A31" w:rsidRPr="005D2A31">
        <w:rPr>
          <w:rStyle w:val="CharPartNo"/>
        </w:rPr>
        <w:t> </w:t>
      </w:r>
      <w:r w:rsidRPr="005D2A31">
        <w:rPr>
          <w:rStyle w:val="CharPartNo"/>
        </w:rPr>
        <w:t>2</w:t>
      </w:r>
      <w:r w:rsidRPr="005D2A31">
        <w:t>—</w:t>
      </w:r>
      <w:r w:rsidRPr="005D2A31">
        <w:rPr>
          <w:rStyle w:val="CharPartText"/>
        </w:rPr>
        <w:t>Recognition of veterans and their families</w:t>
      </w:r>
      <w:bookmarkEnd w:id="6"/>
    </w:p>
    <w:p w:rsidR="00AA1E3A" w:rsidRPr="005D2A31" w:rsidRDefault="00AA1E3A" w:rsidP="005D2A31">
      <w:pPr>
        <w:pStyle w:val="Header"/>
      </w:pPr>
      <w:r w:rsidRPr="005D2A31">
        <w:rPr>
          <w:rStyle w:val="CharDivNo"/>
        </w:rPr>
        <w:t xml:space="preserve"> </w:t>
      </w:r>
      <w:r w:rsidRPr="005D2A31">
        <w:rPr>
          <w:rStyle w:val="CharDivText"/>
        </w:rPr>
        <w:t xml:space="preserve"> </w:t>
      </w:r>
    </w:p>
    <w:p w:rsidR="00AA1E3A" w:rsidRPr="005D2A31" w:rsidRDefault="00AA1E3A" w:rsidP="005D2A31">
      <w:pPr>
        <w:pStyle w:val="ActHead5"/>
      </w:pPr>
      <w:bookmarkStart w:id="7" w:name="_Toc23516917"/>
      <w:r w:rsidRPr="005D2A31">
        <w:rPr>
          <w:rStyle w:val="CharSectno"/>
        </w:rPr>
        <w:t>5</w:t>
      </w:r>
      <w:r w:rsidRPr="005D2A31">
        <w:t xml:space="preserve">  General recognition</w:t>
      </w:r>
      <w:bookmarkEnd w:id="7"/>
    </w:p>
    <w:p w:rsidR="00AA1E3A" w:rsidRPr="005D2A31" w:rsidRDefault="00AA1E3A" w:rsidP="005D2A31">
      <w:pPr>
        <w:pStyle w:val="subsection"/>
      </w:pPr>
      <w:r w:rsidRPr="005D2A31">
        <w:tab/>
        <w:t>(1)</w:t>
      </w:r>
      <w:r w:rsidRPr="005D2A31">
        <w:tab/>
        <w:t>The Commonwealth acknowledges the unique nature of military service and the sacrifice demanded of those who commit to defend our nation.</w:t>
      </w:r>
    </w:p>
    <w:p w:rsidR="00AA1E3A" w:rsidRPr="005D2A31" w:rsidRDefault="00AA1E3A" w:rsidP="005D2A31">
      <w:pPr>
        <w:pStyle w:val="subsection"/>
      </w:pPr>
      <w:r w:rsidRPr="005D2A31">
        <w:tab/>
        <w:t>(2)</w:t>
      </w:r>
      <w:r w:rsidRPr="005D2A31">
        <w:tab/>
        <w:t>The Commonwealth acknowledges the demands placed on, and the sacrifices made by, the families of veterans.</w:t>
      </w:r>
    </w:p>
    <w:p w:rsidR="00AA1E3A" w:rsidRPr="005D2A31" w:rsidRDefault="00AA1E3A" w:rsidP="005D2A31">
      <w:pPr>
        <w:pStyle w:val="subsection"/>
      </w:pPr>
      <w:r w:rsidRPr="005D2A31">
        <w:tab/>
        <w:t>(3)</w:t>
      </w:r>
      <w:r w:rsidRPr="005D2A31">
        <w:tab/>
        <w:t>The Commonwealth acknowledges that veterans may require support mechanisms to enjoy good health, to access employment and training opportunities, to access appropriate housing, to have access to justice, to enjoy social wellbeing or to participate in community engagement after the end of their military service.</w:t>
      </w:r>
    </w:p>
    <w:p w:rsidR="00AA1E3A" w:rsidRPr="005D2A31" w:rsidRDefault="00AA1E3A" w:rsidP="005D2A31">
      <w:pPr>
        <w:pStyle w:val="subsection"/>
      </w:pPr>
      <w:r w:rsidRPr="005D2A31">
        <w:tab/>
        <w:t>(4)</w:t>
      </w:r>
      <w:r w:rsidRPr="005D2A31">
        <w:tab/>
        <w:t>The Commonwealth is committed to supporting veterans and providing the care and support they require.</w:t>
      </w:r>
    </w:p>
    <w:p w:rsidR="00AA1E3A" w:rsidRPr="005D2A31" w:rsidRDefault="00AA1E3A" w:rsidP="005D2A31">
      <w:pPr>
        <w:pStyle w:val="subsection"/>
      </w:pPr>
      <w:r w:rsidRPr="005D2A31">
        <w:tab/>
        <w:t>(5)</w:t>
      </w:r>
      <w:r w:rsidRPr="005D2A31">
        <w:tab/>
        <w:t>The Commonwealth acknowledges that support for veterans should be provided in a way that respects their dignity as individuals, enhances their self</w:t>
      </w:r>
      <w:r w:rsidR="00273EB8">
        <w:noBreakHyphen/>
      </w:r>
      <w:r w:rsidRPr="005D2A31">
        <w:t>esteem, is sensitive to any physical or mental injury or disease they may have suffered and respects their military service.</w:t>
      </w:r>
    </w:p>
    <w:p w:rsidR="00AA1E3A" w:rsidRPr="005D2A31" w:rsidRDefault="00AA1E3A" w:rsidP="005D2A31">
      <w:pPr>
        <w:pStyle w:val="subsection"/>
      </w:pPr>
      <w:r w:rsidRPr="005D2A31">
        <w:tab/>
        <w:t>(6)</w:t>
      </w:r>
      <w:r w:rsidRPr="005D2A31">
        <w:tab/>
        <w:t>The Commonwealth acknowledges that veterans should be supported to achieve greater economic wellbeing and sustainability and greater participation in civic affairs and should have opportunities to participate in employment and education.</w:t>
      </w:r>
    </w:p>
    <w:p w:rsidR="00AA1E3A" w:rsidRPr="005D2A31" w:rsidRDefault="00AA1E3A" w:rsidP="005D2A31">
      <w:pPr>
        <w:pStyle w:val="ActHead5"/>
      </w:pPr>
      <w:bookmarkStart w:id="8" w:name="_Toc23516918"/>
      <w:r w:rsidRPr="005D2A31">
        <w:rPr>
          <w:rStyle w:val="CharSectno"/>
        </w:rPr>
        <w:t>6</w:t>
      </w:r>
      <w:r w:rsidRPr="005D2A31">
        <w:t xml:space="preserve">  Australian Defence Veterans’ Covenant</w:t>
      </w:r>
      <w:bookmarkEnd w:id="8"/>
    </w:p>
    <w:p w:rsidR="00AA1E3A" w:rsidRPr="005D2A31" w:rsidRDefault="00AA1E3A" w:rsidP="005D2A31">
      <w:pPr>
        <w:pStyle w:val="subsection"/>
      </w:pPr>
      <w:r w:rsidRPr="005D2A31">
        <w:tab/>
      </w:r>
      <w:r w:rsidRPr="005D2A31">
        <w:tab/>
        <w:t>The Parliament, on behalf of the people of Australia, endorses the Australian Defence Veterans’ Covenant set out in Schedule</w:t>
      </w:r>
      <w:r w:rsidR="005D2A31" w:rsidRPr="005D2A31">
        <w:t> </w:t>
      </w:r>
      <w:r w:rsidRPr="005D2A31">
        <w:t>1.</w:t>
      </w:r>
    </w:p>
    <w:p w:rsidR="00AA1E3A" w:rsidRPr="005D2A31" w:rsidRDefault="00AA1E3A" w:rsidP="005D2A31">
      <w:pPr>
        <w:pStyle w:val="ActHead5"/>
      </w:pPr>
      <w:bookmarkStart w:id="9" w:name="_Toc23516919"/>
      <w:r w:rsidRPr="005D2A31">
        <w:rPr>
          <w:rStyle w:val="CharSectno"/>
        </w:rPr>
        <w:lastRenderedPageBreak/>
        <w:t>7</w:t>
      </w:r>
      <w:r w:rsidRPr="005D2A31">
        <w:t xml:space="preserve">  Beneficial interpretation of legislation</w:t>
      </w:r>
      <w:bookmarkEnd w:id="9"/>
    </w:p>
    <w:p w:rsidR="00AA1E3A" w:rsidRPr="005D2A31" w:rsidRDefault="00AA1E3A" w:rsidP="005D2A31">
      <w:pPr>
        <w:pStyle w:val="subsection"/>
      </w:pPr>
      <w:r w:rsidRPr="005D2A31">
        <w:tab/>
        <w:t>(1)</w:t>
      </w:r>
      <w:r w:rsidRPr="005D2A31">
        <w:tab/>
        <w:t>The Commonwealth is committed to decision</w:t>
      </w:r>
      <w:r w:rsidR="00273EB8">
        <w:noBreakHyphen/>
      </w:r>
      <w:r w:rsidRPr="005D2A31">
        <w:t>makers interpreting a provision of the following legislation in a way that benefits veterans, or their families, where that interpretation is consistent with the purpose of that provision:</w:t>
      </w:r>
    </w:p>
    <w:p w:rsidR="00AA1E3A" w:rsidRPr="005D2A31" w:rsidRDefault="00AA1E3A" w:rsidP="005D2A31">
      <w:pPr>
        <w:pStyle w:val="paragraph"/>
      </w:pPr>
      <w:r w:rsidRPr="005D2A31">
        <w:tab/>
        <w:t>(a)</w:t>
      </w:r>
      <w:r w:rsidRPr="005D2A31">
        <w:tab/>
        <w:t xml:space="preserve">the </w:t>
      </w:r>
      <w:r w:rsidRPr="005D2A31">
        <w:rPr>
          <w:i/>
        </w:rPr>
        <w:t>Veterans’ Entitlements Act 1986</w:t>
      </w:r>
      <w:r w:rsidRPr="005D2A31">
        <w:t>;</w:t>
      </w:r>
    </w:p>
    <w:p w:rsidR="00AA1E3A" w:rsidRPr="005D2A31" w:rsidRDefault="00AA1E3A" w:rsidP="005D2A31">
      <w:pPr>
        <w:pStyle w:val="paragraph"/>
      </w:pPr>
      <w:r w:rsidRPr="005D2A31">
        <w:tab/>
        <w:t>(b)</w:t>
      </w:r>
      <w:r w:rsidRPr="005D2A31">
        <w:tab/>
        <w:t xml:space="preserve">the </w:t>
      </w:r>
      <w:r w:rsidRPr="005D2A31">
        <w:rPr>
          <w:i/>
        </w:rPr>
        <w:t>Military Rehabilitation and Compensation Act 2004</w:t>
      </w:r>
      <w:r w:rsidR="00556FE2">
        <w:rPr>
          <w:i/>
        </w:rPr>
        <w:t xml:space="preserve"> </w:t>
      </w:r>
      <w:r w:rsidR="00556FE2" w:rsidRPr="003C35D7">
        <w:t xml:space="preserve">(the </w:t>
      </w:r>
      <w:r w:rsidR="00556FE2" w:rsidRPr="003C35D7">
        <w:rPr>
          <w:b/>
          <w:i/>
        </w:rPr>
        <w:t>MRC Act</w:t>
      </w:r>
      <w:r w:rsidR="00556FE2">
        <w:t>)</w:t>
      </w:r>
      <w:r w:rsidRPr="005D2A31">
        <w:t>;</w:t>
      </w:r>
    </w:p>
    <w:p w:rsidR="00AA1E3A" w:rsidRPr="005D2A31" w:rsidRDefault="00AA1E3A" w:rsidP="005D2A31">
      <w:pPr>
        <w:pStyle w:val="paragraph"/>
      </w:pPr>
      <w:r w:rsidRPr="005D2A31">
        <w:tab/>
        <w:t>(c)</w:t>
      </w:r>
      <w:r w:rsidRPr="005D2A31">
        <w:tab/>
        <w:t xml:space="preserve">the </w:t>
      </w:r>
      <w:r w:rsidRPr="005D2A31">
        <w:rPr>
          <w:i/>
        </w:rPr>
        <w:t>Safety, Rehabilitation and Compensation (Defence</w:t>
      </w:r>
      <w:r w:rsidR="00273EB8">
        <w:rPr>
          <w:i/>
        </w:rPr>
        <w:noBreakHyphen/>
      </w:r>
      <w:r w:rsidRPr="005D2A31">
        <w:rPr>
          <w:i/>
        </w:rPr>
        <w:t>related Claims) Act 1988</w:t>
      </w:r>
      <w:r w:rsidRPr="005D2A31">
        <w:t>;</w:t>
      </w:r>
    </w:p>
    <w:p w:rsidR="00AA1E3A" w:rsidRPr="005D2A31" w:rsidRDefault="00AA1E3A" w:rsidP="005D2A31">
      <w:pPr>
        <w:pStyle w:val="paragraph"/>
      </w:pPr>
      <w:r w:rsidRPr="005D2A31">
        <w:tab/>
        <w:t>(d)</w:t>
      </w:r>
      <w:r w:rsidRPr="005D2A31">
        <w:tab/>
        <w:t>instruments under those Acts.</w:t>
      </w:r>
    </w:p>
    <w:p w:rsidR="00AA1E3A" w:rsidRPr="005D2A31" w:rsidRDefault="00AA1E3A" w:rsidP="005D2A31">
      <w:pPr>
        <w:pStyle w:val="subsection"/>
      </w:pPr>
      <w:r w:rsidRPr="005D2A31">
        <w:tab/>
        <w:t>(2)</w:t>
      </w:r>
      <w:r w:rsidRPr="005D2A31">
        <w:tab/>
        <w:t>The Commonwealth is committed to decision</w:t>
      </w:r>
      <w:r w:rsidR="00273EB8">
        <w:noBreakHyphen/>
      </w:r>
      <w:r w:rsidRPr="005D2A31">
        <w:t>makers deciding claims under that legislation:</w:t>
      </w:r>
    </w:p>
    <w:p w:rsidR="00AA1E3A" w:rsidRPr="005D2A31" w:rsidRDefault="00AA1E3A" w:rsidP="005D2A31">
      <w:pPr>
        <w:pStyle w:val="paragraph"/>
      </w:pPr>
      <w:r w:rsidRPr="005D2A31">
        <w:tab/>
        <w:t>(a)</w:t>
      </w:r>
      <w:r w:rsidRPr="005D2A31">
        <w:tab/>
        <w:t>in a manner that is fair, just and consistent; and</w:t>
      </w:r>
    </w:p>
    <w:p w:rsidR="00AA1E3A" w:rsidRPr="005D2A31" w:rsidRDefault="00AA1E3A" w:rsidP="005D2A31">
      <w:pPr>
        <w:pStyle w:val="paragraph"/>
      </w:pPr>
      <w:r w:rsidRPr="005D2A31">
        <w:tab/>
        <w:t>(b)</w:t>
      </w:r>
      <w:r w:rsidRPr="005D2A31">
        <w:tab/>
      </w:r>
      <w:r w:rsidR="00556FE2" w:rsidRPr="003C35D7">
        <w:t>except under the MRC Act—</w:t>
      </w:r>
      <w:r w:rsidRPr="005D2A31">
        <w:t>within a time that is proportionate to the complexity of the matter; and</w:t>
      </w:r>
    </w:p>
    <w:p w:rsidR="00AA1E3A" w:rsidRPr="005D2A31" w:rsidRDefault="00AA1E3A" w:rsidP="005D2A31">
      <w:pPr>
        <w:pStyle w:val="paragraph"/>
      </w:pPr>
      <w:r w:rsidRPr="005D2A31">
        <w:tab/>
        <w:t>(c)</w:t>
      </w:r>
      <w:r w:rsidRPr="005D2A31">
        <w:tab/>
        <w:t>in a manner that promotes public trust and confidence; and</w:t>
      </w:r>
    </w:p>
    <w:p w:rsidR="00AA1E3A" w:rsidRDefault="00AA1E3A" w:rsidP="005D2A31">
      <w:pPr>
        <w:pStyle w:val="paragraph"/>
      </w:pPr>
      <w:r w:rsidRPr="005D2A31">
        <w:tab/>
        <w:t>(d)</w:t>
      </w:r>
      <w:r w:rsidRPr="005D2A31">
        <w:tab/>
        <w:t>on the basis of only requiring evidence sufficient to meet the relevant standard of proof for the claims.</w:t>
      </w:r>
    </w:p>
    <w:p w:rsidR="00556FE2" w:rsidRPr="003C35D7" w:rsidRDefault="00556FE2" w:rsidP="00556FE2">
      <w:pPr>
        <w:pStyle w:val="subsection"/>
      </w:pPr>
      <w:r>
        <w:tab/>
      </w:r>
      <w:r w:rsidRPr="00556FE2">
        <w:t>(3)</w:t>
      </w:r>
      <w:r w:rsidRPr="00556FE2">
        <w:tab/>
        <w:t>The</w:t>
      </w:r>
      <w:r w:rsidRPr="003C35D7">
        <w:t xml:space="preserve"> Commonwealth is committed to the Military Rehabilitation and Compensation Commission deciding a claim under the MRC Act within 90 days beginning on:</w:t>
      </w:r>
    </w:p>
    <w:p w:rsidR="00556FE2" w:rsidRPr="003C35D7" w:rsidRDefault="00556FE2" w:rsidP="00556FE2">
      <w:pPr>
        <w:pStyle w:val="paragraph"/>
      </w:pPr>
      <w:r w:rsidRPr="003C35D7">
        <w:tab/>
        <w:t>(a)</w:t>
      </w:r>
      <w:r w:rsidRPr="003C35D7">
        <w:tab/>
        <w:t>the day the Commission receives the claim; or</w:t>
      </w:r>
    </w:p>
    <w:p w:rsidR="00556FE2" w:rsidRPr="003C35D7" w:rsidRDefault="00556FE2" w:rsidP="00556FE2">
      <w:pPr>
        <w:pStyle w:val="paragraph"/>
      </w:pPr>
      <w:r w:rsidRPr="003C35D7">
        <w:tab/>
        <w:t>(b)</w:t>
      </w:r>
      <w:r w:rsidRPr="003C35D7">
        <w:tab/>
        <w:t>the day the Commission receives information</w:t>
      </w:r>
      <w:r>
        <w:t>,</w:t>
      </w:r>
      <w:r w:rsidRPr="003C35D7">
        <w:t xml:space="preserve"> </w:t>
      </w:r>
      <w:r>
        <w:t xml:space="preserve">or a document, </w:t>
      </w:r>
      <w:r w:rsidRPr="003C35D7">
        <w:t>that the Commission requested in relation to the claim under section 330 of that Act;</w:t>
      </w:r>
    </w:p>
    <w:p w:rsidR="00556FE2" w:rsidRPr="003C35D7" w:rsidRDefault="00556FE2" w:rsidP="00556FE2">
      <w:pPr>
        <w:pStyle w:val="subsection2"/>
      </w:pPr>
      <w:r w:rsidRPr="003C35D7">
        <w:t>whichever occurs later.</w:t>
      </w:r>
    </w:p>
    <w:p w:rsidR="00AA1E3A" w:rsidRPr="005D2A31" w:rsidRDefault="00AA1E3A" w:rsidP="005D2A31">
      <w:pPr>
        <w:pStyle w:val="ActHead5"/>
      </w:pPr>
      <w:bookmarkStart w:id="10" w:name="_Toc23516920"/>
      <w:r w:rsidRPr="005D2A31">
        <w:rPr>
          <w:rStyle w:val="CharSectno"/>
        </w:rPr>
        <w:t>8</w:t>
      </w:r>
      <w:r w:rsidRPr="005D2A31">
        <w:t xml:space="preserve">  Cooperation</w:t>
      </w:r>
      <w:bookmarkEnd w:id="10"/>
    </w:p>
    <w:p w:rsidR="00AA1E3A" w:rsidRPr="005D2A31" w:rsidRDefault="00AA1E3A" w:rsidP="005D2A31">
      <w:pPr>
        <w:pStyle w:val="subsection"/>
      </w:pPr>
      <w:r w:rsidRPr="005D2A31">
        <w:rPr>
          <w:b/>
        </w:rPr>
        <w:tab/>
      </w:r>
      <w:r w:rsidRPr="005D2A31">
        <w:rPr>
          <w:b/>
        </w:rPr>
        <w:tab/>
      </w:r>
      <w:r w:rsidRPr="005D2A31">
        <w:t>The Commonwealth is committed to working cooperatively with veterans, their families and ex</w:t>
      </w:r>
      <w:r w:rsidR="00273EB8">
        <w:noBreakHyphen/>
      </w:r>
      <w:r w:rsidRPr="005D2A31">
        <w:t>service organisations to address issues facing veterans.</w:t>
      </w:r>
    </w:p>
    <w:p w:rsidR="00AA1E3A" w:rsidRPr="005D2A31" w:rsidRDefault="00AA1E3A" w:rsidP="005D2A31">
      <w:pPr>
        <w:pStyle w:val="ActHead2"/>
        <w:pageBreakBefore/>
      </w:pPr>
      <w:bookmarkStart w:id="11" w:name="_Toc23516921"/>
      <w:r w:rsidRPr="005D2A31">
        <w:rPr>
          <w:rStyle w:val="CharPartNo"/>
        </w:rPr>
        <w:lastRenderedPageBreak/>
        <w:t>Part</w:t>
      </w:r>
      <w:r w:rsidR="005D2A31" w:rsidRPr="005D2A31">
        <w:rPr>
          <w:rStyle w:val="CharPartNo"/>
        </w:rPr>
        <w:t> </w:t>
      </w:r>
      <w:r w:rsidRPr="005D2A31">
        <w:rPr>
          <w:rStyle w:val="CharPartNo"/>
        </w:rPr>
        <w:t>3</w:t>
      </w:r>
      <w:r w:rsidRPr="005D2A31">
        <w:t>—</w:t>
      </w:r>
      <w:r w:rsidRPr="005D2A31">
        <w:rPr>
          <w:rStyle w:val="CharPartText"/>
        </w:rPr>
        <w:t>Issue of pins, cards or other artefacts</w:t>
      </w:r>
      <w:bookmarkEnd w:id="11"/>
    </w:p>
    <w:p w:rsidR="00AA1E3A" w:rsidRPr="005D2A31" w:rsidRDefault="00AA1E3A" w:rsidP="005D2A31">
      <w:pPr>
        <w:pStyle w:val="Header"/>
      </w:pPr>
      <w:r w:rsidRPr="005D2A31">
        <w:rPr>
          <w:rStyle w:val="CharDivNo"/>
        </w:rPr>
        <w:t xml:space="preserve"> </w:t>
      </w:r>
      <w:r w:rsidRPr="005D2A31">
        <w:rPr>
          <w:rStyle w:val="CharDivText"/>
        </w:rPr>
        <w:t xml:space="preserve"> </w:t>
      </w:r>
    </w:p>
    <w:p w:rsidR="00AA1E3A" w:rsidRPr="005D2A31" w:rsidRDefault="00AA1E3A" w:rsidP="005D2A31">
      <w:pPr>
        <w:pStyle w:val="ActHead5"/>
      </w:pPr>
      <w:bookmarkStart w:id="12" w:name="_Toc23516922"/>
      <w:r w:rsidRPr="005D2A31">
        <w:rPr>
          <w:rStyle w:val="CharSectno"/>
        </w:rPr>
        <w:t>9</w:t>
      </w:r>
      <w:r w:rsidRPr="005D2A31">
        <w:t xml:space="preserve">  Issue of pins, cards or other artefacts</w:t>
      </w:r>
      <w:bookmarkEnd w:id="12"/>
    </w:p>
    <w:p w:rsidR="00AA1E3A" w:rsidRPr="005D2A31" w:rsidRDefault="00AA1E3A" w:rsidP="005D2A31">
      <w:pPr>
        <w:pStyle w:val="subsection"/>
      </w:pPr>
      <w:r w:rsidRPr="005D2A31">
        <w:tab/>
        <w:t>(1)</w:t>
      </w:r>
      <w:r w:rsidRPr="005D2A31">
        <w:tab/>
        <w:t>The Commonwealth may issue pins, cards or other artefacts to veterans in recognition of the military service of veterans.</w:t>
      </w:r>
    </w:p>
    <w:p w:rsidR="00AA1E3A" w:rsidRPr="005D2A31" w:rsidRDefault="00AA1E3A" w:rsidP="005D2A31">
      <w:pPr>
        <w:pStyle w:val="subsection"/>
      </w:pPr>
      <w:r w:rsidRPr="005D2A31">
        <w:tab/>
        <w:t>(2)</w:t>
      </w:r>
      <w:r w:rsidRPr="005D2A31">
        <w:tab/>
        <w:t>The Commonwealth may issue pins, cards or other artefacts to family members of veterans in recognition of:</w:t>
      </w:r>
    </w:p>
    <w:p w:rsidR="00AA1E3A" w:rsidRPr="005D2A31" w:rsidRDefault="00AA1E3A" w:rsidP="005D2A31">
      <w:pPr>
        <w:pStyle w:val="paragraph"/>
      </w:pPr>
      <w:r w:rsidRPr="005D2A31">
        <w:tab/>
        <w:t>(a)</w:t>
      </w:r>
      <w:r w:rsidRPr="005D2A31">
        <w:tab/>
        <w:t>the military service of veterans; or</w:t>
      </w:r>
    </w:p>
    <w:p w:rsidR="00AA1E3A" w:rsidRPr="005D2A31" w:rsidRDefault="00AA1E3A" w:rsidP="005D2A31">
      <w:pPr>
        <w:pStyle w:val="paragraph"/>
      </w:pPr>
      <w:r w:rsidRPr="005D2A31">
        <w:tab/>
        <w:t>(b)</w:t>
      </w:r>
      <w:r w:rsidRPr="005D2A31">
        <w:tab/>
        <w:t>the demands placed on, and the sacrifices made by, the families of veterans.</w:t>
      </w:r>
    </w:p>
    <w:p w:rsidR="00AA1E3A" w:rsidRPr="005D2A31" w:rsidRDefault="00AA1E3A" w:rsidP="005D2A31">
      <w:pPr>
        <w:pStyle w:val="ActHead2"/>
        <w:pageBreakBefore/>
      </w:pPr>
      <w:bookmarkStart w:id="13" w:name="_Toc23516923"/>
      <w:r w:rsidRPr="005D2A31">
        <w:rPr>
          <w:rStyle w:val="CharPartNo"/>
        </w:rPr>
        <w:lastRenderedPageBreak/>
        <w:t>Part</w:t>
      </w:r>
      <w:r w:rsidR="005D2A31" w:rsidRPr="005D2A31">
        <w:rPr>
          <w:rStyle w:val="CharPartNo"/>
        </w:rPr>
        <w:t> </w:t>
      </w:r>
      <w:r w:rsidRPr="005D2A31">
        <w:rPr>
          <w:rStyle w:val="CharPartNo"/>
        </w:rPr>
        <w:t>4</w:t>
      </w:r>
      <w:r w:rsidRPr="005D2A31">
        <w:t>—</w:t>
      </w:r>
      <w:r w:rsidRPr="005D2A31">
        <w:rPr>
          <w:rStyle w:val="CharPartText"/>
        </w:rPr>
        <w:t>Other matters</w:t>
      </w:r>
      <w:bookmarkEnd w:id="13"/>
    </w:p>
    <w:p w:rsidR="00AA1E3A" w:rsidRPr="005D2A31" w:rsidRDefault="00AA1E3A" w:rsidP="005D2A31">
      <w:pPr>
        <w:pStyle w:val="Header"/>
      </w:pPr>
      <w:r w:rsidRPr="005D2A31">
        <w:rPr>
          <w:rStyle w:val="CharDivNo"/>
        </w:rPr>
        <w:t xml:space="preserve"> </w:t>
      </w:r>
      <w:r w:rsidRPr="005D2A31">
        <w:rPr>
          <w:rStyle w:val="CharDivText"/>
        </w:rPr>
        <w:t xml:space="preserve"> </w:t>
      </w:r>
    </w:p>
    <w:p w:rsidR="00AA1E3A" w:rsidRPr="005D2A31" w:rsidRDefault="00AA1E3A" w:rsidP="005D2A31">
      <w:pPr>
        <w:pStyle w:val="ActHead5"/>
      </w:pPr>
      <w:bookmarkStart w:id="14" w:name="_Toc23516924"/>
      <w:r w:rsidRPr="005D2A31">
        <w:rPr>
          <w:rStyle w:val="CharSectno"/>
        </w:rPr>
        <w:t>10</w:t>
      </w:r>
      <w:r w:rsidRPr="005D2A31">
        <w:t xml:space="preserve">  Part</w:t>
      </w:r>
      <w:r w:rsidR="005D2A31" w:rsidRPr="005D2A31">
        <w:t> </w:t>
      </w:r>
      <w:r w:rsidRPr="005D2A31">
        <w:t>2 does not create or give rise to rights or obligations</w:t>
      </w:r>
      <w:bookmarkEnd w:id="14"/>
    </w:p>
    <w:p w:rsidR="00AA1E3A" w:rsidRPr="005D2A31" w:rsidRDefault="00AA1E3A" w:rsidP="005D2A31">
      <w:pPr>
        <w:pStyle w:val="subsection"/>
      </w:pPr>
      <w:r w:rsidRPr="005D2A31">
        <w:tab/>
        <w:t>(1)</w:t>
      </w:r>
      <w:r w:rsidRPr="005D2A31">
        <w:tab/>
        <w:t>Part</w:t>
      </w:r>
      <w:r w:rsidR="005D2A31" w:rsidRPr="005D2A31">
        <w:t> </w:t>
      </w:r>
      <w:r w:rsidRPr="005D2A31">
        <w:t>2 does not, by its terms or operation, create or give rise to any rights (whether substantive or procedural), or obligations, that are legally enforceable in judicial or other proceedings.</w:t>
      </w:r>
    </w:p>
    <w:p w:rsidR="00AA1E3A" w:rsidRPr="005D2A31" w:rsidRDefault="00AA1E3A" w:rsidP="005D2A31">
      <w:pPr>
        <w:pStyle w:val="subsection"/>
      </w:pPr>
      <w:r w:rsidRPr="005D2A31">
        <w:tab/>
        <w:t>(2)</w:t>
      </w:r>
      <w:r w:rsidRPr="005D2A31">
        <w:tab/>
        <w:t>A failure to comply with Part</w:t>
      </w:r>
      <w:r w:rsidR="005D2A31" w:rsidRPr="005D2A31">
        <w:t> </w:t>
      </w:r>
      <w:r w:rsidRPr="005D2A31">
        <w:t>2 does not affect the validity of any decision, and is not a ground for the review or challenge of any decision.</w:t>
      </w:r>
    </w:p>
    <w:p w:rsidR="00AA1E3A" w:rsidRPr="005D2A31" w:rsidRDefault="00AA1E3A" w:rsidP="005D2A31">
      <w:pPr>
        <w:pStyle w:val="subsection"/>
      </w:pPr>
      <w:r w:rsidRPr="005D2A31">
        <w:tab/>
        <w:t>(3)</w:t>
      </w:r>
      <w:r w:rsidRPr="005D2A31">
        <w:tab/>
        <w:t>No action, suit or proceeding is to be instituted in reliance on the terms of Part</w:t>
      </w:r>
      <w:r w:rsidR="005D2A31" w:rsidRPr="005D2A31">
        <w:t> </w:t>
      </w:r>
      <w:r w:rsidRPr="005D2A31">
        <w:t>2 or the operation of that Part.</w:t>
      </w:r>
    </w:p>
    <w:p w:rsidR="00AA1E3A" w:rsidRPr="005D2A31" w:rsidRDefault="00AA1E3A" w:rsidP="005D2A31">
      <w:pPr>
        <w:pStyle w:val="ActHead5"/>
      </w:pPr>
      <w:bookmarkStart w:id="15" w:name="_Toc23516925"/>
      <w:r w:rsidRPr="005D2A31">
        <w:rPr>
          <w:rStyle w:val="CharSectno"/>
        </w:rPr>
        <w:t>11</w:t>
      </w:r>
      <w:r w:rsidRPr="005D2A31">
        <w:t xml:space="preserve">  Act not intended to exclude similar State or Territory laws</w:t>
      </w:r>
      <w:bookmarkEnd w:id="15"/>
    </w:p>
    <w:p w:rsidR="00AA1E3A" w:rsidRPr="005D2A31" w:rsidRDefault="00AA1E3A" w:rsidP="005D2A31">
      <w:pPr>
        <w:pStyle w:val="subsection"/>
      </w:pPr>
      <w:r w:rsidRPr="005D2A31">
        <w:tab/>
      </w:r>
      <w:r w:rsidRPr="005D2A31">
        <w:tab/>
        <w:t>This Act is not intended to apply to the exclusion of any law of a State or Territory that provides for the recognition of veterans or their families.</w:t>
      </w:r>
    </w:p>
    <w:p w:rsidR="00AA1E3A" w:rsidRPr="005D2A31" w:rsidRDefault="00AA1E3A" w:rsidP="005D2A31">
      <w:pPr>
        <w:sectPr w:rsidR="00AA1E3A" w:rsidRPr="005D2A31" w:rsidSect="001C685B">
          <w:headerReference w:type="even" r:id="rId23"/>
          <w:headerReference w:type="default" r:id="rId24"/>
          <w:footerReference w:type="even" r:id="rId25"/>
          <w:footerReference w:type="default" r:id="rId26"/>
          <w:headerReference w:type="first" r:id="rId27"/>
          <w:footerReference w:type="first" r:id="rId28"/>
          <w:pgSz w:w="11907" w:h="16839" w:code="9"/>
          <w:pgMar w:top="2381" w:right="2409" w:bottom="4252" w:left="2409" w:header="720" w:footer="3402" w:gutter="0"/>
          <w:pgNumType w:start="1"/>
          <w:cols w:space="720"/>
          <w:titlePg/>
          <w:docGrid w:linePitch="299"/>
        </w:sectPr>
      </w:pPr>
    </w:p>
    <w:p w:rsidR="00AA1E3A" w:rsidRPr="005D2A31" w:rsidRDefault="00AA1E3A" w:rsidP="005D2A31">
      <w:pPr>
        <w:pStyle w:val="ActHead1"/>
      </w:pPr>
      <w:bookmarkStart w:id="16" w:name="_Toc23516926"/>
      <w:r w:rsidRPr="005D2A31">
        <w:rPr>
          <w:rStyle w:val="CharChapNo"/>
        </w:rPr>
        <w:lastRenderedPageBreak/>
        <w:t>Schedule</w:t>
      </w:r>
      <w:r w:rsidR="005D2A31" w:rsidRPr="005D2A31">
        <w:rPr>
          <w:rStyle w:val="CharChapNo"/>
        </w:rPr>
        <w:t> </w:t>
      </w:r>
      <w:r w:rsidRPr="005D2A31">
        <w:rPr>
          <w:rStyle w:val="CharChapNo"/>
        </w:rPr>
        <w:t>1</w:t>
      </w:r>
      <w:r w:rsidRPr="005D2A31">
        <w:t>—</w:t>
      </w:r>
      <w:r w:rsidRPr="005D2A31">
        <w:rPr>
          <w:rStyle w:val="CharChapText"/>
        </w:rPr>
        <w:t>Australian Defence Veterans’ Covenant</w:t>
      </w:r>
      <w:bookmarkEnd w:id="16"/>
    </w:p>
    <w:p w:rsidR="00AA1E3A" w:rsidRPr="005D2A31" w:rsidRDefault="00AA1E3A" w:rsidP="005D2A31">
      <w:pPr>
        <w:pStyle w:val="notemargin"/>
      </w:pPr>
      <w:r w:rsidRPr="005D2A31">
        <w:t>Note:</w:t>
      </w:r>
      <w:r w:rsidRPr="005D2A31">
        <w:tab/>
        <w:t>See section</w:t>
      </w:r>
      <w:r w:rsidR="005D2A31" w:rsidRPr="005D2A31">
        <w:t> </w:t>
      </w:r>
      <w:r w:rsidRPr="005D2A31">
        <w:t>6.</w:t>
      </w:r>
    </w:p>
    <w:p w:rsidR="00AA1E3A" w:rsidRPr="005D2A31" w:rsidRDefault="00AA1E3A" w:rsidP="005D2A31">
      <w:pPr>
        <w:pStyle w:val="Header"/>
      </w:pPr>
      <w:bookmarkStart w:id="17" w:name="f_Check_Lines_below"/>
      <w:bookmarkEnd w:id="17"/>
      <w:r w:rsidRPr="005D2A31">
        <w:rPr>
          <w:rStyle w:val="CharPartNo"/>
        </w:rPr>
        <w:t xml:space="preserve"> </w:t>
      </w:r>
      <w:r w:rsidRPr="005D2A31">
        <w:rPr>
          <w:rStyle w:val="CharPartText"/>
        </w:rPr>
        <w:t xml:space="preserve"> </w:t>
      </w:r>
    </w:p>
    <w:p w:rsidR="000035D9" w:rsidRPr="005D2A31" w:rsidRDefault="00AA1E3A" w:rsidP="005D2A31">
      <w:pPr>
        <w:sectPr w:rsidR="000035D9" w:rsidRPr="005D2A31" w:rsidSect="001C685B">
          <w:headerReference w:type="even" r:id="rId29"/>
          <w:headerReference w:type="default" r:id="rId30"/>
          <w:footerReference w:type="even" r:id="rId31"/>
          <w:footerReference w:type="default" r:id="rId32"/>
          <w:headerReference w:type="first" r:id="rId33"/>
          <w:footerReference w:type="first" r:id="rId34"/>
          <w:pgSz w:w="11907" w:h="16839" w:code="9"/>
          <w:pgMar w:top="1871" w:right="2409" w:bottom="4252" w:left="2409" w:header="720" w:footer="3402" w:gutter="0"/>
          <w:cols w:space="720"/>
          <w:docGrid w:linePitch="299"/>
        </w:sectPr>
      </w:pPr>
      <w:r w:rsidRPr="005D2A31">
        <w:rPr>
          <w:noProof/>
          <w:lang w:eastAsia="en-AU"/>
        </w:rPr>
        <w:drawing>
          <wp:inline distT="0" distB="0" distL="0" distR="0" wp14:anchorId="3DCC1051" wp14:editId="589AD2CF">
            <wp:extent cx="4314825" cy="50196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787 Covenant Oath_24.02 - colour - veterans - 12cm - whitespace copy.jpg"/>
                    <pic:cNvPicPr/>
                  </pic:nvPicPr>
                  <pic:blipFill rotWithShape="1">
                    <a:blip r:embed="rId35" cstate="print">
                      <a:extLst>
                        <a:ext uri="{28A0092B-C50C-407E-A947-70E740481C1C}">
                          <a14:useLocalDpi xmlns:a14="http://schemas.microsoft.com/office/drawing/2010/main" val="0"/>
                        </a:ext>
                      </a:extLst>
                    </a:blip>
                    <a:srcRect t="9048" b="8734"/>
                    <a:stretch/>
                  </pic:blipFill>
                  <pic:spPr bwMode="auto">
                    <a:xfrm>
                      <a:off x="0" y="0"/>
                      <a:ext cx="4319016" cy="5024551"/>
                    </a:xfrm>
                    <a:prstGeom prst="rect">
                      <a:avLst/>
                    </a:prstGeom>
                    <a:ln>
                      <a:noFill/>
                    </a:ln>
                    <a:extLst>
                      <a:ext uri="{53640926-AAD7-44D8-BBD7-CCE9431645EC}">
                        <a14:shadowObscured xmlns:a14="http://schemas.microsoft.com/office/drawing/2010/main"/>
                      </a:ext>
                    </a:extLst>
                  </pic:spPr>
                </pic:pic>
              </a:graphicData>
            </a:graphic>
          </wp:inline>
        </w:drawing>
      </w:r>
    </w:p>
    <w:p w:rsidR="001C685B" w:rsidRDefault="001C685B" w:rsidP="001C685B"/>
    <w:p w:rsidR="001C685B" w:rsidRDefault="001C685B" w:rsidP="001C685B">
      <w:pPr>
        <w:sectPr w:rsidR="001C685B" w:rsidSect="001C685B">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1871" w:right="2409" w:bottom="4252" w:left="2409" w:header="720" w:footer="3402" w:gutter="0"/>
          <w:cols w:space="720"/>
          <w:docGrid w:linePitch="299"/>
        </w:sectPr>
      </w:pPr>
    </w:p>
    <w:p w:rsidR="008F273E" w:rsidRDefault="008F273E" w:rsidP="000C5962">
      <w:pPr>
        <w:pStyle w:val="2ndRd"/>
        <w:keepNext/>
        <w:spacing w:line="260" w:lineRule="atLeast"/>
        <w:rPr>
          <w:i/>
        </w:rPr>
      </w:pPr>
      <w:r>
        <w:lastRenderedPageBreak/>
        <w:t>[</w:t>
      </w:r>
      <w:r>
        <w:rPr>
          <w:i/>
        </w:rPr>
        <w:t>Minister’s second reading speech made in—</w:t>
      </w:r>
    </w:p>
    <w:p w:rsidR="008F273E" w:rsidRDefault="008F273E" w:rsidP="000C5962">
      <w:pPr>
        <w:pStyle w:val="2ndRd"/>
        <w:keepNext/>
        <w:spacing w:line="260" w:lineRule="atLeast"/>
      </w:pPr>
      <w:r>
        <w:rPr>
          <w:i/>
        </w:rPr>
        <w:t>Senate on 4 July 2019</w:t>
      </w:r>
    </w:p>
    <w:p w:rsidR="008F273E" w:rsidRDefault="008F273E" w:rsidP="000C5962">
      <w:pPr>
        <w:pStyle w:val="2ndRd"/>
        <w:keepNext/>
        <w:spacing w:line="260" w:lineRule="atLeast"/>
        <w:rPr>
          <w:i/>
        </w:rPr>
      </w:pPr>
      <w:r>
        <w:rPr>
          <w:i/>
        </w:rPr>
        <w:t>House of Representatives on 21 October 2019</w:t>
      </w:r>
      <w:r>
        <w:t>]</w:t>
      </w:r>
    </w:p>
    <w:p w:rsidR="008F273E" w:rsidRDefault="008F273E" w:rsidP="008F273E">
      <w:pPr>
        <w:framePr w:hSpace="180" w:wrap="around" w:vAnchor="text" w:hAnchor="page" w:x="2388" w:y="9085"/>
      </w:pPr>
      <w:r>
        <w:t>(89/19)</w:t>
      </w:r>
    </w:p>
    <w:p w:rsidR="008F273E" w:rsidRDefault="008F273E"/>
    <w:sectPr w:rsidR="008F273E" w:rsidSect="001C685B">
      <w:headerReference w:type="even" r:id="rId42"/>
      <w:headerReference w:type="default" r:id="rId43"/>
      <w:footerReference w:type="even" r:id="rId44"/>
      <w:footerReference w:type="default" r:id="rId45"/>
      <w:headerReference w:type="first" r:id="rId46"/>
      <w:footerReference w:type="first" r:id="rId47"/>
      <w:pgSz w:w="11907" w:h="16839" w:code="9"/>
      <w:pgMar w:top="1871" w:right="2409" w:bottom="4252" w:left="2409"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5B" w:rsidRDefault="001C685B" w:rsidP="00715914">
      <w:pPr>
        <w:spacing w:line="240" w:lineRule="auto"/>
      </w:pPr>
      <w:r>
        <w:separator/>
      </w:r>
    </w:p>
  </w:endnote>
  <w:endnote w:type="continuationSeparator" w:id="0">
    <w:p w:rsidR="001C685B" w:rsidRDefault="001C68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5F1388" w:rsidRDefault="001C685B" w:rsidP="005D2A3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A961C4"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C685B" w:rsidTr="00080731">
      <w:tc>
        <w:tcPr>
          <w:tcW w:w="1247" w:type="dxa"/>
        </w:tcPr>
        <w:p w:rsidR="001C685B" w:rsidRDefault="001C685B" w:rsidP="001C685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c>
        <w:tcPr>
          <w:tcW w:w="5387" w:type="dxa"/>
        </w:tcPr>
        <w:p w:rsidR="001C685B" w:rsidRDefault="001C685B" w:rsidP="001C685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669" w:type="dxa"/>
        </w:tcPr>
        <w:p w:rsidR="001C685B" w:rsidRDefault="001C685B" w:rsidP="001C68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8</w:t>
          </w:r>
          <w:r w:rsidRPr="007A1328">
            <w:rPr>
              <w:i/>
              <w:sz w:val="18"/>
            </w:rPr>
            <w:fldChar w:fldCharType="end"/>
          </w:r>
        </w:p>
      </w:tc>
    </w:tr>
  </w:tbl>
  <w:p w:rsidR="001C685B" w:rsidRPr="00055B5C" w:rsidRDefault="001C685B" w:rsidP="00ED593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p w:rsidR="001C685B" w:rsidRDefault="001C685B">
    <w:pPr>
      <w:jc w:val="right"/>
      <w:rPr>
        <w:i/>
        <w:sz w:val="18"/>
      </w:rPr>
    </w:pPr>
    <w:r>
      <w:rPr>
        <w:i/>
        <w:sz w:val="18"/>
      </w:rPr>
      <w:fldChar w:fldCharType="begin"/>
    </w:r>
    <w:r>
      <w:rPr>
        <w:i/>
        <w:sz w:val="18"/>
      </w:rPr>
      <w:instrText xml:space="preserve"> DOCPROPERTY ShortT </w:instrText>
    </w:r>
    <w:r>
      <w:rPr>
        <w:i/>
        <w:sz w:val="18"/>
      </w:rPr>
      <w:fldChar w:fldCharType="separate"/>
    </w:r>
    <w:r w:rsidR="00F455F9">
      <w:rPr>
        <w:i/>
        <w:sz w:val="18"/>
      </w:rPr>
      <w:t>Australian Veterans’ Recognition (Putting Veterans and Their Families First) Act 2019</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F455F9">
      <w:rPr>
        <w:i/>
        <w:sz w:val="18"/>
      </w:rPr>
      <w:t>No. 96, 2019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455F9">
      <w:rPr>
        <w:i/>
        <w:noProof/>
        <w:sz w:val="18"/>
      </w:rPr>
      <w:t>8</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C685B" w:rsidTr="00080731">
      <w:tc>
        <w:tcPr>
          <w:tcW w:w="646" w:type="dxa"/>
        </w:tcPr>
        <w:p w:rsidR="001C685B" w:rsidRDefault="001C685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8</w:t>
          </w:r>
          <w:r w:rsidRPr="007A1328">
            <w:rPr>
              <w:i/>
              <w:sz w:val="18"/>
            </w:rPr>
            <w:fldChar w:fldCharType="end"/>
          </w:r>
        </w:p>
      </w:tc>
      <w:tc>
        <w:tcPr>
          <w:tcW w:w="5387" w:type="dxa"/>
        </w:tcPr>
        <w:p w:rsidR="001C685B" w:rsidRDefault="001C685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1270" w:type="dxa"/>
        </w:tcPr>
        <w:p w:rsidR="001C685B" w:rsidRDefault="001C685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r>
  </w:tbl>
  <w:p w:rsidR="001C685B" w:rsidRPr="007A1328" w:rsidRDefault="001C685B"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C685B" w:rsidTr="00080731">
      <w:tc>
        <w:tcPr>
          <w:tcW w:w="1247" w:type="dxa"/>
        </w:tcPr>
        <w:p w:rsidR="001C685B" w:rsidRDefault="001C685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c>
        <w:tcPr>
          <w:tcW w:w="5387" w:type="dxa"/>
        </w:tcPr>
        <w:p w:rsidR="001C685B" w:rsidRDefault="001C685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669" w:type="dxa"/>
        </w:tcPr>
        <w:p w:rsidR="001C685B" w:rsidRDefault="001C685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8</w:t>
          </w:r>
          <w:r w:rsidRPr="007A1328">
            <w:rPr>
              <w:i/>
              <w:sz w:val="18"/>
            </w:rPr>
            <w:fldChar w:fldCharType="end"/>
          </w:r>
        </w:p>
      </w:tc>
    </w:tr>
  </w:tbl>
  <w:p w:rsidR="001C685B" w:rsidRPr="007A1328" w:rsidRDefault="001C685B"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C685B" w:rsidTr="00080731">
      <w:tc>
        <w:tcPr>
          <w:tcW w:w="1247" w:type="dxa"/>
        </w:tcPr>
        <w:p w:rsidR="001C685B" w:rsidRDefault="001C685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c>
        <w:tcPr>
          <w:tcW w:w="5387" w:type="dxa"/>
        </w:tcPr>
        <w:p w:rsidR="001C685B" w:rsidRDefault="001C685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669" w:type="dxa"/>
        </w:tcPr>
        <w:p w:rsidR="001C685B" w:rsidRDefault="001C685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8</w:t>
          </w:r>
          <w:r w:rsidRPr="007A1328">
            <w:rPr>
              <w:i/>
              <w:sz w:val="18"/>
            </w:rPr>
            <w:fldChar w:fldCharType="end"/>
          </w:r>
        </w:p>
      </w:tc>
    </w:tr>
  </w:tbl>
  <w:p w:rsidR="001C685B" w:rsidRPr="007A1328" w:rsidRDefault="001C685B" w:rsidP="00212DDD">
    <w:pPr>
      <w:rPr>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C685B" w:rsidTr="00080731">
      <w:tc>
        <w:tcPr>
          <w:tcW w:w="646" w:type="dxa"/>
        </w:tcPr>
        <w:p w:rsidR="001C685B" w:rsidRDefault="001C685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8</w:t>
          </w:r>
          <w:r w:rsidRPr="007A1328">
            <w:rPr>
              <w:i/>
              <w:sz w:val="18"/>
            </w:rPr>
            <w:fldChar w:fldCharType="end"/>
          </w:r>
        </w:p>
      </w:tc>
      <w:tc>
        <w:tcPr>
          <w:tcW w:w="5387" w:type="dxa"/>
        </w:tcPr>
        <w:p w:rsidR="001C685B" w:rsidRDefault="001C685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1270" w:type="dxa"/>
        </w:tcPr>
        <w:p w:rsidR="001C685B" w:rsidRDefault="001C685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r>
  </w:tbl>
  <w:p w:rsidR="001C685B" w:rsidRPr="007A1328" w:rsidRDefault="001C685B" w:rsidP="00601309">
    <w:pPr>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C685B" w:rsidTr="00080731">
      <w:tc>
        <w:tcPr>
          <w:tcW w:w="1247" w:type="dxa"/>
        </w:tcPr>
        <w:p w:rsidR="001C685B" w:rsidRDefault="001C685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c>
        <w:tcPr>
          <w:tcW w:w="5387" w:type="dxa"/>
        </w:tcPr>
        <w:p w:rsidR="001C685B" w:rsidRDefault="001C685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669" w:type="dxa"/>
        </w:tcPr>
        <w:p w:rsidR="001C685B" w:rsidRDefault="001C685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9</w:t>
          </w:r>
          <w:r w:rsidRPr="007A1328">
            <w:rPr>
              <w:i/>
              <w:sz w:val="18"/>
            </w:rPr>
            <w:fldChar w:fldCharType="end"/>
          </w:r>
        </w:p>
      </w:tc>
    </w:tr>
  </w:tbl>
  <w:p w:rsidR="001C685B" w:rsidRPr="007A1328" w:rsidRDefault="001C685B" w:rsidP="00715914">
    <w:pPr>
      <w:rPr>
        <w:i/>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C685B" w:rsidTr="00080731">
      <w:tc>
        <w:tcPr>
          <w:tcW w:w="1247" w:type="dxa"/>
        </w:tcPr>
        <w:p w:rsidR="001C685B" w:rsidRDefault="001C685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c>
        <w:tcPr>
          <w:tcW w:w="5387" w:type="dxa"/>
        </w:tcPr>
        <w:p w:rsidR="001C685B" w:rsidRDefault="001C685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669" w:type="dxa"/>
        </w:tcPr>
        <w:p w:rsidR="001C685B" w:rsidRDefault="001C685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8</w:t>
          </w:r>
          <w:r w:rsidRPr="007A1328">
            <w:rPr>
              <w:i/>
              <w:sz w:val="18"/>
            </w:rPr>
            <w:fldChar w:fldCharType="end"/>
          </w:r>
        </w:p>
      </w:tc>
    </w:tr>
  </w:tbl>
  <w:p w:rsidR="001C685B" w:rsidRPr="007A1328" w:rsidRDefault="001C685B"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E" w:rsidRDefault="008F273E" w:rsidP="00CD12A5">
    <w:pPr>
      <w:pStyle w:val="ScalePlusRef"/>
    </w:pPr>
    <w:r>
      <w:t>Note: An electronic version of this Act is available on the Federal Register of Legislation (</w:t>
    </w:r>
    <w:hyperlink r:id="rId1" w:history="1">
      <w:r>
        <w:t>https://www.legislation.gov.au/</w:t>
      </w:r>
    </w:hyperlink>
    <w:r>
      <w:t>)</w:t>
    </w:r>
  </w:p>
  <w:p w:rsidR="008F273E" w:rsidRDefault="008F273E" w:rsidP="00CD12A5"/>
  <w:p w:rsidR="001C685B" w:rsidRDefault="001C685B" w:rsidP="005D2A31">
    <w:pPr>
      <w:pStyle w:val="Footer"/>
      <w:spacing w:before="120"/>
    </w:pPr>
  </w:p>
  <w:p w:rsidR="001C685B" w:rsidRPr="005F1388" w:rsidRDefault="001C685B" w:rsidP="000F7E10">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ED79B6" w:rsidRDefault="001C685B" w:rsidP="005D2A3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C685B" w:rsidTr="001C685B">
      <w:tc>
        <w:tcPr>
          <w:tcW w:w="646" w:type="dxa"/>
        </w:tcPr>
        <w:p w:rsidR="001C685B" w:rsidRDefault="001C685B" w:rsidP="001C685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55F9">
            <w:rPr>
              <w:i/>
              <w:noProof/>
              <w:sz w:val="18"/>
            </w:rPr>
            <w:t>viii</w:t>
          </w:r>
          <w:r w:rsidRPr="00ED79B6">
            <w:rPr>
              <w:i/>
              <w:sz w:val="18"/>
            </w:rPr>
            <w:fldChar w:fldCharType="end"/>
          </w:r>
        </w:p>
      </w:tc>
      <w:tc>
        <w:tcPr>
          <w:tcW w:w="5387" w:type="dxa"/>
        </w:tcPr>
        <w:p w:rsidR="001C685B" w:rsidRDefault="001C685B" w:rsidP="001C685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455F9">
            <w:rPr>
              <w:i/>
              <w:sz w:val="18"/>
            </w:rPr>
            <w:t>Australian Veterans’ Recognition (Putting Veterans and Their Families First) Act 2019</w:t>
          </w:r>
          <w:r w:rsidRPr="00ED79B6">
            <w:rPr>
              <w:i/>
              <w:sz w:val="18"/>
            </w:rPr>
            <w:fldChar w:fldCharType="end"/>
          </w:r>
        </w:p>
      </w:tc>
      <w:tc>
        <w:tcPr>
          <w:tcW w:w="1270" w:type="dxa"/>
        </w:tcPr>
        <w:p w:rsidR="001C685B" w:rsidRDefault="001C685B" w:rsidP="001C685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455F9">
            <w:rPr>
              <w:i/>
              <w:sz w:val="18"/>
            </w:rPr>
            <w:t>No. 96, 2019</w:t>
          </w:r>
          <w:r w:rsidRPr="00ED79B6">
            <w:rPr>
              <w:i/>
              <w:sz w:val="18"/>
            </w:rPr>
            <w:fldChar w:fldCharType="end"/>
          </w:r>
        </w:p>
      </w:tc>
    </w:tr>
  </w:tbl>
  <w:p w:rsidR="001C685B" w:rsidRPr="00ED79B6" w:rsidRDefault="001C685B" w:rsidP="000F7E1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ED79B6"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C685B" w:rsidTr="001C685B">
      <w:tc>
        <w:tcPr>
          <w:tcW w:w="1247" w:type="dxa"/>
        </w:tcPr>
        <w:p w:rsidR="001C685B" w:rsidRDefault="001C685B" w:rsidP="001C685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455F9">
            <w:rPr>
              <w:i/>
              <w:sz w:val="18"/>
            </w:rPr>
            <w:t>No. 96, 2019</w:t>
          </w:r>
          <w:r w:rsidRPr="00ED79B6">
            <w:rPr>
              <w:i/>
              <w:sz w:val="18"/>
            </w:rPr>
            <w:fldChar w:fldCharType="end"/>
          </w:r>
        </w:p>
      </w:tc>
      <w:tc>
        <w:tcPr>
          <w:tcW w:w="5387" w:type="dxa"/>
        </w:tcPr>
        <w:p w:rsidR="001C685B" w:rsidRDefault="001C685B" w:rsidP="001C685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455F9">
            <w:rPr>
              <w:i/>
              <w:sz w:val="18"/>
            </w:rPr>
            <w:t>Australian Veterans’ Recognition (Putting Veterans and Their Families First) Act 2019</w:t>
          </w:r>
          <w:r w:rsidRPr="00ED79B6">
            <w:rPr>
              <w:i/>
              <w:sz w:val="18"/>
            </w:rPr>
            <w:fldChar w:fldCharType="end"/>
          </w:r>
        </w:p>
      </w:tc>
      <w:tc>
        <w:tcPr>
          <w:tcW w:w="669" w:type="dxa"/>
        </w:tcPr>
        <w:p w:rsidR="001C685B" w:rsidRDefault="001C685B" w:rsidP="001C685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55F9">
            <w:rPr>
              <w:i/>
              <w:noProof/>
              <w:sz w:val="18"/>
            </w:rPr>
            <w:t>i</w:t>
          </w:r>
          <w:r w:rsidRPr="00ED79B6">
            <w:rPr>
              <w:i/>
              <w:sz w:val="18"/>
            </w:rPr>
            <w:fldChar w:fldCharType="end"/>
          </w:r>
        </w:p>
      </w:tc>
    </w:tr>
  </w:tbl>
  <w:p w:rsidR="001C685B" w:rsidRPr="00ED79B6" w:rsidRDefault="001C685B" w:rsidP="000F7E10">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C685B" w:rsidTr="00080731">
      <w:tc>
        <w:tcPr>
          <w:tcW w:w="646" w:type="dxa"/>
        </w:tcPr>
        <w:p w:rsidR="001C685B" w:rsidRDefault="001C685B" w:rsidP="001C685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6</w:t>
          </w:r>
          <w:r w:rsidRPr="007A1328">
            <w:rPr>
              <w:i/>
              <w:sz w:val="18"/>
            </w:rPr>
            <w:fldChar w:fldCharType="end"/>
          </w:r>
        </w:p>
      </w:tc>
      <w:tc>
        <w:tcPr>
          <w:tcW w:w="5387" w:type="dxa"/>
        </w:tcPr>
        <w:p w:rsidR="001C685B" w:rsidRDefault="001C685B" w:rsidP="001C685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1270" w:type="dxa"/>
        </w:tcPr>
        <w:p w:rsidR="001C685B" w:rsidRDefault="001C685B" w:rsidP="001C685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r>
  </w:tbl>
  <w:p w:rsidR="001C685B" w:rsidRPr="007A1328" w:rsidRDefault="001C685B" w:rsidP="000F7E10">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C685B" w:rsidTr="00080731">
      <w:tc>
        <w:tcPr>
          <w:tcW w:w="1247" w:type="dxa"/>
        </w:tcPr>
        <w:p w:rsidR="001C685B" w:rsidRDefault="001C685B" w:rsidP="001C685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c>
        <w:tcPr>
          <w:tcW w:w="5387" w:type="dxa"/>
        </w:tcPr>
        <w:p w:rsidR="001C685B" w:rsidRDefault="001C685B" w:rsidP="001C685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669" w:type="dxa"/>
        </w:tcPr>
        <w:p w:rsidR="001C685B" w:rsidRDefault="001C685B" w:rsidP="001C68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7</w:t>
          </w:r>
          <w:r w:rsidRPr="007A1328">
            <w:rPr>
              <w:i/>
              <w:sz w:val="18"/>
            </w:rPr>
            <w:fldChar w:fldCharType="end"/>
          </w:r>
        </w:p>
      </w:tc>
    </w:tr>
  </w:tbl>
  <w:p w:rsidR="001C685B" w:rsidRPr="007A1328" w:rsidRDefault="001C685B" w:rsidP="000F7E10">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5D2A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C685B" w:rsidTr="00080731">
      <w:tc>
        <w:tcPr>
          <w:tcW w:w="1247" w:type="dxa"/>
        </w:tcPr>
        <w:p w:rsidR="001C685B" w:rsidRDefault="001C685B" w:rsidP="001C685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c>
        <w:tcPr>
          <w:tcW w:w="5387" w:type="dxa"/>
        </w:tcPr>
        <w:p w:rsidR="001C685B" w:rsidRDefault="001C685B" w:rsidP="001C685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669" w:type="dxa"/>
        </w:tcPr>
        <w:p w:rsidR="001C685B" w:rsidRDefault="001C685B" w:rsidP="001C68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1</w:t>
          </w:r>
          <w:r w:rsidRPr="007A1328">
            <w:rPr>
              <w:i/>
              <w:sz w:val="18"/>
            </w:rPr>
            <w:fldChar w:fldCharType="end"/>
          </w:r>
        </w:p>
      </w:tc>
    </w:tr>
  </w:tbl>
  <w:p w:rsidR="001C685B" w:rsidRPr="007A1328" w:rsidRDefault="001C685B" w:rsidP="000F7E10">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A961C4" w:rsidRDefault="001C685B" w:rsidP="005D2A3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C685B" w:rsidTr="00ED5936">
      <w:tc>
        <w:tcPr>
          <w:tcW w:w="646" w:type="dxa"/>
        </w:tcPr>
        <w:p w:rsidR="001C685B" w:rsidRDefault="001C685B" w:rsidP="00ED593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55F9">
            <w:rPr>
              <w:i/>
              <w:noProof/>
              <w:sz w:val="18"/>
            </w:rPr>
            <w:t>8</w:t>
          </w:r>
          <w:r w:rsidRPr="007A1328">
            <w:rPr>
              <w:i/>
              <w:sz w:val="18"/>
            </w:rPr>
            <w:fldChar w:fldCharType="end"/>
          </w:r>
        </w:p>
      </w:tc>
      <w:tc>
        <w:tcPr>
          <w:tcW w:w="5387" w:type="dxa"/>
        </w:tcPr>
        <w:p w:rsidR="001C685B" w:rsidRDefault="001C685B" w:rsidP="00ED593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55F9">
            <w:rPr>
              <w:i/>
              <w:sz w:val="18"/>
            </w:rPr>
            <w:t>Australian Veterans’ Recognition (Putting Veterans and Their Families First) Act 2019</w:t>
          </w:r>
          <w:r w:rsidRPr="007A1328">
            <w:rPr>
              <w:i/>
              <w:sz w:val="18"/>
            </w:rPr>
            <w:fldChar w:fldCharType="end"/>
          </w:r>
        </w:p>
      </w:tc>
      <w:tc>
        <w:tcPr>
          <w:tcW w:w="1270" w:type="dxa"/>
        </w:tcPr>
        <w:p w:rsidR="001C685B" w:rsidRDefault="001C685B" w:rsidP="00ED593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55F9">
            <w:rPr>
              <w:i/>
              <w:sz w:val="18"/>
            </w:rPr>
            <w:t>No. 96, 2019</w:t>
          </w:r>
          <w:r w:rsidRPr="007A1328">
            <w:rPr>
              <w:i/>
              <w:sz w:val="18"/>
            </w:rPr>
            <w:fldChar w:fldCharType="end"/>
          </w:r>
        </w:p>
      </w:tc>
    </w:tr>
  </w:tbl>
  <w:p w:rsidR="001C685B" w:rsidRPr="00A961C4" w:rsidRDefault="001C685B" w:rsidP="00ED593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5B" w:rsidRDefault="001C685B" w:rsidP="00715914">
      <w:pPr>
        <w:spacing w:line="240" w:lineRule="auto"/>
      </w:pPr>
      <w:r>
        <w:separator/>
      </w:r>
    </w:p>
  </w:footnote>
  <w:footnote w:type="continuationSeparator" w:id="0">
    <w:p w:rsidR="001C685B" w:rsidRDefault="001C685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5F1388" w:rsidRDefault="001C685B" w:rsidP="000F7E1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pPr>
      <w:rPr>
        <w:sz w:val="20"/>
      </w:rPr>
    </w:pPr>
    <w:r>
      <w:rPr>
        <w:b/>
        <w:sz w:val="20"/>
      </w:rPr>
      <w:fldChar w:fldCharType="begin"/>
    </w:r>
    <w:r>
      <w:rPr>
        <w:b/>
        <w:sz w:val="20"/>
      </w:rPr>
      <w:instrText xml:space="preserve"> STYLEREF CharChapNo </w:instrText>
    </w:r>
    <w:r w:rsidR="00F455F9">
      <w:rPr>
        <w:b/>
        <w:sz w:val="20"/>
      </w:rPr>
      <w:fldChar w:fldCharType="separate"/>
    </w:r>
    <w:r w:rsidR="00F455F9">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F455F9">
      <w:rPr>
        <w:sz w:val="20"/>
      </w:rPr>
      <w:fldChar w:fldCharType="separate"/>
    </w:r>
    <w:r w:rsidR="00F455F9">
      <w:rPr>
        <w:noProof/>
        <w:sz w:val="20"/>
      </w:rPr>
      <w:t>Australian Defence Veterans’ Covenant</w:t>
    </w:r>
    <w:r>
      <w:rPr>
        <w:sz w:val="20"/>
      </w:rPr>
      <w:fldChar w:fldCharType="end"/>
    </w:r>
  </w:p>
  <w:p w:rsidR="001C685B" w:rsidRDefault="001C685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C685B" w:rsidRDefault="001C685B">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C685B" w:rsidRDefault="001C685B" w:rsidP="00ED5936">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ED593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C685B" w:rsidRDefault="001C685B" w:rsidP="00ED5936">
    <w:pPr>
      <w:pBdr>
        <w:bottom w:val="single" w:sz="6" w:space="1" w:color="auto"/>
      </w:pBdr>
      <w:jc w:val="right"/>
      <w:rPr>
        <w:b/>
        <w:sz w:val="20"/>
      </w:rPr>
    </w:pPr>
    <w:r>
      <w:rPr>
        <w:sz w:val="20"/>
      </w:rPr>
      <w:fldChar w:fldCharType="begin"/>
    </w:r>
    <w:r>
      <w:rPr>
        <w:sz w:val="20"/>
      </w:rPr>
      <w:instrText xml:space="preserve"> STYLEREF CharPartText </w:instrText>
    </w:r>
    <w:r w:rsidR="00F455F9">
      <w:rPr>
        <w:sz w:val="20"/>
      </w:rPr>
      <w:fldChar w:fldCharType="separate"/>
    </w:r>
    <w:r w:rsidR="00F455F9">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sidR="00F455F9">
      <w:rPr>
        <w:b/>
        <w:sz w:val="20"/>
      </w:rPr>
      <w:fldChar w:fldCharType="separate"/>
    </w:r>
    <w:r w:rsidR="00F455F9">
      <w:rPr>
        <w:b/>
        <w:noProof/>
        <w:sz w:val="20"/>
      </w:rPr>
      <w:t>Part 4</w:t>
    </w:r>
    <w:r>
      <w:rPr>
        <w:b/>
        <w:sz w:val="20"/>
      </w:rPr>
      <w:fldChar w:fldCharType="end"/>
    </w:r>
  </w:p>
  <w:p w:rsidR="001C685B" w:rsidRDefault="001C685B" w:rsidP="00ED5936">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C685B" w:rsidRDefault="001C685B" w:rsidP="00ED5936">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455F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455F9">
      <w:rPr>
        <w:noProof/>
        <w:sz w:val="20"/>
      </w:rPr>
      <w:t>Australian Defence Veterans’ Covenant</w:t>
    </w:r>
    <w:r>
      <w:rPr>
        <w:sz w:val="20"/>
      </w:rPr>
      <w:fldChar w:fldCharType="end"/>
    </w:r>
  </w:p>
  <w:p w:rsidR="001C685B" w:rsidRDefault="001C685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C685B" w:rsidRPr="007A1328" w:rsidRDefault="001C685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C685B" w:rsidRPr="007A1328" w:rsidRDefault="001C685B" w:rsidP="00715914">
    <w:pPr>
      <w:rPr>
        <w:b/>
        <w:sz w:val="24"/>
      </w:rPr>
    </w:pPr>
  </w:p>
  <w:p w:rsidR="001C685B" w:rsidRPr="007A1328" w:rsidRDefault="001C685B"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455F9">
      <w:rPr>
        <w:noProof/>
        <w:sz w:val="24"/>
      </w:rPr>
      <w:t>11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7A1328" w:rsidRDefault="001C685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455F9">
      <w:rPr>
        <w:noProof/>
        <w:sz w:val="20"/>
      </w:rPr>
      <w:t>Australian Defence Veterans’ Covenant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455F9">
      <w:rPr>
        <w:b/>
        <w:noProof/>
        <w:sz w:val="20"/>
      </w:rPr>
      <w:t>Schedule 1</w:t>
    </w:r>
    <w:r>
      <w:rPr>
        <w:b/>
        <w:sz w:val="20"/>
      </w:rPr>
      <w:fldChar w:fldCharType="end"/>
    </w:r>
  </w:p>
  <w:p w:rsidR="001C685B" w:rsidRPr="007A1328" w:rsidRDefault="001C685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C685B" w:rsidRPr="007A1328" w:rsidRDefault="001C685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C685B" w:rsidRPr="007A1328" w:rsidRDefault="001C685B" w:rsidP="00715914">
    <w:pPr>
      <w:jc w:val="right"/>
      <w:rPr>
        <w:b/>
        <w:sz w:val="24"/>
      </w:rPr>
    </w:pPr>
  </w:p>
  <w:p w:rsidR="001C685B" w:rsidRPr="007A1328" w:rsidRDefault="001C685B"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455F9">
      <w:rPr>
        <w:noProof/>
        <w:sz w:val="24"/>
      </w:rPr>
      <w:t>11</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7A1328" w:rsidRDefault="001C685B" w:rsidP="0071591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715914">
    <w:pPr>
      <w:rPr>
        <w:sz w:val="20"/>
      </w:rPr>
    </w:pPr>
  </w:p>
  <w:p w:rsidR="001C685B" w:rsidRDefault="001C685B" w:rsidP="00715914">
    <w:pPr>
      <w:rPr>
        <w:sz w:val="20"/>
      </w:rPr>
    </w:pPr>
  </w:p>
  <w:p w:rsidR="001C685B" w:rsidRPr="007A1328" w:rsidRDefault="001C685B" w:rsidP="00715914">
    <w:pPr>
      <w:rPr>
        <w:sz w:val="20"/>
      </w:rPr>
    </w:pPr>
  </w:p>
  <w:p w:rsidR="001C685B" w:rsidRPr="007A1328" w:rsidRDefault="001C685B" w:rsidP="00715914">
    <w:pPr>
      <w:rPr>
        <w:b/>
        <w:sz w:val="24"/>
      </w:rPr>
    </w:pPr>
  </w:p>
  <w:p w:rsidR="001C685B" w:rsidRPr="007A1328" w:rsidRDefault="001C685B" w:rsidP="00EB1780">
    <w:pPr>
      <w:pBdr>
        <w:bottom w:val="single" w:sz="6" w:space="1" w:color="auto"/>
      </w:pBdr>
      <w:spacing w:after="120"/>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7A1328" w:rsidRDefault="001C685B" w:rsidP="00715914">
    <w:pPr>
      <w:jc w:val="right"/>
      <w:rPr>
        <w:sz w:val="20"/>
      </w:rPr>
    </w:pPr>
  </w:p>
  <w:p w:rsidR="001C685B" w:rsidRPr="007A1328" w:rsidRDefault="001C685B" w:rsidP="00715914">
    <w:pPr>
      <w:jc w:val="right"/>
      <w:rPr>
        <w:sz w:val="20"/>
      </w:rPr>
    </w:pPr>
  </w:p>
  <w:p w:rsidR="001C685B" w:rsidRPr="007A1328" w:rsidRDefault="001C685B" w:rsidP="00715914">
    <w:pPr>
      <w:jc w:val="right"/>
      <w:rPr>
        <w:sz w:val="20"/>
      </w:rPr>
    </w:pPr>
  </w:p>
  <w:p w:rsidR="001C685B" w:rsidRPr="007A1328" w:rsidRDefault="001C685B" w:rsidP="00715914">
    <w:pPr>
      <w:jc w:val="right"/>
      <w:rPr>
        <w:b/>
        <w:sz w:val="24"/>
      </w:rPr>
    </w:pPr>
  </w:p>
  <w:p w:rsidR="001C685B" w:rsidRPr="007A1328" w:rsidRDefault="001C685B" w:rsidP="00EB1780">
    <w:pPr>
      <w:pBdr>
        <w:bottom w:val="single" w:sz="6" w:space="1" w:color="auto"/>
      </w:pBdr>
      <w:spacing w:after="120"/>
      <w:jc w:val="right"/>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7A1328" w:rsidRDefault="001C685B"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5F1388" w:rsidRDefault="001C685B" w:rsidP="000F7E1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5F1388" w:rsidRDefault="001C685B" w:rsidP="000F7E1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ED79B6" w:rsidRDefault="001C685B" w:rsidP="000F7E1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ED79B6" w:rsidRDefault="001C685B" w:rsidP="000F7E1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ED79B6" w:rsidRDefault="001C685B" w:rsidP="000F7E1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Default="001C685B" w:rsidP="000F7E1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C685B" w:rsidRDefault="001C685B" w:rsidP="000F7E10">
    <w:pPr>
      <w:rPr>
        <w:sz w:val="20"/>
      </w:rPr>
    </w:pPr>
    <w:r w:rsidRPr="007A1328">
      <w:rPr>
        <w:b/>
        <w:sz w:val="20"/>
      </w:rPr>
      <w:fldChar w:fldCharType="begin"/>
    </w:r>
    <w:r w:rsidRPr="007A1328">
      <w:rPr>
        <w:b/>
        <w:sz w:val="20"/>
      </w:rPr>
      <w:instrText xml:space="preserve"> STYLEREF CharPartNo </w:instrText>
    </w:r>
    <w:r w:rsidR="00F455F9">
      <w:rPr>
        <w:b/>
        <w:sz w:val="20"/>
      </w:rPr>
      <w:fldChar w:fldCharType="separate"/>
    </w:r>
    <w:r w:rsidR="00F455F9">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455F9">
      <w:rPr>
        <w:sz w:val="20"/>
      </w:rPr>
      <w:fldChar w:fldCharType="separate"/>
    </w:r>
    <w:r w:rsidR="00F455F9">
      <w:rPr>
        <w:noProof/>
        <w:sz w:val="20"/>
      </w:rPr>
      <w:t>Issue of pins, cards or other artefacts</w:t>
    </w:r>
    <w:r>
      <w:rPr>
        <w:sz w:val="20"/>
      </w:rPr>
      <w:fldChar w:fldCharType="end"/>
    </w:r>
  </w:p>
  <w:p w:rsidR="001C685B" w:rsidRPr="007A1328" w:rsidRDefault="001C685B" w:rsidP="000F7E1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C685B" w:rsidRPr="007A1328" w:rsidRDefault="001C685B" w:rsidP="000F7E10">
    <w:pPr>
      <w:rPr>
        <w:b/>
        <w:sz w:val="24"/>
      </w:rPr>
    </w:pPr>
  </w:p>
  <w:p w:rsidR="001C685B" w:rsidRPr="007A1328" w:rsidRDefault="001C685B" w:rsidP="000F7E1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455F9">
      <w:rPr>
        <w:noProof/>
        <w:sz w:val="24"/>
      </w:rPr>
      <w:t>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7A1328" w:rsidRDefault="001C685B" w:rsidP="000F7E1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C685B" w:rsidRPr="007A1328" w:rsidRDefault="001C685B" w:rsidP="000F7E10">
    <w:pPr>
      <w:jc w:val="right"/>
      <w:rPr>
        <w:sz w:val="20"/>
      </w:rPr>
    </w:pPr>
    <w:r w:rsidRPr="007A1328">
      <w:rPr>
        <w:sz w:val="20"/>
      </w:rPr>
      <w:fldChar w:fldCharType="begin"/>
    </w:r>
    <w:r w:rsidRPr="007A1328">
      <w:rPr>
        <w:sz w:val="20"/>
      </w:rPr>
      <w:instrText xml:space="preserve"> STYLEREF CharPartText </w:instrText>
    </w:r>
    <w:r w:rsidR="00F455F9">
      <w:rPr>
        <w:sz w:val="20"/>
      </w:rPr>
      <w:fldChar w:fldCharType="separate"/>
    </w:r>
    <w:r w:rsidR="00F455F9">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455F9">
      <w:rPr>
        <w:b/>
        <w:sz w:val="20"/>
      </w:rPr>
      <w:fldChar w:fldCharType="separate"/>
    </w:r>
    <w:r w:rsidR="00F455F9">
      <w:rPr>
        <w:b/>
        <w:noProof/>
        <w:sz w:val="20"/>
      </w:rPr>
      <w:t>Part 4</w:t>
    </w:r>
    <w:r>
      <w:rPr>
        <w:b/>
        <w:sz w:val="20"/>
      </w:rPr>
      <w:fldChar w:fldCharType="end"/>
    </w:r>
  </w:p>
  <w:p w:rsidR="001C685B" w:rsidRPr="007A1328" w:rsidRDefault="001C685B" w:rsidP="000F7E1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C685B" w:rsidRPr="007A1328" w:rsidRDefault="001C685B" w:rsidP="000F7E10">
    <w:pPr>
      <w:jc w:val="right"/>
      <w:rPr>
        <w:b/>
        <w:sz w:val="24"/>
      </w:rPr>
    </w:pPr>
  </w:p>
  <w:p w:rsidR="001C685B" w:rsidRPr="007A1328" w:rsidRDefault="001C685B" w:rsidP="000F7E1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455F9">
      <w:rPr>
        <w:noProof/>
        <w:sz w:val="24"/>
      </w:rPr>
      <w:t>10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B" w:rsidRPr="007A1328" w:rsidRDefault="001C685B" w:rsidP="000F7E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F66BE4"/>
    <w:lvl w:ilvl="0">
      <w:start w:val="1"/>
      <w:numFmt w:val="decimal"/>
      <w:lvlText w:val="%1."/>
      <w:lvlJc w:val="left"/>
      <w:pPr>
        <w:tabs>
          <w:tab w:val="num" w:pos="1492"/>
        </w:tabs>
        <w:ind w:left="1492" w:hanging="360"/>
      </w:pPr>
    </w:lvl>
  </w:abstractNum>
  <w:abstractNum w:abstractNumId="1">
    <w:nsid w:val="FFFFFF7D"/>
    <w:multiLevelType w:val="singleLevel"/>
    <w:tmpl w:val="045C7A2E"/>
    <w:lvl w:ilvl="0">
      <w:start w:val="1"/>
      <w:numFmt w:val="decimal"/>
      <w:lvlText w:val="%1."/>
      <w:lvlJc w:val="left"/>
      <w:pPr>
        <w:tabs>
          <w:tab w:val="num" w:pos="1209"/>
        </w:tabs>
        <w:ind w:left="1209" w:hanging="360"/>
      </w:pPr>
    </w:lvl>
  </w:abstractNum>
  <w:abstractNum w:abstractNumId="2">
    <w:nsid w:val="FFFFFF7E"/>
    <w:multiLevelType w:val="singleLevel"/>
    <w:tmpl w:val="00260E2C"/>
    <w:lvl w:ilvl="0">
      <w:start w:val="1"/>
      <w:numFmt w:val="decimal"/>
      <w:lvlText w:val="%1."/>
      <w:lvlJc w:val="left"/>
      <w:pPr>
        <w:tabs>
          <w:tab w:val="num" w:pos="926"/>
        </w:tabs>
        <w:ind w:left="926" w:hanging="360"/>
      </w:pPr>
    </w:lvl>
  </w:abstractNum>
  <w:abstractNum w:abstractNumId="3">
    <w:nsid w:val="FFFFFF7F"/>
    <w:multiLevelType w:val="singleLevel"/>
    <w:tmpl w:val="24C2B36E"/>
    <w:lvl w:ilvl="0">
      <w:start w:val="1"/>
      <w:numFmt w:val="decimal"/>
      <w:lvlText w:val="%1."/>
      <w:lvlJc w:val="left"/>
      <w:pPr>
        <w:tabs>
          <w:tab w:val="num" w:pos="643"/>
        </w:tabs>
        <w:ind w:left="643" w:hanging="360"/>
      </w:pPr>
    </w:lvl>
  </w:abstractNum>
  <w:abstractNum w:abstractNumId="4">
    <w:nsid w:val="FFFFFF80"/>
    <w:multiLevelType w:val="singleLevel"/>
    <w:tmpl w:val="87507D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00D6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08F5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8077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4CD42C"/>
    <w:lvl w:ilvl="0">
      <w:start w:val="1"/>
      <w:numFmt w:val="decimal"/>
      <w:lvlText w:val="%1."/>
      <w:lvlJc w:val="left"/>
      <w:pPr>
        <w:tabs>
          <w:tab w:val="num" w:pos="360"/>
        </w:tabs>
        <w:ind w:left="360" w:hanging="360"/>
      </w:pPr>
    </w:lvl>
  </w:abstractNum>
  <w:abstractNum w:abstractNumId="9">
    <w:nsid w:val="FFFFFF89"/>
    <w:multiLevelType w:val="singleLevel"/>
    <w:tmpl w:val="415E0F5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3A"/>
    <w:rsid w:val="000035D9"/>
    <w:rsid w:val="00011CCF"/>
    <w:rsid w:val="000136AF"/>
    <w:rsid w:val="0003377B"/>
    <w:rsid w:val="00037EBA"/>
    <w:rsid w:val="00052671"/>
    <w:rsid w:val="000614BF"/>
    <w:rsid w:val="00080731"/>
    <w:rsid w:val="00087D46"/>
    <w:rsid w:val="000A556A"/>
    <w:rsid w:val="000D05EF"/>
    <w:rsid w:val="000D0EB7"/>
    <w:rsid w:val="000E2261"/>
    <w:rsid w:val="000E3F92"/>
    <w:rsid w:val="000F21C1"/>
    <w:rsid w:val="000F7E10"/>
    <w:rsid w:val="001036DC"/>
    <w:rsid w:val="0010745C"/>
    <w:rsid w:val="0011798F"/>
    <w:rsid w:val="00122FE1"/>
    <w:rsid w:val="0013072E"/>
    <w:rsid w:val="001343D3"/>
    <w:rsid w:val="001464BD"/>
    <w:rsid w:val="00166C2F"/>
    <w:rsid w:val="001671E9"/>
    <w:rsid w:val="001939E1"/>
    <w:rsid w:val="00195382"/>
    <w:rsid w:val="001A45D5"/>
    <w:rsid w:val="001B782B"/>
    <w:rsid w:val="001C685B"/>
    <w:rsid w:val="001C69C4"/>
    <w:rsid w:val="001D11E9"/>
    <w:rsid w:val="001D37EF"/>
    <w:rsid w:val="001E3590"/>
    <w:rsid w:val="001E7407"/>
    <w:rsid w:val="001E7F6E"/>
    <w:rsid w:val="001F5D5E"/>
    <w:rsid w:val="001F6219"/>
    <w:rsid w:val="002065DA"/>
    <w:rsid w:val="00212DDD"/>
    <w:rsid w:val="00237462"/>
    <w:rsid w:val="0024010F"/>
    <w:rsid w:val="00240749"/>
    <w:rsid w:val="00256473"/>
    <w:rsid w:val="002564A4"/>
    <w:rsid w:val="002576FB"/>
    <w:rsid w:val="002719AE"/>
    <w:rsid w:val="002734DC"/>
    <w:rsid w:val="00273EB8"/>
    <w:rsid w:val="00277EAE"/>
    <w:rsid w:val="00297ECB"/>
    <w:rsid w:val="002A102C"/>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D0BFE"/>
    <w:rsid w:val="003D5700"/>
    <w:rsid w:val="003F03A3"/>
    <w:rsid w:val="00410A84"/>
    <w:rsid w:val="004116CD"/>
    <w:rsid w:val="00417EB9"/>
    <w:rsid w:val="00424CA9"/>
    <w:rsid w:val="00431A1F"/>
    <w:rsid w:val="0044291A"/>
    <w:rsid w:val="004511D0"/>
    <w:rsid w:val="004578FF"/>
    <w:rsid w:val="00463EC0"/>
    <w:rsid w:val="00477FB9"/>
    <w:rsid w:val="00481861"/>
    <w:rsid w:val="0048585C"/>
    <w:rsid w:val="00496F97"/>
    <w:rsid w:val="004B38C1"/>
    <w:rsid w:val="004E7BEC"/>
    <w:rsid w:val="00502192"/>
    <w:rsid w:val="00507B4F"/>
    <w:rsid w:val="00516B8D"/>
    <w:rsid w:val="00537FBC"/>
    <w:rsid w:val="00544776"/>
    <w:rsid w:val="00555D89"/>
    <w:rsid w:val="00556FE2"/>
    <w:rsid w:val="005603AF"/>
    <w:rsid w:val="0056573D"/>
    <w:rsid w:val="00580B11"/>
    <w:rsid w:val="00584811"/>
    <w:rsid w:val="00593AA6"/>
    <w:rsid w:val="00594161"/>
    <w:rsid w:val="00594749"/>
    <w:rsid w:val="005A0E72"/>
    <w:rsid w:val="005A6928"/>
    <w:rsid w:val="005B19EB"/>
    <w:rsid w:val="005B4067"/>
    <w:rsid w:val="005C3F41"/>
    <w:rsid w:val="005D2A31"/>
    <w:rsid w:val="005D3471"/>
    <w:rsid w:val="005D4663"/>
    <w:rsid w:val="005D7042"/>
    <w:rsid w:val="005D74DB"/>
    <w:rsid w:val="005F0A35"/>
    <w:rsid w:val="005F6AD1"/>
    <w:rsid w:val="00600219"/>
    <w:rsid w:val="00601309"/>
    <w:rsid w:val="00602388"/>
    <w:rsid w:val="006340FA"/>
    <w:rsid w:val="00677CC2"/>
    <w:rsid w:val="006905DE"/>
    <w:rsid w:val="0069207B"/>
    <w:rsid w:val="0069210F"/>
    <w:rsid w:val="006B6E88"/>
    <w:rsid w:val="006C2748"/>
    <w:rsid w:val="006C7F8C"/>
    <w:rsid w:val="006F318F"/>
    <w:rsid w:val="006F6D10"/>
    <w:rsid w:val="00700B2C"/>
    <w:rsid w:val="00707C65"/>
    <w:rsid w:val="00713084"/>
    <w:rsid w:val="00715914"/>
    <w:rsid w:val="00731E00"/>
    <w:rsid w:val="00734531"/>
    <w:rsid w:val="007440B7"/>
    <w:rsid w:val="00746C1A"/>
    <w:rsid w:val="007715C9"/>
    <w:rsid w:val="00774EDD"/>
    <w:rsid w:val="007757EC"/>
    <w:rsid w:val="007924FC"/>
    <w:rsid w:val="007B75F4"/>
    <w:rsid w:val="007F7DEF"/>
    <w:rsid w:val="008422C3"/>
    <w:rsid w:val="0084395C"/>
    <w:rsid w:val="0085473A"/>
    <w:rsid w:val="00856A31"/>
    <w:rsid w:val="008754D0"/>
    <w:rsid w:val="00881B8F"/>
    <w:rsid w:val="0089107B"/>
    <w:rsid w:val="00892DD3"/>
    <w:rsid w:val="008A1DA5"/>
    <w:rsid w:val="008A27FC"/>
    <w:rsid w:val="008D0EE0"/>
    <w:rsid w:val="008D165D"/>
    <w:rsid w:val="008D2DF7"/>
    <w:rsid w:val="008F273E"/>
    <w:rsid w:val="008F43A9"/>
    <w:rsid w:val="008F54E7"/>
    <w:rsid w:val="00903422"/>
    <w:rsid w:val="00904A28"/>
    <w:rsid w:val="00913EEB"/>
    <w:rsid w:val="009213B7"/>
    <w:rsid w:val="009265BF"/>
    <w:rsid w:val="00932377"/>
    <w:rsid w:val="00940885"/>
    <w:rsid w:val="00947D5A"/>
    <w:rsid w:val="009532A5"/>
    <w:rsid w:val="009851AC"/>
    <w:rsid w:val="009868E9"/>
    <w:rsid w:val="00990ED3"/>
    <w:rsid w:val="009C6470"/>
    <w:rsid w:val="009D006B"/>
    <w:rsid w:val="009F374D"/>
    <w:rsid w:val="00A03DF4"/>
    <w:rsid w:val="00A15C98"/>
    <w:rsid w:val="00A22C98"/>
    <w:rsid w:val="00A231E2"/>
    <w:rsid w:val="00A64912"/>
    <w:rsid w:val="00A70A74"/>
    <w:rsid w:val="00A81C46"/>
    <w:rsid w:val="00A930F1"/>
    <w:rsid w:val="00AA1E3A"/>
    <w:rsid w:val="00AC4BB2"/>
    <w:rsid w:val="00AC719E"/>
    <w:rsid w:val="00AC78EE"/>
    <w:rsid w:val="00AD5641"/>
    <w:rsid w:val="00AE5CA2"/>
    <w:rsid w:val="00AF06CF"/>
    <w:rsid w:val="00B20224"/>
    <w:rsid w:val="00B33B3C"/>
    <w:rsid w:val="00B63834"/>
    <w:rsid w:val="00B646E3"/>
    <w:rsid w:val="00B80199"/>
    <w:rsid w:val="00B86188"/>
    <w:rsid w:val="00B93F3D"/>
    <w:rsid w:val="00B9706F"/>
    <w:rsid w:val="00BA220B"/>
    <w:rsid w:val="00BE719A"/>
    <w:rsid w:val="00BE720A"/>
    <w:rsid w:val="00BF6BCB"/>
    <w:rsid w:val="00C006FA"/>
    <w:rsid w:val="00C122FF"/>
    <w:rsid w:val="00C25299"/>
    <w:rsid w:val="00C42BF8"/>
    <w:rsid w:val="00C50043"/>
    <w:rsid w:val="00C5509A"/>
    <w:rsid w:val="00C74FD3"/>
    <w:rsid w:val="00C7573B"/>
    <w:rsid w:val="00CF0BB2"/>
    <w:rsid w:val="00CF3EE8"/>
    <w:rsid w:val="00D13141"/>
    <w:rsid w:val="00D13441"/>
    <w:rsid w:val="00D13BA8"/>
    <w:rsid w:val="00D256F3"/>
    <w:rsid w:val="00D46F74"/>
    <w:rsid w:val="00D473B5"/>
    <w:rsid w:val="00D70DFB"/>
    <w:rsid w:val="00D74249"/>
    <w:rsid w:val="00D766DF"/>
    <w:rsid w:val="00D8280A"/>
    <w:rsid w:val="00DA6185"/>
    <w:rsid w:val="00DC4F88"/>
    <w:rsid w:val="00DC678C"/>
    <w:rsid w:val="00DD51EA"/>
    <w:rsid w:val="00DF2145"/>
    <w:rsid w:val="00E05704"/>
    <w:rsid w:val="00E118B9"/>
    <w:rsid w:val="00E159D1"/>
    <w:rsid w:val="00E17108"/>
    <w:rsid w:val="00E23819"/>
    <w:rsid w:val="00E30FCA"/>
    <w:rsid w:val="00E338EF"/>
    <w:rsid w:val="00E573D0"/>
    <w:rsid w:val="00E74DC7"/>
    <w:rsid w:val="00E75AEA"/>
    <w:rsid w:val="00E87BDF"/>
    <w:rsid w:val="00E94D5E"/>
    <w:rsid w:val="00EA7100"/>
    <w:rsid w:val="00EB1780"/>
    <w:rsid w:val="00EB2500"/>
    <w:rsid w:val="00EB7AC1"/>
    <w:rsid w:val="00EC3721"/>
    <w:rsid w:val="00EC4ECE"/>
    <w:rsid w:val="00ED5936"/>
    <w:rsid w:val="00EF2E3A"/>
    <w:rsid w:val="00EF3C05"/>
    <w:rsid w:val="00F0228A"/>
    <w:rsid w:val="00F072A7"/>
    <w:rsid w:val="00F078DC"/>
    <w:rsid w:val="00F12083"/>
    <w:rsid w:val="00F3299C"/>
    <w:rsid w:val="00F455F9"/>
    <w:rsid w:val="00F52330"/>
    <w:rsid w:val="00F64A96"/>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2A31"/>
    <w:pPr>
      <w:spacing w:line="260" w:lineRule="atLeast"/>
    </w:pPr>
    <w:rPr>
      <w:sz w:val="22"/>
    </w:rPr>
  </w:style>
  <w:style w:type="paragraph" w:styleId="Heading1">
    <w:name w:val="heading 1"/>
    <w:basedOn w:val="Normal"/>
    <w:next w:val="Normal"/>
    <w:link w:val="Heading1Char"/>
    <w:uiPriority w:val="9"/>
    <w:qFormat/>
    <w:rsid w:val="00556F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6F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6F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6F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6F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6F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6F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6F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56F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2A31"/>
  </w:style>
  <w:style w:type="paragraph" w:customStyle="1" w:styleId="OPCParaBase">
    <w:name w:val="OPCParaBase"/>
    <w:link w:val="OPCParaBaseChar"/>
    <w:qFormat/>
    <w:rsid w:val="005D2A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D2A31"/>
    <w:pPr>
      <w:spacing w:line="240" w:lineRule="auto"/>
    </w:pPr>
    <w:rPr>
      <w:b/>
      <w:sz w:val="40"/>
    </w:rPr>
  </w:style>
  <w:style w:type="paragraph" w:customStyle="1" w:styleId="ActHead1">
    <w:name w:val="ActHead 1"/>
    <w:aliases w:val="c"/>
    <w:basedOn w:val="OPCParaBase"/>
    <w:next w:val="Normal"/>
    <w:qFormat/>
    <w:rsid w:val="005D2A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2A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2A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2A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2A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2A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2A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2A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2A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D2A31"/>
  </w:style>
  <w:style w:type="paragraph" w:customStyle="1" w:styleId="Blocks">
    <w:name w:val="Blocks"/>
    <w:aliases w:val="bb"/>
    <w:basedOn w:val="OPCParaBase"/>
    <w:qFormat/>
    <w:rsid w:val="005D2A31"/>
    <w:pPr>
      <w:spacing w:line="240" w:lineRule="auto"/>
    </w:pPr>
    <w:rPr>
      <w:sz w:val="24"/>
    </w:rPr>
  </w:style>
  <w:style w:type="paragraph" w:customStyle="1" w:styleId="BoxText">
    <w:name w:val="BoxText"/>
    <w:aliases w:val="bt"/>
    <w:basedOn w:val="OPCParaBase"/>
    <w:qFormat/>
    <w:rsid w:val="005D2A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2A31"/>
    <w:rPr>
      <w:b/>
    </w:rPr>
  </w:style>
  <w:style w:type="paragraph" w:customStyle="1" w:styleId="BoxHeadItalic">
    <w:name w:val="BoxHeadItalic"/>
    <w:aliases w:val="bhi"/>
    <w:basedOn w:val="BoxText"/>
    <w:next w:val="BoxStep"/>
    <w:qFormat/>
    <w:rsid w:val="005D2A31"/>
    <w:rPr>
      <w:i/>
    </w:rPr>
  </w:style>
  <w:style w:type="paragraph" w:customStyle="1" w:styleId="BoxList">
    <w:name w:val="BoxList"/>
    <w:aliases w:val="bl"/>
    <w:basedOn w:val="BoxText"/>
    <w:qFormat/>
    <w:rsid w:val="005D2A31"/>
    <w:pPr>
      <w:ind w:left="1559" w:hanging="425"/>
    </w:pPr>
  </w:style>
  <w:style w:type="paragraph" w:customStyle="1" w:styleId="BoxNote">
    <w:name w:val="BoxNote"/>
    <w:aliases w:val="bn"/>
    <w:basedOn w:val="BoxText"/>
    <w:qFormat/>
    <w:rsid w:val="005D2A31"/>
    <w:pPr>
      <w:tabs>
        <w:tab w:val="left" w:pos="1985"/>
      </w:tabs>
      <w:spacing w:before="122" w:line="198" w:lineRule="exact"/>
      <w:ind w:left="2948" w:hanging="1814"/>
    </w:pPr>
    <w:rPr>
      <w:sz w:val="18"/>
    </w:rPr>
  </w:style>
  <w:style w:type="paragraph" w:customStyle="1" w:styleId="BoxPara">
    <w:name w:val="BoxPara"/>
    <w:aliases w:val="bp"/>
    <w:basedOn w:val="BoxText"/>
    <w:qFormat/>
    <w:rsid w:val="005D2A31"/>
    <w:pPr>
      <w:tabs>
        <w:tab w:val="right" w:pos="2268"/>
      </w:tabs>
      <w:ind w:left="2552" w:hanging="1418"/>
    </w:pPr>
  </w:style>
  <w:style w:type="paragraph" w:customStyle="1" w:styleId="BoxStep">
    <w:name w:val="BoxStep"/>
    <w:aliases w:val="bs"/>
    <w:basedOn w:val="BoxText"/>
    <w:qFormat/>
    <w:rsid w:val="005D2A31"/>
    <w:pPr>
      <w:ind w:left="1985" w:hanging="851"/>
    </w:pPr>
  </w:style>
  <w:style w:type="character" w:customStyle="1" w:styleId="CharAmPartNo">
    <w:name w:val="CharAmPartNo"/>
    <w:basedOn w:val="OPCCharBase"/>
    <w:qFormat/>
    <w:rsid w:val="005D2A31"/>
  </w:style>
  <w:style w:type="character" w:customStyle="1" w:styleId="CharAmPartText">
    <w:name w:val="CharAmPartText"/>
    <w:basedOn w:val="OPCCharBase"/>
    <w:qFormat/>
    <w:rsid w:val="005D2A31"/>
  </w:style>
  <w:style w:type="character" w:customStyle="1" w:styleId="CharAmSchNo">
    <w:name w:val="CharAmSchNo"/>
    <w:basedOn w:val="OPCCharBase"/>
    <w:qFormat/>
    <w:rsid w:val="005D2A31"/>
  </w:style>
  <w:style w:type="character" w:customStyle="1" w:styleId="CharAmSchText">
    <w:name w:val="CharAmSchText"/>
    <w:basedOn w:val="OPCCharBase"/>
    <w:qFormat/>
    <w:rsid w:val="005D2A31"/>
  </w:style>
  <w:style w:type="character" w:customStyle="1" w:styleId="CharBoldItalic">
    <w:name w:val="CharBoldItalic"/>
    <w:basedOn w:val="OPCCharBase"/>
    <w:uiPriority w:val="1"/>
    <w:qFormat/>
    <w:rsid w:val="005D2A31"/>
    <w:rPr>
      <w:b/>
      <w:i/>
    </w:rPr>
  </w:style>
  <w:style w:type="character" w:customStyle="1" w:styleId="CharChapNo">
    <w:name w:val="CharChapNo"/>
    <w:basedOn w:val="OPCCharBase"/>
    <w:uiPriority w:val="1"/>
    <w:qFormat/>
    <w:rsid w:val="005D2A31"/>
  </w:style>
  <w:style w:type="character" w:customStyle="1" w:styleId="CharChapText">
    <w:name w:val="CharChapText"/>
    <w:basedOn w:val="OPCCharBase"/>
    <w:uiPriority w:val="1"/>
    <w:qFormat/>
    <w:rsid w:val="005D2A31"/>
  </w:style>
  <w:style w:type="character" w:customStyle="1" w:styleId="CharDivNo">
    <w:name w:val="CharDivNo"/>
    <w:basedOn w:val="OPCCharBase"/>
    <w:uiPriority w:val="1"/>
    <w:qFormat/>
    <w:rsid w:val="005D2A31"/>
  </w:style>
  <w:style w:type="character" w:customStyle="1" w:styleId="CharDivText">
    <w:name w:val="CharDivText"/>
    <w:basedOn w:val="OPCCharBase"/>
    <w:uiPriority w:val="1"/>
    <w:qFormat/>
    <w:rsid w:val="005D2A31"/>
  </w:style>
  <w:style w:type="character" w:customStyle="1" w:styleId="CharItalic">
    <w:name w:val="CharItalic"/>
    <w:basedOn w:val="OPCCharBase"/>
    <w:uiPriority w:val="1"/>
    <w:qFormat/>
    <w:rsid w:val="005D2A31"/>
    <w:rPr>
      <w:i/>
    </w:rPr>
  </w:style>
  <w:style w:type="character" w:customStyle="1" w:styleId="CharPartNo">
    <w:name w:val="CharPartNo"/>
    <w:basedOn w:val="OPCCharBase"/>
    <w:uiPriority w:val="1"/>
    <w:qFormat/>
    <w:rsid w:val="005D2A31"/>
  </w:style>
  <w:style w:type="character" w:customStyle="1" w:styleId="CharPartText">
    <w:name w:val="CharPartText"/>
    <w:basedOn w:val="OPCCharBase"/>
    <w:uiPriority w:val="1"/>
    <w:qFormat/>
    <w:rsid w:val="005D2A31"/>
  </w:style>
  <w:style w:type="character" w:customStyle="1" w:styleId="CharSectno">
    <w:name w:val="CharSectno"/>
    <w:basedOn w:val="OPCCharBase"/>
    <w:qFormat/>
    <w:rsid w:val="005D2A31"/>
  </w:style>
  <w:style w:type="character" w:customStyle="1" w:styleId="CharSubdNo">
    <w:name w:val="CharSubdNo"/>
    <w:basedOn w:val="OPCCharBase"/>
    <w:uiPriority w:val="1"/>
    <w:qFormat/>
    <w:rsid w:val="005D2A31"/>
  </w:style>
  <w:style w:type="character" w:customStyle="1" w:styleId="CharSubdText">
    <w:name w:val="CharSubdText"/>
    <w:basedOn w:val="OPCCharBase"/>
    <w:uiPriority w:val="1"/>
    <w:qFormat/>
    <w:rsid w:val="005D2A31"/>
  </w:style>
  <w:style w:type="paragraph" w:customStyle="1" w:styleId="CTA--">
    <w:name w:val="CTA --"/>
    <w:basedOn w:val="OPCParaBase"/>
    <w:next w:val="Normal"/>
    <w:rsid w:val="005D2A31"/>
    <w:pPr>
      <w:spacing w:before="60" w:line="240" w:lineRule="atLeast"/>
      <w:ind w:left="142" w:hanging="142"/>
    </w:pPr>
    <w:rPr>
      <w:sz w:val="20"/>
    </w:rPr>
  </w:style>
  <w:style w:type="paragraph" w:customStyle="1" w:styleId="CTA-">
    <w:name w:val="CTA -"/>
    <w:basedOn w:val="OPCParaBase"/>
    <w:rsid w:val="005D2A31"/>
    <w:pPr>
      <w:spacing w:before="60" w:line="240" w:lineRule="atLeast"/>
      <w:ind w:left="85" w:hanging="85"/>
    </w:pPr>
    <w:rPr>
      <w:sz w:val="20"/>
    </w:rPr>
  </w:style>
  <w:style w:type="paragraph" w:customStyle="1" w:styleId="CTA---">
    <w:name w:val="CTA ---"/>
    <w:basedOn w:val="OPCParaBase"/>
    <w:next w:val="Normal"/>
    <w:rsid w:val="005D2A31"/>
    <w:pPr>
      <w:spacing w:before="60" w:line="240" w:lineRule="atLeast"/>
      <w:ind w:left="198" w:hanging="198"/>
    </w:pPr>
    <w:rPr>
      <w:sz w:val="20"/>
    </w:rPr>
  </w:style>
  <w:style w:type="paragraph" w:customStyle="1" w:styleId="CTA----">
    <w:name w:val="CTA ----"/>
    <w:basedOn w:val="OPCParaBase"/>
    <w:next w:val="Normal"/>
    <w:rsid w:val="005D2A31"/>
    <w:pPr>
      <w:spacing w:before="60" w:line="240" w:lineRule="atLeast"/>
      <w:ind w:left="255" w:hanging="255"/>
    </w:pPr>
    <w:rPr>
      <w:sz w:val="20"/>
    </w:rPr>
  </w:style>
  <w:style w:type="paragraph" w:customStyle="1" w:styleId="CTA1a">
    <w:name w:val="CTA 1(a)"/>
    <w:basedOn w:val="OPCParaBase"/>
    <w:rsid w:val="005D2A31"/>
    <w:pPr>
      <w:tabs>
        <w:tab w:val="right" w:pos="414"/>
      </w:tabs>
      <w:spacing w:before="40" w:line="240" w:lineRule="atLeast"/>
      <w:ind w:left="675" w:hanging="675"/>
    </w:pPr>
    <w:rPr>
      <w:sz w:val="20"/>
    </w:rPr>
  </w:style>
  <w:style w:type="paragraph" w:customStyle="1" w:styleId="CTA1ai">
    <w:name w:val="CTA 1(a)(i)"/>
    <w:basedOn w:val="OPCParaBase"/>
    <w:rsid w:val="005D2A31"/>
    <w:pPr>
      <w:tabs>
        <w:tab w:val="right" w:pos="1004"/>
      </w:tabs>
      <w:spacing w:before="40" w:line="240" w:lineRule="atLeast"/>
      <w:ind w:left="1253" w:hanging="1253"/>
    </w:pPr>
    <w:rPr>
      <w:sz w:val="20"/>
    </w:rPr>
  </w:style>
  <w:style w:type="paragraph" w:customStyle="1" w:styleId="CTA2a">
    <w:name w:val="CTA 2(a)"/>
    <w:basedOn w:val="OPCParaBase"/>
    <w:rsid w:val="005D2A31"/>
    <w:pPr>
      <w:tabs>
        <w:tab w:val="right" w:pos="482"/>
      </w:tabs>
      <w:spacing w:before="40" w:line="240" w:lineRule="atLeast"/>
      <w:ind w:left="748" w:hanging="748"/>
    </w:pPr>
    <w:rPr>
      <w:sz w:val="20"/>
    </w:rPr>
  </w:style>
  <w:style w:type="paragraph" w:customStyle="1" w:styleId="CTA2ai">
    <w:name w:val="CTA 2(a)(i)"/>
    <w:basedOn w:val="OPCParaBase"/>
    <w:rsid w:val="005D2A31"/>
    <w:pPr>
      <w:tabs>
        <w:tab w:val="right" w:pos="1089"/>
      </w:tabs>
      <w:spacing w:before="40" w:line="240" w:lineRule="atLeast"/>
      <w:ind w:left="1327" w:hanging="1327"/>
    </w:pPr>
    <w:rPr>
      <w:sz w:val="20"/>
    </w:rPr>
  </w:style>
  <w:style w:type="paragraph" w:customStyle="1" w:styleId="CTA3a">
    <w:name w:val="CTA 3(a)"/>
    <w:basedOn w:val="OPCParaBase"/>
    <w:rsid w:val="005D2A31"/>
    <w:pPr>
      <w:tabs>
        <w:tab w:val="right" w:pos="556"/>
      </w:tabs>
      <w:spacing w:before="40" w:line="240" w:lineRule="atLeast"/>
      <w:ind w:left="805" w:hanging="805"/>
    </w:pPr>
    <w:rPr>
      <w:sz w:val="20"/>
    </w:rPr>
  </w:style>
  <w:style w:type="paragraph" w:customStyle="1" w:styleId="CTA3ai">
    <w:name w:val="CTA 3(a)(i)"/>
    <w:basedOn w:val="OPCParaBase"/>
    <w:rsid w:val="005D2A31"/>
    <w:pPr>
      <w:tabs>
        <w:tab w:val="right" w:pos="1140"/>
      </w:tabs>
      <w:spacing w:before="40" w:line="240" w:lineRule="atLeast"/>
      <w:ind w:left="1361" w:hanging="1361"/>
    </w:pPr>
    <w:rPr>
      <w:sz w:val="20"/>
    </w:rPr>
  </w:style>
  <w:style w:type="paragraph" w:customStyle="1" w:styleId="CTA4a">
    <w:name w:val="CTA 4(a)"/>
    <w:basedOn w:val="OPCParaBase"/>
    <w:rsid w:val="005D2A31"/>
    <w:pPr>
      <w:tabs>
        <w:tab w:val="right" w:pos="624"/>
      </w:tabs>
      <w:spacing w:before="40" w:line="240" w:lineRule="atLeast"/>
      <w:ind w:left="873" w:hanging="873"/>
    </w:pPr>
    <w:rPr>
      <w:sz w:val="20"/>
    </w:rPr>
  </w:style>
  <w:style w:type="paragraph" w:customStyle="1" w:styleId="CTA4ai">
    <w:name w:val="CTA 4(a)(i)"/>
    <w:basedOn w:val="OPCParaBase"/>
    <w:rsid w:val="005D2A31"/>
    <w:pPr>
      <w:tabs>
        <w:tab w:val="right" w:pos="1213"/>
      </w:tabs>
      <w:spacing w:before="40" w:line="240" w:lineRule="atLeast"/>
      <w:ind w:left="1452" w:hanging="1452"/>
    </w:pPr>
    <w:rPr>
      <w:sz w:val="20"/>
    </w:rPr>
  </w:style>
  <w:style w:type="paragraph" w:customStyle="1" w:styleId="CTACAPS">
    <w:name w:val="CTA CAPS"/>
    <w:basedOn w:val="OPCParaBase"/>
    <w:rsid w:val="005D2A31"/>
    <w:pPr>
      <w:spacing w:before="60" w:line="240" w:lineRule="atLeast"/>
    </w:pPr>
    <w:rPr>
      <w:sz w:val="20"/>
    </w:rPr>
  </w:style>
  <w:style w:type="paragraph" w:customStyle="1" w:styleId="CTAright">
    <w:name w:val="CTA right"/>
    <w:basedOn w:val="OPCParaBase"/>
    <w:rsid w:val="005D2A31"/>
    <w:pPr>
      <w:spacing w:before="60" w:line="240" w:lineRule="auto"/>
      <w:jc w:val="right"/>
    </w:pPr>
    <w:rPr>
      <w:sz w:val="20"/>
    </w:rPr>
  </w:style>
  <w:style w:type="paragraph" w:customStyle="1" w:styleId="subsection">
    <w:name w:val="subsection"/>
    <w:aliases w:val="ss"/>
    <w:basedOn w:val="OPCParaBase"/>
    <w:link w:val="subsectionChar"/>
    <w:rsid w:val="005D2A31"/>
    <w:pPr>
      <w:tabs>
        <w:tab w:val="right" w:pos="1021"/>
      </w:tabs>
      <w:spacing w:before="180" w:line="240" w:lineRule="auto"/>
      <w:ind w:left="1134" w:hanging="1134"/>
    </w:pPr>
  </w:style>
  <w:style w:type="paragraph" w:customStyle="1" w:styleId="Definition">
    <w:name w:val="Definition"/>
    <w:aliases w:val="dd"/>
    <w:basedOn w:val="OPCParaBase"/>
    <w:rsid w:val="005D2A31"/>
    <w:pPr>
      <w:spacing w:before="180" w:line="240" w:lineRule="auto"/>
      <w:ind w:left="1134"/>
    </w:pPr>
  </w:style>
  <w:style w:type="paragraph" w:customStyle="1" w:styleId="Formula">
    <w:name w:val="Formula"/>
    <w:basedOn w:val="OPCParaBase"/>
    <w:rsid w:val="005D2A31"/>
    <w:pPr>
      <w:spacing w:line="240" w:lineRule="auto"/>
      <w:ind w:left="1134"/>
    </w:pPr>
    <w:rPr>
      <w:sz w:val="20"/>
    </w:rPr>
  </w:style>
  <w:style w:type="paragraph" w:styleId="Header">
    <w:name w:val="header"/>
    <w:basedOn w:val="OPCParaBase"/>
    <w:link w:val="HeaderChar"/>
    <w:unhideWhenUsed/>
    <w:rsid w:val="005D2A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2A31"/>
    <w:rPr>
      <w:rFonts w:eastAsia="Times New Roman" w:cs="Times New Roman"/>
      <w:sz w:val="16"/>
      <w:lang w:eastAsia="en-AU"/>
    </w:rPr>
  </w:style>
  <w:style w:type="paragraph" w:customStyle="1" w:styleId="House">
    <w:name w:val="House"/>
    <w:basedOn w:val="OPCParaBase"/>
    <w:rsid w:val="005D2A31"/>
    <w:pPr>
      <w:spacing w:line="240" w:lineRule="auto"/>
    </w:pPr>
    <w:rPr>
      <w:sz w:val="28"/>
    </w:rPr>
  </w:style>
  <w:style w:type="paragraph" w:customStyle="1" w:styleId="Item">
    <w:name w:val="Item"/>
    <w:aliases w:val="i"/>
    <w:basedOn w:val="OPCParaBase"/>
    <w:next w:val="ItemHead"/>
    <w:rsid w:val="005D2A31"/>
    <w:pPr>
      <w:keepLines/>
      <w:spacing w:before="80" w:line="240" w:lineRule="auto"/>
      <w:ind w:left="709"/>
    </w:pPr>
  </w:style>
  <w:style w:type="paragraph" w:customStyle="1" w:styleId="ItemHead">
    <w:name w:val="ItemHead"/>
    <w:aliases w:val="ih"/>
    <w:basedOn w:val="OPCParaBase"/>
    <w:next w:val="Item"/>
    <w:rsid w:val="005D2A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2A31"/>
    <w:pPr>
      <w:spacing w:line="240" w:lineRule="auto"/>
    </w:pPr>
    <w:rPr>
      <w:b/>
      <w:sz w:val="32"/>
    </w:rPr>
  </w:style>
  <w:style w:type="paragraph" w:customStyle="1" w:styleId="notedraft">
    <w:name w:val="note(draft)"/>
    <w:aliases w:val="nd"/>
    <w:basedOn w:val="OPCParaBase"/>
    <w:rsid w:val="005D2A31"/>
    <w:pPr>
      <w:spacing w:before="240" w:line="240" w:lineRule="auto"/>
      <w:ind w:left="284" w:hanging="284"/>
    </w:pPr>
    <w:rPr>
      <w:i/>
      <w:sz w:val="24"/>
    </w:rPr>
  </w:style>
  <w:style w:type="paragraph" w:customStyle="1" w:styleId="notemargin">
    <w:name w:val="note(margin)"/>
    <w:aliases w:val="nm"/>
    <w:basedOn w:val="OPCParaBase"/>
    <w:rsid w:val="005D2A31"/>
    <w:pPr>
      <w:tabs>
        <w:tab w:val="left" w:pos="709"/>
      </w:tabs>
      <w:spacing w:before="122" w:line="198" w:lineRule="exact"/>
      <w:ind w:left="709" w:hanging="709"/>
    </w:pPr>
    <w:rPr>
      <w:sz w:val="18"/>
    </w:rPr>
  </w:style>
  <w:style w:type="paragraph" w:customStyle="1" w:styleId="noteToPara">
    <w:name w:val="noteToPara"/>
    <w:aliases w:val="ntp"/>
    <w:basedOn w:val="OPCParaBase"/>
    <w:rsid w:val="005D2A31"/>
    <w:pPr>
      <w:spacing w:before="122" w:line="198" w:lineRule="exact"/>
      <w:ind w:left="2353" w:hanging="709"/>
    </w:pPr>
    <w:rPr>
      <w:sz w:val="18"/>
    </w:rPr>
  </w:style>
  <w:style w:type="paragraph" w:customStyle="1" w:styleId="noteParlAmend">
    <w:name w:val="note(ParlAmend)"/>
    <w:aliases w:val="npp"/>
    <w:basedOn w:val="OPCParaBase"/>
    <w:next w:val="ParlAmend"/>
    <w:rsid w:val="005D2A31"/>
    <w:pPr>
      <w:spacing w:line="240" w:lineRule="auto"/>
      <w:jc w:val="right"/>
    </w:pPr>
    <w:rPr>
      <w:rFonts w:ascii="Arial" w:hAnsi="Arial"/>
      <w:b/>
      <w:i/>
    </w:rPr>
  </w:style>
  <w:style w:type="paragraph" w:customStyle="1" w:styleId="Page1">
    <w:name w:val="Page1"/>
    <w:basedOn w:val="OPCParaBase"/>
    <w:rsid w:val="005D2A31"/>
    <w:pPr>
      <w:spacing w:before="400" w:line="240" w:lineRule="auto"/>
    </w:pPr>
    <w:rPr>
      <w:b/>
      <w:sz w:val="32"/>
    </w:rPr>
  </w:style>
  <w:style w:type="paragraph" w:customStyle="1" w:styleId="PageBreak">
    <w:name w:val="PageBreak"/>
    <w:aliases w:val="pb"/>
    <w:basedOn w:val="OPCParaBase"/>
    <w:rsid w:val="005D2A31"/>
    <w:pPr>
      <w:spacing w:line="240" w:lineRule="auto"/>
    </w:pPr>
    <w:rPr>
      <w:sz w:val="20"/>
    </w:rPr>
  </w:style>
  <w:style w:type="paragraph" w:customStyle="1" w:styleId="paragraphsub">
    <w:name w:val="paragraph(sub)"/>
    <w:aliases w:val="aa"/>
    <w:basedOn w:val="OPCParaBase"/>
    <w:rsid w:val="005D2A31"/>
    <w:pPr>
      <w:tabs>
        <w:tab w:val="right" w:pos="1985"/>
      </w:tabs>
      <w:spacing w:before="40" w:line="240" w:lineRule="auto"/>
      <w:ind w:left="2098" w:hanging="2098"/>
    </w:pPr>
  </w:style>
  <w:style w:type="paragraph" w:customStyle="1" w:styleId="paragraphsub-sub">
    <w:name w:val="paragraph(sub-sub)"/>
    <w:aliases w:val="aaa"/>
    <w:basedOn w:val="OPCParaBase"/>
    <w:rsid w:val="005D2A31"/>
    <w:pPr>
      <w:tabs>
        <w:tab w:val="right" w:pos="2722"/>
      </w:tabs>
      <w:spacing w:before="40" w:line="240" w:lineRule="auto"/>
      <w:ind w:left="2835" w:hanging="2835"/>
    </w:pPr>
  </w:style>
  <w:style w:type="paragraph" w:customStyle="1" w:styleId="paragraph">
    <w:name w:val="paragraph"/>
    <w:aliases w:val="a"/>
    <w:basedOn w:val="OPCParaBase"/>
    <w:rsid w:val="005D2A31"/>
    <w:pPr>
      <w:tabs>
        <w:tab w:val="right" w:pos="1531"/>
      </w:tabs>
      <w:spacing w:before="40" w:line="240" w:lineRule="auto"/>
      <w:ind w:left="1644" w:hanging="1644"/>
    </w:pPr>
  </w:style>
  <w:style w:type="paragraph" w:customStyle="1" w:styleId="ParlAmend">
    <w:name w:val="ParlAmend"/>
    <w:aliases w:val="pp"/>
    <w:basedOn w:val="OPCParaBase"/>
    <w:rsid w:val="005D2A31"/>
    <w:pPr>
      <w:spacing w:before="240" w:line="240" w:lineRule="atLeast"/>
      <w:ind w:hanging="567"/>
    </w:pPr>
    <w:rPr>
      <w:sz w:val="24"/>
    </w:rPr>
  </w:style>
  <w:style w:type="paragraph" w:customStyle="1" w:styleId="Penalty">
    <w:name w:val="Penalty"/>
    <w:basedOn w:val="OPCParaBase"/>
    <w:rsid w:val="005D2A31"/>
    <w:pPr>
      <w:tabs>
        <w:tab w:val="left" w:pos="2977"/>
      </w:tabs>
      <w:spacing w:before="180" w:line="240" w:lineRule="auto"/>
      <w:ind w:left="1985" w:hanging="851"/>
    </w:pPr>
  </w:style>
  <w:style w:type="paragraph" w:customStyle="1" w:styleId="Portfolio">
    <w:name w:val="Portfolio"/>
    <w:basedOn w:val="OPCParaBase"/>
    <w:rsid w:val="005D2A31"/>
    <w:pPr>
      <w:spacing w:line="240" w:lineRule="auto"/>
    </w:pPr>
    <w:rPr>
      <w:i/>
      <w:sz w:val="20"/>
    </w:rPr>
  </w:style>
  <w:style w:type="paragraph" w:customStyle="1" w:styleId="Preamble">
    <w:name w:val="Preamble"/>
    <w:basedOn w:val="OPCParaBase"/>
    <w:next w:val="Normal"/>
    <w:rsid w:val="005D2A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2A31"/>
    <w:pPr>
      <w:spacing w:line="240" w:lineRule="auto"/>
    </w:pPr>
    <w:rPr>
      <w:i/>
      <w:sz w:val="20"/>
    </w:rPr>
  </w:style>
  <w:style w:type="paragraph" w:customStyle="1" w:styleId="Session">
    <w:name w:val="Session"/>
    <w:basedOn w:val="OPCParaBase"/>
    <w:rsid w:val="005D2A31"/>
    <w:pPr>
      <w:spacing w:line="240" w:lineRule="auto"/>
    </w:pPr>
    <w:rPr>
      <w:sz w:val="28"/>
    </w:rPr>
  </w:style>
  <w:style w:type="paragraph" w:customStyle="1" w:styleId="Sponsor">
    <w:name w:val="Sponsor"/>
    <w:basedOn w:val="OPCParaBase"/>
    <w:rsid w:val="005D2A31"/>
    <w:pPr>
      <w:spacing w:line="240" w:lineRule="auto"/>
    </w:pPr>
    <w:rPr>
      <w:i/>
    </w:rPr>
  </w:style>
  <w:style w:type="paragraph" w:customStyle="1" w:styleId="Subitem">
    <w:name w:val="Subitem"/>
    <w:aliases w:val="iss"/>
    <w:basedOn w:val="OPCParaBase"/>
    <w:rsid w:val="005D2A31"/>
    <w:pPr>
      <w:spacing w:before="180" w:line="240" w:lineRule="auto"/>
      <w:ind w:left="709" w:hanging="709"/>
    </w:pPr>
  </w:style>
  <w:style w:type="paragraph" w:customStyle="1" w:styleId="SubitemHead">
    <w:name w:val="SubitemHead"/>
    <w:aliases w:val="issh"/>
    <w:basedOn w:val="OPCParaBase"/>
    <w:rsid w:val="005D2A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2A31"/>
    <w:pPr>
      <w:spacing w:before="40" w:line="240" w:lineRule="auto"/>
      <w:ind w:left="1134"/>
    </w:pPr>
  </w:style>
  <w:style w:type="paragraph" w:customStyle="1" w:styleId="SubsectionHead">
    <w:name w:val="SubsectionHead"/>
    <w:aliases w:val="ssh"/>
    <w:basedOn w:val="OPCParaBase"/>
    <w:next w:val="subsection"/>
    <w:rsid w:val="005D2A31"/>
    <w:pPr>
      <w:keepNext/>
      <w:keepLines/>
      <w:spacing w:before="240" w:line="240" w:lineRule="auto"/>
      <w:ind w:left="1134"/>
    </w:pPr>
    <w:rPr>
      <w:i/>
    </w:rPr>
  </w:style>
  <w:style w:type="paragraph" w:customStyle="1" w:styleId="Tablea">
    <w:name w:val="Table(a)"/>
    <w:aliases w:val="ta"/>
    <w:basedOn w:val="OPCParaBase"/>
    <w:rsid w:val="005D2A31"/>
    <w:pPr>
      <w:spacing w:before="60" w:line="240" w:lineRule="auto"/>
      <w:ind w:left="284" w:hanging="284"/>
    </w:pPr>
    <w:rPr>
      <w:sz w:val="20"/>
    </w:rPr>
  </w:style>
  <w:style w:type="paragraph" w:customStyle="1" w:styleId="TableAA">
    <w:name w:val="Table(AA)"/>
    <w:aliases w:val="taaa"/>
    <w:basedOn w:val="OPCParaBase"/>
    <w:rsid w:val="005D2A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2A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2A31"/>
    <w:pPr>
      <w:spacing w:before="60" w:line="240" w:lineRule="atLeast"/>
    </w:pPr>
    <w:rPr>
      <w:sz w:val="20"/>
    </w:rPr>
  </w:style>
  <w:style w:type="paragraph" w:customStyle="1" w:styleId="TLPBoxTextnote">
    <w:name w:val="TLPBoxText(note"/>
    <w:aliases w:val="right)"/>
    <w:basedOn w:val="OPCParaBase"/>
    <w:rsid w:val="005D2A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2A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2A31"/>
    <w:pPr>
      <w:spacing w:before="122" w:line="198" w:lineRule="exact"/>
      <w:ind w:left="1985" w:hanging="851"/>
      <w:jc w:val="right"/>
    </w:pPr>
    <w:rPr>
      <w:sz w:val="18"/>
    </w:rPr>
  </w:style>
  <w:style w:type="paragraph" w:customStyle="1" w:styleId="TLPTableBullet">
    <w:name w:val="TLPTableBullet"/>
    <w:aliases w:val="ttb"/>
    <w:basedOn w:val="OPCParaBase"/>
    <w:rsid w:val="005D2A31"/>
    <w:pPr>
      <w:spacing w:line="240" w:lineRule="exact"/>
      <w:ind w:left="284" w:hanging="284"/>
    </w:pPr>
    <w:rPr>
      <w:sz w:val="20"/>
    </w:rPr>
  </w:style>
  <w:style w:type="paragraph" w:styleId="TOC1">
    <w:name w:val="toc 1"/>
    <w:basedOn w:val="OPCParaBase"/>
    <w:next w:val="Normal"/>
    <w:uiPriority w:val="39"/>
    <w:unhideWhenUsed/>
    <w:rsid w:val="005D2A3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2A3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D2A3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D2A3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D2A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D2A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D2A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2A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D2A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2A31"/>
    <w:pPr>
      <w:keepLines/>
      <w:spacing w:before="240" w:after="120" w:line="240" w:lineRule="auto"/>
      <w:ind w:left="794"/>
    </w:pPr>
    <w:rPr>
      <w:b/>
      <w:kern w:val="28"/>
      <w:sz w:val="20"/>
    </w:rPr>
  </w:style>
  <w:style w:type="paragraph" w:customStyle="1" w:styleId="TofSectsHeading">
    <w:name w:val="TofSects(Heading)"/>
    <w:basedOn w:val="OPCParaBase"/>
    <w:rsid w:val="005D2A31"/>
    <w:pPr>
      <w:spacing w:before="240" w:after="120" w:line="240" w:lineRule="auto"/>
    </w:pPr>
    <w:rPr>
      <w:b/>
      <w:sz w:val="24"/>
    </w:rPr>
  </w:style>
  <w:style w:type="paragraph" w:customStyle="1" w:styleId="TofSectsSection">
    <w:name w:val="TofSects(Section)"/>
    <w:basedOn w:val="OPCParaBase"/>
    <w:rsid w:val="005D2A31"/>
    <w:pPr>
      <w:keepLines/>
      <w:spacing w:before="40" w:line="240" w:lineRule="auto"/>
      <w:ind w:left="1588" w:hanging="794"/>
    </w:pPr>
    <w:rPr>
      <w:kern w:val="28"/>
      <w:sz w:val="18"/>
    </w:rPr>
  </w:style>
  <w:style w:type="paragraph" w:customStyle="1" w:styleId="TofSectsSubdiv">
    <w:name w:val="TofSects(Subdiv)"/>
    <w:basedOn w:val="OPCParaBase"/>
    <w:rsid w:val="005D2A31"/>
    <w:pPr>
      <w:keepLines/>
      <w:spacing w:before="80" w:line="240" w:lineRule="auto"/>
      <w:ind w:left="1588" w:hanging="794"/>
    </w:pPr>
    <w:rPr>
      <w:kern w:val="28"/>
    </w:rPr>
  </w:style>
  <w:style w:type="paragraph" w:customStyle="1" w:styleId="WRStyle">
    <w:name w:val="WR Style"/>
    <w:aliases w:val="WR"/>
    <w:basedOn w:val="OPCParaBase"/>
    <w:rsid w:val="005D2A31"/>
    <w:pPr>
      <w:spacing w:before="240" w:line="240" w:lineRule="auto"/>
      <w:ind w:left="284" w:hanging="284"/>
    </w:pPr>
    <w:rPr>
      <w:b/>
      <w:i/>
      <w:kern w:val="28"/>
      <w:sz w:val="24"/>
    </w:rPr>
  </w:style>
  <w:style w:type="paragraph" w:customStyle="1" w:styleId="notepara">
    <w:name w:val="note(para)"/>
    <w:aliases w:val="na"/>
    <w:basedOn w:val="OPCParaBase"/>
    <w:rsid w:val="005D2A31"/>
    <w:pPr>
      <w:spacing w:before="40" w:line="198" w:lineRule="exact"/>
      <w:ind w:left="2354" w:hanging="369"/>
    </w:pPr>
    <w:rPr>
      <w:sz w:val="18"/>
    </w:rPr>
  </w:style>
  <w:style w:type="paragraph" w:styleId="Footer">
    <w:name w:val="footer"/>
    <w:link w:val="FooterChar"/>
    <w:rsid w:val="005D2A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2A31"/>
    <w:rPr>
      <w:rFonts w:eastAsia="Times New Roman" w:cs="Times New Roman"/>
      <w:sz w:val="22"/>
      <w:szCs w:val="24"/>
      <w:lang w:eastAsia="en-AU"/>
    </w:rPr>
  </w:style>
  <w:style w:type="character" w:styleId="LineNumber">
    <w:name w:val="line number"/>
    <w:basedOn w:val="OPCCharBase"/>
    <w:uiPriority w:val="99"/>
    <w:semiHidden/>
    <w:unhideWhenUsed/>
    <w:rsid w:val="005D2A31"/>
    <w:rPr>
      <w:sz w:val="16"/>
    </w:rPr>
  </w:style>
  <w:style w:type="table" w:customStyle="1" w:styleId="CFlag">
    <w:name w:val="CFlag"/>
    <w:basedOn w:val="TableNormal"/>
    <w:uiPriority w:val="99"/>
    <w:rsid w:val="005D2A31"/>
    <w:rPr>
      <w:rFonts w:eastAsia="Times New Roman" w:cs="Times New Roman"/>
      <w:lang w:eastAsia="en-AU"/>
    </w:rPr>
    <w:tblPr/>
  </w:style>
  <w:style w:type="paragraph" w:customStyle="1" w:styleId="SignCoverPageEnd">
    <w:name w:val="SignCoverPageEnd"/>
    <w:basedOn w:val="OPCParaBase"/>
    <w:next w:val="Normal"/>
    <w:rsid w:val="005D2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2A31"/>
    <w:pPr>
      <w:pBdr>
        <w:top w:val="single" w:sz="4" w:space="1" w:color="auto"/>
      </w:pBdr>
      <w:spacing w:before="360"/>
      <w:ind w:right="397"/>
      <w:jc w:val="both"/>
    </w:pPr>
  </w:style>
  <w:style w:type="paragraph" w:customStyle="1" w:styleId="CompiledActNo">
    <w:name w:val="CompiledActNo"/>
    <w:basedOn w:val="OPCParaBase"/>
    <w:next w:val="Normal"/>
    <w:rsid w:val="005D2A31"/>
    <w:rPr>
      <w:b/>
      <w:sz w:val="24"/>
      <w:szCs w:val="24"/>
    </w:rPr>
  </w:style>
  <w:style w:type="paragraph" w:customStyle="1" w:styleId="ENotesText">
    <w:name w:val="ENotesText"/>
    <w:aliases w:val="Ent"/>
    <w:basedOn w:val="OPCParaBase"/>
    <w:next w:val="Normal"/>
    <w:rsid w:val="005D2A31"/>
    <w:pPr>
      <w:spacing w:before="120"/>
    </w:pPr>
  </w:style>
  <w:style w:type="paragraph" w:customStyle="1" w:styleId="CompiledMadeUnder">
    <w:name w:val="CompiledMadeUnder"/>
    <w:basedOn w:val="OPCParaBase"/>
    <w:next w:val="Normal"/>
    <w:rsid w:val="005D2A31"/>
    <w:rPr>
      <w:i/>
      <w:sz w:val="24"/>
      <w:szCs w:val="24"/>
    </w:rPr>
  </w:style>
  <w:style w:type="paragraph" w:customStyle="1" w:styleId="Paragraphsub-sub-sub">
    <w:name w:val="Paragraph(sub-sub-sub)"/>
    <w:aliases w:val="aaaa"/>
    <w:basedOn w:val="OPCParaBase"/>
    <w:rsid w:val="005D2A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2A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2A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2A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2A3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2A31"/>
    <w:pPr>
      <w:spacing w:before="60" w:line="240" w:lineRule="auto"/>
    </w:pPr>
    <w:rPr>
      <w:rFonts w:cs="Arial"/>
      <w:sz w:val="20"/>
      <w:szCs w:val="22"/>
    </w:rPr>
  </w:style>
  <w:style w:type="paragraph" w:customStyle="1" w:styleId="TableHeading">
    <w:name w:val="TableHeading"/>
    <w:aliases w:val="th"/>
    <w:basedOn w:val="OPCParaBase"/>
    <w:next w:val="Tabletext"/>
    <w:rsid w:val="005D2A31"/>
    <w:pPr>
      <w:keepNext/>
      <w:spacing w:before="60" w:line="240" w:lineRule="atLeast"/>
    </w:pPr>
    <w:rPr>
      <w:b/>
      <w:sz w:val="20"/>
    </w:rPr>
  </w:style>
  <w:style w:type="paragraph" w:customStyle="1" w:styleId="NoteToSubpara">
    <w:name w:val="NoteToSubpara"/>
    <w:aliases w:val="nts"/>
    <w:basedOn w:val="OPCParaBase"/>
    <w:rsid w:val="005D2A31"/>
    <w:pPr>
      <w:spacing w:before="40" w:line="198" w:lineRule="exact"/>
      <w:ind w:left="2835" w:hanging="709"/>
    </w:pPr>
    <w:rPr>
      <w:sz w:val="18"/>
    </w:rPr>
  </w:style>
  <w:style w:type="paragraph" w:customStyle="1" w:styleId="ENoteTableHeading">
    <w:name w:val="ENoteTableHeading"/>
    <w:aliases w:val="enth"/>
    <w:basedOn w:val="OPCParaBase"/>
    <w:rsid w:val="005D2A31"/>
    <w:pPr>
      <w:keepNext/>
      <w:spacing w:before="60" w:line="240" w:lineRule="atLeast"/>
    </w:pPr>
    <w:rPr>
      <w:rFonts w:ascii="Arial" w:hAnsi="Arial"/>
      <w:b/>
      <w:sz w:val="16"/>
    </w:rPr>
  </w:style>
  <w:style w:type="paragraph" w:customStyle="1" w:styleId="ENoteTableText">
    <w:name w:val="ENoteTableText"/>
    <w:aliases w:val="entt"/>
    <w:basedOn w:val="OPCParaBase"/>
    <w:rsid w:val="005D2A31"/>
    <w:pPr>
      <w:spacing w:before="60" w:line="240" w:lineRule="atLeast"/>
    </w:pPr>
    <w:rPr>
      <w:sz w:val="16"/>
    </w:rPr>
  </w:style>
  <w:style w:type="paragraph" w:customStyle="1" w:styleId="ENoteTTi">
    <w:name w:val="ENoteTTi"/>
    <w:aliases w:val="entti"/>
    <w:basedOn w:val="OPCParaBase"/>
    <w:rsid w:val="005D2A31"/>
    <w:pPr>
      <w:keepNext/>
      <w:spacing w:before="60" w:line="240" w:lineRule="atLeast"/>
      <w:ind w:left="170"/>
    </w:pPr>
    <w:rPr>
      <w:sz w:val="16"/>
    </w:rPr>
  </w:style>
  <w:style w:type="paragraph" w:customStyle="1" w:styleId="ENoteTTIndentHeading">
    <w:name w:val="ENoteTTIndentHeading"/>
    <w:aliases w:val="enTTHi"/>
    <w:basedOn w:val="OPCParaBase"/>
    <w:rsid w:val="005D2A3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D2A31"/>
    <w:pPr>
      <w:spacing w:before="120"/>
      <w:outlineLvl w:val="1"/>
    </w:pPr>
    <w:rPr>
      <w:b/>
      <w:sz w:val="28"/>
      <w:szCs w:val="28"/>
    </w:rPr>
  </w:style>
  <w:style w:type="paragraph" w:customStyle="1" w:styleId="ENotesHeading2">
    <w:name w:val="ENotesHeading 2"/>
    <w:aliases w:val="Enh2"/>
    <w:basedOn w:val="OPCParaBase"/>
    <w:next w:val="Normal"/>
    <w:rsid w:val="005D2A31"/>
    <w:pPr>
      <w:spacing w:before="120" w:after="120"/>
      <w:outlineLvl w:val="2"/>
    </w:pPr>
    <w:rPr>
      <w:b/>
      <w:sz w:val="24"/>
      <w:szCs w:val="28"/>
    </w:rPr>
  </w:style>
  <w:style w:type="paragraph" w:customStyle="1" w:styleId="MadeunderText">
    <w:name w:val="MadeunderText"/>
    <w:basedOn w:val="OPCParaBase"/>
    <w:next w:val="Normal"/>
    <w:rsid w:val="005D2A31"/>
    <w:pPr>
      <w:spacing w:before="240"/>
    </w:pPr>
    <w:rPr>
      <w:sz w:val="24"/>
      <w:szCs w:val="24"/>
    </w:rPr>
  </w:style>
  <w:style w:type="paragraph" w:customStyle="1" w:styleId="ENotesHeading3">
    <w:name w:val="ENotesHeading 3"/>
    <w:aliases w:val="Enh3"/>
    <w:basedOn w:val="OPCParaBase"/>
    <w:next w:val="Normal"/>
    <w:rsid w:val="005D2A31"/>
    <w:pPr>
      <w:keepNext/>
      <w:spacing w:before="120" w:line="240" w:lineRule="auto"/>
      <w:outlineLvl w:val="4"/>
    </w:pPr>
    <w:rPr>
      <w:b/>
      <w:szCs w:val="24"/>
    </w:rPr>
  </w:style>
  <w:style w:type="character" w:customStyle="1" w:styleId="CharSubPartNoCASA">
    <w:name w:val="CharSubPartNo(CASA)"/>
    <w:basedOn w:val="OPCCharBase"/>
    <w:uiPriority w:val="1"/>
    <w:rsid w:val="005D2A31"/>
  </w:style>
  <w:style w:type="character" w:customStyle="1" w:styleId="CharSubPartTextCASA">
    <w:name w:val="CharSubPartText(CASA)"/>
    <w:basedOn w:val="OPCCharBase"/>
    <w:uiPriority w:val="1"/>
    <w:rsid w:val="005D2A31"/>
  </w:style>
  <w:style w:type="paragraph" w:customStyle="1" w:styleId="SubPartCASA">
    <w:name w:val="SubPart(CASA)"/>
    <w:aliases w:val="csp"/>
    <w:basedOn w:val="OPCParaBase"/>
    <w:next w:val="ActHead3"/>
    <w:rsid w:val="005D2A3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D2A31"/>
    <w:pPr>
      <w:keepNext/>
      <w:spacing w:before="60" w:line="240" w:lineRule="atLeast"/>
      <w:ind w:left="340"/>
    </w:pPr>
    <w:rPr>
      <w:b/>
      <w:sz w:val="16"/>
    </w:rPr>
  </w:style>
  <w:style w:type="paragraph" w:customStyle="1" w:styleId="ENoteTTiSub">
    <w:name w:val="ENoteTTiSub"/>
    <w:aliases w:val="enttis"/>
    <w:basedOn w:val="OPCParaBase"/>
    <w:rsid w:val="005D2A31"/>
    <w:pPr>
      <w:keepNext/>
      <w:spacing w:before="60" w:line="240" w:lineRule="atLeast"/>
      <w:ind w:left="340"/>
    </w:pPr>
    <w:rPr>
      <w:sz w:val="16"/>
    </w:rPr>
  </w:style>
  <w:style w:type="paragraph" w:customStyle="1" w:styleId="SubDivisionMigration">
    <w:name w:val="SubDivisionMigration"/>
    <w:aliases w:val="sdm"/>
    <w:basedOn w:val="OPCParaBase"/>
    <w:rsid w:val="005D2A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2A31"/>
    <w:pPr>
      <w:keepNext/>
      <w:keepLines/>
      <w:spacing w:before="240" w:line="240" w:lineRule="auto"/>
      <w:ind w:left="1134" w:hanging="1134"/>
    </w:pPr>
    <w:rPr>
      <w:b/>
      <w:sz w:val="28"/>
    </w:rPr>
  </w:style>
  <w:style w:type="table" w:styleId="TableGrid">
    <w:name w:val="Table Grid"/>
    <w:basedOn w:val="TableNormal"/>
    <w:uiPriority w:val="59"/>
    <w:rsid w:val="005D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D2A31"/>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5D2A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2A31"/>
    <w:rPr>
      <w:sz w:val="22"/>
    </w:rPr>
  </w:style>
  <w:style w:type="paragraph" w:customStyle="1" w:styleId="SOTextNote">
    <w:name w:val="SO TextNote"/>
    <w:aliases w:val="sont"/>
    <w:basedOn w:val="SOText"/>
    <w:qFormat/>
    <w:rsid w:val="005D2A31"/>
    <w:pPr>
      <w:spacing w:before="122" w:line="198" w:lineRule="exact"/>
      <w:ind w:left="1843" w:hanging="709"/>
    </w:pPr>
    <w:rPr>
      <w:sz w:val="18"/>
    </w:rPr>
  </w:style>
  <w:style w:type="paragraph" w:customStyle="1" w:styleId="SOPara">
    <w:name w:val="SO Para"/>
    <w:aliases w:val="soa"/>
    <w:basedOn w:val="SOText"/>
    <w:link w:val="SOParaChar"/>
    <w:qFormat/>
    <w:rsid w:val="005D2A31"/>
    <w:pPr>
      <w:tabs>
        <w:tab w:val="right" w:pos="1786"/>
      </w:tabs>
      <w:spacing w:before="40"/>
      <w:ind w:left="2070" w:hanging="936"/>
    </w:pPr>
  </w:style>
  <w:style w:type="character" w:customStyle="1" w:styleId="SOParaChar">
    <w:name w:val="SO Para Char"/>
    <w:aliases w:val="soa Char"/>
    <w:basedOn w:val="DefaultParagraphFont"/>
    <w:link w:val="SOPara"/>
    <w:rsid w:val="005D2A31"/>
    <w:rPr>
      <w:sz w:val="22"/>
    </w:rPr>
  </w:style>
  <w:style w:type="paragraph" w:customStyle="1" w:styleId="SOBullet">
    <w:name w:val="SO Bullet"/>
    <w:aliases w:val="sotb"/>
    <w:basedOn w:val="SOText"/>
    <w:link w:val="SOBulletChar"/>
    <w:qFormat/>
    <w:rsid w:val="005D2A31"/>
    <w:pPr>
      <w:ind w:left="1559" w:hanging="425"/>
    </w:pPr>
  </w:style>
  <w:style w:type="character" w:customStyle="1" w:styleId="SOBulletChar">
    <w:name w:val="SO Bullet Char"/>
    <w:aliases w:val="sotb Char"/>
    <w:basedOn w:val="DefaultParagraphFont"/>
    <w:link w:val="SOBullet"/>
    <w:rsid w:val="005D2A31"/>
    <w:rPr>
      <w:sz w:val="22"/>
    </w:rPr>
  </w:style>
  <w:style w:type="paragraph" w:customStyle="1" w:styleId="SOBulletNote">
    <w:name w:val="SO BulletNote"/>
    <w:aliases w:val="sonb"/>
    <w:basedOn w:val="SOTextNote"/>
    <w:link w:val="SOBulletNoteChar"/>
    <w:qFormat/>
    <w:rsid w:val="005D2A31"/>
    <w:pPr>
      <w:tabs>
        <w:tab w:val="left" w:pos="1560"/>
      </w:tabs>
      <w:ind w:left="2268" w:hanging="1134"/>
    </w:pPr>
  </w:style>
  <w:style w:type="character" w:customStyle="1" w:styleId="SOBulletNoteChar">
    <w:name w:val="SO BulletNote Char"/>
    <w:aliases w:val="sonb Char"/>
    <w:basedOn w:val="DefaultParagraphFont"/>
    <w:link w:val="SOBulletNote"/>
    <w:rsid w:val="005D2A31"/>
    <w:rPr>
      <w:sz w:val="18"/>
    </w:rPr>
  </w:style>
  <w:style w:type="paragraph" w:customStyle="1" w:styleId="FileName">
    <w:name w:val="FileName"/>
    <w:basedOn w:val="Normal"/>
    <w:rsid w:val="005D2A31"/>
  </w:style>
  <w:style w:type="paragraph" w:customStyle="1" w:styleId="SOHeadBold">
    <w:name w:val="SO HeadBold"/>
    <w:aliases w:val="sohb"/>
    <w:basedOn w:val="SOText"/>
    <w:next w:val="SOText"/>
    <w:link w:val="SOHeadBoldChar"/>
    <w:qFormat/>
    <w:rsid w:val="005D2A31"/>
    <w:rPr>
      <w:b/>
    </w:rPr>
  </w:style>
  <w:style w:type="character" w:customStyle="1" w:styleId="SOHeadBoldChar">
    <w:name w:val="SO HeadBold Char"/>
    <w:aliases w:val="sohb Char"/>
    <w:basedOn w:val="DefaultParagraphFont"/>
    <w:link w:val="SOHeadBold"/>
    <w:rsid w:val="005D2A31"/>
    <w:rPr>
      <w:b/>
      <w:sz w:val="22"/>
    </w:rPr>
  </w:style>
  <w:style w:type="paragraph" w:customStyle="1" w:styleId="SOHeadItalic">
    <w:name w:val="SO HeadItalic"/>
    <w:aliases w:val="sohi"/>
    <w:basedOn w:val="SOText"/>
    <w:next w:val="SOText"/>
    <w:link w:val="SOHeadItalicChar"/>
    <w:qFormat/>
    <w:rsid w:val="005D2A31"/>
    <w:rPr>
      <w:i/>
    </w:rPr>
  </w:style>
  <w:style w:type="character" w:customStyle="1" w:styleId="SOHeadItalicChar">
    <w:name w:val="SO HeadItalic Char"/>
    <w:aliases w:val="sohi Char"/>
    <w:basedOn w:val="DefaultParagraphFont"/>
    <w:link w:val="SOHeadItalic"/>
    <w:rsid w:val="005D2A31"/>
    <w:rPr>
      <w:i/>
      <w:sz w:val="22"/>
    </w:rPr>
  </w:style>
  <w:style w:type="paragraph" w:customStyle="1" w:styleId="SOText2">
    <w:name w:val="SO Text2"/>
    <w:aliases w:val="sot2"/>
    <w:basedOn w:val="Normal"/>
    <w:next w:val="SOText"/>
    <w:link w:val="SOText2Char"/>
    <w:rsid w:val="005D2A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2A31"/>
    <w:rPr>
      <w:sz w:val="22"/>
    </w:rPr>
  </w:style>
  <w:style w:type="paragraph" w:customStyle="1" w:styleId="ETAsubitem">
    <w:name w:val="ETA(subitem)"/>
    <w:basedOn w:val="OPCParaBase"/>
    <w:rsid w:val="005D2A31"/>
    <w:pPr>
      <w:tabs>
        <w:tab w:val="right" w:pos="340"/>
      </w:tabs>
      <w:spacing w:before="60" w:line="240" w:lineRule="auto"/>
      <w:ind w:left="454" w:hanging="454"/>
    </w:pPr>
    <w:rPr>
      <w:sz w:val="20"/>
    </w:rPr>
  </w:style>
  <w:style w:type="paragraph" w:customStyle="1" w:styleId="ETApara">
    <w:name w:val="ETA(para)"/>
    <w:basedOn w:val="OPCParaBase"/>
    <w:rsid w:val="005D2A31"/>
    <w:pPr>
      <w:tabs>
        <w:tab w:val="right" w:pos="754"/>
      </w:tabs>
      <w:spacing w:before="60" w:line="240" w:lineRule="auto"/>
      <w:ind w:left="828" w:hanging="828"/>
    </w:pPr>
    <w:rPr>
      <w:sz w:val="20"/>
    </w:rPr>
  </w:style>
  <w:style w:type="paragraph" w:customStyle="1" w:styleId="ETAsubpara">
    <w:name w:val="ETA(subpara)"/>
    <w:basedOn w:val="OPCParaBase"/>
    <w:rsid w:val="005D2A31"/>
    <w:pPr>
      <w:tabs>
        <w:tab w:val="right" w:pos="1083"/>
      </w:tabs>
      <w:spacing w:before="60" w:line="240" w:lineRule="auto"/>
      <w:ind w:left="1191" w:hanging="1191"/>
    </w:pPr>
    <w:rPr>
      <w:sz w:val="20"/>
    </w:rPr>
  </w:style>
  <w:style w:type="paragraph" w:customStyle="1" w:styleId="ETAsub-subpara">
    <w:name w:val="ETA(sub-subpara)"/>
    <w:basedOn w:val="OPCParaBase"/>
    <w:rsid w:val="005D2A3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D2A31"/>
    <w:rPr>
      <w:b/>
      <w:sz w:val="28"/>
      <w:szCs w:val="28"/>
    </w:rPr>
  </w:style>
  <w:style w:type="paragraph" w:customStyle="1" w:styleId="NotesHeading2">
    <w:name w:val="NotesHeading 2"/>
    <w:basedOn w:val="OPCParaBase"/>
    <w:next w:val="Normal"/>
    <w:rsid w:val="005D2A31"/>
    <w:rPr>
      <w:b/>
      <w:sz w:val="28"/>
      <w:szCs w:val="28"/>
    </w:rPr>
  </w:style>
  <w:style w:type="paragraph" w:customStyle="1" w:styleId="Transitional">
    <w:name w:val="Transitional"/>
    <w:aliases w:val="tr"/>
    <w:basedOn w:val="ItemHead"/>
    <w:next w:val="Item"/>
    <w:rsid w:val="005D2A31"/>
  </w:style>
  <w:style w:type="character" w:customStyle="1" w:styleId="subsectionChar">
    <w:name w:val="subsection Char"/>
    <w:aliases w:val="ss Char"/>
    <w:basedOn w:val="DefaultParagraphFont"/>
    <w:link w:val="subsection"/>
    <w:locked/>
    <w:rsid w:val="00AA1E3A"/>
    <w:rPr>
      <w:rFonts w:eastAsia="Times New Roman" w:cs="Times New Roman"/>
      <w:sz w:val="22"/>
      <w:lang w:eastAsia="en-AU"/>
    </w:rPr>
  </w:style>
  <w:style w:type="character" w:customStyle="1" w:styleId="notetextChar">
    <w:name w:val="note(text) Char"/>
    <w:aliases w:val="n Char"/>
    <w:basedOn w:val="DefaultParagraphFont"/>
    <w:link w:val="notetext"/>
    <w:rsid w:val="00AA1E3A"/>
    <w:rPr>
      <w:rFonts w:eastAsia="Times New Roman" w:cs="Times New Roman"/>
      <w:sz w:val="18"/>
      <w:lang w:eastAsia="en-AU"/>
    </w:rPr>
  </w:style>
  <w:style w:type="paragraph" w:styleId="BalloonText">
    <w:name w:val="Balloon Text"/>
    <w:basedOn w:val="Normal"/>
    <w:link w:val="BalloonTextChar"/>
    <w:uiPriority w:val="99"/>
    <w:semiHidden/>
    <w:unhideWhenUsed/>
    <w:rsid w:val="000035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D9"/>
    <w:rPr>
      <w:rFonts w:ascii="Tahoma" w:hAnsi="Tahoma" w:cs="Tahoma"/>
      <w:sz w:val="16"/>
      <w:szCs w:val="16"/>
    </w:rPr>
  </w:style>
  <w:style w:type="paragraph" w:customStyle="1" w:styleId="ClerkBlock">
    <w:name w:val="ClerkBlock"/>
    <w:basedOn w:val="Normal"/>
    <w:rsid w:val="00556FE2"/>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556F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56F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56F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56F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56F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56F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56F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56F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56FE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C685B"/>
    <w:pPr>
      <w:spacing w:before="800"/>
    </w:pPr>
  </w:style>
  <w:style w:type="character" w:customStyle="1" w:styleId="OPCParaBaseChar">
    <w:name w:val="OPCParaBase Char"/>
    <w:basedOn w:val="DefaultParagraphFont"/>
    <w:link w:val="OPCParaBase"/>
    <w:rsid w:val="001C685B"/>
    <w:rPr>
      <w:rFonts w:eastAsia="Times New Roman" w:cs="Times New Roman"/>
      <w:sz w:val="22"/>
      <w:lang w:eastAsia="en-AU"/>
    </w:rPr>
  </w:style>
  <w:style w:type="character" w:customStyle="1" w:styleId="ShortTChar">
    <w:name w:val="ShortT Char"/>
    <w:basedOn w:val="OPCParaBaseChar"/>
    <w:link w:val="ShortT"/>
    <w:rsid w:val="001C685B"/>
    <w:rPr>
      <w:rFonts w:eastAsia="Times New Roman" w:cs="Times New Roman"/>
      <w:b/>
      <w:sz w:val="40"/>
      <w:lang w:eastAsia="en-AU"/>
    </w:rPr>
  </w:style>
  <w:style w:type="character" w:customStyle="1" w:styleId="ShortTP1Char">
    <w:name w:val="ShortTP1 Char"/>
    <w:basedOn w:val="ShortTChar"/>
    <w:link w:val="ShortTP1"/>
    <w:rsid w:val="001C685B"/>
    <w:rPr>
      <w:rFonts w:eastAsia="Times New Roman" w:cs="Times New Roman"/>
      <w:b/>
      <w:sz w:val="40"/>
      <w:lang w:eastAsia="en-AU"/>
    </w:rPr>
  </w:style>
  <w:style w:type="paragraph" w:customStyle="1" w:styleId="ActNoP1">
    <w:name w:val="ActNoP1"/>
    <w:basedOn w:val="Actno"/>
    <w:link w:val="ActNoP1Char"/>
    <w:rsid w:val="001C685B"/>
    <w:pPr>
      <w:spacing w:before="800"/>
    </w:pPr>
    <w:rPr>
      <w:sz w:val="28"/>
    </w:rPr>
  </w:style>
  <w:style w:type="character" w:customStyle="1" w:styleId="ActnoChar">
    <w:name w:val="Actno Char"/>
    <w:basedOn w:val="ShortTChar"/>
    <w:link w:val="Actno"/>
    <w:rsid w:val="001C685B"/>
    <w:rPr>
      <w:rFonts w:eastAsia="Times New Roman" w:cs="Times New Roman"/>
      <w:b/>
      <w:sz w:val="40"/>
      <w:lang w:eastAsia="en-AU"/>
    </w:rPr>
  </w:style>
  <w:style w:type="character" w:customStyle="1" w:styleId="ActNoP1Char">
    <w:name w:val="ActNoP1 Char"/>
    <w:basedOn w:val="ActnoChar"/>
    <w:link w:val="ActNoP1"/>
    <w:rsid w:val="001C685B"/>
    <w:rPr>
      <w:rFonts w:eastAsia="Times New Roman" w:cs="Times New Roman"/>
      <w:b/>
      <w:sz w:val="28"/>
      <w:lang w:eastAsia="en-AU"/>
    </w:rPr>
  </w:style>
  <w:style w:type="paragraph" w:customStyle="1" w:styleId="ShortTCP">
    <w:name w:val="ShortTCP"/>
    <w:basedOn w:val="ShortT"/>
    <w:link w:val="ShortTCPChar"/>
    <w:rsid w:val="001C685B"/>
  </w:style>
  <w:style w:type="character" w:customStyle="1" w:styleId="ShortTCPChar">
    <w:name w:val="ShortTCP Char"/>
    <w:basedOn w:val="ShortTChar"/>
    <w:link w:val="ShortTCP"/>
    <w:rsid w:val="001C685B"/>
    <w:rPr>
      <w:rFonts w:eastAsia="Times New Roman" w:cs="Times New Roman"/>
      <w:b/>
      <w:sz w:val="40"/>
      <w:lang w:eastAsia="en-AU"/>
    </w:rPr>
  </w:style>
  <w:style w:type="paragraph" w:customStyle="1" w:styleId="ActNoCP">
    <w:name w:val="ActNoCP"/>
    <w:basedOn w:val="Actno"/>
    <w:link w:val="ActNoCPChar"/>
    <w:rsid w:val="001C685B"/>
    <w:pPr>
      <w:spacing w:before="400"/>
    </w:pPr>
  </w:style>
  <w:style w:type="character" w:customStyle="1" w:styleId="ActNoCPChar">
    <w:name w:val="ActNoCP Char"/>
    <w:basedOn w:val="ActnoChar"/>
    <w:link w:val="ActNoCP"/>
    <w:rsid w:val="001C685B"/>
    <w:rPr>
      <w:rFonts w:eastAsia="Times New Roman" w:cs="Times New Roman"/>
      <w:b/>
      <w:sz w:val="40"/>
      <w:lang w:eastAsia="en-AU"/>
    </w:rPr>
  </w:style>
  <w:style w:type="paragraph" w:customStyle="1" w:styleId="AssentBk">
    <w:name w:val="AssentBk"/>
    <w:basedOn w:val="Normal"/>
    <w:rsid w:val="001C685B"/>
    <w:pPr>
      <w:spacing w:line="240" w:lineRule="auto"/>
    </w:pPr>
    <w:rPr>
      <w:rFonts w:eastAsia="Times New Roman" w:cs="Times New Roman"/>
      <w:sz w:val="20"/>
      <w:lang w:eastAsia="en-AU"/>
    </w:rPr>
  </w:style>
  <w:style w:type="paragraph" w:customStyle="1" w:styleId="AssentDt">
    <w:name w:val="AssentDt"/>
    <w:basedOn w:val="Normal"/>
    <w:rsid w:val="008F273E"/>
    <w:pPr>
      <w:spacing w:line="240" w:lineRule="auto"/>
    </w:pPr>
    <w:rPr>
      <w:rFonts w:eastAsia="Times New Roman" w:cs="Times New Roman"/>
      <w:sz w:val="20"/>
      <w:lang w:eastAsia="en-AU"/>
    </w:rPr>
  </w:style>
  <w:style w:type="paragraph" w:customStyle="1" w:styleId="2ndRd">
    <w:name w:val="2ndRd"/>
    <w:basedOn w:val="Normal"/>
    <w:rsid w:val="008F273E"/>
    <w:pPr>
      <w:spacing w:line="240" w:lineRule="auto"/>
    </w:pPr>
    <w:rPr>
      <w:rFonts w:eastAsia="Times New Roman" w:cs="Times New Roman"/>
      <w:sz w:val="20"/>
      <w:lang w:eastAsia="en-AU"/>
    </w:rPr>
  </w:style>
  <w:style w:type="paragraph" w:customStyle="1" w:styleId="ScalePlusRef">
    <w:name w:val="ScalePlusRef"/>
    <w:basedOn w:val="Normal"/>
    <w:rsid w:val="008F273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2A31"/>
    <w:pPr>
      <w:spacing w:line="260" w:lineRule="atLeast"/>
    </w:pPr>
    <w:rPr>
      <w:sz w:val="22"/>
    </w:rPr>
  </w:style>
  <w:style w:type="paragraph" w:styleId="Heading1">
    <w:name w:val="heading 1"/>
    <w:basedOn w:val="Normal"/>
    <w:next w:val="Normal"/>
    <w:link w:val="Heading1Char"/>
    <w:uiPriority w:val="9"/>
    <w:qFormat/>
    <w:rsid w:val="00556F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6F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6F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6F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6F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6F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6F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6F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56F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2A31"/>
  </w:style>
  <w:style w:type="paragraph" w:customStyle="1" w:styleId="OPCParaBase">
    <w:name w:val="OPCParaBase"/>
    <w:link w:val="OPCParaBaseChar"/>
    <w:qFormat/>
    <w:rsid w:val="005D2A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D2A31"/>
    <w:pPr>
      <w:spacing w:line="240" w:lineRule="auto"/>
    </w:pPr>
    <w:rPr>
      <w:b/>
      <w:sz w:val="40"/>
    </w:rPr>
  </w:style>
  <w:style w:type="paragraph" w:customStyle="1" w:styleId="ActHead1">
    <w:name w:val="ActHead 1"/>
    <w:aliases w:val="c"/>
    <w:basedOn w:val="OPCParaBase"/>
    <w:next w:val="Normal"/>
    <w:qFormat/>
    <w:rsid w:val="005D2A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2A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2A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2A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2A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2A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2A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2A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2A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D2A31"/>
  </w:style>
  <w:style w:type="paragraph" w:customStyle="1" w:styleId="Blocks">
    <w:name w:val="Blocks"/>
    <w:aliases w:val="bb"/>
    <w:basedOn w:val="OPCParaBase"/>
    <w:qFormat/>
    <w:rsid w:val="005D2A31"/>
    <w:pPr>
      <w:spacing w:line="240" w:lineRule="auto"/>
    </w:pPr>
    <w:rPr>
      <w:sz w:val="24"/>
    </w:rPr>
  </w:style>
  <w:style w:type="paragraph" w:customStyle="1" w:styleId="BoxText">
    <w:name w:val="BoxText"/>
    <w:aliases w:val="bt"/>
    <w:basedOn w:val="OPCParaBase"/>
    <w:qFormat/>
    <w:rsid w:val="005D2A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2A31"/>
    <w:rPr>
      <w:b/>
    </w:rPr>
  </w:style>
  <w:style w:type="paragraph" w:customStyle="1" w:styleId="BoxHeadItalic">
    <w:name w:val="BoxHeadItalic"/>
    <w:aliases w:val="bhi"/>
    <w:basedOn w:val="BoxText"/>
    <w:next w:val="BoxStep"/>
    <w:qFormat/>
    <w:rsid w:val="005D2A31"/>
    <w:rPr>
      <w:i/>
    </w:rPr>
  </w:style>
  <w:style w:type="paragraph" w:customStyle="1" w:styleId="BoxList">
    <w:name w:val="BoxList"/>
    <w:aliases w:val="bl"/>
    <w:basedOn w:val="BoxText"/>
    <w:qFormat/>
    <w:rsid w:val="005D2A31"/>
    <w:pPr>
      <w:ind w:left="1559" w:hanging="425"/>
    </w:pPr>
  </w:style>
  <w:style w:type="paragraph" w:customStyle="1" w:styleId="BoxNote">
    <w:name w:val="BoxNote"/>
    <w:aliases w:val="bn"/>
    <w:basedOn w:val="BoxText"/>
    <w:qFormat/>
    <w:rsid w:val="005D2A31"/>
    <w:pPr>
      <w:tabs>
        <w:tab w:val="left" w:pos="1985"/>
      </w:tabs>
      <w:spacing w:before="122" w:line="198" w:lineRule="exact"/>
      <w:ind w:left="2948" w:hanging="1814"/>
    </w:pPr>
    <w:rPr>
      <w:sz w:val="18"/>
    </w:rPr>
  </w:style>
  <w:style w:type="paragraph" w:customStyle="1" w:styleId="BoxPara">
    <w:name w:val="BoxPara"/>
    <w:aliases w:val="bp"/>
    <w:basedOn w:val="BoxText"/>
    <w:qFormat/>
    <w:rsid w:val="005D2A31"/>
    <w:pPr>
      <w:tabs>
        <w:tab w:val="right" w:pos="2268"/>
      </w:tabs>
      <w:ind w:left="2552" w:hanging="1418"/>
    </w:pPr>
  </w:style>
  <w:style w:type="paragraph" w:customStyle="1" w:styleId="BoxStep">
    <w:name w:val="BoxStep"/>
    <w:aliases w:val="bs"/>
    <w:basedOn w:val="BoxText"/>
    <w:qFormat/>
    <w:rsid w:val="005D2A31"/>
    <w:pPr>
      <w:ind w:left="1985" w:hanging="851"/>
    </w:pPr>
  </w:style>
  <w:style w:type="character" w:customStyle="1" w:styleId="CharAmPartNo">
    <w:name w:val="CharAmPartNo"/>
    <w:basedOn w:val="OPCCharBase"/>
    <w:qFormat/>
    <w:rsid w:val="005D2A31"/>
  </w:style>
  <w:style w:type="character" w:customStyle="1" w:styleId="CharAmPartText">
    <w:name w:val="CharAmPartText"/>
    <w:basedOn w:val="OPCCharBase"/>
    <w:qFormat/>
    <w:rsid w:val="005D2A31"/>
  </w:style>
  <w:style w:type="character" w:customStyle="1" w:styleId="CharAmSchNo">
    <w:name w:val="CharAmSchNo"/>
    <w:basedOn w:val="OPCCharBase"/>
    <w:qFormat/>
    <w:rsid w:val="005D2A31"/>
  </w:style>
  <w:style w:type="character" w:customStyle="1" w:styleId="CharAmSchText">
    <w:name w:val="CharAmSchText"/>
    <w:basedOn w:val="OPCCharBase"/>
    <w:qFormat/>
    <w:rsid w:val="005D2A31"/>
  </w:style>
  <w:style w:type="character" w:customStyle="1" w:styleId="CharBoldItalic">
    <w:name w:val="CharBoldItalic"/>
    <w:basedOn w:val="OPCCharBase"/>
    <w:uiPriority w:val="1"/>
    <w:qFormat/>
    <w:rsid w:val="005D2A31"/>
    <w:rPr>
      <w:b/>
      <w:i/>
    </w:rPr>
  </w:style>
  <w:style w:type="character" w:customStyle="1" w:styleId="CharChapNo">
    <w:name w:val="CharChapNo"/>
    <w:basedOn w:val="OPCCharBase"/>
    <w:uiPriority w:val="1"/>
    <w:qFormat/>
    <w:rsid w:val="005D2A31"/>
  </w:style>
  <w:style w:type="character" w:customStyle="1" w:styleId="CharChapText">
    <w:name w:val="CharChapText"/>
    <w:basedOn w:val="OPCCharBase"/>
    <w:uiPriority w:val="1"/>
    <w:qFormat/>
    <w:rsid w:val="005D2A31"/>
  </w:style>
  <w:style w:type="character" w:customStyle="1" w:styleId="CharDivNo">
    <w:name w:val="CharDivNo"/>
    <w:basedOn w:val="OPCCharBase"/>
    <w:uiPriority w:val="1"/>
    <w:qFormat/>
    <w:rsid w:val="005D2A31"/>
  </w:style>
  <w:style w:type="character" w:customStyle="1" w:styleId="CharDivText">
    <w:name w:val="CharDivText"/>
    <w:basedOn w:val="OPCCharBase"/>
    <w:uiPriority w:val="1"/>
    <w:qFormat/>
    <w:rsid w:val="005D2A31"/>
  </w:style>
  <w:style w:type="character" w:customStyle="1" w:styleId="CharItalic">
    <w:name w:val="CharItalic"/>
    <w:basedOn w:val="OPCCharBase"/>
    <w:uiPriority w:val="1"/>
    <w:qFormat/>
    <w:rsid w:val="005D2A31"/>
    <w:rPr>
      <w:i/>
    </w:rPr>
  </w:style>
  <w:style w:type="character" w:customStyle="1" w:styleId="CharPartNo">
    <w:name w:val="CharPartNo"/>
    <w:basedOn w:val="OPCCharBase"/>
    <w:uiPriority w:val="1"/>
    <w:qFormat/>
    <w:rsid w:val="005D2A31"/>
  </w:style>
  <w:style w:type="character" w:customStyle="1" w:styleId="CharPartText">
    <w:name w:val="CharPartText"/>
    <w:basedOn w:val="OPCCharBase"/>
    <w:uiPriority w:val="1"/>
    <w:qFormat/>
    <w:rsid w:val="005D2A31"/>
  </w:style>
  <w:style w:type="character" w:customStyle="1" w:styleId="CharSectno">
    <w:name w:val="CharSectno"/>
    <w:basedOn w:val="OPCCharBase"/>
    <w:qFormat/>
    <w:rsid w:val="005D2A31"/>
  </w:style>
  <w:style w:type="character" w:customStyle="1" w:styleId="CharSubdNo">
    <w:name w:val="CharSubdNo"/>
    <w:basedOn w:val="OPCCharBase"/>
    <w:uiPriority w:val="1"/>
    <w:qFormat/>
    <w:rsid w:val="005D2A31"/>
  </w:style>
  <w:style w:type="character" w:customStyle="1" w:styleId="CharSubdText">
    <w:name w:val="CharSubdText"/>
    <w:basedOn w:val="OPCCharBase"/>
    <w:uiPriority w:val="1"/>
    <w:qFormat/>
    <w:rsid w:val="005D2A31"/>
  </w:style>
  <w:style w:type="paragraph" w:customStyle="1" w:styleId="CTA--">
    <w:name w:val="CTA --"/>
    <w:basedOn w:val="OPCParaBase"/>
    <w:next w:val="Normal"/>
    <w:rsid w:val="005D2A31"/>
    <w:pPr>
      <w:spacing w:before="60" w:line="240" w:lineRule="atLeast"/>
      <w:ind w:left="142" w:hanging="142"/>
    </w:pPr>
    <w:rPr>
      <w:sz w:val="20"/>
    </w:rPr>
  </w:style>
  <w:style w:type="paragraph" w:customStyle="1" w:styleId="CTA-">
    <w:name w:val="CTA -"/>
    <w:basedOn w:val="OPCParaBase"/>
    <w:rsid w:val="005D2A31"/>
    <w:pPr>
      <w:spacing w:before="60" w:line="240" w:lineRule="atLeast"/>
      <w:ind w:left="85" w:hanging="85"/>
    </w:pPr>
    <w:rPr>
      <w:sz w:val="20"/>
    </w:rPr>
  </w:style>
  <w:style w:type="paragraph" w:customStyle="1" w:styleId="CTA---">
    <w:name w:val="CTA ---"/>
    <w:basedOn w:val="OPCParaBase"/>
    <w:next w:val="Normal"/>
    <w:rsid w:val="005D2A31"/>
    <w:pPr>
      <w:spacing w:before="60" w:line="240" w:lineRule="atLeast"/>
      <w:ind w:left="198" w:hanging="198"/>
    </w:pPr>
    <w:rPr>
      <w:sz w:val="20"/>
    </w:rPr>
  </w:style>
  <w:style w:type="paragraph" w:customStyle="1" w:styleId="CTA----">
    <w:name w:val="CTA ----"/>
    <w:basedOn w:val="OPCParaBase"/>
    <w:next w:val="Normal"/>
    <w:rsid w:val="005D2A31"/>
    <w:pPr>
      <w:spacing w:before="60" w:line="240" w:lineRule="atLeast"/>
      <w:ind w:left="255" w:hanging="255"/>
    </w:pPr>
    <w:rPr>
      <w:sz w:val="20"/>
    </w:rPr>
  </w:style>
  <w:style w:type="paragraph" w:customStyle="1" w:styleId="CTA1a">
    <w:name w:val="CTA 1(a)"/>
    <w:basedOn w:val="OPCParaBase"/>
    <w:rsid w:val="005D2A31"/>
    <w:pPr>
      <w:tabs>
        <w:tab w:val="right" w:pos="414"/>
      </w:tabs>
      <w:spacing w:before="40" w:line="240" w:lineRule="atLeast"/>
      <w:ind w:left="675" w:hanging="675"/>
    </w:pPr>
    <w:rPr>
      <w:sz w:val="20"/>
    </w:rPr>
  </w:style>
  <w:style w:type="paragraph" w:customStyle="1" w:styleId="CTA1ai">
    <w:name w:val="CTA 1(a)(i)"/>
    <w:basedOn w:val="OPCParaBase"/>
    <w:rsid w:val="005D2A31"/>
    <w:pPr>
      <w:tabs>
        <w:tab w:val="right" w:pos="1004"/>
      </w:tabs>
      <w:spacing w:before="40" w:line="240" w:lineRule="atLeast"/>
      <w:ind w:left="1253" w:hanging="1253"/>
    </w:pPr>
    <w:rPr>
      <w:sz w:val="20"/>
    </w:rPr>
  </w:style>
  <w:style w:type="paragraph" w:customStyle="1" w:styleId="CTA2a">
    <w:name w:val="CTA 2(a)"/>
    <w:basedOn w:val="OPCParaBase"/>
    <w:rsid w:val="005D2A31"/>
    <w:pPr>
      <w:tabs>
        <w:tab w:val="right" w:pos="482"/>
      </w:tabs>
      <w:spacing w:before="40" w:line="240" w:lineRule="atLeast"/>
      <w:ind w:left="748" w:hanging="748"/>
    </w:pPr>
    <w:rPr>
      <w:sz w:val="20"/>
    </w:rPr>
  </w:style>
  <w:style w:type="paragraph" w:customStyle="1" w:styleId="CTA2ai">
    <w:name w:val="CTA 2(a)(i)"/>
    <w:basedOn w:val="OPCParaBase"/>
    <w:rsid w:val="005D2A31"/>
    <w:pPr>
      <w:tabs>
        <w:tab w:val="right" w:pos="1089"/>
      </w:tabs>
      <w:spacing w:before="40" w:line="240" w:lineRule="atLeast"/>
      <w:ind w:left="1327" w:hanging="1327"/>
    </w:pPr>
    <w:rPr>
      <w:sz w:val="20"/>
    </w:rPr>
  </w:style>
  <w:style w:type="paragraph" w:customStyle="1" w:styleId="CTA3a">
    <w:name w:val="CTA 3(a)"/>
    <w:basedOn w:val="OPCParaBase"/>
    <w:rsid w:val="005D2A31"/>
    <w:pPr>
      <w:tabs>
        <w:tab w:val="right" w:pos="556"/>
      </w:tabs>
      <w:spacing w:before="40" w:line="240" w:lineRule="atLeast"/>
      <w:ind w:left="805" w:hanging="805"/>
    </w:pPr>
    <w:rPr>
      <w:sz w:val="20"/>
    </w:rPr>
  </w:style>
  <w:style w:type="paragraph" w:customStyle="1" w:styleId="CTA3ai">
    <w:name w:val="CTA 3(a)(i)"/>
    <w:basedOn w:val="OPCParaBase"/>
    <w:rsid w:val="005D2A31"/>
    <w:pPr>
      <w:tabs>
        <w:tab w:val="right" w:pos="1140"/>
      </w:tabs>
      <w:spacing w:before="40" w:line="240" w:lineRule="atLeast"/>
      <w:ind w:left="1361" w:hanging="1361"/>
    </w:pPr>
    <w:rPr>
      <w:sz w:val="20"/>
    </w:rPr>
  </w:style>
  <w:style w:type="paragraph" w:customStyle="1" w:styleId="CTA4a">
    <w:name w:val="CTA 4(a)"/>
    <w:basedOn w:val="OPCParaBase"/>
    <w:rsid w:val="005D2A31"/>
    <w:pPr>
      <w:tabs>
        <w:tab w:val="right" w:pos="624"/>
      </w:tabs>
      <w:spacing w:before="40" w:line="240" w:lineRule="atLeast"/>
      <w:ind w:left="873" w:hanging="873"/>
    </w:pPr>
    <w:rPr>
      <w:sz w:val="20"/>
    </w:rPr>
  </w:style>
  <w:style w:type="paragraph" w:customStyle="1" w:styleId="CTA4ai">
    <w:name w:val="CTA 4(a)(i)"/>
    <w:basedOn w:val="OPCParaBase"/>
    <w:rsid w:val="005D2A31"/>
    <w:pPr>
      <w:tabs>
        <w:tab w:val="right" w:pos="1213"/>
      </w:tabs>
      <w:spacing w:before="40" w:line="240" w:lineRule="atLeast"/>
      <w:ind w:left="1452" w:hanging="1452"/>
    </w:pPr>
    <w:rPr>
      <w:sz w:val="20"/>
    </w:rPr>
  </w:style>
  <w:style w:type="paragraph" w:customStyle="1" w:styleId="CTACAPS">
    <w:name w:val="CTA CAPS"/>
    <w:basedOn w:val="OPCParaBase"/>
    <w:rsid w:val="005D2A31"/>
    <w:pPr>
      <w:spacing w:before="60" w:line="240" w:lineRule="atLeast"/>
    </w:pPr>
    <w:rPr>
      <w:sz w:val="20"/>
    </w:rPr>
  </w:style>
  <w:style w:type="paragraph" w:customStyle="1" w:styleId="CTAright">
    <w:name w:val="CTA right"/>
    <w:basedOn w:val="OPCParaBase"/>
    <w:rsid w:val="005D2A31"/>
    <w:pPr>
      <w:spacing w:before="60" w:line="240" w:lineRule="auto"/>
      <w:jc w:val="right"/>
    </w:pPr>
    <w:rPr>
      <w:sz w:val="20"/>
    </w:rPr>
  </w:style>
  <w:style w:type="paragraph" w:customStyle="1" w:styleId="subsection">
    <w:name w:val="subsection"/>
    <w:aliases w:val="ss"/>
    <w:basedOn w:val="OPCParaBase"/>
    <w:link w:val="subsectionChar"/>
    <w:rsid w:val="005D2A31"/>
    <w:pPr>
      <w:tabs>
        <w:tab w:val="right" w:pos="1021"/>
      </w:tabs>
      <w:spacing w:before="180" w:line="240" w:lineRule="auto"/>
      <w:ind w:left="1134" w:hanging="1134"/>
    </w:pPr>
  </w:style>
  <w:style w:type="paragraph" w:customStyle="1" w:styleId="Definition">
    <w:name w:val="Definition"/>
    <w:aliases w:val="dd"/>
    <w:basedOn w:val="OPCParaBase"/>
    <w:rsid w:val="005D2A31"/>
    <w:pPr>
      <w:spacing w:before="180" w:line="240" w:lineRule="auto"/>
      <w:ind w:left="1134"/>
    </w:pPr>
  </w:style>
  <w:style w:type="paragraph" w:customStyle="1" w:styleId="Formula">
    <w:name w:val="Formula"/>
    <w:basedOn w:val="OPCParaBase"/>
    <w:rsid w:val="005D2A31"/>
    <w:pPr>
      <w:spacing w:line="240" w:lineRule="auto"/>
      <w:ind w:left="1134"/>
    </w:pPr>
    <w:rPr>
      <w:sz w:val="20"/>
    </w:rPr>
  </w:style>
  <w:style w:type="paragraph" w:styleId="Header">
    <w:name w:val="header"/>
    <w:basedOn w:val="OPCParaBase"/>
    <w:link w:val="HeaderChar"/>
    <w:unhideWhenUsed/>
    <w:rsid w:val="005D2A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2A31"/>
    <w:rPr>
      <w:rFonts w:eastAsia="Times New Roman" w:cs="Times New Roman"/>
      <w:sz w:val="16"/>
      <w:lang w:eastAsia="en-AU"/>
    </w:rPr>
  </w:style>
  <w:style w:type="paragraph" w:customStyle="1" w:styleId="House">
    <w:name w:val="House"/>
    <w:basedOn w:val="OPCParaBase"/>
    <w:rsid w:val="005D2A31"/>
    <w:pPr>
      <w:spacing w:line="240" w:lineRule="auto"/>
    </w:pPr>
    <w:rPr>
      <w:sz w:val="28"/>
    </w:rPr>
  </w:style>
  <w:style w:type="paragraph" w:customStyle="1" w:styleId="Item">
    <w:name w:val="Item"/>
    <w:aliases w:val="i"/>
    <w:basedOn w:val="OPCParaBase"/>
    <w:next w:val="ItemHead"/>
    <w:rsid w:val="005D2A31"/>
    <w:pPr>
      <w:keepLines/>
      <w:spacing w:before="80" w:line="240" w:lineRule="auto"/>
      <w:ind w:left="709"/>
    </w:pPr>
  </w:style>
  <w:style w:type="paragraph" w:customStyle="1" w:styleId="ItemHead">
    <w:name w:val="ItemHead"/>
    <w:aliases w:val="ih"/>
    <w:basedOn w:val="OPCParaBase"/>
    <w:next w:val="Item"/>
    <w:rsid w:val="005D2A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2A31"/>
    <w:pPr>
      <w:spacing w:line="240" w:lineRule="auto"/>
    </w:pPr>
    <w:rPr>
      <w:b/>
      <w:sz w:val="32"/>
    </w:rPr>
  </w:style>
  <w:style w:type="paragraph" w:customStyle="1" w:styleId="notedraft">
    <w:name w:val="note(draft)"/>
    <w:aliases w:val="nd"/>
    <w:basedOn w:val="OPCParaBase"/>
    <w:rsid w:val="005D2A31"/>
    <w:pPr>
      <w:spacing w:before="240" w:line="240" w:lineRule="auto"/>
      <w:ind w:left="284" w:hanging="284"/>
    </w:pPr>
    <w:rPr>
      <w:i/>
      <w:sz w:val="24"/>
    </w:rPr>
  </w:style>
  <w:style w:type="paragraph" w:customStyle="1" w:styleId="notemargin">
    <w:name w:val="note(margin)"/>
    <w:aliases w:val="nm"/>
    <w:basedOn w:val="OPCParaBase"/>
    <w:rsid w:val="005D2A31"/>
    <w:pPr>
      <w:tabs>
        <w:tab w:val="left" w:pos="709"/>
      </w:tabs>
      <w:spacing w:before="122" w:line="198" w:lineRule="exact"/>
      <w:ind w:left="709" w:hanging="709"/>
    </w:pPr>
    <w:rPr>
      <w:sz w:val="18"/>
    </w:rPr>
  </w:style>
  <w:style w:type="paragraph" w:customStyle="1" w:styleId="noteToPara">
    <w:name w:val="noteToPara"/>
    <w:aliases w:val="ntp"/>
    <w:basedOn w:val="OPCParaBase"/>
    <w:rsid w:val="005D2A31"/>
    <w:pPr>
      <w:spacing w:before="122" w:line="198" w:lineRule="exact"/>
      <w:ind w:left="2353" w:hanging="709"/>
    </w:pPr>
    <w:rPr>
      <w:sz w:val="18"/>
    </w:rPr>
  </w:style>
  <w:style w:type="paragraph" w:customStyle="1" w:styleId="noteParlAmend">
    <w:name w:val="note(ParlAmend)"/>
    <w:aliases w:val="npp"/>
    <w:basedOn w:val="OPCParaBase"/>
    <w:next w:val="ParlAmend"/>
    <w:rsid w:val="005D2A31"/>
    <w:pPr>
      <w:spacing w:line="240" w:lineRule="auto"/>
      <w:jc w:val="right"/>
    </w:pPr>
    <w:rPr>
      <w:rFonts w:ascii="Arial" w:hAnsi="Arial"/>
      <w:b/>
      <w:i/>
    </w:rPr>
  </w:style>
  <w:style w:type="paragraph" w:customStyle="1" w:styleId="Page1">
    <w:name w:val="Page1"/>
    <w:basedOn w:val="OPCParaBase"/>
    <w:rsid w:val="005D2A31"/>
    <w:pPr>
      <w:spacing w:before="400" w:line="240" w:lineRule="auto"/>
    </w:pPr>
    <w:rPr>
      <w:b/>
      <w:sz w:val="32"/>
    </w:rPr>
  </w:style>
  <w:style w:type="paragraph" w:customStyle="1" w:styleId="PageBreak">
    <w:name w:val="PageBreak"/>
    <w:aliases w:val="pb"/>
    <w:basedOn w:val="OPCParaBase"/>
    <w:rsid w:val="005D2A31"/>
    <w:pPr>
      <w:spacing w:line="240" w:lineRule="auto"/>
    </w:pPr>
    <w:rPr>
      <w:sz w:val="20"/>
    </w:rPr>
  </w:style>
  <w:style w:type="paragraph" w:customStyle="1" w:styleId="paragraphsub">
    <w:name w:val="paragraph(sub)"/>
    <w:aliases w:val="aa"/>
    <w:basedOn w:val="OPCParaBase"/>
    <w:rsid w:val="005D2A31"/>
    <w:pPr>
      <w:tabs>
        <w:tab w:val="right" w:pos="1985"/>
      </w:tabs>
      <w:spacing w:before="40" w:line="240" w:lineRule="auto"/>
      <w:ind w:left="2098" w:hanging="2098"/>
    </w:pPr>
  </w:style>
  <w:style w:type="paragraph" w:customStyle="1" w:styleId="paragraphsub-sub">
    <w:name w:val="paragraph(sub-sub)"/>
    <w:aliases w:val="aaa"/>
    <w:basedOn w:val="OPCParaBase"/>
    <w:rsid w:val="005D2A31"/>
    <w:pPr>
      <w:tabs>
        <w:tab w:val="right" w:pos="2722"/>
      </w:tabs>
      <w:spacing w:before="40" w:line="240" w:lineRule="auto"/>
      <w:ind w:left="2835" w:hanging="2835"/>
    </w:pPr>
  </w:style>
  <w:style w:type="paragraph" w:customStyle="1" w:styleId="paragraph">
    <w:name w:val="paragraph"/>
    <w:aliases w:val="a"/>
    <w:basedOn w:val="OPCParaBase"/>
    <w:rsid w:val="005D2A31"/>
    <w:pPr>
      <w:tabs>
        <w:tab w:val="right" w:pos="1531"/>
      </w:tabs>
      <w:spacing w:before="40" w:line="240" w:lineRule="auto"/>
      <w:ind w:left="1644" w:hanging="1644"/>
    </w:pPr>
  </w:style>
  <w:style w:type="paragraph" w:customStyle="1" w:styleId="ParlAmend">
    <w:name w:val="ParlAmend"/>
    <w:aliases w:val="pp"/>
    <w:basedOn w:val="OPCParaBase"/>
    <w:rsid w:val="005D2A31"/>
    <w:pPr>
      <w:spacing w:before="240" w:line="240" w:lineRule="atLeast"/>
      <w:ind w:hanging="567"/>
    </w:pPr>
    <w:rPr>
      <w:sz w:val="24"/>
    </w:rPr>
  </w:style>
  <w:style w:type="paragraph" w:customStyle="1" w:styleId="Penalty">
    <w:name w:val="Penalty"/>
    <w:basedOn w:val="OPCParaBase"/>
    <w:rsid w:val="005D2A31"/>
    <w:pPr>
      <w:tabs>
        <w:tab w:val="left" w:pos="2977"/>
      </w:tabs>
      <w:spacing w:before="180" w:line="240" w:lineRule="auto"/>
      <w:ind w:left="1985" w:hanging="851"/>
    </w:pPr>
  </w:style>
  <w:style w:type="paragraph" w:customStyle="1" w:styleId="Portfolio">
    <w:name w:val="Portfolio"/>
    <w:basedOn w:val="OPCParaBase"/>
    <w:rsid w:val="005D2A31"/>
    <w:pPr>
      <w:spacing w:line="240" w:lineRule="auto"/>
    </w:pPr>
    <w:rPr>
      <w:i/>
      <w:sz w:val="20"/>
    </w:rPr>
  </w:style>
  <w:style w:type="paragraph" w:customStyle="1" w:styleId="Preamble">
    <w:name w:val="Preamble"/>
    <w:basedOn w:val="OPCParaBase"/>
    <w:next w:val="Normal"/>
    <w:rsid w:val="005D2A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2A31"/>
    <w:pPr>
      <w:spacing w:line="240" w:lineRule="auto"/>
    </w:pPr>
    <w:rPr>
      <w:i/>
      <w:sz w:val="20"/>
    </w:rPr>
  </w:style>
  <w:style w:type="paragraph" w:customStyle="1" w:styleId="Session">
    <w:name w:val="Session"/>
    <w:basedOn w:val="OPCParaBase"/>
    <w:rsid w:val="005D2A31"/>
    <w:pPr>
      <w:spacing w:line="240" w:lineRule="auto"/>
    </w:pPr>
    <w:rPr>
      <w:sz w:val="28"/>
    </w:rPr>
  </w:style>
  <w:style w:type="paragraph" w:customStyle="1" w:styleId="Sponsor">
    <w:name w:val="Sponsor"/>
    <w:basedOn w:val="OPCParaBase"/>
    <w:rsid w:val="005D2A31"/>
    <w:pPr>
      <w:spacing w:line="240" w:lineRule="auto"/>
    </w:pPr>
    <w:rPr>
      <w:i/>
    </w:rPr>
  </w:style>
  <w:style w:type="paragraph" w:customStyle="1" w:styleId="Subitem">
    <w:name w:val="Subitem"/>
    <w:aliases w:val="iss"/>
    <w:basedOn w:val="OPCParaBase"/>
    <w:rsid w:val="005D2A31"/>
    <w:pPr>
      <w:spacing w:before="180" w:line="240" w:lineRule="auto"/>
      <w:ind w:left="709" w:hanging="709"/>
    </w:pPr>
  </w:style>
  <w:style w:type="paragraph" w:customStyle="1" w:styleId="SubitemHead">
    <w:name w:val="SubitemHead"/>
    <w:aliases w:val="issh"/>
    <w:basedOn w:val="OPCParaBase"/>
    <w:rsid w:val="005D2A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2A31"/>
    <w:pPr>
      <w:spacing w:before="40" w:line="240" w:lineRule="auto"/>
      <w:ind w:left="1134"/>
    </w:pPr>
  </w:style>
  <w:style w:type="paragraph" w:customStyle="1" w:styleId="SubsectionHead">
    <w:name w:val="SubsectionHead"/>
    <w:aliases w:val="ssh"/>
    <w:basedOn w:val="OPCParaBase"/>
    <w:next w:val="subsection"/>
    <w:rsid w:val="005D2A31"/>
    <w:pPr>
      <w:keepNext/>
      <w:keepLines/>
      <w:spacing w:before="240" w:line="240" w:lineRule="auto"/>
      <w:ind w:left="1134"/>
    </w:pPr>
    <w:rPr>
      <w:i/>
    </w:rPr>
  </w:style>
  <w:style w:type="paragraph" w:customStyle="1" w:styleId="Tablea">
    <w:name w:val="Table(a)"/>
    <w:aliases w:val="ta"/>
    <w:basedOn w:val="OPCParaBase"/>
    <w:rsid w:val="005D2A31"/>
    <w:pPr>
      <w:spacing w:before="60" w:line="240" w:lineRule="auto"/>
      <w:ind w:left="284" w:hanging="284"/>
    </w:pPr>
    <w:rPr>
      <w:sz w:val="20"/>
    </w:rPr>
  </w:style>
  <w:style w:type="paragraph" w:customStyle="1" w:styleId="TableAA">
    <w:name w:val="Table(AA)"/>
    <w:aliases w:val="taaa"/>
    <w:basedOn w:val="OPCParaBase"/>
    <w:rsid w:val="005D2A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2A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2A31"/>
    <w:pPr>
      <w:spacing w:before="60" w:line="240" w:lineRule="atLeast"/>
    </w:pPr>
    <w:rPr>
      <w:sz w:val="20"/>
    </w:rPr>
  </w:style>
  <w:style w:type="paragraph" w:customStyle="1" w:styleId="TLPBoxTextnote">
    <w:name w:val="TLPBoxText(note"/>
    <w:aliases w:val="right)"/>
    <w:basedOn w:val="OPCParaBase"/>
    <w:rsid w:val="005D2A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2A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2A31"/>
    <w:pPr>
      <w:spacing w:before="122" w:line="198" w:lineRule="exact"/>
      <w:ind w:left="1985" w:hanging="851"/>
      <w:jc w:val="right"/>
    </w:pPr>
    <w:rPr>
      <w:sz w:val="18"/>
    </w:rPr>
  </w:style>
  <w:style w:type="paragraph" w:customStyle="1" w:styleId="TLPTableBullet">
    <w:name w:val="TLPTableBullet"/>
    <w:aliases w:val="ttb"/>
    <w:basedOn w:val="OPCParaBase"/>
    <w:rsid w:val="005D2A31"/>
    <w:pPr>
      <w:spacing w:line="240" w:lineRule="exact"/>
      <w:ind w:left="284" w:hanging="284"/>
    </w:pPr>
    <w:rPr>
      <w:sz w:val="20"/>
    </w:rPr>
  </w:style>
  <w:style w:type="paragraph" w:styleId="TOC1">
    <w:name w:val="toc 1"/>
    <w:basedOn w:val="OPCParaBase"/>
    <w:next w:val="Normal"/>
    <w:uiPriority w:val="39"/>
    <w:unhideWhenUsed/>
    <w:rsid w:val="005D2A3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2A3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D2A3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D2A3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D2A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D2A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D2A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2A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D2A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2A31"/>
    <w:pPr>
      <w:keepLines/>
      <w:spacing w:before="240" w:after="120" w:line="240" w:lineRule="auto"/>
      <w:ind w:left="794"/>
    </w:pPr>
    <w:rPr>
      <w:b/>
      <w:kern w:val="28"/>
      <w:sz w:val="20"/>
    </w:rPr>
  </w:style>
  <w:style w:type="paragraph" w:customStyle="1" w:styleId="TofSectsHeading">
    <w:name w:val="TofSects(Heading)"/>
    <w:basedOn w:val="OPCParaBase"/>
    <w:rsid w:val="005D2A31"/>
    <w:pPr>
      <w:spacing w:before="240" w:after="120" w:line="240" w:lineRule="auto"/>
    </w:pPr>
    <w:rPr>
      <w:b/>
      <w:sz w:val="24"/>
    </w:rPr>
  </w:style>
  <w:style w:type="paragraph" w:customStyle="1" w:styleId="TofSectsSection">
    <w:name w:val="TofSects(Section)"/>
    <w:basedOn w:val="OPCParaBase"/>
    <w:rsid w:val="005D2A31"/>
    <w:pPr>
      <w:keepLines/>
      <w:spacing w:before="40" w:line="240" w:lineRule="auto"/>
      <w:ind w:left="1588" w:hanging="794"/>
    </w:pPr>
    <w:rPr>
      <w:kern w:val="28"/>
      <w:sz w:val="18"/>
    </w:rPr>
  </w:style>
  <w:style w:type="paragraph" w:customStyle="1" w:styleId="TofSectsSubdiv">
    <w:name w:val="TofSects(Subdiv)"/>
    <w:basedOn w:val="OPCParaBase"/>
    <w:rsid w:val="005D2A31"/>
    <w:pPr>
      <w:keepLines/>
      <w:spacing w:before="80" w:line="240" w:lineRule="auto"/>
      <w:ind w:left="1588" w:hanging="794"/>
    </w:pPr>
    <w:rPr>
      <w:kern w:val="28"/>
    </w:rPr>
  </w:style>
  <w:style w:type="paragraph" w:customStyle="1" w:styleId="WRStyle">
    <w:name w:val="WR Style"/>
    <w:aliases w:val="WR"/>
    <w:basedOn w:val="OPCParaBase"/>
    <w:rsid w:val="005D2A31"/>
    <w:pPr>
      <w:spacing w:before="240" w:line="240" w:lineRule="auto"/>
      <w:ind w:left="284" w:hanging="284"/>
    </w:pPr>
    <w:rPr>
      <w:b/>
      <w:i/>
      <w:kern w:val="28"/>
      <w:sz w:val="24"/>
    </w:rPr>
  </w:style>
  <w:style w:type="paragraph" w:customStyle="1" w:styleId="notepara">
    <w:name w:val="note(para)"/>
    <w:aliases w:val="na"/>
    <w:basedOn w:val="OPCParaBase"/>
    <w:rsid w:val="005D2A31"/>
    <w:pPr>
      <w:spacing w:before="40" w:line="198" w:lineRule="exact"/>
      <w:ind w:left="2354" w:hanging="369"/>
    </w:pPr>
    <w:rPr>
      <w:sz w:val="18"/>
    </w:rPr>
  </w:style>
  <w:style w:type="paragraph" w:styleId="Footer">
    <w:name w:val="footer"/>
    <w:link w:val="FooterChar"/>
    <w:rsid w:val="005D2A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2A31"/>
    <w:rPr>
      <w:rFonts w:eastAsia="Times New Roman" w:cs="Times New Roman"/>
      <w:sz w:val="22"/>
      <w:szCs w:val="24"/>
      <w:lang w:eastAsia="en-AU"/>
    </w:rPr>
  </w:style>
  <w:style w:type="character" w:styleId="LineNumber">
    <w:name w:val="line number"/>
    <w:basedOn w:val="OPCCharBase"/>
    <w:uiPriority w:val="99"/>
    <w:semiHidden/>
    <w:unhideWhenUsed/>
    <w:rsid w:val="005D2A31"/>
    <w:rPr>
      <w:sz w:val="16"/>
    </w:rPr>
  </w:style>
  <w:style w:type="table" w:customStyle="1" w:styleId="CFlag">
    <w:name w:val="CFlag"/>
    <w:basedOn w:val="TableNormal"/>
    <w:uiPriority w:val="99"/>
    <w:rsid w:val="005D2A31"/>
    <w:rPr>
      <w:rFonts w:eastAsia="Times New Roman" w:cs="Times New Roman"/>
      <w:lang w:eastAsia="en-AU"/>
    </w:rPr>
    <w:tblPr/>
  </w:style>
  <w:style w:type="paragraph" w:customStyle="1" w:styleId="SignCoverPageEnd">
    <w:name w:val="SignCoverPageEnd"/>
    <w:basedOn w:val="OPCParaBase"/>
    <w:next w:val="Normal"/>
    <w:rsid w:val="005D2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2A31"/>
    <w:pPr>
      <w:pBdr>
        <w:top w:val="single" w:sz="4" w:space="1" w:color="auto"/>
      </w:pBdr>
      <w:spacing w:before="360"/>
      <w:ind w:right="397"/>
      <w:jc w:val="both"/>
    </w:pPr>
  </w:style>
  <w:style w:type="paragraph" w:customStyle="1" w:styleId="CompiledActNo">
    <w:name w:val="CompiledActNo"/>
    <w:basedOn w:val="OPCParaBase"/>
    <w:next w:val="Normal"/>
    <w:rsid w:val="005D2A31"/>
    <w:rPr>
      <w:b/>
      <w:sz w:val="24"/>
      <w:szCs w:val="24"/>
    </w:rPr>
  </w:style>
  <w:style w:type="paragraph" w:customStyle="1" w:styleId="ENotesText">
    <w:name w:val="ENotesText"/>
    <w:aliases w:val="Ent"/>
    <w:basedOn w:val="OPCParaBase"/>
    <w:next w:val="Normal"/>
    <w:rsid w:val="005D2A31"/>
    <w:pPr>
      <w:spacing w:before="120"/>
    </w:pPr>
  </w:style>
  <w:style w:type="paragraph" w:customStyle="1" w:styleId="CompiledMadeUnder">
    <w:name w:val="CompiledMadeUnder"/>
    <w:basedOn w:val="OPCParaBase"/>
    <w:next w:val="Normal"/>
    <w:rsid w:val="005D2A31"/>
    <w:rPr>
      <w:i/>
      <w:sz w:val="24"/>
      <w:szCs w:val="24"/>
    </w:rPr>
  </w:style>
  <w:style w:type="paragraph" w:customStyle="1" w:styleId="Paragraphsub-sub-sub">
    <w:name w:val="Paragraph(sub-sub-sub)"/>
    <w:aliases w:val="aaaa"/>
    <w:basedOn w:val="OPCParaBase"/>
    <w:rsid w:val="005D2A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2A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2A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2A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2A3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2A31"/>
    <w:pPr>
      <w:spacing w:before="60" w:line="240" w:lineRule="auto"/>
    </w:pPr>
    <w:rPr>
      <w:rFonts w:cs="Arial"/>
      <w:sz w:val="20"/>
      <w:szCs w:val="22"/>
    </w:rPr>
  </w:style>
  <w:style w:type="paragraph" w:customStyle="1" w:styleId="TableHeading">
    <w:name w:val="TableHeading"/>
    <w:aliases w:val="th"/>
    <w:basedOn w:val="OPCParaBase"/>
    <w:next w:val="Tabletext"/>
    <w:rsid w:val="005D2A31"/>
    <w:pPr>
      <w:keepNext/>
      <w:spacing w:before="60" w:line="240" w:lineRule="atLeast"/>
    </w:pPr>
    <w:rPr>
      <w:b/>
      <w:sz w:val="20"/>
    </w:rPr>
  </w:style>
  <w:style w:type="paragraph" w:customStyle="1" w:styleId="NoteToSubpara">
    <w:name w:val="NoteToSubpara"/>
    <w:aliases w:val="nts"/>
    <w:basedOn w:val="OPCParaBase"/>
    <w:rsid w:val="005D2A31"/>
    <w:pPr>
      <w:spacing w:before="40" w:line="198" w:lineRule="exact"/>
      <w:ind w:left="2835" w:hanging="709"/>
    </w:pPr>
    <w:rPr>
      <w:sz w:val="18"/>
    </w:rPr>
  </w:style>
  <w:style w:type="paragraph" w:customStyle="1" w:styleId="ENoteTableHeading">
    <w:name w:val="ENoteTableHeading"/>
    <w:aliases w:val="enth"/>
    <w:basedOn w:val="OPCParaBase"/>
    <w:rsid w:val="005D2A31"/>
    <w:pPr>
      <w:keepNext/>
      <w:spacing w:before="60" w:line="240" w:lineRule="atLeast"/>
    </w:pPr>
    <w:rPr>
      <w:rFonts w:ascii="Arial" w:hAnsi="Arial"/>
      <w:b/>
      <w:sz w:val="16"/>
    </w:rPr>
  </w:style>
  <w:style w:type="paragraph" w:customStyle="1" w:styleId="ENoteTableText">
    <w:name w:val="ENoteTableText"/>
    <w:aliases w:val="entt"/>
    <w:basedOn w:val="OPCParaBase"/>
    <w:rsid w:val="005D2A31"/>
    <w:pPr>
      <w:spacing w:before="60" w:line="240" w:lineRule="atLeast"/>
    </w:pPr>
    <w:rPr>
      <w:sz w:val="16"/>
    </w:rPr>
  </w:style>
  <w:style w:type="paragraph" w:customStyle="1" w:styleId="ENoteTTi">
    <w:name w:val="ENoteTTi"/>
    <w:aliases w:val="entti"/>
    <w:basedOn w:val="OPCParaBase"/>
    <w:rsid w:val="005D2A31"/>
    <w:pPr>
      <w:keepNext/>
      <w:spacing w:before="60" w:line="240" w:lineRule="atLeast"/>
      <w:ind w:left="170"/>
    </w:pPr>
    <w:rPr>
      <w:sz w:val="16"/>
    </w:rPr>
  </w:style>
  <w:style w:type="paragraph" w:customStyle="1" w:styleId="ENoteTTIndentHeading">
    <w:name w:val="ENoteTTIndentHeading"/>
    <w:aliases w:val="enTTHi"/>
    <w:basedOn w:val="OPCParaBase"/>
    <w:rsid w:val="005D2A3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D2A31"/>
    <w:pPr>
      <w:spacing w:before="120"/>
      <w:outlineLvl w:val="1"/>
    </w:pPr>
    <w:rPr>
      <w:b/>
      <w:sz w:val="28"/>
      <w:szCs w:val="28"/>
    </w:rPr>
  </w:style>
  <w:style w:type="paragraph" w:customStyle="1" w:styleId="ENotesHeading2">
    <w:name w:val="ENotesHeading 2"/>
    <w:aliases w:val="Enh2"/>
    <w:basedOn w:val="OPCParaBase"/>
    <w:next w:val="Normal"/>
    <w:rsid w:val="005D2A31"/>
    <w:pPr>
      <w:spacing w:before="120" w:after="120"/>
      <w:outlineLvl w:val="2"/>
    </w:pPr>
    <w:rPr>
      <w:b/>
      <w:sz w:val="24"/>
      <w:szCs w:val="28"/>
    </w:rPr>
  </w:style>
  <w:style w:type="paragraph" w:customStyle="1" w:styleId="MadeunderText">
    <w:name w:val="MadeunderText"/>
    <w:basedOn w:val="OPCParaBase"/>
    <w:next w:val="Normal"/>
    <w:rsid w:val="005D2A31"/>
    <w:pPr>
      <w:spacing w:before="240"/>
    </w:pPr>
    <w:rPr>
      <w:sz w:val="24"/>
      <w:szCs w:val="24"/>
    </w:rPr>
  </w:style>
  <w:style w:type="paragraph" w:customStyle="1" w:styleId="ENotesHeading3">
    <w:name w:val="ENotesHeading 3"/>
    <w:aliases w:val="Enh3"/>
    <w:basedOn w:val="OPCParaBase"/>
    <w:next w:val="Normal"/>
    <w:rsid w:val="005D2A31"/>
    <w:pPr>
      <w:keepNext/>
      <w:spacing w:before="120" w:line="240" w:lineRule="auto"/>
      <w:outlineLvl w:val="4"/>
    </w:pPr>
    <w:rPr>
      <w:b/>
      <w:szCs w:val="24"/>
    </w:rPr>
  </w:style>
  <w:style w:type="character" w:customStyle="1" w:styleId="CharSubPartNoCASA">
    <w:name w:val="CharSubPartNo(CASA)"/>
    <w:basedOn w:val="OPCCharBase"/>
    <w:uiPriority w:val="1"/>
    <w:rsid w:val="005D2A31"/>
  </w:style>
  <w:style w:type="character" w:customStyle="1" w:styleId="CharSubPartTextCASA">
    <w:name w:val="CharSubPartText(CASA)"/>
    <w:basedOn w:val="OPCCharBase"/>
    <w:uiPriority w:val="1"/>
    <w:rsid w:val="005D2A31"/>
  </w:style>
  <w:style w:type="paragraph" w:customStyle="1" w:styleId="SubPartCASA">
    <w:name w:val="SubPart(CASA)"/>
    <w:aliases w:val="csp"/>
    <w:basedOn w:val="OPCParaBase"/>
    <w:next w:val="ActHead3"/>
    <w:rsid w:val="005D2A3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D2A31"/>
    <w:pPr>
      <w:keepNext/>
      <w:spacing w:before="60" w:line="240" w:lineRule="atLeast"/>
      <w:ind w:left="340"/>
    </w:pPr>
    <w:rPr>
      <w:b/>
      <w:sz w:val="16"/>
    </w:rPr>
  </w:style>
  <w:style w:type="paragraph" w:customStyle="1" w:styleId="ENoteTTiSub">
    <w:name w:val="ENoteTTiSub"/>
    <w:aliases w:val="enttis"/>
    <w:basedOn w:val="OPCParaBase"/>
    <w:rsid w:val="005D2A31"/>
    <w:pPr>
      <w:keepNext/>
      <w:spacing w:before="60" w:line="240" w:lineRule="atLeast"/>
      <w:ind w:left="340"/>
    </w:pPr>
    <w:rPr>
      <w:sz w:val="16"/>
    </w:rPr>
  </w:style>
  <w:style w:type="paragraph" w:customStyle="1" w:styleId="SubDivisionMigration">
    <w:name w:val="SubDivisionMigration"/>
    <w:aliases w:val="sdm"/>
    <w:basedOn w:val="OPCParaBase"/>
    <w:rsid w:val="005D2A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2A31"/>
    <w:pPr>
      <w:keepNext/>
      <w:keepLines/>
      <w:spacing w:before="240" w:line="240" w:lineRule="auto"/>
      <w:ind w:left="1134" w:hanging="1134"/>
    </w:pPr>
    <w:rPr>
      <w:b/>
      <w:sz w:val="28"/>
    </w:rPr>
  </w:style>
  <w:style w:type="table" w:styleId="TableGrid">
    <w:name w:val="Table Grid"/>
    <w:basedOn w:val="TableNormal"/>
    <w:uiPriority w:val="59"/>
    <w:rsid w:val="005D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D2A31"/>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5D2A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2A31"/>
    <w:rPr>
      <w:sz w:val="22"/>
    </w:rPr>
  </w:style>
  <w:style w:type="paragraph" w:customStyle="1" w:styleId="SOTextNote">
    <w:name w:val="SO TextNote"/>
    <w:aliases w:val="sont"/>
    <w:basedOn w:val="SOText"/>
    <w:qFormat/>
    <w:rsid w:val="005D2A31"/>
    <w:pPr>
      <w:spacing w:before="122" w:line="198" w:lineRule="exact"/>
      <w:ind w:left="1843" w:hanging="709"/>
    </w:pPr>
    <w:rPr>
      <w:sz w:val="18"/>
    </w:rPr>
  </w:style>
  <w:style w:type="paragraph" w:customStyle="1" w:styleId="SOPara">
    <w:name w:val="SO Para"/>
    <w:aliases w:val="soa"/>
    <w:basedOn w:val="SOText"/>
    <w:link w:val="SOParaChar"/>
    <w:qFormat/>
    <w:rsid w:val="005D2A31"/>
    <w:pPr>
      <w:tabs>
        <w:tab w:val="right" w:pos="1786"/>
      </w:tabs>
      <w:spacing w:before="40"/>
      <w:ind w:left="2070" w:hanging="936"/>
    </w:pPr>
  </w:style>
  <w:style w:type="character" w:customStyle="1" w:styleId="SOParaChar">
    <w:name w:val="SO Para Char"/>
    <w:aliases w:val="soa Char"/>
    <w:basedOn w:val="DefaultParagraphFont"/>
    <w:link w:val="SOPara"/>
    <w:rsid w:val="005D2A31"/>
    <w:rPr>
      <w:sz w:val="22"/>
    </w:rPr>
  </w:style>
  <w:style w:type="paragraph" w:customStyle="1" w:styleId="SOBullet">
    <w:name w:val="SO Bullet"/>
    <w:aliases w:val="sotb"/>
    <w:basedOn w:val="SOText"/>
    <w:link w:val="SOBulletChar"/>
    <w:qFormat/>
    <w:rsid w:val="005D2A31"/>
    <w:pPr>
      <w:ind w:left="1559" w:hanging="425"/>
    </w:pPr>
  </w:style>
  <w:style w:type="character" w:customStyle="1" w:styleId="SOBulletChar">
    <w:name w:val="SO Bullet Char"/>
    <w:aliases w:val="sotb Char"/>
    <w:basedOn w:val="DefaultParagraphFont"/>
    <w:link w:val="SOBullet"/>
    <w:rsid w:val="005D2A31"/>
    <w:rPr>
      <w:sz w:val="22"/>
    </w:rPr>
  </w:style>
  <w:style w:type="paragraph" w:customStyle="1" w:styleId="SOBulletNote">
    <w:name w:val="SO BulletNote"/>
    <w:aliases w:val="sonb"/>
    <w:basedOn w:val="SOTextNote"/>
    <w:link w:val="SOBulletNoteChar"/>
    <w:qFormat/>
    <w:rsid w:val="005D2A31"/>
    <w:pPr>
      <w:tabs>
        <w:tab w:val="left" w:pos="1560"/>
      </w:tabs>
      <w:ind w:left="2268" w:hanging="1134"/>
    </w:pPr>
  </w:style>
  <w:style w:type="character" w:customStyle="1" w:styleId="SOBulletNoteChar">
    <w:name w:val="SO BulletNote Char"/>
    <w:aliases w:val="sonb Char"/>
    <w:basedOn w:val="DefaultParagraphFont"/>
    <w:link w:val="SOBulletNote"/>
    <w:rsid w:val="005D2A31"/>
    <w:rPr>
      <w:sz w:val="18"/>
    </w:rPr>
  </w:style>
  <w:style w:type="paragraph" w:customStyle="1" w:styleId="FileName">
    <w:name w:val="FileName"/>
    <w:basedOn w:val="Normal"/>
    <w:rsid w:val="005D2A31"/>
  </w:style>
  <w:style w:type="paragraph" w:customStyle="1" w:styleId="SOHeadBold">
    <w:name w:val="SO HeadBold"/>
    <w:aliases w:val="sohb"/>
    <w:basedOn w:val="SOText"/>
    <w:next w:val="SOText"/>
    <w:link w:val="SOHeadBoldChar"/>
    <w:qFormat/>
    <w:rsid w:val="005D2A31"/>
    <w:rPr>
      <w:b/>
    </w:rPr>
  </w:style>
  <w:style w:type="character" w:customStyle="1" w:styleId="SOHeadBoldChar">
    <w:name w:val="SO HeadBold Char"/>
    <w:aliases w:val="sohb Char"/>
    <w:basedOn w:val="DefaultParagraphFont"/>
    <w:link w:val="SOHeadBold"/>
    <w:rsid w:val="005D2A31"/>
    <w:rPr>
      <w:b/>
      <w:sz w:val="22"/>
    </w:rPr>
  </w:style>
  <w:style w:type="paragraph" w:customStyle="1" w:styleId="SOHeadItalic">
    <w:name w:val="SO HeadItalic"/>
    <w:aliases w:val="sohi"/>
    <w:basedOn w:val="SOText"/>
    <w:next w:val="SOText"/>
    <w:link w:val="SOHeadItalicChar"/>
    <w:qFormat/>
    <w:rsid w:val="005D2A31"/>
    <w:rPr>
      <w:i/>
    </w:rPr>
  </w:style>
  <w:style w:type="character" w:customStyle="1" w:styleId="SOHeadItalicChar">
    <w:name w:val="SO HeadItalic Char"/>
    <w:aliases w:val="sohi Char"/>
    <w:basedOn w:val="DefaultParagraphFont"/>
    <w:link w:val="SOHeadItalic"/>
    <w:rsid w:val="005D2A31"/>
    <w:rPr>
      <w:i/>
      <w:sz w:val="22"/>
    </w:rPr>
  </w:style>
  <w:style w:type="paragraph" w:customStyle="1" w:styleId="SOText2">
    <w:name w:val="SO Text2"/>
    <w:aliases w:val="sot2"/>
    <w:basedOn w:val="Normal"/>
    <w:next w:val="SOText"/>
    <w:link w:val="SOText2Char"/>
    <w:rsid w:val="005D2A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2A31"/>
    <w:rPr>
      <w:sz w:val="22"/>
    </w:rPr>
  </w:style>
  <w:style w:type="paragraph" w:customStyle="1" w:styleId="ETAsubitem">
    <w:name w:val="ETA(subitem)"/>
    <w:basedOn w:val="OPCParaBase"/>
    <w:rsid w:val="005D2A31"/>
    <w:pPr>
      <w:tabs>
        <w:tab w:val="right" w:pos="340"/>
      </w:tabs>
      <w:spacing w:before="60" w:line="240" w:lineRule="auto"/>
      <w:ind w:left="454" w:hanging="454"/>
    </w:pPr>
    <w:rPr>
      <w:sz w:val="20"/>
    </w:rPr>
  </w:style>
  <w:style w:type="paragraph" w:customStyle="1" w:styleId="ETApara">
    <w:name w:val="ETA(para)"/>
    <w:basedOn w:val="OPCParaBase"/>
    <w:rsid w:val="005D2A31"/>
    <w:pPr>
      <w:tabs>
        <w:tab w:val="right" w:pos="754"/>
      </w:tabs>
      <w:spacing w:before="60" w:line="240" w:lineRule="auto"/>
      <w:ind w:left="828" w:hanging="828"/>
    </w:pPr>
    <w:rPr>
      <w:sz w:val="20"/>
    </w:rPr>
  </w:style>
  <w:style w:type="paragraph" w:customStyle="1" w:styleId="ETAsubpara">
    <w:name w:val="ETA(subpara)"/>
    <w:basedOn w:val="OPCParaBase"/>
    <w:rsid w:val="005D2A31"/>
    <w:pPr>
      <w:tabs>
        <w:tab w:val="right" w:pos="1083"/>
      </w:tabs>
      <w:spacing w:before="60" w:line="240" w:lineRule="auto"/>
      <w:ind w:left="1191" w:hanging="1191"/>
    </w:pPr>
    <w:rPr>
      <w:sz w:val="20"/>
    </w:rPr>
  </w:style>
  <w:style w:type="paragraph" w:customStyle="1" w:styleId="ETAsub-subpara">
    <w:name w:val="ETA(sub-subpara)"/>
    <w:basedOn w:val="OPCParaBase"/>
    <w:rsid w:val="005D2A3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D2A31"/>
    <w:rPr>
      <w:b/>
      <w:sz w:val="28"/>
      <w:szCs w:val="28"/>
    </w:rPr>
  </w:style>
  <w:style w:type="paragraph" w:customStyle="1" w:styleId="NotesHeading2">
    <w:name w:val="NotesHeading 2"/>
    <w:basedOn w:val="OPCParaBase"/>
    <w:next w:val="Normal"/>
    <w:rsid w:val="005D2A31"/>
    <w:rPr>
      <w:b/>
      <w:sz w:val="28"/>
      <w:szCs w:val="28"/>
    </w:rPr>
  </w:style>
  <w:style w:type="paragraph" w:customStyle="1" w:styleId="Transitional">
    <w:name w:val="Transitional"/>
    <w:aliases w:val="tr"/>
    <w:basedOn w:val="ItemHead"/>
    <w:next w:val="Item"/>
    <w:rsid w:val="005D2A31"/>
  </w:style>
  <w:style w:type="character" w:customStyle="1" w:styleId="subsectionChar">
    <w:name w:val="subsection Char"/>
    <w:aliases w:val="ss Char"/>
    <w:basedOn w:val="DefaultParagraphFont"/>
    <w:link w:val="subsection"/>
    <w:locked/>
    <w:rsid w:val="00AA1E3A"/>
    <w:rPr>
      <w:rFonts w:eastAsia="Times New Roman" w:cs="Times New Roman"/>
      <w:sz w:val="22"/>
      <w:lang w:eastAsia="en-AU"/>
    </w:rPr>
  </w:style>
  <w:style w:type="character" w:customStyle="1" w:styleId="notetextChar">
    <w:name w:val="note(text) Char"/>
    <w:aliases w:val="n Char"/>
    <w:basedOn w:val="DefaultParagraphFont"/>
    <w:link w:val="notetext"/>
    <w:rsid w:val="00AA1E3A"/>
    <w:rPr>
      <w:rFonts w:eastAsia="Times New Roman" w:cs="Times New Roman"/>
      <w:sz w:val="18"/>
      <w:lang w:eastAsia="en-AU"/>
    </w:rPr>
  </w:style>
  <w:style w:type="paragraph" w:styleId="BalloonText">
    <w:name w:val="Balloon Text"/>
    <w:basedOn w:val="Normal"/>
    <w:link w:val="BalloonTextChar"/>
    <w:uiPriority w:val="99"/>
    <w:semiHidden/>
    <w:unhideWhenUsed/>
    <w:rsid w:val="000035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D9"/>
    <w:rPr>
      <w:rFonts w:ascii="Tahoma" w:hAnsi="Tahoma" w:cs="Tahoma"/>
      <w:sz w:val="16"/>
      <w:szCs w:val="16"/>
    </w:rPr>
  </w:style>
  <w:style w:type="paragraph" w:customStyle="1" w:styleId="ClerkBlock">
    <w:name w:val="ClerkBlock"/>
    <w:basedOn w:val="Normal"/>
    <w:rsid w:val="00556FE2"/>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556F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56F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56F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56F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56F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56F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56F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56F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56FE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C685B"/>
    <w:pPr>
      <w:spacing w:before="800"/>
    </w:pPr>
  </w:style>
  <w:style w:type="character" w:customStyle="1" w:styleId="OPCParaBaseChar">
    <w:name w:val="OPCParaBase Char"/>
    <w:basedOn w:val="DefaultParagraphFont"/>
    <w:link w:val="OPCParaBase"/>
    <w:rsid w:val="001C685B"/>
    <w:rPr>
      <w:rFonts w:eastAsia="Times New Roman" w:cs="Times New Roman"/>
      <w:sz w:val="22"/>
      <w:lang w:eastAsia="en-AU"/>
    </w:rPr>
  </w:style>
  <w:style w:type="character" w:customStyle="1" w:styleId="ShortTChar">
    <w:name w:val="ShortT Char"/>
    <w:basedOn w:val="OPCParaBaseChar"/>
    <w:link w:val="ShortT"/>
    <w:rsid w:val="001C685B"/>
    <w:rPr>
      <w:rFonts w:eastAsia="Times New Roman" w:cs="Times New Roman"/>
      <w:b/>
      <w:sz w:val="40"/>
      <w:lang w:eastAsia="en-AU"/>
    </w:rPr>
  </w:style>
  <w:style w:type="character" w:customStyle="1" w:styleId="ShortTP1Char">
    <w:name w:val="ShortTP1 Char"/>
    <w:basedOn w:val="ShortTChar"/>
    <w:link w:val="ShortTP1"/>
    <w:rsid w:val="001C685B"/>
    <w:rPr>
      <w:rFonts w:eastAsia="Times New Roman" w:cs="Times New Roman"/>
      <w:b/>
      <w:sz w:val="40"/>
      <w:lang w:eastAsia="en-AU"/>
    </w:rPr>
  </w:style>
  <w:style w:type="paragraph" w:customStyle="1" w:styleId="ActNoP1">
    <w:name w:val="ActNoP1"/>
    <w:basedOn w:val="Actno"/>
    <w:link w:val="ActNoP1Char"/>
    <w:rsid w:val="001C685B"/>
    <w:pPr>
      <w:spacing w:before="800"/>
    </w:pPr>
    <w:rPr>
      <w:sz w:val="28"/>
    </w:rPr>
  </w:style>
  <w:style w:type="character" w:customStyle="1" w:styleId="ActnoChar">
    <w:name w:val="Actno Char"/>
    <w:basedOn w:val="ShortTChar"/>
    <w:link w:val="Actno"/>
    <w:rsid w:val="001C685B"/>
    <w:rPr>
      <w:rFonts w:eastAsia="Times New Roman" w:cs="Times New Roman"/>
      <w:b/>
      <w:sz w:val="40"/>
      <w:lang w:eastAsia="en-AU"/>
    </w:rPr>
  </w:style>
  <w:style w:type="character" w:customStyle="1" w:styleId="ActNoP1Char">
    <w:name w:val="ActNoP1 Char"/>
    <w:basedOn w:val="ActnoChar"/>
    <w:link w:val="ActNoP1"/>
    <w:rsid w:val="001C685B"/>
    <w:rPr>
      <w:rFonts w:eastAsia="Times New Roman" w:cs="Times New Roman"/>
      <w:b/>
      <w:sz w:val="28"/>
      <w:lang w:eastAsia="en-AU"/>
    </w:rPr>
  </w:style>
  <w:style w:type="paragraph" w:customStyle="1" w:styleId="ShortTCP">
    <w:name w:val="ShortTCP"/>
    <w:basedOn w:val="ShortT"/>
    <w:link w:val="ShortTCPChar"/>
    <w:rsid w:val="001C685B"/>
  </w:style>
  <w:style w:type="character" w:customStyle="1" w:styleId="ShortTCPChar">
    <w:name w:val="ShortTCP Char"/>
    <w:basedOn w:val="ShortTChar"/>
    <w:link w:val="ShortTCP"/>
    <w:rsid w:val="001C685B"/>
    <w:rPr>
      <w:rFonts w:eastAsia="Times New Roman" w:cs="Times New Roman"/>
      <w:b/>
      <w:sz w:val="40"/>
      <w:lang w:eastAsia="en-AU"/>
    </w:rPr>
  </w:style>
  <w:style w:type="paragraph" w:customStyle="1" w:styleId="ActNoCP">
    <w:name w:val="ActNoCP"/>
    <w:basedOn w:val="Actno"/>
    <w:link w:val="ActNoCPChar"/>
    <w:rsid w:val="001C685B"/>
    <w:pPr>
      <w:spacing w:before="400"/>
    </w:pPr>
  </w:style>
  <w:style w:type="character" w:customStyle="1" w:styleId="ActNoCPChar">
    <w:name w:val="ActNoCP Char"/>
    <w:basedOn w:val="ActnoChar"/>
    <w:link w:val="ActNoCP"/>
    <w:rsid w:val="001C685B"/>
    <w:rPr>
      <w:rFonts w:eastAsia="Times New Roman" w:cs="Times New Roman"/>
      <w:b/>
      <w:sz w:val="40"/>
      <w:lang w:eastAsia="en-AU"/>
    </w:rPr>
  </w:style>
  <w:style w:type="paragraph" w:customStyle="1" w:styleId="AssentBk">
    <w:name w:val="AssentBk"/>
    <w:basedOn w:val="Normal"/>
    <w:rsid w:val="001C685B"/>
    <w:pPr>
      <w:spacing w:line="240" w:lineRule="auto"/>
    </w:pPr>
    <w:rPr>
      <w:rFonts w:eastAsia="Times New Roman" w:cs="Times New Roman"/>
      <w:sz w:val="20"/>
      <w:lang w:eastAsia="en-AU"/>
    </w:rPr>
  </w:style>
  <w:style w:type="paragraph" w:customStyle="1" w:styleId="AssentDt">
    <w:name w:val="AssentDt"/>
    <w:basedOn w:val="Normal"/>
    <w:rsid w:val="008F273E"/>
    <w:pPr>
      <w:spacing w:line="240" w:lineRule="auto"/>
    </w:pPr>
    <w:rPr>
      <w:rFonts w:eastAsia="Times New Roman" w:cs="Times New Roman"/>
      <w:sz w:val="20"/>
      <w:lang w:eastAsia="en-AU"/>
    </w:rPr>
  </w:style>
  <w:style w:type="paragraph" w:customStyle="1" w:styleId="2ndRd">
    <w:name w:val="2ndRd"/>
    <w:basedOn w:val="Normal"/>
    <w:rsid w:val="008F273E"/>
    <w:pPr>
      <w:spacing w:line="240" w:lineRule="auto"/>
    </w:pPr>
    <w:rPr>
      <w:rFonts w:eastAsia="Times New Roman" w:cs="Times New Roman"/>
      <w:sz w:val="20"/>
      <w:lang w:eastAsia="en-AU"/>
    </w:rPr>
  </w:style>
  <w:style w:type="paragraph" w:customStyle="1" w:styleId="ScalePlusRef">
    <w:name w:val="ScalePlusRef"/>
    <w:basedOn w:val="Normal"/>
    <w:rsid w:val="008F27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6.xml"/><Relationship Id="rId47"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2.jpeg"/><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954AD-CE25-4240-809C-4C7486BF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13</Pages>
  <Words>1092</Words>
  <Characters>6225</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2019-06-25T01:15:00Z</cp:lastPrinted>
  <dcterms:created xsi:type="dcterms:W3CDTF">2019-11-01T04:54:00Z</dcterms:created>
  <dcterms:modified xsi:type="dcterms:W3CDTF">2019-11-01T05:12:00Z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Veterans’ Recognition (Putting Veterans and Their Families First) Act 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OPC7101</vt:lpwstr>
  </property>
  <property fmtid="{D5CDD505-2E9C-101B-9397-08002B2CF9AE}" pid="8" name="ActNo">
    <vt:lpwstr>No. 96, 2019</vt:lpwstr>
  </property>
  <property fmtid="{D5CDD505-2E9C-101B-9397-08002B2CF9AE}" pid="9" name="Classification">
    <vt:lpwstr> </vt:lpwstr>
  </property>
  <property fmtid="{D5CDD505-2E9C-101B-9397-08002B2CF9AE}" pid="10" name="DLM">
    <vt:lpwstr> </vt:lpwstr>
  </property>
  <property fmtid="{D5CDD505-2E9C-101B-9397-08002B2CF9AE}" pid="11" name="PreventSessionPrompt">
    <vt:lpwstr>Yes</vt:lpwstr>
  </property>
</Properties>
</file>