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B1" w:rsidRDefault="007861B1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38177834" r:id="rId9"/>
        </w:object>
      </w:r>
    </w:p>
    <w:p w:rsidR="007861B1" w:rsidRDefault="007861B1">
      <w:bookmarkStart w:id="0" w:name="_GoBack"/>
      <w:bookmarkEnd w:id="0"/>
    </w:p>
    <w:p w:rsidR="007861B1" w:rsidRDefault="007861B1" w:rsidP="007861B1">
      <w:pPr>
        <w:spacing w:line="240" w:lineRule="auto"/>
      </w:pPr>
    </w:p>
    <w:p w:rsidR="007861B1" w:rsidRDefault="007861B1" w:rsidP="007861B1"/>
    <w:p w:rsidR="007861B1" w:rsidRDefault="007861B1" w:rsidP="007861B1"/>
    <w:p w:rsidR="007861B1" w:rsidRDefault="007861B1" w:rsidP="007861B1"/>
    <w:p w:rsidR="007861B1" w:rsidRDefault="007861B1" w:rsidP="007861B1"/>
    <w:p w:rsidR="00D37495" w:rsidRPr="00D95F2E" w:rsidRDefault="00D37495" w:rsidP="00D37495">
      <w:pPr>
        <w:pStyle w:val="ShortT"/>
      </w:pPr>
      <w:r w:rsidRPr="00D95F2E">
        <w:t xml:space="preserve">Communications Legislation Amendment (Deregulation and Other Measures) </w:t>
      </w:r>
      <w:r w:rsidR="007861B1">
        <w:t>Act</w:t>
      </w:r>
      <w:r w:rsidRPr="00D95F2E">
        <w:t xml:space="preserve"> 2019</w:t>
      </w:r>
    </w:p>
    <w:p w:rsidR="00D37495" w:rsidRPr="00D95F2E" w:rsidRDefault="00D37495" w:rsidP="00D37495"/>
    <w:p w:rsidR="00D37495" w:rsidRPr="00D95F2E" w:rsidRDefault="00D37495" w:rsidP="007861B1">
      <w:pPr>
        <w:pStyle w:val="Actno"/>
        <w:spacing w:before="400"/>
      </w:pPr>
      <w:r w:rsidRPr="00D95F2E">
        <w:t>No.</w:t>
      </w:r>
      <w:r w:rsidR="007045D9">
        <w:t xml:space="preserve"> 120</w:t>
      </w:r>
      <w:r w:rsidRPr="00D95F2E">
        <w:t>, 2019</w:t>
      </w:r>
    </w:p>
    <w:p w:rsidR="00D37495" w:rsidRPr="00D95F2E" w:rsidRDefault="00D37495" w:rsidP="00D37495"/>
    <w:p w:rsidR="007861B1" w:rsidRDefault="007861B1" w:rsidP="007861B1"/>
    <w:p w:rsidR="007861B1" w:rsidRDefault="007861B1" w:rsidP="007861B1"/>
    <w:p w:rsidR="007861B1" w:rsidRDefault="007861B1" w:rsidP="007861B1"/>
    <w:p w:rsidR="007861B1" w:rsidRDefault="007861B1" w:rsidP="007861B1"/>
    <w:p w:rsidR="00D37495" w:rsidRPr="00D95F2E" w:rsidRDefault="007861B1" w:rsidP="00D37495">
      <w:pPr>
        <w:pStyle w:val="LongT"/>
      </w:pPr>
      <w:r>
        <w:t>An Act</w:t>
      </w:r>
      <w:r w:rsidR="00D37495" w:rsidRPr="00D95F2E">
        <w:t xml:space="preserve"> to amend laws relating to communications, and for related purposes</w:t>
      </w:r>
    </w:p>
    <w:p w:rsidR="00D37495" w:rsidRPr="00D95F2E" w:rsidRDefault="00D37495" w:rsidP="00D37495">
      <w:pPr>
        <w:pStyle w:val="Header"/>
        <w:tabs>
          <w:tab w:val="clear" w:pos="4150"/>
          <w:tab w:val="clear" w:pos="8307"/>
        </w:tabs>
      </w:pPr>
      <w:r w:rsidRPr="00D95F2E">
        <w:rPr>
          <w:rStyle w:val="CharAmSchNo"/>
        </w:rPr>
        <w:t xml:space="preserve"> </w:t>
      </w:r>
      <w:r w:rsidRPr="00D95F2E">
        <w:rPr>
          <w:rStyle w:val="CharAmSchText"/>
        </w:rPr>
        <w:t xml:space="preserve"> </w:t>
      </w:r>
    </w:p>
    <w:p w:rsidR="00D37495" w:rsidRPr="00D95F2E" w:rsidRDefault="00D37495" w:rsidP="00D37495">
      <w:pPr>
        <w:pStyle w:val="Header"/>
        <w:tabs>
          <w:tab w:val="clear" w:pos="4150"/>
          <w:tab w:val="clear" w:pos="8307"/>
        </w:tabs>
      </w:pPr>
      <w:r w:rsidRPr="00D95F2E">
        <w:rPr>
          <w:rStyle w:val="CharAmPartNo"/>
        </w:rPr>
        <w:t xml:space="preserve"> </w:t>
      </w:r>
      <w:r w:rsidRPr="00D95F2E">
        <w:rPr>
          <w:rStyle w:val="CharAmPartText"/>
        </w:rPr>
        <w:t xml:space="preserve"> </w:t>
      </w:r>
    </w:p>
    <w:p w:rsidR="00D37495" w:rsidRPr="00D95F2E" w:rsidRDefault="00D37495" w:rsidP="00D37495">
      <w:pPr>
        <w:sectPr w:rsidR="00D37495" w:rsidRPr="00D95F2E" w:rsidSect="007861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D37495" w:rsidRPr="00D95F2E" w:rsidRDefault="00D37495" w:rsidP="00D37495">
      <w:pPr>
        <w:rPr>
          <w:sz w:val="36"/>
        </w:rPr>
      </w:pPr>
      <w:r w:rsidRPr="00D95F2E">
        <w:rPr>
          <w:sz w:val="36"/>
        </w:rPr>
        <w:lastRenderedPageBreak/>
        <w:t>Contents</w:t>
      </w:r>
    </w:p>
    <w:p w:rsidR="007045D9" w:rsidRDefault="00704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045D9">
        <w:rPr>
          <w:noProof/>
        </w:rPr>
        <w:tab/>
      </w:r>
      <w:r w:rsidRPr="007045D9">
        <w:rPr>
          <w:noProof/>
        </w:rPr>
        <w:fldChar w:fldCharType="begin"/>
      </w:r>
      <w:r w:rsidRPr="007045D9">
        <w:rPr>
          <w:noProof/>
        </w:rPr>
        <w:instrText xml:space="preserve"> PAGEREF _Toc27564143 \h </w:instrText>
      </w:r>
      <w:r w:rsidRPr="007045D9">
        <w:rPr>
          <w:noProof/>
        </w:rPr>
      </w:r>
      <w:r w:rsidRPr="007045D9">
        <w:rPr>
          <w:noProof/>
        </w:rPr>
        <w:fldChar w:fldCharType="separate"/>
      </w:r>
      <w:r w:rsidR="00FC5039">
        <w:rPr>
          <w:noProof/>
        </w:rPr>
        <w:t>1</w:t>
      </w:r>
      <w:r w:rsidRPr="007045D9">
        <w:rPr>
          <w:noProof/>
        </w:rPr>
        <w:fldChar w:fldCharType="end"/>
      </w:r>
    </w:p>
    <w:p w:rsidR="007045D9" w:rsidRDefault="00704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045D9">
        <w:rPr>
          <w:noProof/>
        </w:rPr>
        <w:tab/>
      </w:r>
      <w:r w:rsidRPr="007045D9">
        <w:rPr>
          <w:noProof/>
        </w:rPr>
        <w:fldChar w:fldCharType="begin"/>
      </w:r>
      <w:r w:rsidRPr="007045D9">
        <w:rPr>
          <w:noProof/>
        </w:rPr>
        <w:instrText xml:space="preserve"> PAGEREF _Toc27564144 \h </w:instrText>
      </w:r>
      <w:r w:rsidRPr="007045D9">
        <w:rPr>
          <w:noProof/>
        </w:rPr>
      </w:r>
      <w:r w:rsidRPr="007045D9">
        <w:rPr>
          <w:noProof/>
        </w:rPr>
        <w:fldChar w:fldCharType="separate"/>
      </w:r>
      <w:r w:rsidR="00FC5039">
        <w:rPr>
          <w:noProof/>
        </w:rPr>
        <w:t>2</w:t>
      </w:r>
      <w:r w:rsidRPr="007045D9">
        <w:rPr>
          <w:noProof/>
        </w:rPr>
        <w:fldChar w:fldCharType="end"/>
      </w:r>
    </w:p>
    <w:p w:rsidR="007045D9" w:rsidRDefault="00704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045D9">
        <w:rPr>
          <w:noProof/>
        </w:rPr>
        <w:tab/>
      </w:r>
      <w:r w:rsidRPr="007045D9">
        <w:rPr>
          <w:noProof/>
        </w:rPr>
        <w:fldChar w:fldCharType="begin"/>
      </w:r>
      <w:r w:rsidRPr="007045D9">
        <w:rPr>
          <w:noProof/>
        </w:rPr>
        <w:instrText xml:space="preserve"> PAGEREF _Toc27564145 \h </w:instrText>
      </w:r>
      <w:r w:rsidRPr="007045D9">
        <w:rPr>
          <w:noProof/>
        </w:rPr>
      </w:r>
      <w:r w:rsidRPr="007045D9">
        <w:rPr>
          <w:noProof/>
        </w:rPr>
        <w:fldChar w:fldCharType="separate"/>
      </w:r>
      <w:r w:rsidR="00FC5039">
        <w:rPr>
          <w:noProof/>
        </w:rPr>
        <w:t>2</w:t>
      </w:r>
      <w:r w:rsidRPr="007045D9">
        <w:rPr>
          <w:noProof/>
        </w:rPr>
        <w:fldChar w:fldCharType="end"/>
      </w:r>
    </w:p>
    <w:p w:rsidR="007045D9" w:rsidRDefault="007045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1—Streamlining regulation</w:t>
      </w:r>
      <w:r w:rsidRPr="007045D9">
        <w:rPr>
          <w:b w:val="0"/>
          <w:noProof/>
          <w:sz w:val="18"/>
        </w:rPr>
        <w:tab/>
      </w:r>
      <w:r w:rsidRPr="007045D9">
        <w:rPr>
          <w:b w:val="0"/>
          <w:noProof/>
          <w:sz w:val="18"/>
        </w:rPr>
        <w:fldChar w:fldCharType="begin"/>
      </w:r>
      <w:r w:rsidRPr="007045D9">
        <w:rPr>
          <w:b w:val="0"/>
          <w:noProof/>
          <w:sz w:val="18"/>
        </w:rPr>
        <w:instrText xml:space="preserve"> PAGEREF _Toc27564146 \h </w:instrText>
      </w:r>
      <w:r w:rsidRPr="007045D9">
        <w:rPr>
          <w:b w:val="0"/>
          <w:noProof/>
          <w:sz w:val="18"/>
        </w:rPr>
      </w:r>
      <w:r w:rsidRPr="007045D9">
        <w:rPr>
          <w:b w:val="0"/>
          <w:noProof/>
          <w:sz w:val="18"/>
        </w:rPr>
        <w:fldChar w:fldCharType="separate"/>
      </w:r>
      <w:r w:rsidR="00FC5039">
        <w:rPr>
          <w:b w:val="0"/>
          <w:noProof/>
          <w:sz w:val="18"/>
        </w:rPr>
        <w:t>3</w:t>
      </w:r>
      <w:r w:rsidRPr="007045D9">
        <w:rPr>
          <w:b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_Toc27564147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3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Broadband Network Companies Act 2011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_Toc27564150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4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_Toc27564152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4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(Consumer Protection and Service Standards) Act 1999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_Toc27564153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5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2—Broadcasting licensee support payments</w:t>
      </w:r>
      <w:r w:rsidRPr="007045D9">
        <w:rPr>
          <w:b w:val="0"/>
          <w:noProof/>
          <w:sz w:val="18"/>
        </w:rPr>
        <w:tab/>
      </w:r>
      <w:r w:rsidRPr="007045D9">
        <w:rPr>
          <w:b w:val="0"/>
          <w:noProof/>
          <w:sz w:val="18"/>
        </w:rPr>
        <w:fldChar w:fldCharType="begin"/>
      </w:r>
      <w:r w:rsidRPr="007045D9">
        <w:rPr>
          <w:b w:val="0"/>
          <w:noProof/>
          <w:sz w:val="18"/>
        </w:rPr>
        <w:instrText xml:space="preserve"> PAGEREF _Toc27564154 \h </w:instrText>
      </w:r>
      <w:r w:rsidRPr="007045D9">
        <w:rPr>
          <w:b w:val="0"/>
          <w:noProof/>
          <w:sz w:val="18"/>
        </w:rPr>
      </w:r>
      <w:r w:rsidRPr="007045D9">
        <w:rPr>
          <w:b w:val="0"/>
          <w:noProof/>
          <w:sz w:val="18"/>
        </w:rPr>
        <w:fldChar w:fldCharType="separate"/>
      </w:r>
      <w:r w:rsidR="00FC5039">
        <w:rPr>
          <w:b w:val="0"/>
          <w:noProof/>
          <w:sz w:val="18"/>
        </w:rPr>
        <w:t>6</w:t>
      </w:r>
      <w:r w:rsidRPr="007045D9">
        <w:rPr>
          <w:b w:val="0"/>
          <w:noProof/>
          <w:sz w:val="18"/>
        </w:rPr>
        <w:fldChar w:fldCharType="end"/>
      </w:r>
    </w:p>
    <w:p w:rsidR="007045D9" w:rsidRDefault="007045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7045D9">
        <w:rPr>
          <w:noProof/>
          <w:sz w:val="18"/>
        </w:rPr>
        <w:tab/>
      </w:r>
      <w:r w:rsidRPr="007045D9">
        <w:rPr>
          <w:noProof/>
          <w:sz w:val="18"/>
        </w:rPr>
        <w:fldChar w:fldCharType="begin"/>
      </w:r>
      <w:r w:rsidRPr="007045D9">
        <w:rPr>
          <w:noProof/>
          <w:sz w:val="18"/>
        </w:rPr>
        <w:instrText xml:space="preserve"> PAGEREF _Toc27564155 \h </w:instrText>
      </w:r>
      <w:r w:rsidRPr="007045D9">
        <w:rPr>
          <w:noProof/>
          <w:sz w:val="18"/>
        </w:rPr>
      </w:r>
      <w:r w:rsidRPr="007045D9">
        <w:rPr>
          <w:noProof/>
          <w:sz w:val="18"/>
        </w:rPr>
        <w:fldChar w:fldCharType="separate"/>
      </w:r>
      <w:r w:rsidR="00FC5039">
        <w:rPr>
          <w:noProof/>
          <w:sz w:val="18"/>
        </w:rPr>
        <w:t>6</w:t>
      </w:r>
      <w:r w:rsidRPr="007045D9">
        <w:rPr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Legislation Amendment (Broadcasting Reform) Act 2017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_Toc27564156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6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transitional provisions</w:t>
      </w:r>
      <w:r w:rsidRPr="007045D9">
        <w:rPr>
          <w:noProof/>
          <w:sz w:val="18"/>
        </w:rPr>
        <w:tab/>
      </w:r>
      <w:r w:rsidRPr="007045D9">
        <w:rPr>
          <w:noProof/>
          <w:sz w:val="18"/>
        </w:rPr>
        <w:fldChar w:fldCharType="begin"/>
      </w:r>
      <w:r w:rsidRPr="007045D9">
        <w:rPr>
          <w:noProof/>
          <w:sz w:val="18"/>
        </w:rPr>
        <w:instrText xml:space="preserve"> PAGEREF _Toc27564157 \h </w:instrText>
      </w:r>
      <w:r w:rsidRPr="007045D9">
        <w:rPr>
          <w:noProof/>
          <w:sz w:val="18"/>
        </w:rPr>
      </w:r>
      <w:r w:rsidRPr="007045D9">
        <w:rPr>
          <w:noProof/>
          <w:sz w:val="18"/>
        </w:rPr>
        <w:fldChar w:fldCharType="separate"/>
      </w:r>
      <w:r w:rsidR="00FC5039">
        <w:rPr>
          <w:noProof/>
          <w:sz w:val="18"/>
        </w:rPr>
        <w:t>7</w:t>
      </w:r>
      <w:r w:rsidRPr="007045D9">
        <w:rPr>
          <w:noProof/>
          <w:sz w:val="18"/>
        </w:rPr>
        <w:fldChar w:fldCharType="end"/>
      </w:r>
    </w:p>
    <w:p w:rsidR="007045D9" w:rsidRDefault="007045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3—Monitoring of the telecommunications industry</w:t>
      </w:r>
      <w:r w:rsidRPr="007045D9">
        <w:rPr>
          <w:b w:val="0"/>
          <w:noProof/>
          <w:sz w:val="18"/>
        </w:rPr>
        <w:tab/>
      </w:r>
      <w:r w:rsidRPr="007045D9">
        <w:rPr>
          <w:b w:val="0"/>
          <w:noProof/>
          <w:sz w:val="18"/>
        </w:rPr>
        <w:fldChar w:fldCharType="begin"/>
      </w:r>
      <w:r w:rsidRPr="007045D9">
        <w:rPr>
          <w:b w:val="0"/>
          <w:noProof/>
          <w:sz w:val="18"/>
        </w:rPr>
        <w:instrText xml:space="preserve"> PAGEREF _Toc27564158 \h </w:instrText>
      </w:r>
      <w:r w:rsidRPr="007045D9">
        <w:rPr>
          <w:b w:val="0"/>
          <w:noProof/>
          <w:sz w:val="18"/>
        </w:rPr>
      </w:r>
      <w:r w:rsidRPr="007045D9">
        <w:rPr>
          <w:b w:val="0"/>
          <w:noProof/>
          <w:sz w:val="18"/>
        </w:rPr>
        <w:fldChar w:fldCharType="separate"/>
      </w:r>
      <w:r w:rsidR="00FC5039">
        <w:rPr>
          <w:b w:val="0"/>
          <w:noProof/>
          <w:sz w:val="18"/>
        </w:rPr>
        <w:t>10</w:t>
      </w:r>
      <w:r w:rsidRPr="007045D9">
        <w:rPr>
          <w:b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_Toc27564159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10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_Toc27564164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13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4—Technical amendments</w:t>
      </w:r>
      <w:r w:rsidRPr="007045D9">
        <w:rPr>
          <w:b w:val="0"/>
          <w:noProof/>
          <w:sz w:val="18"/>
        </w:rPr>
        <w:tab/>
      </w:r>
      <w:r w:rsidRPr="007045D9">
        <w:rPr>
          <w:b w:val="0"/>
          <w:noProof/>
          <w:sz w:val="18"/>
        </w:rPr>
        <w:fldChar w:fldCharType="begin"/>
      </w:r>
      <w:r w:rsidRPr="007045D9">
        <w:rPr>
          <w:b w:val="0"/>
          <w:noProof/>
          <w:sz w:val="18"/>
        </w:rPr>
        <w:instrText xml:space="preserve"> PAGEREF _Toc27564165 \h </w:instrText>
      </w:r>
      <w:r w:rsidRPr="007045D9">
        <w:rPr>
          <w:b w:val="0"/>
          <w:noProof/>
          <w:sz w:val="18"/>
        </w:rPr>
      </w:r>
      <w:r w:rsidRPr="007045D9">
        <w:rPr>
          <w:b w:val="0"/>
          <w:noProof/>
          <w:sz w:val="18"/>
        </w:rPr>
        <w:fldChar w:fldCharType="separate"/>
      </w:r>
      <w:r w:rsidR="00FC5039">
        <w:rPr>
          <w:b w:val="0"/>
          <w:noProof/>
          <w:sz w:val="18"/>
        </w:rPr>
        <w:t>15</w:t>
      </w:r>
      <w:r w:rsidRPr="007045D9">
        <w:rPr>
          <w:b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Broadcasting Corporation Act 1983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_Toc27564166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15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_Toc27564167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15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Special Broadcasting Service Act 1991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_Toc27564168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15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5—Spent and redundant legislation</w:t>
      </w:r>
      <w:r w:rsidRPr="007045D9">
        <w:rPr>
          <w:b w:val="0"/>
          <w:noProof/>
          <w:sz w:val="18"/>
        </w:rPr>
        <w:tab/>
      </w:r>
      <w:r w:rsidRPr="007045D9">
        <w:rPr>
          <w:b w:val="0"/>
          <w:noProof/>
          <w:sz w:val="18"/>
        </w:rPr>
        <w:fldChar w:fldCharType="begin"/>
      </w:r>
      <w:r w:rsidRPr="007045D9">
        <w:rPr>
          <w:b w:val="0"/>
          <w:noProof/>
          <w:sz w:val="18"/>
        </w:rPr>
        <w:instrText xml:space="preserve"> PAGEREF _Toc27564169 \h </w:instrText>
      </w:r>
      <w:r w:rsidRPr="007045D9">
        <w:rPr>
          <w:b w:val="0"/>
          <w:noProof/>
          <w:sz w:val="18"/>
        </w:rPr>
      </w:r>
      <w:r w:rsidRPr="007045D9">
        <w:rPr>
          <w:b w:val="0"/>
          <w:noProof/>
          <w:sz w:val="18"/>
        </w:rPr>
        <w:fldChar w:fldCharType="separate"/>
      </w:r>
      <w:r w:rsidR="00FC5039">
        <w:rPr>
          <w:b w:val="0"/>
          <w:noProof/>
          <w:sz w:val="18"/>
        </w:rPr>
        <w:t>18</w:t>
      </w:r>
      <w:r w:rsidRPr="007045D9">
        <w:rPr>
          <w:b w:val="0"/>
          <w:noProof/>
          <w:sz w:val="18"/>
        </w:rPr>
        <w:fldChar w:fldCharType="end"/>
      </w:r>
    </w:p>
    <w:p w:rsidR="007045D9" w:rsidRDefault="007045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1—Repeals</w:t>
      </w:r>
      <w:r w:rsidRPr="007045D9">
        <w:rPr>
          <w:noProof/>
          <w:sz w:val="18"/>
        </w:rPr>
        <w:tab/>
      </w:r>
      <w:r w:rsidRPr="007045D9">
        <w:rPr>
          <w:noProof/>
          <w:sz w:val="18"/>
        </w:rPr>
        <w:fldChar w:fldCharType="begin"/>
      </w:r>
      <w:r w:rsidRPr="007045D9">
        <w:rPr>
          <w:noProof/>
          <w:sz w:val="18"/>
        </w:rPr>
        <w:instrText xml:space="preserve"> PAGEREF _Toc27564170 \h </w:instrText>
      </w:r>
      <w:r w:rsidRPr="007045D9">
        <w:rPr>
          <w:noProof/>
          <w:sz w:val="18"/>
        </w:rPr>
      </w:r>
      <w:r w:rsidRPr="007045D9">
        <w:rPr>
          <w:noProof/>
          <w:sz w:val="18"/>
        </w:rPr>
        <w:fldChar w:fldCharType="separate"/>
      </w:r>
      <w:r w:rsidR="00FC5039">
        <w:rPr>
          <w:noProof/>
          <w:sz w:val="18"/>
        </w:rPr>
        <w:t>18</w:t>
      </w:r>
      <w:r w:rsidRPr="007045D9">
        <w:rPr>
          <w:noProof/>
          <w:sz w:val="18"/>
        </w:rPr>
        <w:fldChar w:fldCharType="end"/>
      </w:r>
    </w:p>
    <w:p w:rsidR="007045D9" w:rsidRDefault="007045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7045D9">
        <w:rPr>
          <w:noProof/>
          <w:sz w:val="18"/>
        </w:rPr>
        <w:tab/>
      </w:r>
      <w:r w:rsidRPr="007045D9">
        <w:rPr>
          <w:noProof/>
          <w:sz w:val="18"/>
        </w:rPr>
        <w:fldChar w:fldCharType="begin"/>
      </w:r>
      <w:r w:rsidRPr="007045D9">
        <w:rPr>
          <w:noProof/>
          <w:sz w:val="18"/>
        </w:rPr>
        <w:instrText xml:space="preserve"> PAGEREF _Toc27564171 \h </w:instrText>
      </w:r>
      <w:r w:rsidRPr="007045D9">
        <w:rPr>
          <w:noProof/>
          <w:sz w:val="18"/>
        </w:rPr>
      </w:r>
      <w:r w:rsidRPr="007045D9">
        <w:rPr>
          <w:noProof/>
          <w:sz w:val="18"/>
        </w:rPr>
        <w:fldChar w:fldCharType="separate"/>
      </w:r>
      <w:r w:rsidR="00FC5039">
        <w:rPr>
          <w:noProof/>
          <w:sz w:val="18"/>
        </w:rPr>
        <w:t>22</w:t>
      </w:r>
      <w:r w:rsidRPr="007045D9">
        <w:rPr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_Toc27564172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22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Transmission Network Sale Act 1998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_Toc27564173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22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_Toc27564174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22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Telstra Corporation Act 1991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_Toc27564176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23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lastRenderedPageBreak/>
        <w:t>Schedule 6—Numbering arrangements</w:t>
      </w:r>
      <w:r w:rsidRPr="007045D9">
        <w:rPr>
          <w:b w:val="0"/>
          <w:noProof/>
          <w:sz w:val="18"/>
        </w:rPr>
        <w:tab/>
      </w:r>
      <w:r w:rsidRPr="007045D9">
        <w:rPr>
          <w:b w:val="0"/>
          <w:noProof/>
          <w:sz w:val="18"/>
        </w:rPr>
        <w:fldChar w:fldCharType="begin"/>
      </w:r>
      <w:r w:rsidRPr="007045D9">
        <w:rPr>
          <w:b w:val="0"/>
          <w:noProof/>
          <w:sz w:val="18"/>
        </w:rPr>
        <w:instrText xml:space="preserve"> PAGEREF _Toc27564177 \h </w:instrText>
      </w:r>
      <w:r w:rsidRPr="007045D9">
        <w:rPr>
          <w:b w:val="0"/>
          <w:noProof/>
          <w:sz w:val="18"/>
        </w:rPr>
      </w:r>
      <w:r w:rsidRPr="007045D9">
        <w:rPr>
          <w:b w:val="0"/>
          <w:noProof/>
          <w:sz w:val="18"/>
        </w:rPr>
        <w:fldChar w:fldCharType="separate"/>
      </w:r>
      <w:r w:rsidR="00FC5039">
        <w:rPr>
          <w:b w:val="0"/>
          <w:noProof/>
          <w:sz w:val="18"/>
        </w:rPr>
        <w:t>24</w:t>
      </w:r>
      <w:r w:rsidRPr="007045D9">
        <w:rPr>
          <w:b w:val="0"/>
          <w:noProof/>
          <w:sz w:val="18"/>
        </w:rPr>
        <w:fldChar w:fldCharType="end"/>
      </w:r>
    </w:p>
    <w:p w:rsidR="007045D9" w:rsidRDefault="007045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 of the Telecommunications Act 1997</w:t>
      </w:r>
      <w:r w:rsidRPr="007045D9">
        <w:rPr>
          <w:noProof/>
          <w:sz w:val="18"/>
        </w:rPr>
        <w:tab/>
      </w:r>
      <w:r w:rsidRPr="007045D9">
        <w:rPr>
          <w:noProof/>
          <w:sz w:val="18"/>
        </w:rPr>
        <w:fldChar w:fldCharType="begin"/>
      </w:r>
      <w:r w:rsidRPr="007045D9">
        <w:rPr>
          <w:noProof/>
          <w:sz w:val="18"/>
        </w:rPr>
        <w:instrText xml:space="preserve"> PAGEREF _Toc27564178 \h </w:instrText>
      </w:r>
      <w:r w:rsidRPr="007045D9">
        <w:rPr>
          <w:noProof/>
          <w:sz w:val="18"/>
        </w:rPr>
      </w:r>
      <w:r w:rsidRPr="007045D9">
        <w:rPr>
          <w:noProof/>
          <w:sz w:val="18"/>
        </w:rPr>
        <w:fldChar w:fldCharType="separate"/>
      </w:r>
      <w:r w:rsidR="00FC5039">
        <w:rPr>
          <w:noProof/>
          <w:sz w:val="18"/>
        </w:rPr>
        <w:t>24</w:t>
      </w:r>
      <w:r w:rsidRPr="007045D9">
        <w:rPr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_Toc27564179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24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of other Acts</w:t>
      </w:r>
      <w:r w:rsidRPr="007045D9">
        <w:rPr>
          <w:noProof/>
          <w:sz w:val="18"/>
        </w:rPr>
        <w:tab/>
      </w:r>
      <w:r w:rsidRPr="007045D9">
        <w:rPr>
          <w:noProof/>
          <w:sz w:val="18"/>
        </w:rPr>
        <w:fldChar w:fldCharType="begin"/>
      </w:r>
      <w:r w:rsidRPr="007045D9">
        <w:rPr>
          <w:noProof/>
          <w:sz w:val="18"/>
        </w:rPr>
        <w:instrText xml:space="preserve"> PAGEREF _Toc27564194 \h </w:instrText>
      </w:r>
      <w:r w:rsidRPr="007045D9">
        <w:rPr>
          <w:noProof/>
          <w:sz w:val="18"/>
        </w:rPr>
      </w:r>
      <w:r w:rsidRPr="007045D9">
        <w:rPr>
          <w:noProof/>
          <w:sz w:val="18"/>
        </w:rPr>
        <w:fldChar w:fldCharType="separate"/>
      </w:r>
      <w:r w:rsidR="00FC5039">
        <w:rPr>
          <w:noProof/>
          <w:sz w:val="18"/>
        </w:rPr>
        <w:t>36</w:t>
      </w:r>
      <w:r w:rsidRPr="007045D9">
        <w:rPr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Do Not Call Register Act 2006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_Toc27564195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36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(Consumer Protection and Service Standards) Act 1999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_Toc27564196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36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(Numbering Charges) Amendment Act 2016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_Toc27564197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37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3—Transitional provisions</w:t>
      </w:r>
      <w:r w:rsidRPr="007045D9">
        <w:rPr>
          <w:noProof/>
          <w:sz w:val="18"/>
        </w:rPr>
        <w:tab/>
      </w:r>
      <w:r w:rsidRPr="007045D9">
        <w:rPr>
          <w:noProof/>
          <w:sz w:val="18"/>
        </w:rPr>
        <w:fldChar w:fldCharType="begin"/>
      </w:r>
      <w:r w:rsidRPr="007045D9">
        <w:rPr>
          <w:noProof/>
          <w:sz w:val="18"/>
        </w:rPr>
        <w:instrText xml:space="preserve"> PAGEREF _Toc27564198 \h </w:instrText>
      </w:r>
      <w:r w:rsidRPr="007045D9">
        <w:rPr>
          <w:noProof/>
          <w:sz w:val="18"/>
        </w:rPr>
      </w:r>
      <w:r w:rsidRPr="007045D9">
        <w:rPr>
          <w:noProof/>
          <w:sz w:val="18"/>
        </w:rPr>
        <w:fldChar w:fldCharType="separate"/>
      </w:r>
      <w:r w:rsidR="00FC5039">
        <w:rPr>
          <w:noProof/>
          <w:sz w:val="18"/>
        </w:rPr>
        <w:t>38</w:t>
      </w:r>
      <w:r w:rsidRPr="007045D9">
        <w:rPr>
          <w:noProof/>
          <w:sz w:val="18"/>
        </w:rPr>
        <w:fldChar w:fldCharType="end"/>
      </w:r>
    </w:p>
    <w:p w:rsidR="007045D9" w:rsidRDefault="007045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7—Publication requirements</w:t>
      </w:r>
      <w:r w:rsidRPr="007045D9">
        <w:rPr>
          <w:b w:val="0"/>
          <w:noProof/>
          <w:sz w:val="18"/>
        </w:rPr>
        <w:tab/>
      </w:r>
      <w:r w:rsidRPr="007045D9">
        <w:rPr>
          <w:b w:val="0"/>
          <w:noProof/>
          <w:sz w:val="18"/>
        </w:rPr>
        <w:fldChar w:fldCharType="begin"/>
      </w:r>
      <w:r w:rsidRPr="007045D9">
        <w:rPr>
          <w:b w:val="0"/>
          <w:noProof/>
          <w:sz w:val="18"/>
        </w:rPr>
        <w:instrText xml:space="preserve"> PAGEREF _Toc27564199 \h </w:instrText>
      </w:r>
      <w:r w:rsidRPr="007045D9">
        <w:rPr>
          <w:b w:val="0"/>
          <w:noProof/>
          <w:sz w:val="18"/>
        </w:rPr>
      </w:r>
      <w:r w:rsidRPr="007045D9">
        <w:rPr>
          <w:b w:val="0"/>
          <w:noProof/>
          <w:sz w:val="18"/>
        </w:rPr>
        <w:fldChar w:fldCharType="separate"/>
      </w:r>
      <w:r w:rsidR="00FC5039">
        <w:rPr>
          <w:b w:val="0"/>
          <w:noProof/>
          <w:sz w:val="18"/>
        </w:rPr>
        <w:t>39</w:t>
      </w:r>
      <w:r w:rsidRPr="007045D9">
        <w:rPr>
          <w:b w:val="0"/>
          <w:noProof/>
          <w:sz w:val="18"/>
        </w:rPr>
        <w:fldChar w:fldCharType="end"/>
      </w:r>
    </w:p>
    <w:p w:rsidR="007045D9" w:rsidRDefault="007045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7045D9">
        <w:rPr>
          <w:noProof/>
          <w:sz w:val="18"/>
        </w:rPr>
        <w:tab/>
      </w:r>
      <w:r w:rsidRPr="007045D9">
        <w:rPr>
          <w:noProof/>
          <w:sz w:val="18"/>
        </w:rPr>
        <w:fldChar w:fldCharType="begin"/>
      </w:r>
      <w:r w:rsidRPr="007045D9">
        <w:rPr>
          <w:noProof/>
          <w:sz w:val="18"/>
        </w:rPr>
        <w:instrText xml:space="preserve"> PAGEREF _Toc27564200 \h </w:instrText>
      </w:r>
      <w:r w:rsidRPr="007045D9">
        <w:rPr>
          <w:noProof/>
          <w:sz w:val="18"/>
        </w:rPr>
      </w:r>
      <w:r w:rsidRPr="007045D9">
        <w:rPr>
          <w:noProof/>
          <w:sz w:val="18"/>
        </w:rPr>
        <w:fldChar w:fldCharType="separate"/>
      </w:r>
      <w:r w:rsidR="00FC5039">
        <w:rPr>
          <w:noProof/>
          <w:sz w:val="18"/>
        </w:rPr>
        <w:t>39</w:t>
      </w:r>
      <w:r w:rsidRPr="007045D9">
        <w:rPr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_Toc27564201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39</w:t>
      </w:r>
      <w:r w:rsidRPr="007045D9">
        <w:rPr>
          <w:i w:val="0"/>
          <w:noProof/>
          <w:sz w:val="18"/>
        </w:rPr>
        <w:fldChar w:fldCharType="end"/>
      </w:r>
    </w:p>
    <w:p w:rsidR="007045D9" w:rsidRDefault="007045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7045D9">
        <w:rPr>
          <w:noProof/>
          <w:sz w:val="18"/>
        </w:rPr>
        <w:tab/>
      </w:r>
      <w:r w:rsidRPr="007045D9">
        <w:rPr>
          <w:noProof/>
          <w:sz w:val="18"/>
        </w:rPr>
        <w:fldChar w:fldCharType="begin"/>
      </w:r>
      <w:r w:rsidRPr="007045D9">
        <w:rPr>
          <w:noProof/>
          <w:sz w:val="18"/>
        </w:rPr>
        <w:instrText xml:space="preserve"> PAGEREF _Toc27564202 \h </w:instrText>
      </w:r>
      <w:r w:rsidRPr="007045D9">
        <w:rPr>
          <w:noProof/>
          <w:sz w:val="18"/>
        </w:rPr>
      </w:r>
      <w:r w:rsidRPr="007045D9">
        <w:rPr>
          <w:noProof/>
          <w:sz w:val="18"/>
        </w:rPr>
        <w:fldChar w:fldCharType="separate"/>
      </w:r>
      <w:r w:rsidR="00FC5039">
        <w:rPr>
          <w:noProof/>
          <w:sz w:val="18"/>
        </w:rPr>
        <w:t>41</w:t>
      </w:r>
      <w:r w:rsidRPr="007045D9">
        <w:rPr>
          <w:noProof/>
          <w:sz w:val="18"/>
        </w:rPr>
        <w:fldChar w:fldCharType="end"/>
      </w:r>
    </w:p>
    <w:p w:rsidR="007045D9" w:rsidRDefault="007045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8—Installation of optical fibre lines</w:t>
      </w:r>
      <w:r w:rsidRPr="007045D9">
        <w:rPr>
          <w:b w:val="0"/>
          <w:noProof/>
          <w:sz w:val="18"/>
        </w:rPr>
        <w:tab/>
      </w:r>
      <w:r w:rsidRPr="007045D9">
        <w:rPr>
          <w:b w:val="0"/>
          <w:noProof/>
          <w:sz w:val="18"/>
        </w:rPr>
        <w:fldChar w:fldCharType="begin"/>
      </w:r>
      <w:r w:rsidRPr="007045D9">
        <w:rPr>
          <w:b w:val="0"/>
          <w:noProof/>
          <w:sz w:val="18"/>
        </w:rPr>
        <w:instrText xml:space="preserve"> PAGEREF _Toc27564203 \h </w:instrText>
      </w:r>
      <w:r w:rsidRPr="007045D9">
        <w:rPr>
          <w:b w:val="0"/>
          <w:noProof/>
          <w:sz w:val="18"/>
        </w:rPr>
      </w:r>
      <w:r w:rsidRPr="007045D9">
        <w:rPr>
          <w:b w:val="0"/>
          <w:noProof/>
          <w:sz w:val="18"/>
        </w:rPr>
        <w:fldChar w:fldCharType="separate"/>
      </w:r>
      <w:r w:rsidR="00FC5039">
        <w:rPr>
          <w:b w:val="0"/>
          <w:noProof/>
          <w:sz w:val="18"/>
        </w:rPr>
        <w:t>42</w:t>
      </w:r>
      <w:r w:rsidRPr="007045D9">
        <w:rPr>
          <w:b w:val="0"/>
          <w:noProof/>
          <w:sz w:val="18"/>
        </w:rPr>
        <w:fldChar w:fldCharType="end"/>
      </w:r>
    </w:p>
    <w:p w:rsidR="007045D9" w:rsidRDefault="00704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7045D9">
        <w:rPr>
          <w:i w:val="0"/>
          <w:noProof/>
          <w:sz w:val="18"/>
        </w:rPr>
        <w:tab/>
      </w:r>
      <w:r w:rsidRPr="007045D9">
        <w:rPr>
          <w:i w:val="0"/>
          <w:noProof/>
          <w:sz w:val="18"/>
        </w:rPr>
        <w:fldChar w:fldCharType="begin"/>
      </w:r>
      <w:r w:rsidRPr="007045D9">
        <w:rPr>
          <w:i w:val="0"/>
          <w:noProof/>
          <w:sz w:val="18"/>
        </w:rPr>
        <w:instrText xml:space="preserve"> PAGEREF _Toc27564204 \h </w:instrText>
      </w:r>
      <w:r w:rsidRPr="007045D9">
        <w:rPr>
          <w:i w:val="0"/>
          <w:noProof/>
          <w:sz w:val="18"/>
        </w:rPr>
      </w:r>
      <w:r w:rsidRPr="007045D9">
        <w:rPr>
          <w:i w:val="0"/>
          <w:noProof/>
          <w:sz w:val="18"/>
        </w:rPr>
        <w:fldChar w:fldCharType="separate"/>
      </w:r>
      <w:r w:rsidR="00FC5039">
        <w:rPr>
          <w:i w:val="0"/>
          <w:noProof/>
          <w:sz w:val="18"/>
        </w:rPr>
        <w:t>42</w:t>
      </w:r>
      <w:r w:rsidRPr="007045D9">
        <w:rPr>
          <w:i w:val="0"/>
          <w:noProof/>
          <w:sz w:val="18"/>
        </w:rPr>
        <w:fldChar w:fldCharType="end"/>
      </w:r>
    </w:p>
    <w:p w:rsidR="00D37495" w:rsidRPr="00D95F2E" w:rsidRDefault="007045D9" w:rsidP="00D37495">
      <w:r>
        <w:fldChar w:fldCharType="end"/>
      </w:r>
    </w:p>
    <w:p w:rsidR="00D37495" w:rsidRPr="00D95F2E" w:rsidRDefault="00D37495" w:rsidP="00D37495">
      <w:pPr>
        <w:sectPr w:rsidR="00D37495" w:rsidRPr="00D95F2E" w:rsidSect="007861B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861B1" w:rsidRDefault="007861B1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38177835" r:id="rId21"/>
        </w:object>
      </w:r>
    </w:p>
    <w:p w:rsidR="007861B1" w:rsidRDefault="007861B1"/>
    <w:p w:rsidR="007861B1" w:rsidRDefault="007861B1" w:rsidP="007861B1">
      <w:pPr>
        <w:spacing w:line="240" w:lineRule="auto"/>
      </w:pPr>
    </w:p>
    <w:p w:rsidR="007861B1" w:rsidRDefault="00FC5039" w:rsidP="007861B1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Communications Legislation Amendment (Deregulation and Other Measures) Act 2019</w:t>
      </w:r>
      <w:r>
        <w:rPr>
          <w:noProof/>
        </w:rPr>
        <w:fldChar w:fldCharType="end"/>
      </w:r>
    </w:p>
    <w:p w:rsidR="007861B1" w:rsidRDefault="00FC5039" w:rsidP="007861B1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120, 2019</w:t>
      </w:r>
      <w:r>
        <w:rPr>
          <w:noProof/>
        </w:rPr>
        <w:fldChar w:fldCharType="end"/>
      </w:r>
    </w:p>
    <w:p w:rsidR="007861B1" w:rsidRPr="009A0728" w:rsidRDefault="007861B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861B1" w:rsidRPr="009A0728" w:rsidRDefault="007861B1" w:rsidP="009A0728">
      <w:pPr>
        <w:spacing w:line="40" w:lineRule="exact"/>
        <w:rPr>
          <w:rFonts w:eastAsia="Calibri"/>
          <w:b/>
          <w:sz w:val="28"/>
        </w:rPr>
      </w:pPr>
    </w:p>
    <w:p w:rsidR="007861B1" w:rsidRPr="009A0728" w:rsidRDefault="007861B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D37495" w:rsidRPr="00D95F2E" w:rsidRDefault="007861B1" w:rsidP="00D95F2E">
      <w:pPr>
        <w:pStyle w:val="Page1"/>
      </w:pPr>
      <w:r>
        <w:t>An Act</w:t>
      </w:r>
      <w:r w:rsidR="00D95F2E" w:rsidRPr="00D95F2E">
        <w:t xml:space="preserve"> to amend laws relating to communications, and for related purposes</w:t>
      </w:r>
    </w:p>
    <w:p w:rsidR="007045D9" w:rsidRDefault="007045D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December 2019</w:t>
      </w:r>
      <w:r>
        <w:rPr>
          <w:sz w:val="24"/>
        </w:rPr>
        <w:t>]</w:t>
      </w:r>
    </w:p>
    <w:p w:rsidR="00D37495" w:rsidRPr="00D95F2E" w:rsidRDefault="00D37495" w:rsidP="00D95F2E">
      <w:pPr>
        <w:spacing w:before="240" w:line="240" w:lineRule="auto"/>
        <w:rPr>
          <w:sz w:val="32"/>
        </w:rPr>
      </w:pPr>
      <w:r w:rsidRPr="00D95F2E">
        <w:rPr>
          <w:sz w:val="32"/>
        </w:rPr>
        <w:t>The Parliament of Australia enacts:</w:t>
      </w:r>
    </w:p>
    <w:p w:rsidR="00D37495" w:rsidRPr="00D95F2E" w:rsidRDefault="00D37495" w:rsidP="00D95F2E">
      <w:pPr>
        <w:pStyle w:val="ActHead5"/>
      </w:pPr>
      <w:bookmarkStart w:id="1" w:name="_Toc27564143"/>
      <w:r w:rsidRPr="00D95F2E">
        <w:rPr>
          <w:rStyle w:val="CharSectno"/>
        </w:rPr>
        <w:t>1</w:t>
      </w:r>
      <w:r w:rsidRPr="00D95F2E">
        <w:t xml:space="preserve">  Short title</w:t>
      </w:r>
      <w:bookmarkEnd w:id="1"/>
    </w:p>
    <w:p w:rsidR="00D37495" w:rsidRPr="00D95F2E" w:rsidRDefault="00D37495" w:rsidP="00D95F2E">
      <w:pPr>
        <w:pStyle w:val="subsection"/>
      </w:pPr>
      <w:r w:rsidRPr="00D95F2E">
        <w:tab/>
      </w:r>
      <w:r w:rsidRPr="00D95F2E">
        <w:tab/>
        <w:t xml:space="preserve">This Act is the </w:t>
      </w:r>
      <w:r w:rsidRPr="00D95F2E">
        <w:rPr>
          <w:i/>
        </w:rPr>
        <w:t>Communications Legislation Amendment (Deregulation and Other Measures) Act 2019.</w:t>
      </w:r>
    </w:p>
    <w:p w:rsidR="00D37495" w:rsidRPr="00D95F2E" w:rsidRDefault="00D37495" w:rsidP="00D95F2E">
      <w:pPr>
        <w:pStyle w:val="ActHead5"/>
      </w:pPr>
      <w:bookmarkStart w:id="2" w:name="_Toc27564144"/>
      <w:r w:rsidRPr="00D95F2E">
        <w:rPr>
          <w:rStyle w:val="CharSectno"/>
        </w:rPr>
        <w:lastRenderedPageBreak/>
        <w:t>2</w:t>
      </w:r>
      <w:r w:rsidRPr="00D95F2E">
        <w:t xml:space="preserve">  Commencement</w:t>
      </w:r>
      <w:bookmarkEnd w:id="2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D37495" w:rsidRPr="00D95F2E" w:rsidRDefault="00D37495" w:rsidP="00D95F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37495" w:rsidRPr="00D95F2E" w:rsidTr="001C5D0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37495" w:rsidRPr="00D95F2E" w:rsidRDefault="00D37495" w:rsidP="00D95F2E">
            <w:pPr>
              <w:pStyle w:val="TableHeading"/>
            </w:pPr>
            <w:r w:rsidRPr="00D95F2E">
              <w:t>Commencement information</w:t>
            </w:r>
          </w:p>
        </w:tc>
      </w:tr>
      <w:tr w:rsidR="00D37495" w:rsidRPr="00D95F2E" w:rsidTr="001C5D0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37495" w:rsidRPr="00D95F2E" w:rsidRDefault="00D37495" w:rsidP="00D95F2E">
            <w:pPr>
              <w:pStyle w:val="TableHeading"/>
            </w:pPr>
            <w:r w:rsidRPr="00D95F2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37495" w:rsidRPr="00D95F2E" w:rsidRDefault="00D37495" w:rsidP="00D95F2E">
            <w:pPr>
              <w:pStyle w:val="TableHeading"/>
            </w:pPr>
            <w:r w:rsidRPr="00D95F2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37495" w:rsidRPr="00D95F2E" w:rsidRDefault="00D37495" w:rsidP="00D95F2E">
            <w:pPr>
              <w:pStyle w:val="TableHeading"/>
            </w:pPr>
            <w:r w:rsidRPr="00D95F2E">
              <w:t>Column 3</w:t>
            </w:r>
          </w:p>
        </w:tc>
      </w:tr>
      <w:tr w:rsidR="00D37495" w:rsidRPr="00D95F2E" w:rsidTr="001C5D0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37495" w:rsidRPr="00D95F2E" w:rsidRDefault="00D37495" w:rsidP="00D95F2E">
            <w:pPr>
              <w:pStyle w:val="TableHeading"/>
            </w:pPr>
            <w:r w:rsidRPr="00D95F2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37495" w:rsidRPr="00D95F2E" w:rsidRDefault="00D37495" w:rsidP="00D95F2E">
            <w:pPr>
              <w:pStyle w:val="TableHeading"/>
            </w:pPr>
            <w:r w:rsidRPr="00D95F2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37495" w:rsidRPr="00D95F2E" w:rsidRDefault="00D37495" w:rsidP="00D95F2E">
            <w:pPr>
              <w:pStyle w:val="TableHeading"/>
            </w:pPr>
            <w:r w:rsidRPr="00D95F2E">
              <w:t>Date/Details</w:t>
            </w:r>
          </w:p>
        </w:tc>
      </w:tr>
      <w:tr w:rsidR="00D37495" w:rsidRPr="00D95F2E" w:rsidTr="001C5D04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7495" w:rsidRPr="00D95F2E" w:rsidRDefault="00D37495" w:rsidP="00D95F2E">
            <w:pPr>
              <w:pStyle w:val="Tabletext"/>
            </w:pPr>
            <w:r w:rsidRPr="00D95F2E">
              <w:t>1.  The whole of this Act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7495" w:rsidRPr="00D95F2E" w:rsidRDefault="00D37495" w:rsidP="00D95F2E">
            <w:pPr>
              <w:pStyle w:val="Tabletext"/>
            </w:pPr>
            <w:r w:rsidRPr="00D95F2E">
              <w:t>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7495" w:rsidRPr="00D95F2E" w:rsidRDefault="007045D9" w:rsidP="007045D9">
            <w:pPr>
              <w:pStyle w:val="Tabletext"/>
            </w:pPr>
            <w:r>
              <w:t>12 December 2019</w:t>
            </w:r>
          </w:p>
        </w:tc>
      </w:tr>
    </w:tbl>
    <w:p w:rsidR="00D37495" w:rsidRPr="00D95F2E" w:rsidRDefault="00D37495" w:rsidP="00D95F2E">
      <w:pPr>
        <w:pStyle w:val="notetext"/>
      </w:pPr>
      <w:r w:rsidRPr="00D95F2E">
        <w:rPr>
          <w:snapToGrid w:val="0"/>
          <w:lang w:eastAsia="en-US"/>
        </w:rPr>
        <w:t>Note:</w:t>
      </w:r>
      <w:r w:rsidRPr="00D95F2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>Any information in column 3 of the table is not part of this Act. Information may be inserted in this column, or information in it may be edited, in any published version of this Act.</w:t>
      </w:r>
    </w:p>
    <w:p w:rsidR="00D37495" w:rsidRPr="00D95F2E" w:rsidRDefault="00D37495" w:rsidP="00D95F2E">
      <w:pPr>
        <w:pStyle w:val="ActHead5"/>
      </w:pPr>
      <w:bookmarkStart w:id="3" w:name="_Toc27564145"/>
      <w:r w:rsidRPr="00D95F2E">
        <w:rPr>
          <w:rStyle w:val="CharSectno"/>
        </w:rPr>
        <w:t>3</w:t>
      </w:r>
      <w:r w:rsidRPr="00D95F2E">
        <w:t xml:space="preserve">  Schedules</w:t>
      </w:r>
      <w:bookmarkEnd w:id="3"/>
    </w:p>
    <w:p w:rsidR="00D37495" w:rsidRPr="00D95F2E" w:rsidRDefault="00D37495" w:rsidP="00D95F2E">
      <w:pPr>
        <w:pStyle w:val="subsection"/>
      </w:pPr>
      <w:r w:rsidRPr="00D95F2E">
        <w:tab/>
      </w:r>
      <w:r w:rsidRPr="00D95F2E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D37495" w:rsidRPr="00D95F2E" w:rsidRDefault="00D37495" w:rsidP="00D95F2E">
      <w:pPr>
        <w:pStyle w:val="ActHead6"/>
        <w:pageBreakBefore/>
      </w:pPr>
      <w:bookmarkStart w:id="4" w:name="_Toc27564146"/>
      <w:bookmarkStart w:id="5" w:name="opcAmSched"/>
      <w:r w:rsidRPr="00D95F2E">
        <w:rPr>
          <w:rStyle w:val="CharAmSchNo"/>
        </w:rPr>
        <w:lastRenderedPageBreak/>
        <w:t>Schedule</w:t>
      </w:r>
      <w:r w:rsidR="00D95F2E" w:rsidRPr="00D95F2E">
        <w:rPr>
          <w:rStyle w:val="CharAmSchNo"/>
        </w:rPr>
        <w:t> </w:t>
      </w:r>
      <w:r w:rsidRPr="00D95F2E">
        <w:rPr>
          <w:rStyle w:val="CharAmSchNo"/>
        </w:rPr>
        <w:t>1</w:t>
      </w:r>
      <w:r w:rsidRPr="00D95F2E">
        <w:t>—</w:t>
      </w:r>
      <w:r w:rsidRPr="00D95F2E">
        <w:rPr>
          <w:rStyle w:val="CharAmSchText"/>
        </w:rPr>
        <w:t>Streamlining regulation</w:t>
      </w:r>
      <w:bookmarkEnd w:id="4"/>
    </w:p>
    <w:bookmarkEnd w:id="5"/>
    <w:p w:rsidR="00D37495" w:rsidRPr="00D95F2E" w:rsidRDefault="00D37495" w:rsidP="00D95F2E">
      <w:pPr>
        <w:pStyle w:val="Header"/>
      </w:pPr>
      <w:r w:rsidRPr="00D95F2E">
        <w:rPr>
          <w:rStyle w:val="CharAmPartNo"/>
        </w:rPr>
        <w:t xml:space="preserve"> </w:t>
      </w:r>
      <w:r w:rsidRPr="00D95F2E">
        <w:rPr>
          <w:rStyle w:val="CharAmPartText"/>
        </w:rPr>
        <w:t xml:space="preserve"> 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6" w:name="_Toc27564147"/>
      <w:r w:rsidRPr="00D95F2E">
        <w:t>Broadcasting Services Act 1992</w:t>
      </w:r>
      <w:bookmarkEnd w:id="6"/>
    </w:p>
    <w:p w:rsidR="00D37495" w:rsidRPr="00D95F2E" w:rsidRDefault="009676EE" w:rsidP="00D95F2E">
      <w:pPr>
        <w:pStyle w:val="ItemHead"/>
      </w:pPr>
      <w:r w:rsidRPr="00D95F2E">
        <w:t>1</w:t>
      </w:r>
      <w:r w:rsidR="00D37495" w:rsidRPr="00D95F2E">
        <w:t xml:space="preserve">  Section</w:t>
      </w:r>
      <w:r w:rsidR="00D95F2E" w:rsidRPr="00D95F2E">
        <w:t> </w:t>
      </w:r>
      <w:r w:rsidR="00D37495" w:rsidRPr="00D95F2E">
        <w:t>64</w:t>
      </w:r>
    </w:p>
    <w:p w:rsidR="00D37495" w:rsidRPr="00D95F2E" w:rsidRDefault="00D37495" w:rsidP="00D95F2E">
      <w:pPr>
        <w:pStyle w:val="Item"/>
      </w:pPr>
      <w:r w:rsidRPr="00D95F2E">
        <w:t>Repeal the section.</w:t>
      </w:r>
    </w:p>
    <w:p w:rsidR="00D37495" w:rsidRPr="00D95F2E" w:rsidRDefault="009676EE" w:rsidP="00D95F2E">
      <w:pPr>
        <w:pStyle w:val="ItemHead"/>
      </w:pPr>
      <w:r w:rsidRPr="00D95F2E">
        <w:t>2</w:t>
      </w:r>
      <w:r w:rsidR="00D37495" w:rsidRPr="00D95F2E">
        <w:t xml:space="preserve">  Section</w:t>
      </w:r>
      <w:r w:rsidR="00D95F2E" w:rsidRPr="00D95F2E">
        <w:t> </w:t>
      </w:r>
      <w:r w:rsidR="00D37495" w:rsidRPr="00D95F2E">
        <w:t>65A (heading)</w:t>
      </w:r>
    </w:p>
    <w:p w:rsidR="00D37495" w:rsidRPr="00D95F2E" w:rsidRDefault="00D37495" w:rsidP="00D95F2E">
      <w:pPr>
        <w:pStyle w:val="Item"/>
      </w:pPr>
      <w:r w:rsidRPr="00D95F2E">
        <w:t>Repeal the heading, substitute:</w:t>
      </w:r>
    </w:p>
    <w:p w:rsidR="00D37495" w:rsidRPr="00D95F2E" w:rsidRDefault="00D37495" w:rsidP="00D95F2E">
      <w:pPr>
        <w:pStyle w:val="ActHead5"/>
      </w:pPr>
      <w:bookmarkStart w:id="7" w:name="_Toc27564148"/>
      <w:r w:rsidRPr="00D95F2E">
        <w:rPr>
          <w:rStyle w:val="CharSectno"/>
        </w:rPr>
        <w:t>65A</w:t>
      </w:r>
      <w:r w:rsidRPr="00D95F2E">
        <w:t xml:space="preserve">  Strict liability offence</w:t>
      </w:r>
      <w:bookmarkEnd w:id="7"/>
    </w:p>
    <w:p w:rsidR="00D37495" w:rsidRPr="00D95F2E" w:rsidRDefault="009676EE" w:rsidP="00D95F2E">
      <w:pPr>
        <w:pStyle w:val="ItemHead"/>
      </w:pPr>
      <w:r w:rsidRPr="00D95F2E">
        <w:t>3</w:t>
      </w:r>
      <w:r w:rsidR="00D37495" w:rsidRPr="00D95F2E">
        <w:t xml:space="preserve">  Section</w:t>
      </w:r>
      <w:r w:rsidR="00D95F2E" w:rsidRPr="00D95F2E">
        <w:t> </w:t>
      </w:r>
      <w:r w:rsidR="00D37495" w:rsidRPr="00D95F2E">
        <w:t>65A</w:t>
      </w:r>
    </w:p>
    <w:p w:rsidR="00D37495" w:rsidRPr="00D95F2E" w:rsidRDefault="00D37495" w:rsidP="00D95F2E">
      <w:pPr>
        <w:pStyle w:val="Item"/>
      </w:pPr>
      <w:r w:rsidRPr="00D95F2E">
        <w:t>Omit “, or 64”.</w:t>
      </w:r>
    </w:p>
    <w:p w:rsidR="00D37495" w:rsidRPr="00D95F2E" w:rsidRDefault="009676EE" w:rsidP="00D95F2E">
      <w:pPr>
        <w:pStyle w:val="ItemHead"/>
      </w:pPr>
      <w:r w:rsidRPr="00D95F2E">
        <w:t>4</w:t>
      </w:r>
      <w:r w:rsidR="00D37495" w:rsidRPr="00D95F2E">
        <w:t xml:space="preserve">  Section</w:t>
      </w:r>
      <w:r w:rsidR="00D95F2E" w:rsidRPr="00D95F2E">
        <w:t> </w:t>
      </w:r>
      <w:r w:rsidR="00D37495" w:rsidRPr="00D95F2E">
        <w:t>65B</w:t>
      </w:r>
    </w:p>
    <w:p w:rsidR="00D37495" w:rsidRPr="00D95F2E" w:rsidRDefault="00D37495" w:rsidP="00D95F2E">
      <w:pPr>
        <w:pStyle w:val="Item"/>
      </w:pPr>
      <w:r w:rsidRPr="00D95F2E">
        <w:t>Repeal the section, substitute:</w:t>
      </w:r>
    </w:p>
    <w:p w:rsidR="00D37495" w:rsidRPr="00D95F2E" w:rsidRDefault="00D37495" w:rsidP="00D95F2E">
      <w:pPr>
        <w:pStyle w:val="ActHead5"/>
      </w:pPr>
      <w:bookmarkStart w:id="8" w:name="_Toc27564149"/>
      <w:r w:rsidRPr="00D95F2E">
        <w:rPr>
          <w:rStyle w:val="CharSectno"/>
        </w:rPr>
        <w:t>65B</w:t>
      </w:r>
      <w:r w:rsidRPr="00D95F2E">
        <w:t xml:space="preserve">  Designated infringement notice provision</w:t>
      </w:r>
      <w:bookmarkEnd w:id="8"/>
    </w:p>
    <w:p w:rsidR="00D37495" w:rsidRPr="00D95F2E" w:rsidRDefault="00D37495" w:rsidP="00D95F2E">
      <w:pPr>
        <w:pStyle w:val="subsection"/>
      </w:pPr>
      <w:r w:rsidRPr="00D95F2E">
        <w:tab/>
      </w:r>
      <w:r w:rsidRPr="00D95F2E">
        <w:tab/>
        <w:t>Section</w:t>
      </w:r>
      <w:r w:rsidR="00D95F2E" w:rsidRPr="00D95F2E">
        <w:t> </w:t>
      </w:r>
      <w:r w:rsidRPr="00D95F2E">
        <w:t>63 is a designated infringement notice provision.</w:t>
      </w:r>
    </w:p>
    <w:p w:rsidR="00D37495" w:rsidRPr="00D95F2E" w:rsidRDefault="009676EE" w:rsidP="00D95F2E">
      <w:pPr>
        <w:pStyle w:val="ItemHead"/>
      </w:pPr>
      <w:r w:rsidRPr="00D95F2E">
        <w:t>5</w:t>
      </w:r>
      <w:r w:rsidR="00D37495" w:rsidRPr="00D95F2E">
        <w:t xml:space="preserve">  Subsections</w:t>
      </w:r>
      <w:r w:rsidR="00D95F2E" w:rsidRPr="00D95F2E">
        <w:t> </w:t>
      </w:r>
      <w:r w:rsidR="00D37495" w:rsidRPr="00D95F2E">
        <w:t>123(3A) to (3D)</w:t>
      </w:r>
    </w:p>
    <w:p w:rsidR="00D37495" w:rsidRPr="00D95F2E" w:rsidRDefault="00D37495" w:rsidP="00D95F2E">
      <w:pPr>
        <w:pStyle w:val="Item"/>
      </w:pPr>
      <w:r w:rsidRPr="00D95F2E">
        <w:t>Repeal the subsections.</w:t>
      </w:r>
    </w:p>
    <w:p w:rsidR="00D37495" w:rsidRPr="00D95F2E" w:rsidRDefault="009676EE" w:rsidP="00D95F2E">
      <w:pPr>
        <w:pStyle w:val="ItemHead"/>
      </w:pPr>
      <w:r w:rsidRPr="00D95F2E">
        <w:t>6</w:t>
      </w:r>
      <w:r w:rsidR="00D37495" w:rsidRPr="00D95F2E">
        <w:t xml:space="preserve">  Paragraphs 7(1)(g) and (</w:t>
      </w:r>
      <w:proofErr w:type="spellStart"/>
      <w:r w:rsidR="00D37495" w:rsidRPr="00D95F2E">
        <w:t>ga</w:t>
      </w:r>
      <w:proofErr w:type="spellEnd"/>
      <w:r w:rsidR="00D37495" w:rsidRPr="00D95F2E">
        <w:t>) of Schedule</w:t>
      </w:r>
      <w:r w:rsidR="00D95F2E" w:rsidRPr="00D95F2E">
        <w:t> </w:t>
      </w:r>
      <w:r w:rsidR="00D37495" w:rsidRPr="00D95F2E">
        <w:t>2</w:t>
      </w:r>
    </w:p>
    <w:p w:rsidR="00D37495" w:rsidRPr="00D95F2E" w:rsidRDefault="00D37495" w:rsidP="00D95F2E">
      <w:pPr>
        <w:pStyle w:val="Item"/>
      </w:pPr>
      <w:r w:rsidRPr="00D95F2E">
        <w:t>Repeal the paragraphs.</w:t>
      </w:r>
    </w:p>
    <w:p w:rsidR="00D37495" w:rsidRPr="00D95F2E" w:rsidRDefault="009676EE" w:rsidP="00D95F2E">
      <w:pPr>
        <w:pStyle w:val="ItemHead"/>
      </w:pPr>
      <w:r w:rsidRPr="00D95F2E">
        <w:t>7</w:t>
      </w:r>
      <w:r w:rsidR="00D37495" w:rsidRPr="00D95F2E">
        <w:t xml:space="preserve">  Paragraphs 9(1)(g) and (</w:t>
      </w:r>
      <w:proofErr w:type="spellStart"/>
      <w:r w:rsidR="00D37495" w:rsidRPr="00D95F2E">
        <w:t>ga</w:t>
      </w:r>
      <w:proofErr w:type="spellEnd"/>
      <w:r w:rsidR="00D37495" w:rsidRPr="00D95F2E">
        <w:t>) of Schedule</w:t>
      </w:r>
      <w:r w:rsidR="00D95F2E" w:rsidRPr="00D95F2E">
        <w:t> </w:t>
      </w:r>
      <w:r w:rsidR="00D37495" w:rsidRPr="00D95F2E">
        <w:t>2</w:t>
      </w:r>
    </w:p>
    <w:p w:rsidR="00D37495" w:rsidRPr="00D95F2E" w:rsidRDefault="00D37495" w:rsidP="00D95F2E">
      <w:pPr>
        <w:pStyle w:val="Item"/>
      </w:pPr>
      <w:r w:rsidRPr="00D95F2E">
        <w:t>Repeal the paragraphs.</w:t>
      </w:r>
    </w:p>
    <w:p w:rsidR="00D37495" w:rsidRPr="00D95F2E" w:rsidRDefault="009676EE" w:rsidP="00D95F2E">
      <w:pPr>
        <w:pStyle w:val="ItemHead"/>
      </w:pPr>
      <w:r w:rsidRPr="00D95F2E">
        <w:t>8</w:t>
      </w:r>
      <w:r w:rsidR="00D37495" w:rsidRPr="00D95F2E">
        <w:t xml:space="preserve">  Subclause</w:t>
      </w:r>
      <w:r w:rsidR="00D95F2E" w:rsidRPr="00D95F2E">
        <w:t> </w:t>
      </w:r>
      <w:r w:rsidR="00D37495" w:rsidRPr="00D95F2E">
        <w:t>11(3) of Schedule</w:t>
      </w:r>
      <w:r w:rsidR="00D95F2E" w:rsidRPr="00D95F2E">
        <w:t> </w:t>
      </w:r>
      <w:r w:rsidR="00D37495" w:rsidRPr="00D95F2E">
        <w:t>2</w:t>
      </w:r>
    </w:p>
    <w:p w:rsidR="00D37495" w:rsidRPr="00D95F2E" w:rsidRDefault="00D37495" w:rsidP="00D95F2E">
      <w:pPr>
        <w:pStyle w:val="Item"/>
      </w:pPr>
      <w:r w:rsidRPr="00D95F2E">
        <w:t>Repeal the subclause.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9" w:name="_Toc27564150"/>
      <w:r w:rsidRPr="00D95F2E">
        <w:lastRenderedPageBreak/>
        <w:t>National Broadband Network Companies Act 2011</w:t>
      </w:r>
      <w:bookmarkEnd w:id="9"/>
    </w:p>
    <w:p w:rsidR="00D37495" w:rsidRPr="00D95F2E" w:rsidRDefault="009676EE" w:rsidP="00D95F2E">
      <w:pPr>
        <w:pStyle w:val="ItemHead"/>
      </w:pPr>
      <w:r w:rsidRPr="00D95F2E">
        <w:t>9</w:t>
      </w:r>
      <w:r w:rsidR="00D37495" w:rsidRPr="00D95F2E">
        <w:t xml:space="preserve">  Section</w:t>
      </w:r>
      <w:r w:rsidR="00D95F2E" w:rsidRPr="00D95F2E">
        <w:t> </w:t>
      </w:r>
      <w:r w:rsidR="00D37495" w:rsidRPr="00D95F2E">
        <w:t>19</w:t>
      </w:r>
    </w:p>
    <w:p w:rsidR="00D37495" w:rsidRPr="00D95F2E" w:rsidRDefault="00D37495" w:rsidP="00D95F2E">
      <w:pPr>
        <w:pStyle w:val="Item"/>
      </w:pPr>
      <w:r w:rsidRPr="00D95F2E">
        <w:t>Repeal the section, substitute:</w:t>
      </w:r>
    </w:p>
    <w:p w:rsidR="00D37495" w:rsidRPr="00D95F2E" w:rsidRDefault="00D37495" w:rsidP="00D95F2E">
      <w:pPr>
        <w:pStyle w:val="ActHead5"/>
      </w:pPr>
      <w:bookmarkStart w:id="10" w:name="_Toc27564151"/>
      <w:r w:rsidRPr="00D95F2E">
        <w:rPr>
          <w:rStyle w:val="CharSectno"/>
        </w:rPr>
        <w:t>19</w:t>
      </w:r>
      <w:r w:rsidRPr="00D95F2E">
        <w:t xml:space="preserve">  Non</w:t>
      </w:r>
      <w:r w:rsidR="001C2C80">
        <w:noBreakHyphen/>
      </w:r>
      <w:r w:rsidRPr="00D95F2E">
        <w:t>communications goods not to be supplied</w:t>
      </w:r>
      <w:bookmarkEnd w:id="10"/>
    </w:p>
    <w:p w:rsidR="00D37495" w:rsidRPr="00D95F2E" w:rsidRDefault="00D37495" w:rsidP="00D95F2E">
      <w:pPr>
        <w:pStyle w:val="subsection"/>
      </w:pPr>
      <w:r w:rsidRPr="00D95F2E">
        <w:tab/>
      </w:r>
      <w:r w:rsidRPr="00D95F2E">
        <w:tab/>
        <w:t xml:space="preserve">An </w:t>
      </w:r>
      <w:proofErr w:type="spellStart"/>
      <w:r w:rsidRPr="00D95F2E">
        <w:t>NBN</w:t>
      </w:r>
      <w:proofErr w:type="spellEnd"/>
      <w:r w:rsidRPr="00D95F2E">
        <w:t xml:space="preserve"> corporation must not supply goods to another person unless: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 xml:space="preserve">the goods are for use in connection with the supply, or prospective supply, of an eligible service by the </w:t>
      </w:r>
      <w:proofErr w:type="spellStart"/>
      <w:r w:rsidRPr="00D95F2E">
        <w:t>NBN</w:t>
      </w:r>
      <w:proofErr w:type="spellEnd"/>
      <w:r w:rsidRPr="00D95F2E">
        <w:t xml:space="preserve"> corporation; or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 xml:space="preserve">the </w:t>
      </w:r>
      <w:proofErr w:type="spellStart"/>
      <w:r w:rsidRPr="00D95F2E">
        <w:t>NBN</w:t>
      </w:r>
      <w:proofErr w:type="spellEnd"/>
      <w:r w:rsidRPr="00D95F2E">
        <w:t xml:space="preserve"> corporation did not obtain the goods for the purpose of supplying the goods; or</w:t>
      </w:r>
    </w:p>
    <w:p w:rsidR="00D37495" w:rsidRPr="00D95F2E" w:rsidRDefault="00D37495" w:rsidP="00D95F2E">
      <w:pPr>
        <w:pStyle w:val="paragraph"/>
      </w:pPr>
      <w:r w:rsidRPr="00D95F2E">
        <w:tab/>
        <w:t>(c)</w:t>
      </w:r>
      <w:r w:rsidRPr="00D95F2E">
        <w:tab/>
        <w:t xml:space="preserve">the </w:t>
      </w:r>
      <w:proofErr w:type="spellStart"/>
      <w:r w:rsidRPr="00D95F2E">
        <w:t>NBN</w:t>
      </w:r>
      <w:proofErr w:type="spellEnd"/>
      <w:r w:rsidRPr="00D95F2E">
        <w:t xml:space="preserve"> corporation:</w:t>
      </w:r>
    </w:p>
    <w:p w:rsidR="00D37495" w:rsidRPr="00D95F2E" w:rsidRDefault="00D37495" w:rsidP="00D95F2E">
      <w:pPr>
        <w:pStyle w:val="paragraphsub"/>
      </w:pPr>
      <w:r w:rsidRPr="00D95F2E">
        <w:tab/>
        <w:t>(</w:t>
      </w:r>
      <w:proofErr w:type="spellStart"/>
      <w:r w:rsidRPr="00D95F2E">
        <w:t>i</w:t>
      </w:r>
      <w:proofErr w:type="spellEnd"/>
      <w:r w:rsidRPr="00D95F2E">
        <w:t>)</w:t>
      </w:r>
      <w:r w:rsidRPr="00D95F2E">
        <w:tab/>
        <w:t xml:space="preserve">obtained the goods for the purpose of supplying the goods in connection with the supply, or prospective supply, of an eligible service by the </w:t>
      </w:r>
      <w:proofErr w:type="spellStart"/>
      <w:r w:rsidRPr="00D95F2E">
        <w:t>NBN</w:t>
      </w:r>
      <w:proofErr w:type="spellEnd"/>
      <w:r w:rsidRPr="00D95F2E">
        <w:t xml:space="preserve"> corporation; and</w:t>
      </w:r>
    </w:p>
    <w:p w:rsidR="00D37495" w:rsidRPr="00D95F2E" w:rsidRDefault="00D37495" w:rsidP="00D95F2E">
      <w:pPr>
        <w:pStyle w:val="paragraphsub"/>
      </w:pPr>
      <w:r w:rsidRPr="00D95F2E">
        <w:tab/>
        <w:t>(ii)</w:t>
      </w:r>
      <w:r w:rsidRPr="00D95F2E">
        <w:tab/>
        <w:t xml:space="preserve">considers the goods to be excess to the </w:t>
      </w:r>
      <w:proofErr w:type="spellStart"/>
      <w:r w:rsidRPr="00D95F2E">
        <w:t>NBN</w:t>
      </w:r>
      <w:proofErr w:type="spellEnd"/>
      <w:r w:rsidRPr="00D95F2E">
        <w:t xml:space="preserve"> corporation’s requirements.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11" w:name="_Toc27564152"/>
      <w:r w:rsidRPr="00D95F2E">
        <w:t>Telecommunications Act 1997</w:t>
      </w:r>
      <w:bookmarkEnd w:id="11"/>
    </w:p>
    <w:p w:rsidR="00D37495" w:rsidRPr="00D95F2E" w:rsidRDefault="009676EE" w:rsidP="00D95F2E">
      <w:pPr>
        <w:pStyle w:val="ItemHead"/>
      </w:pPr>
      <w:r w:rsidRPr="00D95F2E">
        <w:t>10</w:t>
      </w:r>
      <w:r w:rsidR="00D37495" w:rsidRPr="00D95F2E">
        <w:t xml:space="preserve">  Paragraph 524(2)(d)</w:t>
      </w:r>
    </w:p>
    <w:p w:rsidR="00D37495" w:rsidRPr="00D95F2E" w:rsidRDefault="00D37495" w:rsidP="00D95F2E">
      <w:pPr>
        <w:pStyle w:val="Item"/>
      </w:pPr>
      <w:r w:rsidRPr="00D95F2E">
        <w:t>After “570”, insert “other than proceedings”.</w:t>
      </w:r>
    </w:p>
    <w:p w:rsidR="00D37495" w:rsidRPr="00D95F2E" w:rsidRDefault="009676EE" w:rsidP="00D95F2E">
      <w:pPr>
        <w:pStyle w:val="ItemHead"/>
      </w:pPr>
      <w:r w:rsidRPr="00D95F2E">
        <w:t>11</w:t>
      </w:r>
      <w:r w:rsidR="00D37495" w:rsidRPr="00D95F2E">
        <w:t xml:space="preserve">  Subclause</w:t>
      </w:r>
      <w:r w:rsidR="00D95F2E" w:rsidRPr="00D95F2E">
        <w:t> </w:t>
      </w:r>
      <w:r w:rsidR="00D37495" w:rsidRPr="00D95F2E">
        <w:t>2(1) of Schedule</w:t>
      </w:r>
      <w:r w:rsidR="00D95F2E" w:rsidRPr="00D95F2E">
        <w:t> </w:t>
      </w:r>
      <w:r w:rsidR="00D37495" w:rsidRPr="00D95F2E">
        <w:t xml:space="preserve">3A (definition of </w:t>
      </w:r>
      <w:r w:rsidR="00D37495" w:rsidRPr="00D95F2E">
        <w:rPr>
          <w:i/>
        </w:rPr>
        <w:t>advisory committee</w:t>
      </w:r>
      <w:r w:rsidR="00D37495" w:rsidRPr="00D95F2E">
        <w:t>)</w:t>
      </w:r>
    </w:p>
    <w:p w:rsidR="00D37495" w:rsidRPr="00D95F2E" w:rsidRDefault="00D37495" w:rsidP="00D95F2E">
      <w:pPr>
        <w:pStyle w:val="Item"/>
      </w:pPr>
      <w:r w:rsidRPr="00D95F2E">
        <w:t>Repeal the definition.</w:t>
      </w:r>
    </w:p>
    <w:p w:rsidR="00D37495" w:rsidRPr="00D95F2E" w:rsidRDefault="009676EE" w:rsidP="00D95F2E">
      <w:pPr>
        <w:pStyle w:val="ItemHead"/>
      </w:pPr>
      <w:r w:rsidRPr="00D95F2E">
        <w:t>12</w:t>
      </w:r>
      <w:r w:rsidR="00D37495" w:rsidRPr="00D95F2E">
        <w:t xml:space="preserve">  Clause</w:t>
      </w:r>
      <w:r w:rsidR="00D95F2E" w:rsidRPr="00D95F2E">
        <w:t> </w:t>
      </w:r>
      <w:r w:rsidR="00D37495" w:rsidRPr="00D95F2E">
        <w:t>3 of Schedule</w:t>
      </w:r>
      <w:r w:rsidR="00D95F2E" w:rsidRPr="00D95F2E">
        <w:t> </w:t>
      </w:r>
      <w:r w:rsidR="00D37495" w:rsidRPr="00D95F2E">
        <w:t>3A</w:t>
      </w:r>
    </w:p>
    <w:p w:rsidR="00D37495" w:rsidRPr="00D95F2E" w:rsidRDefault="00D37495" w:rsidP="00D95F2E">
      <w:pPr>
        <w:pStyle w:val="Item"/>
      </w:pPr>
      <w:r w:rsidRPr="00D95F2E">
        <w:t>Omit: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must consult with an advisory committee, with the Environment Secretary and with the public before it declares a protection zone.</w:t>
      </w:r>
    </w:p>
    <w:p w:rsidR="00D37495" w:rsidRPr="00D95F2E" w:rsidRDefault="00D37495" w:rsidP="00D95F2E">
      <w:pPr>
        <w:pStyle w:val="Item"/>
      </w:pPr>
      <w:r w:rsidRPr="00D95F2E">
        <w:lastRenderedPageBreak/>
        <w:t>substitute: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must consult with the Environment Secretary and with the public before it declares a protection zone.</w:t>
      </w:r>
    </w:p>
    <w:p w:rsidR="00D37495" w:rsidRPr="00D95F2E" w:rsidRDefault="009676EE" w:rsidP="00D95F2E">
      <w:pPr>
        <w:pStyle w:val="ItemHead"/>
      </w:pPr>
      <w:r w:rsidRPr="00D95F2E">
        <w:t>13</w:t>
      </w:r>
      <w:r w:rsidR="00D37495" w:rsidRPr="00D95F2E">
        <w:t xml:space="preserve">  Clause</w:t>
      </w:r>
      <w:r w:rsidR="00D95F2E" w:rsidRPr="00D95F2E">
        <w:t> </w:t>
      </w:r>
      <w:r w:rsidR="00D37495" w:rsidRPr="00D95F2E">
        <w:t>16 of Schedule</w:t>
      </w:r>
      <w:r w:rsidR="00D95F2E" w:rsidRPr="00D95F2E">
        <w:t> </w:t>
      </w:r>
      <w:r w:rsidR="00D37495" w:rsidRPr="00D95F2E">
        <w:t>3A</w:t>
      </w:r>
    </w:p>
    <w:p w:rsidR="00D37495" w:rsidRPr="00D95F2E" w:rsidRDefault="00D37495" w:rsidP="00D95F2E">
      <w:pPr>
        <w:pStyle w:val="Item"/>
      </w:pPr>
      <w:r w:rsidRPr="00D95F2E">
        <w:t>Repeal the clause.</w:t>
      </w:r>
    </w:p>
    <w:p w:rsidR="00D37495" w:rsidRPr="00D95F2E" w:rsidRDefault="009676EE" w:rsidP="00D95F2E">
      <w:pPr>
        <w:pStyle w:val="ItemHead"/>
      </w:pPr>
      <w:r w:rsidRPr="00D95F2E">
        <w:t>14</w:t>
      </w:r>
      <w:r w:rsidR="00D37495" w:rsidRPr="00D95F2E">
        <w:t xml:space="preserve">  Paragraph 20(a) of Schedule</w:t>
      </w:r>
      <w:r w:rsidR="00D95F2E" w:rsidRPr="00D95F2E">
        <w:t> </w:t>
      </w:r>
      <w:r w:rsidR="00D37495" w:rsidRPr="00D95F2E">
        <w:t>3A</w:t>
      </w:r>
    </w:p>
    <w:p w:rsidR="00D37495" w:rsidRPr="00D95F2E" w:rsidRDefault="00D37495" w:rsidP="00D95F2E">
      <w:pPr>
        <w:pStyle w:val="Item"/>
      </w:pPr>
      <w:r w:rsidRPr="00D95F2E">
        <w:t>Repeal the paragraph.</w:t>
      </w:r>
    </w:p>
    <w:p w:rsidR="00D37495" w:rsidRPr="00D95F2E" w:rsidRDefault="009676EE" w:rsidP="00D95F2E">
      <w:pPr>
        <w:pStyle w:val="ItemHead"/>
      </w:pPr>
      <w:r w:rsidRPr="00D95F2E">
        <w:t>15</w:t>
      </w:r>
      <w:r w:rsidR="00D37495" w:rsidRPr="00D95F2E">
        <w:t xml:space="preserve">  Clause</w:t>
      </w:r>
      <w:r w:rsidR="00D95F2E" w:rsidRPr="00D95F2E">
        <w:t> </w:t>
      </w:r>
      <w:r w:rsidR="00D37495" w:rsidRPr="00D95F2E">
        <w:t>31 of Schedule</w:t>
      </w:r>
      <w:r w:rsidR="00D95F2E" w:rsidRPr="00D95F2E">
        <w:t> </w:t>
      </w:r>
      <w:r w:rsidR="00D37495" w:rsidRPr="00D95F2E">
        <w:t>3A</w:t>
      </w:r>
    </w:p>
    <w:p w:rsidR="00D37495" w:rsidRPr="00D95F2E" w:rsidRDefault="00D37495" w:rsidP="00D95F2E">
      <w:pPr>
        <w:pStyle w:val="Item"/>
      </w:pPr>
      <w:r w:rsidRPr="00D95F2E">
        <w:t>Repeal the clause.</w:t>
      </w:r>
    </w:p>
    <w:p w:rsidR="00D37495" w:rsidRPr="00D95F2E" w:rsidRDefault="009676EE" w:rsidP="00D95F2E">
      <w:pPr>
        <w:pStyle w:val="ItemHead"/>
      </w:pPr>
      <w:r w:rsidRPr="00D95F2E">
        <w:t>16</w:t>
      </w:r>
      <w:r w:rsidR="00D37495" w:rsidRPr="00D95F2E">
        <w:t xml:space="preserve">  Paragraph 34(a) of Schedule</w:t>
      </w:r>
      <w:r w:rsidR="00D95F2E" w:rsidRPr="00D95F2E">
        <w:t> </w:t>
      </w:r>
      <w:r w:rsidR="00D37495" w:rsidRPr="00D95F2E">
        <w:t>3A</w:t>
      </w:r>
    </w:p>
    <w:p w:rsidR="00D37495" w:rsidRPr="00D95F2E" w:rsidRDefault="00D37495" w:rsidP="00D95F2E">
      <w:pPr>
        <w:pStyle w:val="Item"/>
      </w:pPr>
      <w:r w:rsidRPr="00D95F2E">
        <w:t>Repeal the paragraph.</w:t>
      </w:r>
    </w:p>
    <w:p w:rsidR="00D37495" w:rsidRPr="00D95F2E" w:rsidRDefault="009676EE" w:rsidP="00D95F2E">
      <w:pPr>
        <w:pStyle w:val="ItemHead"/>
      </w:pPr>
      <w:r w:rsidRPr="00D95F2E">
        <w:t>17</w:t>
      </w:r>
      <w:r w:rsidR="00D37495" w:rsidRPr="00D95F2E">
        <w:t xml:space="preserve">  Clause</w:t>
      </w:r>
      <w:r w:rsidR="00D95F2E" w:rsidRPr="00D95F2E">
        <w:t> </w:t>
      </w:r>
      <w:r w:rsidR="00D37495" w:rsidRPr="00D95F2E">
        <w:t>49 of Schedule</w:t>
      </w:r>
      <w:r w:rsidR="00D95F2E" w:rsidRPr="00D95F2E">
        <w:t> </w:t>
      </w:r>
      <w:r w:rsidR="00D37495" w:rsidRPr="00D95F2E">
        <w:t>3A</w:t>
      </w:r>
    </w:p>
    <w:p w:rsidR="00D37495" w:rsidRPr="00D95F2E" w:rsidRDefault="00D37495" w:rsidP="00D95F2E">
      <w:pPr>
        <w:pStyle w:val="Item"/>
      </w:pPr>
      <w:r w:rsidRPr="00D95F2E">
        <w:t>Repeal the clause.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12" w:name="_Toc27564153"/>
      <w:r w:rsidRPr="00D95F2E">
        <w:t>Telecommunications (Consumer Protection and Service Standards) Act 1999</w:t>
      </w:r>
      <w:bookmarkEnd w:id="12"/>
    </w:p>
    <w:p w:rsidR="00D37495" w:rsidRPr="00D95F2E" w:rsidRDefault="009676EE" w:rsidP="00D95F2E">
      <w:pPr>
        <w:pStyle w:val="ItemHead"/>
      </w:pPr>
      <w:r w:rsidRPr="00D95F2E">
        <w:t>18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 xml:space="preserve">5(2) (definition of </w:t>
      </w:r>
      <w:r w:rsidR="00D37495" w:rsidRPr="00D95F2E">
        <w:rPr>
          <w:i/>
        </w:rPr>
        <w:t>VOIP service</w:t>
      </w:r>
      <w:r w:rsidR="00D37495" w:rsidRPr="00D95F2E">
        <w:t>)</w:t>
      </w:r>
    </w:p>
    <w:p w:rsidR="00D37495" w:rsidRPr="00D95F2E" w:rsidRDefault="00D37495" w:rsidP="00D95F2E">
      <w:pPr>
        <w:pStyle w:val="Item"/>
      </w:pPr>
      <w:r w:rsidRPr="00D95F2E">
        <w:t>Repeal the definition.</w:t>
      </w:r>
    </w:p>
    <w:p w:rsidR="00D37495" w:rsidRPr="00D95F2E" w:rsidRDefault="009676EE" w:rsidP="00D95F2E">
      <w:pPr>
        <w:pStyle w:val="ItemHead"/>
      </w:pPr>
      <w:r w:rsidRPr="00D95F2E">
        <w:t>19</w:t>
      </w:r>
      <w:r w:rsidR="00D37495" w:rsidRPr="00D95F2E">
        <w:t xml:space="preserve">  Section</w:t>
      </w:r>
      <w:r w:rsidR="00D95F2E" w:rsidRPr="00D95F2E">
        <w:t> </w:t>
      </w:r>
      <w:r w:rsidR="00D37495" w:rsidRPr="00D95F2E">
        <w:t>12D</w:t>
      </w:r>
    </w:p>
    <w:p w:rsidR="00D37495" w:rsidRPr="00D95F2E" w:rsidRDefault="00D37495" w:rsidP="00D95F2E">
      <w:pPr>
        <w:pStyle w:val="Item"/>
      </w:pPr>
      <w:r w:rsidRPr="00D95F2E">
        <w:t>Before “Until”, insert “(1)”.</w:t>
      </w:r>
    </w:p>
    <w:p w:rsidR="00D37495" w:rsidRPr="00D95F2E" w:rsidRDefault="009676EE" w:rsidP="00D95F2E">
      <w:pPr>
        <w:pStyle w:val="ItemHead"/>
      </w:pPr>
      <w:r w:rsidRPr="00D95F2E">
        <w:t>20</w:t>
      </w:r>
      <w:r w:rsidR="00D37495" w:rsidRPr="00D95F2E">
        <w:t xml:space="preserve">  At the end of section</w:t>
      </w:r>
      <w:r w:rsidR="00D95F2E" w:rsidRPr="00D95F2E">
        <w:t> </w:t>
      </w:r>
      <w:r w:rsidR="00D37495" w:rsidRPr="00D95F2E">
        <w:t>12D</w:t>
      </w:r>
    </w:p>
    <w:p w:rsidR="00D37495" w:rsidRPr="00D95F2E" w:rsidRDefault="00D37495" w:rsidP="00D95F2E">
      <w:pPr>
        <w:pStyle w:val="Item"/>
      </w:pPr>
      <w:r w:rsidRPr="00D95F2E">
        <w:t>Add: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>Despite subsection</w:t>
      </w:r>
      <w:r w:rsidR="00D95F2E" w:rsidRPr="00D95F2E">
        <w:t> </w:t>
      </w:r>
      <w:r w:rsidRPr="00D95F2E">
        <w:t>12A(6), the determination that the Minister is taken to have made is not a legislative instrument.</w:t>
      </w:r>
    </w:p>
    <w:p w:rsidR="001C4A6E" w:rsidRPr="00D95F2E" w:rsidRDefault="001C4A6E" w:rsidP="00D95F2E">
      <w:pPr>
        <w:pStyle w:val="ActHead6"/>
        <w:pageBreakBefore/>
      </w:pPr>
      <w:bookmarkStart w:id="13" w:name="_Toc27564154"/>
      <w:r w:rsidRPr="00D95F2E">
        <w:rPr>
          <w:rStyle w:val="CharAmSchNo"/>
        </w:rPr>
        <w:lastRenderedPageBreak/>
        <w:t>Schedule</w:t>
      </w:r>
      <w:r w:rsidR="00D95F2E" w:rsidRPr="00D95F2E">
        <w:rPr>
          <w:rStyle w:val="CharAmSchNo"/>
        </w:rPr>
        <w:t> </w:t>
      </w:r>
      <w:r w:rsidRPr="00D95F2E">
        <w:rPr>
          <w:rStyle w:val="CharAmSchNo"/>
        </w:rPr>
        <w:t>2</w:t>
      </w:r>
      <w:r w:rsidRPr="00D95F2E">
        <w:t>—</w:t>
      </w:r>
      <w:r w:rsidR="00C65FFD" w:rsidRPr="00D95F2E">
        <w:rPr>
          <w:rStyle w:val="CharAmSchText"/>
        </w:rPr>
        <w:t>Broadcasting licensee support payments</w:t>
      </w:r>
      <w:bookmarkEnd w:id="13"/>
    </w:p>
    <w:p w:rsidR="00BE63E5" w:rsidRPr="00D95F2E" w:rsidRDefault="00BE63E5" w:rsidP="00D95F2E">
      <w:pPr>
        <w:pStyle w:val="ActHead7"/>
      </w:pPr>
      <w:bookmarkStart w:id="14" w:name="_Toc27564155"/>
      <w:r w:rsidRPr="00D95F2E">
        <w:rPr>
          <w:rStyle w:val="CharAmPartNo"/>
        </w:rPr>
        <w:t>Part</w:t>
      </w:r>
      <w:r w:rsidR="00D95F2E" w:rsidRPr="00D95F2E">
        <w:rPr>
          <w:rStyle w:val="CharAmPartNo"/>
        </w:rPr>
        <w:t> </w:t>
      </w:r>
      <w:r w:rsidRPr="00D95F2E">
        <w:rPr>
          <w:rStyle w:val="CharAmPartNo"/>
        </w:rPr>
        <w:t>1</w:t>
      </w:r>
      <w:r w:rsidRPr="00D95F2E">
        <w:t>—</w:t>
      </w:r>
      <w:r w:rsidRPr="00D95F2E">
        <w:rPr>
          <w:rStyle w:val="CharAmPartText"/>
        </w:rPr>
        <w:t>Amendments</w:t>
      </w:r>
      <w:bookmarkEnd w:id="14"/>
    </w:p>
    <w:p w:rsidR="001C4A6E" w:rsidRPr="00D95F2E" w:rsidRDefault="00C65FFD" w:rsidP="00D95F2E">
      <w:pPr>
        <w:pStyle w:val="ActHead9"/>
        <w:rPr>
          <w:i w:val="0"/>
        </w:rPr>
      </w:pPr>
      <w:bookmarkStart w:id="15" w:name="_Toc27564156"/>
      <w:r w:rsidRPr="00D95F2E">
        <w:t>Broadcasting Legislation Amendment (Broadcasting Reform)</w:t>
      </w:r>
      <w:r w:rsidR="004A466F" w:rsidRPr="00D95F2E">
        <w:t xml:space="preserve"> Act</w:t>
      </w:r>
      <w:r w:rsidRPr="00D95F2E">
        <w:t xml:space="preserve"> 2017</w:t>
      </w:r>
      <w:bookmarkEnd w:id="15"/>
    </w:p>
    <w:p w:rsidR="004A466F" w:rsidRPr="00D95F2E" w:rsidRDefault="004A466F" w:rsidP="00D95F2E">
      <w:pPr>
        <w:pStyle w:val="ItemHead"/>
      </w:pPr>
      <w:r w:rsidRPr="00D95F2E">
        <w:t xml:space="preserve">1  </w:t>
      </w:r>
      <w:r w:rsidR="00C65FFD" w:rsidRPr="00D95F2E">
        <w:t>Item</w:t>
      </w:r>
      <w:r w:rsidR="00D95F2E" w:rsidRPr="00D95F2E">
        <w:t> </w:t>
      </w:r>
      <w:r w:rsidR="00C65FFD" w:rsidRPr="00D95F2E">
        <w:t>40 of Schedule</w:t>
      </w:r>
      <w:r w:rsidR="00D95F2E" w:rsidRPr="00D95F2E">
        <w:t> </w:t>
      </w:r>
      <w:r w:rsidR="00C65FFD" w:rsidRPr="00D95F2E">
        <w:t>6 (table item</w:t>
      </w:r>
      <w:r w:rsidR="00D95F2E" w:rsidRPr="00D95F2E">
        <w:t> </w:t>
      </w:r>
      <w:r w:rsidR="00C65FFD" w:rsidRPr="00D95F2E">
        <w:t>3, column headed “Amount ($)”)</w:t>
      </w:r>
    </w:p>
    <w:p w:rsidR="00C65FFD" w:rsidRPr="00D95F2E" w:rsidRDefault="00C65FFD" w:rsidP="00D95F2E">
      <w:pPr>
        <w:pStyle w:val="Item"/>
      </w:pPr>
      <w:r w:rsidRPr="00D95F2E">
        <w:t>Omit “632,000”, substitute “819,000”.</w:t>
      </w:r>
    </w:p>
    <w:p w:rsidR="00BE63E5" w:rsidRPr="00D95F2E" w:rsidRDefault="00BE63E5" w:rsidP="00D95F2E">
      <w:pPr>
        <w:pStyle w:val="ActHead7"/>
        <w:pageBreakBefore/>
      </w:pPr>
      <w:bookmarkStart w:id="16" w:name="_Toc27564157"/>
      <w:r w:rsidRPr="00D95F2E">
        <w:rPr>
          <w:rStyle w:val="CharAmPartNo"/>
        </w:rPr>
        <w:lastRenderedPageBreak/>
        <w:t>Part</w:t>
      </w:r>
      <w:r w:rsidR="00D95F2E" w:rsidRPr="00D95F2E">
        <w:rPr>
          <w:rStyle w:val="CharAmPartNo"/>
        </w:rPr>
        <w:t> </w:t>
      </w:r>
      <w:r w:rsidRPr="00D95F2E">
        <w:rPr>
          <w:rStyle w:val="CharAmPartNo"/>
        </w:rPr>
        <w:t>2</w:t>
      </w:r>
      <w:r w:rsidRPr="00D95F2E">
        <w:t>—</w:t>
      </w:r>
      <w:r w:rsidRPr="00D95F2E">
        <w:rPr>
          <w:rStyle w:val="CharAmPartText"/>
        </w:rPr>
        <w:t>Application and transitional provisions</w:t>
      </w:r>
      <w:bookmarkEnd w:id="16"/>
    </w:p>
    <w:p w:rsidR="00BE63E5" w:rsidRPr="00D95F2E" w:rsidRDefault="00BE63E5" w:rsidP="00D95F2E">
      <w:pPr>
        <w:pStyle w:val="Transitional"/>
      </w:pPr>
      <w:r w:rsidRPr="00D95F2E">
        <w:t>2  Definitions</w:t>
      </w:r>
    </w:p>
    <w:p w:rsidR="00BE63E5" w:rsidRPr="00D95F2E" w:rsidRDefault="00BE63E5" w:rsidP="00D95F2E">
      <w:pPr>
        <w:pStyle w:val="Item"/>
      </w:pPr>
      <w:r w:rsidRPr="00D95F2E">
        <w:t>In this Part:</w:t>
      </w:r>
    </w:p>
    <w:p w:rsidR="00451292" w:rsidRPr="00D95F2E" w:rsidRDefault="00451292" w:rsidP="00D95F2E">
      <w:pPr>
        <w:pStyle w:val="Item"/>
      </w:pPr>
      <w:r w:rsidRPr="00D95F2E">
        <w:rPr>
          <w:b/>
          <w:i/>
        </w:rPr>
        <w:t>broadcasting service</w:t>
      </w:r>
      <w:r w:rsidRPr="00D95F2E">
        <w:rPr>
          <w:b/>
        </w:rPr>
        <w:t xml:space="preserve"> </w:t>
      </w:r>
      <w:r w:rsidRPr="00D95F2E">
        <w:t xml:space="preserve">has the same meaning as in the </w:t>
      </w:r>
      <w:r w:rsidRPr="00D95F2E">
        <w:rPr>
          <w:i/>
        </w:rPr>
        <w:t>Broadcasting Services Act 1992</w:t>
      </w:r>
      <w:r w:rsidRPr="00D95F2E">
        <w:t>.</w:t>
      </w:r>
    </w:p>
    <w:p w:rsidR="00246054" w:rsidRPr="00D95F2E" w:rsidRDefault="00246054" w:rsidP="00D95F2E">
      <w:pPr>
        <w:pStyle w:val="Item"/>
      </w:pPr>
      <w:r w:rsidRPr="00D95F2E">
        <w:rPr>
          <w:b/>
          <w:i/>
        </w:rPr>
        <w:t>commencement financial year</w:t>
      </w:r>
      <w:r w:rsidRPr="00D95F2E">
        <w:t xml:space="preserve"> means the financial year during which this Schedule commences.</w:t>
      </w:r>
    </w:p>
    <w:p w:rsidR="00BF7C09" w:rsidRPr="00D95F2E" w:rsidRDefault="00246054" w:rsidP="00D95F2E">
      <w:pPr>
        <w:pStyle w:val="Item"/>
      </w:pPr>
      <w:r w:rsidRPr="00D95F2E">
        <w:rPr>
          <w:b/>
          <w:i/>
        </w:rPr>
        <w:t>commercial television broadcasting licence</w:t>
      </w:r>
      <w:r w:rsidRPr="00D95F2E">
        <w:t xml:space="preserve"> has the same meaning as in the </w:t>
      </w:r>
      <w:r w:rsidRPr="00D95F2E">
        <w:rPr>
          <w:i/>
        </w:rPr>
        <w:t>Broadcasting Services Act 1992</w:t>
      </w:r>
      <w:r w:rsidRPr="00D95F2E">
        <w:t>.</w:t>
      </w:r>
    </w:p>
    <w:p w:rsidR="00BF7C09" w:rsidRPr="00D95F2E" w:rsidRDefault="00BF7C09" w:rsidP="00D95F2E">
      <w:pPr>
        <w:pStyle w:val="Item"/>
      </w:pPr>
      <w:r w:rsidRPr="00D95F2E">
        <w:rPr>
          <w:b/>
          <w:i/>
        </w:rPr>
        <w:t>eligible financial year</w:t>
      </w:r>
      <w:r w:rsidRPr="00D95F2E">
        <w:rPr>
          <w:b/>
        </w:rPr>
        <w:t xml:space="preserve"> </w:t>
      </w:r>
      <w:r w:rsidRPr="00D95F2E">
        <w:t>has the meaning given by item</w:t>
      </w:r>
      <w:r w:rsidR="00D95F2E" w:rsidRPr="00D95F2E">
        <w:t> </w:t>
      </w:r>
      <w:r w:rsidRPr="00D95F2E">
        <w:t>38 of Schedule</w:t>
      </w:r>
      <w:r w:rsidR="00D95F2E" w:rsidRPr="00D95F2E">
        <w:t> </w:t>
      </w:r>
      <w:r w:rsidRPr="00D95F2E">
        <w:t xml:space="preserve">6 to the </w:t>
      </w:r>
      <w:r w:rsidRPr="00D95F2E">
        <w:rPr>
          <w:i/>
        </w:rPr>
        <w:t>Broadcasting Legislation Amendment (Broadcasting Reform) Act 2017</w:t>
      </w:r>
      <w:r w:rsidRPr="00D95F2E">
        <w:t>.</w:t>
      </w:r>
    </w:p>
    <w:p w:rsidR="00246054" w:rsidRPr="00D95F2E" w:rsidRDefault="00451292" w:rsidP="00D95F2E">
      <w:pPr>
        <w:pStyle w:val="Item"/>
      </w:pPr>
      <w:r w:rsidRPr="00D95F2E">
        <w:rPr>
          <w:b/>
          <w:i/>
        </w:rPr>
        <w:t>Secretary</w:t>
      </w:r>
      <w:r w:rsidRPr="00D95F2E">
        <w:t xml:space="preserve"> means the Secretary of the Department.</w:t>
      </w:r>
    </w:p>
    <w:p w:rsidR="00BE08B3" w:rsidRPr="00D95F2E" w:rsidRDefault="00BE63E5" w:rsidP="00D95F2E">
      <w:pPr>
        <w:pStyle w:val="Transitional"/>
      </w:pPr>
      <w:r w:rsidRPr="00D95F2E">
        <w:t>3</w:t>
      </w:r>
      <w:r w:rsidR="00BE08B3" w:rsidRPr="00D95F2E">
        <w:t xml:space="preserve">  Application provision</w:t>
      </w:r>
    </w:p>
    <w:p w:rsidR="004969BD" w:rsidRPr="00D95F2E" w:rsidRDefault="00BE08B3" w:rsidP="00D95F2E">
      <w:pPr>
        <w:pStyle w:val="Item"/>
      </w:pPr>
      <w:r w:rsidRPr="00D95F2E">
        <w:t xml:space="preserve">The amendment </w:t>
      </w:r>
      <w:r w:rsidR="00371A2A" w:rsidRPr="00D95F2E">
        <w:t>made by item</w:t>
      </w:r>
      <w:r w:rsidR="00D95F2E" w:rsidRPr="00D95F2E">
        <w:t> </w:t>
      </w:r>
      <w:r w:rsidR="00371A2A" w:rsidRPr="00D95F2E">
        <w:t xml:space="preserve">1 of this Schedule applies in relation to </w:t>
      </w:r>
      <w:r w:rsidR="004969BD" w:rsidRPr="00D95F2E">
        <w:t xml:space="preserve">each eligible financial year </w:t>
      </w:r>
      <w:r w:rsidR="00BF7C09" w:rsidRPr="00D95F2E">
        <w:t>that begins after the commencement of th</w:t>
      </w:r>
      <w:r w:rsidR="00D54CB0" w:rsidRPr="00D95F2E">
        <w:t>at</w:t>
      </w:r>
      <w:r w:rsidR="00BF7C09" w:rsidRPr="00D95F2E">
        <w:t xml:space="preserve"> item.</w:t>
      </w:r>
    </w:p>
    <w:p w:rsidR="00371A2A" w:rsidRPr="00D95F2E" w:rsidRDefault="00BE63E5" w:rsidP="00D95F2E">
      <w:pPr>
        <w:pStyle w:val="Transitional"/>
      </w:pPr>
      <w:r w:rsidRPr="00D95F2E">
        <w:t>4</w:t>
      </w:r>
      <w:r w:rsidR="00371A2A" w:rsidRPr="00D95F2E">
        <w:t xml:space="preserve">  Supplementary </w:t>
      </w:r>
      <w:r w:rsidR="00272D5B" w:rsidRPr="00D95F2E">
        <w:t xml:space="preserve">transitional </w:t>
      </w:r>
      <w:r w:rsidR="00371A2A" w:rsidRPr="00D95F2E">
        <w:t>support payment</w:t>
      </w:r>
    </w:p>
    <w:p w:rsidR="00451292" w:rsidRPr="00D95F2E" w:rsidRDefault="00451292" w:rsidP="00D95F2E">
      <w:pPr>
        <w:pStyle w:val="Subitem"/>
      </w:pPr>
      <w:r w:rsidRPr="00D95F2E">
        <w:t>(1)</w:t>
      </w:r>
      <w:r w:rsidRPr="00D95F2E">
        <w:tab/>
        <w:t>There is payable by the Commonwealth to Network Investments Pty Ltd (the</w:t>
      </w:r>
      <w:r w:rsidRPr="00D95F2E">
        <w:rPr>
          <w:i/>
        </w:rPr>
        <w:t xml:space="preserve"> </w:t>
      </w:r>
      <w:r w:rsidRPr="00D95F2E">
        <w:rPr>
          <w:b/>
          <w:i/>
        </w:rPr>
        <w:t>company</w:t>
      </w:r>
      <w:r w:rsidRPr="00D95F2E">
        <w:t>) an amount worked out by multiplying $187,0</w:t>
      </w:r>
      <w:r w:rsidR="00F92C24" w:rsidRPr="00D95F2E">
        <w:t>0</w:t>
      </w:r>
      <w:r w:rsidRPr="00D95F2E">
        <w:t>0 by the number of eligible financial years that began before the commencement of this Schedule.</w:t>
      </w:r>
    </w:p>
    <w:p w:rsidR="001D69AF" w:rsidRPr="00D95F2E" w:rsidRDefault="000742E8" w:rsidP="00D95F2E">
      <w:pPr>
        <w:pStyle w:val="Subitem"/>
      </w:pPr>
      <w:r w:rsidRPr="00D95F2E">
        <w:t>(2)</w:t>
      </w:r>
      <w:r w:rsidRPr="00D95F2E">
        <w:tab/>
      </w:r>
      <w:r w:rsidR="00272D5B" w:rsidRPr="00D95F2E">
        <w:t>The payment</w:t>
      </w:r>
      <w:r w:rsidRPr="00D95F2E">
        <w:t xml:space="preserve"> is subject to the condition that, if the company ceases to be the holder of </w:t>
      </w:r>
      <w:r w:rsidR="00246054" w:rsidRPr="00D95F2E">
        <w:t>a commercial television broadcasting licence</w:t>
      </w:r>
      <w:r w:rsidRPr="00D95F2E">
        <w:t xml:space="preserve"> </w:t>
      </w:r>
      <w:r w:rsidR="001D69AF" w:rsidRPr="00D95F2E">
        <w:t xml:space="preserve">at a time </w:t>
      </w:r>
      <w:r w:rsidR="00D66B16" w:rsidRPr="00D95F2E">
        <w:t xml:space="preserve">(the </w:t>
      </w:r>
      <w:r w:rsidR="00D66B16" w:rsidRPr="00D95F2E">
        <w:rPr>
          <w:b/>
          <w:i/>
        </w:rPr>
        <w:t>cessation time</w:t>
      </w:r>
      <w:r w:rsidR="00D66B16" w:rsidRPr="00D95F2E">
        <w:t xml:space="preserve">) </w:t>
      </w:r>
      <w:r w:rsidR="001D69AF" w:rsidRPr="00D95F2E">
        <w:t xml:space="preserve">during the commencement financial year, </w:t>
      </w:r>
      <w:r w:rsidRPr="00D95F2E">
        <w:t>the company will repay to the Commonwealth the amount worked out using the formula</w:t>
      </w:r>
      <w:r w:rsidR="001D69AF" w:rsidRPr="00D95F2E">
        <w:t>:</w:t>
      </w:r>
    </w:p>
    <w:p w:rsidR="00D66B16" w:rsidRPr="00D95F2E" w:rsidRDefault="00D66B16" w:rsidP="00D95F2E">
      <w:pPr>
        <w:pStyle w:val="Item"/>
      </w:pPr>
      <w:r w:rsidRPr="00D95F2E">
        <w:object w:dxaOrig="4200" w:dyaOrig="840">
          <v:shape id="_x0000_i1027" type="#_x0000_t75" style="width:210pt;height:42pt" o:ole="">
            <v:imagedata r:id="rId22" o:title=""/>
          </v:shape>
          <o:OLEObject Type="Embed" ProgID="Equation.DSMT4" ShapeID="_x0000_i1027" DrawAspect="Content" ObjectID="_1638177836" r:id="rId23"/>
        </w:object>
      </w:r>
    </w:p>
    <w:p w:rsidR="00D66B16" w:rsidRPr="00D95F2E" w:rsidRDefault="00D66B16" w:rsidP="00D95F2E">
      <w:pPr>
        <w:pStyle w:val="Item"/>
      </w:pPr>
      <w:r w:rsidRPr="00D95F2E">
        <w:t>where:</w:t>
      </w:r>
    </w:p>
    <w:p w:rsidR="00D66B16" w:rsidRPr="00D95F2E" w:rsidRDefault="00D66B16" w:rsidP="00D95F2E">
      <w:pPr>
        <w:pStyle w:val="Item"/>
      </w:pPr>
      <w:r w:rsidRPr="00D95F2E">
        <w:rPr>
          <w:b/>
          <w:i/>
        </w:rPr>
        <w:lastRenderedPageBreak/>
        <w:t>days in commencement financial year</w:t>
      </w:r>
      <w:r w:rsidRPr="00D95F2E">
        <w:t xml:space="preserve"> means the number of days in the commencement financial year.</w:t>
      </w:r>
    </w:p>
    <w:p w:rsidR="00D66B16" w:rsidRPr="00D95F2E" w:rsidRDefault="00D66B16" w:rsidP="00D95F2E">
      <w:pPr>
        <w:pStyle w:val="Item"/>
      </w:pPr>
      <w:r w:rsidRPr="00D95F2E">
        <w:rPr>
          <w:b/>
          <w:i/>
        </w:rPr>
        <w:t>days in non</w:t>
      </w:r>
      <w:r w:rsidR="001C2C80">
        <w:rPr>
          <w:b/>
          <w:i/>
        </w:rPr>
        <w:noBreakHyphen/>
      </w:r>
      <w:r w:rsidRPr="00D95F2E">
        <w:rPr>
          <w:b/>
          <w:i/>
        </w:rPr>
        <w:t>licence period</w:t>
      </w:r>
      <w:r w:rsidRPr="00D95F2E">
        <w:t xml:space="preserve"> means the number of days in the period:</w:t>
      </w:r>
    </w:p>
    <w:p w:rsidR="00D66B16" w:rsidRPr="00D95F2E" w:rsidRDefault="00D66B16" w:rsidP="00D95F2E">
      <w:pPr>
        <w:pStyle w:val="paragraph"/>
      </w:pPr>
      <w:r w:rsidRPr="00D95F2E">
        <w:tab/>
        <w:t>(a)</w:t>
      </w:r>
      <w:r w:rsidRPr="00D95F2E">
        <w:tab/>
        <w:t>beginning at the start of the day after the cessation time; and</w:t>
      </w:r>
    </w:p>
    <w:p w:rsidR="00D66B16" w:rsidRPr="00D95F2E" w:rsidRDefault="00D66B16" w:rsidP="00D95F2E">
      <w:pPr>
        <w:pStyle w:val="paragraph"/>
      </w:pPr>
      <w:r w:rsidRPr="00D95F2E">
        <w:tab/>
        <w:t>(b)</w:t>
      </w:r>
      <w:r w:rsidRPr="00D95F2E">
        <w:tab/>
        <w:t>ending at the end of the commencement financial year.</w:t>
      </w:r>
    </w:p>
    <w:p w:rsidR="00BE08B3" w:rsidRPr="00D95F2E" w:rsidRDefault="00454CB8" w:rsidP="00D95F2E">
      <w:pPr>
        <w:pStyle w:val="Subitem"/>
      </w:pPr>
      <w:r w:rsidRPr="00D95F2E">
        <w:t>(3)</w:t>
      </w:r>
      <w:r w:rsidRPr="00D95F2E">
        <w:tab/>
      </w:r>
      <w:r w:rsidR="00272D5B" w:rsidRPr="00D95F2E">
        <w:t>The payment</w:t>
      </w:r>
      <w:r w:rsidRPr="00D95F2E">
        <w:t xml:space="preserve"> is subject to the condition that the company will:</w:t>
      </w:r>
    </w:p>
    <w:p w:rsidR="00454CB8" w:rsidRPr="00D95F2E" w:rsidRDefault="00454CB8" w:rsidP="00D95F2E">
      <w:pPr>
        <w:pStyle w:val="paragraph"/>
      </w:pPr>
      <w:r w:rsidRPr="00D95F2E">
        <w:tab/>
        <w:t>(a)</w:t>
      </w:r>
      <w:r w:rsidRPr="00D95F2E">
        <w:tab/>
        <w:t xml:space="preserve">spend the amount of the payment (reduced by </w:t>
      </w:r>
      <w:r w:rsidR="00F6437B" w:rsidRPr="00D95F2E">
        <w:t xml:space="preserve">any </w:t>
      </w:r>
      <w:r w:rsidRPr="00D95F2E">
        <w:t xml:space="preserve">amount payable by the company under </w:t>
      </w:r>
      <w:proofErr w:type="spellStart"/>
      <w:r w:rsidR="00D95F2E" w:rsidRPr="00D95F2E">
        <w:t>subitem</w:t>
      </w:r>
      <w:proofErr w:type="spellEnd"/>
      <w:r w:rsidR="00D95F2E" w:rsidRPr="00D95F2E">
        <w:t> (</w:t>
      </w:r>
      <w:r w:rsidRPr="00D95F2E">
        <w:t>2)</w:t>
      </w:r>
      <w:r w:rsidR="00F6437B" w:rsidRPr="00D95F2E">
        <w:t>)</w:t>
      </w:r>
      <w:r w:rsidRPr="00D95F2E">
        <w:t xml:space="preserve"> in connection with the provision by the company of broadcasting services</w:t>
      </w:r>
      <w:r w:rsidR="00272D5B" w:rsidRPr="00D95F2E">
        <w:t xml:space="preserve"> </w:t>
      </w:r>
      <w:r w:rsidRPr="00D95F2E">
        <w:t xml:space="preserve">authorised by the </w:t>
      </w:r>
      <w:r w:rsidR="00246054" w:rsidRPr="00D95F2E">
        <w:t>commercial television broadcasting licence</w:t>
      </w:r>
      <w:r w:rsidRPr="00D95F2E">
        <w:t xml:space="preserve"> held by the company; and</w:t>
      </w:r>
    </w:p>
    <w:p w:rsidR="00451292" w:rsidRPr="00D95F2E" w:rsidRDefault="00454CB8" w:rsidP="00D95F2E">
      <w:pPr>
        <w:pStyle w:val="paragraph"/>
      </w:pPr>
      <w:r w:rsidRPr="00D95F2E">
        <w:tab/>
        <w:t>(b)</w:t>
      </w:r>
      <w:r w:rsidRPr="00D95F2E">
        <w:tab/>
        <w:t xml:space="preserve">do so before </w:t>
      </w:r>
      <w:r w:rsidR="00D66B16" w:rsidRPr="00D95F2E">
        <w:t xml:space="preserve">the end of the </w:t>
      </w:r>
      <w:r w:rsidR="00451292" w:rsidRPr="00D95F2E">
        <w:t>financial year following the commencement financial year.</w:t>
      </w:r>
    </w:p>
    <w:p w:rsidR="00454CB8" w:rsidRPr="00D95F2E" w:rsidRDefault="00454CB8" w:rsidP="00D95F2E">
      <w:pPr>
        <w:pStyle w:val="Subitem"/>
      </w:pPr>
      <w:r w:rsidRPr="00D95F2E">
        <w:t>(4)</w:t>
      </w:r>
      <w:r w:rsidRPr="00D95F2E">
        <w:tab/>
      </w:r>
      <w:r w:rsidR="00D66B16" w:rsidRPr="00D95F2E">
        <w:t>The payment</w:t>
      </w:r>
      <w:r w:rsidRPr="00D95F2E">
        <w:t xml:space="preserve"> is subject to the condition that the company will:</w:t>
      </w:r>
    </w:p>
    <w:p w:rsidR="00454CB8" w:rsidRPr="00D95F2E" w:rsidRDefault="00454CB8" w:rsidP="00D95F2E">
      <w:pPr>
        <w:pStyle w:val="paragraph"/>
      </w:pPr>
      <w:r w:rsidRPr="00D95F2E">
        <w:tab/>
        <w:t>(a)</w:t>
      </w:r>
      <w:r w:rsidRPr="00D95F2E">
        <w:tab/>
        <w:t xml:space="preserve">give the Secretary a written statement declaring that the company has complied with the condition set out in </w:t>
      </w:r>
      <w:proofErr w:type="spellStart"/>
      <w:r w:rsidR="00D95F2E" w:rsidRPr="00D95F2E">
        <w:t>subitem</w:t>
      </w:r>
      <w:proofErr w:type="spellEnd"/>
      <w:r w:rsidR="00D95F2E" w:rsidRPr="00D95F2E">
        <w:t> (</w:t>
      </w:r>
      <w:r w:rsidRPr="00D95F2E">
        <w:t>3); and</w:t>
      </w:r>
    </w:p>
    <w:p w:rsidR="00454CB8" w:rsidRPr="00D95F2E" w:rsidRDefault="00454CB8" w:rsidP="00D95F2E">
      <w:pPr>
        <w:pStyle w:val="paragraph"/>
      </w:pPr>
      <w:r w:rsidRPr="00D95F2E">
        <w:tab/>
        <w:t>(b)</w:t>
      </w:r>
      <w:r w:rsidRPr="00D95F2E">
        <w:tab/>
        <w:t xml:space="preserve">do so no later than </w:t>
      </w:r>
      <w:r w:rsidR="00D66B16" w:rsidRPr="00D95F2E">
        <w:t xml:space="preserve">28 days after the end of the </w:t>
      </w:r>
      <w:r w:rsidR="00451292" w:rsidRPr="00D95F2E">
        <w:t>financial year following the commencement financial year.</w:t>
      </w:r>
    </w:p>
    <w:p w:rsidR="00D66B16" w:rsidRPr="00D95F2E" w:rsidRDefault="00D66B16" w:rsidP="00D95F2E">
      <w:pPr>
        <w:pStyle w:val="Subitem"/>
      </w:pPr>
      <w:r w:rsidRPr="00D95F2E">
        <w:t>(5)</w:t>
      </w:r>
      <w:r w:rsidRPr="00D95F2E">
        <w:tab/>
        <w:t xml:space="preserve">The payment is subject to the condition that, if the company does not fulfil a condition to which the payment is subject under </w:t>
      </w:r>
      <w:proofErr w:type="spellStart"/>
      <w:r w:rsidR="00D95F2E" w:rsidRPr="00D95F2E">
        <w:t>subitem</w:t>
      </w:r>
      <w:proofErr w:type="spellEnd"/>
      <w:r w:rsidR="00D95F2E" w:rsidRPr="00D95F2E">
        <w:t> (</w:t>
      </w:r>
      <w:r w:rsidRPr="00D95F2E">
        <w:t>3) or (4</w:t>
      </w:r>
      <w:r w:rsidR="00451292" w:rsidRPr="00D95F2E">
        <w:t>)</w:t>
      </w:r>
      <w:r w:rsidRPr="00D95F2E">
        <w:t>, the company will, if the Secretary so determines, repay to the Commonwealth the amount specified in the determination.</w:t>
      </w:r>
    </w:p>
    <w:p w:rsidR="00BE63E5" w:rsidRPr="00D95F2E" w:rsidRDefault="00D66B16" w:rsidP="00D95F2E">
      <w:pPr>
        <w:pStyle w:val="Subitem"/>
      </w:pPr>
      <w:r w:rsidRPr="00D95F2E">
        <w:t>(</w:t>
      </w:r>
      <w:r w:rsidR="00BE63E5" w:rsidRPr="00D95F2E">
        <w:t>6</w:t>
      </w:r>
      <w:r w:rsidRPr="00D95F2E">
        <w:t>)</w:t>
      </w:r>
      <w:r w:rsidRPr="00D95F2E">
        <w:tab/>
        <w:t xml:space="preserve">The amount specified in the determination under </w:t>
      </w:r>
      <w:proofErr w:type="spellStart"/>
      <w:r w:rsidR="00D95F2E" w:rsidRPr="00D95F2E">
        <w:t>subitem</w:t>
      </w:r>
      <w:proofErr w:type="spellEnd"/>
      <w:r w:rsidR="00D95F2E" w:rsidRPr="00D95F2E">
        <w:t> (</w:t>
      </w:r>
      <w:r w:rsidR="00BE63E5" w:rsidRPr="00D95F2E">
        <w:t>5</w:t>
      </w:r>
      <w:r w:rsidRPr="00D95F2E">
        <w:t xml:space="preserve">) must not be more than the amount of the payment </w:t>
      </w:r>
      <w:r w:rsidR="00451292" w:rsidRPr="00D95F2E">
        <w:t>(</w:t>
      </w:r>
      <w:r w:rsidRPr="00D95F2E">
        <w:t xml:space="preserve">reduced by any amount payable by the company under </w:t>
      </w:r>
      <w:proofErr w:type="spellStart"/>
      <w:r w:rsidR="00D95F2E" w:rsidRPr="00D95F2E">
        <w:t>subitem</w:t>
      </w:r>
      <w:proofErr w:type="spellEnd"/>
      <w:r w:rsidR="00D95F2E" w:rsidRPr="00D95F2E">
        <w:t> (</w:t>
      </w:r>
      <w:r w:rsidR="00BE63E5" w:rsidRPr="00D95F2E">
        <w:t>2</w:t>
      </w:r>
      <w:r w:rsidRPr="00D95F2E">
        <w:t>)</w:t>
      </w:r>
      <w:r w:rsidR="00451292" w:rsidRPr="00D95F2E">
        <w:t>)</w:t>
      </w:r>
      <w:r w:rsidRPr="00D95F2E">
        <w:t>.</w:t>
      </w:r>
    </w:p>
    <w:p w:rsidR="00D66B16" w:rsidRPr="00D95F2E" w:rsidRDefault="00D66B16" w:rsidP="00D95F2E">
      <w:pPr>
        <w:pStyle w:val="Subitem"/>
      </w:pPr>
      <w:r w:rsidRPr="00D95F2E">
        <w:t>(</w:t>
      </w:r>
      <w:r w:rsidR="00BE63E5" w:rsidRPr="00D95F2E">
        <w:t>7</w:t>
      </w:r>
      <w:r w:rsidRPr="00D95F2E">
        <w:t>)</w:t>
      </w:r>
      <w:r w:rsidRPr="00D95F2E">
        <w:tab/>
        <w:t xml:space="preserve">A determination made under </w:t>
      </w:r>
      <w:proofErr w:type="spellStart"/>
      <w:r w:rsidR="00D95F2E" w:rsidRPr="00D95F2E">
        <w:t>subitem</w:t>
      </w:r>
      <w:proofErr w:type="spellEnd"/>
      <w:r w:rsidR="00D95F2E" w:rsidRPr="00D95F2E">
        <w:t> (</w:t>
      </w:r>
      <w:r w:rsidR="00BE63E5" w:rsidRPr="00D95F2E">
        <w:t>5</w:t>
      </w:r>
      <w:r w:rsidRPr="00D95F2E">
        <w:t>) is not a legislative instrument.</w:t>
      </w:r>
    </w:p>
    <w:p w:rsidR="00D66B16" w:rsidRPr="00D95F2E" w:rsidRDefault="00BE63E5" w:rsidP="00D95F2E">
      <w:pPr>
        <w:pStyle w:val="Subitem"/>
      </w:pPr>
      <w:r w:rsidRPr="00D95F2E">
        <w:t>(8</w:t>
      </w:r>
      <w:r w:rsidR="00D66B16" w:rsidRPr="00D95F2E">
        <w:t>)</w:t>
      </w:r>
      <w:r w:rsidR="00D66B16" w:rsidRPr="00D95F2E">
        <w:tab/>
        <w:t xml:space="preserve">An amount payable by </w:t>
      </w:r>
      <w:r w:rsidR="00451292" w:rsidRPr="00D95F2E">
        <w:t>the</w:t>
      </w:r>
      <w:r w:rsidR="00D66B16" w:rsidRPr="00D95F2E">
        <w:t xml:space="preserve"> company to the Commonwealth under this item:</w:t>
      </w:r>
    </w:p>
    <w:p w:rsidR="00D66B16" w:rsidRPr="00D95F2E" w:rsidRDefault="00D66B16" w:rsidP="00D95F2E">
      <w:pPr>
        <w:pStyle w:val="paragraph"/>
      </w:pPr>
      <w:r w:rsidRPr="00D95F2E">
        <w:tab/>
        <w:t>(a)</w:t>
      </w:r>
      <w:r w:rsidRPr="00D95F2E">
        <w:tab/>
        <w:t>is a debt due to the Commonwealth; and</w:t>
      </w:r>
    </w:p>
    <w:p w:rsidR="00D66B16" w:rsidRPr="00D95F2E" w:rsidRDefault="00D66B16" w:rsidP="00D95F2E">
      <w:pPr>
        <w:pStyle w:val="paragraph"/>
      </w:pPr>
      <w:r w:rsidRPr="00D95F2E">
        <w:tab/>
        <w:t>(b)</w:t>
      </w:r>
      <w:r w:rsidRPr="00D95F2E">
        <w:tab/>
        <w:t>may be recovered by the Secretary, on behalf of the Commonwealth, in:</w:t>
      </w:r>
    </w:p>
    <w:p w:rsidR="00D66B16" w:rsidRPr="00D95F2E" w:rsidRDefault="00D66B16" w:rsidP="00D95F2E">
      <w:pPr>
        <w:pStyle w:val="paragraphsub"/>
      </w:pPr>
      <w:r w:rsidRPr="00D95F2E">
        <w:tab/>
        <w:t>(</w:t>
      </w:r>
      <w:proofErr w:type="spellStart"/>
      <w:r w:rsidRPr="00D95F2E">
        <w:t>i</w:t>
      </w:r>
      <w:proofErr w:type="spellEnd"/>
      <w:r w:rsidRPr="00D95F2E">
        <w:t>)</w:t>
      </w:r>
      <w:r w:rsidRPr="00D95F2E">
        <w:tab/>
        <w:t>the Federal Court of Australia; or</w:t>
      </w:r>
    </w:p>
    <w:p w:rsidR="00D66B16" w:rsidRPr="00D95F2E" w:rsidRDefault="00D66B16" w:rsidP="00D95F2E">
      <w:pPr>
        <w:pStyle w:val="paragraphsub"/>
      </w:pPr>
      <w:r w:rsidRPr="00D95F2E">
        <w:tab/>
        <w:t>(ii)</w:t>
      </w:r>
      <w:r w:rsidRPr="00D95F2E">
        <w:tab/>
        <w:t>the Federal Circuit Court of Australia; or</w:t>
      </w:r>
    </w:p>
    <w:p w:rsidR="00D66B16" w:rsidRPr="00D95F2E" w:rsidRDefault="00D66B16" w:rsidP="00D95F2E">
      <w:pPr>
        <w:pStyle w:val="paragraphsub"/>
      </w:pPr>
      <w:r w:rsidRPr="00D95F2E">
        <w:lastRenderedPageBreak/>
        <w:tab/>
        <w:t>(iii)</w:t>
      </w:r>
      <w:r w:rsidRPr="00D95F2E">
        <w:tab/>
        <w:t>a court of a State or Territory that has jurisdiction in relation to the matter.</w:t>
      </w:r>
    </w:p>
    <w:p w:rsidR="00EF34C3" w:rsidRPr="00D95F2E" w:rsidRDefault="00EF34C3" w:rsidP="00D95F2E">
      <w:pPr>
        <w:pStyle w:val="Transitional"/>
      </w:pPr>
      <w:r w:rsidRPr="00D95F2E">
        <w:t>5  Delegation by the Secretary</w:t>
      </w:r>
    </w:p>
    <w:p w:rsidR="00EF34C3" w:rsidRPr="00D95F2E" w:rsidRDefault="00EF34C3" w:rsidP="00D95F2E">
      <w:pPr>
        <w:pStyle w:val="Subitem"/>
      </w:pPr>
      <w:r w:rsidRPr="00D95F2E">
        <w:t>(1)</w:t>
      </w:r>
      <w:r w:rsidRPr="00D95F2E">
        <w:tab/>
        <w:t xml:space="preserve">The Secretary may, by writing, delegate any or all of </w:t>
      </w:r>
      <w:r w:rsidR="00763B17" w:rsidRPr="00D95F2E">
        <w:t>the Secretary’s</w:t>
      </w:r>
      <w:r w:rsidRPr="00D95F2E">
        <w:t xml:space="preserve"> powers under this Part to an SES employee, or acting SES employee, in the Department.</w:t>
      </w:r>
    </w:p>
    <w:p w:rsidR="00EF34C3" w:rsidRPr="00D95F2E" w:rsidRDefault="00EF34C3" w:rsidP="00D95F2E">
      <w:pPr>
        <w:pStyle w:val="notemargin"/>
      </w:pPr>
      <w:r w:rsidRPr="00D95F2E">
        <w:t>Note:</w:t>
      </w:r>
      <w:r w:rsidRPr="00D95F2E">
        <w:tab/>
        <w:t xml:space="preserve">The expressions </w:t>
      </w:r>
      <w:r w:rsidRPr="00D95F2E">
        <w:rPr>
          <w:b/>
          <w:i/>
        </w:rPr>
        <w:t>SES employee</w:t>
      </w:r>
      <w:r w:rsidRPr="00D95F2E">
        <w:t xml:space="preserve"> and </w:t>
      </w:r>
      <w:r w:rsidRPr="00D95F2E">
        <w:rPr>
          <w:b/>
          <w:i/>
        </w:rPr>
        <w:t>acting SES employee</w:t>
      </w:r>
      <w:r w:rsidRPr="00D95F2E">
        <w:t xml:space="preserve"> are defined in section</w:t>
      </w:r>
      <w:r w:rsidR="00D95F2E" w:rsidRPr="00D95F2E">
        <w:t> </w:t>
      </w:r>
      <w:r w:rsidRPr="00D95F2E">
        <w:t xml:space="preserve">2B of the </w:t>
      </w:r>
      <w:r w:rsidRPr="00D95F2E">
        <w:rPr>
          <w:i/>
        </w:rPr>
        <w:t>Acts Interpretation Act 1901</w:t>
      </w:r>
      <w:r w:rsidRPr="00D95F2E">
        <w:t>.</w:t>
      </w:r>
    </w:p>
    <w:p w:rsidR="00934C16" w:rsidRPr="00D95F2E" w:rsidRDefault="00EF34C3" w:rsidP="00D95F2E">
      <w:pPr>
        <w:pStyle w:val="Subitem"/>
      </w:pPr>
      <w:r w:rsidRPr="00D95F2E">
        <w:t>(2)</w:t>
      </w:r>
      <w:r w:rsidRPr="00D95F2E">
        <w:tab/>
        <w:t xml:space="preserve">In exercising powers under a delegation under </w:t>
      </w:r>
      <w:proofErr w:type="spellStart"/>
      <w:r w:rsidR="00D95F2E" w:rsidRPr="00D95F2E">
        <w:t>subitem</w:t>
      </w:r>
      <w:proofErr w:type="spellEnd"/>
      <w:r w:rsidR="00D95F2E" w:rsidRPr="00D95F2E">
        <w:t> (</w:t>
      </w:r>
      <w:r w:rsidRPr="00D95F2E">
        <w:t>1), the delegate must comply with a</w:t>
      </w:r>
      <w:r w:rsidR="003F735F" w:rsidRPr="00D95F2E">
        <w:t>ny directions of the Secretary.</w:t>
      </w:r>
    </w:p>
    <w:p w:rsidR="00D37495" w:rsidRPr="00D95F2E" w:rsidRDefault="00D37495" w:rsidP="00D95F2E">
      <w:pPr>
        <w:pStyle w:val="ActHead6"/>
        <w:pageBreakBefore/>
      </w:pPr>
      <w:bookmarkStart w:id="17" w:name="_Toc27564158"/>
      <w:r w:rsidRPr="00D95F2E">
        <w:rPr>
          <w:rStyle w:val="CharAmSchNo"/>
        </w:rPr>
        <w:lastRenderedPageBreak/>
        <w:t>Schedule</w:t>
      </w:r>
      <w:r w:rsidR="00D95F2E" w:rsidRPr="00D95F2E">
        <w:rPr>
          <w:rStyle w:val="CharAmSchNo"/>
        </w:rPr>
        <w:t> </w:t>
      </w:r>
      <w:r w:rsidRPr="00D95F2E">
        <w:rPr>
          <w:rStyle w:val="CharAmSchNo"/>
        </w:rPr>
        <w:t>3</w:t>
      </w:r>
      <w:r w:rsidRPr="00D95F2E">
        <w:t>—</w:t>
      </w:r>
      <w:r w:rsidRPr="00D95F2E">
        <w:rPr>
          <w:rStyle w:val="CharAmSchText"/>
        </w:rPr>
        <w:t>Monitoring of the telecommunications industry</w:t>
      </w:r>
      <w:bookmarkEnd w:id="17"/>
    </w:p>
    <w:p w:rsidR="00CF240F" w:rsidRPr="00D95F2E" w:rsidRDefault="00CF240F" w:rsidP="00D95F2E">
      <w:pPr>
        <w:pStyle w:val="Header"/>
      </w:pPr>
      <w:r w:rsidRPr="00D95F2E">
        <w:rPr>
          <w:rStyle w:val="CharAmPartNo"/>
        </w:rPr>
        <w:t xml:space="preserve"> </w:t>
      </w:r>
      <w:r w:rsidRPr="00D95F2E">
        <w:rPr>
          <w:rStyle w:val="CharAmPartText"/>
        </w:rPr>
        <w:t xml:space="preserve"> 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18" w:name="_Toc27564159"/>
      <w:r w:rsidRPr="00D95F2E">
        <w:t>Competition and Consumer Act 2010</w:t>
      </w:r>
      <w:bookmarkEnd w:id="18"/>
    </w:p>
    <w:p w:rsidR="009F7918" w:rsidRPr="00D95F2E" w:rsidRDefault="000E333F" w:rsidP="00D95F2E">
      <w:pPr>
        <w:pStyle w:val="ItemHead"/>
      </w:pPr>
      <w:r w:rsidRPr="00D95F2E">
        <w:t>1</w:t>
      </w:r>
      <w:r w:rsidR="009F7918" w:rsidRPr="00D95F2E">
        <w:t xml:space="preserve">  Section</w:t>
      </w:r>
      <w:r w:rsidR="00D95F2E" w:rsidRPr="00D95F2E">
        <w:t> </w:t>
      </w:r>
      <w:r w:rsidR="009F7918" w:rsidRPr="00D95F2E">
        <w:t>151AA</w:t>
      </w:r>
    </w:p>
    <w:p w:rsidR="009F7918" w:rsidRPr="00D95F2E" w:rsidRDefault="009F7918" w:rsidP="00D95F2E">
      <w:pPr>
        <w:pStyle w:val="Item"/>
      </w:pPr>
      <w:r w:rsidRPr="00D95F2E">
        <w:t>Omit:</w:t>
      </w:r>
    </w:p>
    <w:p w:rsidR="009F7918" w:rsidRPr="00D95F2E" w:rsidRDefault="009F7918" w:rsidP="00D95F2E">
      <w:pPr>
        <w:pStyle w:val="SOBullet"/>
      </w:pPr>
      <w:r w:rsidRPr="00D95F2E">
        <w:t>•</w:t>
      </w:r>
      <w:r w:rsidRPr="00D95F2E">
        <w:tab/>
        <w:t xml:space="preserve">Carriers and carriage service providers may be directed to file tariff information with the Commission. The direction is called a </w:t>
      </w:r>
      <w:r w:rsidRPr="00D95F2E">
        <w:rPr>
          <w:b/>
          <w:i/>
        </w:rPr>
        <w:t>tariff filing direction</w:t>
      </w:r>
      <w:r w:rsidRPr="00D95F2E">
        <w:t>.</w:t>
      </w:r>
    </w:p>
    <w:p w:rsidR="00D37495" w:rsidRPr="00D95F2E" w:rsidRDefault="000E333F" w:rsidP="00D95F2E">
      <w:pPr>
        <w:pStyle w:val="ItemHead"/>
      </w:pPr>
      <w:r w:rsidRPr="00D95F2E">
        <w:t>2</w:t>
      </w:r>
      <w:r w:rsidR="00D37495" w:rsidRPr="00D95F2E">
        <w:t xml:space="preserve">  Section</w:t>
      </w:r>
      <w:r w:rsidR="00D95F2E" w:rsidRPr="00D95F2E">
        <w:t> </w:t>
      </w:r>
      <w:r w:rsidR="00D37495" w:rsidRPr="00D95F2E">
        <w:t xml:space="preserve">151AB (definition of </w:t>
      </w:r>
      <w:r w:rsidR="00D37495" w:rsidRPr="00D95F2E">
        <w:rPr>
          <w:i/>
        </w:rPr>
        <w:t>tariff filing direction</w:t>
      </w:r>
      <w:r w:rsidR="00D37495" w:rsidRPr="00D95F2E">
        <w:t>)</w:t>
      </w:r>
    </w:p>
    <w:p w:rsidR="00D37495" w:rsidRPr="00D95F2E" w:rsidRDefault="00D37495" w:rsidP="00D95F2E">
      <w:pPr>
        <w:pStyle w:val="Item"/>
      </w:pPr>
      <w:r w:rsidRPr="00D95F2E">
        <w:t>Repeal the definition.</w:t>
      </w:r>
    </w:p>
    <w:p w:rsidR="00D37495" w:rsidRPr="00D95F2E" w:rsidRDefault="000E333F" w:rsidP="00D95F2E">
      <w:pPr>
        <w:pStyle w:val="ItemHead"/>
      </w:pPr>
      <w:r w:rsidRPr="00D95F2E">
        <w:t>3</w:t>
      </w:r>
      <w:r w:rsidR="00D37495" w:rsidRPr="00D95F2E">
        <w:t xml:space="preserve">  Divisions</w:t>
      </w:r>
      <w:r w:rsidR="00D95F2E" w:rsidRPr="00D95F2E">
        <w:t> </w:t>
      </w:r>
      <w:r w:rsidR="00D37495" w:rsidRPr="00D95F2E">
        <w:t>4 and 5 of Part</w:t>
      </w:r>
      <w:r w:rsidR="00D95F2E" w:rsidRPr="00D95F2E">
        <w:t> </w:t>
      </w:r>
      <w:proofErr w:type="spellStart"/>
      <w:r w:rsidR="00D37495" w:rsidRPr="00D95F2E">
        <w:t>XIB</w:t>
      </w:r>
      <w:proofErr w:type="spellEnd"/>
    </w:p>
    <w:p w:rsidR="00D37495" w:rsidRPr="00D95F2E" w:rsidRDefault="00D37495" w:rsidP="00D95F2E">
      <w:pPr>
        <w:pStyle w:val="Item"/>
      </w:pPr>
      <w:r w:rsidRPr="00D95F2E">
        <w:t>Repeal the Divisions.</w:t>
      </w:r>
    </w:p>
    <w:p w:rsidR="00D37495" w:rsidRPr="00D95F2E" w:rsidRDefault="000E333F" w:rsidP="00D95F2E">
      <w:pPr>
        <w:pStyle w:val="ItemHead"/>
      </w:pPr>
      <w:r w:rsidRPr="00D95F2E">
        <w:t>4</w:t>
      </w:r>
      <w:r w:rsidR="00D37495" w:rsidRPr="00D95F2E">
        <w:t xml:space="preserve">  Paragraph 151BU(4)(b)</w:t>
      </w:r>
    </w:p>
    <w:p w:rsidR="00D37495" w:rsidRPr="00D95F2E" w:rsidRDefault="00D37495" w:rsidP="00D95F2E">
      <w:pPr>
        <w:pStyle w:val="Item"/>
      </w:pPr>
      <w:r w:rsidRPr="00D95F2E">
        <w:t>Repeal the paragraph.</w:t>
      </w:r>
    </w:p>
    <w:p w:rsidR="00D37495" w:rsidRPr="00D95F2E" w:rsidRDefault="000E333F" w:rsidP="00D95F2E">
      <w:pPr>
        <w:pStyle w:val="ItemHead"/>
      </w:pPr>
      <w:r w:rsidRPr="00D95F2E">
        <w:t>5</w:t>
      </w:r>
      <w:r w:rsidR="00D37495" w:rsidRPr="00D95F2E">
        <w:t xml:space="preserve">  After subsection</w:t>
      </w:r>
      <w:r w:rsidR="00D95F2E" w:rsidRPr="00D95F2E">
        <w:t> </w:t>
      </w:r>
      <w:r w:rsidR="00D37495" w:rsidRPr="00D95F2E">
        <w:t>151BU(4)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subsection"/>
      </w:pPr>
      <w:r w:rsidRPr="00D95F2E">
        <w:tab/>
        <w:t>(4A)</w:t>
      </w:r>
      <w:r w:rsidRPr="00D95F2E">
        <w:tab/>
        <w:t>The Commission must review any rules for keeping or retaining records containing information relevant to the operation of Division</w:t>
      </w:r>
      <w:r w:rsidR="00D95F2E" w:rsidRPr="00D95F2E">
        <w:t> </w:t>
      </w:r>
      <w:r w:rsidRPr="00D95F2E">
        <w:t>12 of this Part at least once in each of the following periods: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the period of 1 year after the commencement of this subsection;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>the period of 5 years after the completion of the previous review.</w:t>
      </w:r>
    </w:p>
    <w:p w:rsidR="00D37495" w:rsidRPr="00D95F2E" w:rsidRDefault="00D37495" w:rsidP="00D95F2E">
      <w:pPr>
        <w:pStyle w:val="subsection"/>
      </w:pPr>
      <w:r w:rsidRPr="00D95F2E">
        <w:tab/>
        <w:t>(4B)</w:t>
      </w:r>
      <w:r w:rsidRPr="00D95F2E">
        <w:tab/>
        <w:t xml:space="preserve">In reviewing rules under </w:t>
      </w:r>
      <w:r w:rsidR="00D95F2E" w:rsidRPr="00D95F2E">
        <w:t>subsection (</w:t>
      </w:r>
      <w:r w:rsidRPr="00D95F2E">
        <w:t>4A), the Commission must have regard to: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whether the information is publically available; and</w:t>
      </w:r>
    </w:p>
    <w:p w:rsidR="00D37495" w:rsidRPr="00D95F2E" w:rsidRDefault="00D37495" w:rsidP="00D95F2E">
      <w:pPr>
        <w:pStyle w:val="paragraph"/>
      </w:pPr>
      <w:r w:rsidRPr="00D95F2E">
        <w:lastRenderedPageBreak/>
        <w:tab/>
        <w:t>(b)</w:t>
      </w:r>
      <w:r w:rsidRPr="00D95F2E">
        <w:tab/>
        <w:t>whether consumer demand for the goods and services to which the information relates has changed; and</w:t>
      </w:r>
    </w:p>
    <w:p w:rsidR="00D37495" w:rsidRPr="00D95F2E" w:rsidRDefault="00D37495" w:rsidP="00D95F2E">
      <w:pPr>
        <w:pStyle w:val="paragraph"/>
      </w:pPr>
      <w:r w:rsidRPr="00D95F2E">
        <w:tab/>
        <w:t>(c)</w:t>
      </w:r>
      <w:r w:rsidRPr="00D95F2E">
        <w:tab/>
        <w:t>the usefulness of the information to consumers, industry, the Minister and Parliament.</w:t>
      </w:r>
    </w:p>
    <w:p w:rsidR="009F7918" w:rsidRPr="00D95F2E" w:rsidRDefault="000E333F" w:rsidP="00D95F2E">
      <w:pPr>
        <w:pStyle w:val="ItemHead"/>
      </w:pPr>
      <w:r w:rsidRPr="00D95F2E">
        <w:t>6</w:t>
      </w:r>
      <w:r w:rsidR="009F7918" w:rsidRPr="00D95F2E">
        <w:t xml:space="preserve">  Division</w:t>
      </w:r>
      <w:r w:rsidR="00D95F2E" w:rsidRPr="00D95F2E">
        <w:t> </w:t>
      </w:r>
      <w:r w:rsidR="009F7918" w:rsidRPr="00D95F2E">
        <w:t>7 of Part</w:t>
      </w:r>
      <w:r w:rsidR="00D95F2E" w:rsidRPr="00D95F2E">
        <w:t> </w:t>
      </w:r>
      <w:proofErr w:type="spellStart"/>
      <w:r w:rsidR="009F7918" w:rsidRPr="00D95F2E">
        <w:t>XIB</w:t>
      </w:r>
      <w:proofErr w:type="spellEnd"/>
      <w:r w:rsidR="009F7918" w:rsidRPr="00D95F2E">
        <w:t xml:space="preserve"> (heading)</w:t>
      </w:r>
    </w:p>
    <w:p w:rsidR="009F7918" w:rsidRPr="00D95F2E" w:rsidRDefault="009F7918" w:rsidP="00D95F2E">
      <w:pPr>
        <w:pStyle w:val="Item"/>
      </w:pPr>
      <w:r w:rsidRPr="00D95F2E">
        <w:t>Repeal the heading, substitute:</w:t>
      </w:r>
    </w:p>
    <w:p w:rsidR="009F7918" w:rsidRPr="00D95F2E" w:rsidRDefault="009F7918" w:rsidP="00D95F2E">
      <w:pPr>
        <w:pStyle w:val="ActHead3"/>
      </w:pPr>
      <w:bookmarkStart w:id="19" w:name="_Toc27564160"/>
      <w:r w:rsidRPr="00D95F2E">
        <w:rPr>
          <w:rStyle w:val="CharDivNo"/>
        </w:rPr>
        <w:t>Division</w:t>
      </w:r>
      <w:r w:rsidR="00D95F2E" w:rsidRPr="00D95F2E">
        <w:rPr>
          <w:rStyle w:val="CharDivNo"/>
        </w:rPr>
        <w:t> </w:t>
      </w:r>
      <w:r w:rsidRPr="00D95F2E">
        <w:rPr>
          <w:rStyle w:val="CharDivNo"/>
        </w:rPr>
        <w:t>7</w:t>
      </w:r>
      <w:r w:rsidRPr="00D95F2E">
        <w:t>—</w:t>
      </w:r>
      <w:r w:rsidRPr="00D95F2E">
        <w:rPr>
          <w:rStyle w:val="CharDivText"/>
        </w:rPr>
        <w:t>Enforcement of the competition rule, record</w:t>
      </w:r>
      <w:r w:rsidR="001C2C80">
        <w:rPr>
          <w:rStyle w:val="CharDivText"/>
        </w:rPr>
        <w:noBreakHyphen/>
      </w:r>
      <w:r w:rsidRPr="00D95F2E">
        <w:rPr>
          <w:rStyle w:val="CharDivText"/>
        </w:rPr>
        <w:t>keeping rules and disclosure directions</w:t>
      </w:r>
      <w:bookmarkEnd w:id="19"/>
    </w:p>
    <w:p w:rsidR="009F7918" w:rsidRPr="00D95F2E" w:rsidRDefault="000E333F" w:rsidP="00D95F2E">
      <w:pPr>
        <w:pStyle w:val="ItemHead"/>
      </w:pPr>
      <w:r w:rsidRPr="00D95F2E">
        <w:t>7</w:t>
      </w:r>
      <w:r w:rsidR="009F7918" w:rsidRPr="00D95F2E">
        <w:t xml:space="preserve">  Section</w:t>
      </w:r>
      <w:r w:rsidR="00D95F2E" w:rsidRPr="00D95F2E">
        <w:t> </w:t>
      </w:r>
      <w:r w:rsidR="009F7918" w:rsidRPr="00D95F2E">
        <w:t>151BW (heading)</w:t>
      </w:r>
    </w:p>
    <w:p w:rsidR="009F7918" w:rsidRPr="00D95F2E" w:rsidRDefault="009F7918" w:rsidP="00D95F2E">
      <w:pPr>
        <w:pStyle w:val="Item"/>
      </w:pPr>
      <w:r w:rsidRPr="00D95F2E">
        <w:t>Repeal the heading, substitute:</w:t>
      </w:r>
    </w:p>
    <w:p w:rsidR="009F7918" w:rsidRPr="00D95F2E" w:rsidRDefault="009F7918" w:rsidP="00D95F2E">
      <w:pPr>
        <w:pStyle w:val="ActHead5"/>
      </w:pPr>
      <w:bookmarkStart w:id="20" w:name="_Toc27564161"/>
      <w:r w:rsidRPr="00D95F2E">
        <w:rPr>
          <w:rStyle w:val="CharSectno"/>
        </w:rPr>
        <w:t>151BW</w:t>
      </w:r>
      <w:r w:rsidRPr="00D95F2E">
        <w:t xml:space="preserve">  Person involved in a contravention of the competition rule, a record</w:t>
      </w:r>
      <w:r w:rsidR="001C2C80">
        <w:noBreakHyphen/>
      </w:r>
      <w:r w:rsidRPr="00D95F2E">
        <w:t>keeping rule or a disclosure direction</w:t>
      </w:r>
      <w:bookmarkEnd w:id="20"/>
    </w:p>
    <w:p w:rsidR="00D37495" w:rsidRPr="00D95F2E" w:rsidRDefault="000E333F" w:rsidP="00D95F2E">
      <w:pPr>
        <w:pStyle w:val="ItemHead"/>
      </w:pPr>
      <w:r w:rsidRPr="00D95F2E">
        <w:t>8</w:t>
      </w:r>
      <w:r w:rsidR="00D37495" w:rsidRPr="00D95F2E">
        <w:t xml:space="preserve">  Section</w:t>
      </w:r>
      <w:r w:rsidR="00D95F2E" w:rsidRPr="00D95F2E">
        <w:t> </w:t>
      </w:r>
      <w:r w:rsidR="00D37495" w:rsidRPr="00D95F2E">
        <w:t>151BW</w:t>
      </w:r>
    </w:p>
    <w:p w:rsidR="00D37495" w:rsidRPr="00D95F2E" w:rsidRDefault="00D37495" w:rsidP="00D95F2E">
      <w:pPr>
        <w:pStyle w:val="Item"/>
      </w:pPr>
      <w:r w:rsidRPr="00D95F2E">
        <w:t>Omit “a tariff filing direction,”.</w:t>
      </w:r>
    </w:p>
    <w:p w:rsidR="009F7918" w:rsidRPr="00D95F2E" w:rsidRDefault="000E333F" w:rsidP="00D95F2E">
      <w:pPr>
        <w:pStyle w:val="ItemHead"/>
      </w:pPr>
      <w:r w:rsidRPr="00D95F2E">
        <w:t>9</w:t>
      </w:r>
      <w:r w:rsidR="009F7918" w:rsidRPr="00D95F2E">
        <w:t xml:space="preserve">  Section</w:t>
      </w:r>
      <w:r w:rsidR="00D95F2E" w:rsidRPr="00D95F2E">
        <w:t> </w:t>
      </w:r>
      <w:r w:rsidR="009F7918" w:rsidRPr="00D95F2E">
        <w:t>151BX (heading)</w:t>
      </w:r>
    </w:p>
    <w:p w:rsidR="009F7918" w:rsidRPr="00D95F2E" w:rsidRDefault="009F7918" w:rsidP="00D95F2E">
      <w:pPr>
        <w:pStyle w:val="Item"/>
      </w:pPr>
      <w:r w:rsidRPr="00D95F2E">
        <w:t>Repeal the heading, substitute:</w:t>
      </w:r>
    </w:p>
    <w:p w:rsidR="009F7918" w:rsidRPr="00D95F2E" w:rsidRDefault="009F7918" w:rsidP="00D95F2E">
      <w:pPr>
        <w:pStyle w:val="ActHead5"/>
      </w:pPr>
      <w:bookmarkStart w:id="21" w:name="_Toc27564162"/>
      <w:r w:rsidRPr="00D95F2E">
        <w:rPr>
          <w:rStyle w:val="CharSectno"/>
        </w:rPr>
        <w:t>151BX</w:t>
      </w:r>
      <w:r w:rsidRPr="00D95F2E">
        <w:t xml:space="preserve">  Pecuniary penalties for breach of the competition rule, a record</w:t>
      </w:r>
      <w:r w:rsidR="001C2C80">
        <w:noBreakHyphen/>
      </w:r>
      <w:r w:rsidRPr="00D95F2E">
        <w:t>keeping rule or a disclosure direction</w:t>
      </w:r>
      <w:bookmarkEnd w:id="21"/>
    </w:p>
    <w:p w:rsidR="00D37495" w:rsidRPr="00D95F2E" w:rsidRDefault="000E333F" w:rsidP="00D95F2E">
      <w:pPr>
        <w:pStyle w:val="ItemHead"/>
      </w:pPr>
      <w:r w:rsidRPr="00D95F2E">
        <w:t>10</w:t>
      </w:r>
      <w:r w:rsidR="00D37495" w:rsidRPr="00D95F2E">
        <w:t xml:space="preserve">  Paragraphs 151BX(1)(a), (b) and (c)</w:t>
      </w:r>
    </w:p>
    <w:p w:rsidR="00D37495" w:rsidRPr="00D95F2E" w:rsidRDefault="00D37495" w:rsidP="00D95F2E">
      <w:pPr>
        <w:pStyle w:val="Item"/>
      </w:pPr>
      <w:r w:rsidRPr="00D95F2E">
        <w:t>Omit “a tariff filing direction,”.</w:t>
      </w:r>
    </w:p>
    <w:p w:rsidR="009F7918" w:rsidRPr="00D95F2E" w:rsidRDefault="000E333F" w:rsidP="00D95F2E">
      <w:pPr>
        <w:pStyle w:val="ItemHead"/>
      </w:pPr>
      <w:r w:rsidRPr="00D95F2E">
        <w:t>11</w:t>
      </w:r>
      <w:r w:rsidR="009F7918" w:rsidRPr="00D95F2E">
        <w:t xml:space="preserve">  Paragraph 151BX(3)(b)</w:t>
      </w:r>
    </w:p>
    <w:p w:rsidR="009F7918" w:rsidRPr="00D95F2E" w:rsidRDefault="009F7918" w:rsidP="00D95F2E">
      <w:pPr>
        <w:pStyle w:val="Item"/>
      </w:pPr>
      <w:r w:rsidRPr="00D95F2E">
        <w:t>Repeal the paragraph.</w:t>
      </w:r>
    </w:p>
    <w:p w:rsidR="009F7918" w:rsidRPr="00D95F2E" w:rsidRDefault="000E333F" w:rsidP="00D95F2E">
      <w:pPr>
        <w:pStyle w:val="ItemHead"/>
      </w:pPr>
      <w:r w:rsidRPr="00D95F2E">
        <w:t>12</w:t>
      </w:r>
      <w:r w:rsidR="009F7918" w:rsidRPr="00D95F2E">
        <w:t xml:space="preserve">  Paragraph 151BX(4)(b)</w:t>
      </w:r>
    </w:p>
    <w:p w:rsidR="009F7918" w:rsidRPr="00D95F2E" w:rsidRDefault="009F7918" w:rsidP="00D95F2E">
      <w:pPr>
        <w:pStyle w:val="Item"/>
      </w:pPr>
      <w:r w:rsidRPr="00D95F2E">
        <w:t>Omit “any other case”, substitute “the case of a contravention of the competition rule”.</w:t>
      </w:r>
    </w:p>
    <w:p w:rsidR="00D37495" w:rsidRPr="00D95F2E" w:rsidRDefault="000E333F" w:rsidP="00D95F2E">
      <w:pPr>
        <w:pStyle w:val="ItemHead"/>
      </w:pPr>
      <w:r w:rsidRPr="00D95F2E">
        <w:lastRenderedPageBreak/>
        <w:t>13</w:t>
      </w:r>
      <w:r w:rsidR="00D37495" w:rsidRPr="00D95F2E">
        <w:t xml:space="preserve">  Paragraph 151BX(5)(a)</w:t>
      </w:r>
    </w:p>
    <w:p w:rsidR="00D37495" w:rsidRPr="00D95F2E" w:rsidRDefault="00D37495" w:rsidP="00D95F2E">
      <w:pPr>
        <w:pStyle w:val="Item"/>
      </w:pPr>
      <w:r w:rsidRPr="00D95F2E">
        <w:t>Repeal the paragraph.</w:t>
      </w:r>
    </w:p>
    <w:p w:rsidR="00D37495" w:rsidRPr="00D95F2E" w:rsidRDefault="000E333F" w:rsidP="00D95F2E">
      <w:pPr>
        <w:pStyle w:val="ItemHead"/>
      </w:pPr>
      <w:r w:rsidRPr="00D95F2E">
        <w:t>14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>151BX(5)</w:t>
      </w:r>
    </w:p>
    <w:p w:rsidR="00D37495" w:rsidRPr="00D95F2E" w:rsidRDefault="00D37495" w:rsidP="00D95F2E">
      <w:pPr>
        <w:pStyle w:val="Item"/>
      </w:pPr>
      <w:r w:rsidRPr="00D95F2E">
        <w:t>Omit “tariff filing directions,”.</w:t>
      </w:r>
    </w:p>
    <w:p w:rsidR="00CF240F" w:rsidRPr="00D95F2E" w:rsidRDefault="000E333F" w:rsidP="00D95F2E">
      <w:pPr>
        <w:pStyle w:val="ItemHead"/>
      </w:pPr>
      <w:r w:rsidRPr="00D95F2E">
        <w:t>15</w:t>
      </w:r>
      <w:r w:rsidR="00CF240F" w:rsidRPr="00D95F2E">
        <w:t xml:space="preserve">  Section</w:t>
      </w:r>
      <w:r w:rsidR="00D95F2E" w:rsidRPr="00D95F2E">
        <w:t> </w:t>
      </w:r>
      <w:r w:rsidR="00CF240F" w:rsidRPr="00D95F2E">
        <w:t>151BZ (heading)</w:t>
      </w:r>
    </w:p>
    <w:p w:rsidR="00CF240F" w:rsidRPr="00D95F2E" w:rsidRDefault="00CF240F" w:rsidP="00D95F2E">
      <w:pPr>
        <w:pStyle w:val="Item"/>
      </w:pPr>
      <w:r w:rsidRPr="00D95F2E">
        <w:t>Repeal the heading, substitute:</w:t>
      </w:r>
    </w:p>
    <w:p w:rsidR="00CF240F" w:rsidRPr="00D95F2E" w:rsidRDefault="00CF240F" w:rsidP="00D95F2E">
      <w:pPr>
        <w:pStyle w:val="ActHead5"/>
      </w:pPr>
      <w:bookmarkStart w:id="22" w:name="_Toc27564163"/>
      <w:r w:rsidRPr="00D95F2E">
        <w:rPr>
          <w:rStyle w:val="CharSectno"/>
        </w:rPr>
        <w:t>151BZ</w:t>
      </w:r>
      <w:r w:rsidRPr="00D95F2E">
        <w:t xml:space="preserve">  Criminal proceedings not to be brought for contraventions of the competition rule, record</w:t>
      </w:r>
      <w:r w:rsidR="001C2C80">
        <w:noBreakHyphen/>
      </w:r>
      <w:r w:rsidRPr="00D95F2E">
        <w:t>keeping rules or disclosure directions</w:t>
      </w:r>
      <w:bookmarkEnd w:id="22"/>
    </w:p>
    <w:p w:rsidR="00D37495" w:rsidRPr="00D95F2E" w:rsidRDefault="000E333F" w:rsidP="00D95F2E">
      <w:pPr>
        <w:pStyle w:val="ItemHead"/>
      </w:pPr>
      <w:r w:rsidRPr="00D95F2E">
        <w:t>16</w:t>
      </w:r>
      <w:r w:rsidR="00D37495" w:rsidRPr="00D95F2E">
        <w:t xml:space="preserve">  Paragraphs 151BZ(1)(a), (b) and (c)</w:t>
      </w:r>
    </w:p>
    <w:p w:rsidR="00D37495" w:rsidRPr="00D95F2E" w:rsidRDefault="00D37495" w:rsidP="00D95F2E">
      <w:pPr>
        <w:pStyle w:val="Item"/>
      </w:pPr>
      <w:r w:rsidRPr="00D95F2E">
        <w:t>Omit “a tariff filing direction,”.</w:t>
      </w:r>
    </w:p>
    <w:p w:rsidR="00D37495" w:rsidRPr="00D95F2E" w:rsidRDefault="000E333F" w:rsidP="00D95F2E">
      <w:pPr>
        <w:pStyle w:val="ItemHead"/>
      </w:pPr>
      <w:r w:rsidRPr="00D95F2E">
        <w:t>17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>151BZ(2)</w:t>
      </w:r>
    </w:p>
    <w:p w:rsidR="00D37495" w:rsidRPr="00D95F2E" w:rsidRDefault="00D37495" w:rsidP="00D95F2E">
      <w:pPr>
        <w:pStyle w:val="Item"/>
      </w:pPr>
      <w:r w:rsidRPr="00D95F2E">
        <w:t>Repeal the subsection.</w:t>
      </w:r>
    </w:p>
    <w:p w:rsidR="00D37495" w:rsidRPr="00D95F2E" w:rsidRDefault="000E333F" w:rsidP="00D95F2E">
      <w:pPr>
        <w:pStyle w:val="ItemHead"/>
      </w:pPr>
      <w:r w:rsidRPr="00D95F2E">
        <w:t>18</w:t>
      </w:r>
      <w:r w:rsidR="00D37495" w:rsidRPr="00D95F2E">
        <w:t xml:space="preserve">  Paragraphs 151CA(1)(a) to (f)</w:t>
      </w:r>
    </w:p>
    <w:p w:rsidR="00D37495" w:rsidRPr="00D95F2E" w:rsidRDefault="00D37495" w:rsidP="00D95F2E">
      <w:pPr>
        <w:pStyle w:val="Item"/>
      </w:pPr>
      <w:r w:rsidRPr="00D95F2E">
        <w:t>Omit “a tariff filing direction,”.</w:t>
      </w:r>
    </w:p>
    <w:p w:rsidR="00CF240F" w:rsidRPr="00D95F2E" w:rsidRDefault="000E333F" w:rsidP="00D95F2E">
      <w:pPr>
        <w:pStyle w:val="ItemHead"/>
      </w:pPr>
      <w:r w:rsidRPr="00D95F2E">
        <w:t>19</w:t>
      </w:r>
      <w:r w:rsidR="00CF240F" w:rsidRPr="00D95F2E">
        <w:t xml:space="preserve">  Subsection</w:t>
      </w:r>
      <w:r w:rsidR="00D95F2E" w:rsidRPr="00D95F2E">
        <w:t> </w:t>
      </w:r>
      <w:r w:rsidR="00CF240F" w:rsidRPr="00D95F2E">
        <w:t>151CD(1)</w:t>
      </w:r>
    </w:p>
    <w:p w:rsidR="00CF240F" w:rsidRPr="00D95F2E" w:rsidRDefault="00CF240F" w:rsidP="00D95F2E">
      <w:pPr>
        <w:pStyle w:val="Item"/>
      </w:pPr>
      <w:r w:rsidRPr="00D95F2E">
        <w:t>Omit “or a tariff filing direction”.</w:t>
      </w:r>
    </w:p>
    <w:p w:rsidR="00D37495" w:rsidRPr="00D95F2E" w:rsidRDefault="000E333F" w:rsidP="00D95F2E">
      <w:pPr>
        <w:pStyle w:val="ItemHead"/>
      </w:pPr>
      <w:r w:rsidRPr="00D95F2E">
        <w:t>20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>151CI(3)</w:t>
      </w:r>
    </w:p>
    <w:p w:rsidR="00D37495" w:rsidRPr="00D95F2E" w:rsidRDefault="00D37495" w:rsidP="00D95F2E">
      <w:pPr>
        <w:pStyle w:val="Item"/>
      </w:pPr>
      <w:r w:rsidRPr="00D95F2E">
        <w:t>Repeal the subsection.</w:t>
      </w:r>
    </w:p>
    <w:p w:rsidR="00CF240F" w:rsidRPr="00D95F2E" w:rsidRDefault="000E333F" w:rsidP="00D95F2E">
      <w:pPr>
        <w:pStyle w:val="ItemHead"/>
      </w:pPr>
      <w:r w:rsidRPr="00D95F2E">
        <w:t>21</w:t>
      </w:r>
      <w:r w:rsidR="00CF240F" w:rsidRPr="00D95F2E">
        <w:t xml:space="preserve">  Paragraph 151CJ(1)(d)</w:t>
      </w:r>
    </w:p>
    <w:p w:rsidR="00CF240F" w:rsidRPr="00D95F2E" w:rsidRDefault="00CF240F" w:rsidP="00D95F2E">
      <w:pPr>
        <w:pStyle w:val="Item"/>
      </w:pPr>
      <w:r w:rsidRPr="00D95F2E">
        <w:t>Omit “151BQ,”.</w:t>
      </w:r>
    </w:p>
    <w:p w:rsidR="00D37495" w:rsidRPr="00D95F2E" w:rsidRDefault="000E333F" w:rsidP="00D95F2E">
      <w:pPr>
        <w:pStyle w:val="ItemHead"/>
      </w:pPr>
      <w:r w:rsidRPr="00D95F2E">
        <w:t>22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>151CL(1)</w:t>
      </w:r>
    </w:p>
    <w:p w:rsidR="00D37495" w:rsidRPr="00D95F2E" w:rsidRDefault="00D37495" w:rsidP="00D95F2E">
      <w:pPr>
        <w:pStyle w:val="Item"/>
      </w:pPr>
      <w:r w:rsidRPr="00D95F2E">
        <w:t>Omit “to the Minister”.</w:t>
      </w:r>
    </w:p>
    <w:p w:rsidR="00D37495" w:rsidRPr="00D95F2E" w:rsidRDefault="000E333F" w:rsidP="00D95F2E">
      <w:pPr>
        <w:pStyle w:val="ItemHead"/>
      </w:pPr>
      <w:r w:rsidRPr="00D95F2E">
        <w:t>23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>151CL(2)</w:t>
      </w:r>
    </w:p>
    <w:p w:rsidR="00D37495" w:rsidRPr="00D95F2E" w:rsidRDefault="00D37495" w:rsidP="00D95F2E">
      <w:pPr>
        <w:pStyle w:val="Item"/>
      </w:pPr>
      <w:r w:rsidRPr="00D95F2E">
        <w:t>Repeal the subsection, substitute:</w:t>
      </w:r>
    </w:p>
    <w:p w:rsidR="00D37495" w:rsidRPr="00D95F2E" w:rsidRDefault="00D37495" w:rsidP="00D95F2E">
      <w:pPr>
        <w:pStyle w:val="subsection"/>
      </w:pPr>
      <w:r w:rsidRPr="00D95F2E">
        <w:lastRenderedPageBreak/>
        <w:tab/>
        <w:t>(2)</w:t>
      </w:r>
      <w:r w:rsidRPr="00D95F2E">
        <w:tab/>
        <w:t xml:space="preserve">The Commission must publish a report under </w:t>
      </w:r>
      <w:r w:rsidR="00D95F2E" w:rsidRPr="00D95F2E">
        <w:t>subsection (</w:t>
      </w:r>
      <w:r w:rsidRPr="00D95F2E">
        <w:t>1) on its website as soon as practicable and no later than 6 months after the end of the financial year concerned.</w:t>
      </w:r>
    </w:p>
    <w:p w:rsidR="00D37495" w:rsidRPr="00D95F2E" w:rsidRDefault="000E333F" w:rsidP="00D95F2E">
      <w:pPr>
        <w:pStyle w:val="ItemHead"/>
      </w:pPr>
      <w:r w:rsidRPr="00D95F2E">
        <w:t>24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>151CL(5)</w:t>
      </w:r>
    </w:p>
    <w:p w:rsidR="00D37495" w:rsidRPr="00D95F2E" w:rsidRDefault="00D37495" w:rsidP="00D95F2E">
      <w:pPr>
        <w:pStyle w:val="Item"/>
      </w:pPr>
      <w:r w:rsidRPr="00D95F2E">
        <w:t>Omit “this section”, substitute “</w:t>
      </w:r>
      <w:r w:rsidR="00D95F2E" w:rsidRPr="00D95F2E">
        <w:t>subsection (</w:t>
      </w:r>
      <w:r w:rsidRPr="00D95F2E">
        <w:t>3)”.</w:t>
      </w:r>
    </w:p>
    <w:p w:rsidR="00D37495" w:rsidRPr="00D95F2E" w:rsidRDefault="000E333F" w:rsidP="00D95F2E">
      <w:pPr>
        <w:pStyle w:val="ItemHead"/>
      </w:pPr>
      <w:r w:rsidRPr="00D95F2E">
        <w:t>25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>151CL(6)</w:t>
      </w:r>
    </w:p>
    <w:p w:rsidR="00D37495" w:rsidRPr="00D95F2E" w:rsidRDefault="00D37495" w:rsidP="00D95F2E">
      <w:pPr>
        <w:pStyle w:val="Item"/>
      </w:pPr>
      <w:r w:rsidRPr="00D95F2E">
        <w:t>Repeal the subsection.</w:t>
      </w:r>
    </w:p>
    <w:p w:rsidR="00D37495" w:rsidRPr="00D95F2E" w:rsidRDefault="000E333F" w:rsidP="00D95F2E">
      <w:pPr>
        <w:pStyle w:val="ItemHead"/>
      </w:pPr>
      <w:r w:rsidRPr="00D95F2E">
        <w:t>26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>151CM(1)</w:t>
      </w:r>
    </w:p>
    <w:p w:rsidR="00D37495" w:rsidRPr="00D95F2E" w:rsidRDefault="00D37495" w:rsidP="00D95F2E">
      <w:pPr>
        <w:pStyle w:val="Item"/>
      </w:pPr>
      <w:r w:rsidRPr="00D95F2E">
        <w:t>Omit all the words after “each financial year”, substitute “on, charges paid by consumers in telecommunications markets”.</w:t>
      </w:r>
    </w:p>
    <w:p w:rsidR="00D37495" w:rsidRPr="00D95F2E" w:rsidRDefault="000E333F" w:rsidP="00D95F2E">
      <w:pPr>
        <w:pStyle w:val="ItemHead"/>
      </w:pPr>
      <w:r w:rsidRPr="00D95F2E">
        <w:t>27</w:t>
      </w:r>
      <w:r w:rsidR="00D37495" w:rsidRPr="00D95F2E">
        <w:t xml:space="preserve">  Subsections</w:t>
      </w:r>
      <w:r w:rsidR="00D95F2E" w:rsidRPr="00D95F2E">
        <w:t> </w:t>
      </w:r>
      <w:r w:rsidR="00D37495" w:rsidRPr="00D95F2E">
        <w:t>151CM(2) to (5)</w:t>
      </w:r>
    </w:p>
    <w:p w:rsidR="00D37495" w:rsidRPr="00D95F2E" w:rsidRDefault="00D37495" w:rsidP="00D95F2E">
      <w:pPr>
        <w:pStyle w:val="Item"/>
      </w:pPr>
      <w:r w:rsidRPr="00D95F2E">
        <w:t>Repeal the subsections, substitute: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>The Commission may decide which charges to monitor and report on, having regard to which goods or services are most commonly used by consumers.</w:t>
      </w:r>
    </w:p>
    <w:p w:rsidR="00D37495" w:rsidRPr="00D95F2E" w:rsidRDefault="00D37495" w:rsidP="00D95F2E">
      <w:pPr>
        <w:pStyle w:val="subsection"/>
      </w:pPr>
      <w:r w:rsidRPr="00D95F2E">
        <w:tab/>
        <w:t>(3)</w:t>
      </w:r>
      <w:r w:rsidRPr="00D95F2E">
        <w:tab/>
        <w:t>The Commission must publish the report on its website as soon as practicable and no later than 6 months after the end of the financial year concerned.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23" w:name="_Toc27564164"/>
      <w:r w:rsidRPr="00D95F2E">
        <w:t>Telecommunications Act 1997</w:t>
      </w:r>
      <w:bookmarkEnd w:id="23"/>
    </w:p>
    <w:p w:rsidR="00D37495" w:rsidRPr="00D95F2E" w:rsidRDefault="000E333F" w:rsidP="00D95F2E">
      <w:pPr>
        <w:pStyle w:val="ItemHead"/>
      </w:pPr>
      <w:r w:rsidRPr="00D95F2E">
        <w:t>28</w:t>
      </w:r>
      <w:r w:rsidR="00D37495" w:rsidRPr="00D95F2E">
        <w:t xml:space="preserve">  Section</w:t>
      </w:r>
      <w:r w:rsidR="00D95F2E" w:rsidRPr="00D95F2E">
        <w:t> </w:t>
      </w:r>
      <w:r w:rsidR="00D37495" w:rsidRPr="00D95F2E">
        <w:t>104</w:t>
      </w:r>
    </w:p>
    <w:p w:rsidR="00D37495" w:rsidRPr="00D95F2E" w:rsidRDefault="00D37495" w:rsidP="00D95F2E">
      <w:pPr>
        <w:pStyle w:val="Item"/>
      </w:pPr>
      <w:r w:rsidRPr="00D95F2E">
        <w:t>Omit “monitor, and report each year to the Minister on, significant matters”, substitute “monitor and report each financial year on matters”.</w:t>
      </w:r>
    </w:p>
    <w:p w:rsidR="00D37495" w:rsidRPr="00D95F2E" w:rsidRDefault="000E333F" w:rsidP="00D95F2E">
      <w:pPr>
        <w:pStyle w:val="ItemHead"/>
      </w:pPr>
      <w:r w:rsidRPr="00D95F2E">
        <w:t>29</w:t>
      </w:r>
      <w:r w:rsidR="00D37495" w:rsidRPr="00D95F2E">
        <w:t xml:space="preserve">  Subsections</w:t>
      </w:r>
      <w:r w:rsidR="00D95F2E" w:rsidRPr="00D95F2E">
        <w:t> </w:t>
      </w:r>
      <w:r w:rsidR="00D37495" w:rsidRPr="00D95F2E">
        <w:t>105(1) to (4)</w:t>
      </w:r>
    </w:p>
    <w:p w:rsidR="00D37495" w:rsidRPr="00D95F2E" w:rsidRDefault="00D37495" w:rsidP="00D95F2E">
      <w:pPr>
        <w:pStyle w:val="Item"/>
      </w:pPr>
      <w:r w:rsidRPr="00D95F2E">
        <w:t>Repeal the subsections.</w:t>
      </w:r>
    </w:p>
    <w:p w:rsidR="00D37495" w:rsidRPr="00D95F2E" w:rsidRDefault="000E333F" w:rsidP="00D95F2E">
      <w:pPr>
        <w:pStyle w:val="ItemHead"/>
      </w:pPr>
      <w:r w:rsidRPr="00D95F2E">
        <w:t>30</w:t>
      </w:r>
      <w:r w:rsidR="00D37495" w:rsidRPr="00D95F2E">
        <w:t xml:space="preserve">  Subsection</w:t>
      </w:r>
      <w:r w:rsidR="00D95F2E" w:rsidRPr="00D95F2E">
        <w:t> </w:t>
      </w:r>
      <w:r w:rsidR="00D37495" w:rsidRPr="00D95F2E">
        <w:t>105(5A)</w:t>
      </w:r>
    </w:p>
    <w:p w:rsidR="00D37495" w:rsidRPr="00D95F2E" w:rsidRDefault="00D37495" w:rsidP="00D95F2E">
      <w:pPr>
        <w:pStyle w:val="Item"/>
      </w:pPr>
      <w:r w:rsidRPr="00D95F2E">
        <w:t>Omit “to the Minister”.</w:t>
      </w:r>
    </w:p>
    <w:p w:rsidR="00D37495" w:rsidRPr="00D95F2E" w:rsidRDefault="000E333F" w:rsidP="00D95F2E">
      <w:pPr>
        <w:pStyle w:val="ItemHead"/>
      </w:pPr>
      <w:r w:rsidRPr="00D95F2E">
        <w:lastRenderedPageBreak/>
        <w:t>31</w:t>
      </w:r>
      <w:r w:rsidR="00D37495" w:rsidRPr="00D95F2E">
        <w:t xml:space="preserve">  Subsections</w:t>
      </w:r>
      <w:r w:rsidR="00D95F2E" w:rsidRPr="00D95F2E">
        <w:t> </w:t>
      </w:r>
      <w:r w:rsidR="00D37495" w:rsidRPr="00D95F2E">
        <w:t>105(6) to (8)</w:t>
      </w:r>
    </w:p>
    <w:p w:rsidR="00D37495" w:rsidRPr="00D95F2E" w:rsidRDefault="00D37495" w:rsidP="00D95F2E">
      <w:pPr>
        <w:pStyle w:val="Item"/>
      </w:pPr>
      <w:r w:rsidRPr="00D95F2E">
        <w:t>Repeal the subsections, substitute:</w:t>
      </w:r>
    </w:p>
    <w:p w:rsidR="00D37495" w:rsidRPr="00D95F2E" w:rsidRDefault="00D37495" w:rsidP="00D95F2E">
      <w:pPr>
        <w:pStyle w:val="subsection"/>
      </w:pPr>
      <w:r w:rsidRPr="00D95F2E">
        <w:tab/>
        <w:t>(6)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must publish a report under </w:t>
      </w:r>
      <w:r w:rsidR="00D95F2E" w:rsidRPr="00D95F2E">
        <w:t>subsection (</w:t>
      </w:r>
      <w:r w:rsidRPr="00D95F2E">
        <w:t>5A) on its website as soon as practicable and no later than 6 months after the end of the financial year concerned.</w:t>
      </w:r>
    </w:p>
    <w:p w:rsidR="00D37495" w:rsidRPr="00D95F2E" w:rsidRDefault="000E333F" w:rsidP="00D95F2E">
      <w:pPr>
        <w:pStyle w:val="ItemHead"/>
      </w:pPr>
      <w:r w:rsidRPr="00D95F2E">
        <w:t>32</w:t>
      </w:r>
      <w:r w:rsidR="00D37495" w:rsidRPr="00D95F2E">
        <w:t xml:space="preserve">  At the end of section</w:t>
      </w:r>
      <w:r w:rsidR="00D95F2E" w:rsidRPr="00D95F2E">
        <w:t> </w:t>
      </w:r>
      <w:r w:rsidR="00D37495" w:rsidRPr="00D95F2E">
        <w:t>105A</w:t>
      </w:r>
    </w:p>
    <w:p w:rsidR="00D37495" w:rsidRPr="00D95F2E" w:rsidRDefault="00D37495" w:rsidP="00D95F2E">
      <w:pPr>
        <w:pStyle w:val="Item"/>
      </w:pPr>
      <w:r w:rsidRPr="00D95F2E">
        <w:t>Add:</w:t>
      </w:r>
    </w:p>
    <w:p w:rsidR="00D37495" w:rsidRPr="00D95F2E" w:rsidRDefault="00D37495" w:rsidP="00D95F2E">
      <w:pPr>
        <w:pStyle w:val="subsection"/>
      </w:pPr>
      <w:r w:rsidRPr="00D95F2E">
        <w:tab/>
        <w:t>(3)</w:t>
      </w:r>
      <w:r w:rsidRPr="00D95F2E">
        <w:tab/>
        <w:t>If the direction requires the report to be in a specified form, the report must be in that form.</w:t>
      </w:r>
    </w:p>
    <w:p w:rsidR="00D37495" w:rsidRPr="00D95F2E" w:rsidRDefault="00D37495" w:rsidP="00D95F2E">
      <w:pPr>
        <w:pStyle w:val="subsection"/>
      </w:pPr>
      <w:r w:rsidRPr="00D95F2E">
        <w:tab/>
        <w:t>(4)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must comply with any requirement in the direction as to</w:t>
      </w:r>
      <w:r w:rsidR="00763B17" w:rsidRPr="00D95F2E">
        <w:t xml:space="preserve"> the publication of the report.</w:t>
      </w:r>
    </w:p>
    <w:p w:rsidR="00D37495" w:rsidRPr="00D95F2E" w:rsidRDefault="00D37495" w:rsidP="00D95F2E">
      <w:pPr>
        <w:pStyle w:val="ActHead6"/>
        <w:pageBreakBefore/>
      </w:pPr>
      <w:bookmarkStart w:id="24" w:name="_Toc27564165"/>
      <w:r w:rsidRPr="00D95F2E">
        <w:rPr>
          <w:rStyle w:val="CharAmSchNo"/>
        </w:rPr>
        <w:lastRenderedPageBreak/>
        <w:t>Schedule</w:t>
      </w:r>
      <w:r w:rsidR="00D95F2E" w:rsidRPr="00D95F2E">
        <w:rPr>
          <w:rStyle w:val="CharAmSchNo"/>
        </w:rPr>
        <w:t> </w:t>
      </w:r>
      <w:r w:rsidRPr="00D95F2E">
        <w:rPr>
          <w:rStyle w:val="CharAmSchNo"/>
        </w:rPr>
        <w:t>4</w:t>
      </w:r>
      <w:r w:rsidRPr="00D95F2E">
        <w:t>—</w:t>
      </w:r>
      <w:r w:rsidRPr="00D95F2E">
        <w:rPr>
          <w:rStyle w:val="CharAmSchText"/>
        </w:rPr>
        <w:t>Technical amendments</w:t>
      </w:r>
      <w:bookmarkEnd w:id="24"/>
    </w:p>
    <w:p w:rsidR="00D37495" w:rsidRPr="00D95F2E" w:rsidRDefault="00D37495" w:rsidP="00D95F2E">
      <w:pPr>
        <w:pStyle w:val="Header"/>
      </w:pPr>
      <w:r w:rsidRPr="00D95F2E">
        <w:rPr>
          <w:rStyle w:val="CharAmPartNo"/>
        </w:rPr>
        <w:t xml:space="preserve"> </w:t>
      </w:r>
      <w:r w:rsidRPr="00D95F2E">
        <w:rPr>
          <w:rStyle w:val="CharAmPartText"/>
        </w:rPr>
        <w:t xml:space="preserve"> 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25" w:name="_Toc27564166"/>
      <w:r w:rsidRPr="00D95F2E">
        <w:t>Australian Broadcasting Corporation Act 1983</w:t>
      </w:r>
      <w:bookmarkEnd w:id="25"/>
    </w:p>
    <w:p w:rsidR="00D37495" w:rsidRPr="00D95F2E" w:rsidRDefault="00D37495" w:rsidP="00D95F2E">
      <w:pPr>
        <w:pStyle w:val="ItemHead"/>
      </w:pPr>
      <w:r w:rsidRPr="00D95F2E">
        <w:t>1  Subsection</w:t>
      </w:r>
      <w:r w:rsidR="00D95F2E" w:rsidRPr="00D95F2E">
        <w:t> </w:t>
      </w:r>
      <w:r w:rsidRPr="00D95F2E">
        <w:t>79A(5)</w:t>
      </w:r>
    </w:p>
    <w:p w:rsidR="00D37495" w:rsidRPr="00D95F2E" w:rsidRDefault="00D37495" w:rsidP="00D95F2E">
      <w:pPr>
        <w:pStyle w:val="Item"/>
      </w:pPr>
      <w:r w:rsidRPr="00D95F2E">
        <w:t>Repeal the following definitions: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 xml:space="preserve">definition of </w:t>
      </w:r>
      <w:r w:rsidRPr="00D95F2E">
        <w:rPr>
          <w:b/>
          <w:i/>
        </w:rPr>
        <w:t>election</w:t>
      </w:r>
      <w:r w:rsidRPr="00D95F2E">
        <w:t>;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 xml:space="preserve">definition of </w:t>
      </w:r>
      <w:r w:rsidRPr="00D95F2E">
        <w:rPr>
          <w:b/>
          <w:i/>
        </w:rPr>
        <w:t>election period</w:t>
      </w:r>
      <w:r w:rsidRPr="00D95F2E">
        <w:t>;</w:t>
      </w:r>
    </w:p>
    <w:p w:rsidR="00D37495" w:rsidRPr="00D95F2E" w:rsidRDefault="00D37495" w:rsidP="00D95F2E">
      <w:pPr>
        <w:pStyle w:val="paragraph"/>
      </w:pPr>
      <w:r w:rsidRPr="00D95F2E">
        <w:tab/>
        <w:t>(c)</w:t>
      </w:r>
      <w:r w:rsidRPr="00D95F2E">
        <w:tab/>
        <w:t xml:space="preserve">definition of </w:t>
      </w:r>
      <w:r w:rsidRPr="00D95F2E">
        <w:rPr>
          <w:b/>
          <w:i/>
        </w:rPr>
        <w:t>Parliament</w:t>
      </w:r>
      <w:r w:rsidRPr="00D95F2E">
        <w:t>;</w:t>
      </w:r>
    </w:p>
    <w:p w:rsidR="00D37495" w:rsidRPr="00D95F2E" w:rsidRDefault="00D37495" w:rsidP="00D95F2E">
      <w:pPr>
        <w:pStyle w:val="paragraph"/>
      </w:pPr>
      <w:r w:rsidRPr="00D95F2E">
        <w:tab/>
        <w:t>(d)</w:t>
      </w:r>
      <w:r w:rsidRPr="00D95F2E">
        <w:tab/>
        <w:t xml:space="preserve">definition of </w:t>
      </w:r>
      <w:r w:rsidRPr="00D95F2E">
        <w:rPr>
          <w:b/>
          <w:i/>
        </w:rPr>
        <w:t>referendum</w:t>
      </w:r>
      <w:r w:rsidRPr="00D95F2E">
        <w:t>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26" w:name="_Toc27564167"/>
      <w:r w:rsidRPr="00D95F2E">
        <w:t>Broadcasting Services Act 1992</w:t>
      </w:r>
      <w:bookmarkEnd w:id="26"/>
    </w:p>
    <w:p w:rsidR="00D37495" w:rsidRPr="00D95F2E" w:rsidRDefault="00D37495" w:rsidP="00D95F2E">
      <w:pPr>
        <w:pStyle w:val="ItemHead"/>
      </w:pPr>
      <w:r w:rsidRPr="00D95F2E">
        <w:t>2  Subparagraph 212(1)(b)(ii)</w:t>
      </w:r>
    </w:p>
    <w:p w:rsidR="00D37495" w:rsidRPr="00D95F2E" w:rsidRDefault="00D37495" w:rsidP="00D95F2E">
      <w:pPr>
        <w:pStyle w:val="Item"/>
      </w:pPr>
      <w:r w:rsidRPr="00D95F2E">
        <w:t>Omit “</w:t>
      </w:r>
      <w:proofErr w:type="spellStart"/>
      <w:r w:rsidRPr="00D95F2E">
        <w:t>ACMA</w:t>
      </w:r>
      <w:proofErr w:type="spellEnd"/>
      <w:r w:rsidRPr="00D95F2E">
        <w:t>; or”, substitute “</w:t>
      </w:r>
      <w:proofErr w:type="spellStart"/>
      <w:r w:rsidRPr="00D95F2E">
        <w:t>ACMA</w:t>
      </w:r>
      <w:proofErr w:type="spellEnd"/>
      <w:r w:rsidRPr="00D95F2E">
        <w:t>.”.</w:t>
      </w:r>
    </w:p>
    <w:p w:rsidR="00D37495" w:rsidRPr="00D95F2E" w:rsidRDefault="00D37495" w:rsidP="00D95F2E">
      <w:pPr>
        <w:pStyle w:val="ItemHead"/>
      </w:pPr>
      <w:r w:rsidRPr="00D95F2E">
        <w:t>3  Paragraph 212(1)(c)</w:t>
      </w:r>
    </w:p>
    <w:p w:rsidR="00D37495" w:rsidRPr="00D95F2E" w:rsidRDefault="00D37495" w:rsidP="00D95F2E">
      <w:pPr>
        <w:pStyle w:val="Item"/>
      </w:pPr>
      <w:r w:rsidRPr="00D95F2E">
        <w:t>Repeal the paragraph.</w:t>
      </w:r>
    </w:p>
    <w:p w:rsidR="00D37495" w:rsidRPr="00D95F2E" w:rsidRDefault="00D37495" w:rsidP="00D95F2E">
      <w:pPr>
        <w:pStyle w:val="ItemHead"/>
      </w:pPr>
      <w:r w:rsidRPr="00D95F2E">
        <w:t>4  Paragraph 212(3)(d)</w:t>
      </w:r>
    </w:p>
    <w:p w:rsidR="00D37495" w:rsidRPr="00D95F2E" w:rsidRDefault="00D37495" w:rsidP="00D95F2E">
      <w:pPr>
        <w:pStyle w:val="Item"/>
      </w:pPr>
      <w:r w:rsidRPr="00D95F2E">
        <w:t>Omit “services; or”, substitute “services.”.</w:t>
      </w:r>
    </w:p>
    <w:p w:rsidR="00D37495" w:rsidRPr="00D95F2E" w:rsidRDefault="00D37495" w:rsidP="00D95F2E">
      <w:pPr>
        <w:pStyle w:val="ItemHead"/>
      </w:pPr>
      <w:r w:rsidRPr="00D95F2E">
        <w:t>5  Paragraph 212(3)(e)</w:t>
      </w:r>
    </w:p>
    <w:p w:rsidR="00D37495" w:rsidRPr="00D95F2E" w:rsidRDefault="004F085B" w:rsidP="00D95F2E">
      <w:pPr>
        <w:pStyle w:val="Item"/>
      </w:pPr>
      <w:r w:rsidRPr="00D95F2E">
        <w:t>Repeal the paragraph.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27" w:name="_Toc27564168"/>
      <w:r w:rsidRPr="00D95F2E">
        <w:t>Special Broadcasting Service Act 1991</w:t>
      </w:r>
      <w:bookmarkEnd w:id="27"/>
    </w:p>
    <w:p w:rsidR="00D37495" w:rsidRPr="00D95F2E" w:rsidRDefault="00D37495" w:rsidP="00D95F2E">
      <w:pPr>
        <w:pStyle w:val="ItemHead"/>
      </w:pPr>
      <w:r w:rsidRPr="00D95F2E">
        <w:t>6  Section</w:t>
      </w:r>
      <w:r w:rsidR="00D95F2E" w:rsidRPr="00D95F2E">
        <w:t> </w:t>
      </w:r>
      <w:r w:rsidRPr="00D95F2E">
        <w:t>3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Definition"/>
      </w:pPr>
      <w:r w:rsidRPr="00D95F2E">
        <w:rPr>
          <w:b/>
          <w:i/>
        </w:rPr>
        <w:t>broadcasting service</w:t>
      </w:r>
      <w:r w:rsidRPr="00D95F2E">
        <w:t xml:space="preserve"> has the same meaning as in the </w:t>
      </w:r>
      <w:r w:rsidRPr="00D95F2E">
        <w:rPr>
          <w:i/>
        </w:rPr>
        <w:t>Broadcasting Services Act 1992</w:t>
      </w:r>
      <w:r w:rsidRPr="00D95F2E">
        <w:t>.</w:t>
      </w:r>
    </w:p>
    <w:p w:rsidR="00D37495" w:rsidRPr="00D95F2E" w:rsidRDefault="00D37495" w:rsidP="00D95F2E">
      <w:pPr>
        <w:pStyle w:val="ItemHead"/>
      </w:pPr>
      <w:r w:rsidRPr="00D95F2E">
        <w:t>7  Paragraph 3A(1)(c)</w:t>
      </w:r>
    </w:p>
    <w:p w:rsidR="00D37495" w:rsidRPr="00D95F2E" w:rsidRDefault="00D37495" w:rsidP="00D95F2E">
      <w:pPr>
        <w:pStyle w:val="Item"/>
      </w:pPr>
      <w:r w:rsidRPr="00D95F2E">
        <w:t>Omit “radio or television”, substitute “broadcasting”.</w:t>
      </w:r>
    </w:p>
    <w:p w:rsidR="00D37495" w:rsidRPr="00D95F2E" w:rsidRDefault="00D37495" w:rsidP="00D95F2E">
      <w:pPr>
        <w:pStyle w:val="ItemHead"/>
      </w:pPr>
      <w:r w:rsidRPr="00D95F2E">
        <w:lastRenderedPageBreak/>
        <w:t>8  Subsection</w:t>
      </w:r>
      <w:r w:rsidR="00D95F2E" w:rsidRPr="00D95F2E">
        <w:t> </w:t>
      </w:r>
      <w:r w:rsidRPr="00D95F2E">
        <w:t>6(1)</w:t>
      </w:r>
    </w:p>
    <w:p w:rsidR="00D37495" w:rsidRPr="00D95F2E" w:rsidRDefault="00D37495" w:rsidP="00D95F2E">
      <w:pPr>
        <w:pStyle w:val="Item"/>
      </w:pPr>
      <w:r w:rsidRPr="00D95F2E">
        <w:t>Omit “radio, television”, substitute “broadcasting”.</w:t>
      </w:r>
    </w:p>
    <w:p w:rsidR="00D37495" w:rsidRPr="00D95F2E" w:rsidRDefault="00D37495" w:rsidP="00D95F2E">
      <w:pPr>
        <w:pStyle w:val="ItemHead"/>
      </w:pPr>
      <w:r w:rsidRPr="00D95F2E">
        <w:t>9  Paragraph 6(2)(g)</w:t>
      </w:r>
    </w:p>
    <w:p w:rsidR="00D37495" w:rsidRPr="00D95F2E" w:rsidRDefault="00D37495" w:rsidP="00D95F2E">
      <w:pPr>
        <w:pStyle w:val="Item"/>
      </w:pPr>
      <w:r w:rsidRPr="00D95F2E">
        <w:t>Omit all the words before “contribute”.</w:t>
      </w:r>
    </w:p>
    <w:p w:rsidR="00D37495" w:rsidRPr="00D95F2E" w:rsidRDefault="00D37495" w:rsidP="00D95F2E">
      <w:pPr>
        <w:pStyle w:val="ItemHead"/>
      </w:pPr>
      <w:r w:rsidRPr="00D95F2E">
        <w:t>10  Paragraph 6(2)(g)</w:t>
      </w:r>
    </w:p>
    <w:p w:rsidR="00D37495" w:rsidRPr="00D95F2E" w:rsidRDefault="00D37495" w:rsidP="00D95F2E">
      <w:pPr>
        <w:pStyle w:val="Item"/>
      </w:pPr>
      <w:r w:rsidRPr="00D95F2E">
        <w:t>Omit “television and radio”, substitute “broadcasting and digital media”.</w:t>
      </w:r>
    </w:p>
    <w:p w:rsidR="00D37495" w:rsidRPr="00D95F2E" w:rsidRDefault="00D37495" w:rsidP="00D95F2E">
      <w:pPr>
        <w:pStyle w:val="ItemHead"/>
      </w:pPr>
      <w:r w:rsidRPr="00D95F2E">
        <w:t>11  Paragraph 6(2)(h)</w:t>
      </w:r>
    </w:p>
    <w:p w:rsidR="00D37495" w:rsidRPr="00D95F2E" w:rsidRDefault="00D37495" w:rsidP="00D95F2E">
      <w:pPr>
        <w:pStyle w:val="Item"/>
      </w:pPr>
      <w:r w:rsidRPr="00D95F2E">
        <w:t>Omit all the words before “contribute”.</w:t>
      </w:r>
    </w:p>
    <w:p w:rsidR="00D37495" w:rsidRPr="00D95F2E" w:rsidRDefault="00D37495" w:rsidP="00D95F2E">
      <w:pPr>
        <w:pStyle w:val="ItemHead"/>
      </w:pPr>
      <w:r w:rsidRPr="00D95F2E">
        <w:t>12  Paragraph 6(2)(h)</w:t>
      </w:r>
    </w:p>
    <w:p w:rsidR="00D37495" w:rsidRPr="00D95F2E" w:rsidRDefault="00D37495" w:rsidP="00D95F2E">
      <w:pPr>
        <w:pStyle w:val="Item"/>
      </w:pPr>
      <w:r w:rsidRPr="00D95F2E">
        <w:t>Omit “television and radio”, substitute “broadcasting and digital media”.</w:t>
      </w:r>
    </w:p>
    <w:p w:rsidR="00D37495" w:rsidRPr="00D95F2E" w:rsidRDefault="00D37495" w:rsidP="00D95F2E">
      <w:pPr>
        <w:pStyle w:val="ItemHead"/>
      </w:pPr>
      <w:r w:rsidRPr="00D95F2E">
        <w:t>13  Paragraph 44(1)(b)</w:t>
      </w:r>
    </w:p>
    <w:p w:rsidR="00D37495" w:rsidRPr="00D95F2E" w:rsidRDefault="00D37495" w:rsidP="00D95F2E">
      <w:pPr>
        <w:pStyle w:val="Item"/>
      </w:pPr>
      <w:r w:rsidRPr="00D95F2E">
        <w:t>After “transmit”, insert “or communicate”.</w:t>
      </w:r>
    </w:p>
    <w:p w:rsidR="00D37495" w:rsidRPr="00D95F2E" w:rsidRDefault="00D37495" w:rsidP="00D95F2E">
      <w:pPr>
        <w:pStyle w:val="ItemHead"/>
      </w:pPr>
      <w:r w:rsidRPr="00D95F2E">
        <w:t>14  Paragraph 44(1)(b)</w:t>
      </w:r>
    </w:p>
    <w:p w:rsidR="00D37495" w:rsidRPr="00D95F2E" w:rsidRDefault="00D37495" w:rsidP="00D95F2E">
      <w:pPr>
        <w:pStyle w:val="Item"/>
      </w:pPr>
      <w:r w:rsidRPr="00D95F2E">
        <w:t>After “transmissions”, insert “and communications”.</w:t>
      </w:r>
    </w:p>
    <w:p w:rsidR="00D37495" w:rsidRPr="00D95F2E" w:rsidRDefault="00D37495" w:rsidP="00D95F2E">
      <w:pPr>
        <w:pStyle w:val="ItemHead"/>
      </w:pPr>
      <w:r w:rsidRPr="00D95F2E">
        <w:t>15  Paragraph 44(1)(c)</w:t>
      </w:r>
    </w:p>
    <w:p w:rsidR="00D37495" w:rsidRPr="00D95F2E" w:rsidRDefault="00D37495" w:rsidP="00D95F2E">
      <w:pPr>
        <w:pStyle w:val="Item"/>
      </w:pPr>
      <w:r w:rsidRPr="00D95F2E">
        <w:t>After “transmission”, insert “or communication”.</w:t>
      </w:r>
    </w:p>
    <w:p w:rsidR="00D37495" w:rsidRPr="00D95F2E" w:rsidRDefault="00D37495" w:rsidP="00D95F2E">
      <w:pPr>
        <w:pStyle w:val="ItemHead"/>
      </w:pPr>
      <w:r w:rsidRPr="00D95F2E">
        <w:t>16  Paragraph 44(1)(d)</w:t>
      </w:r>
    </w:p>
    <w:p w:rsidR="00D37495" w:rsidRPr="00D95F2E" w:rsidRDefault="00D37495" w:rsidP="00D95F2E">
      <w:pPr>
        <w:pStyle w:val="Item"/>
      </w:pPr>
      <w:r w:rsidRPr="00D95F2E">
        <w:t>Omit “or transmission of programs”, substitute “, transmission or communication of programs or other matter”.</w:t>
      </w:r>
    </w:p>
    <w:p w:rsidR="00D37495" w:rsidRPr="00D95F2E" w:rsidRDefault="00D37495" w:rsidP="00D95F2E">
      <w:pPr>
        <w:pStyle w:val="ItemHead"/>
      </w:pPr>
      <w:r w:rsidRPr="00D95F2E">
        <w:t>17  Subsection</w:t>
      </w:r>
      <w:r w:rsidR="00D95F2E" w:rsidRPr="00D95F2E">
        <w:t> </w:t>
      </w:r>
      <w:r w:rsidRPr="00D95F2E">
        <w:t>70A(5)</w:t>
      </w:r>
    </w:p>
    <w:p w:rsidR="00D37495" w:rsidRPr="00D95F2E" w:rsidRDefault="00D37495" w:rsidP="00D95F2E">
      <w:pPr>
        <w:pStyle w:val="Item"/>
      </w:pPr>
      <w:r w:rsidRPr="00D95F2E">
        <w:t>Repeal the following definitions: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 xml:space="preserve">definition of </w:t>
      </w:r>
      <w:r w:rsidRPr="00D95F2E">
        <w:rPr>
          <w:b/>
          <w:i/>
        </w:rPr>
        <w:t>election</w:t>
      </w:r>
      <w:r w:rsidRPr="00D95F2E">
        <w:t>;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 xml:space="preserve">definition of </w:t>
      </w:r>
      <w:r w:rsidRPr="00D95F2E">
        <w:rPr>
          <w:b/>
          <w:i/>
        </w:rPr>
        <w:t>election period</w:t>
      </w:r>
      <w:r w:rsidRPr="00D95F2E">
        <w:t>;</w:t>
      </w:r>
    </w:p>
    <w:p w:rsidR="00D37495" w:rsidRPr="00D95F2E" w:rsidRDefault="00D37495" w:rsidP="00D95F2E">
      <w:pPr>
        <w:pStyle w:val="paragraph"/>
      </w:pPr>
      <w:r w:rsidRPr="00D95F2E">
        <w:tab/>
        <w:t>(c)</w:t>
      </w:r>
      <w:r w:rsidRPr="00D95F2E">
        <w:tab/>
        <w:t xml:space="preserve">definition of </w:t>
      </w:r>
      <w:r w:rsidRPr="00D95F2E">
        <w:rPr>
          <w:b/>
          <w:i/>
        </w:rPr>
        <w:t>Parliament</w:t>
      </w:r>
      <w:r w:rsidRPr="00D95F2E">
        <w:t>;</w:t>
      </w:r>
    </w:p>
    <w:p w:rsidR="00D37495" w:rsidRPr="00D95F2E" w:rsidRDefault="00D37495" w:rsidP="00D95F2E">
      <w:pPr>
        <w:pStyle w:val="paragraph"/>
      </w:pPr>
      <w:r w:rsidRPr="00D95F2E">
        <w:tab/>
        <w:t>(d)</w:t>
      </w:r>
      <w:r w:rsidRPr="00D95F2E">
        <w:tab/>
        <w:t xml:space="preserve">definition of </w:t>
      </w:r>
      <w:r w:rsidRPr="00D95F2E">
        <w:rPr>
          <w:b/>
          <w:i/>
        </w:rPr>
        <w:t>referendum</w:t>
      </w:r>
      <w:r w:rsidRPr="00D95F2E">
        <w:t>.</w:t>
      </w:r>
    </w:p>
    <w:p w:rsidR="00D37495" w:rsidRPr="00D95F2E" w:rsidRDefault="00D37495" w:rsidP="00D95F2E">
      <w:pPr>
        <w:pStyle w:val="ItemHead"/>
      </w:pPr>
      <w:r w:rsidRPr="00D95F2E">
        <w:lastRenderedPageBreak/>
        <w:t>18  Paragraph 70C(1)(b)</w:t>
      </w:r>
    </w:p>
    <w:p w:rsidR="00D37495" w:rsidRPr="00D95F2E" w:rsidRDefault="00D37495" w:rsidP="00D95F2E">
      <w:pPr>
        <w:pStyle w:val="Item"/>
      </w:pPr>
      <w:r w:rsidRPr="00D95F2E">
        <w:t>Omit “radio or television”, substitute “broadcasting”.</w:t>
      </w:r>
    </w:p>
    <w:p w:rsidR="00D37495" w:rsidRPr="00D95F2E" w:rsidRDefault="00D37495" w:rsidP="00D95F2E">
      <w:pPr>
        <w:pStyle w:val="ActHead6"/>
        <w:pageBreakBefore/>
      </w:pPr>
      <w:bookmarkStart w:id="28" w:name="_Toc27564169"/>
      <w:r w:rsidRPr="00D95F2E">
        <w:rPr>
          <w:rStyle w:val="CharAmSchNo"/>
        </w:rPr>
        <w:lastRenderedPageBreak/>
        <w:t>Schedule</w:t>
      </w:r>
      <w:r w:rsidR="00D95F2E" w:rsidRPr="00D95F2E">
        <w:rPr>
          <w:rStyle w:val="CharAmSchNo"/>
        </w:rPr>
        <w:t> </w:t>
      </w:r>
      <w:r w:rsidRPr="00D95F2E">
        <w:rPr>
          <w:rStyle w:val="CharAmSchNo"/>
        </w:rPr>
        <w:t>5</w:t>
      </w:r>
      <w:r w:rsidRPr="00D95F2E">
        <w:t>—</w:t>
      </w:r>
      <w:r w:rsidRPr="00D95F2E">
        <w:rPr>
          <w:rStyle w:val="CharAmSchText"/>
        </w:rPr>
        <w:t>Spent and redundant legislation</w:t>
      </w:r>
      <w:bookmarkEnd w:id="28"/>
    </w:p>
    <w:p w:rsidR="00D37495" w:rsidRPr="00D95F2E" w:rsidRDefault="00D37495" w:rsidP="00D95F2E">
      <w:pPr>
        <w:pStyle w:val="ActHead7"/>
      </w:pPr>
      <w:bookmarkStart w:id="29" w:name="_Toc27564170"/>
      <w:r w:rsidRPr="00D95F2E">
        <w:rPr>
          <w:rStyle w:val="CharAmPartNo"/>
        </w:rPr>
        <w:t>Part</w:t>
      </w:r>
      <w:r w:rsidR="00D95F2E" w:rsidRPr="00D95F2E">
        <w:rPr>
          <w:rStyle w:val="CharAmPartNo"/>
        </w:rPr>
        <w:t> </w:t>
      </w:r>
      <w:r w:rsidRPr="00D95F2E">
        <w:rPr>
          <w:rStyle w:val="CharAmPartNo"/>
        </w:rPr>
        <w:t>1</w:t>
      </w:r>
      <w:r w:rsidRPr="00D95F2E">
        <w:t>—</w:t>
      </w:r>
      <w:r w:rsidRPr="00D95F2E">
        <w:rPr>
          <w:rStyle w:val="CharAmPartText"/>
        </w:rPr>
        <w:t>Repeals</w:t>
      </w:r>
      <w:bookmarkEnd w:id="29"/>
    </w:p>
    <w:p w:rsidR="00D37495" w:rsidRPr="00D95F2E" w:rsidRDefault="00D37495" w:rsidP="00D95F2E">
      <w:pPr>
        <w:pStyle w:val="ItemHead"/>
      </w:pPr>
      <w:r w:rsidRPr="00D95F2E">
        <w:t xml:space="preserve">1  </w:t>
      </w:r>
      <w:bookmarkStart w:id="30" w:name="bkCheck17_1"/>
      <w:r w:rsidRPr="00D95F2E">
        <w:t>Repeal of Acts</w:t>
      </w:r>
      <w:bookmarkEnd w:id="30"/>
    </w:p>
    <w:p w:rsidR="00D37495" w:rsidRPr="00D95F2E" w:rsidRDefault="00D37495" w:rsidP="00D95F2E">
      <w:pPr>
        <w:pStyle w:val="Item"/>
      </w:pPr>
      <w:r w:rsidRPr="00D95F2E">
        <w:t>Repeal the following Acts: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proofErr w:type="spellStart"/>
      <w:r w:rsidRPr="00D95F2E">
        <w:t>AUSSAT</w:t>
      </w:r>
      <w:proofErr w:type="spellEnd"/>
      <w:r w:rsidRPr="00D95F2E">
        <w:t xml:space="preserve"> Repeal Act 1991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Australian Broadcasting Corporation Amendment Act 1993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Australian Postal Corporation Amendment Act 1994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Amendment Act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Amendment Act 1990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Amendment Act 1991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Amendment Act (No.</w:t>
      </w:r>
      <w:r w:rsidR="00D95F2E" w:rsidRPr="00D95F2E">
        <w:t> </w:t>
      </w:r>
      <w:r w:rsidRPr="00D95F2E">
        <w:t>2)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Amendment Act (No.</w:t>
      </w:r>
      <w:r w:rsidR="00D95F2E" w:rsidRPr="00D95F2E">
        <w:t> </w:t>
      </w:r>
      <w:r w:rsidRPr="00D95F2E">
        <w:t>2) 1990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Amendment Act (No.</w:t>
      </w:r>
      <w:r w:rsidR="00D95F2E" w:rsidRPr="00D95F2E">
        <w:t> </w:t>
      </w:r>
      <w:r w:rsidRPr="00D95F2E">
        <w:t>2) 1991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Amendment Act (No.</w:t>
      </w:r>
      <w:r w:rsidR="00D95F2E" w:rsidRPr="00D95F2E">
        <w:t> </w:t>
      </w:r>
      <w:r w:rsidRPr="00D95F2E">
        <w:t>3)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Amendment Act (No.</w:t>
      </w:r>
      <w:r w:rsidR="00D95F2E" w:rsidRPr="00D95F2E">
        <w:t> </w:t>
      </w:r>
      <w:r w:rsidRPr="00D95F2E">
        <w:t>4)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and Television Amendment Act 1980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and Television Amendment Act 1982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and Television Amendment Act 1984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lastRenderedPageBreak/>
        <w:t>Broadcasting and Television Amendment Act 1985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and Television Legislation Amendment Act 1985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and Television Legislation Amendment Act 1986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(Foreign Ownership) Amendment Act 1990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(Ownership and Control) Act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(Ownership and Control) Act 1988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Services Amendment Act 1997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Services Legislation Amendment Act 1997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Stations Licence Fees Act 1981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Stations Licence Fees Amendment Act 1983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Broadcasting Stations Licence Fees Amendment Act 1985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National Transmission Network Sale (Consequential Amendments) Act 1998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NRS Levy Imposition Amendment Act 1999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proofErr w:type="spellStart"/>
      <w:r w:rsidRPr="00D95F2E">
        <w:t>Radiocommunications</w:t>
      </w:r>
      <w:proofErr w:type="spellEnd"/>
      <w:r w:rsidRPr="00D95F2E">
        <w:t xml:space="preserve"> (Miscellaneous Provisions) Act 1982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proofErr w:type="spellStart"/>
      <w:r w:rsidRPr="00D95F2E">
        <w:t>Radiocommunications</w:t>
      </w:r>
      <w:proofErr w:type="spellEnd"/>
      <w:r w:rsidRPr="00D95F2E">
        <w:t xml:space="preserve"> (Receiver Licence Tax) Amendment Act 1992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proofErr w:type="spellStart"/>
      <w:r w:rsidRPr="00D95F2E">
        <w:lastRenderedPageBreak/>
        <w:t>Radiocommunications</w:t>
      </w:r>
      <w:proofErr w:type="spellEnd"/>
      <w:r w:rsidRPr="00D95F2E">
        <w:t xml:space="preserve"> (Receiver Licence Tax) Amendment Act 1997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proofErr w:type="spellStart"/>
      <w:r w:rsidRPr="00D95F2E">
        <w:t>Radiocommunications</w:t>
      </w:r>
      <w:proofErr w:type="spellEnd"/>
      <w:r w:rsidRPr="00D95F2E">
        <w:t xml:space="preserve"> (Test Permit Tax) Amendment Act 1992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proofErr w:type="spellStart"/>
      <w:r w:rsidRPr="00D95F2E">
        <w:t>Radiocommunications</w:t>
      </w:r>
      <w:proofErr w:type="spellEnd"/>
      <w:r w:rsidRPr="00D95F2E">
        <w:t xml:space="preserve"> (Transmitter Licence Tax) Amendment Act 1992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proofErr w:type="spellStart"/>
      <w:r w:rsidRPr="00D95F2E">
        <w:t>Radiocommunications</w:t>
      </w:r>
      <w:proofErr w:type="spellEnd"/>
      <w:r w:rsidRPr="00D95F2E">
        <w:t xml:space="preserve"> (Transmitter Licence Tax) Amendment Act 1997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Radio Licence Fees Amendment Act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Radio Licence Fees Amendment Act 1991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Radio Licence Fees Amendment Act (No.</w:t>
      </w:r>
      <w:r w:rsidR="00D95F2E" w:rsidRPr="00D95F2E">
        <w:t> </w:t>
      </w:r>
      <w:r w:rsidRPr="00D95F2E">
        <w:t>2)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Satellite Communications Amendment Act 1988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Telecommunications Amendment Act 1994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Telecommunications Amendment Act 1998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Telecommunications (Carrier Licence Fees) Amendment Act 1995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Telecommunications (Carrier Licence Fees) Amendment Act 1996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Telecommunications (Carrier Licence Fees) Termination Act 1997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lastRenderedPageBreak/>
        <w:t>Telecommunications Laws Amendment (Universal Service Cap) Act 1999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Telecommunications Legislation Amendment Act 1997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Telecommunications (Universal Service Levy) Amendment Act 1999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Television Broadcasting Services (Digital Conversion) Act 1998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Television Licence Fees Amendment Act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Television Licence Fees Amendment Act (No.</w:t>
      </w:r>
      <w:r w:rsidR="00D95F2E" w:rsidRPr="00D95F2E">
        <w:t> </w:t>
      </w:r>
      <w:r w:rsidRPr="00D95F2E">
        <w:t>2)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Television Licence Fees Amendment Act (No.</w:t>
      </w:r>
      <w:r w:rsidR="00D95F2E" w:rsidRPr="00D95F2E">
        <w:t> </w:t>
      </w:r>
      <w:r w:rsidRPr="00D95F2E">
        <w:t>3) 1987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Television Stations Licence Fees Act 1981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Television Stations Licence Fees Amendment Act 1983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Television Stations Licence Fees Amendment Act 1985</w:t>
      </w:r>
    </w:p>
    <w:p w:rsidR="00D37495" w:rsidRPr="00D95F2E" w:rsidRDefault="00D37495" w:rsidP="00D95F2E">
      <w:pPr>
        <w:pStyle w:val="Specialaat"/>
        <w:keepNext w:val="0"/>
        <w:rPr>
          <w:i w:val="0"/>
        </w:rPr>
      </w:pPr>
      <w:r w:rsidRPr="00D95F2E">
        <w:t>Telstra (Transition to Full Private Ownership) Act 2005</w:t>
      </w:r>
    </w:p>
    <w:p w:rsidR="00D37495" w:rsidRPr="00D95F2E" w:rsidRDefault="00D37495" w:rsidP="00D95F2E">
      <w:pPr>
        <w:pStyle w:val="ActHead7"/>
        <w:pageBreakBefore/>
      </w:pPr>
      <w:bookmarkStart w:id="31" w:name="_Toc27564171"/>
      <w:r w:rsidRPr="00D95F2E">
        <w:rPr>
          <w:rStyle w:val="CharAmPartNo"/>
        </w:rPr>
        <w:lastRenderedPageBreak/>
        <w:t>Part</w:t>
      </w:r>
      <w:r w:rsidR="00D95F2E" w:rsidRPr="00D95F2E">
        <w:rPr>
          <w:rStyle w:val="CharAmPartNo"/>
        </w:rPr>
        <w:t> </w:t>
      </w:r>
      <w:r w:rsidRPr="00D95F2E">
        <w:rPr>
          <w:rStyle w:val="CharAmPartNo"/>
        </w:rPr>
        <w:t>2</w:t>
      </w:r>
      <w:r w:rsidRPr="00D95F2E">
        <w:t>—</w:t>
      </w:r>
      <w:r w:rsidRPr="00D95F2E">
        <w:rPr>
          <w:rStyle w:val="CharAmPartText"/>
        </w:rPr>
        <w:t>Other amendments</w:t>
      </w:r>
      <w:bookmarkEnd w:id="31"/>
    </w:p>
    <w:p w:rsidR="00D37495" w:rsidRPr="00D95F2E" w:rsidRDefault="00D37495" w:rsidP="00D95F2E">
      <w:pPr>
        <w:pStyle w:val="ActHead9"/>
        <w:rPr>
          <w:i w:val="0"/>
        </w:rPr>
      </w:pPr>
      <w:bookmarkStart w:id="32" w:name="_Toc27564172"/>
      <w:r w:rsidRPr="00D95F2E">
        <w:t>Competition and Consumer Act 2010</w:t>
      </w:r>
      <w:bookmarkEnd w:id="32"/>
    </w:p>
    <w:p w:rsidR="00D37495" w:rsidRPr="00D95F2E" w:rsidRDefault="00D37495" w:rsidP="00D95F2E">
      <w:pPr>
        <w:pStyle w:val="ItemHead"/>
      </w:pPr>
      <w:r w:rsidRPr="00D95F2E">
        <w:t>2  Sections</w:t>
      </w:r>
      <w:r w:rsidR="00D95F2E" w:rsidRPr="00D95F2E">
        <w:t> </w:t>
      </w:r>
      <w:r w:rsidRPr="00D95F2E">
        <w:t>152ELB and 152EOA</w:t>
      </w:r>
    </w:p>
    <w:p w:rsidR="00D37495" w:rsidRPr="00D95F2E" w:rsidRDefault="00D37495" w:rsidP="00D95F2E">
      <w:pPr>
        <w:pStyle w:val="Item"/>
      </w:pPr>
      <w:r w:rsidRPr="00D95F2E">
        <w:t>Repeal the sections.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33" w:name="_Toc27564173"/>
      <w:r w:rsidRPr="00D95F2E">
        <w:t>National Transmission Network Sale Act 1998</w:t>
      </w:r>
      <w:bookmarkEnd w:id="33"/>
    </w:p>
    <w:p w:rsidR="00D37495" w:rsidRPr="00D95F2E" w:rsidRDefault="00D37495" w:rsidP="00D95F2E">
      <w:pPr>
        <w:pStyle w:val="ItemHead"/>
      </w:pPr>
      <w:r w:rsidRPr="00D95F2E">
        <w:t>3  Part</w:t>
      </w:r>
      <w:r w:rsidR="00D95F2E" w:rsidRPr="00D95F2E">
        <w:t> </w:t>
      </w:r>
      <w:r w:rsidRPr="00D95F2E">
        <w:t>5</w:t>
      </w:r>
    </w:p>
    <w:p w:rsidR="00D37495" w:rsidRPr="00D95F2E" w:rsidRDefault="00D37495" w:rsidP="00D95F2E">
      <w:pPr>
        <w:pStyle w:val="Item"/>
      </w:pPr>
      <w:r w:rsidRPr="00D95F2E">
        <w:t>Repeal the Part.</w:t>
      </w:r>
    </w:p>
    <w:p w:rsidR="00D37495" w:rsidRPr="00D95F2E" w:rsidRDefault="00D37495" w:rsidP="00D95F2E">
      <w:pPr>
        <w:pStyle w:val="ItemHead"/>
      </w:pPr>
      <w:r w:rsidRPr="00D95F2E">
        <w:t>4  Sections</w:t>
      </w:r>
      <w:r w:rsidR="00D95F2E" w:rsidRPr="00D95F2E">
        <w:t> </w:t>
      </w:r>
      <w:r w:rsidRPr="00D95F2E">
        <w:t>25 and 27</w:t>
      </w:r>
    </w:p>
    <w:p w:rsidR="00D37495" w:rsidRPr="00D95F2E" w:rsidRDefault="00D37495" w:rsidP="00D95F2E">
      <w:pPr>
        <w:pStyle w:val="Item"/>
      </w:pPr>
      <w:r w:rsidRPr="00D95F2E">
        <w:t>Repeal the sections.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34" w:name="_Toc27564174"/>
      <w:r w:rsidRPr="00D95F2E">
        <w:t>Telecommunications Act 1997</w:t>
      </w:r>
      <w:bookmarkEnd w:id="34"/>
    </w:p>
    <w:p w:rsidR="00D37495" w:rsidRPr="00D95F2E" w:rsidRDefault="00D37495" w:rsidP="00D95F2E">
      <w:pPr>
        <w:pStyle w:val="ItemHead"/>
      </w:pPr>
      <w:r w:rsidRPr="00D95F2E">
        <w:t>5  Section</w:t>
      </w:r>
      <w:r w:rsidR="00D95F2E" w:rsidRPr="00D95F2E">
        <w:t> </w:t>
      </w:r>
      <w:r w:rsidRPr="00D95F2E">
        <w:t>582</w:t>
      </w:r>
    </w:p>
    <w:p w:rsidR="00D37495" w:rsidRPr="00D95F2E" w:rsidRDefault="00D37495" w:rsidP="00D95F2E">
      <w:pPr>
        <w:pStyle w:val="Item"/>
      </w:pPr>
      <w:r w:rsidRPr="00D95F2E">
        <w:t>After: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>The Minister may make grants of financial assistance for purposes in connection with research into the social, economic, environmental or technological implications of developments relating to telecommunications.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>Losses incurred by Optus Networks before 1</w:t>
      </w:r>
      <w:r w:rsidR="00D95F2E" w:rsidRPr="00D95F2E">
        <w:t> </w:t>
      </w:r>
      <w:r w:rsidRPr="00D95F2E">
        <w:t>February 1992 may not be claimed as deductions.</w:t>
      </w:r>
    </w:p>
    <w:p w:rsidR="00D37495" w:rsidRPr="00D95F2E" w:rsidRDefault="00D37495" w:rsidP="00D95F2E">
      <w:pPr>
        <w:pStyle w:val="ItemHead"/>
      </w:pPr>
      <w:r w:rsidRPr="00D95F2E">
        <w:t>6  After section</w:t>
      </w:r>
      <w:r w:rsidR="00D95F2E" w:rsidRPr="00D95F2E">
        <w:t> </w:t>
      </w:r>
      <w:r w:rsidRPr="00D95F2E">
        <w:t>593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ActHead5"/>
      </w:pPr>
      <w:bookmarkStart w:id="35" w:name="_Toc27564175"/>
      <w:r w:rsidRPr="00D95F2E">
        <w:rPr>
          <w:rStyle w:val="CharSectno"/>
        </w:rPr>
        <w:lastRenderedPageBreak/>
        <w:t>593A</w:t>
      </w:r>
      <w:r w:rsidRPr="00D95F2E">
        <w:t xml:space="preserve">  Removal of Optus Networks’ tax losses</w:t>
      </w:r>
      <w:bookmarkEnd w:id="35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>This section applies in relation to Optus Networks Pty Limited (</w:t>
      </w:r>
      <w:proofErr w:type="spellStart"/>
      <w:r w:rsidRPr="00D95F2E">
        <w:t>ACN</w:t>
      </w:r>
      <w:proofErr w:type="spellEnd"/>
      <w:r w:rsidRPr="00D95F2E">
        <w:t xml:space="preserve"> 008</w:t>
      </w:r>
      <w:r w:rsidR="00D95F2E" w:rsidRPr="00D95F2E">
        <w:t> </w:t>
      </w:r>
      <w:r w:rsidRPr="00D95F2E">
        <w:t>570</w:t>
      </w:r>
      <w:r w:rsidR="00D95F2E" w:rsidRPr="00D95F2E">
        <w:t> </w:t>
      </w:r>
      <w:r w:rsidRPr="00D95F2E">
        <w:t>330) (</w:t>
      </w:r>
      <w:r w:rsidRPr="00D95F2E">
        <w:rPr>
          <w:b/>
          <w:i/>
        </w:rPr>
        <w:t>Optus Networks</w:t>
      </w:r>
      <w:r w:rsidRPr="00D95F2E">
        <w:t>) (whether or not its name is changed).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>Optus Networks cannot deduct from its assessable income for a year of income ending on or after 1</w:t>
      </w:r>
      <w:r w:rsidR="00D95F2E" w:rsidRPr="00D95F2E">
        <w:t> </w:t>
      </w:r>
      <w:r w:rsidRPr="00D95F2E">
        <w:t>February 1992 a loss (or a part of a loss) incurred in a year of income ending on or before 1</w:t>
      </w:r>
      <w:r w:rsidR="00D95F2E" w:rsidRPr="00D95F2E">
        <w:t> </w:t>
      </w:r>
      <w:r w:rsidRPr="00D95F2E">
        <w:t>February 1992.</w:t>
      </w:r>
    </w:p>
    <w:p w:rsidR="00D37495" w:rsidRPr="00D95F2E" w:rsidRDefault="00D37495" w:rsidP="00D95F2E">
      <w:pPr>
        <w:pStyle w:val="subsection"/>
      </w:pPr>
      <w:r w:rsidRPr="00D95F2E">
        <w:tab/>
        <w:t>(3)</w:t>
      </w:r>
      <w:r w:rsidRPr="00D95F2E">
        <w:tab/>
      </w:r>
      <w:r w:rsidR="00D95F2E" w:rsidRPr="00D95F2E">
        <w:t>Subsection (</w:t>
      </w:r>
      <w:r w:rsidRPr="00D95F2E">
        <w:t xml:space="preserve">2) has effect despite anything in the </w:t>
      </w:r>
      <w:r w:rsidRPr="00D95F2E">
        <w:rPr>
          <w:i/>
        </w:rPr>
        <w:t>Income Tax Assessment Act 1936</w:t>
      </w:r>
      <w:r w:rsidRPr="00D95F2E">
        <w:t>, in particular, sections</w:t>
      </w:r>
      <w:r w:rsidR="00D95F2E" w:rsidRPr="00D95F2E">
        <w:t> </w:t>
      </w:r>
      <w:r w:rsidRPr="00D95F2E">
        <w:t>79E, 79F, 80, 80AAA and 80AA of that Act as in force before 14</w:t>
      </w:r>
      <w:r w:rsidR="00D95F2E" w:rsidRPr="00D95F2E">
        <w:t> </w:t>
      </w:r>
      <w:r w:rsidRPr="00D95F2E">
        <w:t>September 2006.</w:t>
      </w:r>
    </w:p>
    <w:p w:rsidR="00D37495" w:rsidRPr="00D95F2E" w:rsidRDefault="00D37495" w:rsidP="00D95F2E">
      <w:pPr>
        <w:pStyle w:val="subsection"/>
      </w:pPr>
      <w:r w:rsidRPr="00D95F2E">
        <w:tab/>
        <w:t>(4)</w:t>
      </w:r>
      <w:r w:rsidRPr="00D95F2E">
        <w:tab/>
        <w:t>Optus Networks cannot deduct from its assessable income for the 1997</w:t>
      </w:r>
      <w:r w:rsidR="001C2C80">
        <w:noBreakHyphen/>
      </w:r>
      <w:r w:rsidRPr="00D95F2E">
        <w:t>98 income year, or a later income year, a tax loss (or a part of a tax loss) incurred in an income year ending on or before 1</w:t>
      </w:r>
      <w:r w:rsidR="00D95F2E" w:rsidRPr="00D95F2E">
        <w:t> </w:t>
      </w:r>
      <w:r w:rsidRPr="00D95F2E">
        <w:t>February 1992.</w:t>
      </w:r>
    </w:p>
    <w:p w:rsidR="00D37495" w:rsidRPr="00D95F2E" w:rsidRDefault="00D37495" w:rsidP="00D95F2E">
      <w:pPr>
        <w:pStyle w:val="subsection"/>
      </w:pPr>
      <w:r w:rsidRPr="00D95F2E">
        <w:tab/>
        <w:t>(5)</w:t>
      </w:r>
      <w:r w:rsidRPr="00D95F2E">
        <w:tab/>
      </w:r>
      <w:r w:rsidR="00D95F2E" w:rsidRPr="00D95F2E">
        <w:t>Subsection (</w:t>
      </w:r>
      <w:r w:rsidRPr="00D95F2E">
        <w:t xml:space="preserve">4) has effect despite anything in the </w:t>
      </w:r>
      <w:r w:rsidRPr="00D95F2E">
        <w:rPr>
          <w:i/>
        </w:rPr>
        <w:t>Income Tax Assessment Act 1997</w:t>
      </w:r>
      <w:r w:rsidRPr="00D95F2E">
        <w:t>, in particular Division</w:t>
      </w:r>
      <w:r w:rsidR="00D95F2E" w:rsidRPr="00D95F2E">
        <w:t> </w:t>
      </w:r>
      <w:r w:rsidRPr="00D95F2E">
        <w:t>36 of that Act.</w:t>
      </w:r>
    </w:p>
    <w:p w:rsidR="00D37495" w:rsidRPr="00D95F2E" w:rsidRDefault="00D37495" w:rsidP="00D95F2E">
      <w:pPr>
        <w:pStyle w:val="subsection"/>
      </w:pPr>
      <w:r w:rsidRPr="00D95F2E">
        <w:tab/>
        <w:t>(6)</w:t>
      </w:r>
      <w:r w:rsidRPr="00D95F2E">
        <w:tab/>
        <w:t xml:space="preserve">An expression has the same meaning in this section as it has in the </w:t>
      </w:r>
      <w:r w:rsidRPr="00D95F2E">
        <w:rPr>
          <w:i/>
        </w:rPr>
        <w:t>Income Tax Assessment Act 1936</w:t>
      </w:r>
      <w:r w:rsidRPr="00D95F2E">
        <w:t xml:space="preserve"> or the </w:t>
      </w:r>
      <w:r w:rsidRPr="00D95F2E">
        <w:rPr>
          <w:i/>
        </w:rPr>
        <w:t>Income Tax Assessment Act 1997</w:t>
      </w:r>
      <w:r w:rsidRPr="00D95F2E">
        <w:t>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36" w:name="_Toc27564176"/>
      <w:r w:rsidRPr="00D95F2E">
        <w:t>Telstra Corporation Act 1991</w:t>
      </w:r>
      <w:bookmarkEnd w:id="36"/>
    </w:p>
    <w:p w:rsidR="00D37495" w:rsidRPr="00D95F2E" w:rsidRDefault="00D37495" w:rsidP="00D95F2E">
      <w:pPr>
        <w:pStyle w:val="ItemHead"/>
      </w:pPr>
      <w:r w:rsidRPr="00D95F2E">
        <w:t>7  Section</w:t>
      </w:r>
      <w:r w:rsidR="00D95F2E" w:rsidRPr="00D95F2E">
        <w:t> </w:t>
      </w:r>
      <w:r w:rsidRPr="00D95F2E">
        <w:t xml:space="preserve">3 (definition of </w:t>
      </w:r>
      <w:r w:rsidRPr="00D95F2E">
        <w:rPr>
          <w:i/>
        </w:rPr>
        <w:t>designated day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Omit “the day declared under section</w:t>
      </w:r>
      <w:r w:rsidR="00D95F2E" w:rsidRPr="00D95F2E">
        <w:t> </w:t>
      </w:r>
      <w:r w:rsidRPr="00D95F2E">
        <w:t xml:space="preserve">3 of the </w:t>
      </w:r>
      <w:r w:rsidRPr="00D95F2E">
        <w:rPr>
          <w:i/>
        </w:rPr>
        <w:t>Telstra (Transition to Full Private Ownership) Act 2005</w:t>
      </w:r>
      <w:r w:rsidRPr="00D95F2E">
        <w:t>”, substitute “24</w:t>
      </w:r>
      <w:r w:rsidR="00D95F2E" w:rsidRPr="00D95F2E">
        <w:t> </w:t>
      </w:r>
      <w:r w:rsidRPr="00D95F2E">
        <w:t>November 2006”.</w:t>
      </w:r>
    </w:p>
    <w:p w:rsidR="00D37495" w:rsidRPr="00D95F2E" w:rsidRDefault="00D37495" w:rsidP="00D95F2E">
      <w:pPr>
        <w:pStyle w:val="ItemHead"/>
      </w:pPr>
      <w:r w:rsidRPr="00D95F2E">
        <w:t>8  Paragraph 3B(1)(b)</w:t>
      </w:r>
    </w:p>
    <w:p w:rsidR="00D37495" w:rsidRPr="00D95F2E" w:rsidRDefault="00D37495" w:rsidP="00D95F2E">
      <w:pPr>
        <w:pStyle w:val="Item"/>
        <w:rPr>
          <w:szCs w:val="22"/>
        </w:rPr>
      </w:pPr>
      <w:r w:rsidRPr="00D95F2E">
        <w:rPr>
          <w:szCs w:val="22"/>
        </w:rPr>
        <w:t>Omit “the commencement of Part</w:t>
      </w:r>
      <w:r w:rsidR="00D95F2E" w:rsidRPr="00D95F2E">
        <w:rPr>
          <w:szCs w:val="22"/>
        </w:rPr>
        <w:t> </w:t>
      </w:r>
      <w:r w:rsidRPr="00D95F2E">
        <w:rPr>
          <w:szCs w:val="22"/>
        </w:rPr>
        <w:t>1 of Schedule</w:t>
      </w:r>
      <w:r w:rsidR="00D95F2E" w:rsidRPr="00D95F2E">
        <w:rPr>
          <w:szCs w:val="22"/>
        </w:rPr>
        <w:t> </w:t>
      </w:r>
      <w:r w:rsidRPr="00D95F2E">
        <w:rPr>
          <w:szCs w:val="22"/>
        </w:rPr>
        <w:t xml:space="preserve">1 to the </w:t>
      </w:r>
      <w:r w:rsidRPr="00D95F2E">
        <w:rPr>
          <w:i/>
          <w:szCs w:val="22"/>
        </w:rPr>
        <w:t>Telstra (Transition to Full Private Ownership) Act 2005</w:t>
      </w:r>
      <w:r w:rsidRPr="00D95F2E">
        <w:rPr>
          <w:szCs w:val="22"/>
        </w:rPr>
        <w:t>”, substitute “23</w:t>
      </w:r>
      <w:r w:rsidR="00D95F2E" w:rsidRPr="00D95F2E">
        <w:rPr>
          <w:szCs w:val="22"/>
        </w:rPr>
        <w:t> </w:t>
      </w:r>
      <w:r w:rsidRPr="00D95F2E">
        <w:rPr>
          <w:szCs w:val="22"/>
        </w:rPr>
        <w:t>September 2005”.</w:t>
      </w:r>
    </w:p>
    <w:p w:rsidR="00D37495" w:rsidRPr="00D95F2E" w:rsidRDefault="00D37495" w:rsidP="00D95F2E">
      <w:pPr>
        <w:pStyle w:val="ActHead6"/>
        <w:pageBreakBefore/>
      </w:pPr>
      <w:bookmarkStart w:id="37" w:name="_Toc27564177"/>
      <w:r w:rsidRPr="00D95F2E">
        <w:rPr>
          <w:rStyle w:val="CharAmSchNo"/>
        </w:rPr>
        <w:lastRenderedPageBreak/>
        <w:t>Schedule</w:t>
      </w:r>
      <w:r w:rsidR="00D95F2E" w:rsidRPr="00D95F2E">
        <w:rPr>
          <w:rStyle w:val="CharAmSchNo"/>
        </w:rPr>
        <w:t> </w:t>
      </w:r>
      <w:r w:rsidRPr="00D95F2E">
        <w:rPr>
          <w:rStyle w:val="CharAmSchNo"/>
        </w:rPr>
        <w:t>6</w:t>
      </w:r>
      <w:r w:rsidRPr="00D95F2E">
        <w:t>—</w:t>
      </w:r>
      <w:r w:rsidRPr="00D95F2E">
        <w:rPr>
          <w:rStyle w:val="CharAmSchText"/>
        </w:rPr>
        <w:t>Numbering arrangements</w:t>
      </w:r>
      <w:bookmarkEnd w:id="37"/>
    </w:p>
    <w:p w:rsidR="00D37495" w:rsidRPr="00D95F2E" w:rsidRDefault="00D37495" w:rsidP="00D95F2E">
      <w:pPr>
        <w:pStyle w:val="ActHead7"/>
      </w:pPr>
      <w:bookmarkStart w:id="38" w:name="_Toc27564178"/>
      <w:r w:rsidRPr="00D95F2E">
        <w:rPr>
          <w:rStyle w:val="CharAmPartNo"/>
        </w:rPr>
        <w:t>Part</w:t>
      </w:r>
      <w:r w:rsidR="00D95F2E" w:rsidRPr="00D95F2E">
        <w:rPr>
          <w:rStyle w:val="CharAmPartNo"/>
        </w:rPr>
        <w:t> </w:t>
      </w:r>
      <w:r w:rsidRPr="00D95F2E">
        <w:rPr>
          <w:rStyle w:val="CharAmPartNo"/>
        </w:rPr>
        <w:t>1</w:t>
      </w:r>
      <w:r w:rsidRPr="00D95F2E">
        <w:t>—</w:t>
      </w:r>
      <w:r w:rsidRPr="00D95F2E">
        <w:rPr>
          <w:rStyle w:val="CharAmPartText"/>
        </w:rPr>
        <w:t>Amendment of the Telecommunications Act 1997</w:t>
      </w:r>
      <w:bookmarkEnd w:id="38"/>
    </w:p>
    <w:p w:rsidR="00D37495" w:rsidRPr="00D95F2E" w:rsidRDefault="00D37495" w:rsidP="00D95F2E">
      <w:pPr>
        <w:pStyle w:val="ActHead9"/>
        <w:rPr>
          <w:i w:val="0"/>
        </w:rPr>
      </w:pPr>
      <w:bookmarkStart w:id="39" w:name="_Toc27564179"/>
      <w:r w:rsidRPr="00D95F2E">
        <w:t>Telecommunications Act 1997</w:t>
      </w:r>
      <w:bookmarkEnd w:id="39"/>
    </w:p>
    <w:p w:rsidR="00D37495" w:rsidRPr="00D95F2E" w:rsidRDefault="00D37495" w:rsidP="00D95F2E">
      <w:pPr>
        <w:pStyle w:val="ItemHead"/>
      </w:pPr>
      <w:r w:rsidRPr="00D95F2E">
        <w:t>1  Section</w:t>
      </w:r>
      <w:r w:rsidR="00D95F2E" w:rsidRPr="00D95F2E">
        <w:t> </w:t>
      </w:r>
      <w:r w:rsidRPr="00D95F2E">
        <w:t>5</w:t>
      </w:r>
    </w:p>
    <w:p w:rsidR="00D37495" w:rsidRPr="00D95F2E" w:rsidRDefault="00D37495" w:rsidP="00D95F2E">
      <w:pPr>
        <w:pStyle w:val="Item"/>
      </w:pPr>
      <w:r w:rsidRPr="00D95F2E">
        <w:t>Omit: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may regulate numbering by means of a </w:t>
      </w:r>
      <w:r w:rsidRPr="00D95F2E">
        <w:rPr>
          <w:b/>
          <w:i/>
        </w:rPr>
        <w:t>numbering plan</w:t>
      </w:r>
      <w:r w:rsidRPr="00D95F2E">
        <w:t>.</w:t>
      </w:r>
    </w:p>
    <w:p w:rsidR="00D37495" w:rsidRPr="00D95F2E" w:rsidRDefault="00D37495" w:rsidP="00D95F2E">
      <w:pPr>
        <w:pStyle w:val="Item"/>
        <w:rPr>
          <w:rFonts w:eastAsia="Calibri"/>
          <w:lang w:eastAsia="en-US"/>
        </w:rPr>
      </w:pPr>
      <w:r w:rsidRPr="00D95F2E">
        <w:rPr>
          <w:rFonts w:eastAsia="Calibri"/>
          <w:lang w:eastAsia="en-US"/>
        </w:rPr>
        <w:t>substitute: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 xml:space="preserve">Numbering may be administered by a </w:t>
      </w:r>
      <w:r w:rsidRPr="00D95F2E">
        <w:rPr>
          <w:b/>
          <w:i/>
        </w:rPr>
        <w:t>numbering scheme manager</w:t>
      </w:r>
      <w:r w:rsidRPr="00D95F2E">
        <w:t xml:space="preserve"> or by the </w:t>
      </w:r>
      <w:proofErr w:type="spellStart"/>
      <w:r w:rsidRPr="00D95F2E">
        <w:t>ACMA</w:t>
      </w:r>
      <w:proofErr w:type="spellEnd"/>
      <w:r w:rsidRPr="00D95F2E">
        <w:t>.</w:t>
      </w:r>
    </w:p>
    <w:p w:rsidR="00D37495" w:rsidRPr="00D95F2E" w:rsidRDefault="00D37495" w:rsidP="00D95F2E">
      <w:pPr>
        <w:pStyle w:val="ItemHead"/>
      </w:pPr>
      <w:r w:rsidRPr="00D95F2E">
        <w:t>2  Section</w:t>
      </w:r>
      <w:r w:rsidR="00D95F2E" w:rsidRPr="00D95F2E">
        <w:t> </w:t>
      </w:r>
      <w:r w:rsidRPr="00D95F2E">
        <w:t>7 (</w:t>
      </w:r>
      <w:r w:rsidR="00D95F2E" w:rsidRPr="00D95F2E">
        <w:t>subparagraph (</w:t>
      </w:r>
      <w:r w:rsidRPr="00D95F2E">
        <w:t xml:space="preserve">b)(iv) of the definition of </w:t>
      </w:r>
      <w:r w:rsidRPr="00D95F2E">
        <w:rPr>
          <w:i/>
        </w:rPr>
        <w:t>emergency call service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Repeal the subparagraph, substitute:</w:t>
      </w:r>
    </w:p>
    <w:p w:rsidR="00D37495" w:rsidRPr="00D95F2E" w:rsidRDefault="00D37495" w:rsidP="00D95F2E">
      <w:pPr>
        <w:pStyle w:val="paragraphsub"/>
      </w:pPr>
      <w:r w:rsidRPr="00D95F2E">
        <w:tab/>
        <w:t>(iv)</w:t>
      </w:r>
      <w:r w:rsidRPr="00D95F2E">
        <w:tab/>
        <w:t xml:space="preserve">if there is a numbering scheme manager—a service specified by the </w:t>
      </w:r>
      <w:proofErr w:type="spellStart"/>
      <w:r w:rsidRPr="00D95F2E">
        <w:t>ACMA</w:t>
      </w:r>
      <w:proofErr w:type="spellEnd"/>
      <w:r w:rsidRPr="00D95F2E">
        <w:t xml:space="preserve"> for the purposes of this subparagraph in a legislative instrument; or</w:t>
      </w:r>
    </w:p>
    <w:p w:rsidR="00D37495" w:rsidRPr="00D95F2E" w:rsidRDefault="00D37495" w:rsidP="00D95F2E">
      <w:pPr>
        <w:pStyle w:val="paragraphsub"/>
      </w:pPr>
      <w:r w:rsidRPr="00D95F2E">
        <w:tab/>
        <w:t>(</w:t>
      </w:r>
      <w:proofErr w:type="spellStart"/>
      <w:r w:rsidRPr="00D95F2E">
        <w:t>iva</w:t>
      </w:r>
      <w:proofErr w:type="spellEnd"/>
      <w:r w:rsidRPr="00D95F2E">
        <w:t>)</w:t>
      </w:r>
      <w:r w:rsidRPr="00D95F2E">
        <w:tab/>
        <w:t xml:space="preserve">if there is no numbering scheme manager—a service specified for the purposes of this subparagraph in the numbering plan made by the </w:t>
      </w:r>
      <w:proofErr w:type="spellStart"/>
      <w:r w:rsidRPr="00D95F2E">
        <w:t>ACMA</w:t>
      </w:r>
      <w:proofErr w:type="spellEnd"/>
      <w:r w:rsidRPr="00D95F2E">
        <w:t>; or</w:t>
      </w:r>
    </w:p>
    <w:p w:rsidR="00D37495" w:rsidRPr="00D95F2E" w:rsidRDefault="00D37495" w:rsidP="00D95F2E">
      <w:pPr>
        <w:pStyle w:val="ItemHead"/>
      </w:pPr>
      <w:r w:rsidRPr="00D95F2E">
        <w:t>3  Section</w:t>
      </w:r>
      <w:r w:rsidR="00D95F2E" w:rsidRPr="00D95F2E">
        <w:t> </w:t>
      </w:r>
      <w:r w:rsidRPr="00D95F2E">
        <w:t>7 (</w:t>
      </w:r>
      <w:r w:rsidR="00D95F2E" w:rsidRPr="00D95F2E">
        <w:t>subparagraph (</w:t>
      </w:r>
      <w:r w:rsidRPr="00D95F2E">
        <w:t xml:space="preserve">b)(v) of the definition of </w:t>
      </w:r>
      <w:r w:rsidRPr="00D95F2E">
        <w:rPr>
          <w:i/>
        </w:rPr>
        <w:t>emergency call service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Omit “or (iv)”, substitute “, (iv) or (</w:t>
      </w:r>
      <w:proofErr w:type="spellStart"/>
      <w:r w:rsidRPr="00D95F2E">
        <w:t>iva</w:t>
      </w:r>
      <w:proofErr w:type="spellEnd"/>
      <w:r w:rsidRPr="00D95F2E">
        <w:t>)”.</w:t>
      </w:r>
    </w:p>
    <w:p w:rsidR="00D37495" w:rsidRPr="00D95F2E" w:rsidRDefault="00D37495" w:rsidP="00D95F2E">
      <w:pPr>
        <w:pStyle w:val="ItemHead"/>
      </w:pPr>
      <w:r w:rsidRPr="00D95F2E">
        <w:t>4  Section</w:t>
      </w:r>
      <w:r w:rsidR="00D95F2E" w:rsidRPr="00D95F2E">
        <w:t> </w:t>
      </w:r>
      <w:r w:rsidRPr="00D95F2E">
        <w:t>7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Definition"/>
      </w:pPr>
      <w:r w:rsidRPr="00D95F2E">
        <w:rPr>
          <w:b/>
          <w:i/>
        </w:rPr>
        <w:t>numbering scheme</w:t>
      </w:r>
      <w:r w:rsidRPr="00D95F2E">
        <w:t xml:space="preserve"> means the scheme for planning and managing: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the numbering of carriage services in Australia; and</w:t>
      </w:r>
    </w:p>
    <w:p w:rsidR="00D37495" w:rsidRPr="00D95F2E" w:rsidRDefault="00D37495" w:rsidP="00D95F2E">
      <w:pPr>
        <w:pStyle w:val="paragraph"/>
      </w:pPr>
      <w:r w:rsidRPr="00D95F2E">
        <w:lastRenderedPageBreak/>
        <w:tab/>
        <w:t>(b)</w:t>
      </w:r>
      <w:r w:rsidRPr="00D95F2E">
        <w:tab/>
        <w:t>the use of numbers in connection with the supply of such services; and</w:t>
      </w:r>
    </w:p>
    <w:p w:rsidR="00D37495" w:rsidRPr="00D95F2E" w:rsidRDefault="00D37495" w:rsidP="00D95F2E">
      <w:pPr>
        <w:pStyle w:val="paragraph"/>
      </w:pPr>
      <w:r w:rsidRPr="00D95F2E">
        <w:tab/>
        <w:t>(c)</w:t>
      </w:r>
      <w:r w:rsidRPr="00D95F2E">
        <w:tab/>
        <w:t>the specification, allocation and issuing of numbers for that use.</w:t>
      </w:r>
    </w:p>
    <w:p w:rsidR="00D37495" w:rsidRPr="00D95F2E" w:rsidRDefault="00D37495" w:rsidP="00D95F2E">
      <w:pPr>
        <w:pStyle w:val="Definition"/>
      </w:pPr>
      <w:r w:rsidRPr="00D95F2E">
        <w:rPr>
          <w:b/>
          <w:i/>
        </w:rPr>
        <w:t>numbering scheme manager</w:t>
      </w:r>
      <w:r w:rsidRPr="00D95F2E">
        <w:t>: see subsection</w:t>
      </w:r>
      <w:r w:rsidR="00D95F2E" w:rsidRPr="00D95F2E">
        <w:t> </w:t>
      </w:r>
      <w:r w:rsidRPr="00D95F2E">
        <w:t>454A(2).</w:t>
      </w:r>
    </w:p>
    <w:p w:rsidR="00D37495" w:rsidRPr="00D95F2E" w:rsidRDefault="00D37495" w:rsidP="00D95F2E">
      <w:pPr>
        <w:pStyle w:val="Definition"/>
      </w:pPr>
      <w:r w:rsidRPr="00D95F2E">
        <w:rPr>
          <w:b/>
          <w:i/>
        </w:rPr>
        <w:t>numbering scheme principles</w:t>
      </w:r>
      <w:r w:rsidRPr="00D95F2E">
        <w:t>: see subsection</w:t>
      </w:r>
      <w:r w:rsidR="00D95F2E" w:rsidRPr="00D95F2E">
        <w:t> </w:t>
      </w:r>
      <w:r w:rsidRPr="00D95F2E">
        <w:t>454C(2).</w:t>
      </w:r>
    </w:p>
    <w:p w:rsidR="00D37495" w:rsidRPr="00D95F2E" w:rsidRDefault="00D37495" w:rsidP="00D95F2E">
      <w:pPr>
        <w:pStyle w:val="ItemHead"/>
      </w:pPr>
      <w:r w:rsidRPr="00D95F2E">
        <w:t>5  Subsection</w:t>
      </w:r>
      <w:r w:rsidR="00D95F2E" w:rsidRPr="00D95F2E">
        <w:t> </w:t>
      </w:r>
      <w:r w:rsidRPr="00D95F2E">
        <w:t xml:space="preserve">285(2) (definition of </w:t>
      </w:r>
      <w:r w:rsidRPr="00D95F2E">
        <w:rPr>
          <w:i/>
        </w:rPr>
        <w:t>public number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Omit “in the numbering plan as mentioned in subsection</w:t>
      </w:r>
      <w:r w:rsidR="00D95F2E" w:rsidRPr="00D95F2E">
        <w:t> </w:t>
      </w:r>
      <w:r w:rsidRPr="00D95F2E">
        <w:t>455(3)”, substitute “for use in connection with the supply of carriage services to the public in Australia (within the meaning of subsection</w:t>
      </w:r>
      <w:r w:rsidR="00D95F2E" w:rsidRPr="00D95F2E">
        <w:t> </w:t>
      </w:r>
      <w:r w:rsidRPr="00D95F2E">
        <w:t>456(2))”.</w:t>
      </w:r>
    </w:p>
    <w:p w:rsidR="00D37495" w:rsidRPr="00D95F2E" w:rsidRDefault="00D37495" w:rsidP="00D95F2E">
      <w:pPr>
        <w:pStyle w:val="ItemHead"/>
      </w:pPr>
      <w:r w:rsidRPr="00D95F2E">
        <w:t>6  Subparagraph 286(c)(v)</w:t>
      </w:r>
    </w:p>
    <w:p w:rsidR="00D37495" w:rsidRPr="00D95F2E" w:rsidRDefault="00D37495" w:rsidP="00D95F2E">
      <w:pPr>
        <w:pStyle w:val="Item"/>
      </w:pPr>
      <w:r w:rsidRPr="00D95F2E">
        <w:t>Repeal the subparagraph, substitute:</w:t>
      </w:r>
    </w:p>
    <w:p w:rsidR="00D37495" w:rsidRPr="00D95F2E" w:rsidRDefault="00D37495" w:rsidP="00D95F2E">
      <w:pPr>
        <w:pStyle w:val="paragraphsub"/>
      </w:pPr>
      <w:r w:rsidRPr="00D95F2E">
        <w:tab/>
        <w:t>(v)</w:t>
      </w:r>
      <w:r w:rsidRPr="00D95F2E">
        <w:tab/>
        <w:t xml:space="preserve">if there is a numbering scheme manager—a service specified by the </w:t>
      </w:r>
      <w:proofErr w:type="spellStart"/>
      <w:r w:rsidRPr="00D95F2E">
        <w:t>ACMA</w:t>
      </w:r>
      <w:proofErr w:type="spellEnd"/>
      <w:r w:rsidRPr="00D95F2E">
        <w:t xml:space="preserve"> for the purposes of this subparagraph in a legislative instrument; or</w:t>
      </w:r>
    </w:p>
    <w:p w:rsidR="00D37495" w:rsidRPr="00D95F2E" w:rsidRDefault="00D37495" w:rsidP="00D95F2E">
      <w:pPr>
        <w:pStyle w:val="paragraphsub"/>
      </w:pPr>
      <w:r w:rsidRPr="00D95F2E">
        <w:tab/>
        <w:t>(</w:t>
      </w:r>
      <w:proofErr w:type="spellStart"/>
      <w:r w:rsidRPr="00D95F2E">
        <w:t>va</w:t>
      </w:r>
      <w:proofErr w:type="spellEnd"/>
      <w:r w:rsidRPr="00D95F2E">
        <w:t>)</w:t>
      </w:r>
      <w:r w:rsidRPr="00D95F2E">
        <w:tab/>
        <w:t xml:space="preserve">if there is no numbering scheme manager—a service specified for the purposes of this subparagraph in the numbering plan made by the </w:t>
      </w:r>
      <w:proofErr w:type="spellStart"/>
      <w:r w:rsidRPr="00D95F2E">
        <w:t>ACMA</w:t>
      </w:r>
      <w:proofErr w:type="spellEnd"/>
      <w:r w:rsidRPr="00D95F2E">
        <w:t>; or</w:t>
      </w:r>
    </w:p>
    <w:p w:rsidR="00D37495" w:rsidRPr="00D95F2E" w:rsidRDefault="00D37495" w:rsidP="00D95F2E">
      <w:pPr>
        <w:pStyle w:val="ItemHead"/>
      </w:pPr>
      <w:r w:rsidRPr="00D95F2E">
        <w:t>7  Subparagraph 286(c)(vi)</w:t>
      </w:r>
    </w:p>
    <w:p w:rsidR="00D37495" w:rsidRPr="00D95F2E" w:rsidRDefault="00D37495" w:rsidP="00D95F2E">
      <w:pPr>
        <w:pStyle w:val="Item"/>
      </w:pPr>
      <w:r w:rsidRPr="00D95F2E">
        <w:t>Omit “or (v)”, substitute “, (v) or (</w:t>
      </w:r>
      <w:proofErr w:type="spellStart"/>
      <w:r w:rsidRPr="00D95F2E">
        <w:t>va</w:t>
      </w:r>
      <w:proofErr w:type="spellEnd"/>
      <w:r w:rsidRPr="00D95F2E">
        <w:t>)”.</w:t>
      </w:r>
    </w:p>
    <w:p w:rsidR="00D37495" w:rsidRPr="00D95F2E" w:rsidRDefault="00D37495" w:rsidP="00D95F2E">
      <w:pPr>
        <w:pStyle w:val="ItemHead"/>
      </w:pPr>
      <w:r w:rsidRPr="00D95F2E">
        <w:t>8  Section</w:t>
      </w:r>
      <w:r w:rsidR="00D95F2E" w:rsidRPr="00D95F2E">
        <w:t> </w:t>
      </w:r>
      <w:r w:rsidRPr="00D95F2E">
        <w:t>454</w:t>
      </w:r>
    </w:p>
    <w:p w:rsidR="00D37495" w:rsidRPr="00D95F2E" w:rsidRDefault="00D37495" w:rsidP="00D95F2E">
      <w:pPr>
        <w:pStyle w:val="Item"/>
      </w:pPr>
      <w:r w:rsidRPr="00D95F2E">
        <w:t>Omit: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is required to make a plan for:</w:t>
      </w:r>
    </w:p>
    <w:p w:rsidR="00D37495" w:rsidRPr="00D95F2E" w:rsidRDefault="00D37495" w:rsidP="00D95F2E">
      <w:pPr>
        <w:pStyle w:val="SOPara"/>
      </w:pPr>
      <w:r w:rsidRPr="00D95F2E">
        <w:tab/>
        <w:t>(a)</w:t>
      </w:r>
      <w:r w:rsidRPr="00D95F2E">
        <w:tab/>
        <w:t>the numbering of carriage services in Australia; and</w:t>
      </w:r>
    </w:p>
    <w:p w:rsidR="00D37495" w:rsidRPr="00D95F2E" w:rsidRDefault="00D37495" w:rsidP="00D95F2E">
      <w:pPr>
        <w:pStyle w:val="SOPara"/>
      </w:pPr>
      <w:r w:rsidRPr="00D95F2E">
        <w:tab/>
        <w:t>(b)</w:t>
      </w:r>
      <w:r w:rsidRPr="00D95F2E">
        <w:tab/>
        <w:t>the use of numbers in connection with the supply of such services.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>The plan is called the numbering plan.</w:t>
      </w:r>
    </w:p>
    <w:p w:rsidR="00D37495" w:rsidRPr="00D95F2E" w:rsidRDefault="00D37495" w:rsidP="00D95F2E">
      <w:pPr>
        <w:pStyle w:val="Item"/>
      </w:pPr>
      <w:r w:rsidRPr="00D95F2E">
        <w:t>substitute:</w:t>
      </w:r>
    </w:p>
    <w:p w:rsidR="00D37495" w:rsidRPr="00D95F2E" w:rsidRDefault="00D37495" w:rsidP="00D95F2E">
      <w:pPr>
        <w:pStyle w:val="SOBullet"/>
      </w:pPr>
      <w:r w:rsidRPr="00D95F2E">
        <w:lastRenderedPageBreak/>
        <w:t>•</w:t>
      </w:r>
      <w:r w:rsidRPr="00D95F2E">
        <w:tab/>
        <w:t>The numbering of carriages services in Australia, and the use of numbers in connection with the supply of such services, may either be:</w:t>
      </w:r>
    </w:p>
    <w:p w:rsidR="00D37495" w:rsidRPr="00D95F2E" w:rsidRDefault="00D37495" w:rsidP="00D95F2E">
      <w:pPr>
        <w:pStyle w:val="SOPara"/>
      </w:pPr>
      <w:r w:rsidRPr="00D95F2E">
        <w:tab/>
        <w:t>(a)</w:t>
      </w:r>
      <w:r w:rsidRPr="00D95F2E">
        <w:tab/>
        <w:t>managed by a numbering scheme manager determined by the Minister; or</w:t>
      </w:r>
    </w:p>
    <w:p w:rsidR="00D37495" w:rsidRPr="00D95F2E" w:rsidRDefault="00D37495" w:rsidP="00D95F2E">
      <w:pPr>
        <w:pStyle w:val="SOPara"/>
      </w:pPr>
      <w:r w:rsidRPr="00D95F2E">
        <w:tab/>
        <w:t>(b)</w:t>
      </w:r>
      <w:r w:rsidRPr="00D95F2E">
        <w:tab/>
        <w:t xml:space="preserve">administered by the </w:t>
      </w:r>
      <w:proofErr w:type="spellStart"/>
      <w:r w:rsidRPr="00D95F2E">
        <w:t>ACMA</w:t>
      </w:r>
      <w:proofErr w:type="spellEnd"/>
      <w:r w:rsidRPr="00D95F2E">
        <w:t xml:space="preserve"> under a numbering plan.</w:t>
      </w:r>
    </w:p>
    <w:p w:rsidR="00D37495" w:rsidRPr="00D95F2E" w:rsidRDefault="00D37495" w:rsidP="00D95F2E">
      <w:pPr>
        <w:pStyle w:val="ItemHead"/>
      </w:pPr>
      <w:r w:rsidRPr="00D95F2E">
        <w:t>9  Section</w:t>
      </w:r>
      <w:r w:rsidR="00D95F2E" w:rsidRPr="00D95F2E">
        <w:t> </w:t>
      </w:r>
      <w:r w:rsidRPr="00D95F2E">
        <w:t>454</w:t>
      </w:r>
    </w:p>
    <w:p w:rsidR="00D37495" w:rsidRPr="00D95F2E" w:rsidRDefault="00D37495" w:rsidP="00D95F2E">
      <w:pPr>
        <w:pStyle w:val="Item"/>
      </w:pPr>
      <w:r w:rsidRPr="00D95F2E">
        <w:t>Omit: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>The numbering plan will specify emergency service numbers.</w:t>
      </w:r>
    </w:p>
    <w:p w:rsidR="00D37495" w:rsidRPr="00D95F2E" w:rsidRDefault="00D37495" w:rsidP="00D95F2E">
      <w:pPr>
        <w:pStyle w:val="Item"/>
      </w:pPr>
      <w:r w:rsidRPr="00D95F2E">
        <w:t>substitute: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will specify emergency service numbers.</w:t>
      </w:r>
    </w:p>
    <w:p w:rsidR="00D37495" w:rsidRPr="00D95F2E" w:rsidRDefault="00D37495" w:rsidP="00D95F2E">
      <w:pPr>
        <w:pStyle w:val="ItemHead"/>
      </w:pPr>
      <w:r w:rsidRPr="00D95F2E">
        <w:t>10  Before Subdivision A of Division</w:t>
      </w:r>
      <w:r w:rsidR="00D95F2E" w:rsidRPr="00D95F2E">
        <w:t> </w:t>
      </w:r>
      <w:r w:rsidRPr="00D95F2E">
        <w:t>2 of Part</w:t>
      </w:r>
      <w:r w:rsidR="00D95F2E" w:rsidRPr="00D95F2E">
        <w:t> </w:t>
      </w:r>
      <w:r w:rsidRPr="00D95F2E">
        <w:t>22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ActHead4"/>
      </w:pPr>
      <w:bookmarkStart w:id="40" w:name="_Toc27564180"/>
      <w:r w:rsidRPr="00D95F2E">
        <w:rPr>
          <w:rStyle w:val="CharSubdNo"/>
        </w:rPr>
        <w:t>Subdivision AA</w:t>
      </w:r>
      <w:r w:rsidRPr="00D95F2E">
        <w:t>—</w:t>
      </w:r>
      <w:r w:rsidRPr="00D95F2E">
        <w:rPr>
          <w:rStyle w:val="CharSubdText"/>
        </w:rPr>
        <w:t>Management by numbering scheme manager</w:t>
      </w:r>
      <w:bookmarkEnd w:id="40"/>
    </w:p>
    <w:p w:rsidR="00D37495" w:rsidRPr="00D95F2E" w:rsidRDefault="00D37495" w:rsidP="00D95F2E">
      <w:pPr>
        <w:pStyle w:val="ActHead5"/>
      </w:pPr>
      <w:bookmarkStart w:id="41" w:name="_Toc27564181"/>
      <w:r w:rsidRPr="00D95F2E">
        <w:rPr>
          <w:rStyle w:val="CharSectno"/>
        </w:rPr>
        <w:t>454A</w:t>
      </w:r>
      <w:r w:rsidRPr="00D95F2E">
        <w:t xml:space="preserve">  Minister may determine numbering scheme manager</w:t>
      </w:r>
      <w:bookmarkEnd w:id="41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>The Minister may, by legislative instrument, determine that a specified person is to manage the numbering scheme.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 xml:space="preserve">The person is the </w:t>
      </w:r>
      <w:r w:rsidRPr="00D95F2E">
        <w:rPr>
          <w:b/>
          <w:i/>
        </w:rPr>
        <w:t>numbering scheme manager</w:t>
      </w:r>
      <w:r w:rsidRPr="00D95F2E">
        <w:t>.</w:t>
      </w:r>
    </w:p>
    <w:p w:rsidR="00D37495" w:rsidRPr="00D95F2E" w:rsidRDefault="00D37495" w:rsidP="00D95F2E">
      <w:pPr>
        <w:pStyle w:val="subsection"/>
      </w:pPr>
      <w:r w:rsidRPr="00D95F2E">
        <w:tab/>
        <w:t>(3)</w:t>
      </w:r>
      <w:r w:rsidRPr="00D95F2E">
        <w:tab/>
        <w:t>The Minister must not determine a person as the numbering scheme manager unless the Minister is satisfied that the person will manage the numbering scheme in accordance with the numbering scheme principles.</w:t>
      </w:r>
    </w:p>
    <w:p w:rsidR="00D37495" w:rsidRPr="00D95F2E" w:rsidRDefault="00D37495" w:rsidP="00D95F2E">
      <w:pPr>
        <w:pStyle w:val="subsection"/>
      </w:pPr>
      <w:r w:rsidRPr="00D95F2E">
        <w:tab/>
        <w:t>(4)</w:t>
      </w:r>
      <w:r w:rsidRPr="00D95F2E">
        <w:tab/>
        <w:t xml:space="preserve">Before determining a person as the numbering scheme manager, the Minister must consult with the </w:t>
      </w:r>
      <w:proofErr w:type="spellStart"/>
      <w:r w:rsidRPr="00D95F2E">
        <w:t>ACMA</w:t>
      </w:r>
      <w:proofErr w:type="spellEnd"/>
      <w:r w:rsidRPr="00D95F2E">
        <w:t xml:space="preserve"> and the </w:t>
      </w:r>
      <w:proofErr w:type="spellStart"/>
      <w:r w:rsidRPr="00D95F2E">
        <w:t>ACCC</w:t>
      </w:r>
      <w:proofErr w:type="spellEnd"/>
      <w:r w:rsidRPr="00D95F2E">
        <w:t>.</w:t>
      </w:r>
    </w:p>
    <w:p w:rsidR="00D37495" w:rsidRPr="00D95F2E" w:rsidRDefault="00D37495" w:rsidP="00D95F2E">
      <w:pPr>
        <w:pStyle w:val="ActHead5"/>
      </w:pPr>
      <w:bookmarkStart w:id="42" w:name="_Toc27564182"/>
      <w:r w:rsidRPr="00D95F2E">
        <w:rPr>
          <w:rStyle w:val="CharSectno"/>
        </w:rPr>
        <w:lastRenderedPageBreak/>
        <w:t>454B</w:t>
      </w:r>
      <w:r w:rsidRPr="00D95F2E">
        <w:t xml:space="preserve">  No property rights in numbers</w:t>
      </w:r>
      <w:bookmarkEnd w:id="42"/>
    </w:p>
    <w:p w:rsidR="00D37495" w:rsidRPr="00D95F2E" w:rsidRDefault="00D37495" w:rsidP="00D95F2E">
      <w:pPr>
        <w:pStyle w:val="subsection"/>
      </w:pPr>
      <w:r w:rsidRPr="00D95F2E">
        <w:tab/>
      </w:r>
      <w:r w:rsidRPr="00D95F2E">
        <w:tab/>
        <w:t>Determination of a person as the numbering scheme manager does not confer any property rights in numbers used in connection with the supply of carriage services in Australia.</w:t>
      </w:r>
    </w:p>
    <w:p w:rsidR="00D37495" w:rsidRPr="00D95F2E" w:rsidRDefault="00D37495" w:rsidP="00D95F2E">
      <w:pPr>
        <w:pStyle w:val="ActHead5"/>
      </w:pPr>
      <w:bookmarkStart w:id="43" w:name="_Toc27564183"/>
      <w:r w:rsidRPr="00D95F2E">
        <w:rPr>
          <w:rStyle w:val="CharSectno"/>
        </w:rPr>
        <w:t>454C</w:t>
      </w:r>
      <w:r w:rsidRPr="00D95F2E">
        <w:t xml:space="preserve">  Numbering scheme principles</w:t>
      </w:r>
      <w:bookmarkEnd w:id="43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>The numbering scheme manager must manage the numbering scheme in accordance with the numbering scheme principles.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 xml:space="preserve">The </w:t>
      </w:r>
      <w:r w:rsidRPr="00D95F2E">
        <w:rPr>
          <w:b/>
          <w:i/>
        </w:rPr>
        <w:t>numbering scheme principles</w:t>
      </w:r>
      <w:r w:rsidRPr="00D95F2E">
        <w:t xml:space="preserve"> are as follows: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there must be an adequate and appropriate supply of numbers for carriage services;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>future needs for numbering must be planned for, having regard to community needs, industry needs and global trends;</w:t>
      </w:r>
    </w:p>
    <w:p w:rsidR="00D37495" w:rsidRPr="00D95F2E" w:rsidRDefault="00D37495" w:rsidP="00D95F2E">
      <w:pPr>
        <w:pStyle w:val="paragraph"/>
      </w:pPr>
      <w:r w:rsidRPr="00D95F2E">
        <w:tab/>
        <w:t>(c)</w:t>
      </w:r>
      <w:r w:rsidRPr="00D95F2E">
        <w:tab/>
        <w:t>numbering arrangements must be effective and efficient and support the effective and efficient supply of carriage services;</w:t>
      </w:r>
    </w:p>
    <w:p w:rsidR="00D37495" w:rsidRPr="00D95F2E" w:rsidRDefault="00D37495" w:rsidP="00D95F2E">
      <w:pPr>
        <w:pStyle w:val="paragraph"/>
      </w:pPr>
      <w:r w:rsidRPr="00D95F2E">
        <w:tab/>
        <w:t>(d)</w:t>
      </w:r>
      <w:r w:rsidRPr="00D95F2E">
        <w:tab/>
        <w:t>numbering arrangements must have regard to recognised international standards and ensure that numbering in Australia operates in conjunction with international numbering arrangements;</w:t>
      </w:r>
    </w:p>
    <w:p w:rsidR="00D37495" w:rsidRPr="00D95F2E" w:rsidRDefault="00D37495" w:rsidP="00D95F2E">
      <w:pPr>
        <w:pStyle w:val="paragraph"/>
      </w:pPr>
      <w:r w:rsidRPr="00D95F2E">
        <w:tab/>
        <w:t>(e)</w:t>
      </w:r>
      <w:r w:rsidRPr="00D95F2E">
        <w:tab/>
        <w:t>there must be fair and transparent access to numbers for all carriage service providers, and numbering arrangements must support competition in the supply of carriage services;</w:t>
      </w:r>
    </w:p>
    <w:p w:rsidR="00D37495" w:rsidRPr="00D95F2E" w:rsidRDefault="00D37495" w:rsidP="00D95F2E">
      <w:pPr>
        <w:pStyle w:val="paragraph"/>
      </w:pPr>
      <w:r w:rsidRPr="00D95F2E">
        <w:tab/>
        <w:t>(f)</w:t>
      </w:r>
      <w:r w:rsidRPr="00D95F2E">
        <w:tab/>
        <w:t>the interests of users of carriage services must be protected, including in relation to the use and portability of numbers;</w:t>
      </w:r>
    </w:p>
    <w:p w:rsidR="00D37495" w:rsidRPr="00D95F2E" w:rsidRDefault="00D37495" w:rsidP="00D95F2E">
      <w:pPr>
        <w:pStyle w:val="paragraph"/>
      </w:pPr>
      <w:r w:rsidRPr="00D95F2E">
        <w:tab/>
        <w:t>(g)</w:t>
      </w:r>
      <w:r w:rsidRPr="00D95F2E">
        <w:tab/>
        <w:t xml:space="preserve">the numbering scheme’s provisions for the portability of numbers must be consistent with any directions made by the </w:t>
      </w:r>
      <w:proofErr w:type="spellStart"/>
      <w:r w:rsidRPr="00D95F2E">
        <w:t>ACCC</w:t>
      </w:r>
      <w:proofErr w:type="spellEnd"/>
      <w:r w:rsidRPr="00D95F2E">
        <w:t xml:space="preserve"> to the </w:t>
      </w:r>
      <w:proofErr w:type="spellStart"/>
      <w:r w:rsidRPr="00D95F2E">
        <w:t>ACMA</w:t>
      </w:r>
      <w:proofErr w:type="spellEnd"/>
      <w:r w:rsidRPr="00D95F2E">
        <w:t xml:space="preserve"> under subsection</w:t>
      </w:r>
      <w:r w:rsidR="00D95F2E" w:rsidRPr="00D95F2E">
        <w:t> </w:t>
      </w:r>
      <w:r w:rsidRPr="00D95F2E">
        <w:t>458(2) in relation to portability of numbers;</w:t>
      </w:r>
    </w:p>
    <w:p w:rsidR="00D37495" w:rsidRPr="00D95F2E" w:rsidRDefault="00D37495" w:rsidP="00D95F2E">
      <w:pPr>
        <w:pStyle w:val="paragraph"/>
      </w:pPr>
      <w:r w:rsidRPr="00D95F2E">
        <w:tab/>
        <w:t>(h)</w:t>
      </w:r>
      <w:r w:rsidRPr="00D95F2E">
        <w:tab/>
        <w:t>the numbering scheme must support the use of emergency call services;</w:t>
      </w:r>
    </w:p>
    <w:p w:rsidR="00D37495" w:rsidRPr="00D95F2E" w:rsidRDefault="00D37495" w:rsidP="00D95F2E">
      <w:pPr>
        <w:pStyle w:val="paragraph"/>
      </w:pPr>
      <w:r w:rsidRPr="00D95F2E">
        <w:tab/>
        <w:t>(</w:t>
      </w:r>
      <w:proofErr w:type="spellStart"/>
      <w:r w:rsidRPr="00D95F2E">
        <w:t>i</w:t>
      </w:r>
      <w:proofErr w:type="spellEnd"/>
      <w:r w:rsidRPr="00D95F2E">
        <w:t>)</w:t>
      </w:r>
      <w:r w:rsidRPr="00D95F2E">
        <w:tab/>
        <w:t>numbering arrangements must meet the requirements of Australian law enforcement and national security agencies;</w:t>
      </w:r>
    </w:p>
    <w:p w:rsidR="00D37495" w:rsidRPr="00D95F2E" w:rsidRDefault="00D37495" w:rsidP="00D95F2E">
      <w:pPr>
        <w:pStyle w:val="paragraph"/>
      </w:pPr>
      <w:r w:rsidRPr="00D95F2E">
        <w:tab/>
        <w:t>(j)</w:t>
      </w:r>
      <w:r w:rsidRPr="00D95F2E">
        <w:tab/>
        <w:t xml:space="preserve">numbering arrangements must provide for the collection of charges imposed under the </w:t>
      </w:r>
      <w:r w:rsidRPr="00D95F2E">
        <w:rPr>
          <w:i/>
        </w:rPr>
        <w:t>Telecommunications (Numbering Charges) Act 1997</w:t>
      </w:r>
      <w:r w:rsidRPr="00D95F2E">
        <w:t>;</w:t>
      </w:r>
    </w:p>
    <w:p w:rsidR="00D37495" w:rsidRPr="00D95F2E" w:rsidRDefault="00D37495" w:rsidP="00D95F2E">
      <w:pPr>
        <w:pStyle w:val="paragraph"/>
      </w:pPr>
      <w:r w:rsidRPr="00D95F2E">
        <w:tab/>
        <w:t>(k)</w:t>
      </w:r>
      <w:r w:rsidRPr="00D95F2E">
        <w:tab/>
        <w:t>the Register (see section</w:t>
      </w:r>
      <w:r w:rsidR="00D95F2E" w:rsidRPr="00D95F2E">
        <w:t> </w:t>
      </w:r>
      <w:r w:rsidRPr="00D95F2E">
        <w:t>465) must be kept up to date;</w:t>
      </w:r>
    </w:p>
    <w:p w:rsidR="00D37495" w:rsidRPr="00D95F2E" w:rsidRDefault="00D37495" w:rsidP="00D95F2E">
      <w:pPr>
        <w:pStyle w:val="paragraph"/>
      </w:pPr>
      <w:r w:rsidRPr="00D95F2E">
        <w:lastRenderedPageBreak/>
        <w:tab/>
        <w:t>(l)</w:t>
      </w:r>
      <w:r w:rsidRPr="00D95F2E">
        <w:tab/>
        <w:t>the rules and processes of the numbering scheme, including a plan for numbering of carriage services:</w:t>
      </w:r>
    </w:p>
    <w:p w:rsidR="00D37495" w:rsidRPr="00D95F2E" w:rsidRDefault="00D37495" w:rsidP="00D95F2E">
      <w:pPr>
        <w:pStyle w:val="paragraphsub"/>
      </w:pPr>
      <w:r w:rsidRPr="00D95F2E">
        <w:tab/>
        <w:t>(</w:t>
      </w:r>
      <w:proofErr w:type="spellStart"/>
      <w:r w:rsidRPr="00D95F2E">
        <w:t>i</w:t>
      </w:r>
      <w:proofErr w:type="spellEnd"/>
      <w:r w:rsidRPr="00D95F2E">
        <w:t>)</w:t>
      </w:r>
      <w:r w:rsidRPr="00D95F2E">
        <w:tab/>
        <w:t>must be adhered to by the numbering scheme manager; and</w:t>
      </w:r>
    </w:p>
    <w:p w:rsidR="00D37495" w:rsidRPr="00D95F2E" w:rsidRDefault="00D37495" w:rsidP="00D95F2E">
      <w:pPr>
        <w:pStyle w:val="paragraphsub"/>
      </w:pPr>
      <w:r w:rsidRPr="00D95F2E">
        <w:tab/>
        <w:t>(ii)</w:t>
      </w:r>
      <w:r w:rsidRPr="00D95F2E">
        <w:tab/>
        <w:t>must be published and available at no charge;</w:t>
      </w:r>
    </w:p>
    <w:p w:rsidR="00D37495" w:rsidRPr="00D95F2E" w:rsidRDefault="00D37495" w:rsidP="00D95F2E">
      <w:pPr>
        <w:pStyle w:val="paragraph"/>
      </w:pPr>
      <w:r w:rsidRPr="00D95F2E">
        <w:tab/>
        <w:t>(m)</w:t>
      </w:r>
      <w:r w:rsidRPr="00D95F2E">
        <w:tab/>
        <w:t>the numbering scheme must include compliance mechanisms to provide for enforcement of scheme rules;</w:t>
      </w:r>
    </w:p>
    <w:p w:rsidR="00D37495" w:rsidRPr="00D95F2E" w:rsidRDefault="00D37495" w:rsidP="00D95F2E">
      <w:pPr>
        <w:pStyle w:val="paragraph"/>
      </w:pPr>
      <w:r w:rsidRPr="00D95F2E">
        <w:tab/>
        <w:t>(n)</w:t>
      </w:r>
      <w:r w:rsidRPr="00D95F2E">
        <w:tab/>
        <w:t>the numbering scheme must make effective complaints processes available to both the telecommunications industry and users of carriage services;</w:t>
      </w:r>
    </w:p>
    <w:p w:rsidR="00D37495" w:rsidRPr="00D95F2E" w:rsidRDefault="00D37495" w:rsidP="00D95F2E">
      <w:pPr>
        <w:pStyle w:val="paragraph"/>
      </w:pPr>
      <w:r w:rsidRPr="00D95F2E">
        <w:tab/>
        <w:t>(o)</w:t>
      </w:r>
      <w:r w:rsidRPr="00D95F2E">
        <w:tab/>
        <w:t>the recovery of costs in relation to the management of the numbering scheme must reasonably reflect costs and must be fair and transparent;</w:t>
      </w:r>
    </w:p>
    <w:p w:rsidR="00D37495" w:rsidRPr="00D95F2E" w:rsidRDefault="00D37495" w:rsidP="00D95F2E">
      <w:pPr>
        <w:pStyle w:val="paragraph"/>
      </w:pPr>
      <w:r w:rsidRPr="00D95F2E">
        <w:tab/>
        <w:t>(p)</w:t>
      </w:r>
      <w:r w:rsidRPr="00D95F2E">
        <w:tab/>
        <w:t>public consultation must be undertaken before any significant change to the numbering scheme;</w:t>
      </w:r>
    </w:p>
    <w:p w:rsidR="00D37495" w:rsidRPr="00D95F2E" w:rsidRDefault="00D37495" w:rsidP="00D95F2E">
      <w:pPr>
        <w:pStyle w:val="paragraph"/>
      </w:pPr>
      <w:r w:rsidRPr="00D95F2E">
        <w:tab/>
        <w:t>(q)</w:t>
      </w:r>
      <w:r w:rsidRPr="00D95F2E">
        <w:tab/>
        <w:t>any additional principles determined by the Minister by legislative instrument.</w:t>
      </w:r>
    </w:p>
    <w:p w:rsidR="00D37495" w:rsidRPr="00D95F2E" w:rsidRDefault="00D37495" w:rsidP="00D95F2E">
      <w:pPr>
        <w:pStyle w:val="ActHead5"/>
      </w:pPr>
      <w:bookmarkStart w:id="44" w:name="_Toc27564184"/>
      <w:r w:rsidRPr="00D95F2E">
        <w:rPr>
          <w:rStyle w:val="CharSectno"/>
        </w:rPr>
        <w:t>454D</w:t>
      </w:r>
      <w:r w:rsidRPr="00D95F2E">
        <w:t xml:space="preserve">  Revocation of determination</w:t>
      </w:r>
      <w:bookmarkEnd w:id="44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>The Minister may, by legislative instrument, revoke the determination of a person as the numbering scheme manager if: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the Minister is not satisfied the person is managing the numbering scheme in accordance with the numbering scheme principles; or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>the Minister is satisfied it is in the best interests of one of more of the following:</w:t>
      </w:r>
    </w:p>
    <w:p w:rsidR="00D37495" w:rsidRPr="00D95F2E" w:rsidRDefault="00D37495" w:rsidP="00D95F2E">
      <w:pPr>
        <w:pStyle w:val="paragraphsub"/>
      </w:pPr>
      <w:r w:rsidRPr="00D95F2E">
        <w:tab/>
        <w:t>(</w:t>
      </w:r>
      <w:proofErr w:type="spellStart"/>
      <w:r w:rsidRPr="00D95F2E">
        <w:t>i</w:t>
      </w:r>
      <w:proofErr w:type="spellEnd"/>
      <w:r w:rsidRPr="00D95F2E">
        <w:t>)</w:t>
      </w:r>
      <w:r w:rsidRPr="00D95F2E">
        <w:tab/>
        <w:t>the telecommunications industry;</w:t>
      </w:r>
    </w:p>
    <w:p w:rsidR="00D37495" w:rsidRPr="00D95F2E" w:rsidRDefault="00D37495" w:rsidP="00D95F2E">
      <w:pPr>
        <w:pStyle w:val="paragraphsub"/>
      </w:pPr>
      <w:r w:rsidRPr="00D95F2E">
        <w:tab/>
        <w:t>(ii)</w:t>
      </w:r>
      <w:r w:rsidRPr="00D95F2E">
        <w:tab/>
        <w:t>users of carriage services;</w:t>
      </w:r>
    </w:p>
    <w:p w:rsidR="00D37495" w:rsidRPr="00D95F2E" w:rsidRDefault="00D37495" w:rsidP="00D95F2E">
      <w:pPr>
        <w:pStyle w:val="paragraphsub"/>
      </w:pPr>
      <w:r w:rsidRPr="00D95F2E">
        <w:tab/>
        <w:t>(iii)</w:t>
      </w:r>
      <w:r w:rsidRPr="00D95F2E">
        <w:tab/>
        <w:t>the general community; or</w:t>
      </w:r>
    </w:p>
    <w:p w:rsidR="00D37495" w:rsidRPr="00D95F2E" w:rsidRDefault="00D37495" w:rsidP="00D95F2E">
      <w:pPr>
        <w:pStyle w:val="paragraph"/>
      </w:pPr>
      <w:r w:rsidRPr="00D95F2E">
        <w:tab/>
        <w:t>(c)</w:t>
      </w:r>
      <w:r w:rsidRPr="00D95F2E">
        <w:tab/>
        <w:t>the Minister is satisfied it is in the best interests of national security.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 xml:space="preserve">Before the Minister revokes the determination of a person as the numbering scheme manager, the Minister must consult the person, the </w:t>
      </w:r>
      <w:proofErr w:type="spellStart"/>
      <w:r w:rsidRPr="00D95F2E">
        <w:t>ACMA</w:t>
      </w:r>
      <w:proofErr w:type="spellEnd"/>
      <w:r w:rsidRPr="00D95F2E">
        <w:t xml:space="preserve"> and the </w:t>
      </w:r>
      <w:proofErr w:type="spellStart"/>
      <w:r w:rsidRPr="00D95F2E">
        <w:t>ACCC</w:t>
      </w:r>
      <w:proofErr w:type="spellEnd"/>
      <w:r w:rsidRPr="00D95F2E">
        <w:t>.</w:t>
      </w:r>
    </w:p>
    <w:p w:rsidR="00D37495" w:rsidRPr="00D95F2E" w:rsidRDefault="00D37495" w:rsidP="00D95F2E">
      <w:pPr>
        <w:pStyle w:val="ActHead5"/>
      </w:pPr>
      <w:bookmarkStart w:id="45" w:name="_Toc27564185"/>
      <w:r w:rsidRPr="00D95F2E">
        <w:rPr>
          <w:rStyle w:val="CharSectno"/>
        </w:rPr>
        <w:lastRenderedPageBreak/>
        <w:t>454E</w:t>
      </w:r>
      <w:r w:rsidRPr="00D95F2E">
        <w:t xml:space="preserve">  Directions to numbering scheme manager</w:t>
      </w:r>
      <w:bookmarkEnd w:id="45"/>
    </w:p>
    <w:p w:rsidR="00D37495" w:rsidRPr="00D95F2E" w:rsidRDefault="00D37495" w:rsidP="00D95F2E">
      <w:pPr>
        <w:pStyle w:val="SubsectionHead"/>
      </w:pPr>
      <w:r w:rsidRPr="00D95F2E">
        <w:t>Directions by Minister</w:t>
      </w:r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>The Minister may, by legislative instrument, direct the numbering scheme manager to amend the rules or change the processes of the numbering scheme.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>The direction must be consistent with the numbering scheme principles.</w:t>
      </w:r>
    </w:p>
    <w:p w:rsidR="00D37495" w:rsidRPr="00D95F2E" w:rsidRDefault="00D37495" w:rsidP="00D95F2E">
      <w:pPr>
        <w:pStyle w:val="SubsectionHead"/>
      </w:pPr>
      <w:r w:rsidRPr="00D95F2E">
        <w:t xml:space="preserve">Directions by the </w:t>
      </w:r>
      <w:proofErr w:type="spellStart"/>
      <w:r w:rsidRPr="00D95F2E">
        <w:t>ACMA</w:t>
      </w:r>
      <w:proofErr w:type="spellEnd"/>
      <w:r w:rsidRPr="00D95F2E">
        <w:t xml:space="preserve"> or the </w:t>
      </w:r>
      <w:proofErr w:type="spellStart"/>
      <w:r w:rsidRPr="00D95F2E">
        <w:t>ACCC</w:t>
      </w:r>
      <w:proofErr w:type="spellEnd"/>
    </w:p>
    <w:p w:rsidR="00D37495" w:rsidRPr="00D95F2E" w:rsidRDefault="00D37495" w:rsidP="00D95F2E">
      <w:pPr>
        <w:pStyle w:val="subsection"/>
      </w:pPr>
      <w:r w:rsidRPr="00D95F2E">
        <w:tab/>
        <w:t>(3)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or the </w:t>
      </w:r>
      <w:proofErr w:type="spellStart"/>
      <w:r w:rsidRPr="00D95F2E">
        <w:t>ACCC</w:t>
      </w:r>
      <w:proofErr w:type="spellEnd"/>
      <w:r w:rsidRPr="00D95F2E">
        <w:t xml:space="preserve"> may, by legislative instrument, direct the numbering scheme manager to do, or refrain from doing, a specified act or thing in relation to the management of the numbering scheme.</w:t>
      </w:r>
    </w:p>
    <w:p w:rsidR="00D37495" w:rsidRPr="00D95F2E" w:rsidRDefault="00D37495" w:rsidP="00D95F2E">
      <w:pPr>
        <w:pStyle w:val="subsection"/>
      </w:pPr>
      <w:r w:rsidRPr="00D95F2E">
        <w:tab/>
        <w:t>(4)</w:t>
      </w:r>
      <w:r w:rsidRPr="00D95F2E">
        <w:tab/>
        <w:t>The direction must be consistent with the numbering scheme principles and the rules and processes of the numbering scheme.</w:t>
      </w:r>
    </w:p>
    <w:p w:rsidR="00D37495" w:rsidRPr="00D95F2E" w:rsidRDefault="00D37495" w:rsidP="00D95F2E">
      <w:pPr>
        <w:pStyle w:val="subsection"/>
      </w:pPr>
      <w:r w:rsidRPr="00D95F2E">
        <w:tab/>
        <w:t>(5)</w:t>
      </w:r>
      <w:r w:rsidRPr="00D95F2E">
        <w:tab/>
        <w:t xml:space="preserve">Before the </w:t>
      </w:r>
      <w:proofErr w:type="spellStart"/>
      <w:r w:rsidRPr="00D95F2E">
        <w:t>ACMA</w:t>
      </w:r>
      <w:proofErr w:type="spellEnd"/>
      <w:r w:rsidRPr="00D95F2E">
        <w:t xml:space="preserve"> gives a direction under this section, it must consult with the Minister, the </w:t>
      </w:r>
      <w:proofErr w:type="spellStart"/>
      <w:r w:rsidRPr="00D95F2E">
        <w:t>ACCC</w:t>
      </w:r>
      <w:proofErr w:type="spellEnd"/>
      <w:r w:rsidRPr="00D95F2E">
        <w:t xml:space="preserve"> and the numbering scheme manager.</w:t>
      </w:r>
    </w:p>
    <w:p w:rsidR="00D37495" w:rsidRPr="00D95F2E" w:rsidRDefault="00D37495" w:rsidP="00D95F2E">
      <w:pPr>
        <w:pStyle w:val="subsection"/>
      </w:pPr>
      <w:r w:rsidRPr="00D95F2E">
        <w:tab/>
        <w:t>(6)</w:t>
      </w:r>
      <w:r w:rsidRPr="00D95F2E">
        <w:tab/>
        <w:t xml:space="preserve">Before the </w:t>
      </w:r>
      <w:proofErr w:type="spellStart"/>
      <w:r w:rsidRPr="00D95F2E">
        <w:t>ACCC</w:t>
      </w:r>
      <w:proofErr w:type="spellEnd"/>
      <w:r w:rsidRPr="00D95F2E">
        <w:t xml:space="preserve"> gives a direction under this section, it must consult with the Minister, the </w:t>
      </w:r>
      <w:proofErr w:type="spellStart"/>
      <w:r w:rsidRPr="00D95F2E">
        <w:t>ACMA</w:t>
      </w:r>
      <w:proofErr w:type="spellEnd"/>
      <w:r w:rsidRPr="00D95F2E">
        <w:t xml:space="preserve"> and the numbering scheme manager.</w:t>
      </w:r>
    </w:p>
    <w:p w:rsidR="00D37495" w:rsidRPr="00D95F2E" w:rsidRDefault="00D37495" w:rsidP="00D95F2E">
      <w:pPr>
        <w:pStyle w:val="SubsectionHead"/>
      </w:pPr>
      <w:r w:rsidRPr="00D95F2E">
        <w:t>Numbering scheme manager must comply with directions</w:t>
      </w:r>
    </w:p>
    <w:p w:rsidR="00D37495" w:rsidRPr="00D95F2E" w:rsidRDefault="00D37495" w:rsidP="00D95F2E">
      <w:pPr>
        <w:pStyle w:val="subsection"/>
      </w:pPr>
      <w:r w:rsidRPr="00D95F2E">
        <w:tab/>
        <w:t>(7)</w:t>
      </w:r>
      <w:r w:rsidRPr="00D95F2E">
        <w:tab/>
        <w:t>The numbering scheme manager must comply with a direction under this section.</w:t>
      </w:r>
    </w:p>
    <w:p w:rsidR="00D37495" w:rsidRPr="00D95F2E" w:rsidRDefault="00D37495" w:rsidP="00D95F2E">
      <w:pPr>
        <w:pStyle w:val="subsection"/>
      </w:pPr>
      <w:r w:rsidRPr="00D95F2E">
        <w:tab/>
        <w:t>(8)</w:t>
      </w:r>
      <w:r w:rsidRPr="00D95F2E">
        <w:tab/>
      </w:r>
      <w:r w:rsidR="00D95F2E" w:rsidRPr="00D95F2E">
        <w:t>Subsection (</w:t>
      </w:r>
      <w:r w:rsidRPr="00D95F2E">
        <w:t>7) is a civil penalty provision.</w:t>
      </w:r>
    </w:p>
    <w:p w:rsidR="00D37495" w:rsidRPr="00D95F2E" w:rsidRDefault="00D37495" w:rsidP="00D95F2E">
      <w:pPr>
        <w:pStyle w:val="notetext"/>
      </w:pPr>
      <w:r w:rsidRPr="00D95F2E">
        <w:t>Note:</w:t>
      </w:r>
      <w:r w:rsidRPr="00D95F2E">
        <w:tab/>
        <w:t>Part</w:t>
      </w:r>
      <w:r w:rsidR="00D95F2E" w:rsidRPr="00D95F2E">
        <w:t> </w:t>
      </w:r>
      <w:r w:rsidRPr="00D95F2E">
        <w:t>31 provides for pecuniary penalties for breaches of civil penalty provisions.</w:t>
      </w:r>
    </w:p>
    <w:p w:rsidR="00D37495" w:rsidRPr="00D95F2E" w:rsidRDefault="00D37495" w:rsidP="00D95F2E">
      <w:pPr>
        <w:pStyle w:val="ActHead5"/>
      </w:pPr>
      <w:bookmarkStart w:id="46" w:name="_Toc27564186"/>
      <w:r w:rsidRPr="00D95F2E">
        <w:rPr>
          <w:rStyle w:val="CharSectno"/>
        </w:rPr>
        <w:lastRenderedPageBreak/>
        <w:t>454F</w:t>
      </w:r>
      <w:r w:rsidRPr="00D95F2E">
        <w:t xml:space="preserve">  Numbering scheme manager providing information to the </w:t>
      </w:r>
      <w:proofErr w:type="spellStart"/>
      <w:r w:rsidRPr="00D95F2E">
        <w:t>ACMA</w:t>
      </w:r>
      <w:bookmarkEnd w:id="46"/>
      <w:proofErr w:type="spellEnd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may, in writing, request information from the numbering scheme manager relating to numbers for carriage services.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may request the information for the following purposes: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 xml:space="preserve">identifying persons liable for a charge under the </w:t>
      </w:r>
      <w:r w:rsidRPr="00D95F2E">
        <w:rPr>
          <w:i/>
        </w:rPr>
        <w:t>Telecommunications (Numbering Charges) Act 1997</w:t>
      </w:r>
      <w:r w:rsidRPr="00D95F2E">
        <w:t>;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>working out the amount of a charge under that Act;</w:t>
      </w:r>
    </w:p>
    <w:p w:rsidR="00D37495" w:rsidRPr="00D95F2E" w:rsidRDefault="00D37495" w:rsidP="00D95F2E">
      <w:pPr>
        <w:pStyle w:val="paragraph"/>
      </w:pPr>
      <w:r w:rsidRPr="00D95F2E">
        <w:tab/>
        <w:t>(c)</w:t>
      </w:r>
      <w:r w:rsidRPr="00D95F2E">
        <w:tab/>
        <w:t>otherwise administering charges under that Act.</w:t>
      </w:r>
    </w:p>
    <w:p w:rsidR="00D37495" w:rsidRPr="00D95F2E" w:rsidRDefault="00D37495" w:rsidP="00D95F2E">
      <w:pPr>
        <w:pStyle w:val="subsection"/>
      </w:pPr>
      <w:r w:rsidRPr="00D95F2E">
        <w:tab/>
        <w:t>(3)</w:t>
      </w:r>
      <w:r w:rsidRPr="00D95F2E">
        <w:tab/>
        <w:t>The request may specify the form in which the information is required, such as a written report.</w:t>
      </w:r>
    </w:p>
    <w:p w:rsidR="00D37495" w:rsidRPr="00D95F2E" w:rsidRDefault="00D37495" w:rsidP="00D95F2E">
      <w:pPr>
        <w:pStyle w:val="subsection"/>
      </w:pPr>
      <w:r w:rsidRPr="00D95F2E">
        <w:tab/>
        <w:t>(4)</w:t>
      </w:r>
      <w:r w:rsidRPr="00D95F2E">
        <w:tab/>
        <w:t>The numbering scheme manager must comply with a request under this section.</w:t>
      </w:r>
    </w:p>
    <w:p w:rsidR="00D37495" w:rsidRPr="00D95F2E" w:rsidRDefault="00D37495" w:rsidP="00D95F2E">
      <w:pPr>
        <w:pStyle w:val="subsection"/>
      </w:pPr>
      <w:r w:rsidRPr="00D95F2E">
        <w:tab/>
        <w:t>(5)</w:t>
      </w:r>
      <w:r w:rsidRPr="00D95F2E">
        <w:tab/>
      </w:r>
      <w:r w:rsidR="00D95F2E" w:rsidRPr="00D95F2E">
        <w:t>Subsection (</w:t>
      </w:r>
      <w:r w:rsidRPr="00D95F2E">
        <w:t>4) is a civil penalty provision.</w:t>
      </w:r>
    </w:p>
    <w:p w:rsidR="00D37495" w:rsidRPr="00D95F2E" w:rsidRDefault="00D37495" w:rsidP="00D95F2E">
      <w:pPr>
        <w:pStyle w:val="notetext"/>
      </w:pPr>
      <w:r w:rsidRPr="00D95F2E">
        <w:t>Note:</w:t>
      </w:r>
      <w:r w:rsidRPr="00D95F2E">
        <w:tab/>
        <w:t>Part</w:t>
      </w:r>
      <w:r w:rsidR="00D95F2E" w:rsidRPr="00D95F2E">
        <w:t> </w:t>
      </w:r>
      <w:r w:rsidRPr="00D95F2E">
        <w:t>31 provides for pecuniary penalties for breaches of civil penalty provisions.</w:t>
      </w:r>
    </w:p>
    <w:p w:rsidR="00D37495" w:rsidRPr="00D95F2E" w:rsidRDefault="00D37495" w:rsidP="00D95F2E">
      <w:pPr>
        <w:pStyle w:val="ActHead5"/>
      </w:pPr>
      <w:bookmarkStart w:id="47" w:name="_Toc27564187"/>
      <w:r w:rsidRPr="00D95F2E">
        <w:rPr>
          <w:rStyle w:val="CharSectno"/>
        </w:rPr>
        <w:t>454G</w:t>
      </w:r>
      <w:r w:rsidRPr="00D95F2E">
        <w:t xml:space="preserve">  Directions to comply with rules</w:t>
      </w:r>
      <w:bookmarkEnd w:id="47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or the </w:t>
      </w:r>
      <w:proofErr w:type="spellStart"/>
      <w:r w:rsidRPr="00D95F2E">
        <w:t>ACCC</w:t>
      </w:r>
      <w:proofErr w:type="spellEnd"/>
      <w:r w:rsidRPr="00D95F2E">
        <w:t xml:space="preserve"> may, by written notice given to a person who is:</w:t>
      </w:r>
    </w:p>
    <w:p w:rsidR="00D37495" w:rsidRPr="00D95F2E" w:rsidRDefault="00D37495" w:rsidP="00D95F2E">
      <w:pPr>
        <w:pStyle w:val="paragraphsub"/>
      </w:pPr>
      <w:r w:rsidRPr="00D95F2E">
        <w:tab/>
        <w:t>(a)</w:t>
      </w:r>
      <w:r w:rsidRPr="00D95F2E">
        <w:tab/>
        <w:t>a carriage service provider; or</w:t>
      </w:r>
    </w:p>
    <w:p w:rsidR="00D37495" w:rsidRPr="00D95F2E" w:rsidRDefault="00D37495" w:rsidP="00D95F2E">
      <w:pPr>
        <w:pStyle w:val="paragraphsub"/>
      </w:pPr>
      <w:r w:rsidRPr="00D95F2E">
        <w:tab/>
        <w:t>(b)</w:t>
      </w:r>
      <w:r w:rsidRPr="00D95F2E">
        <w:tab/>
        <w:t>a carrier; or</w:t>
      </w:r>
    </w:p>
    <w:p w:rsidR="00D37495" w:rsidRPr="00D95F2E" w:rsidRDefault="00D37495" w:rsidP="00D95F2E">
      <w:pPr>
        <w:pStyle w:val="paragraphsub"/>
      </w:pPr>
      <w:r w:rsidRPr="00D95F2E">
        <w:tab/>
        <w:t>(c)</w:t>
      </w:r>
      <w:r w:rsidRPr="00D95F2E">
        <w:tab/>
        <w:t>a person of a kind determined by the Minister in a legislative instrument;</w:t>
      </w:r>
    </w:p>
    <w:p w:rsidR="00D37495" w:rsidRPr="00D95F2E" w:rsidRDefault="00D37495" w:rsidP="00D95F2E">
      <w:pPr>
        <w:pStyle w:val="subsection2"/>
      </w:pPr>
      <w:r w:rsidRPr="00D95F2E">
        <w:t>direct the person to comply with a rule or process published by the numbering scheme manager.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>The person must comply with the direction.</w:t>
      </w:r>
    </w:p>
    <w:p w:rsidR="00D37495" w:rsidRPr="00D95F2E" w:rsidRDefault="00D37495" w:rsidP="00D95F2E">
      <w:pPr>
        <w:pStyle w:val="subsection"/>
      </w:pPr>
      <w:r w:rsidRPr="00D95F2E">
        <w:tab/>
        <w:t>(3)</w:t>
      </w:r>
      <w:r w:rsidRPr="00D95F2E">
        <w:tab/>
      </w:r>
      <w:r w:rsidR="00D95F2E" w:rsidRPr="00D95F2E">
        <w:t>Subsection (</w:t>
      </w:r>
      <w:r w:rsidRPr="00D95F2E">
        <w:t>2) is a civil penalty provision.</w:t>
      </w:r>
    </w:p>
    <w:p w:rsidR="00D37495" w:rsidRPr="00D95F2E" w:rsidRDefault="00D37495" w:rsidP="00D95F2E">
      <w:pPr>
        <w:pStyle w:val="notetext"/>
      </w:pPr>
      <w:r w:rsidRPr="00D95F2E">
        <w:t>Note:</w:t>
      </w:r>
      <w:r w:rsidRPr="00D95F2E">
        <w:tab/>
        <w:t>Part</w:t>
      </w:r>
      <w:r w:rsidR="00D95F2E" w:rsidRPr="00D95F2E">
        <w:t> </w:t>
      </w:r>
      <w:r w:rsidRPr="00D95F2E">
        <w:t>31 provides for pecuniary penalties for breaches of civil penalty provisions.</w:t>
      </w:r>
    </w:p>
    <w:p w:rsidR="00D37495" w:rsidRPr="00D95F2E" w:rsidRDefault="00D37495" w:rsidP="00D95F2E">
      <w:pPr>
        <w:pStyle w:val="subsection"/>
      </w:pPr>
      <w:r w:rsidRPr="00D95F2E">
        <w:lastRenderedPageBreak/>
        <w:tab/>
        <w:t>(4)</w:t>
      </w:r>
      <w:r w:rsidRPr="00D95F2E">
        <w:tab/>
        <w:t xml:space="preserve">A direction under </w:t>
      </w:r>
      <w:r w:rsidR="00D95F2E" w:rsidRPr="00D95F2E">
        <w:t>subsection (</w:t>
      </w:r>
      <w:r w:rsidRPr="00D95F2E">
        <w:t>1) is not a legislative instrument.</w:t>
      </w:r>
    </w:p>
    <w:p w:rsidR="00D37495" w:rsidRPr="00D95F2E" w:rsidRDefault="00D37495" w:rsidP="00D95F2E">
      <w:pPr>
        <w:pStyle w:val="ActHead5"/>
      </w:pPr>
      <w:bookmarkStart w:id="48" w:name="_Toc27564188"/>
      <w:r w:rsidRPr="00D95F2E">
        <w:rPr>
          <w:rStyle w:val="CharSectno"/>
        </w:rPr>
        <w:t>454H</w:t>
      </w:r>
      <w:r w:rsidRPr="00D95F2E">
        <w:t xml:space="preserve">  Numbering scheme documents are not legislative instruments</w:t>
      </w:r>
      <w:bookmarkEnd w:id="48"/>
    </w:p>
    <w:p w:rsidR="00D37495" w:rsidRPr="00D95F2E" w:rsidRDefault="00D37495" w:rsidP="00D95F2E">
      <w:pPr>
        <w:pStyle w:val="subsection"/>
      </w:pPr>
      <w:r w:rsidRPr="00D95F2E">
        <w:tab/>
      </w:r>
      <w:r w:rsidRPr="00D95F2E">
        <w:tab/>
        <w:t>Documents containing the rules and processes of the numbering scheme, including a plan for numbering of carriage services, are not legislative instruments.</w:t>
      </w:r>
    </w:p>
    <w:p w:rsidR="00D37495" w:rsidRPr="00D95F2E" w:rsidRDefault="00D37495" w:rsidP="00D95F2E">
      <w:pPr>
        <w:pStyle w:val="ItemHead"/>
      </w:pPr>
      <w:r w:rsidRPr="00D95F2E">
        <w:t>11  Subdivision A of Division</w:t>
      </w:r>
      <w:r w:rsidR="00D95F2E" w:rsidRPr="00D95F2E">
        <w:t> </w:t>
      </w:r>
      <w:r w:rsidRPr="00D95F2E">
        <w:t>2 of Part</w:t>
      </w:r>
      <w:r w:rsidR="00D95F2E" w:rsidRPr="00D95F2E">
        <w:t> </w:t>
      </w:r>
      <w:r w:rsidRPr="00D95F2E">
        <w:t>22 (heading)</w:t>
      </w:r>
    </w:p>
    <w:p w:rsidR="00D37495" w:rsidRPr="00D95F2E" w:rsidRDefault="00D37495" w:rsidP="00D95F2E">
      <w:pPr>
        <w:pStyle w:val="Item"/>
      </w:pPr>
      <w:r w:rsidRPr="00D95F2E">
        <w:t>Repeal the heading, substitute:</w:t>
      </w:r>
    </w:p>
    <w:p w:rsidR="00D37495" w:rsidRPr="00D95F2E" w:rsidRDefault="00D37495" w:rsidP="00D95F2E">
      <w:pPr>
        <w:pStyle w:val="ActHead4"/>
      </w:pPr>
      <w:bookmarkStart w:id="49" w:name="_Toc27564189"/>
      <w:r w:rsidRPr="00D95F2E">
        <w:rPr>
          <w:rStyle w:val="CharSubdNo"/>
        </w:rPr>
        <w:t>Subdivision A</w:t>
      </w:r>
      <w:r w:rsidRPr="00D95F2E">
        <w:t>—</w:t>
      </w:r>
      <w:r w:rsidRPr="00D95F2E">
        <w:rPr>
          <w:rStyle w:val="CharSubdText"/>
        </w:rPr>
        <w:t xml:space="preserve">Management by the </w:t>
      </w:r>
      <w:proofErr w:type="spellStart"/>
      <w:r w:rsidRPr="00D95F2E">
        <w:rPr>
          <w:rStyle w:val="CharSubdText"/>
        </w:rPr>
        <w:t>ACMA</w:t>
      </w:r>
      <w:bookmarkEnd w:id="49"/>
      <w:proofErr w:type="spellEnd"/>
    </w:p>
    <w:p w:rsidR="00D37495" w:rsidRPr="00D95F2E" w:rsidRDefault="00D37495" w:rsidP="00D95F2E">
      <w:pPr>
        <w:pStyle w:val="ItemHead"/>
      </w:pPr>
      <w:r w:rsidRPr="00D95F2E">
        <w:t>12  Before section</w:t>
      </w:r>
      <w:r w:rsidR="00D95F2E" w:rsidRPr="00D95F2E">
        <w:t> </w:t>
      </w:r>
      <w:r w:rsidRPr="00D95F2E">
        <w:t>455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ActHead5"/>
      </w:pPr>
      <w:bookmarkStart w:id="50" w:name="_Toc27564190"/>
      <w:r w:rsidRPr="00D95F2E">
        <w:rPr>
          <w:rStyle w:val="CharSectno"/>
        </w:rPr>
        <w:t>455A</w:t>
      </w:r>
      <w:r w:rsidRPr="00D95F2E">
        <w:t xml:space="preserve">  Application</w:t>
      </w:r>
      <w:bookmarkEnd w:id="50"/>
    </w:p>
    <w:p w:rsidR="00D37495" w:rsidRPr="00D95F2E" w:rsidRDefault="00D37495" w:rsidP="00D95F2E">
      <w:pPr>
        <w:pStyle w:val="subsection"/>
      </w:pPr>
      <w:r w:rsidRPr="00D95F2E">
        <w:tab/>
      </w:r>
      <w:r w:rsidRPr="00D95F2E">
        <w:tab/>
        <w:t>This Subdivision does not apply if there is a numbering scheme manager (see section</w:t>
      </w:r>
      <w:r w:rsidR="00D95F2E" w:rsidRPr="00D95F2E">
        <w:t> </w:t>
      </w:r>
      <w:r w:rsidRPr="00D95F2E">
        <w:t>454A).</w:t>
      </w:r>
    </w:p>
    <w:p w:rsidR="00D37495" w:rsidRPr="00D95F2E" w:rsidRDefault="00D37495" w:rsidP="00D95F2E">
      <w:pPr>
        <w:pStyle w:val="ItemHead"/>
      </w:pPr>
      <w:r w:rsidRPr="00D95F2E">
        <w:t>13  After section</w:t>
      </w:r>
      <w:r w:rsidR="00D95F2E" w:rsidRPr="00D95F2E">
        <w:t> </w:t>
      </w:r>
      <w:r w:rsidRPr="00D95F2E">
        <w:t>459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ActHead5"/>
      </w:pPr>
      <w:bookmarkStart w:id="51" w:name="_Toc27564191"/>
      <w:r w:rsidRPr="00D95F2E">
        <w:rPr>
          <w:rStyle w:val="CharSectno"/>
        </w:rPr>
        <w:t>459A</w:t>
      </w:r>
      <w:r w:rsidRPr="00D95F2E">
        <w:t xml:space="preserve">  Delegation</w:t>
      </w:r>
      <w:bookmarkEnd w:id="51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may, by writing, delegate any or all of the powers conferred on the </w:t>
      </w:r>
      <w:proofErr w:type="spellStart"/>
      <w:r w:rsidRPr="00D95F2E">
        <w:t>ACMA</w:t>
      </w:r>
      <w:proofErr w:type="spellEnd"/>
      <w:r w:rsidRPr="00D95F2E">
        <w:t xml:space="preserve"> by the numbering plan to a body corporate.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>If, under section</w:t>
      </w:r>
      <w:r w:rsidR="00D95F2E" w:rsidRPr="00D95F2E">
        <w:t> </w:t>
      </w:r>
      <w:r w:rsidRPr="00D95F2E">
        <w:t xml:space="preserve">50 of the </w:t>
      </w:r>
      <w:r w:rsidRPr="00D95F2E">
        <w:rPr>
          <w:i/>
        </w:rPr>
        <w:t>Australian Communications and Media Authority Act 2005</w:t>
      </w:r>
      <w:r w:rsidRPr="00D95F2E">
        <w:t xml:space="preserve">, the </w:t>
      </w:r>
      <w:proofErr w:type="spellStart"/>
      <w:r w:rsidRPr="00D95F2E">
        <w:t>ACMA</w:t>
      </w:r>
      <w:proofErr w:type="spellEnd"/>
      <w:r w:rsidRPr="00D95F2E">
        <w:t xml:space="preserve"> has delegated a power referred to in </w:t>
      </w:r>
      <w:r w:rsidR="00D95F2E" w:rsidRPr="00D95F2E">
        <w:t>subsection (</w:t>
      </w:r>
      <w:r w:rsidRPr="00D95F2E">
        <w:t xml:space="preserve">1) to a Division of the </w:t>
      </w:r>
      <w:proofErr w:type="spellStart"/>
      <w:r w:rsidRPr="00D95F2E">
        <w:t>ACMA</w:t>
      </w:r>
      <w:proofErr w:type="spellEnd"/>
      <w:r w:rsidRPr="00D95F2E">
        <w:t>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the Division may delegate the power to a body corporate; and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>subsections</w:t>
      </w:r>
      <w:r w:rsidR="00D95F2E" w:rsidRPr="00D95F2E">
        <w:t> </w:t>
      </w:r>
      <w:r w:rsidRPr="00D95F2E">
        <w:t xml:space="preserve">52(2), (3), (4), (5) and (6) of the </w:t>
      </w:r>
      <w:r w:rsidRPr="00D95F2E">
        <w:rPr>
          <w:i/>
        </w:rPr>
        <w:t>Australian Communications and Media Authority Act 2005</w:t>
      </w:r>
      <w:r w:rsidRPr="00D95F2E">
        <w:t xml:space="preserve"> have effect as if the delegation by the Division were a delegation under section</w:t>
      </w:r>
      <w:r w:rsidR="00D95F2E" w:rsidRPr="00D95F2E">
        <w:t> </w:t>
      </w:r>
      <w:r w:rsidRPr="00D95F2E">
        <w:t>52 of that Act.</w:t>
      </w:r>
    </w:p>
    <w:p w:rsidR="00D37495" w:rsidRPr="00D95F2E" w:rsidRDefault="00D37495" w:rsidP="00D95F2E">
      <w:pPr>
        <w:pStyle w:val="subsection"/>
      </w:pPr>
      <w:r w:rsidRPr="00D95F2E">
        <w:lastRenderedPageBreak/>
        <w:tab/>
        <w:t>(3)</w:t>
      </w:r>
      <w:r w:rsidRPr="00D95F2E">
        <w:tab/>
        <w:t>The delegate is, in the exercise of a delegated power, subject to the written directions of: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, if the delegation to the delegate was under </w:t>
      </w:r>
      <w:r w:rsidR="00D95F2E" w:rsidRPr="00D95F2E">
        <w:t>subsection (</w:t>
      </w:r>
      <w:r w:rsidRPr="00D95F2E">
        <w:t>1); or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 xml:space="preserve">the Division that delegated the power, if the delegation to the delegate was under </w:t>
      </w:r>
      <w:r w:rsidR="00D95F2E" w:rsidRPr="00D95F2E">
        <w:t>subsection (</w:t>
      </w:r>
      <w:r w:rsidRPr="00D95F2E">
        <w:t>2).</w:t>
      </w:r>
    </w:p>
    <w:p w:rsidR="00D37495" w:rsidRPr="00D95F2E" w:rsidRDefault="00D37495" w:rsidP="00D95F2E">
      <w:pPr>
        <w:pStyle w:val="subsection"/>
      </w:pPr>
      <w:r w:rsidRPr="00D95F2E">
        <w:tab/>
        <w:t>(4)</w:t>
      </w:r>
      <w:r w:rsidRPr="00D95F2E">
        <w:tab/>
        <w:t xml:space="preserve">Before giving a direction under </w:t>
      </w:r>
      <w:r w:rsidR="00D95F2E" w:rsidRPr="00D95F2E">
        <w:t>subsection (</w:t>
      </w:r>
      <w:r w:rsidRPr="00D95F2E">
        <w:t xml:space="preserve">3), the </w:t>
      </w:r>
      <w:proofErr w:type="spellStart"/>
      <w:r w:rsidRPr="00D95F2E">
        <w:t>ACMA</w:t>
      </w:r>
      <w:proofErr w:type="spellEnd"/>
      <w:r w:rsidRPr="00D95F2E">
        <w:t xml:space="preserve"> or the Division (as the case requires) must consult the </w:t>
      </w:r>
      <w:proofErr w:type="spellStart"/>
      <w:r w:rsidRPr="00D95F2E">
        <w:t>ACCC</w:t>
      </w:r>
      <w:proofErr w:type="spellEnd"/>
      <w:r w:rsidRPr="00D95F2E">
        <w:t>.</w:t>
      </w:r>
    </w:p>
    <w:p w:rsidR="00D37495" w:rsidRPr="00D95F2E" w:rsidRDefault="00D37495" w:rsidP="00D95F2E">
      <w:pPr>
        <w:pStyle w:val="subsection"/>
      </w:pPr>
      <w:r w:rsidRPr="00D95F2E">
        <w:tab/>
        <w:t>(5)</w:t>
      </w:r>
      <w:r w:rsidRPr="00D95F2E">
        <w:tab/>
        <w:t xml:space="preserve">The powers conferred on the </w:t>
      </w:r>
      <w:proofErr w:type="spellStart"/>
      <w:r w:rsidRPr="00D95F2E">
        <w:t>ACMA</w:t>
      </w:r>
      <w:proofErr w:type="spellEnd"/>
      <w:r w:rsidRPr="00D95F2E">
        <w:t xml:space="preserve"> by </w:t>
      </w:r>
      <w:r w:rsidR="00D95F2E" w:rsidRPr="00D95F2E">
        <w:t>subsection (</w:t>
      </w:r>
      <w:r w:rsidRPr="00D95F2E">
        <w:t xml:space="preserve">1), and on a Division of the </w:t>
      </w:r>
      <w:proofErr w:type="spellStart"/>
      <w:r w:rsidRPr="00D95F2E">
        <w:t>ACMA</w:t>
      </w:r>
      <w:proofErr w:type="spellEnd"/>
      <w:r w:rsidRPr="00D95F2E">
        <w:t xml:space="preserve"> by </w:t>
      </w:r>
      <w:r w:rsidR="00D95F2E" w:rsidRPr="00D95F2E">
        <w:t>subsection (</w:t>
      </w:r>
      <w:r w:rsidRPr="00D95F2E">
        <w:t>2), are in addition to the powers conferred by sections</w:t>
      </w:r>
      <w:r w:rsidR="00D95F2E" w:rsidRPr="00D95F2E">
        <w:t> </w:t>
      </w:r>
      <w:r w:rsidRPr="00D95F2E">
        <w:t xml:space="preserve">50, 51 and 52 of the </w:t>
      </w:r>
      <w:r w:rsidRPr="00D95F2E">
        <w:rPr>
          <w:i/>
        </w:rPr>
        <w:t>Australian Communications and Media Authority Act 2005</w:t>
      </w:r>
      <w:r w:rsidRPr="00D95F2E">
        <w:t>.</w:t>
      </w:r>
    </w:p>
    <w:p w:rsidR="00D37495" w:rsidRPr="00D95F2E" w:rsidRDefault="00D37495" w:rsidP="00D95F2E">
      <w:pPr>
        <w:pStyle w:val="ItemHead"/>
      </w:pPr>
      <w:r w:rsidRPr="00D95F2E">
        <w:t>14  After section</w:t>
      </w:r>
      <w:r w:rsidR="00D95F2E" w:rsidRPr="00D95F2E">
        <w:t> </w:t>
      </w:r>
      <w:r w:rsidRPr="00D95F2E">
        <w:t>461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ActHead5"/>
      </w:pPr>
      <w:bookmarkStart w:id="52" w:name="_Toc27564192"/>
      <w:r w:rsidRPr="00D95F2E">
        <w:rPr>
          <w:rStyle w:val="CharSectno"/>
        </w:rPr>
        <w:t>461A</w:t>
      </w:r>
      <w:r w:rsidRPr="00D95F2E">
        <w:t xml:space="preserve">  Making numbering plan in cases of urgency</w:t>
      </w:r>
      <w:bookmarkEnd w:id="52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 xml:space="preserve">This section applies if the </w:t>
      </w:r>
      <w:proofErr w:type="spellStart"/>
      <w:r w:rsidRPr="00D95F2E">
        <w:t>ACMA</w:t>
      </w:r>
      <w:proofErr w:type="spellEnd"/>
      <w:r w:rsidRPr="00D95F2E">
        <w:t xml:space="preserve"> is satisfied that it is necessary to make or vary a numbering plan as a matter of urgency to ensure that numbering of carriage services and the use of numbers are properly managed in the absence of a numbering scheme manager.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 xml:space="preserve">In the circumstances described in </w:t>
      </w:r>
      <w:r w:rsidR="00D95F2E" w:rsidRPr="00D95F2E">
        <w:t>subsection (</w:t>
      </w:r>
      <w:r w:rsidRPr="00D95F2E">
        <w:t>1):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is not required to comply with section</w:t>
      </w:r>
      <w:r w:rsidR="00D95F2E" w:rsidRPr="00D95F2E">
        <w:t> </w:t>
      </w:r>
      <w:r w:rsidRPr="00D95F2E">
        <w:t>460 before making or varying a plan; and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is not required to consult the </w:t>
      </w:r>
      <w:proofErr w:type="spellStart"/>
      <w:r w:rsidRPr="00D95F2E">
        <w:t>ACCC</w:t>
      </w:r>
      <w:proofErr w:type="spellEnd"/>
      <w:r w:rsidRPr="00D95F2E">
        <w:t xml:space="preserve"> in accordance with subsection</w:t>
      </w:r>
      <w:r w:rsidR="00D95F2E" w:rsidRPr="00D95F2E">
        <w:t> </w:t>
      </w:r>
      <w:r w:rsidRPr="00D95F2E">
        <w:t>461(1) if it is not practicable to do so.</w:t>
      </w:r>
    </w:p>
    <w:p w:rsidR="00D37495" w:rsidRPr="00D95F2E" w:rsidRDefault="00D37495" w:rsidP="00D95F2E">
      <w:pPr>
        <w:pStyle w:val="subsection"/>
      </w:pPr>
      <w:r w:rsidRPr="00D95F2E">
        <w:tab/>
        <w:t>(3)</w:t>
      </w:r>
      <w:r w:rsidRPr="00D95F2E">
        <w:tab/>
        <w:t xml:space="preserve">If a numbering plan is made or varied in the circumstances described in </w:t>
      </w:r>
      <w:r w:rsidR="00D95F2E" w:rsidRPr="00D95F2E">
        <w:t>subsection (</w:t>
      </w:r>
      <w:r w:rsidRPr="00D95F2E">
        <w:t>1), the plan ceases to have effect 12 months after it was made or varied.</w:t>
      </w:r>
    </w:p>
    <w:p w:rsidR="00D37495" w:rsidRPr="00D95F2E" w:rsidRDefault="00D37495" w:rsidP="00D95F2E">
      <w:pPr>
        <w:pStyle w:val="subsection"/>
      </w:pPr>
      <w:r w:rsidRPr="00D95F2E">
        <w:tab/>
        <w:t>(4)</w:t>
      </w:r>
      <w:r w:rsidRPr="00D95F2E">
        <w:tab/>
      </w:r>
      <w:r w:rsidR="00D95F2E" w:rsidRPr="00D95F2E">
        <w:t>Subsection (</w:t>
      </w:r>
      <w:r w:rsidRPr="00D95F2E">
        <w:t xml:space="preserve">3) does not prevent the </w:t>
      </w:r>
      <w:proofErr w:type="spellStart"/>
      <w:r w:rsidRPr="00D95F2E">
        <w:t>ACMA</w:t>
      </w:r>
      <w:proofErr w:type="spellEnd"/>
      <w:r w:rsidRPr="00D95F2E">
        <w:t xml:space="preserve"> from repealing the plan and making another numbering plan after complying with section</w:t>
      </w:r>
      <w:r w:rsidR="00D95F2E" w:rsidRPr="00D95F2E">
        <w:t> </w:t>
      </w:r>
      <w:r w:rsidRPr="00D95F2E">
        <w:t>460 and subsection</w:t>
      </w:r>
      <w:r w:rsidR="00D95F2E" w:rsidRPr="00D95F2E">
        <w:t> </w:t>
      </w:r>
      <w:r w:rsidRPr="00D95F2E">
        <w:t>461(1).</w:t>
      </w:r>
    </w:p>
    <w:p w:rsidR="00D37495" w:rsidRPr="00D95F2E" w:rsidRDefault="00D37495" w:rsidP="00D95F2E">
      <w:pPr>
        <w:pStyle w:val="ItemHead"/>
      </w:pPr>
      <w:r w:rsidRPr="00D95F2E">
        <w:lastRenderedPageBreak/>
        <w:t>15  Before section</w:t>
      </w:r>
      <w:r w:rsidR="00D95F2E" w:rsidRPr="00D95F2E">
        <w:t> </w:t>
      </w:r>
      <w:r w:rsidRPr="00D95F2E">
        <w:t>463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ActHead5"/>
      </w:pPr>
      <w:bookmarkStart w:id="53" w:name="_Toc27564193"/>
      <w:r w:rsidRPr="00D95F2E">
        <w:rPr>
          <w:rStyle w:val="CharSectno"/>
        </w:rPr>
        <w:t>463A</w:t>
      </w:r>
      <w:r w:rsidRPr="00D95F2E">
        <w:t xml:space="preserve">  Numbering scheme manager</w:t>
      </w:r>
      <w:bookmarkEnd w:id="53"/>
    </w:p>
    <w:p w:rsidR="00D37495" w:rsidRPr="00D95F2E" w:rsidRDefault="00D37495" w:rsidP="00D95F2E">
      <w:pPr>
        <w:pStyle w:val="subsection"/>
      </w:pPr>
      <w:r w:rsidRPr="00D95F2E">
        <w:tab/>
        <w:t>(1)</w:t>
      </w:r>
      <w:r w:rsidRPr="00D95F2E">
        <w:tab/>
        <w:t xml:space="preserve">If there is a numbering scheme manager, the allocation system determined by the </w:t>
      </w:r>
      <w:proofErr w:type="spellStart"/>
      <w:r w:rsidRPr="00D95F2E">
        <w:t>ACMA</w:t>
      </w:r>
      <w:proofErr w:type="spellEnd"/>
      <w:r w:rsidRPr="00D95F2E">
        <w:t xml:space="preserve"> under this Subdivision may be prepared by the numbering scheme manager.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 xml:space="preserve">However, the </w:t>
      </w:r>
      <w:proofErr w:type="spellStart"/>
      <w:r w:rsidRPr="00D95F2E">
        <w:t>ACMA</w:t>
      </w:r>
      <w:proofErr w:type="spellEnd"/>
      <w:r w:rsidRPr="00D95F2E">
        <w:t xml:space="preserve"> must not determine an allocation system that does not meet the </w:t>
      </w:r>
      <w:proofErr w:type="spellStart"/>
      <w:r w:rsidRPr="00D95F2E">
        <w:t>ACMA’s</w:t>
      </w:r>
      <w:proofErr w:type="spellEnd"/>
      <w:r w:rsidRPr="00D95F2E">
        <w:t xml:space="preserve"> requirements (including in relation to the </w:t>
      </w:r>
      <w:r w:rsidRPr="00D95F2E">
        <w:rPr>
          <w:i/>
        </w:rPr>
        <w:t>Telecommunications (Numbering Charges) Act 1997</w:t>
      </w:r>
      <w:r w:rsidRPr="00D95F2E">
        <w:t>).</w:t>
      </w:r>
    </w:p>
    <w:p w:rsidR="00D37495" w:rsidRPr="00D95F2E" w:rsidRDefault="00D37495" w:rsidP="00D95F2E">
      <w:pPr>
        <w:pStyle w:val="ItemHead"/>
      </w:pPr>
      <w:r w:rsidRPr="00D95F2E">
        <w:t>16  At the end of section</w:t>
      </w:r>
      <w:r w:rsidR="00D95F2E" w:rsidRPr="00D95F2E">
        <w:t> </w:t>
      </w:r>
      <w:r w:rsidRPr="00D95F2E">
        <w:t>463</w:t>
      </w:r>
    </w:p>
    <w:p w:rsidR="00D37495" w:rsidRPr="00D95F2E" w:rsidRDefault="00D37495" w:rsidP="00D95F2E">
      <w:pPr>
        <w:pStyle w:val="Item"/>
      </w:pPr>
      <w:r w:rsidRPr="00D95F2E">
        <w:t>Add:</w:t>
      </w:r>
    </w:p>
    <w:p w:rsidR="00D37495" w:rsidRPr="00D95F2E" w:rsidRDefault="00D37495" w:rsidP="00D95F2E">
      <w:pPr>
        <w:pStyle w:val="subsection"/>
      </w:pPr>
      <w:r w:rsidRPr="00D95F2E">
        <w:tab/>
        <w:t>(8)</w:t>
      </w:r>
      <w:r w:rsidRPr="00D95F2E">
        <w:tab/>
        <w:t xml:space="preserve">The </w:t>
      </w:r>
      <w:proofErr w:type="spellStart"/>
      <w:r w:rsidRPr="00D95F2E">
        <w:t>ACMA</w:t>
      </w:r>
      <w:proofErr w:type="spellEnd"/>
      <w:r w:rsidRPr="00D95F2E">
        <w:t xml:space="preserve"> may delegate any of the powers conferred on the </w:t>
      </w:r>
      <w:proofErr w:type="spellStart"/>
      <w:r w:rsidRPr="00D95F2E">
        <w:t>ACMA</w:t>
      </w:r>
      <w:proofErr w:type="spellEnd"/>
      <w:r w:rsidRPr="00D95F2E">
        <w:t xml:space="preserve"> by an allocation system to the numbering scheme manager or another person.</w:t>
      </w:r>
    </w:p>
    <w:p w:rsidR="00D37495" w:rsidRPr="00D95F2E" w:rsidRDefault="00D37495" w:rsidP="00D95F2E">
      <w:pPr>
        <w:pStyle w:val="ItemHead"/>
      </w:pPr>
      <w:r w:rsidRPr="00D95F2E">
        <w:t>17  After paragraph</w:t>
      </w:r>
      <w:r w:rsidR="00D95F2E" w:rsidRPr="00D95F2E">
        <w:t> </w:t>
      </w:r>
      <w:r w:rsidRPr="00D95F2E">
        <w:t>465(1)(a)</w:t>
      </w:r>
    </w:p>
    <w:p w:rsidR="00D37495" w:rsidRPr="00D95F2E" w:rsidRDefault="00D37495" w:rsidP="00D95F2E">
      <w:pPr>
        <w:pStyle w:val="Item"/>
      </w:pPr>
      <w:r w:rsidRPr="00D95F2E">
        <w:t>Insert:</w:t>
      </w:r>
    </w:p>
    <w:p w:rsidR="00D37495" w:rsidRPr="00D95F2E" w:rsidRDefault="00D37495" w:rsidP="00D95F2E">
      <w:pPr>
        <w:pStyle w:val="paragraph"/>
      </w:pPr>
      <w:r w:rsidRPr="00D95F2E">
        <w:tab/>
        <w:t>(aa)</w:t>
      </w:r>
      <w:r w:rsidRPr="00D95F2E">
        <w:tab/>
        <w:t>if there is a numbering scheme manager—the numbering scheme manager; or</w:t>
      </w:r>
    </w:p>
    <w:p w:rsidR="00D37495" w:rsidRPr="00D95F2E" w:rsidRDefault="00D37495" w:rsidP="00D95F2E">
      <w:pPr>
        <w:pStyle w:val="ItemHead"/>
      </w:pPr>
      <w:r w:rsidRPr="00D95F2E">
        <w:t>18  Paragraph 465(2)(a)</w:t>
      </w:r>
    </w:p>
    <w:p w:rsidR="00D37495" w:rsidRPr="00D95F2E" w:rsidRDefault="00D37495" w:rsidP="00D95F2E">
      <w:pPr>
        <w:pStyle w:val="Item"/>
      </w:pPr>
      <w:r w:rsidRPr="00D95F2E">
        <w:t>Omit “under the authority of the numbering plan”.</w:t>
      </w:r>
    </w:p>
    <w:p w:rsidR="00D37495" w:rsidRPr="00D95F2E" w:rsidRDefault="00D37495" w:rsidP="00D95F2E">
      <w:pPr>
        <w:pStyle w:val="ItemHead"/>
      </w:pPr>
      <w:r w:rsidRPr="00D95F2E">
        <w:t>19  Paragraph 466(1)(d)</w:t>
      </w:r>
    </w:p>
    <w:p w:rsidR="00D37495" w:rsidRPr="00D95F2E" w:rsidRDefault="00D37495" w:rsidP="00D95F2E">
      <w:pPr>
        <w:pStyle w:val="Item"/>
      </w:pPr>
      <w:r w:rsidRPr="00D95F2E">
        <w:t>Repeal the paragraph, substitute:</w:t>
      </w:r>
    </w:p>
    <w:p w:rsidR="00D37495" w:rsidRPr="00D95F2E" w:rsidRDefault="00D37495" w:rsidP="00D95F2E">
      <w:pPr>
        <w:pStyle w:val="paragraph"/>
      </w:pPr>
      <w:r w:rsidRPr="00D95F2E">
        <w:tab/>
        <w:t>(d)</w:t>
      </w:r>
      <w:r w:rsidRPr="00D95F2E">
        <w:tab/>
        <w:t xml:space="preserve">if there is a numbering scheme manager—a service specified by the </w:t>
      </w:r>
      <w:proofErr w:type="spellStart"/>
      <w:r w:rsidRPr="00D95F2E">
        <w:t>ACMA</w:t>
      </w:r>
      <w:proofErr w:type="spellEnd"/>
      <w:r w:rsidRPr="00D95F2E">
        <w:t xml:space="preserve"> for the purposes of this paragraph in a legislative instrument;</w:t>
      </w:r>
    </w:p>
    <w:p w:rsidR="00D37495" w:rsidRPr="00D95F2E" w:rsidRDefault="00D37495" w:rsidP="00D95F2E">
      <w:pPr>
        <w:pStyle w:val="paragraph"/>
      </w:pPr>
      <w:r w:rsidRPr="00D95F2E">
        <w:tab/>
        <w:t>(e)</w:t>
      </w:r>
      <w:r w:rsidRPr="00D95F2E">
        <w:tab/>
        <w:t xml:space="preserve">if there is no numbering scheme manager—a service specified for the purposes of this paragraph in the numbering plan made by the </w:t>
      </w:r>
      <w:proofErr w:type="spellStart"/>
      <w:r w:rsidRPr="00D95F2E">
        <w:t>ACMA</w:t>
      </w:r>
      <w:proofErr w:type="spellEnd"/>
      <w:r w:rsidRPr="00D95F2E">
        <w:t>.</w:t>
      </w:r>
    </w:p>
    <w:p w:rsidR="00D37495" w:rsidRPr="00D95F2E" w:rsidRDefault="00D37495" w:rsidP="00D95F2E">
      <w:pPr>
        <w:pStyle w:val="ItemHead"/>
      </w:pPr>
      <w:r w:rsidRPr="00D95F2E">
        <w:t>20  Subsection</w:t>
      </w:r>
      <w:r w:rsidR="00D95F2E" w:rsidRPr="00D95F2E">
        <w:t> </w:t>
      </w:r>
      <w:r w:rsidRPr="00D95F2E">
        <w:t>466(2)</w:t>
      </w:r>
    </w:p>
    <w:p w:rsidR="00D37495" w:rsidRPr="00D95F2E" w:rsidRDefault="00D37495" w:rsidP="00D95F2E">
      <w:pPr>
        <w:pStyle w:val="Item"/>
      </w:pPr>
      <w:r w:rsidRPr="00D95F2E">
        <w:t>Omit all the words after “specified”, substitute:</w:t>
      </w:r>
    </w:p>
    <w:p w:rsidR="00D37495" w:rsidRPr="00D95F2E" w:rsidRDefault="00D37495" w:rsidP="00D95F2E">
      <w:pPr>
        <w:pStyle w:val="subsection"/>
      </w:pPr>
      <w:r w:rsidRPr="00D95F2E">
        <w:lastRenderedPageBreak/>
        <w:tab/>
      </w:r>
      <w:r w:rsidRPr="00D95F2E">
        <w:tab/>
        <w:t>for the purposes of this section in: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 xml:space="preserve">if there is a numbering scheme manager—a legislative instrument made by the </w:t>
      </w:r>
      <w:proofErr w:type="spellStart"/>
      <w:r w:rsidRPr="00D95F2E">
        <w:t>ACMA</w:t>
      </w:r>
      <w:proofErr w:type="spellEnd"/>
      <w:r w:rsidRPr="00D95F2E">
        <w:t>; or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 xml:space="preserve">if there is no numbering scheme manager—the numbering plan made by the </w:t>
      </w:r>
      <w:proofErr w:type="spellStart"/>
      <w:r w:rsidRPr="00D95F2E">
        <w:t>ACMA</w:t>
      </w:r>
      <w:proofErr w:type="spellEnd"/>
      <w:r w:rsidRPr="00D95F2E">
        <w:t>.</w:t>
      </w:r>
    </w:p>
    <w:p w:rsidR="00D37495" w:rsidRPr="00D95F2E" w:rsidRDefault="00D37495" w:rsidP="00D95F2E">
      <w:pPr>
        <w:pStyle w:val="ItemHead"/>
      </w:pPr>
      <w:r w:rsidRPr="00D95F2E">
        <w:t>21  Subsections</w:t>
      </w:r>
      <w:r w:rsidR="00D95F2E" w:rsidRPr="00D95F2E">
        <w:t> </w:t>
      </w:r>
      <w:r w:rsidRPr="00D95F2E">
        <w:t>466(3) and (4)</w:t>
      </w:r>
    </w:p>
    <w:p w:rsidR="00D37495" w:rsidRPr="00D95F2E" w:rsidRDefault="00D37495" w:rsidP="00D95F2E">
      <w:pPr>
        <w:pStyle w:val="Item"/>
      </w:pPr>
      <w:r w:rsidRPr="00D95F2E">
        <w:t>Omit “The numbering plan may specify different numbers”, substitute “Different emergency service numbers may be specified”.</w:t>
      </w:r>
    </w:p>
    <w:p w:rsidR="00D37495" w:rsidRPr="00D95F2E" w:rsidRDefault="00D37495" w:rsidP="00D95F2E">
      <w:pPr>
        <w:pStyle w:val="ItemHead"/>
      </w:pPr>
      <w:r w:rsidRPr="00D95F2E">
        <w:t>22  Subsection</w:t>
      </w:r>
      <w:r w:rsidR="00D95F2E" w:rsidRPr="00D95F2E">
        <w:t> </w:t>
      </w:r>
      <w:r w:rsidRPr="00D95F2E">
        <w:t>466(5)</w:t>
      </w:r>
    </w:p>
    <w:p w:rsidR="00D37495" w:rsidRPr="00D95F2E" w:rsidRDefault="00D37495" w:rsidP="00D95F2E">
      <w:pPr>
        <w:pStyle w:val="Item"/>
      </w:pPr>
      <w:r w:rsidRPr="00D95F2E">
        <w:t>Repeal the subsection, substitute:</w:t>
      </w:r>
    </w:p>
    <w:p w:rsidR="00D37495" w:rsidRPr="00D95F2E" w:rsidRDefault="00D37495" w:rsidP="00D95F2E">
      <w:pPr>
        <w:pStyle w:val="subsection"/>
      </w:pPr>
      <w:r w:rsidRPr="00D95F2E">
        <w:tab/>
        <w:t>(5)</w:t>
      </w:r>
      <w:r w:rsidRPr="00D95F2E">
        <w:tab/>
        <w:t>Rules about the use of emergency service numbers may be set out in: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the rules and processes published by the numbering scheme manager; or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 xml:space="preserve">the numbering plan made by the </w:t>
      </w:r>
      <w:proofErr w:type="spellStart"/>
      <w:r w:rsidRPr="00D95F2E">
        <w:t>ACMA</w:t>
      </w:r>
      <w:proofErr w:type="spellEnd"/>
      <w:r w:rsidRPr="00D95F2E">
        <w:t>.</w:t>
      </w:r>
    </w:p>
    <w:p w:rsidR="00D37495" w:rsidRPr="00D95F2E" w:rsidRDefault="00D37495" w:rsidP="00D95F2E">
      <w:pPr>
        <w:pStyle w:val="ItemHead"/>
      </w:pPr>
      <w:r w:rsidRPr="00D95F2E">
        <w:t>23  Subsection</w:t>
      </w:r>
      <w:r w:rsidR="00D95F2E" w:rsidRPr="00D95F2E">
        <w:t> </w:t>
      </w:r>
      <w:r w:rsidRPr="00D95F2E">
        <w:t>466(6)</w:t>
      </w:r>
    </w:p>
    <w:p w:rsidR="00D37495" w:rsidRPr="00D95F2E" w:rsidRDefault="00D37495" w:rsidP="00D95F2E">
      <w:pPr>
        <w:pStyle w:val="Item"/>
      </w:pPr>
      <w:r w:rsidRPr="00D95F2E">
        <w:t>Omit “In making the numbering plan”, substitute “In specifying emergency service numbers”.</w:t>
      </w:r>
    </w:p>
    <w:p w:rsidR="00D37495" w:rsidRPr="00D95F2E" w:rsidRDefault="00D37495" w:rsidP="00D95F2E">
      <w:pPr>
        <w:pStyle w:val="ItemHead"/>
      </w:pPr>
      <w:r w:rsidRPr="00D95F2E">
        <w:t>24  Section</w:t>
      </w:r>
      <w:r w:rsidR="00D95F2E" w:rsidRPr="00D95F2E">
        <w:t> </w:t>
      </w:r>
      <w:r w:rsidRPr="00D95F2E">
        <w:t>467</w:t>
      </w:r>
    </w:p>
    <w:p w:rsidR="00D37495" w:rsidRPr="00D95F2E" w:rsidRDefault="00D37495" w:rsidP="00D95F2E">
      <w:pPr>
        <w:pStyle w:val="Item"/>
      </w:pPr>
      <w:r w:rsidRPr="00D95F2E">
        <w:t>Repeal the section.</w:t>
      </w:r>
    </w:p>
    <w:p w:rsidR="00D37495" w:rsidRPr="00D95F2E" w:rsidRDefault="00D37495" w:rsidP="00D95F2E">
      <w:pPr>
        <w:pStyle w:val="ItemHead"/>
      </w:pPr>
      <w:r w:rsidRPr="00D95F2E">
        <w:t>25  Subsection</w:t>
      </w:r>
      <w:r w:rsidR="00D95F2E" w:rsidRPr="00D95F2E">
        <w:t> </w:t>
      </w:r>
      <w:r w:rsidRPr="00D95F2E">
        <w:t>468(10)</w:t>
      </w:r>
    </w:p>
    <w:p w:rsidR="00D37495" w:rsidRPr="00D95F2E" w:rsidRDefault="00D37495" w:rsidP="00D95F2E">
      <w:pPr>
        <w:pStyle w:val="Item"/>
      </w:pPr>
      <w:r w:rsidRPr="00D95F2E">
        <w:t xml:space="preserve">After “the </w:t>
      </w:r>
      <w:proofErr w:type="spellStart"/>
      <w:r w:rsidRPr="00D95F2E">
        <w:t>ACMA</w:t>
      </w:r>
      <w:proofErr w:type="spellEnd"/>
      <w:r w:rsidRPr="00D95F2E">
        <w:t>”, insert “or the numbering scheme manager”.</w:t>
      </w:r>
    </w:p>
    <w:p w:rsidR="00D37495" w:rsidRPr="00D95F2E" w:rsidRDefault="00D37495" w:rsidP="00D95F2E">
      <w:pPr>
        <w:pStyle w:val="ItemHead"/>
      </w:pPr>
      <w:r w:rsidRPr="00D95F2E">
        <w:t>26  At the end of subsection</w:t>
      </w:r>
      <w:r w:rsidR="00D95F2E" w:rsidRPr="00D95F2E">
        <w:t> </w:t>
      </w:r>
      <w:r w:rsidRPr="00D95F2E">
        <w:t>468(10)</w:t>
      </w:r>
    </w:p>
    <w:p w:rsidR="00D37495" w:rsidRPr="00D95F2E" w:rsidRDefault="00D37495" w:rsidP="00D95F2E">
      <w:pPr>
        <w:pStyle w:val="Item"/>
      </w:pPr>
      <w:r w:rsidRPr="00D95F2E">
        <w:t>Add “and the numbering scheme”.</w:t>
      </w:r>
    </w:p>
    <w:p w:rsidR="00D37495" w:rsidRPr="00D95F2E" w:rsidRDefault="00D37495" w:rsidP="00D95F2E">
      <w:pPr>
        <w:pStyle w:val="ItemHead"/>
      </w:pPr>
      <w:r w:rsidRPr="00D95F2E">
        <w:t>27  Subsection</w:t>
      </w:r>
      <w:r w:rsidR="00D95F2E" w:rsidRPr="00D95F2E">
        <w:t> </w:t>
      </w:r>
      <w:r w:rsidRPr="00D95F2E">
        <w:t xml:space="preserve">472(7) (definition of </w:t>
      </w:r>
      <w:r w:rsidRPr="00D95F2E">
        <w:rPr>
          <w:i/>
        </w:rPr>
        <w:t>public number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Repeal the definition, substitute:</w:t>
      </w:r>
    </w:p>
    <w:p w:rsidR="00D37495" w:rsidRPr="00D95F2E" w:rsidRDefault="00D37495" w:rsidP="00D95F2E">
      <w:pPr>
        <w:pStyle w:val="Definition"/>
      </w:pPr>
      <w:r w:rsidRPr="00D95F2E">
        <w:rPr>
          <w:b/>
          <w:i/>
        </w:rPr>
        <w:t>public number</w:t>
      </w:r>
      <w:r w:rsidRPr="00D95F2E">
        <w:t xml:space="preserve"> means a number specified for use in connection with the supply of carriage services to the public in Australia (within the meaning of subsection</w:t>
      </w:r>
      <w:r w:rsidR="00D95F2E" w:rsidRPr="00D95F2E">
        <w:t> </w:t>
      </w:r>
      <w:r w:rsidRPr="00D95F2E">
        <w:t>456(2)).</w:t>
      </w:r>
    </w:p>
    <w:p w:rsidR="00D37495" w:rsidRPr="00D95F2E" w:rsidRDefault="00D37495" w:rsidP="00D95F2E">
      <w:pPr>
        <w:pStyle w:val="ItemHead"/>
      </w:pPr>
      <w:r w:rsidRPr="00D95F2E">
        <w:lastRenderedPageBreak/>
        <w:t>28  Subclause</w:t>
      </w:r>
      <w:r w:rsidR="00D95F2E" w:rsidRPr="00D95F2E">
        <w:t> </w:t>
      </w:r>
      <w:r w:rsidRPr="00D95F2E">
        <w:t>10(3) of Schedule</w:t>
      </w:r>
      <w:r w:rsidR="00D95F2E" w:rsidRPr="00D95F2E">
        <w:t> </w:t>
      </w:r>
      <w:r w:rsidRPr="00D95F2E">
        <w:t xml:space="preserve">2 (definition of </w:t>
      </w:r>
      <w:r w:rsidRPr="00D95F2E">
        <w:rPr>
          <w:i/>
        </w:rPr>
        <w:t>public number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Repeal the definition, substitute:</w:t>
      </w:r>
    </w:p>
    <w:p w:rsidR="00D37495" w:rsidRPr="00D95F2E" w:rsidRDefault="00D37495" w:rsidP="00D95F2E">
      <w:pPr>
        <w:pStyle w:val="Definition"/>
      </w:pPr>
      <w:r w:rsidRPr="00D95F2E">
        <w:rPr>
          <w:b/>
          <w:i/>
        </w:rPr>
        <w:t>public number</w:t>
      </w:r>
      <w:r w:rsidRPr="00D95F2E">
        <w:t xml:space="preserve"> means a number specified for use in connection with the supply of carriage services to the public in Australia (within the meaning of subsection</w:t>
      </w:r>
      <w:r w:rsidR="00D95F2E" w:rsidRPr="00D95F2E">
        <w:t> </w:t>
      </w:r>
      <w:r w:rsidRPr="00D95F2E">
        <w:t>456(2)).</w:t>
      </w:r>
    </w:p>
    <w:p w:rsidR="00D37495" w:rsidRPr="00D95F2E" w:rsidRDefault="00D37495" w:rsidP="00D95F2E">
      <w:pPr>
        <w:pStyle w:val="ItemHead"/>
      </w:pPr>
      <w:r w:rsidRPr="00D95F2E">
        <w:t>29  Subclause</w:t>
      </w:r>
      <w:r w:rsidR="00D95F2E" w:rsidRPr="00D95F2E">
        <w:t> </w:t>
      </w:r>
      <w:r w:rsidRPr="00D95F2E">
        <w:t>11(3) of Schedule</w:t>
      </w:r>
      <w:r w:rsidR="00D95F2E" w:rsidRPr="00D95F2E">
        <w:t> </w:t>
      </w:r>
      <w:r w:rsidRPr="00D95F2E">
        <w:t xml:space="preserve">2 (definition of </w:t>
      </w:r>
      <w:r w:rsidRPr="00D95F2E">
        <w:rPr>
          <w:i/>
        </w:rPr>
        <w:t>public number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Repeal the definition, substitute:</w:t>
      </w:r>
    </w:p>
    <w:p w:rsidR="00D37495" w:rsidRPr="00D95F2E" w:rsidRDefault="00D37495" w:rsidP="00D95F2E">
      <w:pPr>
        <w:pStyle w:val="Definition"/>
      </w:pPr>
      <w:r w:rsidRPr="00D95F2E">
        <w:rPr>
          <w:b/>
          <w:i/>
        </w:rPr>
        <w:t>public number</w:t>
      </w:r>
      <w:r w:rsidRPr="00D95F2E">
        <w:t xml:space="preserve"> means a number specified for use in connection with the supply of carriage services to the public in Australia (within the meaning of subsection</w:t>
      </w:r>
      <w:r w:rsidR="00D95F2E" w:rsidRPr="00D95F2E">
        <w:t> </w:t>
      </w:r>
      <w:r w:rsidRPr="00D95F2E">
        <w:t>456(2)).</w:t>
      </w:r>
    </w:p>
    <w:p w:rsidR="00D37495" w:rsidRPr="00D95F2E" w:rsidRDefault="00D37495" w:rsidP="00D95F2E">
      <w:pPr>
        <w:pStyle w:val="ActHead7"/>
        <w:pageBreakBefore/>
      </w:pPr>
      <w:bookmarkStart w:id="54" w:name="_Toc27564194"/>
      <w:r w:rsidRPr="00D95F2E">
        <w:rPr>
          <w:rStyle w:val="CharAmPartNo"/>
        </w:rPr>
        <w:lastRenderedPageBreak/>
        <w:t>Part</w:t>
      </w:r>
      <w:r w:rsidR="00D95F2E" w:rsidRPr="00D95F2E">
        <w:rPr>
          <w:rStyle w:val="CharAmPartNo"/>
        </w:rPr>
        <w:t> </w:t>
      </w:r>
      <w:r w:rsidRPr="00D95F2E">
        <w:rPr>
          <w:rStyle w:val="CharAmPartNo"/>
        </w:rPr>
        <w:t>2</w:t>
      </w:r>
      <w:r w:rsidRPr="00D95F2E">
        <w:t>—</w:t>
      </w:r>
      <w:r w:rsidRPr="00D95F2E">
        <w:rPr>
          <w:rStyle w:val="CharAmPartText"/>
        </w:rPr>
        <w:t>Amendments of other Acts</w:t>
      </w:r>
      <w:bookmarkEnd w:id="54"/>
    </w:p>
    <w:p w:rsidR="00D37495" w:rsidRPr="00D95F2E" w:rsidRDefault="00D37495" w:rsidP="00D95F2E">
      <w:pPr>
        <w:pStyle w:val="ActHead9"/>
        <w:rPr>
          <w:i w:val="0"/>
        </w:rPr>
      </w:pPr>
      <w:bookmarkStart w:id="55" w:name="_Toc27564195"/>
      <w:r w:rsidRPr="00D95F2E">
        <w:t>Do Not Call Register Act 2006</w:t>
      </w:r>
      <w:bookmarkEnd w:id="55"/>
    </w:p>
    <w:p w:rsidR="00D37495" w:rsidRPr="00D95F2E" w:rsidRDefault="00D37495" w:rsidP="00D95F2E">
      <w:pPr>
        <w:pStyle w:val="ItemHead"/>
      </w:pPr>
      <w:r w:rsidRPr="00D95F2E">
        <w:t>30  Section</w:t>
      </w:r>
      <w:r w:rsidR="00D95F2E" w:rsidRPr="00D95F2E">
        <w:t> </w:t>
      </w:r>
      <w:r w:rsidRPr="00D95F2E">
        <w:t xml:space="preserve">4 (definition of </w:t>
      </w:r>
      <w:r w:rsidRPr="00D95F2E">
        <w:rPr>
          <w:i/>
        </w:rPr>
        <w:t>Australian number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Repeal the definition, substitute:</w:t>
      </w:r>
    </w:p>
    <w:p w:rsidR="00D37495" w:rsidRPr="00D95F2E" w:rsidRDefault="00D37495" w:rsidP="00D95F2E">
      <w:pPr>
        <w:pStyle w:val="Definition"/>
      </w:pPr>
      <w:r w:rsidRPr="00D95F2E">
        <w:rPr>
          <w:b/>
          <w:i/>
        </w:rPr>
        <w:t>Australian number</w:t>
      </w:r>
      <w:r w:rsidRPr="00D95F2E">
        <w:t xml:space="preserve"> means a number that is: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specified in:</w:t>
      </w:r>
    </w:p>
    <w:p w:rsidR="00D37495" w:rsidRPr="00D95F2E" w:rsidRDefault="00D37495" w:rsidP="00D95F2E">
      <w:pPr>
        <w:pStyle w:val="paragraphsub"/>
      </w:pPr>
      <w:r w:rsidRPr="00D95F2E">
        <w:tab/>
        <w:t>(</w:t>
      </w:r>
      <w:proofErr w:type="spellStart"/>
      <w:r w:rsidRPr="00D95F2E">
        <w:t>i</w:t>
      </w:r>
      <w:proofErr w:type="spellEnd"/>
      <w:r w:rsidRPr="00D95F2E">
        <w:t>)</w:t>
      </w:r>
      <w:r w:rsidRPr="00D95F2E">
        <w:tab/>
        <w:t>the numbering scheme referred to in section</w:t>
      </w:r>
      <w:r w:rsidR="00D95F2E" w:rsidRPr="00D95F2E">
        <w:t> </w:t>
      </w:r>
      <w:r w:rsidRPr="00D95F2E">
        <w:t xml:space="preserve">454A of the </w:t>
      </w:r>
      <w:r w:rsidRPr="00D95F2E">
        <w:rPr>
          <w:i/>
        </w:rPr>
        <w:t>Telecommunications Act 1997</w:t>
      </w:r>
      <w:r w:rsidRPr="00D95F2E">
        <w:t>; or</w:t>
      </w:r>
    </w:p>
    <w:p w:rsidR="00D37495" w:rsidRPr="00D95F2E" w:rsidRDefault="00D37495" w:rsidP="00D95F2E">
      <w:pPr>
        <w:pStyle w:val="paragraphsub"/>
      </w:pPr>
      <w:r w:rsidRPr="00D95F2E">
        <w:tab/>
        <w:t>(ii)</w:t>
      </w:r>
      <w:r w:rsidRPr="00D95F2E">
        <w:tab/>
        <w:t>the numbering plan referred to in section</w:t>
      </w:r>
      <w:r w:rsidR="00D95F2E" w:rsidRPr="00D95F2E">
        <w:t> </w:t>
      </w:r>
      <w:r w:rsidRPr="00D95F2E">
        <w:t>455 of that Act; and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>for use in connection with the supply of carriage services to the public in Australia, within the meaning of subsection</w:t>
      </w:r>
      <w:r w:rsidR="00D95F2E" w:rsidRPr="00D95F2E">
        <w:t> </w:t>
      </w:r>
      <w:r w:rsidRPr="00D95F2E">
        <w:t>456(2) of that Act.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56" w:name="_Toc27564196"/>
      <w:r w:rsidRPr="00D95F2E">
        <w:t>Telecommunications (Consumer Protection and Service Standards) Act 1999</w:t>
      </w:r>
      <w:bookmarkEnd w:id="56"/>
    </w:p>
    <w:p w:rsidR="00D37495" w:rsidRPr="00D95F2E" w:rsidRDefault="00D37495" w:rsidP="00D95F2E">
      <w:pPr>
        <w:pStyle w:val="ItemHead"/>
      </w:pPr>
      <w:r w:rsidRPr="00D95F2E">
        <w:t>31  Subsection</w:t>
      </w:r>
      <w:r w:rsidR="00D95F2E" w:rsidRPr="00D95F2E">
        <w:t> </w:t>
      </w:r>
      <w:r w:rsidRPr="00D95F2E">
        <w:t>147(11) (</w:t>
      </w:r>
      <w:r w:rsidR="00D95F2E" w:rsidRPr="00D95F2E">
        <w:t>paragraph (</w:t>
      </w:r>
      <w:r w:rsidRPr="00D95F2E">
        <w:t xml:space="preserve">d) of the definition of </w:t>
      </w:r>
      <w:r w:rsidRPr="00D95F2E">
        <w:rPr>
          <w:i/>
        </w:rPr>
        <w:t>emergency service organisation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Repeal the paragraph, substitute:</w:t>
      </w:r>
    </w:p>
    <w:p w:rsidR="00D37495" w:rsidRPr="00D95F2E" w:rsidRDefault="00D37495" w:rsidP="00D95F2E">
      <w:pPr>
        <w:pStyle w:val="paragraph"/>
      </w:pPr>
      <w:r w:rsidRPr="00D95F2E">
        <w:tab/>
        <w:t>(d)</w:t>
      </w:r>
      <w:r w:rsidRPr="00D95F2E">
        <w:tab/>
        <w:t>if there is a numbering scheme manager—a service specified by the ACMA for the purposes of this paragraph in a legislative instrument; or</w:t>
      </w:r>
    </w:p>
    <w:p w:rsidR="00D37495" w:rsidRPr="00D95F2E" w:rsidRDefault="00D37495" w:rsidP="00D95F2E">
      <w:pPr>
        <w:pStyle w:val="paragraph"/>
      </w:pPr>
      <w:r w:rsidRPr="00D95F2E">
        <w:tab/>
        <w:t>(da)</w:t>
      </w:r>
      <w:r w:rsidRPr="00D95F2E">
        <w:tab/>
        <w:t>if there is no numbering scheme manager—a service specified for the purposes of this paragraph in the numbering plan made by the ACMA; or</w:t>
      </w:r>
    </w:p>
    <w:p w:rsidR="00D37495" w:rsidRPr="00D95F2E" w:rsidRDefault="00D37495" w:rsidP="00D95F2E">
      <w:pPr>
        <w:pStyle w:val="ItemHead"/>
      </w:pPr>
      <w:r w:rsidRPr="00D95F2E">
        <w:t>32  Subsection</w:t>
      </w:r>
      <w:r w:rsidR="00D95F2E" w:rsidRPr="00D95F2E">
        <w:t> </w:t>
      </w:r>
      <w:r w:rsidRPr="00D95F2E">
        <w:t>147(11) (</w:t>
      </w:r>
      <w:r w:rsidR="00D95F2E" w:rsidRPr="00D95F2E">
        <w:t>paragraph (</w:t>
      </w:r>
      <w:r w:rsidRPr="00D95F2E">
        <w:t xml:space="preserve">e) of the definition of </w:t>
      </w:r>
      <w:r w:rsidRPr="00D95F2E">
        <w:rPr>
          <w:i/>
        </w:rPr>
        <w:t>emergency service organisation</w:t>
      </w:r>
      <w:r w:rsidRPr="00D95F2E">
        <w:t>)</w:t>
      </w:r>
    </w:p>
    <w:p w:rsidR="00D37495" w:rsidRPr="00D95F2E" w:rsidRDefault="00D37495" w:rsidP="00D95F2E">
      <w:pPr>
        <w:pStyle w:val="Item"/>
      </w:pPr>
      <w:r w:rsidRPr="00D95F2E">
        <w:t>Omit “or (d)”, substitute “, (d) or (da)”.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57" w:name="_Toc27564197"/>
      <w:r w:rsidRPr="00D95F2E">
        <w:lastRenderedPageBreak/>
        <w:t>Telecommunications (Numbering Charges) Amendment Act 2016</w:t>
      </w:r>
      <w:bookmarkEnd w:id="57"/>
    </w:p>
    <w:p w:rsidR="00D37495" w:rsidRPr="00D95F2E" w:rsidRDefault="00D37495" w:rsidP="00D95F2E">
      <w:pPr>
        <w:pStyle w:val="ItemHead"/>
      </w:pPr>
      <w:r w:rsidRPr="00D95F2E">
        <w:t>33  Subsection</w:t>
      </w:r>
      <w:r w:rsidR="00D95F2E" w:rsidRPr="00D95F2E">
        <w:t> </w:t>
      </w:r>
      <w:r w:rsidRPr="00D95F2E">
        <w:t>2(1) (table item</w:t>
      </w:r>
      <w:r w:rsidR="00D95F2E" w:rsidRPr="00D95F2E">
        <w:t> </w:t>
      </w:r>
      <w:r w:rsidRPr="00D95F2E">
        <w:t xml:space="preserve">1, column 2, </w:t>
      </w:r>
      <w:r w:rsidR="00D95F2E" w:rsidRPr="00D95F2E">
        <w:t>paragraph (</w:t>
      </w:r>
      <w:r w:rsidRPr="00D95F2E">
        <w:t>b))</w:t>
      </w:r>
    </w:p>
    <w:p w:rsidR="00245AFE" w:rsidRPr="00D95F2E" w:rsidRDefault="00D37495" w:rsidP="00D95F2E">
      <w:pPr>
        <w:pStyle w:val="Item"/>
      </w:pPr>
      <w:r w:rsidRPr="00D95F2E">
        <w:t>Omit “</w:t>
      </w:r>
      <w:r w:rsidRPr="00D95F2E">
        <w:rPr>
          <w:i/>
        </w:rPr>
        <w:t>Communications Legislation Amendment (Deregulation and Other Measures) Act 2016</w:t>
      </w:r>
      <w:r w:rsidRPr="00D95F2E">
        <w:t>”, substitute “</w:t>
      </w:r>
      <w:r w:rsidRPr="00D95F2E">
        <w:rPr>
          <w:i/>
        </w:rPr>
        <w:t>Communications Legislation Amendment (Deregulation and Other Measures) Act 201</w:t>
      </w:r>
      <w:r w:rsidR="000E333F" w:rsidRPr="00D95F2E">
        <w:rPr>
          <w:i/>
        </w:rPr>
        <w:t>9</w:t>
      </w:r>
      <w:r w:rsidRPr="00D95F2E">
        <w:t>”.</w:t>
      </w:r>
    </w:p>
    <w:p w:rsidR="00D37495" w:rsidRPr="00D95F2E" w:rsidRDefault="00D37495" w:rsidP="00D95F2E">
      <w:pPr>
        <w:pStyle w:val="ActHead7"/>
        <w:pageBreakBefore/>
      </w:pPr>
      <w:bookmarkStart w:id="58" w:name="_Toc27564198"/>
      <w:r w:rsidRPr="00D95F2E">
        <w:rPr>
          <w:rStyle w:val="CharAmPartNo"/>
        </w:rPr>
        <w:lastRenderedPageBreak/>
        <w:t>Part</w:t>
      </w:r>
      <w:r w:rsidR="00D95F2E" w:rsidRPr="00D95F2E">
        <w:rPr>
          <w:rStyle w:val="CharAmPartNo"/>
        </w:rPr>
        <w:t> </w:t>
      </w:r>
      <w:r w:rsidRPr="00D95F2E">
        <w:rPr>
          <w:rStyle w:val="CharAmPartNo"/>
        </w:rPr>
        <w:t>3</w:t>
      </w:r>
      <w:r w:rsidRPr="00D95F2E">
        <w:t>—</w:t>
      </w:r>
      <w:r w:rsidRPr="00D95F2E">
        <w:rPr>
          <w:rStyle w:val="CharAmPartText"/>
        </w:rPr>
        <w:t>Transitional provisions</w:t>
      </w:r>
      <w:bookmarkEnd w:id="58"/>
    </w:p>
    <w:p w:rsidR="00D37495" w:rsidRPr="00D95F2E" w:rsidRDefault="00D37495" w:rsidP="00D95F2E">
      <w:pPr>
        <w:pStyle w:val="Transitional"/>
      </w:pPr>
      <w:r w:rsidRPr="00D95F2E">
        <w:t>34  Delegations by ACMA</w:t>
      </w:r>
    </w:p>
    <w:p w:rsidR="00D37495" w:rsidRPr="00D95F2E" w:rsidRDefault="00D37495" w:rsidP="00D95F2E">
      <w:pPr>
        <w:pStyle w:val="Subitem"/>
      </w:pPr>
      <w:r w:rsidRPr="00D95F2E">
        <w:t>(1)</w:t>
      </w:r>
      <w:r w:rsidRPr="00D95F2E">
        <w:tab/>
        <w:t>A delegation under subsection</w:t>
      </w:r>
      <w:r w:rsidR="00D95F2E" w:rsidRPr="00D95F2E">
        <w:t> </w:t>
      </w:r>
      <w:r w:rsidRPr="00D95F2E">
        <w:t xml:space="preserve">467(1) of the </w:t>
      </w:r>
      <w:r w:rsidRPr="00D95F2E">
        <w:rPr>
          <w:i/>
        </w:rPr>
        <w:t>Telecommunications Act 1997</w:t>
      </w:r>
      <w:r w:rsidRPr="00D95F2E">
        <w:t xml:space="preserve"> that was in force immediately before the commencement of this Schedule has effect immediately after that commencement as if it had been made under subsection</w:t>
      </w:r>
      <w:r w:rsidR="00D95F2E" w:rsidRPr="00D95F2E">
        <w:t> </w:t>
      </w:r>
      <w:r w:rsidRPr="00D95F2E">
        <w:t>459A(1) of that Act.</w:t>
      </w:r>
    </w:p>
    <w:p w:rsidR="00D37495" w:rsidRPr="00D95F2E" w:rsidRDefault="00D37495" w:rsidP="00D95F2E">
      <w:pPr>
        <w:pStyle w:val="Subitem"/>
      </w:pPr>
      <w:r w:rsidRPr="00D95F2E">
        <w:t>(2)</w:t>
      </w:r>
      <w:r w:rsidRPr="00D95F2E">
        <w:tab/>
        <w:t>A delegation under paragraph</w:t>
      </w:r>
      <w:r w:rsidR="00D95F2E" w:rsidRPr="00D95F2E">
        <w:t> </w:t>
      </w:r>
      <w:r w:rsidRPr="00D95F2E">
        <w:t xml:space="preserve">467(1A)(a) of the </w:t>
      </w:r>
      <w:r w:rsidRPr="00D95F2E">
        <w:rPr>
          <w:i/>
        </w:rPr>
        <w:t>Telecommunications Act 1997</w:t>
      </w:r>
      <w:r w:rsidRPr="00D95F2E">
        <w:t xml:space="preserve"> that was in force immediately before the commencement of this Schedule has effect immediately after that commencement as if it had been made under paragraph</w:t>
      </w:r>
      <w:r w:rsidR="00D95F2E" w:rsidRPr="00D95F2E">
        <w:t> </w:t>
      </w:r>
      <w:r w:rsidRPr="00D95F2E">
        <w:t>459A(2)(a) of that Act.</w:t>
      </w:r>
    </w:p>
    <w:p w:rsidR="00D37495" w:rsidRPr="00D95F2E" w:rsidRDefault="00D37495" w:rsidP="00D95F2E">
      <w:pPr>
        <w:pStyle w:val="ActHead6"/>
        <w:pageBreakBefore/>
      </w:pPr>
      <w:bookmarkStart w:id="59" w:name="_Toc27564199"/>
      <w:r w:rsidRPr="00D95F2E">
        <w:rPr>
          <w:rStyle w:val="CharAmSchNo"/>
        </w:rPr>
        <w:lastRenderedPageBreak/>
        <w:t>Schedule</w:t>
      </w:r>
      <w:r w:rsidR="00D95F2E" w:rsidRPr="00D95F2E">
        <w:rPr>
          <w:rStyle w:val="CharAmSchNo"/>
        </w:rPr>
        <w:t> </w:t>
      </w:r>
      <w:r w:rsidRPr="00D95F2E">
        <w:rPr>
          <w:rStyle w:val="CharAmSchNo"/>
        </w:rPr>
        <w:t>7</w:t>
      </w:r>
      <w:r w:rsidRPr="00D95F2E">
        <w:t>—</w:t>
      </w:r>
      <w:r w:rsidRPr="00D95F2E">
        <w:rPr>
          <w:rStyle w:val="CharAmSchText"/>
        </w:rPr>
        <w:t>Publication requirements</w:t>
      </w:r>
      <w:bookmarkEnd w:id="59"/>
    </w:p>
    <w:p w:rsidR="00D37495" w:rsidRPr="00D95F2E" w:rsidRDefault="00D37495" w:rsidP="00D95F2E">
      <w:pPr>
        <w:pStyle w:val="ActHead7"/>
      </w:pPr>
      <w:bookmarkStart w:id="60" w:name="_Toc27564200"/>
      <w:r w:rsidRPr="00D95F2E">
        <w:rPr>
          <w:rStyle w:val="CharAmPartNo"/>
        </w:rPr>
        <w:t>Part</w:t>
      </w:r>
      <w:r w:rsidR="00D95F2E" w:rsidRPr="00D95F2E">
        <w:rPr>
          <w:rStyle w:val="CharAmPartNo"/>
        </w:rPr>
        <w:t> </w:t>
      </w:r>
      <w:r w:rsidRPr="00D95F2E">
        <w:rPr>
          <w:rStyle w:val="CharAmPartNo"/>
        </w:rPr>
        <w:t>1</w:t>
      </w:r>
      <w:r w:rsidRPr="00D95F2E">
        <w:t>—</w:t>
      </w:r>
      <w:r w:rsidRPr="00D95F2E">
        <w:rPr>
          <w:rStyle w:val="CharAmPartText"/>
        </w:rPr>
        <w:t>Amendments</w:t>
      </w:r>
      <w:bookmarkEnd w:id="60"/>
    </w:p>
    <w:p w:rsidR="00D37495" w:rsidRPr="00D95F2E" w:rsidRDefault="00D37495" w:rsidP="00D95F2E">
      <w:pPr>
        <w:pStyle w:val="ActHead9"/>
        <w:rPr>
          <w:i w:val="0"/>
        </w:rPr>
      </w:pPr>
      <w:bookmarkStart w:id="61" w:name="_Toc27564201"/>
      <w:r w:rsidRPr="00D95F2E">
        <w:t>Broadcasting Services Act 1992</w:t>
      </w:r>
      <w:bookmarkEnd w:id="61"/>
    </w:p>
    <w:p w:rsidR="00D37495" w:rsidRPr="00D95F2E" w:rsidRDefault="00D37495" w:rsidP="00D95F2E">
      <w:pPr>
        <w:pStyle w:val="ItemHead"/>
      </w:pPr>
      <w:r w:rsidRPr="00D95F2E">
        <w:t>1  Section</w:t>
      </w:r>
      <w:r w:rsidR="00D95F2E" w:rsidRPr="00D95F2E">
        <w:t> </w:t>
      </w:r>
      <w:r w:rsidRPr="00D95F2E">
        <w:t>127</w:t>
      </w:r>
    </w:p>
    <w:p w:rsidR="00D37495" w:rsidRPr="00D95F2E" w:rsidRDefault="00D37495" w:rsidP="00D95F2E">
      <w:pPr>
        <w:pStyle w:val="Item"/>
      </w:pPr>
      <w:r w:rsidRPr="00D95F2E">
        <w:t>Before “If”, insert “(1)”.</w:t>
      </w:r>
    </w:p>
    <w:p w:rsidR="00D37495" w:rsidRPr="00D95F2E" w:rsidRDefault="00D37495" w:rsidP="00D95F2E">
      <w:pPr>
        <w:pStyle w:val="ItemHead"/>
      </w:pPr>
      <w:r w:rsidRPr="00D95F2E">
        <w:t>2  Section</w:t>
      </w:r>
      <w:r w:rsidR="00D95F2E" w:rsidRPr="00D95F2E">
        <w:t> </w:t>
      </w:r>
      <w:r w:rsidRPr="00D95F2E">
        <w:t>127</w:t>
      </w:r>
    </w:p>
    <w:p w:rsidR="00D37495" w:rsidRPr="00D95F2E" w:rsidRDefault="00D37495" w:rsidP="00D95F2E">
      <w:pPr>
        <w:pStyle w:val="Item"/>
      </w:pPr>
      <w:r w:rsidRPr="00D95F2E">
        <w:t xml:space="preserve">Omit “in the </w:t>
      </w:r>
      <w:r w:rsidRPr="00D95F2E">
        <w:rPr>
          <w:i/>
        </w:rPr>
        <w:t>Gazette</w:t>
      </w:r>
      <w:r w:rsidRPr="00D95F2E">
        <w:t>”.</w:t>
      </w:r>
    </w:p>
    <w:p w:rsidR="00D37495" w:rsidRPr="00D95F2E" w:rsidRDefault="00D37495" w:rsidP="00D95F2E">
      <w:pPr>
        <w:pStyle w:val="ItemHead"/>
      </w:pPr>
      <w:r w:rsidRPr="00D95F2E">
        <w:t>3  Paragraph 127(b)</w:t>
      </w:r>
    </w:p>
    <w:p w:rsidR="00D37495" w:rsidRPr="00D95F2E" w:rsidRDefault="00D37495" w:rsidP="00D95F2E">
      <w:pPr>
        <w:pStyle w:val="Item"/>
      </w:pPr>
      <w:r w:rsidRPr="00D95F2E">
        <w:t>Omit “purchased”, substitute “accessed”.</w:t>
      </w:r>
    </w:p>
    <w:p w:rsidR="00D37495" w:rsidRPr="00D95F2E" w:rsidRDefault="00D37495" w:rsidP="00D95F2E">
      <w:pPr>
        <w:pStyle w:val="ItemHead"/>
      </w:pPr>
      <w:r w:rsidRPr="00D95F2E">
        <w:t>4  At the end of section</w:t>
      </w:r>
      <w:r w:rsidR="00D95F2E" w:rsidRPr="00D95F2E">
        <w:t> </w:t>
      </w:r>
      <w:r w:rsidRPr="00D95F2E">
        <w:t>127</w:t>
      </w:r>
    </w:p>
    <w:p w:rsidR="00D37495" w:rsidRPr="00D95F2E" w:rsidRDefault="00D37495" w:rsidP="00D95F2E">
      <w:pPr>
        <w:pStyle w:val="Item"/>
      </w:pPr>
      <w:r w:rsidRPr="00D95F2E">
        <w:t>Add:</w:t>
      </w:r>
    </w:p>
    <w:p w:rsidR="00D37495" w:rsidRPr="00D95F2E" w:rsidRDefault="00D37495" w:rsidP="00D95F2E">
      <w:pPr>
        <w:pStyle w:val="subsection"/>
      </w:pPr>
      <w:r w:rsidRPr="00D95F2E">
        <w:tab/>
        <w:t>(2)</w:t>
      </w:r>
      <w:r w:rsidRPr="00D95F2E">
        <w:tab/>
        <w:t xml:space="preserve">A notice under </w:t>
      </w:r>
      <w:r w:rsidR="00D95F2E" w:rsidRPr="00D95F2E">
        <w:t>subsection (</w:t>
      </w:r>
      <w:r w:rsidRPr="00D95F2E">
        <w:t>1) must be published: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on the ACMA’s website; and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>in one or more other forms that are readily accessible by the public.</w:t>
      </w:r>
    </w:p>
    <w:p w:rsidR="00D37495" w:rsidRPr="00D95F2E" w:rsidRDefault="00D37495" w:rsidP="00D95F2E">
      <w:pPr>
        <w:pStyle w:val="notetext"/>
      </w:pPr>
      <w:r w:rsidRPr="00D95F2E">
        <w:t>Example:</w:t>
      </w:r>
      <w:r w:rsidRPr="00D95F2E">
        <w:tab/>
        <w:t xml:space="preserve">Publication in a form mentioned in </w:t>
      </w:r>
      <w:r w:rsidR="00D95F2E" w:rsidRPr="00D95F2E">
        <w:t>paragraph (</w:t>
      </w:r>
      <w:r w:rsidRPr="00D95F2E">
        <w:t>b) could be publication on a website other than the ACMA’s website.</w:t>
      </w:r>
    </w:p>
    <w:p w:rsidR="00D37495" w:rsidRPr="00D95F2E" w:rsidRDefault="00D37495" w:rsidP="00D95F2E">
      <w:pPr>
        <w:pStyle w:val="ItemHead"/>
      </w:pPr>
      <w:r w:rsidRPr="00D95F2E">
        <w:t>5  Clause</w:t>
      </w:r>
      <w:r w:rsidR="00D95F2E" w:rsidRPr="00D95F2E">
        <w:t> </w:t>
      </w:r>
      <w:r w:rsidRPr="00D95F2E">
        <w:t>33 of Schedule</w:t>
      </w:r>
      <w:r w:rsidR="00D95F2E" w:rsidRPr="00D95F2E">
        <w:t> </w:t>
      </w:r>
      <w:r w:rsidRPr="00D95F2E">
        <w:t>6</w:t>
      </w:r>
    </w:p>
    <w:p w:rsidR="00D37495" w:rsidRPr="00D95F2E" w:rsidRDefault="00D37495" w:rsidP="00D95F2E">
      <w:pPr>
        <w:pStyle w:val="Item"/>
      </w:pPr>
      <w:r w:rsidRPr="00D95F2E">
        <w:t>Before “If”, insert “(1)”.</w:t>
      </w:r>
    </w:p>
    <w:p w:rsidR="00D37495" w:rsidRPr="00D95F2E" w:rsidRDefault="00D37495" w:rsidP="00D95F2E">
      <w:pPr>
        <w:pStyle w:val="ItemHead"/>
      </w:pPr>
      <w:r w:rsidRPr="00D95F2E">
        <w:t>6  Clause</w:t>
      </w:r>
      <w:r w:rsidR="00D95F2E" w:rsidRPr="00D95F2E">
        <w:t> </w:t>
      </w:r>
      <w:r w:rsidRPr="00D95F2E">
        <w:t>33 of Schedule</w:t>
      </w:r>
      <w:r w:rsidR="00D95F2E" w:rsidRPr="00D95F2E">
        <w:t> </w:t>
      </w:r>
      <w:r w:rsidRPr="00D95F2E">
        <w:t>6</w:t>
      </w:r>
    </w:p>
    <w:p w:rsidR="00D37495" w:rsidRPr="00D95F2E" w:rsidRDefault="00D37495" w:rsidP="00D95F2E">
      <w:pPr>
        <w:pStyle w:val="Item"/>
      </w:pPr>
      <w:r w:rsidRPr="00D95F2E">
        <w:t xml:space="preserve">Omit “in the </w:t>
      </w:r>
      <w:r w:rsidRPr="00D95F2E">
        <w:rPr>
          <w:i/>
        </w:rPr>
        <w:t>Gazette</w:t>
      </w:r>
      <w:r w:rsidRPr="00D95F2E">
        <w:t>”.</w:t>
      </w:r>
    </w:p>
    <w:p w:rsidR="00D37495" w:rsidRPr="00D95F2E" w:rsidRDefault="00D37495" w:rsidP="00D95F2E">
      <w:pPr>
        <w:pStyle w:val="ItemHead"/>
      </w:pPr>
      <w:r w:rsidRPr="00D95F2E">
        <w:t>7  Paragraph 33(b) of Schedule</w:t>
      </w:r>
      <w:r w:rsidR="00D95F2E" w:rsidRPr="00D95F2E">
        <w:t> </w:t>
      </w:r>
      <w:r w:rsidRPr="00D95F2E">
        <w:t>6</w:t>
      </w:r>
    </w:p>
    <w:p w:rsidR="00D37495" w:rsidRPr="00D95F2E" w:rsidRDefault="00D37495" w:rsidP="00D95F2E">
      <w:pPr>
        <w:pStyle w:val="Item"/>
      </w:pPr>
      <w:r w:rsidRPr="00D95F2E">
        <w:t>Omit “purchased”, substitute “accessed”.</w:t>
      </w:r>
    </w:p>
    <w:p w:rsidR="00D37495" w:rsidRPr="00D95F2E" w:rsidRDefault="00D37495" w:rsidP="00D95F2E">
      <w:pPr>
        <w:pStyle w:val="ItemHead"/>
      </w:pPr>
      <w:r w:rsidRPr="00D95F2E">
        <w:t>8  At the end of clause</w:t>
      </w:r>
      <w:r w:rsidR="00D95F2E" w:rsidRPr="00D95F2E">
        <w:t> </w:t>
      </w:r>
      <w:r w:rsidRPr="00D95F2E">
        <w:t>33 of Schedule</w:t>
      </w:r>
      <w:r w:rsidR="00D95F2E" w:rsidRPr="00D95F2E">
        <w:t> </w:t>
      </w:r>
      <w:r w:rsidRPr="00D95F2E">
        <w:t>6</w:t>
      </w:r>
    </w:p>
    <w:p w:rsidR="00D37495" w:rsidRPr="00D95F2E" w:rsidRDefault="00D37495" w:rsidP="00D95F2E">
      <w:pPr>
        <w:pStyle w:val="Item"/>
      </w:pPr>
      <w:r w:rsidRPr="00D95F2E">
        <w:t>Add:</w:t>
      </w:r>
    </w:p>
    <w:p w:rsidR="00D37495" w:rsidRPr="00D95F2E" w:rsidRDefault="00D37495" w:rsidP="00D95F2E">
      <w:pPr>
        <w:pStyle w:val="subsection"/>
      </w:pPr>
      <w:r w:rsidRPr="00D95F2E">
        <w:lastRenderedPageBreak/>
        <w:tab/>
        <w:t>(2)</w:t>
      </w:r>
      <w:r w:rsidRPr="00D95F2E">
        <w:tab/>
        <w:t xml:space="preserve">A notice under </w:t>
      </w:r>
      <w:r w:rsidR="00D95F2E" w:rsidRPr="00D95F2E">
        <w:t>subclause (</w:t>
      </w:r>
      <w:r w:rsidRPr="00D95F2E">
        <w:t>1) must be published:</w:t>
      </w:r>
    </w:p>
    <w:p w:rsidR="00D37495" w:rsidRPr="00D95F2E" w:rsidRDefault="00D37495" w:rsidP="00D95F2E">
      <w:pPr>
        <w:pStyle w:val="paragraph"/>
      </w:pPr>
      <w:r w:rsidRPr="00D95F2E">
        <w:tab/>
        <w:t>(a)</w:t>
      </w:r>
      <w:r w:rsidRPr="00D95F2E">
        <w:tab/>
        <w:t>on the ACMA’s website; and</w:t>
      </w:r>
    </w:p>
    <w:p w:rsidR="00D37495" w:rsidRPr="00D95F2E" w:rsidRDefault="00D37495" w:rsidP="00D95F2E">
      <w:pPr>
        <w:pStyle w:val="paragraph"/>
      </w:pPr>
      <w:r w:rsidRPr="00D95F2E">
        <w:tab/>
        <w:t>(b)</w:t>
      </w:r>
      <w:r w:rsidRPr="00D95F2E">
        <w:tab/>
        <w:t>in one or more other forms that are readily accessible by the public.</w:t>
      </w:r>
    </w:p>
    <w:p w:rsidR="00D37495" w:rsidRPr="00D95F2E" w:rsidRDefault="00D37495" w:rsidP="00D95F2E">
      <w:pPr>
        <w:pStyle w:val="notetext"/>
      </w:pPr>
      <w:r w:rsidRPr="00D95F2E">
        <w:t>Example:</w:t>
      </w:r>
      <w:r w:rsidRPr="00D95F2E">
        <w:tab/>
        <w:t xml:space="preserve">Publication in a form mentioned in </w:t>
      </w:r>
      <w:r w:rsidR="00D95F2E" w:rsidRPr="00D95F2E">
        <w:t>paragraph (</w:t>
      </w:r>
      <w:r w:rsidRPr="00D95F2E">
        <w:t>b) could be publication on a website other than the ACMA’s website.</w:t>
      </w:r>
    </w:p>
    <w:p w:rsidR="00D37495" w:rsidRPr="00D95F2E" w:rsidRDefault="00D37495" w:rsidP="00D95F2E">
      <w:pPr>
        <w:pStyle w:val="ActHead7"/>
        <w:pageBreakBefore/>
      </w:pPr>
      <w:bookmarkStart w:id="62" w:name="_Toc27564202"/>
      <w:r w:rsidRPr="00D95F2E">
        <w:rPr>
          <w:rStyle w:val="CharAmPartNo"/>
        </w:rPr>
        <w:lastRenderedPageBreak/>
        <w:t>Part</w:t>
      </w:r>
      <w:r w:rsidR="00D95F2E" w:rsidRPr="00D95F2E">
        <w:rPr>
          <w:rStyle w:val="CharAmPartNo"/>
        </w:rPr>
        <w:t> </w:t>
      </w:r>
      <w:r w:rsidRPr="00D95F2E">
        <w:rPr>
          <w:rStyle w:val="CharAmPartNo"/>
        </w:rPr>
        <w:t>2</w:t>
      </w:r>
      <w:r w:rsidRPr="00D95F2E">
        <w:t>—</w:t>
      </w:r>
      <w:r w:rsidRPr="00D95F2E">
        <w:rPr>
          <w:rStyle w:val="CharAmPartText"/>
        </w:rPr>
        <w:t>Application provisions</w:t>
      </w:r>
      <w:bookmarkEnd w:id="62"/>
    </w:p>
    <w:p w:rsidR="00D37495" w:rsidRPr="00D95F2E" w:rsidRDefault="00D37495" w:rsidP="00D95F2E">
      <w:pPr>
        <w:pStyle w:val="Transitional"/>
      </w:pPr>
      <w:r w:rsidRPr="00D95F2E">
        <w:t>9  Application of amendments—section</w:t>
      </w:r>
      <w:r w:rsidR="00D95F2E" w:rsidRPr="00D95F2E">
        <w:t> </w:t>
      </w:r>
      <w:r w:rsidRPr="00D95F2E">
        <w:t xml:space="preserve">127 of the </w:t>
      </w:r>
      <w:r w:rsidRPr="00D95F2E">
        <w:rPr>
          <w:i/>
        </w:rPr>
        <w:t>Broadcasting Services Act 1992</w:t>
      </w:r>
    </w:p>
    <w:p w:rsidR="00D37495" w:rsidRPr="00D95F2E" w:rsidRDefault="00D37495" w:rsidP="00D95F2E">
      <w:pPr>
        <w:pStyle w:val="Item"/>
      </w:pPr>
      <w:r w:rsidRPr="00D95F2E">
        <w:t>The amendments of section</w:t>
      </w:r>
      <w:r w:rsidR="00D95F2E" w:rsidRPr="00D95F2E">
        <w:t> </w:t>
      </w:r>
      <w:r w:rsidRPr="00D95F2E">
        <w:t xml:space="preserve">127 of the </w:t>
      </w:r>
      <w:r w:rsidRPr="00D95F2E">
        <w:rPr>
          <w:i/>
        </w:rPr>
        <w:t>Broadcasting Services Act 1992</w:t>
      </w:r>
      <w:r w:rsidRPr="00D95F2E">
        <w:t xml:space="preserve"> made by this Schedule do not apply in relation to a determination, variation or revocation of a standard if a notice relating to that determination, variation or revocation was published under that section before the commencement of this item.</w:t>
      </w:r>
    </w:p>
    <w:p w:rsidR="00D37495" w:rsidRPr="00D95F2E" w:rsidRDefault="00D37495" w:rsidP="00D95F2E">
      <w:pPr>
        <w:pStyle w:val="Transitional"/>
      </w:pPr>
      <w:r w:rsidRPr="00D95F2E">
        <w:t>10  Application of amendments—clause</w:t>
      </w:r>
      <w:r w:rsidR="00D95F2E" w:rsidRPr="00D95F2E">
        <w:t> </w:t>
      </w:r>
      <w:r w:rsidRPr="00D95F2E">
        <w:t>33 of Schedule</w:t>
      </w:r>
      <w:r w:rsidR="00D95F2E" w:rsidRPr="00D95F2E">
        <w:t> </w:t>
      </w:r>
      <w:r w:rsidRPr="00D95F2E">
        <w:t xml:space="preserve">6 to the </w:t>
      </w:r>
      <w:r w:rsidRPr="00D95F2E">
        <w:rPr>
          <w:i/>
        </w:rPr>
        <w:t>Broadcasting Services Act 1992</w:t>
      </w:r>
    </w:p>
    <w:p w:rsidR="00D37495" w:rsidRPr="00D95F2E" w:rsidRDefault="00D37495" w:rsidP="00D95F2E">
      <w:pPr>
        <w:pStyle w:val="Item"/>
      </w:pPr>
      <w:r w:rsidRPr="00D95F2E">
        <w:t>The amendments of clause</w:t>
      </w:r>
      <w:r w:rsidR="00D95F2E" w:rsidRPr="00D95F2E">
        <w:t> </w:t>
      </w:r>
      <w:r w:rsidRPr="00D95F2E">
        <w:t>33 of Schedule</w:t>
      </w:r>
      <w:r w:rsidR="00D95F2E" w:rsidRPr="00D95F2E">
        <w:t> </w:t>
      </w:r>
      <w:r w:rsidRPr="00D95F2E">
        <w:t xml:space="preserve">6 to the </w:t>
      </w:r>
      <w:r w:rsidRPr="00D95F2E">
        <w:rPr>
          <w:i/>
        </w:rPr>
        <w:t>Broadcasting Services Act 1992</w:t>
      </w:r>
      <w:r w:rsidRPr="00D95F2E">
        <w:t xml:space="preserve"> made by this Schedule do not apply in relation to a determination, variation or revocation of a standard if a notice relating to that determination, variation or revocation was published under that clause before the commencement of this item.</w:t>
      </w:r>
    </w:p>
    <w:p w:rsidR="00D37495" w:rsidRPr="00D95F2E" w:rsidRDefault="00D37495" w:rsidP="00D95F2E">
      <w:pPr>
        <w:pStyle w:val="ActHead6"/>
        <w:pageBreakBefore/>
      </w:pPr>
      <w:bookmarkStart w:id="63" w:name="_Toc27564203"/>
      <w:bookmarkStart w:id="64" w:name="opcCurrentFind"/>
      <w:r w:rsidRPr="00D95F2E">
        <w:rPr>
          <w:rStyle w:val="CharAmSchNo"/>
        </w:rPr>
        <w:lastRenderedPageBreak/>
        <w:t>Schedule</w:t>
      </w:r>
      <w:r w:rsidR="00D95F2E" w:rsidRPr="00D95F2E">
        <w:rPr>
          <w:rStyle w:val="CharAmSchNo"/>
        </w:rPr>
        <w:t> </w:t>
      </w:r>
      <w:r w:rsidRPr="00D95F2E">
        <w:rPr>
          <w:rStyle w:val="CharAmSchNo"/>
        </w:rPr>
        <w:t>8</w:t>
      </w:r>
      <w:r w:rsidRPr="00D95F2E">
        <w:t>—</w:t>
      </w:r>
      <w:r w:rsidRPr="00D95F2E">
        <w:rPr>
          <w:rStyle w:val="CharAmSchText"/>
        </w:rPr>
        <w:t>Installation of optical fibre lines</w:t>
      </w:r>
      <w:bookmarkEnd w:id="63"/>
    </w:p>
    <w:bookmarkEnd w:id="64"/>
    <w:p w:rsidR="00D37495" w:rsidRPr="00D95F2E" w:rsidRDefault="00D37495" w:rsidP="00D95F2E">
      <w:pPr>
        <w:pStyle w:val="Header"/>
      </w:pPr>
      <w:r w:rsidRPr="00D95F2E">
        <w:rPr>
          <w:rStyle w:val="CharAmPartNo"/>
        </w:rPr>
        <w:t xml:space="preserve"> </w:t>
      </w:r>
      <w:r w:rsidRPr="00D95F2E">
        <w:rPr>
          <w:rStyle w:val="CharAmPartText"/>
        </w:rPr>
        <w:t xml:space="preserve"> </w:t>
      </w:r>
    </w:p>
    <w:p w:rsidR="00D37495" w:rsidRPr="00D95F2E" w:rsidRDefault="00D37495" w:rsidP="00D95F2E">
      <w:pPr>
        <w:pStyle w:val="ActHead9"/>
        <w:rPr>
          <w:i w:val="0"/>
        </w:rPr>
      </w:pPr>
      <w:bookmarkStart w:id="65" w:name="_Toc27564204"/>
      <w:r w:rsidRPr="00D95F2E">
        <w:t>Telecommunications Act 1997</w:t>
      </w:r>
      <w:bookmarkEnd w:id="65"/>
    </w:p>
    <w:p w:rsidR="00D37495" w:rsidRPr="00D95F2E" w:rsidRDefault="00D37495" w:rsidP="00D95F2E">
      <w:pPr>
        <w:pStyle w:val="ItemHead"/>
      </w:pPr>
      <w:r w:rsidRPr="00D95F2E">
        <w:t>1  Section</w:t>
      </w:r>
      <w:r w:rsidR="00D95F2E" w:rsidRPr="00D95F2E">
        <w:t> </w:t>
      </w:r>
      <w:r w:rsidRPr="00D95F2E">
        <w:t>372A</w:t>
      </w:r>
    </w:p>
    <w:p w:rsidR="00D37495" w:rsidRPr="00D95F2E" w:rsidRDefault="00D37495" w:rsidP="00D95F2E">
      <w:pPr>
        <w:pStyle w:val="Item"/>
      </w:pPr>
      <w:r w:rsidRPr="00D95F2E">
        <w:t>Omit: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>The rule about the installation of a fixed</w:t>
      </w:r>
      <w:r w:rsidR="001C2C80">
        <w:noBreakHyphen/>
      </w:r>
      <w:r w:rsidRPr="00D95F2E">
        <w:t>line facility does not apply if NBN Co has issued a statement to the effect that neither it nor any other NBN corporation has installed, is installing, or proposes to install, optical fibre lines in the project area.</w:t>
      </w:r>
    </w:p>
    <w:p w:rsidR="00D37495" w:rsidRPr="00D95F2E" w:rsidRDefault="00D37495" w:rsidP="00D95F2E">
      <w:pPr>
        <w:pStyle w:val="ItemHead"/>
      </w:pPr>
      <w:r w:rsidRPr="00D95F2E">
        <w:t>2  Section</w:t>
      </w:r>
      <w:r w:rsidR="00D95F2E" w:rsidRPr="00D95F2E">
        <w:t> </w:t>
      </w:r>
      <w:r w:rsidRPr="00D95F2E">
        <w:t>372A</w:t>
      </w:r>
    </w:p>
    <w:p w:rsidR="00D37495" w:rsidRPr="00D95F2E" w:rsidRDefault="00D37495" w:rsidP="00D95F2E">
      <w:pPr>
        <w:pStyle w:val="Item"/>
      </w:pPr>
      <w:r w:rsidRPr="00D95F2E">
        <w:t>Omit:</w:t>
      </w:r>
    </w:p>
    <w:p w:rsidR="00D37495" w:rsidRPr="00D95F2E" w:rsidRDefault="00D37495" w:rsidP="00D95F2E">
      <w:pPr>
        <w:pStyle w:val="SOBullet"/>
      </w:pPr>
      <w:r w:rsidRPr="00D95F2E">
        <w:t>•</w:t>
      </w:r>
      <w:r w:rsidRPr="00D95F2E">
        <w:tab/>
        <w:t>The rule about selling or leasing a building lot or building unit does not apply if NBN Co has issued a statement to the effect that neither it nor any other NBN corporation has installed, is installing, or proposes to install, optical fibre lines in the project area.</w:t>
      </w:r>
    </w:p>
    <w:p w:rsidR="00D37495" w:rsidRPr="00D95F2E" w:rsidRDefault="00D37495" w:rsidP="00D95F2E">
      <w:pPr>
        <w:pStyle w:val="ItemHead"/>
      </w:pPr>
      <w:r w:rsidRPr="00D95F2E">
        <w:t>3  Subsections</w:t>
      </w:r>
      <w:r w:rsidR="00D95F2E" w:rsidRPr="00D95F2E">
        <w:t> </w:t>
      </w:r>
      <w:r w:rsidRPr="00D95F2E">
        <w:t>372E(3), 372F(3), 372G(3) and (5) and 372H(3)</w:t>
      </w:r>
    </w:p>
    <w:p w:rsidR="00D37495" w:rsidRPr="00D95F2E" w:rsidRDefault="00D37495" w:rsidP="00D95F2E">
      <w:pPr>
        <w:pStyle w:val="Item"/>
      </w:pPr>
      <w:r w:rsidRPr="00D95F2E">
        <w:t>Repeal the subsections.</w:t>
      </w:r>
    </w:p>
    <w:p w:rsidR="00D37495" w:rsidRPr="00D95F2E" w:rsidRDefault="00D37495" w:rsidP="00D95F2E">
      <w:pPr>
        <w:pStyle w:val="ItemHead"/>
      </w:pPr>
      <w:r w:rsidRPr="00D95F2E">
        <w:t>4  Subdivision C of Division</w:t>
      </w:r>
      <w:r w:rsidR="00D95F2E" w:rsidRPr="00D95F2E">
        <w:t> </w:t>
      </w:r>
      <w:r w:rsidRPr="00D95F2E">
        <w:t>3 of Part</w:t>
      </w:r>
      <w:r w:rsidR="00D95F2E" w:rsidRPr="00D95F2E">
        <w:t> </w:t>
      </w:r>
      <w:r w:rsidRPr="00D95F2E">
        <w:t>20A</w:t>
      </w:r>
    </w:p>
    <w:p w:rsidR="001C2C80" w:rsidRDefault="000F1747" w:rsidP="00D95F2E">
      <w:pPr>
        <w:pStyle w:val="Item"/>
      </w:pPr>
      <w:r w:rsidRPr="00D95F2E">
        <w:t>Repeal the Subdivision.</w:t>
      </w:r>
    </w:p>
    <w:p w:rsidR="007045D9" w:rsidRDefault="007045D9" w:rsidP="007045D9"/>
    <w:p w:rsidR="007045D9" w:rsidRDefault="007045D9" w:rsidP="007045D9">
      <w:pPr>
        <w:pStyle w:val="AssentBk"/>
        <w:keepNext/>
      </w:pPr>
    </w:p>
    <w:p w:rsidR="007045D9" w:rsidRDefault="007045D9" w:rsidP="007045D9"/>
    <w:p w:rsidR="007045D9" w:rsidRDefault="007045D9" w:rsidP="007045D9">
      <w:pPr>
        <w:pStyle w:val="2ndRd"/>
        <w:keepNext/>
        <w:pBdr>
          <w:top w:val="single" w:sz="2" w:space="1" w:color="auto"/>
        </w:pBdr>
      </w:pPr>
    </w:p>
    <w:p w:rsidR="007045D9" w:rsidRDefault="007045D9" w:rsidP="007045D9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045D9" w:rsidRDefault="007045D9" w:rsidP="007045D9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October 2019</w:t>
      </w:r>
    </w:p>
    <w:p w:rsidR="007045D9" w:rsidRDefault="007045D9" w:rsidP="007045D9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November 2019</w:t>
      </w:r>
      <w:r>
        <w:t>]</w:t>
      </w:r>
    </w:p>
    <w:p w:rsidR="007045D9" w:rsidRDefault="007045D9" w:rsidP="007045D9">
      <w:pPr>
        <w:sectPr w:rsidR="007045D9" w:rsidSect="007861B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7045D9" w:rsidRDefault="007045D9" w:rsidP="007045D9">
      <w:pPr>
        <w:framePr w:hSpace="180" w:wrap="around" w:vAnchor="text" w:hAnchor="page" w:x="2402" w:y="490"/>
      </w:pPr>
      <w:r>
        <w:t>(192/19)</w:t>
      </w:r>
    </w:p>
    <w:p w:rsidR="007045D9" w:rsidRDefault="007045D9" w:rsidP="007045D9"/>
    <w:sectPr w:rsidR="007045D9" w:rsidSect="007045D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B0" w:rsidRDefault="00D54CB0" w:rsidP="0048364F">
      <w:pPr>
        <w:spacing w:line="240" w:lineRule="auto"/>
      </w:pPr>
      <w:r>
        <w:separator/>
      </w:r>
    </w:p>
  </w:endnote>
  <w:endnote w:type="continuationSeparator" w:id="0">
    <w:p w:rsidR="00D54CB0" w:rsidRDefault="00D54C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5F1388" w:rsidRDefault="00D54CB0" w:rsidP="00D95F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B1" w:rsidRPr="00A961C4" w:rsidRDefault="007861B1" w:rsidP="00D95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861B1" w:rsidTr="00D95F2E">
      <w:tc>
        <w:tcPr>
          <w:tcW w:w="1247" w:type="dxa"/>
        </w:tcPr>
        <w:p w:rsidR="007861B1" w:rsidRDefault="007861B1" w:rsidP="001C5D0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No. 120,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861B1" w:rsidRDefault="007861B1" w:rsidP="001C5D0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Communications Legislation Amendment (Deregulation and Other Measures)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861B1" w:rsidRDefault="007861B1" w:rsidP="001C5D0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noProof/>
              <w:sz w:val="18"/>
            </w:rPr>
            <w:t>42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861B1" w:rsidRPr="00055B5C" w:rsidRDefault="007861B1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B1" w:rsidRPr="00A961C4" w:rsidRDefault="007861B1" w:rsidP="00D95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861B1" w:rsidTr="00D95F2E">
      <w:tc>
        <w:tcPr>
          <w:tcW w:w="1247" w:type="dxa"/>
        </w:tcPr>
        <w:p w:rsidR="007861B1" w:rsidRDefault="007861B1" w:rsidP="001C5D0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No. 120,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861B1" w:rsidRDefault="007861B1" w:rsidP="001C5D0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Communications Legislation Amendment (Deregulation and Other Measures)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861B1" w:rsidRDefault="007861B1" w:rsidP="001C5D0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noProof/>
              <w:sz w:val="18"/>
            </w:rPr>
            <w:t>42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861B1" w:rsidRPr="00A961C4" w:rsidRDefault="007861B1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D9" w:rsidRDefault="007045D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7045D9" w:rsidRDefault="007045D9" w:rsidP="00CD12A5"/>
  <w:p w:rsidR="00D54CB0" w:rsidRDefault="00D54CB0" w:rsidP="00D95F2E">
    <w:pPr>
      <w:pStyle w:val="Footer"/>
      <w:spacing w:before="120"/>
    </w:pPr>
  </w:p>
  <w:p w:rsidR="00D54CB0" w:rsidRPr="005F1388" w:rsidRDefault="00D54CB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ED79B6" w:rsidRDefault="00D54CB0" w:rsidP="00D95F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Default="00D54CB0" w:rsidP="00D95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54CB0" w:rsidTr="001C5D04">
      <w:tc>
        <w:tcPr>
          <w:tcW w:w="646" w:type="dxa"/>
        </w:tcPr>
        <w:p w:rsidR="00D54CB0" w:rsidRDefault="00D54CB0" w:rsidP="001C5D0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503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CB0" w:rsidRDefault="00D54CB0" w:rsidP="001C5D0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Communications Legislation Amendment (Deregulation and Other Measures)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54CB0" w:rsidRDefault="00D54CB0" w:rsidP="001C5D0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No. 120,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CB0" w:rsidRDefault="00D54CB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Default="00D54CB0" w:rsidP="00D95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54CB0" w:rsidTr="001C5D04">
      <w:tc>
        <w:tcPr>
          <w:tcW w:w="1247" w:type="dxa"/>
        </w:tcPr>
        <w:p w:rsidR="00D54CB0" w:rsidRDefault="00D54CB0" w:rsidP="001C5D0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No. 120,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CB0" w:rsidRDefault="00D54CB0" w:rsidP="001C5D0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Communications Legislation Amendment (Deregulation and Other Measures)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54CB0" w:rsidRDefault="00D54CB0" w:rsidP="001C5D0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503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CB0" w:rsidRPr="00ED79B6" w:rsidRDefault="00D54CB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A961C4" w:rsidRDefault="00D54CB0" w:rsidP="00D95F2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54CB0" w:rsidTr="00D95F2E">
      <w:tc>
        <w:tcPr>
          <w:tcW w:w="646" w:type="dxa"/>
        </w:tcPr>
        <w:p w:rsidR="00D54CB0" w:rsidRDefault="00D54CB0" w:rsidP="001C5D0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noProof/>
              <w:sz w:val="18"/>
            </w:rPr>
            <w:t>42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CB0" w:rsidRDefault="00D54CB0" w:rsidP="001C5D0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Communications Legislation Amendment (Deregulation and Other Measures)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54CB0" w:rsidRDefault="00D54CB0" w:rsidP="001C5D0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No. 120,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54CB0" w:rsidRPr="00A961C4" w:rsidRDefault="00D54CB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A961C4" w:rsidRDefault="00D54CB0" w:rsidP="00D95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54CB0" w:rsidTr="00D95F2E">
      <w:tc>
        <w:tcPr>
          <w:tcW w:w="1247" w:type="dxa"/>
        </w:tcPr>
        <w:p w:rsidR="00D54CB0" w:rsidRDefault="00D54CB0" w:rsidP="001C5D0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No. 120,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CB0" w:rsidRDefault="00D54CB0" w:rsidP="001C5D0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Communications Legislation Amendment (Deregulation and Other Measures)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54CB0" w:rsidRDefault="00D54CB0" w:rsidP="001C5D0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noProof/>
              <w:sz w:val="18"/>
            </w:rPr>
            <w:t>41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54CB0" w:rsidRPr="00055B5C" w:rsidRDefault="00D54CB0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A961C4" w:rsidRDefault="00D54CB0" w:rsidP="00D95F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54CB0" w:rsidTr="00D95F2E">
      <w:tc>
        <w:tcPr>
          <w:tcW w:w="1247" w:type="dxa"/>
        </w:tcPr>
        <w:p w:rsidR="00D54CB0" w:rsidRDefault="00D54CB0" w:rsidP="001C5D0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No. 120,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CB0" w:rsidRDefault="00D54CB0" w:rsidP="001C5D0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Communications Legislation Amendment (Deregulation and Other Measures)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54CB0" w:rsidRDefault="00D54CB0" w:rsidP="001C5D0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54CB0" w:rsidRPr="00A961C4" w:rsidRDefault="00D54CB0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B1" w:rsidRPr="00A961C4" w:rsidRDefault="007861B1" w:rsidP="00D95F2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861B1" w:rsidTr="00D95F2E">
      <w:tc>
        <w:tcPr>
          <w:tcW w:w="646" w:type="dxa"/>
        </w:tcPr>
        <w:p w:rsidR="007861B1" w:rsidRDefault="007861B1" w:rsidP="001C5D0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noProof/>
              <w:sz w:val="18"/>
            </w:rPr>
            <w:t>42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861B1" w:rsidRDefault="007861B1" w:rsidP="001C5D0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Communications Legislation Amendment (Deregulation and Other Measures)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861B1" w:rsidRDefault="007861B1" w:rsidP="001C5D0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5039">
            <w:rPr>
              <w:i/>
              <w:sz w:val="18"/>
            </w:rPr>
            <w:t>No. 120,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861B1" w:rsidRPr="00A961C4" w:rsidRDefault="007861B1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B0" w:rsidRDefault="00D54CB0" w:rsidP="0048364F">
      <w:pPr>
        <w:spacing w:line="240" w:lineRule="auto"/>
      </w:pPr>
      <w:r>
        <w:separator/>
      </w:r>
    </w:p>
  </w:footnote>
  <w:footnote w:type="continuationSeparator" w:id="0">
    <w:p w:rsidR="00D54CB0" w:rsidRDefault="00D54C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5F1388" w:rsidRDefault="00D54CB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B1" w:rsidRPr="00A961C4" w:rsidRDefault="007861B1" w:rsidP="0048364F">
    <w:pPr>
      <w:rPr>
        <w:b/>
        <w:sz w:val="20"/>
      </w:rPr>
    </w:pPr>
  </w:p>
  <w:p w:rsidR="007861B1" w:rsidRPr="00A961C4" w:rsidRDefault="007861B1" w:rsidP="0048364F">
    <w:pPr>
      <w:rPr>
        <w:b/>
        <w:sz w:val="20"/>
      </w:rPr>
    </w:pPr>
  </w:p>
  <w:p w:rsidR="007861B1" w:rsidRPr="00A961C4" w:rsidRDefault="007861B1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B1" w:rsidRPr="00A961C4" w:rsidRDefault="007861B1" w:rsidP="0048364F">
    <w:pPr>
      <w:jc w:val="right"/>
      <w:rPr>
        <w:sz w:val="20"/>
      </w:rPr>
    </w:pPr>
  </w:p>
  <w:p w:rsidR="007861B1" w:rsidRPr="00A961C4" w:rsidRDefault="007861B1" w:rsidP="0048364F">
    <w:pPr>
      <w:jc w:val="right"/>
      <w:rPr>
        <w:b/>
        <w:sz w:val="20"/>
      </w:rPr>
    </w:pPr>
  </w:p>
  <w:p w:rsidR="007861B1" w:rsidRPr="00A961C4" w:rsidRDefault="007861B1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B1" w:rsidRPr="00A961C4" w:rsidRDefault="007861B1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5F1388" w:rsidRDefault="00D54CB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5F1388" w:rsidRDefault="00D54CB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ED79B6" w:rsidRDefault="00D54CB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ED79B6" w:rsidRDefault="00D54CB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ED79B6" w:rsidRDefault="00D54CB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A961C4" w:rsidRDefault="00D54CB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C5039">
      <w:rPr>
        <w:b/>
        <w:sz w:val="20"/>
      </w:rPr>
      <w:fldChar w:fldCharType="separate"/>
    </w:r>
    <w:r w:rsidR="00FC5039">
      <w:rPr>
        <w:b/>
        <w:noProof/>
        <w:sz w:val="20"/>
      </w:rPr>
      <w:t>Schedule 8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C5039">
      <w:rPr>
        <w:sz w:val="20"/>
      </w:rPr>
      <w:fldChar w:fldCharType="separate"/>
    </w:r>
    <w:r w:rsidR="00FC5039">
      <w:rPr>
        <w:noProof/>
        <w:sz w:val="20"/>
      </w:rPr>
      <w:t>Installation of optical fibre lines</w:t>
    </w:r>
    <w:r>
      <w:rPr>
        <w:sz w:val="20"/>
      </w:rPr>
      <w:fldChar w:fldCharType="end"/>
    </w:r>
  </w:p>
  <w:p w:rsidR="00D54CB0" w:rsidRPr="00A961C4" w:rsidRDefault="00D54CB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54CB0" w:rsidRPr="00A961C4" w:rsidRDefault="00D54CB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A961C4" w:rsidRDefault="00D54CB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C5039">
      <w:rPr>
        <w:sz w:val="20"/>
      </w:rPr>
      <w:fldChar w:fldCharType="separate"/>
    </w:r>
    <w:r w:rsidR="00FC5039">
      <w:rPr>
        <w:noProof/>
        <w:sz w:val="20"/>
      </w:rPr>
      <w:t>Publication requirements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C5039">
      <w:rPr>
        <w:b/>
        <w:sz w:val="20"/>
      </w:rPr>
      <w:fldChar w:fldCharType="separate"/>
    </w:r>
    <w:r w:rsidR="00FC5039">
      <w:rPr>
        <w:b/>
        <w:noProof/>
        <w:sz w:val="20"/>
      </w:rPr>
      <w:t>Schedule 7</w:t>
    </w:r>
    <w:r>
      <w:rPr>
        <w:b/>
        <w:sz w:val="20"/>
      </w:rPr>
      <w:fldChar w:fldCharType="end"/>
    </w:r>
  </w:p>
  <w:p w:rsidR="00D54CB0" w:rsidRPr="00A961C4" w:rsidRDefault="00D54CB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FC5039">
      <w:rPr>
        <w:sz w:val="20"/>
      </w:rPr>
      <w:fldChar w:fldCharType="separate"/>
    </w:r>
    <w:r w:rsidR="00FC5039">
      <w:rPr>
        <w:noProof/>
        <w:sz w:val="20"/>
      </w:rPr>
      <w:t>Application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FC5039">
      <w:rPr>
        <w:b/>
        <w:sz w:val="20"/>
      </w:rPr>
      <w:fldChar w:fldCharType="separate"/>
    </w:r>
    <w:r w:rsidR="00FC5039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D54CB0" w:rsidRPr="00A961C4" w:rsidRDefault="00D54CB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B0" w:rsidRPr="00A961C4" w:rsidRDefault="00D54CB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5D17958"/>
    <w:multiLevelType w:val="hybridMultilevel"/>
    <w:tmpl w:val="0B5AC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95"/>
    <w:rsid w:val="00005F6B"/>
    <w:rsid w:val="000113BC"/>
    <w:rsid w:val="000136AF"/>
    <w:rsid w:val="00020126"/>
    <w:rsid w:val="00030018"/>
    <w:rsid w:val="000417C9"/>
    <w:rsid w:val="00055B5C"/>
    <w:rsid w:val="00056391"/>
    <w:rsid w:val="00060FF9"/>
    <w:rsid w:val="000614BF"/>
    <w:rsid w:val="00070C33"/>
    <w:rsid w:val="000742E8"/>
    <w:rsid w:val="0007476E"/>
    <w:rsid w:val="00093908"/>
    <w:rsid w:val="00097DCD"/>
    <w:rsid w:val="000B0509"/>
    <w:rsid w:val="000B1FD2"/>
    <w:rsid w:val="000D05EF"/>
    <w:rsid w:val="000E333F"/>
    <w:rsid w:val="000F1747"/>
    <w:rsid w:val="000F21C1"/>
    <w:rsid w:val="00101D90"/>
    <w:rsid w:val="0010745C"/>
    <w:rsid w:val="00113BD1"/>
    <w:rsid w:val="00115669"/>
    <w:rsid w:val="00116913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2C80"/>
    <w:rsid w:val="001C4A6E"/>
    <w:rsid w:val="001C5D04"/>
    <w:rsid w:val="001C69C4"/>
    <w:rsid w:val="001D69AF"/>
    <w:rsid w:val="001E3590"/>
    <w:rsid w:val="001E6D7F"/>
    <w:rsid w:val="001E7407"/>
    <w:rsid w:val="00201D27"/>
    <w:rsid w:val="00202618"/>
    <w:rsid w:val="00205A05"/>
    <w:rsid w:val="00240749"/>
    <w:rsid w:val="00245AFE"/>
    <w:rsid w:val="00246054"/>
    <w:rsid w:val="00263820"/>
    <w:rsid w:val="00272D5B"/>
    <w:rsid w:val="00275197"/>
    <w:rsid w:val="00283538"/>
    <w:rsid w:val="00285C3B"/>
    <w:rsid w:val="00293B89"/>
    <w:rsid w:val="00297ECB"/>
    <w:rsid w:val="002B1BA0"/>
    <w:rsid w:val="002B5A30"/>
    <w:rsid w:val="002D043A"/>
    <w:rsid w:val="002D395A"/>
    <w:rsid w:val="002F0679"/>
    <w:rsid w:val="002F4B29"/>
    <w:rsid w:val="003415D3"/>
    <w:rsid w:val="00350417"/>
    <w:rsid w:val="00352B0F"/>
    <w:rsid w:val="00371A2A"/>
    <w:rsid w:val="00373874"/>
    <w:rsid w:val="00375C6C"/>
    <w:rsid w:val="00387454"/>
    <w:rsid w:val="0039373F"/>
    <w:rsid w:val="003A7B3C"/>
    <w:rsid w:val="003B4E3D"/>
    <w:rsid w:val="003C5F2B"/>
    <w:rsid w:val="003D0B0E"/>
    <w:rsid w:val="003D0BFE"/>
    <w:rsid w:val="003D5700"/>
    <w:rsid w:val="003E0430"/>
    <w:rsid w:val="003E0B43"/>
    <w:rsid w:val="003F735F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1292"/>
    <w:rsid w:val="00454CB8"/>
    <w:rsid w:val="0048196B"/>
    <w:rsid w:val="0048364F"/>
    <w:rsid w:val="00486D05"/>
    <w:rsid w:val="004969BD"/>
    <w:rsid w:val="00496F97"/>
    <w:rsid w:val="004A466F"/>
    <w:rsid w:val="004C7C8C"/>
    <w:rsid w:val="004D409F"/>
    <w:rsid w:val="004E2A4A"/>
    <w:rsid w:val="004F085B"/>
    <w:rsid w:val="004F0D23"/>
    <w:rsid w:val="004F1FAC"/>
    <w:rsid w:val="004F5FBD"/>
    <w:rsid w:val="00516B8D"/>
    <w:rsid w:val="00537FBC"/>
    <w:rsid w:val="00543469"/>
    <w:rsid w:val="00551B54"/>
    <w:rsid w:val="00553ED4"/>
    <w:rsid w:val="00584811"/>
    <w:rsid w:val="00593AA6"/>
    <w:rsid w:val="00594161"/>
    <w:rsid w:val="00594749"/>
    <w:rsid w:val="005A0D92"/>
    <w:rsid w:val="005B4067"/>
    <w:rsid w:val="005C3F41"/>
    <w:rsid w:val="005D0E59"/>
    <w:rsid w:val="005E152A"/>
    <w:rsid w:val="00600219"/>
    <w:rsid w:val="00641DE5"/>
    <w:rsid w:val="00644794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045D9"/>
    <w:rsid w:val="00712D8D"/>
    <w:rsid w:val="00713084"/>
    <w:rsid w:val="00714B26"/>
    <w:rsid w:val="0073025E"/>
    <w:rsid w:val="00731E00"/>
    <w:rsid w:val="007440B7"/>
    <w:rsid w:val="007634AD"/>
    <w:rsid w:val="00763B17"/>
    <w:rsid w:val="007715C9"/>
    <w:rsid w:val="00774EDD"/>
    <w:rsid w:val="007757EC"/>
    <w:rsid w:val="007861B1"/>
    <w:rsid w:val="007B30AA"/>
    <w:rsid w:val="007E7D4A"/>
    <w:rsid w:val="008006CC"/>
    <w:rsid w:val="00807F18"/>
    <w:rsid w:val="00810BA0"/>
    <w:rsid w:val="008173A2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A3A0D"/>
    <w:rsid w:val="008C6F6F"/>
    <w:rsid w:val="008D0EE0"/>
    <w:rsid w:val="008D1BAB"/>
    <w:rsid w:val="008D3E94"/>
    <w:rsid w:val="008F4F1C"/>
    <w:rsid w:val="008F5579"/>
    <w:rsid w:val="008F77C4"/>
    <w:rsid w:val="00900DB6"/>
    <w:rsid w:val="009103F3"/>
    <w:rsid w:val="00932377"/>
    <w:rsid w:val="00934C16"/>
    <w:rsid w:val="00967042"/>
    <w:rsid w:val="009676EE"/>
    <w:rsid w:val="0098255A"/>
    <w:rsid w:val="009845BE"/>
    <w:rsid w:val="009969C9"/>
    <w:rsid w:val="009C3DB0"/>
    <w:rsid w:val="009D6EAD"/>
    <w:rsid w:val="009E744B"/>
    <w:rsid w:val="009F6984"/>
    <w:rsid w:val="009F7918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0843"/>
    <w:rsid w:val="00AD5641"/>
    <w:rsid w:val="00AE1088"/>
    <w:rsid w:val="00AF1BA4"/>
    <w:rsid w:val="00B032D8"/>
    <w:rsid w:val="00B33B3C"/>
    <w:rsid w:val="00B6382D"/>
    <w:rsid w:val="00BA5026"/>
    <w:rsid w:val="00BB40BF"/>
    <w:rsid w:val="00BC0CD1"/>
    <w:rsid w:val="00BE08B3"/>
    <w:rsid w:val="00BE63E5"/>
    <w:rsid w:val="00BE719A"/>
    <w:rsid w:val="00BE720A"/>
    <w:rsid w:val="00BF0461"/>
    <w:rsid w:val="00BF4944"/>
    <w:rsid w:val="00BF56D4"/>
    <w:rsid w:val="00BF7C09"/>
    <w:rsid w:val="00C04409"/>
    <w:rsid w:val="00C067E5"/>
    <w:rsid w:val="00C159B5"/>
    <w:rsid w:val="00C164CA"/>
    <w:rsid w:val="00C176CF"/>
    <w:rsid w:val="00C36E19"/>
    <w:rsid w:val="00C42BF8"/>
    <w:rsid w:val="00C460AE"/>
    <w:rsid w:val="00C50043"/>
    <w:rsid w:val="00C54E84"/>
    <w:rsid w:val="00C63E28"/>
    <w:rsid w:val="00C65FFD"/>
    <w:rsid w:val="00C7573B"/>
    <w:rsid w:val="00C75DB2"/>
    <w:rsid w:val="00C76CF3"/>
    <w:rsid w:val="00CE1E31"/>
    <w:rsid w:val="00CE35ED"/>
    <w:rsid w:val="00CF0BB2"/>
    <w:rsid w:val="00CF240F"/>
    <w:rsid w:val="00D00EAA"/>
    <w:rsid w:val="00D13441"/>
    <w:rsid w:val="00D20FEB"/>
    <w:rsid w:val="00D243A3"/>
    <w:rsid w:val="00D37495"/>
    <w:rsid w:val="00D477C3"/>
    <w:rsid w:val="00D52C6C"/>
    <w:rsid w:val="00D52EFE"/>
    <w:rsid w:val="00D54CB0"/>
    <w:rsid w:val="00D63EF6"/>
    <w:rsid w:val="00D66B16"/>
    <w:rsid w:val="00D70DFB"/>
    <w:rsid w:val="00D73029"/>
    <w:rsid w:val="00D766DF"/>
    <w:rsid w:val="00D81299"/>
    <w:rsid w:val="00D95F2E"/>
    <w:rsid w:val="00DE0D3D"/>
    <w:rsid w:val="00DE2002"/>
    <w:rsid w:val="00DF7AE9"/>
    <w:rsid w:val="00E05704"/>
    <w:rsid w:val="00E24D66"/>
    <w:rsid w:val="00E45FFC"/>
    <w:rsid w:val="00E54292"/>
    <w:rsid w:val="00E74DC7"/>
    <w:rsid w:val="00E87699"/>
    <w:rsid w:val="00E947C6"/>
    <w:rsid w:val="00ED492F"/>
    <w:rsid w:val="00EE3E36"/>
    <w:rsid w:val="00EF2E3A"/>
    <w:rsid w:val="00EF34C3"/>
    <w:rsid w:val="00F047E2"/>
    <w:rsid w:val="00F078DC"/>
    <w:rsid w:val="00F13E86"/>
    <w:rsid w:val="00F17B00"/>
    <w:rsid w:val="00F266F4"/>
    <w:rsid w:val="00F5238F"/>
    <w:rsid w:val="00F6437B"/>
    <w:rsid w:val="00F677A9"/>
    <w:rsid w:val="00F80427"/>
    <w:rsid w:val="00F84CF5"/>
    <w:rsid w:val="00F92C24"/>
    <w:rsid w:val="00F92D35"/>
    <w:rsid w:val="00FA420B"/>
    <w:rsid w:val="00FC5039"/>
    <w:rsid w:val="00FC55BC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5F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4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5F2E"/>
  </w:style>
  <w:style w:type="paragraph" w:customStyle="1" w:styleId="OPCParaBase">
    <w:name w:val="OPCParaBase"/>
    <w:link w:val="OPCParaBaseChar"/>
    <w:qFormat/>
    <w:rsid w:val="00D95F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95F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5F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5F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5F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5F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5F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5F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5F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5F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D95F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95F2E"/>
  </w:style>
  <w:style w:type="paragraph" w:customStyle="1" w:styleId="Blocks">
    <w:name w:val="Blocks"/>
    <w:aliases w:val="bb"/>
    <w:basedOn w:val="OPCParaBase"/>
    <w:qFormat/>
    <w:rsid w:val="00D95F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5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5F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5F2E"/>
    <w:rPr>
      <w:i/>
    </w:rPr>
  </w:style>
  <w:style w:type="paragraph" w:customStyle="1" w:styleId="BoxList">
    <w:name w:val="BoxList"/>
    <w:aliases w:val="bl"/>
    <w:basedOn w:val="BoxText"/>
    <w:qFormat/>
    <w:rsid w:val="00D95F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5F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5F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5F2E"/>
    <w:pPr>
      <w:ind w:left="1985" w:hanging="851"/>
    </w:pPr>
  </w:style>
  <w:style w:type="character" w:customStyle="1" w:styleId="CharAmPartNo">
    <w:name w:val="CharAmPartNo"/>
    <w:basedOn w:val="OPCCharBase"/>
    <w:qFormat/>
    <w:rsid w:val="00D95F2E"/>
  </w:style>
  <w:style w:type="character" w:customStyle="1" w:styleId="CharAmPartText">
    <w:name w:val="CharAmPartText"/>
    <w:basedOn w:val="OPCCharBase"/>
    <w:qFormat/>
    <w:rsid w:val="00D95F2E"/>
  </w:style>
  <w:style w:type="character" w:customStyle="1" w:styleId="CharAmSchNo">
    <w:name w:val="CharAmSchNo"/>
    <w:basedOn w:val="OPCCharBase"/>
    <w:qFormat/>
    <w:rsid w:val="00D95F2E"/>
  </w:style>
  <w:style w:type="character" w:customStyle="1" w:styleId="CharAmSchText">
    <w:name w:val="CharAmSchText"/>
    <w:basedOn w:val="OPCCharBase"/>
    <w:qFormat/>
    <w:rsid w:val="00D95F2E"/>
  </w:style>
  <w:style w:type="character" w:customStyle="1" w:styleId="CharBoldItalic">
    <w:name w:val="CharBoldItalic"/>
    <w:basedOn w:val="OPCCharBase"/>
    <w:uiPriority w:val="1"/>
    <w:qFormat/>
    <w:rsid w:val="00D95F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5F2E"/>
  </w:style>
  <w:style w:type="character" w:customStyle="1" w:styleId="CharChapText">
    <w:name w:val="CharChapText"/>
    <w:basedOn w:val="OPCCharBase"/>
    <w:uiPriority w:val="1"/>
    <w:qFormat/>
    <w:rsid w:val="00D95F2E"/>
  </w:style>
  <w:style w:type="character" w:customStyle="1" w:styleId="CharDivNo">
    <w:name w:val="CharDivNo"/>
    <w:basedOn w:val="OPCCharBase"/>
    <w:uiPriority w:val="1"/>
    <w:qFormat/>
    <w:rsid w:val="00D95F2E"/>
  </w:style>
  <w:style w:type="character" w:customStyle="1" w:styleId="CharDivText">
    <w:name w:val="CharDivText"/>
    <w:basedOn w:val="OPCCharBase"/>
    <w:uiPriority w:val="1"/>
    <w:qFormat/>
    <w:rsid w:val="00D95F2E"/>
  </w:style>
  <w:style w:type="character" w:customStyle="1" w:styleId="CharItalic">
    <w:name w:val="CharItalic"/>
    <w:basedOn w:val="OPCCharBase"/>
    <w:uiPriority w:val="1"/>
    <w:qFormat/>
    <w:rsid w:val="00D95F2E"/>
    <w:rPr>
      <w:i/>
    </w:rPr>
  </w:style>
  <w:style w:type="character" w:customStyle="1" w:styleId="CharPartNo">
    <w:name w:val="CharPartNo"/>
    <w:basedOn w:val="OPCCharBase"/>
    <w:uiPriority w:val="1"/>
    <w:qFormat/>
    <w:rsid w:val="00D95F2E"/>
  </w:style>
  <w:style w:type="character" w:customStyle="1" w:styleId="CharPartText">
    <w:name w:val="CharPartText"/>
    <w:basedOn w:val="OPCCharBase"/>
    <w:uiPriority w:val="1"/>
    <w:qFormat/>
    <w:rsid w:val="00D95F2E"/>
  </w:style>
  <w:style w:type="character" w:customStyle="1" w:styleId="CharSectno">
    <w:name w:val="CharSectno"/>
    <w:basedOn w:val="OPCCharBase"/>
    <w:qFormat/>
    <w:rsid w:val="00D95F2E"/>
  </w:style>
  <w:style w:type="character" w:customStyle="1" w:styleId="CharSubdNo">
    <w:name w:val="CharSubdNo"/>
    <w:basedOn w:val="OPCCharBase"/>
    <w:uiPriority w:val="1"/>
    <w:qFormat/>
    <w:rsid w:val="00D95F2E"/>
  </w:style>
  <w:style w:type="character" w:customStyle="1" w:styleId="CharSubdText">
    <w:name w:val="CharSubdText"/>
    <w:basedOn w:val="OPCCharBase"/>
    <w:uiPriority w:val="1"/>
    <w:qFormat/>
    <w:rsid w:val="00D95F2E"/>
  </w:style>
  <w:style w:type="paragraph" w:customStyle="1" w:styleId="CTA--">
    <w:name w:val="CTA --"/>
    <w:basedOn w:val="OPCParaBase"/>
    <w:next w:val="Normal"/>
    <w:rsid w:val="00D95F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5F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5F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5F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5F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5F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5F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5F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5F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5F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5F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5F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5F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5F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5F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5F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5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5F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5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5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5F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5F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5F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5F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95F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95F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5F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5F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5F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5F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5F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5F2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5F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5F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5F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5F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5F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5F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5F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5F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5F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5F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5F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5F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5F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5F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5F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5F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5F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5F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5F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5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5F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5F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5F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5F2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5F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5F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5F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5F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5F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5F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5F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5F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5F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5F2E"/>
    <w:rPr>
      <w:sz w:val="16"/>
    </w:rPr>
  </w:style>
  <w:style w:type="table" w:customStyle="1" w:styleId="CFlag">
    <w:name w:val="CFlag"/>
    <w:basedOn w:val="TableNormal"/>
    <w:uiPriority w:val="99"/>
    <w:rsid w:val="00D95F2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95F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5F2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95F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5F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95F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5F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5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5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5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95F2E"/>
    <w:pPr>
      <w:spacing w:before="120"/>
    </w:pPr>
  </w:style>
  <w:style w:type="paragraph" w:customStyle="1" w:styleId="TableTextEndNotes">
    <w:name w:val="TableTextEndNotes"/>
    <w:aliases w:val="Tten"/>
    <w:basedOn w:val="Normal"/>
    <w:rsid w:val="00D95F2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95F2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95F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5F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5F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5F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5F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5F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5F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5F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5F2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5F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5F2E"/>
  </w:style>
  <w:style w:type="character" w:customStyle="1" w:styleId="CharSubPartNoCASA">
    <w:name w:val="CharSubPartNo(CASA)"/>
    <w:basedOn w:val="OPCCharBase"/>
    <w:uiPriority w:val="1"/>
    <w:rsid w:val="00D95F2E"/>
  </w:style>
  <w:style w:type="paragraph" w:customStyle="1" w:styleId="ENoteTTIndentHeadingSub">
    <w:name w:val="ENoteTTIndentHeadingSub"/>
    <w:aliases w:val="enTTHis"/>
    <w:basedOn w:val="OPCParaBase"/>
    <w:rsid w:val="00D95F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5F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5F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5F2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9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95F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5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5F2E"/>
    <w:rPr>
      <w:sz w:val="22"/>
    </w:rPr>
  </w:style>
  <w:style w:type="paragraph" w:customStyle="1" w:styleId="SOTextNote">
    <w:name w:val="SO TextNote"/>
    <w:aliases w:val="sont"/>
    <w:basedOn w:val="SOText"/>
    <w:qFormat/>
    <w:rsid w:val="00D95F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5F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5F2E"/>
    <w:rPr>
      <w:sz w:val="22"/>
    </w:rPr>
  </w:style>
  <w:style w:type="paragraph" w:customStyle="1" w:styleId="FileName">
    <w:name w:val="FileName"/>
    <w:basedOn w:val="Normal"/>
    <w:rsid w:val="00D95F2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5F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5F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5F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5F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5F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5F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5F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5F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5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5F2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95F2E"/>
  </w:style>
  <w:style w:type="character" w:customStyle="1" w:styleId="Heading1Char">
    <w:name w:val="Heading 1 Char"/>
    <w:basedOn w:val="DefaultParagraphFont"/>
    <w:link w:val="Heading1"/>
    <w:uiPriority w:val="9"/>
    <w:rsid w:val="00D3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4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4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4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4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4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4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74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7495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D37495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95"/>
    <w:rPr>
      <w:rFonts w:ascii="Tahoma" w:hAnsi="Tahoma" w:cs="Tahoma"/>
      <w:sz w:val="16"/>
      <w:szCs w:val="16"/>
    </w:rPr>
  </w:style>
  <w:style w:type="paragraph" w:customStyle="1" w:styleId="Specialaat">
    <w:name w:val="Special aat"/>
    <w:basedOn w:val="ActHead9"/>
    <w:link w:val="SpecialaatChar"/>
    <w:rsid w:val="00D37495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D37495"/>
    <w:rPr>
      <w:rFonts w:eastAsia="Times New Roman" w:cs="Times New Roman"/>
      <w:sz w:val="22"/>
      <w:lang w:eastAsia="en-AU"/>
    </w:rPr>
  </w:style>
  <w:style w:type="character" w:customStyle="1" w:styleId="ActHead9Char">
    <w:name w:val="ActHead 9 Char"/>
    <w:aliases w:val="aat Char"/>
    <w:basedOn w:val="OPCParaBaseChar"/>
    <w:link w:val="ActHead9"/>
    <w:rsid w:val="00D37495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D37495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D3749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D37495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374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495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7861B1"/>
    <w:pPr>
      <w:spacing w:before="800"/>
    </w:pPr>
  </w:style>
  <w:style w:type="character" w:customStyle="1" w:styleId="ShortTChar">
    <w:name w:val="ShortT Char"/>
    <w:basedOn w:val="OPCParaBaseChar"/>
    <w:link w:val="ShortT"/>
    <w:rsid w:val="007861B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861B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861B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861B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861B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861B1"/>
  </w:style>
  <w:style w:type="character" w:customStyle="1" w:styleId="ShortTCPChar">
    <w:name w:val="ShortTCP Char"/>
    <w:basedOn w:val="ShortTChar"/>
    <w:link w:val="ShortTCP"/>
    <w:rsid w:val="007861B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861B1"/>
    <w:pPr>
      <w:spacing w:before="400"/>
    </w:pPr>
  </w:style>
  <w:style w:type="character" w:customStyle="1" w:styleId="ActNoCPChar">
    <w:name w:val="ActNoCP Char"/>
    <w:basedOn w:val="ActnoChar"/>
    <w:link w:val="ActNoCP"/>
    <w:rsid w:val="007861B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861B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045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045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045D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5F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4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5F2E"/>
  </w:style>
  <w:style w:type="paragraph" w:customStyle="1" w:styleId="OPCParaBase">
    <w:name w:val="OPCParaBase"/>
    <w:link w:val="OPCParaBaseChar"/>
    <w:qFormat/>
    <w:rsid w:val="00D95F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95F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5F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5F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5F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5F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5F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5F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5F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5F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D95F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95F2E"/>
  </w:style>
  <w:style w:type="paragraph" w:customStyle="1" w:styleId="Blocks">
    <w:name w:val="Blocks"/>
    <w:aliases w:val="bb"/>
    <w:basedOn w:val="OPCParaBase"/>
    <w:qFormat/>
    <w:rsid w:val="00D95F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5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5F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5F2E"/>
    <w:rPr>
      <w:i/>
    </w:rPr>
  </w:style>
  <w:style w:type="paragraph" w:customStyle="1" w:styleId="BoxList">
    <w:name w:val="BoxList"/>
    <w:aliases w:val="bl"/>
    <w:basedOn w:val="BoxText"/>
    <w:qFormat/>
    <w:rsid w:val="00D95F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5F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5F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5F2E"/>
    <w:pPr>
      <w:ind w:left="1985" w:hanging="851"/>
    </w:pPr>
  </w:style>
  <w:style w:type="character" w:customStyle="1" w:styleId="CharAmPartNo">
    <w:name w:val="CharAmPartNo"/>
    <w:basedOn w:val="OPCCharBase"/>
    <w:qFormat/>
    <w:rsid w:val="00D95F2E"/>
  </w:style>
  <w:style w:type="character" w:customStyle="1" w:styleId="CharAmPartText">
    <w:name w:val="CharAmPartText"/>
    <w:basedOn w:val="OPCCharBase"/>
    <w:qFormat/>
    <w:rsid w:val="00D95F2E"/>
  </w:style>
  <w:style w:type="character" w:customStyle="1" w:styleId="CharAmSchNo">
    <w:name w:val="CharAmSchNo"/>
    <w:basedOn w:val="OPCCharBase"/>
    <w:qFormat/>
    <w:rsid w:val="00D95F2E"/>
  </w:style>
  <w:style w:type="character" w:customStyle="1" w:styleId="CharAmSchText">
    <w:name w:val="CharAmSchText"/>
    <w:basedOn w:val="OPCCharBase"/>
    <w:qFormat/>
    <w:rsid w:val="00D95F2E"/>
  </w:style>
  <w:style w:type="character" w:customStyle="1" w:styleId="CharBoldItalic">
    <w:name w:val="CharBoldItalic"/>
    <w:basedOn w:val="OPCCharBase"/>
    <w:uiPriority w:val="1"/>
    <w:qFormat/>
    <w:rsid w:val="00D95F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5F2E"/>
  </w:style>
  <w:style w:type="character" w:customStyle="1" w:styleId="CharChapText">
    <w:name w:val="CharChapText"/>
    <w:basedOn w:val="OPCCharBase"/>
    <w:uiPriority w:val="1"/>
    <w:qFormat/>
    <w:rsid w:val="00D95F2E"/>
  </w:style>
  <w:style w:type="character" w:customStyle="1" w:styleId="CharDivNo">
    <w:name w:val="CharDivNo"/>
    <w:basedOn w:val="OPCCharBase"/>
    <w:uiPriority w:val="1"/>
    <w:qFormat/>
    <w:rsid w:val="00D95F2E"/>
  </w:style>
  <w:style w:type="character" w:customStyle="1" w:styleId="CharDivText">
    <w:name w:val="CharDivText"/>
    <w:basedOn w:val="OPCCharBase"/>
    <w:uiPriority w:val="1"/>
    <w:qFormat/>
    <w:rsid w:val="00D95F2E"/>
  </w:style>
  <w:style w:type="character" w:customStyle="1" w:styleId="CharItalic">
    <w:name w:val="CharItalic"/>
    <w:basedOn w:val="OPCCharBase"/>
    <w:uiPriority w:val="1"/>
    <w:qFormat/>
    <w:rsid w:val="00D95F2E"/>
    <w:rPr>
      <w:i/>
    </w:rPr>
  </w:style>
  <w:style w:type="character" w:customStyle="1" w:styleId="CharPartNo">
    <w:name w:val="CharPartNo"/>
    <w:basedOn w:val="OPCCharBase"/>
    <w:uiPriority w:val="1"/>
    <w:qFormat/>
    <w:rsid w:val="00D95F2E"/>
  </w:style>
  <w:style w:type="character" w:customStyle="1" w:styleId="CharPartText">
    <w:name w:val="CharPartText"/>
    <w:basedOn w:val="OPCCharBase"/>
    <w:uiPriority w:val="1"/>
    <w:qFormat/>
    <w:rsid w:val="00D95F2E"/>
  </w:style>
  <w:style w:type="character" w:customStyle="1" w:styleId="CharSectno">
    <w:name w:val="CharSectno"/>
    <w:basedOn w:val="OPCCharBase"/>
    <w:qFormat/>
    <w:rsid w:val="00D95F2E"/>
  </w:style>
  <w:style w:type="character" w:customStyle="1" w:styleId="CharSubdNo">
    <w:name w:val="CharSubdNo"/>
    <w:basedOn w:val="OPCCharBase"/>
    <w:uiPriority w:val="1"/>
    <w:qFormat/>
    <w:rsid w:val="00D95F2E"/>
  </w:style>
  <w:style w:type="character" w:customStyle="1" w:styleId="CharSubdText">
    <w:name w:val="CharSubdText"/>
    <w:basedOn w:val="OPCCharBase"/>
    <w:uiPriority w:val="1"/>
    <w:qFormat/>
    <w:rsid w:val="00D95F2E"/>
  </w:style>
  <w:style w:type="paragraph" w:customStyle="1" w:styleId="CTA--">
    <w:name w:val="CTA --"/>
    <w:basedOn w:val="OPCParaBase"/>
    <w:next w:val="Normal"/>
    <w:rsid w:val="00D95F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5F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5F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5F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5F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5F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5F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5F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5F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5F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5F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5F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5F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5F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5F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5F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5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5F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5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5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5F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5F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5F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5F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95F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95F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5F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5F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5F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5F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5F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5F2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5F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5F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5F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5F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5F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5F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5F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5F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5F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5F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5F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5F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5F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5F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5F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5F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5F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5F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5F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5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5F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5F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5F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5F2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5F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5F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5F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5F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5F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5F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5F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5F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5F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5F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5F2E"/>
    <w:rPr>
      <w:sz w:val="16"/>
    </w:rPr>
  </w:style>
  <w:style w:type="table" w:customStyle="1" w:styleId="CFlag">
    <w:name w:val="CFlag"/>
    <w:basedOn w:val="TableNormal"/>
    <w:uiPriority w:val="99"/>
    <w:rsid w:val="00D95F2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95F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5F2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95F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5F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95F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5F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5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5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5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95F2E"/>
    <w:pPr>
      <w:spacing w:before="120"/>
    </w:pPr>
  </w:style>
  <w:style w:type="paragraph" w:customStyle="1" w:styleId="TableTextEndNotes">
    <w:name w:val="TableTextEndNotes"/>
    <w:aliases w:val="Tten"/>
    <w:basedOn w:val="Normal"/>
    <w:rsid w:val="00D95F2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95F2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95F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5F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5F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5F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5F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5F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5F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5F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5F2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5F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5F2E"/>
  </w:style>
  <w:style w:type="character" w:customStyle="1" w:styleId="CharSubPartNoCASA">
    <w:name w:val="CharSubPartNo(CASA)"/>
    <w:basedOn w:val="OPCCharBase"/>
    <w:uiPriority w:val="1"/>
    <w:rsid w:val="00D95F2E"/>
  </w:style>
  <w:style w:type="paragraph" w:customStyle="1" w:styleId="ENoteTTIndentHeadingSub">
    <w:name w:val="ENoteTTIndentHeadingSub"/>
    <w:aliases w:val="enTTHis"/>
    <w:basedOn w:val="OPCParaBase"/>
    <w:rsid w:val="00D95F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5F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5F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5F2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9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95F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5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5F2E"/>
    <w:rPr>
      <w:sz w:val="22"/>
    </w:rPr>
  </w:style>
  <w:style w:type="paragraph" w:customStyle="1" w:styleId="SOTextNote">
    <w:name w:val="SO TextNote"/>
    <w:aliases w:val="sont"/>
    <w:basedOn w:val="SOText"/>
    <w:qFormat/>
    <w:rsid w:val="00D95F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5F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5F2E"/>
    <w:rPr>
      <w:sz w:val="22"/>
    </w:rPr>
  </w:style>
  <w:style w:type="paragraph" w:customStyle="1" w:styleId="FileName">
    <w:name w:val="FileName"/>
    <w:basedOn w:val="Normal"/>
    <w:rsid w:val="00D95F2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5F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5F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5F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5F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5F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5F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5F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5F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5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5F2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95F2E"/>
  </w:style>
  <w:style w:type="character" w:customStyle="1" w:styleId="Heading1Char">
    <w:name w:val="Heading 1 Char"/>
    <w:basedOn w:val="DefaultParagraphFont"/>
    <w:link w:val="Heading1"/>
    <w:uiPriority w:val="9"/>
    <w:rsid w:val="00D3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4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4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4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4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4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4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74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7495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D37495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95"/>
    <w:rPr>
      <w:rFonts w:ascii="Tahoma" w:hAnsi="Tahoma" w:cs="Tahoma"/>
      <w:sz w:val="16"/>
      <w:szCs w:val="16"/>
    </w:rPr>
  </w:style>
  <w:style w:type="paragraph" w:customStyle="1" w:styleId="Specialaat">
    <w:name w:val="Special aat"/>
    <w:basedOn w:val="ActHead9"/>
    <w:link w:val="SpecialaatChar"/>
    <w:rsid w:val="00D37495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D37495"/>
    <w:rPr>
      <w:rFonts w:eastAsia="Times New Roman" w:cs="Times New Roman"/>
      <w:sz w:val="22"/>
      <w:lang w:eastAsia="en-AU"/>
    </w:rPr>
  </w:style>
  <w:style w:type="character" w:customStyle="1" w:styleId="ActHead9Char">
    <w:name w:val="ActHead 9 Char"/>
    <w:aliases w:val="aat Char"/>
    <w:basedOn w:val="OPCParaBaseChar"/>
    <w:link w:val="ActHead9"/>
    <w:rsid w:val="00D37495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D37495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D3749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D37495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374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495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7861B1"/>
    <w:pPr>
      <w:spacing w:before="800"/>
    </w:pPr>
  </w:style>
  <w:style w:type="character" w:customStyle="1" w:styleId="ShortTChar">
    <w:name w:val="ShortT Char"/>
    <w:basedOn w:val="OPCParaBaseChar"/>
    <w:link w:val="ShortT"/>
    <w:rsid w:val="007861B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861B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861B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861B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861B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861B1"/>
  </w:style>
  <w:style w:type="character" w:customStyle="1" w:styleId="ShortTCPChar">
    <w:name w:val="ShortTCP Char"/>
    <w:basedOn w:val="ShortTChar"/>
    <w:link w:val="ShortTCP"/>
    <w:rsid w:val="007861B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861B1"/>
    <w:pPr>
      <w:spacing w:before="400"/>
    </w:pPr>
  </w:style>
  <w:style w:type="character" w:customStyle="1" w:styleId="ActNoCPChar">
    <w:name w:val="ActNoCP Char"/>
    <w:basedOn w:val="ActnoChar"/>
    <w:link w:val="ActNoCP"/>
    <w:rsid w:val="007861B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861B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045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045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045D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3.bin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image" Target="media/image2.wmf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footer" Target="footer1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46</Pages>
  <Words>6580</Words>
  <Characters>34547</Characters>
  <Application>Microsoft Office Word</Application>
  <DocSecurity>0</DocSecurity>
  <PresentationFormat/>
  <Lines>1046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2019-08-08T07:27:00Z</cp:lastPrinted>
  <dcterms:created xsi:type="dcterms:W3CDTF">2019-12-18T01:07:00Z</dcterms:created>
  <dcterms:modified xsi:type="dcterms:W3CDTF">2019-12-18T01:30:00Z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Communications Legislation Amendment (Deregulation and Other Measures) Act 2019</vt:lpwstr>
  </property>
  <property fmtid="{D5CDD505-2E9C-101B-9397-08002B2CF9AE}" pid="5" name="ActNo">
    <vt:lpwstr>No. 120,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OPC7213</vt:lpwstr>
  </property>
</Properties>
</file>