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6" w:rsidRDefault="00CF254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1pt" o:ole="" fillcolor="window">
            <v:imagedata r:id="rId9" o:title=""/>
          </v:shape>
          <o:OLEObject Type="Embed" ProgID="Word.Picture.8" ShapeID="_x0000_i1025" DrawAspect="Content" ObjectID="_1638249459" r:id="rId10"/>
        </w:object>
      </w:r>
    </w:p>
    <w:p w:rsidR="00CF2546" w:rsidRDefault="00CF2546"/>
    <w:p w:rsidR="00CF2546" w:rsidRDefault="00CF2546" w:rsidP="00CF2546">
      <w:pPr>
        <w:spacing w:line="240" w:lineRule="auto"/>
      </w:pPr>
    </w:p>
    <w:p w:rsidR="00CF2546" w:rsidRDefault="00CF2546" w:rsidP="00CF2546"/>
    <w:p w:rsidR="00CF2546" w:rsidRDefault="00CF2546" w:rsidP="00CF2546"/>
    <w:p w:rsidR="00CF2546" w:rsidRDefault="00CF2546" w:rsidP="00CF2546"/>
    <w:p w:rsidR="00CF2546" w:rsidRDefault="00CF2546" w:rsidP="00CF2546"/>
    <w:p w:rsidR="0001024C" w:rsidRPr="00A415D4" w:rsidRDefault="0001024C" w:rsidP="0001024C">
      <w:pPr>
        <w:pStyle w:val="ShortT"/>
      </w:pPr>
      <w:r w:rsidRPr="00A415D4">
        <w:t>Health Legislation Amendment (Data</w:t>
      </w:r>
      <w:r w:rsidR="00DE17CA">
        <w:noBreakHyphen/>
      </w:r>
      <w:r w:rsidR="00794B60" w:rsidRPr="00A415D4">
        <w:t>matching</w:t>
      </w:r>
      <w:r w:rsidR="003632AE" w:rsidRPr="00A415D4">
        <w:t xml:space="preserve"> and Other Matters</w:t>
      </w:r>
      <w:r w:rsidR="00794B60" w:rsidRPr="00A415D4">
        <w:t xml:space="preserve">) </w:t>
      </w:r>
      <w:r w:rsidR="00CF2546">
        <w:t>Act</w:t>
      </w:r>
      <w:r w:rsidR="00794B60" w:rsidRPr="00A415D4">
        <w:t xml:space="preserve"> 2019</w:t>
      </w:r>
    </w:p>
    <w:p w:rsidR="0001024C" w:rsidRPr="00A415D4" w:rsidRDefault="0001024C" w:rsidP="0001024C"/>
    <w:p w:rsidR="0001024C" w:rsidRPr="00A415D4" w:rsidRDefault="00794B60" w:rsidP="00CF2546">
      <w:pPr>
        <w:pStyle w:val="Actno"/>
        <w:spacing w:before="400"/>
      </w:pPr>
      <w:r w:rsidRPr="00A415D4">
        <w:t>No.</w:t>
      </w:r>
      <w:r w:rsidR="001E2F52">
        <w:t xml:space="preserve"> 121</w:t>
      </w:r>
      <w:r w:rsidRPr="00A415D4">
        <w:t>, 2019</w:t>
      </w:r>
    </w:p>
    <w:p w:rsidR="0001024C" w:rsidRPr="00A415D4" w:rsidRDefault="0001024C" w:rsidP="0001024C"/>
    <w:p w:rsidR="00CF2546" w:rsidRDefault="00CF2546" w:rsidP="00CF2546"/>
    <w:p w:rsidR="00CF2546" w:rsidRDefault="00CF2546" w:rsidP="00CF2546"/>
    <w:p w:rsidR="00CF2546" w:rsidRDefault="00CF2546" w:rsidP="00CF2546"/>
    <w:p w:rsidR="00CF2546" w:rsidRDefault="00CF2546" w:rsidP="00CF2546"/>
    <w:p w:rsidR="0001024C" w:rsidRPr="00A415D4" w:rsidRDefault="00CF2546" w:rsidP="0001024C">
      <w:pPr>
        <w:pStyle w:val="LongT"/>
      </w:pPr>
      <w:r>
        <w:t>An Act</w:t>
      </w:r>
      <w:r w:rsidR="0001024C" w:rsidRPr="00A415D4">
        <w:t xml:space="preserve"> to amend the law relating to health, and for related purposes</w:t>
      </w:r>
    </w:p>
    <w:p w:rsidR="0001024C" w:rsidRPr="00A415D4" w:rsidRDefault="0001024C" w:rsidP="0001024C">
      <w:pPr>
        <w:pStyle w:val="Header"/>
        <w:tabs>
          <w:tab w:val="clear" w:pos="4150"/>
          <w:tab w:val="clear" w:pos="8307"/>
        </w:tabs>
      </w:pPr>
      <w:r w:rsidRPr="00A415D4">
        <w:rPr>
          <w:rStyle w:val="CharAmSchNo"/>
        </w:rPr>
        <w:t xml:space="preserve"> </w:t>
      </w:r>
      <w:r w:rsidRPr="00A415D4">
        <w:rPr>
          <w:rStyle w:val="CharAmSchText"/>
        </w:rPr>
        <w:t xml:space="preserve"> </w:t>
      </w:r>
    </w:p>
    <w:p w:rsidR="0001024C" w:rsidRPr="00A415D4" w:rsidRDefault="0001024C" w:rsidP="0001024C">
      <w:pPr>
        <w:pStyle w:val="Header"/>
        <w:tabs>
          <w:tab w:val="clear" w:pos="4150"/>
          <w:tab w:val="clear" w:pos="8307"/>
        </w:tabs>
      </w:pPr>
      <w:r w:rsidRPr="00A415D4">
        <w:rPr>
          <w:rStyle w:val="CharAmPartNo"/>
        </w:rPr>
        <w:t xml:space="preserve"> </w:t>
      </w:r>
      <w:r w:rsidRPr="00A415D4">
        <w:rPr>
          <w:rStyle w:val="CharAmPartText"/>
        </w:rPr>
        <w:t xml:space="preserve"> </w:t>
      </w:r>
    </w:p>
    <w:p w:rsidR="0001024C" w:rsidRPr="00A415D4" w:rsidRDefault="0001024C" w:rsidP="0001024C">
      <w:pPr>
        <w:sectPr w:rsidR="0001024C" w:rsidRPr="00A415D4" w:rsidSect="00CF25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01024C" w:rsidRPr="00A415D4" w:rsidRDefault="0001024C" w:rsidP="0001024C">
      <w:pPr>
        <w:rPr>
          <w:sz w:val="36"/>
        </w:rPr>
      </w:pPr>
      <w:r w:rsidRPr="00A415D4">
        <w:rPr>
          <w:sz w:val="36"/>
        </w:rPr>
        <w:lastRenderedPageBreak/>
        <w:t>Contents</w:t>
      </w:r>
    </w:p>
    <w:p w:rsidR="00621EAB" w:rsidRDefault="00621E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21EAB">
        <w:rPr>
          <w:noProof/>
        </w:rPr>
        <w:tab/>
      </w:r>
      <w:r w:rsidRPr="00621EAB">
        <w:rPr>
          <w:noProof/>
        </w:rPr>
        <w:fldChar w:fldCharType="begin"/>
      </w:r>
      <w:r w:rsidRPr="00621EAB">
        <w:rPr>
          <w:noProof/>
        </w:rPr>
        <w:instrText xml:space="preserve"> PAGEREF _Toc27635441 \h </w:instrText>
      </w:r>
      <w:r w:rsidRPr="00621EAB">
        <w:rPr>
          <w:noProof/>
        </w:rPr>
      </w:r>
      <w:r w:rsidRPr="00621EAB">
        <w:rPr>
          <w:noProof/>
        </w:rPr>
        <w:fldChar w:fldCharType="separate"/>
      </w:r>
      <w:r w:rsidR="001B117A">
        <w:rPr>
          <w:noProof/>
        </w:rPr>
        <w:t>1</w:t>
      </w:r>
      <w:r w:rsidRPr="00621EAB">
        <w:rPr>
          <w:noProof/>
        </w:rPr>
        <w:fldChar w:fldCharType="end"/>
      </w:r>
    </w:p>
    <w:p w:rsidR="00621EAB" w:rsidRDefault="00621E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621EAB">
        <w:rPr>
          <w:noProof/>
        </w:rPr>
        <w:tab/>
      </w:r>
      <w:r w:rsidRPr="00621EAB">
        <w:rPr>
          <w:noProof/>
        </w:rPr>
        <w:fldChar w:fldCharType="begin"/>
      </w:r>
      <w:r w:rsidRPr="00621EAB">
        <w:rPr>
          <w:noProof/>
        </w:rPr>
        <w:instrText xml:space="preserve"> PAGEREF _Toc27635442 \h </w:instrText>
      </w:r>
      <w:r w:rsidRPr="00621EAB">
        <w:rPr>
          <w:noProof/>
        </w:rPr>
      </w:r>
      <w:r w:rsidRPr="00621EAB">
        <w:rPr>
          <w:noProof/>
        </w:rPr>
        <w:fldChar w:fldCharType="separate"/>
      </w:r>
      <w:r w:rsidR="001B117A">
        <w:rPr>
          <w:noProof/>
        </w:rPr>
        <w:t>2</w:t>
      </w:r>
      <w:r w:rsidRPr="00621EAB">
        <w:rPr>
          <w:noProof/>
        </w:rPr>
        <w:fldChar w:fldCharType="end"/>
      </w:r>
    </w:p>
    <w:p w:rsidR="00621EAB" w:rsidRDefault="00621E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21EAB">
        <w:rPr>
          <w:noProof/>
        </w:rPr>
        <w:tab/>
      </w:r>
      <w:r w:rsidRPr="00621EAB">
        <w:rPr>
          <w:noProof/>
        </w:rPr>
        <w:fldChar w:fldCharType="begin"/>
      </w:r>
      <w:r w:rsidRPr="00621EAB">
        <w:rPr>
          <w:noProof/>
        </w:rPr>
        <w:instrText xml:space="preserve"> PAGEREF _Toc27635443 \h </w:instrText>
      </w:r>
      <w:r w:rsidRPr="00621EAB">
        <w:rPr>
          <w:noProof/>
        </w:rPr>
      </w:r>
      <w:r w:rsidRPr="00621EAB">
        <w:rPr>
          <w:noProof/>
        </w:rPr>
        <w:fldChar w:fldCharType="separate"/>
      </w:r>
      <w:r w:rsidR="001B117A">
        <w:rPr>
          <w:noProof/>
        </w:rPr>
        <w:t>2</w:t>
      </w:r>
      <w:r w:rsidRPr="00621EAB">
        <w:rPr>
          <w:noProof/>
        </w:rPr>
        <w:fldChar w:fldCharType="end"/>
      </w:r>
    </w:p>
    <w:p w:rsidR="00621EAB" w:rsidRDefault="00621E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1—Data</w:t>
      </w:r>
      <w:r>
        <w:rPr>
          <w:noProof/>
        </w:rPr>
        <w:noBreakHyphen/>
        <w:t>matching</w:t>
      </w:r>
      <w:r w:rsidRPr="00621EAB">
        <w:rPr>
          <w:b w:val="0"/>
          <w:noProof/>
          <w:sz w:val="18"/>
        </w:rPr>
        <w:tab/>
      </w:r>
      <w:r w:rsidRPr="00621EAB">
        <w:rPr>
          <w:b w:val="0"/>
          <w:noProof/>
          <w:sz w:val="18"/>
        </w:rPr>
        <w:fldChar w:fldCharType="begin"/>
      </w:r>
      <w:r w:rsidRPr="00621EAB">
        <w:rPr>
          <w:b w:val="0"/>
          <w:noProof/>
          <w:sz w:val="18"/>
        </w:rPr>
        <w:instrText xml:space="preserve"> PAGEREF _Toc27635444 \h </w:instrText>
      </w:r>
      <w:r w:rsidRPr="00621EAB">
        <w:rPr>
          <w:b w:val="0"/>
          <w:noProof/>
          <w:sz w:val="18"/>
        </w:rPr>
      </w:r>
      <w:r w:rsidRPr="00621EAB">
        <w:rPr>
          <w:b w:val="0"/>
          <w:noProof/>
          <w:sz w:val="18"/>
        </w:rPr>
        <w:fldChar w:fldCharType="separate"/>
      </w:r>
      <w:r w:rsidR="001B117A">
        <w:rPr>
          <w:b w:val="0"/>
          <w:noProof/>
          <w:sz w:val="18"/>
        </w:rPr>
        <w:t>3</w:t>
      </w:r>
      <w:r w:rsidRPr="00621EAB">
        <w:rPr>
          <w:b w:val="0"/>
          <w:noProof/>
          <w:sz w:val="18"/>
        </w:rPr>
        <w:fldChar w:fldCharType="end"/>
      </w:r>
    </w:p>
    <w:p w:rsidR="00621EAB" w:rsidRDefault="00621E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621EAB">
        <w:rPr>
          <w:noProof/>
          <w:sz w:val="18"/>
        </w:rPr>
        <w:tab/>
      </w:r>
      <w:r w:rsidRPr="00621EAB">
        <w:rPr>
          <w:noProof/>
          <w:sz w:val="18"/>
        </w:rPr>
        <w:fldChar w:fldCharType="begin"/>
      </w:r>
      <w:r w:rsidRPr="00621EAB">
        <w:rPr>
          <w:noProof/>
          <w:sz w:val="18"/>
        </w:rPr>
        <w:instrText xml:space="preserve"> PAGEREF _Toc27635445 \h </w:instrText>
      </w:r>
      <w:r w:rsidRPr="00621EAB">
        <w:rPr>
          <w:noProof/>
          <w:sz w:val="18"/>
        </w:rPr>
      </w:r>
      <w:r w:rsidRPr="00621EAB">
        <w:rPr>
          <w:noProof/>
          <w:sz w:val="18"/>
        </w:rPr>
        <w:fldChar w:fldCharType="separate"/>
      </w:r>
      <w:r w:rsidR="001B117A">
        <w:rPr>
          <w:noProof/>
          <w:sz w:val="18"/>
        </w:rPr>
        <w:t>3</w:t>
      </w:r>
      <w:r w:rsidRPr="00621EAB">
        <w:rPr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_Toc27635446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3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621EAB">
        <w:rPr>
          <w:noProof/>
          <w:sz w:val="18"/>
        </w:rPr>
        <w:tab/>
      </w:r>
      <w:r w:rsidRPr="00621EAB">
        <w:rPr>
          <w:noProof/>
          <w:sz w:val="18"/>
        </w:rPr>
        <w:fldChar w:fldCharType="begin"/>
      </w:r>
      <w:r w:rsidRPr="00621EAB">
        <w:rPr>
          <w:noProof/>
          <w:sz w:val="18"/>
        </w:rPr>
        <w:instrText xml:space="preserve"> PAGEREF _Toc27635454 \h </w:instrText>
      </w:r>
      <w:r w:rsidRPr="00621EAB">
        <w:rPr>
          <w:noProof/>
          <w:sz w:val="18"/>
        </w:rPr>
      </w:r>
      <w:r w:rsidRPr="00621EAB">
        <w:rPr>
          <w:noProof/>
          <w:sz w:val="18"/>
        </w:rPr>
        <w:fldChar w:fldCharType="separate"/>
      </w:r>
      <w:r w:rsidR="001B117A">
        <w:rPr>
          <w:noProof/>
          <w:sz w:val="18"/>
        </w:rPr>
        <w:t>10</w:t>
      </w:r>
      <w:r w:rsidRPr="00621EAB">
        <w:rPr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_Toc27635455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10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3—Consequential amendments</w:t>
      </w:r>
      <w:r w:rsidRPr="00621EAB">
        <w:rPr>
          <w:noProof/>
          <w:sz w:val="18"/>
        </w:rPr>
        <w:tab/>
      </w:r>
      <w:r w:rsidRPr="00621EAB">
        <w:rPr>
          <w:noProof/>
          <w:sz w:val="18"/>
        </w:rPr>
        <w:fldChar w:fldCharType="begin"/>
      </w:r>
      <w:r w:rsidRPr="00621EAB">
        <w:rPr>
          <w:noProof/>
          <w:sz w:val="18"/>
        </w:rPr>
        <w:instrText xml:space="preserve"> PAGEREF _Toc27635456 \h </w:instrText>
      </w:r>
      <w:r w:rsidRPr="00621EAB">
        <w:rPr>
          <w:noProof/>
          <w:sz w:val="18"/>
        </w:rPr>
      </w:r>
      <w:r w:rsidRPr="00621EAB">
        <w:rPr>
          <w:noProof/>
          <w:sz w:val="18"/>
        </w:rPr>
        <w:fldChar w:fldCharType="separate"/>
      </w:r>
      <w:r w:rsidR="001B117A">
        <w:rPr>
          <w:noProof/>
          <w:sz w:val="18"/>
        </w:rPr>
        <w:t>11</w:t>
      </w:r>
      <w:r w:rsidRPr="00621EAB">
        <w:rPr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_Toc27635457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11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Act 1988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_Toc27635458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11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Act 2007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_Toc27635459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11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Act 1989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_Toc27635460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12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621EAB">
        <w:rPr>
          <w:b w:val="0"/>
          <w:noProof/>
          <w:sz w:val="18"/>
        </w:rPr>
        <w:tab/>
      </w:r>
      <w:r w:rsidRPr="00621EAB">
        <w:rPr>
          <w:b w:val="0"/>
          <w:noProof/>
          <w:sz w:val="18"/>
        </w:rPr>
        <w:fldChar w:fldCharType="begin"/>
      </w:r>
      <w:r w:rsidRPr="00621EAB">
        <w:rPr>
          <w:b w:val="0"/>
          <w:noProof/>
          <w:sz w:val="18"/>
        </w:rPr>
        <w:instrText xml:space="preserve"> PAGEREF _Toc27635461 \h </w:instrText>
      </w:r>
      <w:r w:rsidRPr="00621EAB">
        <w:rPr>
          <w:b w:val="0"/>
          <w:noProof/>
          <w:sz w:val="18"/>
        </w:rPr>
      </w:r>
      <w:r w:rsidRPr="00621EAB">
        <w:rPr>
          <w:b w:val="0"/>
          <w:noProof/>
          <w:sz w:val="18"/>
        </w:rPr>
        <w:fldChar w:fldCharType="separate"/>
      </w:r>
      <w:r w:rsidR="001B117A">
        <w:rPr>
          <w:b w:val="0"/>
          <w:noProof/>
          <w:sz w:val="18"/>
        </w:rPr>
        <w:t>13</w:t>
      </w:r>
      <w:r w:rsidRPr="00621EAB">
        <w:rPr>
          <w:b w:val="0"/>
          <w:noProof/>
          <w:sz w:val="18"/>
        </w:rPr>
        <w:fldChar w:fldCharType="end"/>
      </w:r>
    </w:p>
    <w:p w:rsidR="00621EAB" w:rsidRDefault="00621E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1—Professional Services Review Scheme</w:t>
      </w:r>
      <w:r w:rsidRPr="00621EAB">
        <w:rPr>
          <w:noProof/>
          <w:sz w:val="18"/>
        </w:rPr>
        <w:tab/>
      </w:r>
      <w:r w:rsidRPr="00621EAB">
        <w:rPr>
          <w:noProof/>
          <w:sz w:val="18"/>
        </w:rPr>
        <w:fldChar w:fldCharType="begin"/>
      </w:r>
      <w:r w:rsidRPr="00621EAB">
        <w:rPr>
          <w:noProof/>
          <w:sz w:val="18"/>
        </w:rPr>
        <w:instrText xml:space="preserve"> PAGEREF _Toc27635462 \h </w:instrText>
      </w:r>
      <w:r w:rsidRPr="00621EAB">
        <w:rPr>
          <w:noProof/>
          <w:sz w:val="18"/>
        </w:rPr>
      </w:r>
      <w:r w:rsidRPr="00621EAB">
        <w:rPr>
          <w:noProof/>
          <w:sz w:val="18"/>
        </w:rPr>
        <w:fldChar w:fldCharType="separate"/>
      </w:r>
      <w:r w:rsidR="001B117A">
        <w:rPr>
          <w:noProof/>
          <w:sz w:val="18"/>
        </w:rPr>
        <w:t>13</w:t>
      </w:r>
      <w:r w:rsidRPr="00621EAB">
        <w:rPr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_Toc27635463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13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_Toc27635464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15</w:t>
      </w:r>
      <w:r w:rsidRPr="00621EAB">
        <w:rPr>
          <w:i w:val="0"/>
          <w:noProof/>
          <w:sz w:val="18"/>
        </w:rPr>
        <w:fldChar w:fldCharType="end"/>
      </w:r>
    </w:p>
    <w:p w:rsidR="00621EAB" w:rsidRDefault="00621EA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621EAB">
        <w:rPr>
          <w:noProof/>
          <w:sz w:val="18"/>
        </w:rPr>
        <w:tab/>
      </w:r>
      <w:r w:rsidRPr="00621EAB">
        <w:rPr>
          <w:noProof/>
          <w:sz w:val="18"/>
        </w:rPr>
        <w:fldChar w:fldCharType="begin"/>
      </w:r>
      <w:r w:rsidRPr="00621EAB">
        <w:rPr>
          <w:noProof/>
          <w:sz w:val="18"/>
        </w:rPr>
        <w:instrText xml:space="preserve"> PAGEREF _Toc27635465 \h </w:instrText>
      </w:r>
      <w:r w:rsidRPr="00621EAB">
        <w:rPr>
          <w:noProof/>
          <w:sz w:val="18"/>
        </w:rPr>
      </w:r>
      <w:r w:rsidRPr="00621EAB">
        <w:rPr>
          <w:noProof/>
          <w:sz w:val="18"/>
        </w:rPr>
        <w:fldChar w:fldCharType="separate"/>
      </w:r>
      <w:r w:rsidR="001B117A">
        <w:rPr>
          <w:noProof/>
          <w:sz w:val="18"/>
        </w:rPr>
        <w:t>16</w:t>
      </w:r>
      <w:r w:rsidRPr="00621EAB">
        <w:rPr>
          <w:noProof/>
          <w:sz w:val="18"/>
        </w:rPr>
        <w:fldChar w:fldCharType="end"/>
      </w:r>
    </w:p>
    <w:p w:rsidR="00621EAB" w:rsidRDefault="00621E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621EAB">
        <w:rPr>
          <w:i w:val="0"/>
          <w:noProof/>
          <w:sz w:val="18"/>
        </w:rPr>
        <w:tab/>
      </w:r>
      <w:r w:rsidRPr="00621EAB">
        <w:rPr>
          <w:i w:val="0"/>
          <w:noProof/>
          <w:sz w:val="18"/>
        </w:rPr>
        <w:fldChar w:fldCharType="begin"/>
      </w:r>
      <w:r w:rsidRPr="00621EAB">
        <w:rPr>
          <w:i w:val="0"/>
          <w:noProof/>
          <w:sz w:val="18"/>
        </w:rPr>
        <w:instrText xml:space="preserve"> PAGEREF _Toc27635466 \h </w:instrText>
      </w:r>
      <w:r w:rsidRPr="00621EAB">
        <w:rPr>
          <w:i w:val="0"/>
          <w:noProof/>
          <w:sz w:val="18"/>
        </w:rPr>
      </w:r>
      <w:r w:rsidRPr="00621EAB">
        <w:rPr>
          <w:i w:val="0"/>
          <w:noProof/>
          <w:sz w:val="18"/>
        </w:rPr>
        <w:fldChar w:fldCharType="separate"/>
      </w:r>
      <w:r w:rsidR="001B117A">
        <w:rPr>
          <w:i w:val="0"/>
          <w:noProof/>
          <w:sz w:val="18"/>
        </w:rPr>
        <w:t>16</w:t>
      </w:r>
      <w:r w:rsidRPr="00621EAB">
        <w:rPr>
          <w:i w:val="0"/>
          <w:noProof/>
          <w:sz w:val="18"/>
        </w:rPr>
        <w:fldChar w:fldCharType="end"/>
      </w:r>
    </w:p>
    <w:p w:rsidR="0001024C" w:rsidRPr="00A415D4" w:rsidRDefault="00621EAB" w:rsidP="0001024C">
      <w:r>
        <w:fldChar w:fldCharType="end"/>
      </w:r>
    </w:p>
    <w:p w:rsidR="0001024C" w:rsidRPr="00A415D4" w:rsidRDefault="0001024C" w:rsidP="0001024C">
      <w:pPr>
        <w:sectPr w:rsidR="0001024C" w:rsidRPr="00A415D4" w:rsidSect="00CF25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F2546" w:rsidRDefault="00CF2546">
      <w:r>
        <w:object w:dxaOrig="2146" w:dyaOrig="1561">
          <v:shape id="_x0000_i1026" type="#_x0000_t75" alt="Commonwealth Coat of Arms of Australia" style="width:110.25pt;height:81pt" o:ole="" fillcolor="window">
            <v:imagedata r:id="rId9" o:title=""/>
          </v:shape>
          <o:OLEObject Type="Embed" ProgID="Word.Picture.8" ShapeID="_x0000_i1026" DrawAspect="Content" ObjectID="_1638249460" r:id="rId22"/>
        </w:object>
      </w:r>
    </w:p>
    <w:p w:rsidR="00CF2546" w:rsidRDefault="00CF2546"/>
    <w:p w:rsidR="00CF2546" w:rsidRDefault="00CF2546" w:rsidP="00CF2546">
      <w:pPr>
        <w:spacing w:line="240" w:lineRule="auto"/>
      </w:pPr>
    </w:p>
    <w:p w:rsidR="00CF2546" w:rsidRDefault="00621EAB" w:rsidP="00CF2546">
      <w:pPr>
        <w:pStyle w:val="ShortTP1"/>
      </w:pPr>
      <w:fldSimple w:instr=" STYLEREF ShortT ">
        <w:r w:rsidR="001B117A">
          <w:rPr>
            <w:noProof/>
          </w:rPr>
          <w:t>Health Legislation Amendment (Data-matching and Other Matters) Act 2019</w:t>
        </w:r>
      </w:fldSimple>
    </w:p>
    <w:p w:rsidR="00CF2546" w:rsidRDefault="00621EAB" w:rsidP="00CF2546">
      <w:pPr>
        <w:pStyle w:val="ActNoP1"/>
      </w:pPr>
      <w:fldSimple w:instr=" STYLEREF Actno ">
        <w:r w:rsidR="001B117A">
          <w:rPr>
            <w:noProof/>
          </w:rPr>
          <w:t>No. 121, 2019</w:t>
        </w:r>
      </w:fldSimple>
    </w:p>
    <w:p w:rsidR="00CF2546" w:rsidRPr="009A0728" w:rsidRDefault="00CF254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F2546" w:rsidRPr="009A0728" w:rsidRDefault="00CF2546" w:rsidP="009A0728">
      <w:pPr>
        <w:spacing w:line="40" w:lineRule="exact"/>
        <w:rPr>
          <w:rFonts w:eastAsia="Calibri"/>
          <w:b/>
          <w:sz w:val="28"/>
        </w:rPr>
      </w:pPr>
    </w:p>
    <w:p w:rsidR="00CF2546" w:rsidRPr="009A0728" w:rsidRDefault="00CF254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1024C" w:rsidRPr="00A415D4" w:rsidRDefault="00CF2546" w:rsidP="00A415D4">
      <w:pPr>
        <w:pStyle w:val="Page1"/>
      </w:pPr>
      <w:r>
        <w:t>An Act</w:t>
      </w:r>
      <w:r w:rsidR="00A415D4" w:rsidRPr="00A415D4">
        <w:t xml:space="preserve"> to amend the law relating to health, and for related purposes</w:t>
      </w:r>
    </w:p>
    <w:p w:rsidR="001E2F52" w:rsidRDefault="001E2F5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2019</w:t>
      </w:r>
      <w:r>
        <w:rPr>
          <w:sz w:val="24"/>
        </w:rPr>
        <w:t>]</w:t>
      </w:r>
    </w:p>
    <w:p w:rsidR="0001024C" w:rsidRPr="00A415D4" w:rsidRDefault="0001024C" w:rsidP="00A415D4">
      <w:pPr>
        <w:spacing w:before="240" w:line="240" w:lineRule="auto"/>
        <w:rPr>
          <w:sz w:val="32"/>
        </w:rPr>
      </w:pPr>
      <w:r w:rsidRPr="00A415D4">
        <w:rPr>
          <w:sz w:val="32"/>
        </w:rPr>
        <w:t>The Parliament of Australia enacts:</w:t>
      </w:r>
    </w:p>
    <w:p w:rsidR="0001024C" w:rsidRPr="00A415D4" w:rsidRDefault="0001024C" w:rsidP="00A415D4">
      <w:pPr>
        <w:pStyle w:val="ActHead5"/>
      </w:pPr>
      <w:bookmarkStart w:id="1" w:name="_Toc27635441"/>
      <w:r w:rsidRPr="00A415D4">
        <w:rPr>
          <w:rStyle w:val="CharSectno"/>
        </w:rPr>
        <w:t>1</w:t>
      </w:r>
      <w:r w:rsidRPr="00A415D4">
        <w:t xml:space="preserve">  Short title</w:t>
      </w:r>
      <w:bookmarkEnd w:id="1"/>
    </w:p>
    <w:p w:rsidR="0001024C" w:rsidRPr="00A415D4" w:rsidRDefault="0001024C" w:rsidP="00A415D4">
      <w:pPr>
        <w:pStyle w:val="subsection"/>
      </w:pPr>
      <w:r w:rsidRPr="00A415D4">
        <w:tab/>
      </w:r>
      <w:r w:rsidRPr="00A415D4">
        <w:tab/>
        <w:t xml:space="preserve">This Act is the </w:t>
      </w:r>
      <w:r w:rsidRPr="00A415D4">
        <w:rPr>
          <w:i/>
        </w:rPr>
        <w:t>Health Legislation Amendment (Data</w:t>
      </w:r>
      <w:r w:rsidR="00DE17CA">
        <w:rPr>
          <w:i/>
        </w:rPr>
        <w:noBreakHyphen/>
      </w:r>
      <w:r w:rsidR="0007686D" w:rsidRPr="00A415D4">
        <w:rPr>
          <w:i/>
        </w:rPr>
        <w:t>matching</w:t>
      </w:r>
      <w:r w:rsidR="003632AE" w:rsidRPr="00A415D4">
        <w:rPr>
          <w:i/>
        </w:rPr>
        <w:t xml:space="preserve"> and Other Matters</w:t>
      </w:r>
      <w:r w:rsidRPr="00A415D4">
        <w:rPr>
          <w:i/>
        </w:rPr>
        <w:t>)</w:t>
      </w:r>
      <w:r w:rsidRPr="00A415D4">
        <w:t xml:space="preserve"> </w:t>
      </w:r>
      <w:r w:rsidR="00794B60" w:rsidRPr="00A415D4">
        <w:rPr>
          <w:i/>
        </w:rPr>
        <w:t>Act 2019</w:t>
      </w:r>
      <w:r w:rsidRPr="00A415D4">
        <w:t>.</w:t>
      </w:r>
    </w:p>
    <w:p w:rsidR="0001024C" w:rsidRPr="00A415D4" w:rsidRDefault="0001024C" w:rsidP="00A415D4">
      <w:pPr>
        <w:pStyle w:val="ActHead5"/>
      </w:pPr>
      <w:bookmarkStart w:id="2" w:name="_Toc27635442"/>
      <w:r w:rsidRPr="00A415D4">
        <w:rPr>
          <w:rStyle w:val="CharSectno"/>
        </w:rPr>
        <w:lastRenderedPageBreak/>
        <w:t>2</w:t>
      </w:r>
      <w:r w:rsidRPr="00A415D4">
        <w:t xml:space="preserve">  Commencement</w:t>
      </w:r>
      <w:bookmarkEnd w:id="2"/>
    </w:p>
    <w:p w:rsidR="00322AAE" w:rsidRPr="00A415D4" w:rsidRDefault="00322AAE" w:rsidP="00A415D4">
      <w:pPr>
        <w:pStyle w:val="subsection"/>
      </w:pPr>
      <w:r w:rsidRPr="00A415D4">
        <w:tab/>
        <w:t>(1)</w:t>
      </w:r>
      <w:r w:rsidRPr="00A415D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22AAE" w:rsidRPr="00A415D4" w:rsidRDefault="00322AAE" w:rsidP="00A415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22AAE" w:rsidRPr="00A415D4" w:rsidTr="00B84B8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Commencement information</w:t>
            </w:r>
          </w:p>
        </w:tc>
      </w:tr>
      <w:tr w:rsidR="00322AAE" w:rsidRPr="00A415D4" w:rsidTr="00B84B8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Column 3</w:t>
            </w:r>
          </w:p>
        </w:tc>
      </w:tr>
      <w:tr w:rsidR="00322AAE" w:rsidRPr="00A415D4" w:rsidTr="00B84B8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Heading"/>
            </w:pPr>
            <w:r w:rsidRPr="00A415D4">
              <w:t>Date/Details</w:t>
            </w:r>
          </w:p>
        </w:tc>
      </w:tr>
      <w:tr w:rsidR="00322AAE" w:rsidRPr="00A415D4" w:rsidTr="00B84B8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text"/>
            </w:pPr>
            <w:r w:rsidRPr="00A415D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22AAE" w:rsidRPr="00A415D4" w:rsidRDefault="00322AAE" w:rsidP="00A415D4">
            <w:pPr>
              <w:pStyle w:val="Tabletext"/>
            </w:pPr>
            <w:r w:rsidRPr="00A415D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2AAE" w:rsidRPr="00A415D4" w:rsidRDefault="001E2F52" w:rsidP="001E2F52">
            <w:pPr>
              <w:pStyle w:val="Tabletext"/>
            </w:pPr>
            <w:r>
              <w:t>13 December 2019</w:t>
            </w:r>
          </w:p>
        </w:tc>
      </w:tr>
    </w:tbl>
    <w:p w:rsidR="00322AAE" w:rsidRPr="00A415D4" w:rsidRDefault="00322AAE" w:rsidP="00A415D4">
      <w:pPr>
        <w:pStyle w:val="notetext"/>
      </w:pPr>
      <w:r w:rsidRPr="00A415D4">
        <w:rPr>
          <w:snapToGrid w:val="0"/>
          <w:lang w:eastAsia="en-US"/>
        </w:rPr>
        <w:t>Note:</w:t>
      </w:r>
      <w:r w:rsidRPr="00A415D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22AAE" w:rsidRPr="00A415D4" w:rsidRDefault="00322AAE" w:rsidP="00A415D4">
      <w:pPr>
        <w:pStyle w:val="subsection"/>
      </w:pPr>
      <w:r w:rsidRPr="00A415D4">
        <w:tab/>
        <w:t>(2)</w:t>
      </w:r>
      <w:r w:rsidRPr="00A415D4">
        <w:tab/>
        <w:t>Any information in column 3 of the table is not part of this Act. Information may be inserted in this column, or information in it may be edited, in any published version of this Act.</w:t>
      </w:r>
    </w:p>
    <w:p w:rsidR="0001024C" w:rsidRPr="00A415D4" w:rsidRDefault="0001024C" w:rsidP="00A415D4">
      <w:pPr>
        <w:pStyle w:val="ActHead5"/>
      </w:pPr>
      <w:bookmarkStart w:id="3" w:name="_Toc27635443"/>
      <w:r w:rsidRPr="00A415D4">
        <w:rPr>
          <w:rStyle w:val="CharSectno"/>
        </w:rPr>
        <w:t>3</w:t>
      </w:r>
      <w:r w:rsidRPr="00A415D4">
        <w:t xml:space="preserve">  Schedules</w:t>
      </w:r>
      <w:bookmarkEnd w:id="3"/>
    </w:p>
    <w:p w:rsidR="0001024C" w:rsidRPr="00A415D4" w:rsidRDefault="0001024C" w:rsidP="00A415D4">
      <w:pPr>
        <w:pStyle w:val="subsection"/>
      </w:pPr>
      <w:r w:rsidRPr="00A415D4">
        <w:tab/>
      </w:r>
      <w:r w:rsidRPr="00A415D4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1024C" w:rsidRPr="00A415D4" w:rsidRDefault="0001024C" w:rsidP="00A415D4">
      <w:pPr>
        <w:pStyle w:val="ActHead6"/>
        <w:pageBreakBefore/>
      </w:pPr>
      <w:bookmarkStart w:id="4" w:name="_Toc27635444"/>
      <w:bookmarkStart w:id="5" w:name="opcAmSched"/>
      <w:r w:rsidRPr="00A415D4">
        <w:rPr>
          <w:rStyle w:val="CharAmSchNo"/>
        </w:rPr>
        <w:lastRenderedPageBreak/>
        <w:t>Schedule</w:t>
      </w:r>
      <w:r w:rsidR="00A415D4" w:rsidRPr="00A415D4">
        <w:rPr>
          <w:rStyle w:val="CharAmSchNo"/>
        </w:rPr>
        <w:t> </w:t>
      </w:r>
      <w:r w:rsidRPr="00A415D4">
        <w:rPr>
          <w:rStyle w:val="CharAmSchNo"/>
        </w:rPr>
        <w:t>1</w:t>
      </w:r>
      <w:r w:rsidRPr="00A415D4">
        <w:t>—</w:t>
      </w:r>
      <w:r w:rsidR="000776CE" w:rsidRPr="00A415D4">
        <w:rPr>
          <w:rStyle w:val="CharAmSchText"/>
        </w:rPr>
        <w:t>Data</w:t>
      </w:r>
      <w:r w:rsidR="00DE17CA">
        <w:rPr>
          <w:rStyle w:val="CharAmSchText"/>
        </w:rPr>
        <w:noBreakHyphen/>
      </w:r>
      <w:r w:rsidR="000776CE" w:rsidRPr="00A415D4">
        <w:rPr>
          <w:rStyle w:val="CharAmSchText"/>
        </w:rPr>
        <w:t>matching</w:t>
      </w:r>
      <w:bookmarkEnd w:id="4"/>
    </w:p>
    <w:p w:rsidR="0001024C" w:rsidRPr="00A415D4" w:rsidRDefault="0001024C" w:rsidP="00A415D4">
      <w:pPr>
        <w:pStyle w:val="ActHead7"/>
      </w:pPr>
      <w:bookmarkStart w:id="6" w:name="_Toc27635445"/>
      <w:bookmarkEnd w:id="5"/>
      <w:r w:rsidRPr="00A415D4">
        <w:rPr>
          <w:rStyle w:val="CharAmPartNo"/>
        </w:rPr>
        <w:t>Part</w:t>
      </w:r>
      <w:r w:rsidR="00A415D4" w:rsidRPr="00A415D4">
        <w:rPr>
          <w:rStyle w:val="CharAmPartNo"/>
        </w:rPr>
        <w:t> </w:t>
      </w:r>
      <w:r w:rsidRPr="00A415D4">
        <w:rPr>
          <w:rStyle w:val="CharAmPartNo"/>
        </w:rPr>
        <w:t>1</w:t>
      </w:r>
      <w:r w:rsidRPr="00A415D4">
        <w:t>—</w:t>
      </w:r>
      <w:r w:rsidR="000776CE" w:rsidRPr="00A415D4">
        <w:rPr>
          <w:rStyle w:val="CharAmPartText"/>
        </w:rPr>
        <w:t>Main amendments</w:t>
      </w:r>
      <w:bookmarkEnd w:id="6"/>
    </w:p>
    <w:p w:rsidR="0001024C" w:rsidRPr="00A415D4" w:rsidRDefault="0001024C" w:rsidP="00A415D4">
      <w:pPr>
        <w:pStyle w:val="ActHead9"/>
        <w:rPr>
          <w:i w:val="0"/>
        </w:rPr>
      </w:pPr>
      <w:bookmarkStart w:id="7" w:name="_Toc27635446"/>
      <w:r w:rsidRPr="00A415D4">
        <w:t>National Health Act 1953</w:t>
      </w:r>
      <w:bookmarkEnd w:id="7"/>
    </w:p>
    <w:p w:rsidR="0001024C" w:rsidRPr="00A415D4" w:rsidRDefault="003423B0" w:rsidP="00A415D4">
      <w:pPr>
        <w:pStyle w:val="ItemHead"/>
      </w:pPr>
      <w:r w:rsidRPr="00A415D4">
        <w:t>1</w:t>
      </w:r>
      <w:r w:rsidR="0001024C" w:rsidRPr="00A415D4">
        <w:t xml:space="preserve">  After Part</w:t>
      </w:r>
      <w:r w:rsidR="00A415D4" w:rsidRPr="00A415D4">
        <w:t> </w:t>
      </w:r>
      <w:r w:rsidR="0001024C" w:rsidRPr="00A415D4">
        <w:t>VIII</w:t>
      </w:r>
    </w:p>
    <w:p w:rsidR="0001024C" w:rsidRPr="00A415D4" w:rsidRDefault="0001024C" w:rsidP="00A415D4">
      <w:pPr>
        <w:pStyle w:val="Item"/>
      </w:pPr>
      <w:r w:rsidRPr="00A415D4">
        <w:t>Insert:</w:t>
      </w:r>
    </w:p>
    <w:p w:rsidR="0001024C" w:rsidRPr="00A415D4" w:rsidRDefault="0001024C" w:rsidP="00A415D4">
      <w:pPr>
        <w:pStyle w:val="ActHead2"/>
      </w:pPr>
      <w:bookmarkStart w:id="8" w:name="f_Check_Lines_above"/>
      <w:bookmarkStart w:id="9" w:name="_Toc27635447"/>
      <w:bookmarkEnd w:id="8"/>
      <w:r w:rsidRPr="00A415D4">
        <w:rPr>
          <w:rStyle w:val="CharPartNo"/>
        </w:rPr>
        <w:t>Part</w:t>
      </w:r>
      <w:r w:rsidR="00A415D4" w:rsidRPr="00A415D4">
        <w:rPr>
          <w:rStyle w:val="CharPartNo"/>
        </w:rPr>
        <w:t> </w:t>
      </w:r>
      <w:r w:rsidRPr="00A415D4">
        <w:rPr>
          <w:rStyle w:val="CharPartNo"/>
        </w:rPr>
        <w:t>VIIIA</w:t>
      </w:r>
      <w:r w:rsidRPr="00A415D4">
        <w:t>—</w:t>
      </w:r>
      <w:r w:rsidRPr="00A415D4">
        <w:rPr>
          <w:rStyle w:val="CharPartText"/>
        </w:rPr>
        <w:t>Data</w:t>
      </w:r>
      <w:r w:rsidR="00DE17CA">
        <w:rPr>
          <w:rStyle w:val="CharPartText"/>
        </w:rPr>
        <w:noBreakHyphen/>
      </w:r>
      <w:r w:rsidRPr="00A415D4">
        <w:rPr>
          <w:rStyle w:val="CharPartText"/>
        </w:rPr>
        <w:t>matching</w:t>
      </w:r>
      <w:bookmarkEnd w:id="9"/>
    </w:p>
    <w:p w:rsidR="0001024C" w:rsidRPr="00A415D4" w:rsidRDefault="0001024C" w:rsidP="00A415D4">
      <w:pPr>
        <w:pStyle w:val="Header"/>
      </w:pPr>
      <w:r w:rsidRPr="00A415D4">
        <w:rPr>
          <w:rStyle w:val="CharDivNo"/>
        </w:rPr>
        <w:t xml:space="preserve"> </w:t>
      </w:r>
      <w:r w:rsidRPr="00A415D4">
        <w:rPr>
          <w:rStyle w:val="CharDivText"/>
        </w:rPr>
        <w:t xml:space="preserve"> </w:t>
      </w:r>
    </w:p>
    <w:p w:rsidR="0001024C" w:rsidRPr="00A415D4" w:rsidRDefault="0001024C" w:rsidP="00A415D4">
      <w:pPr>
        <w:pStyle w:val="ActHead5"/>
      </w:pPr>
      <w:bookmarkStart w:id="10" w:name="_Toc27635448"/>
      <w:r w:rsidRPr="00A415D4">
        <w:rPr>
          <w:rStyle w:val="CharSectno"/>
        </w:rPr>
        <w:t>132A</w:t>
      </w:r>
      <w:r w:rsidRPr="00A415D4">
        <w:t xml:space="preserve">  Definitions</w:t>
      </w:r>
      <w:bookmarkEnd w:id="10"/>
    </w:p>
    <w:p w:rsidR="0001024C" w:rsidRPr="00A415D4" w:rsidRDefault="0001024C" w:rsidP="00A415D4">
      <w:pPr>
        <w:pStyle w:val="subsection"/>
      </w:pPr>
      <w:r w:rsidRPr="00A415D4">
        <w:tab/>
      </w:r>
      <w:r w:rsidRPr="00A415D4">
        <w:tab/>
        <w:t>In this Part:</w:t>
      </w:r>
    </w:p>
    <w:p w:rsidR="00747058" w:rsidRPr="00A415D4" w:rsidRDefault="00747058" w:rsidP="00A415D4">
      <w:pPr>
        <w:pStyle w:val="Definition"/>
      </w:pPr>
      <w:r w:rsidRPr="00A415D4">
        <w:rPr>
          <w:b/>
          <w:i/>
        </w:rPr>
        <w:t>authorised Commonwealth entity</w:t>
      </w:r>
      <w:r w:rsidRPr="00A415D4">
        <w:t xml:space="preserve"> means a Commonwealth entity that is authorised under subsection</w:t>
      </w:r>
      <w:r w:rsidR="00A415D4" w:rsidRPr="00A415D4">
        <w:t> </w:t>
      </w:r>
      <w:r w:rsidRPr="00A415D4">
        <w:t>132B(2) to match information under subsection</w:t>
      </w:r>
      <w:r w:rsidR="00A415D4" w:rsidRPr="00A415D4">
        <w:t> </w:t>
      </w:r>
      <w:r w:rsidRPr="00A415D4">
        <w:t>132B(1) on the Chief Executive Medicare’s behalf.</w:t>
      </w:r>
    </w:p>
    <w:p w:rsidR="0001024C" w:rsidRPr="00A415D4" w:rsidRDefault="0001024C" w:rsidP="00A415D4">
      <w:pPr>
        <w:pStyle w:val="Definition"/>
      </w:pPr>
      <w:r w:rsidRPr="00A415D4">
        <w:rPr>
          <w:b/>
          <w:i/>
        </w:rPr>
        <w:t>Commonwealth entity</w:t>
      </w:r>
      <w:r w:rsidRPr="00A415D4">
        <w:t xml:space="preserve"> has the same meaning as in the </w:t>
      </w:r>
      <w:r w:rsidRPr="00A415D4">
        <w:rPr>
          <w:i/>
        </w:rPr>
        <w:t>Public Governance, Performance and Accountability Act 2013</w:t>
      </w:r>
      <w:r w:rsidRPr="00A415D4">
        <w:t>.</w:t>
      </w:r>
    </w:p>
    <w:p w:rsidR="0001024C" w:rsidRPr="00A415D4" w:rsidRDefault="0001024C" w:rsidP="00A415D4">
      <w:pPr>
        <w:pStyle w:val="Definition"/>
      </w:pPr>
      <w:r w:rsidRPr="00A415D4">
        <w:rPr>
          <w:b/>
          <w:i/>
        </w:rPr>
        <w:t>general treatment</w:t>
      </w:r>
      <w:r w:rsidRPr="00A415D4">
        <w:t xml:space="preserve"> has the same meaning as in the </w:t>
      </w:r>
      <w:r w:rsidRPr="00A415D4">
        <w:rPr>
          <w:i/>
        </w:rPr>
        <w:t>Private Health Insurance Act 2007</w:t>
      </w:r>
      <w:r w:rsidRPr="00A415D4">
        <w:t>.</w:t>
      </w:r>
    </w:p>
    <w:p w:rsidR="00B81422" w:rsidRPr="00A415D4" w:rsidRDefault="001B1BE0" w:rsidP="00A415D4">
      <w:pPr>
        <w:pStyle w:val="Definition"/>
      </w:pPr>
      <w:r w:rsidRPr="00A415D4">
        <w:rPr>
          <w:b/>
          <w:i/>
        </w:rPr>
        <w:t xml:space="preserve">Health Practitioner Regulation National Law </w:t>
      </w:r>
      <w:r w:rsidR="00B81422" w:rsidRPr="00A415D4">
        <w:t>means:</w:t>
      </w:r>
    </w:p>
    <w:p w:rsidR="00B81422" w:rsidRPr="00A415D4" w:rsidRDefault="00B81422" w:rsidP="00A415D4">
      <w:pPr>
        <w:pStyle w:val="paragraph"/>
      </w:pPr>
      <w:r w:rsidRPr="00A415D4">
        <w:tab/>
        <w:t>(a)</w:t>
      </w:r>
      <w:r w:rsidRPr="00A415D4">
        <w:tab/>
        <w:t xml:space="preserve">for a State or Territory other than Western Australia—the Health Practitioner Regulation National Law set out in the Schedule to the </w:t>
      </w:r>
      <w:r w:rsidRPr="00A415D4">
        <w:rPr>
          <w:i/>
        </w:rPr>
        <w:t>Health Practitioner Regulation National Law Act 2009</w:t>
      </w:r>
      <w:r w:rsidRPr="00A415D4">
        <w:t xml:space="preserve"> (Qld), as it applies (with or without modification) as a law of the State or Territory; or</w:t>
      </w:r>
    </w:p>
    <w:p w:rsidR="00B81422" w:rsidRPr="00A415D4" w:rsidRDefault="00B81422" w:rsidP="00A415D4">
      <w:pPr>
        <w:pStyle w:val="paragraph"/>
      </w:pPr>
      <w:r w:rsidRPr="00A415D4">
        <w:tab/>
        <w:t>(b)</w:t>
      </w:r>
      <w:r w:rsidRPr="00A415D4">
        <w:tab/>
        <w:t xml:space="preserve">for Western Australia—the </w:t>
      </w:r>
      <w:r w:rsidRPr="00A415D4">
        <w:rPr>
          <w:i/>
        </w:rPr>
        <w:t>Health Practitioner Regulation National Law (WA) Act 2010</w:t>
      </w:r>
      <w:r w:rsidRPr="00A415D4">
        <w:t xml:space="preserve"> (WA), so far as that Act corresponds to the Health Practitioner Regulation National Law set out in the Schedule to the </w:t>
      </w:r>
      <w:r w:rsidRPr="00A415D4">
        <w:rPr>
          <w:i/>
        </w:rPr>
        <w:t>Health Practitioner Regulation National Law Act 2009</w:t>
      </w:r>
      <w:r w:rsidRPr="00A415D4">
        <w:t xml:space="preserve"> (Qld).</w:t>
      </w:r>
    </w:p>
    <w:p w:rsidR="00585BC4" w:rsidRPr="00A415D4" w:rsidRDefault="00585BC4" w:rsidP="00A415D4">
      <w:pPr>
        <w:pStyle w:val="Definition"/>
      </w:pPr>
      <w:r w:rsidRPr="00A415D4">
        <w:rPr>
          <w:b/>
          <w:i/>
        </w:rPr>
        <w:lastRenderedPageBreak/>
        <w:t xml:space="preserve">inappropriate practice </w:t>
      </w:r>
      <w:r w:rsidRPr="00A415D4">
        <w:t>has the same meaning as in Part</w:t>
      </w:r>
      <w:r w:rsidR="00A415D4" w:rsidRPr="00A415D4">
        <w:t> </w:t>
      </w:r>
      <w:r w:rsidRPr="00A415D4">
        <w:t xml:space="preserve">VAA of the </w:t>
      </w:r>
      <w:r w:rsidRPr="00A415D4">
        <w:rPr>
          <w:i/>
        </w:rPr>
        <w:t>Health Insurance Act 1973</w:t>
      </w:r>
      <w:r w:rsidRPr="00A415D4">
        <w:t>.</w:t>
      </w:r>
    </w:p>
    <w:p w:rsidR="00862348" w:rsidRPr="00A415D4" w:rsidRDefault="00862348" w:rsidP="00A415D4">
      <w:pPr>
        <w:pStyle w:val="Definition"/>
      </w:pPr>
      <w:r w:rsidRPr="00A415D4">
        <w:rPr>
          <w:b/>
          <w:i/>
        </w:rPr>
        <w:t>permitted purpose</w:t>
      </w:r>
      <w:r w:rsidRPr="00A415D4">
        <w:t xml:space="preserve">: each of the following is a </w:t>
      </w:r>
      <w:r w:rsidRPr="00A415D4">
        <w:rPr>
          <w:b/>
          <w:i/>
        </w:rPr>
        <w:t>permitted purpose</w:t>
      </w:r>
      <w:r w:rsidRPr="00A415D4">
        <w:t xml:space="preserve"> for the matching of data:</w:t>
      </w:r>
    </w:p>
    <w:p w:rsidR="00862348" w:rsidRPr="00A415D4" w:rsidRDefault="00862348" w:rsidP="00A415D4">
      <w:pPr>
        <w:pStyle w:val="paragraph"/>
      </w:pPr>
      <w:r w:rsidRPr="00A415D4">
        <w:tab/>
        <w:t>(a)</w:t>
      </w:r>
      <w:r w:rsidRPr="00A415D4">
        <w:tab/>
      </w:r>
      <w:r w:rsidR="00775CF9" w:rsidRPr="00A415D4">
        <w:t>identifying</w:t>
      </w:r>
      <w:r w:rsidRPr="00A415D4">
        <w:t xml:space="preserve"> whether a person </w:t>
      </w:r>
      <w:r w:rsidR="00775CF9" w:rsidRPr="00A415D4">
        <w:t>may have</w:t>
      </w:r>
      <w:r w:rsidRPr="00A415D4">
        <w:t xml:space="preserve">, under a </w:t>
      </w:r>
      <w:proofErr w:type="spellStart"/>
      <w:r w:rsidRPr="00A415D4">
        <w:t>medicare</w:t>
      </w:r>
      <w:proofErr w:type="spellEnd"/>
      <w:r w:rsidRPr="00A415D4">
        <w:t xml:space="preserve"> program, claimed or been paid a benefit that exceeds the amount of the benefit that was payable to the person;</w:t>
      </w:r>
    </w:p>
    <w:p w:rsidR="00862348" w:rsidRPr="00A415D4" w:rsidRDefault="00862348" w:rsidP="00A415D4">
      <w:pPr>
        <w:pStyle w:val="paragraph"/>
      </w:pPr>
      <w:r w:rsidRPr="00A415D4">
        <w:tab/>
        <w:t>(b)</w:t>
      </w:r>
      <w:r w:rsidRPr="00A415D4">
        <w:tab/>
        <w:t xml:space="preserve">recovering overpayments of benefits under a </w:t>
      </w:r>
      <w:proofErr w:type="spellStart"/>
      <w:r w:rsidRPr="00A415D4">
        <w:t>medicare</w:t>
      </w:r>
      <w:proofErr w:type="spellEnd"/>
      <w:r w:rsidRPr="00A415D4">
        <w:t xml:space="preserve"> program;</w:t>
      </w:r>
    </w:p>
    <w:p w:rsidR="00862348" w:rsidRPr="00A415D4" w:rsidRDefault="00775CF9" w:rsidP="00A415D4">
      <w:pPr>
        <w:pStyle w:val="paragraph"/>
      </w:pPr>
      <w:r w:rsidRPr="00A415D4">
        <w:tab/>
        <w:t>(c</w:t>
      </w:r>
      <w:r w:rsidR="00862348" w:rsidRPr="00A415D4">
        <w:t>)</w:t>
      </w:r>
      <w:r w:rsidR="00862348" w:rsidRPr="00A415D4">
        <w:tab/>
        <w:t xml:space="preserve">detecting or investigating contraventions of a law of the Commonwealth relating to a </w:t>
      </w:r>
      <w:proofErr w:type="spellStart"/>
      <w:r w:rsidR="00862348" w:rsidRPr="00A415D4">
        <w:t>medicare</w:t>
      </w:r>
      <w:proofErr w:type="spellEnd"/>
      <w:r w:rsidR="00862348" w:rsidRPr="00A415D4">
        <w:t xml:space="preserve"> program;</w:t>
      </w:r>
    </w:p>
    <w:p w:rsidR="00862348" w:rsidRPr="00A415D4" w:rsidRDefault="00775CF9" w:rsidP="00A415D4">
      <w:pPr>
        <w:pStyle w:val="paragraph"/>
      </w:pPr>
      <w:r w:rsidRPr="00A415D4">
        <w:tab/>
        <w:t>(d</w:t>
      </w:r>
      <w:r w:rsidR="00862348" w:rsidRPr="00A415D4">
        <w:t>)</w:t>
      </w:r>
      <w:r w:rsidR="00862348" w:rsidRPr="00A415D4">
        <w:tab/>
        <w:t>detecting or inves</w:t>
      </w:r>
      <w:r w:rsidRPr="00A415D4">
        <w:t xml:space="preserve">tigating </w:t>
      </w:r>
      <w:r w:rsidR="00F7682E" w:rsidRPr="00A415D4">
        <w:t xml:space="preserve">whether a person may have engaged in </w:t>
      </w:r>
      <w:r w:rsidRPr="00A415D4">
        <w:t>inappropriate practice;</w:t>
      </w:r>
    </w:p>
    <w:p w:rsidR="00775CF9" w:rsidRPr="00A415D4" w:rsidRDefault="00775CF9" w:rsidP="00A415D4">
      <w:pPr>
        <w:pStyle w:val="paragraph"/>
      </w:pPr>
      <w:r w:rsidRPr="00A415D4">
        <w:tab/>
        <w:t>(e)</w:t>
      </w:r>
      <w:r w:rsidRPr="00A415D4">
        <w:tab/>
      </w:r>
      <w:r w:rsidR="00D25C8C" w:rsidRPr="00A415D4">
        <w:t>analysing</w:t>
      </w:r>
      <w:r w:rsidRPr="00A415D4">
        <w:t xml:space="preserve"> services, benefits, programs or facilities that are provided for under a </w:t>
      </w:r>
      <w:proofErr w:type="spellStart"/>
      <w:r w:rsidRPr="00A415D4">
        <w:t>medicare</w:t>
      </w:r>
      <w:proofErr w:type="spellEnd"/>
      <w:r w:rsidRPr="00A415D4">
        <w:t xml:space="preserve"> program</w:t>
      </w:r>
      <w:r w:rsidR="00A55964" w:rsidRPr="00A415D4">
        <w:t>,</w:t>
      </w:r>
      <w:r w:rsidR="00D25C8C" w:rsidRPr="00A415D4">
        <w:t xml:space="preserve"> </w:t>
      </w:r>
      <w:r w:rsidR="00F82DF6" w:rsidRPr="00A415D4">
        <w:t xml:space="preserve">in connection with the </w:t>
      </w:r>
      <w:r w:rsidR="00A55964" w:rsidRPr="00A415D4">
        <w:t>purpose</w:t>
      </w:r>
      <w:r w:rsidR="00F82DF6" w:rsidRPr="00A415D4">
        <w:t>s</w:t>
      </w:r>
      <w:r w:rsidR="00D3381C" w:rsidRPr="00A415D4">
        <w:t xml:space="preserve"> mentioned in </w:t>
      </w:r>
      <w:r w:rsidR="00A415D4" w:rsidRPr="00A415D4">
        <w:t>paragraphs (</w:t>
      </w:r>
      <w:r w:rsidR="00D3381C" w:rsidRPr="00A415D4">
        <w:t>a) to (d)</w:t>
      </w:r>
      <w:r w:rsidRPr="00A415D4">
        <w:t>;</w:t>
      </w:r>
    </w:p>
    <w:p w:rsidR="00775CF9" w:rsidRPr="00A415D4" w:rsidRDefault="00775CF9" w:rsidP="00A415D4">
      <w:pPr>
        <w:pStyle w:val="paragraph"/>
      </w:pPr>
      <w:r w:rsidRPr="00A415D4">
        <w:tab/>
        <w:t>(f)</w:t>
      </w:r>
      <w:r w:rsidRPr="00A415D4">
        <w:tab/>
        <w:t>educating healthca</w:t>
      </w:r>
      <w:r w:rsidR="00D3381C" w:rsidRPr="00A415D4">
        <w:t xml:space="preserve">re providers about </w:t>
      </w:r>
      <w:proofErr w:type="spellStart"/>
      <w:r w:rsidR="00D3381C" w:rsidRPr="00A415D4">
        <w:t>medicare</w:t>
      </w:r>
      <w:proofErr w:type="spellEnd"/>
      <w:r w:rsidR="00D3381C" w:rsidRPr="00A415D4">
        <w:t xml:space="preserve"> program requirements</w:t>
      </w:r>
      <w:r w:rsidRPr="00A415D4">
        <w:t>.</w:t>
      </w:r>
    </w:p>
    <w:p w:rsidR="00862348" w:rsidRPr="00A415D4" w:rsidRDefault="00862348" w:rsidP="00A415D4">
      <w:pPr>
        <w:pStyle w:val="notetext"/>
      </w:pPr>
      <w:r w:rsidRPr="00A415D4">
        <w:t>Note:</w:t>
      </w:r>
      <w:r w:rsidRPr="00A415D4">
        <w:tab/>
        <w:t xml:space="preserve">The </w:t>
      </w:r>
      <w:r w:rsidRPr="00A415D4">
        <w:rPr>
          <w:i/>
        </w:rPr>
        <w:t>Privacy Act 1988</w:t>
      </w:r>
      <w:r w:rsidRPr="00A415D4">
        <w:t xml:space="preserve"> contains provisions relevant to the use and disclosure of information under this Act.</w:t>
      </w:r>
    </w:p>
    <w:p w:rsidR="000B7703" w:rsidRPr="00A415D4" w:rsidRDefault="000B7703" w:rsidP="00A415D4">
      <w:pPr>
        <w:pStyle w:val="Definition"/>
      </w:pPr>
      <w:r w:rsidRPr="00A415D4">
        <w:rPr>
          <w:b/>
          <w:i/>
        </w:rPr>
        <w:t>personal information</w:t>
      </w:r>
      <w:r w:rsidRPr="00A415D4">
        <w:t xml:space="preserve"> has the same meaning as in the </w:t>
      </w:r>
      <w:r w:rsidRPr="00A415D4">
        <w:rPr>
          <w:i/>
        </w:rPr>
        <w:t>Privacy Act 1988</w:t>
      </w:r>
      <w:r w:rsidRPr="00A415D4">
        <w:t>.</w:t>
      </w:r>
    </w:p>
    <w:p w:rsidR="0001024C" w:rsidRPr="00A415D4" w:rsidRDefault="0001024C" w:rsidP="00A415D4">
      <w:pPr>
        <w:pStyle w:val="ActHead5"/>
      </w:pPr>
      <w:bookmarkStart w:id="11" w:name="_Toc27635449"/>
      <w:r w:rsidRPr="00A415D4">
        <w:rPr>
          <w:rStyle w:val="CharSectno"/>
        </w:rPr>
        <w:t>132B</w:t>
      </w:r>
      <w:r w:rsidRPr="00A415D4">
        <w:t xml:space="preserve">  Data</w:t>
      </w:r>
      <w:r w:rsidR="00DE17CA">
        <w:noBreakHyphen/>
      </w:r>
      <w:r w:rsidRPr="00A415D4">
        <w:t>matching</w:t>
      </w:r>
      <w:r w:rsidR="00E112F6" w:rsidRPr="00A415D4">
        <w:t xml:space="preserve"> by the Chief Executive Medicare</w:t>
      </w:r>
      <w:bookmarkEnd w:id="11"/>
    </w:p>
    <w:p w:rsidR="008F5384" w:rsidRPr="00A415D4" w:rsidRDefault="008F5384" w:rsidP="00A415D4">
      <w:pPr>
        <w:pStyle w:val="subsection"/>
      </w:pPr>
      <w:r w:rsidRPr="00A415D4">
        <w:tab/>
        <w:t>(1)</w:t>
      </w:r>
      <w:r w:rsidRPr="00A415D4">
        <w:tab/>
        <w:t xml:space="preserve">Subject to this Part, the Chief Executive Medicare may, for </w:t>
      </w:r>
      <w:r w:rsidR="00862348" w:rsidRPr="00A415D4">
        <w:t>a</w:t>
      </w:r>
      <w:r w:rsidRPr="00A415D4">
        <w:t xml:space="preserve"> permitted purpose, match any of the following </w:t>
      </w:r>
      <w:r w:rsidR="004A6FC5" w:rsidRPr="00A415D4">
        <w:t>information</w:t>
      </w:r>
      <w:r w:rsidRPr="00A415D4">
        <w:t>:</w:t>
      </w:r>
    </w:p>
    <w:p w:rsidR="008F5384" w:rsidRPr="00A415D4" w:rsidRDefault="008F5384" w:rsidP="00A415D4">
      <w:pPr>
        <w:pStyle w:val="paragraph"/>
      </w:pPr>
      <w:r w:rsidRPr="00A415D4">
        <w:tab/>
        <w:t>(a)</w:t>
      </w:r>
      <w:r w:rsidRPr="00A415D4">
        <w:tab/>
        <w:t>information that is held or has been obtained by the Chief Exe</w:t>
      </w:r>
      <w:r w:rsidR="005335CE" w:rsidRPr="00A415D4">
        <w:t>cutive Medicare for the purpose</w:t>
      </w:r>
      <w:r w:rsidRPr="00A415D4">
        <w:t xml:space="preserve"> of a </w:t>
      </w:r>
      <w:proofErr w:type="spellStart"/>
      <w:r w:rsidRPr="00A415D4">
        <w:t>medicare</w:t>
      </w:r>
      <w:proofErr w:type="spellEnd"/>
      <w:r w:rsidRPr="00A415D4">
        <w:t xml:space="preserve"> program;</w:t>
      </w:r>
    </w:p>
    <w:p w:rsidR="0063149A" w:rsidRPr="00A415D4" w:rsidRDefault="0063149A" w:rsidP="00A415D4">
      <w:pPr>
        <w:pStyle w:val="paragraph"/>
      </w:pPr>
      <w:r w:rsidRPr="00A415D4">
        <w:tab/>
        <w:t>(b)</w:t>
      </w:r>
      <w:r w:rsidRPr="00A415D4">
        <w:tab/>
        <w:t xml:space="preserve">therapeutic goods information (within the meaning of </w:t>
      </w:r>
      <w:r w:rsidR="008006FD" w:rsidRPr="00A415D4">
        <w:t>sub</w:t>
      </w:r>
      <w:r w:rsidRPr="00A415D4">
        <w:t>section</w:t>
      </w:r>
      <w:r w:rsidR="00A415D4" w:rsidRPr="00A415D4">
        <w:t> </w:t>
      </w:r>
      <w:r w:rsidRPr="00A415D4">
        <w:t>61</w:t>
      </w:r>
      <w:r w:rsidR="008006FD" w:rsidRPr="00A415D4">
        <w:t>(1)</w:t>
      </w:r>
      <w:r w:rsidRPr="00A415D4">
        <w:t xml:space="preserve"> of the </w:t>
      </w:r>
      <w:r w:rsidRPr="00A415D4">
        <w:rPr>
          <w:i/>
        </w:rPr>
        <w:t>Therapeutic Goods Act 1989</w:t>
      </w:r>
      <w:r w:rsidRPr="00A415D4">
        <w:t>)</w:t>
      </w:r>
      <w:r w:rsidR="0050153F" w:rsidRPr="00A415D4">
        <w:t xml:space="preserve"> that has been </w:t>
      </w:r>
      <w:r w:rsidR="00D6231B" w:rsidRPr="00A415D4">
        <w:t>disclosed</w:t>
      </w:r>
      <w:r w:rsidR="0050153F" w:rsidRPr="00A415D4">
        <w:t xml:space="preserve"> under subsection</w:t>
      </w:r>
      <w:r w:rsidR="00A415D4" w:rsidRPr="00A415D4">
        <w:t> </w:t>
      </w:r>
      <w:r w:rsidR="0050153F" w:rsidRPr="00A415D4">
        <w:t>132C(1)</w:t>
      </w:r>
      <w:r w:rsidR="008006FD" w:rsidRPr="00A415D4">
        <w:t xml:space="preserve"> of this Act</w:t>
      </w:r>
      <w:r w:rsidRPr="00A415D4">
        <w:t>;</w:t>
      </w:r>
    </w:p>
    <w:p w:rsidR="0063149A" w:rsidRPr="00A415D4" w:rsidRDefault="0063149A" w:rsidP="00A415D4">
      <w:pPr>
        <w:pStyle w:val="paragraph"/>
      </w:pPr>
      <w:r w:rsidRPr="00A415D4">
        <w:tab/>
        <w:t>(c)</w:t>
      </w:r>
      <w:r w:rsidRPr="00A415D4">
        <w:tab/>
        <w:t>information that has been disclosed to the Chief Executive Medicare under section</w:t>
      </w:r>
      <w:r w:rsidR="00A415D4" w:rsidRPr="00A415D4">
        <w:t> </w:t>
      </w:r>
      <w:r w:rsidRPr="00A415D4">
        <w:t>132D;</w:t>
      </w:r>
    </w:p>
    <w:p w:rsidR="008F5384" w:rsidRPr="00A415D4" w:rsidRDefault="0063149A" w:rsidP="00A415D4">
      <w:pPr>
        <w:pStyle w:val="paragraph"/>
      </w:pPr>
      <w:r w:rsidRPr="00A415D4">
        <w:tab/>
        <w:t>(d</w:t>
      </w:r>
      <w:r w:rsidR="008F5384" w:rsidRPr="00A415D4">
        <w:t>)</w:t>
      </w:r>
      <w:r w:rsidR="008F5384" w:rsidRPr="00A415D4">
        <w:tab/>
        <w:t xml:space="preserve">information </w:t>
      </w:r>
      <w:r w:rsidR="00954F1A" w:rsidRPr="00A415D4">
        <w:t xml:space="preserve">that has been </w:t>
      </w:r>
      <w:r w:rsidR="008F5384" w:rsidRPr="00A415D4">
        <w:t xml:space="preserve">provided to the Chief Executive Medicare in accordance with the Health Practitioner Regulation National Law </w:t>
      </w:r>
      <w:r w:rsidR="004A5194" w:rsidRPr="00A415D4">
        <w:t>for</w:t>
      </w:r>
      <w:r w:rsidR="008F5384" w:rsidRPr="00A415D4">
        <w:t xml:space="preserve"> a State or Territory;</w:t>
      </w:r>
    </w:p>
    <w:p w:rsidR="008F5384" w:rsidRPr="00A415D4" w:rsidRDefault="0063149A" w:rsidP="00A415D4">
      <w:pPr>
        <w:pStyle w:val="paragraph"/>
      </w:pPr>
      <w:r w:rsidRPr="00A415D4">
        <w:lastRenderedPageBreak/>
        <w:tab/>
        <w:t>(e</w:t>
      </w:r>
      <w:r w:rsidR="008F5384" w:rsidRPr="00A415D4">
        <w:t>)</w:t>
      </w:r>
      <w:r w:rsidR="008F5384" w:rsidRPr="00A415D4">
        <w:tab/>
        <w:t>information that has been provided to the Chief Executive Medicare in accordance with any of the following Acts:</w:t>
      </w:r>
    </w:p>
    <w:p w:rsidR="008F5384" w:rsidRPr="00A415D4" w:rsidRDefault="008F5384" w:rsidP="00A415D4">
      <w:pPr>
        <w:pStyle w:val="paragraphsub"/>
      </w:pPr>
      <w:r w:rsidRPr="00A415D4">
        <w:tab/>
        <w:t>(</w:t>
      </w:r>
      <w:proofErr w:type="spellStart"/>
      <w:r w:rsidRPr="00A415D4">
        <w:t>i</w:t>
      </w:r>
      <w:proofErr w:type="spellEnd"/>
      <w:r w:rsidRPr="00A415D4">
        <w:t>)</w:t>
      </w:r>
      <w:r w:rsidRPr="00A415D4">
        <w:tab/>
        <w:t xml:space="preserve">the </w:t>
      </w:r>
      <w:r w:rsidRPr="00A415D4">
        <w:rPr>
          <w:i/>
        </w:rPr>
        <w:t>Australian Participants in British Nuclear Tests and British Commonwealth Occupation Force (Treatment) Act 2006</w:t>
      </w:r>
      <w:r w:rsidRPr="00A415D4">
        <w:t>;</w:t>
      </w:r>
    </w:p>
    <w:p w:rsidR="008F5384" w:rsidRPr="00A415D4" w:rsidRDefault="008F5384" w:rsidP="00A415D4">
      <w:pPr>
        <w:pStyle w:val="paragraphsub"/>
      </w:pPr>
      <w:r w:rsidRPr="00A415D4">
        <w:tab/>
        <w:t>(ii)</w:t>
      </w:r>
      <w:r w:rsidRPr="00A415D4">
        <w:tab/>
        <w:t xml:space="preserve">the </w:t>
      </w:r>
      <w:r w:rsidRPr="00A415D4">
        <w:rPr>
          <w:i/>
        </w:rPr>
        <w:t>Military Rehabilitation and Compensation Act 2004</w:t>
      </w:r>
      <w:r w:rsidRPr="00A415D4">
        <w:t>;</w:t>
      </w:r>
    </w:p>
    <w:p w:rsidR="008F5384" w:rsidRPr="00A415D4" w:rsidRDefault="008F5384" w:rsidP="00A415D4">
      <w:pPr>
        <w:pStyle w:val="paragraphsub"/>
      </w:pPr>
      <w:r w:rsidRPr="00A415D4">
        <w:tab/>
        <w:t>(iii)</w:t>
      </w:r>
      <w:r w:rsidRPr="00A415D4">
        <w:tab/>
        <w:t xml:space="preserve">the </w:t>
      </w:r>
      <w:r w:rsidRPr="00A415D4">
        <w:rPr>
          <w:i/>
        </w:rPr>
        <w:t>Safety, Rehabilitation and Compensation (Defence</w:t>
      </w:r>
      <w:r w:rsidR="00DE17CA">
        <w:rPr>
          <w:i/>
        </w:rPr>
        <w:noBreakHyphen/>
      </w:r>
      <w:r w:rsidRPr="00A415D4">
        <w:rPr>
          <w:i/>
        </w:rPr>
        <w:t>related Claims) Act 1988</w:t>
      </w:r>
      <w:r w:rsidRPr="00A415D4">
        <w:t>;</w:t>
      </w:r>
    </w:p>
    <w:p w:rsidR="006B3A79" w:rsidRPr="00A415D4" w:rsidRDefault="006B3A79" w:rsidP="00A415D4">
      <w:pPr>
        <w:pStyle w:val="paragraphsub"/>
        <w:rPr>
          <w:i/>
        </w:rPr>
      </w:pPr>
      <w:r w:rsidRPr="00A415D4">
        <w:tab/>
        <w:t>(iv)</w:t>
      </w:r>
      <w:r w:rsidRPr="00A415D4">
        <w:tab/>
        <w:t xml:space="preserve">the </w:t>
      </w:r>
      <w:r w:rsidRPr="00A415D4">
        <w:rPr>
          <w:i/>
        </w:rPr>
        <w:t>Treatment Benefits (Special Access) Act 2019;</w:t>
      </w:r>
    </w:p>
    <w:p w:rsidR="008F5384" w:rsidRPr="00A415D4" w:rsidRDefault="006B3A79" w:rsidP="00A415D4">
      <w:pPr>
        <w:pStyle w:val="paragraphsub"/>
      </w:pPr>
      <w:r w:rsidRPr="00A415D4">
        <w:tab/>
        <w:t>(</w:t>
      </w:r>
      <w:r w:rsidR="008F5384" w:rsidRPr="00A415D4">
        <w:t>v)</w:t>
      </w:r>
      <w:r w:rsidR="008F5384" w:rsidRPr="00A415D4">
        <w:tab/>
        <w:t xml:space="preserve">the </w:t>
      </w:r>
      <w:r w:rsidR="008F5384" w:rsidRPr="00A415D4">
        <w:rPr>
          <w:i/>
        </w:rPr>
        <w:t>Veterans</w:t>
      </w:r>
      <w:r w:rsidR="00AB75DE" w:rsidRPr="00A415D4">
        <w:rPr>
          <w:i/>
        </w:rPr>
        <w:t>’</w:t>
      </w:r>
      <w:r w:rsidR="008F5384" w:rsidRPr="00A415D4">
        <w:rPr>
          <w:i/>
        </w:rPr>
        <w:t xml:space="preserve"> Entitlements Act 1986</w:t>
      </w:r>
      <w:r w:rsidR="008F5384" w:rsidRPr="00A415D4">
        <w:t>;</w:t>
      </w:r>
    </w:p>
    <w:p w:rsidR="008F5384" w:rsidRPr="00A415D4" w:rsidRDefault="0063149A" w:rsidP="00A415D4">
      <w:pPr>
        <w:pStyle w:val="paragraph"/>
      </w:pPr>
      <w:r w:rsidRPr="00A415D4">
        <w:tab/>
        <w:t>(f</w:t>
      </w:r>
      <w:r w:rsidR="008F5384" w:rsidRPr="00A415D4">
        <w:t>)</w:t>
      </w:r>
      <w:r w:rsidR="008F5384" w:rsidRPr="00A415D4">
        <w:tab/>
        <w:t xml:space="preserve">any other information that </w:t>
      </w:r>
      <w:r w:rsidR="00BA307A" w:rsidRPr="00A415D4">
        <w:t>may</w:t>
      </w:r>
      <w:r w:rsidR="008F5384" w:rsidRPr="00A415D4">
        <w:t xml:space="preserve"> </w:t>
      </w:r>
      <w:r w:rsidR="00BA307A" w:rsidRPr="00A415D4">
        <w:t xml:space="preserve">be </w:t>
      </w:r>
      <w:r w:rsidR="008F5384" w:rsidRPr="00A415D4">
        <w:t>lawfully provided to the Chief Executive Medica</w:t>
      </w:r>
      <w:r w:rsidR="002157FA" w:rsidRPr="00A415D4">
        <w:t>re</w:t>
      </w:r>
      <w:r w:rsidR="002A2C15" w:rsidRPr="00A415D4">
        <w:t xml:space="preserve"> (other than information that </w:t>
      </w:r>
      <w:r w:rsidR="00FD6D2A" w:rsidRPr="00A415D4">
        <w:t>may only be</w:t>
      </w:r>
      <w:r w:rsidR="002A2C15" w:rsidRPr="00A415D4">
        <w:t xml:space="preserve"> </w:t>
      </w:r>
      <w:r w:rsidR="002D5815" w:rsidRPr="00A415D4">
        <w:t>obtained by the Chief Executive Medicare</w:t>
      </w:r>
      <w:r w:rsidR="002A2C15" w:rsidRPr="00A415D4">
        <w:t xml:space="preserve"> fo</w:t>
      </w:r>
      <w:r w:rsidR="0064380E" w:rsidRPr="00A415D4">
        <w:t>r the purpose</w:t>
      </w:r>
      <w:r w:rsidR="002A2C15" w:rsidRPr="00A415D4">
        <w:t xml:space="preserve"> of </w:t>
      </w:r>
      <w:r w:rsidR="002D5815" w:rsidRPr="00A415D4">
        <w:t xml:space="preserve">performing functions under </w:t>
      </w:r>
      <w:r w:rsidR="002A2C15" w:rsidRPr="00A415D4">
        <w:t xml:space="preserve">the </w:t>
      </w:r>
      <w:r w:rsidR="002A2C15" w:rsidRPr="00A415D4">
        <w:rPr>
          <w:i/>
        </w:rPr>
        <w:t>My Health Records Act 2012</w:t>
      </w:r>
      <w:r w:rsidR="002A2C15" w:rsidRPr="00A415D4">
        <w:t>)</w:t>
      </w:r>
      <w:r w:rsidR="008F5384" w:rsidRPr="00A415D4">
        <w:t>.</w:t>
      </w:r>
    </w:p>
    <w:p w:rsidR="008F5384" w:rsidRPr="00A415D4" w:rsidRDefault="00F27091" w:rsidP="00A415D4">
      <w:pPr>
        <w:pStyle w:val="notetext"/>
      </w:pPr>
      <w:r w:rsidRPr="00A415D4">
        <w:t>Note</w:t>
      </w:r>
      <w:r w:rsidR="00F07804" w:rsidRPr="00A415D4">
        <w:t xml:space="preserve"> 1</w:t>
      </w:r>
      <w:r w:rsidR="008F5384" w:rsidRPr="00A415D4">
        <w:t>:</w:t>
      </w:r>
      <w:r w:rsidR="008F5384" w:rsidRPr="00A415D4">
        <w:tab/>
        <w:t xml:space="preserve">For </w:t>
      </w:r>
      <w:r w:rsidR="00A101E8" w:rsidRPr="00A415D4">
        <w:t xml:space="preserve">the purposes of </w:t>
      </w:r>
      <w:r w:rsidR="00A415D4" w:rsidRPr="00A415D4">
        <w:t>paragraph (</w:t>
      </w:r>
      <w:r w:rsidR="00D044E0" w:rsidRPr="00A415D4">
        <w:t>1</w:t>
      </w:r>
      <w:r w:rsidR="008F5384" w:rsidRPr="00A415D4">
        <w:t xml:space="preserve">)(a)—to avoid doubt, information that is held or </w:t>
      </w:r>
      <w:r w:rsidR="00D80B04" w:rsidRPr="00A415D4">
        <w:t xml:space="preserve">has been </w:t>
      </w:r>
      <w:r w:rsidR="008F5384" w:rsidRPr="00A415D4">
        <w:t>obtained by the Chief Exe</w:t>
      </w:r>
      <w:r w:rsidR="0064380E" w:rsidRPr="00A415D4">
        <w:t>cutive Medicare for the purpose</w:t>
      </w:r>
      <w:r w:rsidR="008F5384" w:rsidRPr="00A415D4">
        <w:t xml:space="preserve"> of a </w:t>
      </w:r>
      <w:proofErr w:type="spellStart"/>
      <w:r w:rsidR="008F5384" w:rsidRPr="00A415D4">
        <w:t>medicare</w:t>
      </w:r>
      <w:proofErr w:type="spellEnd"/>
      <w:r w:rsidR="008F5384" w:rsidRPr="00A415D4">
        <w:t xml:space="preserve"> program includes information in a document that has been produced to the Chief Executive Medicare or to a Departmental employee (within the meaning of the </w:t>
      </w:r>
      <w:r w:rsidR="008F5384" w:rsidRPr="00A415D4">
        <w:rPr>
          <w:i/>
        </w:rPr>
        <w:t>Human Services (Medicare) Act 1973</w:t>
      </w:r>
      <w:r w:rsidR="008F5384" w:rsidRPr="00A415D4">
        <w:t>) in accordance with section</w:t>
      </w:r>
      <w:r w:rsidR="00A415D4" w:rsidRPr="00A415D4">
        <w:t> </w:t>
      </w:r>
      <w:r w:rsidR="008F5384" w:rsidRPr="00A415D4">
        <w:t xml:space="preserve">129AAD of the </w:t>
      </w:r>
      <w:r w:rsidR="008F5384" w:rsidRPr="00A415D4">
        <w:rPr>
          <w:i/>
        </w:rPr>
        <w:t>Health Insurance Act 1973</w:t>
      </w:r>
      <w:r w:rsidR="008F5384" w:rsidRPr="00A415D4">
        <w:t>.</w:t>
      </w:r>
    </w:p>
    <w:p w:rsidR="00F07804" w:rsidRPr="00A415D4" w:rsidRDefault="00FD6D2A" w:rsidP="00A415D4">
      <w:pPr>
        <w:pStyle w:val="notetext"/>
      </w:pPr>
      <w:r w:rsidRPr="00A415D4">
        <w:t>Note 2</w:t>
      </w:r>
      <w:r w:rsidR="00F07804" w:rsidRPr="00A415D4">
        <w:t>:</w:t>
      </w:r>
      <w:r w:rsidR="00F07804" w:rsidRPr="00A415D4">
        <w:tab/>
        <w:t xml:space="preserve">This subsection constitutes an authorisation for the purposes of the </w:t>
      </w:r>
      <w:r w:rsidR="00F07804" w:rsidRPr="00A415D4">
        <w:rPr>
          <w:i/>
        </w:rPr>
        <w:t>Privacy Act 1988</w:t>
      </w:r>
      <w:r w:rsidR="00F07804" w:rsidRPr="00A415D4">
        <w:t>.</w:t>
      </w:r>
    </w:p>
    <w:p w:rsidR="00B526AB" w:rsidRPr="00A415D4" w:rsidRDefault="00B526AB" w:rsidP="00A415D4">
      <w:pPr>
        <w:pStyle w:val="SubsectionHead"/>
      </w:pPr>
      <w:r w:rsidRPr="00A415D4">
        <w:t>Data</w:t>
      </w:r>
      <w:r w:rsidR="00DE17CA">
        <w:noBreakHyphen/>
      </w:r>
      <w:r w:rsidRPr="00A415D4">
        <w:t xml:space="preserve">matching </w:t>
      </w:r>
      <w:r w:rsidR="00534495" w:rsidRPr="00A415D4">
        <w:t xml:space="preserve">by </w:t>
      </w:r>
      <w:r w:rsidR="00747058" w:rsidRPr="00A415D4">
        <w:t xml:space="preserve">authorised </w:t>
      </w:r>
      <w:r w:rsidR="00534495" w:rsidRPr="00A415D4">
        <w:t xml:space="preserve">Commonwealth entity </w:t>
      </w:r>
      <w:r w:rsidRPr="00A415D4">
        <w:t xml:space="preserve">on </w:t>
      </w:r>
      <w:r w:rsidR="008F5384" w:rsidRPr="00A415D4">
        <w:t>Chief Executive Medicare</w:t>
      </w:r>
      <w:r w:rsidR="00747058" w:rsidRPr="00A415D4">
        <w:t>’s behalf</w:t>
      </w:r>
    </w:p>
    <w:p w:rsidR="00B526AB" w:rsidRPr="00A415D4" w:rsidRDefault="008F5384" w:rsidP="00A415D4">
      <w:pPr>
        <w:pStyle w:val="subsection"/>
      </w:pPr>
      <w:r w:rsidRPr="00A415D4">
        <w:tab/>
        <w:t>(</w:t>
      </w:r>
      <w:r w:rsidR="00045F03" w:rsidRPr="00A415D4">
        <w:t>2</w:t>
      </w:r>
      <w:r w:rsidR="0041058E" w:rsidRPr="00A415D4">
        <w:t>)</w:t>
      </w:r>
      <w:r w:rsidR="0041058E" w:rsidRPr="00A415D4">
        <w:tab/>
      </w:r>
      <w:r w:rsidR="000A55AA" w:rsidRPr="00A415D4">
        <w:t>Subject to this Part, t</w:t>
      </w:r>
      <w:r w:rsidR="00CC1546" w:rsidRPr="00A415D4">
        <w:t xml:space="preserve">he </w:t>
      </w:r>
      <w:r w:rsidRPr="00A415D4">
        <w:t>Chief Executive Medicare</w:t>
      </w:r>
      <w:r w:rsidR="00CC1546" w:rsidRPr="00A415D4">
        <w:t xml:space="preserve"> may</w:t>
      </w:r>
      <w:r w:rsidR="00751DE8" w:rsidRPr="00A415D4">
        <w:t>, in writing,</w:t>
      </w:r>
      <w:r w:rsidR="0041058E" w:rsidRPr="00A415D4">
        <w:t xml:space="preserve"> authorise </w:t>
      </w:r>
      <w:r w:rsidR="00C334CD" w:rsidRPr="00A415D4">
        <w:t>a</w:t>
      </w:r>
      <w:r w:rsidR="0041058E" w:rsidRPr="00A415D4">
        <w:t xml:space="preserve"> Commonwealth entity to match</w:t>
      </w:r>
      <w:r w:rsidR="005A6716" w:rsidRPr="00A415D4">
        <w:t xml:space="preserve"> information under </w:t>
      </w:r>
      <w:r w:rsidR="00A415D4" w:rsidRPr="00A415D4">
        <w:t>subsection (</w:t>
      </w:r>
      <w:r w:rsidR="005A6716" w:rsidRPr="00A415D4">
        <w:t>1)</w:t>
      </w:r>
      <w:r w:rsidR="00CC1546" w:rsidRPr="00A415D4">
        <w:t xml:space="preserve"> on the </w:t>
      </w:r>
      <w:r w:rsidRPr="00A415D4">
        <w:t>Chief Executive Medicare</w:t>
      </w:r>
      <w:r w:rsidR="00AB75DE" w:rsidRPr="00A415D4">
        <w:t>’</w:t>
      </w:r>
      <w:r w:rsidRPr="00A415D4">
        <w:t>s</w:t>
      </w:r>
      <w:r w:rsidR="005D7D5F" w:rsidRPr="00A415D4">
        <w:t xml:space="preserve"> behalf</w:t>
      </w:r>
      <w:r w:rsidR="00B526AB" w:rsidRPr="00A415D4">
        <w:t xml:space="preserve"> </w:t>
      </w:r>
      <w:r w:rsidR="00862348" w:rsidRPr="00A415D4">
        <w:t>for a permitted purpose</w:t>
      </w:r>
      <w:r w:rsidR="007D6989" w:rsidRPr="00A415D4">
        <w:t>.</w:t>
      </w:r>
    </w:p>
    <w:p w:rsidR="00F07804" w:rsidRPr="00A415D4" w:rsidRDefault="00F07804" w:rsidP="00A415D4">
      <w:pPr>
        <w:pStyle w:val="notetext"/>
      </w:pPr>
      <w:r w:rsidRPr="00A415D4">
        <w:t>Note:</w:t>
      </w:r>
      <w:r w:rsidRPr="00A415D4">
        <w:tab/>
        <w:t xml:space="preserve">This subsection constitutes an authorisation for the purposes of the </w:t>
      </w:r>
      <w:r w:rsidRPr="00A415D4">
        <w:rPr>
          <w:i/>
        </w:rPr>
        <w:t>Privacy Act 1988</w:t>
      </w:r>
      <w:r w:rsidRPr="00A415D4">
        <w:t>.</w:t>
      </w:r>
    </w:p>
    <w:p w:rsidR="00467D33" w:rsidRPr="00A415D4" w:rsidRDefault="00045F03" w:rsidP="00A415D4">
      <w:pPr>
        <w:pStyle w:val="subsection"/>
      </w:pPr>
      <w:r w:rsidRPr="00A415D4">
        <w:tab/>
        <w:t>(3</w:t>
      </w:r>
      <w:r w:rsidR="00AB4F7D" w:rsidRPr="00A415D4">
        <w:t>)</w:t>
      </w:r>
      <w:r w:rsidR="00AB4F7D" w:rsidRPr="00A415D4">
        <w:tab/>
      </w:r>
      <w:r w:rsidR="00747058" w:rsidRPr="00A415D4">
        <w:t xml:space="preserve">An authorised </w:t>
      </w:r>
      <w:r w:rsidR="00B55709" w:rsidRPr="00A415D4">
        <w:t>Commonwealth</w:t>
      </w:r>
      <w:r w:rsidR="001A5C18" w:rsidRPr="00A415D4">
        <w:t xml:space="preserve"> entity</w:t>
      </w:r>
      <w:r w:rsidR="00467D33" w:rsidRPr="00A415D4">
        <w:t>:</w:t>
      </w:r>
    </w:p>
    <w:p w:rsidR="00FC78D4" w:rsidRPr="00A415D4" w:rsidRDefault="00467D33" w:rsidP="00A415D4">
      <w:pPr>
        <w:pStyle w:val="paragraph"/>
      </w:pPr>
      <w:r w:rsidRPr="00A415D4">
        <w:tab/>
        <w:t>(a)</w:t>
      </w:r>
      <w:r w:rsidRPr="00A415D4">
        <w:tab/>
        <w:t xml:space="preserve">must </w:t>
      </w:r>
      <w:r w:rsidR="001F0D2F" w:rsidRPr="00A415D4">
        <w:t xml:space="preserve">comply with </w:t>
      </w:r>
      <w:r w:rsidR="00FC78D4" w:rsidRPr="00A415D4">
        <w:t xml:space="preserve">any other terms and conditions </w:t>
      </w:r>
      <w:r w:rsidR="00811F02" w:rsidRPr="00A415D4">
        <w:t>relating to</w:t>
      </w:r>
      <w:r w:rsidR="00FC78D4" w:rsidRPr="00A415D4">
        <w:t xml:space="preserve"> the matching of the </w:t>
      </w:r>
      <w:r w:rsidR="00AC221A" w:rsidRPr="00A415D4">
        <w:t>information that are determined</w:t>
      </w:r>
      <w:r w:rsidR="00FC78D4" w:rsidRPr="00A415D4">
        <w:t>, in writing, by the Chief Executive Medicare</w:t>
      </w:r>
      <w:r w:rsidRPr="00A415D4">
        <w:t>; and</w:t>
      </w:r>
    </w:p>
    <w:p w:rsidR="006B51E9" w:rsidRPr="00A415D4" w:rsidRDefault="00467D33" w:rsidP="00A415D4">
      <w:pPr>
        <w:pStyle w:val="paragraph"/>
      </w:pPr>
      <w:r w:rsidRPr="00A415D4">
        <w:lastRenderedPageBreak/>
        <w:tab/>
        <w:t>(b</w:t>
      </w:r>
      <w:r w:rsidR="006B51E9" w:rsidRPr="00A415D4">
        <w:t>)</w:t>
      </w:r>
      <w:r w:rsidR="006B51E9" w:rsidRPr="00A415D4">
        <w:tab/>
      </w:r>
      <w:r w:rsidRPr="00A415D4">
        <w:t>must</w:t>
      </w:r>
      <w:r w:rsidR="00364B78" w:rsidRPr="00A415D4">
        <w:t>, if requested to do so by the Chief Executive Medicare,</w:t>
      </w:r>
      <w:r w:rsidRPr="00A415D4">
        <w:t xml:space="preserve"> </w:t>
      </w:r>
      <w:r w:rsidR="006B51E9" w:rsidRPr="00A415D4">
        <w:t>disclose</w:t>
      </w:r>
      <w:r w:rsidR="00D26A83" w:rsidRPr="00A415D4">
        <w:t xml:space="preserve"> the results of the matching </w:t>
      </w:r>
      <w:r w:rsidR="00534495" w:rsidRPr="00A415D4">
        <w:t>to the Chief Executive Medicare.</w:t>
      </w:r>
    </w:p>
    <w:p w:rsidR="00D40A4B" w:rsidRPr="00A415D4" w:rsidRDefault="00D40A4B" w:rsidP="00A415D4">
      <w:pPr>
        <w:pStyle w:val="SubsectionHead"/>
      </w:pPr>
      <w:r w:rsidRPr="00A415D4">
        <w:t>Information must not be matched until Minister’s principles have commenced</w:t>
      </w:r>
    </w:p>
    <w:p w:rsidR="004C2CB7" w:rsidRPr="00A415D4" w:rsidRDefault="004C2CB7" w:rsidP="00A415D4">
      <w:pPr>
        <w:pStyle w:val="subsection"/>
      </w:pPr>
      <w:r w:rsidRPr="00A415D4">
        <w:tab/>
        <w:t>(4)</w:t>
      </w:r>
      <w:r w:rsidRPr="00A415D4">
        <w:tab/>
        <w:t xml:space="preserve">Information must not be matched </w:t>
      </w:r>
      <w:r w:rsidR="00F07502" w:rsidRPr="00A415D4">
        <w:t xml:space="preserve">under </w:t>
      </w:r>
      <w:r w:rsidR="00A415D4" w:rsidRPr="00A415D4">
        <w:t>subsection (</w:t>
      </w:r>
      <w:r w:rsidR="00F07502" w:rsidRPr="00A415D4">
        <w:t xml:space="preserve">1) </w:t>
      </w:r>
      <w:r w:rsidRPr="00A415D4">
        <w:t xml:space="preserve">by the Chief Executive Medicare or an authorised Commonwealth entity </w:t>
      </w:r>
      <w:r w:rsidR="00F07502" w:rsidRPr="00A415D4">
        <w:t xml:space="preserve">until after </w:t>
      </w:r>
      <w:r w:rsidRPr="00A415D4">
        <w:t xml:space="preserve">the </w:t>
      </w:r>
      <w:r w:rsidR="00F07502" w:rsidRPr="00A415D4">
        <w:t xml:space="preserve">principles made by the </w:t>
      </w:r>
      <w:r w:rsidRPr="00A415D4">
        <w:t xml:space="preserve">Minister </w:t>
      </w:r>
      <w:r w:rsidR="00F07502" w:rsidRPr="00A415D4">
        <w:t>under sub</w:t>
      </w:r>
      <w:r w:rsidRPr="00A415D4">
        <w:t>section</w:t>
      </w:r>
      <w:r w:rsidR="00A415D4" w:rsidRPr="00A415D4">
        <w:t> </w:t>
      </w:r>
      <w:r w:rsidRPr="00A415D4">
        <w:t>132F</w:t>
      </w:r>
      <w:r w:rsidR="00F07502" w:rsidRPr="00A415D4">
        <w:t>(1) have commenced</w:t>
      </w:r>
      <w:r w:rsidRPr="00A415D4">
        <w:t>.</w:t>
      </w:r>
    </w:p>
    <w:p w:rsidR="00164382" w:rsidRPr="00A415D4" w:rsidRDefault="009F012A" w:rsidP="00A415D4">
      <w:pPr>
        <w:pStyle w:val="ActHead5"/>
      </w:pPr>
      <w:bookmarkStart w:id="12" w:name="_Toc27635450"/>
      <w:r w:rsidRPr="00A415D4">
        <w:rPr>
          <w:rStyle w:val="CharSectno"/>
        </w:rPr>
        <w:t>132C</w:t>
      </w:r>
      <w:r w:rsidR="000E0A4E" w:rsidRPr="00A415D4">
        <w:t xml:space="preserve">  </w:t>
      </w:r>
      <w:r w:rsidR="00E7096B" w:rsidRPr="00A415D4">
        <w:t>Secretary may disclose t</w:t>
      </w:r>
      <w:r w:rsidR="00164382" w:rsidRPr="00A415D4">
        <w:t xml:space="preserve">herapeutic goods information </w:t>
      </w:r>
      <w:r w:rsidR="00E7096B" w:rsidRPr="00A415D4">
        <w:t>to the Chief Executive Medicare</w:t>
      </w:r>
      <w:bookmarkEnd w:id="12"/>
    </w:p>
    <w:p w:rsidR="0004552A" w:rsidRPr="00A415D4" w:rsidRDefault="00164382" w:rsidP="00A415D4">
      <w:pPr>
        <w:pStyle w:val="subsection"/>
      </w:pPr>
      <w:r w:rsidRPr="00A415D4">
        <w:tab/>
      </w:r>
      <w:r w:rsidR="0004552A" w:rsidRPr="00A415D4">
        <w:t>(1)</w:t>
      </w:r>
      <w:r w:rsidRPr="00A415D4">
        <w:tab/>
      </w:r>
      <w:r w:rsidR="00235BD8" w:rsidRPr="00A415D4">
        <w:t xml:space="preserve">The Secretary may </w:t>
      </w:r>
      <w:r w:rsidR="00D6231B" w:rsidRPr="00A415D4">
        <w:t>disclose</w:t>
      </w:r>
      <w:r w:rsidR="00235BD8" w:rsidRPr="00A415D4">
        <w:t xml:space="preserve"> </w:t>
      </w:r>
      <w:r w:rsidR="00E7096B" w:rsidRPr="00A415D4">
        <w:t xml:space="preserve">to the Chief Executive Medicare </w:t>
      </w:r>
      <w:r w:rsidR="00235BD8" w:rsidRPr="00A415D4">
        <w:t>t</w:t>
      </w:r>
      <w:r w:rsidRPr="00A415D4">
        <w:t xml:space="preserve">herapeutic goods information (within the meaning of </w:t>
      </w:r>
      <w:r w:rsidR="00382D26" w:rsidRPr="00A415D4">
        <w:t>sub</w:t>
      </w:r>
      <w:r w:rsidRPr="00A415D4">
        <w:t>section</w:t>
      </w:r>
      <w:r w:rsidR="00A415D4" w:rsidRPr="00A415D4">
        <w:t> </w:t>
      </w:r>
      <w:r w:rsidRPr="00A415D4">
        <w:t>61</w:t>
      </w:r>
      <w:r w:rsidR="00382D26" w:rsidRPr="00A415D4">
        <w:t>(1)</w:t>
      </w:r>
      <w:r w:rsidRPr="00A415D4">
        <w:t xml:space="preserve"> of </w:t>
      </w:r>
      <w:r w:rsidR="006F1B24" w:rsidRPr="00A415D4">
        <w:t xml:space="preserve">the </w:t>
      </w:r>
      <w:r w:rsidR="006F1B24" w:rsidRPr="00A415D4">
        <w:rPr>
          <w:i/>
        </w:rPr>
        <w:t>Therapeutic Goods Act 1989</w:t>
      </w:r>
      <w:r w:rsidRPr="00A415D4">
        <w:t xml:space="preserve">) </w:t>
      </w:r>
      <w:r w:rsidR="0054639C" w:rsidRPr="00A415D4">
        <w:t>for the purpose</w:t>
      </w:r>
      <w:r w:rsidR="0004552A" w:rsidRPr="00A415D4">
        <w:t xml:space="preserve"> of facilitating the matching of that information under </w:t>
      </w:r>
      <w:r w:rsidR="006744C8" w:rsidRPr="00A415D4">
        <w:t>sub</w:t>
      </w:r>
      <w:r w:rsidR="0004552A" w:rsidRPr="00A415D4">
        <w:t>section</w:t>
      </w:r>
      <w:r w:rsidR="00A415D4" w:rsidRPr="00A415D4">
        <w:t> </w:t>
      </w:r>
      <w:r w:rsidR="0004552A" w:rsidRPr="00A415D4">
        <w:t>132B</w:t>
      </w:r>
      <w:r w:rsidR="006744C8" w:rsidRPr="00A415D4">
        <w:t>(1)</w:t>
      </w:r>
      <w:r w:rsidR="0004552A" w:rsidRPr="00A415D4">
        <w:t>.</w:t>
      </w:r>
    </w:p>
    <w:p w:rsidR="00F07804" w:rsidRPr="00A415D4" w:rsidRDefault="00F07804" w:rsidP="00A415D4">
      <w:pPr>
        <w:pStyle w:val="notetext"/>
      </w:pPr>
      <w:r w:rsidRPr="00A415D4">
        <w:t>Note:</w:t>
      </w:r>
      <w:r w:rsidRPr="00A415D4">
        <w:tab/>
        <w:t xml:space="preserve">This subsection constitutes an authorisation for the purposes of the </w:t>
      </w:r>
      <w:r w:rsidRPr="00A415D4">
        <w:rPr>
          <w:i/>
        </w:rPr>
        <w:t>Privacy Act 1988</w:t>
      </w:r>
      <w:r w:rsidRPr="00A415D4">
        <w:t>.</w:t>
      </w:r>
    </w:p>
    <w:p w:rsidR="00164382" w:rsidRPr="00A415D4" w:rsidRDefault="0004552A" w:rsidP="00A415D4">
      <w:pPr>
        <w:pStyle w:val="subsection"/>
      </w:pPr>
      <w:r w:rsidRPr="00A415D4">
        <w:tab/>
        <w:t>(2)</w:t>
      </w:r>
      <w:r w:rsidRPr="00A415D4">
        <w:tab/>
        <w:t xml:space="preserve">The Chief Executive Medicare may </w:t>
      </w:r>
      <w:r w:rsidR="00F249A9" w:rsidRPr="00A415D4">
        <w:t xml:space="preserve">use information </w:t>
      </w:r>
      <w:r w:rsidR="00D6231B" w:rsidRPr="00A415D4">
        <w:t>disclosed</w:t>
      </w:r>
      <w:r w:rsidR="00F249A9" w:rsidRPr="00A415D4">
        <w:t xml:space="preserve"> in accordance with </w:t>
      </w:r>
      <w:r w:rsidR="00A415D4" w:rsidRPr="00A415D4">
        <w:t>subsection (</w:t>
      </w:r>
      <w:r w:rsidR="0054639C" w:rsidRPr="00A415D4">
        <w:t>1) for the purpose</w:t>
      </w:r>
      <w:r w:rsidR="00F249A9" w:rsidRPr="00A415D4">
        <w:t xml:space="preserve"> of facilitating the </w:t>
      </w:r>
      <w:r w:rsidR="007A5FD6" w:rsidRPr="00A415D4">
        <w:t>match</w:t>
      </w:r>
      <w:r w:rsidR="00F249A9" w:rsidRPr="00A415D4">
        <w:t>ing of that</w:t>
      </w:r>
      <w:r w:rsidR="007A5FD6" w:rsidRPr="00A415D4">
        <w:t xml:space="preserve"> </w:t>
      </w:r>
      <w:r w:rsidR="00F249A9" w:rsidRPr="00A415D4">
        <w:t xml:space="preserve">information </w:t>
      </w:r>
      <w:r w:rsidR="007A5FD6" w:rsidRPr="00A415D4">
        <w:t xml:space="preserve">under </w:t>
      </w:r>
      <w:r w:rsidR="006744C8" w:rsidRPr="00A415D4">
        <w:t>sub</w:t>
      </w:r>
      <w:r w:rsidR="007A5FD6" w:rsidRPr="00A415D4">
        <w:t>section</w:t>
      </w:r>
      <w:r w:rsidR="00A415D4" w:rsidRPr="00A415D4">
        <w:t> </w:t>
      </w:r>
      <w:r w:rsidR="007A5FD6" w:rsidRPr="00A415D4">
        <w:t>132B</w:t>
      </w:r>
      <w:r w:rsidR="006744C8" w:rsidRPr="00A415D4">
        <w:t>(1)</w:t>
      </w:r>
      <w:r w:rsidR="00B25608" w:rsidRPr="00A415D4">
        <w:t>.</w:t>
      </w:r>
    </w:p>
    <w:p w:rsidR="0001024C" w:rsidRPr="00A415D4" w:rsidRDefault="0001024C" w:rsidP="00A415D4">
      <w:pPr>
        <w:pStyle w:val="ActHead5"/>
      </w:pPr>
      <w:bookmarkStart w:id="13" w:name="_Toc27635451"/>
      <w:r w:rsidRPr="00A415D4">
        <w:rPr>
          <w:rStyle w:val="CharSectno"/>
        </w:rPr>
        <w:t>132D</w:t>
      </w:r>
      <w:r w:rsidRPr="00A415D4">
        <w:t xml:space="preserve">  Private health insurer may </w:t>
      </w:r>
      <w:r w:rsidR="006C4526" w:rsidRPr="00A415D4">
        <w:t>disclose</w:t>
      </w:r>
      <w:r w:rsidRPr="00A415D4">
        <w:t xml:space="preserve"> </w:t>
      </w:r>
      <w:r w:rsidR="006C4526" w:rsidRPr="00A415D4">
        <w:t xml:space="preserve">information </w:t>
      </w:r>
      <w:r w:rsidR="009170A4" w:rsidRPr="00A415D4">
        <w:t>about hospital or general treatment to</w:t>
      </w:r>
      <w:r w:rsidR="006C4526" w:rsidRPr="00A415D4">
        <w:t xml:space="preserve"> </w:t>
      </w:r>
      <w:r w:rsidRPr="00A415D4">
        <w:t>the Chief Executive Medicare</w:t>
      </w:r>
      <w:bookmarkEnd w:id="13"/>
    </w:p>
    <w:p w:rsidR="0054639C" w:rsidRPr="00A415D4" w:rsidRDefault="0001024C" w:rsidP="00A415D4">
      <w:pPr>
        <w:pStyle w:val="subsection"/>
      </w:pPr>
      <w:r w:rsidRPr="00A415D4">
        <w:tab/>
        <w:t>(1)</w:t>
      </w:r>
      <w:r w:rsidRPr="00A415D4">
        <w:tab/>
        <w:t xml:space="preserve">A private health insurer may </w:t>
      </w:r>
      <w:r w:rsidR="006C4526" w:rsidRPr="00A415D4">
        <w:t>disclose</w:t>
      </w:r>
      <w:r w:rsidRPr="00A415D4">
        <w:t xml:space="preserve"> </w:t>
      </w:r>
      <w:r w:rsidR="00F33936" w:rsidRPr="00A415D4">
        <w:t xml:space="preserve">to the Chief Executive Medicare information relating to hospital treatment or general treatment provided to a person who is insured under an insurance policy of the insurer, </w:t>
      </w:r>
      <w:r w:rsidR="0054639C" w:rsidRPr="00A415D4">
        <w:t>for the purpose of facilitating the matching of that information under subsection</w:t>
      </w:r>
      <w:r w:rsidR="00A415D4" w:rsidRPr="00A415D4">
        <w:t> </w:t>
      </w:r>
      <w:r w:rsidR="0054639C" w:rsidRPr="00A415D4">
        <w:t>132B(1)</w:t>
      </w:r>
      <w:r w:rsidR="00F33936" w:rsidRPr="00A415D4">
        <w:t>, if:</w:t>
      </w:r>
    </w:p>
    <w:p w:rsidR="0001024C" w:rsidRPr="00A415D4" w:rsidRDefault="0054639C" w:rsidP="00A415D4">
      <w:pPr>
        <w:pStyle w:val="paragraph"/>
      </w:pPr>
      <w:r w:rsidRPr="00A415D4">
        <w:tab/>
        <w:t>(a)</w:t>
      </w:r>
      <w:r w:rsidRPr="00A415D4">
        <w:tab/>
      </w:r>
      <w:r w:rsidR="00F33936" w:rsidRPr="00A415D4">
        <w:t xml:space="preserve">the </w:t>
      </w:r>
      <w:r w:rsidRPr="00A415D4">
        <w:t>insurance policy was taken out after th</w:t>
      </w:r>
      <w:r w:rsidR="00F33936" w:rsidRPr="00A415D4">
        <w:t>e commencement of this section; or</w:t>
      </w:r>
    </w:p>
    <w:p w:rsidR="00F33936" w:rsidRPr="00A415D4" w:rsidRDefault="00F33936" w:rsidP="00A415D4">
      <w:pPr>
        <w:pStyle w:val="paragraph"/>
      </w:pPr>
      <w:r w:rsidRPr="00A415D4">
        <w:tab/>
        <w:t>(b)</w:t>
      </w:r>
      <w:r w:rsidRPr="00A415D4">
        <w:tab/>
        <w:t xml:space="preserve">the insurance policy provided </w:t>
      </w:r>
      <w:r w:rsidR="00666BF2" w:rsidRPr="00A415D4">
        <w:t xml:space="preserve">that information of that kind </w:t>
      </w:r>
      <w:r w:rsidR="005D3F01" w:rsidRPr="00A415D4">
        <w:t xml:space="preserve">may be disclosed if the disclosure </w:t>
      </w:r>
      <w:r w:rsidR="00666BF2" w:rsidRPr="00A415D4">
        <w:t xml:space="preserve">is authorised under </w:t>
      </w:r>
      <w:r w:rsidR="005D3F01" w:rsidRPr="00A415D4">
        <w:t>an Australian law</w:t>
      </w:r>
      <w:r w:rsidR="000D4B7D" w:rsidRPr="00A415D4">
        <w:t>; or</w:t>
      </w:r>
    </w:p>
    <w:p w:rsidR="000D4B7D" w:rsidRPr="00A415D4" w:rsidRDefault="000D4B7D" w:rsidP="00A415D4">
      <w:pPr>
        <w:pStyle w:val="paragraph"/>
      </w:pPr>
      <w:r w:rsidRPr="00A415D4">
        <w:lastRenderedPageBreak/>
        <w:tab/>
        <w:t>(c)</w:t>
      </w:r>
      <w:r w:rsidRPr="00A415D4">
        <w:tab/>
        <w:t>the insurer had notified the person under subclause</w:t>
      </w:r>
      <w:r w:rsidR="00A415D4" w:rsidRPr="00A415D4">
        <w:t> </w:t>
      </w:r>
      <w:r w:rsidRPr="00A415D4">
        <w:t>5.1 of the Australian Privacy Principles</w:t>
      </w:r>
      <w:r w:rsidR="00956CAF" w:rsidRPr="00A415D4">
        <w:t xml:space="preserve"> </w:t>
      </w:r>
      <w:r w:rsidRPr="00A415D4">
        <w:t>in Schedule</w:t>
      </w:r>
      <w:r w:rsidR="00A415D4" w:rsidRPr="00A415D4">
        <w:t> </w:t>
      </w:r>
      <w:r w:rsidRPr="00A415D4">
        <w:t xml:space="preserve">1 to the </w:t>
      </w:r>
      <w:r w:rsidRPr="00A415D4">
        <w:rPr>
          <w:i/>
        </w:rPr>
        <w:t>Privacy Act 1988</w:t>
      </w:r>
      <w:r w:rsidRPr="00A415D4">
        <w:t xml:space="preserve"> that information of that kind may be disclosed if the disclosure is authorised under an Australian law</w:t>
      </w:r>
      <w:r w:rsidR="00DE4CF9" w:rsidRPr="00A415D4">
        <w:t>.</w:t>
      </w:r>
    </w:p>
    <w:p w:rsidR="00702884" w:rsidRPr="00A415D4" w:rsidRDefault="00702884" w:rsidP="00A415D4">
      <w:pPr>
        <w:pStyle w:val="notetext"/>
      </w:pPr>
      <w:r w:rsidRPr="00A415D4">
        <w:t>Note:</w:t>
      </w:r>
      <w:r w:rsidRPr="00A415D4">
        <w:tab/>
        <w:t xml:space="preserve">This subsection constitutes an authorisation for the purposes </w:t>
      </w:r>
      <w:r w:rsidR="00E80C62" w:rsidRPr="00A415D4">
        <w:t xml:space="preserve">of </w:t>
      </w:r>
      <w:r w:rsidRPr="00A415D4">
        <w:t xml:space="preserve">the </w:t>
      </w:r>
      <w:r w:rsidRPr="00A415D4">
        <w:rPr>
          <w:i/>
        </w:rPr>
        <w:t>Privacy Act 1988</w:t>
      </w:r>
      <w:r w:rsidRPr="00A415D4">
        <w:t>.</w:t>
      </w:r>
    </w:p>
    <w:p w:rsidR="00B045CB" w:rsidRPr="00A415D4" w:rsidRDefault="00B045CB" w:rsidP="00A415D4">
      <w:pPr>
        <w:pStyle w:val="subsection"/>
      </w:pPr>
      <w:r w:rsidRPr="00A415D4">
        <w:tab/>
        <w:t>(2)</w:t>
      </w:r>
      <w:r w:rsidRPr="00A415D4">
        <w:tab/>
        <w:t xml:space="preserve">A private health insurer may </w:t>
      </w:r>
      <w:r w:rsidR="006C4526" w:rsidRPr="00A415D4">
        <w:t>disclose</w:t>
      </w:r>
      <w:r w:rsidRPr="00A415D4">
        <w:t xml:space="preserve"> the information under </w:t>
      </w:r>
      <w:r w:rsidR="00A415D4" w:rsidRPr="00A415D4">
        <w:t>subsection (</w:t>
      </w:r>
      <w:r w:rsidRPr="00A415D4">
        <w:t>1) on the private health insurer</w:t>
      </w:r>
      <w:r w:rsidR="00AB75DE" w:rsidRPr="00A415D4">
        <w:t>’</w:t>
      </w:r>
      <w:r w:rsidRPr="00A415D4">
        <w:t>s own initiative, or on request by the Chief Executive Medicare.</w:t>
      </w:r>
    </w:p>
    <w:p w:rsidR="0001024C" w:rsidRPr="00A415D4" w:rsidRDefault="00B045CB" w:rsidP="00A415D4">
      <w:pPr>
        <w:pStyle w:val="subsection"/>
      </w:pPr>
      <w:r w:rsidRPr="00A415D4">
        <w:tab/>
        <w:t>(3</w:t>
      </w:r>
      <w:r w:rsidR="0001024C" w:rsidRPr="00A415D4">
        <w:t>)</w:t>
      </w:r>
      <w:r w:rsidR="0001024C" w:rsidRPr="00A415D4">
        <w:tab/>
      </w:r>
      <w:r w:rsidR="000B6C68" w:rsidRPr="00A415D4">
        <w:t>If in</w:t>
      </w:r>
      <w:r w:rsidR="0001024C" w:rsidRPr="00A415D4">
        <w:t xml:space="preserve">formation is </w:t>
      </w:r>
      <w:r w:rsidR="006C4526" w:rsidRPr="00A415D4">
        <w:t>disclosed</w:t>
      </w:r>
      <w:r w:rsidR="0001024C" w:rsidRPr="00A415D4">
        <w:t xml:space="preserve"> to the Chief Executive Medicare </w:t>
      </w:r>
      <w:r w:rsidR="000B6C68" w:rsidRPr="00A415D4">
        <w:t>in accordance with</w:t>
      </w:r>
      <w:r w:rsidR="0001024C" w:rsidRPr="00A415D4">
        <w:t xml:space="preserve"> </w:t>
      </w:r>
      <w:r w:rsidR="00A415D4" w:rsidRPr="00A415D4">
        <w:t>subsection (</w:t>
      </w:r>
      <w:r w:rsidR="0001024C" w:rsidRPr="00A415D4">
        <w:t>1)</w:t>
      </w:r>
      <w:r w:rsidR="000B6C68" w:rsidRPr="00A415D4">
        <w:t xml:space="preserve">, the </w:t>
      </w:r>
      <w:r w:rsidR="006C4526" w:rsidRPr="00A415D4">
        <w:t>disclosure</w:t>
      </w:r>
      <w:r w:rsidR="000B6C68" w:rsidRPr="00A415D4">
        <w:t xml:space="preserve"> </w:t>
      </w:r>
      <w:r w:rsidR="0001024C" w:rsidRPr="00A415D4">
        <w:t>is taken to be an authorised disclosure for the purposes of section</w:t>
      </w:r>
      <w:r w:rsidR="00A415D4" w:rsidRPr="00A415D4">
        <w:t> </w:t>
      </w:r>
      <w:r w:rsidR="0001024C" w:rsidRPr="00A415D4">
        <w:t>323</w:t>
      </w:r>
      <w:r w:rsidR="00DE17CA">
        <w:noBreakHyphen/>
      </w:r>
      <w:r w:rsidR="0001024C" w:rsidRPr="00A415D4">
        <w:t xml:space="preserve">1 of the </w:t>
      </w:r>
      <w:r w:rsidR="0001024C" w:rsidRPr="00A415D4">
        <w:rPr>
          <w:i/>
        </w:rPr>
        <w:t>Private Health Insurance Act 2007</w:t>
      </w:r>
      <w:r w:rsidR="0001024C" w:rsidRPr="00A415D4">
        <w:t>.</w:t>
      </w:r>
    </w:p>
    <w:p w:rsidR="0001024C" w:rsidRPr="00A415D4" w:rsidRDefault="009F012A" w:rsidP="00A415D4">
      <w:pPr>
        <w:pStyle w:val="ActHead5"/>
      </w:pPr>
      <w:bookmarkStart w:id="14" w:name="_Toc27635452"/>
      <w:r w:rsidRPr="00A415D4">
        <w:rPr>
          <w:rStyle w:val="CharSectno"/>
        </w:rPr>
        <w:t>132E</w:t>
      </w:r>
      <w:r w:rsidR="00355FC2" w:rsidRPr="00A415D4">
        <w:t xml:space="preserve">  Breach of provision of </w:t>
      </w:r>
      <w:r w:rsidR="00082DC7" w:rsidRPr="00A415D4">
        <w:t>this Part</w:t>
      </w:r>
      <w:r w:rsidR="0001024C" w:rsidRPr="00A415D4">
        <w:t xml:space="preserve"> is an interference with privacy</w:t>
      </w:r>
      <w:bookmarkEnd w:id="14"/>
    </w:p>
    <w:p w:rsidR="0001024C" w:rsidRPr="00A415D4" w:rsidRDefault="00082DC7" w:rsidP="00A415D4">
      <w:pPr>
        <w:pStyle w:val="subsection"/>
      </w:pPr>
      <w:r w:rsidRPr="00A415D4">
        <w:tab/>
      </w:r>
      <w:r w:rsidRPr="00A415D4">
        <w:tab/>
        <w:t>A br</w:t>
      </w:r>
      <w:r w:rsidR="000D2397" w:rsidRPr="00A415D4">
        <w:t xml:space="preserve">each of a provision </w:t>
      </w:r>
      <w:r w:rsidRPr="00A415D4">
        <w:t xml:space="preserve">of </w:t>
      </w:r>
      <w:r w:rsidR="0001024C" w:rsidRPr="00A415D4">
        <w:t>this Part</w:t>
      </w:r>
      <w:r w:rsidR="003473A9" w:rsidRPr="00A415D4">
        <w:t xml:space="preserve"> </w:t>
      </w:r>
      <w:r w:rsidR="00B20300" w:rsidRPr="00A415D4">
        <w:t xml:space="preserve">in relation to an individual </w:t>
      </w:r>
      <w:r w:rsidR="0001024C" w:rsidRPr="00A415D4">
        <w:t xml:space="preserve">constitutes an </w:t>
      </w:r>
      <w:r w:rsidR="007620E6" w:rsidRPr="00A415D4">
        <w:t xml:space="preserve">act or practice involving </w:t>
      </w:r>
      <w:r w:rsidR="0001024C" w:rsidRPr="00A415D4">
        <w:t xml:space="preserve">interference with the privacy of </w:t>
      </w:r>
      <w:r w:rsidR="009170A4" w:rsidRPr="00A415D4">
        <w:t>the</w:t>
      </w:r>
      <w:r w:rsidR="0001024C" w:rsidRPr="00A415D4">
        <w:t xml:space="preserve"> individual for the purposes of section</w:t>
      </w:r>
      <w:r w:rsidR="00A415D4" w:rsidRPr="00A415D4">
        <w:t> </w:t>
      </w:r>
      <w:r w:rsidR="0001024C" w:rsidRPr="00A415D4">
        <w:t xml:space="preserve">13 of </w:t>
      </w:r>
      <w:r w:rsidR="007E0F65" w:rsidRPr="00A415D4">
        <w:t xml:space="preserve">the </w:t>
      </w:r>
      <w:r w:rsidR="007E0F65" w:rsidRPr="00A415D4">
        <w:rPr>
          <w:i/>
        </w:rPr>
        <w:t>Privacy Act 1988</w:t>
      </w:r>
      <w:r w:rsidR="0001024C" w:rsidRPr="00A415D4">
        <w:t>.</w:t>
      </w:r>
    </w:p>
    <w:p w:rsidR="0001024C" w:rsidRPr="00A415D4" w:rsidRDefault="0001024C" w:rsidP="00A415D4">
      <w:pPr>
        <w:pStyle w:val="notetext"/>
      </w:pPr>
      <w:r w:rsidRPr="00A415D4">
        <w:t>Note:</w:t>
      </w:r>
      <w:r w:rsidRPr="00A415D4">
        <w:tab/>
        <w:t>The act or practice may be the subject of a complaint under section</w:t>
      </w:r>
      <w:r w:rsidR="00A415D4" w:rsidRPr="00A415D4">
        <w:t> </w:t>
      </w:r>
      <w:r w:rsidR="00880997" w:rsidRPr="00A415D4">
        <w:t xml:space="preserve">36 of the </w:t>
      </w:r>
      <w:r w:rsidR="00880997" w:rsidRPr="00A415D4">
        <w:rPr>
          <w:i/>
        </w:rPr>
        <w:t>Privacy Act 1988</w:t>
      </w:r>
      <w:r w:rsidRPr="00A415D4">
        <w:t>.</w:t>
      </w:r>
    </w:p>
    <w:p w:rsidR="00E82B6B" w:rsidRPr="00A415D4" w:rsidRDefault="00E82B6B" w:rsidP="00A415D4">
      <w:pPr>
        <w:pStyle w:val="ActHead5"/>
      </w:pPr>
      <w:bookmarkStart w:id="15" w:name="_Toc27635453"/>
      <w:r w:rsidRPr="00A415D4">
        <w:rPr>
          <w:rStyle w:val="CharSectno"/>
        </w:rPr>
        <w:t>132F</w:t>
      </w:r>
      <w:r w:rsidRPr="00A415D4">
        <w:t xml:space="preserve">  </w:t>
      </w:r>
      <w:r w:rsidR="00131070" w:rsidRPr="00A415D4">
        <w:t>Data</w:t>
      </w:r>
      <w:r w:rsidR="00DE17CA">
        <w:noBreakHyphen/>
      </w:r>
      <w:r w:rsidR="00131070" w:rsidRPr="00A415D4">
        <w:t>matching principles</w:t>
      </w:r>
      <w:bookmarkEnd w:id="15"/>
    </w:p>
    <w:p w:rsidR="00EC77BD" w:rsidRPr="00A415D4" w:rsidRDefault="006E7522" w:rsidP="00A415D4">
      <w:pPr>
        <w:pStyle w:val="subsection"/>
      </w:pPr>
      <w:r w:rsidRPr="00A415D4">
        <w:tab/>
      </w:r>
      <w:r w:rsidR="00B70E34" w:rsidRPr="00A415D4">
        <w:t>(1)</w:t>
      </w:r>
      <w:r w:rsidRPr="00A415D4">
        <w:tab/>
      </w:r>
      <w:r w:rsidR="00EC77BD" w:rsidRPr="00A415D4">
        <w:t xml:space="preserve">The Minister </w:t>
      </w:r>
      <w:r w:rsidR="00467D33" w:rsidRPr="00A415D4">
        <w:t>must</w:t>
      </w:r>
      <w:r w:rsidR="00EC77BD" w:rsidRPr="00A415D4">
        <w:t xml:space="preserve">, by legislative instrument, make </w:t>
      </w:r>
      <w:r w:rsidR="00467D33" w:rsidRPr="00A415D4">
        <w:t>p</w:t>
      </w:r>
      <w:r w:rsidR="00EC77BD" w:rsidRPr="00A415D4">
        <w:t>rinciples in relation to</w:t>
      </w:r>
      <w:r w:rsidR="00467D33" w:rsidRPr="00A415D4">
        <w:t xml:space="preserve"> the matching of information under subsection</w:t>
      </w:r>
      <w:r w:rsidR="00A415D4" w:rsidRPr="00A415D4">
        <w:t> </w:t>
      </w:r>
      <w:r w:rsidR="00467D33" w:rsidRPr="00A415D4">
        <w:t>132B(1) by:</w:t>
      </w:r>
    </w:p>
    <w:p w:rsidR="00EC77BD" w:rsidRPr="00A415D4" w:rsidRDefault="00EC77BD" w:rsidP="00A415D4">
      <w:pPr>
        <w:pStyle w:val="paragraph"/>
      </w:pPr>
      <w:r w:rsidRPr="00A415D4">
        <w:tab/>
        <w:t>(a)</w:t>
      </w:r>
      <w:r w:rsidRPr="00A415D4">
        <w:tab/>
        <w:t xml:space="preserve">the Chief Executive Medicare; </w:t>
      </w:r>
      <w:r w:rsidR="00467D33" w:rsidRPr="00A415D4">
        <w:t>and</w:t>
      </w:r>
    </w:p>
    <w:p w:rsidR="00EC77BD" w:rsidRPr="00A415D4" w:rsidRDefault="00EC77BD" w:rsidP="00A415D4">
      <w:pPr>
        <w:pStyle w:val="paragraph"/>
      </w:pPr>
      <w:r w:rsidRPr="00A415D4">
        <w:tab/>
        <w:t>(b)</w:t>
      </w:r>
      <w:r w:rsidRPr="00A415D4">
        <w:tab/>
        <w:t>a</w:t>
      </w:r>
      <w:r w:rsidR="00747058" w:rsidRPr="00A415D4">
        <w:t>n authorised</w:t>
      </w:r>
      <w:r w:rsidRPr="00A415D4">
        <w:t xml:space="preserve"> Commonwealth entity</w:t>
      </w:r>
      <w:r w:rsidR="00467D33" w:rsidRPr="00A415D4">
        <w:t>.</w:t>
      </w:r>
    </w:p>
    <w:p w:rsidR="000B7703" w:rsidRPr="00A415D4" w:rsidRDefault="000B7703" w:rsidP="00A415D4">
      <w:pPr>
        <w:pStyle w:val="subsection"/>
      </w:pPr>
      <w:r w:rsidRPr="00A415D4">
        <w:tab/>
      </w:r>
      <w:r w:rsidR="004C2CB7" w:rsidRPr="00A415D4">
        <w:t>(2)</w:t>
      </w:r>
      <w:r w:rsidR="004C2CB7" w:rsidRPr="00A415D4">
        <w:tab/>
        <w:t>W</w:t>
      </w:r>
      <w:r w:rsidRPr="00A415D4">
        <w:t xml:space="preserve">ithout limiting </w:t>
      </w:r>
      <w:r w:rsidR="00A415D4" w:rsidRPr="00A415D4">
        <w:t>subsection (</w:t>
      </w:r>
      <w:r w:rsidRPr="00A415D4">
        <w:t>1), the principles must:</w:t>
      </w:r>
    </w:p>
    <w:p w:rsidR="000B7703" w:rsidRPr="00A415D4" w:rsidRDefault="000B7703" w:rsidP="00A415D4">
      <w:pPr>
        <w:pStyle w:val="paragraph"/>
      </w:pPr>
      <w:r w:rsidRPr="00A415D4">
        <w:tab/>
        <w:t>(a)</w:t>
      </w:r>
      <w:r w:rsidRPr="00A415D4">
        <w:tab/>
        <w:t xml:space="preserve">require the Chief Executive Medicare to establish and maintain a publicly available register of </w:t>
      </w:r>
      <w:r w:rsidR="00A80501" w:rsidRPr="00A415D4">
        <w:t xml:space="preserve">the kinds of </w:t>
      </w:r>
      <w:r w:rsidRPr="00A415D4">
        <w:t xml:space="preserve">information matched </w:t>
      </w:r>
      <w:r w:rsidR="00FC4810" w:rsidRPr="00A415D4">
        <w:t xml:space="preserve">by the Chief Executive Medicare or an authorised Commonwealth entity </w:t>
      </w:r>
      <w:r w:rsidRPr="00A415D4">
        <w:t>under subsection</w:t>
      </w:r>
      <w:r w:rsidR="00A415D4" w:rsidRPr="00A415D4">
        <w:t> </w:t>
      </w:r>
      <w:r w:rsidRPr="00A415D4">
        <w:t>132B(1); and</w:t>
      </w:r>
    </w:p>
    <w:p w:rsidR="000B7703" w:rsidRPr="00A415D4" w:rsidRDefault="000B7703" w:rsidP="00A415D4">
      <w:pPr>
        <w:pStyle w:val="paragraph"/>
      </w:pPr>
      <w:r w:rsidRPr="00A415D4">
        <w:lastRenderedPageBreak/>
        <w:tab/>
        <w:t>(b)</w:t>
      </w:r>
      <w:r w:rsidRPr="00A415D4">
        <w:tab/>
        <w:t>require the Chief Executive Medicare to keep records of information matched by the Chief Executive Medicare under subsection</w:t>
      </w:r>
      <w:r w:rsidR="00A415D4" w:rsidRPr="00A415D4">
        <w:t> </w:t>
      </w:r>
      <w:r w:rsidRPr="00A415D4">
        <w:t>132B(1); and</w:t>
      </w:r>
    </w:p>
    <w:p w:rsidR="000B7703" w:rsidRPr="00A415D4" w:rsidRDefault="000B7703" w:rsidP="00A415D4">
      <w:pPr>
        <w:pStyle w:val="paragraph"/>
      </w:pPr>
      <w:r w:rsidRPr="00A415D4">
        <w:tab/>
        <w:t>(c)</w:t>
      </w:r>
      <w:r w:rsidRPr="00A415D4">
        <w:tab/>
        <w:t>require an authorised Commonwealth entity to keep records of information matched by the Commonwealth entity under subsection</w:t>
      </w:r>
      <w:r w:rsidR="00A415D4" w:rsidRPr="00A415D4">
        <w:t> </w:t>
      </w:r>
      <w:r w:rsidRPr="00A415D4">
        <w:t>132B(1); and</w:t>
      </w:r>
    </w:p>
    <w:p w:rsidR="000B7703" w:rsidRPr="00A415D4" w:rsidRDefault="000B7703" w:rsidP="00A415D4">
      <w:pPr>
        <w:pStyle w:val="paragraph"/>
      </w:pPr>
      <w:r w:rsidRPr="00A415D4">
        <w:tab/>
        <w:t>(d)</w:t>
      </w:r>
      <w:r w:rsidRPr="00A415D4">
        <w:tab/>
        <w:t xml:space="preserve">require the Chief Executive Medicare </w:t>
      </w:r>
      <w:r w:rsidR="00747058" w:rsidRPr="00A415D4">
        <w:t xml:space="preserve">and an authorised Commonwealth entity </w:t>
      </w:r>
      <w:r w:rsidRPr="00A415D4">
        <w:t>to take reasonable steps to destroy personal information that has been matched under subsection</w:t>
      </w:r>
      <w:r w:rsidR="00A415D4" w:rsidRPr="00A415D4">
        <w:t> </w:t>
      </w:r>
      <w:r w:rsidRPr="00A415D4">
        <w:t>132B(1) if the information is no longer needed for any purpose for which the information was matched;</w:t>
      </w:r>
      <w:r w:rsidR="004C2CB7" w:rsidRPr="00A415D4">
        <w:t xml:space="preserve"> and</w:t>
      </w:r>
    </w:p>
    <w:p w:rsidR="00747058" w:rsidRPr="00A415D4" w:rsidRDefault="00747058" w:rsidP="00A415D4">
      <w:pPr>
        <w:pStyle w:val="paragraph"/>
      </w:pPr>
      <w:r w:rsidRPr="00A415D4">
        <w:tab/>
        <w:t>(e)</w:t>
      </w:r>
      <w:r w:rsidRPr="00A415D4">
        <w:tab/>
        <w:t>require the Chief Executive Medicare and an authorised Commonwealth entity to take reasonable steps to ensure that personal information that is matched under subsection</w:t>
      </w:r>
      <w:r w:rsidR="00A415D4" w:rsidRPr="00A415D4">
        <w:t> </w:t>
      </w:r>
      <w:r w:rsidRPr="00A415D4">
        <w:t>132B(1) is accurate, complete and up</w:t>
      </w:r>
      <w:r w:rsidR="00392D5D" w:rsidRPr="00A415D4">
        <w:t xml:space="preserve"> </w:t>
      </w:r>
      <w:r w:rsidRPr="00A415D4">
        <w:t>to</w:t>
      </w:r>
      <w:r w:rsidR="00392D5D" w:rsidRPr="00A415D4">
        <w:t xml:space="preserve"> </w:t>
      </w:r>
      <w:r w:rsidRPr="00A415D4">
        <w:t>date;</w:t>
      </w:r>
      <w:r w:rsidR="004C2CB7" w:rsidRPr="00A415D4">
        <w:t xml:space="preserve"> and</w:t>
      </w:r>
    </w:p>
    <w:p w:rsidR="00747058" w:rsidRPr="00A415D4" w:rsidRDefault="00747058" w:rsidP="00A415D4">
      <w:pPr>
        <w:pStyle w:val="paragraph"/>
      </w:pPr>
      <w:r w:rsidRPr="00A415D4">
        <w:tab/>
        <w:t>(f)</w:t>
      </w:r>
      <w:r w:rsidRPr="00A415D4">
        <w:tab/>
        <w:t xml:space="preserve">require the Chief Executive Medicare and an authorised Commonwealth entity </w:t>
      </w:r>
      <w:r w:rsidR="00FC4810" w:rsidRPr="00A415D4">
        <w:t xml:space="preserve">not </w:t>
      </w:r>
      <w:r w:rsidRPr="00A415D4">
        <w:t>to match information for a permitted purpose under subsection</w:t>
      </w:r>
      <w:r w:rsidR="00A415D4" w:rsidRPr="00A415D4">
        <w:t> </w:t>
      </w:r>
      <w:r w:rsidRPr="00A415D4">
        <w:t xml:space="preserve">132B(1) </w:t>
      </w:r>
      <w:r w:rsidR="00FC4810" w:rsidRPr="00A415D4">
        <w:t xml:space="preserve">unless </w:t>
      </w:r>
      <w:r w:rsidRPr="00A415D4">
        <w:t xml:space="preserve">the Chief Executive Medicare is satisfied </w:t>
      </w:r>
      <w:r w:rsidR="006D2102" w:rsidRPr="00A415D4">
        <w:t xml:space="preserve">that </w:t>
      </w:r>
      <w:r w:rsidRPr="00A415D4">
        <w:t>the matching is reasonably necessary for that purpose.</w:t>
      </w:r>
    </w:p>
    <w:p w:rsidR="005B49D6" w:rsidRPr="00A415D4" w:rsidRDefault="00747058" w:rsidP="00A415D4">
      <w:pPr>
        <w:pStyle w:val="subsection"/>
      </w:pPr>
      <w:r w:rsidRPr="00A415D4">
        <w:tab/>
        <w:t>(3)</w:t>
      </w:r>
      <w:r w:rsidRPr="00A415D4">
        <w:tab/>
      </w:r>
      <w:r w:rsidR="005B49D6" w:rsidRPr="00A415D4">
        <w:t xml:space="preserve">In making principles under </w:t>
      </w:r>
      <w:r w:rsidR="00A415D4" w:rsidRPr="00A415D4">
        <w:t>subsection (</w:t>
      </w:r>
      <w:r w:rsidR="005B49D6" w:rsidRPr="00A415D4">
        <w:t xml:space="preserve">1), the Minister must take into account </w:t>
      </w:r>
      <w:r w:rsidR="00004516" w:rsidRPr="00A415D4">
        <w:t xml:space="preserve">the </w:t>
      </w:r>
      <w:r w:rsidR="005B49D6" w:rsidRPr="00A415D4">
        <w:t xml:space="preserve">guidelines </w:t>
      </w:r>
      <w:r w:rsidR="003E5107" w:rsidRPr="00A415D4">
        <w:t xml:space="preserve">(if any) </w:t>
      </w:r>
      <w:r w:rsidR="00131070" w:rsidRPr="00A415D4">
        <w:t>on data</w:t>
      </w:r>
      <w:r w:rsidR="00DE17CA">
        <w:noBreakHyphen/>
      </w:r>
      <w:r w:rsidR="005B49D6" w:rsidRPr="00A415D4">
        <w:t>matching in Australian Government administration</w:t>
      </w:r>
      <w:r w:rsidR="00DE4CF9" w:rsidRPr="00A415D4">
        <w:t xml:space="preserve"> </w:t>
      </w:r>
      <w:r w:rsidR="00131070" w:rsidRPr="00A415D4">
        <w:t xml:space="preserve">made </w:t>
      </w:r>
      <w:r w:rsidR="00004516" w:rsidRPr="00A415D4">
        <w:t xml:space="preserve">by </w:t>
      </w:r>
      <w:r w:rsidR="005B49D6" w:rsidRPr="00A415D4">
        <w:t>the Information Commissioner under paragraph</w:t>
      </w:r>
      <w:r w:rsidR="00A415D4" w:rsidRPr="00A415D4">
        <w:t> </w:t>
      </w:r>
      <w:r w:rsidR="005B49D6" w:rsidRPr="00A415D4">
        <w:t xml:space="preserve">28(1)(a) of the </w:t>
      </w:r>
      <w:r w:rsidR="005B49D6" w:rsidRPr="00A415D4">
        <w:rPr>
          <w:i/>
        </w:rPr>
        <w:t>Privacy Act 1988</w:t>
      </w:r>
      <w:r w:rsidR="005B49D6" w:rsidRPr="00A415D4">
        <w:t>.</w:t>
      </w:r>
    </w:p>
    <w:p w:rsidR="00E613F1" w:rsidRPr="00A415D4" w:rsidRDefault="003423B0" w:rsidP="00A415D4">
      <w:pPr>
        <w:pStyle w:val="ItemHead"/>
      </w:pPr>
      <w:r w:rsidRPr="00A415D4">
        <w:t>2</w:t>
      </w:r>
      <w:r w:rsidR="00E613F1" w:rsidRPr="00A415D4">
        <w:t xml:space="preserve">  After subsection</w:t>
      </w:r>
      <w:r w:rsidR="00A415D4" w:rsidRPr="00A415D4">
        <w:t> </w:t>
      </w:r>
      <w:r w:rsidR="00E613F1" w:rsidRPr="00A415D4">
        <w:t>135A(5C)</w:t>
      </w:r>
    </w:p>
    <w:p w:rsidR="00E613F1" w:rsidRPr="00A415D4" w:rsidRDefault="00E613F1" w:rsidP="00A415D4">
      <w:pPr>
        <w:pStyle w:val="Item"/>
      </w:pPr>
      <w:r w:rsidRPr="00A415D4">
        <w:t>Insert:</w:t>
      </w:r>
    </w:p>
    <w:p w:rsidR="00E613F1" w:rsidRPr="00A415D4" w:rsidRDefault="00E613F1" w:rsidP="00A415D4">
      <w:pPr>
        <w:pStyle w:val="subsection"/>
      </w:pPr>
      <w:r w:rsidRPr="00A415D4">
        <w:tab/>
        <w:t>(5D)</w:t>
      </w:r>
      <w:r w:rsidRPr="00A415D4">
        <w:tab/>
      </w:r>
      <w:r w:rsidR="00BE1B98" w:rsidRPr="00A415D4">
        <w:t xml:space="preserve">Notwithstanding anything in </w:t>
      </w:r>
      <w:r w:rsidR="00A415D4" w:rsidRPr="00A415D4">
        <w:t>subsection (</w:t>
      </w:r>
      <w:r w:rsidR="00BE1B98" w:rsidRPr="00A415D4">
        <w:t xml:space="preserve">1), </w:t>
      </w:r>
      <w:r w:rsidRPr="00A415D4">
        <w:t xml:space="preserve">the Secretary or the Chief Executive Medicare </w:t>
      </w:r>
      <w:r w:rsidR="00BE1B98" w:rsidRPr="00A415D4">
        <w:t>may</w:t>
      </w:r>
      <w:r w:rsidRPr="00A415D4">
        <w:t xml:space="preserve"> provid</w:t>
      </w:r>
      <w:r w:rsidR="00BE1B98" w:rsidRPr="00A415D4">
        <w:t>e</w:t>
      </w:r>
      <w:r w:rsidRPr="00A415D4">
        <w:t xml:space="preserve"> information to a</w:t>
      </w:r>
      <w:r w:rsidR="00B1149B" w:rsidRPr="00A415D4">
        <w:t>n</w:t>
      </w:r>
      <w:r w:rsidRPr="00A415D4">
        <w:t xml:space="preserve"> </w:t>
      </w:r>
      <w:r w:rsidR="00B1149B" w:rsidRPr="00A415D4">
        <w:t xml:space="preserve">authorised </w:t>
      </w:r>
      <w:r w:rsidRPr="00A415D4">
        <w:t>Commo</w:t>
      </w:r>
      <w:r w:rsidR="0054639C" w:rsidRPr="00A415D4">
        <w:t xml:space="preserve">nwealth entity </w:t>
      </w:r>
      <w:r w:rsidR="00B1149B" w:rsidRPr="00A415D4">
        <w:t>(within the meaning of Part</w:t>
      </w:r>
      <w:r w:rsidR="00A415D4" w:rsidRPr="00A415D4">
        <w:t> </w:t>
      </w:r>
      <w:r w:rsidR="00B1149B" w:rsidRPr="00A415D4">
        <w:t xml:space="preserve">VIIIA) </w:t>
      </w:r>
      <w:r w:rsidR="0054639C" w:rsidRPr="00A415D4">
        <w:t xml:space="preserve">for the purpose </w:t>
      </w:r>
      <w:r w:rsidRPr="00A415D4">
        <w:t>of facilitating the matching of that information by the Commonwealth entity under subsection</w:t>
      </w:r>
      <w:r w:rsidR="00A415D4" w:rsidRPr="00A415D4">
        <w:t> </w:t>
      </w:r>
      <w:r w:rsidR="001602CA" w:rsidRPr="00A415D4">
        <w:t>132B(1</w:t>
      </w:r>
      <w:r w:rsidRPr="00A415D4">
        <w:t>).</w:t>
      </w:r>
    </w:p>
    <w:p w:rsidR="0001024C" w:rsidRPr="00A415D4" w:rsidRDefault="003423B0" w:rsidP="00A415D4">
      <w:pPr>
        <w:pStyle w:val="ItemHead"/>
      </w:pPr>
      <w:r w:rsidRPr="00A415D4">
        <w:t>3</w:t>
      </w:r>
      <w:r w:rsidR="0001024C" w:rsidRPr="00A415D4">
        <w:t xml:space="preserve">  </w:t>
      </w:r>
      <w:r w:rsidR="0029481A" w:rsidRPr="00A415D4">
        <w:t>After subsection</w:t>
      </w:r>
      <w:r w:rsidR="00A415D4" w:rsidRPr="00A415D4">
        <w:t> </w:t>
      </w:r>
      <w:r w:rsidR="0001024C" w:rsidRPr="00A415D4">
        <w:t>135AA</w:t>
      </w:r>
      <w:r w:rsidR="0029481A" w:rsidRPr="00A415D4">
        <w:t>(5B)</w:t>
      </w:r>
    </w:p>
    <w:p w:rsidR="0029481A" w:rsidRPr="00A415D4" w:rsidRDefault="0029481A" w:rsidP="00A415D4">
      <w:pPr>
        <w:pStyle w:val="Item"/>
      </w:pPr>
      <w:r w:rsidRPr="00A415D4">
        <w:t>Insert:</w:t>
      </w:r>
    </w:p>
    <w:p w:rsidR="0029481A" w:rsidRPr="00A415D4" w:rsidRDefault="0029481A" w:rsidP="00A415D4">
      <w:pPr>
        <w:pStyle w:val="subsection"/>
      </w:pPr>
      <w:r w:rsidRPr="00A415D4">
        <w:lastRenderedPageBreak/>
        <w:tab/>
        <w:t>(5C)</w:t>
      </w:r>
      <w:r w:rsidRPr="00A415D4">
        <w:tab/>
        <w:t xml:space="preserve">Nothing in this section, or in the rules issued by the Information Commissioner, precludes the matching </w:t>
      </w:r>
      <w:r w:rsidR="009C620D" w:rsidRPr="00A415D4">
        <w:t xml:space="preserve">of information under </w:t>
      </w:r>
      <w:r w:rsidR="00B1149B" w:rsidRPr="00A415D4">
        <w:t>sub</w:t>
      </w:r>
      <w:r w:rsidR="009C620D" w:rsidRPr="00A415D4">
        <w:t>section</w:t>
      </w:r>
      <w:r w:rsidR="00A415D4" w:rsidRPr="00A415D4">
        <w:t> </w:t>
      </w:r>
      <w:r w:rsidR="009C620D" w:rsidRPr="00A415D4">
        <w:t>132B</w:t>
      </w:r>
      <w:r w:rsidR="00B1149B" w:rsidRPr="00A415D4">
        <w:t>(1)</w:t>
      </w:r>
      <w:r w:rsidR="008260D9" w:rsidRPr="00A415D4">
        <w:t xml:space="preserve"> or the operation of Part</w:t>
      </w:r>
      <w:r w:rsidR="00A415D4" w:rsidRPr="00A415D4">
        <w:t> </w:t>
      </w:r>
      <w:r w:rsidR="008260D9" w:rsidRPr="00A415D4">
        <w:t>VIIIA generally</w:t>
      </w:r>
      <w:r w:rsidRPr="00A415D4">
        <w:t>.</w:t>
      </w:r>
    </w:p>
    <w:p w:rsidR="00E4265E" w:rsidRPr="00A415D4" w:rsidRDefault="003423B0" w:rsidP="00A415D4">
      <w:pPr>
        <w:pStyle w:val="Transitional"/>
      </w:pPr>
      <w:r w:rsidRPr="00A415D4">
        <w:t>4</w:t>
      </w:r>
      <w:r w:rsidR="00E4265E" w:rsidRPr="00A415D4">
        <w:t xml:space="preserve">  Application</w:t>
      </w:r>
      <w:r w:rsidR="00D705CF" w:rsidRPr="00A415D4">
        <w:t>—information collected</w:t>
      </w:r>
      <w:r w:rsidR="00AE6367" w:rsidRPr="00A415D4">
        <w:t xml:space="preserve"> etc. before commencement</w:t>
      </w:r>
    </w:p>
    <w:p w:rsidR="00E4265E" w:rsidRPr="00A415D4" w:rsidRDefault="00AE6367" w:rsidP="00A415D4">
      <w:pPr>
        <w:pStyle w:val="Item"/>
      </w:pPr>
      <w:r w:rsidRPr="00A415D4">
        <w:t>Section</w:t>
      </w:r>
      <w:r w:rsidR="00A415D4" w:rsidRPr="00A415D4">
        <w:t> </w:t>
      </w:r>
      <w:r w:rsidRPr="00A415D4">
        <w:t xml:space="preserve">132B of the </w:t>
      </w:r>
      <w:r w:rsidRPr="00A415D4">
        <w:rPr>
          <w:i/>
        </w:rPr>
        <w:t>National Health Act 1953</w:t>
      </w:r>
      <w:r w:rsidRPr="00A415D4">
        <w:t xml:space="preserve">, as inserted by this Part, applies in relation </w:t>
      </w:r>
      <w:r w:rsidR="00E4265E" w:rsidRPr="00A415D4">
        <w:t xml:space="preserve">to information </w:t>
      </w:r>
      <w:r w:rsidRPr="00A415D4">
        <w:t>collected, accessed</w:t>
      </w:r>
      <w:r w:rsidR="00E4265E" w:rsidRPr="00A415D4">
        <w:t xml:space="preserve"> or obtained before, on or after the commencement of this item.</w:t>
      </w:r>
    </w:p>
    <w:p w:rsidR="0001024C" w:rsidRPr="00A415D4" w:rsidRDefault="0001024C" w:rsidP="00A415D4">
      <w:pPr>
        <w:pStyle w:val="ActHead7"/>
        <w:pageBreakBefore/>
      </w:pPr>
      <w:bookmarkStart w:id="16" w:name="_Toc27635454"/>
      <w:r w:rsidRPr="00A415D4">
        <w:rPr>
          <w:rStyle w:val="CharAmPartNo"/>
        </w:rPr>
        <w:lastRenderedPageBreak/>
        <w:t>Part</w:t>
      </w:r>
      <w:r w:rsidR="00A415D4" w:rsidRPr="00A415D4">
        <w:rPr>
          <w:rStyle w:val="CharAmPartNo"/>
        </w:rPr>
        <w:t> </w:t>
      </w:r>
      <w:r w:rsidRPr="00A415D4">
        <w:rPr>
          <w:rStyle w:val="CharAmPartNo"/>
        </w:rPr>
        <w:t>2</w:t>
      </w:r>
      <w:r w:rsidRPr="00A415D4">
        <w:t>—</w:t>
      </w:r>
      <w:r w:rsidRPr="00A415D4">
        <w:rPr>
          <w:rStyle w:val="CharAmPartText"/>
        </w:rPr>
        <w:t>Other amendments</w:t>
      </w:r>
      <w:bookmarkEnd w:id="16"/>
    </w:p>
    <w:p w:rsidR="000776CE" w:rsidRPr="00A415D4" w:rsidRDefault="000776CE" w:rsidP="00A415D4">
      <w:pPr>
        <w:pStyle w:val="ActHead9"/>
        <w:rPr>
          <w:i w:val="0"/>
        </w:rPr>
      </w:pPr>
      <w:bookmarkStart w:id="17" w:name="_Toc27635455"/>
      <w:r w:rsidRPr="00A415D4">
        <w:t>National Health Act 1953</w:t>
      </w:r>
      <w:bookmarkEnd w:id="17"/>
    </w:p>
    <w:p w:rsidR="000776CE" w:rsidRPr="00A415D4" w:rsidRDefault="003423B0" w:rsidP="00A415D4">
      <w:pPr>
        <w:pStyle w:val="ItemHead"/>
      </w:pPr>
      <w:r w:rsidRPr="00A415D4">
        <w:t>5</w:t>
      </w:r>
      <w:r w:rsidR="000776CE" w:rsidRPr="00A415D4">
        <w:t xml:space="preserve">  At the end of section</w:t>
      </w:r>
      <w:r w:rsidR="00A415D4" w:rsidRPr="00A415D4">
        <w:t> </w:t>
      </w:r>
      <w:r w:rsidR="000776CE" w:rsidRPr="00A415D4">
        <w:t>6</w:t>
      </w:r>
    </w:p>
    <w:p w:rsidR="000776CE" w:rsidRPr="00A415D4" w:rsidRDefault="000776CE" w:rsidP="00A415D4">
      <w:pPr>
        <w:pStyle w:val="Item"/>
      </w:pPr>
      <w:r w:rsidRPr="00A415D4">
        <w:t>Add:</w:t>
      </w:r>
    </w:p>
    <w:p w:rsidR="000776CE" w:rsidRPr="00A415D4" w:rsidRDefault="000776CE" w:rsidP="00A415D4">
      <w:pPr>
        <w:pStyle w:val="subsection"/>
      </w:pPr>
      <w:r w:rsidRPr="00A415D4">
        <w:tab/>
        <w:t>(9)</w:t>
      </w:r>
      <w:r w:rsidRPr="00A415D4">
        <w:tab/>
        <w:t>The Chief Executive Medicare may, either generally or as otherwise provided by the instrument of delegation, by writing signed by the Chief Executive Medicare, delegate to a person all or any of the Chief Executive Medicare’s powers under this Act, the regulations or another legislative instrument under this Act, other than this power of delegation.</w:t>
      </w:r>
    </w:p>
    <w:p w:rsidR="000776CE" w:rsidRPr="00A415D4" w:rsidRDefault="000776CE" w:rsidP="00A415D4">
      <w:pPr>
        <w:pStyle w:val="subsection"/>
      </w:pPr>
      <w:r w:rsidRPr="00A415D4">
        <w:tab/>
        <w:t>(10)</w:t>
      </w:r>
      <w:r w:rsidRPr="00A415D4">
        <w:tab/>
        <w:t xml:space="preserve">A power so delegated under </w:t>
      </w:r>
      <w:r w:rsidR="00A415D4" w:rsidRPr="00A415D4">
        <w:t>subsection (</w:t>
      </w:r>
      <w:r w:rsidRPr="00A415D4">
        <w:t xml:space="preserve">9), when exercised by the delegate, </w:t>
      </w:r>
      <w:r w:rsidR="00382D26" w:rsidRPr="00A415D4">
        <w:t>is,</w:t>
      </w:r>
      <w:r w:rsidRPr="00A415D4">
        <w:t xml:space="preserve"> for the purposes of this Act, the regulations or another legisl</w:t>
      </w:r>
      <w:r w:rsidR="00382D26" w:rsidRPr="00A415D4">
        <w:t>ative instrument under this Act,</w:t>
      </w:r>
      <w:r w:rsidRPr="00A415D4">
        <w:t xml:space="preserve"> </w:t>
      </w:r>
      <w:r w:rsidR="00382D26" w:rsidRPr="00A415D4">
        <w:t xml:space="preserve">taken </w:t>
      </w:r>
      <w:r w:rsidRPr="00A415D4">
        <w:t>to have been exercised by the Chief Executive Medicare.</w:t>
      </w:r>
    </w:p>
    <w:p w:rsidR="000776CE" w:rsidRPr="00A415D4" w:rsidRDefault="000776CE" w:rsidP="00A415D4">
      <w:pPr>
        <w:pStyle w:val="subsection"/>
      </w:pPr>
      <w:r w:rsidRPr="00A415D4">
        <w:tab/>
        <w:t>(11)</w:t>
      </w:r>
      <w:r w:rsidRPr="00A415D4">
        <w:tab/>
        <w:t xml:space="preserve">A delegate under </w:t>
      </w:r>
      <w:r w:rsidR="00A415D4" w:rsidRPr="00A415D4">
        <w:t>subsection (</w:t>
      </w:r>
      <w:r w:rsidRPr="00A415D4">
        <w:t>9) is, in the exercise of a power so delegated, subject to the directions (if any) of the Chief Executive Medicare.</w:t>
      </w:r>
    </w:p>
    <w:p w:rsidR="000776CE" w:rsidRPr="00A415D4" w:rsidRDefault="000776CE" w:rsidP="00A415D4">
      <w:pPr>
        <w:pStyle w:val="subsection"/>
      </w:pPr>
      <w:r w:rsidRPr="00A415D4">
        <w:tab/>
        <w:t>(12)</w:t>
      </w:r>
      <w:r w:rsidRPr="00A415D4">
        <w:tab/>
        <w:t xml:space="preserve">A delegation under </w:t>
      </w:r>
      <w:r w:rsidR="00A415D4" w:rsidRPr="00A415D4">
        <w:t>subsection (</w:t>
      </w:r>
      <w:r w:rsidRPr="00A415D4">
        <w:t>9) does not prevent the exercise of a power by the Chief Executive Medicare.</w:t>
      </w:r>
    </w:p>
    <w:p w:rsidR="000776CE" w:rsidRPr="00A415D4" w:rsidRDefault="000776CE" w:rsidP="00A415D4">
      <w:pPr>
        <w:pStyle w:val="ActHead7"/>
        <w:pageBreakBefore/>
      </w:pPr>
      <w:bookmarkStart w:id="18" w:name="_Toc27635456"/>
      <w:r w:rsidRPr="00A415D4">
        <w:rPr>
          <w:rStyle w:val="CharAmPartNo"/>
        </w:rPr>
        <w:lastRenderedPageBreak/>
        <w:t>Part</w:t>
      </w:r>
      <w:r w:rsidR="00A415D4" w:rsidRPr="00A415D4">
        <w:rPr>
          <w:rStyle w:val="CharAmPartNo"/>
        </w:rPr>
        <w:t> </w:t>
      </w:r>
      <w:r w:rsidRPr="00A415D4">
        <w:rPr>
          <w:rStyle w:val="CharAmPartNo"/>
        </w:rPr>
        <w:t>3</w:t>
      </w:r>
      <w:r w:rsidRPr="00A415D4">
        <w:t>—</w:t>
      </w:r>
      <w:r w:rsidRPr="00A415D4">
        <w:rPr>
          <w:rStyle w:val="CharAmPartText"/>
        </w:rPr>
        <w:t>Consequential amendments</w:t>
      </w:r>
      <w:bookmarkEnd w:id="18"/>
    </w:p>
    <w:p w:rsidR="000776CE" w:rsidRPr="00A415D4" w:rsidRDefault="000776CE" w:rsidP="00A415D4">
      <w:pPr>
        <w:pStyle w:val="ActHead9"/>
        <w:rPr>
          <w:i w:val="0"/>
        </w:rPr>
      </w:pPr>
      <w:bookmarkStart w:id="19" w:name="_Toc27635457"/>
      <w:r w:rsidRPr="00A415D4">
        <w:t>Health Insurance Act 1973</w:t>
      </w:r>
      <w:bookmarkEnd w:id="19"/>
    </w:p>
    <w:p w:rsidR="000776CE" w:rsidRPr="00A415D4" w:rsidRDefault="003423B0" w:rsidP="00A415D4">
      <w:pPr>
        <w:pStyle w:val="ItemHead"/>
      </w:pPr>
      <w:r w:rsidRPr="00A415D4">
        <w:t>6</w:t>
      </w:r>
      <w:r w:rsidR="000776CE" w:rsidRPr="00A415D4">
        <w:t xml:space="preserve">  After subsection</w:t>
      </w:r>
      <w:r w:rsidR="00A415D4" w:rsidRPr="00A415D4">
        <w:t> </w:t>
      </w:r>
      <w:r w:rsidR="000776CE" w:rsidRPr="00A415D4">
        <w:t>130(5H)</w:t>
      </w:r>
    </w:p>
    <w:p w:rsidR="000776CE" w:rsidRPr="00A415D4" w:rsidRDefault="000776CE" w:rsidP="00A415D4">
      <w:pPr>
        <w:pStyle w:val="Item"/>
      </w:pPr>
      <w:r w:rsidRPr="00A415D4">
        <w:t>Insert:</w:t>
      </w:r>
    </w:p>
    <w:p w:rsidR="000776CE" w:rsidRPr="00A415D4" w:rsidRDefault="000776CE" w:rsidP="00A415D4">
      <w:pPr>
        <w:pStyle w:val="subsection"/>
      </w:pPr>
      <w:r w:rsidRPr="00A415D4">
        <w:tab/>
        <w:t>(5J)</w:t>
      </w:r>
      <w:r w:rsidRPr="00A415D4">
        <w:tab/>
        <w:t>Notwithstanding anything contained in the preceding provisions of this section, a person may divulge information to a Commonwealth entity for the purpose of facilitating the matching of that information by the Commonwealth entity under subsection</w:t>
      </w:r>
      <w:r w:rsidR="00A415D4" w:rsidRPr="00A415D4">
        <w:t> </w:t>
      </w:r>
      <w:r w:rsidRPr="00A415D4">
        <w:t xml:space="preserve">132B(1) of the </w:t>
      </w:r>
      <w:r w:rsidRPr="00A415D4">
        <w:rPr>
          <w:i/>
        </w:rPr>
        <w:t>National Health Act 1953</w:t>
      </w:r>
      <w:r w:rsidRPr="00A415D4">
        <w:t>.</w:t>
      </w:r>
    </w:p>
    <w:p w:rsidR="000776CE" w:rsidRPr="00A415D4" w:rsidRDefault="000776CE" w:rsidP="00A415D4">
      <w:pPr>
        <w:pStyle w:val="ActHead9"/>
        <w:rPr>
          <w:i w:val="0"/>
        </w:rPr>
      </w:pPr>
      <w:bookmarkStart w:id="20" w:name="_Toc27635458"/>
      <w:r w:rsidRPr="00A415D4">
        <w:t>Privacy Act 1988</w:t>
      </w:r>
      <w:bookmarkEnd w:id="20"/>
    </w:p>
    <w:p w:rsidR="000776CE" w:rsidRPr="00A415D4" w:rsidRDefault="003423B0" w:rsidP="00A415D4">
      <w:pPr>
        <w:pStyle w:val="ItemHead"/>
      </w:pPr>
      <w:r w:rsidRPr="00A415D4">
        <w:t>7</w:t>
      </w:r>
      <w:r w:rsidR="000776CE" w:rsidRPr="00A415D4">
        <w:t xml:space="preserve">  At the end of subsection</w:t>
      </w:r>
      <w:r w:rsidR="00A415D4" w:rsidRPr="00A415D4">
        <w:t> </w:t>
      </w:r>
      <w:r w:rsidR="000776CE" w:rsidRPr="00A415D4">
        <w:t>33C(1)</w:t>
      </w:r>
    </w:p>
    <w:p w:rsidR="000776CE" w:rsidRPr="00A415D4" w:rsidRDefault="000776CE" w:rsidP="00A415D4">
      <w:pPr>
        <w:pStyle w:val="Item"/>
      </w:pPr>
      <w:r w:rsidRPr="00A415D4">
        <w:t>Add:</w:t>
      </w:r>
    </w:p>
    <w:p w:rsidR="000776CE" w:rsidRPr="00A415D4" w:rsidRDefault="000776CE" w:rsidP="00A415D4">
      <w:pPr>
        <w:pStyle w:val="paragraph"/>
      </w:pPr>
      <w:r w:rsidRPr="00A415D4">
        <w:tab/>
        <w:t>; (f)</w:t>
      </w:r>
      <w:r w:rsidRPr="00A415D4">
        <w:tab/>
        <w:t>whether the matching of information under Part</w:t>
      </w:r>
      <w:r w:rsidR="00A415D4" w:rsidRPr="00A415D4">
        <w:t> </w:t>
      </w:r>
      <w:r w:rsidRPr="00A415D4">
        <w:t xml:space="preserve">VIIIA of the </w:t>
      </w:r>
      <w:r w:rsidRPr="00A415D4">
        <w:rPr>
          <w:i/>
        </w:rPr>
        <w:t>National Health Act 1953</w:t>
      </w:r>
      <w:r w:rsidRPr="00A415D4">
        <w:t>, and the handling of information relating to that matching, is in accordance with that Part, including:</w:t>
      </w:r>
    </w:p>
    <w:p w:rsidR="000776CE" w:rsidRPr="00A415D4" w:rsidRDefault="000776CE" w:rsidP="00A415D4">
      <w:pPr>
        <w:pStyle w:val="paragraphsub"/>
      </w:pPr>
      <w:r w:rsidRPr="00A415D4">
        <w:tab/>
        <w:t>(</w:t>
      </w:r>
      <w:proofErr w:type="spellStart"/>
      <w:r w:rsidRPr="00A415D4">
        <w:t>i</w:t>
      </w:r>
      <w:proofErr w:type="spellEnd"/>
      <w:r w:rsidRPr="00A415D4">
        <w:t>)</w:t>
      </w:r>
      <w:r w:rsidRPr="00A415D4">
        <w:tab/>
        <w:t xml:space="preserve">any terms and conditions relating to the matching of the information determined by the Chief Executive Medicare under </w:t>
      </w:r>
      <w:r w:rsidR="00B1149B" w:rsidRPr="00A415D4">
        <w:t>paragraph</w:t>
      </w:r>
      <w:r w:rsidR="00A415D4" w:rsidRPr="00A415D4">
        <w:t> </w:t>
      </w:r>
      <w:r w:rsidRPr="00A415D4">
        <w:t>132B</w:t>
      </w:r>
      <w:r w:rsidR="00B1149B" w:rsidRPr="00A415D4">
        <w:t>(3)(a)</w:t>
      </w:r>
      <w:r w:rsidRPr="00A415D4">
        <w:t xml:space="preserve"> of that Act; and</w:t>
      </w:r>
    </w:p>
    <w:p w:rsidR="000776CE" w:rsidRPr="00A415D4" w:rsidRDefault="000776CE" w:rsidP="00A415D4">
      <w:pPr>
        <w:pStyle w:val="paragraphsub"/>
      </w:pPr>
      <w:r w:rsidRPr="00A415D4">
        <w:tab/>
        <w:t>(ii)</w:t>
      </w:r>
      <w:r w:rsidRPr="00A415D4">
        <w:tab/>
        <w:t>the principles made by the Minister under subsection</w:t>
      </w:r>
      <w:r w:rsidR="00A415D4" w:rsidRPr="00A415D4">
        <w:t> </w:t>
      </w:r>
      <w:r w:rsidRPr="00A415D4">
        <w:t>132F(1) of that Act.</w:t>
      </w:r>
    </w:p>
    <w:p w:rsidR="000776CE" w:rsidRPr="00A415D4" w:rsidRDefault="000776CE" w:rsidP="00A415D4">
      <w:pPr>
        <w:pStyle w:val="ActHead9"/>
        <w:rPr>
          <w:i w:val="0"/>
        </w:rPr>
      </w:pPr>
      <w:bookmarkStart w:id="21" w:name="_Toc27635459"/>
      <w:r w:rsidRPr="00A415D4">
        <w:t>Private Health Insurance Act 2007</w:t>
      </w:r>
      <w:bookmarkEnd w:id="21"/>
    </w:p>
    <w:p w:rsidR="000776CE" w:rsidRPr="00A415D4" w:rsidRDefault="003423B0" w:rsidP="00A415D4">
      <w:pPr>
        <w:pStyle w:val="ItemHead"/>
      </w:pPr>
      <w:r w:rsidRPr="00A415D4">
        <w:t>8</w:t>
      </w:r>
      <w:r w:rsidR="000776CE" w:rsidRPr="00A415D4">
        <w:t xml:space="preserve">  At the end of section</w:t>
      </w:r>
      <w:r w:rsidR="00A415D4" w:rsidRPr="00A415D4">
        <w:t> </w:t>
      </w:r>
      <w:r w:rsidR="000776CE" w:rsidRPr="00A415D4">
        <w:t>323</w:t>
      </w:r>
      <w:r w:rsidR="00DE17CA">
        <w:noBreakHyphen/>
      </w:r>
      <w:r w:rsidR="000776CE" w:rsidRPr="00A415D4">
        <w:t>1</w:t>
      </w:r>
    </w:p>
    <w:p w:rsidR="000776CE" w:rsidRPr="00A415D4" w:rsidRDefault="000776CE" w:rsidP="00A415D4">
      <w:pPr>
        <w:pStyle w:val="Item"/>
      </w:pPr>
      <w:r w:rsidRPr="00A415D4">
        <w:t>Add:</w:t>
      </w:r>
    </w:p>
    <w:p w:rsidR="000776CE" w:rsidRPr="00A415D4" w:rsidRDefault="000776CE" w:rsidP="00A415D4">
      <w:pPr>
        <w:pStyle w:val="notetext"/>
        <w:rPr>
          <w:i/>
        </w:rPr>
      </w:pPr>
      <w:r w:rsidRPr="00A415D4">
        <w:t>Note:</w:t>
      </w:r>
      <w:r w:rsidRPr="00A415D4">
        <w:tab/>
        <w:t>A disclosure in accordance with subsection</w:t>
      </w:r>
      <w:r w:rsidR="00A415D4" w:rsidRPr="00A415D4">
        <w:t> </w:t>
      </w:r>
      <w:r w:rsidRPr="00A415D4">
        <w:t xml:space="preserve">132D(1) of the </w:t>
      </w:r>
      <w:r w:rsidRPr="00A415D4">
        <w:rPr>
          <w:i/>
        </w:rPr>
        <w:t>National Health Act 1953</w:t>
      </w:r>
      <w:r w:rsidRPr="00A415D4">
        <w:t xml:space="preserve"> is also taken to be an </w:t>
      </w:r>
      <w:r w:rsidRPr="00A415D4">
        <w:rPr>
          <w:b/>
          <w:i/>
        </w:rPr>
        <w:t>authorised disclosure</w:t>
      </w:r>
      <w:r w:rsidRPr="00A415D4">
        <w:t xml:space="preserve"> for the purposes of this section: see subsection</w:t>
      </w:r>
      <w:r w:rsidR="00A415D4" w:rsidRPr="00A415D4">
        <w:t> </w:t>
      </w:r>
      <w:r w:rsidRPr="00A415D4">
        <w:t xml:space="preserve">132D(3) of the </w:t>
      </w:r>
      <w:r w:rsidRPr="00A415D4">
        <w:rPr>
          <w:i/>
        </w:rPr>
        <w:t>National Health Act 1953</w:t>
      </w:r>
      <w:r w:rsidRPr="00A415D4">
        <w:t>.</w:t>
      </w:r>
    </w:p>
    <w:p w:rsidR="000776CE" w:rsidRPr="00A415D4" w:rsidRDefault="000776CE" w:rsidP="00A415D4">
      <w:pPr>
        <w:pStyle w:val="ActHead9"/>
        <w:rPr>
          <w:i w:val="0"/>
        </w:rPr>
      </w:pPr>
      <w:bookmarkStart w:id="22" w:name="_Toc27635460"/>
      <w:r w:rsidRPr="00A415D4">
        <w:lastRenderedPageBreak/>
        <w:t>Therapeutic Goods Act 1989</w:t>
      </w:r>
      <w:bookmarkEnd w:id="22"/>
    </w:p>
    <w:p w:rsidR="000776CE" w:rsidRPr="00A415D4" w:rsidRDefault="003423B0" w:rsidP="00A415D4">
      <w:pPr>
        <w:pStyle w:val="ItemHead"/>
      </w:pPr>
      <w:r w:rsidRPr="00A415D4">
        <w:t>9</w:t>
      </w:r>
      <w:r w:rsidR="000776CE" w:rsidRPr="00A415D4">
        <w:t xml:space="preserve">  At the end of subsection</w:t>
      </w:r>
      <w:r w:rsidR="00A415D4" w:rsidRPr="00A415D4">
        <w:t> </w:t>
      </w:r>
      <w:r w:rsidR="000776CE" w:rsidRPr="00A415D4">
        <w:t>61(8)</w:t>
      </w:r>
    </w:p>
    <w:p w:rsidR="000776CE" w:rsidRPr="00A415D4" w:rsidRDefault="000776CE" w:rsidP="00A415D4">
      <w:pPr>
        <w:pStyle w:val="Item"/>
      </w:pPr>
      <w:r w:rsidRPr="00A415D4">
        <w:t>Add:</w:t>
      </w:r>
    </w:p>
    <w:p w:rsidR="000776CE" w:rsidRPr="00A415D4" w:rsidRDefault="000776CE" w:rsidP="00A415D4">
      <w:pPr>
        <w:pStyle w:val="notetext"/>
      </w:pPr>
      <w:r w:rsidRPr="00A415D4">
        <w:t>Note:</w:t>
      </w:r>
      <w:r w:rsidRPr="00A415D4">
        <w:tab/>
        <w:t>The Secretary may also disclose therapeutic goods information provided to the Department to the Chief Executive Medicare for the purpose of certain data</w:t>
      </w:r>
      <w:r w:rsidR="00DE17CA">
        <w:noBreakHyphen/>
      </w:r>
      <w:r w:rsidRPr="00A415D4">
        <w:t>matching: see section</w:t>
      </w:r>
      <w:r w:rsidR="00A415D4" w:rsidRPr="00A415D4">
        <w:t> </w:t>
      </w:r>
      <w:r w:rsidRPr="00A415D4">
        <w:t xml:space="preserve">132C of the </w:t>
      </w:r>
      <w:r w:rsidRPr="00A415D4">
        <w:rPr>
          <w:i/>
        </w:rPr>
        <w:t>National Health Act 1953</w:t>
      </w:r>
      <w:r w:rsidRPr="00A415D4">
        <w:t>.</w:t>
      </w:r>
    </w:p>
    <w:p w:rsidR="000776CE" w:rsidRPr="00A415D4" w:rsidRDefault="000776CE" w:rsidP="00A415D4">
      <w:pPr>
        <w:pStyle w:val="ActHead6"/>
        <w:pageBreakBefore/>
      </w:pPr>
      <w:bookmarkStart w:id="23" w:name="_Toc27635461"/>
      <w:bookmarkStart w:id="24" w:name="opcCurrentFind"/>
      <w:r w:rsidRPr="00A415D4">
        <w:rPr>
          <w:rStyle w:val="CharAmSchNo"/>
        </w:rPr>
        <w:lastRenderedPageBreak/>
        <w:t>Schedule</w:t>
      </w:r>
      <w:r w:rsidR="00A415D4" w:rsidRPr="00A415D4">
        <w:rPr>
          <w:rStyle w:val="CharAmSchNo"/>
        </w:rPr>
        <w:t> </w:t>
      </w:r>
      <w:r w:rsidRPr="00A415D4">
        <w:rPr>
          <w:rStyle w:val="CharAmSchNo"/>
        </w:rPr>
        <w:t>2</w:t>
      </w:r>
      <w:r w:rsidRPr="00A415D4">
        <w:t>—</w:t>
      </w:r>
      <w:r w:rsidRPr="00A415D4">
        <w:rPr>
          <w:rStyle w:val="CharAmSchText"/>
        </w:rPr>
        <w:t>Other amendments</w:t>
      </w:r>
      <w:bookmarkEnd w:id="23"/>
    </w:p>
    <w:p w:rsidR="000776CE" w:rsidRPr="00A415D4" w:rsidRDefault="000776CE" w:rsidP="00A415D4">
      <w:pPr>
        <w:pStyle w:val="ActHead7"/>
      </w:pPr>
      <w:bookmarkStart w:id="25" w:name="_Toc27635462"/>
      <w:bookmarkEnd w:id="24"/>
      <w:r w:rsidRPr="00A415D4">
        <w:rPr>
          <w:rStyle w:val="CharAmPartNo"/>
        </w:rPr>
        <w:t>Part</w:t>
      </w:r>
      <w:r w:rsidR="00A415D4" w:rsidRPr="00A415D4">
        <w:rPr>
          <w:rStyle w:val="CharAmPartNo"/>
        </w:rPr>
        <w:t> </w:t>
      </w:r>
      <w:r w:rsidRPr="00A415D4">
        <w:rPr>
          <w:rStyle w:val="CharAmPartNo"/>
        </w:rPr>
        <w:t>1</w:t>
      </w:r>
      <w:r w:rsidRPr="00A415D4">
        <w:t>—</w:t>
      </w:r>
      <w:r w:rsidRPr="00A415D4">
        <w:rPr>
          <w:rStyle w:val="CharAmPartText"/>
        </w:rPr>
        <w:t>Professional Services Review Scheme</w:t>
      </w:r>
      <w:bookmarkEnd w:id="25"/>
    </w:p>
    <w:p w:rsidR="0001024C" w:rsidRPr="00A415D4" w:rsidRDefault="0001024C" w:rsidP="00A415D4">
      <w:pPr>
        <w:pStyle w:val="ActHead9"/>
        <w:rPr>
          <w:i w:val="0"/>
        </w:rPr>
      </w:pPr>
      <w:bookmarkStart w:id="26" w:name="_Toc27635463"/>
      <w:r w:rsidRPr="00A415D4">
        <w:t>Health Insurance Act 1973</w:t>
      </w:r>
      <w:bookmarkEnd w:id="26"/>
    </w:p>
    <w:p w:rsidR="00480E38" w:rsidRPr="00A415D4" w:rsidRDefault="003423B0" w:rsidP="00A415D4">
      <w:pPr>
        <w:pStyle w:val="ItemHead"/>
      </w:pPr>
      <w:r w:rsidRPr="00A415D4">
        <w:t>1</w:t>
      </w:r>
      <w:r w:rsidR="00480E38" w:rsidRPr="00A415D4">
        <w:t xml:space="preserve">  Subsection</w:t>
      </w:r>
      <w:r w:rsidR="00A415D4" w:rsidRPr="00A415D4">
        <w:t> </w:t>
      </w:r>
      <w:r w:rsidR="00480E38" w:rsidRPr="00A415D4">
        <w:t>81(1)</w:t>
      </w:r>
    </w:p>
    <w:p w:rsidR="00480E38" w:rsidRPr="00A415D4" w:rsidRDefault="00480E38" w:rsidP="00A415D4">
      <w:pPr>
        <w:pStyle w:val="Item"/>
      </w:pPr>
      <w:r w:rsidRPr="00A415D4">
        <w:t>Insert:</w:t>
      </w:r>
    </w:p>
    <w:p w:rsidR="00480E38" w:rsidRPr="00A415D4" w:rsidRDefault="00E87C74" w:rsidP="00A415D4">
      <w:pPr>
        <w:pStyle w:val="Definition"/>
      </w:pPr>
      <w:r w:rsidRPr="00A415D4">
        <w:rPr>
          <w:b/>
          <w:i/>
        </w:rPr>
        <w:t>relevant</w:t>
      </w:r>
      <w:r w:rsidR="00480E38" w:rsidRPr="00A415D4">
        <w:rPr>
          <w:b/>
          <w:i/>
        </w:rPr>
        <w:t xml:space="preserve"> DVA </w:t>
      </w:r>
      <w:r w:rsidRPr="00A415D4">
        <w:rPr>
          <w:b/>
          <w:i/>
        </w:rPr>
        <w:t>law</w:t>
      </w:r>
      <w:r w:rsidR="00480E38" w:rsidRPr="00A415D4">
        <w:t xml:space="preserve"> means </w:t>
      </w:r>
      <w:r w:rsidR="00665BF8" w:rsidRPr="00A415D4">
        <w:t xml:space="preserve">any of </w:t>
      </w:r>
      <w:r w:rsidR="00480E38" w:rsidRPr="00A415D4">
        <w:t>the following:</w:t>
      </w:r>
    </w:p>
    <w:p w:rsidR="00480E38" w:rsidRPr="00A415D4" w:rsidRDefault="00480E38" w:rsidP="00A415D4">
      <w:pPr>
        <w:pStyle w:val="paragraph"/>
      </w:pPr>
      <w:r w:rsidRPr="00A415D4">
        <w:tab/>
        <w:t>(a)</w:t>
      </w:r>
      <w:r w:rsidRPr="00A415D4">
        <w:tab/>
      </w:r>
      <w:r w:rsidR="00BF4D29" w:rsidRPr="00A415D4">
        <w:t xml:space="preserve">the </w:t>
      </w:r>
      <w:r w:rsidR="00BF4D29" w:rsidRPr="00A415D4">
        <w:rPr>
          <w:i/>
        </w:rPr>
        <w:t>Australian Participants in British Nuclear Tests and British Commonwealth Occupation Force (Treatment) Act 2006</w:t>
      </w:r>
      <w:r w:rsidR="00BF4D29" w:rsidRPr="00A415D4">
        <w:t>;</w:t>
      </w:r>
    </w:p>
    <w:p w:rsidR="00BF4D29" w:rsidRPr="00A415D4" w:rsidRDefault="00BF4D29" w:rsidP="00A415D4">
      <w:pPr>
        <w:pStyle w:val="paragraph"/>
      </w:pPr>
      <w:r w:rsidRPr="00A415D4">
        <w:tab/>
        <w:t>(b)</w:t>
      </w:r>
      <w:r w:rsidRPr="00A415D4">
        <w:tab/>
        <w:t>Chapter</w:t>
      </w:r>
      <w:r w:rsidR="00A415D4" w:rsidRPr="00A415D4">
        <w:t> </w:t>
      </w:r>
      <w:r w:rsidRPr="00A415D4">
        <w:t xml:space="preserve">6 of the </w:t>
      </w:r>
      <w:r w:rsidRPr="00A415D4">
        <w:rPr>
          <w:i/>
        </w:rPr>
        <w:t>Military Rehabilitation and Compensation Act 2004</w:t>
      </w:r>
      <w:r w:rsidRPr="00A415D4">
        <w:t>;</w:t>
      </w:r>
    </w:p>
    <w:p w:rsidR="00BF4D29" w:rsidRPr="00A415D4" w:rsidRDefault="00BF4D29" w:rsidP="00A415D4">
      <w:pPr>
        <w:pStyle w:val="paragraph"/>
      </w:pPr>
      <w:r w:rsidRPr="00A415D4">
        <w:tab/>
        <w:t>(c)</w:t>
      </w:r>
      <w:r w:rsidRPr="00A415D4">
        <w:tab/>
        <w:t xml:space="preserve">the </w:t>
      </w:r>
      <w:r w:rsidRPr="00A415D4">
        <w:rPr>
          <w:i/>
        </w:rPr>
        <w:t>Safety, Rehabilitation and Compensation (Defence</w:t>
      </w:r>
      <w:r w:rsidR="00DE17CA">
        <w:rPr>
          <w:i/>
        </w:rPr>
        <w:noBreakHyphen/>
      </w:r>
      <w:r w:rsidRPr="00A415D4">
        <w:rPr>
          <w:i/>
        </w:rPr>
        <w:t>related Claims) Act 1988</w:t>
      </w:r>
      <w:r w:rsidRPr="00A415D4">
        <w:t>;</w:t>
      </w:r>
    </w:p>
    <w:p w:rsidR="006B3A79" w:rsidRPr="00A415D4" w:rsidRDefault="006B3A79" w:rsidP="00A415D4">
      <w:pPr>
        <w:pStyle w:val="paragraph"/>
      </w:pPr>
      <w:r w:rsidRPr="00A415D4">
        <w:tab/>
        <w:t>(d)</w:t>
      </w:r>
      <w:r w:rsidRPr="00A415D4">
        <w:tab/>
        <w:t xml:space="preserve">the </w:t>
      </w:r>
      <w:r w:rsidRPr="00A415D4">
        <w:rPr>
          <w:i/>
        </w:rPr>
        <w:t>Treatment Benefits (Special Access) Act 2019;</w:t>
      </w:r>
    </w:p>
    <w:p w:rsidR="00BF4D29" w:rsidRPr="00A415D4" w:rsidRDefault="006B3A79" w:rsidP="00A415D4">
      <w:pPr>
        <w:pStyle w:val="paragraph"/>
      </w:pPr>
      <w:r w:rsidRPr="00A415D4">
        <w:tab/>
        <w:t>(e</w:t>
      </w:r>
      <w:r w:rsidR="00BF4D29" w:rsidRPr="00A415D4">
        <w:t>)</w:t>
      </w:r>
      <w:r w:rsidR="00BF4D29" w:rsidRPr="00A415D4">
        <w:tab/>
        <w:t>Part</w:t>
      </w:r>
      <w:r w:rsidR="00A415D4" w:rsidRPr="00A415D4">
        <w:t> </w:t>
      </w:r>
      <w:r w:rsidR="00BF4D29" w:rsidRPr="00A415D4">
        <w:t xml:space="preserve">V of the </w:t>
      </w:r>
      <w:r w:rsidR="00BF4D29" w:rsidRPr="00A415D4">
        <w:rPr>
          <w:i/>
        </w:rPr>
        <w:t>Veterans</w:t>
      </w:r>
      <w:r w:rsidR="00AB75DE" w:rsidRPr="00A415D4">
        <w:rPr>
          <w:i/>
        </w:rPr>
        <w:t>’</w:t>
      </w:r>
      <w:r w:rsidR="00BF4D29" w:rsidRPr="00A415D4">
        <w:rPr>
          <w:i/>
        </w:rPr>
        <w:t xml:space="preserve"> Entitlements Act 1986</w:t>
      </w:r>
      <w:r w:rsidR="004D21CB" w:rsidRPr="00A415D4">
        <w:t>;</w:t>
      </w:r>
    </w:p>
    <w:p w:rsidR="004D21CB" w:rsidRPr="00A415D4" w:rsidRDefault="004D21CB" w:rsidP="00A415D4">
      <w:pPr>
        <w:pStyle w:val="paragraph"/>
      </w:pPr>
      <w:r w:rsidRPr="00A415D4">
        <w:tab/>
        <w:t>(f)</w:t>
      </w:r>
      <w:r w:rsidRPr="00A415D4">
        <w:tab/>
        <w:t>any other Commonwealth law prescribed by the regulations for the purposes of this paragraph.</w:t>
      </w:r>
    </w:p>
    <w:p w:rsidR="0001024C" w:rsidRPr="00A415D4" w:rsidRDefault="003423B0" w:rsidP="00A415D4">
      <w:pPr>
        <w:pStyle w:val="ItemHead"/>
      </w:pPr>
      <w:r w:rsidRPr="00A415D4">
        <w:t>2</w:t>
      </w:r>
      <w:r w:rsidR="0001024C" w:rsidRPr="00A415D4">
        <w:t xml:space="preserve">  Subsection</w:t>
      </w:r>
      <w:r w:rsidR="00A415D4" w:rsidRPr="00A415D4">
        <w:t> </w:t>
      </w:r>
      <w:r w:rsidR="0001024C" w:rsidRPr="00A415D4">
        <w:t xml:space="preserve">81(1) (after </w:t>
      </w:r>
      <w:r w:rsidR="00A415D4" w:rsidRPr="00A415D4">
        <w:t>paragraph (</w:t>
      </w:r>
      <w:r w:rsidR="0001024C" w:rsidRPr="00A415D4">
        <w:t xml:space="preserve">b) of the definition of </w:t>
      </w:r>
      <w:r w:rsidR="0001024C" w:rsidRPr="00A415D4">
        <w:rPr>
          <w:i/>
        </w:rPr>
        <w:t>service</w:t>
      </w:r>
      <w:r w:rsidR="0001024C" w:rsidRPr="00A415D4">
        <w:t>)</w:t>
      </w:r>
    </w:p>
    <w:p w:rsidR="0001024C" w:rsidRPr="00A415D4" w:rsidRDefault="0001024C" w:rsidP="00A415D4">
      <w:pPr>
        <w:pStyle w:val="Item"/>
      </w:pPr>
      <w:r w:rsidRPr="00A415D4">
        <w:t>Insert:</w:t>
      </w:r>
    </w:p>
    <w:p w:rsidR="0001024C" w:rsidRPr="00A415D4" w:rsidRDefault="0001024C" w:rsidP="00A415D4">
      <w:pPr>
        <w:pStyle w:val="paragraph"/>
      </w:pPr>
      <w:r w:rsidRPr="00A415D4">
        <w:tab/>
        <w:t>; or (c)</w:t>
      </w:r>
      <w:r w:rsidRPr="00A415D4">
        <w:tab/>
        <w:t>a service that:</w:t>
      </w:r>
    </w:p>
    <w:p w:rsidR="0001024C" w:rsidRPr="00A415D4" w:rsidRDefault="0001024C" w:rsidP="00A415D4">
      <w:pPr>
        <w:pStyle w:val="paragraphsub"/>
      </w:pPr>
      <w:r w:rsidRPr="00A415D4">
        <w:tab/>
        <w:t>(</w:t>
      </w:r>
      <w:proofErr w:type="spellStart"/>
      <w:r w:rsidRPr="00A415D4">
        <w:t>i</w:t>
      </w:r>
      <w:proofErr w:type="spellEnd"/>
      <w:r w:rsidRPr="00A415D4">
        <w:t>)</w:t>
      </w:r>
      <w:r w:rsidRPr="00A415D4">
        <w:tab/>
        <w:t xml:space="preserve">has been rendered in connection with the provision of treatment under </w:t>
      </w:r>
      <w:r w:rsidR="00E87C74" w:rsidRPr="00A415D4">
        <w:t>a relevant</w:t>
      </w:r>
      <w:r w:rsidR="00BF4D29" w:rsidRPr="00A415D4">
        <w:t xml:space="preserve"> DVA l</w:t>
      </w:r>
      <w:r w:rsidR="00E87C74" w:rsidRPr="00A415D4">
        <w:t>aw</w:t>
      </w:r>
      <w:r w:rsidR="00BF4D29" w:rsidRPr="00A415D4">
        <w:t xml:space="preserve">; </w:t>
      </w:r>
      <w:r w:rsidR="009B3FAF" w:rsidRPr="00A415D4">
        <w:t>and</w:t>
      </w:r>
    </w:p>
    <w:p w:rsidR="0001024C" w:rsidRPr="00A415D4" w:rsidRDefault="0001024C" w:rsidP="00A415D4">
      <w:pPr>
        <w:pStyle w:val="paragraphsub"/>
      </w:pPr>
      <w:r w:rsidRPr="00A415D4">
        <w:tab/>
        <w:t>(ii)</w:t>
      </w:r>
      <w:r w:rsidRPr="00A415D4">
        <w:tab/>
        <w:t xml:space="preserve">is of a kind that, if the service had not been rendered </w:t>
      </w:r>
      <w:r w:rsidR="00FB21A7" w:rsidRPr="00A415D4">
        <w:t xml:space="preserve">in connection with the provision of treatment under the </w:t>
      </w:r>
      <w:r w:rsidR="00E87C74" w:rsidRPr="00A415D4">
        <w:t>relevant</w:t>
      </w:r>
      <w:r w:rsidR="00BF4D29" w:rsidRPr="00A415D4">
        <w:t xml:space="preserve"> DVA l</w:t>
      </w:r>
      <w:r w:rsidR="00E87C74" w:rsidRPr="00A415D4">
        <w:t>aw</w:t>
      </w:r>
      <w:r w:rsidRPr="00A415D4">
        <w:t xml:space="preserve">, </w:t>
      </w:r>
      <w:proofErr w:type="spellStart"/>
      <w:r w:rsidRPr="00A415D4">
        <w:t>medicare</w:t>
      </w:r>
      <w:proofErr w:type="spellEnd"/>
      <w:r w:rsidRPr="00A415D4">
        <w:t xml:space="preserve"> benefit or dental benefit would have been payab</w:t>
      </w:r>
      <w:r w:rsidR="00612E04" w:rsidRPr="00A415D4">
        <w:t>le in respect of the service</w:t>
      </w:r>
      <w:r w:rsidR="009B3FAF" w:rsidRPr="00A415D4">
        <w:t>.</w:t>
      </w:r>
    </w:p>
    <w:p w:rsidR="00E43E90" w:rsidRPr="00A415D4" w:rsidRDefault="003423B0" w:rsidP="00A415D4">
      <w:pPr>
        <w:pStyle w:val="ItemHead"/>
      </w:pPr>
      <w:r w:rsidRPr="00A415D4">
        <w:t>3</w:t>
      </w:r>
      <w:r w:rsidR="00E43E90" w:rsidRPr="00A415D4">
        <w:t xml:space="preserve">  Subsection</w:t>
      </w:r>
      <w:r w:rsidR="00A415D4" w:rsidRPr="00A415D4">
        <w:t> </w:t>
      </w:r>
      <w:r w:rsidR="00E43E90" w:rsidRPr="00A415D4">
        <w:t>82(1)</w:t>
      </w:r>
    </w:p>
    <w:p w:rsidR="00E43E90" w:rsidRPr="00A415D4" w:rsidRDefault="00E43E90" w:rsidP="00A415D4">
      <w:pPr>
        <w:pStyle w:val="Item"/>
      </w:pPr>
      <w:r w:rsidRPr="00A415D4">
        <w:t xml:space="preserve">After </w:t>
      </w:r>
      <w:r w:rsidR="00AB75DE" w:rsidRPr="00A415D4">
        <w:t>“</w:t>
      </w:r>
      <w:r w:rsidRPr="00A415D4">
        <w:t>initiating services</w:t>
      </w:r>
      <w:r w:rsidR="00AB75DE" w:rsidRPr="00A415D4">
        <w:t>”</w:t>
      </w:r>
      <w:r w:rsidRPr="00A415D4">
        <w:t xml:space="preserve">, insert </w:t>
      </w:r>
      <w:r w:rsidR="00AB75DE" w:rsidRPr="00A415D4">
        <w:t>“</w:t>
      </w:r>
      <w:r w:rsidRPr="00A415D4">
        <w:t xml:space="preserve">(other than a service of a kind referred to in </w:t>
      </w:r>
      <w:r w:rsidR="00A415D4" w:rsidRPr="00A415D4">
        <w:t>paragraph (</w:t>
      </w:r>
      <w:r w:rsidRPr="00A415D4">
        <w:t xml:space="preserve">c) of the definition of </w:t>
      </w:r>
      <w:r w:rsidRPr="00A415D4">
        <w:rPr>
          <w:b/>
          <w:i/>
        </w:rPr>
        <w:t>service</w:t>
      </w:r>
      <w:r w:rsidRPr="00A415D4">
        <w:t xml:space="preserve"> in </w:t>
      </w:r>
      <w:r w:rsidR="00665BF8" w:rsidRPr="00A415D4">
        <w:t>sub</w:t>
      </w:r>
      <w:r w:rsidRPr="00A415D4">
        <w:t>section</w:t>
      </w:r>
      <w:r w:rsidR="00A415D4" w:rsidRPr="00A415D4">
        <w:t> </w:t>
      </w:r>
      <w:r w:rsidRPr="00A415D4">
        <w:t>81</w:t>
      </w:r>
      <w:r w:rsidR="00665BF8" w:rsidRPr="00A415D4">
        <w:t>(1)</w:t>
      </w:r>
      <w:r w:rsidRPr="00A415D4">
        <w:t>)</w:t>
      </w:r>
      <w:r w:rsidR="007D5D1E" w:rsidRPr="00A415D4">
        <w:t>”</w:t>
      </w:r>
      <w:r w:rsidRPr="00A415D4">
        <w:t>.</w:t>
      </w:r>
    </w:p>
    <w:p w:rsidR="0001024C" w:rsidRPr="00A415D4" w:rsidRDefault="003423B0" w:rsidP="00A415D4">
      <w:pPr>
        <w:pStyle w:val="ItemHead"/>
      </w:pPr>
      <w:r w:rsidRPr="00A415D4">
        <w:lastRenderedPageBreak/>
        <w:t>4</w:t>
      </w:r>
      <w:r w:rsidR="0001024C" w:rsidRPr="00A415D4">
        <w:t xml:space="preserve">  After paragraph</w:t>
      </w:r>
      <w:r w:rsidR="00A415D4" w:rsidRPr="00A415D4">
        <w:t> </w:t>
      </w:r>
      <w:r w:rsidR="0001024C" w:rsidRPr="00A415D4">
        <w:t>92(2)(c)</w:t>
      </w:r>
    </w:p>
    <w:p w:rsidR="0001024C" w:rsidRPr="00A415D4" w:rsidRDefault="0001024C" w:rsidP="00A415D4">
      <w:pPr>
        <w:pStyle w:val="Item"/>
      </w:pPr>
      <w:r w:rsidRPr="00A415D4">
        <w:t>Insert:</w:t>
      </w:r>
    </w:p>
    <w:p w:rsidR="00B02A1E" w:rsidRPr="00A415D4" w:rsidRDefault="00B02A1E" w:rsidP="00A415D4">
      <w:pPr>
        <w:pStyle w:val="paragraph"/>
      </w:pPr>
      <w:r w:rsidRPr="00A415D4">
        <w:tab/>
        <w:t>(ca)</w:t>
      </w:r>
      <w:r w:rsidRPr="00A415D4">
        <w:tab/>
        <w:t xml:space="preserve">if an amount has been paid (whether or not to </w:t>
      </w:r>
      <w:r w:rsidR="00612E04" w:rsidRPr="00A415D4">
        <w:t>the person) for treatment under</w:t>
      </w:r>
      <w:r w:rsidR="002B78D3" w:rsidRPr="00A415D4">
        <w:t xml:space="preserve"> </w:t>
      </w:r>
      <w:r w:rsidR="00E87C74" w:rsidRPr="00A415D4">
        <w:t>a relevant</w:t>
      </w:r>
      <w:r w:rsidR="00BF4D29" w:rsidRPr="00A415D4">
        <w:t xml:space="preserve"> DVA l</w:t>
      </w:r>
      <w:r w:rsidR="00E87C74" w:rsidRPr="00A415D4">
        <w:t>aw</w:t>
      </w:r>
      <w:r w:rsidR="002B78D3" w:rsidRPr="00A415D4">
        <w:t xml:space="preserve"> relating to services referred to in </w:t>
      </w:r>
      <w:r w:rsidR="00A415D4" w:rsidRPr="00A415D4">
        <w:t>paragraph (</w:t>
      </w:r>
      <w:r w:rsidR="002B78D3" w:rsidRPr="00A415D4">
        <w:t>1)(a)</w:t>
      </w:r>
      <w:r w:rsidR="00BF4D29" w:rsidRPr="00A415D4">
        <w:t>—</w:t>
      </w:r>
      <w:r w:rsidRPr="00A415D4">
        <w:t>that the person is to repay to the Commonwealth an amount equal to the whole or a specified part of the amount paid for the treatment;</w:t>
      </w:r>
    </w:p>
    <w:p w:rsidR="00B02A1E" w:rsidRPr="00A415D4" w:rsidRDefault="00B02A1E" w:rsidP="00A415D4">
      <w:pPr>
        <w:pStyle w:val="paragraph"/>
      </w:pPr>
      <w:r w:rsidRPr="00A415D4">
        <w:tab/>
        <w:t>(</w:t>
      </w:r>
      <w:proofErr w:type="spellStart"/>
      <w:r w:rsidRPr="00A415D4">
        <w:t>cb</w:t>
      </w:r>
      <w:proofErr w:type="spellEnd"/>
      <w:r w:rsidRPr="00A415D4">
        <w:t>)</w:t>
      </w:r>
      <w:r w:rsidRPr="00A415D4">
        <w:tab/>
        <w:t>that any amount for treatment under</w:t>
      </w:r>
      <w:r w:rsidR="00E5618E" w:rsidRPr="00A415D4">
        <w:t xml:space="preserve"> </w:t>
      </w:r>
      <w:r w:rsidR="00E87C74" w:rsidRPr="00A415D4">
        <w:t>a relevant</w:t>
      </w:r>
      <w:r w:rsidR="00BF4D29" w:rsidRPr="00A415D4">
        <w:t xml:space="preserve"> DVA </w:t>
      </w:r>
      <w:r w:rsidR="00E87C74" w:rsidRPr="00A415D4">
        <w:t>law</w:t>
      </w:r>
      <w:r w:rsidR="00BF4D29" w:rsidRPr="00A415D4">
        <w:t xml:space="preserve"> </w:t>
      </w:r>
      <w:r w:rsidRPr="00A415D4">
        <w:t xml:space="preserve">that would otherwise be payable for services referred to in </w:t>
      </w:r>
      <w:r w:rsidR="00A415D4" w:rsidRPr="00A415D4">
        <w:t>paragraph (</w:t>
      </w:r>
      <w:r w:rsidRPr="00A415D4">
        <w:t>1)(a) is to cease to be payable;</w:t>
      </w:r>
    </w:p>
    <w:p w:rsidR="0001024C" w:rsidRPr="00A415D4" w:rsidRDefault="003423B0" w:rsidP="00A415D4">
      <w:pPr>
        <w:pStyle w:val="ItemHead"/>
      </w:pPr>
      <w:r w:rsidRPr="00A415D4">
        <w:t>5</w:t>
      </w:r>
      <w:r w:rsidR="0001024C" w:rsidRPr="00A415D4">
        <w:t xml:space="preserve">  At the end of subsection</w:t>
      </w:r>
      <w:r w:rsidR="00A415D4" w:rsidRPr="00A415D4">
        <w:t> </w:t>
      </w:r>
      <w:r w:rsidR="0001024C" w:rsidRPr="00A415D4">
        <w:t>92(4)</w:t>
      </w:r>
    </w:p>
    <w:p w:rsidR="0001024C" w:rsidRPr="00A415D4" w:rsidRDefault="0001024C" w:rsidP="00A415D4">
      <w:pPr>
        <w:pStyle w:val="Item"/>
      </w:pPr>
      <w:r w:rsidRPr="00A415D4">
        <w:t>Add:</w:t>
      </w:r>
    </w:p>
    <w:p w:rsidR="0001024C" w:rsidRPr="00A415D4" w:rsidRDefault="0001024C" w:rsidP="00A415D4">
      <w:pPr>
        <w:pStyle w:val="paragraph"/>
      </w:pPr>
      <w:r w:rsidRPr="00A415D4">
        <w:tab/>
        <w:t xml:space="preserve">; and </w:t>
      </w:r>
      <w:r w:rsidR="00B02A1E" w:rsidRPr="00A415D4">
        <w:t>(f)</w:t>
      </w:r>
      <w:r w:rsidR="00B02A1E" w:rsidRPr="00A415D4">
        <w:tab/>
        <w:t>if the agreement provides for the person under review to pay to the Commonwealth an amount equal to the whole or a specified part of the amount paid for treatment under</w:t>
      </w:r>
      <w:r w:rsidR="00E5618E" w:rsidRPr="00A415D4">
        <w:t xml:space="preserve"> </w:t>
      </w:r>
      <w:r w:rsidR="00E87C74" w:rsidRPr="00A415D4">
        <w:t>a relevant</w:t>
      </w:r>
      <w:r w:rsidR="00BF4D29" w:rsidRPr="00A415D4">
        <w:t xml:space="preserve"> DVA </w:t>
      </w:r>
      <w:r w:rsidR="00E87C74" w:rsidRPr="00A415D4">
        <w:t>law</w:t>
      </w:r>
      <w:r w:rsidR="00BF4D29" w:rsidRPr="00A415D4">
        <w:t xml:space="preserve"> </w:t>
      </w:r>
      <w:r w:rsidR="00B02A1E" w:rsidRPr="00A415D4">
        <w:t>and the amount or part of the amount is not paid—the unpaid amount is a debt due by the person to the Commonwealth and is recoverable by action in any cour</w:t>
      </w:r>
      <w:r w:rsidR="00ED3BCE" w:rsidRPr="00A415D4">
        <w:t>t of competent jurisdiction.</w:t>
      </w:r>
    </w:p>
    <w:p w:rsidR="0001024C" w:rsidRPr="00A415D4" w:rsidRDefault="003423B0" w:rsidP="00A415D4">
      <w:pPr>
        <w:pStyle w:val="ItemHead"/>
      </w:pPr>
      <w:r w:rsidRPr="00A415D4">
        <w:t>6</w:t>
      </w:r>
      <w:r w:rsidR="0001024C" w:rsidRPr="00A415D4">
        <w:t xml:space="preserve">  After paragraph</w:t>
      </w:r>
      <w:r w:rsidR="00A415D4" w:rsidRPr="00A415D4">
        <w:t> </w:t>
      </w:r>
      <w:r w:rsidR="0001024C" w:rsidRPr="00A415D4">
        <w:t>106U(1)(</w:t>
      </w:r>
      <w:proofErr w:type="spellStart"/>
      <w:r w:rsidR="0001024C" w:rsidRPr="00A415D4">
        <w:t>cb</w:t>
      </w:r>
      <w:proofErr w:type="spellEnd"/>
      <w:r w:rsidR="0001024C" w:rsidRPr="00A415D4">
        <w:t>)</w:t>
      </w:r>
    </w:p>
    <w:p w:rsidR="0001024C" w:rsidRPr="00A415D4" w:rsidRDefault="0001024C" w:rsidP="00A415D4">
      <w:pPr>
        <w:pStyle w:val="Item"/>
      </w:pPr>
      <w:r w:rsidRPr="00A415D4">
        <w:t>Insert:</w:t>
      </w:r>
    </w:p>
    <w:p w:rsidR="003F53B3" w:rsidRPr="00A415D4" w:rsidRDefault="0001024C" w:rsidP="00A415D4">
      <w:pPr>
        <w:pStyle w:val="paragraph"/>
      </w:pPr>
      <w:r w:rsidRPr="00A415D4">
        <w:tab/>
      </w:r>
      <w:r w:rsidR="003F53B3" w:rsidRPr="00A415D4">
        <w:t>(d)</w:t>
      </w:r>
      <w:r w:rsidR="003F53B3" w:rsidRPr="00A415D4">
        <w:tab/>
        <w:t>that any amount for treatment under</w:t>
      </w:r>
      <w:r w:rsidR="00E5618E" w:rsidRPr="00A415D4">
        <w:t xml:space="preserve"> </w:t>
      </w:r>
      <w:r w:rsidR="00E87C74" w:rsidRPr="00A415D4">
        <w:t>a relevant</w:t>
      </w:r>
      <w:r w:rsidR="00BF4D29" w:rsidRPr="00A415D4">
        <w:t xml:space="preserve"> DVA </w:t>
      </w:r>
      <w:r w:rsidR="00E87C74" w:rsidRPr="00A415D4">
        <w:t>law</w:t>
      </w:r>
      <w:r w:rsidR="00BF4D29" w:rsidRPr="00A415D4">
        <w:t xml:space="preserve"> </w:t>
      </w:r>
      <w:r w:rsidR="003F53B3" w:rsidRPr="00A415D4">
        <w:t>that would otherwise be payable for a service in the provision of which the person is stated in a report under section</w:t>
      </w:r>
      <w:r w:rsidR="00A415D4" w:rsidRPr="00A415D4">
        <w:t> </w:t>
      </w:r>
      <w:r w:rsidR="003F53B3" w:rsidRPr="00A415D4">
        <w:t>106L to have engaged in inappropriate practice cease</w:t>
      </w:r>
      <w:r w:rsidR="00B41A9C" w:rsidRPr="00A415D4">
        <w:t>s</w:t>
      </w:r>
      <w:r w:rsidR="003F53B3" w:rsidRPr="00A415D4">
        <w:t xml:space="preserve"> to be payable;</w:t>
      </w:r>
    </w:p>
    <w:p w:rsidR="003F53B3" w:rsidRPr="00A415D4" w:rsidRDefault="003F53B3" w:rsidP="00A415D4">
      <w:pPr>
        <w:pStyle w:val="paragraph"/>
      </w:pPr>
      <w:r w:rsidRPr="00A415D4">
        <w:tab/>
        <w:t>(da)</w:t>
      </w:r>
      <w:r w:rsidRPr="00A415D4">
        <w:tab/>
        <w:t xml:space="preserve">if an amount has been paid (whether or not to the person under review) for treatment under </w:t>
      </w:r>
      <w:r w:rsidR="00E87C74" w:rsidRPr="00A415D4">
        <w:t>a relevant</w:t>
      </w:r>
      <w:r w:rsidR="00BF4D29" w:rsidRPr="00A415D4">
        <w:t xml:space="preserve"> DVA </w:t>
      </w:r>
      <w:r w:rsidR="00E87C74" w:rsidRPr="00A415D4">
        <w:t>law</w:t>
      </w:r>
      <w:r w:rsidR="000E31AF" w:rsidRPr="00A415D4">
        <w:t xml:space="preserve"> </w:t>
      </w:r>
      <w:r w:rsidRPr="00A415D4">
        <w:t>relating to a service:</w:t>
      </w:r>
    </w:p>
    <w:p w:rsidR="00F72254" w:rsidRPr="00A415D4" w:rsidRDefault="00F72254" w:rsidP="00A415D4">
      <w:pPr>
        <w:pStyle w:val="paragraphsub"/>
      </w:pPr>
      <w:r w:rsidRPr="00A415D4">
        <w:tab/>
        <w:t>(</w:t>
      </w:r>
      <w:proofErr w:type="spellStart"/>
      <w:r w:rsidRPr="00A415D4">
        <w:t>i</w:t>
      </w:r>
      <w:proofErr w:type="spellEnd"/>
      <w:r w:rsidRPr="00A415D4">
        <w:t>)</w:t>
      </w:r>
      <w:r w:rsidRPr="00A415D4">
        <w:tab/>
        <w:t>that was rendered or initiated by the person under review or an associated person; and</w:t>
      </w:r>
    </w:p>
    <w:p w:rsidR="00F72254" w:rsidRPr="00A415D4" w:rsidRDefault="00F72254" w:rsidP="00A415D4">
      <w:pPr>
        <w:pStyle w:val="paragraphsub"/>
      </w:pPr>
      <w:r w:rsidRPr="00A415D4">
        <w:tab/>
        <w:t>(ii)</w:t>
      </w:r>
      <w:r w:rsidRPr="00A415D4">
        <w:tab/>
        <w:t>in connection with the rendering or initiation of which the person under review or an associated person is stated in a report under section</w:t>
      </w:r>
      <w:r w:rsidR="00A415D4" w:rsidRPr="00A415D4">
        <w:t> </w:t>
      </w:r>
      <w:r w:rsidRPr="00A415D4">
        <w:t>106L (other than a report based on a finding made under subsection</w:t>
      </w:r>
      <w:r w:rsidR="00A415D4" w:rsidRPr="00A415D4">
        <w:t> </w:t>
      </w:r>
      <w:r w:rsidRPr="00A415D4">
        <w:t>106K(2) or 106KB(3)) to have engaged in inappropriate practice;</w:t>
      </w:r>
    </w:p>
    <w:p w:rsidR="003F53B3" w:rsidRPr="00A415D4" w:rsidRDefault="003F53B3" w:rsidP="00A415D4">
      <w:pPr>
        <w:pStyle w:val="paragraph"/>
      </w:pPr>
      <w:r w:rsidRPr="00A415D4">
        <w:lastRenderedPageBreak/>
        <w:tab/>
      </w:r>
      <w:r w:rsidRPr="00A415D4">
        <w:tab/>
        <w:t>that the person under review repay to the Commonwealth the whole or a part of the amount paid for that service;</w:t>
      </w:r>
    </w:p>
    <w:p w:rsidR="00346845" w:rsidRPr="00A415D4" w:rsidRDefault="003423B0" w:rsidP="00A415D4">
      <w:pPr>
        <w:pStyle w:val="Transitional"/>
      </w:pPr>
      <w:r w:rsidRPr="00A415D4">
        <w:t>7</w:t>
      </w:r>
      <w:r w:rsidR="00346845" w:rsidRPr="00A415D4">
        <w:t xml:space="preserve">  Application</w:t>
      </w:r>
    </w:p>
    <w:p w:rsidR="00346845" w:rsidRPr="00A415D4" w:rsidRDefault="00346845" w:rsidP="00A415D4">
      <w:pPr>
        <w:pStyle w:val="Item"/>
      </w:pPr>
      <w:r w:rsidRPr="00A415D4">
        <w:t xml:space="preserve">The amendments of the </w:t>
      </w:r>
      <w:r w:rsidRPr="00A415D4">
        <w:rPr>
          <w:i/>
        </w:rPr>
        <w:t>Health Insurance Act 1973</w:t>
      </w:r>
      <w:r w:rsidRPr="00A415D4">
        <w:t xml:space="preserve"> made by this Part apply in relation to services provided on or after the commencement of this item.</w:t>
      </w:r>
    </w:p>
    <w:p w:rsidR="00346845" w:rsidRPr="00A415D4" w:rsidRDefault="00346845" w:rsidP="00A415D4">
      <w:pPr>
        <w:pStyle w:val="ActHead9"/>
        <w:rPr>
          <w:i w:val="0"/>
        </w:rPr>
      </w:pPr>
      <w:bookmarkStart w:id="27" w:name="_Toc27635464"/>
      <w:r w:rsidRPr="00A415D4">
        <w:t>Military Rehabilitation and Compensation Act 2004</w:t>
      </w:r>
      <w:bookmarkEnd w:id="27"/>
    </w:p>
    <w:p w:rsidR="00346845" w:rsidRPr="00A415D4" w:rsidRDefault="003423B0" w:rsidP="00A415D4">
      <w:pPr>
        <w:pStyle w:val="ItemHead"/>
      </w:pPr>
      <w:r w:rsidRPr="00A415D4">
        <w:t>8</w:t>
      </w:r>
      <w:r w:rsidR="00346845" w:rsidRPr="00A415D4">
        <w:t xml:space="preserve">  Subsection</w:t>
      </w:r>
      <w:r w:rsidR="00A415D4" w:rsidRPr="00A415D4">
        <w:t> </w:t>
      </w:r>
      <w:r w:rsidR="00346845" w:rsidRPr="00A415D4">
        <w:t>409(2) (after table item</w:t>
      </w:r>
      <w:r w:rsidR="00A415D4" w:rsidRPr="00A415D4">
        <w:t> </w:t>
      </w:r>
      <w:r w:rsidR="00346845" w:rsidRPr="00A415D4">
        <w:t>2A)</w:t>
      </w:r>
    </w:p>
    <w:p w:rsidR="00346845" w:rsidRPr="00A415D4" w:rsidRDefault="00346845" w:rsidP="00A415D4">
      <w:pPr>
        <w:pStyle w:val="Item"/>
      </w:pPr>
      <w:r w:rsidRPr="00A415D4">
        <w:t>Insert:</w:t>
      </w:r>
    </w:p>
    <w:p w:rsidR="002076A5" w:rsidRPr="00A415D4" w:rsidRDefault="002076A5" w:rsidP="00A415D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55"/>
        <w:gridCol w:w="2200"/>
        <w:gridCol w:w="4231"/>
      </w:tblGrid>
      <w:tr w:rsidR="00346845" w:rsidRPr="00A415D4" w:rsidTr="00346845">
        <w:tc>
          <w:tcPr>
            <w:tcW w:w="655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>2B</w:t>
            </w:r>
          </w:p>
        </w:tc>
        <w:tc>
          <w:tcPr>
            <w:tcW w:w="2200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>The Secretary of the Health Department</w:t>
            </w:r>
          </w:p>
        </w:tc>
        <w:tc>
          <w:tcPr>
            <w:tcW w:w="4231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>A purpose of the Health Department</w:t>
            </w:r>
          </w:p>
        </w:tc>
      </w:tr>
      <w:tr w:rsidR="00346845" w:rsidRPr="00A415D4" w:rsidTr="00346845">
        <w:tc>
          <w:tcPr>
            <w:tcW w:w="655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>2C</w:t>
            </w:r>
          </w:p>
        </w:tc>
        <w:tc>
          <w:tcPr>
            <w:tcW w:w="2200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 xml:space="preserve">The Chief Executive Medicare (within the meaning of the </w:t>
            </w:r>
            <w:r w:rsidRPr="00A415D4">
              <w:rPr>
                <w:i/>
              </w:rPr>
              <w:t>Human Services (Medicare) Act 1973</w:t>
            </w:r>
            <w:r w:rsidRPr="00A415D4">
              <w:t>)</w:t>
            </w:r>
          </w:p>
        </w:tc>
        <w:tc>
          <w:tcPr>
            <w:tcW w:w="4231" w:type="dxa"/>
            <w:shd w:val="clear" w:color="auto" w:fill="auto"/>
          </w:tcPr>
          <w:p w:rsidR="00346845" w:rsidRPr="00A415D4" w:rsidRDefault="00346845" w:rsidP="00A415D4">
            <w:pPr>
              <w:pStyle w:val="Tabletext"/>
            </w:pPr>
            <w:r w:rsidRPr="00A415D4">
              <w:t>A purpose relating to the exercise of the Chief Executive Medicare’s powers or the performance of the Chief Executive Medicare’s functions</w:t>
            </w:r>
          </w:p>
        </w:tc>
      </w:tr>
    </w:tbl>
    <w:p w:rsidR="00346845" w:rsidRPr="00A415D4" w:rsidRDefault="00346845" w:rsidP="00A415D4">
      <w:pPr>
        <w:pStyle w:val="ActHead7"/>
        <w:pageBreakBefore/>
      </w:pPr>
      <w:bookmarkStart w:id="28" w:name="_Toc27635465"/>
      <w:r w:rsidRPr="00A415D4">
        <w:rPr>
          <w:rStyle w:val="CharAmPartNo"/>
        </w:rPr>
        <w:lastRenderedPageBreak/>
        <w:t>Part</w:t>
      </w:r>
      <w:r w:rsidR="00A415D4" w:rsidRPr="00A415D4">
        <w:rPr>
          <w:rStyle w:val="CharAmPartNo"/>
        </w:rPr>
        <w:t> </w:t>
      </w:r>
      <w:r w:rsidRPr="00A415D4">
        <w:rPr>
          <w:rStyle w:val="CharAmPartNo"/>
        </w:rPr>
        <w:t>2</w:t>
      </w:r>
      <w:r w:rsidRPr="00A415D4">
        <w:t>—</w:t>
      </w:r>
      <w:r w:rsidRPr="00A415D4">
        <w:rPr>
          <w:rStyle w:val="CharAmPartText"/>
        </w:rPr>
        <w:t>Other amendments</w:t>
      </w:r>
      <w:bookmarkEnd w:id="28"/>
    </w:p>
    <w:p w:rsidR="00346845" w:rsidRPr="00A415D4" w:rsidRDefault="00346845" w:rsidP="00A415D4">
      <w:pPr>
        <w:pStyle w:val="ActHead9"/>
        <w:rPr>
          <w:i w:val="0"/>
        </w:rPr>
      </w:pPr>
      <w:bookmarkStart w:id="29" w:name="_Toc27635466"/>
      <w:r w:rsidRPr="00A415D4">
        <w:t>Health Insurance Act 1973</w:t>
      </w:r>
      <w:bookmarkEnd w:id="29"/>
    </w:p>
    <w:p w:rsidR="00346845" w:rsidRPr="00A415D4" w:rsidRDefault="003423B0" w:rsidP="00A415D4">
      <w:pPr>
        <w:pStyle w:val="ItemHead"/>
      </w:pPr>
      <w:r w:rsidRPr="00A415D4">
        <w:t>9</w:t>
      </w:r>
      <w:r w:rsidR="00346845" w:rsidRPr="00A415D4">
        <w:t xml:space="preserve">  Before paragraph</w:t>
      </w:r>
      <w:r w:rsidR="00A415D4" w:rsidRPr="00A415D4">
        <w:t> </w:t>
      </w:r>
      <w:r w:rsidR="00346845" w:rsidRPr="00A415D4">
        <w:t>129AEF(1)(a)</w:t>
      </w:r>
    </w:p>
    <w:p w:rsidR="00346845" w:rsidRPr="00A415D4" w:rsidRDefault="00346845" w:rsidP="00A415D4">
      <w:pPr>
        <w:pStyle w:val="Item"/>
      </w:pPr>
      <w:r w:rsidRPr="00A415D4">
        <w:t>Insert:</w:t>
      </w:r>
    </w:p>
    <w:p w:rsidR="00DE17CA" w:rsidRDefault="00346845" w:rsidP="00A415D4">
      <w:pPr>
        <w:pStyle w:val="paragraph"/>
      </w:pPr>
      <w:r w:rsidRPr="00A415D4">
        <w:tab/>
        <w:t>(</w:t>
      </w:r>
      <w:proofErr w:type="spellStart"/>
      <w:r w:rsidRPr="00A415D4">
        <w:t>aaa</w:t>
      </w:r>
      <w:proofErr w:type="spellEnd"/>
      <w:r w:rsidRPr="00A415D4">
        <w:t>)</w:t>
      </w:r>
      <w:r w:rsidRPr="00A415D4">
        <w:tab/>
        <w:t>an unpaid amount under paragraph</w:t>
      </w:r>
      <w:r w:rsidR="00A415D4" w:rsidRPr="00A415D4">
        <w:t> </w:t>
      </w:r>
      <w:r w:rsidRPr="00A415D4">
        <w:t>92(4)(e) or (f);</w:t>
      </w:r>
    </w:p>
    <w:p w:rsidR="00CF2546" w:rsidRDefault="00CF2546" w:rsidP="001E2F52"/>
    <w:p w:rsidR="00CF2546" w:rsidRDefault="00CF2546" w:rsidP="00027C40">
      <w:pPr>
        <w:pStyle w:val="AssentBk"/>
        <w:keepNext/>
      </w:pPr>
    </w:p>
    <w:p w:rsidR="001E2F52" w:rsidRDefault="001E2F52" w:rsidP="000C5962"/>
    <w:p w:rsidR="001E2F52" w:rsidRDefault="001E2F52" w:rsidP="000C5962">
      <w:pPr>
        <w:pStyle w:val="2ndRd"/>
        <w:keepNext/>
        <w:pBdr>
          <w:top w:val="single" w:sz="2" w:space="1" w:color="auto"/>
        </w:pBdr>
      </w:pPr>
    </w:p>
    <w:p w:rsidR="001E2F52" w:rsidRDefault="001E2F5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E2F52" w:rsidRDefault="001E2F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October 2019</w:t>
      </w:r>
    </w:p>
    <w:p w:rsidR="001E2F52" w:rsidRDefault="001E2F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December 2019</w:t>
      </w:r>
      <w:r>
        <w:t>]</w:t>
      </w:r>
    </w:p>
    <w:p w:rsidR="001E2F52" w:rsidRDefault="001E2F52" w:rsidP="000C5962"/>
    <w:p w:rsidR="00CF2546" w:rsidRPr="001E2F52" w:rsidRDefault="001E2F52" w:rsidP="001E2F52">
      <w:pPr>
        <w:framePr w:hSpace="180" w:wrap="around" w:vAnchor="text" w:hAnchor="page" w:x="2379" w:y="5838"/>
      </w:pPr>
      <w:r>
        <w:t>(211/19)</w:t>
      </w:r>
    </w:p>
    <w:p w:rsidR="001E2F52" w:rsidRDefault="001E2F52"/>
    <w:sectPr w:rsidR="001E2F52" w:rsidSect="00CF25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9B" w:rsidRDefault="00B1149B" w:rsidP="0048364F">
      <w:pPr>
        <w:spacing w:line="240" w:lineRule="auto"/>
      </w:pPr>
      <w:r>
        <w:separator/>
      </w:r>
    </w:p>
  </w:endnote>
  <w:endnote w:type="continuationSeparator" w:id="0">
    <w:p w:rsidR="00B1149B" w:rsidRDefault="00B114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5F1388" w:rsidRDefault="00B1149B" w:rsidP="00A415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52" w:rsidRDefault="001E2F5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E2F52" w:rsidRDefault="001E2F52" w:rsidP="00CD12A5"/>
  <w:p w:rsidR="00B1149B" w:rsidRDefault="00B1149B" w:rsidP="00A415D4">
    <w:pPr>
      <w:pStyle w:val="Footer"/>
      <w:spacing w:before="120"/>
    </w:pPr>
  </w:p>
  <w:p w:rsidR="00B1149B" w:rsidRPr="005F1388" w:rsidRDefault="00B1149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ED79B6" w:rsidRDefault="00B1149B" w:rsidP="00A415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Default="00B1149B" w:rsidP="00A415D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1149B" w:rsidTr="00FB5F66">
      <w:tc>
        <w:tcPr>
          <w:tcW w:w="646" w:type="dxa"/>
        </w:tcPr>
        <w:p w:rsidR="00B1149B" w:rsidRDefault="00B1149B" w:rsidP="00FB5F6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noProof/>
              <w:sz w:val="18"/>
            </w:rPr>
            <w:t>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149B" w:rsidRDefault="00B1149B" w:rsidP="00FB5F6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Health Legislation Amendment (Data-matching and Other Matters)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1149B" w:rsidRDefault="00B1149B" w:rsidP="00FB5F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No. 121,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1149B" w:rsidRDefault="00B1149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Default="00B1149B" w:rsidP="00A415D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149B" w:rsidTr="00FB5F66">
      <w:tc>
        <w:tcPr>
          <w:tcW w:w="1247" w:type="dxa"/>
        </w:tcPr>
        <w:p w:rsidR="00B1149B" w:rsidRDefault="00B1149B" w:rsidP="00FB5F6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No. 121,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149B" w:rsidRDefault="00B1149B" w:rsidP="00FB5F6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Health Legislation Amendment (Data-matching and Other Matters)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149B" w:rsidRDefault="00B1149B" w:rsidP="00FB5F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1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1149B" w:rsidRPr="00ED79B6" w:rsidRDefault="00B1149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A415D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1149B" w:rsidTr="00A415D4">
      <w:tc>
        <w:tcPr>
          <w:tcW w:w="646" w:type="dxa"/>
        </w:tcPr>
        <w:p w:rsidR="00B1149B" w:rsidRDefault="00B1149B" w:rsidP="00BA68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noProof/>
              <w:sz w:val="18"/>
            </w:rPr>
            <w:t>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149B" w:rsidRDefault="00B1149B" w:rsidP="00BA68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Health Legislation Amendment (Data-matching and Other Matters)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1149B" w:rsidRDefault="00B1149B" w:rsidP="00BA68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No. 121,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149B" w:rsidRPr="00A961C4" w:rsidRDefault="00B1149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A415D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149B" w:rsidTr="00A415D4">
      <w:tc>
        <w:tcPr>
          <w:tcW w:w="1247" w:type="dxa"/>
        </w:tcPr>
        <w:p w:rsidR="00B1149B" w:rsidRDefault="00B1149B" w:rsidP="00BA68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No. 121,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149B" w:rsidRDefault="00B1149B" w:rsidP="00BA68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Health Legislation Amendment (Data-matching and Other Matters)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149B" w:rsidRDefault="00B1149B" w:rsidP="00BA68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noProof/>
              <w:sz w:val="18"/>
            </w:rPr>
            <w:t>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149B" w:rsidRPr="00055B5C" w:rsidRDefault="00B1149B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A415D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1149B" w:rsidTr="00A415D4">
      <w:tc>
        <w:tcPr>
          <w:tcW w:w="1247" w:type="dxa"/>
        </w:tcPr>
        <w:p w:rsidR="00B1149B" w:rsidRDefault="00B1149B" w:rsidP="00BA68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No. 121,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1149B" w:rsidRDefault="00B1149B" w:rsidP="00BA68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sz w:val="18"/>
            </w:rPr>
            <w:t>Health Legislation Amendment (Data-matching and Other Matters)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1149B" w:rsidRDefault="00B1149B" w:rsidP="00BA68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1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1149B" w:rsidRPr="00A961C4" w:rsidRDefault="00B1149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9B" w:rsidRDefault="00B1149B" w:rsidP="0048364F">
      <w:pPr>
        <w:spacing w:line="240" w:lineRule="auto"/>
      </w:pPr>
      <w:r>
        <w:separator/>
      </w:r>
    </w:p>
  </w:footnote>
  <w:footnote w:type="continuationSeparator" w:id="0">
    <w:p w:rsidR="00B1149B" w:rsidRDefault="00B114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5F1388" w:rsidRDefault="00B1149B" w:rsidP="00FB5F66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5F1388" w:rsidRDefault="00B1149B" w:rsidP="00FB5F66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5F1388" w:rsidRDefault="00B114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ED79B6" w:rsidRDefault="00B1149B" w:rsidP="00FB5F66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ED79B6" w:rsidRDefault="00B1149B" w:rsidP="00FB5F66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ED79B6" w:rsidRDefault="00B114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117A">
      <w:rPr>
        <w:b/>
        <w:sz w:val="20"/>
      </w:rPr>
      <w:fldChar w:fldCharType="separate"/>
    </w:r>
    <w:r w:rsidR="001B117A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B117A">
      <w:rPr>
        <w:sz w:val="20"/>
      </w:rPr>
      <w:fldChar w:fldCharType="separate"/>
    </w:r>
    <w:r w:rsidR="001B117A">
      <w:rPr>
        <w:noProof/>
        <w:sz w:val="20"/>
      </w:rPr>
      <w:t>Other amendments</w:t>
    </w:r>
    <w:r>
      <w:rPr>
        <w:sz w:val="20"/>
      </w:rPr>
      <w:fldChar w:fldCharType="end"/>
    </w:r>
  </w:p>
  <w:p w:rsidR="00B1149B" w:rsidRPr="00A961C4" w:rsidRDefault="00B114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B117A">
      <w:rPr>
        <w:b/>
        <w:sz w:val="20"/>
      </w:rPr>
      <w:fldChar w:fldCharType="separate"/>
    </w:r>
    <w:r w:rsidR="001B117A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B117A">
      <w:rPr>
        <w:sz w:val="20"/>
      </w:rPr>
      <w:fldChar w:fldCharType="separate"/>
    </w:r>
    <w:r w:rsidR="001B117A">
      <w:rPr>
        <w:noProof/>
        <w:sz w:val="20"/>
      </w:rPr>
      <w:t>Other amendments</w:t>
    </w:r>
    <w:r>
      <w:rPr>
        <w:sz w:val="20"/>
      </w:rPr>
      <w:fldChar w:fldCharType="end"/>
    </w:r>
  </w:p>
  <w:p w:rsidR="00B1149B" w:rsidRPr="00A961C4" w:rsidRDefault="00B1149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B117A">
      <w:rPr>
        <w:sz w:val="20"/>
      </w:rPr>
      <w:fldChar w:fldCharType="separate"/>
    </w:r>
    <w:r w:rsidR="001B117A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117A">
      <w:rPr>
        <w:b/>
        <w:sz w:val="20"/>
      </w:rPr>
      <w:fldChar w:fldCharType="separate"/>
    </w:r>
    <w:r w:rsidR="001B117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B1149B" w:rsidRPr="00A961C4" w:rsidRDefault="00B114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B117A">
      <w:rPr>
        <w:sz w:val="20"/>
      </w:rPr>
      <w:fldChar w:fldCharType="separate"/>
    </w:r>
    <w:r w:rsidR="001B117A">
      <w:rPr>
        <w:noProof/>
        <w:sz w:val="20"/>
      </w:rPr>
      <w:t>Professional Services Review Scheme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B117A">
      <w:rPr>
        <w:b/>
        <w:sz w:val="20"/>
      </w:rPr>
      <w:fldChar w:fldCharType="separate"/>
    </w:r>
    <w:r w:rsidR="001B117A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B1149B" w:rsidRPr="00A961C4" w:rsidRDefault="00B1149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9B" w:rsidRPr="00A961C4" w:rsidRDefault="00B1149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2F"/>
    <w:rsid w:val="00001FDD"/>
    <w:rsid w:val="000021B3"/>
    <w:rsid w:val="00002CFD"/>
    <w:rsid w:val="00003B61"/>
    <w:rsid w:val="00004516"/>
    <w:rsid w:val="00005A2D"/>
    <w:rsid w:val="00007A96"/>
    <w:rsid w:val="0001024C"/>
    <w:rsid w:val="000113BC"/>
    <w:rsid w:val="000114FC"/>
    <w:rsid w:val="000115F9"/>
    <w:rsid w:val="000121C9"/>
    <w:rsid w:val="000136AF"/>
    <w:rsid w:val="00015593"/>
    <w:rsid w:val="00021B0C"/>
    <w:rsid w:val="00022154"/>
    <w:rsid w:val="0002312D"/>
    <w:rsid w:val="00026ACF"/>
    <w:rsid w:val="00031124"/>
    <w:rsid w:val="00033846"/>
    <w:rsid w:val="000361F2"/>
    <w:rsid w:val="00037D62"/>
    <w:rsid w:val="00041036"/>
    <w:rsid w:val="000417C9"/>
    <w:rsid w:val="0004361D"/>
    <w:rsid w:val="0004552A"/>
    <w:rsid w:val="00045F03"/>
    <w:rsid w:val="000463C4"/>
    <w:rsid w:val="000504D9"/>
    <w:rsid w:val="00050B65"/>
    <w:rsid w:val="00051004"/>
    <w:rsid w:val="00051627"/>
    <w:rsid w:val="00051E18"/>
    <w:rsid w:val="00052FB0"/>
    <w:rsid w:val="00054147"/>
    <w:rsid w:val="00055028"/>
    <w:rsid w:val="00055B5C"/>
    <w:rsid w:val="00056391"/>
    <w:rsid w:val="000603FC"/>
    <w:rsid w:val="00060FF9"/>
    <w:rsid w:val="000614BF"/>
    <w:rsid w:val="00063478"/>
    <w:rsid w:val="000640C8"/>
    <w:rsid w:val="0006758F"/>
    <w:rsid w:val="000702CB"/>
    <w:rsid w:val="0007241C"/>
    <w:rsid w:val="0007264A"/>
    <w:rsid w:val="00074D11"/>
    <w:rsid w:val="0007686D"/>
    <w:rsid w:val="000776CE"/>
    <w:rsid w:val="00082DC7"/>
    <w:rsid w:val="00085C81"/>
    <w:rsid w:val="00086CD5"/>
    <w:rsid w:val="0009131F"/>
    <w:rsid w:val="0009183F"/>
    <w:rsid w:val="000935A1"/>
    <w:rsid w:val="00095951"/>
    <w:rsid w:val="000972D0"/>
    <w:rsid w:val="000A0938"/>
    <w:rsid w:val="000A375E"/>
    <w:rsid w:val="000A55AA"/>
    <w:rsid w:val="000A615F"/>
    <w:rsid w:val="000B0EAA"/>
    <w:rsid w:val="000B1FD2"/>
    <w:rsid w:val="000B3DF2"/>
    <w:rsid w:val="000B523F"/>
    <w:rsid w:val="000B5CCD"/>
    <w:rsid w:val="000B6C68"/>
    <w:rsid w:val="000B7703"/>
    <w:rsid w:val="000C1730"/>
    <w:rsid w:val="000C61A6"/>
    <w:rsid w:val="000D05EF"/>
    <w:rsid w:val="000D2397"/>
    <w:rsid w:val="000D4B7D"/>
    <w:rsid w:val="000E0A4E"/>
    <w:rsid w:val="000E31AF"/>
    <w:rsid w:val="000E590C"/>
    <w:rsid w:val="000E64DA"/>
    <w:rsid w:val="000F21C1"/>
    <w:rsid w:val="000F373C"/>
    <w:rsid w:val="000F539C"/>
    <w:rsid w:val="000F5B95"/>
    <w:rsid w:val="000F7979"/>
    <w:rsid w:val="001004F4"/>
    <w:rsid w:val="00101D90"/>
    <w:rsid w:val="001025AE"/>
    <w:rsid w:val="00104888"/>
    <w:rsid w:val="001051DE"/>
    <w:rsid w:val="00105B89"/>
    <w:rsid w:val="001062D7"/>
    <w:rsid w:val="001063A6"/>
    <w:rsid w:val="0010745C"/>
    <w:rsid w:val="00112B33"/>
    <w:rsid w:val="00113497"/>
    <w:rsid w:val="001136B0"/>
    <w:rsid w:val="00113BD1"/>
    <w:rsid w:val="00114C6F"/>
    <w:rsid w:val="00116ED0"/>
    <w:rsid w:val="00121E35"/>
    <w:rsid w:val="00122206"/>
    <w:rsid w:val="00123B3A"/>
    <w:rsid w:val="00124F3B"/>
    <w:rsid w:val="001274F7"/>
    <w:rsid w:val="0012766C"/>
    <w:rsid w:val="001307EF"/>
    <w:rsid w:val="00131070"/>
    <w:rsid w:val="00131307"/>
    <w:rsid w:val="001320B1"/>
    <w:rsid w:val="00132855"/>
    <w:rsid w:val="00132887"/>
    <w:rsid w:val="00133E9B"/>
    <w:rsid w:val="00134377"/>
    <w:rsid w:val="00134584"/>
    <w:rsid w:val="0013748C"/>
    <w:rsid w:val="00142AEA"/>
    <w:rsid w:val="00147006"/>
    <w:rsid w:val="0015042A"/>
    <w:rsid w:val="00152B0C"/>
    <w:rsid w:val="00152D0E"/>
    <w:rsid w:val="00154FC3"/>
    <w:rsid w:val="00155459"/>
    <w:rsid w:val="001562E0"/>
    <w:rsid w:val="0015646E"/>
    <w:rsid w:val="00156F09"/>
    <w:rsid w:val="001573A3"/>
    <w:rsid w:val="001601DD"/>
    <w:rsid w:val="001602CA"/>
    <w:rsid w:val="00160730"/>
    <w:rsid w:val="0016180B"/>
    <w:rsid w:val="00164382"/>
    <w:rsid w:val="001643C9"/>
    <w:rsid w:val="00165568"/>
    <w:rsid w:val="00166C2F"/>
    <w:rsid w:val="00167C88"/>
    <w:rsid w:val="00167F47"/>
    <w:rsid w:val="00170440"/>
    <w:rsid w:val="00170455"/>
    <w:rsid w:val="001716C9"/>
    <w:rsid w:val="00172550"/>
    <w:rsid w:val="00173363"/>
    <w:rsid w:val="001734A8"/>
    <w:rsid w:val="00173686"/>
    <w:rsid w:val="00173B94"/>
    <w:rsid w:val="001745CD"/>
    <w:rsid w:val="00180AC3"/>
    <w:rsid w:val="00182F9E"/>
    <w:rsid w:val="00184ABA"/>
    <w:rsid w:val="001854B4"/>
    <w:rsid w:val="001860F7"/>
    <w:rsid w:val="00187D43"/>
    <w:rsid w:val="00191930"/>
    <w:rsid w:val="001939E1"/>
    <w:rsid w:val="00195382"/>
    <w:rsid w:val="001954CF"/>
    <w:rsid w:val="001A1231"/>
    <w:rsid w:val="001A3658"/>
    <w:rsid w:val="001A5689"/>
    <w:rsid w:val="001A5C18"/>
    <w:rsid w:val="001A6889"/>
    <w:rsid w:val="001A6CA2"/>
    <w:rsid w:val="001A72B8"/>
    <w:rsid w:val="001A759A"/>
    <w:rsid w:val="001B117A"/>
    <w:rsid w:val="001B12C2"/>
    <w:rsid w:val="001B1BE0"/>
    <w:rsid w:val="001B4B10"/>
    <w:rsid w:val="001B560F"/>
    <w:rsid w:val="001B6B5A"/>
    <w:rsid w:val="001B7A5D"/>
    <w:rsid w:val="001C2418"/>
    <w:rsid w:val="001C3055"/>
    <w:rsid w:val="001C63B3"/>
    <w:rsid w:val="001C69C4"/>
    <w:rsid w:val="001C792A"/>
    <w:rsid w:val="001D1752"/>
    <w:rsid w:val="001D2196"/>
    <w:rsid w:val="001D30B6"/>
    <w:rsid w:val="001D40E4"/>
    <w:rsid w:val="001D4807"/>
    <w:rsid w:val="001D662A"/>
    <w:rsid w:val="001D6760"/>
    <w:rsid w:val="001E0F3C"/>
    <w:rsid w:val="001E2815"/>
    <w:rsid w:val="001E2F52"/>
    <w:rsid w:val="001E3590"/>
    <w:rsid w:val="001E3988"/>
    <w:rsid w:val="001E5F75"/>
    <w:rsid w:val="001E7407"/>
    <w:rsid w:val="001F0D2F"/>
    <w:rsid w:val="001F360B"/>
    <w:rsid w:val="001F3F2F"/>
    <w:rsid w:val="001F5D22"/>
    <w:rsid w:val="001F601F"/>
    <w:rsid w:val="001F6392"/>
    <w:rsid w:val="00201D27"/>
    <w:rsid w:val="00202618"/>
    <w:rsid w:val="00202DE8"/>
    <w:rsid w:val="00202FDE"/>
    <w:rsid w:val="002034E5"/>
    <w:rsid w:val="002060CE"/>
    <w:rsid w:val="0020711F"/>
    <w:rsid w:val="002076A5"/>
    <w:rsid w:val="00214A4A"/>
    <w:rsid w:val="002157FA"/>
    <w:rsid w:val="00215C15"/>
    <w:rsid w:val="00217567"/>
    <w:rsid w:val="002178A7"/>
    <w:rsid w:val="0022059F"/>
    <w:rsid w:val="0022162E"/>
    <w:rsid w:val="002249A3"/>
    <w:rsid w:val="00225631"/>
    <w:rsid w:val="00227809"/>
    <w:rsid w:val="00227BEA"/>
    <w:rsid w:val="00232E4A"/>
    <w:rsid w:val="002331BD"/>
    <w:rsid w:val="00233533"/>
    <w:rsid w:val="00235BD8"/>
    <w:rsid w:val="002370F4"/>
    <w:rsid w:val="00240749"/>
    <w:rsid w:val="00242A2F"/>
    <w:rsid w:val="002456EF"/>
    <w:rsid w:val="00245BA4"/>
    <w:rsid w:val="00246F4C"/>
    <w:rsid w:val="00246F76"/>
    <w:rsid w:val="002479B7"/>
    <w:rsid w:val="0025012F"/>
    <w:rsid w:val="002547B1"/>
    <w:rsid w:val="0025621D"/>
    <w:rsid w:val="00257182"/>
    <w:rsid w:val="00257244"/>
    <w:rsid w:val="002601CE"/>
    <w:rsid w:val="00260623"/>
    <w:rsid w:val="00263820"/>
    <w:rsid w:val="00265CAC"/>
    <w:rsid w:val="00265D1E"/>
    <w:rsid w:val="00266D74"/>
    <w:rsid w:val="0026706D"/>
    <w:rsid w:val="002705F5"/>
    <w:rsid w:val="00270615"/>
    <w:rsid w:val="00270D28"/>
    <w:rsid w:val="00272D98"/>
    <w:rsid w:val="0027350D"/>
    <w:rsid w:val="00273ADB"/>
    <w:rsid w:val="00275197"/>
    <w:rsid w:val="00276411"/>
    <w:rsid w:val="00276EFB"/>
    <w:rsid w:val="002774FE"/>
    <w:rsid w:val="0027769F"/>
    <w:rsid w:val="00277EF7"/>
    <w:rsid w:val="00277F00"/>
    <w:rsid w:val="002809A4"/>
    <w:rsid w:val="00283B7A"/>
    <w:rsid w:val="00284FB0"/>
    <w:rsid w:val="002855B2"/>
    <w:rsid w:val="002879F1"/>
    <w:rsid w:val="002901E1"/>
    <w:rsid w:val="002904E7"/>
    <w:rsid w:val="00290552"/>
    <w:rsid w:val="00290C20"/>
    <w:rsid w:val="00292E6A"/>
    <w:rsid w:val="0029363B"/>
    <w:rsid w:val="002938C3"/>
    <w:rsid w:val="00293B89"/>
    <w:rsid w:val="0029481A"/>
    <w:rsid w:val="00296050"/>
    <w:rsid w:val="0029613E"/>
    <w:rsid w:val="00297ECB"/>
    <w:rsid w:val="002A0276"/>
    <w:rsid w:val="002A2B07"/>
    <w:rsid w:val="002A2C15"/>
    <w:rsid w:val="002A2EB1"/>
    <w:rsid w:val="002A5BCB"/>
    <w:rsid w:val="002B2347"/>
    <w:rsid w:val="002B3F8C"/>
    <w:rsid w:val="002B5A30"/>
    <w:rsid w:val="002B66A6"/>
    <w:rsid w:val="002B78D3"/>
    <w:rsid w:val="002C0D0D"/>
    <w:rsid w:val="002C11BA"/>
    <w:rsid w:val="002C1492"/>
    <w:rsid w:val="002C27E6"/>
    <w:rsid w:val="002C3804"/>
    <w:rsid w:val="002C52B7"/>
    <w:rsid w:val="002C7684"/>
    <w:rsid w:val="002D043A"/>
    <w:rsid w:val="002D395A"/>
    <w:rsid w:val="002D5815"/>
    <w:rsid w:val="002D5E16"/>
    <w:rsid w:val="002D7A0B"/>
    <w:rsid w:val="002E36A0"/>
    <w:rsid w:val="002E479F"/>
    <w:rsid w:val="002E625F"/>
    <w:rsid w:val="002F04C7"/>
    <w:rsid w:val="002F0BCE"/>
    <w:rsid w:val="002F1FCF"/>
    <w:rsid w:val="002F30EF"/>
    <w:rsid w:val="002F4440"/>
    <w:rsid w:val="002F4F1D"/>
    <w:rsid w:val="002F79FA"/>
    <w:rsid w:val="003005AD"/>
    <w:rsid w:val="00300A2E"/>
    <w:rsid w:val="00300CA5"/>
    <w:rsid w:val="00301812"/>
    <w:rsid w:val="00302922"/>
    <w:rsid w:val="00304401"/>
    <w:rsid w:val="003054BC"/>
    <w:rsid w:val="00306CA9"/>
    <w:rsid w:val="00307BF6"/>
    <w:rsid w:val="003105B1"/>
    <w:rsid w:val="0031097A"/>
    <w:rsid w:val="00311330"/>
    <w:rsid w:val="00311728"/>
    <w:rsid w:val="00313FAE"/>
    <w:rsid w:val="00314D56"/>
    <w:rsid w:val="003159E7"/>
    <w:rsid w:val="00316043"/>
    <w:rsid w:val="0031675E"/>
    <w:rsid w:val="00321002"/>
    <w:rsid w:val="00322AAE"/>
    <w:rsid w:val="003236D1"/>
    <w:rsid w:val="00324340"/>
    <w:rsid w:val="0032461D"/>
    <w:rsid w:val="00324F39"/>
    <w:rsid w:val="00326749"/>
    <w:rsid w:val="0032741F"/>
    <w:rsid w:val="00327F72"/>
    <w:rsid w:val="0033033F"/>
    <w:rsid w:val="00330ABB"/>
    <w:rsid w:val="00331A6D"/>
    <w:rsid w:val="00332A82"/>
    <w:rsid w:val="003347B5"/>
    <w:rsid w:val="00334981"/>
    <w:rsid w:val="003349B8"/>
    <w:rsid w:val="0033530C"/>
    <w:rsid w:val="003372FF"/>
    <w:rsid w:val="00337B54"/>
    <w:rsid w:val="00337BB3"/>
    <w:rsid w:val="003415D3"/>
    <w:rsid w:val="003423B0"/>
    <w:rsid w:val="00343340"/>
    <w:rsid w:val="0034437A"/>
    <w:rsid w:val="00344B7D"/>
    <w:rsid w:val="00346845"/>
    <w:rsid w:val="003473A9"/>
    <w:rsid w:val="0034757D"/>
    <w:rsid w:val="003476C0"/>
    <w:rsid w:val="00350417"/>
    <w:rsid w:val="0035154C"/>
    <w:rsid w:val="00352B0F"/>
    <w:rsid w:val="0035382F"/>
    <w:rsid w:val="0035458D"/>
    <w:rsid w:val="00355FC2"/>
    <w:rsid w:val="00357BD2"/>
    <w:rsid w:val="00362027"/>
    <w:rsid w:val="00362526"/>
    <w:rsid w:val="00362D9F"/>
    <w:rsid w:val="003632AE"/>
    <w:rsid w:val="00364B78"/>
    <w:rsid w:val="00366462"/>
    <w:rsid w:val="003671FD"/>
    <w:rsid w:val="00367432"/>
    <w:rsid w:val="00375C6C"/>
    <w:rsid w:val="00382D26"/>
    <w:rsid w:val="00385534"/>
    <w:rsid w:val="003906E9"/>
    <w:rsid w:val="003916F0"/>
    <w:rsid w:val="0039194F"/>
    <w:rsid w:val="00392D5D"/>
    <w:rsid w:val="00392EC8"/>
    <w:rsid w:val="003955F8"/>
    <w:rsid w:val="0039608D"/>
    <w:rsid w:val="003964D1"/>
    <w:rsid w:val="00397E6D"/>
    <w:rsid w:val="003A35ED"/>
    <w:rsid w:val="003A6711"/>
    <w:rsid w:val="003A7B3C"/>
    <w:rsid w:val="003A7DA5"/>
    <w:rsid w:val="003B0464"/>
    <w:rsid w:val="003B0A03"/>
    <w:rsid w:val="003B0D45"/>
    <w:rsid w:val="003B14D6"/>
    <w:rsid w:val="003B1C68"/>
    <w:rsid w:val="003B1E94"/>
    <w:rsid w:val="003B2D39"/>
    <w:rsid w:val="003B4341"/>
    <w:rsid w:val="003B4D17"/>
    <w:rsid w:val="003B64BB"/>
    <w:rsid w:val="003B7218"/>
    <w:rsid w:val="003C25A9"/>
    <w:rsid w:val="003C273B"/>
    <w:rsid w:val="003C5F2B"/>
    <w:rsid w:val="003D032F"/>
    <w:rsid w:val="003D0BFE"/>
    <w:rsid w:val="003D17A8"/>
    <w:rsid w:val="003D1843"/>
    <w:rsid w:val="003D2EEE"/>
    <w:rsid w:val="003D3982"/>
    <w:rsid w:val="003D5700"/>
    <w:rsid w:val="003D57F0"/>
    <w:rsid w:val="003D5972"/>
    <w:rsid w:val="003D5A22"/>
    <w:rsid w:val="003D6EDB"/>
    <w:rsid w:val="003E03A0"/>
    <w:rsid w:val="003E20A6"/>
    <w:rsid w:val="003E236A"/>
    <w:rsid w:val="003E391B"/>
    <w:rsid w:val="003E4873"/>
    <w:rsid w:val="003E5107"/>
    <w:rsid w:val="003E6417"/>
    <w:rsid w:val="003F04AE"/>
    <w:rsid w:val="003F161E"/>
    <w:rsid w:val="003F221E"/>
    <w:rsid w:val="003F22FB"/>
    <w:rsid w:val="003F53B3"/>
    <w:rsid w:val="003F6276"/>
    <w:rsid w:val="003F630E"/>
    <w:rsid w:val="003F7365"/>
    <w:rsid w:val="003F744D"/>
    <w:rsid w:val="00402510"/>
    <w:rsid w:val="00404149"/>
    <w:rsid w:val="00405579"/>
    <w:rsid w:val="004065C5"/>
    <w:rsid w:val="0040703F"/>
    <w:rsid w:val="0041058E"/>
    <w:rsid w:val="00410B8E"/>
    <w:rsid w:val="00410C6D"/>
    <w:rsid w:val="004116CD"/>
    <w:rsid w:val="0041217B"/>
    <w:rsid w:val="0041714B"/>
    <w:rsid w:val="0041719E"/>
    <w:rsid w:val="0042012C"/>
    <w:rsid w:val="00421FC1"/>
    <w:rsid w:val="004229C7"/>
    <w:rsid w:val="00423191"/>
    <w:rsid w:val="00424CA9"/>
    <w:rsid w:val="004271D0"/>
    <w:rsid w:val="00434100"/>
    <w:rsid w:val="004350DA"/>
    <w:rsid w:val="00436785"/>
    <w:rsid w:val="00436A45"/>
    <w:rsid w:val="00436BD5"/>
    <w:rsid w:val="004378EC"/>
    <w:rsid w:val="00437E4B"/>
    <w:rsid w:val="0044291A"/>
    <w:rsid w:val="004446F4"/>
    <w:rsid w:val="004452C3"/>
    <w:rsid w:val="00450406"/>
    <w:rsid w:val="00452A9E"/>
    <w:rsid w:val="004539C3"/>
    <w:rsid w:val="00454C6A"/>
    <w:rsid w:val="00457198"/>
    <w:rsid w:val="00460E17"/>
    <w:rsid w:val="004613E3"/>
    <w:rsid w:val="00461655"/>
    <w:rsid w:val="004618AC"/>
    <w:rsid w:val="00461A09"/>
    <w:rsid w:val="00464377"/>
    <w:rsid w:val="00466E72"/>
    <w:rsid w:val="00467769"/>
    <w:rsid w:val="00467817"/>
    <w:rsid w:val="00467C15"/>
    <w:rsid w:val="00467D33"/>
    <w:rsid w:val="004720EE"/>
    <w:rsid w:val="004729CC"/>
    <w:rsid w:val="00474D5B"/>
    <w:rsid w:val="00474F4C"/>
    <w:rsid w:val="0047558A"/>
    <w:rsid w:val="00480E38"/>
    <w:rsid w:val="0048196B"/>
    <w:rsid w:val="0048364F"/>
    <w:rsid w:val="00484807"/>
    <w:rsid w:val="0048547B"/>
    <w:rsid w:val="00486B5D"/>
    <w:rsid w:val="0048746B"/>
    <w:rsid w:val="00487506"/>
    <w:rsid w:val="004903EB"/>
    <w:rsid w:val="00492180"/>
    <w:rsid w:val="0049360F"/>
    <w:rsid w:val="00493E55"/>
    <w:rsid w:val="00494450"/>
    <w:rsid w:val="00494ACA"/>
    <w:rsid w:val="00496F97"/>
    <w:rsid w:val="00497A73"/>
    <w:rsid w:val="00497AC9"/>
    <w:rsid w:val="004A5194"/>
    <w:rsid w:val="004A65AD"/>
    <w:rsid w:val="004A6FC5"/>
    <w:rsid w:val="004B054E"/>
    <w:rsid w:val="004B0B45"/>
    <w:rsid w:val="004B2DD4"/>
    <w:rsid w:val="004B32FB"/>
    <w:rsid w:val="004B3FDB"/>
    <w:rsid w:val="004B4462"/>
    <w:rsid w:val="004B7184"/>
    <w:rsid w:val="004B7A8D"/>
    <w:rsid w:val="004C2CB7"/>
    <w:rsid w:val="004C4AF7"/>
    <w:rsid w:val="004C53F4"/>
    <w:rsid w:val="004C628B"/>
    <w:rsid w:val="004C7C8C"/>
    <w:rsid w:val="004D082A"/>
    <w:rsid w:val="004D21CB"/>
    <w:rsid w:val="004D22FD"/>
    <w:rsid w:val="004E007D"/>
    <w:rsid w:val="004E2A4A"/>
    <w:rsid w:val="004F0D23"/>
    <w:rsid w:val="004F1FAC"/>
    <w:rsid w:val="004F5A8B"/>
    <w:rsid w:val="0050153F"/>
    <w:rsid w:val="00502D8E"/>
    <w:rsid w:val="005105F0"/>
    <w:rsid w:val="005125C5"/>
    <w:rsid w:val="005159C2"/>
    <w:rsid w:val="00516B8D"/>
    <w:rsid w:val="00516D49"/>
    <w:rsid w:val="005171F6"/>
    <w:rsid w:val="005176AD"/>
    <w:rsid w:val="00517C13"/>
    <w:rsid w:val="00517F09"/>
    <w:rsid w:val="00521058"/>
    <w:rsid w:val="00521270"/>
    <w:rsid w:val="00521ABF"/>
    <w:rsid w:val="00525557"/>
    <w:rsid w:val="00526569"/>
    <w:rsid w:val="00532751"/>
    <w:rsid w:val="00532EE0"/>
    <w:rsid w:val="005335CE"/>
    <w:rsid w:val="00533832"/>
    <w:rsid w:val="00533BC2"/>
    <w:rsid w:val="00534495"/>
    <w:rsid w:val="005363AC"/>
    <w:rsid w:val="00537FBC"/>
    <w:rsid w:val="00543469"/>
    <w:rsid w:val="00545164"/>
    <w:rsid w:val="00545AE6"/>
    <w:rsid w:val="0054624E"/>
    <w:rsid w:val="0054639C"/>
    <w:rsid w:val="005465B9"/>
    <w:rsid w:val="00551910"/>
    <w:rsid w:val="00551B54"/>
    <w:rsid w:val="00553F8E"/>
    <w:rsid w:val="005577DC"/>
    <w:rsid w:val="00557CED"/>
    <w:rsid w:val="00557F80"/>
    <w:rsid w:val="00566868"/>
    <w:rsid w:val="005676BD"/>
    <w:rsid w:val="00567825"/>
    <w:rsid w:val="00572D73"/>
    <w:rsid w:val="00572F0A"/>
    <w:rsid w:val="0057565C"/>
    <w:rsid w:val="0057769E"/>
    <w:rsid w:val="00580847"/>
    <w:rsid w:val="00582CC2"/>
    <w:rsid w:val="005838AE"/>
    <w:rsid w:val="00584130"/>
    <w:rsid w:val="00584811"/>
    <w:rsid w:val="00584A97"/>
    <w:rsid w:val="00585BC4"/>
    <w:rsid w:val="00585D59"/>
    <w:rsid w:val="005864B3"/>
    <w:rsid w:val="0058739F"/>
    <w:rsid w:val="00592AAF"/>
    <w:rsid w:val="005931FB"/>
    <w:rsid w:val="00593AA6"/>
    <w:rsid w:val="00594161"/>
    <w:rsid w:val="00594749"/>
    <w:rsid w:val="005955AF"/>
    <w:rsid w:val="00595AE6"/>
    <w:rsid w:val="00596BBC"/>
    <w:rsid w:val="00596EDC"/>
    <w:rsid w:val="00597EB1"/>
    <w:rsid w:val="005A06AA"/>
    <w:rsid w:val="005A0D92"/>
    <w:rsid w:val="005A1187"/>
    <w:rsid w:val="005A14A2"/>
    <w:rsid w:val="005A1620"/>
    <w:rsid w:val="005A46C1"/>
    <w:rsid w:val="005A5428"/>
    <w:rsid w:val="005A6716"/>
    <w:rsid w:val="005A7C3B"/>
    <w:rsid w:val="005B2D5F"/>
    <w:rsid w:val="005B3511"/>
    <w:rsid w:val="005B4067"/>
    <w:rsid w:val="005B49D6"/>
    <w:rsid w:val="005B5EE8"/>
    <w:rsid w:val="005C08E0"/>
    <w:rsid w:val="005C3F41"/>
    <w:rsid w:val="005C43B1"/>
    <w:rsid w:val="005C61EF"/>
    <w:rsid w:val="005C69AE"/>
    <w:rsid w:val="005C7EBB"/>
    <w:rsid w:val="005D056C"/>
    <w:rsid w:val="005D1186"/>
    <w:rsid w:val="005D2560"/>
    <w:rsid w:val="005D3F01"/>
    <w:rsid w:val="005D7D5F"/>
    <w:rsid w:val="005E152A"/>
    <w:rsid w:val="005F0D56"/>
    <w:rsid w:val="005F5E86"/>
    <w:rsid w:val="00600219"/>
    <w:rsid w:val="006011E1"/>
    <w:rsid w:val="00602A2D"/>
    <w:rsid w:val="00604207"/>
    <w:rsid w:val="006043BE"/>
    <w:rsid w:val="00605F82"/>
    <w:rsid w:val="00607512"/>
    <w:rsid w:val="00607898"/>
    <w:rsid w:val="00607CF9"/>
    <w:rsid w:val="00610D76"/>
    <w:rsid w:val="00612E04"/>
    <w:rsid w:val="0062042B"/>
    <w:rsid w:val="00620887"/>
    <w:rsid w:val="0062154E"/>
    <w:rsid w:val="00621EAB"/>
    <w:rsid w:val="006228F1"/>
    <w:rsid w:val="00622C25"/>
    <w:rsid w:val="006235FB"/>
    <w:rsid w:val="00623C2B"/>
    <w:rsid w:val="00626EB7"/>
    <w:rsid w:val="0063149A"/>
    <w:rsid w:val="006337FC"/>
    <w:rsid w:val="00634BEB"/>
    <w:rsid w:val="00641039"/>
    <w:rsid w:val="00641198"/>
    <w:rsid w:val="0064166A"/>
    <w:rsid w:val="00641DE5"/>
    <w:rsid w:val="00642A9B"/>
    <w:rsid w:val="006434F4"/>
    <w:rsid w:val="0064380E"/>
    <w:rsid w:val="0065044B"/>
    <w:rsid w:val="00651C62"/>
    <w:rsid w:val="006531A6"/>
    <w:rsid w:val="00653B03"/>
    <w:rsid w:val="0065519F"/>
    <w:rsid w:val="00655995"/>
    <w:rsid w:val="006559B0"/>
    <w:rsid w:val="00655B4A"/>
    <w:rsid w:val="0065630F"/>
    <w:rsid w:val="00656F0C"/>
    <w:rsid w:val="0066049C"/>
    <w:rsid w:val="0066169D"/>
    <w:rsid w:val="006623C0"/>
    <w:rsid w:val="00665BF8"/>
    <w:rsid w:val="00665F38"/>
    <w:rsid w:val="0066684C"/>
    <w:rsid w:val="00666BF2"/>
    <w:rsid w:val="00667577"/>
    <w:rsid w:val="00670072"/>
    <w:rsid w:val="006744C8"/>
    <w:rsid w:val="00674775"/>
    <w:rsid w:val="00674CDA"/>
    <w:rsid w:val="006777B7"/>
    <w:rsid w:val="006777DC"/>
    <w:rsid w:val="00677CC2"/>
    <w:rsid w:val="006803C7"/>
    <w:rsid w:val="00681615"/>
    <w:rsid w:val="00681F92"/>
    <w:rsid w:val="0068346D"/>
    <w:rsid w:val="00683988"/>
    <w:rsid w:val="00683EFC"/>
    <w:rsid w:val="006842C2"/>
    <w:rsid w:val="00685F42"/>
    <w:rsid w:val="006873E4"/>
    <w:rsid w:val="006876F9"/>
    <w:rsid w:val="00687B32"/>
    <w:rsid w:val="00690F7C"/>
    <w:rsid w:val="00691D1A"/>
    <w:rsid w:val="0069207B"/>
    <w:rsid w:val="006972B9"/>
    <w:rsid w:val="006A19BD"/>
    <w:rsid w:val="006A1D68"/>
    <w:rsid w:val="006A3B9D"/>
    <w:rsid w:val="006A4565"/>
    <w:rsid w:val="006A5020"/>
    <w:rsid w:val="006A540B"/>
    <w:rsid w:val="006A74AA"/>
    <w:rsid w:val="006A7954"/>
    <w:rsid w:val="006B015C"/>
    <w:rsid w:val="006B1081"/>
    <w:rsid w:val="006B17CF"/>
    <w:rsid w:val="006B3A36"/>
    <w:rsid w:val="006B3A79"/>
    <w:rsid w:val="006B51E9"/>
    <w:rsid w:val="006B5A1B"/>
    <w:rsid w:val="006B6415"/>
    <w:rsid w:val="006B7DC9"/>
    <w:rsid w:val="006C05E4"/>
    <w:rsid w:val="006C0932"/>
    <w:rsid w:val="006C1819"/>
    <w:rsid w:val="006C2874"/>
    <w:rsid w:val="006C37A0"/>
    <w:rsid w:val="006C3B8C"/>
    <w:rsid w:val="006C3C6F"/>
    <w:rsid w:val="006C4526"/>
    <w:rsid w:val="006C45C1"/>
    <w:rsid w:val="006C536B"/>
    <w:rsid w:val="006C7182"/>
    <w:rsid w:val="006C7F8C"/>
    <w:rsid w:val="006D1C4C"/>
    <w:rsid w:val="006D2102"/>
    <w:rsid w:val="006D2BE9"/>
    <w:rsid w:val="006D380D"/>
    <w:rsid w:val="006D441B"/>
    <w:rsid w:val="006D6A84"/>
    <w:rsid w:val="006E0135"/>
    <w:rsid w:val="006E303A"/>
    <w:rsid w:val="006E388E"/>
    <w:rsid w:val="006E4277"/>
    <w:rsid w:val="006E4C79"/>
    <w:rsid w:val="006E5C96"/>
    <w:rsid w:val="006E687D"/>
    <w:rsid w:val="006E7522"/>
    <w:rsid w:val="006F1B24"/>
    <w:rsid w:val="006F1D23"/>
    <w:rsid w:val="006F5CE9"/>
    <w:rsid w:val="006F7C59"/>
    <w:rsid w:val="006F7E19"/>
    <w:rsid w:val="00700B2C"/>
    <w:rsid w:val="00702884"/>
    <w:rsid w:val="00702A35"/>
    <w:rsid w:val="00705F91"/>
    <w:rsid w:val="007063C0"/>
    <w:rsid w:val="00706422"/>
    <w:rsid w:val="0070670D"/>
    <w:rsid w:val="00706F96"/>
    <w:rsid w:val="00707361"/>
    <w:rsid w:val="007077E5"/>
    <w:rsid w:val="00707846"/>
    <w:rsid w:val="00707C7C"/>
    <w:rsid w:val="0071277B"/>
    <w:rsid w:val="00712979"/>
    <w:rsid w:val="00712D8D"/>
    <w:rsid w:val="00713084"/>
    <w:rsid w:val="00714B26"/>
    <w:rsid w:val="007163F5"/>
    <w:rsid w:val="00721BDB"/>
    <w:rsid w:val="00721D42"/>
    <w:rsid w:val="00724524"/>
    <w:rsid w:val="00726E95"/>
    <w:rsid w:val="00731E00"/>
    <w:rsid w:val="007356FC"/>
    <w:rsid w:val="00735AC6"/>
    <w:rsid w:val="00736504"/>
    <w:rsid w:val="00736FEE"/>
    <w:rsid w:val="007432BD"/>
    <w:rsid w:val="00744007"/>
    <w:rsid w:val="007440B7"/>
    <w:rsid w:val="00744812"/>
    <w:rsid w:val="007466B6"/>
    <w:rsid w:val="00747058"/>
    <w:rsid w:val="007477AF"/>
    <w:rsid w:val="00750415"/>
    <w:rsid w:val="00751DE8"/>
    <w:rsid w:val="007535FF"/>
    <w:rsid w:val="00754491"/>
    <w:rsid w:val="00756145"/>
    <w:rsid w:val="007611DD"/>
    <w:rsid w:val="007616EF"/>
    <w:rsid w:val="00761A6E"/>
    <w:rsid w:val="007620E6"/>
    <w:rsid w:val="00762C32"/>
    <w:rsid w:val="007634AD"/>
    <w:rsid w:val="00763CE3"/>
    <w:rsid w:val="00764289"/>
    <w:rsid w:val="00766183"/>
    <w:rsid w:val="00766CB3"/>
    <w:rsid w:val="00767C78"/>
    <w:rsid w:val="007715C9"/>
    <w:rsid w:val="0077225B"/>
    <w:rsid w:val="00772BE7"/>
    <w:rsid w:val="00774EDD"/>
    <w:rsid w:val="007757EC"/>
    <w:rsid w:val="00775CF9"/>
    <w:rsid w:val="007810EA"/>
    <w:rsid w:val="00781A0F"/>
    <w:rsid w:val="007832EE"/>
    <w:rsid w:val="00786706"/>
    <w:rsid w:val="007868EE"/>
    <w:rsid w:val="00787A67"/>
    <w:rsid w:val="0079144C"/>
    <w:rsid w:val="00791B89"/>
    <w:rsid w:val="007920E4"/>
    <w:rsid w:val="0079265C"/>
    <w:rsid w:val="00794B60"/>
    <w:rsid w:val="00795B9A"/>
    <w:rsid w:val="0079675D"/>
    <w:rsid w:val="00796B15"/>
    <w:rsid w:val="00796C56"/>
    <w:rsid w:val="007A5FD6"/>
    <w:rsid w:val="007A746D"/>
    <w:rsid w:val="007A7974"/>
    <w:rsid w:val="007B01B9"/>
    <w:rsid w:val="007B0786"/>
    <w:rsid w:val="007B15C0"/>
    <w:rsid w:val="007B2162"/>
    <w:rsid w:val="007B6CAB"/>
    <w:rsid w:val="007B6D37"/>
    <w:rsid w:val="007B7F05"/>
    <w:rsid w:val="007C0A1C"/>
    <w:rsid w:val="007C0DD4"/>
    <w:rsid w:val="007C16DA"/>
    <w:rsid w:val="007C2EAF"/>
    <w:rsid w:val="007C349A"/>
    <w:rsid w:val="007C4280"/>
    <w:rsid w:val="007C4ACB"/>
    <w:rsid w:val="007D3656"/>
    <w:rsid w:val="007D38BC"/>
    <w:rsid w:val="007D4C1F"/>
    <w:rsid w:val="007D5D1E"/>
    <w:rsid w:val="007D5E83"/>
    <w:rsid w:val="007D6989"/>
    <w:rsid w:val="007E0F65"/>
    <w:rsid w:val="007E2880"/>
    <w:rsid w:val="007E7D4A"/>
    <w:rsid w:val="007F4BDC"/>
    <w:rsid w:val="007F5A60"/>
    <w:rsid w:val="008006CC"/>
    <w:rsid w:val="008006FD"/>
    <w:rsid w:val="00803D62"/>
    <w:rsid w:val="008045A6"/>
    <w:rsid w:val="008065EE"/>
    <w:rsid w:val="00807F18"/>
    <w:rsid w:val="00811F02"/>
    <w:rsid w:val="00811F51"/>
    <w:rsid w:val="008123D9"/>
    <w:rsid w:val="00814A2F"/>
    <w:rsid w:val="00815DA8"/>
    <w:rsid w:val="00816699"/>
    <w:rsid w:val="00817023"/>
    <w:rsid w:val="0081737A"/>
    <w:rsid w:val="00821020"/>
    <w:rsid w:val="008219D6"/>
    <w:rsid w:val="008229EA"/>
    <w:rsid w:val="00824B98"/>
    <w:rsid w:val="00825F10"/>
    <w:rsid w:val="008260D9"/>
    <w:rsid w:val="00830139"/>
    <w:rsid w:val="00831466"/>
    <w:rsid w:val="00831E8D"/>
    <w:rsid w:val="00831F81"/>
    <w:rsid w:val="00835CD9"/>
    <w:rsid w:val="00836824"/>
    <w:rsid w:val="00836A09"/>
    <w:rsid w:val="00837900"/>
    <w:rsid w:val="00842AEF"/>
    <w:rsid w:val="00846850"/>
    <w:rsid w:val="008471A9"/>
    <w:rsid w:val="00852803"/>
    <w:rsid w:val="00855050"/>
    <w:rsid w:val="00856856"/>
    <w:rsid w:val="00856A31"/>
    <w:rsid w:val="008574AA"/>
    <w:rsid w:val="00857D6B"/>
    <w:rsid w:val="008602A9"/>
    <w:rsid w:val="00862348"/>
    <w:rsid w:val="00863906"/>
    <w:rsid w:val="0087086E"/>
    <w:rsid w:val="00871711"/>
    <w:rsid w:val="00872CB4"/>
    <w:rsid w:val="00873E64"/>
    <w:rsid w:val="008754D0"/>
    <w:rsid w:val="008761D8"/>
    <w:rsid w:val="00877CBD"/>
    <w:rsid w:val="00877D48"/>
    <w:rsid w:val="00880997"/>
    <w:rsid w:val="00881F1B"/>
    <w:rsid w:val="00882D9E"/>
    <w:rsid w:val="00883781"/>
    <w:rsid w:val="00885282"/>
    <w:rsid w:val="00885570"/>
    <w:rsid w:val="00887068"/>
    <w:rsid w:val="008900B3"/>
    <w:rsid w:val="00893958"/>
    <w:rsid w:val="008945FB"/>
    <w:rsid w:val="00894C3C"/>
    <w:rsid w:val="008977C2"/>
    <w:rsid w:val="008A209E"/>
    <w:rsid w:val="008A2259"/>
    <w:rsid w:val="008A2E77"/>
    <w:rsid w:val="008A6DC3"/>
    <w:rsid w:val="008B62BB"/>
    <w:rsid w:val="008B6FD4"/>
    <w:rsid w:val="008C1E12"/>
    <w:rsid w:val="008C308B"/>
    <w:rsid w:val="008C3D47"/>
    <w:rsid w:val="008C60A2"/>
    <w:rsid w:val="008C6601"/>
    <w:rsid w:val="008C6F6F"/>
    <w:rsid w:val="008C747E"/>
    <w:rsid w:val="008D0EE0"/>
    <w:rsid w:val="008D1ADC"/>
    <w:rsid w:val="008D2DB0"/>
    <w:rsid w:val="008D3E36"/>
    <w:rsid w:val="008D406E"/>
    <w:rsid w:val="008D54E7"/>
    <w:rsid w:val="008E0524"/>
    <w:rsid w:val="008E1A14"/>
    <w:rsid w:val="008F1F81"/>
    <w:rsid w:val="008F28EA"/>
    <w:rsid w:val="008F352C"/>
    <w:rsid w:val="008F4275"/>
    <w:rsid w:val="008F4F1C"/>
    <w:rsid w:val="008F5384"/>
    <w:rsid w:val="008F734D"/>
    <w:rsid w:val="008F77C4"/>
    <w:rsid w:val="009009B1"/>
    <w:rsid w:val="00902A83"/>
    <w:rsid w:val="00903BE2"/>
    <w:rsid w:val="00903F29"/>
    <w:rsid w:val="00905B0B"/>
    <w:rsid w:val="009075DF"/>
    <w:rsid w:val="009103F3"/>
    <w:rsid w:val="009165C3"/>
    <w:rsid w:val="009170A4"/>
    <w:rsid w:val="009201B3"/>
    <w:rsid w:val="0092042D"/>
    <w:rsid w:val="00921644"/>
    <w:rsid w:val="009233F5"/>
    <w:rsid w:val="0092434D"/>
    <w:rsid w:val="00926837"/>
    <w:rsid w:val="009312EE"/>
    <w:rsid w:val="00931898"/>
    <w:rsid w:val="00932377"/>
    <w:rsid w:val="00932DC7"/>
    <w:rsid w:val="009354F5"/>
    <w:rsid w:val="00937091"/>
    <w:rsid w:val="00937393"/>
    <w:rsid w:val="00940B77"/>
    <w:rsid w:val="009437B1"/>
    <w:rsid w:val="009454E8"/>
    <w:rsid w:val="0094589C"/>
    <w:rsid w:val="009475CC"/>
    <w:rsid w:val="00954B08"/>
    <w:rsid w:val="00954B47"/>
    <w:rsid w:val="00954F1A"/>
    <w:rsid w:val="009555E1"/>
    <w:rsid w:val="009557C5"/>
    <w:rsid w:val="009564B4"/>
    <w:rsid w:val="00956B67"/>
    <w:rsid w:val="00956CAF"/>
    <w:rsid w:val="00957DF1"/>
    <w:rsid w:val="00957FA3"/>
    <w:rsid w:val="009612CC"/>
    <w:rsid w:val="0096431E"/>
    <w:rsid w:val="00965E38"/>
    <w:rsid w:val="00966DC6"/>
    <w:rsid w:val="00967042"/>
    <w:rsid w:val="00967463"/>
    <w:rsid w:val="0096785C"/>
    <w:rsid w:val="00970742"/>
    <w:rsid w:val="00970C68"/>
    <w:rsid w:val="009748C6"/>
    <w:rsid w:val="009762FA"/>
    <w:rsid w:val="00976A83"/>
    <w:rsid w:val="009774FF"/>
    <w:rsid w:val="00977BBB"/>
    <w:rsid w:val="009812AF"/>
    <w:rsid w:val="009820AD"/>
    <w:rsid w:val="0098255A"/>
    <w:rsid w:val="00984241"/>
    <w:rsid w:val="009845BE"/>
    <w:rsid w:val="00984F3A"/>
    <w:rsid w:val="0098644A"/>
    <w:rsid w:val="0098654D"/>
    <w:rsid w:val="00986B8D"/>
    <w:rsid w:val="00990AE4"/>
    <w:rsid w:val="00991103"/>
    <w:rsid w:val="00991D9E"/>
    <w:rsid w:val="00993F4A"/>
    <w:rsid w:val="00996129"/>
    <w:rsid w:val="009969C9"/>
    <w:rsid w:val="009A011D"/>
    <w:rsid w:val="009A239B"/>
    <w:rsid w:val="009A7998"/>
    <w:rsid w:val="009B1E29"/>
    <w:rsid w:val="009B20B0"/>
    <w:rsid w:val="009B267A"/>
    <w:rsid w:val="009B3FAF"/>
    <w:rsid w:val="009B57E8"/>
    <w:rsid w:val="009C144E"/>
    <w:rsid w:val="009C36D6"/>
    <w:rsid w:val="009C4A57"/>
    <w:rsid w:val="009C5A25"/>
    <w:rsid w:val="009C620D"/>
    <w:rsid w:val="009D1140"/>
    <w:rsid w:val="009D3797"/>
    <w:rsid w:val="009D3A9F"/>
    <w:rsid w:val="009D64C4"/>
    <w:rsid w:val="009D66DD"/>
    <w:rsid w:val="009E03EA"/>
    <w:rsid w:val="009E1179"/>
    <w:rsid w:val="009E3856"/>
    <w:rsid w:val="009E5122"/>
    <w:rsid w:val="009E7D35"/>
    <w:rsid w:val="009F012A"/>
    <w:rsid w:val="009F4178"/>
    <w:rsid w:val="009F690E"/>
    <w:rsid w:val="00A00C98"/>
    <w:rsid w:val="00A03A60"/>
    <w:rsid w:val="00A048FF"/>
    <w:rsid w:val="00A05576"/>
    <w:rsid w:val="00A0677B"/>
    <w:rsid w:val="00A06E52"/>
    <w:rsid w:val="00A101E8"/>
    <w:rsid w:val="00A10775"/>
    <w:rsid w:val="00A10821"/>
    <w:rsid w:val="00A11F96"/>
    <w:rsid w:val="00A1408B"/>
    <w:rsid w:val="00A15486"/>
    <w:rsid w:val="00A16F7A"/>
    <w:rsid w:val="00A17AA6"/>
    <w:rsid w:val="00A227FF"/>
    <w:rsid w:val="00A22B5D"/>
    <w:rsid w:val="00A231E2"/>
    <w:rsid w:val="00A23A84"/>
    <w:rsid w:val="00A24FEF"/>
    <w:rsid w:val="00A25491"/>
    <w:rsid w:val="00A32051"/>
    <w:rsid w:val="00A33239"/>
    <w:rsid w:val="00A34EEC"/>
    <w:rsid w:val="00A356E4"/>
    <w:rsid w:val="00A36C48"/>
    <w:rsid w:val="00A37642"/>
    <w:rsid w:val="00A37870"/>
    <w:rsid w:val="00A415D4"/>
    <w:rsid w:val="00A41E0B"/>
    <w:rsid w:val="00A42095"/>
    <w:rsid w:val="00A444FF"/>
    <w:rsid w:val="00A45C8C"/>
    <w:rsid w:val="00A51B07"/>
    <w:rsid w:val="00A551BE"/>
    <w:rsid w:val="00A55631"/>
    <w:rsid w:val="00A5582B"/>
    <w:rsid w:val="00A55964"/>
    <w:rsid w:val="00A56863"/>
    <w:rsid w:val="00A569C3"/>
    <w:rsid w:val="00A60472"/>
    <w:rsid w:val="00A63F6F"/>
    <w:rsid w:val="00A64912"/>
    <w:rsid w:val="00A709F3"/>
    <w:rsid w:val="00A70A74"/>
    <w:rsid w:val="00A7174B"/>
    <w:rsid w:val="00A71867"/>
    <w:rsid w:val="00A72BA5"/>
    <w:rsid w:val="00A74D9D"/>
    <w:rsid w:val="00A77334"/>
    <w:rsid w:val="00A77819"/>
    <w:rsid w:val="00A779AB"/>
    <w:rsid w:val="00A77E63"/>
    <w:rsid w:val="00A802B7"/>
    <w:rsid w:val="00A80501"/>
    <w:rsid w:val="00A80AF4"/>
    <w:rsid w:val="00A83DB6"/>
    <w:rsid w:val="00A8498C"/>
    <w:rsid w:val="00A86958"/>
    <w:rsid w:val="00A90C6F"/>
    <w:rsid w:val="00A9191C"/>
    <w:rsid w:val="00A91ACC"/>
    <w:rsid w:val="00A948E3"/>
    <w:rsid w:val="00A94F8A"/>
    <w:rsid w:val="00A95221"/>
    <w:rsid w:val="00A96307"/>
    <w:rsid w:val="00A96DCD"/>
    <w:rsid w:val="00A97C80"/>
    <w:rsid w:val="00AA0738"/>
    <w:rsid w:val="00AA0CB6"/>
    <w:rsid w:val="00AA3795"/>
    <w:rsid w:val="00AA4681"/>
    <w:rsid w:val="00AA4C21"/>
    <w:rsid w:val="00AA778E"/>
    <w:rsid w:val="00AB0731"/>
    <w:rsid w:val="00AB14E6"/>
    <w:rsid w:val="00AB19DC"/>
    <w:rsid w:val="00AB2B86"/>
    <w:rsid w:val="00AB3768"/>
    <w:rsid w:val="00AB4F7D"/>
    <w:rsid w:val="00AB5F0E"/>
    <w:rsid w:val="00AB5F65"/>
    <w:rsid w:val="00AB635F"/>
    <w:rsid w:val="00AB643A"/>
    <w:rsid w:val="00AB6611"/>
    <w:rsid w:val="00AB75DE"/>
    <w:rsid w:val="00AB7D99"/>
    <w:rsid w:val="00AC1E75"/>
    <w:rsid w:val="00AC221A"/>
    <w:rsid w:val="00AC2826"/>
    <w:rsid w:val="00AC6E50"/>
    <w:rsid w:val="00AC711A"/>
    <w:rsid w:val="00AD3317"/>
    <w:rsid w:val="00AD48A3"/>
    <w:rsid w:val="00AD5387"/>
    <w:rsid w:val="00AD538B"/>
    <w:rsid w:val="00AD5641"/>
    <w:rsid w:val="00AD57ED"/>
    <w:rsid w:val="00AD7A14"/>
    <w:rsid w:val="00AE1088"/>
    <w:rsid w:val="00AE1AFD"/>
    <w:rsid w:val="00AE1D62"/>
    <w:rsid w:val="00AE2469"/>
    <w:rsid w:val="00AE542D"/>
    <w:rsid w:val="00AE6367"/>
    <w:rsid w:val="00AE6511"/>
    <w:rsid w:val="00AE68D5"/>
    <w:rsid w:val="00AE6D44"/>
    <w:rsid w:val="00AE6E62"/>
    <w:rsid w:val="00AE79EB"/>
    <w:rsid w:val="00AF09B7"/>
    <w:rsid w:val="00AF1001"/>
    <w:rsid w:val="00AF1BA4"/>
    <w:rsid w:val="00AF27DA"/>
    <w:rsid w:val="00AF4198"/>
    <w:rsid w:val="00AF6023"/>
    <w:rsid w:val="00B00217"/>
    <w:rsid w:val="00B02865"/>
    <w:rsid w:val="00B02A1E"/>
    <w:rsid w:val="00B032D8"/>
    <w:rsid w:val="00B045CB"/>
    <w:rsid w:val="00B0670C"/>
    <w:rsid w:val="00B1149B"/>
    <w:rsid w:val="00B13EC1"/>
    <w:rsid w:val="00B14E1C"/>
    <w:rsid w:val="00B14F26"/>
    <w:rsid w:val="00B176E4"/>
    <w:rsid w:val="00B20300"/>
    <w:rsid w:val="00B20319"/>
    <w:rsid w:val="00B2038F"/>
    <w:rsid w:val="00B226A5"/>
    <w:rsid w:val="00B23685"/>
    <w:rsid w:val="00B2539D"/>
    <w:rsid w:val="00B25608"/>
    <w:rsid w:val="00B2612B"/>
    <w:rsid w:val="00B267CD"/>
    <w:rsid w:val="00B27589"/>
    <w:rsid w:val="00B31972"/>
    <w:rsid w:val="00B328FE"/>
    <w:rsid w:val="00B33B3C"/>
    <w:rsid w:val="00B34992"/>
    <w:rsid w:val="00B405EF"/>
    <w:rsid w:val="00B40F6E"/>
    <w:rsid w:val="00B41A9C"/>
    <w:rsid w:val="00B41BCA"/>
    <w:rsid w:val="00B47431"/>
    <w:rsid w:val="00B47DF2"/>
    <w:rsid w:val="00B523D0"/>
    <w:rsid w:val="00B526AB"/>
    <w:rsid w:val="00B52EA9"/>
    <w:rsid w:val="00B54EB8"/>
    <w:rsid w:val="00B552D6"/>
    <w:rsid w:val="00B55709"/>
    <w:rsid w:val="00B55747"/>
    <w:rsid w:val="00B57A14"/>
    <w:rsid w:val="00B612FC"/>
    <w:rsid w:val="00B61766"/>
    <w:rsid w:val="00B6178D"/>
    <w:rsid w:val="00B61DD6"/>
    <w:rsid w:val="00B6382D"/>
    <w:rsid w:val="00B63A32"/>
    <w:rsid w:val="00B655DF"/>
    <w:rsid w:val="00B662A9"/>
    <w:rsid w:val="00B67DD8"/>
    <w:rsid w:val="00B70E34"/>
    <w:rsid w:val="00B734A9"/>
    <w:rsid w:val="00B73F4D"/>
    <w:rsid w:val="00B74101"/>
    <w:rsid w:val="00B754A1"/>
    <w:rsid w:val="00B75BFA"/>
    <w:rsid w:val="00B813CB"/>
    <w:rsid w:val="00B81422"/>
    <w:rsid w:val="00B82E1E"/>
    <w:rsid w:val="00B83D86"/>
    <w:rsid w:val="00B84B88"/>
    <w:rsid w:val="00B85424"/>
    <w:rsid w:val="00B90832"/>
    <w:rsid w:val="00B93DEF"/>
    <w:rsid w:val="00B940AD"/>
    <w:rsid w:val="00BA307A"/>
    <w:rsid w:val="00BA353E"/>
    <w:rsid w:val="00BA4B6E"/>
    <w:rsid w:val="00BA5026"/>
    <w:rsid w:val="00BA5263"/>
    <w:rsid w:val="00BA65CB"/>
    <w:rsid w:val="00BA689F"/>
    <w:rsid w:val="00BB004A"/>
    <w:rsid w:val="00BB0709"/>
    <w:rsid w:val="00BB2C08"/>
    <w:rsid w:val="00BB3477"/>
    <w:rsid w:val="00BB3DD8"/>
    <w:rsid w:val="00BB40BF"/>
    <w:rsid w:val="00BB49BA"/>
    <w:rsid w:val="00BB7C0C"/>
    <w:rsid w:val="00BC00F0"/>
    <w:rsid w:val="00BC0CD1"/>
    <w:rsid w:val="00BC1B1C"/>
    <w:rsid w:val="00BC38A4"/>
    <w:rsid w:val="00BC3E81"/>
    <w:rsid w:val="00BC5A32"/>
    <w:rsid w:val="00BD2DC0"/>
    <w:rsid w:val="00BD3D46"/>
    <w:rsid w:val="00BD4DE0"/>
    <w:rsid w:val="00BD76DD"/>
    <w:rsid w:val="00BE1B98"/>
    <w:rsid w:val="00BE2A00"/>
    <w:rsid w:val="00BE4693"/>
    <w:rsid w:val="00BE58AE"/>
    <w:rsid w:val="00BE719A"/>
    <w:rsid w:val="00BE720A"/>
    <w:rsid w:val="00BF0461"/>
    <w:rsid w:val="00BF3144"/>
    <w:rsid w:val="00BF4721"/>
    <w:rsid w:val="00BF4944"/>
    <w:rsid w:val="00BF4D29"/>
    <w:rsid w:val="00BF56D4"/>
    <w:rsid w:val="00BF70F1"/>
    <w:rsid w:val="00C02554"/>
    <w:rsid w:val="00C03869"/>
    <w:rsid w:val="00C04409"/>
    <w:rsid w:val="00C04857"/>
    <w:rsid w:val="00C05526"/>
    <w:rsid w:val="00C063DF"/>
    <w:rsid w:val="00C067E5"/>
    <w:rsid w:val="00C06AE9"/>
    <w:rsid w:val="00C11272"/>
    <w:rsid w:val="00C120CA"/>
    <w:rsid w:val="00C126B0"/>
    <w:rsid w:val="00C12D3A"/>
    <w:rsid w:val="00C14E34"/>
    <w:rsid w:val="00C164CA"/>
    <w:rsid w:val="00C17388"/>
    <w:rsid w:val="00C176CF"/>
    <w:rsid w:val="00C21B2C"/>
    <w:rsid w:val="00C22E33"/>
    <w:rsid w:val="00C25689"/>
    <w:rsid w:val="00C3190A"/>
    <w:rsid w:val="00C3230B"/>
    <w:rsid w:val="00C334CD"/>
    <w:rsid w:val="00C363BD"/>
    <w:rsid w:val="00C36597"/>
    <w:rsid w:val="00C4178D"/>
    <w:rsid w:val="00C4240D"/>
    <w:rsid w:val="00C42773"/>
    <w:rsid w:val="00C42BF8"/>
    <w:rsid w:val="00C42CDC"/>
    <w:rsid w:val="00C460AE"/>
    <w:rsid w:val="00C46AE8"/>
    <w:rsid w:val="00C47588"/>
    <w:rsid w:val="00C47B65"/>
    <w:rsid w:val="00C50043"/>
    <w:rsid w:val="00C53523"/>
    <w:rsid w:val="00C53809"/>
    <w:rsid w:val="00C53D42"/>
    <w:rsid w:val="00C54E84"/>
    <w:rsid w:val="00C5557D"/>
    <w:rsid w:val="00C56128"/>
    <w:rsid w:val="00C60CBD"/>
    <w:rsid w:val="00C656AD"/>
    <w:rsid w:val="00C656FF"/>
    <w:rsid w:val="00C65B86"/>
    <w:rsid w:val="00C66E86"/>
    <w:rsid w:val="00C70305"/>
    <w:rsid w:val="00C7176F"/>
    <w:rsid w:val="00C73974"/>
    <w:rsid w:val="00C744A6"/>
    <w:rsid w:val="00C7573B"/>
    <w:rsid w:val="00C75ACA"/>
    <w:rsid w:val="00C766F7"/>
    <w:rsid w:val="00C76CF3"/>
    <w:rsid w:val="00C83111"/>
    <w:rsid w:val="00C851A1"/>
    <w:rsid w:val="00C857E3"/>
    <w:rsid w:val="00C8615D"/>
    <w:rsid w:val="00C869B4"/>
    <w:rsid w:val="00C90032"/>
    <w:rsid w:val="00C921AD"/>
    <w:rsid w:val="00C94586"/>
    <w:rsid w:val="00C9700F"/>
    <w:rsid w:val="00CA5ECD"/>
    <w:rsid w:val="00CA60C8"/>
    <w:rsid w:val="00CA6A51"/>
    <w:rsid w:val="00CA6F2C"/>
    <w:rsid w:val="00CA74B3"/>
    <w:rsid w:val="00CB0131"/>
    <w:rsid w:val="00CB0427"/>
    <w:rsid w:val="00CB10E0"/>
    <w:rsid w:val="00CB2D20"/>
    <w:rsid w:val="00CB3977"/>
    <w:rsid w:val="00CB39AA"/>
    <w:rsid w:val="00CB4401"/>
    <w:rsid w:val="00CB44DF"/>
    <w:rsid w:val="00CB4556"/>
    <w:rsid w:val="00CB79B2"/>
    <w:rsid w:val="00CC1546"/>
    <w:rsid w:val="00CC5136"/>
    <w:rsid w:val="00CC6F88"/>
    <w:rsid w:val="00CC7593"/>
    <w:rsid w:val="00CD2FA1"/>
    <w:rsid w:val="00CD404F"/>
    <w:rsid w:val="00CD57B4"/>
    <w:rsid w:val="00CD66BA"/>
    <w:rsid w:val="00CD727F"/>
    <w:rsid w:val="00CD7FAF"/>
    <w:rsid w:val="00CE1E31"/>
    <w:rsid w:val="00CE33FF"/>
    <w:rsid w:val="00CE54DD"/>
    <w:rsid w:val="00CE770F"/>
    <w:rsid w:val="00CE7D24"/>
    <w:rsid w:val="00CF0BB2"/>
    <w:rsid w:val="00CF15E0"/>
    <w:rsid w:val="00CF24DA"/>
    <w:rsid w:val="00CF2546"/>
    <w:rsid w:val="00CF3056"/>
    <w:rsid w:val="00CF3668"/>
    <w:rsid w:val="00CF4EB7"/>
    <w:rsid w:val="00CF6324"/>
    <w:rsid w:val="00D00EAA"/>
    <w:rsid w:val="00D010D6"/>
    <w:rsid w:val="00D044E0"/>
    <w:rsid w:val="00D10724"/>
    <w:rsid w:val="00D13160"/>
    <w:rsid w:val="00D13441"/>
    <w:rsid w:val="00D14D67"/>
    <w:rsid w:val="00D21B62"/>
    <w:rsid w:val="00D21F1B"/>
    <w:rsid w:val="00D22265"/>
    <w:rsid w:val="00D22ABB"/>
    <w:rsid w:val="00D23588"/>
    <w:rsid w:val="00D2378E"/>
    <w:rsid w:val="00D243A3"/>
    <w:rsid w:val="00D252EA"/>
    <w:rsid w:val="00D25C8C"/>
    <w:rsid w:val="00D263D5"/>
    <w:rsid w:val="00D26A83"/>
    <w:rsid w:val="00D30B93"/>
    <w:rsid w:val="00D318D0"/>
    <w:rsid w:val="00D32226"/>
    <w:rsid w:val="00D3381C"/>
    <w:rsid w:val="00D36D77"/>
    <w:rsid w:val="00D40A4B"/>
    <w:rsid w:val="00D4270E"/>
    <w:rsid w:val="00D449B4"/>
    <w:rsid w:val="00D46148"/>
    <w:rsid w:val="00D47504"/>
    <w:rsid w:val="00D477C3"/>
    <w:rsid w:val="00D5052E"/>
    <w:rsid w:val="00D51A79"/>
    <w:rsid w:val="00D52E82"/>
    <w:rsid w:val="00D52EFE"/>
    <w:rsid w:val="00D53B24"/>
    <w:rsid w:val="00D55452"/>
    <w:rsid w:val="00D57757"/>
    <w:rsid w:val="00D577F0"/>
    <w:rsid w:val="00D578A6"/>
    <w:rsid w:val="00D614CA"/>
    <w:rsid w:val="00D616CB"/>
    <w:rsid w:val="00D61A4A"/>
    <w:rsid w:val="00D6231B"/>
    <w:rsid w:val="00D63EF6"/>
    <w:rsid w:val="00D64CD4"/>
    <w:rsid w:val="00D65AFA"/>
    <w:rsid w:val="00D66C97"/>
    <w:rsid w:val="00D66CEA"/>
    <w:rsid w:val="00D705CF"/>
    <w:rsid w:val="00D70DFB"/>
    <w:rsid w:val="00D73029"/>
    <w:rsid w:val="00D7360D"/>
    <w:rsid w:val="00D74CFF"/>
    <w:rsid w:val="00D758EC"/>
    <w:rsid w:val="00D766DF"/>
    <w:rsid w:val="00D77922"/>
    <w:rsid w:val="00D80B04"/>
    <w:rsid w:val="00D80C89"/>
    <w:rsid w:val="00D83E69"/>
    <w:rsid w:val="00D860AF"/>
    <w:rsid w:val="00D86141"/>
    <w:rsid w:val="00D8645A"/>
    <w:rsid w:val="00D86D5F"/>
    <w:rsid w:val="00D90FCA"/>
    <w:rsid w:val="00D919B9"/>
    <w:rsid w:val="00D91E01"/>
    <w:rsid w:val="00D92B57"/>
    <w:rsid w:val="00D92E5C"/>
    <w:rsid w:val="00D93BD6"/>
    <w:rsid w:val="00D93CFE"/>
    <w:rsid w:val="00D94D23"/>
    <w:rsid w:val="00D96E86"/>
    <w:rsid w:val="00D973A4"/>
    <w:rsid w:val="00DA2A01"/>
    <w:rsid w:val="00DA3425"/>
    <w:rsid w:val="00DA6AA1"/>
    <w:rsid w:val="00DA7553"/>
    <w:rsid w:val="00DB5631"/>
    <w:rsid w:val="00DB68A9"/>
    <w:rsid w:val="00DC0404"/>
    <w:rsid w:val="00DC4DD3"/>
    <w:rsid w:val="00DC77B1"/>
    <w:rsid w:val="00DC7FE0"/>
    <w:rsid w:val="00DD0CC7"/>
    <w:rsid w:val="00DD1010"/>
    <w:rsid w:val="00DD4FEB"/>
    <w:rsid w:val="00DD675D"/>
    <w:rsid w:val="00DD70B9"/>
    <w:rsid w:val="00DD7F0A"/>
    <w:rsid w:val="00DE17CA"/>
    <w:rsid w:val="00DE2002"/>
    <w:rsid w:val="00DE4CF9"/>
    <w:rsid w:val="00DE519B"/>
    <w:rsid w:val="00DE5715"/>
    <w:rsid w:val="00DE605D"/>
    <w:rsid w:val="00DE7E7B"/>
    <w:rsid w:val="00DF24B8"/>
    <w:rsid w:val="00DF3B6E"/>
    <w:rsid w:val="00DF462C"/>
    <w:rsid w:val="00DF4D55"/>
    <w:rsid w:val="00DF5A84"/>
    <w:rsid w:val="00DF7AE9"/>
    <w:rsid w:val="00DF7EE1"/>
    <w:rsid w:val="00E02B05"/>
    <w:rsid w:val="00E05704"/>
    <w:rsid w:val="00E11130"/>
    <w:rsid w:val="00E112F6"/>
    <w:rsid w:val="00E11574"/>
    <w:rsid w:val="00E129D5"/>
    <w:rsid w:val="00E13BF5"/>
    <w:rsid w:val="00E14551"/>
    <w:rsid w:val="00E16211"/>
    <w:rsid w:val="00E20502"/>
    <w:rsid w:val="00E20DB9"/>
    <w:rsid w:val="00E217E0"/>
    <w:rsid w:val="00E22B28"/>
    <w:rsid w:val="00E245B8"/>
    <w:rsid w:val="00E24D66"/>
    <w:rsid w:val="00E2543C"/>
    <w:rsid w:val="00E2681B"/>
    <w:rsid w:val="00E270F0"/>
    <w:rsid w:val="00E33270"/>
    <w:rsid w:val="00E3384C"/>
    <w:rsid w:val="00E36DCD"/>
    <w:rsid w:val="00E409BE"/>
    <w:rsid w:val="00E409EB"/>
    <w:rsid w:val="00E4116A"/>
    <w:rsid w:val="00E4265E"/>
    <w:rsid w:val="00E43E90"/>
    <w:rsid w:val="00E465C3"/>
    <w:rsid w:val="00E52C7D"/>
    <w:rsid w:val="00E531E7"/>
    <w:rsid w:val="00E539B1"/>
    <w:rsid w:val="00E54292"/>
    <w:rsid w:val="00E54BEA"/>
    <w:rsid w:val="00E554A7"/>
    <w:rsid w:val="00E555A0"/>
    <w:rsid w:val="00E55FF1"/>
    <w:rsid w:val="00E5618E"/>
    <w:rsid w:val="00E56CF0"/>
    <w:rsid w:val="00E56D57"/>
    <w:rsid w:val="00E60627"/>
    <w:rsid w:val="00E60721"/>
    <w:rsid w:val="00E613F1"/>
    <w:rsid w:val="00E633E2"/>
    <w:rsid w:val="00E67CF3"/>
    <w:rsid w:val="00E70650"/>
    <w:rsid w:val="00E7096B"/>
    <w:rsid w:val="00E74DC7"/>
    <w:rsid w:val="00E75B5A"/>
    <w:rsid w:val="00E80379"/>
    <w:rsid w:val="00E80C62"/>
    <w:rsid w:val="00E82B6B"/>
    <w:rsid w:val="00E84EC1"/>
    <w:rsid w:val="00E860F4"/>
    <w:rsid w:val="00E86D3C"/>
    <w:rsid w:val="00E87699"/>
    <w:rsid w:val="00E87C74"/>
    <w:rsid w:val="00E87CE7"/>
    <w:rsid w:val="00E918F0"/>
    <w:rsid w:val="00E947C6"/>
    <w:rsid w:val="00E95979"/>
    <w:rsid w:val="00EA1A13"/>
    <w:rsid w:val="00EA2213"/>
    <w:rsid w:val="00EA2230"/>
    <w:rsid w:val="00EA2576"/>
    <w:rsid w:val="00EA5160"/>
    <w:rsid w:val="00EA55DE"/>
    <w:rsid w:val="00EA5F28"/>
    <w:rsid w:val="00EA7D8B"/>
    <w:rsid w:val="00EB00A1"/>
    <w:rsid w:val="00EB186E"/>
    <w:rsid w:val="00EB2D55"/>
    <w:rsid w:val="00EB557F"/>
    <w:rsid w:val="00EB5755"/>
    <w:rsid w:val="00EB668E"/>
    <w:rsid w:val="00EB7C56"/>
    <w:rsid w:val="00EC45C5"/>
    <w:rsid w:val="00EC4F5D"/>
    <w:rsid w:val="00EC60E0"/>
    <w:rsid w:val="00EC6D0D"/>
    <w:rsid w:val="00EC77BD"/>
    <w:rsid w:val="00ED05EB"/>
    <w:rsid w:val="00ED13CA"/>
    <w:rsid w:val="00ED3BCE"/>
    <w:rsid w:val="00ED492F"/>
    <w:rsid w:val="00ED6434"/>
    <w:rsid w:val="00EE2B9F"/>
    <w:rsid w:val="00EE300F"/>
    <w:rsid w:val="00EE540E"/>
    <w:rsid w:val="00EF1411"/>
    <w:rsid w:val="00EF2E3A"/>
    <w:rsid w:val="00EF3B01"/>
    <w:rsid w:val="00EF41C8"/>
    <w:rsid w:val="00EF4CD4"/>
    <w:rsid w:val="00EF50D7"/>
    <w:rsid w:val="00EF61E5"/>
    <w:rsid w:val="00F004C5"/>
    <w:rsid w:val="00F00E66"/>
    <w:rsid w:val="00F01648"/>
    <w:rsid w:val="00F01CF4"/>
    <w:rsid w:val="00F01F78"/>
    <w:rsid w:val="00F02B79"/>
    <w:rsid w:val="00F03172"/>
    <w:rsid w:val="00F03178"/>
    <w:rsid w:val="00F047E2"/>
    <w:rsid w:val="00F07502"/>
    <w:rsid w:val="00F07804"/>
    <w:rsid w:val="00F078DC"/>
    <w:rsid w:val="00F10487"/>
    <w:rsid w:val="00F11D43"/>
    <w:rsid w:val="00F13D7A"/>
    <w:rsid w:val="00F13E86"/>
    <w:rsid w:val="00F1492C"/>
    <w:rsid w:val="00F17B00"/>
    <w:rsid w:val="00F21285"/>
    <w:rsid w:val="00F21630"/>
    <w:rsid w:val="00F2232F"/>
    <w:rsid w:val="00F249A9"/>
    <w:rsid w:val="00F27091"/>
    <w:rsid w:val="00F304C5"/>
    <w:rsid w:val="00F3250D"/>
    <w:rsid w:val="00F33936"/>
    <w:rsid w:val="00F36B3D"/>
    <w:rsid w:val="00F3789D"/>
    <w:rsid w:val="00F37916"/>
    <w:rsid w:val="00F4144A"/>
    <w:rsid w:val="00F419FD"/>
    <w:rsid w:val="00F42BB3"/>
    <w:rsid w:val="00F45862"/>
    <w:rsid w:val="00F45E51"/>
    <w:rsid w:val="00F52EE9"/>
    <w:rsid w:val="00F5349B"/>
    <w:rsid w:val="00F53C14"/>
    <w:rsid w:val="00F555B9"/>
    <w:rsid w:val="00F56742"/>
    <w:rsid w:val="00F6065F"/>
    <w:rsid w:val="00F628C8"/>
    <w:rsid w:val="00F63AF4"/>
    <w:rsid w:val="00F64F37"/>
    <w:rsid w:val="00F65762"/>
    <w:rsid w:val="00F6637F"/>
    <w:rsid w:val="00F66B68"/>
    <w:rsid w:val="00F677A9"/>
    <w:rsid w:val="00F70965"/>
    <w:rsid w:val="00F720CD"/>
    <w:rsid w:val="00F72254"/>
    <w:rsid w:val="00F72884"/>
    <w:rsid w:val="00F72E4E"/>
    <w:rsid w:val="00F74BF0"/>
    <w:rsid w:val="00F7682E"/>
    <w:rsid w:val="00F776C2"/>
    <w:rsid w:val="00F777C1"/>
    <w:rsid w:val="00F81B78"/>
    <w:rsid w:val="00F823EE"/>
    <w:rsid w:val="00F82DF6"/>
    <w:rsid w:val="00F84CF5"/>
    <w:rsid w:val="00F86668"/>
    <w:rsid w:val="00F910F1"/>
    <w:rsid w:val="00F91DF8"/>
    <w:rsid w:val="00F9276E"/>
    <w:rsid w:val="00F92D35"/>
    <w:rsid w:val="00F92E16"/>
    <w:rsid w:val="00F93C0D"/>
    <w:rsid w:val="00F96902"/>
    <w:rsid w:val="00F96D13"/>
    <w:rsid w:val="00FA0D40"/>
    <w:rsid w:val="00FA31EC"/>
    <w:rsid w:val="00FA420B"/>
    <w:rsid w:val="00FA4CDE"/>
    <w:rsid w:val="00FA5C53"/>
    <w:rsid w:val="00FB0EA4"/>
    <w:rsid w:val="00FB0F3E"/>
    <w:rsid w:val="00FB1BEA"/>
    <w:rsid w:val="00FB21A7"/>
    <w:rsid w:val="00FB2278"/>
    <w:rsid w:val="00FB27B1"/>
    <w:rsid w:val="00FB38F9"/>
    <w:rsid w:val="00FB483A"/>
    <w:rsid w:val="00FB5F66"/>
    <w:rsid w:val="00FC121E"/>
    <w:rsid w:val="00FC2B51"/>
    <w:rsid w:val="00FC422A"/>
    <w:rsid w:val="00FC4810"/>
    <w:rsid w:val="00FC55A2"/>
    <w:rsid w:val="00FC5B95"/>
    <w:rsid w:val="00FC78D4"/>
    <w:rsid w:val="00FC7F8A"/>
    <w:rsid w:val="00FD0055"/>
    <w:rsid w:val="00FD1E13"/>
    <w:rsid w:val="00FD33F0"/>
    <w:rsid w:val="00FD3409"/>
    <w:rsid w:val="00FD4D59"/>
    <w:rsid w:val="00FD4D6E"/>
    <w:rsid w:val="00FD6D2A"/>
    <w:rsid w:val="00FD7782"/>
    <w:rsid w:val="00FD7EB1"/>
    <w:rsid w:val="00FE0413"/>
    <w:rsid w:val="00FE0727"/>
    <w:rsid w:val="00FE1690"/>
    <w:rsid w:val="00FE410E"/>
    <w:rsid w:val="00FE41C9"/>
    <w:rsid w:val="00FE5214"/>
    <w:rsid w:val="00FE7F93"/>
    <w:rsid w:val="00FF04B0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5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5D4"/>
  </w:style>
  <w:style w:type="paragraph" w:customStyle="1" w:styleId="OPCParaBase">
    <w:name w:val="OPCParaBase"/>
    <w:link w:val="OPCParaBaseChar"/>
    <w:qFormat/>
    <w:rsid w:val="00A415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15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5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5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5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5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5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5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5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5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5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15D4"/>
  </w:style>
  <w:style w:type="paragraph" w:customStyle="1" w:styleId="Blocks">
    <w:name w:val="Blocks"/>
    <w:aliases w:val="bb"/>
    <w:basedOn w:val="OPCParaBase"/>
    <w:qFormat/>
    <w:rsid w:val="00A415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5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5D4"/>
    <w:rPr>
      <w:i/>
    </w:rPr>
  </w:style>
  <w:style w:type="paragraph" w:customStyle="1" w:styleId="BoxList">
    <w:name w:val="BoxList"/>
    <w:aliases w:val="bl"/>
    <w:basedOn w:val="BoxText"/>
    <w:qFormat/>
    <w:rsid w:val="00A415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5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5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5D4"/>
    <w:pPr>
      <w:ind w:left="1985" w:hanging="851"/>
    </w:pPr>
  </w:style>
  <w:style w:type="character" w:customStyle="1" w:styleId="CharAmPartNo">
    <w:name w:val="CharAmPartNo"/>
    <w:basedOn w:val="OPCCharBase"/>
    <w:qFormat/>
    <w:rsid w:val="00A415D4"/>
  </w:style>
  <w:style w:type="character" w:customStyle="1" w:styleId="CharAmPartText">
    <w:name w:val="CharAmPartText"/>
    <w:basedOn w:val="OPCCharBase"/>
    <w:qFormat/>
    <w:rsid w:val="00A415D4"/>
  </w:style>
  <w:style w:type="character" w:customStyle="1" w:styleId="CharAmSchNo">
    <w:name w:val="CharAmSchNo"/>
    <w:basedOn w:val="OPCCharBase"/>
    <w:qFormat/>
    <w:rsid w:val="00A415D4"/>
  </w:style>
  <w:style w:type="character" w:customStyle="1" w:styleId="CharAmSchText">
    <w:name w:val="CharAmSchText"/>
    <w:basedOn w:val="OPCCharBase"/>
    <w:qFormat/>
    <w:rsid w:val="00A415D4"/>
  </w:style>
  <w:style w:type="character" w:customStyle="1" w:styleId="CharBoldItalic">
    <w:name w:val="CharBoldItalic"/>
    <w:basedOn w:val="OPCCharBase"/>
    <w:uiPriority w:val="1"/>
    <w:qFormat/>
    <w:rsid w:val="00A415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5D4"/>
  </w:style>
  <w:style w:type="character" w:customStyle="1" w:styleId="CharChapText">
    <w:name w:val="CharChapText"/>
    <w:basedOn w:val="OPCCharBase"/>
    <w:uiPriority w:val="1"/>
    <w:qFormat/>
    <w:rsid w:val="00A415D4"/>
  </w:style>
  <w:style w:type="character" w:customStyle="1" w:styleId="CharDivNo">
    <w:name w:val="CharDivNo"/>
    <w:basedOn w:val="OPCCharBase"/>
    <w:uiPriority w:val="1"/>
    <w:qFormat/>
    <w:rsid w:val="00A415D4"/>
  </w:style>
  <w:style w:type="character" w:customStyle="1" w:styleId="CharDivText">
    <w:name w:val="CharDivText"/>
    <w:basedOn w:val="OPCCharBase"/>
    <w:uiPriority w:val="1"/>
    <w:qFormat/>
    <w:rsid w:val="00A415D4"/>
  </w:style>
  <w:style w:type="character" w:customStyle="1" w:styleId="CharItalic">
    <w:name w:val="CharItalic"/>
    <w:basedOn w:val="OPCCharBase"/>
    <w:uiPriority w:val="1"/>
    <w:qFormat/>
    <w:rsid w:val="00A415D4"/>
    <w:rPr>
      <w:i/>
    </w:rPr>
  </w:style>
  <w:style w:type="character" w:customStyle="1" w:styleId="CharPartNo">
    <w:name w:val="CharPartNo"/>
    <w:basedOn w:val="OPCCharBase"/>
    <w:uiPriority w:val="1"/>
    <w:qFormat/>
    <w:rsid w:val="00A415D4"/>
  </w:style>
  <w:style w:type="character" w:customStyle="1" w:styleId="CharPartText">
    <w:name w:val="CharPartText"/>
    <w:basedOn w:val="OPCCharBase"/>
    <w:uiPriority w:val="1"/>
    <w:qFormat/>
    <w:rsid w:val="00A415D4"/>
  </w:style>
  <w:style w:type="character" w:customStyle="1" w:styleId="CharSectno">
    <w:name w:val="CharSectno"/>
    <w:basedOn w:val="OPCCharBase"/>
    <w:qFormat/>
    <w:rsid w:val="00A415D4"/>
  </w:style>
  <w:style w:type="character" w:customStyle="1" w:styleId="CharSubdNo">
    <w:name w:val="CharSubdNo"/>
    <w:basedOn w:val="OPCCharBase"/>
    <w:uiPriority w:val="1"/>
    <w:qFormat/>
    <w:rsid w:val="00A415D4"/>
  </w:style>
  <w:style w:type="character" w:customStyle="1" w:styleId="CharSubdText">
    <w:name w:val="CharSubdText"/>
    <w:basedOn w:val="OPCCharBase"/>
    <w:uiPriority w:val="1"/>
    <w:qFormat/>
    <w:rsid w:val="00A415D4"/>
  </w:style>
  <w:style w:type="paragraph" w:customStyle="1" w:styleId="CTA--">
    <w:name w:val="CTA --"/>
    <w:basedOn w:val="OPCParaBase"/>
    <w:next w:val="Normal"/>
    <w:rsid w:val="00A415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5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5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5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5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5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5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5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5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5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5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5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5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5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5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5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5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5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5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5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5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5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5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5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5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5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5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5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5D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5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5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5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5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5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5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5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5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5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5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5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5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5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5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5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5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5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5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5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5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5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5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5D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15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5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5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5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5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5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5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5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15D4"/>
    <w:rPr>
      <w:sz w:val="16"/>
    </w:rPr>
  </w:style>
  <w:style w:type="table" w:customStyle="1" w:styleId="CFlag">
    <w:name w:val="CFlag"/>
    <w:basedOn w:val="TableNormal"/>
    <w:uiPriority w:val="99"/>
    <w:rsid w:val="00A415D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15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5D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15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5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15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15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15D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15D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15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15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5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5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5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5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5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5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15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5D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15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15D4"/>
  </w:style>
  <w:style w:type="character" w:customStyle="1" w:styleId="CharSubPartNoCASA">
    <w:name w:val="CharSubPartNo(CASA)"/>
    <w:basedOn w:val="OPCCharBase"/>
    <w:uiPriority w:val="1"/>
    <w:rsid w:val="00A415D4"/>
  </w:style>
  <w:style w:type="paragraph" w:customStyle="1" w:styleId="ENoteTTIndentHeadingSub">
    <w:name w:val="ENoteTTIndentHeadingSub"/>
    <w:aliases w:val="enTTHis"/>
    <w:basedOn w:val="OPCParaBase"/>
    <w:rsid w:val="00A415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5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5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5D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415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5D4"/>
    <w:rPr>
      <w:sz w:val="22"/>
    </w:rPr>
  </w:style>
  <w:style w:type="paragraph" w:customStyle="1" w:styleId="SOTextNote">
    <w:name w:val="SO TextNote"/>
    <w:aliases w:val="sont"/>
    <w:basedOn w:val="SOText"/>
    <w:qFormat/>
    <w:rsid w:val="00A415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5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5D4"/>
    <w:rPr>
      <w:sz w:val="22"/>
    </w:rPr>
  </w:style>
  <w:style w:type="paragraph" w:customStyle="1" w:styleId="FileName">
    <w:name w:val="FileName"/>
    <w:basedOn w:val="Normal"/>
    <w:rsid w:val="00A415D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5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5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5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5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5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5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5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5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5D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15D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2A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2AAE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562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2E0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F254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F254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F254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F254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F254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F254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F254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F2546"/>
  </w:style>
  <w:style w:type="character" w:customStyle="1" w:styleId="ShortTCPChar">
    <w:name w:val="ShortTCP Char"/>
    <w:basedOn w:val="ShortTChar"/>
    <w:link w:val="ShortTCP"/>
    <w:rsid w:val="00CF254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F2546"/>
    <w:pPr>
      <w:spacing w:before="400"/>
    </w:pPr>
  </w:style>
  <w:style w:type="character" w:customStyle="1" w:styleId="ActNoCPChar">
    <w:name w:val="ActNoCP Char"/>
    <w:basedOn w:val="ActnoChar"/>
    <w:link w:val="ActNoCP"/>
    <w:rsid w:val="00CF254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F254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2F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2F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2F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5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5D4"/>
  </w:style>
  <w:style w:type="paragraph" w:customStyle="1" w:styleId="OPCParaBase">
    <w:name w:val="OPCParaBase"/>
    <w:link w:val="OPCParaBaseChar"/>
    <w:qFormat/>
    <w:rsid w:val="00A415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15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5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5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5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5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5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5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5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5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5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15D4"/>
  </w:style>
  <w:style w:type="paragraph" w:customStyle="1" w:styleId="Blocks">
    <w:name w:val="Blocks"/>
    <w:aliases w:val="bb"/>
    <w:basedOn w:val="OPCParaBase"/>
    <w:qFormat/>
    <w:rsid w:val="00A415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5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5D4"/>
    <w:rPr>
      <w:i/>
    </w:rPr>
  </w:style>
  <w:style w:type="paragraph" w:customStyle="1" w:styleId="BoxList">
    <w:name w:val="BoxList"/>
    <w:aliases w:val="bl"/>
    <w:basedOn w:val="BoxText"/>
    <w:qFormat/>
    <w:rsid w:val="00A415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5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5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5D4"/>
    <w:pPr>
      <w:ind w:left="1985" w:hanging="851"/>
    </w:pPr>
  </w:style>
  <w:style w:type="character" w:customStyle="1" w:styleId="CharAmPartNo">
    <w:name w:val="CharAmPartNo"/>
    <w:basedOn w:val="OPCCharBase"/>
    <w:qFormat/>
    <w:rsid w:val="00A415D4"/>
  </w:style>
  <w:style w:type="character" w:customStyle="1" w:styleId="CharAmPartText">
    <w:name w:val="CharAmPartText"/>
    <w:basedOn w:val="OPCCharBase"/>
    <w:qFormat/>
    <w:rsid w:val="00A415D4"/>
  </w:style>
  <w:style w:type="character" w:customStyle="1" w:styleId="CharAmSchNo">
    <w:name w:val="CharAmSchNo"/>
    <w:basedOn w:val="OPCCharBase"/>
    <w:qFormat/>
    <w:rsid w:val="00A415D4"/>
  </w:style>
  <w:style w:type="character" w:customStyle="1" w:styleId="CharAmSchText">
    <w:name w:val="CharAmSchText"/>
    <w:basedOn w:val="OPCCharBase"/>
    <w:qFormat/>
    <w:rsid w:val="00A415D4"/>
  </w:style>
  <w:style w:type="character" w:customStyle="1" w:styleId="CharBoldItalic">
    <w:name w:val="CharBoldItalic"/>
    <w:basedOn w:val="OPCCharBase"/>
    <w:uiPriority w:val="1"/>
    <w:qFormat/>
    <w:rsid w:val="00A415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5D4"/>
  </w:style>
  <w:style w:type="character" w:customStyle="1" w:styleId="CharChapText">
    <w:name w:val="CharChapText"/>
    <w:basedOn w:val="OPCCharBase"/>
    <w:uiPriority w:val="1"/>
    <w:qFormat/>
    <w:rsid w:val="00A415D4"/>
  </w:style>
  <w:style w:type="character" w:customStyle="1" w:styleId="CharDivNo">
    <w:name w:val="CharDivNo"/>
    <w:basedOn w:val="OPCCharBase"/>
    <w:uiPriority w:val="1"/>
    <w:qFormat/>
    <w:rsid w:val="00A415D4"/>
  </w:style>
  <w:style w:type="character" w:customStyle="1" w:styleId="CharDivText">
    <w:name w:val="CharDivText"/>
    <w:basedOn w:val="OPCCharBase"/>
    <w:uiPriority w:val="1"/>
    <w:qFormat/>
    <w:rsid w:val="00A415D4"/>
  </w:style>
  <w:style w:type="character" w:customStyle="1" w:styleId="CharItalic">
    <w:name w:val="CharItalic"/>
    <w:basedOn w:val="OPCCharBase"/>
    <w:uiPriority w:val="1"/>
    <w:qFormat/>
    <w:rsid w:val="00A415D4"/>
    <w:rPr>
      <w:i/>
    </w:rPr>
  </w:style>
  <w:style w:type="character" w:customStyle="1" w:styleId="CharPartNo">
    <w:name w:val="CharPartNo"/>
    <w:basedOn w:val="OPCCharBase"/>
    <w:uiPriority w:val="1"/>
    <w:qFormat/>
    <w:rsid w:val="00A415D4"/>
  </w:style>
  <w:style w:type="character" w:customStyle="1" w:styleId="CharPartText">
    <w:name w:val="CharPartText"/>
    <w:basedOn w:val="OPCCharBase"/>
    <w:uiPriority w:val="1"/>
    <w:qFormat/>
    <w:rsid w:val="00A415D4"/>
  </w:style>
  <w:style w:type="character" w:customStyle="1" w:styleId="CharSectno">
    <w:name w:val="CharSectno"/>
    <w:basedOn w:val="OPCCharBase"/>
    <w:qFormat/>
    <w:rsid w:val="00A415D4"/>
  </w:style>
  <w:style w:type="character" w:customStyle="1" w:styleId="CharSubdNo">
    <w:name w:val="CharSubdNo"/>
    <w:basedOn w:val="OPCCharBase"/>
    <w:uiPriority w:val="1"/>
    <w:qFormat/>
    <w:rsid w:val="00A415D4"/>
  </w:style>
  <w:style w:type="character" w:customStyle="1" w:styleId="CharSubdText">
    <w:name w:val="CharSubdText"/>
    <w:basedOn w:val="OPCCharBase"/>
    <w:uiPriority w:val="1"/>
    <w:qFormat/>
    <w:rsid w:val="00A415D4"/>
  </w:style>
  <w:style w:type="paragraph" w:customStyle="1" w:styleId="CTA--">
    <w:name w:val="CTA --"/>
    <w:basedOn w:val="OPCParaBase"/>
    <w:next w:val="Normal"/>
    <w:rsid w:val="00A415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5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5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5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5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5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5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5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5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5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5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5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5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5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5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5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5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5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5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5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5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5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5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5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5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5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5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5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5D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5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5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5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5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5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5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5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5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5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5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5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5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5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5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5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5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5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5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5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5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5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5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15D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5D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5D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15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5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5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5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5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5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5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5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15D4"/>
    <w:rPr>
      <w:sz w:val="16"/>
    </w:rPr>
  </w:style>
  <w:style w:type="table" w:customStyle="1" w:styleId="CFlag">
    <w:name w:val="CFlag"/>
    <w:basedOn w:val="TableNormal"/>
    <w:uiPriority w:val="99"/>
    <w:rsid w:val="00A415D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15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5D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15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5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15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15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15D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15D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15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15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5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5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5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5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5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5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15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5D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15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15D4"/>
  </w:style>
  <w:style w:type="character" w:customStyle="1" w:styleId="CharSubPartNoCASA">
    <w:name w:val="CharSubPartNo(CASA)"/>
    <w:basedOn w:val="OPCCharBase"/>
    <w:uiPriority w:val="1"/>
    <w:rsid w:val="00A415D4"/>
  </w:style>
  <w:style w:type="paragraph" w:customStyle="1" w:styleId="ENoteTTIndentHeadingSub">
    <w:name w:val="ENoteTTIndentHeadingSub"/>
    <w:aliases w:val="enTTHis"/>
    <w:basedOn w:val="OPCParaBase"/>
    <w:rsid w:val="00A415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5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5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5D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415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5D4"/>
    <w:rPr>
      <w:sz w:val="22"/>
    </w:rPr>
  </w:style>
  <w:style w:type="paragraph" w:customStyle="1" w:styleId="SOTextNote">
    <w:name w:val="SO TextNote"/>
    <w:aliases w:val="sont"/>
    <w:basedOn w:val="SOText"/>
    <w:qFormat/>
    <w:rsid w:val="00A415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5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5D4"/>
    <w:rPr>
      <w:sz w:val="22"/>
    </w:rPr>
  </w:style>
  <w:style w:type="paragraph" w:customStyle="1" w:styleId="FileName">
    <w:name w:val="FileName"/>
    <w:basedOn w:val="Normal"/>
    <w:rsid w:val="00A415D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5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5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5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5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5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5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5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5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5D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15D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2A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2AAE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562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2E0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F254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F254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F254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F254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F254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F254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F254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F2546"/>
  </w:style>
  <w:style w:type="character" w:customStyle="1" w:styleId="ShortTCPChar">
    <w:name w:val="ShortTCP Char"/>
    <w:basedOn w:val="ShortTChar"/>
    <w:link w:val="ShortTCP"/>
    <w:rsid w:val="00CF254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F2546"/>
    <w:pPr>
      <w:spacing w:before="400"/>
    </w:pPr>
  </w:style>
  <w:style w:type="character" w:customStyle="1" w:styleId="ActNoCPChar">
    <w:name w:val="ActNoCP Char"/>
    <w:basedOn w:val="ActnoChar"/>
    <w:link w:val="ActNoCP"/>
    <w:rsid w:val="00CF254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F254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2F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2F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2F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A116-1CED-402F-82D7-91B9B254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20</Pages>
  <Words>3201</Words>
  <Characters>16168</Characters>
  <Application>Microsoft Office Word</Application>
  <DocSecurity>0</DocSecurity>
  <PresentationFormat/>
  <Lines>521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2019-07-22T00:40:00Z</cp:lastPrinted>
  <dcterms:created xsi:type="dcterms:W3CDTF">2019-12-18T01:07:00Z</dcterms:created>
  <dcterms:modified xsi:type="dcterms:W3CDTF">2019-12-18T21:30:00Z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Health Legislation Amendment (Data-matching and Other Matters) Act 2019</vt:lpwstr>
  </property>
  <property fmtid="{D5CDD505-2E9C-101B-9397-08002B2CF9AE}" pid="5" name="ActNo">
    <vt:lpwstr>No. 121,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OPC6771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