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89" w:rsidRDefault="0009328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38172680" r:id="rId9"/>
        </w:object>
      </w:r>
    </w:p>
    <w:p w:rsidR="00093289" w:rsidRDefault="00093289"/>
    <w:p w:rsidR="00093289" w:rsidRDefault="00093289" w:rsidP="00093289">
      <w:pPr>
        <w:spacing w:line="240" w:lineRule="auto"/>
      </w:pPr>
    </w:p>
    <w:p w:rsidR="00093289" w:rsidRDefault="00093289" w:rsidP="00093289"/>
    <w:p w:rsidR="00093289" w:rsidRDefault="00093289" w:rsidP="00093289"/>
    <w:p w:rsidR="00093289" w:rsidRDefault="00093289" w:rsidP="00093289"/>
    <w:p w:rsidR="00093289" w:rsidRDefault="00093289" w:rsidP="00093289"/>
    <w:p w:rsidR="00715914" w:rsidRPr="00E678EC" w:rsidRDefault="007A2DF8" w:rsidP="00715914">
      <w:pPr>
        <w:pStyle w:val="ShortT"/>
      </w:pPr>
      <w:r w:rsidRPr="00E678EC">
        <w:t>National Self</w:t>
      </w:r>
      <w:r w:rsidR="0004673E">
        <w:noBreakHyphen/>
      </w:r>
      <w:r w:rsidRPr="00E678EC">
        <w:t>exclusion Register (Cost Re</w:t>
      </w:r>
      <w:r w:rsidR="00F63866" w:rsidRPr="00E678EC">
        <w:t>c</w:t>
      </w:r>
      <w:r w:rsidRPr="00E678EC">
        <w:t xml:space="preserve">overy Levy) </w:t>
      </w:r>
      <w:r w:rsidR="00093289">
        <w:t>Act</w:t>
      </w:r>
      <w:r w:rsidRPr="00E678EC">
        <w:t xml:space="preserve"> 2019</w:t>
      </w:r>
    </w:p>
    <w:p w:rsidR="00715914" w:rsidRPr="00E678EC" w:rsidRDefault="00715914" w:rsidP="00715914"/>
    <w:p w:rsidR="00715914" w:rsidRPr="00E678EC" w:rsidRDefault="00715914" w:rsidP="00093289">
      <w:pPr>
        <w:pStyle w:val="Actno"/>
        <w:spacing w:before="400"/>
      </w:pPr>
      <w:r w:rsidRPr="00E678EC">
        <w:t>No.</w:t>
      </w:r>
      <w:r w:rsidR="00B037D4">
        <w:t xml:space="preserve"> 128</w:t>
      </w:r>
      <w:r w:rsidR="001F5D5E" w:rsidRPr="00E678EC">
        <w:t>, 201</w:t>
      </w:r>
      <w:r w:rsidR="00E87BDF" w:rsidRPr="00E678EC">
        <w:t>9</w:t>
      </w:r>
    </w:p>
    <w:p w:rsidR="00715914" w:rsidRPr="00E678EC" w:rsidRDefault="00715914" w:rsidP="00715914"/>
    <w:p w:rsidR="00093289" w:rsidRDefault="00093289" w:rsidP="00093289"/>
    <w:p w:rsidR="00093289" w:rsidRDefault="00093289" w:rsidP="00093289"/>
    <w:p w:rsidR="00093289" w:rsidRDefault="00093289" w:rsidP="00093289"/>
    <w:p w:rsidR="00093289" w:rsidRDefault="00093289" w:rsidP="00093289"/>
    <w:p w:rsidR="00715914" w:rsidRPr="00E678EC" w:rsidRDefault="00093289" w:rsidP="00350D03">
      <w:pPr>
        <w:pStyle w:val="LongT"/>
      </w:pPr>
      <w:r>
        <w:t>An Act</w:t>
      </w:r>
      <w:r w:rsidR="00715914" w:rsidRPr="00E678EC">
        <w:t xml:space="preserve"> to </w:t>
      </w:r>
      <w:r w:rsidR="009F5DAD" w:rsidRPr="00E678EC">
        <w:t xml:space="preserve">impose a levy </w:t>
      </w:r>
      <w:r w:rsidR="00854D5E" w:rsidRPr="00E678EC">
        <w:t xml:space="preserve">on persons who </w:t>
      </w:r>
      <w:r w:rsidR="003D11B9" w:rsidRPr="00E678EC">
        <w:t xml:space="preserve">provide </w:t>
      </w:r>
      <w:r w:rsidR="00F05EA8" w:rsidRPr="00E678EC">
        <w:t xml:space="preserve">licensed </w:t>
      </w:r>
      <w:r w:rsidR="00854D5E" w:rsidRPr="00E678EC">
        <w:t>interactive wagering services</w:t>
      </w:r>
      <w:r w:rsidR="00715914" w:rsidRPr="00E678EC">
        <w:t>, and for related purposes</w:t>
      </w:r>
    </w:p>
    <w:p w:rsidR="00715914" w:rsidRPr="001F778A" w:rsidRDefault="00715914" w:rsidP="00715914">
      <w:pPr>
        <w:pStyle w:val="Header"/>
        <w:tabs>
          <w:tab w:val="clear" w:pos="4150"/>
          <w:tab w:val="clear" w:pos="8307"/>
        </w:tabs>
      </w:pPr>
      <w:r w:rsidRPr="001F778A">
        <w:rPr>
          <w:rStyle w:val="CharChapNo"/>
        </w:rPr>
        <w:t xml:space="preserve"> </w:t>
      </w:r>
      <w:r w:rsidRPr="001F778A">
        <w:rPr>
          <w:rStyle w:val="CharChapText"/>
        </w:rPr>
        <w:t xml:space="preserve"> </w:t>
      </w:r>
    </w:p>
    <w:p w:rsidR="00715914" w:rsidRPr="001F778A" w:rsidRDefault="00715914" w:rsidP="00715914">
      <w:pPr>
        <w:pStyle w:val="Header"/>
        <w:tabs>
          <w:tab w:val="clear" w:pos="4150"/>
          <w:tab w:val="clear" w:pos="8307"/>
        </w:tabs>
      </w:pPr>
      <w:r w:rsidRPr="001F778A">
        <w:rPr>
          <w:rStyle w:val="CharPartNo"/>
        </w:rPr>
        <w:t xml:space="preserve"> </w:t>
      </w:r>
      <w:r w:rsidRPr="001F778A">
        <w:rPr>
          <w:rStyle w:val="CharPartText"/>
        </w:rPr>
        <w:t xml:space="preserve"> </w:t>
      </w:r>
    </w:p>
    <w:p w:rsidR="00715914" w:rsidRPr="001F778A" w:rsidRDefault="00715914" w:rsidP="00715914">
      <w:pPr>
        <w:pStyle w:val="Header"/>
        <w:tabs>
          <w:tab w:val="clear" w:pos="4150"/>
          <w:tab w:val="clear" w:pos="8307"/>
        </w:tabs>
      </w:pPr>
      <w:r w:rsidRPr="001F778A">
        <w:rPr>
          <w:rStyle w:val="CharDivNo"/>
        </w:rPr>
        <w:t xml:space="preserve"> </w:t>
      </w:r>
      <w:r w:rsidRPr="001F778A">
        <w:rPr>
          <w:rStyle w:val="CharDivText"/>
        </w:rPr>
        <w:t xml:space="preserve"> </w:t>
      </w:r>
    </w:p>
    <w:p w:rsidR="00715914" w:rsidRPr="00E678EC" w:rsidRDefault="00715914" w:rsidP="00715914">
      <w:pPr>
        <w:sectPr w:rsidR="00715914" w:rsidRPr="00E678EC" w:rsidSect="000932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E678EC" w:rsidRDefault="00715914" w:rsidP="00350D03">
      <w:pPr>
        <w:rPr>
          <w:sz w:val="36"/>
        </w:rPr>
      </w:pPr>
      <w:r w:rsidRPr="00E678EC">
        <w:rPr>
          <w:sz w:val="36"/>
        </w:rPr>
        <w:lastRenderedPageBreak/>
        <w:t>Contents</w:t>
      </w:r>
    </w:p>
    <w:bookmarkStart w:id="0" w:name="BKCheck15B_1"/>
    <w:bookmarkEnd w:id="0"/>
    <w:p w:rsidR="00B04C20" w:rsidRDefault="00B04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04C20">
        <w:rPr>
          <w:noProof/>
        </w:rPr>
        <w:tab/>
      </w:r>
      <w:r w:rsidRPr="00B04C20">
        <w:rPr>
          <w:noProof/>
        </w:rPr>
        <w:fldChar w:fldCharType="begin"/>
      </w:r>
      <w:r w:rsidRPr="00B04C20">
        <w:rPr>
          <w:noProof/>
        </w:rPr>
        <w:instrText xml:space="preserve"> PAGEREF _Toc27559100 \h </w:instrText>
      </w:r>
      <w:r w:rsidRPr="00B04C20">
        <w:rPr>
          <w:noProof/>
        </w:rPr>
      </w:r>
      <w:r w:rsidRPr="00B04C20">
        <w:rPr>
          <w:noProof/>
        </w:rPr>
        <w:fldChar w:fldCharType="separate"/>
      </w:r>
      <w:r w:rsidR="008E0480">
        <w:rPr>
          <w:noProof/>
        </w:rPr>
        <w:t>1</w:t>
      </w:r>
      <w:r w:rsidRPr="00B04C20">
        <w:rPr>
          <w:noProof/>
        </w:rPr>
        <w:fldChar w:fldCharType="end"/>
      </w:r>
    </w:p>
    <w:p w:rsidR="00B04C20" w:rsidRDefault="00B04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04C20">
        <w:rPr>
          <w:noProof/>
        </w:rPr>
        <w:tab/>
      </w:r>
      <w:r w:rsidRPr="00B04C20">
        <w:rPr>
          <w:noProof/>
        </w:rPr>
        <w:fldChar w:fldCharType="begin"/>
      </w:r>
      <w:r w:rsidRPr="00B04C20">
        <w:rPr>
          <w:noProof/>
        </w:rPr>
        <w:instrText xml:space="preserve"> PAGEREF _Toc27559101 \h </w:instrText>
      </w:r>
      <w:r w:rsidRPr="00B04C20">
        <w:rPr>
          <w:noProof/>
        </w:rPr>
      </w:r>
      <w:r w:rsidRPr="00B04C20">
        <w:rPr>
          <w:noProof/>
        </w:rPr>
        <w:fldChar w:fldCharType="separate"/>
      </w:r>
      <w:r w:rsidR="008E0480">
        <w:rPr>
          <w:noProof/>
        </w:rPr>
        <w:t>2</w:t>
      </w:r>
      <w:r w:rsidRPr="00B04C20">
        <w:rPr>
          <w:noProof/>
        </w:rPr>
        <w:fldChar w:fldCharType="end"/>
      </w:r>
    </w:p>
    <w:p w:rsidR="00B04C20" w:rsidRDefault="00B04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to bind Crown</w:t>
      </w:r>
      <w:r w:rsidRPr="00B04C20">
        <w:rPr>
          <w:noProof/>
        </w:rPr>
        <w:tab/>
      </w:r>
      <w:r w:rsidRPr="00B04C20">
        <w:rPr>
          <w:noProof/>
        </w:rPr>
        <w:fldChar w:fldCharType="begin"/>
      </w:r>
      <w:r w:rsidRPr="00B04C20">
        <w:rPr>
          <w:noProof/>
        </w:rPr>
        <w:instrText xml:space="preserve"> PAGEREF _Toc27559102 \h </w:instrText>
      </w:r>
      <w:r w:rsidRPr="00B04C20">
        <w:rPr>
          <w:noProof/>
        </w:rPr>
      </w:r>
      <w:r w:rsidRPr="00B04C20">
        <w:rPr>
          <w:noProof/>
        </w:rPr>
        <w:fldChar w:fldCharType="separate"/>
      </w:r>
      <w:r w:rsidR="008E0480">
        <w:rPr>
          <w:noProof/>
        </w:rPr>
        <w:t>2</w:t>
      </w:r>
      <w:r w:rsidRPr="00B04C20">
        <w:rPr>
          <w:noProof/>
        </w:rPr>
        <w:fldChar w:fldCharType="end"/>
      </w:r>
    </w:p>
    <w:p w:rsidR="00B04C20" w:rsidRDefault="00B04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Extension to external Territories</w:t>
      </w:r>
      <w:r w:rsidRPr="00B04C20">
        <w:rPr>
          <w:noProof/>
        </w:rPr>
        <w:tab/>
      </w:r>
      <w:r w:rsidRPr="00B04C20">
        <w:rPr>
          <w:noProof/>
        </w:rPr>
        <w:fldChar w:fldCharType="begin"/>
      </w:r>
      <w:r w:rsidRPr="00B04C20">
        <w:rPr>
          <w:noProof/>
        </w:rPr>
        <w:instrText xml:space="preserve"> PAGEREF _Toc27559103 \h </w:instrText>
      </w:r>
      <w:r w:rsidRPr="00B04C20">
        <w:rPr>
          <w:noProof/>
        </w:rPr>
      </w:r>
      <w:r w:rsidRPr="00B04C20">
        <w:rPr>
          <w:noProof/>
        </w:rPr>
        <w:fldChar w:fldCharType="separate"/>
      </w:r>
      <w:r w:rsidR="008E0480">
        <w:rPr>
          <w:noProof/>
        </w:rPr>
        <w:t>2</w:t>
      </w:r>
      <w:r w:rsidRPr="00B04C20">
        <w:rPr>
          <w:noProof/>
        </w:rPr>
        <w:fldChar w:fldCharType="end"/>
      </w:r>
    </w:p>
    <w:p w:rsidR="00B04C20" w:rsidRDefault="00B04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Extra</w:t>
      </w:r>
      <w:r>
        <w:rPr>
          <w:noProof/>
        </w:rPr>
        <w:noBreakHyphen/>
        <w:t>territorial application</w:t>
      </w:r>
      <w:r w:rsidRPr="00B04C20">
        <w:rPr>
          <w:noProof/>
        </w:rPr>
        <w:tab/>
      </w:r>
      <w:r w:rsidRPr="00B04C20">
        <w:rPr>
          <w:noProof/>
        </w:rPr>
        <w:fldChar w:fldCharType="begin"/>
      </w:r>
      <w:r w:rsidRPr="00B04C20">
        <w:rPr>
          <w:noProof/>
        </w:rPr>
        <w:instrText xml:space="preserve"> PAGEREF _Toc27559104 \h </w:instrText>
      </w:r>
      <w:r w:rsidRPr="00B04C20">
        <w:rPr>
          <w:noProof/>
        </w:rPr>
      </w:r>
      <w:r w:rsidRPr="00B04C20">
        <w:rPr>
          <w:noProof/>
        </w:rPr>
        <w:fldChar w:fldCharType="separate"/>
      </w:r>
      <w:r w:rsidR="008E0480">
        <w:rPr>
          <w:noProof/>
        </w:rPr>
        <w:t>2</w:t>
      </w:r>
      <w:r w:rsidRPr="00B04C20">
        <w:rPr>
          <w:noProof/>
        </w:rPr>
        <w:fldChar w:fldCharType="end"/>
      </w:r>
    </w:p>
    <w:p w:rsidR="00B04C20" w:rsidRDefault="00B04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Definitions</w:t>
      </w:r>
      <w:r w:rsidRPr="00B04C20">
        <w:rPr>
          <w:noProof/>
        </w:rPr>
        <w:tab/>
      </w:r>
      <w:r w:rsidRPr="00B04C20">
        <w:rPr>
          <w:noProof/>
        </w:rPr>
        <w:fldChar w:fldCharType="begin"/>
      </w:r>
      <w:r w:rsidRPr="00B04C20">
        <w:rPr>
          <w:noProof/>
        </w:rPr>
        <w:instrText xml:space="preserve"> PAGEREF _Toc27559105 \h </w:instrText>
      </w:r>
      <w:r w:rsidRPr="00B04C20">
        <w:rPr>
          <w:noProof/>
        </w:rPr>
      </w:r>
      <w:r w:rsidRPr="00B04C20">
        <w:rPr>
          <w:noProof/>
        </w:rPr>
        <w:fldChar w:fldCharType="separate"/>
      </w:r>
      <w:r w:rsidR="008E0480">
        <w:rPr>
          <w:noProof/>
        </w:rPr>
        <w:t>3</w:t>
      </w:r>
      <w:r w:rsidRPr="00B04C20">
        <w:rPr>
          <w:noProof/>
        </w:rPr>
        <w:fldChar w:fldCharType="end"/>
      </w:r>
    </w:p>
    <w:p w:rsidR="00B04C20" w:rsidRDefault="00B04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Imposition of levy</w:t>
      </w:r>
      <w:r w:rsidRPr="00B04C20">
        <w:rPr>
          <w:noProof/>
        </w:rPr>
        <w:tab/>
      </w:r>
      <w:r w:rsidRPr="00B04C20">
        <w:rPr>
          <w:noProof/>
        </w:rPr>
        <w:fldChar w:fldCharType="begin"/>
      </w:r>
      <w:r w:rsidRPr="00B04C20">
        <w:rPr>
          <w:noProof/>
        </w:rPr>
        <w:instrText xml:space="preserve"> PAGEREF _Toc27559106 \h </w:instrText>
      </w:r>
      <w:r w:rsidRPr="00B04C20">
        <w:rPr>
          <w:noProof/>
        </w:rPr>
      </w:r>
      <w:r w:rsidRPr="00B04C20">
        <w:rPr>
          <w:noProof/>
        </w:rPr>
        <w:fldChar w:fldCharType="separate"/>
      </w:r>
      <w:r w:rsidR="008E0480">
        <w:rPr>
          <w:noProof/>
        </w:rPr>
        <w:t>4</w:t>
      </w:r>
      <w:r w:rsidRPr="00B04C20">
        <w:rPr>
          <w:noProof/>
        </w:rPr>
        <w:fldChar w:fldCharType="end"/>
      </w:r>
    </w:p>
    <w:p w:rsidR="00B04C20" w:rsidRDefault="00B04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By whom levy payable</w:t>
      </w:r>
      <w:r w:rsidRPr="00B04C20">
        <w:rPr>
          <w:noProof/>
        </w:rPr>
        <w:tab/>
      </w:r>
      <w:r w:rsidRPr="00B04C20">
        <w:rPr>
          <w:noProof/>
        </w:rPr>
        <w:fldChar w:fldCharType="begin"/>
      </w:r>
      <w:r w:rsidRPr="00B04C20">
        <w:rPr>
          <w:noProof/>
        </w:rPr>
        <w:instrText xml:space="preserve"> PAGEREF _Toc27559107 \h </w:instrText>
      </w:r>
      <w:r w:rsidRPr="00B04C20">
        <w:rPr>
          <w:noProof/>
        </w:rPr>
      </w:r>
      <w:r w:rsidRPr="00B04C20">
        <w:rPr>
          <w:noProof/>
        </w:rPr>
        <w:fldChar w:fldCharType="separate"/>
      </w:r>
      <w:r w:rsidR="008E0480">
        <w:rPr>
          <w:noProof/>
        </w:rPr>
        <w:t>4</w:t>
      </w:r>
      <w:r w:rsidRPr="00B04C20">
        <w:rPr>
          <w:noProof/>
        </w:rPr>
        <w:fldChar w:fldCharType="end"/>
      </w:r>
    </w:p>
    <w:p w:rsidR="00B04C20" w:rsidRDefault="00B04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Amount of levy</w:t>
      </w:r>
      <w:r w:rsidRPr="00B04C20">
        <w:rPr>
          <w:noProof/>
        </w:rPr>
        <w:tab/>
      </w:r>
      <w:r w:rsidRPr="00B04C20">
        <w:rPr>
          <w:noProof/>
        </w:rPr>
        <w:fldChar w:fldCharType="begin"/>
      </w:r>
      <w:r w:rsidRPr="00B04C20">
        <w:rPr>
          <w:noProof/>
        </w:rPr>
        <w:instrText xml:space="preserve"> PAGEREF _Toc27559108 \h </w:instrText>
      </w:r>
      <w:r w:rsidRPr="00B04C20">
        <w:rPr>
          <w:noProof/>
        </w:rPr>
      </w:r>
      <w:r w:rsidRPr="00B04C20">
        <w:rPr>
          <w:noProof/>
        </w:rPr>
        <w:fldChar w:fldCharType="separate"/>
      </w:r>
      <w:r w:rsidR="008E0480">
        <w:rPr>
          <w:noProof/>
        </w:rPr>
        <w:t>4</w:t>
      </w:r>
      <w:r w:rsidRPr="00B04C20">
        <w:rPr>
          <w:noProof/>
        </w:rPr>
        <w:fldChar w:fldCharType="end"/>
      </w:r>
    </w:p>
    <w:p w:rsidR="00B04C20" w:rsidRDefault="00B04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Limit on total amount of levies</w:t>
      </w:r>
      <w:r w:rsidRPr="00B04C20">
        <w:rPr>
          <w:noProof/>
        </w:rPr>
        <w:tab/>
      </w:r>
      <w:r w:rsidRPr="00B04C20">
        <w:rPr>
          <w:noProof/>
        </w:rPr>
        <w:fldChar w:fldCharType="begin"/>
      </w:r>
      <w:r w:rsidRPr="00B04C20">
        <w:rPr>
          <w:noProof/>
        </w:rPr>
        <w:instrText xml:space="preserve"> PAGEREF _Toc27559109 \h </w:instrText>
      </w:r>
      <w:r w:rsidRPr="00B04C20">
        <w:rPr>
          <w:noProof/>
        </w:rPr>
      </w:r>
      <w:r w:rsidRPr="00B04C20">
        <w:rPr>
          <w:noProof/>
        </w:rPr>
        <w:fldChar w:fldCharType="separate"/>
      </w:r>
      <w:r w:rsidR="008E0480">
        <w:rPr>
          <w:noProof/>
        </w:rPr>
        <w:t>4</w:t>
      </w:r>
      <w:r w:rsidRPr="00B04C20">
        <w:rPr>
          <w:noProof/>
        </w:rPr>
        <w:fldChar w:fldCharType="end"/>
      </w:r>
    </w:p>
    <w:p w:rsidR="00B04C20" w:rsidRDefault="00B04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Designated levy periods and applicable percentages</w:t>
      </w:r>
      <w:r w:rsidRPr="00B04C20">
        <w:rPr>
          <w:noProof/>
        </w:rPr>
        <w:tab/>
      </w:r>
      <w:r w:rsidRPr="00B04C20">
        <w:rPr>
          <w:noProof/>
        </w:rPr>
        <w:fldChar w:fldCharType="begin"/>
      </w:r>
      <w:r w:rsidRPr="00B04C20">
        <w:rPr>
          <w:noProof/>
        </w:rPr>
        <w:instrText xml:space="preserve"> PAGEREF _Toc27559110 \h </w:instrText>
      </w:r>
      <w:r w:rsidRPr="00B04C20">
        <w:rPr>
          <w:noProof/>
        </w:rPr>
      </w:r>
      <w:r w:rsidRPr="00B04C20">
        <w:rPr>
          <w:noProof/>
        </w:rPr>
        <w:fldChar w:fldCharType="separate"/>
      </w:r>
      <w:r w:rsidR="008E0480">
        <w:rPr>
          <w:noProof/>
        </w:rPr>
        <w:t>5</w:t>
      </w:r>
      <w:r w:rsidRPr="00B04C20">
        <w:rPr>
          <w:noProof/>
        </w:rPr>
        <w:fldChar w:fldCharType="end"/>
      </w:r>
    </w:p>
    <w:p w:rsidR="00B04C20" w:rsidRDefault="00B04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The ACMA’s upfront Register costs</w:t>
      </w:r>
      <w:r w:rsidRPr="00B04C20">
        <w:rPr>
          <w:noProof/>
        </w:rPr>
        <w:tab/>
      </w:r>
      <w:r w:rsidRPr="00B04C20">
        <w:rPr>
          <w:noProof/>
        </w:rPr>
        <w:fldChar w:fldCharType="begin"/>
      </w:r>
      <w:r w:rsidRPr="00B04C20">
        <w:rPr>
          <w:noProof/>
        </w:rPr>
        <w:instrText xml:space="preserve"> PAGEREF _Toc27559111 \h </w:instrText>
      </w:r>
      <w:r w:rsidRPr="00B04C20">
        <w:rPr>
          <w:noProof/>
        </w:rPr>
      </w:r>
      <w:r w:rsidRPr="00B04C20">
        <w:rPr>
          <w:noProof/>
        </w:rPr>
        <w:fldChar w:fldCharType="separate"/>
      </w:r>
      <w:r w:rsidR="008E0480">
        <w:rPr>
          <w:noProof/>
        </w:rPr>
        <w:t>6</w:t>
      </w:r>
      <w:r w:rsidRPr="00B04C20">
        <w:rPr>
          <w:noProof/>
        </w:rPr>
        <w:fldChar w:fldCharType="end"/>
      </w:r>
    </w:p>
    <w:p w:rsidR="005D7042" w:rsidRPr="00E678EC" w:rsidRDefault="00B04C20" w:rsidP="00715914">
      <w:r>
        <w:fldChar w:fldCharType="end"/>
      </w:r>
    </w:p>
    <w:p w:rsidR="00374B0A" w:rsidRPr="00E678EC" w:rsidRDefault="00374B0A" w:rsidP="00715914">
      <w:pPr>
        <w:sectPr w:rsidR="00374B0A" w:rsidRPr="00E678EC" w:rsidSect="0009328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93289" w:rsidRDefault="00093289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38172681" r:id="rId21"/>
        </w:object>
      </w:r>
    </w:p>
    <w:p w:rsidR="00093289" w:rsidRDefault="00093289"/>
    <w:p w:rsidR="00093289" w:rsidRDefault="00093289" w:rsidP="00093289">
      <w:pPr>
        <w:spacing w:line="240" w:lineRule="auto"/>
      </w:pPr>
    </w:p>
    <w:p w:rsidR="00093289" w:rsidRDefault="008E0480" w:rsidP="00093289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National Self-exclusion Register (Cost Recovery Levy) Act 2019</w:t>
      </w:r>
      <w:r>
        <w:rPr>
          <w:noProof/>
        </w:rPr>
        <w:fldChar w:fldCharType="end"/>
      </w:r>
    </w:p>
    <w:p w:rsidR="00093289" w:rsidRDefault="008E0480" w:rsidP="00093289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128, 2019</w:t>
      </w:r>
      <w:r>
        <w:rPr>
          <w:noProof/>
        </w:rPr>
        <w:fldChar w:fldCharType="end"/>
      </w:r>
    </w:p>
    <w:p w:rsidR="00093289" w:rsidRPr="009A0728" w:rsidRDefault="0009328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93289" w:rsidRPr="009A0728" w:rsidRDefault="00093289" w:rsidP="009A0728">
      <w:pPr>
        <w:spacing w:line="40" w:lineRule="exact"/>
        <w:rPr>
          <w:rFonts w:eastAsia="Calibri"/>
          <w:b/>
          <w:sz w:val="28"/>
        </w:rPr>
      </w:pPr>
    </w:p>
    <w:p w:rsidR="00093289" w:rsidRPr="009A0728" w:rsidRDefault="0009328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E678EC" w:rsidRDefault="00093289" w:rsidP="001F778A">
      <w:pPr>
        <w:pStyle w:val="Page1"/>
      </w:pPr>
      <w:r>
        <w:t>An Act</w:t>
      </w:r>
      <w:r w:rsidR="001F778A" w:rsidRPr="00E678EC">
        <w:t xml:space="preserve"> to impose a levy on persons who provide licensed interactive wagering services, and for related purposes</w:t>
      </w:r>
    </w:p>
    <w:p w:rsidR="00B037D4" w:rsidRDefault="00B037D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12 December 2019</w:t>
      </w:r>
      <w:r>
        <w:rPr>
          <w:sz w:val="24"/>
        </w:rPr>
        <w:t>]</w:t>
      </w:r>
    </w:p>
    <w:p w:rsidR="00715914" w:rsidRPr="00E678EC" w:rsidRDefault="00715914" w:rsidP="00E678EC">
      <w:pPr>
        <w:spacing w:before="240" w:line="240" w:lineRule="auto"/>
        <w:rPr>
          <w:sz w:val="32"/>
        </w:rPr>
      </w:pPr>
      <w:r w:rsidRPr="00E678EC">
        <w:rPr>
          <w:sz w:val="32"/>
        </w:rPr>
        <w:t>The Parliament of Australia enacts:</w:t>
      </w:r>
    </w:p>
    <w:p w:rsidR="00715914" w:rsidRPr="00E678EC" w:rsidRDefault="00715914" w:rsidP="00E678EC">
      <w:pPr>
        <w:pStyle w:val="Header"/>
      </w:pPr>
      <w:r w:rsidRPr="00E678EC">
        <w:t xml:space="preserve">  </w:t>
      </w:r>
    </w:p>
    <w:p w:rsidR="00715914" w:rsidRPr="00E678EC" w:rsidRDefault="006B4B11" w:rsidP="00E678EC">
      <w:pPr>
        <w:pStyle w:val="ActHead5"/>
      </w:pPr>
      <w:bookmarkStart w:id="1" w:name="_Toc27559100"/>
      <w:r w:rsidRPr="001F778A">
        <w:rPr>
          <w:rStyle w:val="CharSectno"/>
        </w:rPr>
        <w:t>1</w:t>
      </w:r>
      <w:r w:rsidR="00715914" w:rsidRPr="00E678EC">
        <w:t xml:space="preserve">  Short title</w:t>
      </w:r>
      <w:bookmarkEnd w:id="1"/>
    </w:p>
    <w:p w:rsidR="00715914" w:rsidRPr="00E678EC" w:rsidRDefault="00715914" w:rsidP="00E678EC">
      <w:pPr>
        <w:pStyle w:val="subsection"/>
      </w:pPr>
      <w:r w:rsidRPr="00E678EC">
        <w:tab/>
      </w:r>
      <w:r w:rsidRPr="00E678EC">
        <w:tab/>
        <w:t xml:space="preserve">This Act </w:t>
      </w:r>
      <w:r w:rsidR="00B20224" w:rsidRPr="00E678EC">
        <w:t>is</w:t>
      </w:r>
      <w:r w:rsidRPr="00E678EC">
        <w:t xml:space="preserve"> the </w:t>
      </w:r>
      <w:r w:rsidR="009F5DAD" w:rsidRPr="00E678EC">
        <w:rPr>
          <w:i/>
        </w:rPr>
        <w:t>National Self</w:t>
      </w:r>
      <w:r w:rsidR="0004673E">
        <w:rPr>
          <w:i/>
        </w:rPr>
        <w:noBreakHyphen/>
      </w:r>
      <w:r w:rsidR="009F5DAD" w:rsidRPr="00E678EC">
        <w:rPr>
          <w:i/>
        </w:rPr>
        <w:t>exclusion Register (Cost Recovery Levy) A</w:t>
      </w:r>
      <w:r w:rsidR="001F5D5E" w:rsidRPr="00E678EC">
        <w:rPr>
          <w:i/>
        </w:rPr>
        <w:t>ct 201</w:t>
      </w:r>
      <w:r w:rsidR="00E87BDF" w:rsidRPr="00E678EC">
        <w:rPr>
          <w:i/>
        </w:rPr>
        <w:t>9</w:t>
      </w:r>
      <w:r w:rsidRPr="00E678EC">
        <w:t>.</w:t>
      </w:r>
    </w:p>
    <w:p w:rsidR="00715914" w:rsidRPr="00E678EC" w:rsidRDefault="006B4B11" w:rsidP="00E678EC">
      <w:pPr>
        <w:pStyle w:val="ActHead5"/>
      </w:pPr>
      <w:bookmarkStart w:id="2" w:name="_Toc27559101"/>
      <w:r w:rsidRPr="001F778A">
        <w:rPr>
          <w:rStyle w:val="CharSectno"/>
        </w:rPr>
        <w:t>2</w:t>
      </w:r>
      <w:r w:rsidR="00715914" w:rsidRPr="00E678EC">
        <w:t xml:space="preserve">  Commencement</w:t>
      </w:r>
      <w:bookmarkEnd w:id="2"/>
    </w:p>
    <w:p w:rsidR="00715914" w:rsidRPr="00E678EC" w:rsidRDefault="00715914" w:rsidP="00E678EC">
      <w:pPr>
        <w:pStyle w:val="subsection"/>
      </w:pPr>
      <w:r w:rsidRPr="00E678EC">
        <w:tab/>
        <w:t>(1)</w:t>
      </w:r>
      <w:r w:rsidRPr="00E678EC">
        <w:tab/>
        <w:t xml:space="preserve">Each provision of this Act specified in column 1 of the table commences, or is taken to have commenced, in accordance with </w:t>
      </w:r>
      <w:r w:rsidRPr="00E678EC">
        <w:lastRenderedPageBreak/>
        <w:t>column 2 of the table. Any other statement in column 2 has effect according to its terms.</w:t>
      </w:r>
    </w:p>
    <w:p w:rsidR="00715914" w:rsidRPr="00E678EC" w:rsidRDefault="00715914" w:rsidP="00E678E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E678EC" w:rsidTr="009F5DA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E678EC" w:rsidRDefault="00715914" w:rsidP="00E678EC">
            <w:pPr>
              <w:pStyle w:val="TableHeading"/>
            </w:pPr>
            <w:r w:rsidRPr="00E678EC">
              <w:t>Commencement information</w:t>
            </w:r>
          </w:p>
        </w:tc>
      </w:tr>
      <w:tr w:rsidR="00715914" w:rsidRPr="00E678EC" w:rsidTr="009F5DA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E678EC" w:rsidRDefault="00715914" w:rsidP="00E678EC">
            <w:pPr>
              <w:pStyle w:val="TableHeading"/>
            </w:pPr>
            <w:r w:rsidRPr="00E678E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E678EC" w:rsidRDefault="00715914" w:rsidP="00E678EC">
            <w:pPr>
              <w:pStyle w:val="TableHeading"/>
            </w:pPr>
            <w:r w:rsidRPr="00E678E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E678EC" w:rsidRDefault="00715914" w:rsidP="00E678EC">
            <w:pPr>
              <w:pStyle w:val="TableHeading"/>
            </w:pPr>
            <w:r w:rsidRPr="00E678EC">
              <w:t>Column 3</w:t>
            </w:r>
          </w:p>
        </w:tc>
      </w:tr>
      <w:tr w:rsidR="00715914" w:rsidRPr="00E678EC" w:rsidTr="009F5DA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E678EC" w:rsidRDefault="00715914" w:rsidP="00E678EC">
            <w:pPr>
              <w:pStyle w:val="TableHeading"/>
            </w:pPr>
            <w:r w:rsidRPr="00E678E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E678EC" w:rsidRDefault="00715914" w:rsidP="00E678EC">
            <w:pPr>
              <w:pStyle w:val="TableHeading"/>
            </w:pPr>
            <w:r w:rsidRPr="00E678E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E678EC" w:rsidRDefault="00715914" w:rsidP="00E678EC">
            <w:pPr>
              <w:pStyle w:val="TableHeading"/>
            </w:pPr>
            <w:r w:rsidRPr="00E678EC">
              <w:t>Date/Details</w:t>
            </w:r>
          </w:p>
        </w:tc>
      </w:tr>
      <w:tr w:rsidR="00715914" w:rsidRPr="00E678EC" w:rsidTr="009F5DA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E678EC" w:rsidRDefault="00715914" w:rsidP="00E678EC">
            <w:pPr>
              <w:pStyle w:val="Tabletext"/>
            </w:pPr>
            <w:r w:rsidRPr="00E678EC">
              <w:t xml:space="preserve">1.  </w:t>
            </w:r>
            <w:r w:rsidR="009F5DAD" w:rsidRPr="00E678EC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E678EC" w:rsidRDefault="00EC67C4" w:rsidP="00E678EC">
            <w:pPr>
              <w:pStyle w:val="Tabletext"/>
            </w:pPr>
            <w:r w:rsidRPr="00E678EC">
              <w:t>At the same time</w:t>
            </w:r>
            <w:bookmarkStart w:id="3" w:name="BK_S3P2L4C17"/>
            <w:bookmarkEnd w:id="3"/>
            <w:r w:rsidRPr="00E678EC">
              <w:t xml:space="preserve"> as the </w:t>
            </w:r>
            <w:bookmarkStart w:id="4" w:name="BK_S3P2L4C25"/>
            <w:bookmarkEnd w:id="4"/>
            <w:r w:rsidRPr="00E678EC">
              <w:rPr>
                <w:i/>
              </w:rPr>
              <w:t>Interactive Gambling Amendment (National Self</w:t>
            </w:r>
            <w:r w:rsidR="0004673E">
              <w:rPr>
                <w:i/>
              </w:rPr>
              <w:noBreakHyphen/>
            </w:r>
            <w:r w:rsidRPr="00E678EC">
              <w:rPr>
                <w:i/>
              </w:rPr>
              <w:t>exclusion Register) Act 2019</w:t>
            </w:r>
            <w:bookmarkStart w:id="5" w:name="BK_S3P2L6C19"/>
            <w:bookmarkEnd w:id="5"/>
            <w:r w:rsidRPr="00E678EC">
              <w:t xml:space="preserve"> commences.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E678EC" w:rsidRDefault="00B037D4" w:rsidP="00E678EC">
            <w:pPr>
              <w:pStyle w:val="Tabletext"/>
            </w:pPr>
            <w:r>
              <w:t>13 December 2019</w:t>
            </w:r>
          </w:p>
        </w:tc>
      </w:tr>
    </w:tbl>
    <w:p w:rsidR="00715914" w:rsidRPr="00E678EC" w:rsidRDefault="00B80199" w:rsidP="00E678EC">
      <w:pPr>
        <w:pStyle w:val="notetext"/>
      </w:pPr>
      <w:r w:rsidRPr="00E678EC">
        <w:t>Note:</w:t>
      </w:r>
      <w:r w:rsidRPr="00E678EC">
        <w:tab/>
        <w:t>This table relates only to the provisions of this Act as originally enacted. It will not be amended to deal with any later amendments of this Act.</w:t>
      </w:r>
    </w:p>
    <w:p w:rsidR="00715914" w:rsidRPr="00E678EC" w:rsidRDefault="00715914" w:rsidP="00E678EC">
      <w:pPr>
        <w:pStyle w:val="subsection"/>
      </w:pPr>
      <w:r w:rsidRPr="00E678EC">
        <w:tab/>
        <w:t>(2)</w:t>
      </w:r>
      <w:r w:rsidRPr="00E678EC">
        <w:tab/>
      </w:r>
      <w:r w:rsidR="00B80199" w:rsidRPr="00E678EC">
        <w:t xml:space="preserve">Any information in </w:t>
      </w:r>
      <w:r w:rsidR="009532A5" w:rsidRPr="00E678EC">
        <w:t>c</w:t>
      </w:r>
      <w:r w:rsidR="00B80199" w:rsidRPr="00E678EC">
        <w:t>olumn 3 of the table is not part of this Act. Information may be inserted in this column, or information in it may be edited, in any published version of this Act.</w:t>
      </w:r>
    </w:p>
    <w:p w:rsidR="002D3D39" w:rsidRPr="00E678EC" w:rsidRDefault="006B4B11" w:rsidP="00E678EC">
      <w:pPr>
        <w:pStyle w:val="ActHead5"/>
      </w:pPr>
      <w:bookmarkStart w:id="6" w:name="_Toc27559102"/>
      <w:r w:rsidRPr="001F778A">
        <w:rPr>
          <w:rStyle w:val="CharSectno"/>
        </w:rPr>
        <w:t>3</w:t>
      </w:r>
      <w:r w:rsidR="002D3D39" w:rsidRPr="00E678EC">
        <w:t xml:space="preserve">  Act to bind Crown</w:t>
      </w:r>
      <w:bookmarkEnd w:id="6"/>
    </w:p>
    <w:p w:rsidR="00DE6C6B" w:rsidRPr="00E678EC" w:rsidRDefault="002D3D39" w:rsidP="00E678EC">
      <w:pPr>
        <w:pStyle w:val="subsection"/>
      </w:pPr>
      <w:r w:rsidRPr="00E678EC">
        <w:tab/>
      </w:r>
      <w:r w:rsidR="00F45A5F" w:rsidRPr="00E678EC">
        <w:tab/>
      </w:r>
      <w:r w:rsidRPr="00E678EC">
        <w:t>This Act binds the Crown</w:t>
      </w:r>
      <w:bookmarkStart w:id="7" w:name="BK_S3P2L15C27"/>
      <w:bookmarkEnd w:id="7"/>
      <w:r w:rsidRPr="00E678EC">
        <w:t xml:space="preserve"> in right of each of the States, of the Australian Capital Territory and of the Northern Territory.</w:t>
      </w:r>
      <w:r w:rsidR="00F900A0" w:rsidRPr="00E678EC">
        <w:t xml:space="preserve"> However, it does not bind the Crown in right of the Commonwealth.</w:t>
      </w:r>
    </w:p>
    <w:p w:rsidR="00F45A5F" w:rsidRPr="00E678EC" w:rsidRDefault="006B4B11" w:rsidP="00E678EC">
      <w:pPr>
        <w:pStyle w:val="ActHead5"/>
      </w:pPr>
      <w:bookmarkStart w:id="8" w:name="_Toc27559103"/>
      <w:r w:rsidRPr="001F778A">
        <w:rPr>
          <w:rStyle w:val="CharSectno"/>
        </w:rPr>
        <w:t>4</w:t>
      </w:r>
      <w:r w:rsidR="00F45A5F" w:rsidRPr="00E678EC">
        <w:t xml:space="preserve">  Extension to external Territories</w:t>
      </w:r>
      <w:bookmarkEnd w:id="8"/>
    </w:p>
    <w:p w:rsidR="00F45A5F" w:rsidRPr="00E678EC" w:rsidRDefault="00F45A5F" w:rsidP="00E678EC">
      <w:pPr>
        <w:pStyle w:val="subsection"/>
      </w:pPr>
      <w:r w:rsidRPr="00E678EC">
        <w:tab/>
      </w:r>
      <w:r w:rsidRPr="00E678EC">
        <w:tab/>
        <w:t>This Act extend</w:t>
      </w:r>
      <w:bookmarkStart w:id="9" w:name="BK_S3P2L20C18"/>
      <w:bookmarkEnd w:id="9"/>
      <w:r w:rsidRPr="00E678EC">
        <w:t>s to every external Territory.</w:t>
      </w:r>
    </w:p>
    <w:p w:rsidR="006B4B11" w:rsidRPr="00E678EC" w:rsidRDefault="006B4B11" w:rsidP="00E678EC">
      <w:pPr>
        <w:pStyle w:val="ActHead5"/>
      </w:pPr>
      <w:bookmarkStart w:id="10" w:name="_Toc27559104"/>
      <w:r w:rsidRPr="001F778A">
        <w:rPr>
          <w:rStyle w:val="CharSectno"/>
        </w:rPr>
        <w:t>5</w:t>
      </w:r>
      <w:r w:rsidRPr="00E678EC">
        <w:t xml:space="preserve">  Extra</w:t>
      </w:r>
      <w:r w:rsidR="0004673E">
        <w:noBreakHyphen/>
      </w:r>
      <w:r w:rsidRPr="00E678EC">
        <w:t>territorial application</w:t>
      </w:r>
      <w:bookmarkEnd w:id="10"/>
    </w:p>
    <w:p w:rsidR="006B4B11" w:rsidRPr="00E678EC" w:rsidRDefault="006B4B11" w:rsidP="00E678EC">
      <w:pPr>
        <w:pStyle w:val="subsection"/>
      </w:pPr>
      <w:r w:rsidRPr="00E678EC">
        <w:tab/>
      </w:r>
      <w:r w:rsidRPr="00E678EC">
        <w:tab/>
        <w:t>This Act extends to acts, omissions, matters and things outside Australia.</w:t>
      </w:r>
      <w:bookmarkStart w:id="11" w:name="_GoBack"/>
      <w:bookmarkEnd w:id="11"/>
    </w:p>
    <w:p w:rsidR="007F5A2D" w:rsidRPr="00E678EC" w:rsidRDefault="007F5A2D" w:rsidP="00E678EC">
      <w:pPr>
        <w:pStyle w:val="ActHead5"/>
      </w:pPr>
      <w:bookmarkStart w:id="12" w:name="_Toc27559105"/>
      <w:r w:rsidRPr="001F778A">
        <w:rPr>
          <w:rStyle w:val="CharSectno"/>
        </w:rPr>
        <w:t>6</w:t>
      </w:r>
      <w:r w:rsidRPr="00E678EC">
        <w:t xml:space="preserve">  Definitions</w:t>
      </w:r>
      <w:bookmarkEnd w:id="12"/>
    </w:p>
    <w:p w:rsidR="007F5A2D" w:rsidRPr="00E678EC" w:rsidRDefault="007F5A2D" w:rsidP="00E678EC">
      <w:pPr>
        <w:pStyle w:val="subsection"/>
      </w:pPr>
      <w:r w:rsidRPr="00E678EC">
        <w:tab/>
      </w:r>
      <w:r w:rsidRPr="00E678EC">
        <w:tab/>
        <w:t>In this Act:</w:t>
      </w:r>
    </w:p>
    <w:p w:rsidR="007F5A2D" w:rsidRPr="00E678EC" w:rsidRDefault="007F5A2D" w:rsidP="00E678EC">
      <w:pPr>
        <w:pStyle w:val="Definition"/>
      </w:pPr>
      <w:r w:rsidRPr="00E678EC">
        <w:rPr>
          <w:b/>
          <w:i/>
        </w:rPr>
        <w:lastRenderedPageBreak/>
        <w:t>ACMA</w:t>
      </w:r>
      <w:r w:rsidRPr="00E678EC">
        <w:t xml:space="preserve"> means the Australian Communications and Media Authority.</w:t>
      </w:r>
    </w:p>
    <w:p w:rsidR="007F5A2D" w:rsidRPr="00E678EC" w:rsidRDefault="007F5A2D" w:rsidP="00E678EC">
      <w:pPr>
        <w:pStyle w:val="Definition"/>
      </w:pPr>
      <w:r w:rsidRPr="00E678EC">
        <w:rPr>
          <w:b/>
          <w:i/>
        </w:rPr>
        <w:t>applicable percentage</w:t>
      </w:r>
      <w:r w:rsidRPr="00E678EC">
        <w:t>,</w:t>
      </w:r>
      <w:r w:rsidRPr="00E678EC">
        <w:rPr>
          <w:b/>
          <w:i/>
        </w:rPr>
        <w:t xml:space="preserve"> </w:t>
      </w:r>
      <w:r w:rsidRPr="00E678EC">
        <w:t>in relation to</w:t>
      </w:r>
      <w:bookmarkStart w:id="13" w:name="BK_S3P3L1C38"/>
      <w:bookmarkEnd w:id="13"/>
      <w:r w:rsidRPr="00E678EC">
        <w:t xml:space="preserve"> a designated levy period, has the meaning given by section 11.</w:t>
      </w:r>
    </w:p>
    <w:p w:rsidR="007F5A2D" w:rsidRPr="00E678EC" w:rsidRDefault="007F5A2D" w:rsidP="00E678EC">
      <w:pPr>
        <w:pStyle w:val="Definition"/>
        <w:keepNext/>
        <w:ind w:left="1138"/>
      </w:pPr>
      <w:r w:rsidRPr="00E678EC">
        <w:rPr>
          <w:b/>
          <w:i/>
        </w:rPr>
        <w:t>cost</w:t>
      </w:r>
      <w:r w:rsidRPr="00E678EC">
        <w:t>, in relation to</w:t>
      </w:r>
      <w:bookmarkStart w:id="14" w:name="BK_S3P3L3C21"/>
      <w:bookmarkEnd w:id="14"/>
      <w:r w:rsidRPr="00E678EC">
        <w:t xml:space="preserve"> the ACMA, means an amount that, in accordance with accrual</w:t>
      </w:r>
      <w:r w:rsidR="0004673E">
        <w:noBreakHyphen/>
      </w:r>
      <w:r w:rsidRPr="00E678EC">
        <w:t>based accounting principles</w:t>
      </w:r>
      <w:bookmarkStart w:id="15" w:name="BK_S3P3L4C52"/>
      <w:bookmarkEnd w:id="15"/>
      <w:r w:rsidRPr="00E678EC">
        <w:t>, is treated as a cost of the ACMA.</w:t>
      </w:r>
    </w:p>
    <w:p w:rsidR="007F5A2D" w:rsidRPr="00E678EC" w:rsidRDefault="007F5A2D" w:rsidP="00E678EC">
      <w:pPr>
        <w:pStyle w:val="Definition"/>
      </w:pPr>
      <w:r w:rsidRPr="00E678EC">
        <w:rPr>
          <w:b/>
          <w:i/>
        </w:rPr>
        <w:t>designated levy period</w:t>
      </w:r>
      <w:r w:rsidRPr="00E678EC">
        <w:rPr>
          <w:i/>
        </w:rPr>
        <w:t xml:space="preserve"> </w:t>
      </w:r>
      <w:r w:rsidRPr="00E678EC">
        <w:t>has the meaning given by section 11.</w:t>
      </w:r>
    </w:p>
    <w:p w:rsidR="007F5A2D" w:rsidRPr="00E678EC" w:rsidRDefault="007F5A2D" w:rsidP="00E678EC">
      <w:pPr>
        <w:pStyle w:val="subsection"/>
      </w:pPr>
      <w:r w:rsidRPr="00E678EC">
        <w:rPr>
          <w:b/>
          <w:i/>
        </w:rPr>
        <w:tab/>
      </w:r>
      <w:r w:rsidRPr="00E678EC">
        <w:rPr>
          <w:b/>
          <w:i/>
        </w:rPr>
        <w:tab/>
        <w:t>interim period</w:t>
      </w:r>
      <w:r w:rsidRPr="00E678EC">
        <w:t xml:space="preserve"> means the period:</w:t>
      </w:r>
    </w:p>
    <w:p w:rsidR="007F5A2D" w:rsidRPr="00E678EC" w:rsidRDefault="007F5A2D" w:rsidP="00E678EC">
      <w:pPr>
        <w:pStyle w:val="paragraph"/>
      </w:pPr>
      <w:r w:rsidRPr="00E678EC">
        <w:tab/>
        <w:t>(a)</w:t>
      </w:r>
      <w:r w:rsidRPr="00E678EC">
        <w:tab/>
        <w:t>beginning at the start of 30</w:t>
      </w:r>
      <w:r w:rsidR="00E678EC" w:rsidRPr="00E678EC">
        <w:t> </w:t>
      </w:r>
      <w:r w:rsidRPr="00E678EC">
        <w:t>November 2018; and</w:t>
      </w:r>
    </w:p>
    <w:p w:rsidR="007F5A2D" w:rsidRPr="00E678EC" w:rsidRDefault="007F5A2D" w:rsidP="00E678EC">
      <w:pPr>
        <w:pStyle w:val="paragraph"/>
      </w:pPr>
      <w:r w:rsidRPr="00E678EC">
        <w:tab/>
        <w:t>(b)</w:t>
      </w:r>
      <w:r w:rsidRPr="00E678EC">
        <w:tab/>
        <w:t>ending immediately before the proclaimed start day.</w:t>
      </w:r>
    </w:p>
    <w:p w:rsidR="007F5A2D" w:rsidRPr="00E678EC" w:rsidRDefault="007F5A2D" w:rsidP="00E678EC">
      <w:pPr>
        <w:pStyle w:val="Definition"/>
      </w:pPr>
      <w:r w:rsidRPr="00E678EC">
        <w:rPr>
          <w:b/>
          <w:i/>
        </w:rPr>
        <w:t>levy</w:t>
      </w:r>
      <w:r w:rsidRPr="00E678EC">
        <w:t xml:space="preserve"> means levy imposed by this Act.</w:t>
      </w:r>
    </w:p>
    <w:p w:rsidR="007F5A2D" w:rsidRPr="00E678EC" w:rsidRDefault="007F5A2D" w:rsidP="00E678EC">
      <w:pPr>
        <w:pStyle w:val="Definition"/>
      </w:pPr>
      <w:r w:rsidRPr="00E678EC">
        <w:rPr>
          <w:b/>
          <w:i/>
        </w:rPr>
        <w:t>levy period</w:t>
      </w:r>
      <w:r w:rsidRPr="00E678EC">
        <w:t xml:space="preserve"> means:</w:t>
      </w:r>
    </w:p>
    <w:p w:rsidR="007F5A2D" w:rsidRPr="00E678EC" w:rsidRDefault="007F5A2D" w:rsidP="00E678EC">
      <w:pPr>
        <w:pStyle w:val="paragraph"/>
      </w:pPr>
      <w:r w:rsidRPr="00E678EC">
        <w:tab/>
        <w:t>(a)</w:t>
      </w:r>
      <w:r w:rsidRPr="00E678EC">
        <w:tab/>
        <w:t>the period:</w:t>
      </w:r>
    </w:p>
    <w:p w:rsidR="007F5A2D" w:rsidRPr="00E678EC" w:rsidRDefault="007F5A2D" w:rsidP="00E678EC">
      <w:pPr>
        <w:pStyle w:val="paragraphsub"/>
      </w:pPr>
      <w:r w:rsidRPr="00E678EC">
        <w:tab/>
        <w:t>(i)</w:t>
      </w:r>
      <w:r w:rsidRPr="00E678EC">
        <w:tab/>
        <w:t>beginning at the start of the proclaimed start day; and</w:t>
      </w:r>
    </w:p>
    <w:p w:rsidR="007F5A2D" w:rsidRPr="00E678EC" w:rsidRDefault="007F5A2D" w:rsidP="00E678EC">
      <w:pPr>
        <w:pStyle w:val="paragraphsub"/>
      </w:pPr>
      <w:r w:rsidRPr="00E678EC">
        <w:tab/>
        <w:t>(ii)</w:t>
      </w:r>
      <w:r w:rsidRPr="00E678EC">
        <w:tab/>
        <w:t>ending at the end of 30</w:t>
      </w:r>
      <w:r w:rsidR="00E678EC" w:rsidRPr="00E678EC">
        <w:t> </w:t>
      </w:r>
      <w:r w:rsidRPr="00E678EC">
        <w:t>June next following</w:t>
      </w:r>
      <w:bookmarkStart w:id="16" w:name="BK_S3P3L14C50"/>
      <w:bookmarkEnd w:id="16"/>
      <w:r w:rsidRPr="00E678EC">
        <w:t xml:space="preserve"> the proclaimed start day; or</w:t>
      </w:r>
    </w:p>
    <w:p w:rsidR="007F5A2D" w:rsidRPr="00E678EC" w:rsidRDefault="007F5A2D" w:rsidP="00E678EC">
      <w:pPr>
        <w:pStyle w:val="paragraph"/>
      </w:pPr>
      <w:r w:rsidRPr="00E678EC">
        <w:tab/>
        <w:t>(b)</w:t>
      </w:r>
      <w:r w:rsidRPr="00E678EC">
        <w:tab/>
        <w:t>the financial year beginning on 1</w:t>
      </w:r>
      <w:r w:rsidR="00E678EC" w:rsidRPr="00E678EC">
        <w:t> </w:t>
      </w:r>
      <w:r w:rsidRPr="00E678EC">
        <w:t>July next following</w:t>
      </w:r>
      <w:bookmarkStart w:id="17" w:name="BK_S3P3L16C59"/>
      <w:bookmarkEnd w:id="17"/>
      <w:r w:rsidRPr="00E678EC">
        <w:t xml:space="preserve"> the proclaimed start day; or</w:t>
      </w:r>
    </w:p>
    <w:p w:rsidR="007F5A2D" w:rsidRPr="00E678EC" w:rsidRDefault="007F5A2D" w:rsidP="00E678EC">
      <w:pPr>
        <w:pStyle w:val="paragraph"/>
      </w:pPr>
      <w:r w:rsidRPr="00E678EC">
        <w:tab/>
        <w:t>(c)</w:t>
      </w:r>
      <w:r w:rsidRPr="00E678EC">
        <w:tab/>
        <w:t>a later financial year.</w:t>
      </w:r>
    </w:p>
    <w:p w:rsidR="007F5A2D" w:rsidRPr="00E678EC" w:rsidRDefault="007F5A2D" w:rsidP="00E678EC">
      <w:pPr>
        <w:pStyle w:val="Definition"/>
      </w:pPr>
      <w:r w:rsidRPr="00E678EC">
        <w:rPr>
          <w:b/>
          <w:i/>
        </w:rPr>
        <w:t>licensed interactive wagering service provider</w:t>
      </w:r>
      <w:r w:rsidRPr="00E678EC">
        <w:t xml:space="preserve"> has the same meaning as in Part</w:t>
      </w:r>
      <w:r w:rsidR="00E678EC" w:rsidRPr="00E678EC">
        <w:t> </w:t>
      </w:r>
      <w:r w:rsidRPr="00E678EC">
        <w:t xml:space="preserve">7B of the </w:t>
      </w:r>
      <w:r w:rsidRPr="00E678EC">
        <w:rPr>
          <w:i/>
        </w:rPr>
        <w:t>Interactive Gambling Act 2001</w:t>
      </w:r>
      <w:r w:rsidRPr="00E678EC">
        <w:t>.</w:t>
      </w:r>
    </w:p>
    <w:p w:rsidR="007F5A2D" w:rsidRPr="00E678EC" w:rsidRDefault="007F5A2D" w:rsidP="00E678EC">
      <w:pPr>
        <w:pStyle w:val="Definition"/>
      </w:pPr>
      <w:r w:rsidRPr="00E678EC">
        <w:rPr>
          <w:b/>
          <w:i/>
        </w:rPr>
        <w:t>proclaimed start day</w:t>
      </w:r>
      <w:r w:rsidRPr="00E678EC">
        <w:t xml:space="preserve"> has the same meaning as in Part</w:t>
      </w:r>
      <w:r w:rsidR="00E678EC" w:rsidRPr="00E678EC">
        <w:t> </w:t>
      </w:r>
      <w:r w:rsidRPr="00E678EC">
        <w:t xml:space="preserve">7B of the </w:t>
      </w:r>
      <w:r w:rsidRPr="00E678EC">
        <w:rPr>
          <w:i/>
        </w:rPr>
        <w:t>Interactive Gambling Act 2001</w:t>
      </w:r>
      <w:r w:rsidRPr="00E678EC">
        <w:t>.</w:t>
      </w:r>
    </w:p>
    <w:p w:rsidR="007F5A2D" w:rsidRPr="00E678EC" w:rsidRDefault="007F5A2D" w:rsidP="00E678EC">
      <w:pPr>
        <w:pStyle w:val="Definition"/>
      </w:pPr>
      <w:r w:rsidRPr="00E678EC">
        <w:rPr>
          <w:b/>
          <w:i/>
        </w:rPr>
        <w:t>Register</w:t>
      </w:r>
      <w:r w:rsidRPr="00E678EC">
        <w:t xml:space="preserve"> means the National Self</w:t>
      </w:r>
      <w:r w:rsidR="0004673E">
        <w:noBreakHyphen/>
      </w:r>
      <w:r w:rsidRPr="00E678EC">
        <w:t xml:space="preserve">exclusion Register kept under section 61HA of the </w:t>
      </w:r>
      <w:r w:rsidRPr="00E678EC">
        <w:rPr>
          <w:i/>
        </w:rPr>
        <w:t>Interactive Gambling Act 2001</w:t>
      </w:r>
      <w:r w:rsidRPr="00E678EC">
        <w:t>.</w:t>
      </w:r>
    </w:p>
    <w:p w:rsidR="007F5A2D" w:rsidRPr="00E678EC" w:rsidRDefault="007F5A2D" w:rsidP="00E678EC">
      <w:pPr>
        <w:pStyle w:val="Definition"/>
      </w:pPr>
      <w:r w:rsidRPr="00E678EC">
        <w:rPr>
          <w:b/>
          <w:i/>
        </w:rPr>
        <w:t xml:space="preserve">Register arrangement </w:t>
      </w:r>
      <w:r w:rsidRPr="00E678EC">
        <w:t xml:space="preserve">means an arrangement under subsection 61HA(1) of the </w:t>
      </w:r>
      <w:r w:rsidRPr="00E678EC">
        <w:rPr>
          <w:i/>
        </w:rPr>
        <w:t>Interactive Gambling Act 2001</w:t>
      </w:r>
      <w:r w:rsidRPr="00E678EC">
        <w:t>.</w:t>
      </w:r>
    </w:p>
    <w:p w:rsidR="007F5A2D" w:rsidRPr="00E678EC" w:rsidRDefault="007F5A2D" w:rsidP="00E678EC">
      <w:pPr>
        <w:pStyle w:val="Definition"/>
      </w:pPr>
      <w:r w:rsidRPr="00E678EC">
        <w:rPr>
          <w:b/>
          <w:i/>
          <w:lang w:eastAsia="en-US"/>
        </w:rPr>
        <w:lastRenderedPageBreak/>
        <w:t>Register operator</w:t>
      </w:r>
      <w:r w:rsidRPr="00E678EC">
        <w:t xml:space="preserve"> has the same meaning as in Part</w:t>
      </w:r>
      <w:r w:rsidR="00E678EC" w:rsidRPr="00E678EC">
        <w:t> </w:t>
      </w:r>
      <w:r w:rsidRPr="00E678EC">
        <w:t xml:space="preserve">7B of the </w:t>
      </w:r>
      <w:r w:rsidRPr="00E678EC">
        <w:rPr>
          <w:i/>
        </w:rPr>
        <w:t>Interactive Gambling Act 2001</w:t>
      </w:r>
      <w:r w:rsidRPr="00E678EC">
        <w:t>.</w:t>
      </w:r>
    </w:p>
    <w:p w:rsidR="007F5A2D" w:rsidRPr="00E678EC" w:rsidRDefault="007F5A2D" w:rsidP="00E678EC">
      <w:pPr>
        <w:pStyle w:val="Definition"/>
      </w:pPr>
      <w:r w:rsidRPr="00E678EC">
        <w:rPr>
          <w:b/>
          <w:i/>
        </w:rPr>
        <w:t>Register rules</w:t>
      </w:r>
      <w:r w:rsidRPr="00E678EC">
        <w:t xml:space="preserve"> has the same meaning as in Part</w:t>
      </w:r>
      <w:r w:rsidR="00E678EC" w:rsidRPr="00E678EC">
        <w:t> </w:t>
      </w:r>
      <w:r w:rsidRPr="00E678EC">
        <w:t xml:space="preserve">7B of the </w:t>
      </w:r>
      <w:r w:rsidRPr="00E678EC">
        <w:rPr>
          <w:i/>
        </w:rPr>
        <w:t>Interactive Gambling Act 2001</w:t>
      </w:r>
      <w:r w:rsidRPr="00E678EC">
        <w:t>.</w:t>
      </w:r>
    </w:p>
    <w:p w:rsidR="007F5A2D" w:rsidRPr="00E678EC" w:rsidRDefault="007F5A2D" w:rsidP="00E678EC">
      <w:pPr>
        <w:pStyle w:val="Definition"/>
      </w:pPr>
      <w:r w:rsidRPr="00E678EC">
        <w:rPr>
          <w:b/>
          <w:i/>
        </w:rPr>
        <w:t xml:space="preserve">the ACMA’s upfront Register costs </w:t>
      </w:r>
      <w:r w:rsidRPr="00E678EC">
        <w:t>has the meaning given by</w:t>
      </w:r>
      <w:r w:rsidRPr="00E678EC">
        <w:rPr>
          <w:b/>
        </w:rPr>
        <w:t xml:space="preserve"> </w:t>
      </w:r>
      <w:r w:rsidRPr="00E678EC">
        <w:t>section</w:t>
      </w:r>
      <w:r w:rsidRPr="00E678EC">
        <w:rPr>
          <w:b/>
        </w:rPr>
        <w:t xml:space="preserve"> </w:t>
      </w:r>
      <w:r w:rsidRPr="00E678EC">
        <w:t>12.</w:t>
      </w:r>
    </w:p>
    <w:p w:rsidR="007F5A2D" w:rsidRPr="00E678EC" w:rsidRDefault="007F5A2D" w:rsidP="00E678EC">
      <w:pPr>
        <w:pStyle w:val="ActHead5"/>
      </w:pPr>
      <w:bookmarkStart w:id="18" w:name="f_Check_Lines_above"/>
      <w:bookmarkStart w:id="19" w:name="_Toc27559106"/>
      <w:bookmarkEnd w:id="18"/>
      <w:r w:rsidRPr="001F778A">
        <w:rPr>
          <w:rStyle w:val="CharSectno"/>
        </w:rPr>
        <w:t>7</w:t>
      </w:r>
      <w:r w:rsidRPr="00E678EC">
        <w:t xml:space="preserve">  Imposition of levy</w:t>
      </w:r>
      <w:bookmarkEnd w:id="19"/>
    </w:p>
    <w:p w:rsidR="007F5A2D" w:rsidRPr="00E678EC" w:rsidRDefault="007F5A2D" w:rsidP="00E678EC">
      <w:pPr>
        <w:pStyle w:val="subsection"/>
      </w:pPr>
      <w:r w:rsidRPr="00E678EC">
        <w:tab/>
      </w:r>
      <w:r w:rsidRPr="00E678EC">
        <w:tab/>
        <w:t>Levy is imposed on a person for a levy period if:</w:t>
      </w:r>
    </w:p>
    <w:p w:rsidR="007F5A2D" w:rsidRPr="00E678EC" w:rsidRDefault="007F5A2D" w:rsidP="00E678EC">
      <w:pPr>
        <w:pStyle w:val="paragraph"/>
      </w:pPr>
      <w:r w:rsidRPr="00E678EC">
        <w:tab/>
        <w:t>(a)</w:t>
      </w:r>
      <w:r w:rsidRPr="00E678EC">
        <w:tab/>
        <w:t>the person was a licensed interactive wagering service provider during the whole or a part of the levy period; and</w:t>
      </w:r>
    </w:p>
    <w:p w:rsidR="007F5A2D" w:rsidRPr="00E678EC" w:rsidRDefault="007F5A2D" w:rsidP="00E678EC">
      <w:pPr>
        <w:pStyle w:val="paragraph"/>
      </w:pPr>
      <w:r w:rsidRPr="00E678EC">
        <w:tab/>
        <w:t>(b)</w:t>
      </w:r>
      <w:r w:rsidRPr="00E678EC">
        <w:tab/>
        <w:t>the person made at least one request to the Register operator under subsection 61NC(1) of the</w:t>
      </w:r>
      <w:r w:rsidRPr="00E678EC">
        <w:rPr>
          <w:i/>
        </w:rPr>
        <w:t xml:space="preserve"> Interactive Gambling Act 2001</w:t>
      </w:r>
      <w:r w:rsidRPr="00E678EC">
        <w:t xml:space="preserve"> during the levy period.</w:t>
      </w:r>
    </w:p>
    <w:p w:rsidR="007F5A2D" w:rsidRPr="00E678EC" w:rsidRDefault="007F5A2D" w:rsidP="00E678EC">
      <w:pPr>
        <w:pStyle w:val="ActHead5"/>
      </w:pPr>
      <w:bookmarkStart w:id="20" w:name="_Toc27559107"/>
      <w:r w:rsidRPr="001F778A">
        <w:rPr>
          <w:rStyle w:val="CharSectno"/>
        </w:rPr>
        <w:t>8</w:t>
      </w:r>
      <w:r w:rsidRPr="00E678EC">
        <w:t xml:space="preserve">  By whom levy payable</w:t>
      </w:r>
      <w:bookmarkEnd w:id="20"/>
    </w:p>
    <w:p w:rsidR="007F5A2D" w:rsidRPr="00E678EC" w:rsidRDefault="007F5A2D" w:rsidP="00E678EC">
      <w:pPr>
        <w:pStyle w:val="subsection"/>
      </w:pPr>
      <w:r w:rsidRPr="00E678EC">
        <w:tab/>
      </w:r>
      <w:r w:rsidRPr="00E678EC">
        <w:tab/>
        <w:t>Levy imposed on a person for a levy period is payable by the person.</w:t>
      </w:r>
    </w:p>
    <w:p w:rsidR="007F5A2D" w:rsidRPr="00E678EC" w:rsidRDefault="007F5A2D" w:rsidP="00E678EC">
      <w:pPr>
        <w:pStyle w:val="ActHead5"/>
      </w:pPr>
      <w:bookmarkStart w:id="21" w:name="_Toc27559108"/>
      <w:r w:rsidRPr="001F778A">
        <w:rPr>
          <w:rStyle w:val="CharSectno"/>
        </w:rPr>
        <w:t>9</w:t>
      </w:r>
      <w:r w:rsidRPr="00E678EC">
        <w:t xml:space="preserve">  Amount of levy</w:t>
      </w:r>
      <w:bookmarkEnd w:id="21"/>
    </w:p>
    <w:p w:rsidR="007F5A2D" w:rsidRPr="00E678EC" w:rsidRDefault="007F5A2D" w:rsidP="00E678EC">
      <w:pPr>
        <w:pStyle w:val="subsection"/>
      </w:pPr>
      <w:r w:rsidRPr="00E678EC">
        <w:tab/>
        <w:t>(1)</w:t>
      </w:r>
      <w:r w:rsidRPr="00E678EC">
        <w:tab/>
        <w:t xml:space="preserve">The amount of levy imposed on a person for a levy period is the amount </w:t>
      </w:r>
      <w:r w:rsidR="00627313" w:rsidRPr="00E678EC">
        <w:t>worked out in accordance with a method determined by the ACMA by legislative instrument</w:t>
      </w:r>
      <w:r w:rsidRPr="00E678EC">
        <w:t>.</w:t>
      </w:r>
    </w:p>
    <w:p w:rsidR="007F5A2D" w:rsidRPr="00E678EC" w:rsidRDefault="00892954" w:rsidP="00E678EC">
      <w:pPr>
        <w:pStyle w:val="subsection"/>
      </w:pPr>
      <w:r w:rsidRPr="00E678EC">
        <w:tab/>
        <w:t>(2</w:t>
      </w:r>
      <w:r w:rsidR="007F5A2D" w:rsidRPr="00E678EC">
        <w:t>)</w:t>
      </w:r>
      <w:r w:rsidR="007F5A2D" w:rsidRPr="00E678EC">
        <w:tab/>
        <w:t xml:space="preserve">Before making a determination under </w:t>
      </w:r>
      <w:r w:rsidR="00E678EC" w:rsidRPr="00E678EC">
        <w:t>subsection (</w:t>
      </w:r>
      <w:r w:rsidR="007F5A2D" w:rsidRPr="00E678EC">
        <w:t>1), the ACMA must consult the Minister.</w:t>
      </w:r>
    </w:p>
    <w:p w:rsidR="007F5A2D" w:rsidRPr="00E678EC" w:rsidRDefault="007F5A2D" w:rsidP="00E678EC">
      <w:pPr>
        <w:pStyle w:val="ActHead5"/>
      </w:pPr>
      <w:bookmarkStart w:id="22" w:name="_Toc27559109"/>
      <w:r w:rsidRPr="001F778A">
        <w:rPr>
          <w:rStyle w:val="CharSectno"/>
        </w:rPr>
        <w:t>10</w:t>
      </w:r>
      <w:r w:rsidRPr="00E678EC">
        <w:t xml:space="preserve">  Limit on total amount of levies</w:t>
      </w:r>
      <w:bookmarkEnd w:id="22"/>
    </w:p>
    <w:p w:rsidR="007F5A2D" w:rsidRPr="00E678EC" w:rsidRDefault="007F5A2D" w:rsidP="00E678EC">
      <w:pPr>
        <w:pStyle w:val="subsection"/>
      </w:pPr>
      <w:r w:rsidRPr="00E678EC">
        <w:tab/>
        <w:t>(1)</w:t>
      </w:r>
      <w:r w:rsidRPr="00E678EC">
        <w:tab/>
        <w:t>The total amount of the levies imposed on persons for a levy period must not exceed the sum of the following:</w:t>
      </w:r>
    </w:p>
    <w:p w:rsidR="007F5A2D" w:rsidRPr="00E678EC" w:rsidRDefault="007F5A2D" w:rsidP="00E678EC">
      <w:pPr>
        <w:pStyle w:val="paragraph"/>
      </w:pPr>
      <w:r w:rsidRPr="00E678EC">
        <w:lastRenderedPageBreak/>
        <w:tab/>
        <w:t>(a)</w:t>
      </w:r>
      <w:r w:rsidRPr="00E678EC">
        <w:tab/>
        <w:t>the amounts paid, during the levy period, by the ACMA (on behalf of the Commonwealth) to the Register operator under a Register arrangement;</w:t>
      </w:r>
    </w:p>
    <w:p w:rsidR="007F5A2D" w:rsidRPr="00E678EC" w:rsidRDefault="007F5A2D" w:rsidP="00E678EC">
      <w:pPr>
        <w:pStyle w:val="paragraph"/>
      </w:pPr>
      <w:r w:rsidRPr="00E678EC">
        <w:tab/>
        <w:t>(b)</w:t>
      </w:r>
      <w:r w:rsidRPr="00E678EC">
        <w:tab/>
        <w:t>the costs incurred, during the levy period, by the ACMA in managing a Register arrangement;</w:t>
      </w:r>
    </w:p>
    <w:p w:rsidR="007F5A2D" w:rsidRPr="00E678EC" w:rsidRDefault="007F5A2D" w:rsidP="00E678EC">
      <w:pPr>
        <w:pStyle w:val="paragraph"/>
      </w:pPr>
      <w:r w:rsidRPr="00E678EC">
        <w:tab/>
        <w:t>(c)</w:t>
      </w:r>
      <w:r w:rsidRPr="00E678EC">
        <w:tab/>
        <w:t>the costs incurred, during the levy period, by the ACMA in relation to:</w:t>
      </w:r>
    </w:p>
    <w:p w:rsidR="007F5A2D" w:rsidRPr="00E678EC" w:rsidRDefault="007F5A2D" w:rsidP="00E678EC">
      <w:pPr>
        <w:pStyle w:val="paragraphsub"/>
        <w:rPr>
          <w:i/>
        </w:rPr>
      </w:pPr>
      <w:r w:rsidRPr="00E678EC">
        <w:tab/>
        <w:t>(i)</w:t>
      </w:r>
      <w:r w:rsidRPr="00E678EC">
        <w:tab/>
        <w:t>monitoring or promoting compliance with provisions of Part</w:t>
      </w:r>
      <w:r w:rsidR="00E678EC" w:rsidRPr="00E678EC">
        <w:t> </w:t>
      </w:r>
      <w:r w:rsidRPr="00E678EC">
        <w:t xml:space="preserve">7B of the </w:t>
      </w:r>
      <w:r w:rsidRPr="00E678EC">
        <w:rPr>
          <w:i/>
        </w:rPr>
        <w:t>Interactive Gambling Act 2001</w:t>
      </w:r>
      <w:r w:rsidRPr="00E678EC">
        <w:t>; or</w:t>
      </w:r>
    </w:p>
    <w:p w:rsidR="007F5A2D" w:rsidRPr="00E678EC" w:rsidRDefault="007F5A2D" w:rsidP="00E678EC">
      <w:pPr>
        <w:pStyle w:val="paragraphsub"/>
      </w:pPr>
      <w:r w:rsidRPr="00E678EC">
        <w:tab/>
        <w:t>(ii)</w:t>
      </w:r>
      <w:r w:rsidRPr="00E678EC">
        <w:tab/>
        <w:t>investigating whether persons have contravened provisions of Part</w:t>
      </w:r>
      <w:r w:rsidR="00E678EC" w:rsidRPr="00E678EC">
        <w:t> </w:t>
      </w:r>
      <w:r w:rsidRPr="00E678EC">
        <w:t xml:space="preserve">7B of the </w:t>
      </w:r>
      <w:r w:rsidRPr="00E678EC">
        <w:rPr>
          <w:i/>
        </w:rPr>
        <w:t>Interactive Gambling Act 2001</w:t>
      </w:r>
      <w:r w:rsidRPr="00E678EC">
        <w:t>; or</w:t>
      </w:r>
    </w:p>
    <w:p w:rsidR="007F5A2D" w:rsidRPr="00E678EC" w:rsidRDefault="007F5A2D" w:rsidP="00E678EC">
      <w:pPr>
        <w:pStyle w:val="paragraphsub"/>
      </w:pPr>
      <w:r w:rsidRPr="00E678EC">
        <w:tab/>
        <w:t>(iii)</w:t>
      </w:r>
      <w:r w:rsidRPr="00E678EC">
        <w:tab/>
        <w:t xml:space="preserve">taking action under the </w:t>
      </w:r>
      <w:r w:rsidRPr="00E678EC">
        <w:rPr>
          <w:i/>
        </w:rPr>
        <w:t>Regulatory Powers (Standard Provisions) Act 2014</w:t>
      </w:r>
      <w:r w:rsidRPr="00E678EC">
        <w:t>, so far as that Act relates to Part</w:t>
      </w:r>
      <w:r w:rsidR="00E678EC" w:rsidRPr="00E678EC">
        <w:t> </w:t>
      </w:r>
      <w:r w:rsidRPr="00E678EC">
        <w:t xml:space="preserve">7B of the </w:t>
      </w:r>
      <w:r w:rsidRPr="00E678EC">
        <w:rPr>
          <w:i/>
        </w:rPr>
        <w:t>Interactive Gambling Act 2001</w:t>
      </w:r>
      <w:r w:rsidRPr="00E678EC">
        <w:t>;</w:t>
      </w:r>
    </w:p>
    <w:p w:rsidR="007F5A2D" w:rsidRPr="00E678EC" w:rsidRDefault="007F5A2D" w:rsidP="00E678EC">
      <w:pPr>
        <w:pStyle w:val="paragraph"/>
      </w:pPr>
      <w:r w:rsidRPr="00E678EC">
        <w:tab/>
        <w:t>(d)</w:t>
      </w:r>
      <w:r w:rsidRPr="00E678EC">
        <w:tab/>
        <w:t>the costs incurred, during the levy period, by the ACMA in relation to the performance of its functions, or the exercise of its powers, under:</w:t>
      </w:r>
    </w:p>
    <w:p w:rsidR="007F5A2D" w:rsidRPr="00E678EC" w:rsidRDefault="007F5A2D" w:rsidP="00E678EC">
      <w:pPr>
        <w:pStyle w:val="paragraphsub"/>
      </w:pPr>
      <w:r w:rsidRPr="00E678EC">
        <w:tab/>
        <w:t>(i)</w:t>
      </w:r>
      <w:r w:rsidRPr="00E678EC">
        <w:tab/>
        <w:t>Part</w:t>
      </w:r>
      <w:r w:rsidR="00E678EC" w:rsidRPr="00E678EC">
        <w:t> </w:t>
      </w:r>
      <w:r w:rsidRPr="00E678EC">
        <w:t xml:space="preserve">7B of the </w:t>
      </w:r>
      <w:r w:rsidRPr="00E678EC">
        <w:rPr>
          <w:i/>
        </w:rPr>
        <w:t>Interactive Gambling Act 2001</w:t>
      </w:r>
      <w:r w:rsidRPr="00E678EC">
        <w:t>; or</w:t>
      </w:r>
    </w:p>
    <w:p w:rsidR="007F5A2D" w:rsidRPr="00E678EC" w:rsidRDefault="007F5A2D" w:rsidP="00E678EC">
      <w:pPr>
        <w:pStyle w:val="paragraphsub"/>
      </w:pPr>
      <w:r w:rsidRPr="00E678EC">
        <w:tab/>
        <w:t>(ii)</w:t>
      </w:r>
      <w:r w:rsidRPr="00E678EC">
        <w:tab/>
        <w:t>this Act;</w:t>
      </w:r>
    </w:p>
    <w:p w:rsidR="007F5A2D" w:rsidRPr="00E678EC" w:rsidRDefault="007F5A2D" w:rsidP="00E678EC">
      <w:pPr>
        <w:pStyle w:val="paragraph"/>
      </w:pPr>
      <w:r w:rsidRPr="00E678EC">
        <w:tab/>
        <w:t>(e)</w:t>
      </w:r>
      <w:r w:rsidRPr="00E678EC">
        <w:tab/>
        <w:t>the costs incurred, during the levy period, by the ACMA in relation to a procurement process that resulted in, or was intended to result in, the ACMA entering into a Register arrangement;</w:t>
      </w:r>
    </w:p>
    <w:p w:rsidR="007F5A2D" w:rsidRPr="00E678EC" w:rsidRDefault="007F5A2D" w:rsidP="00E678EC">
      <w:pPr>
        <w:pStyle w:val="paragraph"/>
      </w:pPr>
      <w:r w:rsidRPr="00E678EC">
        <w:tab/>
        <w:t>(f)</w:t>
      </w:r>
      <w:r w:rsidRPr="00E678EC">
        <w:tab/>
        <w:t>any other costs incurred, during the levy period, by the ACMA in relation to:</w:t>
      </w:r>
    </w:p>
    <w:p w:rsidR="007F5A2D" w:rsidRPr="00E678EC" w:rsidRDefault="007F5A2D" w:rsidP="00E678EC">
      <w:pPr>
        <w:pStyle w:val="paragraphsub"/>
      </w:pPr>
      <w:r w:rsidRPr="00E678EC">
        <w:tab/>
        <w:t>(i)</w:t>
      </w:r>
      <w:r w:rsidRPr="00E678EC">
        <w:tab/>
        <w:t>the development of the Register; or</w:t>
      </w:r>
    </w:p>
    <w:p w:rsidR="007F5A2D" w:rsidRPr="00E678EC" w:rsidRDefault="007F5A2D" w:rsidP="00E678EC">
      <w:pPr>
        <w:pStyle w:val="paragraphsub"/>
      </w:pPr>
      <w:r w:rsidRPr="00E678EC">
        <w:tab/>
        <w:t>(ii)</w:t>
      </w:r>
      <w:r w:rsidRPr="00E678EC">
        <w:tab/>
        <w:t>the operation of the Register;</w:t>
      </w:r>
    </w:p>
    <w:p w:rsidR="007F5A2D" w:rsidRPr="00E678EC" w:rsidRDefault="007F5A2D" w:rsidP="00E678EC">
      <w:pPr>
        <w:pStyle w:val="paragraph"/>
      </w:pPr>
      <w:r w:rsidRPr="00E678EC">
        <w:tab/>
        <w:t>(g)</w:t>
      </w:r>
      <w:r w:rsidRPr="00E678EC">
        <w:tab/>
        <w:t xml:space="preserve">if the levy period is a designated levy period—the applicable percentage of the ACMA’s upfront Register costs. </w:t>
      </w:r>
      <w:bookmarkStart w:id="23" w:name="BK_S3P5L23C8"/>
      <w:bookmarkEnd w:id="23"/>
    </w:p>
    <w:p w:rsidR="007F5A2D" w:rsidRPr="00E678EC" w:rsidRDefault="007F5A2D" w:rsidP="00E678EC">
      <w:pPr>
        <w:pStyle w:val="ActHead5"/>
      </w:pPr>
      <w:bookmarkStart w:id="24" w:name="_Toc27559110"/>
      <w:r w:rsidRPr="001F778A">
        <w:rPr>
          <w:rStyle w:val="CharSectno"/>
        </w:rPr>
        <w:t>11</w:t>
      </w:r>
      <w:r w:rsidRPr="00E678EC">
        <w:t xml:space="preserve">  Designated levy periods and applicable percentages</w:t>
      </w:r>
      <w:bookmarkEnd w:id="24"/>
    </w:p>
    <w:p w:rsidR="007F5A2D" w:rsidRPr="00E678EC" w:rsidRDefault="007F5A2D" w:rsidP="00E678EC">
      <w:pPr>
        <w:pStyle w:val="subsection"/>
      </w:pPr>
      <w:r w:rsidRPr="00E678EC">
        <w:tab/>
        <w:t>(1)</w:t>
      </w:r>
      <w:r w:rsidRPr="00E678EC">
        <w:tab/>
        <w:t>The ACMA may, by legislative instrument, determine that, for the purposes of this Act:</w:t>
      </w:r>
    </w:p>
    <w:p w:rsidR="007F5A2D" w:rsidRPr="00E678EC" w:rsidRDefault="007F5A2D" w:rsidP="00E678EC">
      <w:pPr>
        <w:pStyle w:val="paragraph"/>
      </w:pPr>
      <w:r w:rsidRPr="00E678EC">
        <w:lastRenderedPageBreak/>
        <w:tab/>
        <w:t>(a)</w:t>
      </w:r>
      <w:r w:rsidRPr="00E678EC">
        <w:tab/>
        <w:t>each of 2 or more consecutive levy periods specified in the determination is a designated levy period; and</w:t>
      </w:r>
    </w:p>
    <w:p w:rsidR="007F5A2D" w:rsidRPr="00E678EC" w:rsidRDefault="007F5A2D" w:rsidP="00E678EC">
      <w:pPr>
        <w:pStyle w:val="paragraph"/>
      </w:pPr>
      <w:r w:rsidRPr="00E678EC">
        <w:tab/>
        <w:t>(b)</w:t>
      </w:r>
      <w:r w:rsidRPr="00E678EC">
        <w:tab/>
        <w:t>the applicable percentage for a particular designated levy period is the percentage specified in the determination.</w:t>
      </w:r>
    </w:p>
    <w:p w:rsidR="007F5A2D" w:rsidRPr="00E678EC" w:rsidRDefault="007F5A2D" w:rsidP="00E678EC">
      <w:pPr>
        <w:pStyle w:val="subsection"/>
      </w:pPr>
      <w:r w:rsidRPr="00E678EC">
        <w:tab/>
        <w:t>(2)</w:t>
      </w:r>
      <w:r w:rsidRPr="00E678EC">
        <w:tab/>
        <w:t>Different percentages may be specified for different designated levy periods.</w:t>
      </w:r>
    </w:p>
    <w:p w:rsidR="007F5A2D" w:rsidRPr="00E678EC" w:rsidRDefault="007F5A2D" w:rsidP="00E678EC">
      <w:pPr>
        <w:pStyle w:val="subsection"/>
      </w:pPr>
      <w:r w:rsidRPr="00E678EC">
        <w:tab/>
        <w:t>(3)</w:t>
      </w:r>
      <w:r w:rsidRPr="00E678EC">
        <w:tab/>
        <w:t>The total of the applicable percentages must not exceed 100%.</w:t>
      </w:r>
    </w:p>
    <w:p w:rsidR="007F5A2D" w:rsidRPr="00E678EC" w:rsidRDefault="007F5A2D" w:rsidP="00E678EC">
      <w:pPr>
        <w:pStyle w:val="subsection"/>
      </w:pPr>
      <w:r w:rsidRPr="00E678EC">
        <w:tab/>
        <w:t>(4)</w:t>
      </w:r>
      <w:r w:rsidRPr="00E678EC">
        <w:tab/>
        <w:t xml:space="preserve">Before making a determination under </w:t>
      </w:r>
      <w:r w:rsidR="00E678EC" w:rsidRPr="00E678EC">
        <w:t>subsection (</w:t>
      </w:r>
      <w:r w:rsidRPr="00E678EC">
        <w:t>1), the ACMA must consult the Minister.</w:t>
      </w:r>
    </w:p>
    <w:p w:rsidR="007F5A2D" w:rsidRPr="00E678EC" w:rsidRDefault="007F5A2D" w:rsidP="00E678EC">
      <w:pPr>
        <w:pStyle w:val="ActHead5"/>
      </w:pPr>
      <w:bookmarkStart w:id="25" w:name="_Toc27559111"/>
      <w:r w:rsidRPr="001F778A">
        <w:rPr>
          <w:rStyle w:val="CharSectno"/>
        </w:rPr>
        <w:t>12</w:t>
      </w:r>
      <w:r w:rsidRPr="00E678EC">
        <w:t xml:space="preserve">  The ACMA’s upfront Register costs</w:t>
      </w:r>
      <w:bookmarkEnd w:id="25"/>
    </w:p>
    <w:p w:rsidR="007F5A2D" w:rsidRPr="00E678EC" w:rsidRDefault="007F5A2D" w:rsidP="00E678EC">
      <w:pPr>
        <w:pStyle w:val="subsection"/>
      </w:pPr>
      <w:r w:rsidRPr="00E678EC">
        <w:tab/>
      </w:r>
      <w:r w:rsidRPr="00E678EC">
        <w:tab/>
        <w:t xml:space="preserve">For the purposes of this Act, </w:t>
      </w:r>
      <w:r w:rsidRPr="00E678EC">
        <w:rPr>
          <w:b/>
          <w:i/>
        </w:rPr>
        <w:t xml:space="preserve">the ACMA’s upfront costs </w:t>
      </w:r>
      <w:r w:rsidRPr="00E678EC">
        <w:t>are the sum of the following:</w:t>
      </w:r>
    </w:p>
    <w:p w:rsidR="007F5A2D" w:rsidRPr="00E678EC" w:rsidRDefault="007F5A2D" w:rsidP="00E678EC">
      <w:pPr>
        <w:pStyle w:val="paragraph"/>
      </w:pPr>
      <w:r w:rsidRPr="00E678EC">
        <w:tab/>
        <w:t>(a)</w:t>
      </w:r>
      <w:r w:rsidRPr="00E678EC">
        <w:tab/>
        <w:t>the amounts paid, during the interim period, by the ACMA (on behalf of the Commonwealth) to the Register operator under a Register arrangement;</w:t>
      </w:r>
    </w:p>
    <w:p w:rsidR="007F5A2D" w:rsidRPr="00E678EC" w:rsidRDefault="007F5A2D" w:rsidP="00E678EC">
      <w:pPr>
        <w:pStyle w:val="paragraph"/>
      </w:pPr>
      <w:r w:rsidRPr="00E678EC">
        <w:tab/>
        <w:t>(b)</w:t>
      </w:r>
      <w:r w:rsidRPr="00E678EC">
        <w:tab/>
        <w:t>the costs incurred, during the interim period, by the ACMA in managing a Register arrangement;</w:t>
      </w:r>
    </w:p>
    <w:p w:rsidR="007F5A2D" w:rsidRPr="00E678EC" w:rsidRDefault="007F5A2D" w:rsidP="00E678EC">
      <w:pPr>
        <w:pStyle w:val="paragraph"/>
      </w:pPr>
      <w:r w:rsidRPr="00E678EC">
        <w:tab/>
        <w:t>(c)</w:t>
      </w:r>
      <w:r w:rsidRPr="00E678EC">
        <w:tab/>
        <w:t>the costs incurred, during the interim period, by the ACMA in relation to the performance of its functions, or the exercise of its powers, under:</w:t>
      </w:r>
    </w:p>
    <w:p w:rsidR="007F5A2D" w:rsidRPr="00E678EC" w:rsidRDefault="007F5A2D" w:rsidP="00E678EC">
      <w:pPr>
        <w:pStyle w:val="paragraphsub"/>
      </w:pPr>
      <w:r w:rsidRPr="00E678EC">
        <w:tab/>
        <w:t>(i)</w:t>
      </w:r>
      <w:r w:rsidRPr="00E678EC">
        <w:tab/>
        <w:t>Part</w:t>
      </w:r>
      <w:r w:rsidR="00E678EC" w:rsidRPr="00E678EC">
        <w:t> </w:t>
      </w:r>
      <w:r w:rsidRPr="00E678EC">
        <w:t xml:space="preserve">7B of the </w:t>
      </w:r>
      <w:r w:rsidRPr="00E678EC">
        <w:rPr>
          <w:i/>
        </w:rPr>
        <w:t>Interactive Gambling Act 2001</w:t>
      </w:r>
      <w:r w:rsidRPr="00E678EC">
        <w:t>; or</w:t>
      </w:r>
    </w:p>
    <w:p w:rsidR="007F5A2D" w:rsidRPr="00E678EC" w:rsidRDefault="007F5A2D" w:rsidP="00E678EC">
      <w:pPr>
        <w:pStyle w:val="paragraphsub"/>
      </w:pPr>
      <w:r w:rsidRPr="00E678EC">
        <w:tab/>
        <w:t>(ii)</w:t>
      </w:r>
      <w:r w:rsidRPr="00E678EC">
        <w:tab/>
        <w:t>this Act;</w:t>
      </w:r>
    </w:p>
    <w:p w:rsidR="007F5A2D" w:rsidRPr="00E678EC" w:rsidRDefault="007F5A2D" w:rsidP="00E678EC">
      <w:pPr>
        <w:pStyle w:val="paragraph"/>
      </w:pPr>
      <w:r w:rsidRPr="00E678EC">
        <w:tab/>
        <w:t>(d)</w:t>
      </w:r>
      <w:r w:rsidRPr="00E678EC">
        <w:tab/>
        <w:t>the costs incurred, during the interim period, by the ACMA in relation to a procurement process that resulted in, or was intended to result in, the ACMA entering into a Register arrangement;</w:t>
      </w:r>
    </w:p>
    <w:p w:rsidR="007F5A2D" w:rsidRPr="00E678EC" w:rsidRDefault="007F5A2D" w:rsidP="00E678EC">
      <w:pPr>
        <w:pStyle w:val="paragraph"/>
      </w:pPr>
      <w:r w:rsidRPr="00E678EC">
        <w:tab/>
        <w:t>(e)</w:t>
      </w:r>
      <w:r w:rsidRPr="00E678EC">
        <w:tab/>
        <w:t>any other costs incurred, during the interim period, by the ACMA in relation to:</w:t>
      </w:r>
    </w:p>
    <w:p w:rsidR="007F5A2D" w:rsidRPr="00E678EC" w:rsidRDefault="007F5A2D" w:rsidP="00E678EC">
      <w:pPr>
        <w:pStyle w:val="paragraphsub"/>
      </w:pPr>
      <w:r w:rsidRPr="00E678EC">
        <w:tab/>
        <w:t>(i)</w:t>
      </w:r>
      <w:r w:rsidRPr="00E678EC">
        <w:tab/>
        <w:t>preparing to establish the Register; or</w:t>
      </w:r>
    </w:p>
    <w:p w:rsidR="007F5A2D" w:rsidRPr="00E678EC" w:rsidRDefault="007F5A2D" w:rsidP="00E678EC">
      <w:pPr>
        <w:pStyle w:val="paragraphsub"/>
      </w:pPr>
      <w:r w:rsidRPr="00E678EC">
        <w:tab/>
        <w:t>(ii)</w:t>
      </w:r>
      <w:r w:rsidRPr="00E678EC">
        <w:tab/>
        <w:t>the establishment of the Register; or</w:t>
      </w:r>
    </w:p>
    <w:p w:rsidR="007F5A2D" w:rsidRPr="00E678EC" w:rsidRDefault="007F5A2D" w:rsidP="00E678EC">
      <w:pPr>
        <w:pStyle w:val="paragraphsub"/>
      </w:pPr>
      <w:r w:rsidRPr="00E678EC">
        <w:tab/>
        <w:t>(iii)</w:t>
      </w:r>
      <w:r w:rsidRPr="00E678EC">
        <w:tab/>
        <w:t>the development of the Register; or</w:t>
      </w:r>
    </w:p>
    <w:p w:rsidR="0004673E" w:rsidRDefault="007F5A2D" w:rsidP="00E678EC">
      <w:pPr>
        <w:pStyle w:val="paragraphsub"/>
      </w:pPr>
      <w:r w:rsidRPr="00E678EC">
        <w:tab/>
        <w:t>(iv)</w:t>
      </w:r>
      <w:r w:rsidRPr="00E678EC">
        <w:tab/>
        <w:t>the operation of the Register.</w:t>
      </w:r>
    </w:p>
    <w:p w:rsidR="00093289" w:rsidRDefault="00093289" w:rsidP="00E678EC">
      <w:pPr>
        <w:pStyle w:val="paragraphsub"/>
        <w:sectPr w:rsidR="00093289" w:rsidSect="0009328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238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B037D4" w:rsidRDefault="00B037D4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B037D4" w:rsidRDefault="00B037D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November 2019</w:t>
      </w:r>
    </w:p>
    <w:p w:rsidR="00B037D4" w:rsidRDefault="00B037D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5 December 2019</w:t>
      </w:r>
      <w:r>
        <w:t>]</w:t>
      </w:r>
    </w:p>
    <w:p w:rsidR="00B037D4" w:rsidRDefault="00B037D4" w:rsidP="00B037D4">
      <w:pPr>
        <w:framePr w:hSpace="180" w:wrap="around" w:vAnchor="text" w:hAnchor="page" w:x="2375" w:y="9149"/>
      </w:pPr>
      <w:r>
        <w:t>(225/19)</w:t>
      </w:r>
    </w:p>
    <w:p w:rsidR="00B037D4" w:rsidRDefault="00B037D4"/>
    <w:sectPr w:rsidR="00B037D4" w:rsidSect="0009328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238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44" w:rsidRDefault="00E85244" w:rsidP="00715914">
      <w:pPr>
        <w:spacing w:line="240" w:lineRule="auto"/>
      </w:pPr>
      <w:r>
        <w:separator/>
      </w:r>
    </w:p>
  </w:endnote>
  <w:endnote w:type="continuationSeparator" w:id="0">
    <w:p w:rsidR="00E85244" w:rsidRDefault="00E8524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Pr="005F1388" w:rsidRDefault="00E85244" w:rsidP="00E678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89" w:rsidRDefault="00093289" w:rsidP="00E678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93289" w:rsidTr="001F778A">
      <w:tc>
        <w:tcPr>
          <w:tcW w:w="1247" w:type="dxa"/>
        </w:tcPr>
        <w:p w:rsidR="00093289" w:rsidRDefault="0009328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No. 128,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93289" w:rsidRDefault="0009328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National Self-exclusion Register (Cost Recovery Levy)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93289" w:rsidRDefault="0009328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93289" w:rsidRPr="007A1328" w:rsidRDefault="00093289" w:rsidP="00715914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89" w:rsidRDefault="00093289" w:rsidP="00E678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93289" w:rsidTr="001F778A">
      <w:tc>
        <w:tcPr>
          <w:tcW w:w="1247" w:type="dxa"/>
        </w:tcPr>
        <w:p w:rsidR="00093289" w:rsidRDefault="00093289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No. 128,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93289" w:rsidRDefault="00093289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National Self-exclusion Register (Cost Recovery Levy)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93289" w:rsidRDefault="00093289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93289" w:rsidRPr="007A1328" w:rsidRDefault="00093289" w:rsidP="00212DD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D4" w:rsidRDefault="00B037D4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037D4" w:rsidRDefault="00B037D4" w:rsidP="00CD12A5"/>
  <w:p w:rsidR="00E85244" w:rsidRDefault="00E85244" w:rsidP="00E678EC">
    <w:pPr>
      <w:pStyle w:val="Footer"/>
      <w:spacing w:before="120"/>
    </w:pPr>
  </w:p>
  <w:p w:rsidR="00E85244" w:rsidRPr="005F1388" w:rsidRDefault="00E8524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Pr="00ED79B6" w:rsidRDefault="00E85244" w:rsidP="00E678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Default="00E85244" w:rsidP="00E678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85244" w:rsidTr="00AC4BB2">
      <w:tc>
        <w:tcPr>
          <w:tcW w:w="646" w:type="dxa"/>
        </w:tcPr>
        <w:p w:rsidR="00E85244" w:rsidRDefault="00E85244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0480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85244" w:rsidRDefault="00E85244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National Self-exclusion Register (Cost Recovery Levy)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E85244" w:rsidRDefault="00E85244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No. 128,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85244" w:rsidRPr="00ED79B6" w:rsidRDefault="00E8524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Pr="00ED79B6" w:rsidRDefault="00E85244" w:rsidP="00E678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85244" w:rsidTr="00340F07">
      <w:tc>
        <w:tcPr>
          <w:tcW w:w="1247" w:type="dxa"/>
        </w:tcPr>
        <w:p w:rsidR="00E85244" w:rsidRDefault="00E85244" w:rsidP="005151C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No. 128,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85244" w:rsidRDefault="00E85244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National Self-exclusion Register (Cost Recovery Levy)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85244" w:rsidRDefault="00E85244" w:rsidP="00E8524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048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85244" w:rsidRPr="00ED79B6" w:rsidRDefault="00E8524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Default="00E85244" w:rsidP="00E678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85244" w:rsidTr="001F778A">
      <w:tc>
        <w:tcPr>
          <w:tcW w:w="646" w:type="dxa"/>
        </w:tcPr>
        <w:p w:rsidR="00E85244" w:rsidRDefault="00E85244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85244" w:rsidRDefault="00E85244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National Self-exclusion Register (Cost Recovery Levy)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E85244" w:rsidRDefault="00E85244" w:rsidP="005151C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No. 128,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85244" w:rsidRPr="007A1328" w:rsidRDefault="00E8524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Default="00E85244" w:rsidP="00E678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85244" w:rsidTr="001F778A">
      <w:tc>
        <w:tcPr>
          <w:tcW w:w="1247" w:type="dxa"/>
        </w:tcPr>
        <w:p w:rsidR="00E85244" w:rsidRDefault="00E85244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No. 128,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85244" w:rsidRDefault="00E85244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National Self-exclusion Register (Cost Recovery Levy)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85244" w:rsidRDefault="00E85244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85244" w:rsidRPr="007A1328" w:rsidRDefault="00E8524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Default="00E85244" w:rsidP="00E678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85244" w:rsidTr="001F778A">
      <w:tc>
        <w:tcPr>
          <w:tcW w:w="1247" w:type="dxa"/>
        </w:tcPr>
        <w:p w:rsidR="00E85244" w:rsidRDefault="00E85244" w:rsidP="005151C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No. 128,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85244" w:rsidRDefault="00E85244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National Self-exclusion Register (Cost Recovery Levy)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85244" w:rsidRDefault="00E85244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85244" w:rsidRPr="007A1328" w:rsidRDefault="00E85244" w:rsidP="00212DDD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89" w:rsidRDefault="00093289" w:rsidP="00E678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93289" w:rsidTr="001F778A">
      <w:tc>
        <w:tcPr>
          <w:tcW w:w="646" w:type="dxa"/>
        </w:tcPr>
        <w:p w:rsidR="00093289" w:rsidRDefault="0009328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93289" w:rsidRDefault="0009328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National Self-exclusion Register (Cost Recovery Levy)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93289" w:rsidRDefault="0009328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E0480">
            <w:rPr>
              <w:i/>
              <w:sz w:val="18"/>
            </w:rPr>
            <w:t>No. 128,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93289" w:rsidRPr="007A1328" w:rsidRDefault="00093289" w:rsidP="006013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44" w:rsidRDefault="00E85244" w:rsidP="00715914">
      <w:pPr>
        <w:spacing w:line="240" w:lineRule="auto"/>
      </w:pPr>
      <w:r>
        <w:separator/>
      </w:r>
    </w:p>
  </w:footnote>
  <w:footnote w:type="continuationSeparator" w:id="0">
    <w:p w:rsidR="00E85244" w:rsidRDefault="00E8524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Pr="005F1388" w:rsidRDefault="00E8524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89" w:rsidRDefault="00093289" w:rsidP="00715914">
    <w:pPr>
      <w:rPr>
        <w:sz w:val="20"/>
      </w:rPr>
    </w:pPr>
  </w:p>
  <w:p w:rsidR="00093289" w:rsidRDefault="00093289" w:rsidP="00715914">
    <w:pPr>
      <w:rPr>
        <w:sz w:val="20"/>
      </w:rPr>
    </w:pPr>
  </w:p>
  <w:p w:rsidR="00093289" w:rsidRPr="007A1328" w:rsidRDefault="00093289" w:rsidP="00715914">
    <w:pPr>
      <w:rPr>
        <w:sz w:val="20"/>
      </w:rPr>
    </w:pPr>
  </w:p>
  <w:p w:rsidR="00093289" w:rsidRPr="007A1328" w:rsidRDefault="00093289" w:rsidP="00715914">
    <w:pPr>
      <w:rPr>
        <w:b/>
        <w:sz w:val="24"/>
      </w:rPr>
    </w:pPr>
  </w:p>
  <w:p w:rsidR="00093289" w:rsidRPr="007A1328" w:rsidRDefault="00093289" w:rsidP="00EB178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89" w:rsidRPr="007A1328" w:rsidRDefault="00093289" w:rsidP="00715914">
    <w:pPr>
      <w:jc w:val="right"/>
      <w:rPr>
        <w:sz w:val="20"/>
      </w:rPr>
    </w:pPr>
  </w:p>
  <w:p w:rsidR="00093289" w:rsidRPr="007A1328" w:rsidRDefault="00093289" w:rsidP="00715914">
    <w:pPr>
      <w:jc w:val="right"/>
      <w:rPr>
        <w:sz w:val="20"/>
      </w:rPr>
    </w:pPr>
  </w:p>
  <w:p w:rsidR="00093289" w:rsidRPr="007A1328" w:rsidRDefault="00093289" w:rsidP="00715914">
    <w:pPr>
      <w:jc w:val="right"/>
      <w:rPr>
        <w:sz w:val="20"/>
      </w:rPr>
    </w:pPr>
  </w:p>
  <w:p w:rsidR="00093289" w:rsidRPr="007A1328" w:rsidRDefault="00093289" w:rsidP="00715914">
    <w:pPr>
      <w:jc w:val="right"/>
      <w:rPr>
        <w:b/>
        <w:sz w:val="24"/>
      </w:rPr>
    </w:pPr>
  </w:p>
  <w:p w:rsidR="00093289" w:rsidRPr="007A1328" w:rsidRDefault="00093289" w:rsidP="00EB178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89" w:rsidRPr="007A1328" w:rsidRDefault="00093289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Pr="005F1388" w:rsidRDefault="00E8524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Pr="005F1388" w:rsidRDefault="00E8524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Pr="00ED79B6" w:rsidRDefault="00E8524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Pr="00ED79B6" w:rsidRDefault="00E8524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Pr="00ED79B6" w:rsidRDefault="00E8524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Default="00E8524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85244" w:rsidRDefault="00E8524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E85244" w:rsidRPr="007A1328" w:rsidRDefault="00E8524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85244" w:rsidRPr="007A1328" w:rsidRDefault="00E85244" w:rsidP="00715914">
    <w:pPr>
      <w:rPr>
        <w:b/>
        <w:sz w:val="24"/>
      </w:rPr>
    </w:pPr>
  </w:p>
  <w:p w:rsidR="00E85244" w:rsidRPr="007A1328" w:rsidRDefault="00E8524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E0480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Pr="007A1328" w:rsidRDefault="00E8524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85244" w:rsidRPr="007A1328" w:rsidRDefault="00E8524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E85244" w:rsidRPr="007A1328" w:rsidRDefault="00E8524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85244" w:rsidRPr="007A1328" w:rsidRDefault="00E85244" w:rsidP="00715914">
    <w:pPr>
      <w:jc w:val="right"/>
      <w:rPr>
        <w:b/>
        <w:sz w:val="24"/>
      </w:rPr>
    </w:pPr>
  </w:p>
  <w:p w:rsidR="00E85244" w:rsidRPr="007A1328" w:rsidRDefault="00E8524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E0480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4" w:rsidRPr="007A1328" w:rsidRDefault="00E8524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6A09BCA-B623-48D9-B448-294DC8F5F34B}"/>
    <w:docVar w:name="dgnword-eventsink" w:val="7331344"/>
  </w:docVars>
  <w:rsids>
    <w:rsidRoot w:val="007A2DF8"/>
    <w:rsid w:val="0000772C"/>
    <w:rsid w:val="000136AF"/>
    <w:rsid w:val="00031635"/>
    <w:rsid w:val="0003344C"/>
    <w:rsid w:val="0003377B"/>
    <w:rsid w:val="0004673E"/>
    <w:rsid w:val="00052671"/>
    <w:rsid w:val="000614BF"/>
    <w:rsid w:val="00076927"/>
    <w:rsid w:val="00083252"/>
    <w:rsid w:val="0008340D"/>
    <w:rsid w:val="00087B72"/>
    <w:rsid w:val="00087D46"/>
    <w:rsid w:val="00090B90"/>
    <w:rsid w:val="00093289"/>
    <w:rsid w:val="000A556A"/>
    <w:rsid w:val="000D05EF"/>
    <w:rsid w:val="000D0EB7"/>
    <w:rsid w:val="000E2261"/>
    <w:rsid w:val="000E3F92"/>
    <w:rsid w:val="000F21C1"/>
    <w:rsid w:val="0010745C"/>
    <w:rsid w:val="00122FE1"/>
    <w:rsid w:val="0013072E"/>
    <w:rsid w:val="001464BD"/>
    <w:rsid w:val="00166C2F"/>
    <w:rsid w:val="001671E9"/>
    <w:rsid w:val="001810D1"/>
    <w:rsid w:val="001925C3"/>
    <w:rsid w:val="00193204"/>
    <w:rsid w:val="001939E1"/>
    <w:rsid w:val="00195382"/>
    <w:rsid w:val="0019696E"/>
    <w:rsid w:val="001A45D5"/>
    <w:rsid w:val="001A61FE"/>
    <w:rsid w:val="001B41F2"/>
    <w:rsid w:val="001B782B"/>
    <w:rsid w:val="001C69C4"/>
    <w:rsid w:val="001D11E9"/>
    <w:rsid w:val="001D37EF"/>
    <w:rsid w:val="001E3590"/>
    <w:rsid w:val="001E7407"/>
    <w:rsid w:val="001E7F6E"/>
    <w:rsid w:val="001F5D5E"/>
    <w:rsid w:val="001F6219"/>
    <w:rsid w:val="001F778A"/>
    <w:rsid w:val="002065DA"/>
    <w:rsid w:val="00212DDD"/>
    <w:rsid w:val="0024010F"/>
    <w:rsid w:val="00240749"/>
    <w:rsid w:val="00246153"/>
    <w:rsid w:val="002503DE"/>
    <w:rsid w:val="002564A4"/>
    <w:rsid w:val="00277EAE"/>
    <w:rsid w:val="00297ECB"/>
    <w:rsid w:val="002A0A59"/>
    <w:rsid w:val="002A1BDC"/>
    <w:rsid w:val="002D043A"/>
    <w:rsid w:val="002D1446"/>
    <w:rsid w:val="002D3D39"/>
    <w:rsid w:val="002D6224"/>
    <w:rsid w:val="002F00EC"/>
    <w:rsid w:val="002F557E"/>
    <w:rsid w:val="003048CE"/>
    <w:rsid w:val="00312765"/>
    <w:rsid w:val="00316FA5"/>
    <w:rsid w:val="003213F0"/>
    <w:rsid w:val="00322D3B"/>
    <w:rsid w:val="00324BDF"/>
    <w:rsid w:val="0032591D"/>
    <w:rsid w:val="003304A9"/>
    <w:rsid w:val="00336D39"/>
    <w:rsid w:val="00340F07"/>
    <w:rsid w:val="003415D3"/>
    <w:rsid w:val="0034382B"/>
    <w:rsid w:val="00350D03"/>
    <w:rsid w:val="00352B0F"/>
    <w:rsid w:val="00355469"/>
    <w:rsid w:val="00356B3D"/>
    <w:rsid w:val="00360459"/>
    <w:rsid w:val="00364EFF"/>
    <w:rsid w:val="00367E81"/>
    <w:rsid w:val="00374B0A"/>
    <w:rsid w:val="00377AD6"/>
    <w:rsid w:val="003D0BFE"/>
    <w:rsid w:val="003D11B9"/>
    <w:rsid w:val="003D40F3"/>
    <w:rsid w:val="003D5700"/>
    <w:rsid w:val="003E3791"/>
    <w:rsid w:val="00402CB4"/>
    <w:rsid w:val="00410A84"/>
    <w:rsid w:val="004116CD"/>
    <w:rsid w:val="00412654"/>
    <w:rsid w:val="00417EB9"/>
    <w:rsid w:val="00424CA9"/>
    <w:rsid w:val="0042582F"/>
    <w:rsid w:val="004302E5"/>
    <w:rsid w:val="00431A1F"/>
    <w:rsid w:val="0044291A"/>
    <w:rsid w:val="004511D0"/>
    <w:rsid w:val="00451DC9"/>
    <w:rsid w:val="00463EC0"/>
    <w:rsid w:val="00477FB9"/>
    <w:rsid w:val="00481861"/>
    <w:rsid w:val="004836E7"/>
    <w:rsid w:val="0048585C"/>
    <w:rsid w:val="00486DD6"/>
    <w:rsid w:val="00496F97"/>
    <w:rsid w:val="004B38C1"/>
    <w:rsid w:val="004C04B1"/>
    <w:rsid w:val="004D7738"/>
    <w:rsid w:val="004E7BEC"/>
    <w:rsid w:val="00502192"/>
    <w:rsid w:val="005151C4"/>
    <w:rsid w:val="00516B8D"/>
    <w:rsid w:val="0052690B"/>
    <w:rsid w:val="00537A1D"/>
    <w:rsid w:val="00537FBC"/>
    <w:rsid w:val="005416BE"/>
    <w:rsid w:val="00544776"/>
    <w:rsid w:val="00546DFC"/>
    <w:rsid w:val="00550B17"/>
    <w:rsid w:val="00576DE1"/>
    <w:rsid w:val="00577C51"/>
    <w:rsid w:val="00580B11"/>
    <w:rsid w:val="00584811"/>
    <w:rsid w:val="0059162C"/>
    <w:rsid w:val="00591FDF"/>
    <w:rsid w:val="00593AA6"/>
    <w:rsid w:val="00594161"/>
    <w:rsid w:val="00594749"/>
    <w:rsid w:val="0059583A"/>
    <w:rsid w:val="005A0E72"/>
    <w:rsid w:val="005A202A"/>
    <w:rsid w:val="005A6928"/>
    <w:rsid w:val="005B19EB"/>
    <w:rsid w:val="005B4067"/>
    <w:rsid w:val="005C3F41"/>
    <w:rsid w:val="005D3471"/>
    <w:rsid w:val="005D4663"/>
    <w:rsid w:val="005D7042"/>
    <w:rsid w:val="005D74DB"/>
    <w:rsid w:val="005F0A35"/>
    <w:rsid w:val="00600219"/>
    <w:rsid w:val="00601309"/>
    <w:rsid w:val="00602388"/>
    <w:rsid w:val="00624A69"/>
    <w:rsid w:val="00627313"/>
    <w:rsid w:val="00643E05"/>
    <w:rsid w:val="00677CC2"/>
    <w:rsid w:val="006905DE"/>
    <w:rsid w:val="006908EC"/>
    <w:rsid w:val="0069207B"/>
    <w:rsid w:val="0069210F"/>
    <w:rsid w:val="006A4760"/>
    <w:rsid w:val="006B4B11"/>
    <w:rsid w:val="006B6E88"/>
    <w:rsid w:val="006C070C"/>
    <w:rsid w:val="006C2748"/>
    <w:rsid w:val="006C7F8C"/>
    <w:rsid w:val="006E1A44"/>
    <w:rsid w:val="006F318F"/>
    <w:rsid w:val="006F6D10"/>
    <w:rsid w:val="00700B2C"/>
    <w:rsid w:val="00713084"/>
    <w:rsid w:val="00715914"/>
    <w:rsid w:val="00716C5D"/>
    <w:rsid w:val="007216F5"/>
    <w:rsid w:val="00731E00"/>
    <w:rsid w:val="00734191"/>
    <w:rsid w:val="007440B7"/>
    <w:rsid w:val="00746C1A"/>
    <w:rsid w:val="007470A8"/>
    <w:rsid w:val="00761E37"/>
    <w:rsid w:val="007715C9"/>
    <w:rsid w:val="00774EDD"/>
    <w:rsid w:val="007757EC"/>
    <w:rsid w:val="00787A65"/>
    <w:rsid w:val="007901AF"/>
    <w:rsid w:val="007924FC"/>
    <w:rsid w:val="007A2DF8"/>
    <w:rsid w:val="007B75F4"/>
    <w:rsid w:val="007C2098"/>
    <w:rsid w:val="007C7767"/>
    <w:rsid w:val="007F3782"/>
    <w:rsid w:val="007F5A2D"/>
    <w:rsid w:val="008123A5"/>
    <w:rsid w:val="0081281F"/>
    <w:rsid w:val="008422C3"/>
    <w:rsid w:val="0084395C"/>
    <w:rsid w:val="0085473A"/>
    <w:rsid w:val="00854D5E"/>
    <w:rsid w:val="00856A31"/>
    <w:rsid w:val="008754D0"/>
    <w:rsid w:val="00881B8F"/>
    <w:rsid w:val="0088515B"/>
    <w:rsid w:val="00887754"/>
    <w:rsid w:val="0089107B"/>
    <w:rsid w:val="00892954"/>
    <w:rsid w:val="00892DD3"/>
    <w:rsid w:val="008A0CD3"/>
    <w:rsid w:val="008A27FC"/>
    <w:rsid w:val="008A2F83"/>
    <w:rsid w:val="008C2F96"/>
    <w:rsid w:val="008D0EE0"/>
    <w:rsid w:val="008D165D"/>
    <w:rsid w:val="008D2DF7"/>
    <w:rsid w:val="008E0480"/>
    <w:rsid w:val="008E5F7C"/>
    <w:rsid w:val="008F20B1"/>
    <w:rsid w:val="008F54E7"/>
    <w:rsid w:val="00903422"/>
    <w:rsid w:val="00904A28"/>
    <w:rsid w:val="00913EEB"/>
    <w:rsid w:val="009213B7"/>
    <w:rsid w:val="00922C13"/>
    <w:rsid w:val="009265BF"/>
    <w:rsid w:val="00932377"/>
    <w:rsid w:val="00934F6B"/>
    <w:rsid w:val="00940885"/>
    <w:rsid w:val="00940A87"/>
    <w:rsid w:val="00947D5A"/>
    <w:rsid w:val="009532A5"/>
    <w:rsid w:val="009851AC"/>
    <w:rsid w:val="009868E9"/>
    <w:rsid w:val="00990ED3"/>
    <w:rsid w:val="0099615D"/>
    <w:rsid w:val="009C6470"/>
    <w:rsid w:val="009D006B"/>
    <w:rsid w:val="009F374D"/>
    <w:rsid w:val="009F4B8E"/>
    <w:rsid w:val="009F5DAD"/>
    <w:rsid w:val="00A03DF4"/>
    <w:rsid w:val="00A15C98"/>
    <w:rsid w:val="00A22C98"/>
    <w:rsid w:val="00A231E2"/>
    <w:rsid w:val="00A2585E"/>
    <w:rsid w:val="00A3430C"/>
    <w:rsid w:val="00A55D92"/>
    <w:rsid w:val="00A64912"/>
    <w:rsid w:val="00A70A74"/>
    <w:rsid w:val="00A80EA9"/>
    <w:rsid w:val="00A81C46"/>
    <w:rsid w:val="00A930F1"/>
    <w:rsid w:val="00AB6463"/>
    <w:rsid w:val="00AC4BB2"/>
    <w:rsid w:val="00AC719E"/>
    <w:rsid w:val="00AC78EE"/>
    <w:rsid w:val="00AD5641"/>
    <w:rsid w:val="00AE2A0D"/>
    <w:rsid w:val="00AE588E"/>
    <w:rsid w:val="00AE5CA2"/>
    <w:rsid w:val="00AF06CF"/>
    <w:rsid w:val="00AF78A6"/>
    <w:rsid w:val="00B037D4"/>
    <w:rsid w:val="00B04C20"/>
    <w:rsid w:val="00B04F72"/>
    <w:rsid w:val="00B061BA"/>
    <w:rsid w:val="00B064A8"/>
    <w:rsid w:val="00B11309"/>
    <w:rsid w:val="00B15977"/>
    <w:rsid w:val="00B20224"/>
    <w:rsid w:val="00B309A6"/>
    <w:rsid w:val="00B33B3C"/>
    <w:rsid w:val="00B34D23"/>
    <w:rsid w:val="00B63834"/>
    <w:rsid w:val="00B646E3"/>
    <w:rsid w:val="00B80199"/>
    <w:rsid w:val="00B82C26"/>
    <w:rsid w:val="00B86188"/>
    <w:rsid w:val="00B93F3D"/>
    <w:rsid w:val="00B9706F"/>
    <w:rsid w:val="00B97697"/>
    <w:rsid w:val="00BA220B"/>
    <w:rsid w:val="00BA58A9"/>
    <w:rsid w:val="00BD1590"/>
    <w:rsid w:val="00BD2872"/>
    <w:rsid w:val="00BD7F8E"/>
    <w:rsid w:val="00BE719A"/>
    <w:rsid w:val="00BE720A"/>
    <w:rsid w:val="00BF3967"/>
    <w:rsid w:val="00BF6BCB"/>
    <w:rsid w:val="00C122FF"/>
    <w:rsid w:val="00C154C5"/>
    <w:rsid w:val="00C25299"/>
    <w:rsid w:val="00C304E0"/>
    <w:rsid w:val="00C335B4"/>
    <w:rsid w:val="00C353FF"/>
    <w:rsid w:val="00C41D61"/>
    <w:rsid w:val="00C42BF8"/>
    <w:rsid w:val="00C50043"/>
    <w:rsid w:val="00C5509A"/>
    <w:rsid w:val="00C74FD3"/>
    <w:rsid w:val="00C7573B"/>
    <w:rsid w:val="00C84717"/>
    <w:rsid w:val="00C9254C"/>
    <w:rsid w:val="00C9422A"/>
    <w:rsid w:val="00CE7F36"/>
    <w:rsid w:val="00CF0BB2"/>
    <w:rsid w:val="00CF3EE8"/>
    <w:rsid w:val="00D074A4"/>
    <w:rsid w:val="00D12A36"/>
    <w:rsid w:val="00D13141"/>
    <w:rsid w:val="00D13441"/>
    <w:rsid w:val="00D256F3"/>
    <w:rsid w:val="00D473B5"/>
    <w:rsid w:val="00D518C1"/>
    <w:rsid w:val="00D70DFB"/>
    <w:rsid w:val="00D74249"/>
    <w:rsid w:val="00D766DF"/>
    <w:rsid w:val="00D81264"/>
    <w:rsid w:val="00D827C8"/>
    <w:rsid w:val="00D8280A"/>
    <w:rsid w:val="00D943D3"/>
    <w:rsid w:val="00DA6185"/>
    <w:rsid w:val="00DC3FB4"/>
    <w:rsid w:val="00DC4F88"/>
    <w:rsid w:val="00DD2D13"/>
    <w:rsid w:val="00DD3CB7"/>
    <w:rsid w:val="00DD51EA"/>
    <w:rsid w:val="00DE3747"/>
    <w:rsid w:val="00DE3EAF"/>
    <w:rsid w:val="00DE6C6B"/>
    <w:rsid w:val="00DF012C"/>
    <w:rsid w:val="00DF2145"/>
    <w:rsid w:val="00E042CB"/>
    <w:rsid w:val="00E05704"/>
    <w:rsid w:val="00E118B9"/>
    <w:rsid w:val="00E13D9F"/>
    <w:rsid w:val="00E159D1"/>
    <w:rsid w:val="00E17108"/>
    <w:rsid w:val="00E30FCA"/>
    <w:rsid w:val="00E338EF"/>
    <w:rsid w:val="00E34FB2"/>
    <w:rsid w:val="00E47E92"/>
    <w:rsid w:val="00E501B3"/>
    <w:rsid w:val="00E50CBB"/>
    <w:rsid w:val="00E522E8"/>
    <w:rsid w:val="00E551E1"/>
    <w:rsid w:val="00E678EC"/>
    <w:rsid w:val="00E74DC7"/>
    <w:rsid w:val="00E75AEA"/>
    <w:rsid w:val="00E8087A"/>
    <w:rsid w:val="00E80FBB"/>
    <w:rsid w:val="00E83C6B"/>
    <w:rsid w:val="00E85244"/>
    <w:rsid w:val="00E87BDF"/>
    <w:rsid w:val="00E94D5E"/>
    <w:rsid w:val="00EA7100"/>
    <w:rsid w:val="00EB1780"/>
    <w:rsid w:val="00EB5DE6"/>
    <w:rsid w:val="00EB7AC1"/>
    <w:rsid w:val="00EC21D6"/>
    <w:rsid w:val="00EC3721"/>
    <w:rsid w:val="00EC4ECE"/>
    <w:rsid w:val="00EC67C4"/>
    <w:rsid w:val="00EF2E3A"/>
    <w:rsid w:val="00F0228A"/>
    <w:rsid w:val="00F04C69"/>
    <w:rsid w:val="00F05EA8"/>
    <w:rsid w:val="00F072A7"/>
    <w:rsid w:val="00F078DC"/>
    <w:rsid w:val="00F12083"/>
    <w:rsid w:val="00F318EC"/>
    <w:rsid w:val="00F3299C"/>
    <w:rsid w:val="00F33A62"/>
    <w:rsid w:val="00F45A5F"/>
    <w:rsid w:val="00F52330"/>
    <w:rsid w:val="00F63866"/>
    <w:rsid w:val="00F63E16"/>
    <w:rsid w:val="00F71650"/>
    <w:rsid w:val="00F73BD6"/>
    <w:rsid w:val="00F83989"/>
    <w:rsid w:val="00F900A0"/>
    <w:rsid w:val="00F91403"/>
    <w:rsid w:val="00F95A47"/>
    <w:rsid w:val="00FA3C61"/>
    <w:rsid w:val="00FB40BA"/>
    <w:rsid w:val="00FC6E0E"/>
    <w:rsid w:val="00FD53C3"/>
    <w:rsid w:val="00FE62D2"/>
    <w:rsid w:val="00FE6714"/>
    <w:rsid w:val="00FF00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78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2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2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2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2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2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2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2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2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2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78EC"/>
  </w:style>
  <w:style w:type="paragraph" w:customStyle="1" w:styleId="OPCParaBase">
    <w:name w:val="OPCParaBase"/>
    <w:link w:val="OPCParaBaseChar"/>
    <w:qFormat/>
    <w:rsid w:val="00E678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678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78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78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78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78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678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78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78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78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78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678EC"/>
  </w:style>
  <w:style w:type="paragraph" w:customStyle="1" w:styleId="Blocks">
    <w:name w:val="Blocks"/>
    <w:aliases w:val="bb"/>
    <w:basedOn w:val="OPCParaBase"/>
    <w:qFormat/>
    <w:rsid w:val="00E678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78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78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78EC"/>
    <w:rPr>
      <w:i/>
    </w:rPr>
  </w:style>
  <w:style w:type="paragraph" w:customStyle="1" w:styleId="BoxList">
    <w:name w:val="BoxList"/>
    <w:aliases w:val="bl"/>
    <w:basedOn w:val="BoxText"/>
    <w:qFormat/>
    <w:rsid w:val="00E678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78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78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78EC"/>
    <w:pPr>
      <w:ind w:left="1985" w:hanging="851"/>
    </w:pPr>
  </w:style>
  <w:style w:type="character" w:customStyle="1" w:styleId="CharAmPartNo">
    <w:name w:val="CharAmPartNo"/>
    <w:basedOn w:val="OPCCharBase"/>
    <w:qFormat/>
    <w:rsid w:val="00E678EC"/>
  </w:style>
  <w:style w:type="character" w:customStyle="1" w:styleId="CharAmPartText">
    <w:name w:val="CharAmPartText"/>
    <w:basedOn w:val="OPCCharBase"/>
    <w:qFormat/>
    <w:rsid w:val="00E678EC"/>
  </w:style>
  <w:style w:type="character" w:customStyle="1" w:styleId="CharAmSchNo">
    <w:name w:val="CharAmSchNo"/>
    <w:basedOn w:val="OPCCharBase"/>
    <w:qFormat/>
    <w:rsid w:val="00E678EC"/>
  </w:style>
  <w:style w:type="character" w:customStyle="1" w:styleId="CharAmSchText">
    <w:name w:val="CharAmSchText"/>
    <w:basedOn w:val="OPCCharBase"/>
    <w:qFormat/>
    <w:rsid w:val="00E678EC"/>
  </w:style>
  <w:style w:type="character" w:customStyle="1" w:styleId="CharBoldItalic">
    <w:name w:val="CharBoldItalic"/>
    <w:basedOn w:val="OPCCharBase"/>
    <w:uiPriority w:val="1"/>
    <w:qFormat/>
    <w:rsid w:val="00E678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78EC"/>
  </w:style>
  <w:style w:type="character" w:customStyle="1" w:styleId="CharChapText">
    <w:name w:val="CharChapText"/>
    <w:basedOn w:val="OPCCharBase"/>
    <w:uiPriority w:val="1"/>
    <w:qFormat/>
    <w:rsid w:val="00E678EC"/>
  </w:style>
  <w:style w:type="character" w:customStyle="1" w:styleId="CharDivNo">
    <w:name w:val="CharDivNo"/>
    <w:basedOn w:val="OPCCharBase"/>
    <w:uiPriority w:val="1"/>
    <w:qFormat/>
    <w:rsid w:val="00E678EC"/>
  </w:style>
  <w:style w:type="character" w:customStyle="1" w:styleId="CharDivText">
    <w:name w:val="CharDivText"/>
    <w:basedOn w:val="OPCCharBase"/>
    <w:uiPriority w:val="1"/>
    <w:qFormat/>
    <w:rsid w:val="00E678EC"/>
  </w:style>
  <w:style w:type="character" w:customStyle="1" w:styleId="CharItalic">
    <w:name w:val="CharItalic"/>
    <w:basedOn w:val="OPCCharBase"/>
    <w:uiPriority w:val="1"/>
    <w:qFormat/>
    <w:rsid w:val="00E678EC"/>
    <w:rPr>
      <w:i/>
    </w:rPr>
  </w:style>
  <w:style w:type="character" w:customStyle="1" w:styleId="CharPartNo">
    <w:name w:val="CharPartNo"/>
    <w:basedOn w:val="OPCCharBase"/>
    <w:uiPriority w:val="1"/>
    <w:qFormat/>
    <w:rsid w:val="00E678EC"/>
  </w:style>
  <w:style w:type="character" w:customStyle="1" w:styleId="CharPartText">
    <w:name w:val="CharPartText"/>
    <w:basedOn w:val="OPCCharBase"/>
    <w:uiPriority w:val="1"/>
    <w:qFormat/>
    <w:rsid w:val="00E678EC"/>
  </w:style>
  <w:style w:type="character" w:customStyle="1" w:styleId="CharSectno">
    <w:name w:val="CharSectno"/>
    <w:basedOn w:val="OPCCharBase"/>
    <w:qFormat/>
    <w:rsid w:val="00E678EC"/>
  </w:style>
  <w:style w:type="character" w:customStyle="1" w:styleId="CharSubdNo">
    <w:name w:val="CharSubdNo"/>
    <w:basedOn w:val="OPCCharBase"/>
    <w:uiPriority w:val="1"/>
    <w:qFormat/>
    <w:rsid w:val="00E678EC"/>
  </w:style>
  <w:style w:type="character" w:customStyle="1" w:styleId="CharSubdText">
    <w:name w:val="CharSubdText"/>
    <w:basedOn w:val="OPCCharBase"/>
    <w:uiPriority w:val="1"/>
    <w:qFormat/>
    <w:rsid w:val="00E678EC"/>
  </w:style>
  <w:style w:type="paragraph" w:customStyle="1" w:styleId="CTA--">
    <w:name w:val="CTA --"/>
    <w:basedOn w:val="OPCParaBase"/>
    <w:next w:val="Normal"/>
    <w:rsid w:val="00E678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78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78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78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78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78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78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78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78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78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78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78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78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78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678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E678E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E678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78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78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78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78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78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78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78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78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78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78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78E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78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78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78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678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78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78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78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78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78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78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78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78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78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78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78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78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78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78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78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78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78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78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78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678E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678E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678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78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78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78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78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78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78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78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678EC"/>
    <w:rPr>
      <w:sz w:val="16"/>
    </w:rPr>
  </w:style>
  <w:style w:type="table" w:customStyle="1" w:styleId="CFlag">
    <w:name w:val="CFlag"/>
    <w:basedOn w:val="TableNormal"/>
    <w:uiPriority w:val="99"/>
    <w:rsid w:val="00E678EC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E678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78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E678E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678E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678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78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678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78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78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78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678E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678E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678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78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678E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678E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678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E678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78EC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E678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78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E678EC"/>
  </w:style>
  <w:style w:type="character" w:customStyle="1" w:styleId="CharSubPartTextCASA">
    <w:name w:val="CharSubPartText(CASA)"/>
    <w:basedOn w:val="OPCCharBase"/>
    <w:uiPriority w:val="1"/>
    <w:rsid w:val="00E678EC"/>
  </w:style>
  <w:style w:type="paragraph" w:customStyle="1" w:styleId="SubPartCASA">
    <w:name w:val="SubPart(CASA)"/>
    <w:aliases w:val="csp"/>
    <w:basedOn w:val="OPCParaBase"/>
    <w:next w:val="ActHead3"/>
    <w:rsid w:val="00E678E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E678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78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78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78E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6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678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6C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78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78EC"/>
    <w:rPr>
      <w:sz w:val="22"/>
    </w:rPr>
  </w:style>
  <w:style w:type="paragraph" w:customStyle="1" w:styleId="SOTextNote">
    <w:name w:val="SO TextNote"/>
    <w:aliases w:val="sont"/>
    <w:basedOn w:val="SOText"/>
    <w:qFormat/>
    <w:rsid w:val="00E678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78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78EC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78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78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78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78EC"/>
    <w:rPr>
      <w:sz w:val="18"/>
    </w:rPr>
  </w:style>
  <w:style w:type="paragraph" w:customStyle="1" w:styleId="FileName">
    <w:name w:val="FileName"/>
    <w:basedOn w:val="Normal"/>
    <w:rsid w:val="00E678E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78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78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78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78EC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E678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78EC"/>
    <w:rPr>
      <w:sz w:val="22"/>
    </w:rPr>
  </w:style>
  <w:style w:type="paragraph" w:customStyle="1" w:styleId="ETAsubitem">
    <w:name w:val="ETA(subitem)"/>
    <w:basedOn w:val="OPCParaBase"/>
    <w:rsid w:val="00E678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78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78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78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E678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78EC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E678EC"/>
  </w:style>
  <w:style w:type="paragraph" w:styleId="BalloonText">
    <w:name w:val="Balloon Text"/>
    <w:basedOn w:val="Normal"/>
    <w:link w:val="BalloonTextChar"/>
    <w:uiPriority w:val="99"/>
    <w:semiHidden/>
    <w:unhideWhenUsed/>
    <w:rsid w:val="00F33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2"/>
    <w:rPr>
      <w:rFonts w:ascii="Tahoma" w:hAnsi="Tahoma" w:cs="Tahoma"/>
      <w:sz w:val="16"/>
      <w:szCs w:val="16"/>
    </w:rPr>
  </w:style>
  <w:style w:type="character" w:customStyle="1" w:styleId="DefinitionChar">
    <w:name w:val="Definition Char"/>
    <w:aliases w:val="dd Char"/>
    <w:link w:val="Definition"/>
    <w:rsid w:val="004302E5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5A2D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7F5A2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7F5A2D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90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1A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2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2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2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2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2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2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9328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9328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9328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9328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9328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9328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9328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93289"/>
  </w:style>
  <w:style w:type="character" w:customStyle="1" w:styleId="ShortTCPChar">
    <w:name w:val="ShortTCP Char"/>
    <w:basedOn w:val="ShortTChar"/>
    <w:link w:val="ShortTCP"/>
    <w:rsid w:val="0009328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93289"/>
    <w:pPr>
      <w:spacing w:before="400"/>
    </w:pPr>
  </w:style>
  <w:style w:type="character" w:customStyle="1" w:styleId="ActNoCPChar">
    <w:name w:val="ActNoCP Char"/>
    <w:basedOn w:val="ActnoChar"/>
    <w:link w:val="ActNoCP"/>
    <w:rsid w:val="0009328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9328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037D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037D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037D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78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2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2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2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2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2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2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2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2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2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78EC"/>
  </w:style>
  <w:style w:type="paragraph" w:customStyle="1" w:styleId="OPCParaBase">
    <w:name w:val="OPCParaBase"/>
    <w:link w:val="OPCParaBaseChar"/>
    <w:qFormat/>
    <w:rsid w:val="00E678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678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78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78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78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78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678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78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78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78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78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678EC"/>
  </w:style>
  <w:style w:type="paragraph" w:customStyle="1" w:styleId="Blocks">
    <w:name w:val="Blocks"/>
    <w:aliases w:val="bb"/>
    <w:basedOn w:val="OPCParaBase"/>
    <w:qFormat/>
    <w:rsid w:val="00E678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78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78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78EC"/>
    <w:rPr>
      <w:i/>
    </w:rPr>
  </w:style>
  <w:style w:type="paragraph" w:customStyle="1" w:styleId="BoxList">
    <w:name w:val="BoxList"/>
    <w:aliases w:val="bl"/>
    <w:basedOn w:val="BoxText"/>
    <w:qFormat/>
    <w:rsid w:val="00E678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78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78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78EC"/>
    <w:pPr>
      <w:ind w:left="1985" w:hanging="851"/>
    </w:pPr>
  </w:style>
  <w:style w:type="character" w:customStyle="1" w:styleId="CharAmPartNo">
    <w:name w:val="CharAmPartNo"/>
    <w:basedOn w:val="OPCCharBase"/>
    <w:qFormat/>
    <w:rsid w:val="00E678EC"/>
  </w:style>
  <w:style w:type="character" w:customStyle="1" w:styleId="CharAmPartText">
    <w:name w:val="CharAmPartText"/>
    <w:basedOn w:val="OPCCharBase"/>
    <w:qFormat/>
    <w:rsid w:val="00E678EC"/>
  </w:style>
  <w:style w:type="character" w:customStyle="1" w:styleId="CharAmSchNo">
    <w:name w:val="CharAmSchNo"/>
    <w:basedOn w:val="OPCCharBase"/>
    <w:qFormat/>
    <w:rsid w:val="00E678EC"/>
  </w:style>
  <w:style w:type="character" w:customStyle="1" w:styleId="CharAmSchText">
    <w:name w:val="CharAmSchText"/>
    <w:basedOn w:val="OPCCharBase"/>
    <w:qFormat/>
    <w:rsid w:val="00E678EC"/>
  </w:style>
  <w:style w:type="character" w:customStyle="1" w:styleId="CharBoldItalic">
    <w:name w:val="CharBoldItalic"/>
    <w:basedOn w:val="OPCCharBase"/>
    <w:uiPriority w:val="1"/>
    <w:qFormat/>
    <w:rsid w:val="00E678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78EC"/>
  </w:style>
  <w:style w:type="character" w:customStyle="1" w:styleId="CharChapText">
    <w:name w:val="CharChapText"/>
    <w:basedOn w:val="OPCCharBase"/>
    <w:uiPriority w:val="1"/>
    <w:qFormat/>
    <w:rsid w:val="00E678EC"/>
  </w:style>
  <w:style w:type="character" w:customStyle="1" w:styleId="CharDivNo">
    <w:name w:val="CharDivNo"/>
    <w:basedOn w:val="OPCCharBase"/>
    <w:uiPriority w:val="1"/>
    <w:qFormat/>
    <w:rsid w:val="00E678EC"/>
  </w:style>
  <w:style w:type="character" w:customStyle="1" w:styleId="CharDivText">
    <w:name w:val="CharDivText"/>
    <w:basedOn w:val="OPCCharBase"/>
    <w:uiPriority w:val="1"/>
    <w:qFormat/>
    <w:rsid w:val="00E678EC"/>
  </w:style>
  <w:style w:type="character" w:customStyle="1" w:styleId="CharItalic">
    <w:name w:val="CharItalic"/>
    <w:basedOn w:val="OPCCharBase"/>
    <w:uiPriority w:val="1"/>
    <w:qFormat/>
    <w:rsid w:val="00E678EC"/>
    <w:rPr>
      <w:i/>
    </w:rPr>
  </w:style>
  <w:style w:type="character" w:customStyle="1" w:styleId="CharPartNo">
    <w:name w:val="CharPartNo"/>
    <w:basedOn w:val="OPCCharBase"/>
    <w:uiPriority w:val="1"/>
    <w:qFormat/>
    <w:rsid w:val="00E678EC"/>
  </w:style>
  <w:style w:type="character" w:customStyle="1" w:styleId="CharPartText">
    <w:name w:val="CharPartText"/>
    <w:basedOn w:val="OPCCharBase"/>
    <w:uiPriority w:val="1"/>
    <w:qFormat/>
    <w:rsid w:val="00E678EC"/>
  </w:style>
  <w:style w:type="character" w:customStyle="1" w:styleId="CharSectno">
    <w:name w:val="CharSectno"/>
    <w:basedOn w:val="OPCCharBase"/>
    <w:qFormat/>
    <w:rsid w:val="00E678EC"/>
  </w:style>
  <w:style w:type="character" w:customStyle="1" w:styleId="CharSubdNo">
    <w:name w:val="CharSubdNo"/>
    <w:basedOn w:val="OPCCharBase"/>
    <w:uiPriority w:val="1"/>
    <w:qFormat/>
    <w:rsid w:val="00E678EC"/>
  </w:style>
  <w:style w:type="character" w:customStyle="1" w:styleId="CharSubdText">
    <w:name w:val="CharSubdText"/>
    <w:basedOn w:val="OPCCharBase"/>
    <w:uiPriority w:val="1"/>
    <w:qFormat/>
    <w:rsid w:val="00E678EC"/>
  </w:style>
  <w:style w:type="paragraph" w:customStyle="1" w:styleId="CTA--">
    <w:name w:val="CTA --"/>
    <w:basedOn w:val="OPCParaBase"/>
    <w:next w:val="Normal"/>
    <w:rsid w:val="00E678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78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78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78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78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78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78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78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78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78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78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78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78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78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678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E678E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E678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78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78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78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78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78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78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78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78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78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78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78E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78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78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78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678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78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78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78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78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78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78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78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78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78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78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78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78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78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78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78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78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78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78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78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678E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678E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678E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678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78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78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78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78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78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78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78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678EC"/>
    <w:rPr>
      <w:sz w:val="16"/>
    </w:rPr>
  </w:style>
  <w:style w:type="table" w:customStyle="1" w:styleId="CFlag">
    <w:name w:val="CFlag"/>
    <w:basedOn w:val="TableNormal"/>
    <w:uiPriority w:val="99"/>
    <w:rsid w:val="00E678EC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E678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78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E678E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678E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678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78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678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78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78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78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678E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678E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678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78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678E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678E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678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E678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78EC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E678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78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E678EC"/>
  </w:style>
  <w:style w:type="character" w:customStyle="1" w:styleId="CharSubPartTextCASA">
    <w:name w:val="CharSubPartText(CASA)"/>
    <w:basedOn w:val="OPCCharBase"/>
    <w:uiPriority w:val="1"/>
    <w:rsid w:val="00E678EC"/>
  </w:style>
  <w:style w:type="paragraph" w:customStyle="1" w:styleId="SubPartCASA">
    <w:name w:val="SubPart(CASA)"/>
    <w:aliases w:val="csp"/>
    <w:basedOn w:val="OPCParaBase"/>
    <w:next w:val="ActHead3"/>
    <w:rsid w:val="00E678E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E678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78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78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78E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6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678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6C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78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78EC"/>
    <w:rPr>
      <w:sz w:val="22"/>
    </w:rPr>
  </w:style>
  <w:style w:type="paragraph" w:customStyle="1" w:styleId="SOTextNote">
    <w:name w:val="SO TextNote"/>
    <w:aliases w:val="sont"/>
    <w:basedOn w:val="SOText"/>
    <w:qFormat/>
    <w:rsid w:val="00E678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78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78EC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78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78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78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78EC"/>
    <w:rPr>
      <w:sz w:val="18"/>
    </w:rPr>
  </w:style>
  <w:style w:type="paragraph" w:customStyle="1" w:styleId="FileName">
    <w:name w:val="FileName"/>
    <w:basedOn w:val="Normal"/>
    <w:rsid w:val="00E678E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78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78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78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78EC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E678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78EC"/>
    <w:rPr>
      <w:sz w:val="22"/>
    </w:rPr>
  </w:style>
  <w:style w:type="paragraph" w:customStyle="1" w:styleId="ETAsubitem">
    <w:name w:val="ETA(subitem)"/>
    <w:basedOn w:val="OPCParaBase"/>
    <w:rsid w:val="00E678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78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78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78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E678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78EC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E678EC"/>
  </w:style>
  <w:style w:type="paragraph" w:styleId="BalloonText">
    <w:name w:val="Balloon Text"/>
    <w:basedOn w:val="Normal"/>
    <w:link w:val="BalloonTextChar"/>
    <w:uiPriority w:val="99"/>
    <w:semiHidden/>
    <w:unhideWhenUsed/>
    <w:rsid w:val="00F33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2"/>
    <w:rPr>
      <w:rFonts w:ascii="Tahoma" w:hAnsi="Tahoma" w:cs="Tahoma"/>
      <w:sz w:val="16"/>
      <w:szCs w:val="16"/>
    </w:rPr>
  </w:style>
  <w:style w:type="character" w:customStyle="1" w:styleId="DefinitionChar">
    <w:name w:val="Definition Char"/>
    <w:aliases w:val="dd Char"/>
    <w:link w:val="Definition"/>
    <w:rsid w:val="004302E5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5A2D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7F5A2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7F5A2D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90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1A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2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2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2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2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2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2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9328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9328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9328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9328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9328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9328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9328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93289"/>
  </w:style>
  <w:style w:type="character" w:customStyle="1" w:styleId="ShortTCPChar">
    <w:name w:val="ShortTCP Char"/>
    <w:basedOn w:val="ShortTChar"/>
    <w:link w:val="ShortTCP"/>
    <w:rsid w:val="0009328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93289"/>
    <w:pPr>
      <w:spacing w:before="400"/>
    </w:pPr>
  </w:style>
  <w:style w:type="character" w:customStyle="1" w:styleId="ActNoCPChar">
    <w:name w:val="ActNoCP Char"/>
    <w:basedOn w:val="ActnoChar"/>
    <w:link w:val="ActNoCP"/>
    <w:rsid w:val="0009328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9328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037D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037D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037D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11</Pages>
  <Words>1514</Words>
  <Characters>6708</Characters>
  <Application>Microsoft Office Word</Application>
  <DocSecurity>0</DocSecurity>
  <PresentationFormat/>
  <Lines>1118</Lines>
  <Paragraphs>1027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2019-08-20T00:08:00Z</cp:lastPrinted>
  <dcterms:created xsi:type="dcterms:W3CDTF">2019-12-17T23:55:00Z</dcterms:created>
  <dcterms:modified xsi:type="dcterms:W3CDTF">2019-12-18T00:10:00Z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National Self-exclusion Register (Cost Recovery Levy) Act 2019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OPC7230</vt:lpwstr>
  </property>
  <property fmtid="{D5CDD505-2E9C-101B-9397-08002B2CF9AE}" pid="8" name="ActNo">
    <vt:lpwstr>No. 128, 2019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