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74C" w:rsidRPr="00050D61" w:rsidRDefault="007475C2" w:rsidP="00050D61">
      <w:pPr>
        <w:pStyle w:val="Title"/>
        <w:ind w:firstLine="357"/>
        <w:contextualSpacing/>
        <w:rPr>
          <w:sz w:val="28"/>
          <w:szCs w:val="28"/>
        </w:rPr>
      </w:pPr>
      <w:r w:rsidRPr="00050D61">
        <w:rPr>
          <w:sz w:val="28"/>
          <w:szCs w:val="28"/>
        </w:rPr>
        <w:t>HEAVY VEHICLE NATIONAL LAW</w:t>
      </w:r>
    </w:p>
    <w:p w:rsidR="00B62909" w:rsidRPr="00050D61" w:rsidRDefault="00BB6325" w:rsidP="00050D61">
      <w:pPr>
        <w:pStyle w:val="Title"/>
        <w:ind w:left="357"/>
        <w:contextualSpacing/>
        <w:rPr>
          <w:sz w:val="28"/>
          <w:szCs w:val="28"/>
        </w:rPr>
      </w:pPr>
      <w:r w:rsidRPr="00050D61">
        <w:rPr>
          <w:sz w:val="28"/>
          <w:szCs w:val="28"/>
        </w:rPr>
        <w:t>New South Wales</w:t>
      </w:r>
      <w:r w:rsidR="00133598" w:rsidRPr="00050D61">
        <w:rPr>
          <w:sz w:val="28"/>
          <w:szCs w:val="28"/>
        </w:rPr>
        <w:t xml:space="preserve"> Class </w:t>
      </w:r>
      <w:r w:rsidRPr="00050D61">
        <w:rPr>
          <w:sz w:val="28"/>
          <w:szCs w:val="28"/>
        </w:rPr>
        <w:t>1</w:t>
      </w:r>
      <w:r w:rsidR="00133598" w:rsidRPr="00050D61">
        <w:rPr>
          <w:sz w:val="28"/>
          <w:szCs w:val="28"/>
        </w:rPr>
        <w:t xml:space="preserve"> </w:t>
      </w:r>
      <w:r w:rsidR="00C356E8" w:rsidRPr="00050D61">
        <w:rPr>
          <w:sz w:val="28"/>
          <w:szCs w:val="28"/>
        </w:rPr>
        <w:t>Load Carrying Vehicle</w:t>
      </w:r>
      <w:r w:rsidR="00813469" w:rsidRPr="00050D61">
        <w:rPr>
          <w:sz w:val="28"/>
          <w:szCs w:val="28"/>
        </w:rPr>
        <w:t xml:space="preserve"> Exemption</w:t>
      </w:r>
      <w:r w:rsidR="00C356E8" w:rsidRPr="00050D61">
        <w:rPr>
          <w:sz w:val="28"/>
          <w:szCs w:val="28"/>
        </w:rPr>
        <w:t xml:space="preserve"> Notice</w:t>
      </w:r>
      <w:r w:rsidR="00133598" w:rsidRPr="00050D61">
        <w:rPr>
          <w:sz w:val="28"/>
          <w:szCs w:val="28"/>
        </w:rPr>
        <w:t xml:space="preserve"> 201</w:t>
      </w:r>
      <w:r w:rsidRPr="00050D61">
        <w:rPr>
          <w:sz w:val="28"/>
          <w:szCs w:val="28"/>
        </w:rPr>
        <w:t>9</w:t>
      </w:r>
      <w:r w:rsidR="00EC3647" w:rsidRPr="00050D61">
        <w:rPr>
          <w:sz w:val="28"/>
          <w:szCs w:val="28"/>
        </w:rPr>
        <w:t xml:space="preserve"> (No.1)</w:t>
      </w:r>
    </w:p>
    <w:p w:rsidR="007475C2" w:rsidRPr="00050D61" w:rsidRDefault="007475C2" w:rsidP="00050D61">
      <w:pPr>
        <w:pStyle w:val="Sectionheading"/>
        <w:jc w:val="both"/>
      </w:pPr>
      <w:r w:rsidRPr="00050D61">
        <w:t>Purpose</w:t>
      </w:r>
    </w:p>
    <w:p w:rsidR="007447A9" w:rsidRPr="00050D61" w:rsidRDefault="00133598" w:rsidP="00583958">
      <w:pPr>
        <w:pStyle w:val="OutlineNumberedLevel1"/>
        <w:numPr>
          <w:ilvl w:val="0"/>
          <w:numId w:val="19"/>
        </w:numPr>
        <w:contextualSpacing/>
      </w:pPr>
      <w:r w:rsidRPr="00050D61">
        <w:t xml:space="preserve">The purpose of this Notice is to </w:t>
      </w:r>
      <w:r w:rsidR="007447A9" w:rsidRPr="00050D61">
        <w:t>exempt</w:t>
      </w:r>
      <w:r w:rsidRPr="00050D61">
        <w:t xml:space="preserve"> </w:t>
      </w:r>
      <w:r w:rsidR="00231BC6" w:rsidRPr="00050D61">
        <w:t xml:space="preserve">vehicles to which this Notice applies from the mass and dimension requirements prescribed in Schedule 1 </w:t>
      </w:r>
      <w:r w:rsidR="00D13278" w:rsidRPr="00050D61">
        <w:t xml:space="preserve">and Schedule 6 </w:t>
      </w:r>
      <w:r w:rsidR="00231BC6" w:rsidRPr="00050D61">
        <w:t xml:space="preserve">to the Heavy Vehicle (Mass, Dimension and Loading) </w:t>
      </w:r>
      <w:r w:rsidR="001C0BF4" w:rsidRPr="00050D61">
        <w:t xml:space="preserve">National </w:t>
      </w:r>
      <w:r w:rsidR="00231BC6" w:rsidRPr="00050D61">
        <w:t>Regulation</w:t>
      </w:r>
      <w:r w:rsidR="000B3D87" w:rsidRPr="00050D61">
        <w:t xml:space="preserve"> (the Regulation)</w:t>
      </w:r>
      <w:r w:rsidR="00231BC6" w:rsidRPr="00050D61">
        <w:t>, subject to the conditions set out in the this Notice</w:t>
      </w:r>
      <w:r w:rsidR="00385A96">
        <w:t xml:space="preserve"> and the accompanying Operator’s Guide</w:t>
      </w:r>
      <w:r w:rsidR="00231BC6" w:rsidRPr="00050D61">
        <w:t>.</w:t>
      </w:r>
    </w:p>
    <w:p w:rsidR="00133598" w:rsidRPr="00050D61" w:rsidRDefault="001C0BF4" w:rsidP="00050D61">
      <w:pPr>
        <w:ind w:left="1440" w:hanging="720"/>
        <w:jc w:val="both"/>
        <w:rPr>
          <w:i/>
        </w:rPr>
      </w:pPr>
      <w:r w:rsidRPr="00050D61">
        <w:rPr>
          <w:b/>
          <w:i/>
        </w:rPr>
        <w:t>Note</w:t>
      </w:r>
      <w:r w:rsidRPr="00050D61">
        <w:rPr>
          <w:i/>
        </w:rPr>
        <w:t>:</w:t>
      </w:r>
      <w:r w:rsidRPr="00050D61">
        <w:rPr>
          <w:i/>
        </w:rPr>
        <w:tab/>
      </w:r>
      <w:r w:rsidR="00A30351" w:rsidRPr="00050D61">
        <w:rPr>
          <w:i/>
        </w:rPr>
        <w:t>T</w:t>
      </w:r>
      <w:r w:rsidRPr="00050D61">
        <w:rPr>
          <w:i/>
        </w:rPr>
        <w:t>his notice replaces the Class 1 Load Carrying Vehicle Notice 2014 (NSW) previously published by the New South Wales Roads and Maritime Service</w:t>
      </w:r>
      <w:r w:rsidR="00847220" w:rsidRPr="00050D61">
        <w:rPr>
          <w:i/>
        </w:rPr>
        <w:t>s</w:t>
      </w:r>
      <w:r w:rsidRPr="00050D61">
        <w:rPr>
          <w:i/>
        </w:rPr>
        <w:t>.</w:t>
      </w:r>
    </w:p>
    <w:p w:rsidR="00296CD8" w:rsidRPr="00050D61" w:rsidRDefault="00296CD8" w:rsidP="00050D61">
      <w:pPr>
        <w:ind w:left="1440" w:hanging="720"/>
        <w:jc w:val="both"/>
        <w:rPr>
          <w:i/>
        </w:rPr>
      </w:pPr>
      <w:r w:rsidRPr="00050D61">
        <w:rPr>
          <w:i/>
        </w:rPr>
        <w:tab/>
        <w:t>Vehicles operating under this notice must now comply with relevant conditions from Schedule 8 of the Regulation, rather than the operating conditions that applied under the previous Notice.</w:t>
      </w:r>
    </w:p>
    <w:p w:rsidR="007475C2" w:rsidRPr="00050D61" w:rsidRDefault="007475C2" w:rsidP="00050D61">
      <w:pPr>
        <w:pStyle w:val="Sectionheading"/>
        <w:jc w:val="both"/>
      </w:pPr>
      <w:r w:rsidRPr="00050D61">
        <w:t>Authorising Provision</w:t>
      </w:r>
    </w:p>
    <w:p w:rsidR="00FD74B6" w:rsidRPr="00050D61" w:rsidRDefault="00FD74B6" w:rsidP="00583958">
      <w:pPr>
        <w:pStyle w:val="OutlineNumberedLevel1"/>
        <w:numPr>
          <w:ilvl w:val="0"/>
          <w:numId w:val="19"/>
        </w:numPr>
        <w:contextualSpacing/>
      </w:pPr>
      <w:r w:rsidRPr="00050D61">
        <w:t xml:space="preserve">This </w:t>
      </w:r>
      <w:r w:rsidR="00B131D1" w:rsidRPr="00050D61">
        <w:t>Notice</w:t>
      </w:r>
      <w:r w:rsidR="00B96475" w:rsidRPr="00050D61">
        <w:t xml:space="preserve"> is made under section 11</w:t>
      </w:r>
      <w:r w:rsidR="00D13278" w:rsidRPr="00050D61">
        <w:t>7</w:t>
      </w:r>
      <w:r w:rsidR="005D3F24" w:rsidRPr="00050D61">
        <w:t xml:space="preserve"> </w:t>
      </w:r>
      <w:r w:rsidRPr="00050D61">
        <w:t xml:space="preserve">of </w:t>
      </w:r>
      <w:r w:rsidR="00A01196" w:rsidRPr="00050D61">
        <w:t>the Heavy Vehicle National Law (HVNL).</w:t>
      </w:r>
    </w:p>
    <w:p w:rsidR="00F2274C" w:rsidRPr="00050D61" w:rsidRDefault="00F2274C" w:rsidP="00050D61">
      <w:pPr>
        <w:pStyle w:val="Sectionheading"/>
        <w:jc w:val="both"/>
      </w:pPr>
      <w:r w:rsidRPr="00050D61">
        <w:t>Title</w:t>
      </w:r>
    </w:p>
    <w:p w:rsidR="00BE4D42" w:rsidRPr="00050D61" w:rsidRDefault="00F2274C" w:rsidP="00583958">
      <w:pPr>
        <w:pStyle w:val="OutlineNumberedLevel1"/>
        <w:numPr>
          <w:ilvl w:val="0"/>
          <w:numId w:val="7"/>
        </w:numPr>
        <w:contextualSpacing/>
      </w:pPr>
      <w:r w:rsidRPr="00050D61">
        <w:t>This Notice</w:t>
      </w:r>
      <w:r w:rsidR="00CC5BB6" w:rsidRPr="00050D61">
        <w:t xml:space="preserve"> </w:t>
      </w:r>
      <w:r w:rsidRPr="00050D61">
        <w:t xml:space="preserve">may be cited as the </w:t>
      </w:r>
      <w:r w:rsidR="00EC3647" w:rsidRPr="00050D61">
        <w:t>New South Wales Class 1 Load Carrying Vehicle Exemption Notice 2019</w:t>
      </w:r>
      <w:r w:rsidR="003C1905" w:rsidRPr="00050D61">
        <w:rPr>
          <w:i/>
        </w:rPr>
        <w:t>.</w:t>
      </w:r>
    </w:p>
    <w:p w:rsidR="007475C2" w:rsidRPr="00050D61" w:rsidRDefault="007475C2" w:rsidP="00050D61">
      <w:pPr>
        <w:pStyle w:val="Sectionheading"/>
        <w:jc w:val="both"/>
      </w:pPr>
      <w:r w:rsidRPr="00050D61">
        <w:t>Commencement</w:t>
      </w:r>
    </w:p>
    <w:p w:rsidR="007475C2" w:rsidRPr="00050D61" w:rsidRDefault="00FD74B6" w:rsidP="00583958">
      <w:pPr>
        <w:pStyle w:val="OutlineNumberedLevel1"/>
        <w:numPr>
          <w:ilvl w:val="0"/>
          <w:numId w:val="8"/>
        </w:numPr>
        <w:contextualSpacing/>
      </w:pPr>
      <w:r w:rsidRPr="00050D61">
        <w:t xml:space="preserve">This Notice commences on </w:t>
      </w:r>
      <w:r w:rsidR="00EC3647" w:rsidRPr="00050D61">
        <w:t>7</w:t>
      </w:r>
      <w:r w:rsidR="008225C7" w:rsidRPr="00050D61">
        <w:t xml:space="preserve"> February 2019</w:t>
      </w:r>
      <w:r w:rsidR="00EE4755" w:rsidRPr="00050D61">
        <w:t xml:space="preserve">. </w:t>
      </w:r>
    </w:p>
    <w:p w:rsidR="007475C2" w:rsidRPr="00050D61" w:rsidRDefault="007475C2" w:rsidP="00050D61">
      <w:pPr>
        <w:pStyle w:val="Sectionheading"/>
        <w:jc w:val="both"/>
      </w:pPr>
      <w:r w:rsidRPr="00050D61">
        <w:t>Expiry</w:t>
      </w:r>
    </w:p>
    <w:p w:rsidR="007475C2" w:rsidRPr="00050D61" w:rsidRDefault="00FD74B6" w:rsidP="00583958">
      <w:pPr>
        <w:pStyle w:val="OutlineNumberedLevel1"/>
        <w:numPr>
          <w:ilvl w:val="0"/>
          <w:numId w:val="9"/>
        </w:numPr>
        <w:contextualSpacing/>
      </w:pPr>
      <w:r w:rsidRPr="00050D61">
        <w:t xml:space="preserve">This Notice expires </w:t>
      </w:r>
      <w:r w:rsidR="00EF7E1D" w:rsidRPr="00050D61">
        <w:t>on</w:t>
      </w:r>
      <w:r w:rsidR="00722FC2" w:rsidRPr="00050D61">
        <w:t xml:space="preserve"> </w:t>
      </w:r>
      <w:r w:rsidR="00EC3647" w:rsidRPr="00050D61">
        <w:t>6</w:t>
      </w:r>
      <w:r w:rsidR="008225C7" w:rsidRPr="00050D61">
        <w:t xml:space="preserve"> February 2024</w:t>
      </w:r>
      <w:r w:rsidR="00EE4755" w:rsidRPr="00050D61">
        <w:t>.</w:t>
      </w:r>
    </w:p>
    <w:p w:rsidR="005D3F24" w:rsidRPr="00050D61" w:rsidRDefault="008426D4" w:rsidP="00050D61">
      <w:pPr>
        <w:pStyle w:val="Sectionheading"/>
        <w:jc w:val="both"/>
      </w:pPr>
      <w:r w:rsidRPr="00050D61">
        <w:t>Definitions</w:t>
      </w:r>
    </w:p>
    <w:p w:rsidR="00FE20FD" w:rsidRPr="00050D61" w:rsidRDefault="00CC2402" w:rsidP="00583958">
      <w:pPr>
        <w:pStyle w:val="OutlineNumberedLevel1"/>
        <w:numPr>
          <w:ilvl w:val="0"/>
          <w:numId w:val="10"/>
        </w:numPr>
        <w:contextualSpacing/>
      </w:pPr>
      <w:r w:rsidRPr="00050D61">
        <w:t>Unless otherwise stated, words and expressions used in this Notice have the same meanings as those defined in the HVNL.</w:t>
      </w:r>
    </w:p>
    <w:p w:rsidR="00874377" w:rsidRPr="00050D61" w:rsidRDefault="00874377" w:rsidP="00050D61">
      <w:pPr>
        <w:pStyle w:val="OutlineNumberedLevel1"/>
        <w:numPr>
          <w:ilvl w:val="0"/>
          <w:numId w:val="0"/>
        </w:numPr>
        <w:ind w:left="720"/>
        <w:contextualSpacing/>
      </w:pPr>
    </w:p>
    <w:p w:rsidR="00874377" w:rsidRPr="00050D61" w:rsidRDefault="00874377" w:rsidP="00583958">
      <w:pPr>
        <w:pStyle w:val="OutlineNumberedLevel1"/>
        <w:numPr>
          <w:ilvl w:val="0"/>
          <w:numId w:val="10"/>
        </w:numPr>
        <w:contextualSpacing/>
      </w:pPr>
      <w:r w:rsidRPr="00050D61">
        <w:t>In this Notice:-</w:t>
      </w:r>
    </w:p>
    <w:p w:rsidR="00874377" w:rsidRPr="00050D61" w:rsidRDefault="00874377" w:rsidP="00050D61">
      <w:pPr>
        <w:pStyle w:val="OutlineNumberedLevel1"/>
        <w:numPr>
          <w:ilvl w:val="0"/>
          <w:numId w:val="0"/>
        </w:numPr>
        <w:ind w:left="720" w:hanging="360"/>
        <w:contextualSpacing/>
      </w:pPr>
    </w:p>
    <w:p w:rsidR="00874377" w:rsidRPr="00050D61" w:rsidRDefault="00874377" w:rsidP="00050D61">
      <w:pPr>
        <w:pStyle w:val="OutlineNumberedLevel1"/>
        <w:numPr>
          <w:ilvl w:val="0"/>
          <w:numId w:val="0"/>
        </w:numPr>
        <w:ind w:left="1080" w:hanging="360"/>
        <w:contextualSpacing/>
      </w:pPr>
      <w:r w:rsidRPr="00050D61">
        <w:rPr>
          <w:b/>
        </w:rPr>
        <w:t>Operators Guide</w:t>
      </w:r>
      <w:r w:rsidRPr="00050D61">
        <w:t xml:space="preserve"> means the </w:t>
      </w:r>
      <w:r w:rsidRPr="00050D61">
        <w:rPr>
          <w:i/>
          <w:lang w:val="en-US"/>
        </w:rPr>
        <w:t>New South Wales Class 1 Load Carrying Vehicle Operator’s Guide.</w:t>
      </w:r>
    </w:p>
    <w:p w:rsidR="00D13278" w:rsidRPr="00050D61" w:rsidRDefault="00D13278" w:rsidP="00050D61">
      <w:pPr>
        <w:pStyle w:val="OutlineNumberedLevel1"/>
        <w:numPr>
          <w:ilvl w:val="0"/>
          <w:numId w:val="0"/>
        </w:numPr>
        <w:ind w:left="360"/>
        <w:contextualSpacing/>
      </w:pPr>
    </w:p>
    <w:p w:rsidR="00DC179F" w:rsidRPr="00050D61" w:rsidRDefault="00DC179F" w:rsidP="00050D61">
      <w:pPr>
        <w:jc w:val="both"/>
        <w:rPr>
          <w:b/>
          <w:lang w:eastAsia="en-US"/>
        </w:rPr>
      </w:pPr>
      <w:r w:rsidRPr="00050D61">
        <w:br w:type="page"/>
      </w:r>
    </w:p>
    <w:p w:rsidR="007475C2" w:rsidRPr="00050D61" w:rsidRDefault="0018625D" w:rsidP="00050D61">
      <w:pPr>
        <w:pStyle w:val="Sectionheading"/>
        <w:jc w:val="both"/>
      </w:pPr>
      <w:r w:rsidRPr="00050D61">
        <w:lastRenderedPageBreak/>
        <w:t>Application</w:t>
      </w:r>
    </w:p>
    <w:p w:rsidR="0090734A" w:rsidRPr="00050D61" w:rsidRDefault="00B1010C" w:rsidP="00583958">
      <w:pPr>
        <w:pStyle w:val="OutlineNumberedLevel1"/>
        <w:numPr>
          <w:ilvl w:val="0"/>
          <w:numId w:val="22"/>
        </w:numPr>
        <w:contextualSpacing/>
      </w:pPr>
      <w:r w:rsidRPr="00050D61">
        <w:t xml:space="preserve">This Notice applies </w:t>
      </w:r>
      <w:r w:rsidR="00B96475" w:rsidRPr="00050D61">
        <w:t>to</w:t>
      </w:r>
      <w:r w:rsidR="00D973DC" w:rsidRPr="00050D61">
        <w:t xml:space="preserve"> </w:t>
      </w:r>
      <w:r w:rsidR="00EC3647" w:rsidRPr="00050D61">
        <w:t xml:space="preserve">a </w:t>
      </w:r>
      <w:r w:rsidR="0090734A" w:rsidRPr="00050D61">
        <w:t>heavy vehicle or heavy combination</w:t>
      </w:r>
      <w:r w:rsidR="00EC3647" w:rsidRPr="00050D61">
        <w:t>,</w:t>
      </w:r>
      <w:r w:rsidR="0090734A" w:rsidRPr="00050D61">
        <w:t xml:space="preserve"> and</w:t>
      </w:r>
      <w:r w:rsidR="00EC3647" w:rsidRPr="00050D61">
        <w:t>;</w:t>
      </w:r>
    </w:p>
    <w:p w:rsidR="00EC3647" w:rsidRPr="00050D61" w:rsidRDefault="0090734A" w:rsidP="00583958">
      <w:pPr>
        <w:pStyle w:val="ListParagraph"/>
        <w:numPr>
          <w:ilvl w:val="0"/>
          <w:numId w:val="17"/>
        </w:numPr>
        <w:spacing w:after="0" w:line="240" w:lineRule="auto"/>
        <w:jc w:val="both"/>
      </w:pPr>
      <w:r w:rsidRPr="00050D61">
        <w:t xml:space="preserve">is designed for the </w:t>
      </w:r>
      <w:r w:rsidR="00EC3647" w:rsidRPr="00050D61">
        <w:t>transportation</w:t>
      </w:r>
      <w:r w:rsidRPr="00050D61">
        <w:t xml:space="preserve"> of a large indivisible item, or is carrying a large indivisible item</w:t>
      </w:r>
      <w:r w:rsidR="00D13278" w:rsidRPr="00050D61">
        <w:t>;</w:t>
      </w:r>
      <w:r w:rsidRPr="00050D61">
        <w:t xml:space="preserve"> and </w:t>
      </w:r>
    </w:p>
    <w:p w:rsidR="00DC179F" w:rsidRPr="00050D61" w:rsidRDefault="0090734A" w:rsidP="00583958">
      <w:pPr>
        <w:pStyle w:val="ListParagraph"/>
        <w:numPr>
          <w:ilvl w:val="0"/>
          <w:numId w:val="17"/>
        </w:numPr>
        <w:spacing w:after="0" w:line="240" w:lineRule="auto"/>
        <w:jc w:val="both"/>
      </w:pPr>
      <w:proofErr w:type="gramStart"/>
      <w:r w:rsidRPr="00050D61">
        <w:t>together</w:t>
      </w:r>
      <w:proofErr w:type="gramEnd"/>
      <w:r w:rsidRPr="00050D61">
        <w:t xml:space="preserve"> with any load exceeds a dimension or a mass limit as prescribed in Schedule 1</w:t>
      </w:r>
      <w:r w:rsidR="009778F0" w:rsidRPr="00050D61">
        <w:t xml:space="preserve"> or Schedule 6</w:t>
      </w:r>
      <w:r w:rsidRPr="00050D61">
        <w:t xml:space="preserve"> of the Regulation . </w:t>
      </w:r>
    </w:p>
    <w:p w:rsidR="007C468D" w:rsidRPr="00050D61" w:rsidRDefault="007C468D" w:rsidP="00050D61">
      <w:pPr>
        <w:pStyle w:val="ListParagraph"/>
        <w:spacing w:after="0" w:line="240" w:lineRule="auto"/>
        <w:ind w:left="1080"/>
        <w:jc w:val="both"/>
        <w:rPr>
          <w:b/>
        </w:rPr>
      </w:pPr>
    </w:p>
    <w:p w:rsidR="0090734A" w:rsidRPr="00050D61" w:rsidRDefault="0090734A" w:rsidP="00583958">
      <w:pPr>
        <w:pStyle w:val="OutlineNumberedLevel1"/>
        <w:numPr>
          <w:ilvl w:val="0"/>
          <w:numId w:val="22"/>
        </w:numPr>
        <w:contextualSpacing/>
      </w:pPr>
      <w:r w:rsidRPr="00050D61">
        <w:t>T</w:t>
      </w:r>
      <w:r w:rsidR="00EC3647" w:rsidRPr="00050D61">
        <w:t>o be clear, t</w:t>
      </w:r>
      <w:r w:rsidRPr="00050D61">
        <w:t xml:space="preserve">his Notice does not apply to: </w:t>
      </w:r>
    </w:p>
    <w:p w:rsidR="0090734A" w:rsidRPr="00050D61" w:rsidRDefault="0090734A" w:rsidP="00583958">
      <w:pPr>
        <w:pStyle w:val="ListParagraph"/>
        <w:numPr>
          <w:ilvl w:val="0"/>
          <w:numId w:val="23"/>
        </w:numPr>
        <w:spacing w:after="0" w:line="240" w:lineRule="auto"/>
        <w:jc w:val="both"/>
      </w:pPr>
      <w:proofErr w:type="gramStart"/>
      <w:r w:rsidRPr="00050D61">
        <w:t>a</w:t>
      </w:r>
      <w:proofErr w:type="gramEnd"/>
      <w:r w:rsidRPr="00050D61">
        <w:t xml:space="preserve"> special purpose vehicle. </w:t>
      </w:r>
    </w:p>
    <w:p w:rsidR="0090734A" w:rsidRPr="00050D61" w:rsidRDefault="0090734A" w:rsidP="00583958">
      <w:pPr>
        <w:pStyle w:val="ListParagraph"/>
        <w:numPr>
          <w:ilvl w:val="0"/>
          <w:numId w:val="23"/>
        </w:numPr>
        <w:spacing w:after="0" w:line="240" w:lineRule="auto"/>
        <w:jc w:val="both"/>
      </w:pPr>
      <w:proofErr w:type="gramStart"/>
      <w:r w:rsidRPr="00050D61">
        <w:t>agricultural</w:t>
      </w:r>
      <w:proofErr w:type="gramEnd"/>
      <w:r w:rsidRPr="00050D61">
        <w:t xml:space="preserve"> machines, agricultural implements or agricultural combinations. </w:t>
      </w:r>
    </w:p>
    <w:p w:rsidR="0090734A" w:rsidRPr="00050D61" w:rsidRDefault="0090734A" w:rsidP="00583958">
      <w:pPr>
        <w:pStyle w:val="ListParagraph"/>
        <w:numPr>
          <w:ilvl w:val="0"/>
          <w:numId w:val="23"/>
        </w:numPr>
        <w:spacing w:after="0" w:line="240" w:lineRule="auto"/>
        <w:jc w:val="both"/>
      </w:pPr>
      <w:r w:rsidRPr="00050D61">
        <w:t xml:space="preserve">a vehicle or combination: </w:t>
      </w:r>
    </w:p>
    <w:p w:rsidR="0090734A" w:rsidRPr="00050D61" w:rsidRDefault="0090734A" w:rsidP="00583958">
      <w:pPr>
        <w:pStyle w:val="ListParagraph"/>
        <w:numPr>
          <w:ilvl w:val="1"/>
          <w:numId w:val="20"/>
        </w:numPr>
        <w:spacing w:after="0" w:line="240" w:lineRule="auto"/>
        <w:jc w:val="both"/>
      </w:pPr>
      <w:r w:rsidRPr="00050D61">
        <w:t>that is a road train or B-double, or</w:t>
      </w:r>
    </w:p>
    <w:p w:rsidR="00DC179F" w:rsidRPr="00050D61" w:rsidRDefault="0090734A" w:rsidP="00583958">
      <w:pPr>
        <w:pStyle w:val="ListParagraph"/>
        <w:numPr>
          <w:ilvl w:val="1"/>
          <w:numId w:val="20"/>
        </w:numPr>
        <w:spacing w:after="0" w:line="240" w:lineRule="auto"/>
        <w:jc w:val="both"/>
      </w:pPr>
      <w:proofErr w:type="gramStart"/>
      <w:r w:rsidRPr="00050D61">
        <w:t>that</w:t>
      </w:r>
      <w:proofErr w:type="gramEnd"/>
      <w:r w:rsidRPr="00050D61">
        <w:t xml:space="preserve"> is carrying a loaded or empty freight container designed for multi-modal transport.</w:t>
      </w:r>
    </w:p>
    <w:p w:rsidR="0090734A" w:rsidRPr="00050D61" w:rsidRDefault="0090734A" w:rsidP="00050D61">
      <w:pPr>
        <w:pStyle w:val="ListParagraph"/>
        <w:spacing w:after="0" w:line="240" w:lineRule="auto"/>
        <w:ind w:left="1440"/>
        <w:jc w:val="both"/>
      </w:pPr>
    </w:p>
    <w:p w:rsidR="00DC179F" w:rsidRPr="00050D61" w:rsidRDefault="00DC179F" w:rsidP="00583958">
      <w:pPr>
        <w:pStyle w:val="OutlineNumberedLevel1"/>
        <w:numPr>
          <w:ilvl w:val="0"/>
          <w:numId w:val="22"/>
        </w:numPr>
        <w:contextualSpacing/>
      </w:pPr>
      <w:r w:rsidRPr="00050D61">
        <w:t>A vehicle to which this Notice applies under this section is an eligible vehicle.</w:t>
      </w:r>
    </w:p>
    <w:p w:rsidR="001038F4" w:rsidRPr="00050D61" w:rsidRDefault="001341A9" w:rsidP="00050D61">
      <w:pPr>
        <w:pStyle w:val="Sectionheading"/>
        <w:jc w:val="both"/>
      </w:pPr>
      <w:r w:rsidRPr="00050D61">
        <w:t xml:space="preserve">Exemption – </w:t>
      </w:r>
      <w:r w:rsidR="00541903" w:rsidRPr="00050D61">
        <w:t>Dimension</w:t>
      </w:r>
    </w:p>
    <w:p w:rsidR="001341A9" w:rsidRPr="00050D61" w:rsidRDefault="001341A9" w:rsidP="00583958">
      <w:pPr>
        <w:pStyle w:val="OutlineNumberedLevel1"/>
        <w:numPr>
          <w:ilvl w:val="0"/>
          <w:numId w:val="24"/>
        </w:numPr>
        <w:contextualSpacing/>
      </w:pPr>
      <w:r w:rsidRPr="00050D61">
        <w:t xml:space="preserve">This </w:t>
      </w:r>
      <w:r w:rsidR="00D973DC" w:rsidRPr="00050D61">
        <w:t>N</w:t>
      </w:r>
      <w:r w:rsidRPr="00050D61">
        <w:t xml:space="preserve">otice exempts </w:t>
      </w:r>
      <w:r w:rsidR="00DC179F" w:rsidRPr="00050D61">
        <w:t xml:space="preserve">an eligible vehicle from </w:t>
      </w:r>
      <w:r w:rsidRPr="00050D61">
        <w:t xml:space="preserve">the following </w:t>
      </w:r>
      <w:r w:rsidR="009525C7" w:rsidRPr="00050D61">
        <w:t xml:space="preserve">dimension </w:t>
      </w:r>
      <w:r w:rsidRPr="00050D61">
        <w:t xml:space="preserve">requirements specified in Schedule </w:t>
      </w:r>
      <w:r w:rsidR="009525C7" w:rsidRPr="00050D61">
        <w:t xml:space="preserve">6 of the </w:t>
      </w:r>
      <w:r w:rsidRPr="00050D61">
        <w:t>Regulation:</w:t>
      </w:r>
    </w:p>
    <w:p w:rsidR="001341A9" w:rsidRPr="00050D61" w:rsidRDefault="001341A9" w:rsidP="00050D61">
      <w:pPr>
        <w:pStyle w:val="ListParagraph"/>
        <w:ind w:left="1080"/>
        <w:jc w:val="both"/>
        <w:rPr>
          <w:lang w:val="en-US"/>
        </w:rPr>
      </w:pPr>
    </w:p>
    <w:p w:rsidR="001341A9" w:rsidRPr="00050D61" w:rsidRDefault="009525C7" w:rsidP="00583958">
      <w:pPr>
        <w:pStyle w:val="ListParagraph"/>
        <w:numPr>
          <w:ilvl w:val="0"/>
          <w:numId w:val="21"/>
        </w:numPr>
        <w:spacing w:after="0" w:line="240" w:lineRule="auto"/>
        <w:jc w:val="both"/>
      </w:pPr>
      <w:r w:rsidRPr="00050D61">
        <w:t>s</w:t>
      </w:r>
      <w:r w:rsidR="001341A9" w:rsidRPr="00050D61">
        <w:t xml:space="preserve">ection </w:t>
      </w:r>
      <w:r w:rsidRPr="00050D61">
        <w:t>3(1)(a) – Length- general</w:t>
      </w:r>
      <w:r w:rsidR="00DC179F" w:rsidRPr="00050D61">
        <w:t>;</w:t>
      </w:r>
      <w:r w:rsidR="001341A9" w:rsidRPr="00050D61">
        <w:t xml:space="preserve"> and</w:t>
      </w:r>
    </w:p>
    <w:p w:rsidR="001341A9" w:rsidRPr="00050D61" w:rsidRDefault="009525C7" w:rsidP="00583958">
      <w:pPr>
        <w:pStyle w:val="ListParagraph"/>
        <w:numPr>
          <w:ilvl w:val="0"/>
          <w:numId w:val="21"/>
        </w:numPr>
        <w:spacing w:after="0" w:line="240" w:lineRule="auto"/>
        <w:jc w:val="both"/>
      </w:pPr>
      <w:r w:rsidRPr="00050D61">
        <w:t>s</w:t>
      </w:r>
      <w:r w:rsidR="001341A9" w:rsidRPr="00050D61">
        <w:t xml:space="preserve">ection </w:t>
      </w:r>
      <w:r w:rsidRPr="00050D61">
        <w:t>4(2) – Length – trailers;</w:t>
      </w:r>
      <w:r w:rsidR="001341A9" w:rsidRPr="00050D61">
        <w:t xml:space="preserve"> and</w:t>
      </w:r>
    </w:p>
    <w:p w:rsidR="001341A9" w:rsidRPr="00050D61" w:rsidRDefault="009525C7" w:rsidP="00583958">
      <w:pPr>
        <w:pStyle w:val="ListParagraph"/>
        <w:numPr>
          <w:ilvl w:val="0"/>
          <w:numId w:val="21"/>
        </w:numPr>
        <w:spacing w:after="0" w:line="240" w:lineRule="auto"/>
        <w:jc w:val="both"/>
        <w:rPr>
          <w:lang w:val="en-US"/>
        </w:rPr>
      </w:pPr>
      <w:r w:rsidRPr="00050D61">
        <w:t>s</w:t>
      </w:r>
      <w:r w:rsidR="001341A9" w:rsidRPr="00050D61">
        <w:t>ection</w:t>
      </w:r>
      <w:r w:rsidR="001341A9" w:rsidRPr="00050D61">
        <w:rPr>
          <w:lang w:val="en-US"/>
        </w:rPr>
        <w:t xml:space="preserve"> </w:t>
      </w:r>
      <w:r w:rsidRPr="00050D61">
        <w:rPr>
          <w:lang w:val="en-US"/>
        </w:rPr>
        <w:t>5(1)(a) and (b) – Length – rear overhang;</w:t>
      </w:r>
      <w:r w:rsidR="00DC179F" w:rsidRPr="00050D61">
        <w:rPr>
          <w:lang w:val="en-US"/>
        </w:rPr>
        <w:t xml:space="preserve"> </w:t>
      </w:r>
      <w:r w:rsidRPr="00050D61">
        <w:rPr>
          <w:lang w:val="en-US"/>
        </w:rPr>
        <w:t>and</w:t>
      </w:r>
    </w:p>
    <w:p w:rsidR="009525C7" w:rsidRPr="00050D61" w:rsidRDefault="009525C7" w:rsidP="00583958">
      <w:pPr>
        <w:pStyle w:val="ListParagraph"/>
        <w:numPr>
          <w:ilvl w:val="0"/>
          <w:numId w:val="21"/>
        </w:numPr>
        <w:spacing w:after="0" w:line="240" w:lineRule="auto"/>
        <w:jc w:val="both"/>
        <w:rPr>
          <w:lang w:val="en-US"/>
        </w:rPr>
      </w:pPr>
      <w:r w:rsidRPr="00050D61">
        <w:rPr>
          <w:lang w:val="en-US"/>
        </w:rPr>
        <w:t>section 7(1) – Width;</w:t>
      </w:r>
      <w:r w:rsidR="00DC179F" w:rsidRPr="00050D61">
        <w:rPr>
          <w:lang w:val="en-US"/>
        </w:rPr>
        <w:t xml:space="preserve"> </w:t>
      </w:r>
      <w:r w:rsidRPr="00050D61">
        <w:rPr>
          <w:lang w:val="en-US"/>
        </w:rPr>
        <w:t>and</w:t>
      </w:r>
    </w:p>
    <w:p w:rsidR="009525C7" w:rsidRPr="00050D61" w:rsidRDefault="009525C7" w:rsidP="00583958">
      <w:pPr>
        <w:pStyle w:val="ListParagraph"/>
        <w:numPr>
          <w:ilvl w:val="0"/>
          <w:numId w:val="21"/>
        </w:numPr>
        <w:spacing w:after="0" w:line="240" w:lineRule="auto"/>
        <w:jc w:val="both"/>
        <w:rPr>
          <w:lang w:val="en-US"/>
        </w:rPr>
      </w:pPr>
      <w:r w:rsidRPr="00050D61">
        <w:rPr>
          <w:lang w:val="en-US"/>
        </w:rPr>
        <w:t>section 8(d) – Height;</w:t>
      </w:r>
      <w:r w:rsidR="00DC179F" w:rsidRPr="00050D61">
        <w:rPr>
          <w:lang w:val="en-US"/>
        </w:rPr>
        <w:t xml:space="preserve"> </w:t>
      </w:r>
      <w:r w:rsidRPr="00050D61">
        <w:rPr>
          <w:lang w:val="en-US"/>
        </w:rPr>
        <w:t>and</w:t>
      </w:r>
    </w:p>
    <w:p w:rsidR="009525C7" w:rsidRPr="00050D61" w:rsidRDefault="009525C7" w:rsidP="00583958">
      <w:pPr>
        <w:pStyle w:val="ListParagraph"/>
        <w:numPr>
          <w:ilvl w:val="0"/>
          <w:numId w:val="21"/>
        </w:numPr>
        <w:spacing w:after="0" w:line="240" w:lineRule="auto"/>
        <w:jc w:val="both"/>
        <w:rPr>
          <w:lang w:val="en-US"/>
        </w:rPr>
      </w:pPr>
      <w:r w:rsidRPr="00050D61">
        <w:rPr>
          <w:lang w:val="en-US"/>
        </w:rPr>
        <w:t>sections 13(a)(ii) and 13(b)(ii) – Front and side projection of load</w:t>
      </w:r>
    </w:p>
    <w:p w:rsidR="009525C7" w:rsidRPr="00050D61" w:rsidRDefault="009525C7" w:rsidP="00050D61">
      <w:pPr>
        <w:pStyle w:val="ListParagraph"/>
        <w:spacing w:after="0" w:line="240" w:lineRule="auto"/>
        <w:ind w:left="1080"/>
        <w:jc w:val="both"/>
        <w:rPr>
          <w:lang w:val="en-US"/>
        </w:rPr>
      </w:pPr>
    </w:p>
    <w:p w:rsidR="009525C7" w:rsidRPr="00050D61" w:rsidRDefault="00D13C96" w:rsidP="00050D61">
      <w:pPr>
        <w:pStyle w:val="ListParagraph"/>
        <w:spacing w:after="0" w:line="240" w:lineRule="auto"/>
        <w:ind w:left="2160" w:hanging="1080"/>
        <w:jc w:val="both"/>
        <w:rPr>
          <w:lang w:val="en-US"/>
        </w:rPr>
      </w:pPr>
      <w:r w:rsidRPr="00050D61">
        <w:rPr>
          <w:lang w:val="en-US"/>
        </w:rPr>
        <w:t>Note:</w:t>
      </w:r>
      <w:r w:rsidRPr="00050D61">
        <w:rPr>
          <w:lang w:val="en-US"/>
        </w:rPr>
        <w:tab/>
      </w:r>
      <w:r w:rsidR="009525C7" w:rsidRPr="00050D61">
        <w:rPr>
          <w:lang w:val="en-US"/>
        </w:rPr>
        <w:t>Sections 13(a</w:t>
      </w:r>
      <w:proofErr w:type="gramStart"/>
      <w:r w:rsidR="009525C7" w:rsidRPr="00050D61">
        <w:rPr>
          <w:lang w:val="en-US"/>
        </w:rPr>
        <w:t>)(</w:t>
      </w:r>
      <w:proofErr w:type="gramEnd"/>
      <w:r w:rsidR="009525C7" w:rsidRPr="00050D61">
        <w:rPr>
          <w:lang w:val="en-US"/>
        </w:rPr>
        <w:t>ii) and 13(b)(ii) only refer to the side projection load (for a truck, and a combination, respectively).</w:t>
      </w:r>
    </w:p>
    <w:p w:rsidR="009525C7" w:rsidRPr="00050D61" w:rsidRDefault="009525C7" w:rsidP="00050D61">
      <w:pPr>
        <w:pStyle w:val="ListParagraph"/>
        <w:spacing w:after="0" w:line="240" w:lineRule="auto"/>
        <w:ind w:left="1080"/>
        <w:jc w:val="both"/>
        <w:rPr>
          <w:lang w:val="en-US"/>
        </w:rPr>
      </w:pPr>
    </w:p>
    <w:p w:rsidR="001341A9" w:rsidRPr="00050D61" w:rsidRDefault="001341A9" w:rsidP="00050D61">
      <w:pPr>
        <w:pStyle w:val="Sectionheading"/>
        <w:jc w:val="both"/>
      </w:pPr>
      <w:r w:rsidRPr="00050D61">
        <w:t xml:space="preserve">Exemption - </w:t>
      </w:r>
      <w:r w:rsidR="00541903" w:rsidRPr="00050D61">
        <w:t>Mass</w:t>
      </w:r>
    </w:p>
    <w:p w:rsidR="001341A9" w:rsidRPr="007D669C" w:rsidRDefault="00D973DC" w:rsidP="007D669C">
      <w:pPr>
        <w:pStyle w:val="OutlineNumberedLevel1"/>
        <w:numPr>
          <w:ilvl w:val="0"/>
          <w:numId w:val="25"/>
        </w:numPr>
        <w:contextualSpacing/>
      </w:pPr>
      <w:r w:rsidRPr="00050D61">
        <w:t>This N</w:t>
      </w:r>
      <w:r w:rsidR="001341A9" w:rsidRPr="00050D61">
        <w:t xml:space="preserve">otice exempts </w:t>
      </w:r>
      <w:r w:rsidR="00DC179F" w:rsidRPr="00050D61">
        <w:t>an eligible vehicle</w:t>
      </w:r>
      <w:r w:rsidR="009525C7" w:rsidRPr="00050D61">
        <w:t xml:space="preserve"> </w:t>
      </w:r>
      <w:r w:rsidR="001341A9" w:rsidRPr="00050D61">
        <w:t xml:space="preserve">from the following </w:t>
      </w:r>
      <w:r w:rsidR="009525C7" w:rsidRPr="00050D61">
        <w:t xml:space="preserve">mass </w:t>
      </w:r>
      <w:r w:rsidR="001341A9" w:rsidRPr="00050D61">
        <w:t xml:space="preserve"> requirements specified in Schedule </w:t>
      </w:r>
      <w:r w:rsidR="009525C7" w:rsidRPr="00050D61">
        <w:t xml:space="preserve">1 of the </w:t>
      </w:r>
      <w:r w:rsidR="001341A9" w:rsidRPr="00050D61">
        <w:t>Regulation:</w:t>
      </w:r>
    </w:p>
    <w:p w:rsidR="001341A9" w:rsidRPr="00050D61" w:rsidRDefault="00541903" w:rsidP="00583958">
      <w:pPr>
        <w:pStyle w:val="ListParagraph"/>
        <w:numPr>
          <w:ilvl w:val="0"/>
          <w:numId w:val="13"/>
        </w:numPr>
        <w:jc w:val="both"/>
        <w:rPr>
          <w:lang w:val="en-US"/>
        </w:rPr>
      </w:pPr>
      <w:r w:rsidRPr="00050D61">
        <w:rPr>
          <w:lang w:val="en-US"/>
        </w:rPr>
        <w:t>s</w:t>
      </w:r>
      <w:r w:rsidR="001341A9" w:rsidRPr="00050D61">
        <w:rPr>
          <w:lang w:val="en-US"/>
        </w:rPr>
        <w:t xml:space="preserve">ection </w:t>
      </w:r>
      <w:r w:rsidRPr="00050D61">
        <w:rPr>
          <w:lang w:val="en-US"/>
        </w:rPr>
        <w:t>2(1)(a)(iv) and (v) – Mass  limits for a single vehicle or combination;</w:t>
      </w:r>
      <w:r w:rsidR="00DC179F" w:rsidRPr="00050D61">
        <w:rPr>
          <w:lang w:val="en-US"/>
        </w:rPr>
        <w:t xml:space="preserve"> </w:t>
      </w:r>
      <w:r w:rsidRPr="00050D61">
        <w:rPr>
          <w:lang w:val="en-US"/>
        </w:rPr>
        <w:t>and</w:t>
      </w:r>
    </w:p>
    <w:p w:rsidR="00541903" w:rsidRPr="00050D61" w:rsidRDefault="00541903" w:rsidP="00583958">
      <w:pPr>
        <w:pStyle w:val="ListParagraph"/>
        <w:numPr>
          <w:ilvl w:val="0"/>
          <w:numId w:val="13"/>
        </w:numPr>
        <w:jc w:val="both"/>
        <w:rPr>
          <w:lang w:val="en-US"/>
        </w:rPr>
      </w:pPr>
      <w:r w:rsidRPr="00050D61">
        <w:rPr>
          <w:lang w:val="en-US"/>
        </w:rPr>
        <w:t xml:space="preserve">Section 4 as it relates to the mass limits specified in, Table 1 (Axle mass limits table) of Part 2, for the following axle groups – </w:t>
      </w:r>
    </w:p>
    <w:p w:rsidR="00541903" w:rsidRPr="00050D61" w:rsidRDefault="00541903" w:rsidP="00583958">
      <w:pPr>
        <w:pStyle w:val="ListParagraph"/>
        <w:numPr>
          <w:ilvl w:val="1"/>
          <w:numId w:val="13"/>
        </w:numPr>
        <w:jc w:val="both"/>
        <w:rPr>
          <w:lang w:val="en-US"/>
        </w:rPr>
      </w:pPr>
      <w:r w:rsidRPr="00050D61">
        <w:rPr>
          <w:lang w:val="en-US"/>
        </w:rPr>
        <w:t xml:space="preserve">A tandem axle group fitted with dual </w:t>
      </w:r>
      <w:proofErr w:type="spellStart"/>
      <w:r w:rsidRPr="00050D61">
        <w:rPr>
          <w:lang w:val="en-US"/>
        </w:rPr>
        <w:t>tyres</w:t>
      </w:r>
      <w:proofErr w:type="spellEnd"/>
      <w:r w:rsidRPr="00050D61">
        <w:rPr>
          <w:lang w:val="en-US"/>
        </w:rPr>
        <w:t xml:space="preserve"> on all axles (16.5t);and</w:t>
      </w:r>
    </w:p>
    <w:p w:rsidR="00541903" w:rsidRPr="00050D61" w:rsidRDefault="00541903" w:rsidP="00583958">
      <w:pPr>
        <w:pStyle w:val="ListParagraph"/>
        <w:numPr>
          <w:ilvl w:val="1"/>
          <w:numId w:val="13"/>
        </w:numPr>
        <w:jc w:val="both"/>
        <w:rPr>
          <w:lang w:val="en-US"/>
        </w:rPr>
      </w:pPr>
      <w:r w:rsidRPr="00050D61">
        <w:rPr>
          <w:lang w:val="en-US"/>
        </w:rPr>
        <w:t xml:space="preserve">a tri-axle group fitted with dual </w:t>
      </w:r>
      <w:proofErr w:type="spellStart"/>
      <w:r w:rsidRPr="00050D61">
        <w:rPr>
          <w:lang w:val="en-US"/>
        </w:rPr>
        <w:t>tyres</w:t>
      </w:r>
      <w:proofErr w:type="spellEnd"/>
      <w:r w:rsidRPr="00050D61">
        <w:rPr>
          <w:lang w:val="en-US"/>
        </w:rPr>
        <w:t xml:space="preserve"> on all axles (20.0t);</w:t>
      </w:r>
    </w:p>
    <w:p w:rsidR="00541903" w:rsidRPr="00050D61" w:rsidRDefault="00541903" w:rsidP="00583958">
      <w:pPr>
        <w:pStyle w:val="ListParagraph"/>
        <w:numPr>
          <w:ilvl w:val="1"/>
          <w:numId w:val="13"/>
        </w:numPr>
        <w:jc w:val="both"/>
        <w:rPr>
          <w:lang w:val="en-US"/>
        </w:rPr>
      </w:pPr>
      <w:r w:rsidRPr="00050D61">
        <w:rPr>
          <w:lang w:val="en-US"/>
        </w:rPr>
        <w:t xml:space="preserve">a quad axle group fitted with dual </w:t>
      </w:r>
      <w:proofErr w:type="spellStart"/>
      <w:r w:rsidRPr="00050D61">
        <w:rPr>
          <w:lang w:val="en-US"/>
        </w:rPr>
        <w:t>tyres</w:t>
      </w:r>
      <w:proofErr w:type="spellEnd"/>
      <w:r w:rsidRPr="00050D61">
        <w:rPr>
          <w:lang w:val="en-US"/>
        </w:rPr>
        <w:t xml:space="preserve"> on all axles (20.0t);and</w:t>
      </w:r>
    </w:p>
    <w:p w:rsidR="00541903" w:rsidRPr="00050D61" w:rsidRDefault="00541903" w:rsidP="00583958">
      <w:pPr>
        <w:pStyle w:val="ListParagraph"/>
        <w:numPr>
          <w:ilvl w:val="0"/>
          <w:numId w:val="13"/>
        </w:numPr>
        <w:jc w:val="both"/>
        <w:rPr>
          <w:lang w:val="en-US"/>
        </w:rPr>
      </w:pPr>
      <w:proofErr w:type="gramStart"/>
      <w:r w:rsidRPr="00050D61">
        <w:rPr>
          <w:lang w:val="en-US"/>
        </w:rPr>
        <w:t>section</w:t>
      </w:r>
      <w:proofErr w:type="gramEnd"/>
      <w:r w:rsidRPr="00050D61">
        <w:rPr>
          <w:lang w:val="en-US"/>
        </w:rPr>
        <w:t xml:space="preserve"> 5(1) – Mass limits relating to axle spacing generally.</w:t>
      </w:r>
    </w:p>
    <w:p w:rsidR="00DC179F" w:rsidRPr="00050D61" w:rsidRDefault="00DC179F" w:rsidP="00050D61">
      <w:pPr>
        <w:jc w:val="both"/>
        <w:rPr>
          <w:b/>
          <w:lang w:eastAsia="en-US"/>
        </w:rPr>
      </w:pPr>
      <w:r w:rsidRPr="00050D61">
        <w:br w:type="page"/>
      </w:r>
    </w:p>
    <w:p w:rsidR="001341A9" w:rsidRPr="00050D61" w:rsidRDefault="001341A9" w:rsidP="00050D61">
      <w:pPr>
        <w:pStyle w:val="Sectionheading"/>
        <w:jc w:val="both"/>
      </w:pPr>
      <w:r w:rsidRPr="00050D61">
        <w:lastRenderedPageBreak/>
        <w:t>Conditions - Stated routes and areas</w:t>
      </w:r>
    </w:p>
    <w:p w:rsidR="001341A9" w:rsidRPr="00050D61" w:rsidRDefault="00296CD8" w:rsidP="00583958">
      <w:pPr>
        <w:pStyle w:val="OutlineNumberedLevel1"/>
        <w:numPr>
          <w:ilvl w:val="0"/>
          <w:numId w:val="26"/>
        </w:numPr>
        <w:contextualSpacing/>
      </w:pPr>
      <w:r w:rsidRPr="00050D61">
        <w:t xml:space="preserve">An eligible vehicle operating under this Notice </w:t>
      </w:r>
      <w:r w:rsidR="00656723" w:rsidRPr="00050D61">
        <w:t xml:space="preserve">may operate on routes </w:t>
      </w:r>
      <w:r w:rsidR="001774E6">
        <w:t xml:space="preserve">and in accordance with any conditions </w:t>
      </w:r>
      <w:r w:rsidR="00656723" w:rsidRPr="00050D61">
        <w:t>specified in the following document:</w:t>
      </w:r>
    </w:p>
    <w:p w:rsidR="00656723" w:rsidRPr="00050D61" w:rsidRDefault="00656723" w:rsidP="00050D61">
      <w:pPr>
        <w:ind w:left="2160"/>
        <w:jc w:val="both"/>
        <w:rPr>
          <w:i/>
          <w:lang w:val="en-US"/>
        </w:rPr>
      </w:pPr>
      <w:r w:rsidRPr="00050D61">
        <w:rPr>
          <w:i/>
          <w:lang w:val="en-US"/>
        </w:rPr>
        <w:t xml:space="preserve">“New South Wales Class 1 Load Carrying Vehicle </w:t>
      </w:r>
      <w:r w:rsidR="00D71DD5" w:rsidRPr="00050D61">
        <w:rPr>
          <w:i/>
          <w:lang w:val="en-US"/>
        </w:rPr>
        <w:t>Operator’s Guide</w:t>
      </w:r>
      <w:r w:rsidRPr="00050D61">
        <w:rPr>
          <w:i/>
          <w:lang w:val="en-US"/>
        </w:rPr>
        <w:t>”</w:t>
      </w:r>
    </w:p>
    <w:p w:rsidR="000E4DD9" w:rsidRPr="00050D61" w:rsidRDefault="00656723" w:rsidP="00050D61">
      <w:pPr>
        <w:ind w:left="2880" w:hanging="720"/>
        <w:jc w:val="both"/>
        <w:rPr>
          <w:i/>
          <w:lang w:val="en-US"/>
        </w:rPr>
      </w:pPr>
      <w:r w:rsidRPr="00050D61">
        <w:rPr>
          <w:i/>
          <w:lang w:val="en-US"/>
        </w:rPr>
        <w:t>Note:</w:t>
      </w:r>
      <w:r w:rsidRPr="00050D61">
        <w:rPr>
          <w:i/>
          <w:lang w:val="en-US"/>
        </w:rPr>
        <w:tab/>
        <w:t xml:space="preserve">This document </w:t>
      </w:r>
      <w:r w:rsidR="00D71DD5" w:rsidRPr="00050D61">
        <w:rPr>
          <w:i/>
          <w:lang w:val="en-US"/>
        </w:rPr>
        <w:t xml:space="preserve">is maintained by RMS and </w:t>
      </w:r>
      <w:r w:rsidRPr="00050D61">
        <w:rPr>
          <w:i/>
          <w:lang w:val="en-US"/>
        </w:rPr>
        <w:t xml:space="preserve">may be found on </w:t>
      </w:r>
      <w:r w:rsidR="00D71DD5" w:rsidRPr="00050D61">
        <w:rPr>
          <w:i/>
          <w:lang w:val="en-US"/>
        </w:rPr>
        <w:t xml:space="preserve">the </w:t>
      </w:r>
      <w:r w:rsidR="004F50F9" w:rsidRPr="00050D61">
        <w:rPr>
          <w:i/>
          <w:lang w:val="en-US"/>
        </w:rPr>
        <w:t>National Heavy Vehicle Regulator</w:t>
      </w:r>
      <w:r w:rsidR="00D71DD5" w:rsidRPr="00050D61">
        <w:rPr>
          <w:i/>
          <w:lang w:val="en-US"/>
        </w:rPr>
        <w:t xml:space="preserve"> </w:t>
      </w:r>
      <w:r w:rsidRPr="00050D61">
        <w:rPr>
          <w:i/>
          <w:lang w:val="en-US"/>
        </w:rPr>
        <w:t>website.</w:t>
      </w:r>
    </w:p>
    <w:p w:rsidR="001341A9" w:rsidRPr="00050D61" w:rsidRDefault="001341A9" w:rsidP="00050D61">
      <w:pPr>
        <w:pStyle w:val="Sectionheading"/>
        <w:jc w:val="both"/>
      </w:pPr>
      <w:r w:rsidRPr="00050D61">
        <w:t>Conditions – Conditional Masses</w:t>
      </w:r>
      <w:r w:rsidR="00B544D8" w:rsidRPr="00050D61">
        <w:t xml:space="preserve"> (Axles and Axle Groups)</w:t>
      </w:r>
    </w:p>
    <w:p w:rsidR="001341A9" w:rsidRPr="00050D61" w:rsidRDefault="001341A9" w:rsidP="00583958">
      <w:pPr>
        <w:pStyle w:val="OutlineNumberedLevel1"/>
        <w:numPr>
          <w:ilvl w:val="0"/>
          <w:numId w:val="27"/>
        </w:numPr>
        <w:contextualSpacing/>
      </w:pPr>
      <w:r w:rsidRPr="00050D61">
        <w:t xml:space="preserve">Notwithstanding the mass limits set out in this Part; </w:t>
      </w:r>
    </w:p>
    <w:p w:rsidR="001341A9" w:rsidRPr="00050D61" w:rsidRDefault="001341A9" w:rsidP="00583958">
      <w:pPr>
        <w:pStyle w:val="ListParagraph"/>
        <w:numPr>
          <w:ilvl w:val="0"/>
          <w:numId w:val="18"/>
        </w:numPr>
        <w:ind w:firstLine="414"/>
        <w:jc w:val="both"/>
        <w:rPr>
          <w:lang w:val="en-US"/>
        </w:rPr>
      </w:pPr>
      <w:r w:rsidRPr="00050D61">
        <w:rPr>
          <w:lang w:val="en-US"/>
        </w:rPr>
        <w:t xml:space="preserve">the total mass of a vehicle and any load must not exceed the vehicle’s GVM; and </w:t>
      </w:r>
    </w:p>
    <w:p w:rsidR="001341A9" w:rsidRPr="00050D61" w:rsidRDefault="001341A9" w:rsidP="00583958">
      <w:pPr>
        <w:pStyle w:val="ListParagraph"/>
        <w:numPr>
          <w:ilvl w:val="0"/>
          <w:numId w:val="18"/>
        </w:numPr>
        <w:ind w:left="1134" w:firstLine="0"/>
        <w:jc w:val="both"/>
        <w:rPr>
          <w:lang w:val="en-US"/>
        </w:rPr>
      </w:pPr>
      <w:proofErr w:type="gramStart"/>
      <w:r w:rsidRPr="00050D61">
        <w:rPr>
          <w:lang w:val="en-US"/>
        </w:rPr>
        <w:t>the</w:t>
      </w:r>
      <w:proofErr w:type="gramEnd"/>
      <w:r w:rsidRPr="00050D61">
        <w:rPr>
          <w:lang w:val="en-US"/>
        </w:rPr>
        <w:t xml:space="preserve"> axle load must not exceed the limit set by its manufacturer.</w:t>
      </w:r>
    </w:p>
    <w:p w:rsidR="001341A9" w:rsidRPr="00050D61" w:rsidRDefault="001341A9" w:rsidP="00583958">
      <w:pPr>
        <w:pStyle w:val="OutlineNumberedLevel1"/>
        <w:numPr>
          <w:ilvl w:val="0"/>
          <w:numId w:val="27"/>
        </w:numPr>
        <w:contextualSpacing/>
      </w:pPr>
      <w:r w:rsidRPr="00050D61">
        <w:t>The mass on a single axle or</w:t>
      </w:r>
      <w:r w:rsidR="000E4DD9" w:rsidRPr="00050D61">
        <w:t xml:space="preserve"> axle group described in Table 1</w:t>
      </w:r>
      <w:r w:rsidRPr="00050D61">
        <w:t xml:space="preserve"> must not exceed the mass limit specified opposite its description in the Table if it is a combination consisting of a tandem drive prime mover towing: </w:t>
      </w:r>
    </w:p>
    <w:p w:rsidR="001341A9" w:rsidRPr="00050D61" w:rsidRDefault="001341A9" w:rsidP="00583958">
      <w:pPr>
        <w:pStyle w:val="ListParagraph"/>
        <w:numPr>
          <w:ilvl w:val="0"/>
          <w:numId w:val="14"/>
        </w:numPr>
        <w:ind w:hanging="22"/>
        <w:jc w:val="both"/>
        <w:rPr>
          <w:lang w:val="en-US"/>
        </w:rPr>
      </w:pPr>
      <w:r w:rsidRPr="00050D61">
        <w:rPr>
          <w:lang w:val="en-US"/>
        </w:rPr>
        <w:t>a low loader, or</w:t>
      </w:r>
    </w:p>
    <w:p w:rsidR="001341A9" w:rsidRPr="00050D61" w:rsidRDefault="001341A9" w:rsidP="00583958">
      <w:pPr>
        <w:pStyle w:val="ListParagraph"/>
        <w:numPr>
          <w:ilvl w:val="0"/>
          <w:numId w:val="14"/>
        </w:numPr>
        <w:ind w:hanging="22"/>
        <w:jc w:val="both"/>
        <w:rPr>
          <w:lang w:val="en-US"/>
        </w:rPr>
      </w:pPr>
      <w:r w:rsidRPr="00050D61">
        <w:rPr>
          <w:lang w:val="en-US"/>
        </w:rPr>
        <w:t>a low loader dolly and a low loader, or</w:t>
      </w:r>
    </w:p>
    <w:p w:rsidR="001341A9" w:rsidRPr="00050D61" w:rsidRDefault="001341A9" w:rsidP="00583958">
      <w:pPr>
        <w:pStyle w:val="ListParagraph"/>
        <w:numPr>
          <w:ilvl w:val="0"/>
          <w:numId w:val="14"/>
        </w:numPr>
        <w:ind w:hanging="22"/>
        <w:jc w:val="both"/>
        <w:rPr>
          <w:lang w:val="en-US"/>
        </w:rPr>
      </w:pPr>
      <w:r w:rsidRPr="00050D61">
        <w:rPr>
          <w:lang w:val="en-US"/>
        </w:rPr>
        <w:t xml:space="preserve">a </w:t>
      </w:r>
      <w:proofErr w:type="spellStart"/>
      <w:r w:rsidRPr="00050D61">
        <w:rPr>
          <w:lang w:val="en-US"/>
        </w:rPr>
        <w:t>jinker</w:t>
      </w:r>
      <w:proofErr w:type="spellEnd"/>
      <w:r w:rsidRPr="00050D61">
        <w:rPr>
          <w:lang w:val="en-US"/>
        </w:rPr>
        <w:t>, or</w:t>
      </w:r>
    </w:p>
    <w:p w:rsidR="00033FFA" w:rsidRPr="00050D61" w:rsidRDefault="001341A9" w:rsidP="00583958">
      <w:pPr>
        <w:pStyle w:val="ListParagraph"/>
        <w:numPr>
          <w:ilvl w:val="0"/>
          <w:numId w:val="14"/>
        </w:numPr>
        <w:ind w:hanging="22"/>
        <w:jc w:val="both"/>
        <w:rPr>
          <w:lang w:val="en-US"/>
        </w:rPr>
      </w:pPr>
      <w:r w:rsidRPr="00050D61">
        <w:rPr>
          <w:lang w:val="en-US"/>
        </w:rPr>
        <w:t xml:space="preserve">a low loader dolly and a </w:t>
      </w:r>
      <w:proofErr w:type="spellStart"/>
      <w:r w:rsidRPr="00050D61">
        <w:rPr>
          <w:lang w:val="en-US"/>
        </w:rPr>
        <w:t>jinker</w:t>
      </w:r>
      <w:proofErr w:type="spellEnd"/>
    </w:p>
    <w:p w:rsidR="000E4DD9" w:rsidRPr="00050D61" w:rsidRDefault="000E4DD9" w:rsidP="00050D61">
      <w:pPr>
        <w:jc w:val="both"/>
        <w:rPr>
          <w:b/>
        </w:rPr>
      </w:pPr>
      <w:r w:rsidRPr="00050D61">
        <w:rPr>
          <w:b/>
        </w:rPr>
        <w:t>Table 1:  Single axle and axle group masses</w:t>
      </w:r>
    </w:p>
    <w:tbl>
      <w:tblPr>
        <w:tblW w:w="4093" w:type="pct"/>
        <w:tblInd w:w="739" w:type="dxa"/>
        <w:tblCellMar>
          <w:top w:w="30" w:type="dxa"/>
          <w:left w:w="30" w:type="dxa"/>
          <w:bottom w:w="30" w:type="dxa"/>
          <w:right w:w="30" w:type="dxa"/>
        </w:tblCellMar>
        <w:tblLook w:val="0000" w:firstRow="0" w:lastRow="0" w:firstColumn="0" w:lastColumn="0" w:noHBand="0" w:noVBand="0"/>
        <w:tblCaption w:val="Table 1: Single Axle or Axle Group Masses"/>
        <w:tblDescription w:val="A table of conditional masses avaialble to eligible vehicles operating under this Notice."/>
      </w:tblPr>
      <w:tblGrid>
        <w:gridCol w:w="6805"/>
        <w:gridCol w:w="1134"/>
      </w:tblGrid>
      <w:tr w:rsidR="00050D61" w:rsidRPr="00050D61" w:rsidTr="00050D61">
        <w:trPr>
          <w:trHeight w:val="619"/>
        </w:trPr>
        <w:tc>
          <w:tcPr>
            <w:tcW w:w="4286" w:type="pct"/>
            <w:tcBorders>
              <w:top w:val="single" w:sz="4" w:space="0" w:color="auto"/>
              <w:left w:val="single" w:sz="4" w:space="0" w:color="auto"/>
              <w:bottom w:val="single" w:sz="4" w:space="0" w:color="auto"/>
              <w:right w:val="single" w:sz="4" w:space="0" w:color="auto"/>
            </w:tcBorders>
          </w:tcPr>
          <w:p w:rsidR="000E4DD9" w:rsidRPr="00050D61" w:rsidRDefault="000E4DD9" w:rsidP="00050D61">
            <w:pPr>
              <w:jc w:val="center"/>
              <w:rPr>
                <w:b/>
              </w:rPr>
            </w:pPr>
            <w:r w:rsidRPr="00050D61">
              <w:rPr>
                <w:b/>
              </w:rPr>
              <w:t>Single axle or axle group</w:t>
            </w:r>
          </w:p>
        </w:tc>
        <w:tc>
          <w:tcPr>
            <w:tcW w:w="714" w:type="pct"/>
            <w:tcBorders>
              <w:top w:val="single" w:sz="4" w:space="0" w:color="auto"/>
              <w:left w:val="single" w:sz="4" w:space="0" w:color="auto"/>
              <w:bottom w:val="single" w:sz="4" w:space="0" w:color="auto"/>
              <w:right w:val="single" w:sz="4" w:space="0" w:color="auto"/>
            </w:tcBorders>
          </w:tcPr>
          <w:p w:rsidR="000E4DD9" w:rsidRPr="00050D61" w:rsidRDefault="000E4DD9" w:rsidP="00050D61">
            <w:pPr>
              <w:jc w:val="center"/>
              <w:rPr>
                <w:b/>
              </w:rPr>
            </w:pPr>
            <w:r w:rsidRPr="00050D61">
              <w:rPr>
                <w:b/>
              </w:rPr>
              <w:t>Mass limit (tonnes)</w:t>
            </w:r>
          </w:p>
        </w:tc>
      </w:tr>
      <w:tr w:rsidR="00050D61" w:rsidRPr="00050D61" w:rsidTr="00050D61">
        <w:tc>
          <w:tcPr>
            <w:tcW w:w="4286" w:type="pct"/>
            <w:tcBorders>
              <w:top w:val="single" w:sz="4" w:space="0" w:color="auto"/>
              <w:left w:val="single" w:sz="4" w:space="0" w:color="auto"/>
              <w:bottom w:val="single" w:sz="4" w:space="0" w:color="auto"/>
              <w:right w:val="single" w:sz="4" w:space="0" w:color="auto"/>
            </w:tcBorders>
          </w:tcPr>
          <w:p w:rsidR="000E4DD9" w:rsidRPr="00050D61" w:rsidRDefault="000E4DD9" w:rsidP="00050D61">
            <w:pPr>
              <w:jc w:val="center"/>
            </w:pPr>
            <w:r w:rsidRPr="00050D61">
              <w:t>Steer axle with 2 tyres</w:t>
            </w:r>
          </w:p>
        </w:tc>
        <w:tc>
          <w:tcPr>
            <w:tcW w:w="714" w:type="pct"/>
            <w:tcBorders>
              <w:top w:val="single" w:sz="4" w:space="0" w:color="auto"/>
              <w:left w:val="single" w:sz="4" w:space="0" w:color="auto"/>
              <w:bottom w:val="single" w:sz="4" w:space="0" w:color="auto"/>
              <w:right w:val="single" w:sz="4" w:space="0" w:color="auto"/>
            </w:tcBorders>
          </w:tcPr>
          <w:p w:rsidR="000E4DD9" w:rsidRPr="00050D61" w:rsidRDefault="000E4DD9" w:rsidP="00050D61">
            <w:pPr>
              <w:jc w:val="center"/>
            </w:pPr>
            <w:r w:rsidRPr="00050D61">
              <w:t>6.0</w:t>
            </w:r>
          </w:p>
        </w:tc>
      </w:tr>
      <w:tr w:rsidR="00050D61" w:rsidRPr="00050D61" w:rsidTr="00050D61">
        <w:tc>
          <w:tcPr>
            <w:tcW w:w="4286" w:type="pct"/>
            <w:tcBorders>
              <w:top w:val="single" w:sz="4" w:space="0" w:color="auto"/>
              <w:left w:val="single" w:sz="4" w:space="0" w:color="auto"/>
              <w:bottom w:val="single" w:sz="4" w:space="0" w:color="auto"/>
              <w:right w:val="single" w:sz="4" w:space="0" w:color="auto"/>
            </w:tcBorders>
          </w:tcPr>
          <w:p w:rsidR="000E4DD9" w:rsidRPr="00050D61" w:rsidRDefault="000E4DD9" w:rsidP="00050D61">
            <w:pPr>
              <w:jc w:val="center"/>
            </w:pPr>
            <w:proofErr w:type="spellStart"/>
            <w:r w:rsidRPr="00050D61">
              <w:t>Twinsteer</w:t>
            </w:r>
            <w:proofErr w:type="spellEnd"/>
            <w:r w:rsidRPr="00050D61">
              <w:t xml:space="preserve"> axle group without a load-sharing suspension system</w:t>
            </w:r>
          </w:p>
        </w:tc>
        <w:tc>
          <w:tcPr>
            <w:tcW w:w="714" w:type="pct"/>
            <w:tcBorders>
              <w:top w:val="single" w:sz="4" w:space="0" w:color="auto"/>
              <w:left w:val="single" w:sz="4" w:space="0" w:color="auto"/>
              <w:bottom w:val="single" w:sz="4" w:space="0" w:color="auto"/>
              <w:right w:val="single" w:sz="4" w:space="0" w:color="auto"/>
            </w:tcBorders>
          </w:tcPr>
          <w:p w:rsidR="000E4DD9" w:rsidRPr="00050D61" w:rsidRDefault="000E4DD9" w:rsidP="00050D61">
            <w:pPr>
              <w:jc w:val="center"/>
            </w:pPr>
            <w:r w:rsidRPr="00050D61">
              <w:t>10.0</w:t>
            </w:r>
          </w:p>
        </w:tc>
      </w:tr>
      <w:tr w:rsidR="00050D61" w:rsidRPr="00050D61" w:rsidTr="00050D61">
        <w:tc>
          <w:tcPr>
            <w:tcW w:w="4286" w:type="pct"/>
            <w:tcBorders>
              <w:top w:val="single" w:sz="4" w:space="0" w:color="auto"/>
              <w:left w:val="single" w:sz="4" w:space="0" w:color="auto"/>
              <w:bottom w:val="single" w:sz="4" w:space="0" w:color="auto"/>
              <w:right w:val="single" w:sz="4" w:space="0" w:color="auto"/>
            </w:tcBorders>
          </w:tcPr>
          <w:p w:rsidR="000E4DD9" w:rsidRPr="00050D61" w:rsidRDefault="000E4DD9" w:rsidP="00050D61">
            <w:pPr>
              <w:jc w:val="center"/>
            </w:pPr>
            <w:proofErr w:type="spellStart"/>
            <w:r w:rsidRPr="00050D61">
              <w:t>Twinsteer</w:t>
            </w:r>
            <w:proofErr w:type="spellEnd"/>
            <w:r w:rsidRPr="00050D61">
              <w:t xml:space="preserve"> axle group with a load-sharing suspension system</w:t>
            </w:r>
          </w:p>
        </w:tc>
        <w:tc>
          <w:tcPr>
            <w:tcW w:w="714" w:type="pct"/>
            <w:tcBorders>
              <w:top w:val="single" w:sz="4" w:space="0" w:color="auto"/>
              <w:left w:val="single" w:sz="4" w:space="0" w:color="auto"/>
              <w:bottom w:val="single" w:sz="4" w:space="0" w:color="auto"/>
              <w:right w:val="single" w:sz="4" w:space="0" w:color="auto"/>
            </w:tcBorders>
          </w:tcPr>
          <w:p w:rsidR="000E4DD9" w:rsidRPr="00050D61" w:rsidRDefault="000E4DD9" w:rsidP="00050D61">
            <w:pPr>
              <w:jc w:val="center"/>
            </w:pPr>
            <w:r w:rsidRPr="00050D61">
              <w:t>11.0</w:t>
            </w:r>
          </w:p>
        </w:tc>
      </w:tr>
      <w:tr w:rsidR="00050D61" w:rsidRPr="00050D61" w:rsidTr="00050D61">
        <w:tc>
          <w:tcPr>
            <w:tcW w:w="4286" w:type="pct"/>
            <w:tcBorders>
              <w:top w:val="single" w:sz="4" w:space="0" w:color="auto"/>
              <w:left w:val="single" w:sz="4" w:space="0" w:color="auto"/>
              <w:bottom w:val="single" w:sz="4" w:space="0" w:color="auto"/>
              <w:right w:val="single" w:sz="4" w:space="0" w:color="auto"/>
            </w:tcBorders>
          </w:tcPr>
          <w:p w:rsidR="000E4DD9" w:rsidRPr="00050D61" w:rsidRDefault="000E4DD9" w:rsidP="00050D61">
            <w:pPr>
              <w:jc w:val="center"/>
            </w:pPr>
            <w:r w:rsidRPr="00050D61">
              <w:t>Single axle with 8 tyres</w:t>
            </w:r>
          </w:p>
        </w:tc>
        <w:tc>
          <w:tcPr>
            <w:tcW w:w="714" w:type="pct"/>
            <w:tcBorders>
              <w:top w:val="single" w:sz="4" w:space="0" w:color="auto"/>
              <w:left w:val="single" w:sz="4" w:space="0" w:color="auto"/>
              <w:bottom w:val="single" w:sz="4" w:space="0" w:color="auto"/>
              <w:right w:val="single" w:sz="4" w:space="0" w:color="auto"/>
            </w:tcBorders>
          </w:tcPr>
          <w:p w:rsidR="000E4DD9" w:rsidRPr="00050D61" w:rsidRDefault="000E4DD9" w:rsidP="00050D61">
            <w:pPr>
              <w:jc w:val="center"/>
            </w:pPr>
            <w:r w:rsidRPr="00050D61">
              <w:t>12.0</w:t>
            </w:r>
          </w:p>
        </w:tc>
      </w:tr>
      <w:tr w:rsidR="00050D61" w:rsidRPr="00050D61" w:rsidTr="00050D61">
        <w:tc>
          <w:tcPr>
            <w:tcW w:w="4286" w:type="pct"/>
            <w:tcBorders>
              <w:top w:val="single" w:sz="4" w:space="0" w:color="auto"/>
              <w:left w:val="single" w:sz="4" w:space="0" w:color="auto"/>
              <w:bottom w:val="single" w:sz="4" w:space="0" w:color="auto"/>
              <w:right w:val="single" w:sz="4" w:space="0" w:color="auto"/>
            </w:tcBorders>
          </w:tcPr>
          <w:p w:rsidR="000E4DD9" w:rsidRPr="00050D61" w:rsidRDefault="000E4DD9" w:rsidP="00050D61">
            <w:pPr>
              <w:jc w:val="center"/>
            </w:pPr>
            <w:r w:rsidRPr="00050D61">
              <w:t>Tandem axle group with 8 or more tyres, not on a trailer</w:t>
            </w:r>
          </w:p>
        </w:tc>
        <w:tc>
          <w:tcPr>
            <w:tcW w:w="714" w:type="pct"/>
            <w:tcBorders>
              <w:top w:val="single" w:sz="4" w:space="0" w:color="auto"/>
              <w:left w:val="single" w:sz="4" w:space="0" w:color="auto"/>
              <w:bottom w:val="single" w:sz="4" w:space="0" w:color="auto"/>
              <w:right w:val="single" w:sz="4" w:space="0" w:color="auto"/>
            </w:tcBorders>
          </w:tcPr>
          <w:p w:rsidR="000E4DD9" w:rsidRPr="00050D61" w:rsidRDefault="000E4DD9" w:rsidP="00050D61">
            <w:pPr>
              <w:jc w:val="center"/>
            </w:pPr>
            <w:r w:rsidRPr="00050D61">
              <w:t>18.5</w:t>
            </w:r>
          </w:p>
        </w:tc>
      </w:tr>
      <w:tr w:rsidR="00050D61" w:rsidRPr="00050D61" w:rsidTr="00050D61">
        <w:tc>
          <w:tcPr>
            <w:tcW w:w="4286" w:type="pct"/>
            <w:tcBorders>
              <w:top w:val="single" w:sz="4" w:space="0" w:color="auto"/>
              <w:left w:val="single" w:sz="4" w:space="0" w:color="auto"/>
              <w:bottom w:val="single" w:sz="4" w:space="0" w:color="auto"/>
              <w:right w:val="single" w:sz="4" w:space="0" w:color="auto"/>
            </w:tcBorders>
          </w:tcPr>
          <w:p w:rsidR="000E4DD9" w:rsidRPr="00050D61" w:rsidRDefault="000E4DD9" w:rsidP="00050D61">
            <w:pPr>
              <w:jc w:val="center"/>
            </w:pPr>
            <w:r w:rsidRPr="00050D61">
              <w:t>Tandem axle group with 8 or more tyres, on a trailer</w:t>
            </w:r>
          </w:p>
        </w:tc>
        <w:tc>
          <w:tcPr>
            <w:tcW w:w="714" w:type="pct"/>
            <w:tcBorders>
              <w:top w:val="single" w:sz="4" w:space="0" w:color="auto"/>
              <w:left w:val="single" w:sz="4" w:space="0" w:color="auto"/>
              <w:bottom w:val="single" w:sz="4" w:space="0" w:color="auto"/>
              <w:right w:val="single" w:sz="4" w:space="0" w:color="auto"/>
            </w:tcBorders>
          </w:tcPr>
          <w:p w:rsidR="000E4DD9" w:rsidRPr="00050D61" w:rsidRDefault="000E4DD9" w:rsidP="00050D61">
            <w:pPr>
              <w:jc w:val="center"/>
            </w:pPr>
            <w:r w:rsidRPr="00050D61">
              <w:t>18.5</w:t>
            </w:r>
          </w:p>
        </w:tc>
      </w:tr>
      <w:tr w:rsidR="00050D61" w:rsidRPr="00050D61" w:rsidTr="00050D61">
        <w:tc>
          <w:tcPr>
            <w:tcW w:w="4286" w:type="pct"/>
            <w:tcBorders>
              <w:top w:val="single" w:sz="4" w:space="0" w:color="auto"/>
              <w:left w:val="single" w:sz="4" w:space="0" w:color="auto"/>
              <w:bottom w:val="single" w:sz="4" w:space="0" w:color="auto"/>
              <w:right w:val="single" w:sz="4" w:space="0" w:color="auto"/>
            </w:tcBorders>
          </w:tcPr>
          <w:p w:rsidR="000E4DD9" w:rsidRPr="00050D61" w:rsidRDefault="000E4DD9" w:rsidP="00050D61">
            <w:pPr>
              <w:jc w:val="center"/>
            </w:pPr>
            <w:r w:rsidRPr="00050D61">
              <w:t>Tandem axle group with 16 or more tyres, on a trailer</w:t>
            </w:r>
          </w:p>
        </w:tc>
        <w:tc>
          <w:tcPr>
            <w:tcW w:w="714" w:type="pct"/>
            <w:tcBorders>
              <w:top w:val="single" w:sz="4" w:space="0" w:color="auto"/>
              <w:left w:val="single" w:sz="4" w:space="0" w:color="auto"/>
              <w:bottom w:val="single" w:sz="4" w:space="0" w:color="auto"/>
              <w:right w:val="single" w:sz="4" w:space="0" w:color="auto"/>
            </w:tcBorders>
          </w:tcPr>
          <w:p w:rsidR="000E4DD9" w:rsidRPr="00050D61" w:rsidRDefault="000E4DD9" w:rsidP="00050D61">
            <w:pPr>
              <w:jc w:val="center"/>
            </w:pPr>
            <w:r w:rsidRPr="00050D61">
              <w:t>21.0</w:t>
            </w:r>
          </w:p>
        </w:tc>
      </w:tr>
      <w:tr w:rsidR="00050D61" w:rsidRPr="00050D61" w:rsidTr="00050D61">
        <w:tc>
          <w:tcPr>
            <w:tcW w:w="4286" w:type="pct"/>
            <w:tcBorders>
              <w:top w:val="single" w:sz="4" w:space="0" w:color="auto"/>
              <w:left w:val="single" w:sz="4" w:space="0" w:color="auto"/>
              <w:bottom w:val="single" w:sz="4" w:space="0" w:color="auto"/>
              <w:right w:val="single" w:sz="4" w:space="0" w:color="auto"/>
            </w:tcBorders>
          </w:tcPr>
          <w:p w:rsidR="000E4DD9" w:rsidRPr="00050D61" w:rsidRDefault="000E4DD9" w:rsidP="00050D61">
            <w:pPr>
              <w:jc w:val="center"/>
            </w:pPr>
            <w:r w:rsidRPr="00050D61">
              <w:t>Tri-axle group with 12 or more tyres</w:t>
            </w:r>
          </w:p>
        </w:tc>
        <w:tc>
          <w:tcPr>
            <w:tcW w:w="714" w:type="pct"/>
            <w:tcBorders>
              <w:top w:val="single" w:sz="4" w:space="0" w:color="auto"/>
              <w:left w:val="single" w:sz="4" w:space="0" w:color="auto"/>
              <w:bottom w:val="single" w:sz="4" w:space="0" w:color="auto"/>
              <w:right w:val="single" w:sz="4" w:space="0" w:color="auto"/>
            </w:tcBorders>
          </w:tcPr>
          <w:p w:rsidR="000E4DD9" w:rsidRPr="00050D61" w:rsidRDefault="000E4DD9" w:rsidP="00050D61">
            <w:pPr>
              <w:jc w:val="center"/>
            </w:pPr>
            <w:r w:rsidRPr="00050D61">
              <w:t>25.0</w:t>
            </w:r>
          </w:p>
        </w:tc>
      </w:tr>
      <w:tr w:rsidR="00050D61" w:rsidRPr="00050D61" w:rsidTr="00050D61">
        <w:tc>
          <w:tcPr>
            <w:tcW w:w="4286" w:type="pct"/>
            <w:tcBorders>
              <w:top w:val="single" w:sz="4" w:space="0" w:color="auto"/>
              <w:left w:val="single" w:sz="4" w:space="0" w:color="auto"/>
              <w:bottom w:val="single" w:sz="4" w:space="0" w:color="auto"/>
              <w:right w:val="single" w:sz="4" w:space="0" w:color="auto"/>
            </w:tcBorders>
          </w:tcPr>
          <w:p w:rsidR="000E4DD9" w:rsidRPr="00050D61" w:rsidRDefault="000E4DD9" w:rsidP="00050D61">
            <w:pPr>
              <w:jc w:val="center"/>
            </w:pPr>
            <w:r w:rsidRPr="00050D61">
              <w:t>Oversize tri-axle group with 12 or more tyres or quad axle group with 16 or more tyres</w:t>
            </w:r>
          </w:p>
        </w:tc>
        <w:tc>
          <w:tcPr>
            <w:tcW w:w="714" w:type="pct"/>
            <w:tcBorders>
              <w:top w:val="single" w:sz="4" w:space="0" w:color="auto"/>
              <w:left w:val="single" w:sz="4" w:space="0" w:color="auto"/>
              <w:bottom w:val="single" w:sz="4" w:space="0" w:color="auto"/>
              <w:right w:val="single" w:sz="4" w:space="0" w:color="auto"/>
            </w:tcBorders>
          </w:tcPr>
          <w:p w:rsidR="000E4DD9" w:rsidRPr="00050D61" w:rsidRDefault="000E4DD9" w:rsidP="00050D61">
            <w:pPr>
              <w:jc w:val="center"/>
            </w:pPr>
            <w:r w:rsidRPr="00050D61">
              <w:t>27.0</w:t>
            </w:r>
          </w:p>
        </w:tc>
      </w:tr>
    </w:tbl>
    <w:p w:rsidR="001341A9" w:rsidRPr="00050D61" w:rsidRDefault="001341A9" w:rsidP="00050D61">
      <w:pPr>
        <w:jc w:val="both"/>
      </w:pPr>
    </w:p>
    <w:p w:rsidR="000E4DD9" w:rsidRPr="00050D61" w:rsidRDefault="000E4DD9" w:rsidP="00583958">
      <w:pPr>
        <w:pStyle w:val="OutlineNumberedLevel1"/>
        <w:numPr>
          <w:ilvl w:val="0"/>
          <w:numId w:val="27"/>
        </w:numPr>
        <w:contextualSpacing/>
      </w:pPr>
      <w:r w:rsidRPr="00050D61">
        <w:lastRenderedPageBreak/>
        <w:t xml:space="preserve">When laden, if a low loader dolly is included in the combination the drive axle group must be at </w:t>
      </w:r>
      <w:bookmarkStart w:id="0" w:name="_GoBack"/>
      <w:bookmarkEnd w:id="0"/>
      <w:r w:rsidRPr="00050D61">
        <w:t>least 14 tonne.</w:t>
      </w:r>
    </w:p>
    <w:p w:rsidR="000E4DD9" w:rsidRPr="00050D61" w:rsidRDefault="000E4DD9" w:rsidP="00583958">
      <w:pPr>
        <w:pStyle w:val="OutlineNumberedLevel1"/>
        <w:numPr>
          <w:ilvl w:val="0"/>
          <w:numId w:val="27"/>
        </w:numPr>
        <w:contextualSpacing/>
      </w:pPr>
      <w:r w:rsidRPr="00050D61">
        <w:t>The sum of the mass on each of the combination’s single axles and axle groups must not exceed the sum of the mass limits specified for each of them in Table 1.</w:t>
      </w:r>
    </w:p>
    <w:p w:rsidR="000E4DD9" w:rsidRPr="00050D61" w:rsidRDefault="000E4DD9" w:rsidP="00583958">
      <w:pPr>
        <w:pStyle w:val="OutlineNumberedLevel1"/>
        <w:numPr>
          <w:ilvl w:val="0"/>
          <w:numId w:val="27"/>
        </w:numPr>
        <w:contextualSpacing/>
      </w:pPr>
      <w:r w:rsidRPr="00050D61">
        <w:t xml:space="preserve">In addition, the total mass of the combination and any load must not exceed: </w:t>
      </w:r>
    </w:p>
    <w:p w:rsidR="000E4DD9" w:rsidRPr="00050D61" w:rsidRDefault="000E4DD9" w:rsidP="00583958">
      <w:pPr>
        <w:pStyle w:val="ListParagraph"/>
        <w:numPr>
          <w:ilvl w:val="0"/>
          <w:numId w:val="15"/>
        </w:numPr>
        <w:jc w:val="both"/>
        <w:rPr>
          <w:lang w:val="en-US"/>
        </w:rPr>
      </w:pPr>
      <w:r w:rsidRPr="00050D61">
        <w:rPr>
          <w:lang w:val="en-US"/>
        </w:rPr>
        <w:t xml:space="preserve">49.5 </w:t>
      </w:r>
      <w:proofErr w:type="spellStart"/>
      <w:r w:rsidRPr="00050D61">
        <w:rPr>
          <w:lang w:val="en-US"/>
        </w:rPr>
        <w:t>tonnes</w:t>
      </w:r>
      <w:proofErr w:type="spellEnd"/>
      <w:r w:rsidRPr="00050D61">
        <w:rPr>
          <w:lang w:val="en-US"/>
        </w:rPr>
        <w:t xml:space="preserve"> if the distance between the </w:t>
      </w:r>
      <w:proofErr w:type="spellStart"/>
      <w:r w:rsidRPr="00050D61">
        <w:rPr>
          <w:lang w:val="en-US"/>
        </w:rPr>
        <w:t>centre</w:t>
      </w:r>
      <w:proofErr w:type="spellEnd"/>
      <w:r w:rsidRPr="00050D61">
        <w:rPr>
          <w:lang w:val="en-US"/>
        </w:rPr>
        <w:t xml:space="preserve">-line of the rearmost axle of the towing vehicle and the </w:t>
      </w:r>
      <w:proofErr w:type="spellStart"/>
      <w:r w:rsidRPr="00050D61">
        <w:rPr>
          <w:lang w:val="en-US"/>
        </w:rPr>
        <w:t>centre</w:t>
      </w:r>
      <w:proofErr w:type="spellEnd"/>
      <w:r w:rsidRPr="00050D61">
        <w:rPr>
          <w:lang w:val="en-US"/>
        </w:rPr>
        <w:t>-line of the foremost axle of the combination’s rear axle group is 6 m or more, or</w:t>
      </w:r>
    </w:p>
    <w:p w:rsidR="000E4DD9" w:rsidRPr="00050D61" w:rsidRDefault="000E4DD9" w:rsidP="00583958">
      <w:pPr>
        <w:pStyle w:val="ListParagraph"/>
        <w:numPr>
          <w:ilvl w:val="0"/>
          <w:numId w:val="15"/>
        </w:numPr>
        <w:jc w:val="both"/>
        <w:rPr>
          <w:lang w:val="en-US"/>
        </w:rPr>
      </w:pPr>
      <w:r w:rsidRPr="00050D61">
        <w:rPr>
          <w:lang w:val="en-US"/>
        </w:rPr>
        <w:t xml:space="preserve">49.5 </w:t>
      </w:r>
      <w:proofErr w:type="spellStart"/>
      <w:r w:rsidRPr="00050D61">
        <w:rPr>
          <w:lang w:val="en-US"/>
        </w:rPr>
        <w:t>tonnes</w:t>
      </w:r>
      <w:proofErr w:type="spellEnd"/>
      <w:r w:rsidRPr="00050D61">
        <w:rPr>
          <w:lang w:val="en-US"/>
        </w:rPr>
        <w:t xml:space="preserve"> decreased by 1 </w:t>
      </w:r>
      <w:proofErr w:type="spellStart"/>
      <w:r w:rsidRPr="00050D61">
        <w:rPr>
          <w:lang w:val="en-US"/>
        </w:rPr>
        <w:t>tonne</w:t>
      </w:r>
      <w:proofErr w:type="spellEnd"/>
      <w:r w:rsidRPr="00050D61">
        <w:rPr>
          <w:lang w:val="en-US"/>
        </w:rPr>
        <w:t xml:space="preserve"> for every 0.3m by which the distance referred to in paragraph (a) is less than 6 m.</w:t>
      </w:r>
    </w:p>
    <w:p w:rsidR="000E4DD9" w:rsidRPr="00050D61" w:rsidRDefault="000E4DD9" w:rsidP="00583958">
      <w:pPr>
        <w:pStyle w:val="OutlineNumberedLevel1"/>
        <w:numPr>
          <w:ilvl w:val="0"/>
          <w:numId w:val="27"/>
        </w:numPr>
        <w:contextualSpacing/>
      </w:pPr>
      <w:r w:rsidRPr="00050D61">
        <w:t xml:space="preserve">The mass on an axle group or single axle must not exceed the relevant limit set by Schedule 1 to the Regulation if it is: </w:t>
      </w:r>
    </w:p>
    <w:p w:rsidR="000E4DD9" w:rsidRPr="00050D61" w:rsidRDefault="000E4DD9" w:rsidP="00583958">
      <w:pPr>
        <w:pStyle w:val="ListParagraph"/>
        <w:numPr>
          <w:ilvl w:val="0"/>
          <w:numId w:val="16"/>
        </w:numPr>
        <w:jc w:val="both"/>
        <w:rPr>
          <w:lang w:val="en-US"/>
        </w:rPr>
      </w:pPr>
      <w:r w:rsidRPr="00050D61">
        <w:rPr>
          <w:lang w:val="en-US"/>
        </w:rPr>
        <w:t>not described in Table 1</w:t>
      </w:r>
      <w:r w:rsidR="00D973DC" w:rsidRPr="00050D61">
        <w:rPr>
          <w:lang w:val="en-US"/>
        </w:rPr>
        <w:t>;</w:t>
      </w:r>
      <w:r w:rsidRPr="00050D61">
        <w:rPr>
          <w:lang w:val="en-US"/>
        </w:rPr>
        <w:t xml:space="preserve"> or</w:t>
      </w:r>
    </w:p>
    <w:p w:rsidR="000E4DD9" w:rsidRPr="00050D61" w:rsidRDefault="000E4DD9" w:rsidP="00583958">
      <w:pPr>
        <w:pStyle w:val="ListParagraph"/>
        <w:numPr>
          <w:ilvl w:val="0"/>
          <w:numId w:val="16"/>
        </w:numPr>
        <w:jc w:val="both"/>
        <w:rPr>
          <w:lang w:val="en-US"/>
        </w:rPr>
      </w:pPr>
      <w:proofErr w:type="gramStart"/>
      <w:r w:rsidRPr="00050D61">
        <w:rPr>
          <w:lang w:val="en-US"/>
        </w:rPr>
        <w:t>on</w:t>
      </w:r>
      <w:proofErr w:type="gramEnd"/>
      <w:r w:rsidRPr="00050D61">
        <w:rPr>
          <w:lang w:val="en-US"/>
        </w:rPr>
        <w:t xml:space="preserve"> a load-carrying vehicle or combination except one described in </w:t>
      </w:r>
      <w:r w:rsidR="000B3D87" w:rsidRPr="00050D61">
        <w:rPr>
          <w:lang w:val="en-US"/>
        </w:rPr>
        <w:t>c</w:t>
      </w:r>
      <w:r w:rsidRPr="00050D61">
        <w:rPr>
          <w:lang w:val="en-US"/>
        </w:rPr>
        <w:t xml:space="preserve">lause </w:t>
      </w:r>
      <w:r w:rsidR="000B3D87" w:rsidRPr="00050D61">
        <w:rPr>
          <w:lang w:val="en-US"/>
        </w:rPr>
        <w:t>(2) above</w:t>
      </w:r>
      <w:r w:rsidRPr="00050D61">
        <w:rPr>
          <w:lang w:val="en-US"/>
        </w:rPr>
        <w:t>.</w:t>
      </w:r>
    </w:p>
    <w:p w:rsidR="00B544D8" w:rsidRPr="00050D61" w:rsidRDefault="00B544D8" w:rsidP="00050D61">
      <w:pPr>
        <w:pStyle w:val="Sectionheading"/>
        <w:jc w:val="both"/>
      </w:pPr>
      <w:r w:rsidRPr="00050D61">
        <w:t>Conditions – Conditional Masses (Tyre Widths)</w:t>
      </w:r>
    </w:p>
    <w:p w:rsidR="00B544D8" w:rsidRPr="00050D61" w:rsidRDefault="00B544D8" w:rsidP="00583958">
      <w:pPr>
        <w:pStyle w:val="OutlineNumberedLevel1"/>
        <w:numPr>
          <w:ilvl w:val="0"/>
          <w:numId w:val="28"/>
        </w:numPr>
        <w:contextualSpacing/>
      </w:pPr>
      <w:r w:rsidRPr="00050D61">
        <w:t xml:space="preserve">In order to travel at the mass limits identified in Table 2, the applicable tyre width limits in Table </w:t>
      </w:r>
      <w:r w:rsidR="000B3D87" w:rsidRPr="00050D61">
        <w:t>2</w:t>
      </w:r>
      <w:r w:rsidRPr="00050D61">
        <w:t xml:space="preserve"> and Table </w:t>
      </w:r>
      <w:r w:rsidR="000B3D87" w:rsidRPr="00050D61">
        <w:t>3</w:t>
      </w:r>
      <w:r w:rsidRPr="00050D61">
        <w:t xml:space="preserve"> must be met. </w:t>
      </w:r>
    </w:p>
    <w:p w:rsidR="00B544D8" w:rsidRPr="00050D61" w:rsidRDefault="00B544D8" w:rsidP="00583958">
      <w:pPr>
        <w:pStyle w:val="OutlineNumberedLevel1"/>
        <w:numPr>
          <w:ilvl w:val="0"/>
          <w:numId w:val="28"/>
        </w:numPr>
        <w:contextualSpacing/>
      </w:pPr>
      <w:r w:rsidRPr="00050D61">
        <w:t xml:space="preserve">Notwithstanding axle mass limits set out in Table </w:t>
      </w:r>
      <w:r w:rsidR="00D973DC" w:rsidRPr="00050D61">
        <w:t>2</w:t>
      </w:r>
      <w:r w:rsidRPr="00050D61">
        <w:t xml:space="preserve"> and Table </w:t>
      </w:r>
      <w:r w:rsidR="00D973DC" w:rsidRPr="00050D61">
        <w:t>3</w:t>
      </w:r>
      <w:r w:rsidRPr="00050D61">
        <w:t xml:space="preserve">, the steer axle mass must not exceed the steer axle mass set out in Table </w:t>
      </w:r>
      <w:r w:rsidR="00D973DC" w:rsidRPr="00050D61">
        <w:t>1</w:t>
      </w:r>
      <w:r w:rsidRPr="00050D61">
        <w:t xml:space="preserve">. </w:t>
      </w:r>
    </w:p>
    <w:p w:rsidR="00B544D8" w:rsidRPr="00050D61" w:rsidRDefault="00B544D8" w:rsidP="00583958">
      <w:pPr>
        <w:pStyle w:val="OutlineNumberedLevel1"/>
        <w:numPr>
          <w:ilvl w:val="0"/>
          <w:numId w:val="28"/>
        </w:numPr>
        <w:contextualSpacing/>
      </w:pPr>
      <w:r w:rsidRPr="00050D61">
        <w:t xml:space="preserve">The mass on an axle fitted with tyres of a number and width described in Table </w:t>
      </w:r>
      <w:r w:rsidR="00D973DC" w:rsidRPr="00050D61">
        <w:t>2</w:t>
      </w:r>
      <w:r w:rsidRPr="00050D61">
        <w:t xml:space="preserve"> must not exceed the mass limit specified in the Table for that axle in relation to the narrowest tyre on the axle.</w:t>
      </w:r>
    </w:p>
    <w:p w:rsidR="00B544D8" w:rsidRPr="00050D61" w:rsidRDefault="00B544D8" w:rsidP="00050D61">
      <w:pPr>
        <w:jc w:val="both"/>
        <w:rPr>
          <w:b/>
          <w:lang w:val="en-US"/>
        </w:rPr>
      </w:pPr>
      <w:r w:rsidRPr="00050D61">
        <w:rPr>
          <w:b/>
          <w:lang w:val="en-US"/>
        </w:rPr>
        <w:t xml:space="preserve">Table 2: Conditional mass limits for </w:t>
      </w:r>
      <w:proofErr w:type="spellStart"/>
      <w:r w:rsidRPr="00050D61">
        <w:rPr>
          <w:b/>
          <w:lang w:val="en-US"/>
        </w:rPr>
        <w:t>tyre</w:t>
      </w:r>
      <w:proofErr w:type="spellEnd"/>
      <w:r w:rsidRPr="00050D61">
        <w:rPr>
          <w:b/>
          <w:lang w:val="en-US"/>
        </w:rPr>
        <w:t xml:space="preserve"> width</w:t>
      </w:r>
      <w:r w:rsidR="00874377" w:rsidRPr="00050D61">
        <w:rPr>
          <w:b/>
          <w:lang w:val="en-US"/>
        </w:rPr>
        <w:t xml:space="preserve"> on an axle</w:t>
      </w:r>
    </w:p>
    <w:tbl>
      <w:tblPr>
        <w:tblStyle w:val="TableGrid"/>
        <w:tblW w:w="0" w:type="auto"/>
        <w:tblLook w:val="04A0" w:firstRow="1" w:lastRow="0" w:firstColumn="1" w:lastColumn="0" w:noHBand="0" w:noVBand="1"/>
        <w:tblCaption w:val="Table 2: Conditional mass limits for tyre width on an axle"/>
        <w:tblDescription w:val="A table of conditional masses available to eligible vehicles operating under this Notice."/>
      </w:tblPr>
      <w:tblGrid>
        <w:gridCol w:w="2463"/>
        <w:gridCol w:w="2463"/>
        <w:gridCol w:w="2464"/>
        <w:gridCol w:w="2464"/>
      </w:tblGrid>
      <w:tr w:rsidR="00050D61" w:rsidRPr="00050D61" w:rsidTr="00050D61">
        <w:tc>
          <w:tcPr>
            <w:tcW w:w="4926" w:type="dxa"/>
            <w:gridSpan w:val="2"/>
          </w:tcPr>
          <w:p w:rsidR="00B544D8" w:rsidRPr="00050D61" w:rsidRDefault="00B544D8" w:rsidP="00050D61">
            <w:pPr>
              <w:jc w:val="both"/>
              <w:rPr>
                <w:b/>
                <w:lang w:val="en-US"/>
              </w:rPr>
            </w:pPr>
            <w:proofErr w:type="spellStart"/>
            <w:r w:rsidRPr="00050D61">
              <w:rPr>
                <w:b/>
                <w:lang w:val="en-US"/>
              </w:rPr>
              <w:t>Tyre</w:t>
            </w:r>
            <w:proofErr w:type="spellEnd"/>
            <w:r w:rsidRPr="00050D61">
              <w:rPr>
                <w:b/>
                <w:lang w:val="en-US"/>
              </w:rPr>
              <w:t xml:space="preserve"> width of the narrowest </w:t>
            </w:r>
            <w:proofErr w:type="spellStart"/>
            <w:r w:rsidRPr="00050D61">
              <w:rPr>
                <w:b/>
                <w:lang w:val="en-US"/>
              </w:rPr>
              <w:t>tyre</w:t>
            </w:r>
            <w:proofErr w:type="spellEnd"/>
            <w:r w:rsidRPr="00050D61">
              <w:rPr>
                <w:b/>
                <w:lang w:val="en-US"/>
              </w:rPr>
              <w:t xml:space="preserve"> on the axle (mm)</w:t>
            </w:r>
          </w:p>
        </w:tc>
        <w:tc>
          <w:tcPr>
            <w:tcW w:w="2464" w:type="dxa"/>
            <w:vMerge w:val="restart"/>
          </w:tcPr>
          <w:p w:rsidR="00B544D8" w:rsidRPr="00050D61" w:rsidRDefault="00B544D8" w:rsidP="00050D61">
            <w:pPr>
              <w:jc w:val="both"/>
              <w:rPr>
                <w:b/>
              </w:rPr>
            </w:pPr>
            <w:r w:rsidRPr="00050D61">
              <w:rPr>
                <w:b/>
              </w:rPr>
              <w:t>Mass limit if the axle has 2 tyres (tonnes)</w:t>
            </w:r>
          </w:p>
        </w:tc>
        <w:tc>
          <w:tcPr>
            <w:tcW w:w="2464" w:type="dxa"/>
            <w:vMerge w:val="restart"/>
          </w:tcPr>
          <w:p w:rsidR="00B544D8" w:rsidRPr="00050D61" w:rsidRDefault="00B544D8" w:rsidP="00050D61">
            <w:pPr>
              <w:jc w:val="both"/>
              <w:rPr>
                <w:b/>
              </w:rPr>
            </w:pPr>
            <w:r w:rsidRPr="00050D61">
              <w:rPr>
                <w:b/>
              </w:rPr>
              <w:t>Mass limit if the axle has 4 tyres (tonnes)</w:t>
            </w:r>
          </w:p>
        </w:tc>
      </w:tr>
      <w:tr w:rsidR="00050D61" w:rsidRPr="00050D61" w:rsidTr="00050D61">
        <w:tc>
          <w:tcPr>
            <w:tcW w:w="2463" w:type="dxa"/>
          </w:tcPr>
          <w:p w:rsidR="00B544D8" w:rsidRPr="00050D61" w:rsidRDefault="00B544D8" w:rsidP="00050D61">
            <w:pPr>
              <w:jc w:val="both"/>
              <w:rPr>
                <w:b/>
              </w:rPr>
            </w:pPr>
            <w:r w:rsidRPr="00050D61">
              <w:rPr>
                <w:b/>
              </w:rPr>
              <w:t>at least</w:t>
            </w:r>
          </w:p>
        </w:tc>
        <w:tc>
          <w:tcPr>
            <w:tcW w:w="2463" w:type="dxa"/>
          </w:tcPr>
          <w:p w:rsidR="00B544D8" w:rsidRPr="00050D61" w:rsidRDefault="00B544D8" w:rsidP="00050D61">
            <w:pPr>
              <w:jc w:val="both"/>
              <w:rPr>
                <w:b/>
              </w:rPr>
            </w:pPr>
            <w:r w:rsidRPr="00050D61">
              <w:rPr>
                <w:b/>
              </w:rPr>
              <w:t>but less than</w:t>
            </w:r>
          </w:p>
        </w:tc>
        <w:tc>
          <w:tcPr>
            <w:tcW w:w="2464" w:type="dxa"/>
            <w:vMerge/>
          </w:tcPr>
          <w:p w:rsidR="00B544D8" w:rsidRPr="00050D61" w:rsidRDefault="00B544D8" w:rsidP="00050D61">
            <w:pPr>
              <w:jc w:val="both"/>
              <w:rPr>
                <w:lang w:val="en-US"/>
              </w:rPr>
            </w:pPr>
          </w:p>
        </w:tc>
        <w:tc>
          <w:tcPr>
            <w:tcW w:w="2464" w:type="dxa"/>
            <w:vMerge/>
          </w:tcPr>
          <w:p w:rsidR="00B544D8" w:rsidRPr="00050D61" w:rsidRDefault="00B544D8" w:rsidP="00050D61">
            <w:pPr>
              <w:jc w:val="both"/>
              <w:rPr>
                <w:lang w:val="en-US"/>
              </w:rPr>
            </w:pPr>
          </w:p>
        </w:tc>
      </w:tr>
      <w:tr w:rsidR="00050D61" w:rsidRPr="00050D61" w:rsidTr="00050D61">
        <w:tc>
          <w:tcPr>
            <w:tcW w:w="2463" w:type="dxa"/>
          </w:tcPr>
          <w:p w:rsidR="00B544D8" w:rsidRPr="00050D61" w:rsidRDefault="00B544D8" w:rsidP="00050D61">
            <w:pPr>
              <w:jc w:val="both"/>
            </w:pPr>
            <w:r w:rsidRPr="00050D61">
              <w:t>190</w:t>
            </w:r>
          </w:p>
        </w:tc>
        <w:tc>
          <w:tcPr>
            <w:tcW w:w="2463" w:type="dxa"/>
          </w:tcPr>
          <w:p w:rsidR="00B544D8" w:rsidRPr="00050D61" w:rsidRDefault="00B544D8" w:rsidP="00050D61">
            <w:pPr>
              <w:jc w:val="both"/>
            </w:pPr>
            <w:r w:rsidRPr="00050D61">
              <w:t>228</w:t>
            </w:r>
          </w:p>
        </w:tc>
        <w:tc>
          <w:tcPr>
            <w:tcW w:w="2464" w:type="dxa"/>
          </w:tcPr>
          <w:p w:rsidR="00B544D8" w:rsidRPr="00050D61" w:rsidRDefault="00B544D8" w:rsidP="00050D61">
            <w:pPr>
              <w:jc w:val="both"/>
            </w:pPr>
            <w:r w:rsidRPr="00050D61">
              <w:t>4.5</w:t>
            </w:r>
          </w:p>
        </w:tc>
        <w:tc>
          <w:tcPr>
            <w:tcW w:w="2464" w:type="dxa"/>
          </w:tcPr>
          <w:p w:rsidR="00B544D8" w:rsidRPr="00050D61" w:rsidRDefault="00B544D8" w:rsidP="00050D61">
            <w:pPr>
              <w:jc w:val="both"/>
            </w:pPr>
            <w:r w:rsidRPr="00050D61">
              <w:t>9.0</w:t>
            </w:r>
          </w:p>
        </w:tc>
      </w:tr>
      <w:tr w:rsidR="00050D61" w:rsidRPr="00050D61" w:rsidTr="00050D61">
        <w:tc>
          <w:tcPr>
            <w:tcW w:w="2463" w:type="dxa"/>
          </w:tcPr>
          <w:p w:rsidR="00B544D8" w:rsidRPr="00050D61" w:rsidRDefault="00B544D8" w:rsidP="00050D61">
            <w:pPr>
              <w:jc w:val="both"/>
            </w:pPr>
            <w:r w:rsidRPr="00050D61">
              <w:t>228</w:t>
            </w:r>
          </w:p>
        </w:tc>
        <w:tc>
          <w:tcPr>
            <w:tcW w:w="2463" w:type="dxa"/>
          </w:tcPr>
          <w:p w:rsidR="00B544D8" w:rsidRPr="00050D61" w:rsidRDefault="00B544D8" w:rsidP="00050D61">
            <w:pPr>
              <w:jc w:val="both"/>
            </w:pPr>
            <w:r w:rsidRPr="00050D61">
              <w:t>254</w:t>
            </w:r>
          </w:p>
        </w:tc>
        <w:tc>
          <w:tcPr>
            <w:tcW w:w="2464" w:type="dxa"/>
          </w:tcPr>
          <w:p w:rsidR="00B544D8" w:rsidRPr="00050D61" w:rsidRDefault="00B544D8" w:rsidP="00050D61">
            <w:pPr>
              <w:jc w:val="both"/>
            </w:pPr>
            <w:r w:rsidRPr="00050D61">
              <w:t>5.0</w:t>
            </w:r>
          </w:p>
        </w:tc>
        <w:tc>
          <w:tcPr>
            <w:tcW w:w="2464" w:type="dxa"/>
          </w:tcPr>
          <w:p w:rsidR="00B544D8" w:rsidRPr="00050D61" w:rsidRDefault="00B544D8" w:rsidP="00050D61">
            <w:pPr>
              <w:jc w:val="both"/>
            </w:pPr>
            <w:r w:rsidRPr="00050D61">
              <w:t>9.5</w:t>
            </w:r>
          </w:p>
        </w:tc>
      </w:tr>
      <w:tr w:rsidR="00050D61" w:rsidRPr="00050D61" w:rsidTr="00050D61">
        <w:tc>
          <w:tcPr>
            <w:tcW w:w="2463" w:type="dxa"/>
          </w:tcPr>
          <w:p w:rsidR="00B544D8" w:rsidRPr="00050D61" w:rsidRDefault="00B544D8" w:rsidP="00050D61">
            <w:pPr>
              <w:jc w:val="both"/>
            </w:pPr>
            <w:r w:rsidRPr="00050D61">
              <w:t>254</w:t>
            </w:r>
          </w:p>
        </w:tc>
        <w:tc>
          <w:tcPr>
            <w:tcW w:w="2463" w:type="dxa"/>
          </w:tcPr>
          <w:p w:rsidR="00B544D8" w:rsidRPr="00050D61" w:rsidRDefault="00B544D8" w:rsidP="00050D61">
            <w:pPr>
              <w:jc w:val="both"/>
            </w:pPr>
            <w:r w:rsidRPr="00050D61">
              <w:t>279</w:t>
            </w:r>
          </w:p>
        </w:tc>
        <w:tc>
          <w:tcPr>
            <w:tcW w:w="2464" w:type="dxa"/>
          </w:tcPr>
          <w:p w:rsidR="00B544D8" w:rsidRPr="00050D61" w:rsidRDefault="00B544D8" w:rsidP="00050D61">
            <w:pPr>
              <w:jc w:val="both"/>
            </w:pPr>
            <w:r w:rsidRPr="00050D61">
              <w:t>6.0</w:t>
            </w:r>
          </w:p>
        </w:tc>
        <w:tc>
          <w:tcPr>
            <w:tcW w:w="2464" w:type="dxa"/>
          </w:tcPr>
          <w:p w:rsidR="00B544D8" w:rsidRPr="00050D61" w:rsidRDefault="00B544D8" w:rsidP="00050D61">
            <w:pPr>
              <w:jc w:val="both"/>
            </w:pPr>
            <w:r w:rsidRPr="00050D61">
              <w:t>10.0</w:t>
            </w:r>
          </w:p>
        </w:tc>
      </w:tr>
      <w:tr w:rsidR="00050D61" w:rsidRPr="00050D61" w:rsidTr="00050D61">
        <w:tc>
          <w:tcPr>
            <w:tcW w:w="2463" w:type="dxa"/>
          </w:tcPr>
          <w:p w:rsidR="00B544D8" w:rsidRPr="00050D61" w:rsidRDefault="00B544D8" w:rsidP="00050D61">
            <w:pPr>
              <w:jc w:val="both"/>
            </w:pPr>
            <w:r w:rsidRPr="00050D61">
              <w:t>279</w:t>
            </w:r>
          </w:p>
        </w:tc>
        <w:tc>
          <w:tcPr>
            <w:tcW w:w="2463" w:type="dxa"/>
          </w:tcPr>
          <w:p w:rsidR="00B544D8" w:rsidRPr="00050D61" w:rsidRDefault="00B544D8" w:rsidP="00050D61">
            <w:pPr>
              <w:jc w:val="both"/>
            </w:pPr>
            <w:r w:rsidRPr="00050D61">
              <w:t>305</w:t>
            </w:r>
          </w:p>
        </w:tc>
        <w:tc>
          <w:tcPr>
            <w:tcW w:w="2464" w:type="dxa"/>
          </w:tcPr>
          <w:p w:rsidR="00B544D8" w:rsidRPr="00050D61" w:rsidRDefault="00B544D8" w:rsidP="00050D61">
            <w:pPr>
              <w:jc w:val="both"/>
            </w:pPr>
            <w:r w:rsidRPr="00050D61">
              <w:t>6.5</w:t>
            </w:r>
          </w:p>
        </w:tc>
        <w:tc>
          <w:tcPr>
            <w:tcW w:w="2464" w:type="dxa"/>
          </w:tcPr>
          <w:p w:rsidR="00B544D8" w:rsidRPr="00050D61" w:rsidRDefault="00B544D8" w:rsidP="00050D61">
            <w:pPr>
              <w:jc w:val="both"/>
            </w:pPr>
            <w:r w:rsidRPr="00050D61">
              <w:t>11.0</w:t>
            </w:r>
          </w:p>
        </w:tc>
      </w:tr>
      <w:tr w:rsidR="00050D61" w:rsidRPr="00050D61" w:rsidTr="00050D61">
        <w:tc>
          <w:tcPr>
            <w:tcW w:w="2463" w:type="dxa"/>
          </w:tcPr>
          <w:p w:rsidR="00B544D8" w:rsidRPr="00050D61" w:rsidRDefault="00B544D8" w:rsidP="00050D61">
            <w:pPr>
              <w:jc w:val="both"/>
            </w:pPr>
            <w:r w:rsidRPr="00050D61">
              <w:t>305</w:t>
            </w:r>
          </w:p>
        </w:tc>
        <w:tc>
          <w:tcPr>
            <w:tcW w:w="2463" w:type="dxa"/>
          </w:tcPr>
          <w:p w:rsidR="00B544D8" w:rsidRPr="00050D61" w:rsidRDefault="00B544D8" w:rsidP="00050D61">
            <w:pPr>
              <w:jc w:val="both"/>
            </w:pPr>
            <w:r w:rsidRPr="00050D61">
              <w:t>330</w:t>
            </w:r>
          </w:p>
        </w:tc>
        <w:tc>
          <w:tcPr>
            <w:tcW w:w="2464" w:type="dxa"/>
          </w:tcPr>
          <w:p w:rsidR="00B544D8" w:rsidRPr="00050D61" w:rsidRDefault="00B544D8" w:rsidP="00050D61">
            <w:pPr>
              <w:jc w:val="both"/>
            </w:pPr>
            <w:r w:rsidRPr="00050D61">
              <w:t>7.0</w:t>
            </w:r>
          </w:p>
        </w:tc>
        <w:tc>
          <w:tcPr>
            <w:tcW w:w="2464" w:type="dxa"/>
          </w:tcPr>
          <w:p w:rsidR="00B544D8" w:rsidRPr="00050D61" w:rsidRDefault="00B544D8" w:rsidP="00050D61">
            <w:pPr>
              <w:jc w:val="both"/>
            </w:pPr>
            <w:r w:rsidRPr="00050D61">
              <w:t>12.0</w:t>
            </w:r>
          </w:p>
        </w:tc>
      </w:tr>
      <w:tr w:rsidR="00050D61" w:rsidRPr="00050D61" w:rsidTr="00050D61">
        <w:tc>
          <w:tcPr>
            <w:tcW w:w="2463" w:type="dxa"/>
          </w:tcPr>
          <w:p w:rsidR="00B544D8" w:rsidRPr="00050D61" w:rsidRDefault="00B544D8" w:rsidP="00050D61">
            <w:pPr>
              <w:jc w:val="both"/>
            </w:pPr>
            <w:r w:rsidRPr="00050D61">
              <w:t>330</w:t>
            </w:r>
          </w:p>
        </w:tc>
        <w:tc>
          <w:tcPr>
            <w:tcW w:w="2463" w:type="dxa"/>
          </w:tcPr>
          <w:p w:rsidR="00B544D8" w:rsidRPr="00050D61" w:rsidRDefault="00B544D8" w:rsidP="00050D61">
            <w:pPr>
              <w:jc w:val="both"/>
            </w:pPr>
            <w:r w:rsidRPr="00050D61">
              <w:t>356</w:t>
            </w:r>
          </w:p>
        </w:tc>
        <w:tc>
          <w:tcPr>
            <w:tcW w:w="2464" w:type="dxa"/>
          </w:tcPr>
          <w:p w:rsidR="00B544D8" w:rsidRPr="00050D61" w:rsidRDefault="00B544D8" w:rsidP="00050D61">
            <w:pPr>
              <w:jc w:val="both"/>
            </w:pPr>
            <w:r w:rsidRPr="00050D61">
              <w:t>7.5</w:t>
            </w:r>
          </w:p>
        </w:tc>
        <w:tc>
          <w:tcPr>
            <w:tcW w:w="2464" w:type="dxa"/>
          </w:tcPr>
          <w:p w:rsidR="00B544D8" w:rsidRPr="00050D61" w:rsidRDefault="00B544D8" w:rsidP="00050D61">
            <w:pPr>
              <w:jc w:val="both"/>
            </w:pPr>
            <w:r w:rsidRPr="00050D61">
              <w:t>13.0</w:t>
            </w:r>
          </w:p>
        </w:tc>
      </w:tr>
      <w:tr w:rsidR="00050D61" w:rsidRPr="00050D61" w:rsidTr="00050D61">
        <w:tc>
          <w:tcPr>
            <w:tcW w:w="2463" w:type="dxa"/>
          </w:tcPr>
          <w:p w:rsidR="00B544D8" w:rsidRPr="00050D61" w:rsidRDefault="00B544D8" w:rsidP="00050D61">
            <w:pPr>
              <w:jc w:val="both"/>
            </w:pPr>
            <w:r w:rsidRPr="00050D61">
              <w:t>356</w:t>
            </w:r>
          </w:p>
        </w:tc>
        <w:tc>
          <w:tcPr>
            <w:tcW w:w="2463" w:type="dxa"/>
          </w:tcPr>
          <w:p w:rsidR="00B544D8" w:rsidRPr="00050D61" w:rsidRDefault="00B544D8" w:rsidP="00050D61">
            <w:pPr>
              <w:jc w:val="both"/>
            </w:pPr>
            <w:r w:rsidRPr="00050D61">
              <w:t>381</w:t>
            </w:r>
          </w:p>
        </w:tc>
        <w:tc>
          <w:tcPr>
            <w:tcW w:w="2464" w:type="dxa"/>
          </w:tcPr>
          <w:p w:rsidR="00B544D8" w:rsidRPr="00050D61" w:rsidRDefault="00B544D8" w:rsidP="00050D61">
            <w:pPr>
              <w:jc w:val="both"/>
            </w:pPr>
            <w:r w:rsidRPr="00050D61">
              <w:t>8.0</w:t>
            </w:r>
          </w:p>
        </w:tc>
        <w:tc>
          <w:tcPr>
            <w:tcW w:w="2464" w:type="dxa"/>
          </w:tcPr>
          <w:p w:rsidR="00B544D8" w:rsidRPr="00050D61" w:rsidRDefault="00B544D8" w:rsidP="00050D61">
            <w:pPr>
              <w:jc w:val="both"/>
            </w:pPr>
            <w:r w:rsidRPr="00050D61">
              <w:t>14.0</w:t>
            </w:r>
          </w:p>
        </w:tc>
      </w:tr>
      <w:tr w:rsidR="00050D61" w:rsidRPr="00050D61" w:rsidTr="00050D61">
        <w:tc>
          <w:tcPr>
            <w:tcW w:w="2463" w:type="dxa"/>
          </w:tcPr>
          <w:p w:rsidR="00B544D8" w:rsidRPr="00050D61" w:rsidRDefault="00B544D8" w:rsidP="00050D61">
            <w:pPr>
              <w:jc w:val="both"/>
            </w:pPr>
            <w:r w:rsidRPr="00050D61">
              <w:t>381</w:t>
            </w:r>
          </w:p>
        </w:tc>
        <w:tc>
          <w:tcPr>
            <w:tcW w:w="2463" w:type="dxa"/>
          </w:tcPr>
          <w:p w:rsidR="00B544D8" w:rsidRPr="00050D61" w:rsidRDefault="00B544D8" w:rsidP="00050D61">
            <w:pPr>
              <w:jc w:val="both"/>
            </w:pPr>
            <w:r w:rsidRPr="00050D61">
              <w:t>406</w:t>
            </w:r>
          </w:p>
        </w:tc>
        <w:tc>
          <w:tcPr>
            <w:tcW w:w="2464" w:type="dxa"/>
          </w:tcPr>
          <w:p w:rsidR="00B544D8" w:rsidRPr="00050D61" w:rsidRDefault="00B544D8" w:rsidP="00050D61">
            <w:pPr>
              <w:jc w:val="both"/>
            </w:pPr>
            <w:r w:rsidRPr="00050D61">
              <w:t>9.0</w:t>
            </w:r>
          </w:p>
        </w:tc>
        <w:tc>
          <w:tcPr>
            <w:tcW w:w="2464" w:type="dxa"/>
          </w:tcPr>
          <w:p w:rsidR="00B544D8" w:rsidRPr="00050D61" w:rsidRDefault="00B544D8" w:rsidP="00050D61">
            <w:pPr>
              <w:jc w:val="both"/>
            </w:pPr>
            <w:r w:rsidRPr="00050D61">
              <w:t>14.0</w:t>
            </w:r>
          </w:p>
        </w:tc>
      </w:tr>
      <w:tr w:rsidR="00050D61" w:rsidRPr="00050D61" w:rsidTr="00050D61">
        <w:tc>
          <w:tcPr>
            <w:tcW w:w="2463" w:type="dxa"/>
          </w:tcPr>
          <w:p w:rsidR="00B544D8" w:rsidRPr="00050D61" w:rsidRDefault="00B544D8" w:rsidP="00050D61">
            <w:pPr>
              <w:jc w:val="both"/>
            </w:pPr>
            <w:r w:rsidRPr="00050D61">
              <w:t>406</w:t>
            </w:r>
          </w:p>
        </w:tc>
        <w:tc>
          <w:tcPr>
            <w:tcW w:w="2463" w:type="dxa"/>
          </w:tcPr>
          <w:p w:rsidR="00B544D8" w:rsidRPr="00050D61" w:rsidRDefault="00B544D8" w:rsidP="00050D61">
            <w:pPr>
              <w:jc w:val="both"/>
            </w:pPr>
            <w:r w:rsidRPr="00050D61">
              <w:t>458</w:t>
            </w:r>
          </w:p>
        </w:tc>
        <w:tc>
          <w:tcPr>
            <w:tcW w:w="2464" w:type="dxa"/>
          </w:tcPr>
          <w:p w:rsidR="00B544D8" w:rsidRPr="00050D61" w:rsidRDefault="00B544D8" w:rsidP="00050D61">
            <w:pPr>
              <w:jc w:val="both"/>
            </w:pPr>
            <w:r w:rsidRPr="00050D61">
              <w:t>10.0</w:t>
            </w:r>
          </w:p>
        </w:tc>
        <w:tc>
          <w:tcPr>
            <w:tcW w:w="2464" w:type="dxa"/>
          </w:tcPr>
          <w:p w:rsidR="00B544D8" w:rsidRPr="00050D61" w:rsidRDefault="00B544D8" w:rsidP="00050D61">
            <w:pPr>
              <w:jc w:val="both"/>
            </w:pPr>
            <w:r w:rsidRPr="00050D61">
              <w:t>14.0</w:t>
            </w:r>
          </w:p>
        </w:tc>
      </w:tr>
      <w:tr w:rsidR="00050D61" w:rsidRPr="00050D61" w:rsidTr="00050D61">
        <w:tc>
          <w:tcPr>
            <w:tcW w:w="2463" w:type="dxa"/>
          </w:tcPr>
          <w:p w:rsidR="00B544D8" w:rsidRPr="00050D61" w:rsidRDefault="00B544D8" w:rsidP="00050D61">
            <w:pPr>
              <w:jc w:val="both"/>
            </w:pPr>
            <w:r w:rsidRPr="00050D61">
              <w:t>458</w:t>
            </w:r>
          </w:p>
        </w:tc>
        <w:tc>
          <w:tcPr>
            <w:tcW w:w="2463" w:type="dxa"/>
          </w:tcPr>
          <w:p w:rsidR="00B544D8" w:rsidRPr="00050D61" w:rsidRDefault="00B544D8" w:rsidP="00050D61">
            <w:pPr>
              <w:jc w:val="both"/>
            </w:pPr>
            <w:r w:rsidRPr="00050D61">
              <w:t>508</w:t>
            </w:r>
          </w:p>
        </w:tc>
        <w:tc>
          <w:tcPr>
            <w:tcW w:w="2464" w:type="dxa"/>
          </w:tcPr>
          <w:p w:rsidR="00B544D8" w:rsidRPr="00050D61" w:rsidRDefault="00B544D8" w:rsidP="00050D61">
            <w:pPr>
              <w:jc w:val="both"/>
            </w:pPr>
            <w:r w:rsidRPr="00050D61">
              <w:t>11.0</w:t>
            </w:r>
          </w:p>
        </w:tc>
        <w:tc>
          <w:tcPr>
            <w:tcW w:w="2464" w:type="dxa"/>
          </w:tcPr>
          <w:p w:rsidR="00B544D8" w:rsidRPr="00050D61" w:rsidRDefault="00B544D8" w:rsidP="00050D61">
            <w:pPr>
              <w:jc w:val="both"/>
            </w:pPr>
            <w:r w:rsidRPr="00050D61">
              <w:t>14.0</w:t>
            </w:r>
          </w:p>
        </w:tc>
      </w:tr>
      <w:tr w:rsidR="00050D61" w:rsidRPr="00050D61" w:rsidTr="00050D61">
        <w:tc>
          <w:tcPr>
            <w:tcW w:w="2463" w:type="dxa"/>
          </w:tcPr>
          <w:p w:rsidR="00B544D8" w:rsidRPr="00050D61" w:rsidRDefault="00B544D8" w:rsidP="00050D61">
            <w:pPr>
              <w:jc w:val="both"/>
            </w:pPr>
            <w:r w:rsidRPr="00050D61">
              <w:t>508</w:t>
            </w:r>
          </w:p>
        </w:tc>
        <w:tc>
          <w:tcPr>
            <w:tcW w:w="2463" w:type="dxa"/>
          </w:tcPr>
          <w:p w:rsidR="00B544D8" w:rsidRPr="00050D61" w:rsidRDefault="00B544D8" w:rsidP="00050D61">
            <w:pPr>
              <w:jc w:val="both"/>
            </w:pPr>
            <w:r w:rsidRPr="00050D61">
              <w:t xml:space="preserve"> </w:t>
            </w:r>
          </w:p>
        </w:tc>
        <w:tc>
          <w:tcPr>
            <w:tcW w:w="2464" w:type="dxa"/>
          </w:tcPr>
          <w:p w:rsidR="00B544D8" w:rsidRPr="00050D61" w:rsidRDefault="00B544D8" w:rsidP="00050D61">
            <w:pPr>
              <w:jc w:val="both"/>
            </w:pPr>
            <w:r w:rsidRPr="00050D61">
              <w:t>12.0</w:t>
            </w:r>
          </w:p>
        </w:tc>
        <w:tc>
          <w:tcPr>
            <w:tcW w:w="2464" w:type="dxa"/>
          </w:tcPr>
          <w:p w:rsidR="00B544D8" w:rsidRPr="00050D61" w:rsidRDefault="00B544D8" w:rsidP="00050D61">
            <w:pPr>
              <w:jc w:val="both"/>
            </w:pPr>
            <w:r w:rsidRPr="00050D61">
              <w:t>14.0</w:t>
            </w:r>
          </w:p>
        </w:tc>
      </w:tr>
    </w:tbl>
    <w:p w:rsidR="00B544D8" w:rsidRPr="00050D61" w:rsidRDefault="00B544D8" w:rsidP="00050D61">
      <w:pPr>
        <w:jc w:val="both"/>
        <w:rPr>
          <w:lang w:val="en-US"/>
        </w:rPr>
      </w:pPr>
    </w:p>
    <w:p w:rsidR="00B544D8" w:rsidRPr="00050D61" w:rsidRDefault="00B544D8" w:rsidP="00583958">
      <w:pPr>
        <w:pStyle w:val="OutlineNumberedLevel1"/>
        <w:numPr>
          <w:ilvl w:val="0"/>
          <w:numId w:val="28"/>
        </w:numPr>
        <w:contextualSpacing/>
      </w:pPr>
      <w:r w:rsidRPr="00050D61">
        <w:t xml:space="preserve">The mass on an axle group fitted with tyres of a number and width described in Table </w:t>
      </w:r>
      <w:r w:rsidR="00D973DC" w:rsidRPr="00050D61">
        <w:t>3</w:t>
      </w:r>
      <w:r w:rsidRPr="00050D61">
        <w:t xml:space="preserve"> must not exceed the mass limit specified in the Table for that axle group in relation to the narrowest tyre in the group. </w:t>
      </w:r>
    </w:p>
    <w:p w:rsidR="003041AB" w:rsidRPr="00050D61" w:rsidRDefault="003041AB" w:rsidP="00050D61">
      <w:pPr>
        <w:jc w:val="both"/>
        <w:rPr>
          <w:b/>
          <w:lang w:val="en-US"/>
        </w:rPr>
      </w:pPr>
      <w:r w:rsidRPr="00050D61">
        <w:rPr>
          <w:b/>
          <w:lang w:val="en-US"/>
        </w:rPr>
        <w:br w:type="page"/>
      </w:r>
    </w:p>
    <w:p w:rsidR="00B544D8" w:rsidRPr="00050D61" w:rsidRDefault="00B544D8" w:rsidP="00050D61">
      <w:pPr>
        <w:jc w:val="both"/>
        <w:rPr>
          <w:b/>
          <w:lang w:val="en-US"/>
        </w:rPr>
      </w:pPr>
      <w:r w:rsidRPr="00050D61">
        <w:rPr>
          <w:b/>
          <w:lang w:val="en-US"/>
        </w:rPr>
        <w:lastRenderedPageBreak/>
        <w:t xml:space="preserve">Table </w:t>
      </w:r>
      <w:r w:rsidR="000B3D87" w:rsidRPr="00050D61">
        <w:rPr>
          <w:b/>
          <w:lang w:val="en-US"/>
        </w:rPr>
        <w:t>3</w:t>
      </w:r>
      <w:r w:rsidRPr="00050D61">
        <w:rPr>
          <w:b/>
          <w:lang w:val="en-US"/>
        </w:rPr>
        <w:t xml:space="preserve">: Conditional mass limits for </w:t>
      </w:r>
      <w:proofErr w:type="spellStart"/>
      <w:r w:rsidRPr="00050D61">
        <w:rPr>
          <w:b/>
          <w:lang w:val="en-US"/>
        </w:rPr>
        <w:t>tyre</w:t>
      </w:r>
      <w:proofErr w:type="spellEnd"/>
      <w:r w:rsidRPr="00050D61">
        <w:rPr>
          <w:b/>
          <w:lang w:val="en-US"/>
        </w:rPr>
        <w:t xml:space="preserve"> width</w:t>
      </w:r>
      <w:r w:rsidR="00874377" w:rsidRPr="00050D61">
        <w:rPr>
          <w:b/>
          <w:lang w:val="en-US"/>
        </w:rPr>
        <w:t xml:space="preserve"> in a group</w:t>
      </w:r>
    </w:p>
    <w:tbl>
      <w:tblPr>
        <w:tblStyle w:val="TableGrid"/>
        <w:tblW w:w="0" w:type="auto"/>
        <w:tblLook w:val="04A0" w:firstRow="1" w:lastRow="0" w:firstColumn="1" w:lastColumn="0" w:noHBand="0" w:noVBand="1"/>
        <w:tblCaption w:val="Table 3: Conditional mass limits for tyre width in a group"/>
        <w:tblDescription w:val="A table of conditioal masses available to eligible vehicles operating under this Notice."/>
      </w:tblPr>
      <w:tblGrid>
        <w:gridCol w:w="2463"/>
        <w:gridCol w:w="2463"/>
        <w:gridCol w:w="2464"/>
        <w:gridCol w:w="2464"/>
      </w:tblGrid>
      <w:tr w:rsidR="00050D61" w:rsidRPr="00050D61" w:rsidTr="00050D61">
        <w:tc>
          <w:tcPr>
            <w:tcW w:w="4926" w:type="dxa"/>
            <w:gridSpan w:val="2"/>
            <w:vAlign w:val="center"/>
          </w:tcPr>
          <w:p w:rsidR="00B544D8" w:rsidRPr="00050D61" w:rsidRDefault="00B544D8" w:rsidP="00050D61">
            <w:pPr>
              <w:jc w:val="center"/>
              <w:rPr>
                <w:b/>
              </w:rPr>
            </w:pPr>
            <w:r w:rsidRPr="00050D61">
              <w:rPr>
                <w:b/>
              </w:rPr>
              <w:t xml:space="preserve">Tyre width of the narrowest tyre </w:t>
            </w:r>
            <w:r w:rsidR="00B30A81" w:rsidRPr="00050D61">
              <w:rPr>
                <w:b/>
              </w:rPr>
              <w:t>in the group</w:t>
            </w:r>
            <w:r w:rsidRPr="00050D61">
              <w:rPr>
                <w:b/>
              </w:rPr>
              <w:t xml:space="preserve"> (mm)</w:t>
            </w:r>
          </w:p>
        </w:tc>
        <w:tc>
          <w:tcPr>
            <w:tcW w:w="2464" w:type="dxa"/>
            <w:vMerge w:val="restart"/>
            <w:vAlign w:val="center"/>
          </w:tcPr>
          <w:p w:rsidR="00B544D8" w:rsidRPr="00050D61" w:rsidRDefault="00B30A81" w:rsidP="00050D61">
            <w:pPr>
              <w:jc w:val="center"/>
              <w:rPr>
                <w:b/>
              </w:rPr>
            </w:pPr>
            <w:r w:rsidRPr="00050D61">
              <w:rPr>
                <w:b/>
              </w:rPr>
              <w:t>Mass limit for a tandem axle group that has 4</w:t>
            </w:r>
            <w:r w:rsidR="00B544D8" w:rsidRPr="00050D61">
              <w:rPr>
                <w:b/>
              </w:rPr>
              <w:t xml:space="preserve"> tyres (tonnes)</w:t>
            </w:r>
          </w:p>
        </w:tc>
        <w:tc>
          <w:tcPr>
            <w:tcW w:w="2464" w:type="dxa"/>
            <w:vMerge w:val="restart"/>
            <w:vAlign w:val="center"/>
          </w:tcPr>
          <w:p w:rsidR="00B544D8" w:rsidRPr="00050D61" w:rsidRDefault="00B544D8" w:rsidP="00050D61">
            <w:pPr>
              <w:jc w:val="center"/>
              <w:rPr>
                <w:b/>
              </w:rPr>
            </w:pPr>
            <w:r w:rsidRPr="00050D61">
              <w:rPr>
                <w:b/>
              </w:rPr>
              <w:t xml:space="preserve">Mass limit </w:t>
            </w:r>
            <w:r w:rsidR="00B30A81" w:rsidRPr="00050D61">
              <w:rPr>
                <w:b/>
              </w:rPr>
              <w:t>for a tri-axle group that has 6</w:t>
            </w:r>
            <w:r w:rsidRPr="00050D61">
              <w:rPr>
                <w:b/>
              </w:rPr>
              <w:t xml:space="preserve"> tyres (tonnes)</w:t>
            </w:r>
          </w:p>
        </w:tc>
      </w:tr>
      <w:tr w:rsidR="00050D61" w:rsidRPr="00050D61" w:rsidTr="00050D61">
        <w:tc>
          <w:tcPr>
            <w:tcW w:w="2463" w:type="dxa"/>
            <w:vAlign w:val="center"/>
          </w:tcPr>
          <w:p w:rsidR="00B544D8" w:rsidRPr="00050D61" w:rsidRDefault="00B544D8" w:rsidP="00050D61">
            <w:pPr>
              <w:jc w:val="center"/>
              <w:rPr>
                <w:b/>
              </w:rPr>
            </w:pPr>
            <w:r w:rsidRPr="00050D61">
              <w:rPr>
                <w:b/>
              </w:rPr>
              <w:t>at least</w:t>
            </w:r>
          </w:p>
        </w:tc>
        <w:tc>
          <w:tcPr>
            <w:tcW w:w="2463" w:type="dxa"/>
            <w:vAlign w:val="center"/>
          </w:tcPr>
          <w:p w:rsidR="00B544D8" w:rsidRPr="00050D61" w:rsidRDefault="00B544D8" w:rsidP="00050D61">
            <w:pPr>
              <w:jc w:val="center"/>
              <w:rPr>
                <w:b/>
              </w:rPr>
            </w:pPr>
            <w:r w:rsidRPr="00050D61">
              <w:rPr>
                <w:b/>
              </w:rPr>
              <w:t>but less than</w:t>
            </w:r>
          </w:p>
        </w:tc>
        <w:tc>
          <w:tcPr>
            <w:tcW w:w="2464" w:type="dxa"/>
            <w:vMerge/>
            <w:vAlign w:val="center"/>
          </w:tcPr>
          <w:p w:rsidR="00B544D8" w:rsidRPr="00050D61" w:rsidRDefault="00B544D8" w:rsidP="00050D61">
            <w:pPr>
              <w:jc w:val="center"/>
              <w:rPr>
                <w:b/>
              </w:rPr>
            </w:pPr>
          </w:p>
        </w:tc>
        <w:tc>
          <w:tcPr>
            <w:tcW w:w="2464" w:type="dxa"/>
            <w:vMerge/>
            <w:vAlign w:val="center"/>
          </w:tcPr>
          <w:p w:rsidR="00B544D8" w:rsidRPr="00050D61" w:rsidRDefault="00B544D8" w:rsidP="00050D61">
            <w:pPr>
              <w:jc w:val="center"/>
              <w:rPr>
                <w:b/>
              </w:rPr>
            </w:pPr>
          </w:p>
        </w:tc>
      </w:tr>
      <w:tr w:rsidR="00050D61" w:rsidRPr="00050D61" w:rsidTr="00050D61">
        <w:tc>
          <w:tcPr>
            <w:tcW w:w="2463" w:type="dxa"/>
            <w:vAlign w:val="center"/>
          </w:tcPr>
          <w:p w:rsidR="00B544D8" w:rsidRPr="00050D61" w:rsidRDefault="00B544D8" w:rsidP="00050D61">
            <w:pPr>
              <w:jc w:val="center"/>
            </w:pPr>
            <w:r w:rsidRPr="00050D61">
              <w:t>381</w:t>
            </w:r>
          </w:p>
        </w:tc>
        <w:tc>
          <w:tcPr>
            <w:tcW w:w="2463" w:type="dxa"/>
            <w:vAlign w:val="center"/>
          </w:tcPr>
          <w:p w:rsidR="00B544D8" w:rsidRPr="00050D61" w:rsidRDefault="00B544D8" w:rsidP="00050D61">
            <w:pPr>
              <w:jc w:val="center"/>
            </w:pPr>
            <w:r w:rsidRPr="00050D61">
              <w:t>406</w:t>
            </w:r>
          </w:p>
        </w:tc>
        <w:tc>
          <w:tcPr>
            <w:tcW w:w="2464" w:type="dxa"/>
            <w:vAlign w:val="center"/>
          </w:tcPr>
          <w:p w:rsidR="00B544D8" w:rsidRPr="00050D61" w:rsidRDefault="00B544D8" w:rsidP="00050D61">
            <w:pPr>
              <w:jc w:val="center"/>
            </w:pPr>
            <w:r w:rsidRPr="00050D61">
              <w:t>16.5</w:t>
            </w:r>
          </w:p>
        </w:tc>
        <w:tc>
          <w:tcPr>
            <w:tcW w:w="2464" w:type="dxa"/>
            <w:vAlign w:val="center"/>
          </w:tcPr>
          <w:p w:rsidR="00B544D8" w:rsidRPr="00050D61" w:rsidRDefault="00B544D8" w:rsidP="00050D61">
            <w:pPr>
              <w:jc w:val="center"/>
            </w:pPr>
            <w:r w:rsidRPr="00050D61">
              <w:t>22.0</w:t>
            </w:r>
          </w:p>
        </w:tc>
      </w:tr>
      <w:tr w:rsidR="00050D61" w:rsidRPr="00050D61" w:rsidTr="00050D61">
        <w:tc>
          <w:tcPr>
            <w:tcW w:w="2463" w:type="dxa"/>
            <w:vAlign w:val="center"/>
          </w:tcPr>
          <w:p w:rsidR="00B544D8" w:rsidRPr="00050D61" w:rsidRDefault="00B544D8" w:rsidP="00050D61">
            <w:pPr>
              <w:jc w:val="center"/>
            </w:pPr>
            <w:r w:rsidRPr="00050D61">
              <w:t>406</w:t>
            </w:r>
          </w:p>
        </w:tc>
        <w:tc>
          <w:tcPr>
            <w:tcW w:w="2463" w:type="dxa"/>
            <w:vAlign w:val="center"/>
          </w:tcPr>
          <w:p w:rsidR="00B544D8" w:rsidRPr="00050D61" w:rsidRDefault="00B544D8" w:rsidP="00050D61">
            <w:pPr>
              <w:jc w:val="center"/>
            </w:pPr>
            <w:r w:rsidRPr="00050D61">
              <w:t>431</w:t>
            </w:r>
          </w:p>
        </w:tc>
        <w:tc>
          <w:tcPr>
            <w:tcW w:w="2464" w:type="dxa"/>
            <w:vAlign w:val="center"/>
          </w:tcPr>
          <w:p w:rsidR="00B544D8" w:rsidRPr="00050D61" w:rsidRDefault="00B544D8" w:rsidP="00050D61">
            <w:pPr>
              <w:jc w:val="center"/>
            </w:pPr>
            <w:r w:rsidRPr="00050D61">
              <w:t>17.0</w:t>
            </w:r>
          </w:p>
        </w:tc>
        <w:tc>
          <w:tcPr>
            <w:tcW w:w="2464" w:type="dxa"/>
            <w:vAlign w:val="center"/>
          </w:tcPr>
          <w:p w:rsidR="00B544D8" w:rsidRPr="00050D61" w:rsidRDefault="00B544D8" w:rsidP="00050D61">
            <w:pPr>
              <w:jc w:val="center"/>
            </w:pPr>
            <w:r w:rsidRPr="00050D61">
              <w:t>23.0</w:t>
            </w:r>
          </w:p>
        </w:tc>
      </w:tr>
      <w:tr w:rsidR="00050D61" w:rsidRPr="00050D61" w:rsidTr="00050D61">
        <w:tc>
          <w:tcPr>
            <w:tcW w:w="2463" w:type="dxa"/>
            <w:vAlign w:val="center"/>
          </w:tcPr>
          <w:p w:rsidR="00B544D8" w:rsidRPr="00050D61" w:rsidRDefault="00B544D8" w:rsidP="00050D61">
            <w:pPr>
              <w:jc w:val="center"/>
            </w:pPr>
            <w:r w:rsidRPr="00050D61">
              <w:t>431</w:t>
            </w:r>
          </w:p>
        </w:tc>
        <w:tc>
          <w:tcPr>
            <w:tcW w:w="2463" w:type="dxa"/>
            <w:vAlign w:val="center"/>
          </w:tcPr>
          <w:p w:rsidR="00B544D8" w:rsidRPr="00050D61" w:rsidRDefault="00B544D8" w:rsidP="00050D61">
            <w:pPr>
              <w:jc w:val="center"/>
            </w:pPr>
            <w:r w:rsidRPr="00050D61">
              <w:t>458</w:t>
            </w:r>
          </w:p>
        </w:tc>
        <w:tc>
          <w:tcPr>
            <w:tcW w:w="2464" w:type="dxa"/>
            <w:vAlign w:val="center"/>
          </w:tcPr>
          <w:p w:rsidR="00B544D8" w:rsidRPr="00050D61" w:rsidRDefault="00B544D8" w:rsidP="00050D61">
            <w:pPr>
              <w:jc w:val="center"/>
            </w:pPr>
            <w:r w:rsidRPr="00050D61">
              <w:t>17.5</w:t>
            </w:r>
          </w:p>
        </w:tc>
        <w:tc>
          <w:tcPr>
            <w:tcW w:w="2464" w:type="dxa"/>
            <w:vAlign w:val="center"/>
          </w:tcPr>
          <w:p w:rsidR="00B544D8" w:rsidRPr="00050D61" w:rsidRDefault="00B544D8" w:rsidP="00050D61">
            <w:pPr>
              <w:jc w:val="center"/>
            </w:pPr>
            <w:r w:rsidRPr="00050D61">
              <w:t>24.0</w:t>
            </w:r>
          </w:p>
        </w:tc>
      </w:tr>
      <w:tr w:rsidR="00050D61" w:rsidRPr="00050D61" w:rsidTr="00050D61">
        <w:tc>
          <w:tcPr>
            <w:tcW w:w="2463" w:type="dxa"/>
            <w:vAlign w:val="center"/>
          </w:tcPr>
          <w:p w:rsidR="00B544D8" w:rsidRPr="00050D61" w:rsidRDefault="00B544D8" w:rsidP="00050D61">
            <w:pPr>
              <w:jc w:val="center"/>
            </w:pPr>
            <w:r w:rsidRPr="00050D61">
              <w:t>458</w:t>
            </w:r>
          </w:p>
        </w:tc>
        <w:tc>
          <w:tcPr>
            <w:tcW w:w="2463" w:type="dxa"/>
            <w:vAlign w:val="center"/>
          </w:tcPr>
          <w:p w:rsidR="00B544D8" w:rsidRPr="00050D61" w:rsidRDefault="00B544D8" w:rsidP="00050D61">
            <w:pPr>
              <w:jc w:val="center"/>
            </w:pPr>
            <w:r w:rsidRPr="00050D61">
              <w:t>482</w:t>
            </w:r>
          </w:p>
        </w:tc>
        <w:tc>
          <w:tcPr>
            <w:tcW w:w="2464" w:type="dxa"/>
            <w:vAlign w:val="center"/>
          </w:tcPr>
          <w:p w:rsidR="00B544D8" w:rsidRPr="00050D61" w:rsidRDefault="00B544D8" w:rsidP="00050D61">
            <w:pPr>
              <w:jc w:val="center"/>
            </w:pPr>
            <w:r w:rsidRPr="00050D61">
              <w:t>18.0</w:t>
            </w:r>
          </w:p>
        </w:tc>
        <w:tc>
          <w:tcPr>
            <w:tcW w:w="2464" w:type="dxa"/>
            <w:vAlign w:val="center"/>
          </w:tcPr>
          <w:p w:rsidR="00B544D8" w:rsidRPr="00050D61" w:rsidRDefault="00B544D8" w:rsidP="00050D61">
            <w:pPr>
              <w:jc w:val="center"/>
            </w:pPr>
            <w:r w:rsidRPr="00050D61">
              <w:t>25.0</w:t>
            </w:r>
          </w:p>
        </w:tc>
      </w:tr>
      <w:tr w:rsidR="00050D61" w:rsidRPr="00050D61" w:rsidTr="00050D61">
        <w:tc>
          <w:tcPr>
            <w:tcW w:w="2463" w:type="dxa"/>
            <w:vAlign w:val="center"/>
          </w:tcPr>
          <w:p w:rsidR="00B544D8" w:rsidRPr="00050D61" w:rsidRDefault="00B544D8" w:rsidP="00050D61">
            <w:pPr>
              <w:jc w:val="center"/>
            </w:pPr>
            <w:r w:rsidRPr="00050D61">
              <w:t>482</w:t>
            </w:r>
          </w:p>
        </w:tc>
        <w:tc>
          <w:tcPr>
            <w:tcW w:w="2463" w:type="dxa"/>
            <w:vAlign w:val="center"/>
          </w:tcPr>
          <w:p w:rsidR="00B544D8" w:rsidRPr="00050D61" w:rsidRDefault="00B544D8" w:rsidP="00050D61">
            <w:pPr>
              <w:jc w:val="center"/>
            </w:pPr>
            <w:r w:rsidRPr="00050D61">
              <w:t>508</w:t>
            </w:r>
          </w:p>
        </w:tc>
        <w:tc>
          <w:tcPr>
            <w:tcW w:w="2464" w:type="dxa"/>
            <w:vAlign w:val="center"/>
          </w:tcPr>
          <w:p w:rsidR="00B544D8" w:rsidRPr="00050D61" w:rsidRDefault="00B544D8" w:rsidP="00050D61">
            <w:pPr>
              <w:jc w:val="center"/>
            </w:pPr>
            <w:r w:rsidRPr="00050D61">
              <w:t>18.5</w:t>
            </w:r>
          </w:p>
        </w:tc>
        <w:tc>
          <w:tcPr>
            <w:tcW w:w="2464" w:type="dxa"/>
            <w:vAlign w:val="center"/>
          </w:tcPr>
          <w:p w:rsidR="00B544D8" w:rsidRPr="00050D61" w:rsidRDefault="00B544D8" w:rsidP="00050D61">
            <w:pPr>
              <w:jc w:val="center"/>
            </w:pPr>
            <w:r w:rsidRPr="00050D61">
              <w:t>26.0</w:t>
            </w:r>
          </w:p>
        </w:tc>
      </w:tr>
      <w:tr w:rsidR="00050D61" w:rsidRPr="00050D61" w:rsidTr="00050D61">
        <w:tc>
          <w:tcPr>
            <w:tcW w:w="2463" w:type="dxa"/>
            <w:vAlign w:val="center"/>
          </w:tcPr>
          <w:p w:rsidR="00B544D8" w:rsidRPr="00050D61" w:rsidRDefault="00B544D8" w:rsidP="00050D61">
            <w:pPr>
              <w:jc w:val="center"/>
            </w:pPr>
            <w:r w:rsidRPr="00050D61">
              <w:t>508</w:t>
            </w:r>
          </w:p>
        </w:tc>
        <w:tc>
          <w:tcPr>
            <w:tcW w:w="2463" w:type="dxa"/>
            <w:vAlign w:val="center"/>
          </w:tcPr>
          <w:p w:rsidR="00B544D8" w:rsidRPr="00050D61" w:rsidRDefault="00B544D8" w:rsidP="00050D61">
            <w:pPr>
              <w:jc w:val="center"/>
            </w:pPr>
          </w:p>
        </w:tc>
        <w:tc>
          <w:tcPr>
            <w:tcW w:w="2464" w:type="dxa"/>
            <w:vAlign w:val="center"/>
          </w:tcPr>
          <w:p w:rsidR="00B544D8" w:rsidRPr="00050D61" w:rsidRDefault="00B544D8" w:rsidP="00050D61">
            <w:pPr>
              <w:jc w:val="center"/>
            </w:pPr>
            <w:r w:rsidRPr="00050D61">
              <w:t>19.0</w:t>
            </w:r>
          </w:p>
        </w:tc>
        <w:tc>
          <w:tcPr>
            <w:tcW w:w="2464" w:type="dxa"/>
            <w:vAlign w:val="center"/>
          </w:tcPr>
          <w:p w:rsidR="00B544D8" w:rsidRPr="00050D61" w:rsidRDefault="00B544D8" w:rsidP="00050D61">
            <w:pPr>
              <w:jc w:val="center"/>
            </w:pPr>
            <w:r w:rsidRPr="00050D61">
              <w:t>27.0</w:t>
            </w:r>
          </w:p>
        </w:tc>
      </w:tr>
    </w:tbl>
    <w:p w:rsidR="003041AB" w:rsidRPr="00050D61" w:rsidRDefault="003041AB" w:rsidP="00050D61">
      <w:pPr>
        <w:pStyle w:val="Sectionheading"/>
        <w:numPr>
          <w:ilvl w:val="0"/>
          <w:numId w:val="0"/>
        </w:numPr>
        <w:ind w:left="360" w:hanging="360"/>
        <w:jc w:val="both"/>
        <w:rPr>
          <w:lang w:val="en-US"/>
        </w:rPr>
      </w:pPr>
    </w:p>
    <w:p w:rsidR="00296CD8" w:rsidRPr="00050D61" w:rsidRDefault="009B24A1" w:rsidP="00050D61">
      <w:pPr>
        <w:pStyle w:val="Sectionheading"/>
        <w:jc w:val="both"/>
      </w:pPr>
      <w:r w:rsidRPr="00050D61">
        <w:t>Conditions – Conditional Dimensions</w:t>
      </w:r>
    </w:p>
    <w:p w:rsidR="00296CD8" w:rsidRPr="00050D61" w:rsidRDefault="00296CD8" w:rsidP="00583958">
      <w:pPr>
        <w:pStyle w:val="OutlineNumberedLevel1"/>
        <w:numPr>
          <w:ilvl w:val="0"/>
          <w:numId w:val="29"/>
        </w:numPr>
        <w:contextualSpacing/>
      </w:pPr>
      <w:r w:rsidRPr="00050D61">
        <w:t xml:space="preserve">Subject </w:t>
      </w:r>
      <w:r w:rsidR="002A5542" w:rsidRPr="00050D61">
        <w:t>to network conditions set out in the Operator’s Guide,</w:t>
      </w:r>
      <w:r w:rsidRPr="00050D61">
        <w:t xml:space="preserve"> a</w:t>
      </w:r>
      <w:r w:rsidR="00874377" w:rsidRPr="00050D61">
        <w:t xml:space="preserve">n eligible vehicle </w:t>
      </w:r>
      <w:r w:rsidRPr="00050D61">
        <w:t>operating under this Notice must not exceed the dimension limits specified in Table 4 of this Notice.</w:t>
      </w:r>
    </w:p>
    <w:p w:rsidR="00296CD8" w:rsidRPr="00050D61" w:rsidRDefault="00296CD8" w:rsidP="00583958">
      <w:pPr>
        <w:pStyle w:val="OutlineNumberedLevel1"/>
        <w:numPr>
          <w:ilvl w:val="0"/>
          <w:numId w:val="29"/>
        </w:numPr>
        <w:contextualSpacing/>
      </w:pPr>
      <w:r w:rsidRPr="00050D61">
        <w:t xml:space="preserve">The centre lines of adjacent axles in an axle group on an </w:t>
      </w:r>
      <w:proofErr w:type="spellStart"/>
      <w:r w:rsidRPr="00050D61">
        <w:t>overmass</w:t>
      </w:r>
      <w:proofErr w:type="spellEnd"/>
      <w:r w:rsidRPr="00050D61">
        <w:t xml:space="preserve"> vehicle or combination must be at least 1.2 m apart.</w:t>
      </w:r>
    </w:p>
    <w:p w:rsidR="000B2161" w:rsidRPr="00050D61" w:rsidRDefault="000B2161" w:rsidP="00050D61">
      <w:pPr>
        <w:jc w:val="both"/>
        <w:rPr>
          <w:b/>
          <w:lang w:val="en-US"/>
        </w:rPr>
      </w:pPr>
      <w:r w:rsidRPr="00050D61">
        <w:rPr>
          <w:b/>
          <w:lang w:val="en-US"/>
        </w:rPr>
        <w:t xml:space="preserve">Table </w:t>
      </w:r>
      <w:r w:rsidR="000B3D87" w:rsidRPr="00050D61">
        <w:rPr>
          <w:b/>
          <w:lang w:val="en-US"/>
        </w:rPr>
        <w:t>4</w:t>
      </w:r>
      <w:r w:rsidRPr="00050D61">
        <w:rPr>
          <w:b/>
          <w:lang w:val="en-US"/>
        </w:rPr>
        <w:t xml:space="preserve">: Maximum dimension limits </w:t>
      </w:r>
    </w:p>
    <w:tbl>
      <w:tblPr>
        <w:tblW w:w="858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Caption w:val="Table 4: Maximum dimension limits "/>
        <w:tblDescription w:val="A table of conditional dimension limits available to eligible vehicles operating under this Notice."/>
      </w:tblPr>
      <w:tblGrid>
        <w:gridCol w:w="3261"/>
        <w:gridCol w:w="897"/>
        <w:gridCol w:w="1039"/>
        <w:gridCol w:w="1040"/>
        <w:gridCol w:w="2344"/>
      </w:tblGrid>
      <w:tr w:rsidR="00050D61" w:rsidRPr="00050D61" w:rsidTr="00050D61">
        <w:tc>
          <w:tcPr>
            <w:tcW w:w="3261" w:type="dxa"/>
            <w:vAlign w:val="center"/>
          </w:tcPr>
          <w:p w:rsidR="000B2161" w:rsidRPr="00050D61" w:rsidRDefault="000B2161" w:rsidP="00050D61">
            <w:pPr>
              <w:jc w:val="center"/>
              <w:rPr>
                <w:b/>
              </w:rPr>
            </w:pPr>
            <w:r w:rsidRPr="00050D61">
              <w:rPr>
                <w:b/>
              </w:rPr>
              <w:t>Vehicle</w:t>
            </w:r>
          </w:p>
        </w:tc>
        <w:tc>
          <w:tcPr>
            <w:tcW w:w="897" w:type="dxa"/>
            <w:vAlign w:val="center"/>
          </w:tcPr>
          <w:p w:rsidR="000B2161" w:rsidRPr="00050D61" w:rsidRDefault="000B2161" w:rsidP="00050D61">
            <w:pPr>
              <w:jc w:val="center"/>
              <w:rPr>
                <w:b/>
              </w:rPr>
            </w:pPr>
            <w:r w:rsidRPr="00050D61">
              <w:rPr>
                <w:b/>
              </w:rPr>
              <w:t>Height</w:t>
            </w:r>
          </w:p>
        </w:tc>
        <w:tc>
          <w:tcPr>
            <w:tcW w:w="1039" w:type="dxa"/>
            <w:shd w:val="clear" w:color="auto" w:fill="auto"/>
            <w:vAlign w:val="center"/>
          </w:tcPr>
          <w:p w:rsidR="000B2161" w:rsidRPr="00050D61" w:rsidRDefault="000B2161" w:rsidP="00050D61">
            <w:pPr>
              <w:jc w:val="center"/>
              <w:rPr>
                <w:b/>
              </w:rPr>
            </w:pPr>
            <w:r w:rsidRPr="00050D61">
              <w:rPr>
                <w:b/>
              </w:rPr>
              <w:t>Width</w:t>
            </w:r>
          </w:p>
        </w:tc>
        <w:tc>
          <w:tcPr>
            <w:tcW w:w="1040" w:type="dxa"/>
            <w:shd w:val="clear" w:color="auto" w:fill="auto"/>
            <w:vAlign w:val="center"/>
          </w:tcPr>
          <w:p w:rsidR="000B2161" w:rsidRPr="00050D61" w:rsidRDefault="000B2161" w:rsidP="00050D61">
            <w:pPr>
              <w:jc w:val="center"/>
              <w:rPr>
                <w:b/>
              </w:rPr>
            </w:pPr>
            <w:r w:rsidRPr="00050D61">
              <w:rPr>
                <w:b/>
              </w:rPr>
              <w:t>Length</w:t>
            </w:r>
          </w:p>
        </w:tc>
        <w:tc>
          <w:tcPr>
            <w:tcW w:w="2344" w:type="dxa"/>
            <w:vAlign w:val="center"/>
          </w:tcPr>
          <w:p w:rsidR="000B2161" w:rsidRPr="00050D61" w:rsidRDefault="000B2161" w:rsidP="00050D61">
            <w:pPr>
              <w:jc w:val="center"/>
              <w:rPr>
                <w:b/>
              </w:rPr>
            </w:pPr>
            <w:r w:rsidRPr="00050D61">
              <w:rPr>
                <w:b/>
              </w:rPr>
              <w:t>Rear Overhang Limit</w:t>
            </w:r>
          </w:p>
        </w:tc>
      </w:tr>
      <w:tr w:rsidR="00050D61" w:rsidRPr="00050D61" w:rsidTr="00050D61">
        <w:tc>
          <w:tcPr>
            <w:tcW w:w="3261" w:type="dxa"/>
            <w:vAlign w:val="center"/>
          </w:tcPr>
          <w:p w:rsidR="000B2161" w:rsidRPr="00050D61" w:rsidRDefault="000B2161" w:rsidP="00050D61">
            <w:pPr>
              <w:jc w:val="center"/>
            </w:pPr>
            <w:r w:rsidRPr="00050D61">
              <w:t>Loaded rigid motor vehicle</w:t>
            </w:r>
          </w:p>
        </w:tc>
        <w:tc>
          <w:tcPr>
            <w:tcW w:w="897" w:type="dxa"/>
            <w:vAlign w:val="center"/>
          </w:tcPr>
          <w:p w:rsidR="000B2161" w:rsidRPr="00050D61" w:rsidRDefault="000B2161" w:rsidP="00050D61">
            <w:pPr>
              <w:jc w:val="center"/>
            </w:pPr>
            <w:r w:rsidRPr="00050D61">
              <w:t>4.6m</w:t>
            </w:r>
          </w:p>
        </w:tc>
        <w:tc>
          <w:tcPr>
            <w:tcW w:w="1039" w:type="dxa"/>
            <w:shd w:val="clear" w:color="auto" w:fill="auto"/>
            <w:vAlign w:val="center"/>
          </w:tcPr>
          <w:p w:rsidR="000B2161" w:rsidRPr="00050D61" w:rsidRDefault="000B2161" w:rsidP="00050D61">
            <w:pPr>
              <w:jc w:val="center"/>
            </w:pPr>
            <w:r w:rsidRPr="00050D61">
              <w:t>3.5m</w:t>
            </w:r>
          </w:p>
        </w:tc>
        <w:tc>
          <w:tcPr>
            <w:tcW w:w="1040" w:type="dxa"/>
            <w:shd w:val="clear" w:color="auto" w:fill="auto"/>
            <w:vAlign w:val="center"/>
          </w:tcPr>
          <w:p w:rsidR="000B2161" w:rsidRPr="00050D61" w:rsidRDefault="000B2161" w:rsidP="00050D61">
            <w:pPr>
              <w:jc w:val="center"/>
            </w:pPr>
            <w:r w:rsidRPr="00050D61">
              <w:t>12.5m</w:t>
            </w:r>
          </w:p>
        </w:tc>
        <w:tc>
          <w:tcPr>
            <w:tcW w:w="2344" w:type="dxa"/>
            <w:vAlign w:val="center"/>
          </w:tcPr>
          <w:p w:rsidR="000B2161" w:rsidRPr="00050D61" w:rsidRDefault="000B2161" w:rsidP="00050D61">
            <w:pPr>
              <w:jc w:val="center"/>
            </w:pPr>
            <w:r w:rsidRPr="00050D61">
              <w:t>Lesser of 3.7m or 60% of wheel base</w:t>
            </w:r>
          </w:p>
        </w:tc>
      </w:tr>
      <w:tr w:rsidR="00050D61" w:rsidRPr="00050D61" w:rsidTr="00050D61">
        <w:tc>
          <w:tcPr>
            <w:tcW w:w="3261" w:type="dxa"/>
            <w:vAlign w:val="center"/>
          </w:tcPr>
          <w:p w:rsidR="000B2161" w:rsidRPr="00050D61" w:rsidRDefault="000B2161" w:rsidP="00050D61">
            <w:pPr>
              <w:jc w:val="center"/>
            </w:pPr>
            <w:r w:rsidRPr="00050D61">
              <w:t>Loaded combination consisting of a prime mover and a semi-trailer</w:t>
            </w:r>
          </w:p>
        </w:tc>
        <w:tc>
          <w:tcPr>
            <w:tcW w:w="897" w:type="dxa"/>
            <w:vAlign w:val="center"/>
          </w:tcPr>
          <w:p w:rsidR="000B2161" w:rsidRPr="00050D61" w:rsidRDefault="000B2161" w:rsidP="00050D61">
            <w:pPr>
              <w:jc w:val="center"/>
            </w:pPr>
            <w:r w:rsidRPr="00050D61">
              <w:t>4.6m</w:t>
            </w:r>
          </w:p>
        </w:tc>
        <w:tc>
          <w:tcPr>
            <w:tcW w:w="1039" w:type="dxa"/>
            <w:shd w:val="clear" w:color="auto" w:fill="auto"/>
            <w:vAlign w:val="center"/>
          </w:tcPr>
          <w:p w:rsidR="000B2161" w:rsidRPr="00050D61" w:rsidRDefault="000B2161" w:rsidP="00050D61">
            <w:pPr>
              <w:jc w:val="center"/>
            </w:pPr>
            <w:r w:rsidRPr="00050D61">
              <w:t>3.5m</w:t>
            </w:r>
          </w:p>
        </w:tc>
        <w:tc>
          <w:tcPr>
            <w:tcW w:w="1040" w:type="dxa"/>
            <w:shd w:val="clear" w:color="auto" w:fill="auto"/>
            <w:vAlign w:val="center"/>
          </w:tcPr>
          <w:p w:rsidR="000B2161" w:rsidRPr="00050D61" w:rsidRDefault="000B2161" w:rsidP="00050D61">
            <w:pPr>
              <w:jc w:val="center"/>
            </w:pPr>
            <w:r w:rsidRPr="00050D61">
              <w:t>25.0m</w:t>
            </w:r>
          </w:p>
        </w:tc>
        <w:tc>
          <w:tcPr>
            <w:tcW w:w="2344" w:type="dxa"/>
            <w:vAlign w:val="center"/>
          </w:tcPr>
          <w:p w:rsidR="000B2161" w:rsidRPr="00050D61" w:rsidRDefault="000B2161" w:rsidP="00050D61">
            <w:pPr>
              <w:jc w:val="center"/>
            </w:pPr>
            <w:r w:rsidRPr="00050D61">
              <w:t xml:space="preserve">Lesser of 5.5m or 25% of </w:t>
            </w:r>
            <w:r w:rsidR="008D3B86" w:rsidRPr="00050D61">
              <w:t xml:space="preserve">vehicle combination </w:t>
            </w:r>
            <w:r w:rsidRPr="00050D61">
              <w:t>length</w:t>
            </w:r>
          </w:p>
        </w:tc>
      </w:tr>
      <w:tr w:rsidR="00050D61" w:rsidRPr="00050D61" w:rsidTr="00050D61">
        <w:tc>
          <w:tcPr>
            <w:tcW w:w="3261" w:type="dxa"/>
            <w:vAlign w:val="center"/>
          </w:tcPr>
          <w:p w:rsidR="000B2161" w:rsidRPr="00050D61" w:rsidRDefault="000B2161" w:rsidP="00050D61">
            <w:pPr>
              <w:jc w:val="center"/>
            </w:pPr>
            <w:r w:rsidRPr="00050D61">
              <w:t>Loaded rigid vehicle and trailer combination</w:t>
            </w:r>
          </w:p>
        </w:tc>
        <w:tc>
          <w:tcPr>
            <w:tcW w:w="897" w:type="dxa"/>
            <w:vAlign w:val="center"/>
          </w:tcPr>
          <w:p w:rsidR="000B2161" w:rsidRPr="00050D61" w:rsidRDefault="000B2161" w:rsidP="00050D61">
            <w:pPr>
              <w:jc w:val="center"/>
            </w:pPr>
            <w:r w:rsidRPr="00050D61">
              <w:t>4.6m</w:t>
            </w:r>
          </w:p>
        </w:tc>
        <w:tc>
          <w:tcPr>
            <w:tcW w:w="1039" w:type="dxa"/>
            <w:shd w:val="clear" w:color="auto" w:fill="auto"/>
            <w:vAlign w:val="center"/>
          </w:tcPr>
          <w:p w:rsidR="000B2161" w:rsidRPr="00050D61" w:rsidRDefault="000B2161" w:rsidP="00050D61">
            <w:pPr>
              <w:jc w:val="center"/>
            </w:pPr>
            <w:r w:rsidRPr="00050D61">
              <w:t>3.5m</w:t>
            </w:r>
          </w:p>
        </w:tc>
        <w:tc>
          <w:tcPr>
            <w:tcW w:w="1040" w:type="dxa"/>
            <w:shd w:val="clear" w:color="auto" w:fill="auto"/>
            <w:vAlign w:val="center"/>
          </w:tcPr>
          <w:p w:rsidR="000B2161" w:rsidRPr="00050D61" w:rsidRDefault="000B2161" w:rsidP="00050D61">
            <w:pPr>
              <w:jc w:val="center"/>
            </w:pPr>
            <w:r w:rsidRPr="00050D61">
              <w:t>19.0m</w:t>
            </w:r>
          </w:p>
        </w:tc>
        <w:tc>
          <w:tcPr>
            <w:tcW w:w="2344" w:type="dxa"/>
            <w:vAlign w:val="center"/>
          </w:tcPr>
          <w:p w:rsidR="000B2161" w:rsidRPr="00050D61" w:rsidRDefault="000B2161" w:rsidP="00050D61">
            <w:pPr>
              <w:jc w:val="center"/>
            </w:pPr>
            <w:r w:rsidRPr="00050D61">
              <w:t>Lesser of 3.7m or 60% of wheel base</w:t>
            </w:r>
          </w:p>
        </w:tc>
      </w:tr>
      <w:tr w:rsidR="00050D61" w:rsidRPr="00050D61" w:rsidTr="00050D61">
        <w:tc>
          <w:tcPr>
            <w:tcW w:w="3261" w:type="dxa"/>
            <w:vAlign w:val="center"/>
          </w:tcPr>
          <w:p w:rsidR="000B2161" w:rsidRPr="00050D61" w:rsidRDefault="000B2161" w:rsidP="00050D61">
            <w:pPr>
              <w:jc w:val="center"/>
            </w:pPr>
            <w:r w:rsidRPr="00050D61">
              <w:t>Unloaded articulated low loader</w:t>
            </w:r>
          </w:p>
        </w:tc>
        <w:tc>
          <w:tcPr>
            <w:tcW w:w="897" w:type="dxa"/>
            <w:vAlign w:val="center"/>
          </w:tcPr>
          <w:p w:rsidR="000B2161" w:rsidRPr="00050D61" w:rsidRDefault="000B2161" w:rsidP="00050D61">
            <w:pPr>
              <w:jc w:val="center"/>
            </w:pPr>
            <w:r w:rsidRPr="00050D61">
              <w:t>4.6m</w:t>
            </w:r>
          </w:p>
        </w:tc>
        <w:tc>
          <w:tcPr>
            <w:tcW w:w="1039" w:type="dxa"/>
            <w:shd w:val="clear" w:color="auto" w:fill="auto"/>
            <w:vAlign w:val="center"/>
          </w:tcPr>
          <w:p w:rsidR="000B2161" w:rsidRPr="00050D61" w:rsidRDefault="000B2161" w:rsidP="00050D61">
            <w:pPr>
              <w:jc w:val="center"/>
            </w:pPr>
            <w:r w:rsidRPr="00050D61">
              <w:t>2.5m</w:t>
            </w:r>
          </w:p>
        </w:tc>
        <w:tc>
          <w:tcPr>
            <w:tcW w:w="1040" w:type="dxa"/>
            <w:shd w:val="clear" w:color="auto" w:fill="auto"/>
            <w:vAlign w:val="center"/>
          </w:tcPr>
          <w:p w:rsidR="000B2161" w:rsidRPr="00050D61" w:rsidRDefault="000B2161" w:rsidP="00050D61">
            <w:pPr>
              <w:jc w:val="center"/>
            </w:pPr>
            <w:r w:rsidRPr="00050D61">
              <w:t>25.0m</w:t>
            </w:r>
          </w:p>
        </w:tc>
        <w:tc>
          <w:tcPr>
            <w:tcW w:w="2344" w:type="dxa"/>
            <w:vAlign w:val="center"/>
          </w:tcPr>
          <w:p w:rsidR="000B2161" w:rsidRPr="00050D61" w:rsidRDefault="000B2161" w:rsidP="00050D61">
            <w:pPr>
              <w:jc w:val="center"/>
            </w:pPr>
            <w:r w:rsidRPr="00050D61">
              <w:t>Lesser of 3.7m or 60% of wheel base</w:t>
            </w:r>
          </w:p>
        </w:tc>
      </w:tr>
      <w:tr w:rsidR="00050D61" w:rsidRPr="00050D61" w:rsidTr="00050D61">
        <w:tc>
          <w:tcPr>
            <w:tcW w:w="3261" w:type="dxa"/>
            <w:vAlign w:val="center"/>
          </w:tcPr>
          <w:p w:rsidR="000B2161" w:rsidRPr="00050D61" w:rsidRDefault="000B2161" w:rsidP="00050D61">
            <w:pPr>
              <w:jc w:val="center"/>
            </w:pPr>
            <w:r w:rsidRPr="00050D61">
              <w:t>Unloaded articulated low loader with 8 tyres per axle</w:t>
            </w:r>
          </w:p>
        </w:tc>
        <w:tc>
          <w:tcPr>
            <w:tcW w:w="897" w:type="dxa"/>
            <w:vAlign w:val="center"/>
          </w:tcPr>
          <w:p w:rsidR="000B2161" w:rsidRPr="00050D61" w:rsidRDefault="000B2161" w:rsidP="00050D61">
            <w:pPr>
              <w:jc w:val="center"/>
            </w:pPr>
            <w:r w:rsidRPr="00050D61">
              <w:t>4.6m</w:t>
            </w:r>
          </w:p>
        </w:tc>
        <w:tc>
          <w:tcPr>
            <w:tcW w:w="1039" w:type="dxa"/>
            <w:shd w:val="clear" w:color="auto" w:fill="auto"/>
            <w:vAlign w:val="center"/>
          </w:tcPr>
          <w:p w:rsidR="000B2161" w:rsidRPr="00050D61" w:rsidRDefault="000B2161" w:rsidP="00050D61">
            <w:pPr>
              <w:jc w:val="center"/>
            </w:pPr>
            <w:r w:rsidRPr="00050D61">
              <w:t>2.7m</w:t>
            </w:r>
          </w:p>
        </w:tc>
        <w:tc>
          <w:tcPr>
            <w:tcW w:w="1040" w:type="dxa"/>
            <w:shd w:val="clear" w:color="auto" w:fill="auto"/>
            <w:vAlign w:val="center"/>
          </w:tcPr>
          <w:p w:rsidR="000B2161" w:rsidRPr="00050D61" w:rsidRDefault="000B2161" w:rsidP="00050D61">
            <w:pPr>
              <w:jc w:val="center"/>
            </w:pPr>
            <w:r w:rsidRPr="00050D61">
              <w:t>25.0m</w:t>
            </w:r>
          </w:p>
        </w:tc>
        <w:tc>
          <w:tcPr>
            <w:tcW w:w="2344" w:type="dxa"/>
            <w:vAlign w:val="center"/>
          </w:tcPr>
          <w:p w:rsidR="000B2161" w:rsidRPr="00050D61" w:rsidRDefault="000B2161" w:rsidP="00050D61">
            <w:pPr>
              <w:jc w:val="center"/>
            </w:pPr>
            <w:r w:rsidRPr="00050D61">
              <w:t>Lesser of 3.7m or 60% of wheel base</w:t>
            </w:r>
          </w:p>
        </w:tc>
      </w:tr>
    </w:tbl>
    <w:p w:rsidR="000B2161" w:rsidRPr="00050D61" w:rsidRDefault="000B2161" w:rsidP="00050D61">
      <w:pPr>
        <w:pStyle w:val="Sectionheading"/>
        <w:numPr>
          <w:ilvl w:val="0"/>
          <w:numId w:val="0"/>
        </w:numPr>
        <w:ind w:left="360" w:hanging="360"/>
        <w:jc w:val="both"/>
      </w:pPr>
    </w:p>
    <w:p w:rsidR="000B2161" w:rsidRPr="00050D61" w:rsidRDefault="000B2161" w:rsidP="00050D61">
      <w:pPr>
        <w:pStyle w:val="Sectionheading"/>
        <w:numPr>
          <w:ilvl w:val="0"/>
          <w:numId w:val="0"/>
        </w:numPr>
        <w:ind w:left="1440" w:hanging="720"/>
        <w:jc w:val="both"/>
        <w:rPr>
          <w:b w:val="0"/>
          <w:i/>
        </w:rPr>
      </w:pPr>
      <w:r w:rsidRPr="00050D61">
        <w:rPr>
          <w:b w:val="0"/>
          <w:i/>
        </w:rPr>
        <w:t xml:space="preserve">Note: </w:t>
      </w:r>
      <w:r w:rsidR="00DF2C27" w:rsidRPr="00050D61">
        <w:rPr>
          <w:b w:val="0"/>
          <w:i/>
        </w:rPr>
        <w:tab/>
      </w:r>
      <w:r w:rsidRPr="00050D61">
        <w:rPr>
          <w:b w:val="0"/>
          <w:i/>
        </w:rPr>
        <w:t xml:space="preserve">If a load can be safely loaded in more than one way, it must be loaded in a way that minimises the width of the vehicle or combination and its load. </w:t>
      </w:r>
    </w:p>
    <w:p w:rsidR="00DF2C27" w:rsidRPr="00050D61" w:rsidRDefault="00DF2C27" w:rsidP="00050D61">
      <w:pPr>
        <w:pStyle w:val="Sectionheading"/>
        <w:numPr>
          <w:ilvl w:val="0"/>
          <w:numId w:val="0"/>
        </w:numPr>
        <w:ind w:left="1440" w:hanging="720"/>
        <w:jc w:val="both"/>
        <w:rPr>
          <w:b w:val="0"/>
          <w:i/>
        </w:rPr>
      </w:pPr>
    </w:p>
    <w:p w:rsidR="000B2161" w:rsidRPr="00050D61" w:rsidRDefault="000B2161" w:rsidP="00583958">
      <w:pPr>
        <w:pStyle w:val="OutlineNumberedLevel1"/>
        <w:numPr>
          <w:ilvl w:val="0"/>
          <w:numId w:val="29"/>
        </w:numPr>
        <w:contextualSpacing/>
      </w:pPr>
      <w:r w:rsidRPr="00050D61">
        <w:t xml:space="preserve">An </w:t>
      </w:r>
      <w:proofErr w:type="spellStart"/>
      <w:r w:rsidRPr="00050D61">
        <w:t>unladen</w:t>
      </w:r>
      <w:proofErr w:type="spellEnd"/>
      <w:r w:rsidRPr="00050D61">
        <w:t xml:space="preserve"> low loader, low loader dolly or </w:t>
      </w:r>
      <w:proofErr w:type="spellStart"/>
      <w:r w:rsidRPr="00050D61">
        <w:t>jinker</w:t>
      </w:r>
      <w:proofErr w:type="spellEnd"/>
      <w:r w:rsidRPr="00050D61">
        <w:t xml:space="preserve">, with 4 tyres on each axle, must not be wider than 2.5 m. </w:t>
      </w:r>
    </w:p>
    <w:p w:rsidR="001038F4" w:rsidRPr="00050D61" w:rsidRDefault="000B2161" w:rsidP="00583958">
      <w:pPr>
        <w:pStyle w:val="OutlineNumberedLevel1"/>
        <w:numPr>
          <w:ilvl w:val="0"/>
          <w:numId w:val="29"/>
        </w:numPr>
        <w:contextualSpacing/>
      </w:pPr>
      <w:r w:rsidRPr="00050D61">
        <w:t xml:space="preserve">An </w:t>
      </w:r>
      <w:proofErr w:type="spellStart"/>
      <w:r w:rsidRPr="00050D61">
        <w:t>unladen</w:t>
      </w:r>
      <w:proofErr w:type="spellEnd"/>
      <w:r w:rsidRPr="00050D61">
        <w:t xml:space="preserve"> low loader, low loader dolly or </w:t>
      </w:r>
      <w:proofErr w:type="spellStart"/>
      <w:r w:rsidRPr="00050D61">
        <w:t>jinker</w:t>
      </w:r>
      <w:proofErr w:type="spellEnd"/>
      <w:r w:rsidRPr="00050D61">
        <w:t>, with 8 tyres on each axle, must not be wider than 2.7 m.</w:t>
      </w:r>
    </w:p>
    <w:p w:rsidR="00D466A6" w:rsidRPr="00050D61" w:rsidRDefault="00D466A6" w:rsidP="00050D61">
      <w:pPr>
        <w:jc w:val="both"/>
      </w:pPr>
    </w:p>
    <w:p w:rsidR="00B84FA4" w:rsidRPr="00B84FA4" w:rsidRDefault="00B84FA4" w:rsidP="00B84FA4">
      <w:pPr>
        <w:pStyle w:val="Sectionheading"/>
        <w:jc w:val="both"/>
      </w:pPr>
      <w:r w:rsidRPr="00B84FA4">
        <w:lastRenderedPageBreak/>
        <w:t>Exemption – Vehicle Standards</w:t>
      </w:r>
    </w:p>
    <w:p w:rsidR="00D466A6" w:rsidRPr="00050D61" w:rsidRDefault="00B84FA4" w:rsidP="00050D61">
      <w:pPr>
        <w:pStyle w:val="ListParagraph"/>
        <w:numPr>
          <w:ilvl w:val="0"/>
          <w:numId w:val="32"/>
        </w:numPr>
        <w:jc w:val="both"/>
      </w:pPr>
      <w:r>
        <w:t>A heavy vehicle operating under this Notice that is subject to the dimension exemption in s8 above, is exempt from s34(1) of Schedule 2 of the Heavy Vehicle (Vehicle Standards) National Regulation, to the same extent as the exemption from the dimension requirement.</w:t>
      </w:r>
    </w:p>
    <w:p w:rsidR="00583958" w:rsidRPr="00583958" w:rsidRDefault="00583958" w:rsidP="00583958">
      <w:pPr>
        <w:pStyle w:val="Sectionheading"/>
        <w:jc w:val="both"/>
      </w:pPr>
      <w:r w:rsidRPr="00583958">
        <w:t>Disapplication of Schedule 8 of the MDL Regulation</w:t>
      </w:r>
    </w:p>
    <w:p w:rsidR="00583958" w:rsidRDefault="00583958" w:rsidP="00583958">
      <w:pPr>
        <w:pStyle w:val="OutlineNumberedLevel1"/>
        <w:numPr>
          <w:ilvl w:val="0"/>
          <w:numId w:val="29"/>
        </w:numPr>
        <w:contextualSpacing/>
      </w:pPr>
      <w:r>
        <w:t>The following provisions of Schedule 8 of the MDL regulation are dis-applied for eligible vehicles operation under this Notice:</w:t>
      </w:r>
    </w:p>
    <w:p w:rsidR="00583958" w:rsidRDefault="00583958" w:rsidP="00583958">
      <w:pPr>
        <w:pStyle w:val="ListParagraph"/>
        <w:numPr>
          <w:ilvl w:val="0"/>
          <w:numId w:val="30"/>
        </w:numPr>
        <w:jc w:val="both"/>
      </w:pPr>
      <w:r>
        <w:t>Section 7 – Travel restrictions at night</w:t>
      </w:r>
    </w:p>
    <w:p w:rsidR="00583958" w:rsidRDefault="00583958" w:rsidP="00583958">
      <w:pPr>
        <w:pStyle w:val="ListParagraph"/>
        <w:jc w:val="both"/>
      </w:pPr>
    </w:p>
    <w:p w:rsidR="00583958" w:rsidRDefault="00583958" w:rsidP="00583958">
      <w:pPr>
        <w:pStyle w:val="ListParagraph"/>
        <w:ind w:left="1440" w:hanging="720"/>
        <w:jc w:val="both"/>
        <w:rPr>
          <w:i/>
        </w:rPr>
      </w:pPr>
      <w:r w:rsidRPr="00D16C67">
        <w:rPr>
          <w:i/>
        </w:rPr>
        <w:t>Note:</w:t>
      </w:r>
      <w:r w:rsidRPr="00D16C67">
        <w:rPr>
          <w:i/>
        </w:rPr>
        <w:tab/>
        <w:t>the Guideline may specify requirements relating to night time travel for particular routes or areas relating to travel at night.</w:t>
      </w:r>
    </w:p>
    <w:p w:rsidR="00583958" w:rsidRDefault="00583958" w:rsidP="00583958">
      <w:pPr>
        <w:pStyle w:val="ListParagraph"/>
        <w:ind w:left="1440" w:hanging="720"/>
        <w:jc w:val="both"/>
        <w:rPr>
          <w:i/>
        </w:rPr>
      </w:pPr>
    </w:p>
    <w:p w:rsidR="00583958" w:rsidRPr="00583958" w:rsidRDefault="00583958" w:rsidP="00583958">
      <w:pPr>
        <w:pStyle w:val="ListParagraph"/>
        <w:ind w:left="1440" w:hanging="720"/>
        <w:jc w:val="both"/>
        <w:rPr>
          <w:i/>
        </w:rPr>
      </w:pPr>
    </w:p>
    <w:p w:rsidR="00583958" w:rsidRPr="00206C09" w:rsidRDefault="00583958" w:rsidP="00583958">
      <w:pPr>
        <w:contextualSpacing/>
      </w:pPr>
      <w:r w:rsidRPr="00206C09">
        <w:t>Peter Caprioli</w:t>
      </w:r>
    </w:p>
    <w:p w:rsidR="00583958" w:rsidRPr="00206C09" w:rsidRDefault="00583958" w:rsidP="00583958">
      <w:pPr>
        <w:contextualSpacing/>
        <w:rPr>
          <w:i/>
        </w:rPr>
      </w:pPr>
      <w:r w:rsidRPr="00206C09">
        <w:rPr>
          <w:i/>
        </w:rPr>
        <w:t>Executive Director (Access Management)</w:t>
      </w:r>
    </w:p>
    <w:p w:rsidR="00583958" w:rsidRPr="00206C09" w:rsidRDefault="00583958" w:rsidP="00583958">
      <w:pPr>
        <w:contextualSpacing/>
        <w:rPr>
          <w:b/>
        </w:rPr>
      </w:pPr>
      <w:r w:rsidRPr="00206C09">
        <w:rPr>
          <w:b/>
        </w:rPr>
        <w:t>National Heavy Vehicle Regulator</w:t>
      </w:r>
    </w:p>
    <w:p w:rsidR="00583958" w:rsidRPr="00050D61" w:rsidRDefault="00583958" w:rsidP="00050D61">
      <w:pPr>
        <w:jc w:val="both"/>
      </w:pPr>
    </w:p>
    <w:p w:rsidR="00DF2C27" w:rsidRPr="00050D61" w:rsidRDefault="00DF2C27" w:rsidP="00050D61">
      <w:pPr>
        <w:jc w:val="both"/>
      </w:pPr>
    </w:p>
    <w:p w:rsidR="00DF2C27" w:rsidRPr="00050D61" w:rsidRDefault="00DF2C27" w:rsidP="00050D61">
      <w:pPr>
        <w:jc w:val="both"/>
      </w:pPr>
    </w:p>
    <w:sectPr w:rsidR="00DF2C27" w:rsidRPr="00050D61" w:rsidSect="00533715">
      <w:footerReference w:type="default" r:id="rId10"/>
      <w:headerReference w:type="first" r:id="rId11"/>
      <w:footerReference w:type="first" r:id="rId12"/>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8B2" w:rsidRDefault="00CD08B2">
      <w:pPr>
        <w:spacing w:after="0" w:line="240" w:lineRule="auto"/>
      </w:pPr>
      <w:r>
        <w:separator/>
      </w:r>
    </w:p>
  </w:endnote>
  <w:endnote w:type="continuationSeparator" w:id="0">
    <w:p w:rsidR="00CD08B2" w:rsidRDefault="00CD08B2">
      <w:pPr>
        <w:spacing w:after="0" w:line="240" w:lineRule="auto"/>
      </w:pPr>
      <w:r>
        <w:continuationSeparator/>
      </w:r>
    </w:p>
  </w:endnote>
  <w:endnote w:type="continuationNotice" w:id="1">
    <w:p w:rsidR="00CD08B2" w:rsidRDefault="00CD0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715" w:rsidRDefault="00533715" w:rsidP="00B62945">
    <w:pPr>
      <w:pStyle w:val="Footer"/>
      <w:jc w:val="right"/>
    </w:pPr>
  </w:p>
  <w:p w:rsidR="00CB726C" w:rsidRPr="00050D61" w:rsidRDefault="00CB726C" w:rsidP="003C1905">
    <w:pPr>
      <w:pStyle w:val="Footer"/>
      <w:jc w:val="right"/>
      <w:rPr>
        <w:rFonts w:ascii="Calibri" w:hAnsi="Calibri"/>
        <w:lang w:val="en-US"/>
      </w:rPr>
    </w:pPr>
    <w:r w:rsidRPr="00050D61">
      <w:rPr>
        <w:rFonts w:ascii="Calibri" w:hAnsi="Calibri"/>
        <w:lang w:val="en-US"/>
      </w:rPr>
      <w:t xml:space="preserve">New South Wales Class 1 </w:t>
    </w:r>
    <w:r w:rsidR="00C356E8" w:rsidRPr="00050D61">
      <w:rPr>
        <w:rFonts w:ascii="Calibri" w:hAnsi="Calibri"/>
        <w:lang w:val="en-US"/>
      </w:rPr>
      <w:t>Load Carrying Vehicle</w:t>
    </w:r>
    <w:r w:rsidR="00813469" w:rsidRPr="00050D61">
      <w:rPr>
        <w:rFonts w:ascii="Calibri" w:hAnsi="Calibri"/>
        <w:lang w:val="en-US"/>
      </w:rPr>
      <w:t xml:space="preserve"> Exemption</w:t>
    </w:r>
    <w:r w:rsidR="007D4533" w:rsidRPr="00050D61">
      <w:rPr>
        <w:rFonts w:ascii="Calibri" w:hAnsi="Calibri"/>
        <w:lang w:val="en-US"/>
      </w:rPr>
      <w:t xml:space="preserve"> </w:t>
    </w:r>
    <w:r w:rsidR="00C356E8" w:rsidRPr="00050D61">
      <w:rPr>
        <w:rFonts w:ascii="Calibri" w:hAnsi="Calibri"/>
        <w:lang w:val="en-US"/>
      </w:rPr>
      <w:t xml:space="preserve">Notice </w:t>
    </w:r>
    <w:r w:rsidRPr="00050D61">
      <w:rPr>
        <w:rFonts w:ascii="Calibri" w:hAnsi="Calibri"/>
        <w:lang w:val="en-US"/>
      </w:rPr>
      <w:t>2019</w:t>
    </w:r>
    <w:r w:rsidR="00DF2C27" w:rsidRPr="00050D61">
      <w:rPr>
        <w:rFonts w:ascii="Calibri" w:hAnsi="Calibri"/>
        <w:lang w:val="en-US"/>
      </w:rPr>
      <w:t xml:space="preserve"> (No.1)</w:t>
    </w:r>
  </w:p>
  <w:p w:rsidR="00533715" w:rsidRPr="00050D61" w:rsidRDefault="003C1905" w:rsidP="00050D61">
    <w:pPr>
      <w:pStyle w:val="Footer"/>
      <w:jc w:val="right"/>
      <w:rPr>
        <w:rFonts w:ascii="Calibri" w:hAnsi="Calibri"/>
      </w:rPr>
    </w:pPr>
    <w:r w:rsidRPr="00050D61">
      <w:rPr>
        <w:rFonts w:ascii="Calibri" w:hAnsi="Calibri"/>
        <w:lang w:val="en-US"/>
      </w:rPr>
      <w:t xml:space="preserve">Page </w:t>
    </w:r>
    <w:r w:rsidRPr="00050D61">
      <w:rPr>
        <w:rFonts w:ascii="Calibri" w:hAnsi="Calibri"/>
        <w:lang w:val="en-US"/>
      </w:rPr>
      <w:fldChar w:fldCharType="begin"/>
    </w:r>
    <w:r w:rsidRPr="00050D61">
      <w:rPr>
        <w:rFonts w:ascii="Calibri" w:hAnsi="Calibri"/>
        <w:lang w:val="en-US"/>
      </w:rPr>
      <w:instrText xml:space="preserve"> PAGE </w:instrText>
    </w:r>
    <w:r w:rsidRPr="00050D61">
      <w:rPr>
        <w:rFonts w:ascii="Calibri" w:hAnsi="Calibri"/>
        <w:lang w:val="en-US"/>
      </w:rPr>
      <w:fldChar w:fldCharType="separate"/>
    </w:r>
    <w:r w:rsidR="007D669C">
      <w:rPr>
        <w:rFonts w:ascii="Calibri" w:hAnsi="Calibri"/>
        <w:noProof/>
        <w:lang w:val="en-US"/>
      </w:rPr>
      <w:t>4</w:t>
    </w:r>
    <w:r w:rsidRPr="00050D61">
      <w:rPr>
        <w:rFonts w:ascii="Calibri" w:hAnsi="Calibri"/>
        <w:lang w:val="en-US"/>
      </w:rPr>
      <w:fldChar w:fldCharType="end"/>
    </w:r>
    <w:r w:rsidRPr="00050D61">
      <w:rPr>
        <w:rFonts w:ascii="Calibri" w:hAnsi="Calibri"/>
        <w:lang w:val="en-US"/>
      </w:rPr>
      <w:t xml:space="preserve"> of </w:t>
    </w:r>
    <w:r w:rsidRPr="00050D61">
      <w:rPr>
        <w:rFonts w:ascii="Calibri" w:hAnsi="Calibri"/>
        <w:lang w:val="en-US"/>
      </w:rPr>
      <w:fldChar w:fldCharType="begin"/>
    </w:r>
    <w:r w:rsidRPr="00050D61">
      <w:rPr>
        <w:rFonts w:ascii="Calibri" w:hAnsi="Calibri"/>
        <w:lang w:val="en-US"/>
      </w:rPr>
      <w:instrText xml:space="preserve"> NUMPAGES </w:instrText>
    </w:r>
    <w:r w:rsidRPr="00050D61">
      <w:rPr>
        <w:rFonts w:ascii="Calibri" w:hAnsi="Calibri"/>
        <w:lang w:val="en-US"/>
      </w:rPr>
      <w:fldChar w:fldCharType="separate"/>
    </w:r>
    <w:r w:rsidR="007D669C">
      <w:rPr>
        <w:rFonts w:ascii="Calibri" w:hAnsi="Calibri"/>
        <w:noProof/>
        <w:lang w:val="en-US"/>
      </w:rPr>
      <w:t>6</w:t>
    </w:r>
    <w:r w:rsidRPr="00050D61">
      <w:rPr>
        <w:rFonts w:ascii="Calibri" w:hAnsi="Calibri"/>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715" w:rsidRDefault="00533715" w:rsidP="00FD74B6">
    <w:pPr>
      <w:pStyle w:val="Footer"/>
      <w:jc w:val="right"/>
      <w:rPr>
        <w:sz w:val="20"/>
        <w:szCs w:val="20"/>
      </w:rPr>
    </w:pPr>
  </w:p>
  <w:p w:rsidR="003C1905" w:rsidRPr="00050D61" w:rsidRDefault="00CB726C" w:rsidP="00533715">
    <w:pPr>
      <w:pStyle w:val="Footer"/>
      <w:jc w:val="right"/>
      <w:rPr>
        <w:i/>
      </w:rPr>
    </w:pPr>
    <w:r w:rsidRPr="00050D61">
      <w:rPr>
        <w:i/>
      </w:rPr>
      <w:t>New South Wales</w:t>
    </w:r>
    <w:r w:rsidR="003C1905" w:rsidRPr="00050D61">
      <w:rPr>
        <w:i/>
      </w:rPr>
      <w:t xml:space="preserve"> Class </w:t>
    </w:r>
    <w:r w:rsidR="00BE4D42" w:rsidRPr="00050D61">
      <w:rPr>
        <w:i/>
      </w:rPr>
      <w:t xml:space="preserve">1 </w:t>
    </w:r>
    <w:r w:rsidR="00C356E8" w:rsidRPr="00050D61">
      <w:rPr>
        <w:i/>
      </w:rPr>
      <w:t>Load Carrying Vehicle</w:t>
    </w:r>
    <w:r w:rsidR="006E652A" w:rsidRPr="00050D61">
      <w:rPr>
        <w:i/>
      </w:rPr>
      <w:t xml:space="preserve"> Exemption</w:t>
    </w:r>
    <w:r w:rsidR="00C356E8" w:rsidRPr="00050D61">
      <w:rPr>
        <w:i/>
      </w:rPr>
      <w:t xml:space="preserve"> Notice</w:t>
    </w:r>
    <w:r w:rsidR="00BE4D42" w:rsidRPr="00050D61">
      <w:rPr>
        <w:i/>
      </w:rPr>
      <w:t xml:space="preserve"> 2019</w:t>
    </w:r>
  </w:p>
  <w:p w:rsidR="00533715" w:rsidRPr="00050D61" w:rsidRDefault="00533715" w:rsidP="00533715">
    <w:pPr>
      <w:pStyle w:val="Footer"/>
      <w:jc w:val="right"/>
      <w:rPr>
        <w:rFonts w:ascii="Calibri" w:hAnsi="Calibri"/>
      </w:rPr>
    </w:pPr>
    <w:r w:rsidRPr="00050D61">
      <w:rPr>
        <w:rFonts w:ascii="Calibri" w:hAnsi="Calibri"/>
        <w:lang w:val="en-US"/>
      </w:rPr>
      <w:t xml:space="preserve">Page </w:t>
    </w:r>
    <w:r w:rsidRPr="00050D61">
      <w:rPr>
        <w:rFonts w:ascii="Calibri" w:hAnsi="Calibri"/>
        <w:lang w:val="en-US"/>
      </w:rPr>
      <w:fldChar w:fldCharType="begin"/>
    </w:r>
    <w:r w:rsidRPr="00050D61">
      <w:rPr>
        <w:rFonts w:ascii="Calibri" w:hAnsi="Calibri"/>
        <w:lang w:val="en-US"/>
      </w:rPr>
      <w:instrText xml:space="preserve"> PAGE </w:instrText>
    </w:r>
    <w:r w:rsidRPr="00050D61">
      <w:rPr>
        <w:rFonts w:ascii="Calibri" w:hAnsi="Calibri"/>
        <w:lang w:val="en-US"/>
      </w:rPr>
      <w:fldChar w:fldCharType="separate"/>
    </w:r>
    <w:r w:rsidR="007D669C">
      <w:rPr>
        <w:rFonts w:ascii="Calibri" w:hAnsi="Calibri"/>
        <w:noProof/>
        <w:lang w:val="en-US"/>
      </w:rPr>
      <w:t>1</w:t>
    </w:r>
    <w:r w:rsidRPr="00050D61">
      <w:rPr>
        <w:rFonts w:ascii="Calibri" w:hAnsi="Calibri"/>
        <w:lang w:val="en-US"/>
      </w:rPr>
      <w:fldChar w:fldCharType="end"/>
    </w:r>
    <w:r w:rsidRPr="00050D61">
      <w:rPr>
        <w:rFonts w:ascii="Calibri" w:hAnsi="Calibri"/>
        <w:lang w:val="en-US"/>
      </w:rPr>
      <w:t xml:space="preserve"> of </w:t>
    </w:r>
    <w:r w:rsidRPr="00050D61">
      <w:rPr>
        <w:rFonts w:ascii="Calibri" w:hAnsi="Calibri"/>
        <w:lang w:val="en-US"/>
      </w:rPr>
      <w:fldChar w:fldCharType="begin"/>
    </w:r>
    <w:r w:rsidRPr="00050D61">
      <w:rPr>
        <w:rFonts w:ascii="Calibri" w:hAnsi="Calibri"/>
        <w:lang w:val="en-US"/>
      </w:rPr>
      <w:instrText xml:space="preserve"> NUMPAGES </w:instrText>
    </w:r>
    <w:r w:rsidRPr="00050D61">
      <w:rPr>
        <w:rFonts w:ascii="Calibri" w:hAnsi="Calibri"/>
        <w:lang w:val="en-US"/>
      </w:rPr>
      <w:fldChar w:fldCharType="separate"/>
    </w:r>
    <w:r w:rsidR="007D669C">
      <w:rPr>
        <w:rFonts w:ascii="Calibri" w:hAnsi="Calibri"/>
        <w:noProof/>
        <w:lang w:val="en-US"/>
      </w:rPr>
      <w:t>6</w:t>
    </w:r>
    <w:r w:rsidRPr="00050D61">
      <w:rPr>
        <w:rFonts w:ascii="Calibri" w:hAnsi="Calibri"/>
        <w:lang w:val="en-US"/>
      </w:rPr>
      <w:fldChar w:fldCharType="end"/>
    </w:r>
  </w:p>
  <w:p w:rsidR="00533715" w:rsidRDefault="005337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8B2" w:rsidRDefault="00CD08B2">
      <w:pPr>
        <w:spacing w:after="0" w:line="240" w:lineRule="auto"/>
      </w:pPr>
      <w:r>
        <w:separator/>
      </w:r>
    </w:p>
  </w:footnote>
  <w:footnote w:type="continuationSeparator" w:id="0">
    <w:p w:rsidR="00CD08B2" w:rsidRDefault="00CD08B2">
      <w:pPr>
        <w:spacing w:after="0" w:line="240" w:lineRule="auto"/>
      </w:pPr>
      <w:r>
        <w:continuationSeparator/>
      </w:r>
    </w:p>
  </w:footnote>
  <w:footnote w:type="continuationNotice" w:id="1">
    <w:p w:rsidR="00CD08B2" w:rsidRDefault="00CD08B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5" w:type="dxa"/>
      <w:tblInd w:w="80" w:type="dxa"/>
      <w:tblLayout w:type="fixed"/>
      <w:tblLook w:val="01E0" w:firstRow="1" w:lastRow="1" w:firstColumn="1" w:lastColumn="1" w:noHBand="0" w:noVBand="0"/>
    </w:tblPr>
    <w:tblGrid>
      <w:gridCol w:w="1263"/>
      <w:gridCol w:w="4434"/>
      <w:gridCol w:w="3978"/>
    </w:tblGrid>
    <w:tr w:rsidR="00050D61" w:rsidTr="00BE56D3">
      <w:trPr>
        <w:trHeight w:val="984"/>
      </w:trPr>
      <w:tc>
        <w:tcPr>
          <w:tcW w:w="1263" w:type="dxa"/>
          <w:tcBorders>
            <w:top w:val="single" w:sz="4" w:space="0" w:color="auto"/>
            <w:left w:val="nil"/>
            <w:bottom w:val="single" w:sz="4" w:space="0" w:color="auto"/>
            <w:right w:val="nil"/>
          </w:tcBorders>
          <w:hideMark/>
        </w:tcPr>
        <w:p w:rsidR="00050D61" w:rsidRDefault="00050D61" w:rsidP="00BE56D3">
          <w:pPr>
            <w:spacing w:before="60"/>
            <w:ind w:left="-51"/>
            <w:rPr>
              <w:rFonts w:ascii="Arial" w:hAnsi="Arial"/>
              <w:sz w:val="12"/>
            </w:rPr>
          </w:pPr>
          <w:r>
            <w:rPr>
              <w:rFonts w:ascii="Arial" w:hAnsi="Arial"/>
              <w:noProof/>
              <w:sz w:val="12"/>
            </w:rPr>
            <w:drawing>
              <wp:inline distT="0" distB="0" distL="0" distR="0" wp14:anchorId="1AACC69E" wp14:editId="714C51B8">
                <wp:extent cx="707390" cy="540385"/>
                <wp:effectExtent l="0" t="0" r="0" b="0"/>
                <wp:docPr id="2" name="Picture 2" title="Commonwealth Coat of Arms"/>
                <wp:cNvGraphicFramePr/>
                <a:graphic xmlns:a="http://schemas.openxmlformats.org/drawingml/2006/main">
                  <a:graphicData uri="http://schemas.openxmlformats.org/drawingml/2006/picture">
                    <pic:pic xmlns:pic="http://schemas.openxmlformats.org/drawingml/2006/picture">
                      <pic:nvPicPr>
                        <pic:cNvPr id="1" name="Picture 1" title="Commonwealth Coat of Arm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cBorders>
          <w:hideMark/>
        </w:tcPr>
        <w:p w:rsidR="00050D61" w:rsidRDefault="00050D61" w:rsidP="00BE56D3">
          <w:pPr>
            <w:spacing w:before="60" w:line="460" w:lineRule="exact"/>
            <w:rPr>
              <w:rFonts w:ascii="Arial" w:hAnsi="Arial" w:cs="Arial"/>
              <w:b/>
              <w:spacing w:val="-2"/>
              <w:sz w:val="44"/>
              <w:szCs w:val="44"/>
            </w:rPr>
          </w:pPr>
          <w:r>
            <w:rPr>
              <w:rFonts w:ascii="Arial" w:hAnsi="Arial" w:cs="Arial"/>
              <w:b/>
              <w:spacing w:val="-2"/>
              <w:sz w:val="44"/>
              <w:szCs w:val="44"/>
            </w:rPr>
            <w:t>Commonwealth</w:t>
          </w:r>
          <w:r>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cBorders>
          <w:hideMark/>
        </w:tcPr>
        <w:p w:rsidR="00050D61" w:rsidRDefault="00050D61" w:rsidP="00BE56D3">
          <w:pPr>
            <w:spacing w:before="180" w:line="800" w:lineRule="exact"/>
            <w:jc w:val="right"/>
            <w:rPr>
              <w:rFonts w:ascii="Arial" w:hAnsi="Arial" w:cs="Arial"/>
              <w:b/>
              <w:sz w:val="100"/>
              <w:szCs w:val="100"/>
            </w:rPr>
          </w:pPr>
          <w:r>
            <w:rPr>
              <w:rFonts w:ascii="Arial" w:hAnsi="Arial" w:cs="Arial"/>
              <w:b/>
              <w:sz w:val="100"/>
              <w:szCs w:val="100"/>
            </w:rPr>
            <w:t>Gazette</w:t>
          </w:r>
        </w:p>
      </w:tc>
    </w:tr>
    <w:tr w:rsidR="00050D61" w:rsidTr="00BE56D3">
      <w:trPr>
        <w:trHeight w:val="340"/>
      </w:trPr>
      <w:tc>
        <w:tcPr>
          <w:tcW w:w="5698" w:type="dxa"/>
          <w:gridSpan w:val="2"/>
          <w:tcBorders>
            <w:top w:val="single" w:sz="4" w:space="0" w:color="auto"/>
            <w:left w:val="nil"/>
            <w:bottom w:val="single" w:sz="4" w:space="0" w:color="auto"/>
            <w:right w:val="nil"/>
          </w:tcBorders>
          <w:vAlign w:val="bottom"/>
          <w:hideMark/>
        </w:tcPr>
        <w:p w:rsidR="00050D61" w:rsidRDefault="00050D61" w:rsidP="00BE56D3">
          <w:pPr>
            <w:ind w:left="-51"/>
            <w:rPr>
              <w:rFonts w:ascii="Arial" w:hAnsi="Arial" w:cs="Arial"/>
              <w:sz w:val="14"/>
              <w:szCs w:val="14"/>
            </w:rPr>
          </w:pPr>
          <w:r>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cBorders>
          <w:shd w:val="clear" w:color="auto" w:fill="000000"/>
          <w:vAlign w:val="bottom"/>
          <w:hideMark/>
        </w:tcPr>
        <w:p w:rsidR="00050D61" w:rsidRDefault="00050D61" w:rsidP="00BE56D3">
          <w:pPr>
            <w:jc w:val="right"/>
            <w:rPr>
              <w:rFonts w:ascii="Arial" w:hAnsi="Arial" w:cs="Arial"/>
              <w:b/>
            </w:rPr>
          </w:pPr>
          <w:r>
            <w:rPr>
              <w:rFonts w:ascii="Arial" w:hAnsi="Arial" w:cs="Arial"/>
              <w:b/>
            </w:rPr>
            <w:t>GOVERNMENT NOTICES</w:t>
          </w:r>
        </w:p>
      </w:tc>
    </w:tr>
  </w:tbl>
  <w:p w:rsidR="00B67283" w:rsidRPr="003A707F" w:rsidRDefault="00B67283" w:rsidP="00B67283">
    <w:pPr>
      <w:pStyle w:val="Header"/>
      <w:rPr>
        <w:sz w:val="2"/>
        <w:szCs w:val="2"/>
      </w:rPr>
    </w:pPr>
  </w:p>
  <w:p w:rsidR="00533715" w:rsidRPr="003A707F" w:rsidRDefault="00533715" w:rsidP="00533715">
    <w:pPr>
      <w:pStyle w:val="Header"/>
      <w:rPr>
        <w:sz w:val="2"/>
        <w:szCs w:val="2"/>
      </w:rPr>
    </w:pPr>
  </w:p>
  <w:p w:rsidR="00D466A6" w:rsidRPr="00F40885" w:rsidRDefault="00D466A6" w:rsidP="00D466A6">
    <w:pPr>
      <w:pStyle w:val="Header"/>
      <w:tabs>
        <w:tab w:val="clear" w:pos="4513"/>
        <w:tab w:val="clear" w:pos="9026"/>
        <w:tab w:val="left" w:pos="1380"/>
      </w:tabs>
      <w:rPr>
        <w:sz w:val="2"/>
        <w:szCs w:val="2"/>
      </w:rPr>
    </w:pPr>
    <w:r>
      <w:rPr>
        <w:sz w:val="2"/>
        <w:szCs w:val="2"/>
      </w:rPr>
      <w:tab/>
    </w:r>
  </w:p>
  <w:p w:rsidR="00533715" w:rsidRPr="00F40885" w:rsidRDefault="00533715" w:rsidP="00D466A6">
    <w:pPr>
      <w:pStyle w:val="Header"/>
      <w:tabs>
        <w:tab w:val="clear" w:pos="4513"/>
        <w:tab w:val="clear" w:pos="9026"/>
        <w:tab w:val="left" w:pos="1380"/>
      </w:tabs>
      <w:rPr>
        <w:sz w:val="2"/>
        <w:szCs w:val="2"/>
      </w:rPr>
    </w:pPr>
    <w:bookmarkStart w:id="1" w:name="GazNo"/>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2CC"/>
    <w:multiLevelType w:val="hybridMultilevel"/>
    <w:tmpl w:val="A538E6DE"/>
    <w:lvl w:ilvl="0" w:tplc="F6A0DA1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8420B80"/>
    <w:multiLevelType w:val="multilevel"/>
    <w:tmpl w:val="352A1004"/>
    <w:name w:val="TableRowCount"/>
    <w:lvl w:ilvl="0">
      <w:start w:val="1"/>
      <w:numFmt w:val="none"/>
      <w:pStyle w:val="TableHeading"/>
      <w:suff w:val="nothing"/>
      <w:lvlText w:val=""/>
      <w:lvlJc w:val="left"/>
      <w:pPr>
        <w:ind w:left="0" w:firstLine="0"/>
      </w:pPr>
    </w:lvl>
    <w:lvl w:ilvl="1">
      <w:start w:val="1"/>
      <w:numFmt w:val="decimal"/>
      <w:pStyle w:val="TableCellRow"/>
      <w:suff w:val="nothing"/>
      <w:lvlText w:val="%2"/>
      <w:lvlJc w:val="left"/>
      <w:pPr>
        <w:ind w:left="0" w:firstLine="0"/>
      </w:pPr>
    </w:lvl>
    <w:lvl w:ilvl="2">
      <w:start w:val="1"/>
      <w:numFmt w:val="none"/>
      <w:lvlText w:val=""/>
      <w:lvlJc w:val="left"/>
      <w:pPr>
        <w:tabs>
          <w:tab w:val="num" w:pos="360"/>
        </w:tabs>
        <w:ind w:left="0" w:firstLine="0"/>
      </w:pPr>
      <w:rPr>
        <w:rFonts w:ascii="Arial" w:hAnsi="Arial" w:cs="Times New Roman" w:hint="default"/>
        <w:b/>
        <w:i w:val="0"/>
        <w:sz w:val="18"/>
      </w:rPr>
    </w:lvl>
    <w:lvl w:ilvl="3">
      <w:start w:val="1"/>
      <w:numFmt w:val="none"/>
      <w:suff w:val="nothing"/>
      <w:lvlText w:val=""/>
      <w:lvlJc w:val="left"/>
      <w:pPr>
        <w:ind w:left="0" w:firstLine="0"/>
      </w:pPr>
      <w:rPr>
        <w:rFonts w:ascii="Times New Roman" w:hAnsi="Times New Roman" w:cs="Times New Roman" w:hint="default"/>
        <w:b w:val="0"/>
        <w:i w:val="0"/>
        <w:sz w:val="18"/>
      </w:rPr>
    </w:lvl>
    <w:lvl w:ilvl="4">
      <w:start w:val="1"/>
      <w:numFmt w:val="none"/>
      <w:suff w:val="nothing"/>
      <w:lvlText w:val=""/>
      <w:lvlJc w:val="left"/>
      <w:pPr>
        <w:ind w:left="2880" w:hanging="2880"/>
      </w:pPr>
      <w:rPr>
        <w:rFonts w:ascii="Times New Roman" w:hAnsi="Times New Roman" w:cs="Times New Roman" w:hint="default"/>
        <w:b w:val="0"/>
        <w:i w:val="0"/>
        <w:sz w:val="18"/>
      </w:rPr>
    </w:lvl>
    <w:lvl w:ilvl="5">
      <w:start w:val="1"/>
      <w:numFmt w:val="none"/>
      <w:suff w:val="nothing"/>
      <w:lvlText w:val=""/>
      <w:lvlJc w:val="left"/>
      <w:pPr>
        <w:ind w:left="720" w:hanging="360"/>
      </w:pPr>
      <w:rPr>
        <w:rFonts w:ascii="Times New Roman" w:hAnsi="Times New Roman" w:cs="Times New Roman" w:hint="default"/>
        <w:b w:val="0"/>
        <w:i w:val="0"/>
        <w:sz w:val="18"/>
      </w:rPr>
    </w:lvl>
    <w:lvl w:ilvl="6">
      <w:start w:val="1"/>
      <w:numFmt w:val="none"/>
      <w:lvlText w:val=""/>
      <w:lvlJc w:val="left"/>
      <w:pPr>
        <w:tabs>
          <w:tab w:val="num" w:pos="1080"/>
        </w:tabs>
        <w:ind w:left="1080" w:hanging="360"/>
      </w:pPr>
    </w:lvl>
    <w:lvl w:ilvl="7">
      <w:start w:val="1"/>
      <w:numFmt w:val="none"/>
      <w:lvlText w:val=""/>
      <w:lvlJc w:val="left"/>
      <w:pPr>
        <w:tabs>
          <w:tab w:val="num" w:pos="1440"/>
        </w:tabs>
        <w:ind w:left="1440" w:hanging="360"/>
      </w:pPr>
    </w:lvl>
    <w:lvl w:ilvl="8">
      <w:start w:val="1"/>
      <w:numFmt w:val="none"/>
      <w:lvlText w:val=""/>
      <w:lvlJc w:val="center"/>
      <w:pPr>
        <w:tabs>
          <w:tab w:val="num" w:pos="360"/>
        </w:tabs>
        <w:ind w:left="-32767" w:firstLine="32767"/>
      </w:pPr>
    </w:lvl>
  </w:abstractNum>
  <w:abstractNum w:abstractNumId="2">
    <w:nsid w:val="0B4762A2"/>
    <w:multiLevelType w:val="multilevel"/>
    <w:tmpl w:val="93D02E7C"/>
    <w:lvl w:ilvl="0">
      <w:start w:val="1"/>
      <w:numFmt w:val="none"/>
      <w:pStyle w:val="Body"/>
      <w:suff w:val="nothing"/>
      <w:lvlText w:val=""/>
      <w:lvlJc w:val="left"/>
      <w:pPr>
        <w:ind w:left="0" w:firstLine="0"/>
      </w:pPr>
    </w:lvl>
    <w:lvl w:ilvl="1">
      <w:start w:val="1"/>
      <w:numFmt w:val="lowerLetter"/>
      <w:pStyle w:val="List1"/>
      <w:lvlText w:val="%2)"/>
      <w:lvlJc w:val="left"/>
      <w:pPr>
        <w:tabs>
          <w:tab w:val="num" w:pos="720"/>
        </w:tabs>
        <w:ind w:left="720" w:hanging="360"/>
      </w:pPr>
      <w:rPr>
        <w:b w:val="0"/>
        <w:i w:val="0"/>
      </w:rPr>
    </w:lvl>
    <w:lvl w:ilvl="2">
      <w:start w:val="1"/>
      <w:numFmt w:val="decimal"/>
      <w:pStyle w:val="List2"/>
      <w:lvlText w:val="%3)"/>
      <w:lvlJc w:val="left"/>
      <w:pPr>
        <w:tabs>
          <w:tab w:val="num" w:pos="1080"/>
        </w:tabs>
        <w:ind w:left="1080" w:hanging="360"/>
      </w:pPr>
      <w:rPr>
        <w:b w:val="0"/>
        <w:i w:val="0"/>
      </w:rPr>
    </w:lvl>
    <w:lvl w:ilvl="3">
      <w:start w:val="1"/>
      <w:numFmt w:val="lowerRoman"/>
      <w:pStyle w:val="List3"/>
      <w:lvlText w:val="%4)"/>
      <w:lvlJc w:val="left"/>
      <w:pPr>
        <w:tabs>
          <w:tab w:val="num" w:pos="1800"/>
        </w:tabs>
        <w:ind w:left="1440" w:hanging="360"/>
      </w:pPr>
      <w:rPr>
        <w:b w:val="0"/>
        <w:i w:val="0"/>
      </w:rPr>
    </w:lvl>
    <w:lvl w:ilvl="4">
      <w:start w:val="1"/>
      <w:numFmt w:val="none"/>
      <w:lvlText w:val=""/>
      <w:lvlJc w:val="left"/>
      <w:pPr>
        <w:tabs>
          <w:tab w:val="num" w:pos="1440"/>
        </w:tabs>
        <w:ind w:left="1440" w:hanging="360"/>
      </w:pPr>
    </w:lvl>
    <w:lvl w:ilvl="5">
      <w:start w:val="1"/>
      <w:numFmt w:val="none"/>
      <w:lvlText w:val=""/>
      <w:lvlJc w:val="left"/>
      <w:pPr>
        <w:tabs>
          <w:tab w:val="num" w:pos="720"/>
        </w:tabs>
        <w:ind w:left="720" w:hanging="360"/>
      </w:pPr>
    </w:lvl>
    <w:lvl w:ilvl="6">
      <w:start w:val="1"/>
      <w:numFmt w:val="none"/>
      <w:lvlText w:val=""/>
      <w:lvlJc w:val="left"/>
      <w:pPr>
        <w:tabs>
          <w:tab w:val="num" w:pos="1080"/>
        </w:tabs>
        <w:ind w:left="1080" w:hanging="360"/>
      </w:pPr>
    </w:lvl>
    <w:lvl w:ilvl="7">
      <w:start w:val="1"/>
      <w:numFmt w:val="none"/>
      <w:lvlText w:val=""/>
      <w:lvlJc w:val="left"/>
      <w:pPr>
        <w:tabs>
          <w:tab w:val="num" w:pos="1440"/>
        </w:tabs>
        <w:ind w:left="1440" w:hanging="360"/>
      </w:pPr>
    </w:lvl>
    <w:lvl w:ilvl="8">
      <w:start w:val="1"/>
      <w:numFmt w:val="none"/>
      <w:suff w:val="nothing"/>
      <w:lvlText w:val=""/>
      <w:lvlJc w:val="center"/>
      <w:pPr>
        <w:ind w:left="-32767" w:firstLine="32767"/>
      </w:pPr>
    </w:lvl>
  </w:abstractNum>
  <w:abstractNum w:abstractNumId="3">
    <w:nsid w:val="0DC15AE8"/>
    <w:multiLevelType w:val="hybridMultilevel"/>
    <w:tmpl w:val="F2B6C190"/>
    <w:lvl w:ilvl="0" w:tplc="12328A26">
      <w:start w:val="1"/>
      <w:numFmt w:val="lowerLetter"/>
      <w:lvlText w:val="(%1)"/>
      <w:lvlJc w:val="left"/>
      <w:pPr>
        <w:tabs>
          <w:tab w:val="num" w:pos="1080"/>
        </w:tabs>
        <w:ind w:left="108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F893D5C"/>
    <w:multiLevelType w:val="hybridMultilevel"/>
    <w:tmpl w:val="4C302BC0"/>
    <w:lvl w:ilvl="0" w:tplc="F6A0DA1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04B473B"/>
    <w:multiLevelType w:val="hybridMultilevel"/>
    <w:tmpl w:val="075470B4"/>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nsid w:val="14693830"/>
    <w:multiLevelType w:val="hybridMultilevel"/>
    <w:tmpl w:val="AFF4ACE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1C1B7C44"/>
    <w:multiLevelType w:val="hybridMultilevel"/>
    <w:tmpl w:val="4C302BC0"/>
    <w:lvl w:ilvl="0" w:tplc="F6A0DA1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FBB730A"/>
    <w:multiLevelType w:val="hybridMultilevel"/>
    <w:tmpl w:val="2746FBA2"/>
    <w:lvl w:ilvl="0" w:tplc="714257B4">
      <w:start w:val="1"/>
      <w:numFmt w:val="lowerLetter"/>
      <w:lvlText w:val="(%1)"/>
      <w:lvlJc w:val="right"/>
      <w:pPr>
        <w:ind w:left="720" w:hanging="360"/>
      </w:pPr>
      <w:rPr>
        <w:rFonts w:asciiTheme="minorHAnsi" w:eastAsiaTheme="minorEastAsia"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0052992"/>
    <w:multiLevelType w:val="hybridMultilevel"/>
    <w:tmpl w:val="B384532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1627528"/>
    <w:multiLevelType w:val="multilevel"/>
    <w:tmpl w:val="928CA79E"/>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1">
    <w:nsid w:val="221C32F9"/>
    <w:multiLevelType w:val="hybridMultilevel"/>
    <w:tmpl w:val="4C302BC0"/>
    <w:lvl w:ilvl="0" w:tplc="F6A0DA1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2BC33BC"/>
    <w:multiLevelType w:val="hybridMultilevel"/>
    <w:tmpl w:val="CCF8C3F2"/>
    <w:lvl w:ilvl="0" w:tplc="714257B4">
      <w:start w:val="1"/>
      <w:numFmt w:val="lowerLetter"/>
      <w:lvlText w:val="(%1)"/>
      <w:lvlJc w:val="right"/>
      <w:pPr>
        <w:ind w:left="1528" w:hanging="360"/>
      </w:pPr>
      <w:rPr>
        <w:rFonts w:asciiTheme="minorHAnsi" w:eastAsiaTheme="minorEastAsia" w:hAnsiTheme="minorHAnsi" w:cstheme="minorBidi"/>
      </w:rPr>
    </w:lvl>
    <w:lvl w:ilvl="1" w:tplc="0C090019" w:tentative="1">
      <w:start w:val="1"/>
      <w:numFmt w:val="lowerLetter"/>
      <w:lvlText w:val="%2."/>
      <w:lvlJc w:val="left"/>
      <w:pPr>
        <w:ind w:left="2248" w:hanging="360"/>
      </w:pPr>
    </w:lvl>
    <w:lvl w:ilvl="2" w:tplc="0C09001B" w:tentative="1">
      <w:start w:val="1"/>
      <w:numFmt w:val="lowerRoman"/>
      <w:lvlText w:val="%3."/>
      <w:lvlJc w:val="right"/>
      <w:pPr>
        <w:ind w:left="2968" w:hanging="180"/>
      </w:pPr>
    </w:lvl>
    <w:lvl w:ilvl="3" w:tplc="0C09000F" w:tentative="1">
      <w:start w:val="1"/>
      <w:numFmt w:val="decimal"/>
      <w:lvlText w:val="%4."/>
      <w:lvlJc w:val="left"/>
      <w:pPr>
        <w:ind w:left="3688" w:hanging="360"/>
      </w:pPr>
    </w:lvl>
    <w:lvl w:ilvl="4" w:tplc="0C090019" w:tentative="1">
      <w:start w:val="1"/>
      <w:numFmt w:val="lowerLetter"/>
      <w:lvlText w:val="%5."/>
      <w:lvlJc w:val="left"/>
      <w:pPr>
        <w:ind w:left="4408" w:hanging="360"/>
      </w:pPr>
    </w:lvl>
    <w:lvl w:ilvl="5" w:tplc="0C09001B" w:tentative="1">
      <w:start w:val="1"/>
      <w:numFmt w:val="lowerRoman"/>
      <w:lvlText w:val="%6."/>
      <w:lvlJc w:val="right"/>
      <w:pPr>
        <w:ind w:left="5128" w:hanging="180"/>
      </w:pPr>
    </w:lvl>
    <w:lvl w:ilvl="6" w:tplc="0C09000F" w:tentative="1">
      <w:start w:val="1"/>
      <w:numFmt w:val="decimal"/>
      <w:lvlText w:val="%7."/>
      <w:lvlJc w:val="left"/>
      <w:pPr>
        <w:ind w:left="5848" w:hanging="360"/>
      </w:pPr>
    </w:lvl>
    <w:lvl w:ilvl="7" w:tplc="0C090019" w:tentative="1">
      <w:start w:val="1"/>
      <w:numFmt w:val="lowerLetter"/>
      <w:lvlText w:val="%8."/>
      <w:lvlJc w:val="left"/>
      <w:pPr>
        <w:ind w:left="6568" w:hanging="360"/>
      </w:pPr>
    </w:lvl>
    <w:lvl w:ilvl="8" w:tplc="0C09001B" w:tentative="1">
      <w:start w:val="1"/>
      <w:numFmt w:val="lowerRoman"/>
      <w:lvlText w:val="%9."/>
      <w:lvlJc w:val="right"/>
      <w:pPr>
        <w:ind w:left="7288" w:hanging="180"/>
      </w:pPr>
    </w:lvl>
  </w:abstractNum>
  <w:abstractNum w:abstractNumId="13">
    <w:nsid w:val="27EA0803"/>
    <w:multiLevelType w:val="hybridMultilevel"/>
    <w:tmpl w:val="F2B6C190"/>
    <w:lvl w:ilvl="0" w:tplc="12328A26">
      <w:start w:val="1"/>
      <w:numFmt w:val="lowerLetter"/>
      <w:lvlText w:val="(%1)"/>
      <w:lvlJc w:val="left"/>
      <w:pPr>
        <w:tabs>
          <w:tab w:val="num" w:pos="1080"/>
        </w:tabs>
        <w:ind w:left="108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0171DD1"/>
    <w:multiLevelType w:val="hybridMultilevel"/>
    <w:tmpl w:val="8B00231C"/>
    <w:lvl w:ilvl="0" w:tplc="D9949486">
      <w:start w:val="1"/>
      <w:numFmt w:val="decimal"/>
      <w:pStyle w:val="Sectionheading-QldSI"/>
      <w:lvlText w:val="%1"/>
      <w:lvlJc w:val="left"/>
      <w:pPr>
        <w:ind w:left="910" w:hanging="781"/>
      </w:pPr>
      <w:rPr>
        <w:rFonts w:ascii="Arial" w:eastAsia="Arial" w:hAnsi="Arial" w:hint="default"/>
        <w:b/>
        <w:bCs/>
        <w:w w:val="102"/>
        <w:sz w:val="23"/>
        <w:szCs w:val="23"/>
      </w:rPr>
    </w:lvl>
    <w:lvl w:ilvl="1" w:tplc="F628165E">
      <w:start w:val="1"/>
      <w:numFmt w:val="decimal"/>
      <w:pStyle w:val="Bodylevel11subheading-QldSI"/>
      <w:lvlText w:val="(%2)"/>
      <w:lvlJc w:val="left"/>
      <w:pPr>
        <w:ind w:left="1378" w:hanging="521"/>
      </w:pPr>
      <w:rPr>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53AA0C1E">
      <w:start w:val="1"/>
      <w:numFmt w:val="lowerLetter"/>
      <w:pStyle w:val="Bodylevel2asubheading-QldSI"/>
      <w:lvlText w:val="(%3)"/>
      <w:lvlJc w:val="left"/>
      <w:pPr>
        <w:ind w:left="1830" w:hanging="553"/>
      </w:pPr>
      <w:rPr>
        <w:b w:val="0"/>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1B7E193E">
      <w:start w:val="1"/>
      <w:numFmt w:val="lowerRoman"/>
      <w:lvlText w:val="(%4)"/>
      <w:lvlJc w:val="left"/>
      <w:pPr>
        <w:ind w:left="2434" w:hanging="505"/>
      </w:pPr>
      <w:rPr>
        <w:rFonts w:ascii="Calibri" w:eastAsia="Times New Roman" w:hAnsi="Calibri" w:hint="default"/>
        <w:sz w:val="22"/>
        <w:szCs w:val="22"/>
      </w:rPr>
    </w:lvl>
    <w:lvl w:ilvl="4" w:tplc="13EECFAC">
      <w:start w:val="1"/>
      <w:numFmt w:val="bullet"/>
      <w:lvlText w:val="•"/>
      <w:lvlJc w:val="left"/>
      <w:pPr>
        <w:ind w:left="1378" w:hanging="505"/>
      </w:pPr>
      <w:rPr>
        <w:rFonts w:hint="default"/>
      </w:rPr>
    </w:lvl>
    <w:lvl w:ilvl="5" w:tplc="8C40D516">
      <w:start w:val="1"/>
      <w:numFmt w:val="bullet"/>
      <w:lvlText w:val="•"/>
      <w:lvlJc w:val="left"/>
      <w:pPr>
        <w:ind w:left="1378" w:hanging="505"/>
      </w:pPr>
      <w:rPr>
        <w:rFonts w:hint="default"/>
      </w:rPr>
    </w:lvl>
    <w:lvl w:ilvl="6" w:tplc="4A8C3C4C">
      <w:start w:val="1"/>
      <w:numFmt w:val="bullet"/>
      <w:lvlText w:val="•"/>
      <w:lvlJc w:val="left"/>
      <w:pPr>
        <w:ind w:left="1378" w:hanging="505"/>
      </w:pPr>
      <w:rPr>
        <w:rFonts w:hint="default"/>
      </w:rPr>
    </w:lvl>
    <w:lvl w:ilvl="7" w:tplc="9020C80C">
      <w:start w:val="1"/>
      <w:numFmt w:val="bullet"/>
      <w:lvlText w:val="•"/>
      <w:lvlJc w:val="left"/>
      <w:pPr>
        <w:ind w:left="1378" w:hanging="505"/>
      </w:pPr>
      <w:rPr>
        <w:rFonts w:hint="default"/>
      </w:rPr>
    </w:lvl>
    <w:lvl w:ilvl="8" w:tplc="32728724">
      <w:start w:val="1"/>
      <w:numFmt w:val="bullet"/>
      <w:lvlText w:val="•"/>
      <w:lvlJc w:val="left"/>
      <w:pPr>
        <w:ind w:left="1930" w:hanging="505"/>
      </w:pPr>
      <w:rPr>
        <w:rFonts w:hint="default"/>
      </w:rPr>
    </w:lvl>
  </w:abstractNum>
  <w:abstractNum w:abstractNumId="15">
    <w:nsid w:val="31B36175"/>
    <w:multiLevelType w:val="hybridMultilevel"/>
    <w:tmpl w:val="3E665EC4"/>
    <w:lvl w:ilvl="0" w:tplc="F33A9C86">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3EB97EFE"/>
    <w:multiLevelType w:val="hybridMultilevel"/>
    <w:tmpl w:val="4B22DA5A"/>
    <w:lvl w:ilvl="0" w:tplc="12328A26">
      <w:start w:val="1"/>
      <w:numFmt w:val="lowerLetter"/>
      <w:lvlText w:val="(%1)"/>
      <w:lvlJc w:val="left"/>
      <w:pPr>
        <w:tabs>
          <w:tab w:val="num" w:pos="1080"/>
        </w:tabs>
        <w:ind w:left="1080" w:hanging="360"/>
      </w:pPr>
      <w:rPr>
        <w:rFonts w:hint="default"/>
      </w:r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F207405"/>
    <w:multiLevelType w:val="hybridMultilevel"/>
    <w:tmpl w:val="948AE2D4"/>
    <w:lvl w:ilvl="0" w:tplc="714257B4">
      <w:start w:val="1"/>
      <w:numFmt w:val="lowerLetter"/>
      <w:lvlText w:val="(%1)"/>
      <w:lvlJc w:val="right"/>
      <w:pPr>
        <w:ind w:left="1800" w:hanging="360"/>
      </w:pPr>
      <w:rPr>
        <w:rFonts w:asciiTheme="minorHAnsi" w:eastAsiaTheme="minorEastAsia" w:hAnsiTheme="minorHAnsi" w:cstheme="minorBidi"/>
      </w:rPr>
    </w:lvl>
    <w:lvl w:ilvl="1" w:tplc="92820530">
      <w:start w:val="2"/>
      <w:numFmt w:val="lowerRoman"/>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nsid w:val="3FC51D57"/>
    <w:multiLevelType w:val="hybridMultilevel"/>
    <w:tmpl w:val="FADEDC56"/>
    <w:lvl w:ilvl="0" w:tplc="714257B4">
      <w:start w:val="1"/>
      <w:numFmt w:val="lowerLetter"/>
      <w:lvlText w:val="(%1)"/>
      <w:lvlJc w:val="right"/>
      <w:pPr>
        <w:ind w:left="1440" w:hanging="360"/>
      </w:pPr>
      <w:rPr>
        <w:rFonts w:asciiTheme="minorHAnsi" w:eastAsiaTheme="minorEastAsia" w:hAnsiTheme="minorHAnsi" w:cstheme="minorBidi"/>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nsid w:val="41EF4114"/>
    <w:multiLevelType w:val="hybridMultilevel"/>
    <w:tmpl w:val="4C302BC0"/>
    <w:lvl w:ilvl="0" w:tplc="F6A0DA1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215734F"/>
    <w:multiLevelType w:val="hybridMultilevel"/>
    <w:tmpl w:val="EC6ECA3C"/>
    <w:lvl w:ilvl="0" w:tplc="714257B4">
      <w:start w:val="1"/>
      <w:numFmt w:val="lowerLetter"/>
      <w:lvlText w:val="(%1)"/>
      <w:lvlJc w:val="right"/>
      <w:pPr>
        <w:ind w:left="1440" w:hanging="360"/>
      </w:pPr>
      <w:rPr>
        <w:rFonts w:asciiTheme="minorHAnsi" w:eastAsiaTheme="minorEastAsia" w:hAnsiTheme="minorHAnsi" w:cstheme="minorBidi"/>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nsid w:val="51BE34A8"/>
    <w:multiLevelType w:val="hybridMultilevel"/>
    <w:tmpl w:val="4C302BC0"/>
    <w:lvl w:ilvl="0" w:tplc="F6A0DA1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3AC29A4"/>
    <w:multiLevelType w:val="hybridMultilevel"/>
    <w:tmpl w:val="4C302BC0"/>
    <w:lvl w:ilvl="0" w:tplc="F6A0DA1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4505B81"/>
    <w:multiLevelType w:val="hybridMultilevel"/>
    <w:tmpl w:val="B9AA2C78"/>
    <w:lvl w:ilvl="0" w:tplc="AF443D46">
      <w:start w:val="1"/>
      <w:numFmt w:val="decimal"/>
      <w:pStyle w:val="OutlineNumberedLevel1"/>
      <w:lvlText w:val="(%1)"/>
      <w:lvlJc w:val="left"/>
      <w:pPr>
        <w:ind w:left="720" w:hanging="360"/>
      </w:pPr>
      <w:rPr>
        <w:rFonts w:hint="default"/>
        <w:b w:val="0"/>
      </w:rPr>
    </w:lvl>
    <w:lvl w:ilvl="1" w:tplc="5EAEA1EC">
      <w:start w:val="1"/>
      <w:numFmt w:val="lowerRoman"/>
      <w:pStyle w:val="OutlineNumberedLevel2"/>
      <w:lvlText w:val="(%2)"/>
      <w:lvlJc w:val="left"/>
      <w:pPr>
        <w:ind w:left="1107" w:hanging="397"/>
      </w:pPr>
      <w:rPr>
        <w:rFonts w:ascii="Calibri" w:eastAsiaTheme="minorEastAsia" w:hAnsi="Calibri" w:cstheme="minorBidi"/>
        <w:b w:val="0"/>
      </w:rPr>
    </w:lvl>
    <w:lvl w:ilvl="2" w:tplc="DE5AA308">
      <w:start w:val="1"/>
      <w:numFmt w:val="lowerRoman"/>
      <w:lvlText w:val="(%3)"/>
      <w:lvlJc w:val="right"/>
      <w:pPr>
        <w:ind w:left="1446" w:hanging="170"/>
      </w:pPr>
      <w:rPr>
        <w:rFonts w:hint="default"/>
      </w:rPr>
    </w:lvl>
    <w:lvl w:ilvl="3" w:tplc="97760118">
      <w:start w:val="1"/>
      <w:numFmt w:val="upperLetter"/>
      <w:pStyle w:val="OUtlineLevel4"/>
      <w:lvlText w:val="(%4)"/>
      <w:lvlJc w:val="left"/>
      <w:pPr>
        <w:ind w:left="1758" w:hanging="340"/>
      </w:pPr>
      <w:rPr>
        <w:rFonts w:hint="default"/>
      </w:rPr>
    </w:lvl>
    <w:lvl w:ilvl="4" w:tplc="0C090019" w:tentative="1">
      <w:start w:val="1"/>
      <w:numFmt w:val="lowerLetter"/>
      <w:lvlText w:val="%5."/>
      <w:lvlJc w:val="left"/>
      <w:pPr>
        <w:ind w:left="3555" w:hanging="360"/>
      </w:pPr>
    </w:lvl>
    <w:lvl w:ilvl="5" w:tplc="0C09001B" w:tentative="1">
      <w:start w:val="1"/>
      <w:numFmt w:val="lowerRoman"/>
      <w:lvlText w:val="%6."/>
      <w:lvlJc w:val="right"/>
      <w:pPr>
        <w:ind w:left="4275" w:hanging="180"/>
      </w:pPr>
    </w:lvl>
    <w:lvl w:ilvl="6" w:tplc="0C09000F" w:tentative="1">
      <w:start w:val="1"/>
      <w:numFmt w:val="decimal"/>
      <w:lvlText w:val="%7."/>
      <w:lvlJc w:val="left"/>
      <w:pPr>
        <w:ind w:left="4995" w:hanging="360"/>
      </w:pPr>
    </w:lvl>
    <w:lvl w:ilvl="7" w:tplc="0C090019" w:tentative="1">
      <w:start w:val="1"/>
      <w:numFmt w:val="lowerLetter"/>
      <w:lvlText w:val="%8."/>
      <w:lvlJc w:val="left"/>
      <w:pPr>
        <w:ind w:left="5715" w:hanging="360"/>
      </w:pPr>
    </w:lvl>
    <w:lvl w:ilvl="8" w:tplc="0C09001B" w:tentative="1">
      <w:start w:val="1"/>
      <w:numFmt w:val="lowerRoman"/>
      <w:lvlText w:val="%9."/>
      <w:lvlJc w:val="right"/>
      <w:pPr>
        <w:ind w:left="6435" w:hanging="180"/>
      </w:pPr>
    </w:lvl>
  </w:abstractNum>
  <w:abstractNum w:abstractNumId="24">
    <w:nsid w:val="55B13110"/>
    <w:multiLevelType w:val="hybridMultilevel"/>
    <w:tmpl w:val="A538E6DE"/>
    <w:lvl w:ilvl="0" w:tplc="F6A0DA1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D030A04"/>
    <w:multiLevelType w:val="hybridMultilevel"/>
    <w:tmpl w:val="4C302BC0"/>
    <w:lvl w:ilvl="0" w:tplc="F6A0DA1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E3E41C0"/>
    <w:multiLevelType w:val="hybridMultilevel"/>
    <w:tmpl w:val="4C302BC0"/>
    <w:lvl w:ilvl="0" w:tplc="F6A0DA1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ED13C58"/>
    <w:multiLevelType w:val="hybridMultilevel"/>
    <w:tmpl w:val="CE60C5C2"/>
    <w:lvl w:ilvl="0" w:tplc="38324148">
      <w:start w:val="1"/>
      <w:numFmt w:val="lowerLetter"/>
      <w:pStyle w:val="aBullet"/>
      <w:lvlText w:val="(%1)"/>
      <w:lvlJc w:val="left"/>
      <w:pPr>
        <w:tabs>
          <w:tab w:val="num" w:pos="4166"/>
        </w:tabs>
        <w:ind w:left="4166" w:hanging="363"/>
      </w:pPr>
      <w:rPr>
        <w:rFonts w:ascii="Arial" w:eastAsia="Times New Roman" w:hAnsi="Arial" w:cs="Arial" w:hint="default"/>
      </w:rPr>
    </w:lvl>
    <w:lvl w:ilvl="1" w:tplc="ABAEBE52">
      <w:start w:val="1"/>
      <w:numFmt w:val="lowerRoman"/>
      <w:lvlText w:val="%2."/>
      <w:lvlJc w:val="left"/>
      <w:pPr>
        <w:tabs>
          <w:tab w:val="num" w:pos="5246"/>
        </w:tabs>
        <w:ind w:left="5246" w:hanging="720"/>
      </w:pPr>
      <w:rPr>
        <w:rFonts w:hint="default"/>
      </w:rPr>
    </w:lvl>
    <w:lvl w:ilvl="2" w:tplc="B746746E">
      <w:start w:val="1"/>
      <w:numFmt w:val="decimal"/>
      <w:lvlText w:val="%3."/>
      <w:lvlJc w:val="left"/>
      <w:pPr>
        <w:tabs>
          <w:tab w:val="num" w:pos="5786"/>
        </w:tabs>
        <w:ind w:left="5786" w:hanging="360"/>
      </w:pPr>
      <w:rPr>
        <w:rFonts w:hint="default"/>
      </w:rPr>
    </w:lvl>
    <w:lvl w:ilvl="3" w:tplc="D4D44FD6">
      <w:start w:val="1"/>
      <w:numFmt w:val="lowerLetter"/>
      <w:lvlText w:val="(%4)"/>
      <w:lvlJc w:val="left"/>
      <w:pPr>
        <w:tabs>
          <w:tab w:val="num" w:pos="6326"/>
        </w:tabs>
        <w:ind w:left="6326" w:hanging="360"/>
      </w:pPr>
      <w:rPr>
        <w:rFonts w:hint="default"/>
      </w:rPr>
    </w:lvl>
    <w:lvl w:ilvl="4" w:tplc="0C090019">
      <w:start w:val="1"/>
      <w:numFmt w:val="lowerLetter"/>
      <w:lvlText w:val="%5."/>
      <w:lvlJc w:val="left"/>
      <w:pPr>
        <w:tabs>
          <w:tab w:val="num" w:pos="7046"/>
        </w:tabs>
        <w:ind w:left="7046" w:hanging="360"/>
      </w:pPr>
    </w:lvl>
    <w:lvl w:ilvl="5" w:tplc="0C09001B" w:tentative="1">
      <w:start w:val="1"/>
      <w:numFmt w:val="lowerRoman"/>
      <w:lvlText w:val="%6."/>
      <w:lvlJc w:val="right"/>
      <w:pPr>
        <w:tabs>
          <w:tab w:val="num" w:pos="7766"/>
        </w:tabs>
        <w:ind w:left="7766" w:hanging="180"/>
      </w:pPr>
    </w:lvl>
    <w:lvl w:ilvl="6" w:tplc="0C09000F" w:tentative="1">
      <w:start w:val="1"/>
      <w:numFmt w:val="decimal"/>
      <w:lvlText w:val="%7."/>
      <w:lvlJc w:val="left"/>
      <w:pPr>
        <w:tabs>
          <w:tab w:val="num" w:pos="8486"/>
        </w:tabs>
        <w:ind w:left="8486" w:hanging="360"/>
      </w:pPr>
    </w:lvl>
    <w:lvl w:ilvl="7" w:tplc="0C090019" w:tentative="1">
      <w:start w:val="1"/>
      <w:numFmt w:val="lowerLetter"/>
      <w:lvlText w:val="%8."/>
      <w:lvlJc w:val="left"/>
      <w:pPr>
        <w:tabs>
          <w:tab w:val="num" w:pos="9206"/>
        </w:tabs>
        <w:ind w:left="9206" w:hanging="360"/>
      </w:pPr>
    </w:lvl>
    <w:lvl w:ilvl="8" w:tplc="0C09001B" w:tentative="1">
      <w:start w:val="1"/>
      <w:numFmt w:val="lowerRoman"/>
      <w:lvlText w:val="%9."/>
      <w:lvlJc w:val="right"/>
      <w:pPr>
        <w:tabs>
          <w:tab w:val="num" w:pos="9926"/>
        </w:tabs>
        <w:ind w:left="9926" w:hanging="180"/>
      </w:pPr>
    </w:lvl>
  </w:abstractNum>
  <w:abstractNum w:abstractNumId="28">
    <w:nsid w:val="6D1D3590"/>
    <w:multiLevelType w:val="hybridMultilevel"/>
    <w:tmpl w:val="A538E6DE"/>
    <w:lvl w:ilvl="0" w:tplc="F6A0DA1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0DF7528"/>
    <w:multiLevelType w:val="hybridMultilevel"/>
    <w:tmpl w:val="F2B6C190"/>
    <w:lvl w:ilvl="0" w:tplc="12328A26">
      <w:start w:val="1"/>
      <w:numFmt w:val="lowerLetter"/>
      <w:lvlText w:val="(%1)"/>
      <w:lvlJc w:val="left"/>
      <w:pPr>
        <w:tabs>
          <w:tab w:val="num" w:pos="1080"/>
        </w:tabs>
        <w:ind w:left="108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30A184D"/>
    <w:multiLevelType w:val="hybridMultilevel"/>
    <w:tmpl w:val="A538E6DE"/>
    <w:lvl w:ilvl="0" w:tplc="F6A0DA1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4053A1B"/>
    <w:multiLevelType w:val="hybridMultilevel"/>
    <w:tmpl w:val="5B121A18"/>
    <w:lvl w:ilvl="0" w:tplc="E21AC292">
      <w:start w:val="1"/>
      <w:numFmt w:val="decimal"/>
      <w:pStyle w:val="Sectionheading"/>
      <w:lvlText w:val="%1"/>
      <w:lvlJc w:val="left"/>
      <w:pPr>
        <w:ind w:left="360" w:hanging="360"/>
      </w:pPr>
      <w:rPr>
        <w:rFonts w:cs="Times New Roman" w:hint="default"/>
        <w:strike w:val="0"/>
      </w:rPr>
    </w:lvl>
    <w:lvl w:ilvl="1" w:tplc="995262C0">
      <w:start w:val="1"/>
      <w:numFmt w:val="decimal"/>
      <w:lvlText w:val="(%2)"/>
      <w:lvlJc w:val="left"/>
      <w:pPr>
        <w:ind w:left="1080" w:hanging="360"/>
      </w:pPr>
      <w:rPr>
        <w:rFonts w:ascii="Times New Roman" w:eastAsia="Times New Roman" w:hAnsi="Times New Roman" w:cs="Times New Roman"/>
      </w:rPr>
    </w:lvl>
    <w:lvl w:ilvl="2" w:tplc="714257B4">
      <w:start w:val="1"/>
      <w:numFmt w:val="lowerLetter"/>
      <w:lvlText w:val="(%3)"/>
      <w:lvlJc w:val="right"/>
      <w:pPr>
        <w:ind w:left="1800" w:hanging="180"/>
      </w:pPr>
      <w:rPr>
        <w:rFonts w:asciiTheme="minorHAnsi" w:eastAsiaTheme="minorEastAsia" w:hAnsiTheme="minorHAnsi" w:cstheme="minorBidi"/>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1"/>
  </w:num>
  <w:num w:numId="2">
    <w:abstractNumId w:val="1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3"/>
  </w:num>
  <w:num w:numId="7">
    <w:abstractNumId w:val="24"/>
  </w:num>
  <w:num w:numId="8">
    <w:abstractNumId w:val="0"/>
  </w:num>
  <w:num w:numId="9">
    <w:abstractNumId w:val="28"/>
  </w:num>
  <w:num w:numId="10">
    <w:abstractNumId w:val="7"/>
  </w:num>
  <w:num w:numId="11">
    <w:abstractNumId w:val="10"/>
  </w:num>
  <w:num w:numId="12">
    <w:abstractNumId w:val="27"/>
  </w:num>
  <w:num w:numId="13">
    <w:abstractNumId w:val="17"/>
  </w:num>
  <w:num w:numId="14">
    <w:abstractNumId w:val="12"/>
  </w:num>
  <w:num w:numId="15">
    <w:abstractNumId w:val="18"/>
  </w:num>
  <w:num w:numId="16">
    <w:abstractNumId w:val="20"/>
  </w:num>
  <w:num w:numId="17">
    <w:abstractNumId w:val="3"/>
  </w:num>
  <w:num w:numId="18">
    <w:abstractNumId w:val="8"/>
  </w:num>
  <w:num w:numId="19">
    <w:abstractNumId w:val="30"/>
  </w:num>
  <w:num w:numId="20">
    <w:abstractNumId w:val="16"/>
  </w:num>
  <w:num w:numId="21">
    <w:abstractNumId w:val="29"/>
  </w:num>
  <w:num w:numId="22">
    <w:abstractNumId w:val="11"/>
  </w:num>
  <w:num w:numId="23">
    <w:abstractNumId w:val="13"/>
  </w:num>
  <w:num w:numId="24">
    <w:abstractNumId w:val="4"/>
  </w:num>
  <w:num w:numId="25">
    <w:abstractNumId w:val="19"/>
  </w:num>
  <w:num w:numId="26">
    <w:abstractNumId w:val="21"/>
  </w:num>
  <w:num w:numId="27">
    <w:abstractNumId w:val="22"/>
  </w:num>
  <w:num w:numId="28">
    <w:abstractNumId w:val="26"/>
  </w:num>
  <w:num w:numId="29">
    <w:abstractNumId w:val="25"/>
  </w:num>
  <w:num w:numId="30">
    <w:abstractNumId w:val="5"/>
  </w:num>
  <w:num w:numId="31">
    <w:abstractNumId w:val="6"/>
  </w:num>
  <w:num w:numId="32">
    <w:abstractNumId w:val="9"/>
  </w:num>
  <w:num w:numId="33">
    <w:abstractNumId w:val="31"/>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 Rankine">
    <w15:presenceInfo w15:providerId="AD" w15:userId="S-1-5-21-660499518-1199199627-2118856591-27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B38"/>
    <w:rsid w:val="000029A4"/>
    <w:rsid w:val="00006326"/>
    <w:rsid w:val="00011CA8"/>
    <w:rsid w:val="000256E4"/>
    <w:rsid w:val="00027A5E"/>
    <w:rsid w:val="00027B55"/>
    <w:rsid w:val="00031467"/>
    <w:rsid w:val="00033FFA"/>
    <w:rsid w:val="00050D61"/>
    <w:rsid w:val="0005257A"/>
    <w:rsid w:val="00056B9B"/>
    <w:rsid w:val="00064812"/>
    <w:rsid w:val="0006559F"/>
    <w:rsid w:val="000743B4"/>
    <w:rsid w:val="000762F0"/>
    <w:rsid w:val="0008021A"/>
    <w:rsid w:val="0008476E"/>
    <w:rsid w:val="00084BBC"/>
    <w:rsid w:val="00085830"/>
    <w:rsid w:val="00087581"/>
    <w:rsid w:val="00093087"/>
    <w:rsid w:val="0009376D"/>
    <w:rsid w:val="00095015"/>
    <w:rsid w:val="000A6B21"/>
    <w:rsid w:val="000B2161"/>
    <w:rsid w:val="000B2B90"/>
    <w:rsid w:val="000B3D87"/>
    <w:rsid w:val="000C3109"/>
    <w:rsid w:val="000C36A0"/>
    <w:rsid w:val="000C3C20"/>
    <w:rsid w:val="000C4B81"/>
    <w:rsid w:val="000C6D7D"/>
    <w:rsid w:val="000C7642"/>
    <w:rsid w:val="000C782D"/>
    <w:rsid w:val="000D0DA3"/>
    <w:rsid w:val="000D4668"/>
    <w:rsid w:val="000E2CC1"/>
    <w:rsid w:val="000E4DD9"/>
    <w:rsid w:val="00102D8A"/>
    <w:rsid w:val="001038F4"/>
    <w:rsid w:val="00115FA0"/>
    <w:rsid w:val="001165F0"/>
    <w:rsid w:val="0011670F"/>
    <w:rsid w:val="0012046C"/>
    <w:rsid w:val="00120816"/>
    <w:rsid w:val="00126662"/>
    <w:rsid w:val="00126DBC"/>
    <w:rsid w:val="00126F2B"/>
    <w:rsid w:val="0013283D"/>
    <w:rsid w:val="00133598"/>
    <w:rsid w:val="001341A9"/>
    <w:rsid w:val="00137224"/>
    <w:rsid w:val="0016188E"/>
    <w:rsid w:val="00171A56"/>
    <w:rsid w:val="0017582A"/>
    <w:rsid w:val="001774E6"/>
    <w:rsid w:val="00183AA9"/>
    <w:rsid w:val="00184543"/>
    <w:rsid w:val="0018625D"/>
    <w:rsid w:val="00191EC6"/>
    <w:rsid w:val="001922D8"/>
    <w:rsid w:val="00194DFF"/>
    <w:rsid w:val="00197F34"/>
    <w:rsid w:val="001A06C6"/>
    <w:rsid w:val="001A2385"/>
    <w:rsid w:val="001C0BF4"/>
    <w:rsid w:val="001C0D1C"/>
    <w:rsid w:val="001C41D1"/>
    <w:rsid w:val="001D348A"/>
    <w:rsid w:val="001D46BA"/>
    <w:rsid w:val="001D7BA2"/>
    <w:rsid w:val="001E098B"/>
    <w:rsid w:val="001E3AF6"/>
    <w:rsid w:val="001E5914"/>
    <w:rsid w:val="001F3F92"/>
    <w:rsid w:val="001F649E"/>
    <w:rsid w:val="00205E4E"/>
    <w:rsid w:val="00211FBB"/>
    <w:rsid w:val="00212612"/>
    <w:rsid w:val="00217529"/>
    <w:rsid w:val="002205F8"/>
    <w:rsid w:val="0022066C"/>
    <w:rsid w:val="002265D5"/>
    <w:rsid w:val="002303DC"/>
    <w:rsid w:val="00231BC6"/>
    <w:rsid w:val="00234923"/>
    <w:rsid w:val="002414B7"/>
    <w:rsid w:val="00257E5B"/>
    <w:rsid w:val="002605EE"/>
    <w:rsid w:val="002648FE"/>
    <w:rsid w:val="00272F56"/>
    <w:rsid w:val="00283845"/>
    <w:rsid w:val="00285DE3"/>
    <w:rsid w:val="00287D13"/>
    <w:rsid w:val="0029275D"/>
    <w:rsid w:val="00296963"/>
    <w:rsid w:val="00296CD8"/>
    <w:rsid w:val="002A13D0"/>
    <w:rsid w:val="002A221B"/>
    <w:rsid w:val="002A5542"/>
    <w:rsid w:val="002A6BD4"/>
    <w:rsid w:val="002A78F9"/>
    <w:rsid w:val="002B1F1E"/>
    <w:rsid w:val="002C2403"/>
    <w:rsid w:val="002C2782"/>
    <w:rsid w:val="002D20D7"/>
    <w:rsid w:val="002E00EF"/>
    <w:rsid w:val="002E6D88"/>
    <w:rsid w:val="00300233"/>
    <w:rsid w:val="00301112"/>
    <w:rsid w:val="00301948"/>
    <w:rsid w:val="003041AB"/>
    <w:rsid w:val="00306B83"/>
    <w:rsid w:val="00314609"/>
    <w:rsid w:val="00317BF9"/>
    <w:rsid w:val="00317E0A"/>
    <w:rsid w:val="00317F53"/>
    <w:rsid w:val="003267F2"/>
    <w:rsid w:val="00341992"/>
    <w:rsid w:val="00355A18"/>
    <w:rsid w:val="0036323C"/>
    <w:rsid w:val="0036450F"/>
    <w:rsid w:val="00373CF9"/>
    <w:rsid w:val="00376B2A"/>
    <w:rsid w:val="003808D4"/>
    <w:rsid w:val="0038327B"/>
    <w:rsid w:val="00385A96"/>
    <w:rsid w:val="0039212F"/>
    <w:rsid w:val="003958DF"/>
    <w:rsid w:val="003A125F"/>
    <w:rsid w:val="003A1BDB"/>
    <w:rsid w:val="003B47A3"/>
    <w:rsid w:val="003C1905"/>
    <w:rsid w:val="003C575C"/>
    <w:rsid w:val="003D245F"/>
    <w:rsid w:val="003E2A90"/>
    <w:rsid w:val="003F3230"/>
    <w:rsid w:val="003F55D5"/>
    <w:rsid w:val="00400398"/>
    <w:rsid w:val="00404BB6"/>
    <w:rsid w:val="00404F2C"/>
    <w:rsid w:val="00406C40"/>
    <w:rsid w:val="004129C5"/>
    <w:rsid w:val="00412D5E"/>
    <w:rsid w:val="00415F5A"/>
    <w:rsid w:val="004201D2"/>
    <w:rsid w:val="00430866"/>
    <w:rsid w:val="0043770D"/>
    <w:rsid w:val="00446678"/>
    <w:rsid w:val="0045403B"/>
    <w:rsid w:val="004548F0"/>
    <w:rsid w:val="00460583"/>
    <w:rsid w:val="00460EF3"/>
    <w:rsid w:val="00466559"/>
    <w:rsid w:val="00467BFE"/>
    <w:rsid w:val="00473664"/>
    <w:rsid w:val="00477AEF"/>
    <w:rsid w:val="00483978"/>
    <w:rsid w:val="004871D6"/>
    <w:rsid w:val="00492814"/>
    <w:rsid w:val="004A3675"/>
    <w:rsid w:val="004B002C"/>
    <w:rsid w:val="004B45D9"/>
    <w:rsid w:val="004B46FD"/>
    <w:rsid w:val="004B5B8E"/>
    <w:rsid w:val="004D528B"/>
    <w:rsid w:val="004D5BD4"/>
    <w:rsid w:val="004E2531"/>
    <w:rsid w:val="004E43F3"/>
    <w:rsid w:val="004F3F9A"/>
    <w:rsid w:val="004F50F9"/>
    <w:rsid w:val="00500194"/>
    <w:rsid w:val="00500583"/>
    <w:rsid w:val="00500C3B"/>
    <w:rsid w:val="00505343"/>
    <w:rsid w:val="005104C4"/>
    <w:rsid w:val="00517333"/>
    <w:rsid w:val="00517F45"/>
    <w:rsid w:val="0053040B"/>
    <w:rsid w:val="00533715"/>
    <w:rsid w:val="00541903"/>
    <w:rsid w:val="0055155F"/>
    <w:rsid w:val="00555B06"/>
    <w:rsid w:val="00555B4F"/>
    <w:rsid w:val="00556D29"/>
    <w:rsid w:val="005574F1"/>
    <w:rsid w:val="00566941"/>
    <w:rsid w:val="00567E8F"/>
    <w:rsid w:val="00567EAD"/>
    <w:rsid w:val="00572A40"/>
    <w:rsid w:val="00575045"/>
    <w:rsid w:val="005768C7"/>
    <w:rsid w:val="00583958"/>
    <w:rsid w:val="00584500"/>
    <w:rsid w:val="00586FDC"/>
    <w:rsid w:val="00590D04"/>
    <w:rsid w:val="0059110C"/>
    <w:rsid w:val="005A0733"/>
    <w:rsid w:val="005A1E27"/>
    <w:rsid w:val="005A539D"/>
    <w:rsid w:val="005B1C7F"/>
    <w:rsid w:val="005B1F7A"/>
    <w:rsid w:val="005B207C"/>
    <w:rsid w:val="005C04E4"/>
    <w:rsid w:val="005C5725"/>
    <w:rsid w:val="005D11B0"/>
    <w:rsid w:val="005D25FE"/>
    <w:rsid w:val="005D371A"/>
    <w:rsid w:val="005D3F24"/>
    <w:rsid w:val="005D6C35"/>
    <w:rsid w:val="005E4491"/>
    <w:rsid w:val="005E5B38"/>
    <w:rsid w:val="005E7CC5"/>
    <w:rsid w:val="005F2C03"/>
    <w:rsid w:val="005F412C"/>
    <w:rsid w:val="005F6FD2"/>
    <w:rsid w:val="005F7FC1"/>
    <w:rsid w:val="00605ABD"/>
    <w:rsid w:val="0061374C"/>
    <w:rsid w:val="00614D9B"/>
    <w:rsid w:val="00614EA5"/>
    <w:rsid w:val="006168F8"/>
    <w:rsid w:val="0062107F"/>
    <w:rsid w:val="006244C4"/>
    <w:rsid w:val="00624EDB"/>
    <w:rsid w:val="00634C2A"/>
    <w:rsid w:val="00635ED4"/>
    <w:rsid w:val="00636C59"/>
    <w:rsid w:val="00636CCC"/>
    <w:rsid w:val="00644FC2"/>
    <w:rsid w:val="006474DD"/>
    <w:rsid w:val="006535C5"/>
    <w:rsid w:val="00653C8B"/>
    <w:rsid w:val="00654371"/>
    <w:rsid w:val="006550A5"/>
    <w:rsid w:val="00656593"/>
    <w:rsid w:val="00656723"/>
    <w:rsid w:val="00672872"/>
    <w:rsid w:val="00676584"/>
    <w:rsid w:val="00680341"/>
    <w:rsid w:val="00682A95"/>
    <w:rsid w:val="006902C2"/>
    <w:rsid w:val="006A6591"/>
    <w:rsid w:val="006B12B4"/>
    <w:rsid w:val="006B31BA"/>
    <w:rsid w:val="006B4C39"/>
    <w:rsid w:val="006C0D39"/>
    <w:rsid w:val="006C4445"/>
    <w:rsid w:val="006C78F8"/>
    <w:rsid w:val="006D3039"/>
    <w:rsid w:val="006E5CBB"/>
    <w:rsid w:val="006E6460"/>
    <w:rsid w:val="006E652A"/>
    <w:rsid w:val="006F074B"/>
    <w:rsid w:val="006F33D7"/>
    <w:rsid w:val="00700E3A"/>
    <w:rsid w:val="00701BD4"/>
    <w:rsid w:val="007133B7"/>
    <w:rsid w:val="00713437"/>
    <w:rsid w:val="007204A7"/>
    <w:rsid w:val="00722FC2"/>
    <w:rsid w:val="007239E9"/>
    <w:rsid w:val="00727D1A"/>
    <w:rsid w:val="007447A9"/>
    <w:rsid w:val="00744FCF"/>
    <w:rsid w:val="007475C2"/>
    <w:rsid w:val="0075029D"/>
    <w:rsid w:val="007523C1"/>
    <w:rsid w:val="00755411"/>
    <w:rsid w:val="00760BC4"/>
    <w:rsid w:val="007729A7"/>
    <w:rsid w:val="00782D30"/>
    <w:rsid w:val="0079048D"/>
    <w:rsid w:val="00793722"/>
    <w:rsid w:val="00795887"/>
    <w:rsid w:val="007A39C5"/>
    <w:rsid w:val="007A46EF"/>
    <w:rsid w:val="007B2242"/>
    <w:rsid w:val="007C18DF"/>
    <w:rsid w:val="007C468D"/>
    <w:rsid w:val="007C6753"/>
    <w:rsid w:val="007D4533"/>
    <w:rsid w:val="007D61F1"/>
    <w:rsid w:val="007D669C"/>
    <w:rsid w:val="007E6FF3"/>
    <w:rsid w:val="007F24E7"/>
    <w:rsid w:val="00807301"/>
    <w:rsid w:val="00813469"/>
    <w:rsid w:val="0081499F"/>
    <w:rsid w:val="00816669"/>
    <w:rsid w:val="0081767F"/>
    <w:rsid w:val="00817DE2"/>
    <w:rsid w:val="008225C7"/>
    <w:rsid w:val="00832246"/>
    <w:rsid w:val="00835AB5"/>
    <w:rsid w:val="008426D4"/>
    <w:rsid w:val="0084277C"/>
    <w:rsid w:val="00847220"/>
    <w:rsid w:val="00851F19"/>
    <w:rsid w:val="00855459"/>
    <w:rsid w:val="00856861"/>
    <w:rsid w:val="008618C0"/>
    <w:rsid w:val="00864102"/>
    <w:rsid w:val="008705D3"/>
    <w:rsid w:val="0087094F"/>
    <w:rsid w:val="008730DF"/>
    <w:rsid w:val="00874377"/>
    <w:rsid w:val="0087522C"/>
    <w:rsid w:val="00881140"/>
    <w:rsid w:val="00883DAB"/>
    <w:rsid w:val="0088437A"/>
    <w:rsid w:val="008907C2"/>
    <w:rsid w:val="00890B27"/>
    <w:rsid w:val="008922F7"/>
    <w:rsid w:val="0089305E"/>
    <w:rsid w:val="008A1B4B"/>
    <w:rsid w:val="008B2C3C"/>
    <w:rsid w:val="008B3EA0"/>
    <w:rsid w:val="008B3FB4"/>
    <w:rsid w:val="008B5C8A"/>
    <w:rsid w:val="008D0805"/>
    <w:rsid w:val="008D3B86"/>
    <w:rsid w:val="008E0EEE"/>
    <w:rsid w:val="008E2C4F"/>
    <w:rsid w:val="008E420C"/>
    <w:rsid w:val="008E6B5B"/>
    <w:rsid w:val="008F2048"/>
    <w:rsid w:val="0090342E"/>
    <w:rsid w:val="0090734A"/>
    <w:rsid w:val="00915223"/>
    <w:rsid w:val="00917BBA"/>
    <w:rsid w:val="009248F3"/>
    <w:rsid w:val="00924923"/>
    <w:rsid w:val="00925E49"/>
    <w:rsid w:val="0093511F"/>
    <w:rsid w:val="00936260"/>
    <w:rsid w:val="00936652"/>
    <w:rsid w:val="009378AA"/>
    <w:rsid w:val="0095018B"/>
    <w:rsid w:val="009525C7"/>
    <w:rsid w:val="00963126"/>
    <w:rsid w:val="00965FC0"/>
    <w:rsid w:val="009665F4"/>
    <w:rsid w:val="009763F4"/>
    <w:rsid w:val="009778F0"/>
    <w:rsid w:val="0098131B"/>
    <w:rsid w:val="009821D0"/>
    <w:rsid w:val="00987063"/>
    <w:rsid w:val="00991F4B"/>
    <w:rsid w:val="009921D6"/>
    <w:rsid w:val="00993595"/>
    <w:rsid w:val="009949B7"/>
    <w:rsid w:val="00994AD6"/>
    <w:rsid w:val="00996B3F"/>
    <w:rsid w:val="009A56AF"/>
    <w:rsid w:val="009B1E78"/>
    <w:rsid w:val="009B24A1"/>
    <w:rsid w:val="009B41B4"/>
    <w:rsid w:val="009B51F6"/>
    <w:rsid w:val="009B5C0B"/>
    <w:rsid w:val="009B62C8"/>
    <w:rsid w:val="009D2795"/>
    <w:rsid w:val="009E1282"/>
    <w:rsid w:val="009E4D78"/>
    <w:rsid w:val="009F156A"/>
    <w:rsid w:val="009F30EC"/>
    <w:rsid w:val="00A01196"/>
    <w:rsid w:val="00A02B78"/>
    <w:rsid w:val="00A03B59"/>
    <w:rsid w:val="00A05050"/>
    <w:rsid w:val="00A102DB"/>
    <w:rsid w:val="00A13910"/>
    <w:rsid w:val="00A265F9"/>
    <w:rsid w:val="00A30351"/>
    <w:rsid w:val="00A324EF"/>
    <w:rsid w:val="00A364BE"/>
    <w:rsid w:val="00A431EC"/>
    <w:rsid w:val="00A54C49"/>
    <w:rsid w:val="00A7140F"/>
    <w:rsid w:val="00A7376B"/>
    <w:rsid w:val="00A73CED"/>
    <w:rsid w:val="00A7780C"/>
    <w:rsid w:val="00A932F5"/>
    <w:rsid w:val="00A94A60"/>
    <w:rsid w:val="00AA1B1F"/>
    <w:rsid w:val="00AB0279"/>
    <w:rsid w:val="00AB064B"/>
    <w:rsid w:val="00AB2ADA"/>
    <w:rsid w:val="00AC3E2E"/>
    <w:rsid w:val="00AC5EC6"/>
    <w:rsid w:val="00AD5DC0"/>
    <w:rsid w:val="00AD764F"/>
    <w:rsid w:val="00AF5DFE"/>
    <w:rsid w:val="00B04AD3"/>
    <w:rsid w:val="00B06CA4"/>
    <w:rsid w:val="00B1010C"/>
    <w:rsid w:val="00B11093"/>
    <w:rsid w:val="00B1186E"/>
    <w:rsid w:val="00B1211F"/>
    <w:rsid w:val="00B131D1"/>
    <w:rsid w:val="00B13320"/>
    <w:rsid w:val="00B13933"/>
    <w:rsid w:val="00B218EF"/>
    <w:rsid w:val="00B222E0"/>
    <w:rsid w:val="00B308DE"/>
    <w:rsid w:val="00B30A81"/>
    <w:rsid w:val="00B30F76"/>
    <w:rsid w:val="00B37745"/>
    <w:rsid w:val="00B37C6C"/>
    <w:rsid w:val="00B41400"/>
    <w:rsid w:val="00B4574F"/>
    <w:rsid w:val="00B466A0"/>
    <w:rsid w:val="00B46AB6"/>
    <w:rsid w:val="00B518AF"/>
    <w:rsid w:val="00B544D8"/>
    <w:rsid w:val="00B62369"/>
    <w:rsid w:val="00B62909"/>
    <w:rsid w:val="00B62945"/>
    <w:rsid w:val="00B62FE3"/>
    <w:rsid w:val="00B666BA"/>
    <w:rsid w:val="00B67283"/>
    <w:rsid w:val="00B67B72"/>
    <w:rsid w:val="00B714C5"/>
    <w:rsid w:val="00B771C6"/>
    <w:rsid w:val="00B82065"/>
    <w:rsid w:val="00B82EA0"/>
    <w:rsid w:val="00B84AB8"/>
    <w:rsid w:val="00B84FA4"/>
    <w:rsid w:val="00B907E8"/>
    <w:rsid w:val="00B92CCC"/>
    <w:rsid w:val="00B96475"/>
    <w:rsid w:val="00B97A03"/>
    <w:rsid w:val="00BA093B"/>
    <w:rsid w:val="00BA0B02"/>
    <w:rsid w:val="00BA1015"/>
    <w:rsid w:val="00BB6325"/>
    <w:rsid w:val="00BC054A"/>
    <w:rsid w:val="00BC0F9B"/>
    <w:rsid w:val="00BC4375"/>
    <w:rsid w:val="00BC7B20"/>
    <w:rsid w:val="00BD0EA1"/>
    <w:rsid w:val="00BD1AC4"/>
    <w:rsid w:val="00BD2380"/>
    <w:rsid w:val="00BD56A6"/>
    <w:rsid w:val="00BE4D42"/>
    <w:rsid w:val="00BE6FC8"/>
    <w:rsid w:val="00BE7C92"/>
    <w:rsid w:val="00BF1CF3"/>
    <w:rsid w:val="00C03E71"/>
    <w:rsid w:val="00C0710E"/>
    <w:rsid w:val="00C10E3D"/>
    <w:rsid w:val="00C1297C"/>
    <w:rsid w:val="00C13245"/>
    <w:rsid w:val="00C16B54"/>
    <w:rsid w:val="00C20397"/>
    <w:rsid w:val="00C20CFF"/>
    <w:rsid w:val="00C24EF4"/>
    <w:rsid w:val="00C252CB"/>
    <w:rsid w:val="00C32200"/>
    <w:rsid w:val="00C34247"/>
    <w:rsid w:val="00C356E8"/>
    <w:rsid w:val="00C37572"/>
    <w:rsid w:val="00C509B4"/>
    <w:rsid w:val="00C53A51"/>
    <w:rsid w:val="00C6179E"/>
    <w:rsid w:val="00C6716B"/>
    <w:rsid w:val="00C71DCE"/>
    <w:rsid w:val="00C72C3E"/>
    <w:rsid w:val="00C72D74"/>
    <w:rsid w:val="00C73B9E"/>
    <w:rsid w:val="00C73CD4"/>
    <w:rsid w:val="00C7578A"/>
    <w:rsid w:val="00C83DCC"/>
    <w:rsid w:val="00C874AE"/>
    <w:rsid w:val="00C94DF0"/>
    <w:rsid w:val="00CA4DBE"/>
    <w:rsid w:val="00CA4E6D"/>
    <w:rsid w:val="00CA785A"/>
    <w:rsid w:val="00CB726C"/>
    <w:rsid w:val="00CC1FF9"/>
    <w:rsid w:val="00CC2402"/>
    <w:rsid w:val="00CC53DE"/>
    <w:rsid w:val="00CC5BB6"/>
    <w:rsid w:val="00CC7EF5"/>
    <w:rsid w:val="00CD08B2"/>
    <w:rsid w:val="00CD49BA"/>
    <w:rsid w:val="00CD4A73"/>
    <w:rsid w:val="00CE0DCB"/>
    <w:rsid w:val="00CE1C03"/>
    <w:rsid w:val="00CE38E7"/>
    <w:rsid w:val="00CF0662"/>
    <w:rsid w:val="00D06E4A"/>
    <w:rsid w:val="00D07769"/>
    <w:rsid w:val="00D13278"/>
    <w:rsid w:val="00D136AE"/>
    <w:rsid w:val="00D13C96"/>
    <w:rsid w:val="00D13CEF"/>
    <w:rsid w:val="00D15F90"/>
    <w:rsid w:val="00D16384"/>
    <w:rsid w:val="00D164E9"/>
    <w:rsid w:val="00D24A62"/>
    <w:rsid w:val="00D25E9B"/>
    <w:rsid w:val="00D2775A"/>
    <w:rsid w:val="00D45FCD"/>
    <w:rsid w:val="00D466A6"/>
    <w:rsid w:val="00D53C1F"/>
    <w:rsid w:val="00D55620"/>
    <w:rsid w:val="00D604C1"/>
    <w:rsid w:val="00D71DD5"/>
    <w:rsid w:val="00D76AA5"/>
    <w:rsid w:val="00D77464"/>
    <w:rsid w:val="00D81CBC"/>
    <w:rsid w:val="00D9029F"/>
    <w:rsid w:val="00D94236"/>
    <w:rsid w:val="00D973DC"/>
    <w:rsid w:val="00DA3B00"/>
    <w:rsid w:val="00DA77F3"/>
    <w:rsid w:val="00DB5FD8"/>
    <w:rsid w:val="00DB65B1"/>
    <w:rsid w:val="00DC179F"/>
    <w:rsid w:val="00DC5333"/>
    <w:rsid w:val="00DD2730"/>
    <w:rsid w:val="00DE2DE2"/>
    <w:rsid w:val="00DE535C"/>
    <w:rsid w:val="00DF2C27"/>
    <w:rsid w:val="00E06A0D"/>
    <w:rsid w:val="00E15DE1"/>
    <w:rsid w:val="00E201F8"/>
    <w:rsid w:val="00E21273"/>
    <w:rsid w:val="00E2227C"/>
    <w:rsid w:val="00E25239"/>
    <w:rsid w:val="00E30857"/>
    <w:rsid w:val="00E3457F"/>
    <w:rsid w:val="00E34B68"/>
    <w:rsid w:val="00E3775C"/>
    <w:rsid w:val="00E432EB"/>
    <w:rsid w:val="00E433A5"/>
    <w:rsid w:val="00E447C6"/>
    <w:rsid w:val="00E53029"/>
    <w:rsid w:val="00E55853"/>
    <w:rsid w:val="00E564A0"/>
    <w:rsid w:val="00E64D07"/>
    <w:rsid w:val="00E722BA"/>
    <w:rsid w:val="00E77FCF"/>
    <w:rsid w:val="00E82E9B"/>
    <w:rsid w:val="00E8385B"/>
    <w:rsid w:val="00E8565E"/>
    <w:rsid w:val="00E86F81"/>
    <w:rsid w:val="00E97093"/>
    <w:rsid w:val="00EA51AA"/>
    <w:rsid w:val="00EB2A3E"/>
    <w:rsid w:val="00EC3647"/>
    <w:rsid w:val="00EC691B"/>
    <w:rsid w:val="00EC7B93"/>
    <w:rsid w:val="00ED1506"/>
    <w:rsid w:val="00ED18A2"/>
    <w:rsid w:val="00ED7EB5"/>
    <w:rsid w:val="00EE4755"/>
    <w:rsid w:val="00EE5B29"/>
    <w:rsid w:val="00EF7E1D"/>
    <w:rsid w:val="00F01246"/>
    <w:rsid w:val="00F03112"/>
    <w:rsid w:val="00F035EA"/>
    <w:rsid w:val="00F03918"/>
    <w:rsid w:val="00F05FF1"/>
    <w:rsid w:val="00F16195"/>
    <w:rsid w:val="00F1742F"/>
    <w:rsid w:val="00F2274C"/>
    <w:rsid w:val="00F23239"/>
    <w:rsid w:val="00F23908"/>
    <w:rsid w:val="00F368D9"/>
    <w:rsid w:val="00F429B6"/>
    <w:rsid w:val="00F43B41"/>
    <w:rsid w:val="00F4454E"/>
    <w:rsid w:val="00F469DA"/>
    <w:rsid w:val="00F572EB"/>
    <w:rsid w:val="00F616DB"/>
    <w:rsid w:val="00F67445"/>
    <w:rsid w:val="00F7204A"/>
    <w:rsid w:val="00F73E05"/>
    <w:rsid w:val="00F804A7"/>
    <w:rsid w:val="00F851A3"/>
    <w:rsid w:val="00F857A0"/>
    <w:rsid w:val="00F87292"/>
    <w:rsid w:val="00FA41CC"/>
    <w:rsid w:val="00FA4C24"/>
    <w:rsid w:val="00FA7DAC"/>
    <w:rsid w:val="00FB0DC6"/>
    <w:rsid w:val="00FB1E83"/>
    <w:rsid w:val="00FB7D77"/>
    <w:rsid w:val="00FC23D8"/>
    <w:rsid w:val="00FC5DA7"/>
    <w:rsid w:val="00FC6CE4"/>
    <w:rsid w:val="00FD74B6"/>
    <w:rsid w:val="00FE20FD"/>
    <w:rsid w:val="00FF0EFA"/>
    <w:rsid w:val="00FF2395"/>
    <w:rsid w:val="00FF61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90734A"/>
    <w:pPr>
      <w:keepNext/>
      <w:spacing w:before="240" w:after="60" w:line="240" w:lineRule="auto"/>
      <w:jc w:val="both"/>
      <w:outlineLvl w:val="2"/>
    </w:pPr>
    <w:rPr>
      <w:rFonts w:ascii="Times New Roman" w:eastAsia="Times New Roman" w:hAnsi="Times New Roman" w:cs="Times New Roman"/>
      <w:b/>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5C2"/>
    <w:pPr>
      <w:tabs>
        <w:tab w:val="center" w:pos="4513"/>
        <w:tab w:val="right" w:pos="9026"/>
      </w:tabs>
      <w:spacing w:after="0" w:line="240" w:lineRule="auto"/>
    </w:pPr>
    <w:rPr>
      <w:lang w:eastAsia="en-US"/>
    </w:rPr>
  </w:style>
  <w:style w:type="character" w:customStyle="1" w:styleId="HeaderChar">
    <w:name w:val="Header Char"/>
    <w:basedOn w:val="DefaultParagraphFont"/>
    <w:link w:val="Header"/>
    <w:uiPriority w:val="99"/>
    <w:rsid w:val="007475C2"/>
    <w:rPr>
      <w:lang w:eastAsia="en-US"/>
    </w:rPr>
  </w:style>
  <w:style w:type="paragraph" w:styleId="Footer">
    <w:name w:val="footer"/>
    <w:basedOn w:val="Normal"/>
    <w:link w:val="FooterChar"/>
    <w:uiPriority w:val="99"/>
    <w:unhideWhenUsed/>
    <w:rsid w:val="007475C2"/>
    <w:pPr>
      <w:tabs>
        <w:tab w:val="center" w:pos="4513"/>
        <w:tab w:val="right" w:pos="9026"/>
      </w:tabs>
      <w:spacing w:after="0" w:line="240" w:lineRule="auto"/>
    </w:pPr>
    <w:rPr>
      <w:lang w:eastAsia="en-US"/>
    </w:rPr>
  </w:style>
  <w:style w:type="character" w:customStyle="1" w:styleId="FooterChar">
    <w:name w:val="Footer Char"/>
    <w:basedOn w:val="DefaultParagraphFont"/>
    <w:link w:val="Footer"/>
    <w:uiPriority w:val="99"/>
    <w:rsid w:val="007475C2"/>
    <w:rPr>
      <w:lang w:eastAsia="en-US"/>
    </w:rPr>
  </w:style>
  <w:style w:type="paragraph" w:styleId="Title">
    <w:name w:val="Title"/>
    <w:basedOn w:val="Normal"/>
    <w:next w:val="Normal"/>
    <w:link w:val="TitleChar"/>
    <w:uiPriority w:val="10"/>
    <w:qFormat/>
    <w:rsid w:val="007475C2"/>
    <w:pPr>
      <w:jc w:val="both"/>
    </w:pPr>
    <w:rPr>
      <w:rFonts w:ascii="Calibri" w:hAnsi="Calibri"/>
      <w:b/>
      <w:lang w:eastAsia="en-US"/>
    </w:rPr>
  </w:style>
  <w:style w:type="character" w:customStyle="1" w:styleId="TitleChar">
    <w:name w:val="Title Char"/>
    <w:basedOn w:val="DefaultParagraphFont"/>
    <w:link w:val="Title"/>
    <w:uiPriority w:val="10"/>
    <w:rsid w:val="007475C2"/>
    <w:rPr>
      <w:rFonts w:ascii="Calibri" w:hAnsi="Calibri"/>
      <w:b/>
      <w:lang w:eastAsia="en-US"/>
    </w:rPr>
  </w:style>
  <w:style w:type="paragraph" w:customStyle="1" w:styleId="OutlineNumberedLevel1">
    <w:name w:val="Outline Numbered Level 1"/>
    <w:basedOn w:val="Title"/>
    <w:link w:val="OutlineNumberedLevel1Char"/>
    <w:qFormat/>
    <w:rsid w:val="007475C2"/>
    <w:pPr>
      <w:numPr>
        <w:numId w:val="6"/>
      </w:numPr>
    </w:pPr>
    <w:rPr>
      <w:b w:val="0"/>
    </w:rPr>
  </w:style>
  <w:style w:type="paragraph" w:customStyle="1" w:styleId="OutlineNumberedLevel2">
    <w:name w:val="Outline Numbered Level 2"/>
    <w:basedOn w:val="OutlineNumberedLevel1"/>
    <w:link w:val="OutlineNumberedLevel2Char"/>
    <w:qFormat/>
    <w:rsid w:val="007475C2"/>
    <w:pPr>
      <w:numPr>
        <w:ilvl w:val="1"/>
      </w:numPr>
    </w:pPr>
  </w:style>
  <w:style w:type="character" w:customStyle="1" w:styleId="OutlineNumberedLevel1Char">
    <w:name w:val="Outline Numbered Level 1 Char"/>
    <w:basedOn w:val="TitleChar"/>
    <w:link w:val="OutlineNumberedLevel1"/>
    <w:rsid w:val="007475C2"/>
    <w:rPr>
      <w:rFonts w:ascii="Calibri" w:hAnsi="Calibri"/>
      <w:b w:val="0"/>
      <w:lang w:eastAsia="en-US"/>
    </w:rPr>
  </w:style>
  <w:style w:type="paragraph" w:customStyle="1" w:styleId="Note">
    <w:name w:val="Note"/>
    <w:basedOn w:val="Normal"/>
    <w:link w:val="NoteChar"/>
    <w:qFormat/>
    <w:rsid w:val="00430866"/>
    <w:pPr>
      <w:ind w:left="720"/>
    </w:pPr>
    <w:rPr>
      <w:i/>
      <w:sz w:val="20"/>
      <w:szCs w:val="20"/>
      <w:lang w:eastAsia="en-US"/>
    </w:rPr>
  </w:style>
  <w:style w:type="character" w:customStyle="1" w:styleId="OutlineNumberedLevel2Char">
    <w:name w:val="Outline Numbered Level 2 Char"/>
    <w:basedOn w:val="OutlineNumberedLevel1Char"/>
    <w:link w:val="OutlineNumberedLevel2"/>
    <w:rsid w:val="007475C2"/>
    <w:rPr>
      <w:rFonts w:ascii="Calibri" w:hAnsi="Calibri"/>
      <w:b w:val="0"/>
      <w:lang w:eastAsia="en-US"/>
    </w:rPr>
  </w:style>
  <w:style w:type="paragraph" w:customStyle="1" w:styleId="OutlineNumnberedLevel3">
    <w:name w:val="Outline Numnbered Level 3"/>
    <w:basedOn w:val="OutlineNumberedLevel2"/>
    <w:link w:val="OutlineNumnberedLevel3Char"/>
    <w:rsid w:val="007475C2"/>
  </w:style>
  <w:style w:type="character" w:customStyle="1" w:styleId="NoteChar">
    <w:name w:val="Note Char"/>
    <w:basedOn w:val="DefaultParagraphFont"/>
    <w:link w:val="Note"/>
    <w:rsid w:val="00430866"/>
    <w:rPr>
      <w:i/>
      <w:sz w:val="20"/>
      <w:szCs w:val="20"/>
      <w:lang w:eastAsia="en-US"/>
    </w:rPr>
  </w:style>
  <w:style w:type="paragraph" w:customStyle="1" w:styleId="OUtlineLevel4">
    <w:name w:val="OUtline Level 4"/>
    <w:basedOn w:val="OutlineNumnberedLevel3"/>
    <w:link w:val="OUtlineLevel4Char"/>
    <w:qFormat/>
    <w:rsid w:val="007475C2"/>
    <w:pPr>
      <w:numPr>
        <w:ilvl w:val="3"/>
      </w:numPr>
    </w:pPr>
  </w:style>
  <w:style w:type="character" w:customStyle="1" w:styleId="OutlineNumnberedLevel3Char">
    <w:name w:val="Outline Numnbered Level 3 Char"/>
    <w:basedOn w:val="OutlineNumberedLevel2Char"/>
    <w:link w:val="OutlineNumnberedLevel3"/>
    <w:rsid w:val="007475C2"/>
    <w:rPr>
      <w:rFonts w:ascii="Calibri" w:hAnsi="Calibri"/>
      <w:b w:val="0"/>
      <w:lang w:eastAsia="en-US"/>
    </w:rPr>
  </w:style>
  <w:style w:type="table" w:styleId="TableGrid">
    <w:name w:val="Table Grid"/>
    <w:basedOn w:val="TableNormal"/>
    <w:uiPriority w:val="39"/>
    <w:rsid w:val="007475C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tlineLevel4Char">
    <w:name w:val="OUtline Level 4 Char"/>
    <w:basedOn w:val="OutlineNumnberedLevel3Char"/>
    <w:link w:val="OUtlineLevel4"/>
    <w:rsid w:val="007475C2"/>
    <w:rPr>
      <w:rFonts w:ascii="Calibri" w:hAnsi="Calibri"/>
      <w:b w:val="0"/>
      <w:lang w:eastAsia="en-US"/>
    </w:rPr>
  </w:style>
  <w:style w:type="paragraph" w:customStyle="1" w:styleId="Sectionheading">
    <w:name w:val="Section heading"/>
    <w:basedOn w:val="ListParagraph"/>
    <w:link w:val="SectionheadingChar"/>
    <w:qFormat/>
    <w:rsid w:val="007475C2"/>
    <w:pPr>
      <w:numPr>
        <w:numId w:val="1"/>
      </w:numPr>
    </w:pPr>
    <w:rPr>
      <w:b/>
      <w:lang w:eastAsia="en-US"/>
    </w:rPr>
  </w:style>
  <w:style w:type="paragraph" w:customStyle="1" w:styleId="TableBullet">
    <w:name w:val="Table Bullet"/>
    <w:basedOn w:val="ListParagraph"/>
    <w:link w:val="TableBulletChar"/>
    <w:qFormat/>
    <w:rsid w:val="007475C2"/>
    <w:pPr>
      <w:numPr>
        <w:numId w:val="2"/>
      </w:numPr>
      <w:spacing w:after="0" w:line="240" w:lineRule="auto"/>
    </w:pPr>
    <w:rPr>
      <w:lang w:eastAsia="en-US"/>
    </w:rPr>
  </w:style>
  <w:style w:type="character" w:customStyle="1" w:styleId="SectionheadingChar">
    <w:name w:val="Section heading Char"/>
    <w:basedOn w:val="DefaultParagraphFont"/>
    <w:link w:val="Sectionheading"/>
    <w:rsid w:val="007475C2"/>
    <w:rPr>
      <w:b/>
      <w:lang w:eastAsia="en-US"/>
    </w:rPr>
  </w:style>
  <w:style w:type="character" w:customStyle="1" w:styleId="TableBulletChar">
    <w:name w:val="Table Bullet Char"/>
    <w:basedOn w:val="DefaultParagraphFont"/>
    <w:link w:val="TableBullet"/>
    <w:rsid w:val="007475C2"/>
    <w:rPr>
      <w:lang w:eastAsia="en-US"/>
    </w:rPr>
  </w:style>
  <w:style w:type="paragraph" w:customStyle="1" w:styleId="OutlineLevel2-Unbolded">
    <w:name w:val="Outline Level 2 - Unbolded"/>
    <w:basedOn w:val="Normal"/>
    <w:link w:val="OutlineLevel2-UnboldedChar"/>
    <w:qFormat/>
    <w:rsid w:val="007475C2"/>
    <w:pPr>
      <w:ind w:left="426"/>
    </w:pPr>
    <w:rPr>
      <w:lang w:eastAsia="en-US"/>
    </w:rPr>
  </w:style>
  <w:style w:type="character" w:customStyle="1" w:styleId="OutlineLevel2-UnboldedChar">
    <w:name w:val="Outline Level 2 - Unbolded Char"/>
    <w:basedOn w:val="DefaultParagraphFont"/>
    <w:link w:val="OutlineLevel2-Unbolded"/>
    <w:rsid w:val="007475C2"/>
    <w:rPr>
      <w:lang w:eastAsia="en-US"/>
    </w:rPr>
  </w:style>
  <w:style w:type="paragraph" w:customStyle="1" w:styleId="TableCaption">
    <w:name w:val="Table Caption"/>
    <w:basedOn w:val="Caption"/>
    <w:link w:val="TableCaptionChar"/>
    <w:qFormat/>
    <w:rsid w:val="007475C2"/>
    <w:pPr>
      <w:keepNext/>
      <w:jc w:val="center"/>
    </w:pPr>
    <w:rPr>
      <w:color w:val="auto"/>
      <w:sz w:val="22"/>
      <w:szCs w:val="22"/>
      <w:lang w:eastAsia="en-US"/>
    </w:rPr>
  </w:style>
  <w:style w:type="paragraph" w:customStyle="1" w:styleId="Notebodytext">
    <w:name w:val="Note body text"/>
    <w:basedOn w:val="Note"/>
    <w:link w:val="NotebodytextChar"/>
    <w:qFormat/>
    <w:rsid w:val="007475C2"/>
    <w:pPr>
      <w:ind w:left="993"/>
    </w:pPr>
  </w:style>
  <w:style w:type="character" w:customStyle="1" w:styleId="TableCaptionChar">
    <w:name w:val="Table Caption Char"/>
    <w:basedOn w:val="DefaultParagraphFont"/>
    <w:link w:val="TableCaption"/>
    <w:rsid w:val="007475C2"/>
    <w:rPr>
      <w:b/>
      <w:bCs/>
      <w:lang w:eastAsia="en-US"/>
    </w:rPr>
  </w:style>
  <w:style w:type="character" w:customStyle="1" w:styleId="NotebodytextChar">
    <w:name w:val="Note body text Char"/>
    <w:basedOn w:val="NoteChar"/>
    <w:link w:val="Notebodytext"/>
    <w:rsid w:val="007475C2"/>
    <w:rPr>
      <w:i/>
      <w:sz w:val="20"/>
      <w:szCs w:val="20"/>
      <w:lang w:eastAsia="en-US"/>
    </w:rPr>
  </w:style>
  <w:style w:type="paragraph" w:styleId="ListParagraph">
    <w:name w:val="List Paragraph"/>
    <w:basedOn w:val="Normal"/>
    <w:uiPriority w:val="34"/>
    <w:qFormat/>
    <w:rsid w:val="007475C2"/>
    <w:pPr>
      <w:ind w:left="720"/>
      <w:contextualSpacing/>
    </w:pPr>
  </w:style>
  <w:style w:type="paragraph" w:styleId="Caption">
    <w:name w:val="caption"/>
    <w:basedOn w:val="Normal"/>
    <w:next w:val="Normal"/>
    <w:uiPriority w:val="35"/>
    <w:unhideWhenUsed/>
    <w:qFormat/>
    <w:rsid w:val="007475C2"/>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747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C2"/>
    <w:rPr>
      <w:rFonts w:ascii="Tahoma" w:hAnsi="Tahoma" w:cs="Tahoma"/>
      <w:sz w:val="16"/>
      <w:szCs w:val="16"/>
    </w:rPr>
  </w:style>
  <w:style w:type="character" w:styleId="CommentReference">
    <w:name w:val="annotation reference"/>
    <w:basedOn w:val="DefaultParagraphFont"/>
    <w:uiPriority w:val="99"/>
    <w:semiHidden/>
    <w:unhideWhenUsed/>
    <w:rsid w:val="001F649E"/>
    <w:rPr>
      <w:sz w:val="16"/>
      <w:szCs w:val="16"/>
    </w:rPr>
  </w:style>
  <w:style w:type="paragraph" w:styleId="CommentText">
    <w:name w:val="annotation text"/>
    <w:basedOn w:val="Normal"/>
    <w:link w:val="CommentTextChar"/>
    <w:uiPriority w:val="99"/>
    <w:unhideWhenUsed/>
    <w:rsid w:val="001F649E"/>
    <w:pPr>
      <w:spacing w:line="240" w:lineRule="auto"/>
    </w:pPr>
    <w:rPr>
      <w:sz w:val="20"/>
      <w:szCs w:val="20"/>
    </w:rPr>
  </w:style>
  <w:style w:type="character" w:customStyle="1" w:styleId="CommentTextChar">
    <w:name w:val="Comment Text Char"/>
    <w:basedOn w:val="DefaultParagraphFont"/>
    <w:link w:val="CommentText"/>
    <w:uiPriority w:val="99"/>
    <w:rsid w:val="001F649E"/>
    <w:rPr>
      <w:sz w:val="20"/>
      <w:szCs w:val="20"/>
    </w:rPr>
  </w:style>
  <w:style w:type="paragraph" w:styleId="CommentSubject">
    <w:name w:val="annotation subject"/>
    <w:basedOn w:val="CommentText"/>
    <w:next w:val="CommentText"/>
    <w:link w:val="CommentSubjectChar"/>
    <w:uiPriority w:val="99"/>
    <w:semiHidden/>
    <w:unhideWhenUsed/>
    <w:rsid w:val="001F649E"/>
    <w:rPr>
      <w:b/>
      <w:bCs/>
    </w:rPr>
  </w:style>
  <w:style w:type="character" w:customStyle="1" w:styleId="CommentSubjectChar">
    <w:name w:val="Comment Subject Char"/>
    <w:basedOn w:val="CommentTextChar"/>
    <w:link w:val="CommentSubject"/>
    <w:uiPriority w:val="99"/>
    <w:semiHidden/>
    <w:rsid w:val="001F649E"/>
    <w:rPr>
      <w:b/>
      <w:bCs/>
      <w:sz w:val="20"/>
      <w:szCs w:val="20"/>
    </w:rPr>
  </w:style>
  <w:style w:type="paragraph" w:styleId="Revision">
    <w:name w:val="Revision"/>
    <w:hidden/>
    <w:uiPriority w:val="99"/>
    <w:semiHidden/>
    <w:rsid w:val="001F649E"/>
    <w:pPr>
      <w:spacing w:after="0" w:line="240" w:lineRule="auto"/>
    </w:pPr>
  </w:style>
  <w:style w:type="paragraph" w:customStyle="1" w:styleId="iOutlinelevel3">
    <w:name w:val="(i) Outline level 3"/>
    <w:basedOn w:val="OutlineNumnberedLevel3"/>
    <w:qFormat/>
    <w:rsid w:val="006550A5"/>
    <w:pPr>
      <w:numPr>
        <w:ilvl w:val="0"/>
        <w:numId w:val="0"/>
      </w:numPr>
      <w:ind w:left="1446" w:hanging="312"/>
    </w:pPr>
  </w:style>
  <w:style w:type="paragraph" w:customStyle="1" w:styleId="Body">
    <w:name w:val="Body"/>
    <w:autoRedefine/>
    <w:rsid w:val="00BE6FC8"/>
    <w:pPr>
      <w:numPr>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napToGrid w:val="0"/>
      <w:spacing w:before="120" w:after="120" w:line="240" w:lineRule="auto"/>
      <w:jc w:val="both"/>
    </w:pPr>
    <w:rPr>
      <w:rFonts w:eastAsia="MS Mincho" w:cs="Times New Roman"/>
      <w:b/>
      <w:sz w:val="20"/>
      <w:szCs w:val="20"/>
      <w:lang w:val="en-US" w:eastAsia="en-US"/>
    </w:rPr>
  </w:style>
  <w:style w:type="paragraph" w:customStyle="1" w:styleId="TableHeading">
    <w:name w:val="TableHeading"/>
    <w:basedOn w:val="Body"/>
    <w:autoRedefine/>
    <w:rsid w:val="00BE6FC8"/>
    <w:pPr>
      <w:keepNext/>
      <w:numPr>
        <w:numId w:val="4"/>
      </w:numPr>
      <w:spacing w:before="80" w:after="40"/>
      <w:jc w:val="center"/>
    </w:pPr>
    <w:rPr>
      <w:b w:val="0"/>
      <w:sz w:val="18"/>
    </w:rPr>
  </w:style>
  <w:style w:type="paragraph" w:customStyle="1" w:styleId="TableCellRow">
    <w:name w:val="TableCellRow"/>
    <w:autoRedefine/>
    <w:rsid w:val="00BE6FC8"/>
    <w:pPr>
      <w:widowControl w:val="0"/>
      <w:numPr>
        <w:ilvl w:val="1"/>
        <w:numId w:val="4"/>
      </w:numPr>
      <w:spacing w:before="80" w:after="40" w:line="240" w:lineRule="auto"/>
      <w:jc w:val="center"/>
    </w:pPr>
    <w:rPr>
      <w:rFonts w:ascii="Times New Roman" w:eastAsia="Times New Roman" w:hAnsi="Times New Roman" w:cs="Times New Roman"/>
      <w:sz w:val="18"/>
      <w:szCs w:val="20"/>
      <w:lang w:val="en-US" w:eastAsia="en-US"/>
    </w:rPr>
  </w:style>
  <w:style w:type="paragraph" w:customStyle="1" w:styleId="TableCellCenter">
    <w:name w:val="TableCellCenter"/>
    <w:autoRedefine/>
    <w:rsid w:val="00BE6FC8"/>
    <w:pPr>
      <w:widowControl w:val="0"/>
      <w:snapToGrid w:val="0"/>
      <w:spacing w:before="80" w:after="40" w:line="240" w:lineRule="auto"/>
      <w:jc w:val="center"/>
    </w:pPr>
    <w:rPr>
      <w:rFonts w:ascii="Times" w:eastAsia="Times New Roman" w:hAnsi="Times" w:cs="Times New Roman"/>
      <w:sz w:val="18"/>
      <w:szCs w:val="20"/>
      <w:lang w:val="en-US" w:eastAsia="en-US"/>
    </w:rPr>
  </w:style>
  <w:style w:type="paragraph" w:customStyle="1" w:styleId="List1">
    <w:name w:val="List1"/>
    <w:autoRedefine/>
    <w:rsid w:val="00BE6FC8"/>
    <w:pPr>
      <w:numPr>
        <w:ilvl w:val="1"/>
        <w:numId w:val="3"/>
      </w:numPr>
      <w:spacing w:before="60" w:after="60" w:line="240" w:lineRule="auto"/>
    </w:pPr>
    <w:rPr>
      <w:rFonts w:ascii="Times New Roman" w:eastAsia="Times New Roman" w:hAnsi="Times New Roman" w:cs="Times New Roman"/>
      <w:sz w:val="20"/>
      <w:szCs w:val="20"/>
      <w:lang w:val="en-US" w:eastAsia="en-US"/>
    </w:rPr>
  </w:style>
  <w:style w:type="paragraph" w:customStyle="1" w:styleId="List2">
    <w:name w:val="List2"/>
    <w:basedOn w:val="Body"/>
    <w:autoRedefine/>
    <w:rsid w:val="00BE6FC8"/>
    <w:pPr>
      <w:numPr>
        <w:ilvl w:val="2"/>
      </w:numPr>
      <w:tabs>
        <w:tab w:val="clear" w:pos="1440"/>
      </w:tabs>
      <w:spacing w:before="40" w:after="40"/>
    </w:pPr>
  </w:style>
  <w:style w:type="paragraph" w:customStyle="1" w:styleId="List3">
    <w:name w:val="List3"/>
    <w:basedOn w:val="Body"/>
    <w:autoRedefine/>
    <w:rsid w:val="00BE6FC8"/>
    <w:pPr>
      <w:numPr>
        <w:ilvl w:val="3"/>
      </w:numPr>
      <w:tabs>
        <w:tab w:val="clear" w:pos="1440"/>
      </w:tabs>
      <w:spacing w:before="20" w:after="20"/>
    </w:pPr>
  </w:style>
  <w:style w:type="character" w:styleId="PlaceholderText">
    <w:name w:val="Placeholder Text"/>
    <w:basedOn w:val="DefaultParagraphFont"/>
    <w:uiPriority w:val="99"/>
    <w:semiHidden/>
    <w:rsid w:val="00BE6FC8"/>
    <w:rPr>
      <w:color w:val="808080"/>
    </w:rPr>
  </w:style>
  <w:style w:type="paragraph" w:customStyle="1" w:styleId="OUtlinelevel3i">
    <w:name w:val="OUtline level 3 (i)"/>
    <w:basedOn w:val="Normal"/>
    <w:qFormat/>
    <w:rsid w:val="00584500"/>
    <w:pPr>
      <w:ind w:left="1446" w:hanging="312"/>
      <w:jc w:val="both"/>
    </w:pPr>
    <w:rPr>
      <w:rFonts w:ascii="Calibri" w:hAnsi="Calibri"/>
      <w:lang w:eastAsia="en-US"/>
    </w:rPr>
  </w:style>
  <w:style w:type="paragraph" w:customStyle="1" w:styleId="Bodylevel11subheading-QldSI">
    <w:name w:val="Body level 1(1) subheading - Qld SI"/>
    <w:basedOn w:val="BodyText"/>
    <w:autoRedefine/>
    <w:uiPriority w:val="1"/>
    <w:qFormat/>
    <w:rsid w:val="005D371A"/>
    <w:pPr>
      <w:widowControl w:val="0"/>
      <w:numPr>
        <w:ilvl w:val="1"/>
        <w:numId w:val="5"/>
      </w:numPr>
      <w:tabs>
        <w:tab w:val="left" w:pos="1380"/>
      </w:tabs>
      <w:spacing w:before="97" w:after="200" w:line="226" w:lineRule="auto"/>
      <w:ind w:left="0" w:right="108" w:firstLine="0"/>
    </w:pPr>
    <w:rPr>
      <w:rFonts w:ascii="Calibri" w:eastAsia="Times New Roman" w:hAnsi="Calibri"/>
      <w:spacing w:val="-1"/>
      <w:sz w:val="24"/>
      <w:szCs w:val="24"/>
      <w:lang w:val="en-US" w:eastAsia="en-US"/>
    </w:rPr>
  </w:style>
  <w:style w:type="paragraph" w:customStyle="1" w:styleId="Bodylevel2asubheading-QldSI">
    <w:name w:val="Body level 2(a) subheading - Qld SI"/>
    <w:basedOn w:val="BodyText"/>
    <w:link w:val="Bodylevel2asubheading-QldSIChar"/>
    <w:autoRedefine/>
    <w:uiPriority w:val="1"/>
    <w:qFormat/>
    <w:rsid w:val="005D371A"/>
    <w:pPr>
      <w:widowControl w:val="0"/>
      <w:numPr>
        <w:ilvl w:val="2"/>
        <w:numId w:val="5"/>
      </w:numPr>
      <w:tabs>
        <w:tab w:val="left" w:pos="1932"/>
      </w:tabs>
      <w:spacing w:before="103" w:after="0"/>
      <w:jc w:val="both"/>
    </w:pPr>
    <w:rPr>
      <w:rFonts w:ascii="Calibri" w:eastAsia="Times New Roman" w:hAnsi="Calibri"/>
      <w:spacing w:val="-1"/>
      <w:sz w:val="24"/>
      <w:szCs w:val="24"/>
      <w:lang w:val="en-US" w:eastAsia="en-US"/>
    </w:rPr>
  </w:style>
  <w:style w:type="character" w:customStyle="1" w:styleId="Bodylevel2asubheading-QldSIChar">
    <w:name w:val="Body level 2(a) subheading - Qld SI Char"/>
    <w:basedOn w:val="BodyTextChar"/>
    <w:link w:val="Bodylevel2asubheading-QldSI"/>
    <w:uiPriority w:val="1"/>
    <w:rsid w:val="005D371A"/>
    <w:rPr>
      <w:rFonts w:ascii="Calibri" w:eastAsia="Times New Roman" w:hAnsi="Calibri"/>
      <w:spacing w:val="-1"/>
      <w:sz w:val="24"/>
      <w:szCs w:val="24"/>
      <w:lang w:val="en-US" w:eastAsia="en-US"/>
    </w:rPr>
  </w:style>
  <w:style w:type="paragraph" w:customStyle="1" w:styleId="Sectionheading-QldSI">
    <w:name w:val="Section heading - Qld SI"/>
    <w:basedOn w:val="Normal"/>
    <w:autoRedefine/>
    <w:uiPriority w:val="1"/>
    <w:qFormat/>
    <w:rsid w:val="005D371A"/>
    <w:pPr>
      <w:widowControl w:val="0"/>
      <w:numPr>
        <w:numId w:val="5"/>
      </w:numPr>
      <w:tabs>
        <w:tab w:val="left" w:pos="911"/>
      </w:tabs>
      <w:spacing w:before="200" w:after="0"/>
    </w:pPr>
    <w:rPr>
      <w:rFonts w:ascii="Arial" w:eastAsiaTheme="minorHAnsi"/>
      <w:b/>
      <w:sz w:val="23"/>
      <w:lang w:val="en-US" w:eastAsia="en-US"/>
    </w:rPr>
  </w:style>
  <w:style w:type="paragraph" w:styleId="BodyText">
    <w:name w:val="Body Text"/>
    <w:basedOn w:val="Normal"/>
    <w:link w:val="BodyTextChar"/>
    <w:uiPriority w:val="99"/>
    <w:semiHidden/>
    <w:unhideWhenUsed/>
    <w:rsid w:val="005D371A"/>
    <w:pPr>
      <w:spacing w:after="120"/>
    </w:pPr>
  </w:style>
  <w:style w:type="character" w:customStyle="1" w:styleId="BodyTextChar">
    <w:name w:val="Body Text Char"/>
    <w:basedOn w:val="DefaultParagraphFont"/>
    <w:link w:val="BodyText"/>
    <w:uiPriority w:val="99"/>
    <w:semiHidden/>
    <w:rsid w:val="005D371A"/>
  </w:style>
  <w:style w:type="paragraph" w:styleId="ListNumber">
    <w:name w:val="List Number"/>
    <w:basedOn w:val="BodyText"/>
    <w:uiPriority w:val="99"/>
    <w:semiHidden/>
    <w:unhideWhenUsed/>
    <w:rsid w:val="00C509B4"/>
    <w:pPr>
      <w:numPr>
        <w:numId w:val="11"/>
      </w:numPr>
      <w:spacing w:line="300" w:lineRule="atLeast"/>
      <w:contextualSpacing/>
    </w:pPr>
    <w:rPr>
      <w:rFonts w:ascii="Arial" w:eastAsiaTheme="minorHAnsi" w:hAnsi="Arial" w:cs="Arial"/>
      <w:lang w:eastAsia="en-US"/>
    </w:rPr>
  </w:style>
  <w:style w:type="paragraph" w:styleId="ListNumber2">
    <w:name w:val="List Number 2"/>
    <w:basedOn w:val="BodyText"/>
    <w:uiPriority w:val="99"/>
    <w:semiHidden/>
    <w:unhideWhenUsed/>
    <w:rsid w:val="00C509B4"/>
    <w:pPr>
      <w:numPr>
        <w:ilvl w:val="1"/>
        <w:numId w:val="11"/>
      </w:numPr>
      <w:spacing w:line="300" w:lineRule="atLeast"/>
      <w:contextualSpacing/>
    </w:pPr>
    <w:rPr>
      <w:rFonts w:ascii="Arial" w:eastAsiaTheme="minorHAnsi" w:hAnsi="Arial" w:cs="Arial"/>
      <w:lang w:eastAsia="en-US"/>
    </w:rPr>
  </w:style>
  <w:style w:type="paragraph" w:styleId="ListNumber3">
    <w:name w:val="List Number 3"/>
    <w:basedOn w:val="BodyText"/>
    <w:uiPriority w:val="99"/>
    <w:semiHidden/>
    <w:unhideWhenUsed/>
    <w:rsid w:val="00C509B4"/>
    <w:pPr>
      <w:numPr>
        <w:ilvl w:val="2"/>
        <w:numId w:val="11"/>
      </w:numPr>
      <w:tabs>
        <w:tab w:val="clear" w:pos="720"/>
        <w:tab w:val="num" w:pos="850"/>
      </w:tabs>
      <w:spacing w:line="300" w:lineRule="atLeast"/>
      <w:ind w:left="850" w:hanging="850"/>
      <w:contextualSpacing/>
    </w:pPr>
    <w:rPr>
      <w:rFonts w:ascii="Arial" w:eastAsiaTheme="minorHAnsi" w:hAnsi="Arial" w:cs="Arial"/>
      <w:lang w:eastAsia="en-US"/>
    </w:rPr>
  </w:style>
  <w:style w:type="paragraph" w:customStyle="1" w:styleId="Head3">
    <w:name w:val="Head 3"/>
    <w:basedOn w:val="Normal"/>
    <w:rsid w:val="00BE4D42"/>
    <w:pPr>
      <w:spacing w:before="240" w:after="60" w:line="240" w:lineRule="auto"/>
      <w:ind w:left="851"/>
    </w:pPr>
    <w:rPr>
      <w:rFonts w:ascii="Times New Roman" w:eastAsia="Times New Roman" w:hAnsi="Times New Roman" w:cs="Times New Roman"/>
      <w:b/>
      <w:sz w:val="26"/>
      <w:szCs w:val="20"/>
    </w:rPr>
  </w:style>
  <w:style w:type="paragraph" w:customStyle="1" w:styleId="BodyText1">
    <w:name w:val="Body Text1"/>
    <w:basedOn w:val="Normal"/>
    <w:link w:val="BodytextCharChar"/>
    <w:rsid w:val="007C468D"/>
    <w:pPr>
      <w:spacing w:before="120" w:after="120" w:line="240" w:lineRule="auto"/>
    </w:pPr>
    <w:rPr>
      <w:rFonts w:ascii="Times New Roman" w:eastAsia="Times New Roman" w:hAnsi="Times New Roman" w:cs="Times New Roman"/>
      <w:sz w:val="24"/>
      <w:szCs w:val="20"/>
    </w:rPr>
  </w:style>
  <w:style w:type="character" w:customStyle="1" w:styleId="BodytextCharChar">
    <w:name w:val="Body text Char Char"/>
    <w:link w:val="BodyText1"/>
    <w:rsid w:val="007C468D"/>
    <w:rPr>
      <w:rFonts w:ascii="Times New Roman" w:eastAsia="Times New Roman" w:hAnsi="Times New Roman" w:cs="Times New Roman"/>
      <w:sz w:val="24"/>
      <w:szCs w:val="20"/>
    </w:rPr>
  </w:style>
  <w:style w:type="paragraph" w:customStyle="1" w:styleId="aBullet">
    <w:name w:val="a) Bullet"/>
    <w:basedOn w:val="BodyText1"/>
    <w:link w:val="aBulletCharChar"/>
    <w:rsid w:val="007C468D"/>
    <w:pPr>
      <w:numPr>
        <w:numId w:val="12"/>
      </w:numPr>
    </w:pPr>
  </w:style>
  <w:style w:type="character" w:customStyle="1" w:styleId="aBulletCharChar">
    <w:name w:val="a) Bullet Char Char"/>
    <w:basedOn w:val="BodytextCharChar"/>
    <w:link w:val="aBullet"/>
    <w:rsid w:val="007C468D"/>
    <w:rPr>
      <w:rFonts w:ascii="Times New Roman" w:eastAsia="Times New Roman" w:hAnsi="Times New Roman" w:cs="Times New Roman"/>
      <w:sz w:val="24"/>
      <w:szCs w:val="20"/>
    </w:rPr>
  </w:style>
  <w:style w:type="paragraph" w:customStyle="1" w:styleId="BodyText2">
    <w:name w:val="Body Text2"/>
    <w:basedOn w:val="Normal"/>
    <w:rsid w:val="007447A9"/>
    <w:pPr>
      <w:spacing w:before="120" w:after="120" w:line="240" w:lineRule="auto"/>
    </w:pPr>
    <w:rPr>
      <w:sz w:val="24"/>
    </w:rPr>
  </w:style>
  <w:style w:type="character" w:customStyle="1" w:styleId="Heading3Char">
    <w:name w:val="Heading 3 Char"/>
    <w:basedOn w:val="DefaultParagraphFont"/>
    <w:link w:val="Heading3"/>
    <w:rsid w:val="0090734A"/>
    <w:rPr>
      <w:rFonts w:ascii="Times New Roman" w:eastAsia="Times New Roman" w:hAnsi="Times New Roman" w:cs="Times New Roman"/>
      <w:b/>
      <w:sz w:val="24"/>
      <w:szCs w:val="20"/>
      <w:lang w:val="en-GB" w:eastAsia="en-US"/>
    </w:rPr>
  </w:style>
  <w:style w:type="paragraph" w:customStyle="1" w:styleId="BodyText3">
    <w:name w:val="Body Text3"/>
    <w:basedOn w:val="Normal"/>
    <w:rsid w:val="00CE38E7"/>
    <w:pPr>
      <w:spacing w:before="120" w:after="120" w:line="240" w:lineRule="auto"/>
    </w:pPr>
    <w:rPr>
      <w:rFonts w:ascii="Times New Roman" w:eastAsia="Times New Roman" w:hAnsi="Times New Roman" w:cs="Times New Roman"/>
      <w:sz w:val="24"/>
      <w:szCs w:val="20"/>
    </w:rPr>
  </w:style>
  <w:style w:type="table" w:customStyle="1" w:styleId="TableGrid1">
    <w:name w:val="Table Grid1"/>
    <w:basedOn w:val="TableNormal"/>
    <w:next w:val="TableGrid"/>
    <w:rsid w:val="0092492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2492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2492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90734A"/>
    <w:pPr>
      <w:keepNext/>
      <w:spacing w:before="240" w:after="60" w:line="240" w:lineRule="auto"/>
      <w:jc w:val="both"/>
      <w:outlineLvl w:val="2"/>
    </w:pPr>
    <w:rPr>
      <w:rFonts w:ascii="Times New Roman" w:eastAsia="Times New Roman" w:hAnsi="Times New Roman" w:cs="Times New Roman"/>
      <w:b/>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5C2"/>
    <w:pPr>
      <w:tabs>
        <w:tab w:val="center" w:pos="4513"/>
        <w:tab w:val="right" w:pos="9026"/>
      </w:tabs>
      <w:spacing w:after="0" w:line="240" w:lineRule="auto"/>
    </w:pPr>
    <w:rPr>
      <w:lang w:eastAsia="en-US"/>
    </w:rPr>
  </w:style>
  <w:style w:type="character" w:customStyle="1" w:styleId="HeaderChar">
    <w:name w:val="Header Char"/>
    <w:basedOn w:val="DefaultParagraphFont"/>
    <w:link w:val="Header"/>
    <w:uiPriority w:val="99"/>
    <w:rsid w:val="007475C2"/>
    <w:rPr>
      <w:lang w:eastAsia="en-US"/>
    </w:rPr>
  </w:style>
  <w:style w:type="paragraph" w:styleId="Footer">
    <w:name w:val="footer"/>
    <w:basedOn w:val="Normal"/>
    <w:link w:val="FooterChar"/>
    <w:uiPriority w:val="99"/>
    <w:unhideWhenUsed/>
    <w:rsid w:val="007475C2"/>
    <w:pPr>
      <w:tabs>
        <w:tab w:val="center" w:pos="4513"/>
        <w:tab w:val="right" w:pos="9026"/>
      </w:tabs>
      <w:spacing w:after="0" w:line="240" w:lineRule="auto"/>
    </w:pPr>
    <w:rPr>
      <w:lang w:eastAsia="en-US"/>
    </w:rPr>
  </w:style>
  <w:style w:type="character" w:customStyle="1" w:styleId="FooterChar">
    <w:name w:val="Footer Char"/>
    <w:basedOn w:val="DefaultParagraphFont"/>
    <w:link w:val="Footer"/>
    <w:uiPriority w:val="99"/>
    <w:rsid w:val="007475C2"/>
    <w:rPr>
      <w:lang w:eastAsia="en-US"/>
    </w:rPr>
  </w:style>
  <w:style w:type="paragraph" w:styleId="Title">
    <w:name w:val="Title"/>
    <w:basedOn w:val="Normal"/>
    <w:next w:val="Normal"/>
    <w:link w:val="TitleChar"/>
    <w:uiPriority w:val="10"/>
    <w:qFormat/>
    <w:rsid w:val="007475C2"/>
    <w:pPr>
      <w:jc w:val="both"/>
    </w:pPr>
    <w:rPr>
      <w:rFonts w:ascii="Calibri" w:hAnsi="Calibri"/>
      <w:b/>
      <w:lang w:eastAsia="en-US"/>
    </w:rPr>
  </w:style>
  <w:style w:type="character" w:customStyle="1" w:styleId="TitleChar">
    <w:name w:val="Title Char"/>
    <w:basedOn w:val="DefaultParagraphFont"/>
    <w:link w:val="Title"/>
    <w:uiPriority w:val="10"/>
    <w:rsid w:val="007475C2"/>
    <w:rPr>
      <w:rFonts w:ascii="Calibri" w:hAnsi="Calibri"/>
      <w:b/>
      <w:lang w:eastAsia="en-US"/>
    </w:rPr>
  </w:style>
  <w:style w:type="paragraph" w:customStyle="1" w:styleId="OutlineNumberedLevel1">
    <w:name w:val="Outline Numbered Level 1"/>
    <w:basedOn w:val="Title"/>
    <w:link w:val="OutlineNumberedLevel1Char"/>
    <w:qFormat/>
    <w:rsid w:val="007475C2"/>
    <w:pPr>
      <w:numPr>
        <w:numId w:val="6"/>
      </w:numPr>
    </w:pPr>
    <w:rPr>
      <w:b w:val="0"/>
    </w:rPr>
  </w:style>
  <w:style w:type="paragraph" w:customStyle="1" w:styleId="OutlineNumberedLevel2">
    <w:name w:val="Outline Numbered Level 2"/>
    <w:basedOn w:val="OutlineNumberedLevel1"/>
    <w:link w:val="OutlineNumberedLevel2Char"/>
    <w:qFormat/>
    <w:rsid w:val="007475C2"/>
    <w:pPr>
      <w:numPr>
        <w:ilvl w:val="1"/>
      </w:numPr>
    </w:pPr>
  </w:style>
  <w:style w:type="character" w:customStyle="1" w:styleId="OutlineNumberedLevel1Char">
    <w:name w:val="Outline Numbered Level 1 Char"/>
    <w:basedOn w:val="TitleChar"/>
    <w:link w:val="OutlineNumberedLevel1"/>
    <w:rsid w:val="007475C2"/>
    <w:rPr>
      <w:rFonts w:ascii="Calibri" w:hAnsi="Calibri"/>
      <w:b w:val="0"/>
      <w:lang w:eastAsia="en-US"/>
    </w:rPr>
  </w:style>
  <w:style w:type="paragraph" w:customStyle="1" w:styleId="Note">
    <w:name w:val="Note"/>
    <w:basedOn w:val="Normal"/>
    <w:link w:val="NoteChar"/>
    <w:qFormat/>
    <w:rsid w:val="00430866"/>
    <w:pPr>
      <w:ind w:left="720"/>
    </w:pPr>
    <w:rPr>
      <w:i/>
      <w:sz w:val="20"/>
      <w:szCs w:val="20"/>
      <w:lang w:eastAsia="en-US"/>
    </w:rPr>
  </w:style>
  <w:style w:type="character" w:customStyle="1" w:styleId="OutlineNumberedLevel2Char">
    <w:name w:val="Outline Numbered Level 2 Char"/>
    <w:basedOn w:val="OutlineNumberedLevel1Char"/>
    <w:link w:val="OutlineNumberedLevel2"/>
    <w:rsid w:val="007475C2"/>
    <w:rPr>
      <w:rFonts w:ascii="Calibri" w:hAnsi="Calibri"/>
      <w:b w:val="0"/>
      <w:lang w:eastAsia="en-US"/>
    </w:rPr>
  </w:style>
  <w:style w:type="paragraph" w:customStyle="1" w:styleId="OutlineNumnberedLevel3">
    <w:name w:val="Outline Numnbered Level 3"/>
    <w:basedOn w:val="OutlineNumberedLevel2"/>
    <w:link w:val="OutlineNumnberedLevel3Char"/>
    <w:rsid w:val="007475C2"/>
  </w:style>
  <w:style w:type="character" w:customStyle="1" w:styleId="NoteChar">
    <w:name w:val="Note Char"/>
    <w:basedOn w:val="DefaultParagraphFont"/>
    <w:link w:val="Note"/>
    <w:rsid w:val="00430866"/>
    <w:rPr>
      <w:i/>
      <w:sz w:val="20"/>
      <w:szCs w:val="20"/>
      <w:lang w:eastAsia="en-US"/>
    </w:rPr>
  </w:style>
  <w:style w:type="paragraph" w:customStyle="1" w:styleId="OUtlineLevel4">
    <w:name w:val="OUtline Level 4"/>
    <w:basedOn w:val="OutlineNumnberedLevel3"/>
    <w:link w:val="OUtlineLevel4Char"/>
    <w:qFormat/>
    <w:rsid w:val="007475C2"/>
    <w:pPr>
      <w:numPr>
        <w:ilvl w:val="3"/>
      </w:numPr>
    </w:pPr>
  </w:style>
  <w:style w:type="character" w:customStyle="1" w:styleId="OutlineNumnberedLevel3Char">
    <w:name w:val="Outline Numnbered Level 3 Char"/>
    <w:basedOn w:val="OutlineNumberedLevel2Char"/>
    <w:link w:val="OutlineNumnberedLevel3"/>
    <w:rsid w:val="007475C2"/>
    <w:rPr>
      <w:rFonts w:ascii="Calibri" w:hAnsi="Calibri"/>
      <w:b w:val="0"/>
      <w:lang w:eastAsia="en-US"/>
    </w:rPr>
  </w:style>
  <w:style w:type="table" w:styleId="TableGrid">
    <w:name w:val="Table Grid"/>
    <w:basedOn w:val="TableNormal"/>
    <w:uiPriority w:val="39"/>
    <w:rsid w:val="007475C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tlineLevel4Char">
    <w:name w:val="OUtline Level 4 Char"/>
    <w:basedOn w:val="OutlineNumnberedLevel3Char"/>
    <w:link w:val="OUtlineLevel4"/>
    <w:rsid w:val="007475C2"/>
    <w:rPr>
      <w:rFonts w:ascii="Calibri" w:hAnsi="Calibri"/>
      <w:b w:val="0"/>
      <w:lang w:eastAsia="en-US"/>
    </w:rPr>
  </w:style>
  <w:style w:type="paragraph" w:customStyle="1" w:styleId="Sectionheading">
    <w:name w:val="Section heading"/>
    <w:basedOn w:val="ListParagraph"/>
    <w:link w:val="SectionheadingChar"/>
    <w:qFormat/>
    <w:rsid w:val="007475C2"/>
    <w:pPr>
      <w:numPr>
        <w:numId w:val="1"/>
      </w:numPr>
    </w:pPr>
    <w:rPr>
      <w:b/>
      <w:lang w:eastAsia="en-US"/>
    </w:rPr>
  </w:style>
  <w:style w:type="paragraph" w:customStyle="1" w:styleId="TableBullet">
    <w:name w:val="Table Bullet"/>
    <w:basedOn w:val="ListParagraph"/>
    <w:link w:val="TableBulletChar"/>
    <w:qFormat/>
    <w:rsid w:val="007475C2"/>
    <w:pPr>
      <w:numPr>
        <w:numId w:val="2"/>
      </w:numPr>
      <w:spacing w:after="0" w:line="240" w:lineRule="auto"/>
    </w:pPr>
    <w:rPr>
      <w:lang w:eastAsia="en-US"/>
    </w:rPr>
  </w:style>
  <w:style w:type="character" w:customStyle="1" w:styleId="SectionheadingChar">
    <w:name w:val="Section heading Char"/>
    <w:basedOn w:val="DefaultParagraphFont"/>
    <w:link w:val="Sectionheading"/>
    <w:rsid w:val="007475C2"/>
    <w:rPr>
      <w:b/>
      <w:lang w:eastAsia="en-US"/>
    </w:rPr>
  </w:style>
  <w:style w:type="character" w:customStyle="1" w:styleId="TableBulletChar">
    <w:name w:val="Table Bullet Char"/>
    <w:basedOn w:val="DefaultParagraphFont"/>
    <w:link w:val="TableBullet"/>
    <w:rsid w:val="007475C2"/>
    <w:rPr>
      <w:lang w:eastAsia="en-US"/>
    </w:rPr>
  </w:style>
  <w:style w:type="paragraph" w:customStyle="1" w:styleId="OutlineLevel2-Unbolded">
    <w:name w:val="Outline Level 2 - Unbolded"/>
    <w:basedOn w:val="Normal"/>
    <w:link w:val="OutlineLevel2-UnboldedChar"/>
    <w:qFormat/>
    <w:rsid w:val="007475C2"/>
    <w:pPr>
      <w:ind w:left="426"/>
    </w:pPr>
    <w:rPr>
      <w:lang w:eastAsia="en-US"/>
    </w:rPr>
  </w:style>
  <w:style w:type="character" w:customStyle="1" w:styleId="OutlineLevel2-UnboldedChar">
    <w:name w:val="Outline Level 2 - Unbolded Char"/>
    <w:basedOn w:val="DefaultParagraphFont"/>
    <w:link w:val="OutlineLevel2-Unbolded"/>
    <w:rsid w:val="007475C2"/>
    <w:rPr>
      <w:lang w:eastAsia="en-US"/>
    </w:rPr>
  </w:style>
  <w:style w:type="paragraph" w:customStyle="1" w:styleId="TableCaption">
    <w:name w:val="Table Caption"/>
    <w:basedOn w:val="Caption"/>
    <w:link w:val="TableCaptionChar"/>
    <w:qFormat/>
    <w:rsid w:val="007475C2"/>
    <w:pPr>
      <w:keepNext/>
      <w:jc w:val="center"/>
    </w:pPr>
    <w:rPr>
      <w:color w:val="auto"/>
      <w:sz w:val="22"/>
      <w:szCs w:val="22"/>
      <w:lang w:eastAsia="en-US"/>
    </w:rPr>
  </w:style>
  <w:style w:type="paragraph" w:customStyle="1" w:styleId="Notebodytext">
    <w:name w:val="Note body text"/>
    <w:basedOn w:val="Note"/>
    <w:link w:val="NotebodytextChar"/>
    <w:qFormat/>
    <w:rsid w:val="007475C2"/>
    <w:pPr>
      <w:ind w:left="993"/>
    </w:pPr>
  </w:style>
  <w:style w:type="character" w:customStyle="1" w:styleId="TableCaptionChar">
    <w:name w:val="Table Caption Char"/>
    <w:basedOn w:val="DefaultParagraphFont"/>
    <w:link w:val="TableCaption"/>
    <w:rsid w:val="007475C2"/>
    <w:rPr>
      <w:b/>
      <w:bCs/>
      <w:lang w:eastAsia="en-US"/>
    </w:rPr>
  </w:style>
  <w:style w:type="character" w:customStyle="1" w:styleId="NotebodytextChar">
    <w:name w:val="Note body text Char"/>
    <w:basedOn w:val="NoteChar"/>
    <w:link w:val="Notebodytext"/>
    <w:rsid w:val="007475C2"/>
    <w:rPr>
      <w:i/>
      <w:sz w:val="20"/>
      <w:szCs w:val="20"/>
      <w:lang w:eastAsia="en-US"/>
    </w:rPr>
  </w:style>
  <w:style w:type="paragraph" w:styleId="ListParagraph">
    <w:name w:val="List Paragraph"/>
    <w:basedOn w:val="Normal"/>
    <w:uiPriority w:val="34"/>
    <w:qFormat/>
    <w:rsid w:val="007475C2"/>
    <w:pPr>
      <w:ind w:left="720"/>
      <w:contextualSpacing/>
    </w:pPr>
  </w:style>
  <w:style w:type="paragraph" w:styleId="Caption">
    <w:name w:val="caption"/>
    <w:basedOn w:val="Normal"/>
    <w:next w:val="Normal"/>
    <w:uiPriority w:val="35"/>
    <w:unhideWhenUsed/>
    <w:qFormat/>
    <w:rsid w:val="007475C2"/>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747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C2"/>
    <w:rPr>
      <w:rFonts w:ascii="Tahoma" w:hAnsi="Tahoma" w:cs="Tahoma"/>
      <w:sz w:val="16"/>
      <w:szCs w:val="16"/>
    </w:rPr>
  </w:style>
  <w:style w:type="character" w:styleId="CommentReference">
    <w:name w:val="annotation reference"/>
    <w:basedOn w:val="DefaultParagraphFont"/>
    <w:uiPriority w:val="99"/>
    <w:semiHidden/>
    <w:unhideWhenUsed/>
    <w:rsid w:val="001F649E"/>
    <w:rPr>
      <w:sz w:val="16"/>
      <w:szCs w:val="16"/>
    </w:rPr>
  </w:style>
  <w:style w:type="paragraph" w:styleId="CommentText">
    <w:name w:val="annotation text"/>
    <w:basedOn w:val="Normal"/>
    <w:link w:val="CommentTextChar"/>
    <w:uiPriority w:val="99"/>
    <w:unhideWhenUsed/>
    <w:rsid w:val="001F649E"/>
    <w:pPr>
      <w:spacing w:line="240" w:lineRule="auto"/>
    </w:pPr>
    <w:rPr>
      <w:sz w:val="20"/>
      <w:szCs w:val="20"/>
    </w:rPr>
  </w:style>
  <w:style w:type="character" w:customStyle="1" w:styleId="CommentTextChar">
    <w:name w:val="Comment Text Char"/>
    <w:basedOn w:val="DefaultParagraphFont"/>
    <w:link w:val="CommentText"/>
    <w:uiPriority w:val="99"/>
    <w:rsid w:val="001F649E"/>
    <w:rPr>
      <w:sz w:val="20"/>
      <w:szCs w:val="20"/>
    </w:rPr>
  </w:style>
  <w:style w:type="paragraph" w:styleId="CommentSubject">
    <w:name w:val="annotation subject"/>
    <w:basedOn w:val="CommentText"/>
    <w:next w:val="CommentText"/>
    <w:link w:val="CommentSubjectChar"/>
    <w:uiPriority w:val="99"/>
    <w:semiHidden/>
    <w:unhideWhenUsed/>
    <w:rsid w:val="001F649E"/>
    <w:rPr>
      <w:b/>
      <w:bCs/>
    </w:rPr>
  </w:style>
  <w:style w:type="character" w:customStyle="1" w:styleId="CommentSubjectChar">
    <w:name w:val="Comment Subject Char"/>
    <w:basedOn w:val="CommentTextChar"/>
    <w:link w:val="CommentSubject"/>
    <w:uiPriority w:val="99"/>
    <w:semiHidden/>
    <w:rsid w:val="001F649E"/>
    <w:rPr>
      <w:b/>
      <w:bCs/>
      <w:sz w:val="20"/>
      <w:szCs w:val="20"/>
    </w:rPr>
  </w:style>
  <w:style w:type="paragraph" w:styleId="Revision">
    <w:name w:val="Revision"/>
    <w:hidden/>
    <w:uiPriority w:val="99"/>
    <w:semiHidden/>
    <w:rsid w:val="001F649E"/>
    <w:pPr>
      <w:spacing w:after="0" w:line="240" w:lineRule="auto"/>
    </w:pPr>
  </w:style>
  <w:style w:type="paragraph" w:customStyle="1" w:styleId="iOutlinelevel3">
    <w:name w:val="(i) Outline level 3"/>
    <w:basedOn w:val="OutlineNumnberedLevel3"/>
    <w:qFormat/>
    <w:rsid w:val="006550A5"/>
    <w:pPr>
      <w:numPr>
        <w:ilvl w:val="0"/>
        <w:numId w:val="0"/>
      </w:numPr>
      <w:ind w:left="1446" w:hanging="312"/>
    </w:pPr>
  </w:style>
  <w:style w:type="paragraph" w:customStyle="1" w:styleId="Body">
    <w:name w:val="Body"/>
    <w:autoRedefine/>
    <w:rsid w:val="00BE6FC8"/>
    <w:pPr>
      <w:numPr>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napToGrid w:val="0"/>
      <w:spacing w:before="120" w:after="120" w:line="240" w:lineRule="auto"/>
      <w:jc w:val="both"/>
    </w:pPr>
    <w:rPr>
      <w:rFonts w:eastAsia="MS Mincho" w:cs="Times New Roman"/>
      <w:b/>
      <w:sz w:val="20"/>
      <w:szCs w:val="20"/>
      <w:lang w:val="en-US" w:eastAsia="en-US"/>
    </w:rPr>
  </w:style>
  <w:style w:type="paragraph" w:customStyle="1" w:styleId="TableHeading">
    <w:name w:val="TableHeading"/>
    <w:basedOn w:val="Body"/>
    <w:autoRedefine/>
    <w:rsid w:val="00BE6FC8"/>
    <w:pPr>
      <w:keepNext/>
      <w:numPr>
        <w:numId w:val="4"/>
      </w:numPr>
      <w:spacing w:before="80" w:after="40"/>
      <w:jc w:val="center"/>
    </w:pPr>
    <w:rPr>
      <w:b w:val="0"/>
      <w:sz w:val="18"/>
    </w:rPr>
  </w:style>
  <w:style w:type="paragraph" w:customStyle="1" w:styleId="TableCellRow">
    <w:name w:val="TableCellRow"/>
    <w:autoRedefine/>
    <w:rsid w:val="00BE6FC8"/>
    <w:pPr>
      <w:widowControl w:val="0"/>
      <w:numPr>
        <w:ilvl w:val="1"/>
        <w:numId w:val="4"/>
      </w:numPr>
      <w:spacing w:before="80" w:after="40" w:line="240" w:lineRule="auto"/>
      <w:jc w:val="center"/>
    </w:pPr>
    <w:rPr>
      <w:rFonts w:ascii="Times New Roman" w:eastAsia="Times New Roman" w:hAnsi="Times New Roman" w:cs="Times New Roman"/>
      <w:sz w:val="18"/>
      <w:szCs w:val="20"/>
      <w:lang w:val="en-US" w:eastAsia="en-US"/>
    </w:rPr>
  </w:style>
  <w:style w:type="paragraph" w:customStyle="1" w:styleId="TableCellCenter">
    <w:name w:val="TableCellCenter"/>
    <w:autoRedefine/>
    <w:rsid w:val="00BE6FC8"/>
    <w:pPr>
      <w:widowControl w:val="0"/>
      <w:snapToGrid w:val="0"/>
      <w:spacing w:before="80" w:after="40" w:line="240" w:lineRule="auto"/>
      <w:jc w:val="center"/>
    </w:pPr>
    <w:rPr>
      <w:rFonts w:ascii="Times" w:eastAsia="Times New Roman" w:hAnsi="Times" w:cs="Times New Roman"/>
      <w:sz w:val="18"/>
      <w:szCs w:val="20"/>
      <w:lang w:val="en-US" w:eastAsia="en-US"/>
    </w:rPr>
  </w:style>
  <w:style w:type="paragraph" w:customStyle="1" w:styleId="List1">
    <w:name w:val="List1"/>
    <w:autoRedefine/>
    <w:rsid w:val="00BE6FC8"/>
    <w:pPr>
      <w:numPr>
        <w:ilvl w:val="1"/>
        <w:numId w:val="3"/>
      </w:numPr>
      <w:spacing w:before="60" w:after="60" w:line="240" w:lineRule="auto"/>
    </w:pPr>
    <w:rPr>
      <w:rFonts w:ascii="Times New Roman" w:eastAsia="Times New Roman" w:hAnsi="Times New Roman" w:cs="Times New Roman"/>
      <w:sz w:val="20"/>
      <w:szCs w:val="20"/>
      <w:lang w:val="en-US" w:eastAsia="en-US"/>
    </w:rPr>
  </w:style>
  <w:style w:type="paragraph" w:customStyle="1" w:styleId="List2">
    <w:name w:val="List2"/>
    <w:basedOn w:val="Body"/>
    <w:autoRedefine/>
    <w:rsid w:val="00BE6FC8"/>
    <w:pPr>
      <w:numPr>
        <w:ilvl w:val="2"/>
      </w:numPr>
      <w:tabs>
        <w:tab w:val="clear" w:pos="1440"/>
      </w:tabs>
      <w:spacing w:before="40" w:after="40"/>
    </w:pPr>
  </w:style>
  <w:style w:type="paragraph" w:customStyle="1" w:styleId="List3">
    <w:name w:val="List3"/>
    <w:basedOn w:val="Body"/>
    <w:autoRedefine/>
    <w:rsid w:val="00BE6FC8"/>
    <w:pPr>
      <w:numPr>
        <w:ilvl w:val="3"/>
      </w:numPr>
      <w:tabs>
        <w:tab w:val="clear" w:pos="1440"/>
      </w:tabs>
      <w:spacing w:before="20" w:after="20"/>
    </w:pPr>
  </w:style>
  <w:style w:type="character" w:styleId="PlaceholderText">
    <w:name w:val="Placeholder Text"/>
    <w:basedOn w:val="DefaultParagraphFont"/>
    <w:uiPriority w:val="99"/>
    <w:semiHidden/>
    <w:rsid w:val="00BE6FC8"/>
    <w:rPr>
      <w:color w:val="808080"/>
    </w:rPr>
  </w:style>
  <w:style w:type="paragraph" w:customStyle="1" w:styleId="OUtlinelevel3i">
    <w:name w:val="OUtline level 3 (i)"/>
    <w:basedOn w:val="Normal"/>
    <w:qFormat/>
    <w:rsid w:val="00584500"/>
    <w:pPr>
      <w:ind w:left="1446" w:hanging="312"/>
      <w:jc w:val="both"/>
    </w:pPr>
    <w:rPr>
      <w:rFonts w:ascii="Calibri" w:hAnsi="Calibri"/>
      <w:lang w:eastAsia="en-US"/>
    </w:rPr>
  </w:style>
  <w:style w:type="paragraph" w:customStyle="1" w:styleId="Bodylevel11subheading-QldSI">
    <w:name w:val="Body level 1(1) subheading - Qld SI"/>
    <w:basedOn w:val="BodyText"/>
    <w:autoRedefine/>
    <w:uiPriority w:val="1"/>
    <w:qFormat/>
    <w:rsid w:val="005D371A"/>
    <w:pPr>
      <w:widowControl w:val="0"/>
      <w:numPr>
        <w:ilvl w:val="1"/>
        <w:numId w:val="5"/>
      </w:numPr>
      <w:tabs>
        <w:tab w:val="left" w:pos="1380"/>
      </w:tabs>
      <w:spacing w:before="97" w:after="200" w:line="226" w:lineRule="auto"/>
      <w:ind w:left="0" w:right="108" w:firstLine="0"/>
    </w:pPr>
    <w:rPr>
      <w:rFonts w:ascii="Calibri" w:eastAsia="Times New Roman" w:hAnsi="Calibri"/>
      <w:spacing w:val="-1"/>
      <w:sz w:val="24"/>
      <w:szCs w:val="24"/>
      <w:lang w:val="en-US" w:eastAsia="en-US"/>
    </w:rPr>
  </w:style>
  <w:style w:type="paragraph" w:customStyle="1" w:styleId="Bodylevel2asubheading-QldSI">
    <w:name w:val="Body level 2(a) subheading - Qld SI"/>
    <w:basedOn w:val="BodyText"/>
    <w:link w:val="Bodylevel2asubheading-QldSIChar"/>
    <w:autoRedefine/>
    <w:uiPriority w:val="1"/>
    <w:qFormat/>
    <w:rsid w:val="005D371A"/>
    <w:pPr>
      <w:widowControl w:val="0"/>
      <w:numPr>
        <w:ilvl w:val="2"/>
        <w:numId w:val="5"/>
      </w:numPr>
      <w:tabs>
        <w:tab w:val="left" w:pos="1932"/>
      </w:tabs>
      <w:spacing w:before="103" w:after="0"/>
      <w:jc w:val="both"/>
    </w:pPr>
    <w:rPr>
      <w:rFonts w:ascii="Calibri" w:eastAsia="Times New Roman" w:hAnsi="Calibri"/>
      <w:spacing w:val="-1"/>
      <w:sz w:val="24"/>
      <w:szCs w:val="24"/>
      <w:lang w:val="en-US" w:eastAsia="en-US"/>
    </w:rPr>
  </w:style>
  <w:style w:type="character" w:customStyle="1" w:styleId="Bodylevel2asubheading-QldSIChar">
    <w:name w:val="Body level 2(a) subheading - Qld SI Char"/>
    <w:basedOn w:val="BodyTextChar"/>
    <w:link w:val="Bodylevel2asubheading-QldSI"/>
    <w:uiPriority w:val="1"/>
    <w:rsid w:val="005D371A"/>
    <w:rPr>
      <w:rFonts w:ascii="Calibri" w:eastAsia="Times New Roman" w:hAnsi="Calibri"/>
      <w:spacing w:val="-1"/>
      <w:sz w:val="24"/>
      <w:szCs w:val="24"/>
      <w:lang w:val="en-US" w:eastAsia="en-US"/>
    </w:rPr>
  </w:style>
  <w:style w:type="paragraph" w:customStyle="1" w:styleId="Sectionheading-QldSI">
    <w:name w:val="Section heading - Qld SI"/>
    <w:basedOn w:val="Normal"/>
    <w:autoRedefine/>
    <w:uiPriority w:val="1"/>
    <w:qFormat/>
    <w:rsid w:val="005D371A"/>
    <w:pPr>
      <w:widowControl w:val="0"/>
      <w:numPr>
        <w:numId w:val="5"/>
      </w:numPr>
      <w:tabs>
        <w:tab w:val="left" w:pos="911"/>
      </w:tabs>
      <w:spacing w:before="200" w:after="0"/>
    </w:pPr>
    <w:rPr>
      <w:rFonts w:ascii="Arial" w:eastAsiaTheme="minorHAnsi"/>
      <w:b/>
      <w:sz w:val="23"/>
      <w:lang w:val="en-US" w:eastAsia="en-US"/>
    </w:rPr>
  </w:style>
  <w:style w:type="paragraph" w:styleId="BodyText">
    <w:name w:val="Body Text"/>
    <w:basedOn w:val="Normal"/>
    <w:link w:val="BodyTextChar"/>
    <w:uiPriority w:val="99"/>
    <w:semiHidden/>
    <w:unhideWhenUsed/>
    <w:rsid w:val="005D371A"/>
    <w:pPr>
      <w:spacing w:after="120"/>
    </w:pPr>
  </w:style>
  <w:style w:type="character" w:customStyle="1" w:styleId="BodyTextChar">
    <w:name w:val="Body Text Char"/>
    <w:basedOn w:val="DefaultParagraphFont"/>
    <w:link w:val="BodyText"/>
    <w:uiPriority w:val="99"/>
    <w:semiHidden/>
    <w:rsid w:val="005D371A"/>
  </w:style>
  <w:style w:type="paragraph" w:styleId="ListNumber">
    <w:name w:val="List Number"/>
    <w:basedOn w:val="BodyText"/>
    <w:uiPriority w:val="99"/>
    <w:semiHidden/>
    <w:unhideWhenUsed/>
    <w:rsid w:val="00C509B4"/>
    <w:pPr>
      <w:numPr>
        <w:numId w:val="11"/>
      </w:numPr>
      <w:spacing w:line="300" w:lineRule="atLeast"/>
      <w:contextualSpacing/>
    </w:pPr>
    <w:rPr>
      <w:rFonts w:ascii="Arial" w:eastAsiaTheme="minorHAnsi" w:hAnsi="Arial" w:cs="Arial"/>
      <w:lang w:eastAsia="en-US"/>
    </w:rPr>
  </w:style>
  <w:style w:type="paragraph" w:styleId="ListNumber2">
    <w:name w:val="List Number 2"/>
    <w:basedOn w:val="BodyText"/>
    <w:uiPriority w:val="99"/>
    <w:semiHidden/>
    <w:unhideWhenUsed/>
    <w:rsid w:val="00C509B4"/>
    <w:pPr>
      <w:numPr>
        <w:ilvl w:val="1"/>
        <w:numId w:val="11"/>
      </w:numPr>
      <w:spacing w:line="300" w:lineRule="atLeast"/>
      <w:contextualSpacing/>
    </w:pPr>
    <w:rPr>
      <w:rFonts w:ascii="Arial" w:eastAsiaTheme="minorHAnsi" w:hAnsi="Arial" w:cs="Arial"/>
      <w:lang w:eastAsia="en-US"/>
    </w:rPr>
  </w:style>
  <w:style w:type="paragraph" w:styleId="ListNumber3">
    <w:name w:val="List Number 3"/>
    <w:basedOn w:val="BodyText"/>
    <w:uiPriority w:val="99"/>
    <w:semiHidden/>
    <w:unhideWhenUsed/>
    <w:rsid w:val="00C509B4"/>
    <w:pPr>
      <w:numPr>
        <w:ilvl w:val="2"/>
        <w:numId w:val="11"/>
      </w:numPr>
      <w:tabs>
        <w:tab w:val="clear" w:pos="720"/>
        <w:tab w:val="num" w:pos="850"/>
      </w:tabs>
      <w:spacing w:line="300" w:lineRule="atLeast"/>
      <w:ind w:left="850" w:hanging="850"/>
      <w:contextualSpacing/>
    </w:pPr>
    <w:rPr>
      <w:rFonts w:ascii="Arial" w:eastAsiaTheme="minorHAnsi" w:hAnsi="Arial" w:cs="Arial"/>
      <w:lang w:eastAsia="en-US"/>
    </w:rPr>
  </w:style>
  <w:style w:type="paragraph" w:customStyle="1" w:styleId="Head3">
    <w:name w:val="Head 3"/>
    <w:basedOn w:val="Normal"/>
    <w:rsid w:val="00BE4D42"/>
    <w:pPr>
      <w:spacing w:before="240" w:after="60" w:line="240" w:lineRule="auto"/>
      <w:ind w:left="851"/>
    </w:pPr>
    <w:rPr>
      <w:rFonts w:ascii="Times New Roman" w:eastAsia="Times New Roman" w:hAnsi="Times New Roman" w:cs="Times New Roman"/>
      <w:b/>
      <w:sz w:val="26"/>
      <w:szCs w:val="20"/>
    </w:rPr>
  </w:style>
  <w:style w:type="paragraph" w:customStyle="1" w:styleId="BodyText1">
    <w:name w:val="Body Text1"/>
    <w:basedOn w:val="Normal"/>
    <w:link w:val="BodytextCharChar"/>
    <w:rsid w:val="007C468D"/>
    <w:pPr>
      <w:spacing w:before="120" w:after="120" w:line="240" w:lineRule="auto"/>
    </w:pPr>
    <w:rPr>
      <w:rFonts w:ascii="Times New Roman" w:eastAsia="Times New Roman" w:hAnsi="Times New Roman" w:cs="Times New Roman"/>
      <w:sz w:val="24"/>
      <w:szCs w:val="20"/>
    </w:rPr>
  </w:style>
  <w:style w:type="character" w:customStyle="1" w:styleId="BodytextCharChar">
    <w:name w:val="Body text Char Char"/>
    <w:link w:val="BodyText1"/>
    <w:rsid w:val="007C468D"/>
    <w:rPr>
      <w:rFonts w:ascii="Times New Roman" w:eastAsia="Times New Roman" w:hAnsi="Times New Roman" w:cs="Times New Roman"/>
      <w:sz w:val="24"/>
      <w:szCs w:val="20"/>
    </w:rPr>
  </w:style>
  <w:style w:type="paragraph" w:customStyle="1" w:styleId="aBullet">
    <w:name w:val="a) Bullet"/>
    <w:basedOn w:val="BodyText1"/>
    <w:link w:val="aBulletCharChar"/>
    <w:rsid w:val="007C468D"/>
    <w:pPr>
      <w:numPr>
        <w:numId w:val="12"/>
      </w:numPr>
    </w:pPr>
  </w:style>
  <w:style w:type="character" w:customStyle="1" w:styleId="aBulletCharChar">
    <w:name w:val="a) Bullet Char Char"/>
    <w:basedOn w:val="BodytextCharChar"/>
    <w:link w:val="aBullet"/>
    <w:rsid w:val="007C468D"/>
    <w:rPr>
      <w:rFonts w:ascii="Times New Roman" w:eastAsia="Times New Roman" w:hAnsi="Times New Roman" w:cs="Times New Roman"/>
      <w:sz w:val="24"/>
      <w:szCs w:val="20"/>
    </w:rPr>
  </w:style>
  <w:style w:type="paragraph" w:customStyle="1" w:styleId="BodyText2">
    <w:name w:val="Body Text2"/>
    <w:basedOn w:val="Normal"/>
    <w:rsid w:val="007447A9"/>
    <w:pPr>
      <w:spacing w:before="120" w:after="120" w:line="240" w:lineRule="auto"/>
    </w:pPr>
    <w:rPr>
      <w:sz w:val="24"/>
    </w:rPr>
  </w:style>
  <w:style w:type="character" w:customStyle="1" w:styleId="Heading3Char">
    <w:name w:val="Heading 3 Char"/>
    <w:basedOn w:val="DefaultParagraphFont"/>
    <w:link w:val="Heading3"/>
    <w:rsid w:val="0090734A"/>
    <w:rPr>
      <w:rFonts w:ascii="Times New Roman" w:eastAsia="Times New Roman" w:hAnsi="Times New Roman" w:cs="Times New Roman"/>
      <w:b/>
      <w:sz w:val="24"/>
      <w:szCs w:val="20"/>
      <w:lang w:val="en-GB" w:eastAsia="en-US"/>
    </w:rPr>
  </w:style>
  <w:style w:type="paragraph" w:customStyle="1" w:styleId="BodyText3">
    <w:name w:val="Body Text3"/>
    <w:basedOn w:val="Normal"/>
    <w:rsid w:val="00CE38E7"/>
    <w:pPr>
      <w:spacing w:before="120" w:after="120" w:line="240" w:lineRule="auto"/>
    </w:pPr>
    <w:rPr>
      <w:rFonts w:ascii="Times New Roman" w:eastAsia="Times New Roman" w:hAnsi="Times New Roman" w:cs="Times New Roman"/>
      <w:sz w:val="24"/>
      <w:szCs w:val="20"/>
    </w:rPr>
  </w:style>
  <w:style w:type="table" w:customStyle="1" w:styleId="TableGrid1">
    <w:name w:val="Table Grid1"/>
    <w:basedOn w:val="TableNormal"/>
    <w:next w:val="TableGrid"/>
    <w:rsid w:val="0092492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2492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2492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994347">
      <w:bodyDiv w:val="1"/>
      <w:marLeft w:val="0"/>
      <w:marRight w:val="0"/>
      <w:marTop w:val="0"/>
      <w:marBottom w:val="0"/>
      <w:divBdr>
        <w:top w:val="none" w:sz="0" w:space="0" w:color="auto"/>
        <w:left w:val="none" w:sz="0" w:space="0" w:color="auto"/>
        <w:bottom w:val="none" w:sz="0" w:space="0" w:color="auto"/>
        <w:right w:val="none" w:sz="0" w:space="0" w:color="auto"/>
      </w:divBdr>
    </w:div>
    <w:div w:id="745807517">
      <w:bodyDiv w:val="1"/>
      <w:marLeft w:val="0"/>
      <w:marRight w:val="0"/>
      <w:marTop w:val="0"/>
      <w:marBottom w:val="0"/>
      <w:divBdr>
        <w:top w:val="none" w:sz="0" w:space="0" w:color="auto"/>
        <w:left w:val="none" w:sz="0" w:space="0" w:color="auto"/>
        <w:bottom w:val="none" w:sz="0" w:space="0" w:color="auto"/>
        <w:right w:val="none" w:sz="0" w:space="0" w:color="auto"/>
      </w:divBdr>
    </w:div>
    <w:div w:id="884827352">
      <w:bodyDiv w:val="1"/>
      <w:marLeft w:val="0"/>
      <w:marRight w:val="0"/>
      <w:marTop w:val="0"/>
      <w:marBottom w:val="0"/>
      <w:divBdr>
        <w:top w:val="none" w:sz="0" w:space="0" w:color="auto"/>
        <w:left w:val="none" w:sz="0" w:space="0" w:color="auto"/>
        <w:bottom w:val="none" w:sz="0" w:space="0" w:color="auto"/>
        <w:right w:val="none" w:sz="0" w:space="0" w:color="auto"/>
      </w:divBdr>
    </w:div>
    <w:div w:id="968391037">
      <w:bodyDiv w:val="1"/>
      <w:marLeft w:val="0"/>
      <w:marRight w:val="0"/>
      <w:marTop w:val="0"/>
      <w:marBottom w:val="0"/>
      <w:divBdr>
        <w:top w:val="none" w:sz="0" w:space="0" w:color="auto"/>
        <w:left w:val="none" w:sz="0" w:space="0" w:color="auto"/>
        <w:bottom w:val="none" w:sz="0" w:space="0" w:color="auto"/>
        <w:right w:val="none" w:sz="0" w:space="0" w:color="auto"/>
      </w:divBdr>
    </w:div>
    <w:div w:id="1134756255">
      <w:bodyDiv w:val="1"/>
      <w:marLeft w:val="0"/>
      <w:marRight w:val="0"/>
      <w:marTop w:val="0"/>
      <w:marBottom w:val="0"/>
      <w:divBdr>
        <w:top w:val="none" w:sz="0" w:space="0" w:color="auto"/>
        <w:left w:val="none" w:sz="0" w:space="0" w:color="auto"/>
        <w:bottom w:val="none" w:sz="0" w:space="0" w:color="auto"/>
        <w:right w:val="none" w:sz="0" w:space="0" w:color="auto"/>
      </w:divBdr>
    </w:div>
    <w:div w:id="1293559260">
      <w:bodyDiv w:val="1"/>
      <w:marLeft w:val="0"/>
      <w:marRight w:val="0"/>
      <w:marTop w:val="0"/>
      <w:marBottom w:val="0"/>
      <w:divBdr>
        <w:top w:val="none" w:sz="0" w:space="0" w:color="auto"/>
        <w:left w:val="none" w:sz="0" w:space="0" w:color="auto"/>
        <w:bottom w:val="none" w:sz="0" w:space="0" w:color="auto"/>
        <w:right w:val="none" w:sz="0" w:space="0" w:color="auto"/>
      </w:divBdr>
    </w:div>
    <w:div w:id="1379352307">
      <w:bodyDiv w:val="1"/>
      <w:marLeft w:val="0"/>
      <w:marRight w:val="0"/>
      <w:marTop w:val="0"/>
      <w:marBottom w:val="0"/>
      <w:divBdr>
        <w:top w:val="none" w:sz="0" w:space="0" w:color="auto"/>
        <w:left w:val="none" w:sz="0" w:space="0" w:color="auto"/>
        <w:bottom w:val="none" w:sz="0" w:space="0" w:color="auto"/>
        <w:right w:val="none" w:sz="0" w:space="0" w:color="auto"/>
      </w:divBdr>
    </w:div>
    <w:div w:id="1785030828">
      <w:bodyDiv w:val="1"/>
      <w:marLeft w:val="0"/>
      <w:marRight w:val="0"/>
      <w:marTop w:val="0"/>
      <w:marBottom w:val="0"/>
      <w:divBdr>
        <w:top w:val="none" w:sz="0" w:space="0" w:color="auto"/>
        <w:left w:val="none" w:sz="0" w:space="0" w:color="auto"/>
        <w:bottom w:val="none" w:sz="0" w:space="0" w:color="auto"/>
        <w:right w:val="none" w:sz="0" w:space="0" w:color="auto"/>
      </w:divBdr>
    </w:div>
    <w:div w:id="1936744690">
      <w:bodyDiv w:val="1"/>
      <w:marLeft w:val="0"/>
      <w:marRight w:val="0"/>
      <w:marTop w:val="0"/>
      <w:marBottom w:val="0"/>
      <w:divBdr>
        <w:top w:val="none" w:sz="0" w:space="0" w:color="auto"/>
        <w:left w:val="none" w:sz="0" w:space="0" w:color="auto"/>
        <w:bottom w:val="none" w:sz="0" w:space="0" w:color="auto"/>
        <w:right w:val="none" w:sz="0" w:space="0" w:color="auto"/>
      </w:divBdr>
    </w:div>
    <w:div w:id="198037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2A0594CDBB700B2E0530A0001D4FA78" version="1.0.0">
  <systemFields>
    <field name="Objective-Id">
      <value order="0">A2765886</value>
    </field>
    <field name="Objective-Title">
      <value order="0">Queensland Class 2 Performance Based Standards A-Double 8 Oct 18</value>
    </field>
    <field name="Objective-Description">
      <value order="0"/>
    </field>
    <field name="Objective-CreationStamp">
      <value order="0">2018-10-08T06:33:55Z</value>
    </field>
    <field name="Objective-IsApproved">
      <value order="0">false</value>
    </field>
    <field name="Objective-IsPublished">
      <value order="0">false</value>
    </field>
    <field name="Objective-DatePublished">
      <value order="0"/>
    </field>
    <field name="Objective-ModificationStamp">
      <value order="0">2018-10-08T06:39:48Z</value>
    </field>
    <field name="Objective-Owner">
      <value order="0">Andrew Rankine</value>
    </field>
    <field name="Objective-Path">
      <value order="0">Objective Global Folder:NEW CREWS File Plan:Port Services - MSIC, BMT &amp; Transport Operations:Road, Carrier and Terminal Operations:National Heavy Vehicle Regulator:NHVR - Notices and use of IAP:10 A double Notice</value>
    </field>
    <field name="Objective-Parent">
      <value order="0">10 A double Notice</value>
    </field>
    <field name="Objective-State">
      <value order="0">Being Drafted</value>
    </field>
    <field name="Objective-VersionId">
      <value order="0">vA3440415</value>
    </field>
    <field name="Objective-Version">
      <value order="0">0.2</value>
    </field>
    <field name="Objective-VersionNumber">
      <value order="0">2</value>
    </field>
    <field name="Objective-VersionComment">
      <value order="0"/>
    </field>
    <field name="Objective-FileNumber">
      <value order="0">qA82513</value>
    </field>
    <field name="Objective-Classification">
      <value order="0"/>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2A0594CDBB700B2E0530A0001D4FA78"/>
  </ds:schemaRefs>
</ds:datastoreItem>
</file>

<file path=customXml/itemProps2.xml><?xml version="1.0" encoding="utf-8"?>
<ds:datastoreItem xmlns:ds="http://schemas.openxmlformats.org/officeDocument/2006/customXml" ds:itemID="{EED33BB1-2A13-4AAE-94E0-59BF4FBC8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National Heavy Vehicle Regulator</Company>
  <LinksUpToDate>false</LinksUpToDate>
  <CharactersWithSpaces>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Clare</dc:creator>
  <cp:lastModifiedBy>Robert Crapnell</cp:lastModifiedBy>
  <cp:revision>7</cp:revision>
  <cp:lastPrinted>2019-01-22T23:23:00Z</cp:lastPrinted>
  <dcterms:created xsi:type="dcterms:W3CDTF">2019-01-22T21:39:00Z</dcterms:created>
  <dcterms:modified xsi:type="dcterms:W3CDTF">2019-01-25T01:26:00Z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A2765886</vt:lpwstr>
  </property>
  <property fmtid="{D5CDD505-2E9C-101B-9397-08002B2CF9AE}" pid="4" name="Objective-Title">
    <vt:lpwstr>Queensland Class 2 Performance Based Standards A-Double 8 Oct 18</vt:lpwstr>
  </property>
  <property fmtid="{D5CDD505-2E9C-101B-9397-08002B2CF9AE}" pid="5" name="Objective-Comment">
    <vt:lpwstr/>
  </property>
  <property fmtid="{D5CDD505-2E9C-101B-9397-08002B2CF9AE}" pid="6" name="Objective-CreationStamp">
    <vt:filetime>2018-10-08T06:32:24Z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2018-10-08T06:39:48Z</vt:filetime>
  </property>
  <property fmtid="{D5CDD505-2E9C-101B-9397-08002B2CF9AE}" pid="11" name="Objective-Owner">
    <vt:lpwstr>Andrew Rankine</vt:lpwstr>
  </property>
  <property fmtid="{D5CDD505-2E9C-101B-9397-08002B2CF9AE}" pid="12" name="Objective-Path">
    <vt:lpwstr>Objective Global Folder:NEW CREWS File Plan:Port Services - MSIC, BMT &amp; Transport Operations:Road, Carrier and Terminal Operations:National Heavy Vehicle Regulator:NHVR - Notices and use of IAP:10 A double Notice:</vt:lpwstr>
  </property>
  <property fmtid="{D5CDD505-2E9C-101B-9397-08002B2CF9AE}" pid="13" name="Objective-Parent">
    <vt:lpwstr>10 A double Notice</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Connect Creator [system]">
    <vt:lpwstr/>
  </property>
  <property fmtid="{D5CDD505-2E9C-101B-9397-08002B2CF9AE}" pid="22" name="Objective-Dissemination Limiting Marker (DLM) [system]">
    <vt:lpwstr/>
  </property>
  <property fmtid="{D5CDD505-2E9C-101B-9397-08002B2CF9AE}" pid="23" name="Objective-Description">
    <vt:lpwstr/>
  </property>
  <property fmtid="{D5CDD505-2E9C-101B-9397-08002B2CF9AE}" pid="24" name="Objective-VersionId">
    <vt:lpwstr>vA3440415</vt:lpwstr>
  </property>
</Properties>
</file>