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0CCB" w14:textId="7CB8A078" w:rsidR="004B2753" w:rsidRDefault="004B2753" w:rsidP="00424B97"/>
    <w:p w14:paraId="51F11055" w14:textId="0D51F96E" w:rsidR="00B4189E" w:rsidRDefault="00B4189E" w:rsidP="00424B97">
      <w:r>
        <w:rPr>
          <w:noProof/>
          <w:lang w:eastAsia="en-AU"/>
        </w:rPr>
        <w:drawing>
          <wp:inline distT="0" distB="0" distL="0" distR="0" wp14:anchorId="27BE80F8" wp14:editId="52666D14">
            <wp:extent cx="1503328" cy="1105200"/>
            <wp:effectExtent l="0" t="0" r="1905"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CDA965A" w14:textId="0EDF74C4" w:rsidR="00B4189E" w:rsidRDefault="00B4189E" w:rsidP="00424B97"/>
    <w:p w14:paraId="01A50153" w14:textId="77777777" w:rsidR="00B4189E" w:rsidRPr="00B4189E" w:rsidRDefault="00B4189E" w:rsidP="00B4189E">
      <w:pPr>
        <w:spacing w:after="0" w:line="240" w:lineRule="auto"/>
        <w:rPr>
          <w:rFonts w:ascii="Times New Roman" w:eastAsia="Times New Roman" w:hAnsi="Times New Roman" w:cs="Times New Roman"/>
          <w:b/>
          <w:sz w:val="40"/>
          <w:szCs w:val="20"/>
          <w:lang w:eastAsia="en-AU"/>
        </w:rPr>
      </w:pPr>
      <w:r w:rsidRPr="00B4189E">
        <w:rPr>
          <w:rFonts w:ascii="Times New Roman" w:eastAsia="Times New Roman" w:hAnsi="Times New Roman" w:cs="Times New Roman"/>
          <w:b/>
          <w:i/>
          <w:sz w:val="40"/>
          <w:szCs w:val="20"/>
          <w:lang w:eastAsia="en-AU"/>
        </w:rPr>
        <w:t>Export Finance and Insurance Corporation Act 1991</w:t>
      </w:r>
      <w:r w:rsidRPr="00B4189E">
        <w:rPr>
          <w:rFonts w:ascii="Times New Roman" w:eastAsia="Times New Roman" w:hAnsi="Times New Roman" w:cs="Times New Roman"/>
          <w:b/>
          <w:sz w:val="40"/>
          <w:szCs w:val="20"/>
          <w:lang w:eastAsia="en-AU"/>
        </w:rPr>
        <w:t xml:space="preserve"> – Declaration of Approved Causes of Loss 2019</w:t>
      </w:r>
    </w:p>
    <w:p w14:paraId="32307850" w14:textId="77777777" w:rsidR="00B4189E" w:rsidRPr="00B4189E" w:rsidRDefault="00B4189E" w:rsidP="00B4189E">
      <w:pPr>
        <w:pBdr>
          <w:top w:val="single" w:sz="4" w:space="1" w:color="auto"/>
        </w:pBdr>
        <w:spacing w:before="240" w:after="0" w:line="260" w:lineRule="atLeast"/>
        <w:ind w:right="91"/>
        <w:jc w:val="both"/>
        <w:rPr>
          <w:rFonts w:ascii="Times New Roman" w:eastAsia="Times New Roman" w:hAnsi="Times New Roman" w:cs="Times New Roman"/>
          <w:lang w:eastAsia="en-AU"/>
        </w:rPr>
      </w:pPr>
      <w:r w:rsidRPr="00B4189E">
        <w:rPr>
          <w:rFonts w:ascii="Times New Roman" w:eastAsia="Times New Roman" w:hAnsi="Times New Roman" w:cs="Times New Roman"/>
          <w:lang w:eastAsia="en-AU"/>
        </w:rPr>
        <w:t>The Export Finance and Insurance Corporation makes the following declaration.</w:t>
      </w:r>
    </w:p>
    <w:p w14:paraId="08846085" w14:textId="77777777" w:rsidR="00B4189E" w:rsidRPr="00B4189E" w:rsidRDefault="00B4189E" w:rsidP="00B4189E">
      <w:pPr>
        <w:keepNext/>
        <w:spacing w:before="300" w:after="0" w:line="240" w:lineRule="atLeast"/>
        <w:ind w:right="397"/>
        <w:jc w:val="both"/>
        <w:rPr>
          <w:rFonts w:ascii="Times New Roman" w:eastAsia="Calibri" w:hAnsi="Times New Roman" w:cs="Times New Roman"/>
        </w:rPr>
      </w:pPr>
      <w:r w:rsidRPr="00B4189E">
        <w:rPr>
          <w:rFonts w:ascii="Times New Roman" w:eastAsia="Calibri" w:hAnsi="Times New Roman" w:cs="Times New Roman"/>
        </w:rPr>
        <w:t>Dated 27 February 2019</w:t>
      </w:r>
      <w:r w:rsidRPr="00B4189E">
        <w:rPr>
          <w:rFonts w:ascii="Times New Roman" w:eastAsia="Calibri" w:hAnsi="Times New Roman" w:cs="Times New Roman"/>
        </w:rPr>
        <w:tab/>
      </w:r>
    </w:p>
    <w:p w14:paraId="597789EC" w14:textId="77777777" w:rsidR="00B4189E" w:rsidRPr="00B4189E" w:rsidRDefault="00B4189E" w:rsidP="00B4189E">
      <w:pPr>
        <w:keepNext/>
        <w:spacing w:before="300" w:after="0" w:line="240" w:lineRule="atLeast"/>
        <w:ind w:right="397"/>
        <w:jc w:val="both"/>
        <w:rPr>
          <w:rFonts w:ascii="Times New Roman" w:eastAsia="Calibri" w:hAnsi="Times New Roman" w:cs="Times New Roman"/>
        </w:rPr>
      </w:pPr>
    </w:p>
    <w:p w14:paraId="59F2FC63" w14:textId="77777777" w:rsidR="00B4189E" w:rsidRPr="00B4189E" w:rsidRDefault="00B4189E" w:rsidP="00B4189E">
      <w:pPr>
        <w:keepNext/>
        <w:spacing w:before="300" w:after="0" w:line="240" w:lineRule="atLeast"/>
        <w:ind w:right="397"/>
        <w:jc w:val="both"/>
        <w:rPr>
          <w:rFonts w:ascii="Times New Roman" w:eastAsia="Calibri" w:hAnsi="Times New Roman" w:cs="Times New Roman"/>
        </w:rPr>
      </w:pPr>
    </w:p>
    <w:p w14:paraId="59C9356F" w14:textId="77777777" w:rsidR="00B4189E" w:rsidRPr="00B4189E" w:rsidRDefault="00B4189E" w:rsidP="00B4189E">
      <w:pPr>
        <w:keepNext/>
        <w:spacing w:before="300" w:after="0" w:line="240" w:lineRule="atLeast"/>
        <w:ind w:right="397"/>
        <w:jc w:val="both"/>
        <w:rPr>
          <w:rFonts w:ascii="Times New Roman" w:eastAsia="Calibri" w:hAnsi="Times New Roman" w:cs="Times New Roman"/>
        </w:rPr>
      </w:pPr>
    </w:p>
    <w:p w14:paraId="1713CA81" w14:textId="77777777" w:rsidR="00B4189E" w:rsidRPr="00B4189E" w:rsidRDefault="00B4189E" w:rsidP="00B4189E">
      <w:pPr>
        <w:keepNext/>
        <w:spacing w:before="300" w:after="0" w:line="240" w:lineRule="atLeast"/>
        <w:ind w:right="397"/>
        <w:jc w:val="both"/>
        <w:rPr>
          <w:rFonts w:ascii="Times New Roman" w:eastAsia="Calibri" w:hAnsi="Times New Roman" w:cs="Times New Roman"/>
        </w:rPr>
      </w:pPr>
    </w:p>
    <w:p w14:paraId="6D4C6EE8" w14:textId="77777777" w:rsidR="00B4189E" w:rsidRPr="00B4189E" w:rsidRDefault="00B4189E" w:rsidP="00B4189E">
      <w:pPr>
        <w:keepNext/>
        <w:pBdr>
          <w:bottom w:val="single" w:sz="4" w:space="12" w:color="auto"/>
        </w:pBdr>
        <w:tabs>
          <w:tab w:val="left" w:pos="3402"/>
        </w:tabs>
        <w:spacing w:after="0" w:line="300" w:lineRule="atLeast"/>
        <w:ind w:right="91"/>
        <w:jc w:val="right"/>
        <w:rPr>
          <w:rFonts w:ascii="Times New Roman" w:eastAsia="Times New Roman" w:hAnsi="Times New Roman" w:cs="Times New Roman"/>
          <w:szCs w:val="20"/>
          <w:lang w:eastAsia="en-AU"/>
        </w:rPr>
      </w:pPr>
    </w:p>
    <w:tbl>
      <w:tblPr>
        <w:tblW w:w="8746" w:type="dxa"/>
        <w:jc w:val="center"/>
        <w:tblLayout w:type="fixed"/>
        <w:tblCellMar>
          <w:left w:w="107" w:type="dxa"/>
          <w:right w:w="107" w:type="dxa"/>
        </w:tblCellMar>
        <w:tblLook w:val="0000" w:firstRow="0" w:lastRow="0" w:firstColumn="0" w:lastColumn="0" w:noHBand="0" w:noVBand="0"/>
      </w:tblPr>
      <w:tblGrid>
        <w:gridCol w:w="4182"/>
        <w:gridCol w:w="326"/>
        <w:gridCol w:w="4238"/>
      </w:tblGrid>
      <w:tr w:rsidR="00B4189E" w:rsidRPr="00B4189E" w14:paraId="73FE4F14" w14:textId="77777777" w:rsidTr="004B641E">
        <w:trPr>
          <w:cantSplit/>
          <w:jc w:val="center"/>
        </w:trPr>
        <w:tc>
          <w:tcPr>
            <w:tcW w:w="4182" w:type="dxa"/>
            <w:tcBorders>
              <w:bottom w:val="single" w:sz="4" w:space="0" w:color="8D826A"/>
            </w:tcBorders>
            <w:tcMar>
              <w:bottom w:w="567" w:type="dxa"/>
            </w:tcMar>
          </w:tcPr>
          <w:p w14:paraId="2847B564" w14:textId="77777777" w:rsidR="00B4189E" w:rsidRPr="00B4189E" w:rsidRDefault="00B4189E" w:rsidP="00B4189E">
            <w:pPr>
              <w:spacing w:after="0" w:line="260" w:lineRule="atLeast"/>
              <w:ind w:left="179"/>
              <w:rPr>
                <w:rFonts w:ascii="Times New Roman" w:eastAsia="Calibri" w:hAnsi="Times New Roman" w:cs="Times New Roman"/>
                <w:szCs w:val="20"/>
                <w:lang w:eastAsia="en-AU"/>
              </w:rPr>
            </w:pPr>
            <w:r w:rsidRPr="00B4189E">
              <w:rPr>
                <w:rFonts w:ascii="Times New Roman" w:eastAsia="Calibri" w:hAnsi="Times New Roman" w:cs="Times New Roman"/>
                <w:b/>
                <w:szCs w:val="20"/>
                <w:lang w:eastAsia="en-AU"/>
              </w:rPr>
              <w:t xml:space="preserve">EXPORT FINANCE AND INSURANCE CORPORATION </w:t>
            </w:r>
            <w:r w:rsidRPr="00B4189E">
              <w:rPr>
                <w:rFonts w:ascii="Times New Roman" w:eastAsia="Calibri" w:hAnsi="Times New Roman" w:cs="Times New Roman"/>
                <w:szCs w:val="20"/>
                <w:lang w:eastAsia="en-AU"/>
              </w:rPr>
              <w:t xml:space="preserve">has sealed this declaration in accordance with section 6(3) of the </w:t>
            </w:r>
            <w:r w:rsidRPr="00B4189E">
              <w:rPr>
                <w:rFonts w:ascii="Times New Roman" w:eastAsia="Calibri" w:hAnsi="Times New Roman" w:cs="Times New Roman"/>
                <w:i/>
                <w:szCs w:val="20"/>
                <w:lang w:eastAsia="en-AU"/>
              </w:rPr>
              <w:t>Export</w:t>
            </w:r>
            <w:r w:rsidRPr="00B4189E">
              <w:rPr>
                <w:rFonts w:ascii="Times New Roman" w:eastAsia="Calibri" w:hAnsi="Times New Roman" w:cs="Times New Roman"/>
                <w:szCs w:val="20"/>
                <w:lang w:eastAsia="en-AU"/>
              </w:rPr>
              <w:t xml:space="preserve"> </w:t>
            </w:r>
            <w:r w:rsidRPr="00B4189E">
              <w:rPr>
                <w:rFonts w:ascii="Times New Roman" w:eastAsia="Calibri" w:hAnsi="Times New Roman" w:cs="Times New Roman"/>
                <w:i/>
                <w:szCs w:val="20"/>
                <w:lang w:eastAsia="en-AU"/>
              </w:rPr>
              <w:t>Finance and Insurance Corporation Act 1991</w:t>
            </w:r>
          </w:p>
          <w:p w14:paraId="62068196"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2EA6438A" w14:textId="77777777" w:rsidR="00B4189E" w:rsidRPr="00B4189E" w:rsidRDefault="00B4189E" w:rsidP="00B4189E">
            <w:pPr>
              <w:spacing w:after="0" w:line="260" w:lineRule="atLeast"/>
              <w:rPr>
                <w:rFonts w:ascii="Times New Roman" w:eastAsia="Calibri" w:hAnsi="Times New Roman" w:cs="Times New Roman"/>
                <w:szCs w:val="20"/>
                <w:lang w:eastAsia="en-AU"/>
              </w:rPr>
            </w:pPr>
          </w:p>
        </w:tc>
        <w:tc>
          <w:tcPr>
            <w:tcW w:w="326" w:type="dxa"/>
            <w:tcMar>
              <w:bottom w:w="567" w:type="dxa"/>
            </w:tcMar>
          </w:tcPr>
          <w:p w14:paraId="3B79DC20" w14:textId="77777777" w:rsidR="00B4189E" w:rsidRPr="00B4189E" w:rsidRDefault="00B4189E" w:rsidP="00B4189E">
            <w:pPr>
              <w:spacing w:after="0" w:line="260" w:lineRule="atLeast"/>
              <w:rPr>
                <w:rFonts w:ascii="Times New Roman" w:eastAsia="Calibri" w:hAnsi="Times New Roman" w:cs="Times New Roman"/>
                <w:szCs w:val="20"/>
                <w:lang w:eastAsia="en-AU"/>
              </w:rPr>
            </w:pPr>
          </w:p>
        </w:tc>
        <w:tc>
          <w:tcPr>
            <w:tcW w:w="4238" w:type="dxa"/>
            <w:tcBorders>
              <w:bottom w:val="single" w:sz="4" w:space="0" w:color="8D826A"/>
            </w:tcBorders>
            <w:tcMar>
              <w:bottom w:w="567" w:type="dxa"/>
            </w:tcMar>
          </w:tcPr>
          <w:p w14:paraId="4CFE8D0B"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5C75BB88"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2BA836C3"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6F498EF5" w14:textId="77777777" w:rsidR="00B4189E" w:rsidRPr="00B4189E" w:rsidRDefault="00B4189E" w:rsidP="00B4189E">
            <w:pPr>
              <w:spacing w:after="0" w:line="260" w:lineRule="atLeast"/>
              <w:rPr>
                <w:rFonts w:ascii="Times New Roman" w:eastAsia="Calibri" w:hAnsi="Times New Roman" w:cs="Times New Roman"/>
                <w:szCs w:val="20"/>
                <w:lang w:eastAsia="en-AU"/>
              </w:rPr>
            </w:pPr>
          </w:p>
        </w:tc>
      </w:tr>
      <w:tr w:rsidR="00B4189E" w:rsidRPr="00B4189E" w14:paraId="0D569E9D" w14:textId="77777777" w:rsidTr="004B641E">
        <w:trPr>
          <w:cantSplit/>
          <w:trHeight w:val="567"/>
          <w:jc w:val="center"/>
        </w:trPr>
        <w:tc>
          <w:tcPr>
            <w:tcW w:w="4182" w:type="dxa"/>
            <w:tcBorders>
              <w:top w:val="single" w:sz="4" w:space="0" w:color="8D826A"/>
            </w:tcBorders>
            <w:tcMar>
              <w:bottom w:w="0" w:type="dxa"/>
            </w:tcMar>
            <w:vAlign w:val="bottom"/>
          </w:tcPr>
          <w:p w14:paraId="7E2C98B0" w14:textId="77777777" w:rsidR="00B4189E" w:rsidRPr="00B4189E" w:rsidRDefault="00B4189E" w:rsidP="00B4189E">
            <w:pPr>
              <w:spacing w:after="0" w:line="260" w:lineRule="atLeast"/>
              <w:ind w:left="177"/>
              <w:rPr>
                <w:rFonts w:ascii="Times New Roman" w:eastAsia="Calibri" w:hAnsi="Times New Roman" w:cs="Times New Roman"/>
                <w:szCs w:val="20"/>
                <w:lang w:eastAsia="en-AU"/>
              </w:rPr>
            </w:pPr>
            <w:r w:rsidRPr="00B4189E">
              <w:rPr>
                <w:rFonts w:ascii="Times New Roman" w:eastAsia="Calibri" w:hAnsi="Times New Roman" w:cs="Times New Roman"/>
                <w:szCs w:val="20"/>
                <w:lang w:eastAsia="en-AU"/>
              </w:rPr>
              <w:t>Signature</w:t>
            </w:r>
          </w:p>
          <w:p w14:paraId="0FEAA3D5" w14:textId="77777777" w:rsidR="00B4189E" w:rsidRPr="00B4189E" w:rsidRDefault="00B4189E" w:rsidP="00B4189E">
            <w:pPr>
              <w:spacing w:after="0" w:line="260" w:lineRule="atLeast"/>
              <w:ind w:left="177"/>
              <w:rPr>
                <w:rFonts w:ascii="Times New Roman" w:eastAsia="Calibri" w:hAnsi="Times New Roman" w:cs="Times New Roman"/>
                <w:szCs w:val="20"/>
                <w:lang w:eastAsia="en-AU"/>
              </w:rPr>
            </w:pPr>
          </w:p>
          <w:p w14:paraId="379BDAA7" w14:textId="77777777" w:rsidR="00B4189E" w:rsidRPr="00B4189E" w:rsidRDefault="00B4189E" w:rsidP="00B4189E">
            <w:pPr>
              <w:spacing w:after="0" w:line="260" w:lineRule="atLeast"/>
              <w:ind w:left="177"/>
              <w:rPr>
                <w:rFonts w:ascii="Times New Roman" w:eastAsia="Calibri" w:hAnsi="Times New Roman" w:cs="Times New Roman"/>
                <w:szCs w:val="20"/>
                <w:lang w:eastAsia="en-AU"/>
              </w:rPr>
            </w:pPr>
          </w:p>
          <w:p w14:paraId="711FFBF3" w14:textId="77777777" w:rsidR="00B4189E" w:rsidRPr="00B4189E" w:rsidRDefault="00B4189E" w:rsidP="00B4189E">
            <w:pPr>
              <w:spacing w:after="0" w:line="260" w:lineRule="atLeast"/>
              <w:ind w:left="177"/>
              <w:rPr>
                <w:rFonts w:ascii="Times New Roman" w:eastAsia="Calibri" w:hAnsi="Times New Roman" w:cs="Times New Roman"/>
                <w:b/>
                <w:szCs w:val="20"/>
                <w:lang w:eastAsia="en-AU"/>
              </w:rPr>
            </w:pPr>
            <w:r w:rsidRPr="00B4189E">
              <w:rPr>
                <w:rFonts w:ascii="Times New Roman" w:eastAsia="Calibri" w:hAnsi="Times New Roman" w:cs="Times New Roman"/>
                <w:b/>
                <w:szCs w:val="20"/>
                <w:lang w:eastAsia="en-AU"/>
              </w:rPr>
              <w:t>Jowa Chan, Counsel</w:t>
            </w:r>
          </w:p>
        </w:tc>
        <w:tc>
          <w:tcPr>
            <w:tcW w:w="326" w:type="dxa"/>
            <w:tcMar>
              <w:bottom w:w="0" w:type="dxa"/>
            </w:tcMar>
          </w:tcPr>
          <w:p w14:paraId="73119DD3" w14:textId="77777777" w:rsidR="00B4189E" w:rsidRPr="00B4189E" w:rsidRDefault="00B4189E" w:rsidP="00B4189E">
            <w:pPr>
              <w:spacing w:after="0" w:line="260" w:lineRule="atLeast"/>
              <w:rPr>
                <w:rFonts w:ascii="Times New Roman" w:eastAsia="Calibri" w:hAnsi="Times New Roman" w:cs="Times New Roman"/>
                <w:szCs w:val="20"/>
                <w:lang w:eastAsia="en-AU"/>
              </w:rPr>
            </w:pPr>
          </w:p>
        </w:tc>
        <w:tc>
          <w:tcPr>
            <w:tcW w:w="4238" w:type="dxa"/>
            <w:tcBorders>
              <w:top w:val="single" w:sz="4" w:space="0" w:color="8D826A"/>
            </w:tcBorders>
            <w:tcMar>
              <w:bottom w:w="0" w:type="dxa"/>
            </w:tcMar>
            <w:vAlign w:val="bottom"/>
          </w:tcPr>
          <w:p w14:paraId="05E08DEF" w14:textId="77777777" w:rsidR="00B4189E" w:rsidRPr="00B4189E" w:rsidRDefault="00B4189E" w:rsidP="00B4189E">
            <w:pPr>
              <w:spacing w:after="0" w:line="260" w:lineRule="atLeast"/>
              <w:rPr>
                <w:rFonts w:ascii="Times New Roman" w:eastAsia="Calibri" w:hAnsi="Times New Roman" w:cs="Times New Roman"/>
                <w:szCs w:val="20"/>
                <w:lang w:eastAsia="en-AU"/>
              </w:rPr>
            </w:pPr>
            <w:r w:rsidRPr="00B4189E">
              <w:rPr>
                <w:rFonts w:ascii="Times New Roman" w:eastAsia="Calibri" w:hAnsi="Times New Roman" w:cs="Times New Roman"/>
                <w:szCs w:val="20"/>
                <w:lang w:eastAsia="en-AU"/>
              </w:rPr>
              <w:t>Signature</w:t>
            </w:r>
          </w:p>
          <w:p w14:paraId="12B1BB0E"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4761C886" w14:textId="77777777" w:rsidR="00B4189E" w:rsidRPr="00B4189E" w:rsidRDefault="00B4189E" w:rsidP="00B4189E">
            <w:pPr>
              <w:spacing w:after="0" w:line="260" w:lineRule="atLeast"/>
              <w:rPr>
                <w:rFonts w:ascii="Times New Roman" w:eastAsia="Calibri" w:hAnsi="Times New Roman" w:cs="Times New Roman"/>
                <w:b/>
                <w:szCs w:val="20"/>
                <w:lang w:eastAsia="en-AU"/>
              </w:rPr>
            </w:pPr>
            <w:r w:rsidRPr="00B4189E">
              <w:rPr>
                <w:rFonts w:ascii="Times New Roman" w:eastAsia="Calibri" w:hAnsi="Times New Roman" w:cs="Times New Roman"/>
                <w:b/>
                <w:szCs w:val="20"/>
                <w:lang w:eastAsia="en-AU"/>
              </w:rPr>
              <w:t>John Hopkins, Chief Operating Officer &amp; General Counsel</w:t>
            </w:r>
          </w:p>
        </w:tc>
      </w:tr>
      <w:tr w:rsidR="00B4189E" w:rsidRPr="00B4189E" w14:paraId="6F70BBC9" w14:textId="77777777" w:rsidTr="004B641E">
        <w:trPr>
          <w:cantSplit/>
          <w:trHeight w:val="567"/>
          <w:jc w:val="center"/>
        </w:trPr>
        <w:tc>
          <w:tcPr>
            <w:tcW w:w="4182" w:type="dxa"/>
            <w:tcBorders>
              <w:top w:val="single" w:sz="4" w:space="0" w:color="8D826A"/>
            </w:tcBorders>
            <w:tcMar>
              <w:bottom w:w="0" w:type="dxa"/>
            </w:tcMar>
          </w:tcPr>
          <w:p w14:paraId="4F0FB005" w14:textId="77777777" w:rsidR="00B4189E" w:rsidRPr="00B4189E" w:rsidRDefault="00B4189E" w:rsidP="00B4189E">
            <w:pPr>
              <w:spacing w:after="0" w:line="260" w:lineRule="atLeast"/>
              <w:ind w:left="177"/>
              <w:rPr>
                <w:rFonts w:ascii="Times New Roman" w:eastAsia="Calibri" w:hAnsi="Times New Roman" w:cs="Times New Roman"/>
                <w:szCs w:val="20"/>
                <w:lang w:eastAsia="en-AU"/>
              </w:rPr>
            </w:pPr>
            <w:r w:rsidRPr="00B4189E">
              <w:rPr>
                <w:rFonts w:ascii="Times New Roman" w:eastAsia="Calibri" w:hAnsi="Times New Roman" w:cs="Times New Roman"/>
                <w:szCs w:val="20"/>
                <w:lang w:eastAsia="en-AU"/>
              </w:rPr>
              <w:t>Print name and title</w:t>
            </w:r>
          </w:p>
          <w:p w14:paraId="27E0987E" w14:textId="77777777" w:rsidR="00B4189E" w:rsidRPr="00B4189E" w:rsidRDefault="00B4189E" w:rsidP="00B4189E">
            <w:pPr>
              <w:spacing w:after="0" w:line="260" w:lineRule="atLeast"/>
              <w:ind w:left="177"/>
              <w:rPr>
                <w:rFonts w:ascii="Times New Roman" w:eastAsia="Calibri" w:hAnsi="Times New Roman" w:cs="Times New Roman"/>
                <w:szCs w:val="20"/>
                <w:lang w:eastAsia="en-AU"/>
              </w:rPr>
            </w:pPr>
          </w:p>
        </w:tc>
        <w:tc>
          <w:tcPr>
            <w:tcW w:w="326" w:type="dxa"/>
            <w:tcMar>
              <w:bottom w:w="0" w:type="dxa"/>
            </w:tcMar>
          </w:tcPr>
          <w:p w14:paraId="6E46EA18" w14:textId="77777777" w:rsidR="00B4189E" w:rsidRPr="00B4189E" w:rsidRDefault="00B4189E" w:rsidP="00B4189E">
            <w:pPr>
              <w:spacing w:after="0" w:line="260" w:lineRule="atLeast"/>
              <w:rPr>
                <w:rFonts w:ascii="Times New Roman" w:eastAsia="Calibri" w:hAnsi="Times New Roman" w:cs="Times New Roman"/>
                <w:szCs w:val="20"/>
                <w:lang w:eastAsia="en-AU"/>
              </w:rPr>
            </w:pPr>
          </w:p>
        </w:tc>
        <w:tc>
          <w:tcPr>
            <w:tcW w:w="4238" w:type="dxa"/>
            <w:tcBorders>
              <w:top w:val="single" w:sz="4" w:space="0" w:color="8D826A"/>
            </w:tcBorders>
            <w:tcMar>
              <w:bottom w:w="0" w:type="dxa"/>
            </w:tcMar>
          </w:tcPr>
          <w:p w14:paraId="318F9022" w14:textId="77777777" w:rsidR="00B4189E" w:rsidRPr="00B4189E" w:rsidRDefault="00B4189E" w:rsidP="00B4189E">
            <w:pPr>
              <w:spacing w:after="0" w:line="260" w:lineRule="atLeast"/>
              <w:rPr>
                <w:rFonts w:ascii="Times New Roman" w:eastAsia="Calibri" w:hAnsi="Times New Roman" w:cs="Times New Roman"/>
                <w:szCs w:val="20"/>
                <w:lang w:eastAsia="en-AU"/>
              </w:rPr>
            </w:pPr>
            <w:r w:rsidRPr="00B4189E">
              <w:rPr>
                <w:rFonts w:ascii="Times New Roman" w:eastAsia="Calibri" w:hAnsi="Times New Roman" w:cs="Times New Roman"/>
                <w:szCs w:val="20"/>
                <w:lang w:eastAsia="en-AU"/>
              </w:rPr>
              <w:t>Print name and title</w:t>
            </w:r>
          </w:p>
          <w:p w14:paraId="6B99341A" w14:textId="77777777" w:rsidR="00B4189E" w:rsidRPr="00B4189E" w:rsidRDefault="00B4189E" w:rsidP="00B4189E">
            <w:pPr>
              <w:spacing w:after="0" w:line="260" w:lineRule="atLeast"/>
              <w:rPr>
                <w:rFonts w:ascii="Times New Roman" w:eastAsia="Calibri" w:hAnsi="Times New Roman" w:cs="Times New Roman"/>
                <w:szCs w:val="20"/>
                <w:lang w:eastAsia="en-AU"/>
              </w:rPr>
            </w:pPr>
          </w:p>
        </w:tc>
      </w:tr>
    </w:tbl>
    <w:p w14:paraId="52E0EF0D"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1A3FA842"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172699FC"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3EEE2041" w14:textId="77777777" w:rsidR="00B4189E" w:rsidRPr="00B4189E" w:rsidRDefault="00B4189E" w:rsidP="00B4189E">
      <w:pPr>
        <w:spacing w:after="0" w:line="260" w:lineRule="atLeast"/>
        <w:rPr>
          <w:rFonts w:ascii="Times New Roman" w:eastAsia="Calibri" w:hAnsi="Times New Roman" w:cs="Times New Roman"/>
          <w:szCs w:val="20"/>
          <w:lang w:eastAsia="en-AU"/>
        </w:rPr>
      </w:pPr>
    </w:p>
    <w:p w14:paraId="35A6BE77" w14:textId="77777777" w:rsidR="00B4189E" w:rsidRPr="00B4189E" w:rsidRDefault="00B4189E" w:rsidP="00B4189E">
      <w:pPr>
        <w:keepNext/>
        <w:keepLines/>
        <w:spacing w:before="280" w:after="0" w:line="240" w:lineRule="auto"/>
        <w:outlineLvl w:val="1"/>
        <w:rPr>
          <w:rFonts w:ascii="Times New Roman" w:eastAsia="Times New Roman" w:hAnsi="Times New Roman" w:cs="Times New Roman"/>
          <w:b/>
          <w:kern w:val="28"/>
          <w:sz w:val="32"/>
          <w:szCs w:val="20"/>
          <w:lang w:eastAsia="en-AU"/>
        </w:rPr>
      </w:pPr>
      <w:bookmarkStart w:id="0" w:name="_Toc503269157"/>
      <w:r w:rsidRPr="00B4189E">
        <w:rPr>
          <w:rFonts w:ascii="Times New Roman" w:eastAsia="Times New Roman" w:hAnsi="Times New Roman" w:cs="Times New Roman"/>
          <w:b/>
          <w:kern w:val="28"/>
          <w:sz w:val="32"/>
          <w:szCs w:val="20"/>
          <w:lang w:eastAsia="en-AU"/>
        </w:rPr>
        <w:lastRenderedPageBreak/>
        <w:t>Part 1 - Declaration</w:t>
      </w:r>
    </w:p>
    <w:p w14:paraId="58E5AF39"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B4189E">
        <w:rPr>
          <w:rFonts w:ascii="Times New Roman" w:eastAsia="Times New Roman" w:hAnsi="Times New Roman" w:cs="Times New Roman"/>
          <w:b/>
          <w:kern w:val="28"/>
          <w:sz w:val="24"/>
          <w:szCs w:val="20"/>
          <w:lang w:eastAsia="en-AU"/>
        </w:rPr>
        <w:t>1  Name</w:t>
      </w:r>
      <w:bookmarkEnd w:id="0"/>
    </w:p>
    <w:p w14:paraId="7E800F4B" w14:textId="77777777"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 xml:space="preserve">This instrument is the </w:t>
      </w:r>
      <w:bookmarkStart w:id="1" w:name="BKCheck15B_3"/>
      <w:bookmarkEnd w:id="1"/>
      <w:r w:rsidRPr="00B4189E">
        <w:rPr>
          <w:rFonts w:ascii="Times New Roman" w:eastAsia="Times New Roman" w:hAnsi="Times New Roman" w:cs="Times New Roman"/>
          <w:i/>
          <w:szCs w:val="20"/>
          <w:lang w:eastAsia="en-AU"/>
        </w:rPr>
        <w:t>Export Finance and Insurance Corporation Act 1991 – Declaration of Approved Causes of Loss 2019.</w:t>
      </w:r>
    </w:p>
    <w:p w14:paraId="11D7BE8A"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2" w:name="_Toc503269158"/>
      <w:r w:rsidRPr="00B4189E">
        <w:rPr>
          <w:rFonts w:ascii="Times New Roman" w:eastAsia="Times New Roman" w:hAnsi="Times New Roman" w:cs="Times New Roman"/>
          <w:b/>
          <w:kern w:val="28"/>
          <w:sz w:val="24"/>
          <w:szCs w:val="20"/>
          <w:lang w:eastAsia="en-AU"/>
        </w:rPr>
        <w:t>2  Commencement</w:t>
      </w:r>
      <w:bookmarkEnd w:id="2"/>
    </w:p>
    <w:p w14:paraId="1CB56537" w14:textId="77777777"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 xml:space="preserve">This instrument commences on the day after registration. </w:t>
      </w:r>
    </w:p>
    <w:p w14:paraId="75F8A17B"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3" w:name="_Toc503269159"/>
      <w:r w:rsidRPr="00B4189E">
        <w:rPr>
          <w:rFonts w:ascii="Times New Roman" w:eastAsia="Times New Roman" w:hAnsi="Times New Roman" w:cs="Times New Roman"/>
          <w:b/>
          <w:kern w:val="28"/>
          <w:sz w:val="24"/>
          <w:szCs w:val="20"/>
          <w:lang w:eastAsia="en-AU"/>
        </w:rPr>
        <w:t>3  Authority</w:t>
      </w:r>
      <w:bookmarkEnd w:id="3"/>
    </w:p>
    <w:p w14:paraId="5E57D5DB" w14:textId="77777777"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 xml:space="preserve">This instrument is made under subsection 21(1) of the </w:t>
      </w:r>
      <w:r w:rsidRPr="00B4189E">
        <w:rPr>
          <w:rFonts w:ascii="Times New Roman" w:eastAsia="Times New Roman" w:hAnsi="Times New Roman" w:cs="Times New Roman"/>
          <w:i/>
          <w:szCs w:val="20"/>
          <w:lang w:eastAsia="en-AU"/>
        </w:rPr>
        <w:t>Export Finance and Insurance Corporation Act 1991</w:t>
      </w:r>
      <w:r w:rsidRPr="00B4189E">
        <w:rPr>
          <w:rFonts w:ascii="Times New Roman" w:eastAsia="Times New Roman" w:hAnsi="Times New Roman" w:cs="Times New Roman"/>
          <w:szCs w:val="20"/>
          <w:lang w:eastAsia="en-AU"/>
        </w:rPr>
        <w:t>.</w:t>
      </w:r>
    </w:p>
    <w:p w14:paraId="6AB41B3B"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B4189E">
        <w:rPr>
          <w:rFonts w:ascii="Times New Roman" w:eastAsia="Times New Roman" w:hAnsi="Times New Roman" w:cs="Times New Roman"/>
          <w:b/>
          <w:kern w:val="28"/>
          <w:sz w:val="24"/>
          <w:szCs w:val="20"/>
          <w:lang w:eastAsia="en-AU"/>
        </w:rPr>
        <w:t>4 Schedules</w:t>
      </w:r>
    </w:p>
    <w:p w14:paraId="1A859D1F" w14:textId="77777777"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 xml:space="preserve">Each instrument that is specified in a Schedule to this instrument is amended or repealed as set out in the applicable items in that Schedule, and any other item in that Schedule has effect according to its terms. </w:t>
      </w:r>
    </w:p>
    <w:p w14:paraId="12E97D50"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4" w:name="_Toc503269160"/>
      <w:r w:rsidRPr="00B4189E">
        <w:rPr>
          <w:rFonts w:ascii="Times New Roman" w:eastAsia="Times New Roman" w:hAnsi="Times New Roman" w:cs="Times New Roman"/>
          <w:b/>
          <w:kern w:val="28"/>
          <w:sz w:val="24"/>
          <w:szCs w:val="20"/>
          <w:lang w:eastAsia="en-AU"/>
        </w:rPr>
        <w:t>5  Definitions</w:t>
      </w:r>
      <w:bookmarkEnd w:id="4"/>
    </w:p>
    <w:p w14:paraId="227931BE" w14:textId="77777777"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In this instrument:</w:t>
      </w:r>
    </w:p>
    <w:p w14:paraId="1E760B09" w14:textId="77777777" w:rsidR="00B4189E" w:rsidRPr="00B4189E" w:rsidRDefault="00B4189E" w:rsidP="00B4189E">
      <w:pPr>
        <w:spacing w:before="180" w:after="0" w:line="240" w:lineRule="auto"/>
        <w:ind w:left="1134"/>
        <w:rPr>
          <w:rFonts w:ascii="Times New Roman" w:eastAsia="Times New Roman" w:hAnsi="Times New Roman" w:cs="Times New Roman"/>
          <w:szCs w:val="20"/>
          <w:lang w:eastAsia="en-AU"/>
        </w:rPr>
      </w:pPr>
      <w:r w:rsidRPr="00B4189E">
        <w:rPr>
          <w:rFonts w:ascii="Times New Roman" w:eastAsia="Times New Roman" w:hAnsi="Times New Roman" w:cs="Times New Roman"/>
          <w:b/>
          <w:i/>
          <w:szCs w:val="20"/>
          <w:lang w:eastAsia="en-AU"/>
        </w:rPr>
        <w:t>Act</w:t>
      </w:r>
      <w:r w:rsidRPr="00B4189E">
        <w:rPr>
          <w:rFonts w:ascii="Times New Roman" w:eastAsia="Times New Roman" w:hAnsi="Times New Roman" w:cs="Times New Roman"/>
          <w:szCs w:val="20"/>
          <w:lang w:eastAsia="en-AU"/>
        </w:rPr>
        <w:t xml:space="preserve"> means the </w:t>
      </w:r>
      <w:r w:rsidRPr="00B4189E">
        <w:rPr>
          <w:rFonts w:ascii="Times New Roman" w:eastAsia="Times New Roman" w:hAnsi="Times New Roman" w:cs="Times New Roman"/>
          <w:i/>
          <w:szCs w:val="20"/>
          <w:lang w:eastAsia="en-AU"/>
        </w:rPr>
        <w:t>Export Finance and Insurance Corporation Act 1991</w:t>
      </w:r>
      <w:r w:rsidRPr="00B4189E">
        <w:rPr>
          <w:rFonts w:ascii="Times New Roman" w:eastAsia="Times New Roman" w:hAnsi="Times New Roman" w:cs="Times New Roman"/>
          <w:szCs w:val="20"/>
          <w:lang w:eastAsia="en-AU"/>
        </w:rPr>
        <w:t>.</w:t>
      </w:r>
    </w:p>
    <w:p w14:paraId="319216E9" w14:textId="77777777" w:rsidR="00B4189E" w:rsidRPr="00B4189E" w:rsidRDefault="00B4189E" w:rsidP="00B4189E">
      <w:pPr>
        <w:spacing w:before="180" w:after="0" w:line="240" w:lineRule="auto"/>
        <w:ind w:left="1134"/>
        <w:rPr>
          <w:rFonts w:ascii="Times New Roman" w:eastAsia="Times New Roman" w:hAnsi="Times New Roman" w:cs="Times New Roman"/>
          <w:szCs w:val="20"/>
          <w:lang w:eastAsia="en-AU"/>
        </w:rPr>
      </w:pPr>
      <w:r w:rsidRPr="00B4189E">
        <w:rPr>
          <w:rFonts w:ascii="Times New Roman" w:eastAsia="Times New Roman" w:hAnsi="Times New Roman" w:cs="Times New Roman"/>
          <w:b/>
          <w:i/>
          <w:szCs w:val="20"/>
          <w:lang w:eastAsia="en-AU"/>
        </w:rPr>
        <w:t xml:space="preserve">EFIC </w:t>
      </w:r>
      <w:r w:rsidRPr="00B4189E">
        <w:rPr>
          <w:rFonts w:ascii="Times New Roman" w:eastAsia="Times New Roman" w:hAnsi="Times New Roman" w:cs="Times New Roman"/>
          <w:szCs w:val="20"/>
          <w:lang w:eastAsia="en-AU"/>
        </w:rPr>
        <w:t xml:space="preserve">means the Export Finance and Insurance Corporation. </w:t>
      </w:r>
    </w:p>
    <w:p w14:paraId="4C85BCCA" w14:textId="77777777" w:rsidR="00B4189E" w:rsidRPr="00B4189E" w:rsidRDefault="00B4189E" w:rsidP="00B4189E">
      <w:pPr>
        <w:spacing w:before="180" w:after="0" w:line="240" w:lineRule="auto"/>
        <w:ind w:left="1134"/>
        <w:rPr>
          <w:rFonts w:ascii="Times New Roman" w:eastAsia="Times New Roman" w:hAnsi="Times New Roman" w:cs="Times New Roman"/>
          <w:szCs w:val="20"/>
          <w:lang w:eastAsia="en-AU"/>
        </w:rPr>
      </w:pPr>
      <w:r w:rsidRPr="00B4189E">
        <w:rPr>
          <w:rFonts w:ascii="Times New Roman" w:eastAsia="Times New Roman" w:hAnsi="Times New Roman" w:cs="Times New Roman"/>
          <w:b/>
          <w:i/>
          <w:szCs w:val="20"/>
          <w:lang w:eastAsia="en-AU"/>
        </w:rPr>
        <w:t xml:space="preserve">war-like operation </w:t>
      </w:r>
      <w:r w:rsidRPr="00B4189E">
        <w:rPr>
          <w:rFonts w:ascii="Times New Roman" w:eastAsia="Times New Roman" w:hAnsi="Times New Roman" w:cs="Times New Roman"/>
          <w:szCs w:val="20"/>
          <w:lang w:eastAsia="en-AU"/>
        </w:rPr>
        <w:t>includes any operation in the course of war (including civil war), terrorism, riot, civil commotion, revolution, insurrection, rebellion or any similar uprising.</w:t>
      </w:r>
    </w:p>
    <w:p w14:paraId="41A86A8C"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B4189E">
        <w:rPr>
          <w:rFonts w:ascii="Times New Roman" w:eastAsia="Times New Roman" w:hAnsi="Times New Roman" w:cs="Times New Roman"/>
          <w:b/>
          <w:kern w:val="28"/>
          <w:sz w:val="24"/>
          <w:szCs w:val="20"/>
          <w:lang w:eastAsia="en-AU"/>
        </w:rPr>
        <w:t>6  Approved causes of loss</w:t>
      </w:r>
    </w:p>
    <w:p w14:paraId="750C5C8A" w14:textId="77777777"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EFIC declares the following causes of loss to be approved causes of loss for the purposes of Part 4 of the Act:</w:t>
      </w:r>
    </w:p>
    <w:p w14:paraId="7647189C" w14:textId="77777777" w:rsidR="00B4189E" w:rsidRPr="00B4189E" w:rsidRDefault="00B4189E" w:rsidP="00B4189E">
      <w:pPr>
        <w:numPr>
          <w:ilvl w:val="0"/>
          <w:numId w:val="1"/>
        </w:numPr>
        <w:tabs>
          <w:tab w:val="right" w:pos="1021"/>
        </w:tabs>
        <w:spacing w:before="180" w:after="0" w:line="240" w:lineRule="auto"/>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 xml:space="preserve">expropriation or confiscation of property; </w:t>
      </w:r>
    </w:p>
    <w:p w14:paraId="208809E4" w14:textId="77777777" w:rsidR="00B4189E" w:rsidRPr="00B4189E" w:rsidRDefault="00B4189E" w:rsidP="00B4189E">
      <w:pPr>
        <w:numPr>
          <w:ilvl w:val="0"/>
          <w:numId w:val="1"/>
        </w:numPr>
        <w:tabs>
          <w:tab w:val="right" w:pos="1021"/>
        </w:tabs>
        <w:spacing w:before="180" w:after="0" w:line="240" w:lineRule="auto"/>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 xml:space="preserve">prevention or restriction of constructing, operating or dealing with property; </w:t>
      </w:r>
    </w:p>
    <w:p w14:paraId="1DF034FD" w14:textId="77777777" w:rsidR="00B4189E" w:rsidRPr="00B4189E" w:rsidRDefault="00B4189E" w:rsidP="00B4189E">
      <w:pPr>
        <w:numPr>
          <w:ilvl w:val="0"/>
          <w:numId w:val="1"/>
        </w:numPr>
        <w:tabs>
          <w:tab w:val="right" w:pos="1021"/>
        </w:tabs>
        <w:spacing w:before="180" w:after="0" w:line="240" w:lineRule="auto"/>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damage to, or loss of effective control over, property caused by a war-like operation;</w:t>
      </w:r>
    </w:p>
    <w:p w14:paraId="232D9A7D" w14:textId="77777777" w:rsidR="00B4189E" w:rsidRPr="00B4189E" w:rsidRDefault="00B4189E" w:rsidP="00B4189E">
      <w:pPr>
        <w:numPr>
          <w:ilvl w:val="0"/>
          <w:numId w:val="1"/>
        </w:numPr>
        <w:tabs>
          <w:tab w:val="right" w:pos="1021"/>
        </w:tabs>
        <w:spacing w:before="180" w:after="0" w:line="240" w:lineRule="auto"/>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 xml:space="preserve">inability to transfer money to another country or convert money to another currency; </w:t>
      </w:r>
    </w:p>
    <w:p w14:paraId="278C7950" w14:textId="77777777" w:rsidR="00B4189E" w:rsidRPr="00B4189E" w:rsidRDefault="00B4189E" w:rsidP="00B4189E">
      <w:pPr>
        <w:numPr>
          <w:ilvl w:val="0"/>
          <w:numId w:val="1"/>
        </w:numPr>
        <w:tabs>
          <w:tab w:val="right" w:pos="1021"/>
        </w:tabs>
        <w:spacing w:before="180" w:after="0" w:line="240" w:lineRule="auto"/>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 xml:space="preserve">breach of contractual obligations; </w:t>
      </w:r>
    </w:p>
    <w:p w14:paraId="5316CBFA" w14:textId="77777777" w:rsidR="00B4189E" w:rsidRPr="00B4189E" w:rsidRDefault="00B4189E" w:rsidP="00B4189E">
      <w:pPr>
        <w:numPr>
          <w:ilvl w:val="0"/>
          <w:numId w:val="1"/>
        </w:numPr>
        <w:tabs>
          <w:tab w:val="right" w:pos="1021"/>
        </w:tabs>
        <w:spacing w:before="180" w:after="0" w:line="240" w:lineRule="auto"/>
        <w:rPr>
          <w:rFonts w:ascii="Times New Roman" w:eastAsia="Times New Roman" w:hAnsi="Times New Roman" w:cs="Times New Roman"/>
          <w:szCs w:val="20"/>
          <w:lang w:eastAsia="en-AU"/>
        </w:rPr>
      </w:pPr>
      <w:r w:rsidRPr="00B4189E">
        <w:rPr>
          <w:rFonts w:ascii="Times New Roman" w:eastAsia="Times New Roman" w:hAnsi="Times New Roman" w:cs="Times New Roman"/>
          <w:szCs w:val="20"/>
          <w:lang w:eastAsia="en-AU"/>
        </w:rPr>
        <w:t>inability to perform a contract due to external causes.</w:t>
      </w:r>
    </w:p>
    <w:p w14:paraId="2C9C0E76" w14:textId="77777777" w:rsidR="00B4189E" w:rsidRPr="00B4189E" w:rsidRDefault="00B4189E" w:rsidP="00B4189E">
      <w:pPr>
        <w:keepNext/>
        <w:keepLines/>
        <w:spacing w:before="280" w:after="0" w:line="240" w:lineRule="auto"/>
        <w:outlineLvl w:val="1"/>
        <w:rPr>
          <w:rFonts w:ascii="Times New Roman" w:eastAsia="Times New Roman" w:hAnsi="Times New Roman" w:cs="Times New Roman"/>
          <w:b/>
          <w:kern w:val="28"/>
          <w:sz w:val="32"/>
          <w:szCs w:val="20"/>
          <w:lang w:eastAsia="en-AU"/>
        </w:rPr>
      </w:pPr>
    </w:p>
    <w:p w14:paraId="79E39A22" w14:textId="77777777" w:rsidR="00B4189E" w:rsidRPr="00B4189E" w:rsidRDefault="00B4189E" w:rsidP="00B4189E">
      <w:pPr>
        <w:keepNext/>
        <w:keepLines/>
        <w:spacing w:before="280" w:after="0" w:line="240" w:lineRule="auto"/>
        <w:outlineLvl w:val="1"/>
        <w:rPr>
          <w:rFonts w:ascii="Times New Roman" w:eastAsia="Times New Roman" w:hAnsi="Times New Roman" w:cs="Times New Roman"/>
          <w:b/>
          <w:kern w:val="28"/>
          <w:sz w:val="32"/>
          <w:szCs w:val="20"/>
          <w:lang w:eastAsia="en-AU"/>
        </w:rPr>
      </w:pPr>
      <w:r w:rsidRPr="00B4189E">
        <w:rPr>
          <w:rFonts w:ascii="Times New Roman" w:eastAsia="Times New Roman" w:hAnsi="Times New Roman" w:cs="Times New Roman"/>
          <w:b/>
          <w:kern w:val="28"/>
          <w:sz w:val="32"/>
          <w:szCs w:val="20"/>
          <w:lang w:eastAsia="en-AU"/>
        </w:rPr>
        <w:t xml:space="preserve">Schedule 1 – Repeal </w:t>
      </w:r>
    </w:p>
    <w:p w14:paraId="2B9CFF51" w14:textId="77777777" w:rsidR="00B4189E" w:rsidRPr="00B4189E" w:rsidRDefault="00B4189E" w:rsidP="00B4189E">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r w:rsidRPr="00B4189E">
        <w:rPr>
          <w:rFonts w:ascii="Times New Roman" w:eastAsia="Times New Roman" w:hAnsi="Times New Roman" w:cs="Times New Roman"/>
          <w:b/>
          <w:kern w:val="28"/>
          <w:sz w:val="24"/>
          <w:szCs w:val="20"/>
          <w:lang w:eastAsia="en-AU"/>
        </w:rPr>
        <w:t>1 Repeal of earlier Declaration</w:t>
      </w:r>
    </w:p>
    <w:p w14:paraId="3B16CBDA" w14:textId="5AC074C9" w:rsidR="00B4189E" w:rsidRPr="00B4189E" w:rsidRDefault="00B4189E" w:rsidP="00B4189E">
      <w:pPr>
        <w:tabs>
          <w:tab w:val="right" w:pos="1021"/>
        </w:tabs>
        <w:spacing w:before="180" w:after="0" w:line="240" w:lineRule="auto"/>
        <w:ind w:left="1134" w:hanging="1134"/>
        <w:rPr>
          <w:rFonts w:ascii="Times New Roman" w:eastAsia="Times New Roman" w:hAnsi="Times New Roman" w:cs="Times New Roman"/>
          <w:b/>
          <w:kern w:val="28"/>
          <w:sz w:val="32"/>
          <w:szCs w:val="20"/>
          <w:lang w:eastAsia="en-AU"/>
        </w:rPr>
      </w:pPr>
      <w:r w:rsidRPr="00B4189E">
        <w:rPr>
          <w:rFonts w:ascii="Times New Roman" w:eastAsia="Times New Roman" w:hAnsi="Times New Roman" w:cs="Times New Roman"/>
          <w:szCs w:val="20"/>
          <w:lang w:eastAsia="en-AU"/>
        </w:rPr>
        <w:tab/>
      </w:r>
      <w:r w:rsidRPr="00B4189E">
        <w:rPr>
          <w:rFonts w:ascii="Times New Roman" w:eastAsia="Times New Roman" w:hAnsi="Times New Roman" w:cs="Times New Roman"/>
          <w:szCs w:val="20"/>
          <w:lang w:eastAsia="en-AU"/>
        </w:rPr>
        <w:tab/>
        <w:t>The</w:t>
      </w:r>
      <w:r w:rsidRPr="00B4189E">
        <w:rPr>
          <w:rFonts w:ascii="Times New Roman" w:eastAsia="Times New Roman" w:hAnsi="Times New Roman" w:cs="Times New Roman"/>
          <w:i/>
          <w:szCs w:val="20"/>
          <w:lang w:eastAsia="en-AU"/>
        </w:rPr>
        <w:t xml:space="preserve"> Export Finance and Insurance Corporation Act 1991 – Declaration of Approved Causes of Loss</w:t>
      </w:r>
      <w:r w:rsidRPr="00B4189E">
        <w:rPr>
          <w:rFonts w:ascii="Times New Roman" w:eastAsia="Times New Roman" w:hAnsi="Times New Roman" w:cs="Times New Roman"/>
          <w:szCs w:val="20"/>
          <w:lang w:eastAsia="en-AU"/>
        </w:rPr>
        <w:t xml:space="preserve">, dated 3 September 2004, is repealed. </w:t>
      </w:r>
      <w:bookmarkStart w:id="5" w:name="_GoBack"/>
      <w:bookmarkEnd w:id="5"/>
    </w:p>
    <w:p w14:paraId="2D8F4E48" w14:textId="77777777" w:rsidR="00B4189E" w:rsidRPr="00424B97" w:rsidRDefault="00B4189E" w:rsidP="00424B97"/>
    <w:sectPr w:rsidR="00B4189E" w:rsidRPr="00424B97" w:rsidSect="008E4F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31B6" w14:textId="77777777" w:rsidR="008E4F6C" w:rsidRDefault="008E4F6C" w:rsidP="003A707F">
      <w:pPr>
        <w:spacing w:after="0" w:line="240" w:lineRule="auto"/>
      </w:pPr>
      <w:r>
        <w:separator/>
      </w:r>
    </w:p>
  </w:endnote>
  <w:endnote w:type="continuationSeparator" w:id="0">
    <w:p w14:paraId="3DCACB4A" w14:textId="77777777"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687D" w14:textId="77777777" w:rsidR="00C72C30" w:rsidRDefault="00C7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64BC" w14:textId="77777777" w:rsidR="00C72C30" w:rsidRDefault="00C7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B60B" w14:textId="77777777" w:rsidR="00C72C30" w:rsidRDefault="00C7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8FD4" w14:textId="77777777" w:rsidR="008E4F6C" w:rsidRDefault="008E4F6C" w:rsidP="003A707F">
      <w:pPr>
        <w:spacing w:after="0" w:line="240" w:lineRule="auto"/>
      </w:pPr>
      <w:r>
        <w:separator/>
      </w:r>
    </w:p>
  </w:footnote>
  <w:footnote w:type="continuationSeparator" w:id="0">
    <w:p w14:paraId="1A5F2190" w14:textId="77777777"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35AD" w14:textId="77777777" w:rsidR="00C72C30" w:rsidRDefault="00C7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8CE8" w14:textId="77777777" w:rsidR="00C72C30" w:rsidRDefault="00C7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09CEB341"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4C530288" w14:textId="77777777" w:rsidR="00F40885" w:rsidRPr="00CE796A" w:rsidRDefault="00F40885" w:rsidP="00840A06">
          <w:pPr>
            <w:spacing w:before="60" w:after="0"/>
            <w:ind w:left="-51"/>
            <w:rPr>
              <w:rFonts w:ascii="Arial" w:hAnsi="Arial"/>
              <w:sz w:val="12"/>
            </w:rPr>
          </w:pPr>
          <w:bookmarkStart w:id="6" w:name="OLE_LINK2"/>
          <w:r>
            <w:rPr>
              <w:rFonts w:ascii="Arial" w:hAnsi="Arial"/>
              <w:noProof/>
              <w:sz w:val="12"/>
              <w:lang w:eastAsia="en-AU"/>
            </w:rPr>
            <w:drawing>
              <wp:inline distT="0" distB="0" distL="0" distR="0" wp14:anchorId="41E5FED7" wp14:editId="2F6E606A">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794FF96"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1A1DF1B7"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D4F556C"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59BF79D0" w14:textId="77777777" w:rsidR="00F40885" w:rsidRPr="00CE796A" w:rsidRDefault="00F40885" w:rsidP="00840A06">
          <w:pPr>
            <w:spacing w:after="0"/>
            <w:ind w:left="-51"/>
            <w:rPr>
              <w:rFonts w:ascii="Arial" w:hAnsi="Arial" w:cs="Arial"/>
              <w:sz w:val="14"/>
              <w:szCs w:val="14"/>
            </w:rPr>
          </w:pPr>
          <w:bookmarkStart w:id="7" w:name="GazNo"/>
          <w:bookmarkEnd w:id="7"/>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21B0F90E"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6"/>
  </w:tbl>
  <w:p w14:paraId="078CC0B7" w14:textId="77777777" w:rsidR="00F40885" w:rsidRPr="003A707F" w:rsidRDefault="00F40885" w:rsidP="00F40885">
    <w:pPr>
      <w:pStyle w:val="Header"/>
      <w:rPr>
        <w:sz w:val="2"/>
        <w:szCs w:val="2"/>
      </w:rPr>
    </w:pPr>
  </w:p>
  <w:p w14:paraId="3DC9F3F6"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653A1"/>
    <w:multiLevelType w:val="hybridMultilevel"/>
    <w:tmpl w:val="3ECEB38C"/>
    <w:lvl w:ilvl="0" w:tplc="516E6892">
      <w:start w:val="1"/>
      <w:numFmt w:val="lowerLetter"/>
      <w:lvlText w:val="(%1)"/>
      <w:lvlJc w:val="left"/>
      <w:pPr>
        <w:ind w:left="1493" w:hanging="360"/>
      </w:pPr>
      <w:rPr>
        <w:rFonts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E1F2B"/>
    <w:rsid w:val="001C2AAD"/>
    <w:rsid w:val="001F6E54"/>
    <w:rsid w:val="00280BCD"/>
    <w:rsid w:val="003A707F"/>
    <w:rsid w:val="003B0EC1"/>
    <w:rsid w:val="003B573B"/>
    <w:rsid w:val="003F2CBD"/>
    <w:rsid w:val="00424B97"/>
    <w:rsid w:val="004B2753"/>
    <w:rsid w:val="00520873"/>
    <w:rsid w:val="00573D44"/>
    <w:rsid w:val="00840A06"/>
    <w:rsid w:val="008439B7"/>
    <w:rsid w:val="0087253F"/>
    <w:rsid w:val="008E4F6C"/>
    <w:rsid w:val="009539C7"/>
    <w:rsid w:val="00A00F21"/>
    <w:rsid w:val="00B4189E"/>
    <w:rsid w:val="00B84226"/>
    <w:rsid w:val="00C63C4E"/>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80188"/>
  <w15:docId w15:val="{BAA72260-630B-45E5-923C-CA67358F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uiPriority w:val="59"/>
    <w:rsid w:val="00B4189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69CCBE87A99468BB6D18B794D574C" ma:contentTypeVersion="4" ma:contentTypeDescription="Create a new document." ma:contentTypeScope="" ma:versionID="737819b3b8ffae630e55a9197cc9450a">
  <xsd:schema xmlns:xsd="http://www.w3.org/2001/XMLSchema" xmlns:xs="http://www.w3.org/2001/XMLSchema" xmlns:p="http://schemas.microsoft.com/office/2006/metadata/properties" xmlns:ns2="6e743588-1483-4206-bec5-cc122baa6310" targetNamespace="http://schemas.microsoft.com/office/2006/metadata/properties" ma:root="true" ma:fieldsID="fadb47e4e78bc15379ee43275907ff1f" ns2:_="">
    <xsd:import namespace="6e743588-1483-4206-bec5-cc122baa6310"/>
    <xsd:element name="properties">
      <xsd:complexType>
        <xsd:sequence>
          <xsd:element name="documentManagement">
            <xsd:complexType>
              <xsd:all>
                <xsd:element ref="ns2:Document_x0020_Type0" minOccurs="0"/>
                <xsd:element ref="ns2:Document_x0020_Type"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43588-1483-4206-bec5-cc122baa6310" elementFormDefault="qualified">
    <xsd:import namespace="http://schemas.microsoft.com/office/2006/documentManagement/types"/>
    <xsd:import namespace="http://schemas.microsoft.com/office/infopath/2007/PartnerControls"/>
    <xsd:element name="Document_x0020_Type0" ma:index="2" nillable="true" ma:displayName="Document Type" ma:format="Dropdown" ma:internalName="Document_x0020_Type0">
      <xsd:simpleType>
        <xsd:union memberTypes="dms:Text">
          <xsd:simpleType>
            <xsd:restriction base="dms:Choice">
              <xsd:enumeration value="Internal Draft"/>
              <xsd:enumeration value="External Draft"/>
              <xsd:enumeration value="Execution Version"/>
              <xsd:enumeration value="Other"/>
            </xsd:restriction>
          </xsd:simpleType>
        </xsd:union>
      </xsd:simpleType>
    </xsd:element>
    <xsd:element name="Document_x0020_Type" ma:index="3" nillable="true" ma:displayName="Category" ma:format="Dropdown" ma:internalName="Document_x0020_Type">
      <xsd:simpleType>
        <xsd:restriction base="dms:Choice">
          <xsd:enumeration value="Bonds"/>
          <xsd:enumeration value="Credit Agreement"/>
          <xsd:enumeration value="DBG"/>
          <xsd:enumeration value="DCG"/>
          <xsd:enumeration value="EFG"/>
          <xsd:enumeration value="Exporters Deed"/>
          <xsd:enumeration value="Medium Term Insurance"/>
          <xsd:enumeration value="Political Risk Insurance"/>
          <xsd:enumeration value="Short Term Insurance"/>
          <xsd:enumeration value="Working Capitol"/>
          <xsd:enumeration value="General"/>
        </xsd:restriction>
      </xsd:simpleType>
    </xsd:element>
    <xsd:element name="Target_x0020_Audiences" ma:index="10"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0 xmlns="6e743588-1483-4206-bec5-cc122baa6310" xsi:nil="true"/>
    <Target_x0020_Audiences xmlns="6e743588-1483-4206-bec5-cc122baa6310" xsi:nil="true"/>
    <Document_x0020_Type xmlns="6e743588-1483-4206-bec5-cc122baa631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E74D-BA46-4FDB-A92D-03384616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43588-1483-4206-bec5-cc122baa6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200CC-6A6C-4726-A72D-D251ABB8044E}">
  <ds:schemaRefs>
    <ds:schemaRef ds:uri="http://schemas.microsoft.com/sharepoint/v3/contenttype/forms"/>
  </ds:schemaRefs>
</ds:datastoreItem>
</file>

<file path=customXml/itemProps3.xml><?xml version="1.0" encoding="utf-8"?>
<ds:datastoreItem xmlns:ds="http://schemas.openxmlformats.org/officeDocument/2006/customXml" ds:itemID="{47B63FA0-50FF-4452-9999-59ED21411649}">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6e743588-1483-4206-bec5-cc122baa6310"/>
    <ds:schemaRef ds:uri="http://www.w3.org/XML/1998/namespace"/>
    <ds:schemaRef ds:uri="http://purl.org/dc/dcmitype/"/>
  </ds:schemaRefs>
</ds:datastoreItem>
</file>

<file path=customXml/itemProps4.xml><?xml version="1.0" encoding="utf-8"?>
<ds:datastoreItem xmlns:ds="http://schemas.openxmlformats.org/officeDocument/2006/customXml" ds:itemID="{6F18796F-53B5-48CB-8BA6-CFA372A2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Sasha Cotis</cp:lastModifiedBy>
  <cp:revision>2</cp:revision>
  <cp:lastPrinted>2013-06-24T01:35:00Z</cp:lastPrinted>
  <dcterms:created xsi:type="dcterms:W3CDTF">2019-04-08T06:25:00Z</dcterms:created>
  <dcterms:modified xsi:type="dcterms:W3CDTF">2019-04-08T06:25:00Z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0x0101003F969CCBE87A99468BB6D18B794D574C</vt:lpwstr>
  </property>
</Properties>
</file>