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B2" w:rsidRPr="00141674" w:rsidRDefault="008467D1" w:rsidP="00851F51">
      <w:pPr>
        <w:spacing w:after="80"/>
        <w:jc w:val="center"/>
        <w:rPr>
          <w:rFonts w:cs="Arial"/>
          <w:b/>
          <w:sz w:val="18"/>
          <w:szCs w:val="18"/>
        </w:rPr>
      </w:pPr>
      <w:bookmarkStart w:id="0" w:name="_GoBack"/>
      <w:bookmarkEnd w:id="0"/>
      <w:r>
        <w:rPr>
          <w:noProof/>
          <w:lang w:eastAsia="en-AU"/>
        </w:rPr>
        <w:drawing>
          <wp:inline distT="0" distB="0" distL="0" distR="0" wp14:anchorId="6D7526C0" wp14:editId="425C8006">
            <wp:extent cx="2409825" cy="704850"/>
            <wp:effectExtent l="0" t="0" r="9525" b="0"/>
            <wp:docPr id="3" name="Picture 3"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O_i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p w:rsidR="00A85D11" w:rsidRDefault="00A85D11" w:rsidP="00A85D11">
      <w:pPr>
        <w:rPr>
          <w:rFonts w:cs="Arial"/>
          <w:sz w:val="18"/>
          <w:szCs w:val="18"/>
        </w:rPr>
      </w:pPr>
      <w:r w:rsidRPr="00141674">
        <w:rPr>
          <w:rFonts w:cs="Arial"/>
          <w:sz w:val="18"/>
          <w:szCs w:val="18"/>
        </w:rPr>
        <w:t xml:space="preserve">The Commissioner of Taxation, </w:t>
      </w:r>
      <w:smartTag w:uri="urn:schemas:contacts" w:element="GivenName">
        <w:smartTag w:uri="urn:schemas-microsoft-com:office:smarttags" w:element="PersonName">
          <w:r>
            <w:rPr>
              <w:rFonts w:cs="Arial"/>
              <w:sz w:val="18"/>
              <w:szCs w:val="18"/>
            </w:rPr>
            <w:t>Chris</w:t>
          </w:r>
        </w:smartTag>
        <w:r>
          <w:rPr>
            <w:rFonts w:cs="Arial"/>
            <w:sz w:val="18"/>
            <w:szCs w:val="18"/>
          </w:rPr>
          <w:t xml:space="preserve"> </w:t>
        </w:r>
        <w:smartTag w:uri="urn:schemas-microsoft-com:office:smarttags" w:element="country-region">
          <w:smartTag w:uri="urn:schemas:contacts" w:element="Sn">
            <w:r>
              <w:rPr>
                <w:rFonts w:cs="Arial"/>
                <w:sz w:val="18"/>
                <w:szCs w:val="18"/>
              </w:rPr>
              <w:t>Jordan</w:t>
            </w:r>
          </w:smartTag>
        </w:smartTag>
      </w:smartTag>
      <w:r>
        <w:rPr>
          <w:rFonts w:cs="Arial"/>
          <w:sz w:val="18"/>
          <w:szCs w:val="18"/>
        </w:rPr>
        <w:t>,</w:t>
      </w:r>
      <w:r w:rsidRPr="00141674">
        <w:rPr>
          <w:rFonts w:cs="Arial"/>
          <w:sz w:val="18"/>
          <w:szCs w:val="18"/>
        </w:rPr>
        <w:t xml:space="preserve"> gives notice of the following Rulings, copies of which can be obtained from </w:t>
      </w:r>
      <w:hyperlink r:id="rId10" w:history="1">
        <w:r w:rsidR="00422F2E" w:rsidRPr="00422F2E">
          <w:rPr>
            <w:rStyle w:val="Hyperlink"/>
            <w:rFonts w:cs="Arial"/>
            <w:sz w:val="18"/>
            <w:szCs w:val="18"/>
          </w:rPr>
          <w:t>ato.gov.au/law</w:t>
        </w:r>
      </w:hyperlink>
      <w:r w:rsidRPr="00141674">
        <w:rPr>
          <w:rFonts w:cs="Arial"/>
          <w:sz w:val="18"/>
          <w:szCs w:val="18"/>
        </w:rPr>
        <w:t>.</w:t>
      </w:r>
    </w:p>
    <w:tbl>
      <w:tblPr>
        <w:tblW w:w="9923" w:type="dxa"/>
        <w:tblLayout w:type="fixed"/>
        <w:tblLook w:val="0000" w:firstRow="0" w:lastRow="0" w:firstColumn="0" w:lastColumn="0" w:noHBand="0" w:noVBand="0"/>
      </w:tblPr>
      <w:tblGrid>
        <w:gridCol w:w="1984"/>
        <w:gridCol w:w="3686"/>
        <w:gridCol w:w="4253"/>
      </w:tblGrid>
      <w:tr w:rsidR="008D0A06" w:rsidRPr="00851F51" w:rsidTr="00DC47DA">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851F51" w:rsidRDefault="008D0A06" w:rsidP="00851F51">
            <w:pPr>
              <w:pStyle w:val="Heading3"/>
              <w:keepLines/>
              <w:spacing w:before="80" w:after="80"/>
              <w:jc w:val="center"/>
              <w:rPr>
                <w:sz w:val="20"/>
                <w:szCs w:val="20"/>
              </w:rPr>
            </w:pPr>
            <w:r w:rsidRPr="00851F51">
              <w:rPr>
                <w:sz w:val="20"/>
                <w:szCs w:val="20"/>
              </w:rPr>
              <w:t>NOTICE OF RULINGS</w:t>
            </w:r>
          </w:p>
        </w:tc>
      </w:tr>
      <w:tr w:rsidR="00114CB2" w:rsidRPr="00851F51"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7E4ED4">
            <w:pPr>
              <w:pStyle w:val="Heading3"/>
              <w:keepLines/>
              <w:spacing w:before="80" w:after="80"/>
              <w:jc w:val="center"/>
              <w:rPr>
                <w:sz w:val="20"/>
                <w:szCs w:val="20"/>
              </w:rPr>
            </w:pPr>
            <w:r w:rsidRPr="00851F51">
              <w:rPr>
                <w:sz w:val="20"/>
                <w:szCs w:val="20"/>
              </w:rPr>
              <w:t xml:space="preserve">Ruling </w:t>
            </w:r>
            <w:r w:rsidR="007E4ED4">
              <w:rPr>
                <w:sz w:val="20"/>
                <w:szCs w:val="20"/>
              </w:rPr>
              <w:t>n</w:t>
            </w:r>
            <w:r w:rsidRPr="00851F51">
              <w:rPr>
                <w:sz w:val="20"/>
                <w:szCs w:val="20"/>
              </w:rPr>
              <w:t>umber</w:t>
            </w:r>
          </w:p>
        </w:tc>
        <w:tc>
          <w:tcPr>
            <w:tcW w:w="3686"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 xml:space="preserve">Brief </w:t>
            </w:r>
            <w:r w:rsidR="007E4ED4">
              <w:rPr>
                <w:sz w:val="20"/>
                <w:szCs w:val="20"/>
              </w:rPr>
              <w:t>d</w:t>
            </w:r>
            <w:r w:rsidRPr="00851F51">
              <w:rPr>
                <w:sz w:val="20"/>
                <w:szCs w:val="20"/>
              </w:rPr>
              <w:t>escription</w:t>
            </w:r>
          </w:p>
        </w:tc>
      </w:tr>
      <w:tr w:rsidR="00F278A7"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F278A7" w:rsidRDefault="00623FBC" w:rsidP="00B6495D">
            <w:pPr>
              <w:pStyle w:val="Header"/>
              <w:spacing w:before="40" w:after="40"/>
              <w:rPr>
                <w:rFonts w:cs="Arial"/>
                <w:sz w:val="20"/>
                <w:szCs w:val="20"/>
              </w:rPr>
            </w:pPr>
            <w:r>
              <w:rPr>
                <w:rFonts w:cs="Arial"/>
                <w:sz w:val="20"/>
                <w:szCs w:val="20"/>
              </w:rPr>
              <w:t>CR 2019/30</w:t>
            </w:r>
          </w:p>
        </w:tc>
        <w:tc>
          <w:tcPr>
            <w:tcW w:w="3686" w:type="dxa"/>
            <w:tcBorders>
              <w:top w:val="single" w:sz="6" w:space="0" w:color="auto"/>
              <w:left w:val="single" w:sz="6" w:space="0" w:color="auto"/>
              <w:bottom w:val="single" w:sz="6" w:space="0" w:color="auto"/>
              <w:right w:val="single" w:sz="6" w:space="0" w:color="auto"/>
            </w:tcBorders>
          </w:tcPr>
          <w:p w:rsidR="00F278A7" w:rsidRPr="00C061C4" w:rsidRDefault="00623FBC" w:rsidP="00B6495D">
            <w:pPr>
              <w:rPr>
                <w:rFonts w:cs="Arial"/>
                <w:sz w:val="20"/>
                <w:szCs w:val="20"/>
              </w:rPr>
            </w:pPr>
            <w:r>
              <w:rPr>
                <w:rFonts w:cs="Arial"/>
                <w:sz w:val="20"/>
                <w:szCs w:val="20"/>
              </w:rPr>
              <w:t xml:space="preserve">Pinewood Community Financial Services Limited – </w:t>
            </w:r>
            <w:r w:rsidR="007E4ED4">
              <w:rPr>
                <w:rFonts w:cs="Arial"/>
                <w:sz w:val="20"/>
                <w:szCs w:val="20"/>
              </w:rPr>
              <w:t>o</w:t>
            </w:r>
            <w:r>
              <w:rPr>
                <w:rFonts w:cs="Arial"/>
                <w:sz w:val="20"/>
                <w:szCs w:val="20"/>
              </w:rPr>
              <w:t>ff-market share buy-back</w:t>
            </w:r>
          </w:p>
        </w:tc>
        <w:tc>
          <w:tcPr>
            <w:tcW w:w="4253" w:type="dxa"/>
            <w:tcBorders>
              <w:top w:val="single" w:sz="6" w:space="0" w:color="auto"/>
              <w:left w:val="single" w:sz="6" w:space="0" w:color="auto"/>
              <w:bottom w:val="single" w:sz="6" w:space="0" w:color="auto"/>
              <w:right w:val="single" w:sz="6" w:space="0" w:color="auto"/>
            </w:tcBorders>
          </w:tcPr>
          <w:p w:rsidR="00F278A7" w:rsidRDefault="00106824" w:rsidP="00084784">
            <w:pPr>
              <w:spacing w:before="40" w:after="40"/>
              <w:rPr>
                <w:rFonts w:cs="Arial"/>
                <w:sz w:val="20"/>
                <w:szCs w:val="20"/>
              </w:rPr>
            </w:pPr>
            <w:r>
              <w:rPr>
                <w:rFonts w:cs="Arial"/>
                <w:sz w:val="20"/>
                <w:szCs w:val="20"/>
              </w:rPr>
              <w:t xml:space="preserve">This Ruling </w:t>
            </w:r>
            <w:r w:rsidR="00422F2E">
              <w:rPr>
                <w:rFonts w:cs="Arial"/>
                <w:sz w:val="20"/>
                <w:szCs w:val="20"/>
              </w:rPr>
              <w:t>sets out the tax consequences of the off-market share buy-back announced by Pinewood Community Financial Services Limited on 20 December 2018.</w:t>
            </w:r>
          </w:p>
          <w:p w:rsidR="00106824" w:rsidRPr="00851F51" w:rsidRDefault="00106824" w:rsidP="00084784">
            <w:pPr>
              <w:spacing w:before="40" w:after="40"/>
              <w:rPr>
                <w:rFonts w:cs="Arial"/>
                <w:sz w:val="20"/>
                <w:szCs w:val="20"/>
              </w:rPr>
            </w:pPr>
            <w:r>
              <w:rPr>
                <w:rFonts w:cs="Arial"/>
                <w:sz w:val="20"/>
                <w:szCs w:val="20"/>
              </w:rPr>
              <w:t>This Ruling applies from 1 July 2018.</w:t>
            </w:r>
          </w:p>
        </w:tc>
      </w:tr>
      <w:tr w:rsidR="00F278A7"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F278A7" w:rsidRDefault="00623FBC" w:rsidP="00F278A7">
            <w:pPr>
              <w:pStyle w:val="Header"/>
              <w:spacing w:before="40" w:after="40"/>
              <w:rPr>
                <w:rFonts w:cs="Arial"/>
                <w:sz w:val="20"/>
                <w:szCs w:val="20"/>
              </w:rPr>
            </w:pPr>
            <w:r>
              <w:rPr>
                <w:rFonts w:cs="Arial"/>
                <w:sz w:val="20"/>
                <w:szCs w:val="20"/>
              </w:rPr>
              <w:t>CR 2019/31</w:t>
            </w:r>
          </w:p>
        </w:tc>
        <w:tc>
          <w:tcPr>
            <w:tcW w:w="3686" w:type="dxa"/>
            <w:tcBorders>
              <w:top w:val="single" w:sz="6" w:space="0" w:color="auto"/>
              <w:left w:val="single" w:sz="6" w:space="0" w:color="auto"/>
              <w:bottom w:val="single" w:sz="6" w:space="0" w:color="auto"/>
              <w:right w:val="single" w:sz="6" w:space="0" w:color="auto"/>
            </w:tcBorders>
          </w:tcPr>
          <w:p w:rsidR="00F278A7" w:rsidRPr="00C061C4" w:rsidRDefault="00623FBC" w:rsidP="007E4ED4">
            <w:pPr>
              <w:rPr>
                <w:rFonts w:cs="Arial"/>
                <w:sz w:val="20"/>
                <w:szCs w:val="20"/>
              </w:rPr>
            </w:pPr>
            <w:r>
              <w:rPr>
                <w:rFonts w:cs="Arial"/>
                <w:sz w:val="20"/>
                <w:szCs w:val="20"/>
              </w:rPr>
              <w:t xml:space="preserve">Caltex Australia Limited – </w:t>
            </w:r>
            <w:r w:rsidR="007E4ED4">
              <w:rPr>
                <w:rFonts w:cs="Arial"/>
                <w:sz w:val="20"/>
                <w:szCs w:val="20"/>
              </w:rPr>
              <w:t>o</w:t>
            </w:r>
            <w:r>
              <w:rPr>
                <w:rFonts w:cs="Arial"/>
                <w:sz w:val="20"/>
                <w:szCs w:val="20"/>
              </w:rPr>
              <w:t>ff-market share buy back</w:t>
            </w:r>
          </w:p>
        </w:tc>
        <w:tc>
          <w:tcPr>
            <w:tcW w:w="4253" w:type="dxa"/>
            <w:tcBorders>
              <w:top w:val="single" w:sz="6" w:space="0" w:color="auto"/>
              <w:left w:val="single" w:sz="6" w:space="0" w:color="auto"/>
              <w:bottom w:val="single" w:sz="6" w:space="0" w:color="auto"/>
              <w:right w:val="single" w:sz="6" w:space="0" w:color="auto"/>
            </w:tcBorders>
          </w:tcPr>
          <w:p w:rsidR="00F278A7" w:rsidRDefault="00422F2E" w:rsidP="009641EC">
            <w:pPr>
              <w:spacing w:before="40" w:after="40"/>
              <w:rPr>
                <w:rFonts w:cs="Arial"/>
                <w:sz w:val="20"/>
                <w:szCs w:val="20"/>
              </w:rPr>
            </w:pPr>
            <w:r>
              <w:rPr>
                <w:rFonts w:cs="Arial"/>
                <w:sz w:val="20"/>
                <w:szCs w:val="20"/>
              </w:rPr>
              <w:t>This Ruling sets out the tax consequences of the off-market share buy-back announced by Caltex Australia Limited on 26 February 2019.</w:t>
            </w:r>
          </w:p>
          <w:p w:rsidR="00422F2E" w:rsidRDefault="00422F2E" w:rsidP="009641EC">
            <w:pPr>
              <w:spacing w:before="40" w:after="40"/>
              <w:rPr>
                <w:rFonts w:cs="Arial"/>
                <w:sz w:val="20"/>
                <w:szCs w:val="20"/>
              </w:rPr>
            </w:pPr>
            <w:r>
              <w:rPr>
                <w:rFonts w:cs="Arial"/>
                <w:sz w:val="20"/>
                <w:szCs w:val="20"/>
              </w:rPr>
              <w:t>This Ruling applies from 1 July 2018.</w:t>
            </w:r>
          </w:p>
        </w:tc>
      </w:tr>
      <w:tr w:rsidR="00F278A7"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F278A7" w:rsidRDefault="00623FBC" w:rsidP="00F278A7">
            <w:pPr>
              <w:pStyle w:val="Header"/>
              <w:spacing w:before="40" w:after="40"/>
              <w:rPr>
                <w:rFonts w:cs="Arial"/>
                <w:sz w:val="20"/>
                <w:szCs w:val="20"/>
              </w:rPr>
            </w:pPr>
            <w:r>
              <w:rPr>
                <w:rFonts w:cs="Arial"/>
                <w:sz w:val="20"/>
                <w:szCs w:val="20"/>
              </w:rPr>
              <w:t>CR 2019/32</w:t>
            </w:r>
          </w:p>
        </w:tc>
        <w:tc>
          <w:tcPr>
            <w:tcW w:w="3686" w:type="dxa"/>
            <w:tcBorders>
              <w:top w:val="single" w:sz="6" w:space="0" w:color="auto"/>
              <w:left w:val="single" w:sz="6" w:space="0" w:color="auto"/>
              <w:bottom w:val="single" w:sz="6" w:space="0" w:color="auto"/>
              <w:right w:val="single" w:sz="6" w:space="0" w:color="auto"/>
            </w:tcBorders>
          </w:tcPr>
          <w:p w:rsidR="00F278A7" w:rsidRPr="00C061C4" w:rsidRDefault="00623FBC" w:rsidP="007E4ED4">
            <w:pPr>
              <w:rPr>
                <w:rFonts w:cs="Arial"/>
                <w:sz w:val="20"/>
                <w:szCs w:val="20"/>
              </w:rPr>
            </w:pPr>
            <w:r>
              <w:rPr>
                <w:rFonts w:cs="Arial"/>
                <w:sz w:val="20"/>
                <w:szCs w:val="20"/>
              </w:rPr>
              <w:t xml:space="preserve">Australian Olympic Committee – </w:t>
            </w:r>
            <w:r w:rsidR="007E4ED4">
              <w:rPr>
                <w:rFonts w:cs="Arial"/>
                <w:sz w:val="20"/>
                <w:szCs w:val="20"/>
              </w:rPr>
              <w:t>m</w:t>
            </w:r>
            <w:r>
              <w:rPr>
                <w:rFonts w:cs="Arial"/>
                <w:sz w:val="20"/>
                <w:szCs w:val="20"/>
              </w:rPr>
              <w:t xml:space="preserve">edal </w:t>
            </w:r>
            <w:r w:rsidR="007E4ED4">
              <w:rPr>
                <w:rFonts w:cs="Arial"/>
                <w:sz w:val="20"/>
                <w:szCs w:val="20"/>
              </w:rPr>
              <w:t>i</w:t>
            </w:r>
            <w:r>
              <w:rPr>
                <w:rFonts w:cs="Arial"/>
                <w:sz w:val="20"/>
                <w:szCs w:val="20"/>
              </w:rPr>
              <w:t xml:space="preserve">ncentive </w:t>
            </w:r>
            <w:r w:rsidR="007E4ED4">
              <w:rPr>
                <w:rFonts w:cs="Arial"/>
                <w:sz w:val="20"/>
                <w:szCs w:val="20"/>
              </w:rPr>
              <w:t>f</w:t>
            </w:r>
            <w:r>
              <w:rPr>
                <w:rFonts w:cs="Arial"/>
                <w:sz w:val="20"/>
                <w:szCs w:val="20"/>
              </w:rPr>
              <w:t xml:space="preserve">unding </w:t>
            </w:r>
            <w:r w:rsidR="007E4ED4">
              <w:rPr>
                <w:rFonts w:cs="Arial"/>
                <w:sz w:val="20"/>
                <w:szCs w:val="20"/>
              </w:rPr>
              <w:t>p</w:t>
            </w:r>
            <w:r>
              <w:rPr>
                <w:rFonts w:cs="Arial"/>
                <w:sz w:val="20"/>
                <w:szCs w:val="20"/>
              </w:rPr>
              <w:t>ayments</w:t>
            </w:r>
          </w:p>
        </w:tc>
        <w:tc>
          <w:tcPr>
            <w:tcW w:w="4253" w:type="dxa"/>
            <w:tcBorders>
              <w:top w:val="single" w:sz="6" w:space="0" w:color="auto"/>
              <w:left w:val="single" w:sz="6" w:space="0" w:color="auto"/>
              <w:bottom w:val="single" w:sz="6" w:space="0" w:color="auto"/>
              <w:right w:val="single" w:sz="6" w:space="0" w:color="auto"/>
            </w:tcBorders>
          </w:tcPr>
          <w:p w:rsidR="00422F2E" w:rsidRDefault="00422F2E" w:rsidP="00422F2E">
            <w:pPr>
              <w:spacing w:before="40" w:after="40"/>
              <w:rPr>
                <w:rFonts w:cs="Arial"/>
                <w:sz w:val="20"/>
                <w:szCs w:val="20"/>
              </w:rPr>
            </w:pPr>
            <w:r>
              <w:rPr>
                <w:rFonts w:cs="Arial"/>
                <w:sz w:val="20"/>
                <w:szCs w:val="20"/>
              </w:rPr>
              <w:t>This Ruling outlines the assessability of payments to athletes made by the Australian Olympic Committee under the Medal Incentive Funding Program.</w:t>
            </w:r>
          </w:p>
          <w:p w:rsidR="00F278A7" w:rsidRDefault="00422F2E" w:rsidP="00422F2E">
            <w:pPr>
              <w:spacing w:before="40" w:after="40"/>
              <w:rPr>
                <w:rFonts w:cs="Arial"/>
                <w:sz w:val="20"/>
                <w:szCs w:val="20"/>
              </w:rPr>
            </w:pPr>
            <w:r>
              <w:rPr>
                <w:rFonts w:cs="Arial"/>
                <w:sz w:val="20"/>
                <w:szCs w:val="20"/>
              </w:rPr>
              <w:t xml:space="preserve">This Ruling applies from 1 July 2019. </w:t>
            </w:r>
          </w:p>
        </w:tc>
      </w:tr>
    </w:tbl>
    <w:p w:rsidR="00FA0A9F" w:rsidRPr="008D0A06" w:rsidRDefault="00FA0A9F" w:rsidP="008D0A06">
      <w:pPr>
        <w:spacing w:after="60"/>
        <w:rPr>
          <w:sz w:val="18"/>
          <w:szCs w:val="18"/>
        </w:rPr>
      </w:pPr>
    </w:p>
    <w:sectPr w:rsidR="00FA0A9F" w:rsidRPr="008D0A06" w:rsidSect="008E4F6C">
      <w:headerReference w:type="first" r:id="rId11"/>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B2" w:rsidRDefault="00114CB2" w:rsidP="003A707F">
      <w:pPr>
        <w:spacing w:after="0"/>
      </w:pPr>
      <w:r>
        <w:separator/>
      </w:r>
    </w:p>
  </w:endnote>
  <w:endnote w:type="continuationSeparator" w:id="0">
    <w:p w:rsidR="00114CB2" w:rsidRDefault="00114CB2"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B2" w:rsidRDefault="00114CB2" w:rsidP="003A707F">
      <w:pPr>
        <w:spacing w:after="0"/>
      </w:pPr>
      <w:r>
        <w:separator/>
      </w:r>
    </w:p>
  </w:footnote>
  <w:footnote w:type="continuationSeparator" w:id="0">
    <w:p w:rsidR="00114CB2" w:rsidRDefault="00114CB2"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114CB2" w:rsidRPr="005E7AE5" w:rsidTr="0095650D">
      <w:trPr>
        <w:trHeight w:val="984"/>
      </w:trPr>
      <w:tc>
        <w:tcPr>
          <w:tcW w:w="1263" w:type="dxa"/>
          <w:tcBorders>
            <w:top w:val="single" w:sz="4" w:space="0" w:color="auto"/>
            <w:left w:val="nil"/>
            <w:bottom w:val="single" w:sz="4" w:space="0" w:color="auto"/>
            <w:right w:val="nil"/>
          </w:tcBorders>
        </w:tcPr>
        <w:p w:rsidR="00114CB2" w:rsidRPr="005E7AE5" w:rsidRDefault="004E56BF" w:rsidP="008D0A06">
          <w:pPr>
            <w:spacing w:before="60" w:after="0" w:line="276" w:lineRule="auto"/>
            <w:ind w:left="-51"/>
            <w:rPr>
              <w:sz w:val="12"/>
            </w:rPr>
          </w:pPr>
          <w:r>
            <w:rPr>
              <w:noProof/>
              <w:sz w:val="12"/>
              <w:lang w:eastAsia="en-AU"/>
            </w:rPr>
            <w:drawing>
              <wp:inline distT="0" distB="0" distL="0" distR="0" wp14:anchorId="43A2B5EB" wp14:editId="5429C5EC">
                <wp:extent cx="65532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2641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114CB2" w:rsidRPr="005E7AE5" w:rsidRDefault="00114CB2" w:rsidP="00840A06">
          <w:pPr>
            <w:spacing w:before="60" w:after="0" w:line="460" w:lineRule="exact"/>
            <w:rPr>
              <w:rFonts w:cs="Arial"/>
              <w:b/>
              <w:spacing w:val="-2"/>
              <w:sz w:val="44"/>
              <w:szCs w:val="44"/>
            </w:rPr>
          </w:pPr>
          <w:r w:rsidRPr="005E7AE5">
            <w:rPr>
              <w:rFonts w:cs="Arial"/>
              <w:b/>
              <w:spacing w:val="-2"/>
              <w:sz w:val="44"/>
              <w:szCs w:val="44"/>
            </w:rPr>
            <w:t>Commonwealth</w:t>
          </w:r>
          <w:r w:rsidRPr="005E7AE5">
            <w:rPr>
              <w:rFonts w:cs="Arial"/>
              <w:b/>
              <w:spacing w:val="-2"/>
              <w:sz w:val="44"/>
              <w:szCs w:val="44"/>
            </w:rPr>
            <w:br/>
            <w:t xml:space="preserve">of </w:t>
          </w:r>
          <w:smartTag w:uri="urn:schemas-microsoft-com:office:smarttags" w:element="country-region">
            <w:smartTag w:uri="urn:schemas-microsoft-com:office:smarttags" w:element="place">
              <w:r w:rsidRPr="005E7AE5">
                <w:rPr>
                  <w:rFonts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114CB2" w:rsidRPr="005E7AE5" w:rsidRDefault="00114CB2" w:rsidP="00840A06">
          <w:pPr>
            <w:spacing w:before="180" w:after="0" w:line="800" w:lineRule="exact"/>
            <w:jc w:val="right"/>
            <w:rPr>
              <w:rFonts w:cs="Arial"/>
              <w:b/>
              <w:sz w:val="100"/>
              <w:szCs w:val="100"/>
            </w:rPr>
          </w:pPr>
          <w:r w:rsidRPr="005E7AE5">
            <w:rPr>
              <w:rFonts w:cs="Arial"/>
              <w:b/>
              <w:sz w:val="100"/>
              <w:szCs w:val="100"/>
            </w:rPr>
            <w:t>Gazette</w:t>
          </w:r>
        </w:p>
      </w:tc>
    </w:tr>
    <w:tr w:rsidR="00114CB2" w:rsidRPr="005E7AE5" w:rsidTr="00840A06">
      <w:trPr>
        <w:trHeight w:val="340"/>
      </w:trPr>
      <w:tc>
        <w:tcPr>
          <w:tcW w:w="5698" w:type="dxa"/>
          <w:gridSpan w:val="2"/>
          <w:tcBorders>
            <w:top w:val="single" w:sz="4" w:space="0" w:color="auto"/>
            <w:left w:val="nil"/>
            <w:bottom w:val="single" w:sz="4" w:space="0" w:color="auto"/>
            <w:right w:val="nil"/>
          </w:tcBorders>
          <w:vAlign w:val="bottom"/>
        </w:tcPr>
        <w:p w:rsidR="00114CB2" w:rsidRPr="005E7AE5" w:rsidRDefault="00114CB2" w:rsidP="008D0A06">
          <w:pPr>
            <w:spacing w:after="0" w:line="276" w:lineRule="auto"/>
            <w:ind w:left="-51"/>
            <w:rPr>
              <w:rFonts w:cs="Arial"/>
              <w:sz w:val="14"/>
              <w:szCs w:val="14"/>
            </w:rPr>
          </w:pPr>
          <w:bookmarkStart w:id="1" w:name="GazNo"/>
          <w:bookmarkEnd w:id="1"/>
          <w:r w:rsidRPr="005E7AE5">
            <w:rPr>
              <w:rFonts w:cs="Arial"/>
              <w:sz w:val="14"/>
              <w:szCs w:val="14"/>
            </w:rPr>
            <w:t xml:space="preserve">Published by the Commonwealth of </w:t>
          </w:r>
          <w:smartTag w:uri="urn:schemas-microsoft-com:office:smarttags" w:element="place">
            <w:smartTag w:uri="urn:schemas-microsoft-com:office:smarttags" w:element="country-region">
              <w:r w:rsidRPr="005E7AE5">
                <w:rPr>
                  <w:rFonts w:cs="Arial"/>
                  <w:sz w:val="14"/>
                  <w:szCs w:val="14"/>
                </w:rPr>
                <w:t>Australia</w:t>
              </w:r>
            </w:smartTag>
          </w:smartTag>
        </w:p>
      </w:tc>
      <w:tc>
        <w:tcPr>
          <w:tcW w:w="3979" w:type="dxa"/>
          <w:tcBorders>
            <w:top w:val="single" w:sz="4" w:space="0" w:color="auto"/>
            <w:left w:val="nil"/>
            <w:bottom w:val="single" w:sz="4" w:space="0" w:color="auto"/>
            <w:right w:val="nil"/>
          </w:tcBorders>
          <w:shd w:val="clear" w:color="auto" w:fill="000000"/>
          <w:vAlign w:val="bottom"/>
        </w:tcPr>
        <w:p w:rsidR="00114CB2" w:rsidRPr="005E7AE5" w:rsidRDefault="00114CB2" w:rsidP="008D0A06">
          <w:pPr>
            <w:spacing w:after="0" w:line="276" w:lineRule="auto"/>
            <w:jc w:val="right"/>
            <w:rPr>
              <w:rFonts w:cs="Arial"/>
              <w:b/>
              <w:sz w:val="24"/>
              <w:szCs w:val="24"/>
            </w:rPr>
          </w:pPr>
          <w:r w:rsidRPr="005E7AE5">
            <w:rPr>
              <w:rFonts w:cs="Arial"/>
              <w:b/>
              <w:sz w:val="24"/>
              <w:szCs w:val="24"/>
            </w:rPr>
            <w:t>GOVERNMENT NOTICES</w:t>
          </w:r>
        </w:p>
      </w:tc>
    </w:tr>
  </w:tbl>
  <w:p w:rsidR="00114CB2" w:rsidRPr="003A707F" w:rsidRDefault="00114CB2" w:rsidP="00F40885">
    <w:pPr>
      <w:pStyle w:val="Header"/>
      <w:rPr>
        <w:sz w:val="2"/>
        <w:szCs w:val="2"/>
      </w:rPr>
    </w:pPr>
  </w:p>
  <w:p w:rsidR="00114CB2" w:rsidRPr="00F40885" w:rsidRDefault="00114CB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32CC3"/>
    <w:multiLevelType w:val="hybridMultilevel"/>
    <w:tmpl w:val="4E629648"/>
    <w:lvl w:ilvl="0" w:tplc="71A2D9D0">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07360"/>
    <w:rsid w:val="00084784"/>
    <w:rsid w:val="000970F2"/>
    <w:rsid w:val="000E1F2B"/>
    <w:rsid w:val="00106824"/>
    <w:rsid w:val="00114CB2"/>
    <w:rsid w:val="00141674"/>
    <w:rsid w:val="00151647"/>
    <w:rsid w:val="00174BD4"/>
    <w:rsid w:val="00180A9A"/>
    <w:rsid w:val="001C2AAD"/>
    <w:rsid w:val="001F6E54"/>
    <w:rsid w:val="00237961"/>
    <w:rsid w:val="00280BCD"/>
    <w:rsid w:val="002C0CCE"/>
    <w:rsid w:val="002F3FFB"/>
    <w:rsid w:val="003A707F"/>
    <w:rsid w:val="003B0EC1"/>
    <w:rsid w:val="003B573B"/>
    <w:rsid w:val="003F2CBD"/>
    <w:rsid w:val="00422F2E"/>
    <w:rsid w:val="00424B97"/>
    <w:rsid w:val="004B2753"/>
    <w:rsid w:val="004C5A5D"/>
    <w:rsid w:val="004E56BF"/>
    <w:rsid w:val="00520873"/>
    <w:rsid w:val="00573D44"/>
    <w:rsid w:val="005D7EFC"/>
    <w:rsid w:val="005E7AE5"/>
    <w:rsid w:val="00616661"/>
    <w:rsid w:val="00623FBC"/>
    <w:rsid w:val="00636F01"/>
    <w:rsid w:val="006B38CC"/>
    <w:rsid w:val="00773255"/>
    <w:rsid w:val="007C490F"/>
    <w:rsid w:val="007E2CA6"/>
    <w:rsid w:val="007E4ED4"/>
    <w:rsid w:val="007F191A"/>
    <w:rsid w:val="00840A06"/>
    <w:rsid w:val="008439B7"/>
    <w:rsid w:val="008467D1"/>
    <w:rsid w:val="00851F51"/>
    <w:rsid w:val="0087253F"/>
    <w:rsid w:val="008823EB"/>
    <w:rsid w:val="008A25CE"/>
    <w:rsid w:val="008D0A06"/>
    <w:rsid w:val="008D17C9"/>
    <w:rsid w:val="008D30A5"/>
    <w:rsid w:val="008E4F6C"/>
    <w:rsid w:val="00930E40"/>
    <w:rsid w:val="0094219E"/>
    <w:rsid w:val="00943B8D"/>
    <w:rsid w:val="009539C7"/>
    <w:rsid w:val="0095650D"/>
    <w:rsid w:val="009641EC"/>
    <w:rsid w:val="00A00F21"/>
    <w:rsid w:val="00A41F5C"/>
    <w:rsid w:val="00A60CE8"/>
    <w:rsid w:val="00A83BCC"/>
    <w:rsid w:val="00A85D11"/>
    <w:rsid w:val="00AD0943"/>
    <w:rsid w:val="00B04E06"/>
    <w:rsid w:val="00B4706B"/>
    <w:rsid w:val="00B6495D"/>
    <w:rsid w:val="00B84226"/>
    <w:rsid w:val="00BC3F4D"/>
    <w:rsid w:val="00C51D3C"/>
    <w:rsid w:val="00C63C4E"/>
    <w:rsid w:val="00D4639E"/>
    <w:rsid w:val="00D77A88"/>
    <w:rsid w:val="00DC142B"/>
    <w:rsid w:val="00E6384F"/>
    <w:rsid w:val="00E823AE"/>
    <w:rsid w:val="00EB3C1D"/>
    <w:rsid w:val="00ED2E52"/>
    <w:rsid w:val="00F232E7"/>
    <w:rsid w:val="00F278A7"/>
    <w:rsid w:val="00F40885"/>
    <w:rsid w:val="00F44FF5"/>
    <w:rsid w:val="00FA0A9F"/>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GivenName"/>
  <w:smartTagType w:namespaceuri="urn:schemas-microsoft-com:office:smarttags" w:name="country-region"/>
  <w:smartTagType w:namespaceuri="urn:schemas:contacts" w:name="Sn"/>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39506">
      <w:bodyDiv w:val="1"/>
      <w:marLeft w:val="0"/>
      <w:marRight w:val="0"/>
      <w:marTop w:val="0"/>
      <w:marBottom w:val="0"/>
      <w:divBdr>
        <w:top w:val="none" w:sz="0" w:space="0" w:color="auto"/>
        <w:left w:val="none" w:sz="0" w:space="0" w:color="auto"/>
        <w:bottom w:val="none" w:sz="0" w:space="0" w:color="auto"/>
        <w:right w:val="none" w:sz="0" w:space="0" w:color="auto"/>
      </w:divBdr>
    </w:div>
    <w:div w:id="522474549">
      <w:bodyDiv w:val="1"/>
      <w:marLeft w:val="0"/>
      <w:marRight w:val="0"/>
      <w:marTop w:val="0"/>
      <w:marBottom w:val="0"/>
      <w:divBdr>
        <w:top w:val="none" w:sz="0" w:space="0" w:color="auto"/>
        <w:left w:val="none" w:sz="0" w:space="0" w:color="auto"/>
        <w:bottom w:val="none" w:sz="0" w:space="0" w:color="auto"/>
        <w:right w:val="none" w:sz="0" w:space="0" w:color="auto"/>
      </w:divBdr>
    </w:div>
    <w:div w:id="759521024">
      <w:bodyDiv w:val="1"/>
      <w:marLeft w:val="0"/>
      <w:marRight w:val="0"/>
      <w:marTop w:val="0"/>
      <w:marBottom w:val="0"/>
      <w:divBdr>
        <w:top w:val="none" w:sz="0" w:space="0" w:color="auto"/>
        <w:left w:val="none" w:sz="0" w:space="0" w:color="auto"/>
        <w:bottom w:val="none" w:sz="0" w:space="0" w:color="auto"/>
        <w:right w:val="none" w:sz="0" w:space="0" w:color="auto"/>
      </w:divBdr>
    </w:div>
    <w:div w:id="973369356">
      <w:bodyDiv w:val="1"/>
      <w:marLeft w:val="0"/>
      <w:marRight w:val="0"/>
      <w:marTop w:val="0"/>
      <w:marBottom w:val="0"/>
      <w:divBdr>
        <w:top w:val="none" w:sz="0" w:space="0" w:color="auto"/>
        <w:left w:val="none" w:sz="0" w:space="0" w:color="auto"/>
        <w:bottom w:val="none" w:sz="0" w:space="0" w:color="auto"/>
        <w:right w:val="none" w:sz="0" w:space="0" w:color="auto"/>
      </w:divBdr>
    </w:div>
    <w:div w:id="1327780788">
      <w:bodyDiv w:val="1"/>
      <w:marLeft w:val="0"/>
      <w:marRight w:val="0"/>
      <w:marTop w:val="0"/>
      <w:marBottom w:val="0"/>
      <w:divBdr>
        <w:top w:val="none" w:sz="0" w:space="0" w:color="auto"/>
        <w:left w:val="none" w:sz="0" w:space="0" w:color="auto"/>
        <w:bottom w:val="none" w:sz="0" w:space="0" w:color="auto"/>
        <w:right w:val="none" w:sz="0" w:space="0" w:color="auto"/>
      </w:divBdr>
    </w:div>
    <w:div w:id="1499226494">
      <w:bodyDiv w:val="1"/>
      <w:marLeft w:val="0"/>
      <w:marRight w:val="0"/>
      <w:marTop w:val="0"/>
      <w:marBottom w:val="0"/>
      <w:divBdr>
        <w:top w:val="none" w:sz="0" w:space="0" w:color="auto"/>
        <w:left w:val="none" w:sz="0" w:space="0" w:color="auto"/>
        <w:bottom w:val="none" w:sz="0" w:space="0" w:color="auto"/>
        <w:right w:val="none" w:sz="0" w:space="0" w:color="auto"/>
      </w:divBdr>
    </w:div>
    <w:div w:id="1507672094">
      <w:bodyDiv w:val="1"/>
      <w:marLeft w:val="0"/>
      <w:marRight w:val="0"/>
      <w:marTop w:val="0"/>
      <w:marBottom w:val="0"/>
      <w:divBdr>
        <w:top w:val="none" w:sz="0" w:space="0" w:color="auto"/>
        <w:left w:val="none" w:sz="0" w:space="0" w:color="auto"/>
        <w:bottom w:val="none" w:sz="0" w:space="0" w:color="auto"/>
        <w:right w:val="none" w:sz="0" w:space="0" w:color="auto"/>
      </w:divBdr>
    </w:div>
    <w:div w:id="1955020270">
      <w:bodyDiv w:val="1"/>
      <w:marLeft w:val="0"/>
      <w:marRight w:val="0"/>
      <w:marTop w:val="0"/>
      <w:marBottom w:val="0"/>
      <w:divBdr>
        <w:top w:val="none" w:sz="0" w:space="0" w:color="auto"/>
        <w:left w:val="none" w:sz="0" w:space="0" w:color="auto"/>
        <w:bottom w:val="none" w:sz="0" w:space="0" w:color="auto"/>
        <w:right w:val="none" w:sz="0" w:space="0" w:color="auto"/>
      </w:divBdr>
    </w:div>
    <w:div w:id="20111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to.gov.a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9814-7134-400E-9C57-04FE4A9F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Kaye Reid</cp:lastModifiedBy>
  <cp:revision>5</cp:revision>
  <cp:lastPrinted>2013-06-24T01:35:00Z</cp:lastPrinted>
  <dcterms:created xsi:type="dcterms:W3CDTF">2019-05-09T06:27:00Z</dcterms:created>
  <dcterms:modified xsi:type="dcterms:W3CDTF">2019-05-09T23:25:00Z</dcterms:modified>
</cp:coreProperties>
</file>