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8F" w:rsidRPr="0039538F" w:rsidRDefault="0039538F" w:rsidP="0039538F">
      <w:pPr>
        <w:rPr>
          <w:b/>
        </w:rPr>
      </w:pPr>
      <w:r w:rsidRPr="0039538F">
        <w:rPr>
          <w:b/>
        </w:rPr>
        <w:t xml:space="preserve">HEAVY VEHICLE NATIONAL LAW </w:t>
      </w:r>
    </w:p>
    <w:p w:rsidR="00C06C4F" w:rsidRPr="0039538F" w:rsidRDefault="0039538F" w:rsidP="0039538F">
      <w:pPr>
        <w:rPr>
          <w:b/>
        </w:rPr>
      </w:pPr>
      <w:r w:rsidRPr="0039538F">
        <w:rPr>
          <w:b/>
        </w:rPr>
        <w:t>South Australian Heavy Vehicle Standards (Conditionally Registered Special Purpose Vehicle) Exemption Notice 2019 (No.2)</w:t>
      </w:r>
    </w:p>
    <w:p w:rsidR="0039538F" w:rsidRDefault="0039538F" w:rsidP="0039538F">
      <w:pPr>
        <w:pStyle w:val="ListParagraph"/>
        <w:numPr>
          <w:ilvl w:val="0"/>
          <w:numId w:val="1"/>
        </w:numPr>
        <w:rPr>
          <w:b/>
        </w:rPr>
      </w:pPr>
      <w:r w:rsidRPr="0039538F">
        <w:rPr>
          <w:b/>
        </w:rPr>
        <w:t>Purpose</w:t>
      </w:r>
    </w:p>
    <w:p w:rsidR="0039538F" w:rsidRPr="0039538F" w:rsidRDefault="0039538F" w:rsidP="0039538F">
      <w:pPr>
        <w:pStyle w:val="ListParagraph"/>
        <w:rPr>
          <w:b/>
        </w:rPr>
      </w:pPr>
    </w:p>
    <w:p w:rsidR="0039538F" w:rsidRDefault="0039538F" w:rsidP="0039538F">
      <w:pPr>
        <w:pStyle w:val="ListParagraph"/>
        <w:numPr>
          <w:ilvl w:val="0"/>
          <w:numId w:val="2"/>
        </w:numPr>
      </w:pPr>
      <w:r>
        <w:t>The purpose of this notice is to exempt a heavy vehicle to which it applies from certain requirements of the Heavy Vehicle (Vehicle Standards) National Regulation (the National Regulation).</w:t>
      </w:r>
    </w:p>
    <w:p w:rsidR="0039538F" w:rsidRDefault="0039538F" w:rsidP="0039538F">
      <w:pPr>
        <w:pStyle w:val="ListParagraph"/>
        <w:ind w:left="1080"/>
      </w:pPr>
    </w:p>
    <w:p w:rsidR="0039538F" w:rsidRDefault="0039538F" w:rsidP="0039538F">
      <w:pPr>
        <w:pStyle w:val="ListParagraph"/>
        <w:numPr>
          <w:ilvl w:val="0"/>
          <w:numId w:val="2"/>
        </w:numPr>
      </w:pPr>
      <w:r>
        <w:t>This notice revokes and replaces the South Australian Heavy Vehicle Standards (Conditionally Registered Special Purpose Vehicle) Exemption Notice 2019 (No. 1).</w:t>
      </w:r>
    </w:p>
    <w:p w:rsidR="0039538F" w:rsidRPr="0039538F" w:rsidRDefault="0039538F" w:rsidP="0039538F">
      <w:pPr>
        <w:ind w:left="2160" w:hanging="1080"/>
        <w:rPr>
          <w:i/>
        </w:rPr>
      </w:pPr>
      <w:r w:rsidRPr="0039538F">
        <w:rPr>
          <w:i/>
        </w:rPr>
        <w:t>Note:</w:t>
      </w:r>
      <w:r w:rsidRPr="0039538F">
        <w:rPr>
          <w:i/>
        </w:rPr>
        <w:tab/>
        <w:t>This Notice is not an access authorisation. This Notice only provides Vehicle Standards exemptions, and does not authorise access to the road network for a vehicle that exceeds dimension limits. To gain access to the road network, a vehicle must comply with a current access authorisation, either under Gazetted notice or under permit.</w:t>
      </w:r>
    </w:p>
    <w:p w:rsidR="0039538F" w:rsidRPr="0039538F" w:rsidRDefault="0039538F" w:rsidP="0039538F">
      <w:pPr>
        <w:pStyle w:val="ListParagraph"/>
        <w:numPr>
          <w:ilvl w:val="0"/>
          <w:numId w:val="1"/>
        </w:numPr>
        <w:rPr>
          <w:b/>
        </w:rPr>
      </w:pPr>
      <w:r w:rsidRPr="0039538F">
        <w:rPr>
          <w:b/>
        </w:rPr>
        <w:t>Authorising Provision</w:t>
      </w:r>
    </w:p>
    <w:p w:rsidR="0039538F" w:rsidRDefault="0039538F" w:rsidP="0039538F">
      <w:pPr>
        <w:ind w:left="720"/>
      </w:pPr>
      <w:r>
        <w:t>This notice is made under Section 61 of the Heavy Vehicle National Law (HVNL) as in force in South Australia.</w:t>
      </w:r>
    </w:p>
    <w:p w:rsidR="0039538F" w:rsidRPr="0039538F" w:rsidRDefault="0039538F" w:rsidP="0039538F">
      <w:pPr>
        <w:pStyle w:val="ListParagraph"/>
        <w:numPr>
          <w:ilvl w:val="0"/>
          <w:numId w:val="1"/>
        </w:numPr>
        <w:rPr>
          <w:b/>
        </w:rPr>
      </w:pPr>
      <w:r w:rsidRPr="0039538F">
        <w:rPr>
          <w:b/>
        </w:rPr>
        <w:t>Commencement</w:t>
      </w:r>
    </w:p>
    <w:p w:rsidR="0039538F" w:rsidRDefault="0039538F" w:rsidP="0039538F">
      <w:pPr>
        <w:ind w:firstLine="720"/>
      </w:pPr>
      <w:r>
        <w:t>This notice commences on the day it is published in the Commonwealth Gazette.</w:t>
      </w:r>
    </w:p>
    <w:p w:rsidR="0039538F" w:rsidRPr="0039538F" w:rsidRDefault="0039538F" w:rsidP="0039538F">
      <w:pPr>
        <w:pStyle w:val="ListParagraph"/>
        <w:numPr>
          <w:ilvl w:val="0"/>
          <w:numId w:val="1"/>
        </w:numPr>
        <w:rPr>
          <w:b/>
        </w:rPr>
      </w:pPr>
      <w:r w:rsidRPr="0039538F">
        <w:rPr>
          <w:b/>
        </w:rPr>
        <w:t>Expiry</w:t>
      </w:r>
    </w:p>
    <w:p w:rsidR="0039538F" w:rsidRDefault="0039538F" w:rsidP="0039538F">
      <w:pPr>
        <w:ind w:firstLine="720"/>
      </w:pPr>
      <w:r>
        <w:t>This notice expires on 9 February 2024.</w:t>
      </w:r>
    </w:p>
    <w:p w:rsidR="0039538F" w:rsidRDefault="0039538F" w:rsidP="0039538F">
      <w:pPr>
        <w:pStyle w:val="ListParagraph"/>
        <w:numPr>
          <w:ilvl w:val="0"/>
          <w:numId w:val="1"/>
        </w:numPr>
        <w:rPr>
          <w:b/>
        </w:rPr>
      </w:pPr>
      <w:r w:rsidRPr="0039538F">
        <w:rPr>
          <w:b/>
        </w:rPr>
        <w:t>Definitions</w:t>
      </w:r>
    </w:p>
    <w:p w:rsidR="0039538F" w:rsidRPr="0039538F" w:rsidRDefault="0039538F" w:rsidP="0039538F">
      <w:pPr>
        <w:pStyle w:val="ListParagraph"/>
        <w:rPr>
          <w:b/>
        </w:rPr>
      </w:pPr>
    </w:p>
    <w:p w:rsidR="0039538F" w:rsidRDefault="0039538F" w:rsidP="0039538F">
      <w:pPr>
        <w:pStyle w:val="ListParagraph"/>
        <w:numPr>
          <w:ilvl w:val="0"/>
          <w:numId w:val="3"/>
        </w:numPr>
      </w:pPr>
      <w:r>
        <w:t>Unless otherwise stated, words and expressions used in this notice have the same meanings as those defined in the HVNL.</w:t>
      </w:r>
    </w:p>
    <w:p w:rsidR="0039538F" w:rsidRDefault="0039538F" w:rsidP="0039538F">
      <w:pPr>
        <w:pStyle w:val="ListParagraph"/>
        <w:ind w:left="1080"/>
      </w:pPr>
    </w:p>
    <w:p w:rsidR="0039538F" w:rsidRDefault="0039538F" w:rsidP="0039538F">
      <w:pPr>
        <w:pStyle w:val="ListParagraph"/>
        <w:numPr>
          <w:ilvl w:val="0"/>
          <w:numId w:val="3"/>
        </w:numPr>
      </w:pPr>
      <w:r>
        <w:t>In this notice:</w:t>
      </w:r>
    </w:p>
    <w:p w:rsidR="0039538F" w:rsidRDefault="0039538F" w:rsidP="0039538F">
      <w:pPr>
        <w:ind w:left="1080"/>
      </w:pPr>
      <w:r w:rsidRPr="0039538F">
        <w:rPr>
          <w:b/>
          <w:i/>
        </w:rPr>
        <w:t>Conditional Registration</w:t>
      </w:r>
      <w:r>
        <w:t xml:space="preserve"> means a vehicle registered in South Australia pursuant to the requirements of Section 25 of the Motor Vehicle Act 1959 (SA).</w:t>
      </w:r>
    </w:p>
    <w:p w:rsidR="0039538F" w:rsidRDefault="0039538F" w:rsidP="00B33451">
      <w:pPr>
        <w:ind w:left="1080"/>
      </w:pPr>
      <w:r w:rsidRPr="0039538F">
        <w:rPr>
          <w:b/>
          <w:i/>
        </w:rPr>
        <w:lastRenderedPageBreak/>
        <w:t>Construction road rollers</w:t>
      </w:r>
      <w:r>
        <w:t xml:space="preserve"> means steel smooth drum roll</w:t>
      </w:r>
      <w:r>
        <w:t xml:space="preserve">ers, steel grid rollers, steel </w:t>
      </w:r>
      <w:proofErr w:type="spellStart"/>
      <w:r>
        <w:t>sheeps</w:t>
      </w:r>
      <w:proofErr w:type="spellEnd"/>
      <w:r>
        <w:t>-foot rollers and combination steel smooth drum/ multi-tyred road rollers which do not have their own motive power and which are designed and constructed to only be drawn by a towing vehicle.</w:t>
      </w:r>
    </w:p>
    <w:p w:rsidR="0039538F" w:rsidRDefault="0039538F" w:rsidP="0039538F">
      <w:pPr>
        <w:ind w:left="1080"/>
      </w:pPr>
      <w:proofErr w:type="gramStart"/>
      <w:r w:rsidRPr="0039538F">
        <w:rPr>
          <w:b/>
          <w:i/>
        </w:rPr>
        <w:t>multi-tyred</w:t>
      </w:r>
      <w:proofErr w:type="gramEnd"/>
      <w:r w:rsidRPr="0039538F">
        <w:rPr>
          <w:b/>
          <w:i/>
        </w:rPr>
        <w:t xml:space="preserve"> road roller</w:t>
      </w:r>
      <w:r>
        <w:t xml:space="preserve"> means a vehicle fitted with pneumatic tyres and used for the purpose of compacting soil, asphalt and other products used in road construction.</w:t>
      </w:r>
    </w:p>
    <w:p w:rsidR="0039538F" w:rsidRDefault="0039538F" w:rsidP="0039538F">
      <w:pPr>
        <w:ind w:left="1080"/>
      </w:pPr>
      <w:r w:rsidRPr="0039538F">
        <w:rPr>
          <w:b/>
          <w:i/>
        </w:rPr>
        <w:t>Period of low visibility</w:t>
      </w:r>
      <w:r>
        <w:t xml:space="preserve"> means any time when, owing to insufficient daylight or unfavourable conditions, persons or vehicles on a road are not clearly visible at a distance of 250 </w:t>
      </w:r>
      <w:r>
        <w:t>m to a person of normal vision.</w:t>
      </w:r>
    </w:p>
    <w:p w:rsidR="0039538F" w:rsidRDefault="0039538F" w:rsidP="0039538F">
      <w:pPr>
        <w:ind w:left="1080"/>
      </w:pPr>
      <w:r w:rsidRPr="0039538F">
        <w:rPr>
          <w:b/>
          <w:i/>
        </w:rPr>
        <w:t>Plant equipment vehicle (PEV)</w:t>
      </w:r>
      <w:r>
        <w:t xml:space="preserve"> means a vehicle built or permanently modified to operate off road, on road related areas, or on an area of road that is under construction or repair; and is not constructed </w:t>
      </w:r>
      <w:r>
        <w:t>on a conventional truck chassis</w:t>
      </w:r>
    </w:p>
    <w:p w:rsidR="0039538F" w:rsidRPr="0039538F" w:rsidRDefault="0039538F" w:rsidP="0039538F">
      <w:pPr>
        <w:ind w:left="1080"/>
        <w:rPr>
          <w:i/>
        </w:rPr>
      </w:pPr>
      <w:r w:rsidRPr="0039538F">
        <w:rPr>
          <w:i/>
        </w:rPr>
        <w:t>Examples include forklifts, backhoes, bulldozers, excavators, front-end loaders, tractors, agricultural vehicle, graders,</w:t>
      </w:r>
      <w:r w:rsidRPr="0039538F">
        <w:rPr>
          <w:i/>
        </w:rPr>
        <w:t xml:space="preserve"> and construction road rollers.</w:t>
      </w:r>
    </w:p>
    <w:p w:rsidR="0039538F" w:rsidRDefault="0039538F" w:rsidP="0039538F">
      <w:pPr>
        <w:ind w:left="1080"/>
      </w:pPr>
      <w:r w:rsidRPr="0039538F">
        <w:rPr>
          <w:b/>
          <w:i/>
        </w:rPr>
        <w:t>Special purpose vehicle (SPV)</w:t>
      </w:r>
      <w:r>
        <w:t xml:space="preserve"> means a conditionally registered vehicle that is an agricultural vehicle or a plant equipment vehicle and does not include a mobile crane.</w:t>
      </w:r>
    </w:p>
    <w:p w:rsidR="0039538F" w:rsidRPr="0039538F" w:rsidRDefault="0039538F" w:rsidP="0039538F">
      <w:pPr>
        <w:pStyle w:val="ListParagraph"/>
        <w:numPr>
          <w:ilvl w:val="0"/>
          <w:numId w:val="1"/>
        </w:numPr>
        <w:rPr>
          <w:b/>
        </w:rPr>
      </w:pPr>
      <w:r w:rsidRPr="0039538F">
        <w:rPr>
          <w:b/>
        </w:rPr>
        <w:t>Title</w:t>
      </w:r>
    </w:p>
    <w:p w:rsidR="0039538F" w:rsidRDefault="0039538F" w:rsidP="00C559B6">
      <w:pPr>
        <w:ind w:left="720"/>
      </w:pPr>
      <w:r>
        <w:t>This Notice may be cited as the South Australian Heavy Vehicle Standards (Conditionally Registered Special Purpose Vehicle) Exemption Notice 2019 (No. 2).</w:t>
      </w:r>
    </w:p>
    <w:p w:rsidR="0039538F" w:rsidRDefault="0039538F" w:rsidP="0039538F">
      <w:pPr>
        <w:pStyle w:val="ListParagraph"/>
        <w:numPr>
          <w:ilvl w:val="0"/>
          <w:numId w:val="1"/>
        </w:numPr>
        <w:rPr>
          <w:b/>
        </w:rPr>
      </w:pPr>
      <w:r w:rsidRPr="0039538F">
        <w:rPr>
          <w:b/>
        </w:rPr>
        <w:t>Application</w:t>
      </w:r>
    </w:p>
    <w:p w:rsidR="00A915BE" w:rsidRPr="0039538F" w:rsidRDefault="00A915BE" w:rsidP="00A915BE">
      <w:pPr>
        <w:pStyle w:val="ListParagraph"/>
        <w:rPr>
          <w:b/>
        </w:rPr>
      </w:pPr>
    </w:p>
    <w:p w:rsidR="0039538F" w:rsidRDefault="0039538F" w:rsidP="00C559B6">
      <w:pPr>
        <w:pStyle w:val="ListParagraph"/>
        <w:numPr>
          <w:ilvl w:val="0"/>
          <w:numId w:val="4"/>
        </w:numPr>
      </w:pPr>
      <w:r>
        <w:t>This notice applies in the State of South Australia.</w:t>
      </w:r>
    </w:p>
    <w:p w:rsidR="00C559B6" w:rsidRDefault="00C559B6" w:rsidP="00C559B6">
      <w:pPr>
        <w:pStyle w:val="ListParagraph"/>
        <w:ind w:left="1080"/>
      </w:pPr>
    </w:p>
    <w:p w:rsidR="0039538F" w:rsidRDefault="0039538F" w:rsidP="00C559B6">
      <w:pPr>
        <w:pStyle w:val="ListParagraph"/>
        <w:numPr>
          <w:ilvl w:val="0"/>
          <w:numId w:val="4"/>
        </w:numPr>
      </w:pPr>
      <w:r>
        <w:t>This notice applies to an agricultural vehicle being driven on a road or road related area for the purpose of:</w:t>
      </w:r>
    </w:p>
    <w:p w:rsidR="0039538F" w:rsidRDefault="0039538F" w:rsidP="00C559B6">
      <w:pPr>
        <w:pStyle w:val="ListParagraph"/>
        <w:numPr>
          <w:ilvl w:val="0"/>
          <w:numId w:val="5"/>
        </w:numPr>
      </w:pPr>
      <w:r>
        <w:t>undertaking activities involved directly with primary production; or</w:t>
      </w:r>
    </w:p>
    <w:p w:rsidR="0039538F" w:rsidRDefault="0039538F" w:rsidP="00C559B6">
      <w:pPr>
        <w:pStyle w:val="ListParagraph"/>
        <w:numPr>
          <w:ilvl w:val="0"/>
          <w:numId w:val="5"/>
        </w:numPr>
      </w:pPr>
      <w:r>
        <w:t>transport to or from a farm machinery dealership to a place of agricultural operation, display or repair and return; or</w:t>
      </w:r>
    </w:p>
    <w:p w:rsidR="0039538F" w:rsidRDefault="0039538F" w:rsidP="00C559B6">
      <w:pPr>
        <w:pStyle w:val="ListParagraph"/>
        <w:numPr>
          <w:ilvl w:val="0"/>
          <w:numId w:val="5"/>
        </w:numPr>
      </w:pPr>
      <w:proofErr w:type="gramStart"/>
      <w:r>
        <w:t>transport</w:t>
      </w:r>
      <w:proofErr w:type="gramEnd"/>
      <w:r>
        <w:t xml:space="preserve"> to or from a place of an agricultural operation to another place of agricultural operation.</w:t>
      </w:r>
    </w:p>
    <w:p w:rsidR="0039538F" w:rsidRDefault="0039538F" w:rsidP="00C559B6">
      <w:pPr>
        <w:pStyle w:val="ListParagraph"/>
        <w:numPr>
          <w:ilvl w:val="0"/>
          <w:numId w:val="4"/>
        </w:numPr>
      </w:pPr>
      <w:r>
        <w:t>This notice applies to a PEV driven on a road or road related area for the purpose of:</w:t>
      </w:r>
    </w:p>
    <w:p w:rsidR="0039538F" w:rsidRDefault="0039538F" w:rsidP="00C559B6">
      <w:pPr>
        <w:pStyle w:val="ListParagraph"/>
        <w:numPr>
          <w:ilvl w:val="0"/>
          <w:numId w:val="6"/>
        </w:numPr>
      </w:pPr>
      <w:r>
        <w:t>maintenance and/or construction of:</w:t>
      </w:r>
    </w:p>
    <w:p w:rsidR="0039538F" w:rsidRDefault="0039538F" w:rsidP="00C559B6">
      <w:pPr>
        <w:pStyle w:val="ListParagraph"/>
        <w:numPr>
          <w:ilvl w:val="0"/>
          <w:numId w:val="7"/>
        </w:numPr>
      </w:pPr>
      <w:r>
        <w:t>roads</w:t>
      </w:r>
    </w:p>
    <w:p w:rsidR="0039538F" w:rsidRDefault="0039538F" w:rsidP="00C559B6">
      <w:pPr>
        <w:pStyle w:val="ListParagraph"/>
        <w:numPr>
          <w:ilvl w:val="0"/>
          <w:numId w:val="7"/>
        </w:numPr>
      </w:pPr>
      <w:r>
        <w:t>road related areas</w:t>
      </w:r>
    </w:p>
    <w:p w:rsidR="0039538F" w:rsidRDefault="0039538F" w:rsidP="00C559B6">
      <w:pPr>
        <w:pStyle w:val="ListParagraph"/>
        <w:numPr>
          <w:ilvl w:val="0"/>
          <w:numId w:val="7"/>
        </w:numPr>
      </w:pPr>
      <w:r>
        <w:t xml:space="preserve">bridges </w:t>
      </w:r>
    </w:p>
    <w:p w:rsidR="0039538F" w:rsidRDefault="0039538F" w:rsidP="00C559B6">
      <w:pPr>
        <w:pStyle w:val="ListParagraph"/>
        <w:numPr>
          <w:ilvl w:val="0"/>
          <w:numId w:val="7"/>
        </w:numPr>
      </w:pPr>
      <w:r>
        <w:t>culverts</w:t>
      </w:r>
    </w:p>
    <w:p w:rsidR="0039538F" w:rsidRDefault="0039538F" w:rsidP="00C559B6">
      <w:pPr>
        <w:pStyle w:val="ListParagraph"/>
        <w:numPr>
          <w:ilvl w:val="0"/>
          <w:numId w:val="6"/>
        </w:numPr>
      </w:pPr>
      <w:proofErr w:type="gramStart"/>
      <w:r>
        <w:t>transport</w:t>
      </w:r>
      <w:proofErr w:type="gramEnd"/>
      <w:r>
        <w:t xml:space="preserve"> between depots and worksites by the shortest suitable route.</w:t>
      </w:r>
    </w:p>
    <w:p w:rsidR="00A915BE" w:rsidRDefault="00A915BE">
      <w:pPr>
        <w:sectPr w:rsidR="00A915BE" w:rsidSect="00B334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A915BE" w:rsidRPr="00B97ECF" w:rsidRDefault="00A915BE" w:rsidP="00A915BE">
      <w:pPr>
        <w:jc w:val="both"/>
        <w:rPr>
          <w:b/>
        </w:rPr>
      </w:pPr>
      <w:r w:rsidRPr="00B97ECF">
        <w:rPr>
          <w:b/>
        </w:rPr>
        <w:lastRenderedPageBreak/>
        <w:t>Table 1</w:t>
      </w:r>
      <w:r>
        <w:rPr>
          <w:b/>
        </w:rPr>
        <w:t xml:space="preserve"> </w:t>
      </w:r>
      <w:r w:rsidRPr="0001600B">
        <w:rPr>
          <w:b/>
        </w:rPr>
        <w:t>Table of exemptions for applicable vehicles</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Caption w:val="Table 1 Table of exemptions for applicable vehicles"/>
        <w:tblDescription w:val="Table of specific items for which exemptiuons under this Notice apply."/>
      </w:tblPr>
      <w:tblGrid>
        <w:gridCol w:w="1264"/>
        <w:gridCol w:w="14"/>
        <w:gridCol w:w="2942"/>
        <w:gridCol w:w="35"/>
        <w:gridCol w:w="1935"/>
        <w:gridCol w:w="49"/>
        <w:gridCol w:w="2094"/>
        <w:gridCol w:w="6014"/>
        <w:gridCol w:w="116"/>
      </w:tblGrid>
      <w:tr w:rsidR="00A915BE" w:rsidRPr="00A66F7A" w:rsidTr="00F62B00">
        <w:trPr>
          <w:trHeight w:val="360"/>
          <w:jc w:val="center"/>
        </w:trPr>
        <w:tc>
          <w:tcPr>
            <w:tcW w:w="442" w:type="pct"/>
            <w:gridSpan w:val="2"/>
            <w:shd w:val="clear" w:color="auto" w:fill="D9D9D9" w:themeFill="background1" w:themeFillShade="D9"/>
            <w:vAlign w:val="center"/>
          </w:tcPr>
          <w:p w:rsidR="00A915BE" w:rsidRPr="00F62B00" w:rsidRDefault="00A915BE" w:rsidP="00295D9F">
            <w:pPr>
              <w:spacing w:after="0"/>
              <w:jc w:val="both"/>
              <w:rPr>
                <w:rFonts w:ascii="Calibri" w:eastAsia="Times New Roman" w:hAnsi="Calibri" w:cs="Times New Roman"/>
                <w:b/>
                <w:color w:val="000000"/>
                <w:sz w:val="16"/>
                <w:szCs w:val="16"/>
                <w:lang w:eastAsia="en-AU"/>
              </w:rPr>
            </w:pPr>
            <w:r w:rsidRPr="00F62B00">
              <w:rPr>
                <w:rFonts w:ascii="Calibri" w:eastAsia="Times New Roman" w:hAnsi="Calibri" w:cs="Times New Roman"/>
                <w:b/>
                <w:color w:val="000000"/>
                <w:sz w:val="16"/>
                <w:szCs w:val="16"/>
                <w:lang w:eastAsia="en-AU"/>
              </w:rPr>
              <w:t>Column one</w:t>
            </w:r>
          </w:p>
        </w:tc>
        <w:tc>
          <w:tcPr>
            <w:tcW w:w="1029" w:type="pct"/>
            <w:gridSpan w:val="2"/>
            <w:shd w:val="clear" w:color="auto" w:fill="D9D9D9" w:themeFill="background1" w:themeFillShade="D9"/>
            <w:vAlign w:val="center"/>
          </w:tcPr>
          <w:p w:rsidR="00A915BE" w:rsidRPr="00F62B00" w:rsidRDefault="00A915BE" w:rsidP="00295D9F">
            <w:pPr>
              <w:spacing w:after="0"/>
              <w:jc w:val="both"/>
              <w:rPr>
                <w:rFonts w:ascii="Calibri" w:eastAsia="Times New Roman" w:hAnsi="Calibri" w:cs="Times New Roman"/>
                <w:b/>
                <w:color w:val="000000"/>
                <w:sz w:val="16"/>
                <w:szCs w:val="16"/>
                <w:lang w:eastAsia="en-AU"/>
              </w:rPr>
            </w:pPr>
            <w:r w:rsidRPr="00F62B00">
              <w:rPr>
                <w:rFonts w:ascii="Calibri" w:eastAsia="Times New Roman" w:hAnsi="Calibri" w:cs="Times New Roman"/>
                <w:b/>
                <w:color w:val="000000"/>
                <w:sz w:val="16"/>
                <w:szCs w:val="16"/>
                <w:lang w:eastAsia="en-AU"/>
              </w:rPr>
              <w:t>Column two</w:t>
            </w:r>
          </w:p>
        </w:tc>
        <w:tc>
          <w:tcPr>
            <w:tcW w:w="686" w:type="pct"/>
            <w:gridSpan w:val="2"/>
            <w:shd w:val="clear" w:color="auto" w:fill="D9D9D9" w:themeFill="background1" w:themeFillShade="D9"/>
            <w:vAlign w:val="center"/>
          </w:tcPr>
          <w:p w:rsidR="00A915BE" w:rsidRPr="00F62B00" w:rsidRDefault="00A915BE" w:rsidP="00295D9F">
            <w:pPr>
              <w:spacing w:after="0"/>
              <w:jc w:val="both"/>
              <w:rPr>
                <w:rFonts w:ascii="Calibri" w:eastAsia="Times New Roman" w:hAnsi="Calibri" w:cs="Times New Roman"/>
                <w:b/>
                <w:color w:val="000000"/>
                <w:sz w:val="16"/>
                <w:szCs w:val="16"/>
                <w:lang w:eastAsia="en-AU"/>
              </w:rPr>
            </w:pPr>
            <w:r w:rsidRPr="00F62B00">
              <w:rPr>
                <w:rFonts w:ascii="Calibri" w:eastAsia="Times New Roman" w:hAnsi="Calibri" w:cs="Times New Roman"/>
                <w:b/>
                <w:color w:val="000000"/>
                <w:sz w:val="16"/>
                <w:szCs w:val="16"/>
                <w:lang w:eastAsia="en-AU"/>
              </w:rPr>
              <w:t>Column three</w:t>
            </w:r>
          </w:p>
        </w:tc>
        <w:tc>
          <w:tcPr>
            <w:tcW w:w="724" w:type="pct"/>
            <w:shd w:val="clear" w:color="auto" w:fill="D9D9D9" w:themeFill="background1" w:themeFillShade="D9"/>
            <w:vAlign w:val="center"/>
          </w:tcPr>
          <w:p w:rsidR="00A915BE" w:rsidRPr="00F62B00" w:rsidRDefault="00A915BE" w:rsidP="00295D9F">
            <w:pPr>
              <w:spacing w:after="0"/>
              <w:jc w:val="both"/>
              <w:rPr>
                <w:rFonts w:ascii="Calibri" w:eastAsia="Times New Roman" w:hAnsi="Calibri" w:cs="Times New Roman"/>
                <w:b/>
                <w:color w:val="000000"/>
                <w:sz w:val="16"/>
                <w:szCs w:val="16"/>
                <w:lang w:eastAsia="en-AU"/>
              </w:rPr>
            </w:pPr>
            <w:r w:rsidRPr="00F62B00">
              <w:rPr>
                <w:rFonts w:ascii="Calibri" w:eastAsia="Times New Roman" w:hAnsi="Calibri" w:cs="Times New Roman"/>
                <w:b/>
                <w:color w:val="000000"/>
                <w:sz w:val="16"/>
                <w:szCs w:val="16"/>
                <w:lang w:eastAsia="en-AU"/>
              </w:rPr>
              <w:t>Column four</w:t>
            </w:r>
          </w:p>
        </w:tc>
        <w:tc>
          <w:tcPr>
            <w:tcW w:w="2119" w:type="pct"/>
            <w:gridSpan w:val="2"/>
            <w:shd w:val="clear" w:color="auto" w:fill="D9D9D9" w:themeFill="background1" w:themeFillShade="D9"/>
            <w:vAlign w:val="center"/>
          </w:tcPr>
          <w:p w:rsidR="00A915BE" w:rsidRPr="00F62B00" w:rsidRDefault="00A915BE" w:rsidP="00295D9F">
            <w:pPr>
              <w:spacing w:after="0"/>
              <w:jc w:val="both"/>
              <w:rPr>
                <w:rFonts w:ascii="Calibri" w:eastAsia="Times New Roman" w:hAnsi="Calibri" w:cs="Times New Roman"/>
                <w:b/>
                <w:color w:val="000000"/>
                <w:sz w:val="16"/>
                <w:szCs w:val="16"/>
                <w:lang w:eastAsia="en-AU"/>
              </w:rPr>
            </w:pPr>
            <w:r w:rsidRPr="00F62B00">
              <w:rPr>
                <w:rFonts w:ascii="Calibri" w:eastAsia="Times New Roman" w:hAnsi="Calibri" w:cs="Times New Roman"/>
                <w:b/>
                <w:color w:val="000000"/>
                <w:sz w:val="16"/>
                <w:szCs w:val="16"/>
                <w:lang w:eastAsia="en-AU"/>
              </w:rPr>
              <w:t>Column five</w:t>
            </w:r>
          </w:p>
        </w:tc>
      </w:tr>
      <w:tr w:rsidR="00A915BE" w:rsidRPr="00A66F7A" w:rsidTr="00F62B00">
        <w:trPr>
          <w:trHeight w:val="597"/>
          <w:jc w:val="center"/>
        </w:trPr>
        <w:tc>
          <w:tcPr>
            <w:tcW w:w="442" w:type="pct"/>
            <w:gridSpan w:val="2"/>
            <w:shd w:val="clear" w:color="auto" w:fill="D9D9D9" w:themeFill="background1" w:themeFillShade="D9"/>
            <w:vAlign w:val="center"/>
          </w:tcPr>
          <w:p w:rsidR="00A915BE" w:rsidRPr="00F62B00" w:rsidRDefault="00A915BE" w:rsidP="00295D9F">
            <w:pPr>
              <w:spacing w:after="0"/>
              <w:jc w:val="both"/>
              <w:rPr>
                <w:rFonts w:ascii="Calibri" w:eastAsia="Times New Roman" w:hAnsi="Calibri" w:cs="Times New Roman"/>
                <w:b/>
                <w:i/>
                <w:color w:val="000000"/>
                <w:sz w:val="16"/>
                <w:szCs w:val="16"/>
                <w:lang w:eastAsia="en-AU"/>
              </w:rPr>
            </w:pPr>
            <w:r w:rsidRPr="00F62B00">
              <w:rPr>
                <w:rFonts w:ascii="Calibri" w:eastAsia="Times New Roman" w:hAnsi="Calibri" w:cs="Times New Roman"/>
                <w:b/>
                <w:i/>
                <w:color w:val="000000"/>
                <w:sz w:val="16"/>
                <w:szCs w:val="16"/>
                <w:lang w:eastAsia="en-AU"/>
              </w:rPr>
              <w:t>Item number</w:t>
            </w:r>
          </w:p>
        </w:tc>
        <w:tc>
          <w:tcPr>
            <w:tcW w:w="1029" w:type="pct"/>
            <w:gridSpan w:val="2"/>
            <w:shd w:val="clear" w:color="auto" w:fill="D9D9D9" w:themeFill="background1" w:themeFillShade="D9"/>
            <w:vAlign w:val="center"/>
          </w:tcPr>
          <w:p w:rsidR="00A915BE" w:rsidRPr="00F62B00" w:rsidRDefault="00A915BE" w:rsidP="00295D9F">
            <w:pPr>
              <w:spacing w:after="0"/>
              <w:jc w:val="both"/>
              <w:rPr>
                <w:rFonts w:ascii="Calibri" w:eastAsia="Times New Roman" w:hAnsi="Calibri" w:cs="Times New Roman"/>
                <w:b/>
                <w:i/>
                <w:color w:val="000000"/>
                <w:sz w:val="16"/>
                <w:szCs w:val="16"/>
                <w:lang w:eastAsia="en-AU"/>
              </w:rPr>
            </w:pPr>
            <w:r w:rsidRPr="00F62B00">
              <w:rPr>
                <w:rFonts w:ascii="Calibri" w:eastAsia="Times New Roman" w:hAnsi="Calibri" w:cs="Times New Roman"/>
                <w:b/>
                <w:i/>
                <w:color w:val="000000"/>
                <w:sz w:val="16"/>
                <w:szCs w:val="16"/>
                <w:lang w:eastAsia="en-AU"/>
              </w:rPr>
              <w:t>Component</w:t>
            </w:r>
          </w:p>
        </w:tc>
        <w:tc>
          <w:tcPr>
            <w:tcW w:w="686" w:type="pct"/>
            <w:gridSpan w:val="2"/>
            <w:shd w:val="clear" w:color="auto" w:fill="D9D9D9" w:themeFill="background1" w:themeFillShade="D9"/>
            <w:vAlign w:val="center"/>
          </w:tcPr>
          <w:p w:rsidR="00A915BE" w:rsidRPr="00F62B00" w:rsidRDefault="00A915BE" w:rsidP="00295D9F">
            <w:pPr>
              <w:spacing w:after="0"/>
              <w:jc w:val="both"/>
              <w:rPr>
                <w:rFonts w:ascii="Calibri" w:eastAsia="Times New Roman" w:hAnsi="Calibri" w:cs="Times New Roman"/>
                <w:b/>
                <w:i/>
                <w:color w:val="000000"/>
                <w:sz w:val="16"/>
                <w:szCs w:val="16"/>
                <w:lang w:eastAsia="en-AU"/>
              </w:rPr>
            </w:pPr>
            <w:r w:rsidRPr="00F62B00">
              <w:rPr>
                <w:rFonts w:ascii="Calibri" w:eastAsia="Times New Roman" w:hAnsi="Calibri" w:cs="Times New Roman"/>
                <w:b/>
                <w:i/>
                <w:color w:val="000000"/>
                <w:sz w:val="16"/>
                <w:szCs w:val="16"/>
                <w:lang w:eastAsia="en-AU"/>
              </w:rPr>
              <w:t>Relevant section of Schedule 2 of the National Regulation</w:t>
            </w:r>
          </w:p>
        </w:tc>
        <w:tc>
          <w:tcPr>
            <w:tcW w:w="724" w:type="pct"/>
            <w:shd w:val="clear" w:color="auto" w:fill="D9D9D9" w:themeFill="background1" w:themeFillShade="D9"/>
            <w:vAlign w:val="center"/>
          </w:tcPr>
          <w:p w:rsidR="00A915BE" w:rsidRPr="00F62B00" w:rsidRDefault="00A915BE" w:rsidP="00295D9F">
            <w:pPr>
              <w:spacing w:after="0"/>
              <w:jc w:val="both"/>
              <w:rPr>
                <w:rFonts w:ascii="Calibri" w:eastAsia="Times New Roman" w:hAnsi="Calibri" w:cs="Times New Roman"/>
                <w:b/>
                <w:i/>
                <w:color w:val="000000"/>
                <w:sz w:val="16"/>
                <w:szCs w:val="16"/>
                <w:lang w:eastAsia="en-AU"/>
              </w:rPr>
            </w:pPr>
            <w:r w:rsidRPr="00F62B00">
              <w:rPr>
                <w:rFonts w:ascii="Calibri" w:eastAsia="Times New Roman" w:hAnsi="Calibri" w:cs="Times New Roman"/>
                <w:b/>
                <w:i/>
                <w:color w:val="000000"/>
                <w:sz w:val="16"/>
                <w:szCs w:val="16"/>
                <w:lang w:eastAsia="en-AU"/>
              </w:rPr>
              <w:t>Applicable vehicles</w:t>
            </w:r>
          </w:p>
        </w:tc>
        <w:tc>
          <w:tcPr>
            <w:tcW w:w="2119" w:type="pct"/>
            <w:gridSpan w:val="2"/>
            <w:shd w:val="clear" w:color="auto" w:fill="D9D9D9" w:themeFill="background1" w:themeFillShade="D9"/>
            <w:vAlign w:val="center"/>
          </w:tcPr>
          <w:p w:rsidR="00A915BE" w:rsidRPr="00F62B00" w:rsidRDefault="00A915BE" w:rsidP="00295D9F">
            <w:pPr>
              <w:spacing w:after="0"/>
              <w:jc w:val="both"/>
              <w:rPr>
                <w:rFonts w:ascii="Calibri" w:eastAsia="Times New Roman" w:hAnsi="Calibri" w:cs="Times New Roman"/>
                <w:b/>
                <w:i/>
                <w:color w:val="000000"/>
                <w:sz w:val="16"/>
                <w:szCs w:val="16"/>
                <w:lang w:eastAsia="en-AU"/>
              </w:rPr>
            </w:pPr>
            <w:r w:rsidRPr="00F62B00">
              <w:rPr>
                <w:rFonts w:ascii="Calibri" w:eastAsia="Times New Roman" w:hAnsi="Calibri" w:cs="Times New Roman"/>
                <w:b/>
                <w:i/>
                <w:color w:val="000000"/>
                <w:sz w:val="16"/>
                <w:szCs w:val="16"/>
                <w:lang w:eastAsia="en-AU"/>
              </w:rPr>
              <w:t>Additional Conditions (if applicable)</w:t>
            </w:r>
          </w:p>
        </w:tc>
      </w:tr>
      <w:tr w:rsidR="00A915BE" w:rsidRPr="00FD1803" w:rsidTr="00F62B00">
        <w:trPr>
          <w:trHeight w:val="377"/>
          <w:jc w:val="center"/>
        </w:trPr>
        <w:tc>
          <w:tcPr>
            <w:tcW w:w="442"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1</w:t>
            </w:r>
          </w:p>
        </w:tc>
        <w:tc>
          <w:tcPr>
            <w:tcW w:w="1029" w:type="pct"/>
            <w:gridSpan w:val="2"/>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Turning ability</w:t>
            </w:r>
          </w:p>
        </w:tc>
        <w:tc>
          <w:tcPr>
            <w:tcW w:w="686"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5</w:t>
            </w:r>
          </w:p>
        </w:tc>
        <w:tc>
          <w:tcPr>
            <w:tcW w:w="724" w:type="pct"/>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SPV</w:t>
            </w:r>
          </w:p>
        </w:tc>
        <w:tc>
          <w:tcPr>
            <w:tcW w:w="2119" w:type="pct"/>
            <w:gridSpan w:val="2"/>
            <w:shd w:val="clear" w:color="auto" w:fill="F2F2F2" w:themeFill="background1" w:themeFillShade="F2"/>
            <w:vAlign w:val="center"/>
          </w:tcPr>
          <w:p w:rsidR="00A915BE" w:rsidRPr="00F62B00" w:rsidRDefault="00A915BE" w:rsidP="00295D9F">
            <w:pPr>
              <w:spacing w:after="0"/>
              <w:jc w:val="both"/>
              <w:rPr>
                <w:rFonts w:eastAsia="Times New Roman" w:cs="Times New Roman"/>
                <w:color w:val="000000"/>
                <w:sz w:val="16"/>
                <w:szCs w:val="16"/>
                <w:lang w:eastAsia="en-AU"/>
              </w:rPr>
            </w:pPr>
          </w:p>
        </w:tc>
      </w:tr>
      <w:tr w:rsidR="00A915BE" w:rsidRPr="00FD1803" w:rsidTr="00F62B00">
        <w:trPr>
          <w:trHeight w:val="369"/>
          <w:jc w:val="center"/>
        </w:trPr>
        <w:tc>
          <w:tcPr>
            <w:tcW w:w="442"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2</w:t>
            </w:r>
          </w:p>
        </w:tc>
        <w:tc>
          <w:tcPr>
            <w:tcW w:w="1029" w:type="pct"/>
            <w:gridSpan w:val="2"/>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Protrusions</w:t>
            </w:r>
          </w:p>
        </w:tc>
        <w:tc>
          <w:tcPr>
            <w:tcW w:w="686"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7</w:t>
            </w:r>
          </w:p>
        </w:tc>
        <w:tc>
          <w:tcPr>
            <w:tcW w:w="724" w:type="pct"/>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SPV</w:t>
            </w:r>
          </w:p>
        </w:tc>
        <w:tc>
          <w:tcPr>
            <w:tcW w:w="2119" w:type="pct"/>
            <w:gridSpan w:val="2"/>
            <w:shd w:val="clear" w:color="auto" w:fill="F2F2F2" w:themeFill="background1" w:themeFillShade="F2"/>
            <w:vAlign w:val="center"/>
          </w:tcPr>
          <w:p w:rsidR="00A915BE" w:rsidRPr="00F62B00" w:rsidRDefault="00A915BE" w:rsidP="00295D9F">
            <w:pPr>
              <w:spacing w:after="0"/>
              <w:jc w:val="both"/>
              <w:rPr>
                <w:rFonts w:eastAsia="Times New Roman" w:cs="Times New Roman"/>
                <w:color w:val="000000"/>
                <w:sz w:val="16"/>
                <w:szCs w:val="16"/>
                <w:lang w:eastAsia="en-AU"/>
              </w:rPr>
            </w:pPr>
          </w:p>
        </w:tc>
      </w:tr>
      <w:tr w:rsidR="00A915BE" w:rsidRPr="00FD1803" w:rsidTr="00F62B00">
        <w:trPr>
          <w:trHeight w:val="362"/>
          <w:jc w:val="center"/>
        </w:trPr>
        <w:tc>
          <w:tcPr>
            <w:tcW w:w="442"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3</w:t>
            </w:r>
          </w:p>
        </w:tc>
        <w:tc>
          <w:tcPr>
            <w:tcW w:w="1029" w:type="pct"/>
            <w:gridSpan w:val="2"/>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 xml:space="preserve">Horns, alarms etc. </w:t>
            </w:r>
          </w:p>
        </w:tc>
        <w:tc>
          <w:tcPr>
            <w:tcW w:w="686"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11</w:t>
            </w:r>
          </w:p>
        </w:tc>
        <w:tc>
          <w:tcPr>
            <w:tcW w:w="724" w:type="pct"/>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 xml:space="preserve">SPV </w:t>
            </w:r>
          </w:p>
        </w:tc>
        <w:tc>
          <w:tcPr>
            <w:tcW w:w="2119" w:type="pct"/>
            <w:gridSpan w:val="2"/>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An agricultural vehicle is not exempt from this provision</w:t>
            </w:r>
          </w:p>
        </w:tc>
      </w:tr>
      <w:tr w:rsidR="00A915BE" w:rsidRPr="00FD1803" w:rsidTr="00F62B00">
        <w:trPr>
          <w:trHeight w:val="1061"/>
          <w:jc w:val="center"/>
        </w:trPr>
        <w:tc>
          <w:tcPr>
            <w:tcW w:w="442" w:type="pct"/>
            <w:gridSpan w:val="2"/>
            <w:vAlign w:val="center"/>
          </w:tcPr>
          <w:p w:rsidR="00A915BE" w:rsidRPr="00F62B00" w:rsidRDefault="00A915BE" w:rsidP="00295D9F">
            <w:pPr>
              <w:spacing w:before="120" w:after="12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4</w:t>
            </w:r>
          </w:p>
        </w:tc>
        <w:tc>
          <w:tcPr>
            <w:tcW w:w="1029" w:type="pct"/>
            <w:gridSpan w:val="2"/>
            <w:shd w:val="clear" w:color="auto" w:fill="auto"/>
            <w:vAlign w:val="center"/>
          </w:tcPr>
          <w:p w:rsidR="00A915BE" w:rsidRPr="00F62B00" w:rsidRDefault="00A915BE" w:rsidP="00295D9F">
            <w:pPr>
              <w:spacing w:before="120" w:after="12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 xml:space="preserve">Rear vision mirrors </w:t>
            </w:r>
          </w:p>
        </w:tc>
        <w:tc>
          <w:tcPr>
            <w:tcW w:w="686" w:type="pct"/>
            <w:gridSpan w:val="2"/>
            <w:vAlign w:val="center"/>
          </w:tcPr>
          <w:p w:rsidR="00A915BE" w:rsidRPr="00F62B00" w:rsidRDefault="00A915BE" w:rsidP="00295D9F">
            <w:pPr>
              <w:spacing w:before="120" w:after="12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12</w:t>
            </w:r>
          </w:p>
        </w:tc>
        <w:tc>
          <w:tcPr>
            <w:tcW w:w="724" w:type="pct"/>
            <w:vAlign w:val="center"/>
          </w:tcPr>
          <w:p w:rsidR="00A915BE" w:rsidRPr="00F62B00" w:rsidRDefault="00A915BE" w:rsidP="00295D9F">
            <w:pPr>
              <w:spacing w:before="120" w:after="12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 xml:space="preserve">SPV </w:t>
            </w:r>
          </w:p>
        </w:tc>
        <w:tc>
          <w:tcPr>
            <w:tcW w:w="2119" w:type="pct"/>
            <w:gridSpan w:val="2"/>
            <w:vAlign w:val="center"/>
          </w:tcPr>
          <w:p w:rsidR="00A915BE" w:rsidRPr="00F62B00" w:rsidRDefault="00A915BE" w:rsidP="00295D9F">
            <w:pPr>
              <w:spacing w:before="120" w:after="120"/>
              <w:jc w:val="both"/>
              <w:rPr>
                <w:rFonts w:eastAsia="Times New Roman" w:cs="Times New Roman"/>
                <w:color w:val="000000"/>
                <w:sz w:val="16"/>
                <w:szCs w:val="16"/>
                <w:lang w:eastAsia="en-AU"/>
              </w:rPr>
            </w:pPr>
            <w:r w:rsidRPr="00F62B00">
              <w:rPr>
                <w:sz w:val="16"/>
                <w:szCs w:val="16"/>
              </w:rPr>
              <w:t>An agricultural vehicle is only exempt from this provision where the primary use of the vehicle is under, in or about trees or vines, or any other place which is too low, or too narrow, for the vehicle to work when the vehicle is fitted with mirrors.</w:t>
            </w:r>
          </w:p>
        </w:tc>
      </w:tr>
      <w:tr w:rsidR="00A915BE" w:rsidRPr="00FD1803" w:rsidTr="00F62B00">
        <w:trPr>
          <w:trHeight w:val="355"/>
          <w:jc w:val="center"/>
        </w:trPr>
        <w:tc>
          <w:tcPr>
            <w:tcW w:w="442" w:type="pct"/>
            <w:gridSpan w:val="2"/>
            <w:vAlign w:val="center"/>
          </w:tcPr>
          <w:p w:rsidR="00A915BE" w:rsidRPr="00F62B00" w:rsidRDefault="00A915BE" w:rsidP="00295D9F">
            <w:pPr>
              <w:spacing w:before="120" w:after="12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5</w:t>
            </w:r>
          </w:p>
        </w:tc>
        <w:tc>
          <w:tcPr>
            <w:tcW w:w="1029" w:type="pct"/>
            <w:gridSpan w:val="2"/>
            <w:shd w:val="clear" w:color="auto" w:fill="auto"/>
            <w:vAlign w:val="center"/>
          </w:tcPr>
          <w:p w:rsidR="00A915BE" w:rsidRPr="00F62B00" w:rsidRDefault="00A915BE" w:rsidP="00295D9F">
            <w:pPr>
              <w:spacing w:before="120" w:after="120"/>
              <w:jc w:val="both"/>
              <w:rPr>
                <w:rFonts w:eastAsia="Times New Roman" w:cs="Times New Roman"/>
                <w:color w:val="000000"/>
                <w:sz w:val="16"/>
                <w:szCs w:val="16"/>
                <w:lang w:eastAsia="en-AU"/>
              </w:rPr>
            </w:pPr>
            <w:r w:rsidRPr="00F62B00">
              <w:rPr>
                <w:sz w:val="16"/>
                <w:szCs w:val="16"/>
              </w:rPr>
              <w:t>Tyre tread</w:t>
            </w:r>
          </w:p>
        </w:tc>
        <w:tc>
          <w:tcPr>
            <w:tcW w:w="686" w:type="pct"/>
            <w:gridSpan w:val="2"/>
            <w:vAlign w:val="center"/>
          </w:tcPr>
          <w:p w:rsidR="00A915BE" w:rsidRPr="00F62B00" w:rsidRDefault="00A915BE" w:rsidP="00295D9F">
            <w:pPr>
              <w:spacing w:before="120" w:after="12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28</w:t>
            </w:r>
          </w:p>
        </w:tc>
        <w:tc>
          <w:tcPr>
            <w:tcW w:w="724" w:type="pct"/>
            <w:vAlign w:val="center"/>
          </w:tcPr>
          <w:p w:rsidR="00A915BE" w:rsidRPr="00F62B00" w:rsidRDefault="00A915BE" w:rsidP="00295D9F">
            <w:pPr>
              <w:spacing w:before="120" w:after="120"/>
              <w:jc w:val="both"/>
              <w:rPr>
                <w:rFonts w:eastAsia="Times New Roman" w:cs="Times New Roman"/>
                <w:color w:val="000000"/>
                <w:sz w:val="16"/>
                <w:szCs w:val="16"/>
                <w:lang w:eastAsia="en-AU"/>
              </w:rPr>
            </w:pPr>
            <w:r w:rsidRPr="00F62B00">
              <w:rPr>
                <w:sz w:val="16"/>
                <w:szCs w:val="16"/>
              </w:rPr>
              <w:t>Multi-tyred road roller</w:t>
            </w:r>
          </w:p>
        </w:tc>
        <w:tc>
          <w:tcPr>
            <w:tcW w:w="2119" w:type="pct"/>
            <w:gridSpan w:val="2"/>
            <w:shd w:val="clear" w:color="auto" w:fill="F2F2F2" w:themeFill="background1" w:themeFillShade="F2"/>
            <w:vAlign w:val="center"/>
          </w:tcPr>
          <w:p w:rsidR="00A915BE" w:rsidRPr="00F62B00" w:rsidRDefault="00A915BE" w:rsidP="00295D9F">
            <w:pPr>
              <w:spacing w:after="0"/>
              <w:jc w:val="both"/>
              <w:rPr>
                <w:sz w:val="16"/>
                <w:szCs w:val="16"/>
              </w:rPr>
            </w:pPr>
          </w:p>
        </w:tc>
      </w:tr>
      <w:tr w:rsidR="00A915BE" w:rsidRPr="00FD1803" w:rsidTr="00F62B00">
        <w:trPr>
          <w:trHeight w:val="645"/>
          <w:jc w:val="center"/>
        </w:trPr>
        <w:tc>
          <w:tcPr>
            <w:tcW w:w="442" w:type="pct"/>
            <w:gridSpan w:val="2"/>
            <w:vAlign w:val="center"/>
          </w:tcPr>
          <w:p w:rsidR="00A915BE" w:rsidRPr="00F62B00" w:rsidRDefault="00A915BE" w:rsidP="00295D9F">
            <w:pPr>
              <w:spacing w:before="120" w:after="12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6</w:t>
            </w:r>
          </w:p>
        </w:tc>
        <w:tc>
          <w:tcPr>
            <w:tcW w:w="1029" w:type="pct"/>
            <w:gridSpan w:val="2"/>
            <w:shd w:val="clear" w:color="auto" w:fill="auto"/>
            <w:vAlign w:val="center"/>
          </w:tcPr>
          <w:p w:rsidR="00A915BE" w:rsidRPr="00F62B00" w:rsidRDefault="00A915BE" w:rsidP="00295D9F">
            <w:pPr>
              <w:spacing w:before="120" w:after="12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 xml:space="preserve">Application of prescribed dimension requirements as a vehicle standard </w:t>
            </w:r>
          </w:p>
        </w:tc>
        <w:tc>
          <w:tcPr>
            <w:tcW w:w="686" w:type="pct"/>
            <w:gridSpan w:val="2"/>
            <w:vAlign w:val="center"/>
          </w:tcPr>
          <w:p w:rsidR="00A915BE" w:rsidRPr="00F62B00" w:rsidRDefault="00A915BE" w:rsidP="00295D9F">
            <w:pPr>
              <w:spacing w:before="120" w:after="12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 xml:space="preserve">34 </w:t>
            </w:r>
            <w:r w:rsidRPr="00F62B00">
              <w:rPr>
                <w:sz w:val="16"/>
                <w:szCs w:val="16"/>
              </w:rPr>
              <w:t>(1)</w:t>
            </w:r>
          </w:p>
        </w:tc>
        <w:tc>
          <w:tcPr>
            <w:tcW w:w="724" w:type="pct"/>
            <w:vAlign w:val="center"/>
          </w:tcPr>
          <w:p w:rsidR="00A915BE" w:rsidRPr="00F62B00" w:rsidRDefault="00A915BE" w:rsidP="00295D9F">
            <w:pPr>
              <w:spacing w:before="120" w:after="12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SPV</w:t>
            </w:r>
          </w:p>
        </w:tc>
        <w:tc>
          <w:tcPr>
            <w:tcW w:w="2119" w:type="pct"/>
            <w:gridSpan w:val="2"/>
            <w:vAlign w:val="center"/>
          </w:tcPr>
          <w:p w:rsidR="00A915BE" w:rsidRPr="00F62B00" w:rsidRDefault="00A915BE" w:rsidP="00295D9F">
            <w:pPr>
              <w:spacing w:before="120" w:after="120"/>
              <w:jc w:val="both"/>
              <w:rPr>
                <w:rFonts w:eastAsia="Times New Roman" w:cs="Times New Roman"/>
                <w:color w:val="000000"/>
                <w:sz w:val="16"/>
                <w:szCs w:val="16"/>
                <w:lang w:eastAsia="en-AU"/>
              </w:rPr>
            </w:pPr>
            <w:r w:rsidRPr="00F62B00">
              <w:rPr>
                <w:sz w:val="16"/>
                <w:szCs w:val="16"/>
              </w:rPr>
              <w:t>An SPV is only exempt from complying with dimension requirement to the extent described in the applicable Access authority.</w:t>
            </w:r>
          </w:p>
        </w:tc>
      </w:tr>
      <w:tr w:rsidR="00A915BE" w:rsidRPr="00FD1803" w:rsidTr="00F62B00">
        <w:trPr>
          <w:trHeight w:val="429"/>
          <w:jc w:val="center"/>
        </w:trPr>
        <w:tc>
          <w:tcPr>
            <w:tcW w:w="442"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7</w:t>
            </w:r>
          </w:p>
        </w:tc>
        <w:tc>
          <w:tcPr>
            <w:tcW w:w="1029" w:type="pct"/>
            <w:gridSpan w:val="2"/>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Headlights to be fitted to vehicles</w:t>
            </w:r>
          </w:p>
        </w:tc>
        <w:tc>
          <w:tcPr>
            <w:tcW w:w="686"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39</w:t>
            </w:r>
          </w:p>
        </w:tc>
        <w:tc>
          <w:tcPr>
            <w:tcW w:w="724" w:type="pct"/>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SPV</w:t>
            </w:r>
          </w:p>
        </w:tc>
        <w:tc>
          <w:tcPr>
            <w:tcW w:w="2119" w:type="pct"/>
            <w:gridSpan w:val="2"/>
            <w:shd w:val="clear" w:color="auto" w:fill="F2F2F2" w:themeFill="background1" w:themeFillShade="F2"/>
            <w:vAlign w:val="center"/>
          </w:tcPr>
          <w:p w:rsidR="00A915BE" w:rsidRPr="00F62B00" w:rsidRDefault="00A915BE" w:rsidP="00295D9F">
            <w:pPr>
              <w:spacing w:after="0"/>
              <w:jc w:val="both"/>
              <w:rPr>
                <w:rFonts w:eastAsia="Times New Roman" w:cs="Times New Roman"/>
                <w:color w:val="000000"/>
                <w:sz w:val="16"/>
                <w:szCs w:val="16"/>
                <w:lang w:eastAsia="en-AU"/>
              </w:rPr>
            </w:pPr>
          </w:p>
        </w:tc>
      </w:tr>
      <w:tr w:rsidR="00A915BE" w:rsidRPr="00FD1803" w:rsidTr="00F62B00">
        <w:trPr>
          <w:trHeight w:val="437"/>
          <w:jc w:val="center"/>
        </w:trPr>
        <w:tc>
          <w:tcPr>
            <w:tcW w:w="442"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8</w:t>
            </w:r>
          </w:p>
        </w:tc>
        <w:tc>
          <w:tcPr>
            <w:tcW w:w="1029" w:type="pct"/>
            <w:gridSpan w:val="2"/>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Parking lights</w:t>
            </w:r>
          </w:p>
        </w:tc>
        <w:tc>
          <w:tcPr>
            <w:tcW w:w="686"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45</w:t>
            </w:r>
          </w:p>
        </w:tc>
        <w:tc>
          <w:tcPr>
            <w:tcW w:w="724" w:type="pct"/>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SPV</w:t>
            </w:r>
          </w:p>
        </w:tc>
        <w:tc>
          <w:tcPr>
            <w:tcW w:w="2119" w:type="pct"/>
            <w:gridSpan w:val="2"/>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An SPV must not be left standing on a road or road related area between sunset and sunrise or during periods of low visibility.</w:t>
            </w:r>
          </w:p>
        </w:tc>
      </w:tr>
      <w:tr w:rsidR="00A915BE" w:rsidRPr="00FD1803" w:rsidTr="00F62B00">
        <w:trPr>
          <w:trHeight w:val="427"/>
          <w:jc w:val="center"/>
        </w:trPr>
        <w:tc>
          <w:tcPr>
            <w:tcW w:w="442"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9</w:t>
            </w:r>
          </w:p>
        </w:tc>
        <w:tc>
          <w:tcPr>
            <w:tcW w:w="1029" w:type="pct"/>
            <w:gridSpan w:val="2"/>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Tail-lights generally</w:t>
            </w:r>
          </w:p>
        </w:tc>
        <w:tc>
          <w:tcPr>
            <w:tcW w:w="686"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47</w:t>
            </w:r>
          </w:p>
        </w:tc>
        <w:tc>
          <w:tcPr>
            <w:tcW w:w="724" w:type="pct"/>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SPV</w:t>
            </w:r>
          </w:p>
        </w:tc>
        <w:tc>
          <w:tcPr>
            <w:tcW w:w="2119" w:type="pct"/>
            <w:gridSpan w:val="2"/>
            <w:shd w:val="clear" w:color="auto" w:fill="F2F2F2" w:themeFill="background1" w:themeFillShade="F2"/>
            <w:vAlign w:val="center"/>
          </w:tcPr>
          <w:p w:rsidR="00A915BE" w:rsidRPr="00F62B00" w:rsidRDefault="00A915BE" w:rsidP="00295D9F">
            <w:pPr>
              <w:spacing w:after="0"/>
              <w:jc w:val="both"/>
              <w:rPr>
                <w:rFonts w:eastAsia="Times New Roman" w:cs="Times New Roman"/>
                <w:color w:val="000000"/>
                <w:sz w:val="16"/>
                <w:szCs w:val="16"/>
                <w:lang w:eastAsia="en-AU"/>
              </w:rPr>
            </w:pPr>
          </w:p>
        </w:tc>
      </w:tr>
      <w:tr w:rsidR="00A915BE" w:rsidRPr="00FD1803" w:rsidTr="00F62B00">
        <w:trPr>
          <w:trHeight w:val="434"/>
          <w:jc w:val="center"/>
        </w:trPr>
        <w:tc>
          <w:tcPr>
            <w:tcW w:w="442"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10</w:t>
            </w:r>
          </w:p>
        </w:tc>
        <w:tc>
          <w:tcPr>
            <w:tcW w:w="1029" w:type="pct"/>
            <w:gridSpan w:val="2"/>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Number plate lights</w:t>
            </w:r>
          </w:p>
        </w:tc>
        <w:tc>
          <w:tcPr>
            <w:tcW w:w="686"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51</w:t>
            </w:r>
          </w:p>
        </w:tc>
        <w:tc>
          <w:tcPr>
            <w:tcW w:w="724" w:type="pct"/>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SPV</w:t>
            </w:r>
          </w:p>
        </w:tc>
        <w:tc>
          <w:tcPr>
            <w:tcW w:w="2119" w:type="pct"/>
            <w:gridSpan w:val="2"/>
            <w:shd w:val="clear" w:color="auto" w:fill="F2F2F2" w:themeFill="background1" w:themeFillShade="F2"/>
            <w:vAlign w:val="center"/>
          </w:tcPr>
          <w:p w:rsidR="00A915BE" w:rsidRPr="00F62B00" w:rsidRDefault="00A915BE" w:rsidP="00295D9F">
            <w:pPr>
              <w:spacing w:after="0"/>
              <w:jc w:val="both"/>
              <w:rPr>
                <w:rFonts w:eastAsia="Times New Roman" w:cs="Times New Roman"/>
                <w:color w:val="000000"/>
                <w:sz w:val="16"/>
                <w:szCs w:val="16"/>
                <w:lang w:eastAsia="en-AU"/>
              </w:rPr>
            </w:pPr>
          </w:p>
        </w:tc>
      </w:tr>
      <w:tr w:rsidR="00A915BE" w:rsidRPr="00FD1803" w:rsidTr="00F62B00">
        <w:trPr>
          <w:trHeight w:val="425"/>
          <w:jc w:val="center"/>
        </w:trPr>
        <w:tc>
          <w:tcPr>
            <w:tcW w:w="442"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11</w:t>
            </w:r>
          </w:p>
        </w:tc>
        <w:tc>
          <w:tcPr>
            <w:tcW w:w="1029" w:type="pct"/>
            <w:gridSpan w:val="2"/>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Front clearance lights</w:t>
            </w:r>
          </w:p>
        </w:tc>
        <w:tc>
          <w:tcPr>
            <w:tcW w:w="686"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52</w:t>
            </w:r>
          </w:p>
        </w:tc>
        <w:tc>
          <w:tcPr>
            <w:tcW w:w="724" w:type="pct"/>
            <w:vAlign w:val="center"/>
          </w:tcPr>
          <w:p w:rsidR="00F62B00"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SPV</w:t>
            </w:r>
          </w:p>
        </w:tc>
        <w:tc>
          <w:tcPr>
            <w:tcW w:w="2119" w:type="pct"/>
            <w:gridSpan w:val="2"/>
            <w:shd w:val="clear" w:color="auto" w:fill="F2F2F2" w:themeFill="background1" w:themeFillShade="F2"/>
            <w:vAlign w:val="center"/>
          </w:tcPr>
          <w:p w:rsidR="00A915BE" w:rsidRPr="00F62B00" w:rsidRDefault="00A915BE" w:rsidP="00295D9F">
            <w:pPr>
              <w:spacing w:after="0"/>
              <w:jc w:val="both"/>
              <w:rPr>
                <w:rFonts w:eastAsia="Times New Roman" w:cs="Times New Roman"/>
                <w:color w:val="000000"/>
                <w:sz w:val="16"/>
                <w:szCs w:val="16"/>
                <w:lang w:eastAsia="en-AU"/>
              </w:rPr>
            </w:pPr>
          </w:p>
          <w:p w:rsidR="00F62B00" w:rsidRDefault="00F62B00" w:rsidP="00295D9F">
            <w:pPr>
              <w:spacing w:after="0"/>
              <w:jc w:val="both"/>
              <w:rPr>
                <w:rFonts w:eastAsia="Times New Roman" w:cs="Times New Roman"/>
                <w:color w:val="000000"/>
                <w:sz w:val="16"/>
                <w:szCs w:val="16"/>
                <w:lang w:eastAsia="en-AU"/>
              </w:rPr>
            </w:pPr>
          </w:p>
          <w:p w:rsidR="00F62B00" w:rsidRDefault="00F62B00" w:rsidP="00295D9F">
            <w:pPr>
              <w:spacing w:after="0"/>
              <w:jc w:val="both"/>
              <w:rPr>
                <w:rFonts w:eastAsia="Times New Roman" w:cs="Times New Roman"/>
                <w:color w:val="000000"/>
                <w:sz w:val="16"/>
                <w:szCs w:val="16"/>
                <w:lang w:eastAsia="en-AU"/>
              </w:rPr>
            </w:pPr>
          </w:p>
          <w:p w:rsidR="00F62B00" w:rsidRPr="00F62B00" w:rsidRDefault="00F62B00" w:rsidP="00295D9F">
            <w:pPr>
              <w:spacing w:after="0"/>
              <w:jc w:val="both"/>
              <w:rPr>
                <w:rFonts w:eastAsia="Times New Roman" w:cs="Times New Roman"/>
                <w:color w:val="000000"/>
                <w:sz w:val="16"/>
                <w:szCs w:val="16"/>
                <w:lang w:eastAsia="en-AU"/>
              </w:rPr>
            </w:pPr>
          </w:p>
        </w:tc>
      </w:tr>
      <w:tr w:rsidR="00A915BE" w:rsidRPr="005F5534" w:rsidTr="00F62B00">
        <w:trPr>
          <w:gridAfter w:val="1"/>
          <w:wAfter w:w="40" w:type="pct"/>
          <w:trHeight w:val="254"/>
          <w:jc w:val="center"/>
        </w:trPr>
        <w:tc>
          <w:tcPr>
            <w:tcW w:w="4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15BE" w:rsidRPr="00F62B00" w:rsidRDefault="00A915BE" w:rsidP="00295D9F">
            <w:pPr>
              <w:spacing w:after="0"/>
              <w:jc w:val="both"/>
              <w:rPr>
                <w:rFonts w:ascii="Calibri" w:eastAsia="Times New Roman" w:hAnsi="Calibri" w:cs="Times New Roman"/>
                <w:b/>
                <w:color w:val="000000"/>
                <w:sz w:val="16"/>
                <w:szCs w:val="16"/>
                <w:lang w:eastAsia="en-AU"/>
              </w:rPr>
            </w:pPr>
            <w:r w:rsidRPr="00F62B00">
              <w:rPr>
                <w:rFonts w:ascii="Calibri" w:eastAsia="Times New Roman" w:hAnsi="Calibri" w:cs="Times New Roman"/>
                <w:b/>
                <w:color w:val="000000"/>
                <w:sz w:val="16"/>
                <w:szCs w:val="16"/>
                <w:lang w:eastAsia="en-AU"/>
              </w:rPr>
              <w:lastRenderedPageBreak/>
              <w:t>Column one</w:t>
            </w:r>
          </w:p>
        </w:tc>
        <w:tc>
          <w:tcPr>
            <w:tcW w:w="10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15BE" w:rsidRPr="00F62B00" w:rsidRDefault="00A915BE" w:rsidP="00295D9F">
            <w:pPr>
              <w:spacing w:after="0"/>
              <w:jc w:val="both"/>
              <w:rPr>
                <w:rFonts w:ascii="Calibri" w:eastAsia="Times New Roman" w:hAnsi="Calibri" w:cs="Times New Roman"/>
                <w:b/>
                <w:color w:val="000000"/>
                <w:sz w:val="16"/>
                <w:szCs w:val="16"/>
                <w:lang w:eastAsia="en-AU"/>
              </w:rPr>
            </w:pPr>
            <w:r w:rsidRPr="00F62B00">
              <w:rPr>
                <w:rFonts w:ascii="Calibri" w:eastAsia="Times New Roman" w:hAnsi="Calibri" w:cs="Times New Roman"/>
                <w:b/>
                <w:color w:val="000000"/>
                <w:sz w:val="16"/>
                <w:szCs w:val="16"/>
                <w:lang w:eastAsia="en-AU"/>
              </w:rPr>
              <w:t>Column two</w:t>
            </w:r>
          </w:p>
        </w:tc>
        <w:tc>
          <w:tcPr>
            <w:tcW w:w="68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15BE" w:rsidRPr="00F62B00" w:rsidRDefault="00A915BE" w:rsidP="00295D9F">
            <w:pPr>
              <w:spacing w:after="0"/>
              <w:jc w:val="both"/>
              <w:rPr>
                <w:rFonts w:ascii="Calibri" w:eastAsia="Times New Roman" w:hAnsi="Calibri" w:cs="Times New Roman"/>
                <w:b/>
                <w:color w:val="000000"/>
                <w:sz w:val="16"/>
                <w:szCs w:val="16"/>
                <w:lang w:eastAsia="en-AU"/>
              </w:rPr>
            </w:pPr>
            <w:r w:rsidRPr="00F62B00">
              <w:rPr>
                <w:rFonts w:ascii="Calibri" w:eastAsia="Times New Roman" w:hAnsi="Calibri" w:cs="Times New Roman"/>
                <w:b/>
                <w:color w:val="000000"/>
                <w:sz w:val="16"/>
                <w:szCs w:val="16"/>
                <w:lang w:eastAsia="en-AU"/>
              </w:rPr>
              <w:t>Column three</w:t>
            </w:r>
          </w:p>
        </w:tc>
        <w:tc>
          <w:tcPr>
            <w:tcW w:w="74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15BE" w:rsidRPr="00F62B00" w:rsidRDefault="00A915BE" w:rsidP="00295D9F">
            <w:pPr>
              <w:spacing w:after="0"/>
              <w:jc w:val="both"/>
              <w:rPr>
                <w:rFonts w:ascii="Calibri" w:eastAsia="Times New Roman" w:hAnsi="Calibri" w:cs="Times New Roman"/>
                <w:b/>
                <w:color w:val="000000"/>
                <w:sz w:val="16"/>
                <w:szCs w:val="16"/>
                <w:lang w:eastAsia="en-AU"/>
              </w:rPr>
            </w:pPr>
            <w:r w:rsidRPr="00F62B00">
              <w:rPr>
                <w:rFonts w:ascii="Calibri" w:eastAsia="Times New Roman" w:hAnsi="Calibri" w:cs="Times New Roman"/>
                <w:b/>
                <w:color w:val="000000"/>
                <w:sz w:val="16"/>
                <w:szCs w:val="16"/>
                <w:lang w:eastAsia="en-AU"/>
              </w:rPr>
              <w:t>Column four</w:t>
            </w:r>
          </w:p>
        </w:tc>
        <w:tc>
          <w:tcPr>
            <w:tcW w:w="2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15BE" w:rsidRPr="00F62B00" w:rsidRDefault="00A915BE" w:rsidP="00295D9F">
            <w:pPr>
              <w:spacing w:after="0"/>
              <w:jc w:val="both"/>
              <w:rPr>
                <w:b/>
                <w:sz w:val="16"/>
                <w:szCs w:val="16"/>
              </w:rPr>
            </w:pPr>
            <w:r w:rsidRPr="00F62B00">
              <w:rPr>
                <w:b/>
                <w:sz w:val="16"/>
                <w:szCs w:val="16"/>
              </w:rPr>
              <w:t>Column five</w:t>
            </w:r>
          </w:p>
        </w:tc>
      </w:tr>
      <w:tr w:rsidR="00A915BE" w:rsidRPr="00A66F7A" w:rsidTr="00F62B00">
        <w:trPr>
          <w:gridAfter w:val="1"/>
          <w:wAfter w:w="40" w:type="pct"/>
          <w:trHeight w:val="521"/>
          <w:jc w:val="center"/>
        </w:trPr>
        <w:tc>
          <w:tcPr>
            <w:tcW w:w="4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15BE" w:rsidRPr="00F62B00" w:rsidRDefault="00A915BE" w:rsidP="00295D9F">
            <w:pPr>
              <w:spacing w:after="0"/>
              <w:jc w:val="both"/>
              <w:rPr>
                <w:rFonts w:ascii="Calibri" w:eastAsia="Times New Roman" w:hAnsi="Calibri" w:cs="Times New Roman"/>
                <w:b/>
                <w:i/>
                <w:color w:val="000000"/>
                <w:sz w:val="16"/>
                <w:szCs w:val="16"/>
                <w:lang w:eastAsia="en-AU"/>
              </w:rPr>
            </w:pPr>
            <w:r w:rsidRPr="00F62B00">
              <w:rPr>
                <w:rFonts w:ascii="Calibri" w:eastAsia="Times New Roman" w:hAnsi="Calibri" w:cs="Times New Roman"/>
                <w:b/>
                <w:i/>
                <w:color w:val="000000"/>
                <w:sz w:val="16"/>
                <w:szCs w:val="16"/>
                <w:lang w:eastAsia="en-AU"/>
              </w:rPr>
              <w:t>Item number</w:t>
            </w:r>
          </w:p>
        </w:tc>
        <w:tc>
          <w:tcPr>
            <w:tcW w:w="10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15BE" w:rsidRPr="00F62B00" w:rsidRDefault="00A915BE" w:rsidP="00295D9F">
            <w:pPr>
              <w:spacing w:after="0"/>
              <w:jc w:val="both"/>
              <w:rPr>
                <w:rFonts w:ascii="Calibri" w:eastAsia="Times New Roman" w:hAnsi="Calibri" w:cs="Times New Roman"/>
                <w:b/>
                <w:i/>
                <w:color w:val="000000"/>
                <w:sz w:val="16"/>
                <w:szCs w:val="16"/>
                <w:lang w:eastAsia="en-AU"/>
              </w:rPr>
            </w:pPr>
            <w:r w:rsidRPr="00F62B00">
              <w:rPr>
                <w:rFonts w:ascii="Calibri" w:eastAsia="Times New Roman" w:hAnsi="Calibri" w:cs="Times New Roman"/>
                <w:b/>
                <w:i/>
                <w:color w:val="000000"/>
                <w:sz w:val="16"/>
                <w:szCs w:val="16"/>
                <w:lang w:eastAsia="en-AU"/>
              </w:rPr>
              <w:t>Component</w:t>
            </w:r>
          </w:p>
        </w:tc>
        <w:tc>
          <w:tcPr>
            <w:tcW w:w="68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15BE" w:rsidRPr="00F62B00" w:rsidRDefault="00A915BE" w:rsidP="00295D9F">
            <w:pPr>
              <w:spacing w:after="0"/>
              <w:jc w:val="both"/>
              <w:rPr>
                <w:rFonts w:ascii="Calibri" w:eastAsia="Times New Roman" w:hAnsi="Calibri" w:cs="Times New Roman"/>
                <w:b/>
                <w:i/>
                <w:color w:val="000000"/>
                <w:sz w:val="16"/>
                <w:szCs w:val="16"/>
                <w:lang w:eastAsia="en-AU"/>
              </w:rPr>
            </w:pPr>
            <w:r w:rsidRPr="00F62B00">
              <w:rPr>
                <w:rFonts w:ascii="Calibri" w:eastAsia="Times New Roman" w:hAnsi="Calibri" w:cs="Times New Roman"/>
                <w:b/>
                <w:i/>
                <w:color w:val="000000"/>
                <w:sz w:val="16"/>
                <w:szCs w:val="16"/>
                <w:lang w:eastAsia="en-AU"/>
              </w:rPr>
              <w:t>Relevant section of Schedule 2 of the National Regulation</w:t>
            </w:r>
          </w:p>
        </w:tc>
        <w:tc>
          <w:tcPr>
            <w:tcW w:w="74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15BE" w:rsidRPr="00F62B00" w:rsidRDefault="00A915BE" w:rsidP="00295D9F">
            <w:pPr>
              <w:spacing w:after="0"/>
              <w:jc w:val="both"/>
              <w:rPr>
                <w:rFonts w:ascii="Calibri" w:eastAsia="Times New Roman" w:hAnsi="Calibri" w:cs="Times New Roman"/>
                <w:b/>
                <w:i/>
                <w:color w:val="000000"/>
                <w:sz w:val="16"/>
                <w:szCs w:val="16"/>
                <w:lang w:eastAsia="en-AU"/>
              </w:rPr>
            </w:pPr>
            <w:r w:rsidRPr="00F62B00">
              <w:rPr>
                <w:rFonts w:ascii="Calibri" w:eastAsia="Times New Roman" w:hAnsi="Calibri" w:cs="Times New Roman"/>
                <w:b/>
                <w:i/>
                <w:color w:val="000000"/>
                <w:sz w:val="16"/>
                <w:szCs w:val="16"/>
                <w:lang w:eastAsia="en-AU"/>
              </w:rPr>
              <w:t>Applicable vehicles</w:t>
            </w:r>
          </w:p>
        </w:tc>
        <w:tc>
          <w:tcPr>
            <w:tcW w:w="2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15BE" w:rsidRPr="00F62B00" w:rsidRDefault="00A915BE" w:rsidP="00295D9F">
            <w:pPr>
              <w:spacing w:after="0"/>
              <w:jc w:val="both"/>
              <w:rPr>
                <w:b/>
                <w:i/>
                <w:sz w:val="16"/>
                <w:szCs w:val="16"/>
              </w:rPr>
            </w:pPr>
            <w:r w:rsidRPr="00F62B00">
              <w:rPr>
                <w:b/>
                <w:i/>
                <w:sz w:val="16"/>
                <w:szCs w:val="16"/>
              </w:rPr>
              <w:t>Additional Conditions (if applicable)</w:t>
            </w:r>
          </w:p>
        </w:tc>
      </w:tr>
      <w:tr w:rsidR="00F62B00" w:rsidRPr="00FD1803" w:rsidTr="00F62B00">
        <w:trPr>
          <w:gridAfter w:val="1"/>
          <w:wAfter w:w="40" w:type="pct"/>
          <w:trHeight w:val="405"/>
          <w:jc w:val="center"/>
        </w:trPr>
        <w:tc>
          <w:tcPr>
            <w:tcW w:w="437" w:type="pct"/>
            <w:vAlign w:val="center"/>
          </w:tcPr>
          <w:p w:rsidR="00F62B00" w:rsidRPr="00F62B00" w:rsidRDefault="00F62B00"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12</w:t>
            </w:r>
          </w:p>
        </w:tc>
        <w:tc>
          <w:tcPr>
            <w:tcW w:w="1022" w:type="pct"/>
            <w:gridSpan w:val="2"/>
            <w:shd w:val="clear" w:color="auto" w:fill="auto"/>
            <w:vAlign w:val="center"/>
          </w:tcPr>
          <w:p w:rsidR="00F62B00" w:rsidRPr="00F62B00" w:rsidRDefault="00F62B00"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Rear clearance lights</w:t>
            </w:r>
          </w:p>
        </w:tc>
        <w:tc>
          <w:tcPr>
            <w:tcW w:w="681" w:type="pct"/>
            <w:gridSpan w:val="2"/>
            <w:vAlign w:val="center"/>
          </w:tcPr>
          <w:p w:rsidR="00F62B00" w:rsidRPr="00F62B00" w:rsidRDefault="00F62B00"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54</w:t>
            </w:r>
          </w:p>
        </w:tc>
        <w:tc>
          <w:tcPr>
            <w:tcW w:w="741" w:type="pct"/>
            <w:gridSpan w:val="2"/>
            <w:vAlign w:val="center"/>
          </w:tcPr>
          <w:p w:rsidR="00F62B00" w:rsidRPr="00F62B00" w:rsidRDefault="00F62B00"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SPV</w:t>
            </w:r>
          </w:p>
        </w:tc>
        <w:tc>
          <w:tcPr>
            <w:tcW w:w="2079" w:type="pct"/>
            <w:shd w:val="clear" w:color="auto" w:fill="F2F2F2" w:themeFill="background1" w:themeFillShade="F2"/>
            <w:vAlign w:val="center"/>
          </w:tcPr>
          <w:p w:rsidR="00F62B00" w:rsidRPr="00F62B00" w:rsidRDefault="00F62B00" w:rsidP="00295D9F">
            <w:pPr>
              <w:spacing w:after="0"/>
              <w:jc w:val="both"/>
              <w:rPr>
                <w:rFonts w:eastAsia="Times New Roman" w:cs="Times New Roman"/>
                <w:color w:val="000000"/>
                <w:sz w:val="16"/>
                <w:szCs w:val="16"/>
                <w:lang w:eastAsia="en-AU"/>
              </w:rPr>
            </w:pPr>
          </w:p>
        </w:tc>
      </w:tr>
      <w:tr w:rsidR="00A915BE" w:rsidRPr="00FD1803" w:rsidTr="00F62B00">
        <w:trPr>
          <w:gridAfter w:val="1"/>
          <w:wAfter w:w="40" w:type="pct"/>
          <w:trHeight w:val="405"/>
          <w:jc w:val="center"/>
        </w:trPr>
        <w:tc>
          <w:tcPr>
            <w:tcW w:w="437" w:type="pct"/>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13</w:t>
            </w:r>
          </w:p>
        </w:tc>
        <w:tc>
          <w:tcPr>
            <w:tcW w:w="1022" w:type="pct"/>
            <w:gridSpan w:val="2"/>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Vehicles needing side marker lights</w:t>
            </w:r>
          </w:p>
        </w:tc>
        <w:tc>
          <w:tcPr>
            <w:tcW w:w="681"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55</w:t>
            </w:r>
          </w:p>
        </w:tc>
        <w:tc>
          <w:tcPr>
            <w:tcW w:w="741"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SPV</w:t>
            </w:r>
          </w:p>
        </w:tc>
        <w:tc>
          <w:tcPr>
            <w:tcW w:w="2079" w:type="pct"/>
            <w:shd w:val="clear" w:color="auto" w:fill="F2F2F2" w:themeFill="background1" w:themeFillShade="F2"/>
            <w:vAlign w:val="center"/>
          </w:tcPr>
          <w:p w:rsidR="00A915BE" w:rsidRPr="00F62B00" w:rsidRDefault="00A915BE" w:rsidP="00295D9F">
            <w:pPr>
              <w:spacing w:after="0"/>
              <w:jc w:val="both"/>
              <w:rPr>
                <w:rFonts w:eastAsia="Times New Roman" w:cs="Times New Roman"/>
                <w:color w:val="000000"/>
                <w:sz w:val="16"/>
                <w:szCs w:val="16"/>
                <w:lang w:eastAsia="en-AU"/>
              </w:rPr>
            </w:pPr>
          </w:p>
        </w:tc>
      </w:tr>
      <w:tr w:rsidR="00A915BE" w:rsidRPr="00FD1803" w:rsidTr="00F62B00">
        <w:trPr>
          <w:gridAfter w:val="1"/>
          <w:wAfter w:w="40" w:type="pct"/>
          <w:trHeight w:val="939"/>
          <w:jc w:val="center"/>
        </w:trPr>
        <w:tc>
          <w:tcPr>
            <w:tcW w:w="437" w:type="pct"/>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14</w:t>
            </w:r>
          </w:p>
        </w:tc>
        <w:tc>
          <w:tcPr>
            <w:tcW w:w="1022" w:type="pct"/>
            <w:gridSpan w:val="2"/>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 xml:space="preserve">Fitting brake lights </w:t>
            </w:r>
          </w:p>
        </w:tc>
        <w:tc>
          <w:tcPr>
            <w:tcW w:w="681"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59</w:t>
            </w:r>
          </w:p>
        </w:tc>
        <w:tc>
          <w:tcPr>
            <w:tcW w:w="741" w:type="pct"/>
            <w:gridSpan w:val="2"/>
            <w:vMerge w:val="restart"/>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 xml:space="preserve">PEV </w:t>
            </w:r>
          </w:p>
        </w:tc>
        <w:tc>
          <w:tcPr>
            <w:tcW w:w="2079" w:type="pct"/>
            <w:vMerge w:val="restart"/>
            <w:vAlign w:val="center"/>
          </w:tcPr>
          <w:p w:rsidR="00A915BE" w:rsidRPr="00F62B00" w:rsidRDefault="00A915BE" w:rsidP="00295D9F">
            <w:pPr>
              <w:spacing w:after="0"/>
              <w:ind w:left="34"/>
              <w:jc w:val="both"/>
              <w:rPr>
                <w:sz w:val="16"/>
                <w:szCs w:val="16"/>
              </w:rPr>
            </w:pPr>
            <w:r w:rsidRPr="00F62B00">
              <w:rPr>
                <w:sz w:val="16"/>
                <w:szCs w:val="16"/>
              </w:rPr>
              <w:t>A PEV must be transported by float (not driven) to and/or between worksites and:</w:t>
            </w:r>
          </w:p>
          <w:p w:rsidR="00A915BE" w:rsidRPr="00F62B00" w:rsidRDefault="00A915BE" w:rsidP="00295D9F">
            <w:pPr>
              <w:pStyle w:val="Sub2"/>
              <w:jc w:val="both"/>
              <w:rPr>
                <w:i w:val="0"/>
                <w:sz w:val="16"/>
                <w:szCs w:val="16"/>
              </w:rPr>
            </w:pPr>
            <w:r w:rsidRPr="00F62B00">
              <w:rPr>
                <w:i w:val="0"/>
                <w:sz w:val="16"/>
                <w:szCs w:val="16"/>
              </w:rPr>
              <w:t xml:space="preserve">travel is only permitted on a road within a defined (signed) work area or construction zone </w:t>
            </w:r>
          </w:p>
          <w:p w:rsidR="00A915BE" w:rsidRPr="00F62B00" w:rsidRDefault="00A915BE" w:rsidP="00295D9F">
            <w:pPr>
              <w:pStyle w:val="Sub2"/>
              <w:jc w:val="both"/>
              <w:rPr>
                <w:sz w:val="16"/>
                <w:szCs w:val="16"/>
              </w:rPr>
            </w:pPr>
            <w:r w:rsidRPr="00F62B00">
              <w:rPr>
                <w:i w:val="0"/>
                <w:sz w:val="16"/>
                <w:szCs w:val="16"/>
              </w:rPr>
              <w:t>other vehicle movements are confined to within the bounds of a designated worksite that is signed in accordance with</w:t>
            </w:r>
            <w:r w:rsidRPr="00F62B00">
              <w:rPr>
                <w:sz w:val="16"/>
                <w:szCs w:val="16"/>
              </w:rPr>
              <w:t xml:space="preserve"> Australian Standard 1742.3-1996, Part 3 'Traffic Control Devices for Works on Roads'</w:t>
            </w:r>
          </w:p>
        </w:tc>
      </w:tr>
      <w:tr w:rsidR="00A915BE" w:rsidRPr="00FD1803" w:rsidTr="00F62B00">
        <w:trPr>
          <w:gridAfter w:val="1"/>
          <w:wAfter w:w="40" w:type="pct"/>
          <w:trHeight w:val="416"/>
          <w:jc w:val="center"/>
        </w:trPr>
        <w:tc>
          <w:tcPr>
            <w:tcW w:w="437" w:type="pct"/>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15</w:t>
            </w:r>
          </w:p>
        </w:tc>
        <w:tc>
          <w:tcPr>
            <w:tcW w:w="1022" w:type="pct"/>
            <w:gridSpan w:val="2"/>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 xml:space="preserve">Direction indicator lights </w:t>
            </w:r>
          </w:p>
        </w:tc>
        <w:tc>
          <w:tcPr>
            <w:tcW w:w="681"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62</w:t>
            </w:r>
          </w:p>
        </w:tc>
        <w:tc>
          <w:tcPr>
            <w:tcW w:w="741" w:type="pct"/>
            <w:gridSpan w:val="2"/>
            <w:vMerge/>
            <w:vAlign w:val="center"/>
          </w:tcPr>
          <w:p w:rsidR="00A915BE" w:rsidRPr="00F62B00" w:rsidRDefault="00A915BE" w:rsidP="00295D9F">
            <w:pPr>
              <w:spacing w:after="0"/>
              <w:jc w:val="both"/>
              <w:rPr>
                <w:rFonts w:eastAsia="Times New Roman" w:cs="Times New Roman"/>
                <w:color w:val="000000"/>
                <w:sz w:val="16"/>
                <w:szCs w:val="16"/>
                <w:lang w:eastAsia="en-AU"/>
              </w:rPr>
            </w:pPr>
          </w:p>
        </w:tc>
        <w:tc>
          <w:tcPr>
            <w:tcW w:w="2079" w:type="pct"/>
            <w:vMerge/>
            <w:vAlign w:val="center"/>
          </w:tcPr>
          <w:p w:rsidR="00A915BE" w:rsidRPr="00F62B00" w:rsidRDefault="00A915BE" w:rsidP="00295D9F">
            <w:pPr>
              <w:spacing w:after="0"/>
              <w:jc w:val="both"/>
              <w:rPr>
                <w:rFonts w:eastAsia="Times New Roman" w:cs="Times New Roman"/>
                <w:color w:val="000000"/>
                <w:sz w:val="16"/>
                <w:szCs w:val="16"/>
                <w:lang w:eastAsia="en-AU"/>
              </w:rPr>
            </w:pPr>
          </w:p>
        </w:tc>
      </w:tr>
      <w:tr w:rsidR="00A915BE" w:rsidRPr="00FD1803" w:rsidTr="00F62B00">
        <w:trPr>
          <w:gridAfter w:val="1"/>
          <w:wAfter w:w="40" w:type="pct"/>
          <w:trHeight w:val="413"/>
          <w:jc w:val="center"/>
        </w:trPr>
        <w:tc>
          <w:tcPr>
            <w:tcW w:w="437" w:type="pct"/>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16</w:t>
            </w:r>
          </w:p>
        </w:tc>
        <w:tc>
          <w:tcPr>
            <w:tcW w:w="1022" w:type="pct"/>
            <w:gridSpan w:val="2"/>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General requirements for reflectors</w:t>
            </w:r>
          </w:p>
        </w:tc>
        <w:tc>
          <w:tcPr>
            <w:tcW w:w="681"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69</w:t>
            </w:r>
          </w:p>
        </w:tc>
        <w:tc>
          <w:tcPr>
            <w:tcW w:w="741"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SPV</w:t>
            </w:r>
          </w:p>
        </w:tc>
        <w:tc>
          <w:tcPr>
            <w:tcW w:w="2079" w:type="pct"/>
            <w:shd w:val="clear" w:color="auto" w:fill="F2F2F2" w:themeFill="background1" w:themeFillShade="F2"/>
            <w:vAlign w:val="center"/>
          </w:tcPr>
          <w:p w:rsidR="00A915BE" w:rsidRPr="00F62B00" w:rsidRDefault="00A915BE" w:rsidP="00295D9F">
            <w:pPr>
              <w:spacing w:after="0"/>
              <w:jc w:val="both"/>
              <w:rPr>
                <w:rFonts w:eastAsia="Times New Roman" w:cs="Times New Roman"/>
                <w:color w:val="000000"/>
                <w:sz w:val="16"/>
                <w:szCs w:val="16"/>
                <w:lang w:eastAsia="en-AU"/>
              </w:rPr>
            </w:pPr>
          </w:p>
        </w:tc>
      </w:tr>
      <w:tr w:rsidR="00A915BE" w:rsidRPr="00FD1803" w:rsidTr="00F62B00">
        <w:trPr>
          <w:gridAfter w:val="1"/>
          <w:wAfter w:w="40" w:type="pct"/>
          <w:trHeight w:val="376"/>
          <w:jc w:val="center"/>
        </w:trPr>
        <w:tc>
          <w:tcPr>
            <w:tcW w:w="437" w:type="pct"/>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17</w:t>
            </w:r>
          </w:p>
        </w:tc>
        <w:tc>
          <w:tcPr>
            <w:tcW w:w="1022" w:type="pct"/>
            <w:gridSpan w:val="2"/>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Rear reflectors</w:t>
            </w:r>
          </w:p>
        </w:tc>
        <w:tc>
          <w:tcPr>
            <w:tcW w:w="681"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70</w:t>
            </w:r>
          </w:p>
        </w:tc>
        <w:tc>
          <w:tcPr>
            <w:tcW w:w="741"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 xml:space="preserve">SPV </w:t>
            </w:r>
          </w:p>
        </w:tc>
        <w:tc>
          <w:tcPr>
            <w:tcW w:w="2079" w:type="pct"/>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A PEV without its own motive power is not exempt from this provision.</w:t>
            </w:r>
          </w:p>
        </w:tc>
      </w:tr>
      <w:tr w:rsidR="00A915BE" w:rsidRPr="00FD1803" w:rsidTr="00F62B00">
        <w:trPr>
          <w:gridAfter w:val="1"/>
          <w:wAfter w:w="40" w:type="pct"/>
          <w:trHeight w:val="530"/>
          <w:jc w:val="center"/>
        </w:trPr>
        <w:tc>
          <w:tcPr>
            <w:tcW w:w="437" w:type="pct"/>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18</w:t>
            </w:r>
          </w:p>
        </w:tc>
        <w:tc>
          <w:tcPr>
            <w:tcW w:w="1022" w:type="pct"/>
            <w:gridSpan w:val="2"/>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Compulsory front reflectors on particular trailers</w:t>
            </w:r>
          </w:p>
        </w:tc>
        <w:tc>
          <w:tcPr>
            <w:tcW w:w="681"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73</w:t>
            </w:r>
          </w:p>
        </w:tc>
        <w:tc>
          <w:tcPr>
            <w:tcW w:w="741"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SPV</w:t>
            </w:r>
          </w:p>
        </w:tc>
        <w:tc>
          <w:tcPr>
            <w:tcW w:w="2079" w:type="pct"/>
            <w:shd w:val="clear" w:color="auto" w:fill="F2F2F2" w:themeFill="background1" w:themeFillShade="F2"/>
            <w:vAlign w:val="center"/>
          </w:tcPr>
          <w:p w:rsidR="00A915BE" w:rsidRPr="00F62B00" w:rsidRDefault="00A915BE" w:rsidP="00295D9F">
            <w:pPr>
              <w:spacing w:after="0"/>
              <w:jc w:val="both"/>
              <w:rPr>
                <w:rFonts w:eastAsia="Times New Roman" w:cs="Times New Roman"/>
                <w:color w:val="000000"/>
                <w:sz w:val="16"/>
                <w:szCs w:val="16"/>
                <w:lang w:eastAsia="en-AU"/>
              </w:rPr>
            </w:pPr>
          </w:p>
        </w:tc>
      </w:tr>
      <w:tr w:rsidR="00A915BE" w:rsidRPr="00FD1803" w:rsidTr="00F62B00">
        <w:trPr>
          <w:gridAfter w:val="1"/>
          <w:wAfter w:w="40" w:type="pct"/>
          <w:trHeight w:val="361"/>
          <w:jc w:val="center"/>
        </w:trPr>
        <w:tc>
          <w:tcPr>
            <w:tcW w:w="437" w:type="pct"/>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19</w:t>
            </w:r>
          </w:p>
        </w:tc>
        <w:tc>
          <w:tcPr>
            <w:tcW w:w="1022" w:type="pct"/>
            <w:gridSpan w:val="2"/>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Turn signals</w:t>
            </w:r>
          </w:p>
        </w:tc>
        <w:tc>
          <w:tcPr>
            <w:tcW w:w="681"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83</w:t>
            </w:r>
          </w:p>
        </w:tc>
        <w:tc>
          <w:tcPr>
            <w:tcW w:w="741"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SPV</w:t>
            </w:r>
          </w:p>
        </w:tc>
        <w:tc>
          <w:tcPr>
            <w:tcW w:w="2079" w:type="pct"/>
            <w:shd w:val="clear" w:color="auto" w:fill="F2F2F2" w:themeFill="background1" w:themeFillShade="F2"/>
            <w:vAlign w:val="center"/>
          </w:tcPr>
          <w:p w:rsidR="00A915BE" w:rsidRPr="00F62B00" w:rsidRDefault="00A915BE" w:rsidP="00295D9F">
            <w:pPr>
              <w:spacing w:after="0"/>
              <w:jc w:val="both"/>
              <w:rPr>
                <w:rFonts w:eastAsia="Times New Roman" w:cs="Times New Roman"/>
                <w:color w:val="000000"/>
                <w:sz w:val="16"/>
                <w:szCs w:val="16"/>
                <w:lang w:eastAsia="en-AU"/>
              </w:rPr>
            </w:pPr>
          </w:p>
        </w:tc>
      </w:tr>
      <w:tr w:rsidR="00A915BE" w:rsidRPr="00FD1803" w:rsidTr="00F62B00">
        <w:trPr>
          <w:gridAfter w:val="1"/>
          <w:wAfter w:w="40" w:type="pct"/>
          <w:trHeight w:val="546"/>
          <w:jc w:val="center"/>
        </w:trPr>
        <w:tc>
          <w:tcPr>
            <w:tcW w:w="437" w:type="pct"/>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20</w:t>
            </w:r>
          </w:p>
        </w:tc>
        <w:tc>
          <w:tcPr>
            <w:tcW w:w="1022" w:type="pct"/>
            <w:gridSpan w:val="2"/>
            <w:shd w:val="clear" w:color="auto" w:fill="auto"/>
            <w:vAlign w:val="center"/>
          </w:tcPr>
          <w:p w:rsidR="00A915BE" w:rsidRPr="00F62B00" w:rsidRDefault="00A915BE" w:rsidP="00295D9F">
            <w:pPr>
              <w:spacing w:after="0"/>
              <w:jc w:val="both"/>
              <w:rPr>
                <w:sz w:val="16"/>
                <w:szCs w:val="16"/>
              </w:rPr>
            </w:pPr>
            <w:r w:rsidRPr="00F62B00">
              <w:rPr>
                <w:rFonts w:eastAsia="Times New Roman" w:cs="Times New Roman"/>
                <w:color w:val="000000"/>
                <w:sz w:val="16"/>
                <w:szCs w:val="16"/>
                <w:lang w:eastAsia="en-AU"/>
              </w:rPr>
              <w:t xml:space="preserve">What braking system a heavy motor vehicle must have </w:t>
            </w:r>
          </w:p>
        </w:tc>
        <w:tc>
          <w:tcPr>
            <w:tcW w:w="681"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88</w:t>
            </w:r>
          </w:p>
        </w:tc>
        <w:tc>
          <w:tcPr>
            <w:tcW w:w="741"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SPV</w:t>
            </w:r>
            <w:r w:rsidRPr="00F62B00" w:rsidDel="00610449">
              <w:rPr>
                <w:rFonts w:eastAsia="Times New Roman" w:cs="Times New Roman"/>
                <w:color w:val="000000"/>
                <w:sz w:val="16"/>
                <w:szCs w:val="16"/>
                <w:lang w:eastAsia="en-AU"/>
              </w:rPr>
              <w:t xml:space="preserve"> </w:t>
            </w:r>
          </w:p>
        </w:tc>
        <w:tc>
          <w:tcPr>
            <w:tcW w:w="2079" w:type="pct"/>
            <w:vAlign w:val="center"/>
          </w:tcPr>
          <w:p w:rsidR="00A915BE" w:rsidRPr="00F62B00" w:rsidRDefault="00A915BE" w:rsidP="00295D9F">
            <w:pPr>
              <w:spacing w:before="120" w:after="0"/>
              <w:jc w:val="both"/>
              <w:rPr>
                <w:sz w:val="16"/>
                <w:szCs w:val="16"/>
              </w:rPr>
            </w:pPr>
            <w:r w:rsidRPr="00F62B00">
              <w:rPr>
                <w:sz w:val="16"/>
                <w:szCs w:val="16"/>
              </w:rPr>
              <w:t>A construction road roller without its own motive power may only be towed at speeds detailed below when:</w:t>
            </w:r>
          </w:p>
          <w:p w:rsidR="00A915BE" w:rsidRPr="00F62B00" w:rsidRDefault="00A915BE" w:rsidP="00A915BE">
            <w:pPr>
              <w:pStyle w:val="Sub2"/>
              <w:numPr>
                <w:ilvl w:val="0"/>
                <w:numId w:val="10"/>
              </w:numPr>
              <w:jc w:val="both"/>
              <w:rPr>
                <w:i w:val="0"/>
                <w:sz w:val="16"/>
                <w:szCs w:val="16"/>
              </w:rPr>
            </w:pPr>
            <w:r w:rsidRPr="00F62B00">
              <w:rPr>
                <w:i w:val="0"/>
                <w:sz w:val="16"/>
                <w:szCs w:val="16"/>
              </w:rPr>
              <w:t xml:space="preserve">the towing vehicle is fitted with brakes and </w:t>
            </w:r>
          </w:p>
          <w:p w:rsidR="00A915BE" w:rsidRPr="00F62B00" w:rsidRDefault="00A915BE" w:rsidP="00A915BE">
            <w:pPr>
              <w:pStyle w:val="Sub2"/>
              <w:numPr>
                <w:ilvl w:val="0"/>
                <w:numId w:val="10"/>
              </w:numPr>
              <w:jc w:val="both"/>
              <w:rPr>
                <w:i w:val="0"/>
                <w:sz w:val="16"/>
                <w:szCs w:val="16"/>
              </w:rPr>
            </w:pPr>
            <w:r w:rsidRPr="00F62B00">
              <w:rPr>
                <w:i w:val="0"/>
                <w:sz w:val="16"/>
                <w:szCs w:val="16"/>
              </w:rPr>
              <w:t>the construction road roller has laden mass not exceeding:</w:t>
            </w:r>
          </w:p>
          <w:p w:rsidR="00A915BE" w:rsidRPr="00F62B00" w:rsidRDefault="00A915BE" w:rsidP="00A915BE">
            <w:pPr>
              <w:pStyle w:val="Sub3"/>
              <w:numPr>
                <w:ilvl w:val="0"/>
                <w:numId w:val="8"/>
              </w:numPr>
              <w:spacing w:after="0"/>
              <w:ind w:left="1168"/>
              <w:jc w:val="both"/>
              <w:rPr>
                <w:sz w:val="16"/>
                <w:szCs w:val="16"/>
              </w:rPr>
            </w:pPr>
            <w:r w:rsidRPr="00F62B00">
              <w:rPr>
                <w:sz w:val="16"/>
                <w:szCs w:val="16"/>
              </w:rPr>
              <w:t>12 tonnes - 10 km/hr</w:t>
            </w:r>
          </w:p>
          <w:p w:rsidR="00A915BE" w:rsidRPr="00F62B00" w:rsidRDefault="00A915BE" w:rsidP="00A915BE">
            <w:pPr>
              <w:pStyle w:val="Sub3"/>
              <w:numPr>
                <w:ilvl w:val="0"/>
                <w:numId w:val="8"/>
              </w:numPr>
              <w:spacing w:before="120" w:after="0"/>
              <w:ind w:left="1168"/>
              <w:jc w:val="both"/>
              <w:rPr>
                <w:sz w:val="16"/>
                <w:szCs w:val="16"/>
              </w:rPr>
            </w:pPr>
            <w:r w:rsidRPr="00F62B00">
              <w:rPr>
                <w:sz w:val="16"/>
                <w:szCs w:val="16"/>
              </w:rPr>
              <w:t>6 tonnes - 25 km/hr</w:t>
            </w:r>
          </w:p>
        </w:tc>
      </w:tr>
      <w:tr w:rsidR="00A915BE" w:rsidRPr="00FD1803" w:rsidTr="00F62B00">
        <w:trPr>
          <w:gridAfter w:val="1"/>
          <w:wAfter w:w="40" w:type="pct"/>
          <w:trHeight w:val="375"/>
          <w:jc w:val="center"/>
        </w:trPr>
        <w:tc>
          <w:tcPr>
            <w:tcW w:w="437" w:type="pct"/>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21</w:t>
            </w:r>
          </w:p>
        </w:tc>
        <w:tc>
          <w:tcPr>
            <w:tcW w:w="1022" w:type="pct"/>
            <w:gridSpan w:val="2"/>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Crank case gases</w:t>
            </w:r>
          </w:p>
        </w:tc>
        <w:tc>
          <w:tcPr>
            <w:tcW w:w="681"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94</w:t>
            </w:r>
          </w:p>
        </w:tc>
        <w:tc>
          <w:tcPr>
            <w:tcW w:w="741"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SPV</w:t>
            </w:r>
          </w:p>
        </w:tc>
        <w:tc>
          <w:tcPr>
            <w:tcW w:w="2079" w:type="pct"/>
            <w:shd w:val="clear" w:color="auto" w:fill="F2F2F2" w:themeFill="background1" w:themeFillShade="F2"/>
            <w:vAlign w:val="center"/>
          </w:tcPr>
          <w:p w:rsidR="00A915BE" w:rsidRPr="00F62B00" w:rsidRDefault="00A915BE" w:rsidP="00295D9F">
            <w:pPr>
              <w:spacing w:after="0"/>
              <w:jc w:val="both"/>
              <w:rPr>
                <w:rFonts w:eastAsia="Times New Roman" w:cs="Times New Roman"/>
                <w:color w:val="000000"/>
                <w:sz w:val="16"/>
                <w:szCs w:val="16"/>
                <w:lang w:eastAsia="en-AU"/>
              </w:rPr>
            </w:pPr>
          </w:p>
        </w:tc>
      </w:tr>
      <w:tr w:rsidR="00A915BE" w:rsidRPr="00FD1803" w:rsidTr="00F62B00">
        <w:trPr>
          <w:gridAfter w:val="1"/>
          <w:wAfter w:w="40" w:type="pct"/>
          <w:trHeight w:val="367"/>
          <w:jc w:val="center"/>
        </w:trPr>
        <w:tc>
          <w:tcPr>
            <w:tcW w:w="437" w:type="pct"/>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22</w:t>
            </w:r>
          </w:p>
        </w:tc>
        <w:tc>
          <w:tcPr>
            <w:tcW w:w="1022" w:type="pct"/>
            <w:gridSpan w:val="2"/>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Visible emissions</w:t>
            </w:r>
          </w:p>
        </w:tc>
        <w:tc>
          <w:tcPr>
            <w:tcW w:w="681"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95</w:t>
            </w:r>
          </w:p>
        </w:tc>
        <w:tc>
          <w:tcPr>
            <w:tcW w:w="741"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SPV</w:t>
            </w:r>
          </w:p>
        </w:tc>
        <w:tc>
          <w:tcPr>
            <w:tcW w:w="2079" w:type="pct"/>
            <w:shd w:val="clear" w:color="auto" w:fill="F2F2F2" w:themeFill="background1" w:themeFillShade="F2"/>
            <w:vAlign w:val="center"/>
          </w:tcPr>
          <w:p w:rsidR="00A915BE" w:rsidRPr="00F62B00" w:rsidRDefault="00A915BE" w:rsidP="00295D9F">
            <w:pPr>
              <w:spacing w:after="0"/>
              <w:jc w:val="both"/>
              <w:rPr>
                <w:rFonts w:eastAsia="Times New Roman" w:cs="Times New Roman"/>
                <w:color w:val="000000"/>
                <w:sz w:val="16"/>
                <w:szCs w:val="16"/>
                <w:lang w:eastAsia="en-AU"/>
              </w:rPr>
            </w:pPr>
          </w:p>
        </w:tc>
      </w:tr>
      <w:tr w:rsidR="00A915BE" w:rsidRPr="00FD1803" w:rsidTr="00F62B00">
        <w:trPr>
          <w:gridAfter w:val="1"/>
          <w:wAfter w:w="40" w:type="pct"/>
          <w:trHeight w:val="403"/>
          <w:jc w:val="center"/>
        </w:trPr>
        <w:tc>
          <w:tcPr>
            <w:tcW w:w="437" w:type="pct"/>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23</w:t>
            </w:r>
          </w:p>
        </w:tc>
        <w:tc>
          <w:tcPr>
            <w:tcW w:w="1022" w:type="pct"/>
            <w:gridSpan w:val="2"/>
            <w:shd w:val="clear" w:color="auto" w:fill="auto"/>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Exhaust systems</w:t>
            </w:r>
          </w:p>
        </w:tc>
        <w:tc>
          <w:tcPr>
            <w:tcW w:w="681"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99</w:t>
            </w:r>
          </w:p>
        </w:tc>
        <w:tc>
          <w:tcPr>
            <w:tcW w:w="741" w:type="pct"/>
            <w:gridSpan w:val="2"/>
            <w:vAlign w:val="center"/>
          </w:tcPr>
          <w:p w:rsidR="00A915BE" w:rsidRPr="00F62B00" w:rsidRDefault="00A915BE" w:rsidP="00295D9F">
            <w:pPr>
              <w:spacing w:after="0"/>
              <w:jc w:val="both"/>
              <w:rPr>
                <w:rFonts w:eastAsia="Times New Roman" w:cs="Times New Roman"/>
                <w:color w:val="000000"/>
                <w:sz w:val="16"/>
                <w:szCs w:val="16"/>
                <w:lang w:eastAsia="en-AU"/>
              </w:rPr>
            </w:pPr>
            <w:r w:rsidRPr="00F62B00">
              <w:rPr>
                <w:rFonts w:eastAsia="Times New Roman" w:cs="Times New Roman"/>
                <w:color w:val="000000"/>
                <w:sz w:val="16"/>
                <w:szCs w:val="16"/>
                <w:lang w:eastAsia="en-AU"/>
              </w:rPr>
              <w:t>SPV</w:t>
            </w:r>
          </w:p>
        </w:tc>
        <w:tc>
          <w:tcPr>
            <w:tcW w:w="2079" w:type="pct"/>
            <w:shd w:val="clear" w:color="auto" w:fill="F2F2F2" w:themeFill="background1" w:themeFillShade="F2"/>
            <w:vAlign w:val="center"/>
          </w:tcPr>
          <w:p w:rsidR="00A915BE" w:rsidRPr="00F62B00" w:rsidRDefault="00A915BE" w:rsidP="00295D9F">
            <w:pPr>
              <w:spacing w:after="0"/>
              <w:jc w:val="both"/>
              <w:rPr>
                <w:rFonts w:eastAsia="Times New Roman" w:cs="Times New Roman"/>
                <w:color w:val="000000"/>
                <w:sz w:val="16"/>
                <w:szCs w:val="16"/>
                <w:lang w:eastAsia="en-AU"/>
              </w:rPr>
            </w:pPr>
          </w:p>
        </w:tc>
      </w:tr>
    </w:tbl>
    <w:p w:rsidR="00A915BE" w:rsidRDefault="00A915BE" w:rsidP="00C559B6">
      <w:pPr>
        <w:sectPr w:rsidR="00A915BE" w:rsidSect="00A915BE">
          <w:pgSz w:w="16838" w:h="11906" w:orient="landscape"/>
          <w:pgMar w:top="1440" w:right="1440" w:bottom="1440" w:left="1440" w:header="708" w:footer="708" w:gutter="0"/>
          <w:cols w:space="708"/>
          <w:docGrid w:linePitch="360"/>
        </w:sectPr>
      </w:pPr>
    </w:p>
    <w:p w:rsidR="00A915BE" w:rsidRDefault="00A915BE" w:rsidP="00A915BE">
      <w:pPr>
        <w:pStyle w:val="ListParagraph"/>
        <w:numPr>
          <w:ilvl w:val="0"/>
          <w:numId w:val="1"/>
        </w:numPr>
        <w:rPr>
          <w:b/>
        </w:rPr>
      </w:pPr>
      <w:r w:rsidRPr="00A915BE">
        <w:rPr>
          <w:b/>
        </w:rPr>
        <w:lastRenderedPageBreak/>
        <w:t>Conditions</w:t>
      </w:r>
      <w:r w:rsidRPr="00A915BE">
        <w:rPr>
          <w:b/>
        </w:rPr>
        <w:t xml:space="preserve"> </w:t>
      </w:r>
      <w:r>
        <w:rPr>
          <w:b/>
        </w:rPr>
        <w:t>–</w:t>
      </w:r>
      <w:r w:rsidRPr="00A915BE">
        <w:rPr>
          <w:b/>
        </w:rPr>
        <w:t xml:space="preserve"> General</w:t>
      </w:r>
    </w:p>
    <w:p w:rsidR="00A915BE" w:rsidRPr="00A915BE" w:rsidRDefault="00A915BE" w:rsidP="00A915BE">
      <w:pPr>
        <w:pStyle w:val="ListParagraph"/>
        <w:rPr>
          <w:b/>
        </w:rPr>
      </w:pPr>
    </w:p>
    <w:p w:rsidR="00A915BE" w:rsidRDefault="00A915BE" w:rsidP="00A915BE">
      <w:pPr>
        <w:pStyle w:val="ListParagraph"/>
        <w:numPr>
          <w:ilvl w:val="0"/>
          <w:numId w:val="11"/>
        </w:numPr>
      </w:pPr>
      <w:r>
        <w:t>An applicable vehicle operating under an exemption from lights and reflectors (as listed in items seven through to 19 in table 1) is restricted to daytime travel and must not be used on a road or road related area during periods of low visibility.</w:t>
      </w:r>
    </w:p>
    <w:p w:rsidR="00A915BE" w:rsidRDefault="00A915BE" w:rsidP="00A915BE">
      <w:pPr>
        <w:pStyle w:val="ListParagraph"/>
        <w:ind w:left="1080"/>
      </w:pPr>
    </w:p>
    <w:p w:rsidR="00A915BE" w:rsidRDefault="00A915BE" w:rsidP="00A915BE">
      <w:pPr>
        <w:pStyle w:val="ListParagraph"/>
        <w:numPr>
          <w:ilvl w:val="0"/>
          <w:numId w:val="11"/>
        </w:numPr>
      </w:pPr>
      <w:r>
        <w:t>The vehicle must not be operated at a speed exceeding 40 km/h.</w:t>
      </w:r>
    </w:p>
    <w:p w:rsidR="00A915BE" w:rsidRDefault="00A915BE" w:rsidP="00A915BE">
      <w:pPr>
        <w:pStyle w:val="ListParagraph"/>
      </w:pPr>
    </w:p>
    <w:p w:rsidR="00A915BE" w:rsidRDefault="00A915BE" w:rsidP="00A915BE">
      <w:pPr>
        <w:pStyle w:val="ListParagraph"/>
        <w:numPr>
          <w:ilvl w:val="0"/>
          <w:numId w:val="11"/>
        </w:numPr>
      </w:pPr>
      <w:r>
        <w:t>A vehicle that has its own motive power must be fitted with:</w:t>
      </w:r>
    </w:p>
    <w:p w:rsidR="00A915BE" w:rsidRDefault="00A915BE" w:rsidP="00A915BE">
      <w:pPr>
        <w:pStyle w:val="ListParagraph"/>
        <w:numPr>
          <w:ilvl w:val="0"/>
          <w:numId w:val="12"/>
        </w:numPr>
      </w:pPr>
      <w:r>
        <w:t>Brakes to two or more wheels complying with the requirements of Section 87 of the National Regulation.</w:t>
      </w:r>
    </w:p>
    <w:p w:rsidR="00A915BE" w:rsidRDefault="00A915BE" w:rsidP="00A915BE">
      <w:pPr>
        <w:pStyle w:val="ListParagraph"/>
        <w:numPr>
          <w:ilvl w:val="0"/>
          <w:numId w:val="12"/>
        </w:numPr>
      </w:pPr>
      <w:r>
        <w:t>A parking brake that operates on at least two wheels and that is capable of holding the vehicle stationary on a 12 percent gradient.</w:t>
      </w:r>
    </w:p>
    <w:p w:rsidR="00C559B6" w:rsidRDefault="00A915BE" w:rsidP="00A915BE">
      <w:pPr>
        <w:pStyle w:val="ListParagraph"/>
        <w:numPr>
          <w:ilvl w:val="0"/>
          <w:numId w:val="12"/>
        </w:numPr>
      </w:pPr>
      <w:r>
        <w:t>An actuating mechanism for the parking brake that incorporates a device that prevents accidental release of that mechanism and holds the brake in the applied position unless intentionally released by the driver.</w:t>
      </w:r>
    </w:p>
    <w:p w:rsidR="00A915BE" w:rsidRDefault="00A915BE" w:rsidP="00A915BE"/>
    <w:p w:rsidR="00A915BE" w:rsidRDefault="00A915BE" w:rsidP="00A915BE">
      <w:pPr>
        <w:ind w:left="720"/>
        <w:contextualSpacing/>
      </w:pPr>
      <w:r>
        <w:t>Anthony Martin</w:t>
      </w:r>
      <w:r>
        <w:tab/>
      </w:r>
    </w:p>
    <w:p w:rsidR="00A915BE" w:rsidRPr="00A915BE" w:rsidRDefault="00A915BE" w:rsidP="00A915BE">
      <w:pPr>
        <w:ind w:left="720"/>
        <w:contextualSpacing/>
        <w:rPr>
          <w:i/>
        </w:rPr>
      </w:pPr>
      <w:r w:rsidRPr="00A915BE">
        <w:rPr>
          <w:i/>
        </w:rPr>
        <w:t xml:space="preserve">Director Safety Standards </w:t>
      </w:r>
    </w:p>
    <w:p w:rsidR="00A915BE" w:rsidRPr="00A915BE" w:rsidRDefault="00A915BE" w:rsidP="00A915BE">
      <w:pPr>
        <w:ind w:left="720"/>
        <w:contextualSpacing/>
        <w:rPr>
          <w:b/>
        </w:rPr>
      </w:pPr>
      <w:r w:rsidRPr="00A915BE">
        <w:rPr>
          <w:b/>
        </w:rPr>
        <w:t>National Heavy Vehicle Regulator</w:t>
      </w:r>
    </w:p>
    <w:sectPr w:rsidR="00A915BE" w:rsidRPr="00A915BE" w:rsidSect="00A91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B6" w:rsidRDefault="00C559B6" w:rsidP="00C559B6">
      <w:pPr>
        <w:spacing w:after="0" w:line="240" w:lineRule="auto"/>
      </w:pPr>
      <w:r>
        <w:separator/>
      </w:r>
    </w:p>
  </w:endnote>
  <w:endnote w:type="continuationSeparator" w:id="0">
    <w:p w:rsidR="00C559B6" w:rsidRDefault="00C559B6" w:rsidP="00C5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00" w:rsidRDefault="00F62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549760"/>
      <w:docPartObj>
        <w:docPartGallery w:val="Page Numbers (Bottom of Page)"/>
        <w:docPartUnique/>
      </w:docPartObj>
    </w:sdtPr>
    <w:sdtContent>
      <w:sdt>
        <w:sdtPr>
          <w:id w:val="860082579"/>
          <w:docPartObj>
            <w:docPartGallery w:val="Page Numbers (Top of Page)"/>
            <w:docPartUnique/>
          </w:docPartObj>
        </w:sdtPr>
        <w:sdtContent>
          <w:p w:rsidR="00A915BE" w:rsidRDefault="00A915BE" w:rsidP="00A915BE">
            <w:pPr>
              <w:ind w:left="720"/>
              <w:contextualSpacing/>
              <w:jc w:val="right"/>
            </w:pPr>
          </w:p>
          <w:p w:rsidR="00A915BE" w:rsidRDefault="00A915BE" w:rsidP="00A915BE">
            <w:pPr>
              <w:ind w:left="720"/>
              <w:contextualSpacing/>
              <w:jc w:val="right"/>
            </w:pPr>
            <w:r>
              <w:t>South Australian Heavy Vehicle Standards (Conditionally Registered Special Purpose Vehicle</w:t>
            </w:r>
            <w:r>
              <w:t>) Exemption Notice 2019 (No. 2)</w:t>
            </w:r>
            <w:bookmarkStart w:id="0" w:name="_GoBack"/>
            <w:bookmarkEnd w:id="0"/>
          </w:p>
          <w:p w:rsidR="00A915BE" w:rsidRDefault="00A915BE" w:rsidP="00A915BE">
            <w:pPr>
              <w:pStyle w:val="Footer"/>
              <w:contextualSpacing/>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2B0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2B00">
              <w:rPr>
                <w:b/>
                <w:bCs/>
                <w:noProof/>
              </w:rPr>
              <w:t>5</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277511"/>
      <w:docPartObj>
        <w:docPartGallery w:val="Page Numbers (Top of Page)"/>
        <w:docPartUnique/>
      </w:docPartObj>
    </w:sdtPr>
    <w:sdtContent>
      <w:p w:rsidR="00B33451" w:rsidRDefault="00B33451" w:rsidP="00B33451">
        <w:pPr>
          <w:ind w:left="720"/>
          <w:contextualSpacing/>
          <w:jc w:val="right"/>
        </w:pPr>
      </w:p>
      <w:p w:rsidR="00B33451" w:rsidRDefault="00B33451" w:rsidP="00B33451">
        <w:pPr>
          <w:ind w:left="720"/>
          <w:contextualSpacing/>
          <w:jc w:val="right"/>
        </w:pPr>
        <w:r>
          <w:t>South Australian Heavy Vehicle Standards (Conditionally Registered Special Purpose Vehicle) Exemption Notice 2019 (No. 2)</w:t>
        </w:r>
      </w:p>
      <w:p w:rsidR="00B33451" w:rsidRDefault="00B33451" w:rsidP="00B33451">
        <w:pPr>
          <w:pStyle w:val="Footer"/>
          <w:contextualSpacing/>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B6" w:rsidRDefault="00C559B6" w:rsidP="00C559B6">
      <w:pPr>
        <w:spacing w:after="0" w:line="240" w:lineRule="auto"/>
      </w:pPr>
      <w:r>
        <w:separator/>
      </w:r>
    </w:p>
  </w:footnote>
  <w:footnote w:type="continuationSeparator" w:id="0">
    <w:p w:rsidR="00C559B6" w:rsidRDefault="00C559B6" w:rsidP="00C55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00" w:rsidRDefault="00F62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00" w:rsidRDefault="00F62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B33451" w:rsidRPr="00CE796A" w:rsidTr="00295D9F">
      <w:trPr>
        <w:trHeight w:val="984"/>
      </w:trPr>
      <w:tc>
        <w:tcPr>
          <w:tcW w:w="1263" w:type="dxa"/>
          <w:tcBorders>
            <w:top w:val="single" w:sz="4" w:space="0" w:color="auto"/>
            <w:left w:val="nil"/>
            <w:bottom w:val="single" w:sz="4" w:space="0" w:color="auto"/>
            <w:right w:val="nil"/>
            <w:tl2br w:val="nil"/>
            <w:tr2bl w:val="nil"/>
          </w:tcBorders>
          <w:shd w:val="clear" w:color="auto" w:fill="auto"/>
        </w:tcPr>
        <w:p w:rsidR="00B33451" w:rsidRPr="00CE796A" w:rsidRDefault="00B33451" w:rsidP="00295D9F">
          <w:pPr>
            <w:spacing w:before="60"/>
            <w:ind w:left="-51"/>
            <w:rPr>
              <w:rFonts w:ascii="Arial" w:hAnsi="Arial"/>
              <w:sz w:val="12"/>
            </w:rPr>
          </w:pPr>
          <w:bookmarkStart w:id="1" w:name="OLE_LINK2"/>
          <w:r>
            <w:rPr>
              <w:rFonts w:ascii="Arial" w:hAnsi="Arial"/>
              <w:noProof/>
              <w:sz w:val="12"/>
            </w:rPr>
            <w:drawing>
              <wp:inline distT="0" distB="0" distL="0" distR="0" wp14:anchorId="385B18FC" wp14:editId="19DA5E74">
                <wp:extent cx="702945" cy="544195"/>
                <wp:effectExtent l="0" t="0" r="0" b="8255"/>
                <wp:docPr id="4" name="Picture 4"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B33451" w:rsidRPr="00CE796A" w:rsidRDefault="00B33451" w:rsidP="00295D9F">
          <w:pPr>
            <w:spacing w:before="6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B33451" w:rsidRPr="00CE796A" w:rsidRDefault="00B33451" w:rsidP="00295D9F">
          <w:pPr>
            <w:spacing w:before="180" w:line="800" w:lineRule="exact"/>
            <w:jc w:val="right"/>
            <w:rPr>
              <w:rFonts w:ascii="Arial" w:hAnsi="Arial" w:cs="Arial"/>
              <w:b/>
              <w:sz w:val="100"/>
              <w:szCs w:val="100"/>
            </w:rPr>
          </w:pPr>
          <w:r w:rsidRPr="00CE796A">
            <w:rPr>
              <w:rFonts w:ascii="Arial" w:hAnsi="Arial" w:cs="Arial"/>
              <w:b/>
              <w:sz w:val="100"/>
              <w:szCs w:val="100"/>
            </w:rPr>
            <w:t>Gazette</w:t>
          </w:r>
        </w:p>
      </w:tc>
    </w:tr>
    <w:tr w:rsidR="00B33451" w:rsidRPr="00CE796A" w:rsidTr="00295D9F">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B33451" w:rsidRPr="00CE796A" w:rsidRDefault="00B33451" w:rsidP="00295D9F">
          <w:pPr>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B33451" w:rsidRPr="00840A06" w:rsidRDefault="00B33451" w:rsidP="00295D9F">
          <w:pPr>
            <w:jc w:val="right"/>
            <w:rPr>
              <w:rFonts w:ascii="Arial" w:hAnsi="Arial" w:cs="Arial"/>
              <w:b/>
            </w:rPr>
          </w:pPr>
          <w:r w:rsidRPr="00840A06">
            <w:rPr>
              <w:rFonts w:ascii="Arial" w:hAnsi="Arial" w:cs="Arial"/>
              <w:b/>
            </w:rPr>
            <w:t>GOVERNMENT NOTICES</w:t>
          </w:r>
        </w:p>
      </w:tc>
    </w:tr>
    <w:bookmarkEnd w:id="1"/>
  </w:tbl>
  <w:p w:rsidR="00B33451" w:rsidRDefault="00B33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40B2"/>
    <w:multiLevelType w:val="hybridMultilevel"/>
    <w:tmpl w:val="7D546A32"/>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1490192D"/>
    <w:multiLevelType w:val="hybridMultilevel"/>
    <w:tmpl w:val="2E96A1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B4E3A10"/>
    <w:multiLevelType w:val="hybridMultilevel"/>
    <w:tmpl w:val="8F5E83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9A476E"/>
    <w:multiLevelType w:val="hybridMultilevel"/>
    <w:tmpl w:val="2E00341E"/>
    <w:lvl w:ilvl="0" w:tplc="3418D9B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2DF605E"/>
    <w:multiLevelType w:val="hybridMultilevel"/>
    <w:tmpl w:val="6BBC6262"/>
    <w:lvl w:ilvl="0" w:tplc="3418D9B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41BF117F"/>
    <w:multiLevelType w:val="hybridMultilevel"/>
    <w:tmpl w:val="C3EE1EB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42E21613"/>
    <w:multiLevelType w:val="hybridMultilevel"/>
    <w:tmpl w:val="047A20FE"/>
    <w:lvl w:ilvl="0" w:tplc="3418D9B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40D6F23"/>
    <w:multiLevelType w:val="hybridMultilevel"/>
    <w:tmpl w:val="D4B23BD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598A570F"/>
    <w:multiLevelType w:val="hybridMultilevel"/>
    <w:tmpl w:val="C494FE8E"/>
    <w:lvl w:ilvl="0" w:tplc="0C09001B">
      <w:start w:val="1"/>
      <w:numFmt w:val="lowerRoman"/>
      <w:lvlText w:val="%1."/>
      <w:lvlJc w:val="right"/>
      <w:pPr>
        <w:ind w:left="610" w:hanging="360"/>
      </w:pPr>
      <w:rPr>
        <w:rFonts w:hint="default"/>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204"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5ADB5802"/>
    <w:multiLevelType w:val="hybridMultilevel"/>
    <w:tmpl w:val="3942E902"/>
    <w:lvl w:ilvl="0" w:tplc="826AA5F4">
      <w:start w:val="1"/>
      <w:numFmt w:val="lowerLetter"/>
      <w:pStyle w:val="Sub2"/>
      <w:lvlText w:val="%1)"/>
      <w:lvlJc w:val="left"/>
      <w:pPr>
        <w:ind w:left="720" w:hanging="360"/>
      </w:pPr>
      <w:rPr>
        <w:i w:val="0"/>
        <w:sz w:val="18"/>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8A42C14"/>
    <w:multiLevelType w:val="hybridMultilevel"/>
    <w:tmpl w:val="5C82563E"/>
    <w:lvl w:ilvl="0" w:tplc="3418D9B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10"/>
  </w:num>
  <w:num w:numId="3">
    <w:abstractNumId w:val="4"/>
  </w:num>
  <w:num w:numId="4">
    <w:abstractNumId w:val="6"/>
  </w:num>
  <w:num w:numId="5">
    <w:abstractNumId w:val="5"/>
  </w:num>
  <w:num w:numId="6">
    <w:abstractNumId w:val="1"/>
  </w:num>
  <w:num w:numId="7">
    <w:abstractNumId w:val="0"/>
  </w:num>
  <w:num w:numId="8">
    <w:abstractNumId w:val="8"/>
  </w:num>
  <w:num w:numId="9">
    <w:abstractNumId w:val="9"/>
  </w:num>
  <w:num w:numId="10">
    <w:abstractNumId w:val="9"/>
    <w:lvlOverride w:ilvl="0">
      <w:startOverride w:val="1"/>
    </w:lvlOverride>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CD"/>
    <w:rsid w:val="001218CD"/>
    <w:rsid w:val="0039538F"/>
    <w:rsid w:val="009C43A2"/>
    <w:rsid w:val="00A915BE"/>
    <w:rsid w:val="00B33451"/>
    <w:rsid w:val="00C06C4F"/>
    <w:rsid w:val="00C559B6"/>
    <w:rsid w:val="00F62B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8F"/>
    <w:pPr>
      <w:ind w:left="720"/>
      <w:contextualSpacing/>
    </w:pPr>
  </w:style>
  <w:style w:type="paragraph" w:styleId="Header">
    <w:name w:val="header"/>
    <w:basedOn w:val="Normal"/>
    <w:link w:val="HeaderChar"/>
    <w:uiPriority w:val="99"/>
    <w:unhideWhenUsed/>
    <w:rsid w:val="00C55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9B6"/>
  </w:style>
  <w:style w:type="paragraph" w:styleId="Footer">
    <w:name w:val="footer"/>
    <w:basedOn w:val="Normal"/>
    <w:link w:val="FooterChar"/>
    <w:uiPriority w:val="99"/>
    <w:unhideWhenUsed/>
    <w:rsid w:val="00C55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9B6"/>
  </w:style>
  <w:style w:type="paragraph" w:customStyle="1" w:styleId="Sub2">
    <w:name w:val="Sub 2"/>
    <w:basedOn w:val="ListParagraph"/>
    <w:link w:val="Sub2Char"/>
    <w:qFormat/>
    <w:rsid w:val="00A915BE"/>
    <w:pPr>
      <w:numPr>
        <w:numId w:val="9"/>
      </w:numPr>
      <w:spacing w:after="0"/>
    </w:pPr>
    <w:rPr>
      <w:i/>
      <w:sz w:val="18"/>
      <w:szCs w:val="18"/>
    </w:rPr>
  </w:style>
  <w:style w:type="paragraph" w:customStyle="1" w:styleId="Sub3">
    <w:name w:val="Sub 3"/>
    <w:basedOn w:val="ListParagraph"/>
    <w:link w:val="Sub3Char"/>
    <w:qFormat/>
    <w:rsid w:val="00A915BE"/>
    <w:pPr>
      <w:numPr>
        <w:ilvl w:val="1"/>
      </w:numPr>
      <w:tabs>
        <w:tab w:val="left" w:pos="0"/>
      </w:tabs>
    </w:pPr>
  </w:style>
  <w:style w:type="character" w:customStyle="1" w:styleId="Sub2Char">
    <w:name w:val="Sub 2 Char"/>
    <w:basedOn w:val="DefaultParagraphFont"/>
    <w:link w:val="Sub2"/>
    <w:rsid w:val="00A915BE"/>
    <w:rPr>
      <w:i/>
      <w:sz w:val="18"/>
      <w:szCs w:val="18"/>
    </w:rPr>
  </w:style>
  <w:style w:type="character" w:customStyle="1" w:styleId="Sub3Char">
    <w:name w:val="Sub 3 Char"/>
    <w:basedOn w:val="DefaultParagraphFont"/>
    <w:link w:val="Sub3"/>
    <w:rsid w:val="00A915BE"/>
  </w:style>
  <w:style w:type="paragraph" w:styleId="BalloonText">
    <w:name w:val="Balloon Text"/>
    <w:basedOn w:val="Normal"/>
    <w:link w:val="BalloonTextChar"/>
    <w:uiPriority w:val="99"/>
    <w:semiHidden/>
    <w:unhideWhenUsed/>
    <w:rsid w:val="00B33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8F"/>
    <w:pPr>
      <w:ind w:left="720"/>
      <w:contextualSpacing/>
    </w:pPr>
  </w:style>
  <w:style w:type="paragraph" w:styleId="Header">
    <w:name w:val="header"/>
    <w:basedOn w:val="Normal"/>
    <w:link w:val="HeaderChar"/>
    <w:uiPriority w:val="99"/>
    <w:unhideWhenUsed/>
    <w:rsid w:val="00C55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9B6"/>
  </w:style>
  <w:style w:type="paragraph" w:styleId="Footer">
    <w:name w:val="footer"/>
    <w:basedOn w:val="Normal"/>
    <w:link w:val="FooterChar"/>
    <w:uiPriority w:val="99"/>
    <w:unhideWhenUsed/>
    <w:rsid w:val="00C55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9B6"/>
  </w:style>
  <w:style w:type="paragraph" w:customStyle="1" w:styleId="Sub2">
    <w:name w:val="Sub 2"/>
    <w:basedOn w:val="ListParagraph"/>
    <w:link w:val="Sub2Char"/>
    <w:qFormat/>
    <w:rsid w:val="00A915BE"/>
    <w:pPr>
      <w:numPr>
        <w:numId w:val="9"/>
      </w:numPr>
      <w:spacing w:after="0"/>
    </w:pPr>
    <w:rPr>
      <w:i/>
      <w:sz w:val="18"/>
      <w:szCs w:val="18"/>
    </w:rPr>
  </w:style>
  <w:style w:type="paragraph" w:customStyle="1" w:styleId="Sub3">
    <w:name w:val="Sub 3"/>
    <w:basedOn w:val="ListParagraph"/>
    <w:link w:val="Sub3Char"/>
    <w:qFormat/>
    <w:rsid w:val="00A915BE"/>
    <w:pPr>
      <w:numPr>
        <w:ilvl w:val="1"/>
      </w:numPr>
      <w:tabs>
        <w:tab w:val="left" w:pos="0"/>
      </w:tabs>
    </w:pPr>
  </w:style>
  <w:style w:type="character" w:customStyle="1" w:styleId="Sub2Char">
    <w:name w:val="Sub 2 Char"/>
    <w:basedOn w:val="DefaultParagraphFont"/>
    <w:link w:val="Sub2"/>
    <w:rsid w:val="00A915BE"/>
    <w:rPr>
      <w:i/>
      <w:sz w:val="18"/>
      <w:szCs w:val="18"/>
    </w:rPr>
  </w:style>
  <w:style w:type="character" w:customStyle="1" w:styleId="Sub3Char">
    <w:name w:val="Sub 3 Char"/>
    <w:basedOn w:val="DefaultParagraphFont"/>
    <w:link w:val="Sub3"/>
    <w:rsid w:val="00A915BE"/>
  </w:style>
  <w:style w:type="paragraph" w:styleId="BalloonText">
    <w:name w:val="Balloon Text"/>
    <w:basedOn w:val="Normal"/>
    <w:link w:val="BalloonTextChar"/>
    <w:uiPriority w:val="99"/>
    <w:semiHidden/>
    <w:unhideWhenUsed/>
    <w:rsid w:val="00B33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32D3376-AEA5-4760-B4F4-2020143111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National Heavy Vehicle Regulator</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Crapnell</dc:creator>
  <cp:keywords/>
  <dc:description/>
  <cp:lastModifiedBy>Robert Crapnell</cp:lastModifiedBy>
  <cp:revision>5</cp:revision>
  <dcterms:created xsi:type="dcterms:W3CDTF">2019-06-04T21:29:00Z</dcterms:created>
  <dcterms:modified xsi:type="dcterms:W3CDTF">2019-06-04T21:53:00Z</dcterms:modified>
</cp:coreProperties>
</file>