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43" w:rsidRDefault="00C41243" w:rsidP="00C41243">
      <w:r w:rsidRPr="009349E9">
        <w:rPr>
          <w:noProof/>
          <w:lang w:eastAsia="en-AU"/>
        </w:rPr>
        <w:drawing>
          <wp:inline distT="0" distB="0" distL="0" distR="0" wp14:anchorId="51CF4666" wp14:editId="17CCA62E">
            <wp:extent cx="1133475" cy="819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43" w:rsidRDefault="00C41243" w:rsidP="00C41243">
      <w:pPr>
        <w:pBdr>
          <w:bottom w:val="single" w:sz="4" w:space="1" w:color="auto"/>
        </w:pBdr>
        <w:spacing w:after="0"/>
        <w:rPr>
          <w:rFonts w:ascii="Times New Roman" w:hAnsi="Times New Roman"/>
          <w:b/>
          <w:i/>
          <w:sz w:val="40"/>
          <w:szCs w:val="40"/>
        </w:rPr>
      </w:pPr>
      <w:r w:rsidRPr="009349E9">
        <w:rPr>
          <w:rFonts w:ascii="Times New Roman" w:hAnsi="Times New Roman"/>
          <w:b/>
          <w:i/>
          <w:sz w:val="40"/>
          <w:szCs w:val="40"/>
        </w:rPr>
        <w:t xml:space="preserve">Environment Protection and Biodiversity </w:t>
      </w:r>
    </w:p>
    <w:p w:rsidR="00C41243" w:rsidRPr="009349E9" w:rsidRDefault="00C41243" w:rsidP="00C41243">
      <w:pPr>
        <w:pBdr>
          <w:bottom w:val="single" w:sz="4" w:space="1" w:color="auto"/>
        </w:pBdr>
        <w:rPr>
          <w:rFonts w:ascii="Times New Roman" w:hAnsi="Times New Roman"/>
          <w:b/>
          <w:i/>
          <w:sz w:val="40"/>
          <w:szCs w:val="40"/>
        </w:rPr>
      </w:pPr>
      <w:r w:rsidRPr="009349E9">
        <w:rPr>
          <w:rFonts w:ascii="Times New Roman" w:hAnsi="Times New Roman"/>
          <w:b/>
          <w:i/>
          <w:sz w:val="40"/>
          <w:szCs w:val="40"/>
        </w:rPr>
        <w:t>Conservation Act 1999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D60FD6">
        <w:rPr>
          <w:rFonts w:ascii="Times New Roman" w:hAnsi="Times New Roman"/>
          <w:b/>
          <w:sz w:val="40"/>
          <w:szCs w:val="40"/>
        </w:rPr>
        <w:t>(</w:t>
      </w:r>
      <w:proofErr w:type="spellStart"/>
      <w:r w:rsidRPr="00D60FD6">
        <w:rPr>
          <w:rFonts w:ascii="Times New Roman" w:hAnsi="Times New Roman"/>
          <w:b/>
          <w:sz w:val="40"/>
          <w:szCs w:val="40"/>
        </w:rPr>
        <w:t>Cth</w:t>
      </w:r>
      <w:proofErr w:type="spellEnd"/>
      <w:r w:rsidRPr="00D60FD6">
        <w:rPr>
          <w:rFonts w:ascii="Times New Roman" w:hAnsi="Times New Roman"/>
          <w:b/>
          <w:sz w:val="40"/>
          <w:szCs w:val="40"/>
        </w:rPr>
        <w:t>)</w:t>
      </w:r>
    </w:p>
    <w:p w:rsidR="00C41243" w:rsidRPr="00E300A2" w:rsidRDefault="00C41243" w:rsidP="00C41243">
      <w:pPr>
        <w:rPr>
          <w:rFonts w:ascii="Times New Roman" w:hAnsi="Times New Roman"/>
          <w:b/>
          <w:sz w:val="24"/>
          <w:szCs w:val="24"/>
        </w:rPr>
      </w:pPr>
      <w:r w:rsidRPr="00EC313E">
        <w:rPr>
          <w:rFonts w:ascii="Times New Roman" w:hAnsi="Times New Roman"/>
          <w:b/>
          <w:sz w:val="24"/>
          <w:szCs w:val="24"/>
        </w:rPr>
        <w:t>Notice under Section </w:t>
      </w:r>
      <w:r w:rsidRPr="00E300A2">
        <w:rPr>
          <w:rFonts w:ascii="Times New Roman" w:hAnsi="Times New Roman"/>
          <w:b/>
          <w:sz w:val="24"/>
          <w:szCs w:val="24"/>
        </w:rPr>
        <w:t>315</w:t>
      </w:r>
    </w:p>
    <w:p w:rsidR="00C41243" w:rsidRPr="00531D1A" w:rsidRDefault="00C41243" w:rsidP="00C41243">
      <w:pPr>
        <w:rPr>
          <w:rFonts w:ascii="Times New Roman" w:hAnsi="Times New Roman"/>
          <w:sz w:val="24"/>
          <w:szCs w:val="24"/>
        </w:rPr>
      </w:pPr>
      <w:r w:rsidRPr="00E300A2">
        <w:rPr>
          <w:rFonts w:ascii="Times New Roman" w:hAnsi="Times New Roman"/>
          <w:sz w:val="24"/>
          <w:szCs w:val="24"/>
        </w:rPr>
        <w:t xml:space="preserve">I, </w:t>
      </w:r>
      <w:r w:rsidRPr="00531D1A">
        <w:rPr>
          <w:rFonts w:ascii="Times New Roman" w:hAnsi="Times New Roman"/>
          <w:sz w:val="24"/>
          <w:szCs w:val="24"/>
        </w:rPr>
        <w:t>David Williams, Assistant Secretary, Heritage Branch, Department of the Environment and Energy,</w:t>
      </w:r>
      <w:r w:rsidRPr="00EC313E">
        <w:rPr>
          <w:rFonts w:ascii="Times New Roman" w:hAnsi="Times New Roman"/>
          <w:sz w:val="24"/>
          <w:szCs w:val="24"/>
        </w:rPr>
        <w:t xml:space="preserve"> give</w:t>
      </w:r>
      <w:r w:rsidRPr="00E300A2">
        <w:rPr>
          <w:rFonts w:ascii="Times New Roman" w:hAnsi="Times New Roman"/>
          <w:sz w:val="24"/>
          <w:szCs w:val="24"/>
        </w:rPr>
        <w:t xml:space="preserve"> notice under subsection 315(1)</w:t>
      </w:r>
      <w:r w:rsidRPr="00531D1A">
        <w:rPr>
          <w:rFonts w:ascii="Times New Roman" w:hAnsi="Times New Roman"/>
          <w:sz w:val="24"/>
          <w:szCs w:val="24"/>
        </w:rPr>
        <w:t xml:space="preserve"> of the </w:t>
      </w:r>
      <w:r w:rsidRPr="00531D1A">
        <w:rPr>
          <w:rFonts w:ascii="Times New Roman" w:hAnsi="Times New Roman"/>
          <w:i/>
          <w:sz w:val="24"/>
          <w:szCs w:val="24"/>
        </w:rPr>
        <w:t>Environment Protection and Biodiversity Conservation Act 1999</w:t>
      </w:r>
      <w:r w:rsidRPr="00531D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31D1A">
        <w:rPr>
          <w:rFonts w:ascii="Times New Roman" w:hAnsi="Times New Roman"/>
          <w:sz w:val="24"/>
          <w:szCs w:val="24"/>
        </w:rPr>
        <w:t>Cth</w:t>
      </w:r>
      <w:proofErr w:type="spellEnd"/>
      <w:r w:rsidRPr="00531D1A">
        <w:rPr>
          <w:rFonts w:ascii="Times New Roman" w:hAnsi="Times New Roman"/>
          <w:sz w:val="24"/>
          <w:szCs w:val="24"/>
        </w:rPr>
        <w:t xml:space="preserve">), that the property known as </w:t>
      </w:r>
      <w:proofErr w:type="spellStart"/>
      <w:r w:rsidRPr="00531D1A">
        <w:rPr>
          <w:rFonts w:ascii="Times New Roman" w:hAnsi="Times New Roman"/>
          <w:sz w:val="24"/>
          <w:szCs w:val="24"/>
        </w:rPr>
        <w:t>Budj</w:t>
      </w:r>
      <w:proofErr w:type="spellEnd"/>
      <w:r w:rsidRPr="00531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D1A">
        <w:rPr>
          <w:rFonts w:ascii="Times New Roman" w:hAnsi="Times New Roman"/>
          <w:sz w:val="24"/>
          <w:szCs w:val="24"/>
        </w:rPr>
        <w:t>Bim</w:t>
      </w:r>
      <w:proofErr w:type="spellEnd"/>
      <w:r w:rsidRPr="00531D1A">
        <w:rPr>
          <w:rFonts w:ascii="Times New Roman" w:hAnsi="Times New Roman"/>
          <w:sz w:val="24"/>
          <w:szCs w:val="24"/>
        </w:rPr>
        <w:t xml:space="preserve"> Cultural Landscape, as described in Schedule A, was submitted to the World Heritage Committee for inclusion in the World Heritage List (paragraph 315(1</w:t>
      </w:r>
      <w:proofErr w:type="gramStart"/>
      <w:r w:rsidRPr="00531D1A">
        <w:rPr>
          <w:rFonts w:ascii="Times New Roman" w:hAnsi="Times New Roman"/>
          <w:sz w:val="24"/>
          <w:szCs w:val="24"/>
        </w:rPr>
        <w:t>)(</w:t>
      </w:r>
      <w:proofErr w:type="gramEnd"/>
      <w:r w:rsidRPr="00531D1A">
        <w:rPr>
          <w:rFonts w:ascii="Times New Roman" w:hAnsi="Times New Roman"/>
          <w:sz w:val="24"/>
          <w:szCs w:val="24"/>
        </w:rPr>
        <w:t>a)) and included in the World Heritage List (paragraph 315(1)(e)).</w:t>
      </w:r>
    </w:p>
    <w:p w:rsidR="00C41243" w:rsidRPr="00531D1A" w:rsidRDefault="00C41243" w:rsidP="00C41243">
      <w:pPr>
        <w:spacing w:after="80"/>
        <w:rPr>
          <w:rFonts w:ascii="Times New Roman" w:hAnsi="Times New Roman"/>
          <w:sz w:val="24"/>
          <w:szCs w:val="24"/>
        </w:rPr>
      </w:pPr>
      <w:r w:rsidRPr="00531D1A">
        <w:rPr>
          <w:rFonts w:ascii="Times New Roman" w:hAnsi="Times New Roman"/>
          <w:sz w:val="24"/>
          <w:szCs w:val="24"/>
        </w:rPr>
        <w:t>Further details are available on the Department's website at:</w:t>
      </w:r>
    </w:p>
    <w:p w:rsidR="00C41243" w:rsidRPr="00EC313E" w:rsidRDefault="00422C0C" w:rsidP="00C41243">
      <w:pPr>
        <w:rPr>
          <w:rFonts w:ascii="Times New Roman" w:hAnsi="Times New Roman"/>
          <w:sz w:val="24"/>
          <w:szCs w:val="24"/>
        </w:rPr>
      </w:pPr>
      <w:hyperlink r:id="rId8" w:history="1">
        <w:r w:rsidR="00C41243" w:rsidRPr="00E300A2">
          <w:rPr>
            <w:rStyle w:val="Hyperlink"/>
            <w:rFonts w:ascii="Times New Roman" w:hAnsi="Times New Roman"/>
            <w:sz w:val="24"/>
            <w:szCs w:val="24"/>
          </w:rPr>
          <w:t>www.environment.gov.au/heritage/places/world/budj-bim</w:t>
        </w:r>
      </w:hyperlink>
    </w:p>
    <w:p w:rsidR="00C41243" w:rsidRPr="00531D1A" w:rsidRDefault="00C41243" w:rsidP="00C41243">
      <w:pPr>
        <w:rPr>
          <w:rFonts w:ascii="Times New Roman" w:hAnsi="Times New Roman"/>
          <w:sz w:val="24"/>
          <w:szCs w:val="24"/>
        </w:rPr>
      </w:pPr>
      <w:r w:rsidRPr="00E300A2">
        <w:rPr>
          <w:rFonts w:ascii="Times New Roman" w:hAnsi="Times New Roman"/>
          <w:sz w:val="24"/>
          <w:szCs w:val="24"/>
        </w:rPr>
        <w:t xml:space="preserve">Dated: </w:t>
      </w:r>
      <w:r w:rsidR="004F008E">
        <w:rPr>
          <w:rFonts w:ascii="Times New Roman" w:hAnsi="Times New Roman"/>
          <w:sz w:val="24"/>
          <w:szCs w:val="24"/>
        </w:rPr>
        <w:t>9</w:t>
      </w:r>
      <w:r w:rsidRPr="00E300A2">
        <w:rPr>
          <w:rFonts w:ascii="Times New Roman" w:hAnsi="Times New Roman"/>
          <w:sz w:val="24"/>
          <w:szCs w:val="24"/>
        </w:rPr>
        <w:t xml:space="preserve"> </w:t>
      </w:r>
      <w:r w:rsidRPr="00531D1A">
        <w:rPr>
          <w:rFonts w:ascii="Times New Roman" w:hAnsi="Times New Roman"/>
          <w:sz w:val="24"/>
          <w:szCs w:val="24"/>
        </w:rPr>
        <w:t>August 2019</w:t>
      </w:r>
    </w:p>
    <w:p w:rsidR="00C41243" w:rsidRPr="00531D1A" w:rsidRDefault="00C41243" w:rsidP="00C41243">
      <w:pPr>
        <w:spacing w:before="1600" w:after="0"/>
        <w:rPr>
          <w:rFonts w:ascii="Times New Roman" w:hAnsi="Times New Roman"/>
          <w:sz w:val="24"/>
          <w:szCs w:val="24"/>
        </w:rPr>
      </w:pPr>
      <w:r w:rsidRPr="00531D1A">
        <w:rPr>
          <w:rFonts w:ascii="Times New Roman" w:hAnsi="Times New Roman"/>
          <w:sz w:val="24"/>
          <w:szCs w:val="24"/>
        </w:rPr>
        <w:t>David Williams</w:t>
      </w:r>
    </w:p>
    <w:p w:rsidR="00C41243" w:rsidRPr="00531D1A" w:rsidRDefault="00C41243" w:rsidP="00C41243">
      <w:pPr>
        <w:spacing w:after="0"/>
        <w:rPr>
          <w:rFonts w:ascii="Times New Roman" w:hAnsi="Times New Roman"/>
          <w:sz w:val="24"/>
          <w:szCs w:val="24"/>
        </w:rPr>
      </w:pPr>
      <w:r w:rsidRPr="00531D1A">
        <w:rPr>
          <w:rFonts w:ascii="Times New Roman" w:hAnsi="Times New Roman"/>
          <w:sz w:val="24"/>
          <w:szCs w:val="24"/>
        </w:rPr>
        <w:t xml:space="preserve">Assistant Secretary </w:t>
      </w:r>
    </w:p>
    <w:p w:rsidR="00C41243" w:rsidRPr="00531D1A" w:rsidRDefault="00C41243" w:rsidP="00C41243">
      <w:pPr>
        <w:spacing w:after="0"/>
        <w:rPr>
          <w:rFonts w:ascii="Times New Roman" w:hAnsi="Times New Roman"/>
          <w:sz w:val="24"/>
          <w:szCs w:val="24"/>
        </w:rPr>
      </w:pPr>
      <w:r w:rsidRPr="00531D1A">
        <w:rPr>
          <w:rFonts w:ascii="Times New Roman" w:hAnsi="Times New Roman"/>
          <w:sz w:val="24"/>
          <w:szCs w:val="24"/>
        </w:rPr>
        <w:t>Heritage Branch</w:t>
      </w:r>
    </w:p>
    <w:p w:rsidR="00C41243" w:rsidRPr="00531D1A" w:rsidRDefault="00C41243" w:rsidP="00C41243">
      <w:pPr>
        <w:spacing w:after="0"/>
        <w:rPr>
          <w:rFonts w:ascii="Times New Roman" w:hAnsi="Times New Roman"/>
          <w:sz w:val="24"/>
          <w:szCs w:val="24"/>
        </w:rPr>
      </w:pPr>
      <w:r w:rsidRPr="00531D1A">
        <w:rPr>
          <w:rFonts w:ascii="Times New Roman" w:hAnsi="Times New Roman"/>
          <w:sz w:val="24"/>
          <w:szCs w:val="24"/>
        </w:rPr>
        <w:t>Department of the Environment and Energy</w:t>
      </w:r>
    </w:p>
    <w:p w:rsidR="00C41243" w:rsidRDefault="00C41243" w:rsidP="00C41243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C41243" w:rsidRPr="00530E23" w:rsidRDefault="00C41243" w:rsidP="00C41243">
      <w:pPr>
        <w:spacing w:after="0" w:line="240" w:lineRule="auto"/>
      </w:pPr>
      <w:r w:rsidRPr="00530E23">
        <w:br w:type="page"/>
      </w:r>
    </w:p>
    <w:p w:rsidR="00422C0C" w:rsidRPr="00422C0C" w:rsidRDefault="00422C0C" w:rsidP="00422C0C">
      <w:pPr>
        <w:rPr>
          <w:rFonts w:ascii="Arial" w:eastAsia="Calibri" w:hAnsi="Arial" w:cs="Times New Roman"/>
          <w:b/>
          <w:color w:val="000000"/>
        </w:rPr>
      </w:pPr>
      <w:r w:rsidRPr="00422C0C">
        <w:rPr>
          <w:rFonts w:ascii="Arial" w:eastAsia="Calibri" w:hAnsi="Arial" w:cs="Times New Roman"/>
          <w:b/>
          <w:color w:val="000000"/>
        </w:rPr>
        <w:lastRenderedPageBreak/>
        <w:t>Schedule A</w:t>
      </w:r>
    </w:p>
    <w:p w:rsidR="00422C0C" w:rsidRPr="00422C0C" w:rsidRDefault="00422C0C" w:rsidP="00422C0C">
      <w:pPr>
        <w:rPr>
          <w:rFonts w:ascii="Arial" w:eastAsia="Calibri" w:hAnsi="Arial" w:cs="Times New Roman"/>
          <w:color w:val="000000"/>
        </w:rPr>
      </w:pPr>
      <w:r w:rsidRPr="00422C0C">
        <w:rPr>
          <w:rFonts w:ascii="Arial" w:eastAsia="Calibri" w:hAnsi="Arial" w:cs="Times New Roman"/>
          <w:color w:val="000000"/>
        </w:rPr>
        <w:t xml:space="preserve">In January 2018, the Australian Government submitted the World Heritage nomination for the </w:t>
      </w:r>
      <w:proofErr w:type="spellStart"/>
      <w:r w:rsidRPr="00422C0C">
        <w:rPr>
          <w:rFonts w:ascii="Arial" w:eastAsia="Calibri" w:hAnsi="Arial" w:cs="Times New Roman"/>
          <w:color w:val="000000"/>
        </w:rPr>
        <w:t>Budj</w:t>
      </w:r>
      <w:proofErr w:type="spellEnd"/>
      <w:r w:rsidRPr="00422C0C">
        <w:rPr>
          <w:rFonts w:ascii="Arial" w:eastAsia="Calibri" w:hAnsi="Arial" w:cs="Times New Roman"/>
          <w:color w:val="000000"/>
        </w:rPr>
        <w:t xml:space="preserve"> </w:t>
      </w:r>
      <w:proofErr w:type="spellStart"/>
      <w:r w:rsidRPr="00422C0C">
        <w:rPr>
          <w:rFonts w:ascii="Arial" w:eastAsia="Calibri" w:hAnsi="Arial" w:cs="Times New Roman"/>
          <w:color w:val="000000"/>
        </w:rPr>
        <w:t>Bim</w:t>
      </w:r>
      <w:proofErr w:type="spellEnd"/>
      <w:r w:rsidRPr="00422C0C">
        <w:rPr>
          <w:rFonts w:ascii="Arial" w:eastAsia="Calibri" w:hAnsi="Arial" w:cs="Times New Roman"/>
          <w:color w:val="000000"/>
        </w:rPr>
        <w:t xml:space="preserve"> Cultural Landscape to the World Heritage Centre.</w:t>
      </w:r>
    </w:p>
    <w:p w:rsidR="00422C0C" w:rsidRPr="00422C0C" w:rsidRDefault="00422C0C" w:rsidP="00422C0C">
      <w:pPr>
        <w:rPr>
          <w:rFonts w:ascii="Arial" w:eastAsia="Calibri" w:hAnsi="Arial" w:cs="Times New Roman"/>
          <w:color w:val="000000"/>
        </w:rPr>
      </w:pPr>
      <w:r w:rsidRPr="00422C0C">
        <w:rPr>
          <w:rFonts w:ascii="Arial" w:eastAsia="Calibri" w:hAnsi="Arial" w:cs="Times New Roman"/>
          <w:color w:val="000000"/>
        </w:rPr>
        <w:t>On 1 March 2018, the World Heritage Centre advised that the nomination met the technical requirements for assessment for inclusion on the World Heritage List.</w:t>
      </w:r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  <w:color w:val="000000"/>
        </w:rPr>
        <w:t xml:space="preserve">The area known as </w:t>
      </w:r>
      <w:proofErr w:type="spellStart"/>
      <w:r w:rsidRPr="00422C0C">
        <w:rPr>
          <w:rFonts w:ascii="Arial" w:eastAsia="Calibri" w:hAnsi="Arial" w:cs="Times New Roman"/>
          <w:color w:val="000000"/>
        </w:rPr>
        <w:t>Budj</w:t>
      </w:r>
      <w:proofErr w:type="spellEnd"/>
      <w:r w:rsidRPr="00422C0C">
        <w:rPr>
          <w:rFonts w:ascii="Arial" w:eastAsia="Calibri" w:hAnsi="Arial" w:cs="Times New Roman"/>
          <w:color w:val="000000"/>
        </w:rPr>
        <w:t xml:space="preserve"> </w:t>
      </w:r>
      <w:proofErr w:type="spellStart"/>
      <w:r w:rsidRPr="00422C0C">
        <w:rPr>
          <w:rFonts w:ascii="Arial" w:eastAsia="Calibri" w:hAnsi="Arial" w:cs="Times New Roman"/>
          <w:color w:val="000000"/>
        </w:rPr>
        <w:t>Bim</w:t>
      </w:r>
      <w:proofErr w:type="spellEnd"/>
      <w:r w:rsidRPr="00422C0C">
        <w:rPr>
          <w:rFonts w:ascii="Arial" w:eastAsia="Calibri" w:hAnsi="Arial" w:cs="Times New Roman"/>
          <w:color w:val="000000"/>
        </w:rPr>
        <w:t xml:space="preserve"> Cultural Landscape, specified in the map and described below, was inscribed on the World Heritage List at the 43rd</w:t>
      </w:r>
      <w:r w:rsidRPr="00422C0C">
        <w:rPr>
          <w:rFonts w:ascii="Arial" w:eastAsia="Calibri" w:hAnsi="Arial" w:cs="Times New Roman"/>
          <w:color w:val="000000"/>
          <w:vertAlign w:val="superscript"/>
        </w:rPr>
        <w:t xml:space="preserve"> </w:t>
      </w:r>
      <w:r w:rsidRPr="00422C0C">
        <w:rPr>
          <w:rFonts w:ascii="Arial" w:eastAsia="Calibri" w:hAnsi="Arial" w:cs="Times New Roman"/>
          <w:color w:val="000000"/>
        </w:rPr>
        <w:t>session of the World Heritage Committee on 6 July 2019.</w:t>
      </w:r>
    </w:p>
    <w:p w:rsidR="00422C0C" w:rsidRPr="00422C0C" w:rsidRDefault="00422C0C" w:rsidP="00422C0C">
      <w:pPr>
        <w:rPr>
          <w:rFonts w:ascii="Arial" w:eastAsia="Calibri" w:hAnsi="Arial" w:cs="Times New Roman"/>
          <w:b/>
          <w:bCs/>
        </w:rPr>
      </w:pPr>
      <w:r w:rsidRPr="00422C0C">
        <w:rPr>
          <w:rFonts w:ascii="Arial" w:eastAsia="Calibri" w:hAnsi="Arial" w:cs="Times New Roman"/>
        </w:rPr>
        <w:t xml:space="preserve">The </w:t>
      </w:r>
      <w:proofErr w:type="spellStart"/>
      <w:r w:rsidRPr="00422C0C">
        <w:rPr>
          <w:rFonts w:ascii="Arial" w:eastAsia="Calibri" w:hAnsi="Arial" w:cs="Times New Roman"/>
        </w:rPr>
        <w:t>Budj</w:t>
      </w:r>
      <w:proofErr w:type="spellEnd"/>
      <w:r w:rsidRPr="00422C0C">
        <w:rPr>
          <w:rFonts w:ascii="Arial" w:eastAsia="Calibri" w:hAnsi="Arial" w:cs="Times New Roman"/>
        </w:rPr>
        <w:t xml:space="preserve"> </w:t>
      </w:r>
      <w:proofErr w:type="spellStart"/>
      <w:r w:rsidRPr="00422C0C">
        <w:rPr>
          <w:rFonts w:ascii="Arial" w:eastAsia="Calibri" w:hAnsi="Arial" w:cs="Times New Roman"/>
        </w:rPr>
        <w:t>Bim</w:t>
      </w:r>
      <w:proofErr w:type="spellEnd"/>
      <w:r w:rsidRPr="00422C0C">
        <w:rPr>
          <w:rFonts w:ascii="Arial" w:eastAsia="Calibri" w:hAnsi="Arial" w:cs="Times New Roman"/>
        </w:rPr>
        <w:t xml:space="preserve"> Cultural Landscape is the first Australian place nominated solely for Aboriginal cultural values, which was led by the </w:t>
      </w:r>
      <w:proofErr w:type="spellStart"/>
      <w:r w:rsidRPr="00422C0C">
        <w:rPr>
          <w:rFonts w:ascii="Arial" w:eastAsia="Calibri" w:hAnsi="Arial" w:cs="Times New Roman"/>
        </w:rPr>
        <w:t>Gunditjmara</w:t>
      </w:r>
      <w:proofErr w:type="spellEnd"/>
      <w:r w:rsidRPr="00422C0C">
        <w:rPr>
          <w:rFonts w:ascii="Arial" w:eastAsia="Calibri" w:hAnsi="Arial" w:cs="Times New Roman"/>
        </w:rPr>
        <w:t xml:space="preserve"> Aboriginal people. The </w:t>
      </w:r>
      <w:proofErr w:type="spellStart"/>
      <w:r w:rsidRPr="00422C0C">
        <w:rPr>
          <w:rFonts w:ascii="Arial" w:eastAsia="Calibri" w:hAnsi="Arial" w:cs="Times New Roman"/>
        </w:rPr>
        <w:t>Budj</w:t>
      </w:r>
      <w:proofErr w:type="spellEnd"/>
      <w:r w:rsidRPr="00422C0C">
        <w:rPr>
          <w:rFonts w:ascii="Arial" w:eastAsia="Calibri" w:hAnsi="Arial" w:cs="Times New Roman"/>
        </w:rPr>
        <w:t xml:space="preserve"> </w:t>
      </w:r>
      <w:proofErr w:type="spellStart"/>
      <w:r w:rsidRPr="00422C0C">
        <w:rPr>
          <w:rFonts w:ascii="Arial" w:eastAsia="Calibri" w:hAnsi="Arial" w:cs="Times New Roman"/>
        </w:rPr>
        <w:t>Bim</w:t>
      </w:r>
      <w:proofErr w:type="spellEnd"/>
      <w:r w:rsidRPr="00422C0C">
        <w:rPr>
          <w:rFonts w:ascii="Arial" w:eastAsia="Calibri" w:hAnsi="Arial" w:cs="Times New Roman"/>
        </w:rPr>
        <w:t xml:space="preserve"> Cultural Landscape is located within </w:t>
      </w:r>
      <w:proofErr w:type="spellStart"/>
      <w:r w:rsidRPr="00422C0C">
        <w:rPr>
          <w:rFonts w:ascii="Arial" w:eastAsia="Calibri" w:hAnsi="Arial" w:cs="Times New Roman"/>
        </w:rPr>
        <w:t>Gunditjmara</w:t>
      </w:r>
      <w:proofErr w:type="spellEnd"/>
      <w:r w:rsidRPr="00422C0C">
        <w:rPr>
          <w:rFonts w:ascii="Arial" w:eastAsia="Calibri" w:hAnsi="Arial" w:cs="Times New Roman"/>
        </w:rPr>
        <w:t xml:space="preserve"> Country in south-western Victoria.</w:t>
      </w:r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</w:rPr>
        <w:t xml:space="preserve">The </w:t>
      </w:r>
      <w:proofErr w:type="spellStart"/>
      <w:r w:rsidRPr="00422C0C">
        <w:rPr>
          <w:rFonts w:ascii="Arial" w:eastAsia="Calibri" w:hAnsi="Arial" w:cs="Times New Roman"/>
        </w:rPr>
        <w:t>Budj</w:t>
      </w:r>
      <w:proofErr w:type="spellEnd"/>
      <w:r w:rsidRPr="00422C0C">
        <w:rPr>
          <w:rFonts w:ascii="Arial" w:eastAsia="Calibri" w:hAnsi="Arial" w:cs="Times New Roman"/>
        </w:rPr>
        <w:t xml:space="preserve"> </w:t>
      </w:r>
      <w:proofErr w:type="spellStart"/>
      <w:r w:rsidRPr="00422C0C">
        <w:rPr>
          <w:rFonts w:ascii="Arial" w:eastAsia="Calibri" w:hAnsi="Arial" w:cs="Times New Roman"/>
        </w:rPr>
        <w:t>Bim</w:t>
      </w:r>
      <w:proofErr w:type="spellEnd"/>
      <w:r w:rsidRPr="00422C0C">
        <w:rPr>
          <w:rFonts w:ascii="Arial" w:eastAsia="Calibri" w:hAnsi="Arial" w:cs="Times New Roman"/>
        </w:rPr>
        <w:t xml:space="preserve"> Cultural Landscape is a serial property comprised of three components; </w:t>
      </w:r>
      <w:proofErr w:type="spellStart"/>
      <w:r w:rsidRPr="00422C0C">
        <w:rPr>
          <w:rFonts w:ascii="Arial" w:eastAsia="Calibri" w:hAnsi="Arial" w:cs="Times New Roman"/>
        </w:rPr>
        <w:t>Budj</w:t>
      </w:r>
      <w:proofErr w:type="spellEnd"/>
      <w:r w:rsidRPr="00422C0C">
        <w:rPr>
          <w:rFonts w:ascii="Arial" w:eastAsia="Calibri" w:hAnsi="Arial" w:cs="Times New Roman"/>
        </w:rPr>
        <w:t xml:space="preserve"> </w:t>
      </w:r>
      <w:proofErr w:type="spellStart"/>
      <w:r w:rsidRPr="00422C0C">
        <w:rPr>
          <w:rFonts w:ascii="Arial" w:eastAsia="Calibri" w:hAnsi="Arial" w:cs="Times New Roman"/>
        </w:rPr>
        <w:t>Bim</w:t>
      </w:r>
      <w:proofErr w:type="spellEnd"/>
      <w:r w:rsidRPr="00422C0C">
        <w:rPr>
          <w:rFonts w:ascii="Arial" w:eastAsia="Calibri" w:hAnsi="Arial" w:cs="Times New Roman"/>
        </w:rPr>
        <w:t xml:space="preserve"> (northern) component, </w:t>
      </w:r>
      <w:proofErr w:type="spellStart"/>
      <w:r w:rsidRPr="00422C0C">
        <w:rPr>
          <w:rFonts w:ascii="Arial" w:eastAsia="Calibri" w:hAnsi="Arial" w:cs="Times New Roman"/>
        </w:rPr>
        <w:t>Kurtonitj</w:t>
      </w:r>
      <w:proofErr w:type="spellEnd"/>
      <w:r w:rsidRPr="00422C0C">
        <w:rPr>
          <w:rFonts w:ascii="Arial" w:eastAsia="Calibri" w:hAnsi="Arial" w:cs="Times New Roman"/>
        </w:rPr>
        <w:t xml:space="preserve"> (central) component and Tyrendarra (southern) component. The geographical coordinates to the nearest second is S 38° 03’ 44’’, E 141° 49’ 58’’, being the centroid of Tae </w:t>
      </w:r>
      <w:proofErr w:type="spellStart"/>
      <w:r w:rsidRPr="00422C0C">
        <w:rPr>
          <w:rFonts w:ascii="Arial" w:eastAsia="Calibri" w:hAnsi="Arial" w:cs="Times New Roman"/>
        </w:rPr>
        <w:t>Rak</w:t>
      </w:r>
      <w:proofErr w:type="spellEnd"/>
      <w:r w:rsidRPr="00422C0C">
        <w:rPr>
          <w:rFonts w:ascii="Arial" w:eastAsia="Calibri" w:hAnsi="Arial" w:cs="Times New Roman"/>
          <w:b/>
          <w:bCs/>
        </w:rPr>
        <w:t xml:space="preserve"> </w:t>
      </w:r>
      <w:r w:rsidRPr="00422C0C">
        <w:rPr>
          <w:rFonts w:ascii="Arial" w:eastAsia="Calibri" w:hAnsi="Arial" w:cs="Times New Roman"/>
        </w:rPr>
        <w:t xml:space="preserve">(Lake Condah). </w:t>
      </w:r>
    </w:p>
    <w:p w:rsidR="00422C0C" w:rsidRPr="00422C0C" w:rsidRDefault="00422C0C" w:rsidP="00422C0C">
      <w:pPr>
        <w:rPr>
          <w:rFonts w:ascii="Arial" w:eastAsia="Calibri" w:hAnsi="Arial" w:cs="Times New Roman"/>
          <w:b/>
          <w:i/>
        </w:rPr>
      </w:pPr>
      <w:r w:rsidRPr="00422C0C">
        <w:rPr>
          <w:rFonts w:ascii="Arial" w:eastAsia="Calibri" w:hAnsi="Arial" w:cs="Times New Roman"/>
          <w:b/>
          <w:i/>
        </w:rPr>
        <w:t>1. North component – Mt Eccles Lake Condah Area</w:t>
      </w:r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</w:rPr>
        <w:t xml:space="preserve">About 9039 ha, 6km south west of Macarthur, comprising part of Mount Eccles National Park, Stones State Faunal Reserve, </w:t>
      </w:r>
      <w:proofErr w:type="spellStart"/>
      <w:r w:rsidRPr="00422C0C">
        <w:rPr>
          <w:rFonts w:ascii="Arial" w:eastAsia="Calibri" w:hAnsi="Arial" w:cs="Times New Roman"/>
        </w:rPr>
        <w:t>Muldoons</w:t>
      </w:r>
      <w:proofErr w:type="spellEnd"/>
      <w:r w:rsidRPr="00422C0C">
        <w:rPr>
          <w:rFonts w:ascii="Arial" w:eastAsia="Calibri" w:hAnsi="Arial" w:cs="Times New Roman"/>
        </w:rPr>
        <w:t xml:space="preserve"> Aboriginal Land, Allambie Aboriginal Land, Lake </w:t>
      </w:r>
      <w:proofErr w:type="spellStart"/>
      <w:r w:rsidRPr="00422C0C">
        <w:rPr>
          <w:rFonts w:ascii="Arial" w:eastAsia="Calibri" w:hAnsi="Arial" w:cs="Times New Roman"/>
        </w:rPr>
        <w:t>Gorrie</w:t>
      </w:r>
      <w:proofErr w:type="spellEnd"/>
      <w:r w:rsidRPr="00422C0C">
        <w:rPr>
          <w:rFonts w:ascii="Arial" w:eastAsia="Calibri" w:hAnsi="Arial" w:cs="Times New Roman"/>
        </w:rPr>
        <w:t xml:space="preserve">, </w:t>
      </w:r>
      <w:proofErr w:type="spellStart"/>
      <w:r w:rsidRPr="00422C0C">
        <w:rPr>
          <w:rFonts w:ascii="Arial" w:eastAsia="Calibri" w:hAnsi="Arial" w:cs="Times New Roman"/>
        </w:rPr>
        <w:t>Brians</w:t>
      </w:r>
      <w:proofErr w:type="spellEnd"/>
      <w:r w:rsidRPr="00422C0C">
        <w:rPr>
          <w:rFonts w:ascii="Arial" w:eastAsia="Calibri" w:hAnsi="Arial" w:cs="Times New Roman"/>
        </w:rPr>
        <w:t xml:space="preserve"> Road Lake Condah Lot 2010 PP2563, </w:t>
      </w:r>
      <w:proofErr w:type="spellStart"/>
      <w:r w:rsidRPr="00422C0C">
        <w:rPr>
          <w:rFonts w:ascii="Arial" w:eastAsia="Calibri" w:hAnsi="Arial" w:cs="Times New Roman"/>
        </w:rPr>
        <w:t>Brians</w:t>
      </w:r>
      <w:proofErr w:type="spellEnd"/>
      <w:r w:rsidRPr="00422C0C">
        <w:rPr>
          <w:rFonts w:ascii="Arial" w:eastAsia="Calibri" w:hAnsi="Arial" w:cs="Times New Roman"/>
        </w:rPr>
        <w:t xml:space="preserve"> Road Breakaway Creek Lots 2010 and 2008 PP2563, Lake </w:t>
      </w:r>
      <w:proofErr w:type="spellStart"/>
      <w:r w:rsidRPr="00422C0C">
        <w:rPr>
          <w:rFonts w:ascii="Arial" w:eastAsia="Calibri" w:hAnsi="Arial" w:cs="Times New Roman"/>
        </w:rPr>
        <w:t>Gorrie</w:t>
      </w:r>
      <w:proofErr w:type="spellEnd"/>
      <w:r w:rsidRPr="00422C0C">
        <w:rPr>
          <w:rFonts w:ascii="Arial" w:eastAsia="Calibri" w:hAnsi="Arial" w:cs="Times New Roman"/>
        </w:rPr>
        <w:t xml:space="preserve"> Road Bessiebelle Property, </w:t>
      </w:r>
      <w:proofErr w:type="spellStart"/>
      <w:r w:rsidRPr="00422C0C">
        <w:rPr>
          <w:rFonts w:ascii="Arial" w:eastAsia="Calibri" w:hAnsi="Arial" w:cs="Times New Roman"/>
        </w:rPr>
        <w:t>Pyes</w:t>
      </w:r>
      <w:proofErr w:type="spellEnd"/>
      <w:r w:rsidRPr="00422C0C">
        <w:rPr>
          <w:rFonts w:ascii="Arial" w:eastAsia="Calibri" w:hAnsi="Arial" w:cs="Times New Roman"/>
        </w:rPr>
        <w:t xml:space="preserve"> Road Bessiebelle Property including Lake </w:t>
      </w:r>
      <w:proofErr w:type="spellStart"/>
      <w:r w:rsidRPr="00422C0C">
        <w:rPr>
          <w:rFonts w:ascii="Arial" w:eastAsia="Calibri" w:hAnsi="Arial" w:cs="Times New Roman"/>
        </w:rPr>
        <w:t>Trk</w:t>
      </w:r>
      <w:proofErr w:type="spellEnd"/>
      <w:r w:rsidRPr="00422C0C">
        <w:rPr>
          <w:rFonts w:ascii="Arial" w:eastAsia="Calibri" w:hAnsi="Arial" w:cs="Times New Roman"/>
        </w:rPr>
        <w:t xml:space="preserve"> road easement and Condah Mission.</w:t>
      </w:r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</w:rPr>
        <w:t xml:space="preserve">Excluding </w:t>
      </w:r>
      <w:proofErr w:type="spellStart"/>
      <w:r w:rsidRPr="00422C0C">
        <w:rPr>
          <w:rFonts w:ascii="Arial" w:eastAsia="Calibri" w:hAnsi="Arial" w:cs="Times New Roman"/>
        </w:rPr>
        <w:t>Brians</w:t>
      </w:r>
      <w:proofErr w:type="spellEnd"/>
      <w:r w:rsidRPr="00422C0C">
        <w:rPr>
          <w:rFonts w:ascii="Arial" w:eastAsia="Calibri" w:hAnsi="Arial" w:cs="Times New Roman"/>
        </w:rPr>
        <w:t xml:space="preserve"> Road Breakaway Creek Lots 60 and 61 PP2563 and 224 </w:t>
      </w:r>
      <w:proofErr w:type="spellStart"/>
      <w:r w:rsidRPr="00422C0C">
        <w:rPr>
          <w:rFonts w:ascii="Arial" w:eastAsia="Calibri" w:hAnsi="Arial" w:cs="Times New Roman"/>
        </w:rPr>
        <w:t>Brians</w:t>
      </w:r>
      <w:proofErr w:type="spellEnd"/>
      <w:r w:rsidRPr="00422C0C">
        <w:rPr>
          <w:rFonts w:ascii="Arial" w:eastAsia="Calibri" w:hAnsi="Arial" w:cs="Times New Roman"/>
        </w:rPr>
        <w:t xml:space="preserve"> Road Breakaway Creek Lot 1 LP138567.</w:t>
      </w:r>
    </w:p>
    <w:p w:rsidR="00422C0C" w:rsidRPr="00422C0C" w:rsidRDefault="00422C0C" w:rsidP="00422C0C">
      <w:pPr>
        <w:rPr>
          <w:rFonts w:ascii="Arial" w:eastAsia="Calibri" w:hAnsi="Arial" w:cs="Times New Roman"/>
          <w:b/>
          <w:i/>
        </w:rPr>
      </w:pPr>
      <w:r w:rsidRPr="00422C0C">
        <w:rPr>
          <w:rFonts w:ascii="Arial" w:eastAsia="Calibri" w:hAnsi="Arial" w:cs="Times New Roman"/>
          <w:b/>
          <w:i/>
        </w:rPr>
        <w:t xml:space="preserve">2. Central component – </w:t>
      </w:r>
      <w:proofErr w:type="spellStart"/>
      <w:r w:rsidRPr="00422C0C">
        <w:rPr>
          <w:rFonts w:ascii="Arial" w:eastAsia="Calibri" w:hAnsi="Arial" w:cs="Times New Roman"/>
          <w:b/>
          <w:i/>
        </w:rPr>
        <w:t>Kurtonitj</w:t>
      </w:r>
      <w:proofErr w:type="spellEnd"/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</w:rPr>
        <w:t xml:space="preserve">About 482 ha, 10km north of Tyrendarra, between </w:t>
      </w:r>
      <w:proofErr w:type="spellStart"/>
      <w:r w:rsidRPr="00422C0C">
        <w:rPr>
          <w:rFonts w:ascii="Arial" w:eastAsia="Calibri" w:hAnsi="Arial" w:cs="Times New Roman"/>
        </w:rPr>
        <w:t>Coustleys</w:t>
      </w:r>
      <w:proofErr w:type="spellEnd"/>
      <w:r w:rsidRPr="00422C0C">
        <w:rPr>
          <w:rFonts w:ascii="Arial" w:eastAsia="Calibri" w:hAnsi="Arial" w:cs="Times New Roman"/>
        </w:rPr>
        <w:t xml:space="preserve"> Road and Woolsthorpe-Heywood Road, comprising the following Standard Parcel Identifier (SPI): 1\PS323639, 2\PS323639, 3\PS323639, 1\TP318542, 2\TP318542, 3\TP318542, 4\TP318542, 5\TP318542, 1\PP2563, 1A8\PP2563. Also included part of roads reserve within the whole (10) lots.</w:t>
      </w:r>
    </w:p>
    <w:p w:rsidR="00422C0C" w:rsidRPr="00422C0C" w:rsidRDefault="00422C0C" w:rsidP="00422C0C">
      <w:pPr>
        <w:rPr>
          <w:rFonts w:ascii="Arial" w:eastAsia="Calibri" w:hAnsi="Arial" w:cs="Times New Roman"/>
          <w:b/>
          <w:i/>
        </w:rPr>
      </w:pPr>
      <w:r w:rsidRPr="00422C0C">
        <w:rPr>
          <w:rFonts w:ascii="Arial" w:eastAsia="Calibri" w:hAnsi="Arial" w:cs="Times New Roman"/>
          <w:b/>
          <w:i/>
        </w:rPr>
        <w:t>3. Southern component - Tyrendarra</w:t>
      </w:r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</w:rPr>
        <w:t>About 414 ha, 2km north west of Tyrendarra, comprising the following Standard Parcel Identifier (SPI):  158A\PP2763, 158B\PP2763, 159\PP2763, 159A\PP2763, 159B\PP2763, 154C\PP2763, 155B\PP2763 and 2001\PP2763. Also included part of roads reserve within the whole (8) lots.</w:t>
      </w:r>
    </w:p>
    <w:p w:rsidR="00422C0C" w:rsidRPr="00422C0C" w:rsidRDefault="00422C0C" w:rsidP="00422C0C">
      <w:pPr>
        <w:rPr>
          <w:rFonts w:ascii="Arial" w:eastAsia="Calibri" w:hAnsi="Arial" w:cs="Times New Roman"/>
          <w:b/>
          <w:i/>
        </w:rPr>
      </w:pPr>
    </w:p>
    <w:p w:rsidR="00422C0C" w:rsidRPr="00422C0C" w:rsidRDefault="00422C0C" w:rsidP="00422C0C">
      <w:pPr>
        <w:rPr>
          <w:rFonts w:ascii="Arial" w:eastAsia="Calibri" w:hAnsi="Arial" w:cs="Times New Roman"/>
          <w:b/>
          <w:i/>
        </w:rPr>
      </w:pPr>
    </w:p>
    <w:p w:rsidR="00422C0C" w:rsidRPr="00422C0C" w:rsidRDefault="00422C0C" w:rsidP="00422C0C">
      <w:pPr>
        <w:rPr>
          <w:rFonts w:ascii="Arial" w:eastAsia="Calibri" w:hAnsi="Arial" w:cs="Times New Roman"/>
          <w:b/>
          <w:i/>
        </w:rPr>
      </w:pPr>
    </w:p>
    <w:p w:rsidR="00422C0C" w:rsidRPr="00422C0C" w:rsidRDefault="00422C0C" w:rsidP="00422C0C">
      <w:pPr>
        <w:rPr>
          <w:rFonts w:ascii="Arial" w:eastAsia="Calibri" w:hAnsi="Arial" w:cs="Times New Roman"/>
          <w:b/>
          <w:i/>
        </w:rPr>
      </w:pPr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  <w:b/>
          <w:i/>
        </w:rPr>
        <w:t xml:space="preserve">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093"/>
        <w:gridCol w:w="2876"/>
        <w:gridCol w:w="826"/>
        <w:gridCol w:w="1134"/>
        <w:gridCol w:w="807"/>
      </w:tblGrid>
      <w:tr w:rsidR="00422C0C" w:rsidRPr="00422C0C" w:rsidTr="00DF6042">
        <w:trPr>
          <w:trHeight w:val="447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E2"/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</w:p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NAME OF COMPONENT PART</w:t>
            </w:r>
          </w:p>
        </w:tc>
        <w:tc>
          <w:tcPr>
            <w:tcW w:w="10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E2"/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</w:p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REGION / DISTRICT</w:t>
            </w:r>
          </w:p>
        </w:tc>
        <w:tc>
          <w:tcPr>
            <w:tcW w:w="28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8DCE2"/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</w:p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COORDINATES OF CENTRAL POINT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E2"/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</w:p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AREA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E2"/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</w:p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BUFFER ZONE</w:t>
            </w:r>
          </w:p>
        </w:tc>
        <w:tc>
          <w:tcPr>
            <w:tcW w:w="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E2"/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</w:p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TOTAL</w:t>
            </w:r>
          </w:p>
        </w:tc>
      </w:tr>
      <w:tr w:rsidR="00422C0C" w:rsidRPr="00422C0C" w:rsidTr="00DF6042">
        <w:trPr>
          <w:trHeight w:val="247"/>
        </w:trPr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E2"/>
          </w:tcPr>
          <w:p w:rsidR="00422C0C" w:rsidRPr="00422C0C" w:rsidRDefault="00422C0C" w:rsidP="00422C0C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E2"/>
          </w:tcPr>
          <w:p w:rsidR="00422C0C" w:rsidRPr="00422C0C" w:rsidRDefault="00422C0C" w:rsidP="00422C0C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8DCE2"/>
          </w:tcPr>
          <w:p w:rsidR="00422C0C" w:rsidRPr="00422C0C" w:rsidRDefault="00422C0C" w:rsidP="00422C0C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FFFFFF"/>
              <w:left w:val="single" w:sz="8" w:space="0" w:color="FFFFFF"/>
              <w:bottom w:val="none" w:sz="6" w:space="0" w:color="auto"/>
              <w:right w:val="single" w:sz="18" w:space="0" w:color="D8DCE2"/>
            </w:tcBorders>
            <w:shd w:val="clear" w:color="auto" w:fill="C9CFD8"/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TO NEAREST HECTARE</w:t>
            </w:r>
          </w:p>
        </w:tc>
      </w:tr>
      <w:tr w:rsidR="00422C0C" w:rsidRPr="00422C0C" w:rsidTr="00DF6042">
        <w:trPr>
          <w:trHeight w:val="263"/>
        </w:trPr>
        <w:tc>
          <w:tcPr>
            <w:tcW w:w="2127" w:type="dxa"/>
            <w:tcBorders>
              <w:top w:val="single" w:sz="8" w:space="0" w:color="FFFFFF"/>
              <w:left w:val="non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rPr>
                <w:rFonts w:ascii="Arial" w:eastAsia="Calibri" w:hAnsi="Arial" w:cs="Times New Roman"/>
              </w:rPr>
            </w:pPr>
            <w:proofErr w:type="spellStart"/>
            <w:r w:rsidRPr="00422C0C">
              <w:rPr>
                <w:rFonts w:ascii="Arial" w:eastAsia="Calibri" w:hAnsi="Arial" w:cs="Times New Roman"/>
              </w:rPr>
              <w:t>Budj</w:t>
            </w:r>
            <w:proofErr w:type="spellEnd"/>
            <w:r w:rsidRPr="00422C0C">
              <w:rPr>
                <w:rFonts w:ascii="Arial" w:eastAsia="Calibri" w:hAnsi="Arial" w:cs="Times New Roman"/>
              </w:rPr>
              <w:t xml:space="preserve"> </w:t>
            </w:r>
            <w:proofErr w:type="spellStart"/>
            <w:r w:rsidRPr="00422C0C">
              <w:rPr>
                <w:rFonts w:ascii="Arial" w:eastAsia="Calibri" w:hAnsi="Arial" w:cs="Times New Roman"/>
              </w:rPr>
              <w:t>Bim</w:t>
            </w:r>
            <w:proofErr w:type="spellEnd"/>
            <w:r w:rsidRPr="00422C0C">
              <w:rPr>
                <w:rFonts w:ascii="Arial" w:eastAsia="Calibri" w:hAnsi="Arial" w:cs="Times New Roman"/>
              </w:rPr>
              <w:t xml:space="preserve"> (northern) component</w:t>
            </w:r>
          </w:p>
        </w:tc>
        <w:tc>
          <w:tcPr>
            <w:tcW w:w="1093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Victoria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S 38° 04’ 52’’, E 141° 53’ 07’’</w:t>
            </w:r>
          </w:p>
        </w:tc>
        <w:tc>
          <w:tcPr>
            <w:tcW w:w="82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9,039</w:t>
            </w:r>
          </w:p>
        </w:tc>
        <w:tc>
          <w:tcPr>
            <w:tcW w:w="113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0</w:t>
            </w:r>
          </w:p>
        </w:tc>
        <w:tc>
          <w:tcPr>
            <w:tcW w:w="807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9,039</w:t>
            </w:r>
          </w:p>
        </w:tc>
      </w:tr>
      <w:tr w:rsidR="00422C0C" w:rsidRPr="00422C0C" w:rsidTr="00DF6042">
        <w:trPr>
          <w:trHeight w:val="270"/>
        </w:trPr>
        <w:tc>
          <w:tcPr>
            <w:tcW w:w="21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rPr>
                <w:rFonts w:ascii="Arial" w:eastAsia="Calibri" w:hAnsi="Arial" w:cs="Times New Roman"/>
              </w:rPr>
            </w:pPr>
            <w:proofErr w:type="spellStart"/>
            <w:r w:rsidRPr="00422C0C">
              <w:rPr>
                <w:rFonts w:ascii="Arial" w:eastAsia="Calibri" w:hAnsi="Arial" w:cs="Times New Roman"/>
              </w:rPr>
              <w:t>Kurtonitj</w:t>
            </w:r>
            <w:proofErr w:type="spellEnd"/>
            <w:r w:rsidRPr="00422C0C">
              <w:rPr>
                <w:rFonts w:ascii="Arial" w:eastAsia="Calibri" w:hAnsi="Arial" w:cs="Times New Roman"/>
              </w:rPr>
              <w:t xml:space="preserve"> (central) component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Victoria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S 38° 08’ 03’’, E 141° 47’ 04’’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482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482</w:t>
            </w:r>
          </w:p>
        </w:tc>
      </w:tr>
      <w:tr w:rsidR="00422C0C" w:rsidRPr="00422C0C" w:rsidTr="00DF6042">
        <w:trPr>
          <w:trHeight w:val="450"/>
        </w:trPr>
        <w:tc>
          <w:tcPr>
            <w:tcW w:w="21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Tyrendarra (southern) component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Victoria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S 38° 11’ 24’’, E 141° 45’ 23’’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414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414</w:t>
            </w:r>
          </w:p>
        </w:tc>
      </w:tr>
      <w:tr w:rsidR="00422C0C" w:rsidRPr="00422C0C" w:rsidTr="00DF6042">
        <w:trPr>
          <w:trHeight w:val="692"/>
        </w:trPr>
        <w:tc>
          <w:tcPr>
            <w:tcW w:w="6096" w:type="dxa"/>
            <w:gridSpan w:val="3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TOTAL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9,935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422C0C" w:rsidRDefault="00422C0C" w:rsidP="00422C0C">
            <w:pPr>
              <w:jc w:val="center"/>
              <w:rPr>
                <w:rFonts w:ascii="Arial" w:eastAsia="Calibri" w:hAnsi="Arial" w:cs="Times New Roman"/>
              </w:rPr>
            </w:pPr>
            <w:r w:rsidRPr="00422C0C">
              <w:rPr>
                <w:rFonts w:ascii="Arial" w:eastAsia="Calibri" w:hAnsi="Arial" w:cs="Times New Roman"/>
              </w:rPr>
              <w:t>9,935</w:t>
            </w:r>
          </w:p>
        </w:tc>
      </w:tr>
    </w:tbl>
    <w:p w:rsidR="00422C0C" w:rsidRPr="00422C0C" w:rsidRDefault="00422C0C" w:rsidP="00422C0C">
      <w:pPr>
        <w:rPr>
          <w:rFonts w:ascii="Arial" w:eastAsia="Calibri" w:hAnsi="Arial" w:cs="Times New Roman"/>
        </w:rPr>
      </w:pPr>
    </w:p>
    <w:p w:rsidR="00422C0C" w:rsidRPr="00422C0C" w:rsidRDefault="00422C0C" w:rsidP="00422C0C">
      <w:pPr>
        <w:rPr>
          <w:rFonts w:ascii="Arial" w:eastAsia="Calibri" w:hAnsi="Arial" w:cs="Times New Roman"/>
        </w:rPr>
      </w:pPr>
      <w:r w:rsidRPr="00422C0C">
        <w:rPr>
          <w:rFonts w:ascii="Arial" w:eastAsia="Calibri" w:hAnsi="Arial" w:cs="Times New Roman"/>
        </w:rPr>
        <w:t xml:space="preserve">The boundaries of the serial nominated property are those of </w:t>
      </w:r>
      <w:proofErr w:type="spellStart"/>
      <w:r w:rsidRPr="00422C0C">
        <w:rPr>
          <w:rFonts w:ascii="Arial" w:eastAsia="Calibri" w:hAnsi="Arial" w:cs="Times New Roman"/>
        </w:rPr>
        <w:t>Budj</w:t>
      </w:r>
      <w:proofErr w:type="spellEnd"/>
      <w:r w:rsidRPr="00422C0C">
        <w:rPr>
          <w:rFonts w:ascii="Arial" w:eastAsia="Calibri" w:hAnsi="Arial" w:cs="Times New Roman"/>
        </w:rPr>
        <w:t xml:space="preserve"> </w:t>
      </w:r>
      <w:proofErr w:type="spellStart"/>
      <w:r w:rsidRPr="00422C0C">
        <w:rPr>
          <w:rFonts w:ascii="Arial" w:eastAsia="Calibri" w:hAnsi="Arial" w:cs="Times New Roman"/>
        </w:rPr>
        <w:t>Bim</w:t>
      </w:r>
      <w:proofErr w:type="spellEnd"/>
      <w:r w:rsidRPr="00422C0C">
        <w:rPr>
          <w:rFonts w:ascii="Arial" w:eastAsia="Calibri" w:hAnsi="Arial" w:cs="Times New Roman"/>
        </w:rPr>
        <w:t xml:space="preserve"> National Park, </w:t>
      </w:r>
      <w:proofErr w:type="spellStart"/>
      <w:r w:rsidRPr="00422C0C">
        <w:rPr>
          <w:rFonts w:ascii="Arial" w:eastAsia="Calibri" w:hAnsi="Arial" w:cs="Times New Roman"/>
        </w:rPr>
        <w:t>Budj</w:t>
      </w:r>
      <w:proofErr w:type="spellEnd"/>
      <w:r w:rsidRPr="00422C0C">
        <w:rPr>
          <w:rFonts w:ascii="Arial" w:eastAsia="Calibri" w:hAnsi="Arial" w:cs="Times New Roman"/>
        </w:rPr>
        <w:t xml:space="preserve"> </w:t>
      </w:r>
      <w:proofErr w:type="spellStart"/>
      <w:r w:rsidRPr="00422C0C">
        <w:rPr>
          <w:rFonts w:ascii="Arial" w:eastAsia="Calibri" w:hAnsi="Arial" w:cs="Times New Roman"/>
        </w:rPr>
        <w:t>Bim</w:t>
      </w:r>
      <w:proofErr w:type="spellEnd"/>
      <w:r w:rsidRPr="00422C0C">
        <w:rPr>
          <w:rFonts w:ascii="Arial" w:eastAsia="Calibri" w:hAnsi="Arial" w:cs="Times New Roman"/>
        </w:rPr>
        <w:t xml:space="preserve"> Indigenous Protected Area, Tyrendarra Indigenous Protected Area and Lake Condah Mission, as at 6 July 2019.</w:t>
      </w:r>
    </w:p>
    <w:p w:rsidR="00C41243" w:rsidRPr="00422C0C" w:rsidRDefault="00422C0C" w:rsidP="00422C0C">
      <w:pPr>
        <w:rPr>
          <w:rFonts w:ascii="Arial" w:hAnsi="Arial" w:cs="Arial"/>
        </w:rPr>
      </w:pPr>
      <w:r w:rsidRPr="00422C0C">
        <w:rPr>
          <w:rFonts w:ascii="Arial" w:eastAsia="Calibri" w:hAnsi="Arial" w:cs="Times New Roman"/>
        </w:rPr>
        <w:t>Indigenous Protected Areas are areas of land and sea country owned or managed by Indigenous groups, which are voluntarily managed as a protected area for biodiversity conservation through an agreement with the Australian Government.</w:t>
      </w:r>
    </w:p>
    <w:p w:rsidR="00C41243" w:rsidRPr="00422C0C" w:rsidRDefault="00C41243" w:rsidP="00C41243">
      <w:pPr>
        <w:rPr>
          <w:rFonts w:ascii="Arial" w:hAnsi="Arial" w:cs="Arial"/>
        </w:rPr>
      </w:pPr>
    </w:p>
    <w:p w:rsidR="004B2753" w:rsidRPr="00422C0C" w:rsidRDefault="004B2753" w:rsidP="00C41243">
      <w:pPr>
        <w:rPr>
          <w:rFonts w:ascii="Arial" w:hAnsi="Arial" w:cs="Arial"/>
        </w:rPr>
      </w:pPr>
    </w:p>
    <w:sectPr w:rsidR="004B2753" w:rsidRPr="00422C0C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36495"/>
    <w:rsid w:val="000E1F2B"/>
    <w:rsid w:val="001B5D4E"/>
    <w:rsid w:val="001C2AAD"/>
    <w:rsid w:val="001F6E54"/>
    <w:rsid w:val="00280BCD"/>
    <w:rsid w:val="003A707F"/>
    <w:rsid w:val="003B0EC1"/>
    <w:rsid w:val="003B573B"/>
    <w:rsid w:val="003F2CBD"/>
    <w:rsid w:val="00422C0C"/>
    <w:rsid w:val="00424B97"/>
    <w:rsid w:val="004B2753"/>
    <w:rsid w:val="004F008E"/>
    <w:rsid w:val="00520873"/>
    <w:rsid w:val="00573D44"/>
    <w:rsid w:val="0067525B"/>
    <w:rsid w:val="007A2919"/>
    <w:rsid w:val="00840A06"/>
    <w:rsid w:val="008439B7"/>
    <w:rsid w:val="0087253F"/>
    <w:rsid w:val="008E4F6C"/>
    <w:rsid w:val="00902291"/>
    <w:rsid w:val="009539C7"/>
    <w:rsid w:val="00A00F21"/>
    <w:rsid w:val="00B84226"/>
    <w:rsid w:val="00C41243"/>
    <w:rsid w:val="00C63C4E"/>
    <w:rsid w:val="00C72C30"/>
    <w:rsid w:val="00D229E5"/>
    <w:rsid w:val="00D77A88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basedOn w:val="DefaultParagraphFont"/>
    <w:uiPriority w:val="99"/>
    <w:unhideWhenUsed/>
    <w:rsid w:val="009022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2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gov.au/heritage/places/world/budj-b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30D3-7214-40DD-A771-C4B3E882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AB83E0C5.dotm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2019-08-15T06:29:00Z</dcterms:created>
  <dcterms:modified xsi:type="dcterms:W3CDTF">2019-08-15T23:17:00Z</dcterms:modified>
</cp:coreProperties>
</file>