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07" w:rsidRDefault="00C6300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9" o:title=""/>
          </v:shape>
          <o:OLEObject Type="Embed" ProgID="Word.Picture.8" ShapeID="_x0000_i1025" DrawAspect="Content" ObjectID="_1661255916" r:id="rId10"/>
        </w:object>
      </w:r>
    </w:p>
    <w:p w:rsidR="00C63007" w:rsidRDefault="00C63007"/>
    <w:p w:rsidR="00C63007" w:rsidRDefault="00C63007" w:rsidP="00C63007">
      <w:pPr>
        <w:spacing w:line="240" w:lineRule="auto"/>
      </w:pPr>
    </w:p>
    <w:p w:rsidR="00C63007" w:rsidRDefault="00C63007" w:rsidP="00C63007"/>
    <w:p w:rsidR="00C63007" w:rsidRDefault="00C63007" w:rsidP="00C63007"/>
    <w:p w:rsidR="00C63007" w:rsidRDefault="00C63007" w:rsidP="00C63007"/>
    <w:p w:rsidR="00C63007" w:rsidRDefault="00C63007" w:rsidP="00C63007"/>
    <w:p w:rsidR="0048364F" w:rsidRPr="00B34FFD" w:rsidRDefault="00B33A32" w:rsidP="0048364F">
      <w:pPr>
        <w:pStyle w:val="ShortT"/>
      </w:pPr>
      <w:r w:rsidRPr="00B34FFD">
        <w:t xml:space="preserve">Statute Update (Regulations References) </w:t>
      </w:r>
      <w:r w:rsidR="00C63007">
        <w:t>Act</w:t>
      </w:r>
      <w:r w:rsidR="00C164CA" w:rsidRPr="00B34FFD">
        <w:t xml:space="preserve"> 20</w:t>
      </w:r>
      <w:r w:rsidR="00611905">
        <w:t>20</w:t>
      </w:r>
    </w:p>
    <w:p w:rsidR="0048364F" w:rsidRPr="00B34FFD" w:rsidRDefault="0048364F" w:rsidP="0048364F"/>
    <w:p w:rsidR="00611905" w:rsidRDefault="00611905" w:rsidP="00C63007">
      <w:pPr>
        <w:pStyle w:val="Actno"/>
        <w:spacing w:before="400"/>
      </w:pPr>
      <w:r>
        <w:t>No.</w:t>
      </w:r>
      <w:r w:rsidR="0063596E">
        <w:t xml:space="preserve"> 18</w:t>
      </w:r>
      <w:r>
        <w:t>, 2020</w:t>
      </w:r>
    </w:p>
    <w:p w:rsidR="0048364F" w:rsidRPr="00B34FFD" w:rsidRDefault="0048364F" w:rsidP="0048364F"/>
    <w:p w:rsidR="00C63007" w:rsidRDefault="00C63007" w:rsidP="00C63007"/>
    <w:p w:rsidR="00C63007" w:rsidRDefault="00C63007" w:rsidP="00C63007"/>
    <w:p w:rsidR="00C63007" w:rsidRDefault="00C63007" w:rsidP="00C63007"/>
    <w:p w:rsidR="00C63007" w:rsidRDefault="00C63007" w:rsidP="00C63007"/>
    <w:p w:rsidR="0048364F" w:rsidRPr="00B34FFD" w:rsidRDefault="00C63007" w:rsidP="0048364F">
      <w:pPr>
        <w:pStyle w:val="LongT"/>
      </w:pPr>
      <w:r>
        <w:t>An Act</w:t>
      </w:r>
      <w:r w:rsidR="0048364F" w:rsidRPr="00B34FFD">
        <w:t xml:space="preserve"> to </w:t>
      </w:r>
      <w:r w:rsidR="00DB57F6" w:rsidRPr="00B34FFD">
        <w:t>update</w:t>
      </w:r>
      <w:r w:rsidR="00EE7C8B" w:rsidRPr="00B34FFD">
        <w:t xml:space="preserve"> references to regulations in the statute law of the Commonwealth</w:t>
      </w:r>
      <w:r w:rsidR="0048364F" w:rsidRPr="00B34FFD">
        <w:t>, and for related purposes</w:t>
      </w:r>
    </w:p>
    <w:p w:rsidR="0048364F" w:rsidRPr="003337ED" w:rsidRDefault="0048364F" w:rsidP="0048364F">
      <w:pPr>
        <w:pStyle w:val="Header"/>
        <w:tabs>
          <w:tab w:val="clear" w:pos="4150"/>
          <w:tab w:val="clear" w:pos="8307"/>
        </w:tabs>
      </w:pPr>
      <w:r w:rsidRPr="003337ED">
        <w:rPr>
          <w:rStyle w:val="CharAmSchNo"/>
        </w:rPr>
        <w:t xml:space="preserve"> </w:t>
      </w:r>
      <w:r w:rsidRPr="003337ED">
        <w:rPr>
          <w:rStyle w:val="CharAmSchText"/>
        </w:rPr>
        <w:t xml:space="preserve"> </w:t>
      </w:r>
    </w:p>
    <w:p w:rsidR="0048364F" w:rsidRPr="003337ED" w:rsidRDefault="0048364F" w:rsidP="0048364F">
      <w:pPr>
        <w:pStyle w:val="Header"/>
        <w:tabs>
          <w:tab w:val="clear" w:pos="4150"/>
          <w:tab w:val="clear" w:pos="8307"/>
        </w:tabs>
      </w:pPr>
      <w:r w:rsidRPr="003337ED">
        <w:rPr>
          <w:rStyle w:val="CharAmPartNo"/>
        </w:rPr>
        <w:t xml:space="preserve"> </w:t>
      </w:r>
      <w:r w:rsidRPr="003337ED">
        <w:rPr>
          <w:rStyle w:val="CharAmPartText"/>
        </w:rPr>
        <w:t xml:space="preserve"> </w:t>
      </w:r>
    </w:p>
    <w:p w:rsidR="0048364F" w:rsidRPr="00B34FFD" w:rsidRDefault="0048364F" w:rsidP="0048364F">
      <w:pPr>
        <w:sectPr w:rsidR="0048364F" w:rsidRPr="00B34FFD" w:rsidSect="00C6300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B34FFD" w:rsidRDefault="0048364F" w:rsidP="000D48F6">
      <w:pPr>
        <w:rPr>
          <w:sz w:val="36"/>
        </w:rPr>
      </w:pPr>
      <w:r w:rsidRPr="00B34FFD">
        <w:rPr>
          <w:sz w:val="36"/>
        </w:rPr>
        <w:lastRenderedPageBreak/>
        <w:t>Contents</w:t>
      </w:r>
    </w:p>
    <w:bookmarkStart w:id="0" w:name="BKCheck15B_1"/>
    <w:bookmarkEnd w:id="0"/>
    <w:p w:rsidR="00F2265C" w:rsidRDefault="00F226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F2265C">
        <w:rPr>
          <w:noProof/>
        </w:rPr>
        <w:tab/>
      </w:r>
      <w:r w:rsidRPr="00F2265C">
        <w:rPr>
          <w:noProof/>
        </w:rPr>
        <w:fldChar w:fldCharType="begin"/>
      </w:r>
      <w:r w:rsidRPr="00F2265C">
        <w:rPr>
          <w:noProof/>
        </w:rPr>
        <w:instrText xml:space="preserve"> PAGEREF _Toc34832011 \h </w:instrText>
      </w:r>
      <w:r w:rsidRPr="00F2265C">
        <w:rPr>
          <w:noProof/>
        </w:rPr>
      </w:r>
      <w:r w:rsidRPr="00F2265C">
        <w:rPr>
          <w:noProof/>
        </w:rPr>
        <w:fldChar w:fldCharType="separate"/>
      </w:r>
      <w:r w:rsidR="00E21CD3">
        <w:rPr>
          <w:noProof/>
        </w:rPr>
        <w:t>1</w:t>
      </w:r>
      <w:r w:rsidRPr="00F2265C">
        <w:rPr>
          <w:noProof/>
        </w:rPr>
        <w:fldChar w:fldCharType="end"/>
      </w:r>
    </w:p>
    <w:p w:rsidR="00F2265C" w:rsidRDefault="00F226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2265C">
        <w:rPr>
          <w:noProof/>
        </w:rPr>
        <w:tab/>
      </w:r>
      <w:r w:rsidRPr="00F2265C">
        <w:rPr>
          <w:noProof/>
        </w:rPr>
        <w:fldChar w:fldCharType="begin"/>
      </w:r>
      <w:r w:rsidRPr="00F2265C">
        <w:rPr>
          <w:noProof/>
        </w:rPr>
        <w:instrText xml:space="preserve"> PAGEREF _Toc34832012 \h </w:instrText>
      </w:r>
      <w:r w:rsidRPr="00F2265C">
        <w:rPr>
          <w:noProof/>
        </w:rPr>
      </w:r>
      <w:r w:rsidRPr="00F2265C">
        <w:rPr>
          <w:noProof/>
        </w:rPr>
        <w:fldChar w:fldCharType="separate"/>
      </w:r>
      <w:r w:rsidR="00E21CD3">
        <w:rPr>
          <w:noProof/>
        </w:rPr>
        <w:t>2</w:t>
      </w:r>
      <w:r w:rsidRPr="00F2265C">
        <w:rPr>
          <w:noProof/>
        </w:rPr>
        <w:fldChar w:fldCharType="end"/>
      </w:r>
    </w:p>
    <w:p w:rsidR="00F2265C" w:rsidRDefault="00F2265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F2265C">
        <w:rPr>
          <w:noProof/>
        </w:rPr>
        <w:tab/>
      </w:r>
      <w:r w:rsidRPr="00F2265C">
        <w:rPr>
          <w:noProof/>
        </w:rPr>
        <w:fldChar w:fldCharType="begin"/>
      </w:r>
      <w:r w:rsidRPr="00F2265C">
        <w:rPr>
          <w:noProof/>
        </w:rPr>
        <w:instrText xml:space="preserve"> PAGEREF _Toc34832013 \h </w:instrText>
      </w:r>
      <w:r w:rsidRPr="00F2265C">
        <w:rPr>
          <w:noProof/>
        </w:rPr>
      </w:r>
      <w:r w:rsidRPr="00F2265C">
        <w:rPr>
          <w:noProof/>
        </w:rPr>
        <w:fldChar w:fldCharType="separate"/>
      </w:r>
      <w:r w:rsidR="00E21CD3">
        <w:rPr>
          <w:noProof/>
        </w:rPr>
        <w:t>2</w:t>
      </w:r>
      <w:r w:rsidRPr="00F2265C">
        <w:rPr>
          <w:noProof/>
        </w:rPr>
        <w:fldChar w:fldCharType="end"/>
      </w:r>
    </w:p>
    <w:p w:rsidR="00F2265C" w:rsidRDefault="00F2265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2265C">
        <w:rPr>
          <w:b w:val="0"/>
          <w:noProof/>
          <w:sz w:val="18"/>
        </w:rPr>
        <w:tab/>
      </w:r>
      <w:r w:rsidRPr="00F2265C">
        <w:rPr>
          <w:b w:val="0"/>
          <w:noProof/>
          <w:sz w:val="18"/>
        </w:rPr>
        <w:fldChar w:fldCharType="begin"/>
      </w:r>
      <w:r w:rsidRPr="00F2265C">
        <w:rPr>
          <w:b w:val="0"/>
          <w:noProof/>
          <w:sz w:val="18"/>
        </w:rPr>
        <w:instrText xml:space="preserve"> PAGEREF _Toc34832014 \h </w:instrText>
      </w:r>
      <w:r w:rsidRPr="00F2265C">
        <w:rPr>
          <w:b w:val="0"/>
          <w:noProof/>
          <w:sz w:val="18"/>
        </w:rPr>
      </w:r>
      <w:r w:rsidRPr="00F2265C">
        <w:rPr>
          <w:b w:val="0"/>
          <w:noProof/>
          <w:sz w:val="18"/>
        </w:rPr>
        <w:fldChar w:fldCharType="separate"/>
      </w:r>
      <w:r w:rsidR="00E21CD3">
        <w:rPr>
          <w:b w:val="0"/>
          <w:noProof/>
          <w:sz w:val="18"/>
        </w:rPr>
        <w:t>3</w:t>
      </w:r>
      <w:r w:rsidRPr="00F2265C">
        <w:rPr>
          <w:b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Age Discrimination Act 2004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_Toc34832015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3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Airports Act 1996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_Toc34832016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4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 New Tax System (Goods and Services Tax) Act 1999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_Toc34832017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5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Citizenship Act 2007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_Toc34832018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5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Carbon Credits (Carbon Farming Initiative) Act 2011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_Toc34832019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5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Customs Act 1901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_Toc34832020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5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Income Tax Assessment Act 1997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_Toc34832021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6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Monetary Agreements Act 1947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_Toc34832022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6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Judicial Misbehaviour and Incapacity (Parliamentary Commissions) Act 2012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_Toc34832023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6</w:t>
      </w:r>
      <w:r w:rsidRPr="00F2265C">
        <w:rPr>
          <w:i w:val="0"/>
          <w:noProof/>
          <w:sz w:val="18"/>
        </w:rPr>
        <w:fldChar w:fldCharType="end"/>
      </w:r>
    </w:p>
    <w:p w:rsidR="00F2265C" w:rsidRDefault="00F2265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Military Rehabilitation and Compensation Act 2004</w:t>
      </w:r>
      <w:r w:rsidRPr="00F2265C">
        <w:rPr>
          <w:i w:val="0"/>
          <w:noProof/>
          <w:sz w:val="18"/>
        </w:rPr>
        <w:tab/>
      </w:r>
      <w:r w:rsidRPr="00F2265C">
        <w:rPr>
          <w:i w:val="0"/>
          <w:noProof/>
          <w:sz w:val="18"/>
        </w:rPr>
        <w:fldChar w:fldCharType="begin"/>
      </w:r>
      <w:r w:rsidRPr="00F2265C">
        <w:rPr>
          <w:i w:val="0"/>
          <w:noProof/>
          <w:sz w:val="18"/>
        </w:rPr>
        <w:instrText xml:space="preserve"> PAGEREF _Toc34832024 \h </w:instrText>
      </w:r>
      <w:r w:rsidRPr="00F2265C">
        <w:rPr>
          <w:i w:val="0"/>
          <w:noProof/>
          <w:sz w:val="18"/>
        </w:rPr>
      </w:r>
      <w:r w:rsidRPr="00F2265C">
        <w:rPr>
          <w:i w:val="0"/>
          <w:noProof/>
          <w:sz w:val="18"/>
        </w:rPr>
        <w:fldChar w:fldCharType="separate"/>
      </w:r>
      <w:r w:rsidR="00E21CD3">
        <w:rPr>
          <w:i w:val="0"/>
          <w:noProof/>
          <w:sz w:val="18"/>
        </w:rPr>
        <w:t>7</w:t>
      </w:r>
      <w:r w:rsidRPr="00F2265C">
        <w:rPr>
          <w:i w:val="0"/>
          <w:noProof/>
          <w:sz w:val="18"/>
        </w:rPr>
        <w:fldChar w:fldCharType="end"/>
      </w:r>
    </w:p>
    <w:p w:rsidR="00060FF9" w:rsidRPr="00B34FFD" w:rsidRDefault="00F2265C" w:rsidP="0048364F">
      <w:r>
        <w:fldChar w:fldCharType="end"/>
      </w:r>
    </w:p>
    <w:p w:rsidR="00FE7F93" w:rsidRPr="00B34FFD" w:rsidRDefault="00FE7F93" w:rsidP="0048364F">
      <w:pPr>
        <w:sectPr w:rsidR="00FE7F93" w:rsidRPr="00B34FFD" w:rsidSect="00C6300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C63007" w:rsidRDefault="00C63007">
      <w:r>
        <w:object w:dxaOrig="2146" w:dyaOrig="1561">
          <v:shape id="_x0000_i1026" type="#_x0000_t75" alt="Commonwealth Coat of Arms of Australia" style="width:111pt;height:81pt" o:ole="" fillcolor="window">
            <v:imagedata r:id="rId9" o:title=""/>
          </v:shape>
          <o:OLEObject Type="Embed" ProgID="Word.Picture.8" ShapeID="_x0000_i1026" DrawAspect="Content" ObjectID="_1661255917" r:id="rId22"/>
        </w:object>
      </w:r>
    </w:p>
    <w:p w:rsidR="00C63007" w:rsidRDefault="00C63007"/>
    <w:p w:rsidR="00C63007" w:rsidRDefault="00C63007" w:rsidP="00C63007">
      <w:pPr>
        <w:spacing w:line="240" w:lineRule="auto"/>
      </w:pPr>
    </w:p>
    <w:p w:rsidR="00C63007" w:rsidRDefault="00E21CD3" w:rsidP="00C63007">
      <w:pPr>
        <w:pStyle w:val="ShortTP1"/>
      </w:pPr>
      <w:fldSimple w:instr=" STYLEREF ShortT ">
        <w:r>
          <w:rPr>
            <w:noProof/>
          </w:rPr>
          <w:t>Statute Update (Regulations References) Act 2020</w:t>
        </w:r>
      </w:fldSimple>
    </w:p>
    <w:p w:rsidR="00C63007" w:rsidRDefault="00E21CD3" w:rsidP="00C63007">
      <w:pPr>
        <w:pStyle w:val="ActNoP1"/>
      </w:pPr>
      <w:fldSimple w:instr=" STYLEREF Actno ">
        <w:r>
          <w:rPr>
            <w:noProof/>
          </w:rPr>
          <w:t>No. 18, 2020</w:t>
        </w:r>
      </w:fldSimple>
    </w:p>
    <w:p w:rsidR="00C63007" w:rsidRPr="009A0728" w:rsidRDefault="00C63007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C63007" w:rsidRPr="009A0728" w:rsidRDefault="00C63007" w:rsidP="009A0728">
      <w:pPr>
        <w:spacing w:line="40" w:lineRule="exact"/>
        <w:rPr>
          <w:rFonts w:eastAsia="Calibri"/>
          <w:b/>
          <w:sz w:val="28"/>
        </w:rPr>
      </w:pPr>
    </w:p>
    <w:p w:rsidR="00C63007" w:rsidRPr="009A0728" w:rsidRDefault="00C63007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B34FFD" w:rsidRDefault="00C63007" w:rsidP="003337ED">
      <w:pPr>
        <w:pStyle w:val="Page1"/>
      </w:pPr>
      <w:r>
        <w:t>An Act</w:t>
      </w:r>
      <w:r w:rsidR="003337ED" w:rsidRPr="00B34FFD">
        <w:t xml:space="preserve"> to update references to regulations in the statute law of the Commonwealth, and for related purposes</w:t>
      </w:r>
    </w:p>
    <w:p w:rsidR="0063596E" w:rsidRDefault="0063596E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6 March 2020</w:t>
      </w:r>
      <w:r>
        <w:rPr>
          <w:sz w:val="24"/>
        </w:rPr>
        <w:t>]</w:t>
      </w:r>
    </w:p>
    <w:p w:rsidR="0048364F" w:rsidRPr="00B34FFD" w:rsidRDefault="0048364F" w:rsidP="00E55599">
      <w:pPr>
        <w:spacing w:before="240" w:line="240" w:lineRule="auto"/>
        <w:rPr>
          <w:sz w:val="32"/>
        </w:rPr>
      </w:pPr>
      <w:r w:rsidRPr="00B34FFD">
        <w:rPr>
          <w:sz w:val="32"/>
        </w:rPr>
        <w:t>The Parliament of Australia enacts:</w:t>
      </w:r>
    </w:p>
    <w:p w:rsidR="0048364F" w:rsidRPr="00B34FFD" w:rsidRDefault="0048364F" w:rsidP="00E55599">
      <w:pPr>
        <w:pStyle w:val="ActHead5"/>
      </w:pPr>
      <w:bookmarkStart w:id="1" w:name="_Toc34832011"/>
      <w:r w:rsidRPr="003337ED">
        <w:rPr>
          <w:rStyle w:val="CharSectno"/>
        </w:rPr>
        <w:t>1</w:t>
      </w:r>
      <w:r w:rsidRPr="00B34FFD">
        <w:t xml:space="preserve">  Short title</w:t>
      </w:r>
      <w:bookmarkEnd w:id="1"/>
    </w:p>
    <w:p w:rsidR="0048364F" w:rsidRPr="00B34FFD" w:rsidRDefault="0048364F" w:rsidP="00E55599">
      <w:pPr>
        <w:pStyle w:val="subsection"/>
      </w:pPr>
      <w:r w:rsidRPr="00B34FFD">
        <w:tab/>
      </w:r>
      <w:r w:rsidRPr="00B34FFD">
        <w:tab/>
        <w:t xml:space="preserve">This Act </w:t>
      </w:r>
      <w:r w:rsidR="00275197" w:rsidRPr="00B34FFD">
        <w:t xml:space="preserve">is </w:t>
      </w:r>
      <w:r w:rsidRPr="00B34FFD">
        <w:t xml:space="preserve">the </w:t>
      </w:r>
      <w:r w:rsidR="00626FDE" w:rsidRPr="00B34FFD">
        <w:rPr>
          <w:i/>
        </w:rPr>
        <w:t>Statute Update (Regulations References) Act 20</w:t>
      </w:r>
      <w:r w:rsidR="00611905">
        <w:rPr>
          <w:i/>
        </w:rPr>
        <w:t>20</w:t>
      </w:r>
      <w:r w:rsidRPr="00B34FFD">
        <w:t>.</w:t>
      </w:r>
    </w:p>
    <w:p w:rsidR="0048364F" w:rsidRPr="00B34FFD" w:rsidRDefault="0048364F" w:rsidP="00E55599">
      <w:pPr>
        <w:pStyle w:val="ActHead5"/>
      </w:pPr>
      <w:bookmarkStart w:id="2" w:name="_Toc34832012"/>
      <w:r w:rsidRPr="003337ED">
        <w:rPr>
          <w:rStyle w:val="CharSectno"/>
        </w:rPr>
        <w:lastRenderedPageBreak/>
        <w:t>2</w:t>
      </w:r>
      <w:r w:rsidRPr="00B34FFD">
        <w:t xml:space="preserve">  Commencement</w:t>
      </w:r>
      <w:bookmarkEnd w:id="2"/>
    </w:p>
    <w:p w:rsidR="000D48F6" w:rsidRPr="00B34FFD" w:rsidRDefault="000D48F6" w:rsidP="00E55599">
      <w:pPr>
        <w:pStyle w:val="subsection"/>
      </w:pPr>
      <w:r w:rsidRPr="00B34FFD">
        <w:tab/>
        <w:t>(1)</w:t>
      </w:r>
      <w:r w:rsidRPr="00B34FF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0D48F6" w:rsidRPr="00B34FFD" w:rsidRDefault="000D48F6" w:rsidP="00E5559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0D48F6" w:rsidRPr="00B34FFD" w:rsidTr="00A1549E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Commencement information</w:t>
            </w:r>
          </w:p>
        </w:tc>
      </w:tr>
      <w:tr w:rsidR="000D48F6" w:rsidRPr="00B34FFD" w:rsidTr="00A1549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Column 3</w:t>
            </w:r>
          </w:p>
        </w:tc>
      </w:tr>
      <w:tr w:rsidR="000D48F6" w:rsidRPr="00B34FFD" w:rsidTr="00A1549E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Heading"/>
            </w:pPr>
            <w:r w:rsidRPr="00B34FFD">
              <w:t>Date/Details</w:t>
            </w:r>
          </w:p>
        </w:tc>
      </w:tr>
      <w:tr w:rsidR="000D48F6" w:rsidRPr="00B34FFD" w:rsidTr="00A1549E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text"/>
            </w:pPr>
            <w:r w:rsidRPr="00B34FFD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D48F6" w:rsidRPr="00B34FFD" w:rsidRDefault="000D48F6" w:rsidP="00E55599">
            <w:pPr>
              <w:pStyle w:val="Tabletext"/>
            </w:pPr>
            <w:r w:rsidRPr="00B34FFD">
              <w:t>A single day to be fixed by Proclamation.</w:t>
            </w:r>
          </w:p>
          <w:p w:rsidR="000D48F6" w:rsidRPr="00B34FFD" w:rsidRDefault="000D48F6" w:rsidP="00E55599">
            <w:pPr>
              <w:pStyle w:val="Tabletext"/>
            </w:pPr>
            <w:r w:rsidRPr="00B34FFD">
              <w:t>However, if the provisions do not commence within the period of 6 months beginning on the day this Act receives the Royal Assent</w:t>
            </w:r>
            <w:bookmarkStart w:id="3" w:name="BK_S3P2L2C13"/>
            <w:bookmarkEnd w:id="3"/>
            <w:r w:rsidRPr="00B34FFD">
              <w:t>, they commence on the day after the end of that period.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D48F6" w:rsidRPr="00B34FFD" w:rsidRDefault="00EF01BF" w:rsidP="00E55599">
            <w:pPr>
              <w:pStyle w:val="Tabletext"/>
            </w:pPr>
            <w:r>
              <w:t>6 September 2020</w:t>
            </w:r>
            <w:bookmarkStart w:id="4" w:name="_GoBack"/>
            <w:bookmarkEnd w:id="4"/>
          </w:p>
        </w:tc>
      </w:tr>
    </w:tbl>
    <w:p w:rsidR="000D48F6" w:rsidRPr="00B34FFD" w:rsidRDefault="000D48F6" w:rsidP="00E55599">
      <w:pPr>
        <w:pStyle w:val="notetext"/>
      </w:pPr>
      <w:r w:rsidRPr="00B34FFD">
        <w:rPr>
          <w:snapToGrid w:val="0"/>
          <w:lang w:eastAsia="en-US"/>
        </w:rPr>
        <w:t>Note:</w:t>
      </w:r>
      <w:r w:rsidRPr="00B34FF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0D48F6" w:rsidRPr="00B34FFD" w:rsidRDefault="000D48F6" w:rsidP="00E55599">
      <w:pPr>
        <w:pStyle w:val="subsection"/>
      </w:pPr>
      <w:r w:rsidRPr="00B34FFD">
        <w:tab/>
        <w:t>(2)</w:t>
      </w:r>
      <w:r w:rsidRPr="00B34FFD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B34FFD" w:rsidRDefault="0048364F" w:rsidP="00E55599">
      <w:pPr>
        <w:pStyle w:val="ActHead5"/>
      </w:pPr>
      <w:bookmarkStart w:id="5" w:name="_Toc34832013"/>
      <w:r w:rsidRPr="003337ED">
        <w:rPr>
          <w:rStyle w:val="CharSectno"/>
        </w:rPr>
        <w:t>3</w:t>
      </w:r>
      <w:r w:rsidRPr="00B34FFD">
        <w:t xml:space="preserve">  Schedules</w:t>
      </w:r>
      <w:bookmarkEnd w:id="5"/>
    </w:p>
    <w:p w:rsidR="0048364F" w:rsidRPr="00B34FFD" w:rsidRDefault="0048364F" w:rsidP="00E55599">
      <w:pPr>
        <w:pStyle w:val="subsection"/>
      </w:pPr>
      <w:r w:rsidRPr="00B34FFD">
        <w:tab/>
      </w:r>
      <w:r w:rsidRPr="00B34FFD">
        <w:tab/>
      </w:r>
      <w:r w:rsidR="00202618" w:rsidRPr="00B34FF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B34FFD" w:rsidRDefault="0048364F" w:rsidP="00E55599">
      <w:pPr>
        <w:pStyle w:val="ActHead6"/>
        <w:pageBreakBefore/>
      </w:pPr>
      <w:bookmarkStart w:id="6" w:name="_Toc34832014"/>
      <w:bookmarkStart w:id="7" w:name="opcAmSched"/>
      <w:bookmarkStart w:id="8" w:name="opcCurrentFind"/>
      <w:r w:rsidRPr="003337ED">
        <w:rPr>
          <w:rStyle w:val="CharAmSchNo"/>
        </w:rPr>
        <w:t>Schedule</w:t>
      </w:r>
      <w:r w:rsidR="00B34FFD" w:rsidRPr="003337ED">
        <w:rPr>
          <w:rStyle w:val="CharAmSchNo"/>
        </w:rPr>
        <w:t> </w:t>
      </w:r>
      <w:r w:rsidRPr="003337ED">
        <w:rPr>
          <w:rStyle w:val="CharAmSchNo"/>
        </w:rPr>
        <w:t>1</w:t>
      </w:r>
      <w:r w:rsidRPr="00B34FFD">
        <w:t>—</w:t>
      </w:r>
      <w:r w:rsidR="00EE7C8B" w:rsidRPr="003337ED">
        <w:rPr>
          <w:rStyle w:val="CharAmSchText"/>
        </w:rPr>
        <w:t>Amendments</w:t>
      </w:r>
      <w:bookmarkEnd w:id="6"/>
    </w:p>
    <w:bookmarkEnd w:id="7"/>
    <w:bookmarkEnd w:id="8"/>
    <w:p w:rsidR="008D3E94" w:rsidRPr="003337ED" w:rsidRDefault="00EE7C8B" w:rsidP="00E55599">
      <w:pPr>
        <w:pStyle w:val="Header"/>
      </w:pPr>
      <w:r w:rsidRPr="003337ED">
        <w:rPr>
          <w:rStyle w:val="CharAmPartNo"/>
        </w:rPr>
        <w:t xml:space="preserve"> </w:t>
      </w:r>
      <w:r w:rsidRPr="003337ED">
        <w:rPr>
          <w:rStyle w:val="CharAmPartText"/>
        </w:rPr>
        <w:t xml:space="preserve"> </w:t>
      </w:r>
    </w:p>
    <w:p w:rsidR="00224DAB" w:rsidRPr="00BD2F24" w:rsidRDefault="00224DAB" w:rsidP="00E55599">
      <w:pPr>
        <w:pStyle w:val="ActHead9"/>
        <w:rPr>
          <w:i w:val="0"/>
        </w:rPr>
      </w:pPr>
      <w:bookmarkStart w:id="9" w:name="_Toc34832015"/>
      <w:r w:rsidRPr="00B34FFD">
        <w:t>Age Discrimination Act 2004</w:t>
      </w:r>
      <w:bookmarkEnd w:id="9"/>
    </w:p>
    <w:p w:rsidR="00C67D0A" w:rsidRPr="00B34FFD" w:rsidRDefault="00DE12CB" w:rsidP="00E55599">
      <w:pPr>
        <w:pStyle w:val="ItemHead"/>
      </w:pPr>
      <w:r w:rsidRPr="00B34FFD">
        <w:t>1</w:t>
      </w:r>
      <w:r w:rsidR="00C67D0A" w:rsidRPr="00B34FFD">
        <w:t xml:space="preserve">  Subsection</w:t>
      </w:r>
      <w:r w:rsidR="00B34FFD" w:rsidRPr="00B34FFD">
        <w:t> </w:t>
      </w:r>
      <w:r w:rsidR="00C67D0A" w:rsidRPr="00B34FFD">
        <w:t>39(1) (heading)</w:t>
      </w:r>
    </w:p>
    <w:p w:rsidR="00C67D0A" w:rsidRPr="00B34FFD" w:rsidRDefault="00C67D0A" w:rsidP="00E55599">
      <w:pPr>
        <w:pStyle w:val="Item"/>
      </w:pPr>
      <w:r w:rsidRPr="00B34FFD">
        <w:t>Omit “</w:t>
      </w:r>
      <w:bookmarkStart w:id="10" w:name="BK_S3P3L5C7"/>
      <w:bookmarkEnd w:id="10"/>
      <w:r w:rsidRPr="00B34FFD">
        <w:rPr>
          <w:i/>
        </w:rPr>
        <w:t>mentioned in</w:t>
      </w:r>
      <w:r w:rsidRPr="00B34FFD">
        <w:t>”, substitute “</w:t>
      </w:r>
      <w:bookmarkStart w:id="11" w:name="BK_S3P3L5C34"/>
      <w:bookmarkEnd w:id="11"/>
      <w:r w:rsidRPr="00B34FFD">
        <w:rPr>
          <w:i/>
        </w:rPr>
        <w:t>covered by</w:t>
      </w:r>
      <w:r w:rsidRPr="00B34FFD">
        <w:t>”.</w:t>
      </w:r>
    </w:p>
    <w:p w:rsidR="00336F39" w:rsidRPr="00B34FFD" w:rsidRDefault="00DE12CB" w:rsidP="00E55599">
      <w:pPr>
        <w:pStyle w:val="ItemHead"/>
      </w:pPr>
      <w:r w:rsidRPr="00B34FFD">
        <w:t>2</w:t>
      </w:r>
      <w:r w:rsidR="00336F39" w:rsidRPr="00B34FFD">
        <w:t xml:space="preserve">  </w:t>
      </w:r>
      <w:r w:rsidR="00611905">
        <w:t>Paragraph 3</w:t>
      </w:r>
      <w:r w:rsidR="00336F39" w:rsidRPr="00B34FFD">
        <w:t>9(1)(b)</w:t>
      </w:r>
    </w:p>
    <w:p w:rsidR="00336F39" w:rsidRPr="00B34FFD" w:rsidRDefault="00336F39" w:rsidP="00E55599">
      <w:pPr>
        <w:pStyle w:val="Item"/>
      </w:pPr>
      <w:r w:rsidRPr="00B34FFD">
        <w:t>Omit “mentioned in”, substitute “covered by”.</w:t>
      </w:r>
    </w:p>
    <w:p w:rsidR="00960228" w:rsidRPr="00B34FFD" w:rsidRDefault="00DE12CB" w:rsidP="00E55599">
      <w:pPr>
        <w:pStyle w:val="ItemHead"/>
      </w:pPr>
      <w:r w:rsidRPr="00B34FFD">
        <w:t>3</w:t>
      </w:r>
      <w:r w:rsidR="00960228" w:rsidRPr="00B34FFD">
        <w:t xml:space="preserve">  Subsection</w:t>
      </w:r>
      <w:r w:rsidR="00B34FFD" w:rsidRPr="00B34FFD">
        <w:t> </w:t>
      </w:r>
      <w:r w:rsidR="00960228" w:rsidRPr="00B34FFD">
        <w:t>39(1A) (heading)</w:t>
      </w:r>
    </w:p>
    <w:p w:rsidR="00960228" w:rsidRPr="00B34FFD" w:rsidRDefault="00960228" w:rsidP="00E55599">
      <w:pPr>
        <w:pStyle w:val="Item"/>
      </w:pPr>
      <w:r w:rsidRPr="00B34FFD">
        <w:t>Omit “</w:t>
      </w:r>
      <w:bookmarkStart w:id="12" w:name="BK_S3P3L9C7"/>
      <w:bookmarkEnd w:id="12"/>
      <w:r w:rsidRPr="00B34FFD">
        <w:rPr>
          <w:i/>
        </w:rPr>
        <w:t>mentioned in</w:t>
      </w:r>
      <w:r w:rsidRPr="00B34FFD">
        <w:t>”, substitute “</w:t>
      </w:r>
      <w:bookmarkStart w:id="13" w:name="BK_S3P3L9C34"/>
      <w:bookmarkEnd w:id="13"/>
      <w:r w:rsidRPr="00B34FFD">
        <w:rPr>
          <w:i/>
        </w:rPr>
        <w:t>covered by</w:t>
      </w:r>
      <w:r w:rsidRPr="00B34FFD">
        <w:t>”.</w:t>
      </w:r>
    </w:p>
    <w:p w:rsidR="00336F39" w:rsidRPr="00B34FFD" w:rsidRDefault="00DE12CB" w:rsidP="00E55599">
      <w:pPr>
        <w:pStyle w:val="ItemHead"/>
      </w:pPr>
      <w:r w:rsidRPr="00B34FFD">
        <w:t>4</w:t>
      </w:r>
      <w:r w:rsidR="00336F39" w:rsidRPr="00B34FFD">
        <w:t xml:space="preserve">  Subsection</w:t>
      </w:r>
      <w:r w:rsidR="00B34FFD" w:rsidRPr="00B34FFD">
        <w:t> </w:t>
      </w:r>
      <w:r w:rsidR="00336F39" w:rsidRPr="00B34FFD">
        <w:t>39(1A)</w:t>
      </w:r>
    </w:p>
    <w:p w:rsidR="00336F39" w:rsidRPr="00B34FFD" w:rsidRDefault="00336F39" w:rsidP="00E55599">
      <w:pPr>
        <w:pStyle w:val="Item"/>
      </w:pPr>
      <w:r w:rsidRPr="00B34FFD">
        <w:t>Omit “mentioned in”, substitute “covered by”.</w:t>
      </w:r>
    </w:p>
    <w:p w:rsidR="00224DAB" w:rsidRPr="00B34FFD" w:rsidRDefault="00DE12CB" w:rsidP="00E55599">
      <w:pPr>
        <w:pStyle w:val="ItemHead"/>
      </w:pPr>
      <w:r w:rsidRPr="00B34FFD">
        <w:t>5</w:t>
      </w:r>
      <w:r w:rsidR="00224DAB" w:rsidRPr="00B34FFD">
        <w:t xml:space="preserve">  Schedule</w:t>
      </w:r>
      <w:r w:rsidR="00B34FFD" w:rsidRPr="00B34FFD">
        <w:t> </w:t>
      </w:r>
      <w:r w:rsidR="00224DAB" w:rsidRPr="00B34FFD">
        <w:t>1 (table item</w:t>
      </w:r>
      <w:r w:rsidR="00B34FFD" w:rsidRPr="00B34FFD">
        <w:t> </w:t>
      </w:r>
      <w:r w:rsidR="00224DAB" w:rsidRPr="00B34FFD">
        <w:t>8)</w:t>
      </w:r>
    </w:p>
    <w:p w:rsidR="00224DAB" w:rsidRPr="00B34FFD" w:rsidRDefault="00224DAB" w:rsidP="00E55599">
      <w:pPr>
        <w:pStyle w:val="Item"/>
      </w:pPr>
      <w:r w:rsidRPr="00B34FFD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21"/>
      </w:tblGrid>
      <w:tr w:rsidR="00224DAB" w:rsidRPr="00B34FFD" w:rsidTr="00224DAB">
        <w:trPr>
          <w:cantSplit/>
        </w:trPr>
        <w:tc>
          <w:tcPr>
            <w:tcW w:w="714" w:type="dxa"/>
            <w:shd w:val="clear" w:color="auto" w:fill="auto"/>
          </w:tcPr>
          <w:p w:rsidR="00224DAB" w:rsidRPr="00B34FFD" w:rsidRDefault="00224DAB" w:rsidP="00E55599">
            <w:pPr>
              <w:pStyle w:val="Tabletext"/>
            </w:pPr>
            <w:r w:rsidRPr="00B34FFD">
              <w:t>8</w:t>
            </w:r>
          </w:p>
        </w:tc>
        <w:tc>
          <w:tcPr>
            <w:tcW w:w="6321" w:type="dxa"/>
            <w:shd w:val="clear" w:color="auto" w:fill="auto"/>
          </w:tcPr>
          <w:p w:rsidR="00224DAB" w:rsidRPr="00BD2F24" w:rsidRDefault="00224DAB" w:rsidP="00E55599">
            <w:pPr>
              <w:pStyle w:val="Tabletext"/>
            </w:pPr>
            <w:r w:rsidRPr="00B34FFD">
              <w:t>Prescribed regulation</w:t>
            </w:r>
            <w:bookmarkStart w:id="14" w:name="BK_S3P3L14C22"/>
            <w:bookmarkEnd w:id="14"/>
            <w:r w:rsidRPr="00B34FFD">
              <w:t xml:space="preserve">s made under the </w:t>
            </w:r>
            <w:r w:rsidRPr="00B34FFD">
              <w:rPr>
                <w:i/>
              </w:rPr>
              <w:t>Airports Act 1996</w:t>
            </w:r>
          </w:p>
        </w:tc>
      </w:tr>
    </w:tbl>
    <w:p w:rsidR="00224DAB" w:rsidRPr="00B34FFD" w:rsidRDefault="00DE12CB" w:rsidP="00E55599">
      <w:pPr>
        <w:pStyle w:val="ItemHead"/>
      </w:pPr>
      <w:r w:rsidRPr="00B34FFD">
        <w:t>6</w:t>
      </w:r>
      <w:r w:rsidR="00224DAB" w:rsidRPr="00B34FFD">
        <w:t xml:space="preserve">  Schedule</w:t>
      </w:r>
      <w:r w:rsidR="00B34FFD" w:rsidRPr="00B34FFD">
        <w:t> </w:t>
      </w:r>
      <w:r w:rsidR="00224DAB" w:rsidRPr="00B34FFD">
        <w:t>1 (table item</w:t>
      </w:r>
      <w:r w:rsidR="00B34FFD" w:rsidRPr="00B34FFD">
        <w:t> </w:t>
      </w:r>
      <w:r w:rsidR="00224DAB" w:rsidRPr="00B34FFD">
        <w:t>11)</w:t>
      </w:r>
    </w:p>
    <w:p w:rsidR="00224DAB" w:rsidRPr="00B34FFD" w:rsidRDefault="00224DAB" w:rsidP="00E55599">
      <w:pPr>
        <w:pStyle w:val="Item"/>
      </w:pPr>
      <w:r w:rsidRPr="00B34FFD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21"/>
      </w:tblGrid>
      <w:tr w:rsidR="00224DAB" w:rsidRPr="00B34FFD" w:rsidTr="00224DAB">
        <w:trPr>
          <w:cantSplit/>
        </w:trPr>
        <w:tc>
          <w:tcPr>
            <w:tcW w:w="714" w:type="dxa"/>
            <w:shd w:val="clear" w:color="auto" w:fill="auto"/>
          </w:tcPr>
          <w:p w:rsidR="00224DAB" w:rsidRPr="00B34FFD" w:rsidRDefault="00224DAB" w:rsidP="00E55599">
            <w:pPr>
              <w:pStyle w:val="Tabletext"/>
            </w:pPr>
            <w:r w:rsidRPr="00B34FFD">
              <w:t>11</w:t>
            </w:r>
          </w:p>
        </w:tc>
        <w:tc>
          <w:tcPr>
            <w:tcW w:w="6321" w:type="dxa"/>
            <w:shd w:val="clear" w:color="auto" w:fill="auto"/>
          </w:tcPr>
          <w:p w:rsidR="00224DAB" w:rsidRPr="00BD2F24" w:rsidRDefault="00224DAB" w:rsidP="00E55599">
            <w:pPr>
              <w:pStyle w:val="Tabletext"/>
            </w:pPr>
            <w:r w:rsidRPr="00B34FFD">
              <w:t xml:space="preserve">Regulations made under the </w:t>
            </w:r>
            <w:r w:rsidRPr="00B34FFD">
              <w:rPr>
                <w:i/>
              </w:rPr>
              <w:t>Australian Hearing Services Act 1991</w:t>
            </w:r>
          </w:p>
        </w:tc>
      </w:tr>
    </w:tbl>
    <w:p w:rsidR="001E5DE6" w:rsidRPr="00B34FFD" w:rsidRDefault="00DE12CB" w:rsidP="00E55599">
      <w:pPr>
        <w:pStyle w:val="ItemHead"/>
      </w:pPr>
      <w:r w:rsidRPr="00B34FFD">
        <w:t>7</w:t>
      </w:r>
      <w:r w:rsidR="001E5DE6" w:rsidRPr="00B34FFD">
        <w:t xml:space="preserve">  Schedule</w:t>
      </w:r>
      <w:r w:rsidR="00B34FFD" w:rsidRPr="00B34FFD">
        <w:t> </w:t>
      </w:r>
      <w:r w:rsidR="001E5DE6" w:rsidRPr="00B34FFD">
        <w:t>1 (table item</w:t>
      </w:r>
      <w:r w:rsidR="00B34FFD" w:rsidRPr="00B34FFD">
        <w:t> </w:t>
      </w:r>
      <w:r w:rsidR="001E5DE6" w:rsidRPr="00B34FFD">
        <w:t>24)</w:t>
      </w:r>
    </w:p>
    <w:p w:rsidR="001E5DE6" w:rsidRPr="00B34FFD" w:rsidRDefault="001E5DE6" w:rsidP="00E55599">
      <w:pPr>
        <w:pStyle w:val="Item"/>
      </w:pPr>
      <w:r w:rsidRPr="00B34FFD">
        <w:t>Repeal the item.</w:t>
      </w:r>
    </w:p>
    <w:p w:rsidR="0004166D" w:rsidRPr="00B34FFD" w:rsidRDefault="00DE12CB" w:rsidP="00E55599">
      <w:pPr>
        <w:pStyle w:val="ItemHead"/>
      </w:pPr>
      <w:r w:rsidRPr="00B34FFD">
        <w:t>8</w:t>
      </w:r>
      <w:r w:rsidR="0004166D" w:rsidRPr="00B34FFD">
        <w:t xml:space="preserve">  Schedule</w:t>
      </w:r>
      <w:r w:rsidR="00B34FFD" w:rsidRPr="00B34FFD">
        <w:t> </w:t>
      </w:r>
      <w:r w:rsidR="0004166D" w:rsidRPr="00B34FFD">
        <w:t>1 (table item</w:t>
      </w:r>
      <w:r w:rsidR="00B34FFD" w:rsidRPr="00B34FFD">
        <w:t> </w:t>
      </w:r>
      <w:r w:rsidR="0004166D" w:rsidRPr="00B34FFD">
        <w:t>37)</w:t>
      </w:r>
    </w:p>
    <w:p w:rsidR="0004166D" w:rsidRPr="00B34FFD" w:rsidRDefault="0004166D" w:rsidP="00E55599">
      <w:pPr>
        <w:pStyle w:val="Item"/>
      </w:pPr>
      <w:r w:rsidRPr="00B34FFD">
        <w:t>Repeal the item, substitute: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6321"/>
      </w:tblGrid>
      <w:tr w:rsidR="0004166D" w:rsidRPr="00B34FFD" w:rsidTr="00B26682">
        <w:trPr>
          <w:cantSplit/>
        </w:trPr>
        <w:tc>
          <w:tcPr>
            <w:tcW w:w="714" w:type="dxa"/>
            <w:shd w:val="clear" w:color="auto" w:fill="auto"/>
          </w:tcPr>
          <w:p w:rsidR="0004166D" w:rsidRPr="00B34FFD" w:rsidRDefault="0004166D" w:rsidP="00E55599">
            <w:pPr>
              <w:pStyle w:val="Tabletext"/>
            </w:pPr>
            <w:r w:rsidRPr="00B34FFD">
              <w:t>37</w:t>
            </w:r>
          </w:p>
        </w:tc>
        <w:tc>
          <w:tcPr>
            <w:tcW w:w="6321" w:type="dxa"/>
            <w:shd w:val="clear" w:color="auto" w:fill="auto"/>
          </w:tcPr>
          <w:p w:rsidR="0004166D" w:rsidRPr="00BD2F24" w:rsidRDefault="0004166D" w:rsidP="00E55599">
            <w:pPr>
              <w:pStyle w:val="Tabletext"/>
            </w:pPr>
            <w:r w:rsidRPr="00B34FFD">
              <w:t xml:space="preserve">Regulations made under the </w:t>
            </w:r>
            <w:r w:rsidRPr="00B34FFD">
              <w:rPr>
                <w:i/>
              </w:rPr>
              <w:t>Papua New Guinea (Members of the Forces Benefits) Act 1957</w:t>
            </w:r>
          </w:p>
        </w:tc>
      </w:tr>
    </w:tbl>
    <w:p w:rsidR="001E5DE6" w:rsidRPr="00B34FFD" w:rsidRDefault="00DE12CB" w:rsidP="00E55599">
      <w:pPr>
        <w:pStyle w:val="ItemHead"/>
      </w:pPr>
      <w:r w:rsidRPr="00B34FFD">
        <w:t>9</w:t>
      </w:r>
      <w:r w:rsidR="001E5DE6" w:rsidRPr="00B34FFD">
        <w:t xml:space="preserve">  Schedule</w:t>
      </w:r>
      <w:r w:rsidR="00B34FFD" w:rsidRPr="00B34FFD">
        <w:t> </w:t>
      </w:r>
      <w:r w:rsidR="001E5DE6" w:rsidRPr="00B34FFD">
        <w:t>2 (after table item</w:t>
      </w:r>
      <w:r w:rsidR="00B34FFD" w:rsidRPr="00B34FFD">
        <w:t> </w:t>
      </w:r>
      <w:r w:rsidR="001E5DE6" w:rsidRPr="00B34FFD">
        <w:t>3)</w:t>
      </w:r>
    </w:p>
    <w:p w:rsidR="001E5DE6" w:rsidRPr="00B34FFD" w:rsidRDefault="001E5DE6" w:rsidP="00E55599">
      <w:pPr>
        <w:pStyle w:val="Item"/>
      </w:pPr>
      <w:r w:rsidRPr="00B34FFD">
        <w:t>Insert: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561"/>
        <w:gridCol w:w="1760"/>
      </w:tblGrid>
      <w:tr w:rsidR="001E5DE6" w:rsidRPr="00B34FFD" w:rsidTr="00A1549E">
        <w:trPr>
          <w:cantSplit/>
        </w:trPr>
        <w:tc>
          <w:tcPr>
            <w:tcW w:w="714" w:type="dxa"/>
            <w:shd w:val="clear" w:color="auto" w:fill="auto"/>
          </w:tcPr>
          <w:p w:rsidR="001E5DE6" w:rsidRPr="00B34FFD" w:rsidRDefault="001E5DE6" w:rsidP="00E55599">
            <w:pPr>
              <w:pStyle w:val="Tabletext"/>
            </w:pPr>
            <w:r w:rsidRPr="00B34FFD">
              <w:t>3AA</w:t>
            </w:r>
          </w:p>
        </w:tc>
        <w:tc>
          <w:tcPr>
            <w:tcW w:w="4561" w:type="dxa"/>
            <w:shd w:val="clear" w:color="auto" w:fill="auto"/>
          </w:tcPr>
          <w:p w:rsidR="001E5DE6" w:rsidRPr="00BD2F24" w:rsidRDefault="001E5DE6" w:rsidP="00E55599">
            <w:pPr>
              <w:pStyle w:val="Tabletext"/>
            </w:pPr>
            <w:r w:rsidRPr="00B34FFD">
              <w:t xml:space="preserve">Regulations made under the </w:t>
            </w:r>
            <w:r w:rsidRPr="00B34FFD">
              <w:rPr>
                <w:i/>
              </w:rPr>
              <w:t>Defence Act</w:t>
            </w:r>
            <w:bookmarkStart w:id="15" w:name="BK_S3P3L26C39"/>
            <w:bookmarkEnd w:id="15"/>
            <w:r w:rsidRPr="00B34FFD">
              <w:rPr>
                <w:i/>
              </w:rPr>
              <w:t xml:space="preserve"> </w:t>
            </w:r>
            <w:r w:rsidR="00336F39" w:rsidRPr="00B34FFD">
              <w:rPr>
                <w:i/>
              </w:rPr>
              <w:t>1903</w:t>
            </w:r>
          </w:p>
        </w:tc>
        <w:tc>
          <w:tcPr>
            <w:tcW w:w="1760" w:type="dxa"/>
            <w:shd w:val="clear" w:color="auto" w:fill="auto"/>
          </w:tcPr>
          <w:p w:rsidR="001E5DE6" w:rsidRPr="00B34FFD" w:rsidRDefault="007D4224" w:rsidP="00E55599">
            <w:pPr>
              <w:pStyle w:val="Tabletext"/>
            </w:pPr>
            <w:r w:rsidRPr="00B34FFD">
              <w:t>prescribed provisions</w:t>
            </w:r>
          </w:p>
        </w:tc>
      </w:tr>
    </w:tbl>
    <w:p w:rsidR="00F527CD" w:rsidRPr="00B34FFD" w:rsidRDefault="00DE12CB" w:rsidP="00E55599">
      <w:pPr>
        <w:pStyle w:val="ItemHead"/>
      </w:pPr>
      <w:r w:rsidRPr="00B34FFD">
        <w:t>10</w:t>
      </w:r>
      <w:r w:rsidR="00F527CD" w:rsidRPr="00B34FFD">
        <w:t xml:space="preserve">  Schedule</w:t>
      </w:r>
      <w:r w:rsidR="00B34FFD" w:rsidRPr="00B34FFD">
        <w:t> </w:t>
      </w:r>
      <w:r w:rsidR="00F527CD" w:rsidRPr="00B34FFD">
        <w:t>2 (table item</w:t>
      </w:r>
      <w:r w:rsidR="00B34FFD" w:rsidRPr="00B34FFD">
        <w:t> </w:t>
      </w:r>
      <w:r w:rsidR="00F527CD" w:rsidRPr="00B34FFD">
        <w:t>11)</w:t>
      </w:r>
    </w:p>
    <w:p w:rsidR="00F527CD" w:rsidRPr="00B34FFD" w:rsidRDefault="00F527CD" w:rsidP="00E55599">
      <w:pPr>
        <w:pStyle w:val="Item"/>
      </w:pPr>
      <w:r w:rsidRPr="00B34FFD">
        <w:t>Repeal the item.</w:t>
      </w:r>
    </w:p>
    <w:p w:rsidR="00D545F2" w:rsidRPr="00BD2F24" w:rsidRDefault="00D545F2" w:rsidP="00E55599">
      <w:pPr>
        <w:pStyle w:val="ActHead9"/>
        <w:rPr>
          <w:i w:val="0"/>
        </w:rPr>
      </w:pPr>
      <w:bookmarkStart w:id="16" w:name="_Toc34832016"/>
      <w:r w:rsidRPr="00B34FFD">
        <w:t>Airports Act 1996</w:t>
      </w:r>
      <w:bookmarkEnd w:id="16"/>
    </w:p>
    <w:p w:rsidR="00D545F2" w:rsidRPr="00B34FFD" w:rsidRDefault="00DE12CB" w:rsidP="00E55599">
      <w:pPr>
        <w:pStyle w:val="ItemHead"/>
      </w:pPr>
      <w:r w:rsidRPr="00B34FFD">
        <w:t>11</w:t>
      </w:r>
      <w:r w:rsidR="00D545F2" w:rsidRPr="00B34FFD">
        <w:t xml:space="preserve">  </w:t>
      </w:r>
      <w:r w:rsidR="007B58AB" w:rsidRPr="00B34FFD">
        <w:t>Subsection</w:t>
      </w:r>
      <w:r w:rsidR="00B34FFD" w:rsidRPr="00B34FFD">
        <w:t> </w:t>
      </w:r>
      <w:r w:rsidR="007B58AB" w:rsidRPr="00B34FFD">
        <w:t>251B(1)</w:t>
      </w:r>
    </w:p>
    <w:p w:rsidR="007B58AB" w:rsidRPr="00B34FFD" w:rsidRDefault="007B58AB" w:rsidP="00E55599">
      <w:pPr>
        <w:pStyle w:val="Item"/>
      </w:pPr>
      <w:r w:rsidRPr="00B34FFD">
        <w:t>Omit “subregulation</w:t>
      </w:r>
      <w:r w:rsidR="00B34FFD" w:rsidRPr="00B34FFD">
        <w:t> </w:t>
      </w:r>
      <w:r w:rsidRPr="00B34FFD">
        <w:t xml:space="preserve">1.03(1) of the </w:t>
      </w:r>
      <w:r w:rsidRPr="00B34FFD">
        <w:rPr>
          <w:i/>
        </w:rPr>
        <w:t>Airports Regulation</w:t>
      </w:r>
      <w:bookmarkStart w:id="17" w:name="BK_S3P4L5C55"/>
      <w:bookmarkEnd w:id="17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1997</w:t>
      </w:r>
      <w:r w:rsidRPr="00B34FFD">
        <w:t xml:space="preserve"> declares a place specified in a paragraph of that subregulation”, substitute “a prescribed provision </w:t>
      </w:r>
      <w:r w:rsidR="007B0D6E" w:rsidRPr="00B34FFD">
        <w:t xml:space="preserve">(the </w:t>
      </w:r>
      <w:r w:rsidR="007B0D6E" w:rsidRPr="00B34FFD">
        <w:rPr>
          <w:b/>
          <w:i/>
        </w:rPr>
        <w:t>declaration provision</w:t>
      </w:r>
      <w:r w:rsidR="007B0D6E" w:rsidRPr="00B34FFD">
        <w:t xml:space="preserve">) </w:t>
      </w:r>
      <w:r w:rsidRPr="00B34FFD">
        <w:t>of regulations made under this Act declares a place”.</w:t>
      </w:r>
    </w:p>
    <w:p w:rsidR="007B58AB" w:rsidRPr="00B34FFD" w:rsidRDefault="00DE12CB" w:rsidP="00E55599">
      <w:pPr>
        <w:pStyle w:val="ItemHead"/>
      </w:pPr>
      <w:r w:rsidRPr="00B34FFD">
        <w:t>12</w:t>
      </w:r>
      <w:r w:rsidR="007B58AB" w:rsidRPr="00B34FFD">
        <w:t xml:space="preserve">  Subsection</w:t>
      </w:r>
      <w:r w:rsidR="00B34FFD" w:rsidRPr="00B34FFD">
        <w:t> </w:t>
      </w:r>
      <w:r w:rsidR="007B58AB" w:rsidRPr="00B34FFD">
        <w:t>251B(2) (heading)</w:t>
      </w:r>
    </w:p>
    <w:p w:rsidR="007B58AB" w:rsidRPr="00B34FFD" w:rsidRDefault="007B58AB" w:rsidP="00E55599">
      <w:pPr>
        <w:pStyle w:val="Item"/>
      </w:pPr>
      <w:r w:rsidRPr="00B34FFD">
        <w:t>Repeal the heading, substitute:</w:t>
      </w:r>
    </w:p>
    <w:p w:rsidR="007B58AB" w:rsidRPr="00B34FFD" w:rsidRDefault="007B58AB" w:rsidP="00E55599">
      <w:pPr>
        <w:pStyle w:val="SubsectionHead"/>
      </w:pPr>
      <w:r w:rsidRPr="00B34FFD">
        <w:t>Part of place</w:t>
      </w:r>
    </w:p>
    <w:p w:rsidR="00607401" w:rsidRPr="00B34FFD" w:rsidRDefault="00DE12CB" w:rsidP="00E55599">
      <w:pPr>
        <w:pStyle w:val="ItemHead"/>
      </w:pPr>
      <w:r w:rsidRPr="00B34FFD">
        <w:t>13</w:t>
      </w:r>
      <w:r w:rsidR="00607401" w:rsidRPr="00B34FFD">
        <w:t xml:space="preserve">  Subsection</w:t>
      </w:r>
      <w:r w:rsidR="00B34FFD" w:rsidRPr="00B34FFD">
        <w:t> </w:t>
      </w:r>
      <w:r w:rsidR="00607401" w:rsidRPr="00B34FFD">
        <w:t>251B(2)</w:t>
      </w:r>
    </w:p>
    <w:p w:rsidR="00607401" w:rsidRPr="00B34FFD" w:rsidRDefault="00607401" w:rsidP="00E55599">
      <w:pPr>
        <w:pStyle w:val="Item"/>
      </w:pPr>
      <w:r w:rsidRPr="00B34FFD">
        <w:t>Omit “</w:t>
      </w:r>
      <w:r w:rsidR="007B0D6E" w:rsidRPr="00B34FFD">
        <w:t xml:space="preserve">that </w:t>
      </w:r>
      <w:r w:rsidRPr="00B34FFD">
        <w:t>subregulation</w:t>
      </w:r>
      <w:r w:rsidR="00B34FFD" w:rsidRPr="00B34FFD">
        <w:t> </w:t>
      </w:r>
      <w:r w:rsidRPr="00B34FFD">
        <w:t>by inserting a paragraph”, substitute “</w:t>
      </w:r>
      <w:r w:rsidR="007B0D6E" w:rsidRPr="00B34FFD">
        <w:t xml:space="preserve">the declaration </w:t>
      </w:r>
      <w:r w:rsidR="009C74DC" w:rsidRPr="00B34FFD">
        <w:t>provision</w:t>
      </w:r>
      <w:r w:rsidRPr="00B34FFD">
        <w:t xml:space="preserve"> by inserting a provision”.</w:t>
      </w:r>
    </w:p>
    <w:p w:rsidR="00607401" w:rsidRPr="00B34FFD" w:rsidRDefault="00DE12CB" w:rsidP="00E55599">
      <w:pPr>
        <w:pStyle w:val="ItemHead"/>
      </w:pPr>
      <w:r w:rsidRPr="00B34FFD">
        <w:t>14</w:t>
      </w:r>
      <w:r w:rsidR="00607401" w:rsidRPr="00B34FFD">
        <w:t xml:space="preserve">  Subsection</w:t>
      </w:r>
      <w:r w:rsidR="00B34FFD" w:rsidRPr="00B34FFD">
        <w:t> </w:t>
      </w:r>
      <w:r w:rsidR="00607401" w:rsidRPr="00B34FFD">
        <w:t>251B(4) (heading)</w:t>
      </w:r>
    </w:p>
    <w:p w:rsidR="00607401" w:rsidRPr="00B34FFD" w:rsidRDefault="00607401" w:rsidP="00E55599">
      <w:pPr>
        <w:pStyle w:val="Item"/>
      </w:pPr>
      <w:r w:rsidRPr="00B34FFD">
        <w:t>Repeal the heading.</w:t>
      </w:r>
    </w:p>
    <w:p w:rsidR="00607401" w:rsidRPr="00B34FFD" w:rsidRDefault="00DE12CB" w:rsidP="00E55599">
      <w:pPr>
        <w:pStyle w:val="ItemHead"/>
      </w:pPr>
      <w:r w:rsidRPr="00B34FFD">
        <w:t>15</w:t>
      </w:r>
      <w:r w:rsidR="00607401" w:rsidRPr="00B34FFD">
        <w:t xml:space="preserve">  Subsection</w:t>
      </w:r>
      <w:r w:rsidR="00B34FFD" w:rsidRPr="00B34FFD">
        <w:t> </w:t>
      </w:r>
      <w:r w:rsidR="00607401" w:rsidRPr="00B34FFD">
        <w:t>251B(4)</w:t>
      </w:r>
    </w:p>
    <w:p w:rsidR="00607401" w:rsidRPr="00B34FFD" w:rsidRDefault="00607401" w:rsidP="00E55599">
      <w:pPr>
        <w:pStyle w:val="Item"/>
      </w:pPr>
      <w:r w:rsidRPr="00B34FFD">
        <w:t>Omit “If a paragraph of subregulation</w:t>
      </w:r>
      <w:r w:rsidR="00B34FFD" w:rsidRPr="00B34FFD">
        <w:t> </w:t>
      </w:r>
      <w:r w:rsidRPr="00B34FFD">
        <w:t xml:space="preserve">1.03(1) of the </w:t>
      </w:r>
      <w:r w:rsidRPr="00B34FFD">
        <w:rPr>
          <w:i/>
        </w:rPr>
        <w:t>Airports Regulation</w:t>
      </w:r>
      <w:bookmarkStart w:id="18" w:name="BK_S3P4L19C11"/>
      <w:bookmarkEnd w:id="18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1997</w:t>
      </w:r>
      <w:r w:rsidRPr="00B34FFD">
        <w:t>”, substitute “If th</w:t>
      </w:r>
      <w:r w:rsidR="007B0D6E" w:rsidRPr="00B34FFD">
        <w:t>e</w:t>
      </w:r>
      <w:r w:rsidRPr="00B34FFD">
        <w:t xml:space="preserve"> </w:t>
      </w:r>
      <w:r w:rsidR="007B0D6E" w:rsidRPr="00B34FFD">
        <w:t>declaration</w:t>
      </w:r>
      <w:r w:rsidRPr="00B34FFD">
        <w:t xml:space="preserve"> provision”.</w:t>
      </w:r>
    </w:p>
    <w:p w:rsidR="00607401" w:rsidRPr="00B34FFD" w:rsidRDefault="00DE12CB" w:rsidP="00E55599">
      <w:pPr>
        <w:pStyle w:val="ItemHead"/>
      </w:pPr>
      <w:r w:rsidRPr="00B34FFD">
        <w:t>16</w:t>
      </w:r>
      <w:r w:rsidR="00607401" w:rsidRPr="00B34FFD">
        <w:t xml:space="preserve">  Subsection</w:t>
      </w:r>
      <w:r w:rsidR="00B34FFD" w:rsidRPr="00B34FFD">
        <w:t> </w:t>
      </w:r>
      <w:r w:rsidR="00607401" w:rsidRPr="00B34FFD">
        <w:t>251B(4)</w:t>
      </w:r>
    </w:p>
    <w:p w:rsidR="00607401" w:rsidRPr="00B34FFD" w:rsidRDefault="00607401" w:rsidP="00E55599">
      <w:pPr>
        <w:pStyle w:val="Item"/>
      </w:pPr>
      <w:r w:rsidRPr="00B34FFD">
        <w:t>Omit “particular Part of Schedule</w:t>
      </w:r>
      <w:r w:rsidR="00B34FFD" w:rsidRPr="00B34FFD">
        <w:t> </w:t>
      </w:r>
      <w:r w:rsidRPr="00B34FFD">
        <w:t>1 to those regulations, a regulation may amend that Part”, substitute “</w:t>
      </w:r>
      <w:r w:rsidR="007B0D6E" w:rsidRPr="00B34FFD">
        <w:t xml:space="preserve">prescribed provision (the </w:t>
      </w:r>
      <w:r w:rsidR="007B0D6E" w:rsidRPr="00B34FFD">
        <w:rPr>
          <w:b/>
          <w:i/>
        </w:rPr>
        <w:t>land description provision</w:t>
      </w:r>
      <w:r w:rsidR="007B0D6E" w:rsidRPr="00B34FFD">
        <w:t>) of regulations made under this Act, a regulation may amend the land description provision</w:t>
      </w:r>
      <w:r w:rsidRPr="00B34FFD">
        <w:t>”.</w:t>
      </w:r>
    </w:p>
    <w:p w:rsidR="00C25F2E" w:rsidRPr="00B34FFD" w:rsidRDefault="00DE12CB" w:rsidP="00E55599">
      <w:pPr>
        <w:pStyle w:val="ItemHead"/>
      </w:pPr>
      <w:r w:rsidRPr="00B34FFD">
        <w:t>17</w:t>
      </w:r>
      <w:r w:rsidR="00C25F2E" w:rsidRPr="00B34FFD">
        <w:t xml:space="preserve">  Subsection</w:t>
      </w:r>
      <w:r w:rsidR="00B34FFD" w:rsidRPr="00B34FFD">
        <w:t> </w:t>
      </w:r>
      <w:r w:rsidR="00C25F2E" w:rsidRPr="00B34FFD">
        <w:t>251B(6)</w:t>
      </w:r>
    </w:p>
    <w:p w:rsidR="00C25F2E" w:rsidRPr="00B34FFD" w:rsidRDefault="00C25F2E" w:rsidP="00E55599">
      <w:pPr>
        <w:pStyle w:val="Item"/>
      </w:pPr>
      <w:r w:rsidRPr="00B34FFD">
        <w:t>Repeal the subsection.</w:t>
      </w:r>
    </w:p>
    <w:p w:rsidR="008E6303" w:rsidRPr="00BD2F24" w:rsidRDefault="008E6303" w:rsidP="00E55599">
      <w:pPr>
        <w:pStyle w:val="ActHead9"/>
        <w:rPr>
          <w:i w:val="0"/>
        </w:rPr>
      </w:pPr>
      <w:bookmarkStart w:id="19" w:name="_Toc34832017"/>
      <w:r w:rsidRPr="00B34FFD">
        <w:t>A New Tax System (Goods and Services Tax</w:t>
      </w:r>
      <w:bookmarkStart w:id="20" w:name="BK_S3P5L1C41"/>
      <w:bookmarkEnd w:id="20"/>
      <w:r w:rsidRPr="00B34FFD">
        <w:t>) Act 1999</w:t>
      </w:r>
      <w:bookmarkEnd w:id="19"/>
    </w:p>
    <w:p w:rsidR="008E6303" w:rsidRPr="00B34FFD" w:rsidRDefault="00DE12CB" w:rsidP="00E55599">
      <w:pPr>
        <w:pStyle w:val="ItemHead"/>
      </w:pPr>
      <w:r w:rsidRPr="00B34FFD">
        <w:t>18</w:t>
      </w:r>
      <w:r w:rsidR="008E6303" w:rsidRPr="00B34FFD">
        <w:t xml:space="preserve">  </w:t>
      </w:r>
      <w:r w:rsidR="00611905">
        <w:t>Paragraph 3</w:t>
      </w:r>
      <w:r w:rsidR="008E6303" w:rsidRPr="00B34FFD">
        <w:t>8</w:t>
      </w:r>
      <w:r w:rsidR="00D61C39">
        <w:noBreakHyphen/>
      </w:r>
      <w:r w:rsidR="008E6303" w:rsidRPr="00B34FFD">
        <w:t>7(2)(a)</w:t>
      </w:r>
    </w:p>
    <w:p w:rsidR="008E6303" w:rsidRPr="00B34FFD" w:rsidRDefault="008E6303" w:rsidP="00E55599">
      <w:pPr>
        <w:pStyle w:val="Item"/>
      </w:pPr>
      <w:r w:rsidRPr="00B34FFD">
        <w:t>Omit “prescribed circumstances within the meaning of regulation</w:t>
      </w:r>
      <w:r w:rsidR="00B34FFD" w:rsidRPr="00B34FFD">
        <w:t> </w:t>
      </w:r>
      <w:r w:rsidRPr="00B34FFD">
        <w:t xml:space="preserve">14 of the Health Insurance Regulations made under the </w:t>
      </w:r>
      <w:r w:rsidRPr="00B34FFD">
        <w:rPr>
          <w:i/>
        </w:rPr>
        <w:t>Health Insurance Act 1973</w:t>
      </w:r>
      <w:r w:rsidRPr="00B34FFD">
        <w:t xml:space="preserve"> (other than the prescribed circumstances set out in regulations</w:t>
      </w:r>
      <w:r w:rsidR="00B34FFD" w:rsidRPr="00B34FFD">
        <w:t> </w:t>
      </w:r>
      <w:r w:rsidRPr="00B34FFD">
        <w:t xml:space="preserve">14(2)(ea), (f) and (g))”, substitute “circumstances covered by a prescribed provision of regulations made under the </w:t>
      </w:r>
      <w:r w:rsidRPr="00B34FFD">
        <w:rPr>
          <w:i/>
        </w:rPr>
        <w:t>Health Insurance Act 1973</w:t>
      </w:r>
      <w:r w:rsidRPr="00B34FFD">
        <w:t>”.</w:t>
      </w:r>
    </w:p>
    <w:p w:rsidR="00C76F6B" w:rsidRPr="00BD2F24" w:rsidRDefault="00C76F6B" w:rsidP="00E55599">
      <w:pPr>
        <w:pStyle w:val="ActHead9"/>
        <w:rPr>
          <w:i w:val="0"/>
        </w:rPr>
      </w:pPr>
      <w:bookmarkStart w:id="21" w:name="_Toc34832018"/>
      <w:r w:rsidRPr="00B34FFD">
        <w:t>Australian Citizen</w:t>
      </w:r>
      <w:bookmarkStart w:id="22" w:name="BK_S3P5L9C19"/>
      <w:bookmarkEnd w:id="22"/>
      <w:r w:rsidRPr="00B34FFD">
        <w:t>ship Act 2007</w:t>
      </w:r>
      <w:bookmarkEnd w:id="21"/>
    </w:p>
    <w:p w:rsidR="00C76F6B" w:rsidRPr="00B34FFD" w:rsidRDefault="00DE12CB" w:rsidP="00E55599">
      <w:pPr>
        <w:pStyle w:val="ItemHead"/>
      </w:pPr>
      <w:r w:rsidRPr="00B34FFD">
        <w:t>19</w:t>
      </w:r>
      <w:r w:rsidR="00C76F6B" w:rsidRPr="00B34FFD">
        <w:t xml:space="preserve">  </w:t>
      </w:r>
      <w:r w:rsidR="0016598A" w:rsidRPr="00B34FFD">
        <w:t>Subsection</w:t>
      </w:r>
      <w:r w:rsidR="00B34FFD" w:rsidRPr="00B34FFD">
        <w:t> </w:t>
      </w:r>
      <w:r w:rsidR="0016598A" w:rsidRPr="00B34FFD">
        <w:t xml:space="preserve">19C(4) (definition of </w:t>
      </w:r>
      <w:r w:rsidR="0016598A" w:rsidRPr="00B34FFD">
        <w:rPr>
          <w:i/>
        </w:rPr>
        <w:t>Bilateral Arrangements regulation</w:t>
      </w:r>
      <w:bookmarkStart w:id="23" w:name="BK_S3P5L11C11"/>
      <w:bookmarkEnd w:id="23"/>
      <w:r w:rsidR="0016598A" w:rsidRPr="00B34FFD">
        <w:rPr>
          <w:i/>
        </w:rPr>
        <w:t>s</w:t>
      </w:r>
      <w:r w:rsidR="0016598A" w:rsidRPr="00B34FFD">
        <w:t>)</w:t>
      </w:r>
    </w:p>
    <w:p w:rsidR="0016598A" w:rsidRPr="00B34FFD" w:rsidRDefault="0016598A" w:rsidP="00E55599">
      <w:pPr>
        <w:pStyle w:val="Item"/>
      </w:pPr>
      <w:r w:rsidRPr="00B34FFD">
        <w:t xml:space="preserve">Omit “the </w:t>
      </w:r>
      <w:r w:rsidRPr="00B34FFD">
        <w:rPr>
          <w:i/>
        </w:rPr>
        <w:t>Family Law (Bilateral Arrangements—Intercountry Adoption) Regulation</w:t>
      </w:r>
      <w:bookmarkStart w:id="24" w:name="BK_S3P5L13C21"/>
      <w:bookmarkEnd w:id="24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1998</w:t>
      </w:r>
      <w:r w:rsidRPr="00B34FFD">
        <w:t xml:space="preserve">”, substitute “prescribed regulations made under the </w:t>
      </w:r>
      <w:r w:rsidRPr="00B34FFD">
        <w:rPr>
          <w:i/>
        </w:rPr>
        <w:t>Family Law Act 1975</w:t>
      </w:r>
      <w:r w:rsidRPr="00B34FFD">
        <w:t>”.</w:t>
      </w:r>
    </w:p>
    <w:p w:rsidR="0016598A" w:rsidRPr="00B34FFD" w:rsidRDefault="00DE12CB" w:rsidP="00E55599">
      <w:pPr>
        <w:pStyle w:val="ItemHead"/>
      </w:pPr>
      <w:r w:rsidRPr="00B34FFD">
        <w:t>20</w:t>
      </w:r>
      <w:r w:rsidR="0016598A" w:rsidRPr="00B34FFD">
        <w:t xml:space="preserve">  Subsection</w:t>
      </w:r>
      <w:r w:rsidR="00B34FFD" w:rsidRPr="00B34FFD">
        <w:t> </w:t>
      </w:r>
      <w:r w:rsidR="0016598A" w:rsidRPr="00B34FFD">
        <w:t xml:space="preserve">19C(4) (definition of </w:t>
      </w:r>
      <w:r w:rsidR="0016598A" w:rsidRPr="00B34FFD">
        <w:rPr>
          <w:i/>
        </w:rPr>
        <w:t>Intercountry Adoption regulation</w:t>
      </w:r>
      <w:bookmarkStart w:id="25" w:name="BK_S3P5L16C11"/>
      <w:bookmarkEnd w:id="25"/>
      <w:r w:rsidR="0016598A" w:rsidRPr="00B34FFD">
        <w:rPr>
          <w:i/>
        </w:rPr>
        <w:t>s</w:t>
      </w:r>
      <w:r w:rsidR="0016598A" w:rsidRPr="00B34FFD">
        <w:t>)</w:t>
      </w:r>
    </w:p>
    <w:p w:rsidR="0016598A" w:rsidRPr="00B34FFD" w:rsidRDefault="0016598A" w:rsidP="00E55599">
      <w:pPr>
        <w:pStyle w:val="Item"/>
      </w:pPr>
      <w:r w:rsidRPr="00B34FFD">
        <w:t xml:space="preserve">Omit “the </w:t>
      </w:r>
      <w:r w:rsidRPr="00B34FFD">
        <w:rPr>
          <w:i/>
        </w:rPr>
        <w:t>Family Law (Hague Convention</w:t>
      </w:r>
      <w:bookmarkStart w:id="26" w:name="BK_S3P5L17C39"/>
      <w:bookmarkEnd w:id="26"/>
      <w:r w:rsidRPr="00B34FFD">
        <w:rPr>
          <w:i/>
        </w:rPr>
        <w:t xml:space="preserve"> on Intercountry Adoption) Regulation</w:t>
      </w:r>
      <w:bookmarkStart w:id="27" w:name="BK_S3P5L18C11"/>
      <w:bookmarkEnd w:id="27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1998</w:t>
      </w:r>
      <w:r w:rsidRPr="00B34FFD">
        <w:t xml:space="preserve">”, substitute “prescribed regulations made under the </w:t>
      </w:r>
      <w:r w:rsidRPr="00B34FFD">
        <w:rPr>
          <w:i/>
        </w:rPr>
        <w:t>Family Law Act 1975</w:t>
      </w:r>
      <w:r w:rsidRPr="00B34FFD">
        <w:t>”.</w:t>
      </w:r>
    </w:p>
    <w:p w:rsidR="0016598A" w:rsidRPr="00BD2F24" w:rsidRDefault="0016598A" w:rsidP="00E55599">
      <w:pPr>
        <w:pStyle w:val="ActHead9"/>
        <w:rPr>
          <w:i w:val="0"/>
        </w:rPr>
      </w:pPr>
      <w:bookmarkStart w:id="28" w:name="_Toc34832019"/>
      <w:r w:rsidRPr="00B34FFD">
        <w:t>Carbon Credits (Carbon Farming Initiative) Act 2011</w:t>
      </w:r>
      <w:bookmarkEnd w:id="28"/>
    </w:p>
    <w:p w:rsidR="0016598A" w:rsidRPr="00B34FFD" w:rsidRDefault="00DE12CB" w:rsidP="00E55599">
      <w:pPr>
        <w:pStyle w:val="ItemHead"/>
      </w:pPr>
      <w:r w:rsidRPr="00B34FFD">
        <w:t>21</w:t>
      </w:r>
      <w:r w:rsidR="0016598A" w:rsidRPr="00B34FFD">
        <w:t xml:space="preserve">  Subsection</w:t>
      </w:r>
      <w:r w:rsidR="00B34FFD" w:rsidRPr="00B34FFD">
        <w:t> </w:t>
      </w:r>
      <w:r w:rsidR="0016598A" w:rsidRPr="00B34FFD">
        <w:t>20J(1)</w:t>
      </w:r>
    </w:p>
    <w:p w:rsidR="0016598A" w:rsidRPr="00B34FFD" w:rsidRDefault="0016598A" w:rsidP="00E55599">
      <w:pPr>
        <w:pStyle w:val="Item"/>
      </w:pPr>
      <w:r w:rsidRPr="00B34FFD">
        <w:t>Omit “(1)”.</w:t>
      </w:r>
    </w:p>
    <w:p w:rsidR="0016598A" w:rsidRPr="00B34FFD" w:rsidRDefault="00DE12CB" w:rsidP="00E55599">
      <w:pPr>
        <w:pStyle w:val="ItemHead"/>
      </w:pPr>
      <w:r w:rsidRPr="00B34FFD">
        <w:t>22</w:t>
      </w:r>
      <w:r w:rsidR="0016598A" w:rsidRPr="00B34FFD">
        <w:t xml:space="preserve">  Subsection</w:t>
      </w:r>
      <w:r w:rsidR="00B34FFD" w:rsidRPr="00B34FFD">
        <w:t> </w:t>
      </w:r>
      <w:r w:rsidR="0016598A" w:rsidRPr="00B34FFD">
        <w:t>20J(2)</w:t>
      </w:r>
    </w:p>
    <w:p w:rsidR="0016598A" w:rsidRPr="00B34FFD" w:rsidRDefault="0016598A" w:rsidP="00E55599">
      <w:pPr>
        <w:pStyle w:val="Item"/>
      </w:pPr>
      <w:r w:rsidRPr="00B34FFD">
        <w:t>Repeal the subsection</w:t>
      </w:r>
      <w:r w:rsidR="000E4A70" w:rsidRPr="00B34FFD">
        <w:t>.</w:t>
      </w:r>
    </w:p>
    <w:p w:rsidR="009762F0" w:rsidRPr="00BD2F24" w:rsidRDefault="009762F0" w:rsidP="00E55599">
      <w:pPr>
        <w:pStyle w:val="ActHead9"/>
        <w:rPr>
          <w:i w:val="0"/>
        </w:rPr>
      </w:pPr>
      <w:bookmarkStart w:id="29" w:name="_Toc34832020"/>
      <w:r w:rsidRPr="00B34FFD">
        <w:t>Customs Act 1901</w:t>
      </w:r>
      <w:bookmarkStart w:id="30" w:name="BK_S3P6L1C17"/>
      <w:bookmarkEnd w:id="30"/>
      <w:bookmarkEnd w:id="29"/>
    </w:p>
    <w:p w:rsidR="009762F0" w:rsidRPr="00B34FFD" w:rsidRDefault="00DE12CB" w:rsidP="00E55599">
      <w:pPr>
        <w:pStyle w:val="ItemHead"/>
      </w:pPr>
      <w:r w:rsidRPr="00B34FFD">
        <w:t>23</w:t>
      </w:r>
      <w:r w:rsidR="009762F0" w:rsidRPr="00B34FFD">
        <w:t xml:space="preserve">  Subsection</w:t>
      </w:r>
      <w:r w:rsidR="00B34FFD" w:rsidRPr="00B34FFD">
        <w:t> </w:t>
      </w:r>
      <w:r w:rsidR="009762F0" w:rsidRPr="00B34FFD">
        <w:t xml:space="preserve">105D(4) (definition of </w:t>
      </w:r>
      <w:r w:rsidR="009762F0" w:rsidRPr="00B34FFD">
        <w:rPr>
          <w:i/>
        </w:rPr>
        <w:t>GST regulation</w:t>
      </w:r>
      <w:bookmarkStart w:id="31" w:name="BK_S3P6L2C53"/>
      <w:bookmarkEnd w:id="31"/>
      <w:r w:rsidR="009762F0" w:rsidRPr="00B34FFD">
        <w:rPr>
          <w:i/>
        </w:rPr>
        <w:t>s</w:t>
      </w:r>
      <w:r w:rsidR="009762F0" w:rsidRPr="00B34FFD">
        <w:t>)</w:t>
      </w:r>
    </w:p>
    <w:p w:rsidR="009762F0" w:rsidRPr="00B34FFD" w:rsidRDefault="009762F0" w:rsidP="00E55599">
      <w:pPr>
        <w:pStyle w:val="Item"/>
      </w:pPr>
      <w:r w:rsidRPr="00B34FFD">
        <w:t xml:space="preserve">Omit “the </w:t>
      </w:r>
      <w:r w:rsidRPr="00B34FFD">
        <w:rPr>
          <w:i/>
        </w:rPr>
        <w:t>A New Tax System (Goods and Services Tax) Regulation</w:t>
      </w:r>
      <w:bookmarkStart w:id="32" w:name="BK_S3P6L4C11"/>
      <w:bookmarkEnd w:id="32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1999</w:t>
      </w:r>
      <w:r w:rsidR="007F24AF" w:rsidRPr="00B34FFD">
        <w:t xml:space="preserve">”, substitute “regulations </w:t>
      </w:r>
      <w:r w:rsidR="00A674E8" w:rsidRPr="00B34FFD">
        <w:t xml:space="preserve">made </w:t>
      </w:r>
      <w:r w:rsidRPr="00B34FFD">
        <w:t xml:space="preserve">under the </w:t>
      </w:r>
      <w:r w:rsidRPr="00B34FFD">
        <w:rPr>
          <w:i/>
        </w:rPr>
        <w:t>A New Tax System (Goods and Services Tax) Act 1999</w:t>
      </w:r>
      <w:r w:rsidRPr="00B34FFD">
        <w:t>”.</w:t>
      </w:r>
    </w:p>
    <w:p w:rsidR="00ED7380" w:rsidRPr="00BD2F24" w:rsidRDefault="00ED7380" w:rsidP="00E55599">
      <w:pPr>
        <w:pStyle w:val="ActHead9"/>
        <w:rPr>
          <w:i w:val="0"/>
        </w:rPr>
      </w:pPr>
      <w:bookmarkStart w:id="33" w:name="_Toc34832021"/>
      <w:r w:rsidRPr="00B34FFD">
        <w:t>Income Tax</w:t>
      </w:r>
      <w:bookmarkStart w:id="34" w:name="BK_S3P6L6C11"/>
      <w:bookmarkEnd w:id="34"/>
      <w:r w:rsidRPr="00B34FFD">
        <w:t xml:space="preserve"> Assessment Act 1997</w:t>
      </w:r>
      <w:bookmarkStart w:id="35" w:name="BK_S3P6L6C31"/>
      <w:bookmarkEnd w:id="35"/>
      <w:bookmarkEnd w:id="33"/>
    </w:p>
    <w:p w:rsidR="00ED7380" w:rsidRPr="00B34FFD" w:rsidRDefault="00DE12CB" w:rsidP="00E55599">
      <w:pPr>
        <w:pStyle w:val="ItemHead"/>
      </w:pPr>
      <w:r w:rsidRPr="00B34FFD">
        <w:t>24</w:t>
      </w:r>
      <w:r w:rsidR="00ED7380" w:rsidRPr="00B34FFD">
        <w:t xml:space="preserve">  Section</w:t>
      </w:r>
      <w:r w:rsidR="00B34FFD" w:rsidRPr="00B34FFD">
        <w:t> </w:t>
      </w:r>
      <w:r w:rsidR="00ED7380" w:rsidRPr="00B34FFD">
        <w:t>51</w:t>
      </w:r>
      <w:r w:rsidR="00D61C39">
        <w:noBreakHyphen/>
      </w:r>
      <w:r w:rsidR="00ED7380" w:rsidRPr="00B34FFD">
        <w:t>5 (table item</w:t>
      </w:r>
      <w:r w:rsidR="00B34FFD" w:rsidRPr="00B34FFD">
        <w:t> </w:t>
      </w:r>
      <w:r w:rsidR="00ED7380" w:rsidRPr="00B34FFD">
        <w:t>1.7)</w:t>
      </w:r>
    </w:p>
    <w:p w:rsidR="00ED7380" w:rsidRPr="00B34FFD" w:rsidRDefault="00ED7380" w:rsidP="00E55599">
      <w:pPr>
        <w:pStyle w:val="Item"/>
      </w:pPr>
      <w:r w:rsidRPr="00B34FFD">
        <w:t>Omit “section</w:t>
      </w:r>
      <w:r w:rsidR="00B34FFD" w:rsidRPr="00B34FFD">
        <w:t> </w:t>
      </w:r>
      <w:r w:rsidRPr="00B34FFD">
        <w:t xml:space="preserve">14 or 14B of the </w:t>
      </w:r>
      <w:r w:rsidRPr="00B34FFD">
        <w:rPr>
          <w:i/>
        </w:rPr>
        <w:t>Ombudsman</w:t>
      </w:r>
      <w:bookmarkStart w:id="36" w:name="BK_S3P6L8C41"/>
      <w:bookmarkEnd w:id="36"/>
      <w:r w:rsidRPr="00B34FFD">
        <w:rPr>
          <w:i/>
        </w:rPr>
        <w:t xml:space="preserve"> Regulation</w:t>
      </w:r>
      <w:bookmarkStart w:id="37" w:name="BK_S3P6L8C52"/>
      <w:bookmarkEnd w:id="37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2017</w:t>
      </w:r>
      <w:r w:rsidRPr="00B34FFD">
        <w:t>”, substitute “a prescribed provision</w:t>
      </w:r>
      <w:r w:rsidR="000A26B3" w:rsidRPr="00B34FFD">
        <w:t xml:space="preserve"> of regulations made under the </w:t>
      </w:r>
      <w:r w:rsidR="000A26B3" w:rsidRPr="00B34FFD">
        <w:rPr>
          <w:i/>
        </w:rPr>
        <w:t>Ombudsman Act 1976</w:t>
      </w:r>
      <w:r w:rsidR="000A26B3" w:rsidRPr="00B34FFD">
        <w:t>”.</w:t>
      </w:r>
    </w:p>
    <w:p w:rsidR="000A40A8" w:rsidRPr="00B34FFD" w:rsidRDefault="00DE12CB" w:rsidP="00E55599">
      <w:pPr>
        <w:pStyle w:val="ItemHead"/>
      </w:pPr>
      <w:r w:rsidRPr="00B34FFD">
        <w:t>25</w:t>
      </w:r>
      <w:r w:rsidR="000A40A8" w:rsidRPr="00B34FFD">
        <w:t xml:space="preserve">  </w:t>
      </w:r>
      <w:r w:rsidR="00716BA1" w:rsidRPr="00B34FFD">
        <w:t>Section</w:t>
      </w:r>
      <w:r w:rsidR="00B34FFD" w:rsidRPr="00B34FFD">
        <w:t> </w:t>
      </w:r>
      <w:r w:rsidR="00716BA1" w:rsidRPr="00B34FFD">
        <w:t>51</w:t>
      </w:r>
      <w:r w:rsidR="00D61C39">
        <w:noBreakHyphen/>
      </w:r>
      <w:r w:rsidR="00716BA1" w:rsidRPr="00B34FFD">
        <w:t>5 (note)</w:t>
      </w:r>
    </w:p>
    <w:p w:rsidR="00716BA1" w:rsidRPr="00B34FFD" w:rsidRDefault="00716BA1" w:rsidP="00E55599">
      <w:pPr>
        <w:pStyle w:val="Item"/>
      </w:pPr>
      <w:r w:rsidRPr="00B34FFD">
        <w:t>Omit “under section</w:t>
      </w:r>
      <w:r w:rsidR="00B34FFD" w:rsidRPr="00B34FFD">
        <w:t> </w:t>
      </w:r>
      <w:r w:rsidRPr="00B34FFD">
        <w:t xml:space="preserve">14 or 14B of the </w:t>
      </w:r>
      <w:r w:rsidRPr="00B34FFD">
        <w:rPr>
          <w:i/>
        </w:rPr>
        <w:t>Ombudsman Regulation</w:t>
      </w:r>
      <w:bookmarkStart w:id="38" w:name="BK_S3P6L12C58"/>
      <w:bookmarkEnd w:id="38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2017</w:t>
      </w:r>
      <w:r w:rsidRPr="00B34FFD">
        <w:t>”, substitute “referred to in item</w:t>
      </w:r>
      <w:r w:rsidR="00B34FFD" w:rsidRPr="00B34FFD">
        <w:t> </w:t>
      </w:r>
      <w:r w:rsidRPr="00B34FFD">
        <w:t>1.7”.</w:t>
      </w:r>
    </w:p>
    <w:p w:rsidR="00716BA1" w:rsidRPr="00B34FFD" w:rsidRDefault="00DE12CB" w:rsidP="00E55599">
      <w:pPr>
        <w:pStyle w:val="ItemHead"/>
      </w:pPr>
      <w:r w:rsidRPr="00B34FFD">
        <w:t>26</w:t>
      </w:r>
      <w:r w:rsidR="00716BA1" w:rsidRPr="00B34FFD">
        <w:t xml:space="preserve">  </w:t>
      </w:r>
      <w:r w:rsidR="00611905">
        <w:t>Subparagraph 3</w:t>
      </w:r>
      <w:r w:rsidR="00716BA1" w:rsidRPr="00B34FFD">
        <w:t>07</w:t>
      </w:r>
      <w:r w:rsidR="00D61C39">
        <w:noBreakHyphen/>
      </w:r>
      <w:r w:rsidR="00561F97" w:rsidRPr="00B34FFD">
        <w:t>5(7)(a</w:t>
      </w:r>
      <w:r w:rsidR="00716BA1" w:rsidRPr="00B34FFD">
        <w:t>)</w:t>
      </w:r>
      <w:r w:rsidR="00561F97" w:rsidRPr="00B34FFD">
        <w:t>(ii)</w:t>
      </w:r>
    </w:p>
    <w:p w:rsidR="00716BA1" w:rsidRPr="00B34FFD" w:rsidRDefault="00716BA1" w:rsidP="00E55599">
      <w:pPr>
        <w:pStyle w:val="Item"/>
      </w:pPr>
      <w:r w:rsidRPr="00B34FFD">
        <w:t xml:space="preserve">Omit “the </w:t>
      </w:r>
      <w:r w:rsidRPr="00B34FFD">
        <w:rPr>
          <w:i/>
        </w:rPr>
        <w:t>Family Law (Superannuation) Regulation</w:t>
      </w:r>
      <w:bookmarkStart w:id="39" w:name="BK_S3P6L15C49"/>
      <w:bookmarkEnd w:id="39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2001</w:t>
      </w:r>
      <w:r w:rsidRPr="00B34FFD">
        <w:t xml:space="preserve">”, substitute “prescribed regulations made under the </w:t>
      </w:r>
      <w:r w:rsidRPr="00B34FFD">
        <w:rPr>
          <w:i/>
        </w:rPr>
        <w:t>Family Law Act 1975</w:t>
      </w:r>
      <w:r w:rsidRPr="00B34FFD">
        <w:t>”.</w:t>
      </w:r>
    </w:p>
    <w:p w:rsidR="00136877" w:rsidRPr="00BD2F24" w:rsidRDefault="00136877" w:rsidP="00E55599">
      <w:pPr>
        <w:pStyle w:val="ActHead9"/>
        <w:rPr>
          <w:i w:val="0"/>
        </w:rPr>
      </w:pPr>
      <w:bookmarkStart w:id="40" w:name="_Toc34832022"/>
      <w:r w:rsidRPr="00B34FFD">
        <w:t>International Monetary Agreements Act 1947</w:t>
      </w:r>
      <w:bookmarkEnd w:id="40"/>
    </w:p>
    <w:p w:rsidR="00136877" w:rsidRPr="00B34FFD" w:rsidRDefault="00DE12CB" w:rsidP="00E55599">
      <w:pPr>
        <w:pStyle w:val="ItemHead"/>
      </w:pPr>
      <w:r w:rsidRPr="00B34FFD">
        <w:t>27</w:t>
      </w:r>
      <w:r w:rsidR="00136877" w:rsidRPr="00B34FFD">
        <w:t xml:space="preserve">  Section</w:t>
      </w:r>
      <w:r w:rsidR="00B34FFD" w:rsidRPr="00B34FFD">
        <w:t> </w:t>
      </w:r>
      <w:r w:rsidR="00136877" w:rsidRPr="00B34FFD">
        <w:t>3</w:t>
      </w:r>
    </w:p>
    <w:p w:rsidR="00136877" w:rsidRPr="00B34FFD" w:rsidRDefault="00136877" w:rsidP="00E55599">
      <w:pPr>
        <w:pStyle w:val="Item"/>
      </w:pPr>
      <w:r w:rsidRPr="00B34FFD">
        <w:t>Insert:</w:t>
      </w:r>
    </w:p>
    <w:p w:rsidR="00136877" w:rsidRPr="00B34FFD" w:rsidRDefault="00136877" w:rsidP="00E55599">
      <w:pPr>
        <w:pStyle w:val="Definition"/>
      </w:pPr>
      <w:r w:rsidRPr="00B34FFD">
        <w:rPr>
          <w:b/>
          <w:i/>
        </w:rPr>
        <w:t>Investment Disputes Convention</w:t>
      </w:r>
      <w:r w:rsidRPr="00B34FFD">
        <w:t xml:space="preserve"> means the Convention on the Settlement of Investment Disputes between States and Nationals of Other States signed by Australia on 24</w:t>
      </w:r>
      <w:r w:rsidR="00B34FFD" w:rsidRPr="00B34FFD">
        <w:t> </w:t>
      </w:r>
      <w:r w:rsidRPr="00B34FFD">
        <w:t>March 1975, the English text of which is set out in Schedule</w:t>
      </w:r>
      <w:r w:rsidR="00B34FFD" w:rsidRPr="00B34FFD">
        <w:t> </w:t>
      </w:r>
      <w:r w:rsidRPr="00B34FFD">
        <w:t xml:space="preserve">3 to the </w:t>
      </w:r>
      <w:r w:rsidRPr="00B34FFD">
        <w:rPr>
          <w:i/>
        </w:rPr>
        <w:t>International Arbitrat</w:t>
      </w:r>
      <w:bookmarkStart w:id="41" w:name="BK_S3P6L24C9"/>
      <w:bookmarkEnd w:id="41"/>
      <w:r w:rsidRPr="00B34FFD">
        <w:rPr>
          <w:i/>
        </w:rPr>
        <w:t>ion Act 1974</w:t>
      </w:r>
      <w:r w:rsidRPr="00B34FFD">
        <w:t>.</w:t>
      </w:r>
    </w:p>
    <w:p w:rsidR="00136877" w:rsidRPr="00B34FFD" w:rsidRDefault="00DE12CB" w:rsidP="00E55599">
      <w:pPr>
        <w:pStyle w:val="ItemHead"/>
      </w:pPr>
      <w:r w:rsidRPr="00B34FFD">
        <w:t>28</w:t>
      </w:r>
      <w:r w:rsidR="00136877" w:rsidRPr="00B34FFD">
        <w:t xml:space="preserve">  Section</w:t>
      </w:r>
      <w:r w:rsidR="00B34FFD" w:rsidRPr="00B34FFD">
        <w:t> </w:t>
      </w:r>
      <w:r w:rsidR="00136877" w:rsidRPr="00B34FFD">
        <w:t>3 (</w:t>
      </w:r>
      <w:r w:rsidR="00B34FFD" w:rsidRPr="00B34FFD">
        <w:t>paragraph (</w:t>
      </w:r>
      <w:r w:rsidR="00136877" w:rsidRPr="00B34FFD">
        <w:t xml:space="preserve">e) of the definition of </w:t>
      </w:r>
      <w:r w:rsidR="00136877" w:rsidRPr="00B34FFD">
        <w:rPr>
          <w:i/>
        </w:rPr>
        <w:t>World Bank</w:t>
      </w:r>
      <w:bookmarkStart w:id="42" w:name="BK_S3P6L25C61"/>
      <w:bookmarkEnd w:id="42"/>
      <w:r w:rsidR="00136877" w:rsidRPr="00B34FFD">
        <w:rPr>
          <w:i/>
        </w:rPr>
        <w:t xml:space="preserve"> organisation</w:t>
      </w:r>
      <w:r w:rsidR="00136877" w:rsidRPr="00B34FFD">
        <w:t>)</w:t>
      </w:r>
    </w:p>
    <w:p w:rsidR="00136877" w:rsidRPr="00B34FFD" w:rsidRDefault="00136877" w:rsidP="00E55599">
      <w:pPr>
        <w:pStyle w:val="Item"/>
      </w:pPr>
      <w:r w:rsidRPr="00B34FFD">
        <w:t xml:space="preserve">Omit “(referred to in the </w:t>
      </w:r>
      <w:r w:rsidRPr="00B34FFD">
        <w:rPr>
          <w:i/>
        </w:rPr>
        <w:t>International Centre for Settlement of Investment Disputes (Privileges and Immunities) Regulation</w:t>
      </w:r>
      <w:bookmarkStart w:id="43" w:name="BK_S3P6L28C59"/>
      <w:bookmarkEnd w:id="43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1991</w:t>
      </w:r>
      <w:r w:rsidRPr="00B34FFD">
        <w:t>)”, substitute “established by the Investment Disputes Convention”.</w:t>
      </w:r>
    </w:p>
    <w:p w:rsidR="00F25F55" w:rsidRPr="00BD2F24" w:rsidRDefault="00F25F55" w:rsidP="00E55599">
      <w:pPr>
        <w:pStyle w:val="ActHead9"/>
        <w:rPr>
          <w:i w:val="0"/>
        </w:rPr>
      </w:pPr>
      <w:bookmarkStart w:id="44" w:name="_Toc34832023"/>
      <w:r w:rsidRPr="00B34FFD">
        <w:t>Judicial Misbehaviour and Incapacity (Parliamentary Commissions) Act 2012</w:t>
      </w:r>
      <w:bookmarkEnd w:id="44"/>
    </w:p>
    <w:p w:rsidR="00F25F55" w:rsidRPr="00B34FFD" w:rsidRDefault="00DE12CB" w:rsidP="00E55599">
      <w:pPr>
        <w:pStyle w:val="ItemHead"/>
      </w:pPr>
      <w:r w:rsidRPr="00B34FFD">
        <w:t>29</w:t>
      </w:r>
      <w:r w:rsidR="00F25F55" w:rsidRPr="00B34FFD">
        <w:t xml:space="preserve">  </w:t>
      </w:r>
      <w:r w:rsidR="00611905">
        <w:t>Paragraph 4</w:t>
      </w:r>
      <w:r w:rsidR="00F25F55" w:rsidRPr="00B34FFD">
        <w:t>4(3)(c)</w:t>
      </w:r>
    </w:p>
    <w:p w:rsidR="00F25F55" w:rsidRPr="00B34FFD" w:rsidRDefault="00F25F55" w:rsidP="00E55599">
      <w:pPr>
        <w:pStyle w:val="Item"/>
      </w:pPr>
      <w:r w:rsidRPr="00B34FFD">
        <w:t>Repeal the paragraph, substitute:</w:t>
      </w:r>
    </w:p>
    <w:p w:rsidR="00F25F55" w:rsidRPr="00B34FFD" w:rsidRDefault="00F25F55" w:rsidP="00E55599">
      <w:pPr>
        <w:pStyle w:val="paragraph"/>
      </w:pPr>
      <w:r w:rsidRPr="00B34FFD">
        <w:tab/>
        <w:t>(c)</w:t>
      </w:r>
      <w:r w:rsidRPr="00B34FFD">
        <w:tab/>
        <w:t xml:space="preserve">the record is made available for public access under the </w:t>
      </w:r>
      <w:r w:rsidRPr="00B34FFD">
        <w:rPr>
          <w:i/>
        </w:rPr>
        <w:t>Archives Act 1983</w:t>
      </w:r>
      <w:r w:rsidRPr="00B34FFD">
        <w:t>;</w:t>
      </w:r>
    </w:p>
    <w:p w:rsidR="00F25F55" w:rsidRPr="00B34FFD" w:rsidRDefault="00DE12CB" w:rsidP="00E55599">
      <w:pPr>
        <w:pStyle w:val="ItemHead"/>
      </w:pPr>
      <w:r w:rsidRPr="00B34FFD">
        <w:t>30</w:t>
      </w:r>
      <w:r w:rsidR="00F25F55" w:rsidRPr="00B34FFD">
        <w:t xml:space="preserve">  At the end of subsection</w:t>
      </w:r>
      <w:r w:rsidR="00B34FFD" w:rsidRPr="00B34FFD">
        <w:t> </w:t>
      </w:r>
      <w:r w:rsidR="00F25F55" w:rsidRPr="00B34FFD">
        <w:t>44(3)</w:t>
      </w:r>
    </w:p>
    <w:p w:rsidR="00F25F55" w:rsidRPr="00B34FFD" w:rsidRDefault="00F25F55" w:rsidP="00E55599">
      <w:pPr>
        <w:pStyle w:val="Item"/>
      </w:pPr>
      <w:r w:rsidRPr="00B34FFD">
        <w:t>Add:</w:t>
      </w:r>
    </w:p>
    <w:p w:rsidR="00F25F55" w:rsidRPr="00B34FFD" w:rsidRDefault="00F25F55" w:rsidP="00E55599">
      <w:pPr>
        <w:pStyle w:val="notetext"/>
      </w:pPr>
      <w:r w:rsidRPr="00B34FFD">
        <w:t>Note:</w:t>
      </w:r>
      <w:r w:rsidRPr="00B34FFD">
        <w:tab/>
        <w:t xml:space="preserve">Whether and how the </w:t>
      </w:r>
      <w:r w:rsidRPr="00B34FFD">
        <w:rPr>
          <w:i/>
        </w:rPr>
        <w:t>Archives Act 1983</w:t>
      </w:r>
      <w:r w:rsidRPr="00B34FFD">
        <w:t xml:space="preserve"> applies to the record depends on regulations made for the purposes of section</w:t>
      </w:r>
      <w:r w:rsidR="00B34FFD" w:rsidRPr="00B34FFD">
        <w:t> </w:t>
      </w:r>
      <w:r w:rsidRPr="00B34FFD">
        <w:t>20 of that Act.</w:t>
      </w:r>
    </w:p>
    <w:p w:rsidR="00F25F55" w:rsidRPr="00B34FFD" w:rsidRDefault="00DE12CB" w:rsidP="00E55599">
      <w:pPr>
        <w:pStyle w:val="ItemHead"/>
      </w:pPr>
      <w:r w:rsidRPr="00B34FFD">
        <w:t>31</w:t>
      </w:r>
      <w:r w:rsidR="00F25F55" w:rsidRPr="00B34FFD">
        <w:t xml:space="preserve">  Subsection</w:t>
      </w:r>
      <w:r w:rsidR="00B34FFD" w:rsidRPr="00B34FFD">
        <w:t> </w:t>
      </w:r>
      <w:r w:rsidR="00F25F55" w:rsidRPr="00B34FFD">
        <w:t>82(2)</w:t>
      </w:r>
    </w:p>
    <w:p w:rsidR="00F25F55" w:rsidRPr="00B34FFD" w:rsidRDefault="00F25F55" w:rsidP="00E55599">
      <w:pPr>
        <w:pStyle w:val="Item"/>
      </w:pPr>
      <w:r w:rsidRPr="00B34FFD">
        <w:t>Repeal the subsection, substitute:</w:t>
      </w:r>
    </w:p>
    <w:p w:rsidR="00F25F55" w:rsidRPr="00B34FFD" w:rsidRDefault="00F25F55" w:rsidP="00E55599">
      <w:pPr>
        <w:pStyle w:val="subsection"/>
      </w:pPr>
      <w:r w:rsidRPr="00B34FFD">
        <w:tab/>
        <w:t>(2)</w:t>
      </w:r>
      <w:r w:rsidRPr="00B34FFD">
        <w:tab/>
        <w:t xml:space="preserve">The </w:t>
      </w:r>
      <w:r w:rsidRPr="00B34FFD">
        <w:rPr>
          <w:i/>
        </w:rPr>
        <w:t>Archives Act 1983</w:t>
      </w:r>
      <w:r w:rsidRPr="00B34FFD">
        <w:t xml:space="preserve">, and regulations made under that Act, apply to a record or report given to a House of the Parliament under </w:t>
      </w:r>
      <w:r w:rsidR="00B34FFD" w:rsidRPr="00B34FFD">
        <w:t>subsection (</w:t>
      </w:r>
      <w:r w:rsidRPr="00B34FFD">
        <w:t>1) or (1A) of this section as if the record or report had been laid before that House and were in the possession of that House.</w:t>
      </w:r>
    </w:p>
    <w:p w:rsidR="000A65A0" w:rsidRPr="00BD2F24" w:rsidRDefault="000A65A0" w:rsidP="00E55599">
      <w:pPr>
        <w:pStyle w:val="ActHead9"/>
        <w:rPr>
          <w:i w:val="0"/>
        </w:rPr>
      </w:pPr>
      <w:bookmarkStart w:id="45" w:name="_Toc34832024"/>
      <w:r w:rsidRPr="00B34FFD">
        <w:t>Military Rehabilitation and Compensation Act 2004</w:t>
      </w:r>
      <w:bookmarkEnd w:id="45"/>
    </w:p>
    <w:p w:rsidR="000A65A0" w:rsidRPr="00B34FFD" w:rsidRDefault="00DE12CB" w:rsidP="00E55599">
      <w:pPr>
        <w:pStyle w:val="ItemHead"/>
      </w:pPr>
      <w:r w:rsidRPr="00B34FFD">
        <w:t>32</w:t>
      </w:r>
      <w:r w:rsidR="000A65A0" w:rsidRPr="00B34FFD">
        <w:t xml:space="preserve">  Subsection</w:t>
      </w:r>
      <w:r w:rsidR="00B34FFD" w:rsidRPr="00B34FFD">
        <w:t> </w:t>
      </w:r>
      <w:r w:rsidR="000A65A0" w:rsidRPr="00B34FFD">
        <w:t>10(2)</w:t>
      </w:r>
    </w:p>
    <w:p w:rsidR="000A65A0" w:rsidRPr="00B34FFD" w:rsidRDefault="000A65A0" w:rsidP="00E55599">
      <w:pPr>
        <w:pStyle w:val="Item"/>
      </w:pPr>
      <w:r w:rsidRPr="00B34FFD">
        <w:t xml:space="preserve">Omit “(within the meaning of the </w:t>
      </w:r>
      <w:r w:rsidRPr="00B34FFD">
        <w:rPr>
          <w:i/>
        </w:rPr>
        <w:t>Cadet Forces Regulation</w:t>
      </w:r>
      <w:bookmarkStart w:id="46" w:name="BK_S3P7L20C57"/>
      <w:bookmarkEnd w:id="46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1977</w:t>
      </w:r>
      <w:r w:rsidRPr="00B34FFD">
        <w:t>)”.</w:t>
      </w:r>
    </w:p>
    <w:p w:rsidR="00807E45" w:rsidRPr="00B34FFD" w:rsidRDefault="00DE12CB" w:rsidP="00E55599">
      <w:pPr>
        <w:pStyle w:val="ItemHead"/>
      </w:pPr>
      <w:r w:rsidRPr="00B34FFD">
        <w:t>33</w:t>
      </w:r>
      <w:r w:rsidR="00807E45" w:rsidRPr="00B34FFD">
        <w:t xml:space="preserve">  </w:t>
      </w:r>
      <w:r w:rsidR="00611905">
        <w:t>Paragraph 8</w:t>
      </w:r>
      <w:r w:rsidR="00807E45" w:rsidRPr="00B34FFD">
        <w:t>7(1)(d)</w:t>
      </w:r>
    </w:p>
    <w:p w:rsidR="00D61C39" w:rsidRDefault="00807E45" w:rsidP="00E55599">
      <w:pPr>
        <w:pStyle w:val="Item"/>
      </w:pPr>
      <w:r w:rsidRPr="00B34FFD">
        <w:t xml:space="preserve">Omit “(within the meaning of the </w:t>
      </w:r>
      <w:r w:rsidRPr="00B34FFD">
        <w:rPr>
          <w:i/>
        </w:rPr>
        <w:t>Cadet Forces Regulation</w:t>
      </w:r>
      <w:bookmarkStart w:id="47" w:name="BK_S3P7L22C57"/>
      <w:bookmarkEnd w:id="47"/>
      <w:r w:rsidRPr="00B34FFD">
        <w:rPr>
          <w:i/>
        </w:rPr>
        <w:t>s</w:t>
      </w:r>
      <w:r w:rsidR="00B34FFD" w:rsidRPr="00B34FFD">
        <w:rPr>
          <w:i/>
        </w:rPr>
        <w:t> </w:t>
      </w:r>
      <w:r w:rsidRPr="00B34FFD">
        <w:rPr>
          <w:i/>
        </w:rPr>
        <w:t>1977</w:t>
      </w:r>
      <w:r w:rsidRPr="00B34FFD">
        <w:t>)”.</w:t>
      </w:r>
    </w:p>
    <w:p w:rsidR="0063596E" w:rsidRDefault="0063596E" w:rsidP="0063596E"/>
    <w:p w:rsidR="0063596E" w:rsidRDefault="0063596E" w:rsidP="0063596E">
      <w:pPr>
        <w:pStyle w:val="AssentBk"/>
        <w:keepNext/>
      </w:pPr>
    </w:p>
    <w:p w:rsidR="0063596E" w:rsidRDefault="0063596E" w:rsidP="0063596E">
      <w:pPr>
        <w:pStyle w:val="AssentBk"/>
        <w:keepNext/>
      </w:pPr>
    </w:p>
    <w:p w:rsidR="0063596E" w:rsidRDefault="0063596E" w:rsidP="0063596E">
      <w:pPr>
        <w:pStyle w:val="2ndRd"/>
        <w:keepNext/>
        <w:pBdr>
          <w:top w:val="single" w:sz="2" w:space="1" w:color="auto"/>
        </w:pBdr>
      </w:pPr>
    </w:p>
    <w:p w:rsidR="0063596E" w:rsidRDefault="0063596E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63596E" w:rsidRDefault="0063596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12 February 2020</w:t>
      </w:r>
    </w:p>
    <w:p w:rsidR="0063596E" w:rsidRDefault="0063596E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26 February 2020</w:t>
      </w:r>
      <w:r>
        <w:t>]</w:t>
      </w:r>
    </w:p>
    <w:p w:rsidR="0063596E" w:rsidRDefault="0063596E" w:rsidP="000C5962"/>
    <w:p w:rsidR="00C63007" w:rsidRPr="0063596E" w:rsidRDefault="0063596E" w:rsidP="0063596E">
      <w:pPr>
        <w:framePr w:hSpace="180" w:wrap="around" w:vAnchor="text" w:hAnchor="page" w:x="2401" w:y="2736"/>
      </w:pPr>
      <w:r>
        <w:t>(6/20)</w:t>
      </w:r>
    </w:p>
    <w:p w:rsidR="0063596E" w:rsidRDefault="0063596E"/>
    <w:sectPr w:rsidR="0063596E" w:rsidSect="00C63007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00" w:rsidRDefault="00EE2500" w:rsidP="0048364F">
      <w:pPr>
        <w:spacing w:line="240" w:lineRule="auto"/>
      </w:pPr>
      <w:r>
        <w:separator/>
      </w:r>
    </w:p>
  </w:endnote>
  <w:endnote w:type="continuationSeparator" w:id="0">
    <w:p w:rsidR="00EE2500" w:rsidRDefault="00EE250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Pr="005F1388" w:rsidRDefault="00B34FFD" w:rsidP="00E555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6E" w:rsidRDefault="0063596E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63596E" w:rsidRDefault="0063596E" w:rsidP="00CD12A5"/>
  <w:p w:rsidR="00B34FFD" w:rsidRDefault="00B34FFD" w:rsidP="00E55599">
    <w:pPr>
      <w:pStyle w:val="Footer"/>
      <w:spacing w:before="120"/>
    </w:pPr>
  </w:p>
  <w:p w:rsidR="00B34FFD" w:rsidRPr="005F1388" w:rsidRDefault="00B34FFD" w:rsidP="00B34FF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Pr="00ED79B6" w:rsidRDefault="00B34FFD" w:rsidP="00E5559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Default="00B34FFD" w:rsidP="00E5559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34FFD" w:rsidTr="00193F5D">
      <w:tc>
        <w:tcPr>
          <w:tcW w:w="646" w:type="dxa"/>
        </w:tcPr>
        <w:p w:rsidR="00B34FFD" w:rsidRDefault="00B34FFD" w:rsidP="00193F5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FFD" w:rsidRDefault="00B34FFD" w:rsidP="00193F5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Statute Update (Regulations References)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34FFD" w:rsidRDefault="00B34FFD" w:rsidP="00193F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No. 18,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4FFD" w:rsidRDefault="00B34FFD" w:rsidP="00B34FF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Default="00B34FFD" w:rsidP="00E5559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4FFD" w:rsidTr="00193F5D">
      <w:tc>
        <w:tcPr>
          <w:tcW w:w="1247" w:type="dxa"/>
        </w:tcPr>
        <w:p w:rsidR="00B34FFD" w:rsidRDefault="00B34FFD" w:rsidP="0063596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No. 18,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FFD" w:rsidRDefault="00B34FFD" w:rsidP="00193F5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Statute Update (Regulations References)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34FFD" w:rsidRDefault="00B34FFD" w:rsidP="00193F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1B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4FFD" w:rsidRPr="00ED79B6" w:rsidRDefault="00B34FFD" w:rsidP="00B34FF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Default="00B34FFD" w:rsidP="00E5559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B34FFD" w:rsidTr="00193F5D">
      <w:tc>
        <w:tcPr>
          <w:tcW w:w="646" w:type="dxa"/>
        </w:tcPr>
        <w:p w:rsidR="00B34FFD" w:rsidRDefault="00B34FFD" w:rsidP="00193F5D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1B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FFD" w:rsidRDefault="00B34FFD" w:rsidP="00193F5D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Statute Update (Regulations References)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B34FFD" w:rsidRDefault="00B34FFD" w:rsidP="0063596E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No. 18,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4FFD" w:rsidRDefault="00B34FFD" w:rsidP="00B34FF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FFD" w:rsidRDefault="00B34FFD" w:rsidP="00E55599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B34FFD" w:rsidTr="00193F5D">
      <w:tc>
        <w:tcPr>
          <w:tcW w:w="1247" w:type="dxa"/>
        </w:tcPr>
        <w:p w:rsidR="00B34FFD" w:rsidRDefault="00B34FFD" w:rsidP="00193F5D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No. 18,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B34FFD" w:rsidRDefault="00B34FFD" w:rsidP="00193F5D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Statute Update (Regulations References)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B34FFD" w:rsidRDefault="00B34FFD" w:rsidP="00193F5D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1BF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34FFD" w:rsidRPr="00ED79B6" w:rsidRDefault="00B34FFD" w:rsidP="00B34FFD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81" w:rsidRPr="00A961C4" w:rsidRDefault="00623F81" w:rsidP="00623F81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623F81" w:rsidTr="00833ACB">
      <w:tc>
        <w:tcPr>
          <w:tcW w:w="1247" w:type="dxa"/>
        </w:tcPr>
        <w:p w:rsidR="00623F81" w:rsidRDefault="00623F81" w:rsidP="0063596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No. 18,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623F81" w:rsidRDefault="00623F81" w:rsidP="007E0223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21CD3">
            <w:rPr>
              <w:i/>
              <w:sz w:val="18"/>
            </w:rPr>
            <w:t>Statute Update (Regulations References)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623F81" w:rsidRDefault="00623F81" w:rsidP="007E0223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F01B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623F81" w:rsidRPr="00A961C4" w:rsidRDefault="00623F81" w:rsidP="00623F81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00" w:rsidRDefault="00EE2500" w:rsidP="0048364F">
      <w:pPr>
        <w:spacing w:line="240" w:lineRule="auto"/>
      </w:pPr>
      <w:r>
        <w:separator/>
      </w:r>
    </w:p>
  </w:footnote>
  <w:footnote w:type="continuationSeparator" w:id="0">
    <w:p w:rsidR="00EE2500" w:rsidRDefault="00EE250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5F1388" w:rsidRDefault="00EE250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5F1388" w:rsidRDefault="00EE2500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5F1388" w:rsidRDefault="00EE250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ED79B6" w:rsidRDefault="00EE2500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ED79B6" w:rsidRDefault="00EE2500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ED79B6" w:rsidRDefault="00EE250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A961C4" w:rsidRDefault="00EE250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EE2500" w:rsidRPr="00A961C4" w:rsidRDefault="00EE250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E2500" w:rsidRPr="00A961C4" w:rsidRDefault="00EE2500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A961C4" w:rsidRDefault="00EE250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F01BF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F01B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E2500" w:rsidRPr="00A961C4" w:rsidRDefault="00EE250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E2500" w:rsidRPr="00A961C4" w:rsidRDefault="00EE2500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0" w:rsidRPr="00A961C4" w:rsidRDefault="00EE2500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F27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40E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768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9C0E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4DE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AC1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6CB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D4A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CE7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A0E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hideSpellingErrors/>
  <w:hideGrammaticalError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32"/>
    <w:rsid w:val="00007C8A"/>
    <w:rsid w:val="000113BC"/>
    <w:rsid w:val="000136AF"/>
    <w:rsid w:val="000162CF"/>
    <w:rsid w:val="00030F45"/>
    <w:rsid w:val="00032D90"/>
    <w:rsid w:val="0004166D"/>
    <w:rsid w:val="000417C9"/>
    <w:rsid w:val="0005442F"/>
    <w:rsid w:val="00054C7F"/>
    <w:rsid w:val="00055B5C"/>
    <w:rsid w:val="00056391"/>
    <w:rsid w:val="00057466"/>
    <w:rsid w:val="00060FF9"/>
    <w:rsid w:val="000614BF"/>
    <w:rsid w:val="00072E8E"/>
    <w:rsid w:val="00086340"/>
    <w:rsid w:val="000870C7"/>
    <w:rsid w:val="000A26B3"/>
    <w:rsid w:val="000A40A8"/>
    <w:rsid w:val="000A65A0"/>
    <w:rsid w:val="000B076E"/>
    <w:rsid w:val="000B1FD2"/>
    <w:rsid w:val="000D0200"/>
    <w:rsid w:val="000D05EF"/>
    <w:rsid w:val="000D48F6"/>
    <w:rsid w:val="000E4A70"/>
    <w:rsid w:val="000F21C1"/>
    <w:rsid w:val="001004F4"/>
    <w:rsid w:val="00101D90"/>
    <w:rsid w:val="00105F31"/>
    <w:rsid w:val="0010745C"/>
    <w:rsid w:val="00113BD1"/>
    <w:rsid w:val="00122206"/>
    <w:rsid w:val="00136877"/>
    <w:rsid w:val="00140F87"/>
    <w:rsid w:val="0015446A"/>
    <w:rsid w:val="0015646E"/>
    <w:rsid w:val="00157191"/>
    <w:rsid w:val="001643C9"/>
    <w:rsid w:val="00165568"/>
    <w:rsid w:val="0016598A"/>
    <w:rsid w:val="00166C2F"/>
    <w:rsid w:val="001716C9"/>
    <w:rsid w:val="00173363"/>
    <w:rsid w:val="00173B94"/>
    <w:rsid w:val="00180C09"/>
    <w:rsid w:val="001854B4"/>
    <w:rsid w:val="001939E1"/>
    <w:rsid w:val="00195382"/>
    <w:rsid w:val="00195519"/>
    <w:rsid w:val="00197151"/>
    <w:rsid w:val="001A3658"/>
    <w:rsid w:val="001A759A"/>
    <w:rsid w:val="001B7A5D"/>
    <w:rsid w:val="001C2418"/>
    <w:rsid w:val="001C2E21"/>
    <w:rsid w:val="001C69C4"/>
    <w:rsid w:val="001C7526"/>
    <w:rsid w:val="001D4424"/>
    <w:rsid w:val="001D622C"/>
    <w:rsid w:val="001E3590"/>
    <w:rsid w:val="001E5DE6"/>
    <w:rsid w:val="001E7407"/>
    <w:rsid w:val="001F19A7"/>
    <w:rsid w:val="00201D27"/>
    <w:rsid w:val="00202618"/>
    <w:rsid w:val="00210597"/>
    <w:rsid w:val="00220A81"/>
    <w:rsid w:val="00222E6B"/>
    <w:rsid w:val="00223305"/>
    <w:rsid w:val="00224DAB"/>
    <w:rsid w:val="002309C5"/>
    <w:rsid w:val="002354BD"/>
    <w:rsid w:val="00240749"/>
    <w:rsid w:val="002528F0"/>
    <w:rsid w:val="00261AFA"/>
    <w:rsid w:val="00263820"/>
    <w:rsid w:val="00265BD6"/>
    <w:rsid w:val="002665ED"/>
    <w:rsid w:val="00270BBF"/>
    <w:rsid w:val="00275197"/>
    <w:rsid w:val="00293B89"/>
    <w:rsid w:val="00297ECB"/>
    <w:rsid w:val="002A5612"/>
    <w:rsid w:val="002B5A30"/>
    <w:rsid w:val="002D043A"/>
    <w:rsid w:val="002D383B"/>
    <w:rsid w:val="002D395A"/>
    <w:rsid w:val="002E2428"/>
    <w:rsid w:val="0031607A"/>
    <w:rsid w:val="00317114"/>
    <w:rsid w:val="003176C4"/>
    <w:rsid w:val="003239AD"/>
    <w:rsid w:val="003247E5"/>
    <w:rsid w:val="003337ED"/>
    <w:rsid w:val="00334121"/>
    <w:rsid w:val="00336F39"/>
    <w:rsid w:val="003415D3"/>
    <w:rsid w:val="00350417"/>
    <w:rsid w:val="00352B0F"/>
    <w:rsid w:val="0037160D"/>
    <w:rsid w:val="00373874"/>
    <w:rsid w:val="00375C6C"/>
    <w:rsid w:val="003775BD"/>
    <w:rsid w:val="00387CE1"/>
    <w:rsid w:val="00396543"/>
    <w:rsid w:val="003A7B3C"/>
    <w:rsid w:val="003B4E3D"/>
    <w:rsid w:val="003C4211"/>
    <w:rsid w:val="003C47EA"/>
    <w:rsid w:val="003C5F2B"/>
    <w:rsid w:val="003C78F5"/>
    <w:rsid w:val="003D0BFE"/>
    <w:rsid w:val="003D1DBE"/>
    <w:rsid w:val="003D5700"/>
    <w:rsid w:val="003F2B8F"/>
    <w:rsid w:val="00405579"/>
    <w:rsid w:val="00405FDE"/>
    <w:rsid w:val="00410B8E"/>
    <w:rsid w:val="004116CD"/>
    <w:rsid w:val="00411FCD"/>
    <w:rsid w:val="00421FC1"/>
    <w:rsid w:val="004229C7"/>
    <w:rsid w:val="00424CA9"/>
    <w:rsid w:val="004318FC"/>
    <w:rsid w:val="004326CA"/>
    <w:rsid w:val="004346E5"/>
    <w:rsid w:val="00436785"/>
    <w:rsid w:val="00436BD5"/>
    <w:rsid w:val="00437E4B"/>
    <w:rsid w:val="0044291A"/>
    <w:rsid w:val="00443099"/>
    <w:rsid w:val="0046284E"/>
    <w:rsid w:val="0048196B"/>
    <w:rsid w:val="0048364F"/>
    <w:rsid w:val="00483A4C"/>
    <w:rsid w:val="0049351A"/>
    <w:rsid w:val="00496F97"/>
    <w:rsid w:val="004A037E"/>
    <w:rsid w:val="004A33FF"/>
    <w:rsid w:val="004A4010"/>
    <w:rsid w:val="004A526C"/>
    <w:rsid w:val="004C7C8C"/>
    <w:rsid w:val="004D1FE8"/>
    <w:rsid w:val="004D50A4"/>
    <w:rsid w:val="004D71FC"/>
    <w:rsid w:val="004E2A4A"/>
    <w:rsid w:val="004F0D23"/>
    <w:rsid w:val="004F1FAC"/>
    <w:rsid w:val="00510E85"/>
    <w:rsid w:val="00516B8D"/>
    <w:rsid w:val="005233DC"/>
    <w:rsid w:val="00537FBC"/>
    <w:rsid w:val="005412C5"/>
    <w:rsid w:val="00543469"/>
    <w:rsid w:val="00551B54"/>
    <w:rsid w:val="00554A19"/>
    <w:rsid w:val="00561F97"/>
    <w:rsid w:val="00571DD8"/>
    <w:rsid w:val="00584811"/>
    <w:rsid w:val="00591F40"/>
    <w:rsid w:val="00593AA6"/>
    <w:rsid w:val="00594161"/>
    <w:rsid w:val="00594749"/>
    <w:rsid w:val="005A0D92"/>
    <w:rsid w:val="005A4E93"/>
    <w:rsid w:val="005B4067"/>
    <w:rsid w:val="005B71A1"/>
    <w:rsid w:val="005C3F41"/>
    <w:rsid w:val="005C5681"/>
    <w:rsid w:val="005C7403"/>
    <w:rsid w:val="005D398C"/>
    <w:rsid w:val="005D4C90"/>
    <w:rsid w:val="005E152A"/>
    <w:rsid w:val="005E43FF"/>
    <w:rsid w:val="005E4BAA"/>
    <w:rsid w:val="005E7D6C"/>
    <w:rsid w:val="005F72C6"/>
    <w:rsid w:val="00600219"/>
    <w:rsid w:val="006004DB"/>
    <w:rsid w:val="00607401"/>
    <w:rsid w:val="00611905"/>
    <w:rsid w:val="00613972"/>
    <w:rsid w:val="006142C5"/>
    <w:rsid w:val="00623F81"/>
    <w:rsid w:val="00626FDE"/>
    <w:rsid w:val="00634C7D"/>
    <w:rsid w:val="0063596E"/>
    <w:rsid w:val="00641DE5"/>
    <w:rsid w:val="0065072F"/>
    <w:rsid w:val="00655CBE"/>
    <w:rsid w:val="00656F0C"/>
    <w:rsid w:val="006574B7"/>
    <w:rsid w:val="00677CC2"/>
    <w:rsid w:val="00681F92"/>
    <w:rsid w:val="006842C2"/>
    <w:rsid w:val="00685F42"/>
    <w:rsid w:val="0069207B"/>
    <w:rsid w:val="006A07BF"/>
    <w:rsid w:val="006A4B23"/>
    <w:rsid w:val="006C0BB8"/>
    <w:rsid w:val="006C2473"/>
    <w:rsid w:val="006C2874"/>
    <w:rsid w:val="006C7F8C"/>
    <w:rsid w:val="006D35C5"/>
    <w:rsid w:val="006D380D"/>
    <w:rsid w:val="006D4F50"/>
    <w:rsid w:val="006D6E44"/>
    <w:rsid w:val="006E0135"/>
    <w:rsid w:val="006E303A"/>
    <w:rsid w:val="006E3C63"/>
    <w:rsid w:val="006F6AB8"/>
    <w:rsid w:val="006F7933"/>
    <w:rsid w:val="006F7E19"/>
    <w:rsid w:val="00700B2C"/>
    <w:rsid w:val="00710173"/>
    <w:rsid w:val="00712D8D"/>
    <w:rsid w:val="00713084"/>
    <w:rsid w:val="007131A4"/>
    <w:rsid w:val="00714B26"/>
    <w:rsid w:val="00716BA1"/>
    <w:rsid w:val="00731DD3"/>
    <w:rsid w:val="00731E00"/>
    <w:rsid w:val="007337D6"/>
    <w:rsid w:val="007440B7"/>
    <w:rsid w:val="007473F9"/>
    <w:rsid w:val="007475F8"/>
    <w:rsid w:val="00762CA8"/>
    <w:rsid w:val="007634AD"/>
    <w:rsid w:val="00771484"/>
    <w:rsid w:val="007715C9"/>
    <w:rsid w:val="00774EDD"/>
    <w:rsid w:val="007757EC"/>
    <w:rsid w:val="007957D4"/>
    <w:rsid w:val="00796CC0"/>
    <w:rsid w:val="007B0D6E"/>
    <w:rsid w:val="007B21BE"/>
    <w:rsid w:val="007B58AB"/>
    <w:rsid w:val="007D4224"/>
    <w:rsid w:val="007E7D4A"/>
    <w:rsid w:val="007F24AF"/>
    <w:rsid w:val="007F2F9A"/>
    <w:rsid w:val="008006CC"/>
    <w:rsid w:val="00807E45"/>
    <w:rsid w:val="00807F18"/>
    <w:rsid w:val="0081346F"/>
    <w:rsid w:val="00825ADE"/>
    <w:rsid w:val="00831E8D"/>
    <w:rsid w:val="00833ACB"/>
    <w:rsid w:val="00856A31"/>
    <w:rsid w:val="00857D6B"/>
    <w:rsid w:val="00865800"/>
    <w:rsid w:val="008750E4"/>
    <w:rsid w:val="008754D0"/>
    <w:rsid w:val="00877D48"/>
    <w:rsid w:val="00882288"/>
    <w:rsid w:val="00883781"/>
    <w:rsid w:val="00883B0B"/>
    <w:rsid w:val="0088553D"/>
    <w:rsid w:val="00885570"/>
    <w:rsid w:val="00893958"/>
    <w:rsid w:val="008969D0"/>
    <w:rsid w:val="008A2E77"/>
    <w:rsid w:val="008A652E"/>
    <w:rsid w:val="008B458F"/>
    <w:rsid w:val="008B636B"/>
    <w:rsid w:val="008C6F6F"/>
    <w:rsid w:val="008C7072"/>
    <w:rsid w:val="008D04A8"/>
    <w:rsid w:val="008D0EE0"/>
    <w:rsid w:val="008D3E94"/>
    <w:rsid w:val="008E6303"/>
    <w:rsid w:val="008F1929"/>
    <w:rsid w:val="008F4F1C"/>
    <w:rsid w:val="008F77C4"/>
    <w:rsid w:val="009103F3"/>
    <w:rsid w:val="0091105D"/>
    <w:rsid w:val="00927A67"/>
    <w:rsid w:val="00932377"/>
    <w:rsid w:val="00936FF4"/>
    <w:rsid w:val="00960228"/>
    <w:rsid w:val="00967042"/>
    <w:rsid w:val="00975D28"/>
    <w:rsid w:val="009762F0"/>
    <w:rsid w:val="00981DC3"/>
    <w:rsid w:val="0098255A"/>
    <w:rsid w:val="009845BE"/>
    <w:rsid w:val="0098694A"/>
    <w:rsid w:val="00993E05"/>
    <w:rsid w:val="009969C9"/>
    <w:rsid w:val="009A5617"/>
    <w:rsid w:val="009B2BAF"/>
    <w:rsid w:val="009C74DC"/>
    <w:rsid w:val="009E67CC"/>
    <w:rsid w:val="009F7509"/>
    <w:rsid w:val="009F7BD0"/>
    <w:rsid w:val="00A048FF"/>
    <w:rsid w:val="00A10775"/>
    <w:rsid w:val="00A10F73"/>
    <w:rsid w:val="00A1549E"/>
    <w:rsid w:val="00A231E2"/>
    <w:rsid w:val="00A34913"/>
    <w:rsid w:val="00A36C48"/>
    <w:rsid w:val="00A41E0B"/>
    <w:rsid w:val="00A55631"/>
    <w:rsid w:val="00A612C1"/>
    <w:rsid w:val="00A634EB"/>
    <w:rsid w:val="00A64912"/>
    <w:rsid w:val="00A674E8"/>
    <w:rsid w:val="00A70A74"/>
    <w:rsid w:val="00A74745"/>
    <w:rsid w:val="00A82B53"/>
    <w:rsid w:val="00A87EE4"/>
    <w:rsid w:val="00A90269"/>
    <w:rsid w:val="00A9215C"/>
    <w:rsid w:val="00AA0121"/>
    <w:rsid w:val="00AA3795"/>
    <w:rsid w:val="00AB5E8F"/>
    <w:rsid w:val="00AC1E75"/>
    <w:rsid w:val="00AD5641"/>
    <w:rsid w:val="00AE1088"/>
    <w:rsid w:val="00AF15C7"/>
    <w:rsid w:val="00AF1BA4"/>
    <w:rsid w:val="00B032D8"/>
    <w:rsid w:val="00B1598D"/>
    <w:rsid w:val="00B32A47"/>
    <w:rsid w:val="00B33A32"/>
    <w:rsid w:val="00B33B3C"/>
    <w:rsid w:val="00B34FFD"/>
    <w:rsid w:val="00B36227"/>
    <w:rsid w:val="00B5140C"/>
    <w:rsid w:val="00B61CE9"/>
    <w:rsid w:val="00B6382D"/>
    <w:rsid w:val="00BA499C"/>
    <w:rsid w:val="00BA5026"/>
    <w:rsid w:val="00BB40BF"/>
    <w:rsid w:val="00BB5BE2"/>
    <w:rsid w:val="00BB7F53"/>
    <w:rsid w:val="00BC0A0E"/>
    <w:rsid w:val="00BC0CD1"/>
    <w:rsid w:val="00BD2A51"/>
    <w:rsid w:val="00BD2F24"/>
    <w:rsid w:val="00BE2E8F"/>
    <w:rsid w:val="00BE719A"/>
    <w:rsid w:val="00BE720A"/>
    <w:rsid w:val="00BF0461"/>
    <w:rsid w:val="00BF4944"/>
    <w:rsid w:val="00BF4E70"/>
    <w:rsid w:val="00BF56D4"/>
    <w:rsid w:val="00BF745A"/>
    <w:rsid w:val="00C04409"/>
    <w:rsid w:val="00C067E5"/>
    <w:rsid w:val="00C07AF3"/>
    <w:rsid w:val="00C164CA"/>
    <w:rsid w:val="00C1693E"/>
    <w:rsid w:val="00C176CF"/>
    <w:rsid w:val="00C25F2E"/>
    <w:rsid w:val="00C42BF8"/>
    <w:rsid w:val="00C460AE"/>
    <w:rsid w:val="00C50043"/>
    <w:rsid w:val="00C515BF"/>
    <w:rsid w:val="00C54E84"/>
    <w:rsid w:val="00C63007"/>
    <w:rsid w:val="00C641EA"/>
    <w:rsid w:val="00C64F27"/>
    <w:rsid w:val="00C669D1"/>
    <w:rsid w:val="00C67D0A"/>
    <w:rsid w:val="00C7573B"/>
    <w:rsid w:val="00C76CF3"/>
    <w:rsid w:val="00C76F6B"/>
    <w:rsid w:val="00C778EE"/>
    <w:rsid w:val="00CC2CD2"/>
    <w:rsid w:val="00CD1EEB"/>
    <w:rsid w:val="00CE1E31"/>
    <w:rsid w:val="00CF0BB2"/>
    <w:rsid w:val="00D00EAA"/>
    <w:rsid w:val="00D13441"/>
    <w:rsid w:val="00D200D8"/>
    <w:rsid w:val="00D243A3"/>
    <w:rsid w:val="00D2505F"/>
    <w:rsid w:val="00D35D7A"/>
    <w:rsid w:val="00D477C3"/>
    <w:rsid w:val="00D50DD1"/>
    <w:rsid w:val="00D526F8"/>
    <w:rsid w:val="00D52EFE"/>
    <w:rsid w:val="00D545F2"/>
    <w:rsid w:val="00D54B23"/>
    <w:rsid w:val="00D61C39"/>
    <w:rsid w:val="00D63EF6"/>
    <w:rsid w:val="00D70DFB"/>
    <w:rsid w:val="00D73029"/>
    <w:rsid w:val="00D76587"/>
    <w:rsid w:val="00D766DF"/>
    <w:rsid w:val="00D76A08"/>
    <w:rsid w:val="00DA2C26"/>
    <w:rsid w:val="00DB57F6"/>
    <w:rsid w:val="00DE12CB"/>
    <w:rsid w:val="00DE2002"/>
    <w:rsid w:val="00DF7AE9"/>
    <w:rsid w:val="00E05704"/>
    <w:rsid w:val="00E21CD3"/>
    <w:rsid w:val="00E23EE7"/>
    <w:rsid w:val="00E24D66"/>
    <w:rsid w:val="00E54292"/>
    <w:rsid w:val="00E55599"/>
    <w:rsid w:val="00E65A94"/>
    <w:rsid w:val="00E70DFB"/>
    <w:rsid w:val="00E74DC7"/>
    <w:rsid w:val="00E87699"/>
    <w:rsid w:val="00E87B0E"/>
    <w:rsid w:val="00E947C6"/>
    <w:rsid w:val="00EB196F"/>
    <w:rsid w:val="00EC00E8"/>
    <w:rsid w:val="00ED107A"/>
    <w:rsid w:val="00ED492F"/>
    <w:rsid w:val="00ED7380"/>
    <w:rsid w:val="00ED79BC"/>
    <w:rsid w:val="00EE2500"/>
    <w:rsid w:val="00EE3E36"/>
    <w:rsid w:val="00EE7C8B"/>
    <w:rsid w:val="00EF01BF"/>
    <w:rsid w:val="00EF2E3A"/>
    <w:rsid w:val="00F01407"/>
    <w:rsid w:val="00F047E2"/>
    <w:rsid w:val="00F07500"/>
    <w:rsid w:val="00F078DC"/>
    <w:rsid w:val="00F13E86"/>
    <w:rsid w:val="00F17B00"/>
    <w:rsid w:val="00F2265C"/>
    <w:rsid w:val="00F25F55"/>
    <w:rsid w:val="00F4132A"/>
    <w:rsid w:val="00F43F4E"/>
    <w:rsid w:val="00F446BE"/>
    <w:rsid w:val="00F527CD"/>
    <w:rsid w:val="00F6693A"/>
    <w:rsid w:val="00F677A9"/>
    <w:rsid w:val="00F75375"/>
    <w:rsid w:val="00F77F36"/>
    <w:rsid w:val="00F84CF5"/>
    <w:rsid w:val="00F92D35"/>
    <w:rsid w:val="00FA420B"/>
    <w:rsid w:val="00FA6C1D"/>
    <w:rsid w:val="00FA75B3"/>
    <w:rsid w:val="00FB0E84"/>
    <w:rsid w:val="00FB3543"/>
    <w:rsid w:val="00FC3BF7"/>
    <w:rsid w:val="00FC709A"/>
    <w:rsid w:val="00FD1E13"/>
    <w:rsid w:val="00FD6722"/>
    <w:rsid w:val="00FD7603"/>
    <w:rsid w:val="00FD7EB1"/>
    <w:rsid w:val="00FE1E94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F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8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8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8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8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2F24"/>
  </w:style>
  <w:style w:type="paragraph" w:customStyle="1" w:styleId="OPCParaBase">
    <w:name w:val="OPCParaBase"/>
    <w:link w:val="OPCParaBaseChar"/>
    <w:qFormat/>
    <w:rsid w:val="00BD2F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D2F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2F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2F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2F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2F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2F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2F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2F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2F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2F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D2F24"/>
  </w:style>
  <w:style w:type="paragraph" w:customStyle="1" w:styleId="Blocks">
    <w:name w:val="Blocks"/>
    <w:aliases w:val="bb"/>
    <w:basedOn w:val="OPCParaBase"/>
    <w:qFormat/>
    <w:rsid w:val="00BD2F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2F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2F24"/>
    <w:rPr>
      <w:i/>
    </w:rPr>
  </w:style>
  <w:style w:type="paragraph" w:customStyle="1" w:styleId="BoxList">
    <w:name w:val="BoxList"/>
    <w:aliases w:val="bl"/>
    <w:basedOn w:val="BoxText"/>
    <w:qFormat/>
    <w:rsid w:val="00BD2F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2F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2F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2F24"/>
    <w:pPr>
      <w:ind w:left="1985" w:hanging="851"/>
    </w:pPr>
  </w:style>
  <w:style w:type="character" w:customStyle="1" w:styleId="CharAmPartNo">
    <w:name w:val="CharAmPartNo"/>
    <w:basedOn w:val="OPCCharBase"/>
    <w:qFormat/>
    <w:rsid w:val="00BD2F24"/>
  </w:style>
  <w:style w:type="character" w:customStyle="1" w:styleId="CharAmPartText">
    <w:name w:val="CharAmPartText"/>
    <w:basedOn w:val="OPCCharBase"/>
    <w:qFormat/>
    <w:rsid w:val="00BD2F24"/>
  </w:style>
  <w:style w:type="character" w:customStyle="1" w:styleId="CharAmSchNo">
    <w:name w:val="CharAmSchNo"/>
    <w:basedOn w:val="OPCCharBase"/>
    <w:qFormat/>
    <w:rsid w:val="00BD2F24"/>
  </w:style>
  <w:style w:type="character" w:customStyle="1" w:styleId="CharAmSchText">
    <w:name w:val="CharAmSchText"/>
    <w:basedOn w:val="OPCCharBase"/>
    <w:qFormat/>
    <w:rsid w:val="00BD2F24"/>
  </w:style>
  <w:style w:type="character" w:customStyle="1" w:styleId="CharBoldItalic">
    <w:name w:val="CharBoldItalic"/>
    <w:basedOn w:val="OPCCharBase"/>
    <w:uiPriority w:val="1"/>
    <w:qFormat/>
    <w:rsid w:val="00BD2F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2F24"/>
  </w:style>
  <w:style w:type="character" w:customStyle="1" w:styleId="CharChapText">
    <w:name w:val="CharChapText"/>
    <w:basedOn w:val="OPCCharBase"/>
    <w:uiPriority w:val="1"/>
    <w:qFormat/>
    <w:rsid w:val="00BD2F24"/>
  </w:style>
  <w:style w:type="character" w:customStyle="1" w:styleId="CharDivNo">
    <w:name w:val="CharDivNo"/>
    <w:basedOn w:val="OPCCharBase"/>
    <w:uiPriority w:val="1"/>
    <w:qFormat/>
    <w:rsid w:val="00BD2F24"/>
  </w:style>
  <w:style w:type="character" w:customStyle="1" w:styleId="CharDivText">
    <w:name w:val="CharDivText"/>
    <w:basedOn w:val="OPCCharBase"/>
    <w:uiPriority w:val="1"/>
    <w:qFormat/>
    <w:rsid w:val="00BD2F24"/>
  </w:style>
  <w:style w:type="character" w:customStyle="1" w:styleId="CharItalic">
    <w:name w:val="CharItalic"/>
    <w:basedOn w:val="OPCCharBase"/>
    <w:uiPriority w:val="1"/>
    <w:qFormat/>
    <w:rsid w:val="00BD2F24"/>
    <w:rPr>
      <w:i/>
    </w:rPr>
  </w:style>
  <w:style w:type="character" w:customStyle="1" w:styleId="CharPartNo">
    <w:name w:val="CharPartNo"/>
    <w:basedOn w:val="OPCCharBase"/>
    <w:uiPriority w:val="1"/>
    <w:qFormat/>
    <w:rsid w:val="00BD2F24"/>
  </w:style>
  <w:style w:type="character" w:customStyle="1" w:styleId="CharPartText">
    <w:name w:val="CharPartText"/>
    <w:basedOn w:val="OPCCharBase"/>
    <w:uiPriority w:val="1"/>
    <w:qFormat/>
    <w:rsid w:val="00BD2F24"/>
  </w:style>
  <w:style w:type="character" w:customStyle="1" w:styleId="CharSectno">
    <w:name w:val="CharSectno"/>
    <w:basedOn w:val="OPCCharBase"/>
    <w:qFormat/>
    <w:rsid w:val="00BD2F24"/>
  </w:style>
  <w:style w:type="character" w:customStyle="1" w:styleId="CharSubdNo">
    <w:name w:val="CharSubdNo"/>
    <w:basedOn w:val="OPCCharBase"/>
    <w:uiPriority w:val="1"/>
    <w:qFormat/>
    <w:rsid w:val="00BD2F24"/>
  </w:style>
  <w:style w:type="character" w:customStyle="1" w:styleId="CharSubdText">
    <w:name w:val="CharSubdText"/>
    <w:basedOn w:val="OPCCharBase"/>
    <w:uiPriority w:val="1"/>
    <w:qFormat/>
    <w:rsid w:val="00BD2F24"/>
  </w:style>
  <w:style w:type="paragraph" w:customStyle="1" w:styleId="CTA--">
    <w:name w:val="CTA --"/>
    <w:basedOn w:val="OPCParaBase"/>
    <w:next w:val="Normal"/>
    <w:rsid w:val="00BD2F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2F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2F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2F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2F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2F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2F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2F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2F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2F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2F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2F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2F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2F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2F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2F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2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2F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2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2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2F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2F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2F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2F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D2F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D2F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2F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2F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2F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2F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2F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2F2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2F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2F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2F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2F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2F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2F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2F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2F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2F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2F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2F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2F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2F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2F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2F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2F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2F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2F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2F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2F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2F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2F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2F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2F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2F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D2F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2F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2F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2F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2F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2F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2F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2F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D2F24"/>
    <w:rPr>
      <w:sz w:val="16"/>
    </w:rPr>
  </w:style>
  <w:style w:type="table" w:customStyle="1" w:styleId="CFlag">
    <w:name w:val="CFlag"/>
    <w:basedOn w:val="TableNormal"/>
    <w:uiPriority w:val="99"/>
    <w:rsid w:val="00BD2F2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D2F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2F2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D2F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2F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D2F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2F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2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2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2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D2F2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D2F2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D2F2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D2F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2F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2F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2F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2F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2F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2F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2F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2F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2F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2F24"/>
  </w:style>
  <w:style w:type="character" w:customStyle="1" w:styleId="CharSubPartNoCASA">
    <w:name w:val="CharSubPartNo(CASA)"/>
    <w:basedOn w:val="OPCCharBase"/>
    <w:uiPriority w:val="1"/>
    <w:rsid w:val="00BD2F24"/>
  </w:style>
  <w:style w:type="paragraph" w:customStyle="1" w:styleId="ENoteTTIndentHeadingSub">
    <w:name w:val="ENoteTTIndentHeadingSub"/>
    <w:aliases w:val="enTTHis"/>
    <w:basedOn w:val="OPCParaBase"/>
    <w:rsid w:val="00BD2F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2F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2F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2F2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D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D2F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55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2F24"/>
    <w:rPr>
      <w:sz w:val="22"/>
    </w:rPr>
  </w:style>
  <w:style w:type="paragraph" w:customStyle="1" w:styleId="SOTextNote">
    <w:name w:val="SO TextNote"/>
    <w:aliases w:val="sont"/>
    <w:basedOn w:val="SOText"/>
    <w:qFormat/>
    <w:rsid w:val="00BD2F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2F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2F24"/>
    <w:rPr>
      <w:sz w:val="22"/>
    </w:rPr>
  </w:style>
  <w:style w:type="paragraph" w:customStyle="1" w:styleId="FileName">
    <w:name w:val="FileName"/>
    <w:basedOn w:val="Normal"/>
    <w:rsid w:val="00BD2F2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2F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2F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2F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2F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2F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2F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2F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2F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2F2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D2F2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48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48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4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8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8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8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8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8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8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15446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5446A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0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B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630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630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630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630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630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630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630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63007"/>
  </w:style>
  <w:style w:type="character" w:customStyle="1" w:styleId="ShortTCPChar">
    <w:name w:val="ShortTCP Char"/>
    <w:basedOn w:val="ShortTChar"/>
    <w:link w:val="ShortTCP"/>
    <w:rsid w:val="00C630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63007"/>
    <w:pPr>
      <w:spacing w:before="400"/>
    </w:pPr>
  </w:style>
  <w:style w:type="character" w:customStyle="1" w:styleId="ActNoCPChar">
    <w:name w:val="ActNoCP Char"/>
    <w:basedOn w:val="ActnoChar"/>
    <w:link w:val="ActNoCP"/>
    <w:rsid w:val="00C630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630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59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59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596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D2F2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8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8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8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8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D2F24"/>
  </w:style>
  <w:style w:type="paragraph" w:customStyle="1" w:styleId="OPCParaBase">
    <w:name w:val="OPCParaBase"/>
    <w:link w:val="OPCParaBaseChar"/>
    <w:qFormat/>
    <w:rsid w:val="00BD2F2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BD2F2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D2F2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D2F2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D2F2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D2F2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D2F2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D2F2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D2F2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D2F2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D2F2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BD2F24"/>
  </w:style>
  <w:style w:type="paragraph" w:customStyle="1" w:styleId="Blocks">
    <w:name w:val="Blocks"/>
    <w:aliases w:val="bb"/>
    <w:basedOn w:val="OPCParaBase"/>
    <w:qFormat/>
    <w:rsid w:val="00BD2F2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D2F2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D2F24"/>
    <w:rPr>
      <w:i/>
    </w:rPr>
  </w:style>
  <w:style w:type="paragraph" w:customStyle="1" w:styleId="BoxList">
    <w:name w:val="BoxList"/>
    <w:aliases w:val="bl"/>
    <w:basedOn w:val="BoxText"/>
    <w:qFormat/>
    <w:rsid w:val="00BD2F2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D2F2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D2F2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D2F24"/>
    <w:pPr>
      <w:ind w:left="1985" w:hanging="851"/>
    </w:pPr>
  </w:style>
  <w:style w:type="character" w:customStyle="1" w:styleId="CharAmPartNo">
    <w:name w:val="CharAmPartNo"/>
    <w:basedOn w:val="OPCCharBase"/>
    <w:qFormat/>
    <w:rsid w:val="00BD2F24"/>
  </w:style>
  <w:style w:type="character" w:customStyle="1" w:styleId="CharAmPartText">
    <w:name w:val="CharAmPartText"/>
    <w:basedOn w:val="OPCCharBase"/>
    <w:qFormat/>
    <w:rsid w:val="00BD2F24"/>
  </w:style>
  <w:style w:type="character" w:customStyle="1" w:styleId="CharAmSchNo">
    <w:name w:val="CharAmSchNo"/>
    <w:basedOn w:val="OPCCharBase"/>
    <w:qFormat/>
    <w:rsid w:val="00BD2F24"/>
  </w:style>
  <w:style w:type="character" w:customStyle="1" w:styleId="CharAmSchText">
    <w:name w:val="CharAmSchText"/>
    <w:basedOn w:val="OPCCharBase"/>
    <w:qFormat/>
    <w:rsid w:val="00BD2F24"/>
  </w:style>
  <w:style w:type="character" w:customStyle="1" w:styleId="CharBoldItalic">
    <w:name w:val="CharBoldItalic"/>
    <w:basedOn w:val="OPCCharBase"/>
    <w:uiPriority w:val="1"/>
    <w:qFormat/>
    <w:rsid w:val="00BD2F24"/>
    <w:rPr>
      <w:b/>
      <w:i/>
    </w:rPr>
  </w:style>
  <w:style w:type="character" w:customStyle="1" w:styleId="CharChapNo">
    <w:name w:val="CharChapNo"/>
    <w:basedOn w:val="OPCCharBase"/>
    <w:uiPriority w:val="1"/>
    <w:qFormat/>
    <w:rsid w:val="00BD2F24"/>
  </w:style>
  <w:style w:type="character" w:customStyle="1" w:styleId="CharChapText">
    <w:name w:val="CharChapText"/>
    <w:basedOn w:val="OPCCharBase"/>
    <w:uiPriority w:val="1"/>
    <w:qFormat/>
    <w:rsid w:val="00BD2F24"/>
  </w:style>
  <w:style w:type="character" w:customStyle="1" w:styleId="CharDivNo">
    <w:name w:val="CharDivNo"/>
    <w:basedOn w:val="OPCCharBase"/>
    <w:uiPriority w:val="1"/>
    <w:qFormat/>
    <w:rsid w:val="00BD2F24"/>
  </w:style>
  <w:style w:type="character" w:customStyle="1" w:styleId="CharDivText">
    <w:name w:val="CharDivText"/>
    <w:basedOn w:val="OPCCharBase"/>
    <w:uiPriority w:val="1"/>
    <w:qFormat/>
    <w:rsid w:val="00BD2F24"/>
  </w:style>
  <w:style w:type="character" w:customStyle="1" w:styleId="CharItalic">
    <w:name w:val="CharItalic"/>
    <w:basedOn w:val="OPCCharBase"/>
    <w:uiPriority w:val="1"/>
    <w:qFormat/>
    <w:rsid w:val="00BD2F24"/>
    <w:rPr>
      <w:i/>
    </w:rPr>
  </w:style>
  <w:style w:type="character" w:customStyle="1" w:styleId="CharPartNo">
    <w:name w:val="CharPartNo"/>
    <w:basedOn w:val="OPCCharBase"/>
    <w:uiPriority w:val="1"/>
    <w:qFormat/>
    <w:rsid w:val="00BD2F24"/>
  </w:style>
  <w:style w:type="character" w:customStyle="1" w:styleId="CharPartText">
    <w:name w:val="CharPartText"/>
    <w:basedOn w:val="OPCCharBase"/>
    <w:uiPriority w:val="1"/>
    <w:qFormat/>
    <w:rsid w:val="00BD2F24"/>
  </w:style>
  <w:style w:type="character" w:customStyle="1" w:styleId="CharSectno">
    <w:name w:val="CharSectno"/>
    <w:basedOn w:val="OPCCharBase"/>
    <w:qFormat/>
    <w:rsid w:val="00BD2F24"/>
  </w:style>
  <w:style w:type="character" w:customStyle="1" w:styleId="CharSubdNo">
    <w:name w:val="CharSubdNo"/>
    <w:basedOn w:val="OPCCharBase"/>
    <w:uiPriority w:val="1"/>
    <w:qFormat/>
    <w:rsid w:val="00BD2F24"/>
  </w:style>
  <w:style w:type="character" w:customStyle="1" w:styleId="CharSubdText">
    <w:name w:val="CharSubdText"/>
    <w:basedOn w:val="OPCCharBase"/>
    <w:uiPriority w:val="1"/>
    <w:qFormat/>
    <w:rsid w:val="00BD2F24"/>
  </w:style>
  <w:style w:type="paragraph" w:customStyle="1" w:styleId="CTA--">
    <w:name w:val="CTA --"/>
    <w:basedOn w:val="OPCParaBase"/>
    <w:next w:val="Normal"/>
    <w:rsid w:val="00BD2F2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D2F2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D2F2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D2F2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D2F2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D2F2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D2F2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D2F2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D2F2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D2F2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D2F2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D2F2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D2F2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D2F2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D2F2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D2F2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D2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D2F2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D2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D2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D2F2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D2F2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D2F2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D2F2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BD2F2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BD2F2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D2F2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D2F2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D2F2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D2F2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D2F2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D2F24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D2F2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D2F2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D2F2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D2F2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D2F2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D2F2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D2F2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D2F2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D2F2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D2F2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D2F2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D2F2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D2F2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D2F2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D2F2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D2F2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D2F2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D2F2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D2F2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D2F2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D2F2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D2F2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D2F2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D2F2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D2F2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D2F2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D2F2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D2F2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D2F2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D2F2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D2F2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D2F2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D2F2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D2F2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D2F24"/>
    <w:rPr>
      <w:sz w:val="16"/>
    </w:rPr>
  </w:style>
  <w:style w:type="table" w:customStyle="1" w:styleId="CFlag">
    <w:name w:val="CFlag"/>
    <w:basedOn w:val="TableNormal"/>
    <w:uiPriority w:val="99"/>
    <w:rsid w:val="00BD2F24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BD2F2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D2F2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BD2F2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D2F2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BD2F2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D2F2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D2F2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D2F2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D2F2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BD2F24"/>
    <w:pPr>
      <w:spacing w:before="120"/>
    </w:pPr>
  </w:style>
  <w:style w:type="paragraph" w:customStyle="1" w:styleId="TableTextEndNotes">
    <w:name w:val="TableTextEndNotes"/>
    <w:aliases w:val="Tten"/>
    <w:basedOn w:val="Normal"/>
    <w:rsid w:val="00BD2F24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BD2F24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BD2F2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D2F2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D2F2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D2F2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D2F2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D2F2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D2F2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D2F2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D2F24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BD2F2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BD2F24"/>
  </w:style>
  <w:style w:type="character" w:customStyle="1" w:styleId="CharSubPartNoCASA">
    <w:name w:val="CharSubPartNo(CASA)"/>
    <w:basedOn w:val="OPCCharBase"/>
    <w:uiPriority w:val="1"/>
    <w:rsid w:val="00BD2F24"/>
  </w:style>
  <w:style w:type="paragraph" w:customStyle="1" w:styleId="ENoteTTIndentHeadingSub">
    <w:name w:val="ENoteTTIndentHeadingSub"/>
    <w:aliases w:val="enTTHis"/>
    <w:basedOn w:val="OPCParaBase"/>
    <w:rsid w:val="00BD2F2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D2F2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D2F2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D2F24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BD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BD2F2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5559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D2F24"/>
    <w:rPr>
      <w:sz w:val="22"/>
    </w:rPr>
  </w:style>
  <w:style w:type="paragraph" w:customStyle="1" w:styleId="SOTextNote">
    <w:name w:val="SO TextNote"/>
    <w:aliases w:val="sont"/>
    <w:basedOn w:val="SOText"/>
    <w:qFormat/>
    <w:rsid w:val="00BD2F2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D2F2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D2F24"/>
    <w:rPr>
      <w:sz w:val="22"/>
    </w:rPr>
  </w:style>
  <w:style w:type="paragraph" w:customStyle="1" w:styleId="FileName">
    <w:name w:val="FileName"/>
    <w:basedOn w:val="Normal"/>
    <w:rsid w:val="00BD2F24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D2F2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D2F2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D2F2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D2F2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D2F2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D2F2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D2F2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D2F2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D2F2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D2F24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BD2F24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0D48F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0D48F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D4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8F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8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8F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8F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8F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8F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8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Char">
    <w:name w:val="Item Char"/>
    <w:aliases w:val="i Char"/>
    <w:basedOn w:val="DefaultParagraphFont"/>
    <w:link w:val="Item"/>
    <w:rsid w:val="0015446A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rsid w:val="0015446A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6C0B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BB8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C6300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C6300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C6300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C6300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C6300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C6300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C63007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C63007"/>
  </w:style>
  <w:style w:type="character" w:customStyle="1" w:styleId="ShortTCPChar">
    <w:name w:val="ShortTCP Char"/>
    <w:basedOn w:val="ShortTChar"/>
    <w:link w:val="ShortTCP"/>
    <w:rsid w:val="00C6300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C63007"/>
    <w:pPr>
      <w:spacing w:before="400"/>
    </w:pPr>
  </w:style>
  <w:style w:type="character" w:customStyle="1" w:styleId="ActNoCPChar">
    <w:name w:val="ActNoCP Char"/>
    <w:basedOn w:val="ActnoChar"/>
    <w:link w:val="ActNoCP"/>
    <w:rsid w:val="00C6300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C6300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6359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63596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63596E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9854-0F45-4E22-A065-F00AD1B1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1214</Words>
  <Characters>6922</Characters>
  <Application>Microsoft Office Word</Application>
  <DocSecurity>4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2019-09-25T23:03:00Z</cp:lastPrinted>
  <dcterms:created xsi:type="dcterms:W3CDTF">2020-09-10T05:11:00Z</dcterms:created>
  <dcterms:modified xsi:type="dcterms:W3CDTF">2020-09-10T05:11:00Z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Statute Update (Regulations References) Act 2020</vt:lpwstr>
  </property>
  <property fmtid="{D5CDD505-2E9C-101B-9397-08002B2CF9AE}" pid="5" name="ActNo">
    <vt:lpwstr>No. 18, 2020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OPC6977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