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AB" w:rsidRDefault="001659A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45452374" r:id="rId9"/>
        </w:object>
      </w:r>
    </w:p>
    <w:p w:rsidR="001659AB" w:rsidRDefault="001659AB"/>
    <w:p w:rsidR="001659AB" w:rsidRDefault="001659AB" w:rsidP="001659AB">
      <w:pPr>
        <w:spacing w:line="240" w:lineRule="auto"/>
      </w:pPr>
    </w:p>
    <w:p w:rsidR="001659AB" w:rsidRDefault="001659AB" w:rsidP="001659AB"/>
    <w:p w:rsidR="001659AB" w:rsidRDefault="001659AB" w:rsidP="001659AB"/>
    <w:p w:rsidR="001659AB" w:rsidRDefault="001659AB" w:rsidP="001659AB"/>
    <w:p w:rsidR="001659AB" w:rsidRDefault="001659AB" w:rsidP="001659AB"/>
    <w:p w:rsidR="0048364F" w:rsidRPr="00DB1E3C" w:rsidRDefault="00CD62E1" w:rsidP="0048364F">
      <w:pPr>
        <w:pStyle w:val="ShortT"/>
      </w:pPr>
      <w:r w:rsidRPr="00DB1E3C">
        <w:t>Treasury Laws Amendment (Recovering Unpaid Superannuation)</w:t>
      </w:r>
      <w:r w:rsidR="00C164CA" w:rsidRPr="00DB1E3C">
        <w:t xml:space="preserve"> </w:t>
      </w:r>
      <w:r w:rsidR="001659AB">
        <w:t>Act</w:t>
      </w:r>
      <w:r w:rsidR="00C164CA" w:rsidRPr="00DB1E3C">
        <w:t xml:space="preserve"> </w:t>
      </w:r>
      <w:r w:rsidR="006B48A7">
        <w:t>2020</w:t>
      </w:r>
    </w:p>
    <w:p w:rsidR="0048364F" w:rsidRPr="00DB1E3C" w:rsidRDefault="0048364F" w:rsidP="0048364F"/>
    <w:p w:rsidR="0048364F" w:rsidRPr="00DB1E3C" w:rsidRDefault="00C164CA" w:rsidP="001659AB">
      <w:pPr>
        <w:pStyle w:val="Actno"/>
        <w:spacing w:before="400"/>
      </w:pPr>
      <w:r w:rsidRPr="00DB1E3C">
        <w:t>No.</w:t>
      </w:r>
      <w:r w:rsidR="00A77508">
        <w:t xml:space="preserve"> 21</w:t>
      </w:r>
      <w:r w:rsidRPr="00DB1E3C">
        <w:t>, 20</w:t>
      </w:r>
      <w:r w:rsidR="006B48A7">
        <w:t>20</w:t>
      </w:r>
    </w:p>
    <w:p w:rsidR="0048364F" w:rsidRPr="00DB1E3C" w:rsidRDefault="0048364F" w:rsidP="0048364F"/>
    <w:p w:rsidR="001659AB" w:rsidRDefault="001659AB" w:rsidP="001659AB"/>
    <w:p w:rsidR="001659AB" w:rsidRDefault="001659AB" w:rsidP="001659AB"/>
    <w:p w:rsidR="001659AB" w:rsidRDefault="001659AB" w:rsidP="001659AB"/>
    <w:p w:rsidR="001659AB" w:rsidRDefault="001659AB" w:rsidP="001659AB"/>
    <w:p w:rsidR="0048364F" w:rsidRPr="00DB1E3C" w:rsidRDefault="001659AB" w:rsidP="0048364F">
      <w:pPr>
        <w:pStyle w:val="LongT"/>
      </w:pPr>
      <w:r>
        <w:t>An Act</w:t>
      </w:r>
      <w:r w:rsidR="0048364F" w:rsidRPr="00DB1E3C">
        <w:t xml:space="preserve"> to </w:t>
      </w:r>
      <w:r w:rsidR="00CD62E1" w:rsidRPr="00DB1E3C">
        <w:t>amend the law relating to taxation and superan</w:t>
      </w:r>
      <w:bookmarkStart w:id="0" w:name="_GoBack"/>
      <w:bookmarkEnd w:id="0"/>
      <w:r w:rsidR="00CD62E1" w:rsidRPr="00DB1E3C">
        <w:t>nuation</w:t>
      </w:r>
      <w:r w:rsidR="0048364F" w:rsidRPr="00DB1E3C">
        <w:t>, and for related purposes</w:t>
      </w:r>
    </w:p>
    <w:p w:rsidR="0048364F" w:rsidRPr="00DB1E3C" w:rsidRDefault="0048364F" w:rsidP="0048364F">
      <w:pPr>
        <w:pStyle w:val="Header"/>
        <w:tabs>
          <w:tab w:val="clear" w:pos="4150"/>
          <w:tab w:val="clear" w:pos="8307"/>
        </w:tabs>
      </w:pPr>
      <w:r w:rsidRPr="00DB1E3C">
        <w:rPr>
          <w:rStyle w:val="CharAmSchNo"/>
        </w:rPr>
        <w:t xml:space="preserve"> </w:t>
      </w:r>
      <w:r w:rsidRPr="00DB1E3C">
        <w:rPr>
          <w:rStyle w:val="CharAmSchText"/>
        </w:rPr>
        <w:t xml:space="preserve"> </w:t>
      </w:r>
    </w:p>
    <w:p w:rsidR="0048364F" w:rsidRPr="00DB1E3C" w:rsidRDefault="0048364F" w:rsidP="0048364F">
      <w:pPr>
        <w:pStyle w:val="Header"/>
        <w:tabs>
          <w:tab w:val="clear" w:pos="4150"/>
          <w:tab w:val="clear" w:pos="8307"/>
        </w:tabs>
      </w:pPr>
      <w:r w:rsidRPr="00DB1E3C">
        <w:rPr>
          <w:rStyle w:val="CharAmPartNo"/>
        </w:rPr>
        <w:t xml:space="preserve"> </w:t>
      </w:r>
      <w:r w:rsidRPr="00DB1E3C">
        <w:rPr>
          <w:rStyle w:val="CharAmPartText"/>
        </w:rPr>
        <w:t xml:space="preserve"> </w:t>
      </w:r>
    </w:p>
    <w:p w:rsidR="0048364F" w:rsidRPr="00DB1E3C" w:rsidRDefault="0048364F" w:rsidP="0048364F">
      <w:pPr>
        <w:sectPr w:rsidR="0048364F" w:rsidRPr="00DB1E3C" w:rsidSect="001659A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B1E3C" w:rsidRDefault="0048364F" w:rsidP="005D2EEF">
      <w:pPr>
        <w:rPr>
          <w:sz w:val="36"/>
        </w:rPr>
      </w:pPr>
      <w:r w:rsidRPr="00DB1E3C">
        <w:rPr>
          <w:sz w:val="36"/>
        </w:rPr>
        <w:lastRenderedPageBreak/>
        <w:t>Contents</w:t>
      </w:r>
    </w:p>
    <w:p w:rsidR="00D1332A" w:rsidRDefault="00D1332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1332A">
        <w:rPr>
          <w:noProof/>
        </w:rPr>
        <w:tab/>
      </w:r>
      <w:r w:rsidRPr="00D1332A">
        <w:rPr>
          <w:noProof/>
        </w:rPr>
        <w:fldChar w:fldCharType="begin"/>
      </w:r>
      <w:r w:rsidRPr="00D1332A">
        <w:rPr>
          <w:noProof/>
        </w:rPr>
        <w:instrText xml:space="preserve"> PAGEREF _Toc34838875 \h </w:instrText>
      </w:r>
      <w:r w:rsidRPr="00D1332A">
        <w:rPr>
          <w:noProof/>
        </w:rPr>
      </w:r>
      <w:r w:rsidRPr="00D1332A">
        <w:rPr>
          <w:noProof/>
        </w:rPr>
        <w:fldChar w:fldCharType="separate"/>
      </w:r>
      <w:r w:rsidR="00A550DE">
        <w:rPr>
          <w:noProof/>
        </w:rPr>
        <w:t>1</w:t>
      </w:r>
      <w:r w:rsidRPr="00D1332A">
        <w:rPr>
          <w:noProof/>
        </w:rPr>
        <w:fldChar w:fldCharType="end"/>
      </w:r>
    </w:p>
    <w:p w:rsidR="00D1332A" w:rsidRDefault="00D1332A">
      <w:pPr>
        <w:pStyle w:val="TOC5"/>
        <w:rPr>
          <w:rFonts w:asciiTheme="minorHAnsi" w:eastAsiaTheme="minorEastAsia" w:hAnsiTheme="minorHAnsi" w:cstheme="minorBidi"/>
          <w:noProof/>
          <w:kern w:val="0"/>
          <w:sz w:val="22"/>
          <w:szCs w:val="22"/>
        </w:rPr>
      </w:pPr>
      <w:r>
        <w:rPr>
          <w:noProof/>
        </w:rPr>
        <w:t>2</w:t>
      </w:r>
      <w:r>
        <w:rPr>
          <w:noProof/>
        </w:rPr>
        <w:tab/>
        <w:t>Commencement</w:t>
      </w:r>
      <w:r w:rsidRPr="00D1332A">
        <w:rPr>
          <w:noProof/>
        </w:rPr>
        <w:tab/>
      </w:r>
      <w:r w:rsidRPr="00D1332A">
        <w:rPr>
          <w:noProof/>
        </w:rPr>
        <w:fldChar w:fldCharType="begin"/>
      </w:r>
      <w:r w:rsidRPr="00D1332A">
        <w:rPr>
          <w:noProof/>
        </w:rPr>
        <w:instrText xml:space="preserve"> PAGEREF _Toc34838876 \h </w:instrText>
      </w:r>
      <w:r w:rsidRPr="00D1332A">
        <w:rPr>
          <w:noProof/>
        </w:rPr>
      </w:r>
      <w:r w:rsidRPr="00D1332A">
        <w:rPr>
          <w:noProof/>
        </w:rPr>
        <w:fldChar w:fldCharType="separate"/>
      </w:r>
      <w:r w:rsidR="00A550DE">
        <w:rPr>
          <w:noProof/>
        </w:rPr>
        <w:t>2</w:t>
      </w:r>
      <w:r w:rsidRPr="00D1332A">
        <w:rPr>
          <w:noProof/>
        </w:rPr>
        <w:fldChar w:fldCharType="end"/>
      </w:r>
    </w:p>
    <w:p w:rsidR="00D1332A" w:rsidRDefault="00D1332A">
      <w:pPr>
        <w:pStyle w:val="TOC5"/>
        <w:rPr>
          <w:rFonts w:asciiTheme="minorHAnsi" w:eastAsiaTheme="minorEastAsia" w:hAnsiTheme="minorHAnsi" w:cstheme="minorBidi"/>
          <w:noProof/>
          <w:kern w:val="0"/>
          <w:sz w:val="22"/>
          <w:szCs w:val="22"/>
        </w:rPr>
      </w:pPr>
      <w:r>
        <w:rPr>
          <w:noProof/>
        </w:rPr>
        <w:t>3</w:t>
      </w:r>
      <w:r>
        <w:rPr>
          <w:noProof/>
        </w:rPr>
        <w:tab/>
        <w:t>Schedules</w:t>
      </w:r>
      <w:r w:rsidRPr="00D1332A">
        <w:rPr>
          <w:noProof/>
        </w:rPr>
        <w:tab/>
      </w:r>
      <w:r w:rsidRPr="00D1332A">
        <w:rPr>
          <w:noProof/>
        </w:rPr>
        <w:fldChar w:fldCharType="begin"/>
      </w:r>
      <w:r w:rsidRPr="00D1332A">
        <w:rPr>
          <w:noProof/>
        </w:rPr>
        <w:instrText xml:space="preserve"> PAGEREF _Toc34838877 \h </w:instrText>
      </w:r>
      <w:r w:rsidRPr="00D1332A">
        <w:rPr>
          <w:noProof/>
        </w:rPr>
      </w:r>
      <w:r w:rsidRPr="00D1332A">
        <w:rPr>
          <w:noProof/>
        </w:rPr>
        <w:fldChar w:fldCharType="separate"/>
      </w:r>
      <w:r w:rsidR="00A550DE">
        <w:rPr>
          <w:noProof/>
        </w:rPr>
        <w:t>2</w:t>
      </w:r>
      <w:r w:rsidRPr="00D1332A">
        <w:rPr>
          <w:noProof/>
        </w:rPr>
        <w:fldChar w:fldCharType="end"/>
      </w:r>
    </w:p>
    <w:p w:rsidR="00D1332A" w:rsidRDefault="00D1332A">
      <w:pPr>
        <w:pStyle w:val="TOC6"/>
        <w:rPr>
          <w:rFonts w:asciiTheme="minorHAnsi" w:eastAsiaTheme="minorEastAsia" w:hAnsiTheme="minorHAnsi" w:cstheme="minorBidi"/>
          <w:b w:val="0"/>
          <w:noProof/>
          <w:kern w:val="0"/>
          <w:sz w:val="22"/>
          <w:szCs w:val="22"/>
        </w:rPr>
      </w:pPr>
      <w:r>
        <w:rPr>
          <w:noProof/>
        </w:rPr>
        <w:t>Schedule 1—Superannuation guarantee amnesty</w:t>
      </w:r>
      <w:r w:rsidRPr="00D1332A">
        <w:rPr>
          <w:b w:val="0"/>
          <w:noProof/>
          <w:sz w:val="18"/>
        </w:rPr>
        <w:tab/>
      </w:r>
      <w:r w:rsidRPr="00D1332A">
        <w:rPr>
          <w:b w:val="0"/>
          <w:noProof/>
          <w:sz w:val="18"/>
        </w:rPr>
        <w:fldChar w:fldCharType="begin"/>
      </w:r>
      <w:r w:rsidRPr="00D1332A">
        <w:rPr>
          <w:b w:val="0"/>
          <w:noProof/>
          <w:sz w:val="18"/>
        </w:rPr>
        <w:instrText xml:space="preserve"> PAGEREF _Toc34838878 \h </w:instrText>
      </w:r>
      <w:r w:rsidRPr="00D1332A">
        <w:rPr>
          <w:b w:val="0"/>
          <w:noProof/>
          <w:sz w:val="18"/>
        </w:rPr>
      </w:r>
      <w:r w:rsidRPr="00D1332A">
        <w:rPr>
          <w:b w:val="0"/>
          <w:noProof/>
          <w:sz w:val="18"/>
        </w:rPr>
        <w:fldChar w:fldCharType="separate"/>
      </w:r>
      <w:r w:rsidR="00A550DE">
        <w:rPr>
          <w:b w:val="0"/>
          <w:noProof/>
          <w:sz w:val="18"/>
        </w:rPr>
        <w:t>3</w:t>
      </w:r>
      <w:r w:rsidRPr="00D1332A">
        <w:rPr>
          <w:b w:val="0"/>
          <w:noProof/>
          <w:sz w:val="18"/>
        </w:rPr>
        <w:fldChar w:fldCharType="end"/>
      </w:r>
    </w:p>
    <w:p w:rsidR="00D1332A" w:rsidRDefault="00D1332A">
      <w:pPr>
        <w:pStyle w:val="TOC9"/>
        <w:rPr>
          <w:rFonts w:asciiTheme="minorHAnsi" w:eastAsiaTheme="minorEastAsia" w:hAnsiTheme="minorHAnsi" w:cstheme="minorBidi"/>
          <w:i w:val="0"/>
          <w:noProof/>
          <w:kern w:val="0"/>
          <w:sz w:val="22"/>
          <w:szCs w:val="22"/>
        </w:rPr>
      </w:pPr>
      <w:r>
        <w:rPr>
          <w:noProof/>
        </w:rPr>
        <w:t>Income Tax Assessment Act 1997</w:t>
      </w:r>
      <w:r w:rsidRPr="00D1332A">
        <w:rPr>
          <w:i w:val="0"/>
          <w:noProof/>
          <w:sz w:val="18"/>
        </w:rPr>
        <w:tab/>
      </w:r>
      <w:r w:rsidRPr="00D1332A">
        <w:rPr>
          <w:i w:val="0"/>
          <w:noProof/>
          <w:sz w:val="18"/>
        </w:rPr>
        <w:fldChar w:fldCharType="begin"/>
      </w:r>
      <w:r w:rsidRPr="00D1332A">
        <w:rPr>
          <w:i w:val="0"/>
          <w:noProof/>
          <w:sz w:val="18"/>
        </w:rPr>
        <w:instrText xml:space="preserve"> PAGEREF _Toc34838879 \h </w:instrText>
      </w:r>
      <w:r w:rsidRPr="00D1332A">
        <w:rPr>
          <w:i w:val="0"/>
          <w:noProof/>
          <w:sz w:val="18"/>
        </w:rPr>
      </w:r>
      <w:r w:rsidRPr="00D1332A">
        <w:rPr>
          <w:i w:val="0"/>
          <w:noProof/>
          <w:sz w:val="18"/>
        </w:rPr>
        <w:fldChar w:fldCharType="separate"/>
      </w:r>
      <w:r w:rsidR="00A550DE">
        <w:rPr>
          <w:i w:val="0"/>
          <w:noProof/>
          <w:sz w:val="18"/>
        </w:rPr>
        <w:t>3</w:t>
      </w:r>
      <w:r w:rsidRPr="00D1332A">
        <w:rPr>
          <w:i w:val="0"/>
          <w:noProof/>
          <w:sz w:val="18"/>
        </w:rPr>
        <w:fldChar w:fldCharType="end"/>
      </w:r>
    </w:p>
    <w:p w:rsidR="00D1332A" w:rsidRDefault="00D1332A">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D1332A">
        <w:rPr>
          <w:i w:val="0"/>
          <w:noProof/>
          <w:sz w:val="18"/>
        </w:rPr>
        <w:tab/>
      </w:r>
      <w:r w:rsidRPr="00D1332A">
        <w:rPr>
          <w:i w:val="0"/>
          <w:noProof/>
          <w:sz w:val="18"/>
        </w:rPr>
        <w:fldChar w:fldCharType="begin"/>
      </w:r>
      <w:r w:rsidRPr="00D1332A">
        <w:rPr>
          <w:i w:val="0"/>
          <w:noProof/>
          <w:sz w:val="18"/>
        </w:rPr>
        <w:instrText xml:space="preserve"> PAGEREF _Toc34838880 \h </w:instrText>
      </w:r>
      <w:r w:rsidRPr="00D1332A">
        <w:rPr>
          <w:i w:val="0"/>
          <w:noProof/>
          <w:sz w:val="18"/>
        </w:rPr>
      </w:r>
      <w:r w:rsidRPr="00D1332A">
        <w:rPr>
          <w:i w:val="0"/>
          <w:noProof/>
          <w:sz w:val="18"/>
        </w:rPr>
        <w:fldChar w:fldCharType="separate"/>
      </w:r>
      <w:r w:rsidR="00A550DE">
        <w:rPr>
          <w:i w:val="0"/>
          <w:noProof/>
          <w:sz w:val="18"/>
        </w:rPr>
        <w:t>5</w:t>
      </w:r>
      <w:r w:rsidRPr="00D1332A">
        <w:rPr>
          <w:i w:val="0"/>
          <w:noProof/>
          <w:sz w:val="18"/>
        </w:rPr>
        <w:fldChar w:fldCharType="end"/>
      </w:r>
    </w:p>
    <w:p w:rsidR="00060FF9" w:rsidRPr="00DB1E3C" w:rsidRDefault="00D1332A" w:rsidP="0048364F">
      <w:r>
        <w:fldChar w:fldCharType="end"/>
      </w:r>
    </w:p>
    <w:p w:rsidR="00FE7F93" w:rsidRPr="00DB1E3C" w:rsidRDefault="00FE7F93" w:rsidP="0048364F">
      <w:pPr>
        <w:sectPr w:rsidR="00FE7F93" w:rsidRPr="00DB1E3C" w:rsidSect="001659A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659AB" w:rsidRDefault="001659AB">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45452375" r:id="rId21"/>
        </w:object>
      </w:r>
    </w:p>
    <w:p w:rsidR="001659AB" w:rsidRDefault="001659AB"/>
    <w:p w:rsidR="001659AB" w:rsidRDefault="001659AB" w:rsidP="001659AB">
      <w:pPr>
        <w:spacing w:line="240" w:lineRule="auto"/>
      </w:pPr>
    </w:p>
    <w:p w:rsidR="001659AB" w:rsidRDefault="00A550DE" w:rsidP="001659AB">
      <w:pPr>
        <w:pStyle w:val="ShortTP1"/>
      </w:pPr>
      <w:r>
        <w:fldChar w:fldCharType="begin"/>
      </w:r>
      <w:r>
        <w:instrText xml:space="preserve"> STYLEREF ShortT </w:instrText>
      </w:r>
      <w:r>
        <w:fldChar w:fldCharType="separate"/>
      </w:r>
      <w:r>
        <w:rPr>
          <w:noProof/>
        </w:rPr>
        <w:t>Treasury Laws Amendment (Recovering Unpaid Superannuation) Act 2020</w:t>
      </w:r>
      <w:r>
        <w:rPr>
          <w:noProof/>
        </w:rPr>
        <w:fldChar w:fldCharType="end"/>
      </w:r>
    </w:p>
    <w:p w:rsidR="001659AB" w:rsidRDefault="00A550DE" w:rsidP="001659AB">
      <w:pPr>
        <w:pStyle w:val="ActNoP1"/>
      </w:pPr>
      <w:r>
        <w:fldChar w:fldCharType="begin"/>
      </w:r>
      <w:r>
        <w:instrText xml:space="preserve"> STYLEREF Actno </w:instrText>
      </w:r>
      <w:r>
        <w:fldChar w:fldCharType="separate"/>
      </w:r>
      <w:r>
        <w:rPr>
          <w:noProof/>
        </w:rPr>
        <w:t>No. 21, 2020</w:t>
      </w:r>
      <w:r>
        <w:rPr>
          <w:noProof/>
        </w:rPr>
        <w:fldChar w:fldCharType="end"/>
      </w:r>
    </w:p>
    <w:p w:rsidR="001659AB" w:rsidRPr="009A0728" w:rsidRDefault="001659AB" w:rsidP="009A0728">
      <w:pPr>
        <w:pBdr>
          <w:bottom w:val="single" w:sz="6" w:space="0" w:color="auto"/>
        </w:pBdr>
        <w:spacing w:before="400" w:line="240" w:lineRule="auto"/>
        <w:rPr>
          <w:rFonts w:eastAsia="Times New Roman"/>
          <w:b/>
          <w:sz w:val="28"/>
        </w:rPr>
      </w:pPr>
    </w:p>
    <w:p w:rsidR="001659AB" w:rsidRPr="009A0728" w:rsidRDefault="001659AB" w:rsidP="009A0728">
      <w:pPr>
        <w:spacing w:line="40" w:lineRule="exact"/>
        <w:rPr>
          <w:rFonts w:eastAsia="Calibri"/>
          <w:b/>
          <w:sz w:val="28"/>
        </w:rPr>
      </w:pPr>
    </w:p>
    <w:p w:rsidR="001659AB" w:rsidRPr="009A0728" w:rsidRDefault="001659AB" w:rsidP="009A0728">
      <w:pPr>
        <w:pBdr>
          <w:top w:val="single" w:sz="12" w:space="0" w:color="auto"/>
        </w:pBdr>
        <w:spacing w:line="240" w:lineRule="auto"/>
        <w:rPr>
          <w:rFonts w:eastAsia="Times New Roman"/>
          <w:b/>
          <w:sz w:val="28"/>
        </w:rPr>
      </w:pPr>
    </w:p>
    <w:p w:rsidR="0048364F" w:rsidRPr="00DB1E3C" w:rsidRDefault="001659AB" w:rsidP="00DB1E3C">
      <w:pPr>
        <w:pStyle w:val="Page1"/>
      </w:pPr>
      <w:r>
        <w:t>An Act</w:t>
      </w:r>
      <w:r w:rsidR="00DB1E3C" w:rsidRPr="00DB1E3C">
        <w:t xml:space="preserve"> to amend the law relating to taxation and superannuation, and for related purposes</w:t>
      </w:r>
    </w:p>
    <w:p w:rsidR="00A77508" w:rsidRDefault="00A77508" w:rsidP="000C5962">
      <w:pPr>
        <w:pStyle w:val="AssentDt"/>
        <w:spacing w:before="240"/>
        <w:rPr>
          <w:sz w:val="24"/>
        </w:rPr>
      </w:pPr>
      <w:r>
        <w:rPr>
          <w:sz w:val="24"/>
        </w:rPr>
        <w:t>[</w:t>
      </w:r>
      <w:r>
        <w:rPr>
          <w:i/>
          <w:sz w:val="24"/>
        </w:rPr>
        <w:t>Assented to 6 March 2020</w:t>
      </w:r>
      <w:r>
        <w:rPr>
          <w:sz w:val="24"/>
        </w:rPr>
        <w:t>]</w:t>
      </w:r>
    </w:p>
    <w:p w:rsidR="0048364F" w:rsidRPr="00DB1E3C" w:rsidRDefault="0048364F" w:rsidP="00DB1E3C">
      <w:pPr>
        <w:spacing w:before="240" w:line="240" w:lineRule="auto"/>
        <w:rPr>
          <w:sz w:val="32"/>
        </w:rPr>
      </w:pPr>
      <w:r w:rsidRPr="00DB1E3C">
        <w:rPr>
          <w:sz w:val="32"/>
        </w:rPr>
        <w:t>The Parliament of Australia enacts:</w:t>
      </w:r>
    </w:p>
    <w:p w:rsidR="0048364F" w:rsidRPr="00DB1E3C" w:rsidRDefault="0048364F" w:rsidP="00DB1E3C">
      <w:pPr>
        <w:pStyle w:val="ActHead5"/>
      </w:pPr>
      <w:bookmarkStart w:id="1" w:name="_Toc34838875"/>
      <w:r w:rsidRPr="00DB1E3C">
        <w:rPr>
          <w:rStyle w:val="CharSectno"/>
        </w:rPr>
        <w:t>1</w:t>
      </w:r>
      <w:r w:rsidRPr="00DB1E3C">
        <w:t xml:space="preserve">  Short title</w:t>
      </w:r>
      <w:bookmarkEnd w:id="1"/>
    </w:p>
    <w:p w:rsidR="0048364F" w:rsidRPr="00DB1E3C" w:rsidRDefault="0048364F" w:rsidP="00DB1E3C">
      <w:pPr>
        <w:pStyle w:val="subsection"/>
      </w:pPr>
      <w:r w:rsidRPr="00DB1E3C">
        <w:tab/>
      </w:r>
      <w:r w:rsidRPr="00DB1E3C">
        <w:tab/>
        <w:t xml:space="preserve">This Act </w:t>
      </w:r>
      <w:r w:rsidR="00275197" w:rsidRPr="00DB1E3C">
        <w:t xml:space="preserve">is </w:t>
      </w:r>
      <w:r w:rsidRPr="00DB1E3C">
        <w:t xml:space="preserve">the </w:t>
      </w:r>
      <w:r w:rsidR="00CD62E1" w:rsidRPr="00DB1E3C">
        <w:rPr>
          <w:i/>
        </w:rPr>
        <w:t>Treasury Laws Amendment (Recovering Unpaid Superannuation)</w:t>
      </w:r>
      <w:r w:rsidR="00EE3E36" w:rsidRPr="00DB1E3C">
        <w:rPr>
          <w:i/>
        </w:rPr>
        <w:t xml:space="preserve"> Act 20</w:t>
      </w:r>
      <w:r w:rsidR="006B48A7">
        <w:rPr>
          <w:i/>
        </w:rPr>
        <w:t>20</w:t>
      </w:r>
      <w:r w:rsidRPr="00DB1E3C">
        <w:t>.</w:t>
      </w:r>
    </w:p>
    <w:p w:rsidR="0048364F" w:rsidRPr="00DB1E3C" w:rsidRDefault="0048364F" w:rsidP="00DB1E3C">
      <w:pPr>
        <w:pStyle w:val="ActHead5"/>
      </w:pPr>
      <w:bookmarkStart w:id="2" w:name="_Toc34838876"/>
      <w:r w:rsidRPr="00DB1E3C">
        <w:rPr>
          <w:rStyle w:val="CharSectno"/>
        </w:rPr>
        <w:t>2</w:t>
      </w:r>
      <w:r w:rsidRPr="00DB1E3C">
        <w:t xml:space="preserve">  Commencement</w:t>
      </w:r>
      <w:bookmarkEnd w:id="2"/>
    </w:p>
    <w:p w:rsidR="0048364F" w:rsidRPr="00DB1E3C" w:rsidRDefault="0048364F" w:rsidP="00DB1E3C">
      <w:pPr>
        <w:pStyle w:val="subsection"/>
      </w:pPr>
      <w:r w:rsidRPr="00DB1E3C">
        <w:tab/>
        <w:t>(1)</w:t>
      </w:r>
      <w:r w:rsidRPr="00DB1E3C">
        <w:tab/>
        <w:t>Each provision of this Act specified in column 1 of the table commences, or is taken to have commenced, in accordance with column 2 of the table. Any other statement in column 2 has effect according to its terms.</w:t>
      </w:r>
    </w:p>
    <w:p w:rsidR="0048364F" w:rsidRPr="00DB1E3C" w:rsidRDefault="0048364F" w:rsidP="00DB1E3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B1E3C" w:rsidTr="00ED3B36">
        <w:trPr>
          <w:tblHeader/>
        </w:trPr>
        <w:tc>
          <w:tcPr>
            <w:tcW w:w="7111" w:type="dxa"/>
            <w:gridSpan w:val="3"/>
            <w:tcBorders>
              <w:top w:val="single" w:sz="12" w:space="0" w:color="auto"/>
              <w:bottom w:val="single" w:sz="6" w:space="0" w:color="auto"/>
            </w:tcBorders>
            <w:shd w:val="clear" w:color="auto" w:fill="auto"/>
          </w:tcPr>
          <w:p w:rsidR="0048364F" w:rsidRPr="00DB1E3C" w:rsidRDefault="0048364F" w:rsidP="00DB1E3C">
            <w:pPr>
              <w:pStyle w:val="TableHeading"/>
            </w:pPr>
            <w:r w:rsidRPr="00DB1E3C">
              <w:lastRenderedPageBreak/>
              <w:t>Commencement information</w:t>
            </w:r>
          </w:p>
        </w:tc>
      </w:tr>
      <w:tr w:rsidR="0048364F" w:rsidRPr="00DB1E3C" w:rsidTr="00ED3B36">
        <w:trPr>
          <w:tblHeader/>
        </w:trPr>
        <w:tc>
          <w:tcPr>
            <w:tcW w:w="1701" w:type="dxa"/>
            <w:tcBorders>
              <w:top w:val="single" w:sz="6" w:space="0" w:color="auto"/>
              <w:bottom w:val="single" w:sz="6" w:space="0" w:color="auto"/>
            </w:tcBorders>
            <w:shd w:val="clear" w:color="auto" w:fill="auto"/>
          </w:tcPr>
          <w:p w:rsidR="0048364F" w:rsidRPr="00DB1E3C" w:rsidRDefault="0048364F" w:rsidP="00DB1E3C">
            <w:pPr>
              <w:pStyle w:val="TableHeading"/>
            </w:pPr>
            <w:r w:rsidRPr="00DB1E3C">
              <w:t>Column 1</w:t>
            </w:r>
          </w:p>
        </w:tc>
        <w:tc>
          <w:tcPr>
            <w:tcW w:w="3828" w:type="dxa"/>
            <w:tcBorders>
              <w:top w:val="single" w:sz="6" w:space="0" w:color="auto"/>
              <w:bottom w:val="single" w:sz="6" w:space="0" w:color="auto"/>
            </w:tcBorders>
            <w:shd w:val="clear" w:color="auto" w:fill="auto"/>
          </w:tcPr>
          <w:p w:rsidR="0048364F" w:rsidRPr="00DB1E3C" w:rsidRDefault="0048364F" w:rsidP="00DB1E3C">
            <w:pPr>
              <w:pStyle w:val="TableHeading"/>
            </w:pPr>
            <w:r w:rsidRPr="00DB1E3C">
              <w:t>Column 2</w:t>
            </w:r>
          </w:p>
        </w:tc>
        <w:tc>
          <w:tcPr>
            <w:tcW w:w="1582" w:type="dxa"/>
            <w:tcBorders>
              <w:top w:val="single" w:sz="6" w:space="0" w:color="auto"/>
              <w:bottom w:val="single" w:sz="6" w:space="0" w:color="auto"/>
            </w:tcBorders>
            <w:shd w:val="clear" w:color="auto" w:fill="auto"/>
          </w:tcPr>
          <w:p w:rsidR="0048364F" w:rsidRPr="00DB1E3C" w:rsidRDefault="0048364F" w:rsidP="00DB1E3C">
            <w:pPr>
              <w:pStyle w:val="TableHeading"/>
            </w:pPr>
            <w:r w:rsidRPr="00DB1E3C">
              <w:t>Column 3</w:t>
            </w:r>
          </w:p>
        </w:tc>
      </w:tr>
      <w:tr w:rsidR="0048364F" w:rsidRPr="00DB1E3C" w:rsidTr="00ED3B36">
        <w:trPr>
          <w:tblHeader/>
        </w:trPr>
        <w:tc>
          <w:tcPr>
            <w:tcW w:w="1701" w:type="dxa"/>
            <w:tcBorders>
              <w:top w:val="single" w:sz="6" w:space="0" w:color="auto"/>
              <w:bottom w:val="single" w:sz="12" w:space="0" w:color="auto"/>
            </w:tcBorders>
            <w:shd w:val="clear" w:color="auto" w:fill="auto"/>
          </w:tcPr>
          <w:p w:rsidR="0048364F" w:rsidRPr="00DB1E3C" w:rsidRDefault="0048364F" w:rsidP="00DB1E3C">
            <w:pPr>
              <w:pStyle w:val="TableHeading"/>
            </w:pPr>
            <w:r w:rsidRPr="00DB1E3C">
              <w:t>Provisions</w:t>
            </w:r>
          </w:p>
        </w:tc>
        <w:tc>
          <w:tcPr>
            <w:tcW w:w="3828" w:type="dxa"/>
            <w:tcBorders>
              <w:top w:val="single" w:sz="6" w:space="0" w:color="auto"/>
              <w:bottom w:val="single" w:sz="12" w:space="0" w:color="auto"/>
            </w:tcBorders>
            <w:shd w:val="clear" w:color="auto" w:fill="auto"/>
          </w:tcPr>
          <w:p w:rsidR="0048364F" w:rsidRPr="00DB1E3C" w:rsidRDefault="0048364F" w:rsidP="00DB1E3C">
            <w:pPr>
              <w:pStyle w:val="TableHeading"/>
            </w:pPr>
            <w:r w:rsidRPr="00DB1E3C">
              <w:t>Commencement</w:t>
            </w:r>
          </w:p>
        </w:tc>
        <w:tc>
          <w:tcPr>
            <w:tcW w:w="1582" w:type="dxa"/>
            <w:tcBorders>
              <w:top w:val="single" w:sz="6" w:space="0" w:color="auto"/>
              <w:bottom w:val="single" w:sz="12" w:space="0" w:color="auto"/>
            </w:tcBorders>
            <w:shd w:val="clear" w:color="auto" w:fill="auto"/>
          </w:tcPr>
          <w:p w:rsidR="0048364F" w:rsidRPr="00DB1E3C" w:rsidRDefault="0048364F" w:rsidP="00DB1E3C">
            <w:pPr>
              <w:pStyle w:val="TableHeading"/>
            </w:pPr>
            <w:r w:rsidRPr="00DB1E3C">
              <w:t>Date/Details</w:t>
            </w:r>
          </w:p>
        </w:tc>
      </w:tr>
      <w:tr w:rsidR="0048364F" w:rsidRPr="00DB1E3C" w:rsidTr="00ED3B36">
        <w:tc>
          <w:tcPr>
            <w:tcW w:w="1701" w:type="dxa"/>
            <w:tcBorders>
              <w:top w:val="single" w:sz="12" w:space="0" w:color="auto"/>
            </w:tcBorders>
            <w:shd w:val="clear" w:color="auto" w:fill="auto"/>
          </w:tcPr>
          <w:p w:rsidR="0048364F" w:rsidRPr="00DB1E3C" w:rsidRDefault="0048364F" w:rsidP="00DB1E3C">
            <w:pPr>
              <w:pStyle w:val="Tabletext"/>
            </w:pPr>
            <w:r w:rsidRPr="00DB1E3C">
              <w:t>1.  Sections</w:t>
            </w:r>
            <w:r w:rsidR="00DB1E3C" w:rsidRPr="00DB1E3C">
              <w:t> </w:t>
            </w:r>
            <w:r w:rsidRPr="00DB1E3C">
              <w:t>1 to 3 and anything in this Act not elsewhere covered by this table</w:t>
            </w:r>
          </w:p>
        </w:tc>
        <w:tc>
          <w:tcPr>
            <w:tcW w:w="3828" w:type="dxa"/>
            <w:tcBorders>
              <w:top w:val="single" w:sz="12" w:space="0" w:color="auto"/>
            </w:tcBorders>
            <w:shd w:val="clear" w:color="auto" w:fill="auto"/>
          </w:tcPr>
          <w:p w:rsidR="0048364F" w:rsidRPr="00DB1E3C" w:rsidRDefault="0048364F" w:rsidP="00DB1E3C">
            <w:pPr>
              <w:pStyle w:val="Tabletext"/>
            </w:pPr>
            <w:r w:rsidRPr="00DB1E3C">
              <w:t>The day this Act receives the Royal Assent.</w:t>
            </w:r>
          </w:p>
        </w:tc>
        <w:tc>
          <w:tcPr>
            <w:tcW w:w="1582" w:type="dxa"/>
            <w:tcBorders>
              <w:top w:val="single" w:sz="12" w:space="0" w:color="auto"/>
            </w:tcBorders>
            <w:shd w:val="clear" w:color="auto" w:fill="auto"/>
          </w:tcPr>
          <w:p w:rsidR="0048364F" w:rsidRPr="00DB1E3C" w:rsidRDefault="00A77508" w:rsidP="00DB1E3C">
            <w:pPr>
              <w:pStyle w:val="Tabletext"/>
            </w:pPr>
            <w:r>
              <w:t>6 March 2020</w:t>
            </w:r>
          </w:p>
        </w:tc>
      </w:tr>
      <w:tr w:rsidR="002527C0" w:rsidRPr="00DB1E3C" w:rsidTr="00ED3B36">
        <w:tc>
          <w:tcPr>
            <w:tcW w:w="1701" w:type="dxa"/>
            <w:shd w:val="clear" w:color="auto" w:fill="auto"/>
          </w:tcPr>
          <w:p w:rsidR="002527C0" w:rsidRPr="00DB1E3C" w:rsidRDefault="00ED3B36" w:rsidP="00DB1E3C">
            <w:pPr>
              <w:pStyle w:val="Tabletext"/>
            </w:pPr>
            <w:r w:rsidRPr="00DB1E3C">
              <w:t>2</w:t>
            </w:r>
            <w:r w:rsidR="002527C0" w:rsidRPr="00DB1E3C">
              <w:t>.  Schedule</w:t>
            </w:r>
            <w:r w:rsidR="00DB1E3C" w:rsidRPr="00DB1E3C">
              <w:t> </w:t>
            </w:r>
            <w:r w:rsidR="002527C0" w:rsidRPr="00DB1E3C">
              <w:t>1, items</w:t>
            </w:r>
            <w:r w:rsidR="00DB1E3C" w:rsidRPr="00DB1E3C">
              <w:t> </w:t>
            </w:r>
            <w:r w:rsidR="002527C0" w:rsidRPr="00DB1E3C">
              <w:t>1 to 9</w:t>
            </w:r>
          </w:p>
        </w:tc>
        <w:tc>
          <w:tcPr>
            <w:tcW w:w="3828" w:type="dxa"/>
            <w:shd w:val="clear" w:color="auto" w:fill="auto"/>
          </w:tcPr>
          <w:p w:rsidR="002527C0" w:rsidRPr="00DB1E3C" w:rsidRDefault="002527C0" w:rsidP="00DB1E3C">
            <w:pPr>
              <w:pStyle w:val="Tabletext"/>
            </w:pPr>
            <w:r w:rsidRPr="00DB1E3C">
              <w:t>The first 1</w:t>
            </w:r>
            <w:r w:rsidR="00DB1E3C" w:rsidRPr="00DB1E3C">
              <w:t> </w:t>
            </w:r>
            <w:r w:rsidRPr="00DB1E3C">
              <w:t>January, 1</w:t>
            </w:r>
            <w:r w:rsidR="00DB1E3C" w:rsidRPr="00DB1E3C">
              <w:t> </w:t>
            </w:r>
            <w:r w:rsidRPr="00DB1E3C">
              <w:t>April, 1</w:t>
            </w:r>
            <w:r w:rsidR="00DB1E3C" w:rsidRPr="00DB1E3C">
              <w:t> </w:t>
            </w:r>
            <w:r w:rsidRPr="00DB1E3C">
              <w:t>July or 1</w:t>
            </w:r>
            <w:r w:rsidR="00DB1E3C" w:rsidRPr="00DB1E3C">
              <w:t> </w:t>
            </w:r>
            <w:r w:rsidRPr="00DB1E3C">
              <w:t>October to occur after the day this Act receives the Royal Assent.</w:t>
            </w:r>
          </w:p>
        </w:tc>
        <w:tc>
          <w:tcPr>
            <w:tcW w:w="1582" w:type="dxa"/>
            <w:shd w:val="clear" w:color="auto" w:fill="auto"/>
          </w:tcPr>
          <w:p w:rsidR="002527C0" w:rsidRPr="00DB1E3C" w:rsidRDefault="00A77508" w:rsidP="00DB1E3C">
            <w:pPr>
              <w:pStyle w:val="Tabletext"/>
            </w:pPr>
            <w:r>
              <w:t>1 April 2020</w:t>
            </w:r>
          </w:p>
        </w:tc>
      </w:tr>
      <w:tr w:rsidR="002527C0" w:rsidRPr="00DB1E3C" w:rsidTr="00ED3B36">
        <w:tc>
          <w:tcPr>
            <w:tcW w:w="1701" w:type="dxa"/>
            <w:shd w:val="clear" w:color="auto" w:fill="auto"/>
          </w:tcPr>
          <w:p w:rsidR="002527C0" w:rsidRPr="00DB1E3C" w:rsidRDefault="00ED3B36" w:rsidP="00DB1E3C">
            <w:pPr>
              <w:pStyle w:val="Tabletext"/>
            </w:pPr>
            <w:r w:rsidRPr="00DB1E3C">
              <w:t>3</w:t>
            </w:r>
            <w:r w:rsidR="002527C0" w:rsidRPr="00DB1E3C">
              <w:t>.  Schedule</w:t>
            </w:r>
            <w:r w:rsidR="00DB1E3C" w:rsidRPr="00DB1E3C">
              <w:t> </w:t>
            </w:r>
            <w:r w:rsidR="002527C0" w:rsidRPr="00DB1E3C">
              <w:t>1, items</w:t>
            </w:r>
            <w:r w:rsidR="00DB1E3C" w:rsidRPr="00DB1E3C">
              <w:t> </w:t>
            </w:r>
            <w:r w:rsidR="002527C0" w:rsidRPr="00DB1E3C">
              <w:t>10 to 12</w:t>
            </w:r>
          </w:p>
        </w:tc>
        <w:tc>
          <w:tcPr>
            <w:tcW w:w="3828" w:type="dxa"/>
            <w:shd w:val="clear" w:color="auto" w:fill="auto"/>
          </w:tcPr>
          <w:p w:rsidR="002527C0" w:rsidRPr="00DB1E3C" w:rsidRDefault="002527C0" w:rsidP="00DB1E3C">
            <w:pPr>
              <w:pStyle w:val="Tabletext"/>
            </w:pPr>
            <w:r w:rsidRPr="00DB1E3C">
              <w:t>24</w:t>
            </w:r>
            <w:r w:rsidR="00DB1E3C" w:rsidRPr="00DB1E3C">
              <w:t> </w:t>
            </w:r>
            <w:r w:rsidRPr="00DB1E3C">
              <w:t>May 2018.</w:t>
            </w:r>
          </w:p>
        </w:tc>
        <w:tc>
          <w:tcPr>
            <w:tcW w:w="1582" w:type="dxa"/>
            <w:shd w:val="clear" w:color="auto" w:fill="auto"/>
          </w:tcPr>
          <w:p w:rsidR="002527C0" w:rsidRPr="00DB1E3C" w:rsidRDefault="002527C0" w:rsidP="00DB1E3C">
            <w:pPr>
              <w:pStyle w:val="Tabletext"/>
            </w:pPr>
            <w:r w:rsidRPr="00DB1E3C">
              <w:t>24</w:t>
            </w:r>
            <w:r w:rsidR="00DB1E3C" w:rsidRPr="00DB1E3C">
              <w:t> </w:t>
            </w:r>
            <w:r w:rsidRPr="00DB1E3C">
              <w:t>May 2018</w:t>
            </w:r>
          </w:p>
        </w:tc>
      </w:tr>
      <w:tr w:rsidR="002527C0" w:rsidRPr="00DB1E3C" w:rsidTr="00ED3B36">
        <w:tc>
          <w:tcPr>
            <w:tcW w:w="1701" w:type="dxa"/>
            <w:tcBorders>
              <w:bottom w:val="single" w:sz="2" w:space="0" w:color="auto"/>
            </w:tcBorders>
            <w:shd w:val="clear" w:color="auto" w:fill="auto"/>
          </w:tcPr>
          <w:p w:rsidR="002527C0" w:rsidRPr="00DB1E3C" w:rsidRDefault="00ED3B36" w:rsidP="00DB1E3C">
            <w:pPr>
              <w:pStyle w:val="Tabletext"/>
            </w:pPr>
            <w:r w:rsidRPr="00DB1E3C">
              <w:t>4</w:t>
            </w:r>
            <w:r w:rsidR="002527C0" w:rsidRPr="00DB1E3C">
              <w:t>.  Schedule</w:t>
            </w:r>
            <w:r w:rsidR="00DB1E3C" w:rsidRPr="00DB1E3C">
              <w:t> </w:t>
            </w:r>
            <w:r w:rsidR="002527C0" w:rsidRPr="00DB1E3C">
              <w:t>1, item</w:t>
            </w:r>
            <w:r w:rsidR="00DB1E3C" w:rsidRPr="00DB1E3C">
              <w:t> </w:t>
            </w:r>
            <w:r w:rsidR="002527C0" w:rsidRPr="00DB1E3C">
              <w:t>13</w:t>
            </w:r>
          </w:p>
        </w:tc>
        <w:tc>
          <w:tcPr>
            <w:tcW w:w="3828" w:type="dxa"/>
            <w:tcBorders>
              <w:bottom w:val="single" w:sz="2" w:space="0" w:color="auto"/>
            </w:tcBorders>
            <w:shd w:val="clear" w:color="auto" w:fill="auto"/>
          </w:tcPr>
          <w:p w:rsidR="002527C0" w:rsidRPr="00DB1E3C" w:rsidRDefault="002527C0" w:rsidP="00DB1E3C">
            <w:pPr>
              <w:pStyle w:val="Tabletext"/>
            </w:pPr>
            <w:r w:rsidRPr="00DB1E3C">
              <w:t>The day after the end of the period of 6 months beginning on the day this Act receives the Royal Assent.</w:t>
            </w:r>
          </w:p>
        </w:tc>
        <w:tc>
          <w:tcPr>
            <w:tcW w:w="1582" w:type="dxa"/>
            <w:tcBorders>
              <w:bottom w:val="single" w:sz="2" w:space="0" w:color="auto"/>
            </w:tcBorders>
            <w:shd w:val="clear" w:color="auto" w:fill="auto"/>
          </w:tcPr>
          <w:p w:rsidR="002527C0" w:rsidRPr="00DB1E3C" w:rsidRDefault="00A77508" w:rsidP="00DB1E3C">
            <w:pPr>
              <w:pStyle w:val="Tabletext"/>
            </w:pPr>
            <w:r>
              <w:t>6 September 2020</w:t>
            </w:r>
          </w:p>
        </w:tc>
      </w:tr>
      <w:tr w:rsidR="002527C0" w:rsidRPr="00DB1E3C" w:rsidTr="00ED3B36">
        <w:tc>
          <w:tcPr>
            <w:tcW w:w="1701" w:type="dxa"/>
            <w:tcBorders>
              <w:top w:val="single" w:sz="2" w:space="0" w:color="auto"/>
              <w:bottom w:val="single" w:sz="12" w:space="0" w:color="auto"/>
            </w:tcBorders>
            <w:shd w:val="clear" w:color="auto" w:fill="auto"/>
          </w:tcPr>
          <w:p w:rsidR="002527C0" w:rsidRPr="00DB1E3C" w:rsidRDefault="00ED3B36" w:rsidP="00DB1E3C">
            <w:pPr>
              <w:pStyle w:val="Tabletext"/>
            </w:pPr>
            <w:r w:rsidRPr="00DB1E3C">
              <w:t>5</w:t>
            </w:r>
            <w:r w:rsidR="002527C0" w:rsidRPr="00DB1E3C">
              <w:t>.  Schedule</w:t>
            </w:r>
            <w:r w:rsidR="00DB1E3C" w:rsidRPr="00DB1E3C">
              <w:t> </w:t>
            </w:r>
            <w:r w:rsidR="002527C0" w:rsidRPr="00DB1E3C">
              <w:t>1, item</w:t>
            </w:r>
            <w:r w:rsidR="00DB1E3C" w:rsidRPr="00DB1E3C">
              <w:t> </w:t>
            </w:r>
            <w:r w:rsidR="002527C0" w:rsidRPr="00DB1E3C">
              <w:t>14</w:t>
            </w:r>
          </w:p>
        </w:tc>
        <w:tc>
          <w:tcPr>
            <w:tcW w:w="3828" w:type="dxa"/>
            <w:tcBorders>
              <w:top w:val="single" w:sz="2" w:space="0" w:color="auto"/>
              <w:bottom w:val="single" w:sz="12" w:space="0" w:color="auto"/>
            </w:tcBorders>
            <w:shd w:val="clear" w:color="auto" w:fill="auto"/>
          </w:tcPr>
          <w:p w:rsidR="002527C0" w:rsidRPr="00DB1E3C" w:rsidRDefault="002527C0" w:rsidP="00DB1E3C">
            <w:pPr>
              <w:pStyle w:val="Tabletext"/>
            </w:pPr>
            <w:r w:rsidRPr="00DB1E3C">
              <w:t>24</w:t>
            </w:r>
            <w:r w:rsidR="00DB1E3C" w:rsidRPr="00DB1E3C">
              <w:t> </w:t>
            </w:r>
            <w:r w:rsidRPr="00DB1E3C">
              <w:t>May 2018.</w:t>
            </w:r>
          </w:p>
        </w:tc>
        <w:tc>
          <w:tcPr>
            <w:tcW w:w="1582" w:type="dxa"/>
            <w:tcBorders>
              <w:top w:val="single" w:sz="2" w:space="0" w:color="auto"/>
              <w:bottom w:val="single" w:sz="12" w:space="0" w:color="auto"/>
            </w:tcBorders>
            <w:shd w:val="clear" w:color="auto" w:fill="auto"/>
          </w:tcPr>
          <w:p w:rsidR="002527C0" w:rsidRPr="00DB1E3C" w:rsidRDefault="002527C0" w:rsidP="00DB1E3C">
            <w:pPr>
              <w:pStyle w:val="Tabletext"/>
            </w:pPr>
            <w:r w:rsidRPr="00DB1E3C">
              <w:t>24</w:t>
            </w:r>
            <w:r w:rsidR="00DB1E3C" w:rsidRPr="00DB1E3C">
              <w:t> </w:t>
            </w:r>
            <w:r w:rsidRPr="00DB1E3C">
              <w:t>May 2018</w:t>
            </w:r>
          </w:p>
        </w:tc>
      </w:tr>
    </w:tbl>
    <w:p w:rsidR="0048364F" w:rsidRPr="00DB1E3C" w:rsidRDefault="00201D27" w:rsidP="00DB1E3C">
      <w:pPr>
        <w:pStyle w:val="notetext"/>
      </w:pPr>
      <w:r w:rsidRPr="00DB1E3C">
        <w:t>Note:</w:t>
      </w:r>
      <w:r w:rsidRPr="00DB1E3C">
        <w:tab/>
        <w:t>This table relates only to the provisions of this Act as originally enacted. It will not be amended to deal with any later amendments of this Act.</w:t>
      </w:r>
    </w:p>
    <w:p w:rsidR="0048364F" w:rsidRPr="00DB1E3C" w:rsidRDefault="0048364F" w:rsidP="00DB1E3C">
      <w:pPr>
        <w:pStyle w:val="subsection"/>
      </w:pPr>
      <w:r w:rsidRPr="00DB1E3C">
        <w:tab/>
        <w:t>(2)</w:t>
      </w:r>
      <w:r w:rsidRPr="00DB1E3C">
        <w:tab/>
      </w:r>
      <w:r w:rsidR="00201D27" w:rsidRPr="00DB1E3C">
        <w:t xml:space="preserve">Any information in </w:t>
      </w:r>
      <w:r w:rsidR="00877D48" w:rsidRPr="00DB1E3C">
        <w:t>c</w:t>
      </w:r>
      <w:r w:rsidR="00201D27" w:rsidRPr="00DB1E3C">
        <w:t>olumn 3 of the table is not part of this Act. Information may be inserted in this column, or information in it may be edited, in any published version of this Act.</w:t>
      </w:r>
    </w:p>
    <w:p w:rsidR="0048364F" w:rsidRPr="00DB1E3C" w:rsidRDefault="0048364F" w:rsidP="00DB1E3C">
      <w:pPr>
        <w:pStyle w:val="ActHead5"/>
      </w:pPr>
      <w:bookmarkStart w:id="3" w:name="_Toc34838877"/>
      <w:r w:rsidRPr="00DB1E3C">
        <w:rPr>
          <w:rStyle w:val="CharSectno"/>
        </w:rPr>
        <w:t>3</w:t>
      </w:r>
      <w:r w:rsidRPr="00DB1E3C">
        <w:t xml:space="preserve">  Schedules</w:t>
      </w:r>
      <w:bookmarkEnd w:id="3"/>
    </w:p>
    <w:p w:rsidR="0048364F" w:rsidRPr="00DB1E3C" w:rsidRDefault="0048364F" w:rsidP="00DB1E3C">
      <w:pPr>
        <w:pStyle w:val="subsection"/>
      </w:pPr>
      <w:r w:rsidRPr="00DB1E3C">
        <w:tab/>
      </w:r>
      <w:r w:rsidRPr="00DB1E3C">
        <w:tab/>
      </w:r>
      <w:r w:rsidR="00202618" w:rsidRPr="00DB1E3C">
        <w:t>Legislation that is specified in a Schedule to this Act is amended or repealed as set out in the applicable items in the Schedule concerned, and any other item in a Schedule to this Act has effect according to its terms.</w:t>
      </w:r>
    </w:p>
    <w:p w:rsidR="00CD62E1" w:rsidRPr="00DB1E3C" w:rsidRDefault="00CD62E1" w:rsidP="00DB1E3C">
      <w:pPr>
        <w:pStyle w:val="ActHead6"/>
        <w:pageBreakBefore/>
      </w:pPr>
      <w:bookmarkStart w:id="4" w:name="opcAmSched"/>
      <w:bookmarkStart w:id="5" w:name="opcCurrentFind"/>
      <w:bookmarkStart w:id="6" w:name="_Toc34838878"/>
      <w:r w:rsidRPr="00DB1E3C">
        <w:rPr>
          <w:rStyle w:val="CharAmSchNo"/>
        </w:rPr>
        <w:lastRenderedPageBreak/>
        <w:t>Schedule</w:t>
      </w:r>
      <w:r w:rsidR="00DB1E3C" w:rsidRPr="00DB1E3C">
        <w:rPr>
          <w:rStyle w:val="CharAmSchNo"/>
        </w:rPr>
        <w:t> </w:t>
      </w:r>
      <w:r w:rsidRPr="00DB1E3C">
        <w:rPr>
          <w:rStyle w:val="CharAmSchNo"/>
        </w:rPr>
        <w:t>1</w:t>
      </w:r>
      <w:r w:rsidRPr="00DB1E3C">
        <w:t>—</w:t>
      </w:r>
      <w:r w:rsidRPr="00DB1E3C">
        <w:rPr>
          <w:rStyle w:val="CharAmSchText"/>
        </w:rPr>
        <w:t>Superannuation guarantee amnesty</w:t>
      </w:r>
      <w:bookmarkEnd w:id="6"/>
    </w:p>
    <w:bookmarkEnd w:id="4"/>
    <w:bookmarkEnd w:id="5"/>
    <w:p w:rsidR="00CD62E1" w:rsidRPr="00DB1E3C" w:rsidRDefault="00CD62E1" w:rsidP="00DB1E3C">
      <w:pPr>
        <w:pStyle w:val="Header"/>
      </w:pPr>
      <w:r w:rsidRPr="00DB1E3C">
        <w:rPr>
          <w:rStyle w:val="CharAmPartNo"/>
        </w:rPr>
        <w:t xml:space="preserve"> </w:t>
      </w:r>
      <w:r w:rsidRPr="00DB1E3C">
        <w:rPr>
          <w:rStyle w:val="CharAmPartText"/>
        </w:rPr>
        <w:t xml:space="preserve"> </w:t>
      </w:r>
    </w:p>
    <w:p w:rsidR="00CD62E1" w:rsidRPr="00DB1E3C" w:rsidRDefault="00CD62E1" w:rsidP="00DB1E3C">
      <w:pPr>
        <w:pStyle w:val="ActHead9"/>
        <w:rPr>
          <w:i w:val="0"/>
        </w:rPr>
      </w:pPr>
      <w:bookmarkStart w:id="7" w:name="_Toc34838879"/>
      <w:r w:rsidRPr="00DB1E3C">
        <w:t>Income Tax Assessment Act 1997</w:t>
      </w:r>
      <w:bookmarkEnd w:id="7"/>
    </w:p>
    <w:p w:rsidR="00CD62E1" w:rsidRPr="00DB1E3C" w:rsidRDefault="00CD62E1" w:rsidP="00DB1E3C">
      <w:pPr>
        <w:pStyle w:val="ItemHead"/>
      </w:pPr>
      <w:r w:rsidRPr="00DB1E3C">
        <w:t>1  Section</w:t>
      </w:r>
      <w:r w:rsidR="00DB1E3C" w:rsidRPr="00DB1E3C">
        <w:t> </w:t>
      </w:r>
      <w:r w:rsidRPr="00DB1E3C">
        <w:t>26</w:t>
      </w:r>
      <w:r w:rsidR="00423629">
        <w:noBreakHyphen/>
      </w:r>
      <w:r w:rsidRPr="00DB1E3C">
        <w:t>95</w:t>
      </w:r>
    </w:p>
    <w:p w:rsidR="00CD62E1" w:rsidRPr="00DB1E3C" w:rsidRDefault="00CD62E1" w:rsidP="00DB1E3C">
      <w:pPr>
        <w:pStyle w:val="Item"/>
      </w:pPr>
      <w:r w:rsidRPr="00DB1E3C">
        <w:t>Before “You”, insert “(1)”.</w:t>
      </w:r>
    </w:p>
    <w:p w:rsidR="00CD62E1" w:rsidRPr="00DB1E3C" w:rsidRDefault="00CD62E1" w:rsidP="00DB1E3C">
      <w:pPr>
        <w:pStyle w:val="ItemHead"/>
      </w:pPr>
      <w:r w:rsidRPr="00DB1E3C">
        <w:t>2  At the end of section</w:t>
      </w:r>
      <w:r w:rsidR="00DB1E3C" w:rsidRPr="00DB1E3C">
        <w:t> </w:t>
      </w:r>
      <w:r w:rsidRPr="00DB1E3C">
        <w:t>26</w:t>
      </w:r>
      <w:r w:rsidR="00423629">
        <w:noBreakHyphen/>
      </w:r>
      <w:r w:rsidRPr="00DB1E3C">
        <w:t>95</w:t>
      </w:r>
    </w:p>
    <w:p w:rsidR="00CD62E1" w:rsidRPr="00DB1E3C" w:rsidRDefault="00CD62E1" w:rsidP="00DB1E3C">
      <w:pPr>
        <w:pStyle w:val="Item"/>
      </w:pPr>
      <w:r w:rsidRPr="00DB1E3C">
        <w:t>Add:</w:t>
      </w:r>
    </w:p>
    <w:p w:rsidR="00CD62E1" w:rsidRPr="00DB1E3C" w:rsidRDefault="00CD62E1" w:rsidP="00DB1E3C">
      <w:pPr>
        <w:pStyle w:val="subsection"/>
      </w:pPr>
      <w:r w:rsidRPr="00DB1E3C">
        <w:tab/>
        <w:t>(2)</w:t>
      </w:r>
      <w:r w:rsidRPr="00DB1E3C">
        <w:tab/>
        <w:t xml:space="preserve">However, if the charge relates to a </w:t>
      </w:r>
      <w:r w:rsidR="00DB1E3C" w:rsidRPr="00DB1E3C">
        <w:rPr>
          <w:position w:val="6"/>
          <w:sz w:val="16"/>
        </w:rPr>
        <w:t>*</w:t>
      </w:r>
      <w:r w:rsidRPr="00DB1E3C">
        <w:t>superannuation guarantee shortfall for which you qualify for an amnesty under section</w:t>
      </w:r>
      <w:r w:rsidR="00DB1E3C" w:rsidRPr="00DB1E3C">
        <w:t> </w:t>
      </w:r>
      <w:r w:rsidRPr="00DB1E3C">
        <w:t xml:space="preserve">74 of the </w:t>
      </w:r>
      <w:r w:rsidRPr="00DB1E3C">
        <w:rPr>
          <w:i/>
        </w:rPr>
        <w:t>Superannuation Guarantee (Administration) Act 1992</w:t>
      </w:r>
      <w:r w:rsidRPr="00DB1E3C">
        <w:t>, this section does not apply to a payment that:</w:t>
      </w:r>
    </w:p>
    <w:p w:rsidR="00CD62E1" w:rsidRPr="00DB1E3C" w:rsidRDefault="00CD62E1" w:rsidP="00DB1E3C">
      <w:pPr>
        <w:pStyle w:val="paragraph"/>
      </w:pPr>
      <w:r w:rsidRPr="00DB1E3C">
        <w:tab/>
        <w:t>(a)</w:t>
      </w:r>
      <w:r w:rsidRPr="00DB1E3C">
        <w:tab/>
        <w:t>is made, under that Act, during the amnesty period (within the meaning of subsection</w:t>
      </w:r>
      <w:r w:rsidR="00DB1E3C" w:rsidRPr="00DB1E3C">
        <w:t> </w:t>
      </w:r>
      <w:r w:rsidRPr="00DB1E3C">
        <w:t>74(3) of that Act); and</w:t>
      </w:r>
    </w:p>
    <w:p w:rsidR="00CD62E1" w:rsidRPr="00DB1E3C" w:rsidRDefault="00CD62E1" w:rsidP="00DB1E3C">
      <w:pPr>
        <w:pStyle w:val="paragraph"/>
      </w:pPr>
      <w:r w:rsidRPr="00DB1E3C">
        <w:tab/>
        <w:t>(b)</w:t>
      </w:r>
      <w:r w:rsidRPr="00DB1E3C">
        <w:tab/>
        <w:t>is made in relation to the charge, whether or not the Commissioner applies the payment to satisfy your liability to pay the charge;</w:t>
      </w:r>
    </w:p>
    <w:p w:rsidR="00CD62E1" w:rsidRPr="00DB1E3C" w:rsidRDefault="00CD62E1" w:rsidP="00DB1E3C">
      <w:pPr>
        <w:pStyle w:val="subsection2"/>
      </w:pPr>
      <w:r w:rsidRPr="00DB1E3C">
        <w:t>except to the extent that the payment, when taken together with any other such payments made in relation to the charge, exceeds the amount paid as a result of a disclosure to which paragraph</w:t>
      </w:r>
      <w:r w:rsidR="00DB1E3C" w:rsidRPr="00DB1E3C">
        <w:t> </w:t>
      </w:r>
      <w:r w:rsidRPr="00DB1E3C">
        <w:t>74(1)(a) of that Act applies in relation to the shortfall.</w:t>
      </w:r>
    </w:p>
    <w:p w:rsidR="00CD62E1" w:rsidRPr="00DB1E3C" w:rsidRDefault="00CD62E1" w:rsidP="00DB1E3C">
      <w:pPr>
        <w:pStyle w:val="ItemHead"/>
      </w:pPr>
      <w:r w:rsidRPr="00DB1E3C">
        <w:t>3  Section</w:t>
      </w:r>
      <w:r w:rsidR="00DB1E3C" w:rsidRPr="00DB1E3C">
        <w:t> </w:t>
      </w:r>
      <w:r w:rsidRPr="00DB1E3C">
        <w:t>290</w:t>
      </w:r>
      <w:r w:rsidR="00423629">
        <w:noBreakHyphen/>
      </w:r>
      <w:r w:rsidRPr="00DB1E3C">
        <w:t>95</w:t>
      </w:r>
    </w:p>
    <w:p w:rsidR="00CD62E1" w:rsidRPr="00DB1E3C" w:rsidRDefault="00CD62E1" w:rsidP="00DB1E3C">
      <w:pPr>
        <w:pStyle w:val="Item"/>
      </w:pPr>
      <w:r w:rsidRPr="00DB1E3C">
        <w:t>Before “You”, insert “(1)”.</w:t>
      </w:r>
    </w:p>
    <w:p w:rsidR="00CD62E1" w:rsidRPr="00DB1E3C" w:rsidRDefault="00CD62E1" w:rsidP="00DB1E3C">
      <w:pPr>
        <w:pStyle w:val="ItemHead"/>
      </w:pPr>
      <w:r w:rsidRPr="00DB1E3C">
        <w:t>4  Section</w:t>
      </w:r>
      <w:r w:rsidR="00DB1E3C" w:rsidRPr="00DB1E3C">
        <w:t> </w:t>
      </w:r>
      <w:r w:rsidRPr="00DB1E3C">
        <w:t>290</w:t>
      </w:r>
      <w:r w:rsidR="00423629">
        <w:noBreakHyphen/>
      </w:r>
      <w:r w:rsidRPr="00DB1E3C">
        <w:t>95 (note)</w:t>
      </w:r>
    </w:p>
    <w:p w:rsidR="00CD62E1" w:rsidRPr="00DB1E3C" w:rsidRDefault="00CD62E1" w:rsidP="00DB1E3C">
      <w:pPr>
        <w:pStyle w:val="Item"/>
      </w:pPr>
      <w:r w:rsidRPr="00DB1E3C">
        <w:t>Repeal the note, substitute:</w:t>
      </w:r>
    </w:p>
    <w:p w:rsidR="00CD62E1" w:rsidRPr="00DB1E3C" w:rsidRDefault="00CD62E1" w:rsidP="00DB1E3C">
      <w:pPr>
        <w:pStyle w:val="notetext"/>
      </w:pPr>
      <w:r w:rsidRPr="00DB1E3C">
        <w:t>Note:</w:t>
      </w:r>
      <w:r w:rsidRPr="00DB1E3C">
        <w:tab/>
        <w:t>Section</w:t>
      </w:r>
      <w:r w:rsidR="00DB1E3C" w:rsidRPr="00DB1E3C">
        <w:t> </w:t>
      </w:r>
      <w:r w:rsidRPr="00DB1E3C">
        <w:t>26</w:t>
      </w:r>
      <w:r w:rsidR="00423629">
        <w:noBreakHyphen/>
      </w:r>
      <w:r w:rsidRPr="00DB1E3C">
        <w:t xml:space="preserve">95 restricts deductions for charges imposed by the </w:t>
      </w:r>
      <w:r w:rsidRPr="00DB1E3C">
        <w:rPr>
          <w:i/>
        </w:rPr>
        <w:t>Superannuation Guarantee Charge Act 1992</w:t>
      </w:r>
      <w:r w:rsidRPr="00DB1E3C">
        <w:t>.</w:t>
      </w:r>
    </w:p>
    <w:p w:rsidR="00CD62E1" w:rsidRPr="00DB1E3C" w:rsidRDefault="00CD62E1" w:rsidP="00DB1E3C">
      <w:pPr>
        <w:pStyle w:val="ItemHead"/>
      </w:pPr>
      <w:r w:rsidRPr="00DB1E3C">
        <w:t>5  At the end of section</w:t>
      </w:r>
      <w:r w:rsidR="00DB1E3C" w:rsidRPr="00DB1E3C">
        <w:t> </w:t>
      </w:r>
      <w:r w:rsidRPr="00DB1E3C">
        <w:t>290</w:t>
      </w:r>
      <w:r w:rsidR="00423629">
        <w:noBreakHyphen/>
      </w:r>
      <w:r w:rsidRPr="00DB1E3C">
        <w:t>95 (after the note)</w:t>
      </w:r>
    </w:p>
    <w:p w:rsidR="00CD62E1" w:rsidRPr="00DB1E3C" w:rsidRDefault="00CD62E1" w:rsidP="00DB1E3C">
      <w:pPr>
        <w:pStyle w:val="Item"/>
      </w:pPr>
      <w:r w:rsidRPr="00DB1E3C">
        <w:t>Add:</w:t>
      </w:r>
    </w:p>
    <w:p w:rsidR="00CD62E1" w:rsidRPr="00DB1E3C" w:rsidRDefault="00CD62E1" w:rsidP="00DB1E3C">
      <w:pPr>
        <w:pStyle w:val="subsection"/>
      </w:pPr>
      <w:r w:rsidRPr="00DB1E3C">
        <w:tab/>
        <w:t>(2)</w:t>
      </w:r>
      <w:r w:rsidRPr="00DB1E3C">
        <w:tab/>
        <w:t>However, this section does not apply to such a contribution that is made during the amnesty period (within the meaning of subsection</w:t>
      </w:r>
      <w:r w:rsidR="00DB1E3C" w:rsidRPr="00DB1E3C">
        <w:t> </w:t>
      </w:r>
      <w:r w:rsidRPr="00DB1E3C">
        <w:t xml:space="preserve">74(3) of the </w:t>
      </w:r>
      <w:r w:rsidRPr="00DB1E3C">
        <w:rPr>
          <w:i/>
        </w:rPr>
        <w:t>Superannuation Guarantee (Administration) Act 1992</w:t>
      </w:r>
      <w:r w:rsidRPr="00DB1E3C">
        <w:t xml:space="preserve">), to the extent that the charge relates to a </w:t>
      </w:r>
      <w:r w:rsidR="00DB1E3C" w:rsidRPr="00DB1E3C">
        <w:rPr>
          <w:position w:val="6"/>
          <w:sz w:val="16"/>
        </w:rPr>
        <w:t>*</w:t>
      </w:r>
      <w:r w:rsidRPr="00DB1E3C">
        <w:t>superannuation guarantee shortfall for which you qualify for an amnesty under section</w:t>
      </w:r>
      <w:r w:rsidR="00DB1E3C" w:rsidRPr="00DB1E3C">
        <w:t> </w:t>
      </w:r>
      <w:r w:rsidRPr="00DB1E3C">
        <w:t>74 of that Act.</w:t>
      </w:r>
    </w:p>
    <w:p w:rsidR="00CD62E1" w:rsidRPr="00DB1E3C" w:rsidRDefault="00CD62E1" w:rsidP="00DB1E3C">
      <w:pPr>
        <w:pStyle w:val="ItemHead"/>
      </w:pPr>
      <w:r w:rsidRPr="00DB1E3C">
        <w:t>6  After subsection</w:t>
      </w:r>
      <w:r w:rsidR="00DB1E3C" w:rsidRPr="00DB1E3C">
        <w:t> </w:t>
      </w:r>
      <w:r w:rsidRPr="00DB1E3C">
        <w:t>291</w:t>
      </w:r>
      <w:r w:rsidR="00423629">
        <w:noBreakHyphen/>
      </w:r>
      <w:r w:rsidRPr="00DB1E3C">
        <w:t>465(2)</w:t>
      </w:r>
    </w:p>
    <w:p w:rsidR="00CD62E1" w:rsidRPr="00DB1E3C" w:rsidRDefault="00CD62E1" w:rsidP="00DB1E3C">
      <w:pPr>
        <w:pStyle w:val="Item"/>
      </w:pPr>
      <w:r w:rsidRPr="00DB1E3C">
        <w:t>Insert:</w:t>
      </w:r>
    </w:p>
    <w:p w:rsidR="00CD62E1" w:rsidRPr="00DB1E3C" w:rsidRDefault="00CD62E1" w:rsidP="00DB1E3C">
      <w:pPr>
        <w:pStyle w:val="subsection"/>
      </w:pPr>
      <w:r w:rsidRPr="00DB1E3C">
        <w:tab/>
        <w:t>(2A)</w:t>
      </w:r>
      <w:r w:rsidRPr="00DB1E3C">
        <w:tab/>
      </w:r>
      <w:r w:rsidR="00DB1E3C" w:rsidRPr="00DB1E3C">
        <w:t>Paragraph (</w:t>
      </w:r>
      <w:r w:rsidRPr="00DB1E3C">
        <w:t>2)(a) does not apply if:</w:t>
      </w:r>
    </w:p>
    <w:p w:rsidR="00CD62E1" w:rsidRPr="00DB1E3C" w:rsidRDefault="00CD62E1" w:rsidP="00DB1E3C">
      <w:pPr>
        <w:pStyle w:val="paragraph"/>
      </w:pPr>
      <w:r w:rsidRPr="00DB1E3C">
        <w:tab/>
        <w:t>(a)</w:t>
      </w:r>
      <w:r w:rsidRPr="00DB1E3C">
        <w:tab/>
        <w:t>the determination relates to a contribution that is an amount the Commissioner pays for your benefit under Part</w:t>
      </w:r>
      <w:r w:rsidR="00DB1E3C" w:rsidRPr="00DB1E3C">
        <w:t> </w:t>
      </w:r>
      <w:r w:rsidRPr="00DB1E3C">
        <w:t xml:space="preserve">8 of the </w:t>
      </w:r>
      <w:r w:rsidRPr="00DB1E3C">
        <w:rPr>
          <w:i/>
        </w:rPr>
        <w:t>Superannuation Guarantee (Administration) Act 1992</w:t>
      </w:r>
      <w:r w:rsidRPr="00DB1E3C">
        <w:t>; and</w:t>
      </w:r>
    </w:p>
    <w:p w:rsidR="00CD62E1" w:rsidRPr="00DB1E3C" w:rsidRDefault="00CD62E1" w:rsidP="00DB1E3C">
      <w:pPr>
        <w:pStyle w:val="paragraph"/>
      </w:pPr>
      <w:r w:rsidRPr="00DB1E3C">
        <w:tab/>
        <w:t>(b)</w:t>
      </w:r>
      <w:r w:rsidRPr="00DB1E3C">
        <w:tab/>
        <w:t>the amount represents an amount of a charge payment (within the meaning of section</w:t>
      </w:r>
      <w:r w:rsidR="00DB1E3C" w:rsidRPr="00DB1E3C">
        <w:t> </w:t>
      </w:r>
      <w:r w:rsidRPr="00DB1E3C">
        <w:t>63A of that Act) paid as a result of a disclosure to which paragraph</w:t>
      </w:r>
      <w:r w:rsidR="00DB1E3C" w:rsidRPr="00DB1E3C">
        <w:t> </w:t>
      </w:r>
      <w:r w:rsidRPr="00DB1E3C">
        <w:t>74(1)(a) of that Act applies; and</w:t>
      </w:r>
    </w:p>
    <w:p w:rsidR="00CD62E1" w:rsidRPr="00DB1E3C" w:rsidRDefault="00CD62E1" w:rsidP="00DB1E3C">
      <w:pPr>
        <w:pStyle w:val="paragraph"/>
      </w:pPr>
      <w:r w:rsidRPr="00DB1E3C">
        <w:tab/>
        <w:t>(c)</w:t>
      </w:r>
      <w:r w:rsidRPr="00DB1E3C">
        <w:tab/>
        <w:t>the entity making the disclosure qualified, under section</w:t>
      </w:r>
      <w:r w:rsidR="00DB1E3C" w:rsidRPr="00DB1E3C">
        <w:t> </w:t>
      </w:r>
      <w:r w:rsidRPr="00DB1E3C">
        <w:t xml:space="preserve">74 of that Act, for an amnesty in relation to the </w:t>
      </w:r>
      <w:r w:rsidR="00DB1E3C" w:rsidRPr="00DB1E3C">
        <w:rPr>
          <w:position w:val="6"/>
          <w:sz w:val="16"/>
        </w:rPr>
        <w:t>*</w:t>
      </w:r>
      <w:r w:rsidRPr="00DB1E3C">
        <w:t>superannuation guarantee shortfall to which the charge payment relates.</w:t>
      </w:r>
    </w:p>
    <w:p w:rsidR="00CD62E1" w:rsidRPr="00DB1E3C" w:rsidRDefault="00CD62E1" w:rsidP="00DB1E3C">
      <w:pPr>
        <w:pStyle w:val="ItemHead"/>
      </w:pPr>
      <w:r w:rsidRPr="00DB1E3C">
        <w:t>7  At the end of subsection</w:t>
      </w:r>
      <w:r w:rsidR="00DB1E3C" w:rsidRPr="00DB1E3C">
        <w:t> </w:t>
      </w:r>
      <w:r w:rsidRPr="00DB1E3C">
        <w:t>293</w:t>
      </w:r>
      <w:r w:rsidR="00423629">
        <w:noBreakHyphen/>
      </w:r>
      <w:r w:rsidRPr="00DB1E3C">
        <w:t>30(4)</w:t>
      </w:r>
    </w:p>
    <w:p w:rsidR="00CD62E1" w:rsidRPr="00DB1E3C" w:rsidRDefault="00CD62E1" w:rsidP="00DB1E3C">
      <w:pPr>
        <w:pStyle w:val="Item"/>
      </w:pPr>
      <w:r w:rsidRPr="00DB1E3C">
        <w:t>Add:</w:t>
      </w:r>
    </w:p>
    <w:p w:rsidR="00CD62E1" w:rsidRPr="00DB1E3C" w:rsidRDefault="00CD62E1" w:rsidP="00DB1E3C">
      <w:pPr>
        <w:pStyle w:val="paragraph"/>
      </w:pPr>
      <w:r w:rsidRPr="00DB1E3C">
        <w:tab/>
        <w:t>; (c)</w:t>
      </w:r>
      <w:r w:rsidRPr="00DB1E3C">
        <w:tab/>
        <w:t>an amount that the Commissioner pays for your benefit under Part</w:t>
      </w:r>
      <w:r w:rsidR="00DB1E3C" w:rsidRPr="00DB1E3C">
        <w:t> </w:t>
      </w:r>
      <w:r w:rsidRPr="00DB1E3C">
        <w:t xml:space="preserve">8 of the </w:t>
      </w:r>
      <w:r w:rsidRPr="00DB1E3C">
        <w:rPr>
          <w:i/>
        </w:rPr>
        <w:t>Superannuation Guarantee (Administration) Act 1992</w:t>
      </w:r>
      <w:r w:rsidRPr="00DB1E3C">
        <w:t>, if:</w:t>
      </w:r>
    </w:p>
    <w:p w:rsidR="00CD62E1" w:rsidRPr="00DB1E3C" w:rsidRDefault="00CD62E1" w:rsidP="00DB1E3C">
      <w:pPr>
        <w:pStyle w:val="paragraphsub"/>
      </w:pPr>
      <w:r w:rsidRPr="00DB1E3C">
        <w:tab/>
        <w:t>(i)</w:t>
      </w:r>
      <w:r w:rsidRPr="00DB1E3C">
        <w:tab/>
        <w:t>the amount represents an amount of a charge payment (within the meaning of section</w:t>
      </w:r>
      <w:r w:rsidR="00DB1E3C" w:rsidRPr="00DB1E3C">
        <w:t> </w:t>
      </w:r>
      <w:r w:rsidRPr="00DB1E3C">
        <w:t>63A of that Act) paid as a result of a disclosure to which paragraph</w:t>
      </w:r>
      <w:r w:rsidR="00DB1E3C" w:rsidRPr="00DB1E3C">
        <w:t> </w:t>
      </w:r>
      <w:r w:rsidRPr="00DB1E3C">
        <w:t>74(1)(a) of that Act applies; and</w:t>
      </w:r>
    </w:p>
    <w:p w:rsidR="00CD62E1" w:rsidRPr="00DB1E3C" w:rsidRDefault="00CD62E1" w:rsidP="00DB1E3C">
      <w:pPr>
        <w:pStyle w:val="paragraphsub"/>
      </w:pPr>
      <w:r w:rsidRPr="00DB1E3C">
        <w:tab/>
        <w:t>(ii)</w:t>
      </w:r>
      <w:r w:rsidRPr="00DB1E3C">
        <w:tab/>
        <w:t>the entity making the disclosure qualified, under section</w:t>
      </w:r>
      <w:r w:rsidR="00DB1E3C" w:rsidRPr="00DB1E3C">
        <w:t> </w:t>
      </w:r>
      <w:r w:rsidRPr="00DB1E3C">
        <w:t xml:space="preserve">74 of that Act, for an amnesty in relation to the </w:t>
      </w:r>
      <w:r w:rsidR="00DB1E3C" w:rsidRPr="00DB1E3C">
        <w:rPr>
          <w:position w:val="6"/>
          <w:sz w:val="16"/>
        </w:rPr>
        <w:t>*</w:t>
      </w:r>
      <w:r w:rsidRPr="00DB1E3C">
        <w:t>superannuation guarantee shortfall to which the charge payment relates;</w:t>
      </w:r>
    </w:p>
    <w:p w:rsidR="00CD62E1" w:rsidRPr="00DB1E3C" w:rsidRDefault="00CD62E1" w:rsidP="00DB1E3C">
      <w:pPr>
        <w:pStyle w:val="paragraph"/>
      </w:pPr>
      <w:r w:rsidRPr="00DB1E3C">
        <w:tab/>
        <w:t>(d)</w:t>
      </w:r>
      <w:r w:rsidRPr="00DB1E3C">
        <w:tab/>
        <w:t>an amount that an entity contributes for your benefit that is offset, under section</w:t>
      </w:r>
      <w:r w:rsidR="00DB1E3C" w:rsidRPr="00DB1E3C">
        <w:t> </w:t>
      </w:r>
      <w:r w:rsidRPr="00DB1E3C">
        <w:t>23A of that Act, against the entity’s liability to pay superannuation guarantee charge (within the meaning of that Act), if:</w:t>
      </w:r>
    </w:p>
    <w:p w:rsidR="00CD62E1" w:rsidRPr="00DB1E3C" w:rsidRDefault="00CD62E1" w:rsidP="00DB1E3C">
      <w:pPr>
        <w:pStyle w:val="paragraphsub"/>
      </w:pPr>
      <w:r w:rsidRPr="00DB1E3C">
        <w:tab/>
        <w:t>(i)</w:t>
      </w:r>
      <w:r w:rsidRPr="00DB1E3C">
        <w:tab/>
        <w:t>the amount represents an amount of a superannuation guarantee charge covered by a disclosure to which paragraph</w:t>
      </w:r>
      <w:r w:rsidR="00DB1E3C" w:rsidRPr="00DB1E3C">
        <w:t> </w:t>
      </w:r>
      <w:r w:rsidRPr="00DB1E3C">
        <w:t>74(1)(a) of that Act applies; and</w:t>
      </w:r>
    </w:p>
    <w:p w:rsidR="00CD62E1" w:rsidRPr="00DB1E3C" w:rsidRDefault="00CD62E1" w:rsidP="00DB1E3C">
      <w:pPr>
        <w:pStyle w:val="paragraphsub"/>
      </w:pPr>
      <w:r w:rsidRPr="00DB1E3C">
        <w:tab/>
        <w:t>(ii)</w:t>
      </w:r>
      <w:r w:rsidRPr="00DB1E3C">
        <w:tab/>
        <w:t>the entity qualified, under section</w:t>
      </w:r>
      <w:r w:rsidR="00DB1E3C" w:rsidRPr="00DB1E3C">
        <w:t> </w:t>
      </w:r>
      <w:r w:rsidRPr="00DB1E3C">
        <w:t>74 of that Act, for an amnesty in relation to the superannuation guarantee shortfall to which the superannuation guarantee charge relates.</w:t>
      </w:r>
    </w:p>
    <w:p w:rsidR="00CD62E1" w:rsidRPr="00DB1E3C" w:rsidRDefault="00CD62E1" w:rsidP="00DB1E3C">
      <w:pPr>
        <w:pStyle w:val="ItemHead"/>
      </w:pPr>
      <w:r w:rsidRPr="00DB1E3C">
        <w:t>8  Subsection</w:t>
      </w:r>
      <w:r w:rsidR="00DB1E3C" w:rsidRPr="00DB1E3C">
        <w:t> </w:t>
      </w:r>
      <w:r w:rsidRPr="00DB1E3C">
        <w:t>995</w:t>
      </w:r>
      <w:r w:rsidR="00423629">
        <w:noBreakHyphen/>
      </w:r>
      <w:r w:rsidRPr="00DB1E3C">
        <w:t>1(1)</w:t>
      </w:r>
    </w:p>
    <w:p w:rsidR="00CD62E1" w:rsidRPr="00DB1E3C" w:rsidRDefault="00CD62E1" w:rsidP="00DB1E3C">
      <w:pPr>
        <w:pStyle w:val="Item"/>
      </w:pPr>
      <w:r w:rsidRPr="00DB1E3C">
        <w:t>Insert:</w:t>
      </w:r>
    </w:p>
    <w:p w:rsidR="00CD62E1" w:rsidRPr="00DB1E3C" w:rsidRDefault="00CD62E1" w:rsidP="00DB1E3C">
      <w:pPr>
        <w:pStyle w:val="Definition"/>
      </w:pPr>
      <w:r w:rsidRPr="00DB1E3C">
        <w:rPr>
          <w:b/>
          <w:i/>
        </w:rPr>
        <w:t>superannuation guarantee shortfall</w:t>
      </w:r>
      <w:r w:rsidRPr="00DB1E3C">
        <w:t xml:space="preserve"> has the meaning given by section</w:t>
      </w:r>
      <w:r w:rsidR="00DB1E3C" w:rsidRPr="00DB1E3C">
        <w:t> </w:t>
      </w:r>
      <w:r w:rsidRPr="00DB1E3C">
        <w:t xml:space="preserve">17 of the </w:t>
      </w:r>
      <w:r w:rsidRPr="00DB1E3C">
        <w:rPr>
          <w:i/>
        </w:rPr>
        <w:t>Superannuation Guarantee (Administration) Act 1992</w:t>
      </w:r>
      <w:r w:rsidRPr="00DB1E3C">
        <w:t>.</w:t>
      </w:r>
    </w:p>
    <w:p w:rsidR="00CD62E1" w:rsidRPr="00DB1E3C" w:rsidRDefault="00CD62E1" w:rsidP="00DB1E3C">
      <w:pPr>
        <w:pStyle w:val="Transitional"/>
      </w:pPr>
      <w:r w:rsidRPr="00DB1E3C">
        <w:t>9  Application of amendments</w:t>
      </w:r>
    </w:p>
    <w:p w:rsidR="00CD62E1" w:rsidRPr="00DB1E3C" w:rsidRDefault="00CD62E1" w:rsidP="00DB1E3C">
      <w:pPr>
        <w:pStyle w:val="Item"/>
      </w:pPr>
      <w:r w:rsidRPr="00DB1E3C">
        <w:t xml:space="preserve">The amendments of the </w:t>
      </w:r>
      <w:r w:rsidRPr="00DB1E3C">
        <w:rPr>
          <w:i/>
        </w:rPr>
        <w:t>Income Tax Assessment Act 1997</w:t>
      </w:r>
      <w:r w:rsidRPr="00DB1E3C">
        <w:t xml:space="preserve"> made by this Schedule apply in relation to the 2017</w:t>
      </w:r>
      <w:r w:rsidR="00423629">
        <w:noBreakHyphen/>
      </w:r>
      <w:r w:rsidRPr="00DB1E3C">
        <w:t>18 income year and later income years.</w:t>
      </w:r>
    </w:p>
    <w:p w:rsidR="00CD62E1" w:rsidRPr="00DB1E3C" w:rsidRDefault="00CD62E1" w:rsidP="00DB1E3C">
      <w:pPr>
        <w:pStyle w:val="ActHead9"/>
        <w:rPr>
          <w:i w:val="0"/>
        </w:rPr>
      </w:pPr>
      <w:bookmarkStart w:id="8" w:name="_Toc34838880"/>
      <w:r w:rsidRPr="00DB1E3C">
        <w:t>Superannuation Guarantee (Administration) Act 1992</w:t>
      </w:r>
      <w:bookmarkEnd w:id="8"/>
    </w:p>
    <w:p w:rsidR="00CD62E1" w:rsidRPr="00DB1E3C" w:rsidRDefault="00CD62E1" w:rsidP="00DB1E3C">
      <w:pPr>
        <w:pStyle w:val="ItemHead"/>
      </w:pPr>
      <w:r w:rsidRPr="00DB1E3C">
        <w:t>10  Section</w:t>
      </w:r>
      <w:r w:rsidR="00DB1E3C" w:rsidRPr="00DB1E3C">
        <w:t> </w:t>
      </w:r>
      <w:r w:rsidRPr="00DB1E3C">
        <w:t>32</w:t>
      </w:r>
    </w:p>
    <w:p w:rsidR="00CD62E1" w:rsidRPr="00DB1E3C" w:rsidRDefault="00CD62E1" w:rsidP="00DB1E3C">
      <w:pPr>
        <w:pStyle w:val="Item"/>
      </w:pPr>
      <w:r w:rsidRPr="00DB1E3C">
        <w:t>Before “An”, insert “(1)”.</w:t>
      </w:r>
    </w:p>
    <w:p w:rsidR="00CD62E1" w:rsidRPr="00DB1E3C" w:rsidRDefault="00CD62E1" w:rsidP="00DB1E3C">
      <w:pPr>
        <w:pStyle w:val="ItemHead"/>
      </w:pPr>
      <w:r w:rsidRPr="00DB1E3C">
        <w:t>11  At the end of section</w:t>
      </w:r>
      <w:r w:rsidR="00DB1E3C" w:rsidRPr="00DB1E3C">
        <w:t> </w:t>
      </w:r>
      <w:r w:rsidRPr="00DB1E3C">
        <w:t>32</w:t>
      </w:r>
    </w:p>
    <w:p w:rsidR="00CD62E1" w:rsidRPr="00DB1E3C" w:rsidRDefault="00CD62E1" w:rsidP="00DB1E3C">
      <w:pPr>
        <w:pStyle w:val="Item"/>
      </w:pPr>
      <w:r w:rsidRPr="00DB1E3C">
        <w:t>Add:</w:t>
      </w:r>
    </w:p>
    <w:p w:rsidR="00CD62E1" w:rsidRPr="00DB1E3C" w:rsidRDefault="00CD62E1" w:rsidP="00DB1E3C">
      <w:pPr>
        <w:pStyle w:val="subsection"/>
      </w:pPr>
      <w:r w:rsidRPr="00DB1E3C">
        <w:tab/>
        <w:t>(2)</w:t>
      </w:r>
      <w:r w:rsidRPr="00DB1E3C">
        <w:tab/>
        <w:t>If:</w:t>
      </w:r>
    </w:p>
    <w:p w:rsidR="00CD62E1" w:rsidRPr="00DB1E3C" w:rsidRDefault="00CD62E1" w:rsidP="00DB1E3C">
      <w:pPr>
        <w:pStyle w:val="paragraph"/>
      </w:pPr>
      <w:r w:rsidRPr="00DB1E3C">
        <w:tab/>
        <w:t>(a)</w:t>
      </w:r>
      <w:r w:rsidRPr="00DB1E3C">
        <w:tab/>
        <w:t>under section</w:t>
      </w:r>
      <w:r w:rsidR="00DB1E3C" w:rsidRPr="00DB1E3C">
        <w:t> </w:t>
      </w:r>
      <w:r w:rsidRPr="00DB1E3C">
        <w:t>74, the employer qualifies for an amnesty in relation to part of the employer’s superannuation guarantee shortfall for the quarter; and</w:t>
      </w:r>
    </w:p>
    <w:p w:rsidR="00CD62E1" w:rsidRPr="00DB1E3C" w:rsidRDefault="00CD62E1" w:rsidP="00DB1E3C">
      <w:pPr>
        <w:pStyle w:val="paragraph"/>
      </w:pPr>
      <w:r w:rsidRPr="00DB1E3C">
        <w:tab/>
        <w:t>(b)</w:t>
      </w:r>
      <w:r w:rsidRPr="00DB1E3C">
        <w:tab/>
        <w:t>that shortfall includes one or more individual superannuation guarantee shortfalls for employees (</w:t>
      </w:r>
      <w:r w:rsidRPr="00DB1E3C">
        <w:rPr>
          <w:b/>
          <w:i/>
        </w:rPr>
        <w:t>newly included employees</w:t>
      </w:r>
      <w:r w:rsidRPr="00DB1E3C">
        <w:t>) for the quarter that would not have been so included if the information in the disclosure that gave rise to the amnesty were not taken into account; and</w:t>
      </w:r>
    </w:p>
    <w:p w:rsidR="00CD62E1" w:rsidRPr="00DB1E3C" w:rsidRDefault="00CD62E1" w:rsidP="00DB1E3C">
      <w:pPr>
        <w:pStyle w:val="paragraph"/>
      </w:pPr>
      <w:r w:rsidRPr="00DB1E3C">
        <w:tab/>
        <w:t>(c)</w:t>
      </w:r>
      <w:r w:rsidRPr="00DB1E3C">
        <w:tab/>
        <w:t>any assessment of the employer’s superannuation guarantee shortfall for the quarter that was made before the employer qualified for the amnesty did not take into account an individual superannuation guarantee shortfall for newly included employees for the quarter;</w:t>
      </w:r>
    </w:p>
    <w:p w:rsidR="00CD62E1" w:rsidRPr="00DB1E3C" w:rsidRDefault="00CD62E1" w:rsidP="00DB1E3C">
      <w:pPr>
        <w:pStyle w:val="subsection2"/>
      </w:pPr>
      <w:r w:rsidRPr="00DB1E3C">
        <w:t xml:space="preserve">in working out under </w:t>
      </w:r>
      <w:r w:rsidR="00DB1E3C" w:rsidRPr="00DB1E3C">
        <w:t>subsection (</w:t>
      </w:r>
      <w:r w:rsidRPr="00DB1E3C">
        <w:t>1) the employer’s administration component for the quarter, the employer is taken not to have an individual superannuation guarantee shortfall for any of the newly included employees for the quarter.</w:t>
      </w:r>
    </w:p>
    <w:p w:rsidR="00CD62E1" w:rsidRPr="00DB1E3C" w:rsidRDefault="00CD62E1" w:rsidP="00DB1E3C">
      <w:pPr>
        <w:pStyle w:val="subsection"/>
      </w:pPr>
      <w:r w:rsidRPr="00DB1E3C">
        <w:tab/>
        <w:t>(3)</w:t>
      </w:r>
      <w:r w:rsidRPr="00DB1E3C">
        <w:tab/>
        <w:t xml:space="preserve">Despite </w:t>
      </w:r>
      <w:r w:rsidR="00DB1E3C" w:rsidRPr="00DB1E3C">
        <w:t>subsection (</w:t>
      </w:r>
      <w:r w:rsidRPr="00DB1E3C">
        <w:t>1), an employer’s administration component for a quarter is nil if:</w:t>
      </w:r>
    </w:p>
    <w:p w:rsidR="00CD62E1" w:rsidRPr="00DB1E3C" w:rsidRDefault="00CD62E1" w:rsidP="00DB1E3C">
      <w:pPr>
        <w:pStyle w:val="paragraph"/>
      </w:pPr>
      <w:r w:rsidRPr="00DB1E3C">
        <w:tab/>
        <w:t>(a)</w:t>
      </w:r>
      <w:r w:rsidRPr="00DB1E3C">
        <w:tab/>
        <w:t>under section</w:t>
      </w:r>
      <w:r w:rsidR="00DB1E3C" w:rsidRPr="00DB1E3C">
        <w:t> </w:t>
      </w:r>
      <w:r w:rsidRPr="00DB1E3C">
        <w:t>74, the employer qualifies for an amnesty in relation to the whole of the employer’s superannuation guarantee shortfall for the quarter; and</w:t>
      </w:r>
    </w:p>
    <w:p w:rsidR="00CD62E1" w:rsidRPr="00DB1E3C" w:rsidRDefault="00CD62E1" w:rsidP="00DB1E3C">
      <w:pPr>
        <w:pStyle w:val="paragraph"/>
      </w:pPr>
      <w:r w:rsidRPr="00DB1E3C">
        <w:tab/>
        <w:t>(b)</w:t>
      </w:r>
      <w:r w:rsidRPr="00DB1E3C">
        <w:tab/>
        <w:t>an assessment of the employer’s superannuation guarantee shortfall for the quarter has not been made (or taken to have been made) under Part</w:t>
      </w:r>
      <w:r w:rsidR="00DB1E3C" w:rsidRPr="00DB1E3C">
        <w:t> </w:t>
      </w:r>
      <w:r w:rsidRPr="00DB1E3C">
        <w:t>4 before the employer qualified for the amnesty.</w:t>
      </w:r>
    </w:p>
    <w:p w:rsidR="00CD62E1" w:rsidRPr="00DB1E3C" w:rsidRDefault="00CD62E1" w:rsidP="00DB1E3C">
      <w:pPr>
        <w:pStyle w:val="ItemHead"/>
      </w:pPr>
      <w:r w:rsidRPr="00DB1E3C">
        <w:t>12  After section</w:t>
      </w:r>
      <w:r w:rsidR="00DB1E3C" w:rsidRPr="00DB1E3C">
        <w:t> </w:t>
      </w:r>
      <w:r w:rsidRPr="00DB1E3C">
        <w:t>59</w:t>
      </w:r>
    </w:p>
    <w:p w:rsidR="00CD62E1" w:rsidRPr="00DB1E3C" w:rsidRDefault="00CD62E1" w:rsidP="00DB1E3C">
      <w:pPr>
        <w:pStyle w:val="Item"/>
      </w:pPr>
      <w:r w:rsidRPr="00DB1E3C">
        <w:t>Insert:</w:t>
      </w:r>
    </w:p>
    <w:p w:rsidR="00CD62E1" w:rsidRPr="00DB1E3C" w:rsidRDefault="00CD62E1" w:rsidP="00DB1E3C">
      <w:pPr>
        <w:pStyle w:val="ActHead5"/>
      </w:pPr>
      <w:bookmarkStart w:id="9" w:name="_Toc34838881"/>
      <w:r w:rsidRPr="00DB1E3C">
        <w:rPr>
          <w:rStyle w:val="CharSectno"/>
        </w:rPr>
        <w:t>60</w:t>
      </w:r>
      <w:r w:rsidRPr="00DB1E3C">
        <w:t xml:space="preserve">  Amnesty from liability to pay additional superannuation guarantee charge</w:t>
      </w:r>
      <w:bookmarkEnd w:id="9"/>
    </w:p>
    <w:p w:rsidR="00CD62E1" w:rsidRPr="00DB1E3C" w:rsidRDefault="00CD62E1" w:rsidP="00DB1E3C">
      <w:pPr>
        <w:pStyle w:val="subsection"/>
      </w:pPr>
      <w:r w:rsidRPr="00DB1E3C">
        <w:tab/>
        <w:t>(1)</w:t>
      </w:r>
      <w:r w:rsidRPr="00DB1E3C">
        <w:tab/>
        <w:t>If:</w:t>
      </w:r>
    </w:p>
    <w:p w:rsidR="00CD62E1" w:rsidRPr="00DB1E3C" w:rsidRDefault="00CD62E1" w:rsidP="00DB1E3C">
      <w:pPr>
        <w:pStyle w:val="paragraph"/>
      </w:pPr>
      <w:r w:rsidRPr="00DB1E3C">
        <w:tab/>
        <w:t>(a)</w:t>
      </w:r>
      <w:r w:rsidRPr="00DB1E3C">
        <w:tab/>
        <w:t>under section</w:t>
      </w:r>
      <w:r w:rsidR="00DB1E3C" w:rsidRPr="00DB1E3C">
        <w:t> </w:t>
      </w:r>
      <w:r w:rsidRPr="00DB1E3C">
        <w:t>74, an employer qualifies for an amnesty in relation to part of the employer’s superannuation guarantee shortfall for a quarter; and</w:t>
      </w:r>
    </w:p>
    <w:p w:rsidR="00CD62E1" w:rsidRPr="00DB1E3C" w:rsidRDefault="00CD62E1" w:rsidP="00DB1E3C">
      <w:pPr>
        <w:pStyle w:val="paragraph"/>
      </w:pPr>
      <w:r w:rsidRPr="00DB1E3C">
        <w:tab/>
        <w:t>(b)</w:t>
      </w:r>
      <w:r w:rsidRPr="00DB1E3C">
        <w:tab/>
        <w:t>any assessment made under section</w:t>
      </w:r>
      <w:r w:rsidR="00DB1E3C" w:rsidRPr="00DB1E3C">
        <w:t> </w:t>
      </w:r>
      <w:r w:rsidRPr="00DB1E3C">
        <w:t>62, before the employer qualified for the amnesty, of the additional superannuation guarantee charge payable by the employer for the quarter did not take into account the extent of the increase in the shortfall as a result of the disclosure of information that gave rise to the amnesty;</w:t>
      </w:r>
    </w:p>
    <w:p w:rsidR="00CD62E1" w:rsidRPr="00DB1E3C" w:rsidRDefault="00CD62E1" w:rsidP="00DB1E3C">
      <w:pPr>
        <w:pStyle w:val="subsection2"/>
      </w:pPr>
      <w:r w:rsidRPr="00DB1E3C">
        <w:t>in working out under section</w:t>
      </w:r>
      <w:r w:rsidR="00DB1E3C" w:rsidRPr="00DB1E3C">
        <w:t> </w:t>
      </w:r>
      <w:r w:rsidRPr="00DB1E3C">
        <w:t>59 the employer’s liability to pay additional superannuation guarantee charge, the amount of the superannuation guarantee charge payable by the employer for the quarter is reduced by the extent to which the employer qualifies for the amnesty for the quarter.</w:t>
      </w:r>
    </w:p>
    <w:p w:rsidR="00CD62E1" w:rsidRPr="00DB1E3C" w:rsidRDefault="00CD62E1" w:rsidP="00DB1E3C">
      <w:pPr>
        <w:pStyle w:val="subsection"/>
      </w:pPr>
      <w:r w:rsidRPr="00DB1E3C">
        <w:tab/>
        <w:t>(2)</w:t>
      </w:r>
      <w:r w:rsidRPr="00DB1E3C">
        <w:tab/>
        <w:t>Despite section</w:t>
      </w:r>
      <w:r w:rsidR="00DB1E3C" w:rsidRPr="00DB1E3C">
        <w:t> </w:t>
      </w:r>
      <w:r w:rsidRPr="00DB1E3C">
        <w:t>59, an employer’s liability to pay additional superannuation guarantee charge under this Part for a quarter is nil if:</w:t>
      </w:r>
    </w:p>
    <w:p w:rsidR="00CD62E1" w:rsidRPr="00DB1E3C" w:rsidRDefault="00CD62E1" w:rsidP="00DB1E3C">
      <w:pPr>
        <w:pStyle w:val="paragraph"/>
      </w:pPr>
      <w:r w:rsidRPr="00DB1E3C">
        <w:tab/>
        <w:t>(a)</w:t>
      </w:r>
      <w:r w:rsidRPr="00DB1E3C">
        <w:tab/>
        <w:t>under section</w:t>
      </w:r>
      <w:r w:rsidR="00DB1E3C" w:rsidRPr="00DB1E3C">
        <w:t> </w:t>
      </w:r>
      <w:r w:rsidRPr="00DB1E3C">
        <w:t>74, the employer qualifies for an amnesty in relation to the whole of the employer’s superannuation guarantee shortfall for the quarter; and</w:t>
      </w:r>
    </w:p>
    <w:p w:rsidR="00CD62E1" w:rsidRPr="00DB1E3C" w:rsidRDefault="00CD62E1" w:rsidP="00DB1E3C">
      <w:pPr>
        <w:pStyle w:val="paragraph"/>
      </w:pPr>
      <w:r w:rsidRPr="00DB1E3C">
        <w:tab/>
        <w:t>(b)</w:t>
      </w:r>
      <w:r w:rsidRPr="00DB1E3C">
        <w:tab/>
        <w:t>the Commissioner has not, before the employer qualified for the amnesty, made an assessment under section</w:t>
      </w:r>
      <w:r w:rsidR="00DB1E3C" w:rsidRPr="00DB1E3C">
        <w:t> </w:t>
      </w:r>
      <w:r w:rsidRPr="00DB1E3C">
        <w:t>62 of the additional superannuation guarantee charge payable by an employer under this Part for the quarter.</w:t>
      </w:r>
    </w:p>
    <w:p w:rsidR="00CD62E1" w:rsidRPr="00DB1E3C" w:rsidRDefault="00CD62E1" w:rsidP="00DB1E3C">
      <w:pPr>
        <w:pStyle w:val="ItemHead"/>
      </w:pPr>
      <w:r w:rsidRPr="00DB1E3C">
        <w:t>13  At the end of section</w:t>
      </w:r>
      <w:r w:rsidR="00DB1E3C" w:rsidRPr="00DB1E3C">
        <w:t> </w:t>
      </w:r>
      <w:r w:rsidRPr="00DB1E3C">
        <w:t>62</w:t>
      </w:r>
    </w:p>
    <w:p w:rsidR="00CD62E1" w:rsidRPr="00DB1E3C" w:rsidRDefault="00CD62E1" w:rsidP="00DB1E3C">
      <w:pPr>
        <w:pStyle w:val="Item"/>
      </w:pPr>
      <w:r w:rsidRPr="00DB1E3C">
        <w:t>Add:</w:t>
      </w:r>
    </w:p>
    <w:p w:rsidR="00CD62E1" w:rsidRPr="00DB1E3C" w:rsidRDefault="00CD62E1" w:rsidP="00DB1E3C">
      <w:pPr>
        <w:pStyle w:val="subsection"/>
      </w:pPr>
      <w:r w:rsidRPr="00DB1E3C">
        <w:tab/>
        <w:t>(4)</w:t>
      </w:r>
      <w:r w:rsidRPr="00DB1E3C">
        <w:tab/>
        <w:t>If:</w:t>
      </w:r>
    </w:p>
    <w:p w:rsidR="00CD62E1" w:rsidRPr="00DB1E3C" w:rsidRDefault="00CD62E1" w:rsidP="00DB1E3C">
      <w:pPr>
        <w:pStyle w:val="paragraph"/>
      </w:pPr>
      <w:r w:rsidRPr="00DB1E3C">
        <w:tab/>
        <w:t>(a)</w:t>
      </w:r>
      <w:r w:rsidRPr="00DB1E3C">
        <w:tab/>
        <w:t>an employer is liable under section</w:t>
      </w:r>
      <w:r w:rsidR="00DB1E3C" w:rsidRPr="00DB1E3C">
        <w:t> </w:t>
      </w:r>
      <w:r w:rsidRPr="00DB1E3C">
        <w:t>59 to additional superannuation guarantee charge for a quarter that started on or before 1</w:t>
      </w:r>
      <w:r w:rsidR="00DB1E3C" w:rsidRPr="00DB1E3C">
        <w:t> </w:t>
      </w:r>
      <w:r w:rsidRPr="00DB1E3C">
        <w:t>January 2018; and</w:t>
      </w:r>
    </w:p>
    <w:p w:rsidR="00CD62E1" w:rsidRPr="00DB1E3C" w:rsidRDefault="00CD62E1" w:rsidP="00DB1E3C">
      <w:pPr>
        <w:pStyle w:val="paragraph"/>
      </w:pPr>
      <w:r w:rsidRPr="00DB1E3C">
        <w:tab/>
        <w:t>(b)</w:t>
      </w:r>
      <w:r w:rsidRPr="00DB1E3C">
        <w:tab/>
        <w:t>there is particular information that is relevant to the amount of the employer’s superannuation guarantee shortfall for the quarter; and</w:t>
      </w:r>
    </w:p>
    <w:p w:rsidR="00CD62E1" w:rsidRPr="00DB1E3C" w:rsidRDefault="00CD62E1" w:rsidP="00DB1E3C">
      <w:pPr>
        <w:pStyle w:val="paragraph"/>
      </w:pPr>
      <w:r w:rsidRPr="00DB1E3C">
        <w:tab/>
        <w:t>(c)</w:t>
      </w:r>
      <w:r w:rsidRPr="00DB1E3C">
        <w:tab/>
        <w:t>since the start of the amnesty period, either:</w:t>
      </w:r>
    </w:p>
    <w:p w:rsidR="00CD62E1" w:rsidRPr="00DB1E3C" w:rsidRDefault="00CD62E1" w:rsidP="00DB1E3C">
      <w:pPr>
        <w:pStyle w:val="paragraphsub"/>
      </w:pPr>
      <w:r w:rsidRPr="00DB1E3C">
        <w:tab/>
        <w:t>(i)</w:t>
      </w:r>
      <w:r w:rsidRPr="00DB1E3C">
        <w:tab/>
        <w:t>the employer has not disclosed that information to the Commissioner; or</w:t>
      </w:r>
    </w:p>
    <w:p w:rsidR="00CD62E1" w:rsidRPr="00DB1E3C" w:rsidRDefault="00CD62E1" w:rsidP="00DB1E3C">
      <w:pPr>
        <w:pStyle w:val="paragraphsub"/>
      </w:pPr>
      <w:r w:rsidRPr="00DB1E3C">
        <w:tab/>
        <w:t>(ii)</w:t>
      </w:r>
      <w:r w:rsidRPr="00DB1E3C">
        <w:tab/>
        <w:t>the employer has disclosed that information to the Commissioner, but only after the Commissioner informed the employer that the Commissioner was examining, or intended to examine, the employer’s compliance with an obligation to pay the superannuation guarantee charge for the quarter; and</w:t>
      </w:r>
    </w:p>
    <w:p w:rsidR="00CD62E1" w:rsidRPr="00DB1E3C" w:rsidRDefault="00CD62E1" w:rsidP="00DB1E3C">
      <w:pPr>
        <w:pStyle w:val="paragraph"/>
      </w:pPr>
      <w:r w:rsidRPr="00DB1E3C">
        <w:tab/>
        <w:t>(d)</w:t>
      </w:r>
      <w:r w:rsidRPr="00DB1E3C">
        <w:tab/>
        <w:t>by taking that information into account, the employer’s superannuation guarantee shortfall for the quarter exceeds what it would be if that information were not taken into account;</w:t>
      </w:r>
    </w:p>
    <w:p w:rsidR="00CD62E1" w:rsidRPr="00DB1E3C" w:rsidRDefault="00CD62E1" w:rsidP="00DB1E3C">
      <w:pPr>
        <w:pStyle w:val="subsection2"/>
      </w:pPr>
      <w:r w:rsidRPr="00DB1E3C">
        <w:t xml:space="preserve">to the extent that the additional superannuation guarantee charge relates to that excess, the Commissioner’s power under </w:t>
      </w:r>
      <w:r w:rsidR="00DB1E3C" w:rsidRPr="00DB1E3C">
        <w:t>subsection (</w:t>
      </w:r>
      <w:r w:rsidRPr="00DB1E3C">
        <w:t>3) of this section to remit the additional superannuation guarantee charge is limited to remitting no more than half of the charge.</w:t>
      </w:r>
    </w:p>
    <w:p w:rsidR="00CD62E1" w:rsidRPr="00DB1E3C" w:rsidRDefault="00CD62E1" w:rsidP="00DB1E3C">
      <w:pPr>
        <w:pStyle w:val="subsection"/>
      </w:pPr>
      <w:r w:rsidRPr="00DB1E3C">
        <w:tab/>
        <w:t>(5)</w:t>
      </w:r>
      <w:r w:rsidRPr="00DB1E3C">
        <w:tab/>
        <w:t xml:space="preserve">However, </w:t>
      </w:r>
      <w:r w:rsidR="00DB1E3C" w:rsidRPr="00DB1E3C">
        <w:t>subsection (</w:t>
      </w:r>
      <w:r w:rsidRPr="00DB1E3C">
        <w:t>4) does not apply if the Commissioner is satisfied that there were exceptional circumstances that prevented the employer from:</w:t>
      </w:r>
    </w:p>
    <w:p w:rsidR="00CD62E1" w:rsidRPr="00DB1E3C" w:rsidRDefault="00CD62E1" w:rsidP="00DB1E3C">
      <w:pPr>
        <w:pStyle w:val="paragraph"/>
      </w:pPr>
      <w:r w:rsidRPr="00DB1E3C">
        <w:tab/>
        <w:t>(a)</w:t>
      </w:r>
      <w:r w:rsidRPr="00DB1E3C">
        <w:tab/>
        <w:t>disclosing that information to the Commissioner; or</w:t>
      </w:r>
    </w:p>
    <w:p w:rsidR="00CD62E1" w:rsidRPr="00DB1E3C" w:rsidRDefault="00CD62E1" w:rsidP="00DB1E3C">
      <w:pPr>
        <w:pStyle w:val="paragraph"/>
      </w:pPr>
      <w:r w:rsidRPr="00DB1E3C">
        <w:tab/>
        <w:t>(b)</w:t>
      </w:r>
      <w:r w:rsidRPr="00DB1E3C">
        <w:tab/>
        <w:t xml:space="preserve">disclosing that information to the Commissioner before the Commissioner informed the employer as mentioned in </w:t>
      </w:r>
      <w:r w:rsidR="00DB1E3C" w:rsidRPr="00DB1E3C">
        <w:t>subparagraph (</w:t>
      </w:r>
      <w:r w:rsidRPr="00DB1E3C">
        <w:t>4)(c)(ii);</w:t>
      </w:r>
    </w:p>
    <w:p w:rsidR="00CD62E1" w:rsidRPr="00DB1E3C" w:rsidRDefault="00CD62E1" w:rsidP="00DB1E3C">
      <w:pPr>
        <w:pStyle w:val="subsection2"/>
      </w:pPr>
      <w:r w:rsidRPr="00DB1E3C">
        <w:t>as the case requires.</w:t>
      </w:r>
    </w:p>
    <w:p w:rsidR="00CD62E1" w:rsidRPr="00DB1E3C" w:rsidRDefault="00CD62E1" w:rsidP="00DB1E3C">
      <w:pPr>
        <w:pStyle w:val="ItemHead"/>
      </w:pPr>
      <w:r w:rsidRPr="00DB1E3C">
        <w:t>14  After section</w:t>
      </w:r>
      <w:r w:rsidR="00DB1E3C" w:rsidRPr="00DB1E3C">
        <w:t> </w:t>
      </w:r>
      <w:r w:rsidRPr="00DB1E3C">
        <w:t>73</w:t>
      </w:r>
    </w:p>
    <w:p w:rsidR="00CD62E1" w:rsidRPr="00DB1E3C" w:rsidRDefault="00CD62E1" w:rsidP="00DB1E3C">
      <w:pPr>
        <w:pStyle w:val="Item"/>
      </w:pPr>
      <w:r w:rsidRPr="00DB1E3C">
        <w:t>Insert:</w:t>
      </w:r>
    </w:p>
    <w:p w:rsidR="00CD62E1" w:rsidRPr="00DB1E3C" w:rsidRDefault="00CD62E1" w:rsidP="00DB1E3C">
      <w:pPr>
        <w:pStyle w:val="ActHead5"/>
      </w:pPr>
      <w:bookmarkStart w:id="10" w:name="_Toc34838882"/>
      <w:r w:rsidRPr="00DB1E3C">
        <w:rPr>
          <w:rStyle w:val="CharSectno"/>
        </w:rPr>
        <w:t>74</w:t>
      </w:r>
      <w:r w:rsidRPr="00DB1E3C">
        <w:t xml:space="preserve">  Amnesty in relation to historic amounts of superannuation guarantee shortfall</w:t>
      </w:r>
      <w:bookmarkEnd w:id="10"/>
    </w:p>
    <w:p w:rsidR="00CD62E1" w:rsidRPr="00DB1E3C" w:rsidRDefault="00CD62E1" w:rsidP="00DB1E3C">
      <w:pPr>
        <w:pStyle w:val="SubsectionHead"/>
      </w:pPr>
      <w:r w:rsidRPr="00DB1E3C">
        <w:t>Qualifying for the amnesty</w:t>
      </w:r>
    </w:p>
    <w:p w:rsidR="00CD62E1" w:rsidRPr="00DB1E3C" w:rsidRDefault="00CD62E1" w:rsidP="00DB1E3C">
      <w:pPr>
        <w:pStyle w:val="subsection"/>
      </w:pPr>
      <w:r w:rsidRPr="00DB1E3C">
        <w:tab/>
        <w:t>(1)</w:t>
      </w:r>
      <w:r w:rsidRPr="00DB1E3C">
        <w:tab/>
        <w:t>An employer qualifies for an amnesty for the employer’s superannuation guarantee shortfall for a quarter if:</w:t>
      </w:r>
    </w:p>
    <w:p w:rsidR="00CD62E1" w:rsidRPr="00DB1E3C" w:rsidRDefault="00CD62E1" w:rsidP="00DB1E3C">
      <w:pPr>
        <w:pStyle w:val="paragraph"/>
      </w:pPr>
      <w:r w:rsidRPr="00DB1E3C">
        <w:tab/>
        <w:t>(a)</w:t>
      </w:r>
      <w:r w:rsidRPr="00DB1E3C">
        <w:tab/>
        <w:t xml:space="preserve">during the period (the </w:t>
      </w:r>
      <w:r w:rsidRPr="00DB1E3C">
        <w:rPr>
          <w:b/>
          <w:i/>
        </w:rPr>
        <w:t>amnesty period</w:t>
      </w:r>
      <w:r w:rsidRPr="00DB1E3C">
        <w:t xml:space="preserve">) provided by </w:t>
      </w:r>
      <w:r w:rsidR="00DB1E3C" w:rsidRPr="00DB1E3C">
        <w:t>subsection (</w:t>
      </w:r>
      <w:r w:rsidRPr="00DB1E3C">
        <w:t>3), the employer discloses to the Commissioner, in the approved form, information that:</w:t>
      </w:r>
    </w:p>
    <w:p w:rsidR="00CD62E1" w:rsidRPr="00DB1E3C" w:rsidRDefault="00CD62E1" w:rsidP="00DB1E3C">
      <w:pPr>
        <w:pStyle w:val="paragraphsub"/>
      </w:pPr>
      <w:r w:rsidRPr="00DB1E3C">
        <w:tab/>
        <w:t>(i)</w:t>
      </w:r>
      <w:r w:rsidRPr="00DB1E3C">
        <w:tab/>
        <w:t>relates to the amount of the employer’s superannuation guarantee shortfall for the quarter; and</w:t>
      </w:r>
    </w:p>
    <w:p w:rsidR="00CD62E1" w:rsidRPr="00DB1E3C" w:rsidRDefault="00CD62E1" w:rsidP="00DB1E3C">
      <w:pPr>
        <w:pStyle w:val="paragraphsub"/>
      </w:pPr>
      <w:r w:rsidRPr="00DB1E3C">
        <w:tab/>
        <w:t>(ii)</w:t>
      </w:r>
      <w:r w:rsidRPr="00DB1E3C">
        <w:tab/>
        <w:t>was not disclosed to the Commissioner before the amnesty period; and</w:t>
      </w:r>
    </w:p>
    <w:p w:rsidR="00CD62E1" w:rsidRPr="00DB1E3C" w:rsidRDefault="00CD62E1" w:rsidP="00DB1E3C">
      <w:pPr>
        <w:pStyle w:val="paragraph"/>
      </w:pPr>
      <w:r w:rsidRPr="00DB1E3C">
        <w:tab/>
        <w:t>(b)</w:t>
      </w:r>
      <w:r w:rsidRPr="00DB1E3C">
        <w:tab/>
        <w:t>the amnesty period started after the end of the period of 28 days after the end of the quarter; and</w:t>
      </w:r>
    </w:p>
    <w:p w:rsidR="00CD62E1" w:rsidRPr="00DB1E3C" w:rsidRDefault="00CD62E1" w:rsidP="00DB1E3C">
      <w:pPr>
        <w:pStyle w:val="paragraph"/>
      </w:pPr>
      <w:r w:rsidRPr="00DB1E3C">
        <w:tab/>
        <w:t>(c)</w:t>
      </w:r>
      <w:r w:rsidRPr="00DB1E3C">
        <w:tab/>
        <w:t>the Commissioner has not, at any time before the disclosure, informed the employer that the Commissioner is examining, or intends to examine, the employer’s compliance with an obligation to pay the superannuation guarantee charge for the quarter.</w:t>
      </w:r>
    </w:p>
    <w:p w:rsidR="00CD62E1" w:rsidRPr="00DB1E3C" w:rsidRDefault="00CD62E1" w:rsidP="00DB1E3C">
      <w:pPr>
        <w:pStyle w:val="subsection"/>
      </w:pPr>
      <w:r w:rsidRPr="00DB1E3C">
        <w:tab/>
        <w:t>(2)</w:t>
      </w:r>
      <w:r w:rsidRPr="00DB1E3C">
        <w:tab/>
        <w:t>However, if the employer would have a superannuation guarantee shortfall for the quarter even if the information in the disclosure were not taken into account, the employer qualifies for an amnesty for the shortfall only to the extent of the increase in the shortfall as a result of taking the information into account.</w:t>
      </w:r>
    </w:p>
    <w:p w:rsidR="00CD62E1" w:rsidRPr="00DB1E3C" w:rsidRDefault="00CD62E1" w:rsidP="00DB1E3C">
      <w:pPr>
        <w:pStyle w:val="subsection"/>
      </w:pPr>
      <w:r w:rsidRPr="00DB1E3C">
        <w:tab/>
        <w:t>(3)</w:t>
      </w:r>
      <w:r w:rsidRPr="00DB1E3C">
        <w:tab/>
        <w:t xml:space="preserve">The </w:t>
      </w:r>
      <w:r w:rsidRPr="00DB1E3C">
        <w:rPr>
          <w:b/>
          <w:i/>
        </w:rPr>
        <w:t>amnesty period</w:t>
      </w:r>
      <w:r w:rsidRPr="00DB1E3C">
        <w:t xml:space="preserve"> is the period that:</w:t>
      </w:r>
    </w:p>
    <w:p w:rsidR="00CD62E1" w:rsidRPr="00DB1E3C" w:rsidRDefault="00CD62E1" w:rsidP="00DB1E3C">
      <w:pPr>
        <w:pStyle w:val="paragraph"/>
      </w:pPr>
      <w:r w:rsidRPr="00DB1E3C">
        <w:tab/>
        <w:t>(a)</w:t>
      </w:r>
      <w:r w:rsidRPr="00DB1E3C">
        <w:tab/>
        <w:t>started on 24</w:t>
      </w:r>
      <w:r w:rsidR="00DB1E3C" w:rsidRPr="00DB1E3C">
        <w:t> </w:t>
      </w:r>
      <w:r w:rsidRPr="00DB1E3C">
        <w:t>May 2018; and</w:t>
      </w:r>
    </w:p>
    <w:p w:rsidR="00CD62E1" w:rsidRPr="00DB1E3C" w:rsidRDefault="00CD62E1" w:rsidP="00DB1E3C">
      <w:pPr>
        <w:pStyle w:val="paragraph"/>
      </w:pPr>
      <w:r w:rsidRPr="00DB1E3C">
        <w:tab/>
        <w:t>(b)</w:t>
      </w:r>
      <w:r w:rsidRPr="00DB1E3C">
        <w:tab/>
        <w:t xml:space="preserve">ends 6 months after the day the </w:t>
      </w:r>
      <w:r w:rsidRPr="00DB1E3C">
        <w:rPr>
          <w:i/>
        </w:rPr>
        <w:t>Treasury Laws Amendment (Recovering Unpaid Superannuation) Act 20</w:t>
      </w:r>
      <w:r w:rsidR="006B48A7">
        <w:rPr>
          <w:i/>
        </w:rPr>
        <w:t>20</w:t>
      </w:r>
      <w:r w:rsidRPr="00DB1E3C">
        <w:t xml:space="preserve"> receives the Royal Assent.</w:t>
      </w:r>
    </w:p>
    <w:p w:rsidR="00CD62E1" w:rsidRPr="00DB1E3C" w:rsidRDefault="00CD62E1" w:rsidP="00DB1E3C">
      <w:pPr>
        <w:pStyle w:val="SubsectionHead"/>
      </w:pPr>
      <w:r w:rsidRPr="00DB1E3C">
        <w:t>Ceasing to qualify for the amnesty</w:t>
      </w:r>
    </w:p>
    <w:p w:rsidR="00CD62E1" w:rsidRPr="00DB1E3C" w:rsidRDefault="00CD62E1" w:rsidP="00DB1E3C">
      <w:pPr>
        <w:pStyle w:val="subsection"/>
      </w:pPr>
      <w:r w:rsidRPr="00DB1E3C">
        <w:tab/>
        <w:t>(4)</w:t>
      </w:r>
      <w:r w:rsidRPr="00DB1E3C">
        <w:tab/>
        <w:t xml:space="preserve">The employer ceases to qualify, and is taken never to have qualified, for the amnesty for the employer’s superannuation guarantee shortfall for the quarter if the Commissioner notifies the employer under </w:t>
      </w:r>
      <w:r w:rsidR="00DB1E3C" w:rsidRPr="00DB1E3C">
        <w:t>subsection (</w:t>
      </w:r>
      <w:r w:rsidRPr="00DB1E3C">
        <w:t>5).</w:t>
      </w:r>
    </w:p>
    <w:p w:rsidR="00CD62E1" w:rsidRPr="00DB1E3C" w:rsidRDefault="00CD62E1" w:rsidP="00DB1E3C">
      <w:pPr>
        <w:pStyle w:val="subsection"/>
      </w:pPr>
      <w:r w:rsidRPr="00DB1E3C">
        <w:tab/>
        <w:t>(5)</w:t>
      </w:r>
      <w:r w:rsidRPr="00DB1E3C">
        <w:tab/>
        <w:t>The Commissioner may notify the employer in writing that the employer has ceased to qualify, and is taken never to have qualified, for that amnesty if:</w:t>
      </w:r>
    </w:p>
    <w:p w:rsidR="00CD62E1" w:rsidRPr="00DB1E3C" w:rsidRDefault="00CD62E1" w:rsidP="00DB1E3C">
      <w:pPr>
        <w:pStyle w:val="paragraph"/>
      </w:pPr>
      <w:r w:rsidRPr="00DB1E3C">
        <w:tab/>
        <w:t>(a)</w:t>
      </w:r>
      <w:r w:rsidRPr="00DB1E3C">
        <w:tab/>
        <w:t>the employer:</w:t>
      </w:r>
    </w:p>
    <w:p w:rsidR="00CD62E1" w:rsidRPr="00DB1E3C" w:rsidRDefault="00CD62E1" w:rsidP="00DB1E3C">
      <w:pPr>
        <w:pStyle w:val="paragraphsub"/>
      </w:pPr>
      <w:r w:rsidRPr="00DB1E3C">
        <w:tab/>
        <w:t>(i)</w:t>
      </w:r>
      <w:r w:rsidRPr="00DB1E3C">
        <w:tab/>
        <w:t>has not, on or before the day on which superannuation guarantee charge on the employer’s superannuation guarantee shortfall for the quarter became payable, paid that superannuation guarantee charge; and</w:t>
      </w:r>
    </w:p>
    <w:p w:rsidR="00CD62E1" w:rsidRPr="00DB1E3C" w:rsidRDefault="00CD62E1" w:rsidP="00DB1E3C">
      <w:pPr>
        <w:pStyle w:val="paragraphsub"/>
      </w:pPr>
      <w:r w:rsidRPr="00DB1E3C">
        <w:tab/>
        <w:t>(ii)</w:t>
      </w:r>
      <w:r w:rsidRPr="00DB1E3C">
        <w:tab/>
        <w:t>has not, at any time, entered into an arrangement with the Commissioner that includes the payment of that superannuation guarantee charge; or</w:t>
      </w:r>
    </w:p>
    <w:p w:rsidR="00CD62E1" w:rsidRPr="00DB1E3C" w:rsidRDefault="00CD62E1" w:rsidP="00DB1E3C">
      <w:pPr>
        <w:pStyle w:val="paragraph"/>
      </w:pPr>
      <w:r w:rsidRPr="00DB1E3C">
        <w:tab/>
        <w:t>(b)</w:t>
      </w:r>
      <w:r w:rsidRPr="00DB1E3C">
        <w:tab/>
        <w:t>the employer has entered into such an arrangement, but has failed to comply with it.</w:t>
      </w:r>
    </w:p>
    <w:p w:rsidR="00423629" w:rsidRDefault="00CD62E1" w:rsidP="00DB1E3C">
      <w:pPr>
        <w:pStyle w:val="subsection"/>
      </w:pPr>
      <w:r w:rsidRPr="00DB1E3C">
        <w:tab/>
        <w:t>(6)</w:t>
      </w:r>
      <w:r w:rsidRPr="00DB1E3C">
        <w:tab/>
        <w:t xml:space="preserve">For the purposes of </w:t>
      </w:r>
      <w:r w:rsidR="00DB1E3C" w:rsidRPr="00DB1E3C">
        <w:t>subparagraph (</w:t>
      </w:r>
      <w:r w:rsidRPr="00DB1E3C">
        <w:t>5)(a)(i), a payment under this Act of an amount equal to the amount of the superannuation guarantee charge mentioned in that subparagraph is taken to be a payment of that charge whether or not the Commissioner applies the payment to satisfy the employer’s liability to pay that charge.</w:t>
      </w:r>
    </w:p>
    <w:p w:rsidR="001659AB" w:rsidRDefault="001659AB" w:rsidP="00DB1E3C">
      <w:pPr>
        <w:pStyle w:val="subsection"/>
        <w:sectPr w:rsidR="001659AB" w:rsidSect="001659AB">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A77508" w:rsidRDefault="00A77508" w:rsidP="000C5962">
      <w:pPr>
        <w:pStyle w:val="2ndRd"/>
        <w:keepNext/>
        <w:spacing w:line="260" w:lineRule="atLeast"/>
        <w:rPr>
          <w:i/>
        </w:rPr>
      </w:pPr>
      <w:r>
        <w:t>[</w:t>
      </w:r>
      <w:r>
        <w:rPr>
          <w:i/>
        </w:rPr>
        <w:t>Minister’s second reading speech made in—</w:t>
      </w:r>
    </w:p>
    <w:p w:rsidR="00A77508" w:rsidRDefault="00A77508" w:rsidP="000C5962">
      <w:pPr>
        <w:pStyle w:val="2ndRd"/>
        <w:keepNext/>
        <w:spacing w:line="260" w:lineRule="atLeast"/>
        <w:rPr>
          <w:i/>
        </w:rPr>
      </w:pPr>
      <w:r>
        <w:rPr>
          <w:i/>
        </w:rPr>
        <w:t>House of Representatives on 18 September 2019</w:t>
      </w:r>
    </w:p>
    <w:p w:rsidR="00A77508" w:rsidRDefault="00A77508" w:rsidP="000C5962">
      <w:pPr>
        <w:pStyle w:val="2ndRd"/>
        <w:keepNext/>
        <w:spacing w:line="260" w:lineRule="atLeast"/>
        <w:rPr>
          <w:i/>
        </w:rPr>
      </w:pPr>
      <w:r>
        <w:rPr>
          <w:i/>
        </w:rPr>
        <w:t>Senate on 2 December 2019</w:t>
      </w:r>
      <w:r>
        <w:t>]</w:t>
      </w:r>
    </w:p>
    <w:p w:rsidR="00A77508" w:rsidRDefault="00A77508" w:rsidP="00A77508">
      <w:pPr>
        <w:framePr w:hSpace="180" w:wrap="around" w:vAnchor="text" w:hAnchor="page" w:x="2387" w:y="9396"/>
      </w:pPr>
      <w:r>
        <w:t>(180/19)</w:t>
      </w:r>
    </w:p>
    <w:p w:rsidR="00A77508" w:rsidRDefault="00A77508"/>
    <w:sectPr w:rsidR="00A77508" w:rsidSect="001659AB">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E1" w:rsidRDefault="00CD62E1" w:rsidP="0048364F">
      <w:pPr>
        <w:spacing w:line="240" w:lineRule="auto"/>
      </w:pPr>
      <w:r>
        <w:separator/>
      </w:r>
    </w:p>
  </w:endnote>
  <w:endnote w:type="continuationSeparator" w:id="0">
    <w:p w:rsidR="00CD62E1" w:rsidRDefault="00CD62E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B1E3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B" w:rsidRPr="00A961C4" w:rsidRDefault="001659AB" w:rsidP="00DB1E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59AB" w:rsidTr="00DB1E3C">
      <w:tc>
        <w:tcPr>
          <w:tcW w:w="1247" w:type="dxa"/>
        </w:tcPr>
        <w:p w:rsidR="001659AB" w:rsidRDefault="001659AB"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50DE">
            <w:rPr>
              <w:i/>
              <w:sz w:val="18"/>
            </w:rPr>
            <w:t>No. 21, 2020</w:t>
          </w:r>
          <w:r w:rsidRPr="007A1328">
            <w:rPr>
              <w:i/>
              <w:sz w:val="18"/>
            </w:rPr>
            <w:fldChar w:fldCharType="end"/>
          </w:r>
        </w:p>
      </w:tc>
      <w:tc>
        <w:tcPr>
          <w:tcW w:w="5387" w:type="dxa"/>
        </w:tcPr>
        <w:p w:rsidR="001659AB" w:rsidRDefault="001659AB"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50DE">
            <w:rPr>
              <w:i/>
              <w:sz w:val="18"/>
            </w:rPr>
            <w:t>Treasury Laws Amendment (Recovering Unpaid Superannuation) Act 2020</w:t>
          </w:r>
          <w:r w:rsidRPr="007A1328">
            <w:rPr>
              <w:i/>
              <w:sz w:val="18"/>
            </w:rPr>
            <w:fldChar w:fldCharType="end"/>
          </w:r>
        </w:p>
      </w:tc>
      <w:tc>
        <w:tcPr>
          <w:tcW w:w="669" w:type="dxa"/>
        </w:tcPr>
        <w:p w:rsidR="001659AB" w:rsidRDefault="001659AB"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550DE">
            <w:rPr>
              <w:i/>
              <w:noProof/>
              <w:sz w:val="18"/>
            </w:rPr>
            <w:t>5</w:t>
          </w:r>
          <w:r w:rsidRPr="007A1328">
            <w:rPr>
              <w:i/>
              <w:sz w:val="18"/>
            </w:rPr>
            <w:fldChar w:fldCharType="end"/>
          </w:r>
        </w:p>
      </w:tc>
    </w:tr>
  </w:tbl>
  <w:p w:rsidR="001659AB" w:rsidRPr="00055B5C" w:rsidRDefault="001659AB"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B" w:rsidRPr="00A961C4" w:rsidRDefault="001659AB" w:rsidP="00DB1E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659AB" w:rsidTr="00DB1E3C">
      <w:tc>
        <w:tcPr>
          <w:tcW w:w="1247" w:type="dxa"/>
        </w:tcPr>
        <w:p w:rsidR="001659AB" w:rsidRDefault="001659AB"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50DE">
            <w:rPr>
              <w:i/>
              <w:sz w:val="18"/>
            </w:rPr>
            <w:t>No. 21, 2020</w:t>
          </w:r>
          <w:r w:rsidRPr="007A1328">
            <w:rPr>
              <w:i/>
              <w:sz w:val="18"/>
            </w:rPr>
            <w:fldChar w:fldCharType="end"/>
          </w:r>
        </w:p>
      </w:tc>
      <w:tc>
        <w:tcPr>
          <w:tcW w:w="5387" w:type="dxa"/>
        </w:tcPr>
        <w:p w:rsidR="001659AB" w:rsidRDefault="001659AB"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50DE">
            <w:rPr>
              <w:i/>
              <w:sz w:val="18"/>
            </w:rPr>
            <w:t>Treasury Laws Amendment (Recovering Unpaid Superannuation) Act 2020</w:t>
          </w:r>
          <w:r w:rsidRPr="007A1328">
            <w:rPr>
              <w:i/>
              <w:sz w:val="18"/>
            </w:rPr>
            <w:fldChar w:fldCharType="end"/>
          </w:r>
        </w:p>
      </w:tc>
      <w:tc>
        <w:tcPr>
          <w:tcW w:w="669" w:type="dxa"/>
        </w:tcPr>
        <w:p w:rsidR="001659AB" w:rsidRDefault="001659AB"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550DE">
            <w:rPr>
              <w:i/>
              <w:noProof/>
              <w:sz w:val="18"/>
            </w:rPr>
            <w:t>5</w:t>
          </w:r>
          <w:r w:rsidRPr="007A1328">
            <w:rPr>
              <w:i/>
              <w:sz w:val="18"/>
            </w:rPr>
            <w:fldChar w:fldCharType="end"/>
          </w:r>
        </w:p>
      </w:tc>
    </w:tr>
  </w:tbl>
  <w:p w:rsidR="001659AB" w:rsidRPr="00A961C4" w:rsidRDefault="001659AB"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08" w:rsidRDefault="00A77508" w:rsidP="00CD12A5">
    <w:pPr>
      <w:pStyle w:val="ScalePlusRef"/>
    </w:pPr>
    <w:r>
      <w:t>Note: An electronic version of this Act is available on the Federal Register of Legislation (</w:t>
    </w:r>
    <w:hyperlink r:id="rId1" w:history="1">
      <w:r>
        <w:t>https://www.legislation.gov.au/</w:t>
      </w:r>
    </w:hyperlink>
    <w:r>
      <w:t>)</w:t>
    </w:r>
  </w:p>
  <w:p w:rsidR="00A77508" w:rsidRDefault="00A77508" w:rsidP="00CD12A5"/>
  <w:p w:rsidR="00055B5C" w:rsidRDefault="00055B5C" w:rsidP="00DB1E3C">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B1E3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DB1E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0DE">
            <w:rPr>
              <w:i/>
              <w:noProof/>
              <w:sz w:val="18"/>
            </w:rPr>
            <w:t>v</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550DE">
            <w:rPr>
              <w:i/>
              <w:sz w:val="18"/>
            </w:rPr>
            <w:t>Treasury Laws Amendment (Recovering Unpaid Superannuation)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550DE">
            <w:rPr>
              <w:i/>
              <w:sz w:val="18"/>
            </w:rPr>
            <w:t>No. 21,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DB1E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D04F5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550DE">
            <w:rPr>
              <w:i/>
              <w:sz w:val="18"/>
            </w:rPr>
            <w:t>No. 21,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550DE">
            <w:rPr>
              <w:i/>
              <w:sz w:val="18"/>
            </w:rPr>
            <w:t>Treasury Laws Amendment (Recovering Unpaid Superannuation)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0DE">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B1E3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DB1E3C">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550DE">
            <w:rPr>
              <w:i/>
              <w:noProof/>
              <w:sz w:val="18"/>
            </w:rPr>
            <w:t>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50DE">
            <w:rPr>
              <w:i/>
              <w:sz w:val="18"/>
            </w:rPr>
            <w:t>Treasury Laws Amendment (Recovering Unpaid Superannuation) Act 2020</w:t>
          </w:r>
          <w:r w:rsidRPr="007A1328">
            <w:rPr>
              <w:i/>
              <w:sz w:val="18"/>
            </w:rPr>
            <w:fldChar w:fldCharType="end"/>
          </w:r>
        </w:p>
      </w:tc>
      <w:tc>
        <w:tcPr>
          <w:tcW w:w="1270" w:type="dxa"/>
        </w:tcPr>
        <w:p w:rsidR="00055B5C" w:rsidRDefault="00055B5C" w:rsidP="00D04F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50DE">
            <w:rPr>
              <w:i/>
              <w:sz w:val="18"/>
            </w:rPr>
            <w:t>No. 21,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B1E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DB1E3C">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50DE">
            <w:rPr>
              <w:i/>
              <w:sz w:val="18"/>
            </w:rPr>
            <w:t>No. 21,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50DE">
            <w:rPr>
              <w:i/>
              <w:sz w:val="18"/>
            </w:rPr>
            <w:t>Treasury Laws Amendment (Recovering Unpaid Superannuation)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550DE">
            <w:rPr>
              <w:i/>
              <w:noProof/>
              <w:sz w:val="18"/>
            </w:rPr>
            <w:t>9</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B1E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DB1E3C">
      <w:tc>
        <w:tcPr>
          <w:tcW w:w="1247" w:type="dxa"/>
        </w:tcPr>
        <w:p w:rsidR="00055B5C" w:rsidRDefault="00055B5C" w:rsidP="00D04F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50DE">
            <w:rPr>
              <w:i/>
              <w:sz w:val="18"/>
            </w:rPr>
            <w:t>No. 21,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50DE">
            <w:rPr>
              <w:i/>
              <w:sz w:val="18"/>
            </w:rPr>
            <w:t>Treasury Laws Amendment (Recovering Unpaid Superannuation)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550DE">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B" w:rsidRPr="00A961C4" w:rsidRDefault="001659AB" w:rsidP="00DB1E3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659AB" w:rsidTr="00DB1E3C">
      <w:tc>
        <w:tcPr>
          <w:tcW w:w="646" w:type="dxa"/>
        </w:tcPr>
        <w:p w:rsidR="001659AB" w:rsidRDefault="001659AB"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550DE">
            <w:rPr>
              <w:i/>
              <w:noProof/>
              <w:sz w:val="18"/>
            </w:rPr>
            <w:t>10</w:t>
          </w:r>
          <w:r w:rsidRPr="007A1328">
            <w:rPr>
              <w:i/>
              <w:sz w:val="18"/>
            </w:rPr>
            <w:fldChar w:fldCharType="end"/>
          </w:r>
        </w:p>
      </w:tc>
      <w:tc>
        <w:tcPr>
          <w:tcW w:w="5387" w:type="dxa"/>
        </w:tcPr>
        <w:p w:rsidR="001659AB" w:rsidRDefault="001659AB"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50DE">
            <w:rPr>
              <w:i/>
              <w:sz w:val="18"/>
            </w:rPr>
            <w:t>Treasury Laws Amendment (Recovering Unpaid Superannuation) Act 2020</w:t>
          </w:r>
          <w:r w:rsidRPr="007A1328">
            <w:rPr>
              <w:i/>
              <w:sz w:val="18"/>
            </w:rPr>
            <w:fldChar w:fldCharType="end"/>
          </w:r>
        </w:p>
      </w:tc>
      <w:tc>
        <w:tcPr>
          <w:tcW w:w="1270" w:type="dxa"/>
        </w:tcPr>
        <w:p w:rsidR="001659AB" w:rsidRDefault="001659AB"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50DE">
            <w:rPr>
              <w:i/>
              <w:sz w:val="18"/>
            </w:rPr>
            <w:t>No. 21, 2020</w:t>
          </w:r>
          <w:r w:rsidRPr="007A1328">
            <w:rPr>
              <w:i/>
              <w:sz w:val="18"/>
            </w:rPr>
            <w:fldChar w:fldCharType="end"/>
          </w:r>
        </w:p>
      </w:tc>
    </w:tr>
  </w:tbl>
  <w:p w:rsidR="001659AB" w:rsidRPr="00A961C4" w:rsidRDefault="001659AB"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E1" w:rsidRDefault="00CD62E1" w:rsidP="0048364F">
      <w:pPr>
        <w:spacing w:line="240" w:lineRule="auto"/>
      </w:pPr>
      <w:r>
        <w:separator/>
      </w:r>
    </w:p>
  </w:footnote>
  <w:footnote w:type="continuationSeparator" w:id="0">
    <w:p w:rsidR="00CD62E1" w:rsidRDefault="00CD62E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B" w:rsidRPr="00A961C4" w:rsidRDefault="001659AB" w:rsidP="0048364F">
    <w:pPr>
      <w:rPr>
        <w:b/>
        <w:sz w:val="20"/>
      </w:rPr>
    </w:pPr>
  </w:p>
  <w:p w:rsidR="001659AB" w:rsidRPr="00A961C4" w:rsidRDefault="001659AB" w:rsidP="0048364F">
    <w:pPr>
      <w:rPr>
        <w:b/>
        <w:sz w:val="20"/>
      </w:rPr>
    </w:pPr>
  </w:p>
  <w:p w:rsidR="001659AB" w:rsidRPr="00A961C4" w:rsidRDefault="001659AB"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B" w:rsidRPr="00A961C4" w:rsidRDefault="001659AB" w:rsidP="0048364F">
    <w:pPr>
      <w:jc w:val="right"/>
      <w:rPr>
        <w:sz w:val="20"/>
      </w:rPr>
    </w:pPr>
  </w:p>
  <w:p w:rsidR="001659AB" w:rsidRPr="00A961C4" w:rsidRDefault="001659AB" w:rsidP="0048364F">
    <w:pPr>
      <w:jc w:val="right"/>
      <w:rPr>
        <w:b/>
        <w:sz w:val="20"/>
      </w:rPr>
    </w:pPr>
  </w:p>
  <w:p w:rsidR="001659AB" w:rsidRPr="00A961C4" w:rsidRDefault="001659AB"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B" w:rsidRPr="00A961C4" w:rsidRDefault="001659AB"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A550DE">
      <w:rPr>
        <w:b/>
        <w:sz w:val="20"/>
      </w:rPr>
      <w:fldChar w:fldCharType="separate"/>
    </w:r>
    <w:r w:rsidR="00A550D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550DE">
      <w:rPr>
        <w:sz w:val="20"/>
      </w:rPr>
      <w:fldChar w:fldCharType="separate"/>
    </w:r>
    <w:r w:rsidR="00A550DE">
      <w:rPr>
        <w:noProof/>
        <w:sz w:val="20"/>
      </w:rPr>
      <w:t>Superannuation guarantee amnesty</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550DE">
      <w:rPr>
        <w:sz w:val="20"/>
      </w:rPr>
      <w:fldChar w:fldCharType="separate"/>
    </w:r>
    <w:r w:rsidR="00A550DE">
      <w:rPr>
        <w:noProof/>
        <w:sz w:val="20"/>
      </w:rPr>
      <w:t>Superannuation guarantee amnesty</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550DE">
      <w:rPr>
        <w:b/>
        <w:sz w:val="20"/>
      </w:rPr>
      <w:fldChar w:fldCharType="separate"/>
    </w:r>
    <w:r w:rsidR="00A550DE">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E1"/>
    <w:rsid w:val="0000402F"/>
    <w:rsid w:val="000113BC"/>
    <w:rsid w:val="000136AF"/>
    <w:rsid w:val="000417C9"/>
    <w:rsid w:val="00055B5C"/>
    <w:rsid w:val="00056391"/>
    <w:rsid w:val="00060FF9"/>
    <w:rsid w:val="000614BF"/>
    <w:rsid w:val="00063811"/>
    <w:rsid w:val="000B1FD2"/>
    <w:rsid w:val="000C2873"/>
    <w:rsid w:val="000D05EF"/>
    <w:rsid w:val="000F21C1"/>
    <w:rsid w:val="000F5F64"/>
    <w:rsid w:val="00101D90"/>
    <w:rsid w:val="0010745C"/>
    <w:rsid w:val="00113BD1"/>
    <w:rsid w:val="00122206"/>
    <w:rsid w:val="0015646E"/>
    <w:rsid w:val="001643C9"/>
    <w:rsid w:val="00165568"/>
    <w:rsid w:val="001659AB"/>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12C76"/>
    <w:rsid w:val="00240749"/>
    <w:rsid w:val="002527C0"/>
    <w:rsid w:val="00262E85"/>
    <w:rsid w:val="00263820"/>
    <w:rsid w:val="00275197"/>
    <w:rsid w:val="00277AE2"/>
    <w:rsid w:val="00293B89"/>
    <w:rsid w:val="00297ECB"/>
    <w:rsid w:val="002B5A30"/>
    <w:rsid w:val="002D043A"/>
    <w:rsid w:val="002D395A"/>
    <w:rsid w:val="003415D3"/>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3629"/>
    <w:rsid w:val="00424CA9"/>
    <w:rsid w:val="00436785"/>
    <w:rsid w:val="00436BD5"/>
    <w:rsid w:val="00437E4B"/>
    <w:rsid w:val="0044291A"/>
    <w:rsid w:val="0045021B"/>
    <w:rsid w:val="0048196B"/>
    <w:rsid w:val="0048364F"/>
    <w:rsid w:val="00486D05"/>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F41"/>
    <w:rsid w:val="005D2EEF"/>
    <w:rsid w:val="005E152A"/>
    <w:rsid w:val="00600219"/>
    <w:rsid w:val="00635DF8"/>
    <w:rsid w:val="00641DE5"/>
    <w:rsid w:val="00656F0C"/>
    <w:rsid w:val="00677CC2"/>
    <w:rsid w:val="00681F92"/>
    <w:rsid w:val="006842C2"/>
    <w:rsid w:val="00685F42"/>
    <w:rsid w:val="0069207B"/>
    <w:rsid w:val="006A4B23"/>
    <w:rsid w:val="006B48A7"/>
    <w:rsid w:val="006C2874"/>
    <w:rsid w:val="006C7F8C"/>
    <w:rsid w:val="006D380D"/>
    <w:rsid w:val="006E0135"/>
    <w:rsid w:val="006E303A"/>
    <w:rsid w:val="006F7E19"/>
    <w:rsid w:val="00700B2C"/>
    <w:rsid w:val="00712D8D"/>
    <w:rsid w:val="00713084"/>
    <w:rsid w:val="00714B26"/>
    <w:rsid w:val="00731E00"/>
    <w:rsid w:val="007440B7"/>
    <w:rsid w:val="0076199E"/>
    <w:rsid w:val="007634AD"/>
    <w:rsid w:val="007715C9"/>
    <w:rsid w:val="00774EDD"/>
    <w:rsid w:val="007757EC"/>
    <w:rsid w:val="007B30AA"/>
    <w:rsid w:val="007D554F"/>
    <w:rsid w:val="007E7D4A"/>
    <w:rsid w:val="008006CC"/>
    <w:rsid w:val="00807F18"/>
    <w:rsid w:val="00831E8D"/>
    <w:rsid w:val="00856A31"/>
    <w:rsid w:val="00857D6B"/>
    <w:rsid w:val="008754D0"/>
    <w:rsid w:val="00877D48"/>
    <w:rsid w:val="00883781"/>
    <w:rsid w:val="00885570"/>
    <w:rsid w:val="00893958"/>
    <w:rsid w:val="008A2E77"/>
    <w:rsid w:val="008B5C99"/>
    <w:rsid w:val="008C6F6F"/>
    <w:rsid w:val="008D0EE0"/>
    <w:rsid w:val="008D3E94"/>
    <w:rsid w:val="008F4F1C"/>
    <w:rsid w:val="008F77C4"/>
    <w:rsid w:val="009103F3"/>
    <w:rsid w:val="00932377"/>
    <w:rsid w:val="00967042"/>
    <w:rsid w:val="0098255A"/>
    <w:rsid w:val="009845BE"/>
    <w:rsid w:val="009969C9"/>
    <w:rsid w:val="009B0459"/>
    <w:rsid w:val="009F7BD0"/>
    <w:rsid w:val="00A048FF"/>
    <w:rsid w:val="00A10775"/>
    <w:rsid w:val="00A231E2"/>
    <w:rsid w:val="00A36C48"/>
    <w:rsid w:val="00A41E0B"/>
    <w:rsid w:val="00A550DE"/>
    <w:rsid w:val="00A55631"/>
    <w:rsid w:val="00A55D69"/>
    <w:rsid w:val="00A64912"/>
    <w:rsid w:val="00A70A74"/>
    <w:rsid w:val="00A77508"/>
    <w:rsid w:val="00AA3795"/>
    <w:rsid w:val="00AC1E75"/>
    <w:rsid w:val="00AD5641"/>
    <w:rsid w:val="00AE1088"/>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056D"/>
    <w:rsid w:val="00C42BF8"/>
    <w:rsid w:val="00C460AE"/>
    <w:rsid w:val="00C50043"/>
    <w:rsid w:val="00C54E84"/>
    <w:rsid w:val="00C7573B"/>
    <w:rsid w:val="00C76CF3"/>
    <w:rsid w:val="00CD62E1"/>
    <w:rsid w:val="00CE1E31"/>
    <w:rsid w:val="00CF0BB2"/>
    <w:rsid w:val="00D00EAA"/>
    <w:rsid w:val="00D04F51"/>
    <w:rsid w:val="00D1332A"/>
    <w:rsid w:val="00D13441"/>
    <w:rsid w:val="00D243A3"/>
    <w:rsid w:val="00D477C3"/>
    <w:rsid w:val="00D52EFE"/>
    <w:rsid w:val="00D63EF6"/>
    <w:rsid w:val="00D70DFB"/>
    <w:rsid w:val="00D73029"/>
    <w:rsid w:val="00D766DF"/>
    <w:rsid w:val="00DB1E3C"/>
    <w:rsid w:val="00DE2002"/>
    <w:rsid w:val="00DF7AE9"/>
    <w:rsid w:val="00E05704"/>
    <w:rsid w:val="00E24D66"/>
    <w:rsid w:val="00E54292"/>
    <w:rsid w:val="00E74DC7"/>
    <w:rsid w:val="00E87699"/>
    <w:rsid w:val="00E947C6"/>
    <w:rsid w:val="00ED3B36"/>
    <w:rsid w:val="00ED492F"/>
    <w:rsid w:val="00EE3E36"/>
    <w:rsid w:val="00EF2686"/>
    <w:rsid w:val="00EF2E3A"/>
    <w:rsid w:val="00F047E2"/>
    <w:rsid w:val="00F078DC"/>
    <w:rsid w:val="00F13E86"/>
    <w:rsid w:val="00F17B00"/>
    <w:rsid w:val="00F42FBB"/>
    <w:rsid w:val="00F64E55"/>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E3C"/>
    <w:pPr>
      <w:spacing w:line="260" w:lineRule="atLeast"/>
    </w:pPr>
    <w:rPr>
      <w:sz w:val="22"/>
    </w:rPr>
  </w:style>
  <w:style w:type="paragraph" w:styleId="Heading1">
    <w:name w:val="heading 1"/>
    <w:basedOn w:val="Normal"/>
    <w:next w:val="Normal"/>
    <w:link w:val="Heading1Char"/>
    <w:uiPriority w:val="9"/>
    <w:qFormat/>
    <w:rsid w:val="001659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9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9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9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9A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9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9A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9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1E3C"/>
  </w:style>
  <w:style w:type="paragraph" w:customStyle="1" w:styleId="OPCParaBase">
    <w:name w:val="OPCParaBase"/>
    <w:link w:val="OPCParaBaseChar"/>
    <w:qFormat/>
    <w:rsid w:val="00DB1E3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B1E3C"/>
    <w:pPr>
      <w:spacing w:line="240" w:lineRule="auto"/>
    </w:pPr>
    <w:rPr>
      <w:b/>
      <w:sz w:val="40"/>
    </w:rPr>
  </w:style>
  <w:style w:type="paragraph" w:customStyle="1" w:styleId="ActHead1">
    <w:name w:val="ActHead 1"/>
    <w:aliases w:val="c"/>
    <w:basedOn w:val="OPCParaBase"/>
    <w:next w:val="Normal"/>
    <w:qFormat/>
    <w:rsid w:val="00DB1E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1E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1E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1E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1E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1E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1E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1E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1E3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B1E3C"/>
  </w:style>
  <w:style w:type="paragraph" w:customStyle="1" w:styleId="Blocks">
    <w:name w:val="Blocks"/>
    <w:aliases w:val="bb"/>
    <w:basedOn w:val="OPCParaBase"/>
    <w:qFormat/>
    <w:rsid w:val="00DB1E3C"/>
    <w:pPr>
      <w:spacing w:line="240" w:lineRule="auto"/>
    </w:pPr>
    <w:rPr>
      <w:sz w:val="24"/>
    </w:rPr>
  </w:style>
  <w:style w:type="paragraph" w:customStyle="1" w:styleId="BoxText">
    <w:name w:val="BoxText"/>
    <w:aliases w:val="bt"/>
    <w:basedOn w:val="OPCParaBase"/>
    <w:qFormat/>
    <w:rsid w:val="00DB1E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1E3C"/>
    <w:rPr>
      <w:b/>
    </w:rPr>
  </w:style>
  <w:style w:type="paragraph" w:customStyle="1" w:styleId="BoxHeadItalic">
    <w:name w:val="BoxHeadItalic"/>
    <w:aliases w:val="bhi"/>
    <w:basedOn w:val="BoxText"/>
    <w:next w:val="BoxStep"/>
    <w:qFormat/>
    <w:rsid w:val="00DB1E3C"/>
    <w:rPr>
      <w:i/>
    </w:rPr>
  </w:style>
  <w:style w:type="paragraph" w:customStyle="1" w:styleId="BoxList">
    <w:name w:val="BoxList"/>
    <w:aliases w:val="bl"/>
    <w:basedOn w:val="BoxText"/>
    <w:qFormat/>
    <w:rsid w:val="00DB1E3C"/>
    <w:pPr>
      <w:ind w:left="1559" w:hanging="425"/>
    </w:pPr>
  </w:style>
  <w:style w:type="paragraph" w:customStyle="1" w:styleId="BoxNote">
    <w:name w:val="BoxNote"/>
    <w:aliases w:val="bn"/>
    <w:basedOn w:val="BoxText"/>
    <w:qFormat/>
    <w:rsid w:val="00DB1E3C"/>
    <w:pPr>
      <w:tabs>
        <w:tab w:val="left" w:pos="1985"/>
      </w:tabs>
      <w:spacing w:before="122" w:line="198" w:lineRule="exact"/>
      <w:ind w:left="2948" w:hanging="1814"/>
    </w:pPr>
    <w:rPr>
      <w:sz w:val="18"/>
    </w:rPr>
  </w:style>
  <w:style w:type="paragraph" w:customStyle="1" w:styleId="BoxPara">
    <w:name w:val="BoxPara"/>
    <w:aliases w:val="bp"/>
    <w:basedOn w:val="BoxText"/>
    <w:qFormat/>
    <w:rsid w:val="00DB1E3C"/>
    <w:pPr>
      <w:tabs>
        <w:tab w:val="right" w:pos="2268"/>
      </w:tabs>
      <w:ind w:left="2552" w:hanging="1418"/>
    </w:pPr>
  </w:style>
  <w:style w:type="paragraph" w:customStyle="1" w:styleId="BoxStep">
    <w:name w:val="BoxStep"/>
    <w:aliases w:val="bs"/>
    <w:basedOn w:val="BoxText"/>
    <w:qFormat/>
    <w:rsid w:val="00DB1E3C"/>
    <w:pPr>
      <w:ind w:left="1985" w:hanging="851"/>
    </w:pPr>
  </w:style>
  <w:style w:type="character" w:customStyle="1" w:styleId="CharAmPartNo">
    <w:name w:val="CharAmPartNo"/>
    <w:basedOn w:val="OPCCharBase"/>
    <w:qFormat/>
    <w:rsid w:val="00DB1E3C"/>
  </w:style>
  <w:style w:type="character" w:customStyle="1" w:styleId="CharAmPartText">
    <w:name w:val="CharAmPartText"/>
    <w:basedOn w:val="OPCCharBase"/>
    <w:qFormat/>
    <w:rsid w:val="00DB1E3C"/>
  </w:style>
  <w:style w:type="character" w:customStyle="1" w:styleId="CharAmSchNo">
    <w:name w:val="CharAmSchNo"/>
    <w:basedOn w:val="OPCCharBase"/>
    <w:qFormat/>
    <w:rsid w:val="00DB1E3C"/>
  </w:style>
  <w:style w:type="character" w:customStyle="1" w:styleId="CharAmSchText">
    <w:name w:val="CharAmSchText"/>
    <w:basedOn w:val="OPCCharBase"/>
    <w:qFormat/>
    <w:rsid w:val="00DB1E3C"/>
  </w:style>
  <w:style w:type="character" w:customStyle="1" w:styleId="CharBoldItalic">
    <w:name w:val="CharBoldItalic"/>
    <w:basedOn w:val="OPCCharBase"/>
    <w:uiPriority w:val="1"/>
    <w:qFormat/>
    <w:rsid w:val="00DB1E3C"/>
    <w:rPr>
      <w:b/>
      <w:i/>
    </w:rPr>
  </w:style>
  <w:style w:type="character" w:customStyle="1" w:styleId="CharChapNo">
    <w:name w:val="CharChapNo"/>
    <w:basedOn w:val="OPCCharBase"/>
    <w:uiPriority w:val="1"/>
    <w:qFormat/>
    <w:rsid w:val="00DB1E3C"/>
  </w:style>
  <w:style w:type="character" w:customStyle="1" w:styleId="CharChapText">
    <w:name w:val="CharChapText"/>
    <w:basedOn w:val="OPCCharBase"/>
    <w:uiPriority w:val="1"/>
    <w:qFormat/>
    <w:rsid w:val="00DB1E3C"/>
  </w:style>
  <w:style w:type="character" w:customStyle="1" w:styleId="CharDivNo">
    <w:name w:val="CharDivNo"/>
    <w:basedOn w:val="OPCCharBase"/>
    <w:uiPriority w:val="1"/>
    <w:qFormat/>
    <w:rsid w:val="00DB1E3C"/>
  </w:style>
  <w:style w:type="character" w:customStyle="1" w:styleId="CharDivText">
    <w:name w:val="CharDivText"/>
    <w:basedOn w:val="OPCCharBase"/>
    <w:uiPriority w:val="1"/>
    <w:qFormat/>
    <w:rsid w:val="00DB1E3C"/>
  </w:style>
  <w:style w:type="character" w:customStyle="1" w:styleId="CharItalic">
    <w:name w:val="CharItalic"/>
    <w:basedOn w:val="OPCCharBase"/>
    <w:uiPriority w:val="1"/>
    <w:qFormat/>
    <w:rsid w:val="00DB1E3C"/>
    <w:rPr>
      <w:i/>
    </w:rPr>
  </w:style>
  <w:style w:type="character" w:customStyle="1" w:styleId="CharPartNo">
    <w:name w:val="CharPartNo"/>
    <w:basedOn w:val="OPCCharBase"/>
    <w:uiPriority w:val="1"/>
    <w:qFormat/>
    <w:rsid w:val="00DB1E3C"/>
  </w:style>
  <w:style w:type="character" w:customStyle="1" w:styleId="CharPartText">
    <w:name w:val="CharPartText"/>
    <w:basedOn w:val="OPCCharBase"/>
    <w:uiPriority w:val="1"/>
    <w:qFormat/>
    <w:rsid w:val="00DB1E3C"/>
  </w:style>
  <w:style w:type="character" w:customStyle="1" w:styleId="CharSectno">
    <w:name w:val="CharSectno"/>
    <w:basedOn w:val="OPCCharBase"/>
    <w:qFormat/>
    <w:rsid w:val="00DB1E3C"/>
  </w:style>
  <w:style w:type="character" w:customStyle="1" w:styleId="CharSubdNo">
    <w:name w:val="CharSubdNo"/>
    <w:basedOn w:val="OPCCharBase"/>
    <w:uiPriority w:val="1"/>
    <w:qFormat/>
    <w:rsid w:val="00DB1E3C"/>
  </w:style>
  <w:style w:type="character" w:customStyle="1" w:styleId="CharSubdText">
    <w:name w:val="CharSubdText"/>
    <w:basedOn w:val="OPCCharBase"/>
    <w:uiPriority w:val="1"/>
    <w:qFormat/>
    <w:rsid w:val="00DB1E3C"/>
  </w:style>
  <w:style w:type="paragraph" w:customStyle="1" w:styleId="CTA--">
    <w:name w:val="CTA --"/>
    <w:basedOn w:val="OPCParaBase"/>
    <w:next w:val="Normal"/>
    <w:rsid w:val="00DB1E3C"/>
    <w:pPr>
      <w:spacing w:before="60" w:line="240" w:lineRule="atLeast"/>
      <w:ind w:left="142" w:hanging="142"/>
    </w:pPr>
    <w:rPr>
      <w:sz w:val="20"/>
    </w:rPr>
  </w:style>
  <w:style w:type="paragraph" w:customStyle="1" w:styleId="CTA-">
    <w:name w:val="CTA -"/>
    <w:basedOn w:val="OPCParaBase"/>
    <w:rsid w:val="00DB1E3C"/>
    <w:pPr>
      <w:spacing w:before="60" w:line="240" w:lineRule="atLeast"/>
      <w:ind w:left="85" w:hanging="85"/>
    </w:pPr>
    <w:rPr>
      <w:sz w:val="20"/>
    </w:rPr>
  </w:style>
  <w:style w:type="paragraph" w:customStyle="1" w:styleId="CTA---">
    <w:name w:val="CTA ---"/>
    <w:basedOn w:val="OPCParaBase"/>
    <w:next w:val="Normal"/>
    <w:rsid w:val="00DB1E3C"/>
    <w:pPr>
      <w:spacing w:before="60" w:line="240" w:lineRule="atLeast"/>
      <w:ind w:left="198" w:hanging="198"/>
    </w:pPr>
    <w:rPr>
      <w:sz w:val="20"/>
    </w:rPr>
  </w:style>
  <w:style w:type="paragraph" w:customStyle="1" w:styleId="CTA----">
    <w:name w:val="CTA ----"/>
    <w:basedOn w:val="OPCParaBase"/>
    <w:next w:val="Normal"/>
    <w:rsid w:val="00DB1E3C"/>
    <w:pPr>
      <w:spacing w:before="60" w:line="240" w:lineRule="atLeast"/>
      <w:ind w:left="255" w:hanging="255"/>
    </w:pPr>
    <w:rPr>
      <w:sz w:val="20"/>
    </w:rPr>
  </w:style>
  <w:style w:type="paragraph" w:customStyle="1" w:styleId="CTA1a">
    <w:name w:val="CTA 1(a)"/>
    <w:basedOn w:val="OPCParaBase"/>
    <w:rsid w:val="00DB1E3C"/>
    <w:pPr>
      <w:tabs>
        <w:tab w:val="right" w:pos="414"/>
      </w:tabs>
      <w:spacing w:before="40" w:line="240" w:lineRule="atLeast"/>
      <w:ind w:left="675" w:hanging="675"/>
    </w:pPr>
    <w:rPr>
      <w:sz w:val="20"/>
    </w:rPr>
  </w:style>
  <w:style w:type="paragraph" w:customStyle="1" w:styleId="CTA1ai">
    <w:name w:val="CTA 1(a)(i)"/>
    <w:basedOn w:val="OPCParaBase"/>
    <w:rsid w:val="00DB1E3C"/>
    <w:pPr>
      <w:tabs>
        <w:tab w:val="right" w:pos="1004"/>
      </w:tabs>
      <w:spacing w:before="40" w:line="240" w:lineRule="atLeast"/>
      <w:ind w:left="1253" w:hanging="1253"/>
    </w:pPr>
    <w:rPr>
      <w:sz w:val="20"/>
    </w:rPr>
  </w:style>
  <w:style w:type="paragraph" w:customStyle="1" w:styleId="CTA2a">
    <w:name w:val="CTA 2(a)"/>
    <w:basedOn w:val="OPCParaBase"/>
    <w:rsid w:val="00DB1E3C"/>
    <w:pPr>
      <w:tabs>
        <w:tab w:val="right" w:pos="482"/>
      </w:tabs>
      <w:spacing w:before="40" w:line="240" w:lineRule="atLeast"/>
      <w:ind w:left="748" w:hanging="748"/>
    </w:pPr>
    <w:rPr>
      <w:sz w:val="20"/>
    </w:rPr>
  </w:style>
  <w:style w:type="paragraph" w:customStyle="1" w:styleId="CTA2ai">
    <w:name w:val="CTA 2(a)(i)"/>
    <w:basedOn w:val="OPCParaBase"/>
    <w:rsid w:val="00DB1E3C"/>
    <w:pPr>
      <w:tabs>
        <w:tab w:val="right" w:pos="1089"/>
      </w:tabs>
      <w:spacing w:before="40" w:line="240" w:lineRule="atLeast"/>
      <w:ind w:left="1327" w:hanging="1327"/>
    </w:pPr>
    <w:rPr>
      <w:sz w:val="20"/>
    </w:rPr>
  </w:style>
  <w:style w:type="paragraph" w:customStyle="1" w:styleId="CTA3a">
    <w:name w:val="CTA 3(a)"/>
    <w:basedOn w:val="OPCParaBase"/>
    <w:rsid w:val="00DB1E3C"/>
    <w:pPr>
      <w:tabs>
        <w:tab w:val="right" w:pos="556"/>
      </w:tabs>
      <w:spacing w:before="40" w:line="240" w:lineRule="atLeast"/>
      <w:ind w:left="805" w:hanging="805"/>
    </w:pPr>
    <w:rPr>
      <w:sz w:val="20"/>
    </w:rPr>
  </w:style>
  <w:style w:type="paragraph" w:customStyle="1" w:styleId="CTA3ai">
    <w:name w:val="CTA 3(a)(i)"/>
    <w:basedOn w:val="OPCParaBase"/>
    <w:rsid w:val="00DB1E3C"/>
    <w:pPr>
      <w:tabs>
        <w:tab w:val="right" w:pos="1140"/>
      </w:tabs>
      <w:spacing w:before="40" w:line="240" w:lineRule="atLeast"/>
      <w:ind w:left="1361" w:hanging="1361"/>
    </w:pPr>
    <w:rPr>
      <w:sz w:val="20"/>
    </w:rPr>
  </w:style>
  <w:style w:type="paragraph" w:customStyle="1" w:styleId="CTA4a">
    <w:name w:val="CTA 4(a)"/>
    <w:basedOn w:val="OPCParaBase"/>
    <w:rsid w:val="00DB1E3C"/>
    <w:pPr>
      <w:tabs>
        <w:tab w:val="right" w:pos="624"/>
      </w:tabs>
      <w:spacing w:before="40" w:line="240" w:lineRule="atLeast"/>
      <w:ind w:left="873" w:hanging="873"/>
    </w:pPr>
    <w:rPr>
      <w:sz w:val="20"/>
    </w:rPr>
  </w:style>
  <w:style w:type="paragraph" w:customStyle="1" w:styleId="CTA4ai">
    <w:name w:val="CTA 4(a)(i)"/>
    <w:basedOn w:val="OPCParaBase"/>
    <w:rsid w:val="00DB1E3C"/>
    <w:pPr>
      <w:tabs>
        <w:tab w:val="right" w:pos="1213"/>
      </w:tabs>
      <w:spacing w:before="40" w:line="240" w:lineRule="atLeast"/>
      <w:ind w:left="1452" w:hanging="1452"/>
    </w:pPr>
    <w:rPr>
      <w:sz w:val="20"/>
    </w:rPr>
  </w:style>
  <w:style w:type="paragraph" w:customStyle="1" w:styleId="CTACAPS">
    <w:name w:val="CTA CAPS"/>
    <w:basedOn w:val="OPCParaBase"/>
    <w:rsid w:val="00DB1E3C"/>
    <w:pPr>
      <w:spacing w:before="60" w:line="240" w:lineRule="atLeast"/>
    </w:pPr>
    <w:rPr>
      <w:sz w:val="20"/>
    </w:rPr>
  </w:style>
  <w:style w:type="paragraph" w:customStyle="1" w:styleId="CTAright">
    <w:name w:val="CTA right"/>
    <w:basedOn w:val="OPCParaBase"/>
    <w:rsid w:val="00DB1E3C"/>
    <w:pPr>
      <w:spacing w:before="60" w:line="240" w:lineRule="auto"/>
      <w:jc w:val="right"/>
    </w:pPr>
    <w:rPr>
      <w:sz w:val="20"/>
    </w:rPr>
  </w:style>
  <w:style w:type="paragraph" w:customStyle="1" w:styleId="subsection">
    <w:name w:val="subsection"/>
    <w:aliases w:val="ss"/>
    <w:basedOn w:val="OPCParaBase"/>
    <w:link w:val="subsectionChar"/>
    <w:rsid w:val="00DB1E3C"/>
    <w:pPr>
      <w:tabs>
        <w:tab w:val="right" w:pos="1021"/>
      </w:tabs>
      <w:spacing w:before="180" w:line="240" w:lineRule="auto"/>
      <w:ind w:left="1134" w:hanging="1134"/>
    </w:pPr>
  </w:style>
  <w:style w:type="paragraph" w:customStyle="1" w:styleId="Definition">
    <w:name w:val="Definition"/>
    <w:aliases w:val="dd"/>
    <w:basedOn w:val="OPCParaBase"/>
    <w:rsid w:val="00DB1E3C"/>
    <w:pPr>
      <w:spacing w:before="180" w:line="240" w:lineRule="auto"/>
      <w:ind w:left="1134"/>
    </w:pPr>
  </w:style>
  <w:style w:type="paragraph" w:customStyle="1" w:styleId="ETAsubitem">
    <w:name w:val="ETA(subitem)"/>
    <w:basedOn w:val="OPCParaBase"/>
    <w:rsid w:val="00DB1E3C"/>
    <w:pPr>
      <w:tabs>
        <w:tab w:val="right" w:pos="340"/>
      </w:tabs>
      <w:spacing w:before="60" w:line="240" w:lineRule="auto"/>
      <w:ind w:left="454" w:hanging="454"/>
    </w:pPr>
    <w:rPr>
      <w:sz w:val="20"/>
    </w:rPr>
  </w:style>
  <w:style w:type="paragraph" w:customStyle="1" w:styleId="ETApara">
    <w:name w:val="ETA(para)"/>
    <w:basedOn w:val="OPCParaBase"/>
    <w:rsid w:val="00DB1E3C"/>
    <w:pPr>
      <w:tabs>
        <w:tab w:val="right" w:pos="754"/>
      </w:tabs>
      <w:spacing w:before="60" w:line="240" w:lineRule="auto"/>
      <w:ind w:left="828" w:hanging="828"/>
    </w:pPr>
    <w:rPr>
      <w:sz w:val="20"/>
    </w:rPr>
  </w:style>
  <w:style w:type="paragraph" w:customStyle="1" w:styleId="ETAsubpara">
    <w:name w:val="ETA(subpara)"/>
    <w:basedOn w:val="OPCParaBase"/>
    <w:rsid w:val="00DB1E3C"/>
    <w:pPr>
      <w:tabs>
        <w:tab w:val="right" w:pos="1083"/>
      </w:tabs>
      <w:spacing w:before="60" w:line="240" w:lineRule="auto"/>
      <w:ind w:left="1191" w:hanging="1191"/>
    </w:pPr>
    <w:rPr>
      <w:sz w:val="20"/>
    </w:rPr>
  </w:style>
  <w:style w:type="paragraph" w:customStyle="1" w:styleId="ETAsub-subpara">
    <w:name w:val="ETA(sub-subpara)"/>
    <w:basedOn w:val="OPCParaBase"/>
    <w:rsid w:val="00DB1E3C"/>
    <w:pPr>
      <w:tabs>
        <w:tab w:val="right" w:pos="1412"/>
      </w:tabs>
      <w:spacing w:before="60" w:line="240" w:lineRule="auto"/>
      <w:ind w:left="1525" w:hanging="1525"/>
    </w:pPr>
    <w:rPr>
      <w:sz w:val="20"/>
    </w:rPr>
  </w:style>
  <w:style w:type="paragraph" w:customStyle="1" w:styleId="Formula">
    <w:name w:val="Formula"/>
    <w:basedOn w:val="OPCParaBase"/>
    <w:rsid w:val="00DB1E3C"/>
    <w:pPr>
      <w:spacing w:line="240" w:lineRule="auto"/>
      <w:ind w:left="1134"/>
    </w:pPr>
    <w:rPr>
      <w:sz w:val="20"/>
    </w:rPr>
  </w:style>
  <w:style w:type="paragraph" w:styleId="Header">
    <w:name w:val="header"/>
    <w:basedOn w:val="OPCParaBase"/>
    <w:link w:val="HeaderChar"/>
    <w:unhideWhenUsed/>
    <w:rsid w:val="00DB1E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1E3C"/>
    <w:rPr>
      <w:rFonts w:eastAsia="Times New Roman" w:cs="Times New Roman"/>
      <w:sz w:val="16"/>
      <w:lang w:eastAsia="en-AU"/>
    </w:rPr>
  </w:style>
  <w:style w:type="paragraph" w:customStyle="1" w:styleId="House">
    <w:name w:val="House"/>
    <w:basedOn w:val="OPCParaBase"/>
    <w:rsid w:val="00DB1E3C"/>
    <w:pPr>
      <w:spacing w:line="240" w:lineRule="auto"/>
    </w:pPr>
    <w:rPr>
      <w:sz w:val="28"/>
    </w:rPr>
  </w:style>
  <w:style w:type="paragraph" w:customStyle="1" w:styleId="Item">
    <w:name w:val="Item"/>
    <w:aliases w:val="i"/>
    <w:basedOn w:val="OPCParaBase"/>
    <w:next w:val="ItemHead"/>
    <w:link w:val="ItemChar"/>
    <w:rsid w:val="00DB1E3C"/>
    <w:pPr>
      <w:keepLines/>
      <w:spacing w:before="80" w:line="240" w:lineRule="auto"/>
      <w:ind w:left="709"/>
    </w:pPr>
  </w:style>
  <w:style w:type="paragraph" w:customStyle="1" w:styleId="ItemHead">
    <w:name w:val="ItemHead"/>
    <w:aliases w:val="ih"/>
    <w:basedOn w:val="OPCParaBase"/>
    <w:next w:val="Item"/>
    <w:link w:val="ItemHeadChar"/>
    <w:rsid w:val="00DB1E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1E3C"/>
    <w:pPr>
      <w:spacing w:line="240" w:lineRule="auto"/>
    </w:pPr>
    <w:rPr>
      <w:b/>
      <w:sz w:val="32"/>
    </w:rPr>
  </w:style>
  <w:style w:type="paragraph" w:customStyle="1" w:styleId="notedraft">
    <w:name w:val="note(draft)"/>
    <w:aliases w:val="nd"/>
    <w:basedOn w:val="OPCParaBase"/>
    <w:rsid w:val="00DB1E3C"/>
    <w:pPr>
      <w:spacing w:before="240" w:line="240" w:lineRule="auto"/>
      <w:ind w:left="284" w:hanging="284"/>
    </w:pPr>
    <w:rPr>
      <w:i/>
      <w:sz w:val="24"/>
    </w:rPr>
  </w:style>
  <w:style w:type="paragraph" w:customStyle="1" w:styleId="notemargin">
    <w:name w:val="note(margin)"/>
    <w:aliases w:val="nm"/>
    <w:basedOn w:val="OPCParaBase"/>
    <w:rsid w:val="00DB1E3C"/>
    <w:pPr>
      <w:tabs>
        <w:tab w:val="left" w:pos="709"/>
      </w:tabs>
      <w:spacing w:before="122" w:line="198" w:lineRule="exact"/>
      <w:ind w:left="709" w:hanging="709"/>
    </w:pPr>
    <w:rPr>
      <w:sz w:val="18"/>
    </w:rPr>
  </w:style>
  <w:style w:type="paragraph" w:customStyle="1" w:styleId="noteToPara">
    <w:name w:val="noteToPara"/>
    <w:aliases w:val="ntp"/>
    <w:basedOn w:val="OPCParaBase"/>
    <w:rsid w:val="00DB1E3C"/>
    <w:pPr>
      <w:spacing w:before="122" w:line="198" w:lineRule="exact"/>
      <w:ind w:left="2353" w:hanging="709"/>
    </w:pPr>
    <w:rPr>
      <w:sz w:val="18"/>
    </w:rPr>
  </w:style>
  <w:style w:type="paragraph" w:customStyle="1" w:styleId="noteParlAmend">
    <w:name w:val="note(ParlAmend)"/>
    <w:aliases w:val="npp"/>
    <w:basedOn w:val="OPCParaBase"/>
    <w:next w:val="ParlAmend"/>
    <w:rsid w:val="00DB1E3C"/>
    <w:pPr>
      <w:spacing w:line="240" w:lineRule="auto"/>
      <w:jc w:val="right"/>
    </w:pPr>
    <w:rPr>
      <w:rFonts w:ascii="Arial" w:hAnsi="Arial"/>
      <w:b/>
      <w:i/>
    </w:rPr>
  </w:style>
  <w:style w:type="paragraph" w:customStyle="1" w:styleId="Page1">
    <w:name w:val="Page1"/>
    <w:basedOn w:val="OPCParaBase"/>
    <w:rsid w:val="00DB1E3C"/>
    <w:pPr>
      <w:spacing w:before="400" w:line="240" w:lineRule="auto"/>
    </w:pPr>
    <w:rPr>
      <w:b/>
      <w:sz w:val="32"/>
    </w:rPr>
  </w:style>
  <w:style w:type="paragraph" w:customStyle="1" w:styleId="PageBreak">
    <w:name w:val="PageBreak"/>
    <w:aliases w:val="pb"/>
    <w:basedOn w:val="OPCParaBase"/>
    <w:rsid w:val="00DB1E3C"/>
    <w:pPr>
      <w:spacing w:line="240" w:lineRule="auto"/>
    </w:pPr>
    <w:rPr>
      <w:sz w:val="20"/>
    </w:rPr>
  </w:style>
  <w:style w:type="paragraph" w:customStyle="1" w:styleId="paragraphsub">
    <w:name w:val="paragraph(sub)"/>
    <w:aliases w:val="aa"/>
    <w:basedOn w:val="OPCParaBase"/>
    <w:rsid w:val="00DB1E3C"/>
    <w:pPr>
      <w:tabs>
        <w:tab w:val="right" w:pos="1985"/>
      </w:tabs>
      <w:spacing w:before="40" w:line="240" w:lineRule="auto"/>
      <w:ind w:left="2098" w:hanging="2098"/>
    </w:pPr>
  </w:style>
  <w:style w:type="paragraph" w:customStyle="1" w:styleId="paragraphsub-sub">
    <w:name w:val="paragraph(sub-sub)"/>
    <w:aliases w:val="aaa"/>
    <w:basedOn w:val="OPCParaBase"/>
    <w:rsid w:val="00DB1E3C"/>
    <w:pPr>
      <w:tabs>
        <w:tab w:val="right" w:pos="2722"/>
      </w:tabs>
      <w:spacing w:before="40" w:line="240" w:lineRule="auto"/>
      <w:ind w:left="2835" w:hanging="2835"/>
    </w:pPr>
  </w:style>
  <w:style w:type="paragraph" w:customStyle="1" w:styleId="paragraph">
    <w:name w:val="paragraph"/>
    <w:aliases w:val="a"/>
    <w:basedOn w:val="OPCParaBase"/>
    <w:link w:val="paragraphChar"/>
    <w:rsid w:val="00DB1E3C"/>
    <w:pPr>
      <w:tabs>
        <w:tab w:val="right" w:pos="1531"/>
      </w:tabs>
      <w:spacing w:before="40" w:line="240" w:lineRule="auto"/>
      <w:ind w:left="1644" w:hanging="1644"/>
    </w:pPr>
  </w:style>
  <w:style w:type="paragraph" w:customStyle="1" w:styleId="ParlAmend">
    <w:name w:val="ParlAmend"/>
    <w:aliases w:val="pp"/>
    <w:basedOn w:val="OPCParaBase"/>
    <w:rsid w:val="00DB1E3C"/>
    <w:pPr>
      <w:spacing w:before="240" w:line="240" w:lineRule="atLeast"/>
      <w:ind w:hanging="567"/>
    </w:pPr>
    <w:rPr>
      <w:sz w:val="24"/>
    </w:rPr>
  </w:style>
  <w:style w:type="paragraph" w:customStyle="1" w:styleId="Penalty">
    <w:name w:val="Penalty"/>
    <w:basedOn w:val="OPCParaBase"/>
    <w:rsid w:val="00DB1E3C"/>
    <w:pPr>
      <w:tabs>
        <w:tab w:val="left" w:pos="2977"/>
      </w:tabs>
      <w:spacing w:before="180" w:line="240" w:lineRule="auto"/>
      <w:ind w:left="1985" w:hanging="851"/>
    </w:pPr>
  </w:style>
  <w:style w:type="paragraph" w:customStyle="1" w:styleId="Portfolio">
    <w:name w:val="Portfolio"/>
    <w:basedOn w:val="OPCParaBase"/>
    <w:rsid w:val="00DB1E3C"/>
    <w:pPr>
      <w:spacing w:line="240" w:lineRule="auto"/>
    </w:pPr>
    <w:rPr>
      <w:i/>
      <w:sz w:val="20"/>
    </w:rPr>
  </w:style>
  <w:style w:type="paragraph" w:customStyle="1" w:styleId="Preamble">
    <w:name w:val="Preamble"/>
    <w:basedOn w:val="OPCParaBase"/>
    <w:next w:val="Normal"/>
    <w:rsid w:val="00DB1E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1E3C"/>
    <w:pPr>
      <w:spacing w:line="240" w:lineRule="auto"/>
    </w:pPr>
    <w:rPr>
      <w:i/>
      <w:sz w:val="20"/>
    </w:rPr>
  </w:style>
  <w:style w:type="paragraph" w:customStyle="1" w:styleId="Session">
    <w:name w:val="Session"/>
    <w:basedOn w:val="OPCParaBase"/>
    <w:rsid w:val="00DB1E3C"/>
    <w:pPr>
      <w:spacing w:line="240" w:lineRule="auto"/>
    </w:pPr>
    <w:rPr>
      <w:sz w:val="28"/>
    </w:rPr>
  </w:style>
  <w:style w:type="paragraph" w:customStyle="1" w:styleId="Sponsor">
    <w:name w:val="Sponsor"/>
    <w:basedOn w:val="OPCParaBase"/>
    <w:rsid w:val="00DB1E3C"/>
    <w:pPr>
      <w:spacing w:line="240" w:lineRule="auto"/>
    </w:pPr>
    <w:rPr>
      <w:i/>
    </w:rPr>
  </w:style>
  <w:style w:type="paragraph" w:customStyle="1" w:styleId="Subitem">
    <w:name w:val="Subitem"/>
    <w:aliases w:val="iss"/>
    <w:basedOn w:val="OPCParaBase"/>
    <w:rsid w:val="00DB1E3C"/>
    <w:pPr>
      <w:spacing w:before="180" w:line="240" w:lineRule="auto"/>
      <w:ind w:left="709" w:hanging="709"/>
    </w:pPr>
  </w:style>
  <w:style w:type="paragraph" w:customStyle="1" w:styleId="SubitemHead">
    <w:name w:val="SubitemHead"/>
    <w:aliases w:val="issh"/>
    <w:basedOn w:val="OPCParaBase"/>
    <w:rsid w:val="00DB1E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B1E3C"/>
    <w:pPr>
      <w:spacing w:before="40" w:line="240" w:lineRule="auto"/>
      <w:ind w:left="1134"/>
    </w:pPr>
  </w:style>
  <w:style w:type="paragraph" w:customStyle="1" w:styleId="SubsectionHead">
    <w:name w:val="SubsectionHead"/>
    <w:aliases w:val="ssh"/>
    <w:basedOn w:val="OPCParaBase"/>
    <w:next w:val="subsection"/>
    <w:rsid w:val="00DB1E3C"/>
    <w:pPr>
      <w:keepNext/>
      <w:keepLines/>
      <w:spacing w:before="240" w:line="240" w:lineRule="auto"/>
      <w:ind w:left="1134"/>
    </w:pPr>
    <w:rPr>
      <w:i/>
    </w:rPr>
  </w:style>
  <w:style w:type="paragraph" w:customStyle="1" w:styleId="Tablea">
    <w:name w:val="Table(a)"/>
    <w:aliases w:val="ta"/>
    <w:basedOn w:val="OPCParaBase"/>
    <w:rsid w:val="00DB1E3C"/>
    <w:pPr>
      <w:spacing w:before="60" w:line="240" w:lineRule="auto"/>
      <w:ind w:left="284" w:hanging="284"/>
    </w:pPr>
    <w:rPr>
      <w:sz w:val="20"/>
    </w:rPr>
  </w:style>
  <w:style w:type="paragraph" w:customStyle="1" w:styleId="TableAA">
    <w:name w:val="Table(AA)"/>
    <w:aliases w:val="taaa"/>
    <w:basedOn w:val="OPCParaBase"/>
    <w:rsid w:val="00DB1E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1E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1E3C"/>
    <w:pPr>
      <w:spacing w:before="60" w:line="240" w:lineRule="atLeast"/>
    </w:pPr>
    <w:rPr>
      <w:sz w:val="20"/>
    </w:rPr>
  </w:style>
  <w:style w:type="paragraph" w:customStyle="1" w:styleId="TLPBoxTextnote">
    <w:name w:val="TLPBoxText(note"/>
    <w:aliases w:val="right)"/>
    <w:basedOn w:val="OPCParaBase"/>
    <w:rsid w:val="00DB1E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1E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1E3C"/>
    <w:pPr>
      <w:spacing w:before="122" w:line="198" w:lineRule="exact"/>
      <w:ind w:left="1985" w:hanging="851"/>
      <w:jc w:val="right"/>
    </w:pPr>
    <w:rPr>
      <w:sz w:val="18"/>
    </w:rPr>
  </w:style>
  <w:style w:type="paragraph" w:customStyle="1" w:styleId="TLPTableBullet">
    <w:name w:val="TLPTableBullet"/>
    <w:aliases w:val="ttb"/>
    <w:basedOn w:val="OPCParaBase"/>
    <w:rsid w:val="00DB1E3C"/>
    <w:pPr>
      <w:spacing w:line="240" w:lineRule="exact"/>
      <w:ind w:left="284" w:hanging="284"/>
    </w:pPr>
    <w:rPr>
      <w:sz w:val="20"/>
    </w:rPr>
  </w:style>
  <w:style w:type="paragraph" w:styleId="TOC1">
    <w:name w:val="toc 1"/>
    <w:basedOn w:val="OPCParaBase"/>
    <w:next w:val="Normal"/>
    <w:uiPriority w:val="39"/>
    <w:semiHidden/>
    <w:unhideWhenUsed/>
    <w:rsid w:val="00DB1E3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B1E3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B1E3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B1E3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B1E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1E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B1E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B1E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1E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1E3C"/>
    <w:pPr>
      <w:keepLines/>
      <w:spacing w:before="240" w:after="120" w:line="240" w:lineRule="auto"/>
      <w:ind w:left="794"/>
    </w:pPr>
    <w:rPr>
      <w:b/>
      <w:kern w:val="28"/>
      <w:sz w:val="20"/>
    </w:rPr>
  </w:style>
  <w:style w:type="paragraph" w:customStyle="1" w:styleId="TofSectsHeading">
    <w:name w:val="TofSects(Heading)"/>
    <w:basedOn w:val="OPCParaBase"/>
    <w:rsid w:val="00DB1E3C"/>
    <w:pPr>
      <w:spacing w:before="240" w:after="120" w:line="240" w:lineRule="auto"/>
    </w:pPr>
    <w:rPr>
      <w:b/>
      <w:sz w:val="24"/>
    </w:rPr>
  </w:style>
  <w:style w:type="paragraph" w:customStyle="1" w:styleId="TofSectsSection">
    <w:name w:val="TofSects(Section)"/>
    <w:basedOn w:val="OPCParaBase"/>
    <w:rsid w:val="00DB1E3C"/>
    <w:pPr>
      <w:keepLines/>
      <w:spacing w:before="40" w:line="240" w:lineRule="auto"/>
      <w:ind w:left="1588" w:hanging="794"/>
    </w:pPr>
    <w:rPr>
      <w:kern w:val="28"/>
      <w:sz w:val="18"/>
    </w:rPr>
  </w:style>
  <w:style w:type="paragraph" w:customStyle="1" w:styleId="TofSectsSubdiv">
    <w:name w:val="TofSects(Subdiv)"/>
    <w:basedOn w:val="OPCParaBase"/>
    <w:rsid w:val="00DB1E3C"/>
    <w:pPr>
      <w:keepLines/>
      <w:spacing w:before="80" w:line="240" w:lineRule="auto"/>
      <w:ind w:left="1588" w:hanging="794"/>
    </w:pPr>
    <w:rPr>
      <w:kern w:val="28"/>
    </w:rPr>
  </w:style>
  <w:style w:type="paragraph" w:customStyle="1" w:styleId="WRStyle">
    <w:name w:val="WR Style"/>
    <w:aliases w:val="WR"/>
    <w:basedOn w:val="OPCParaBase"/>
    <w:rsid w:val="00DB1E3C"/>
    <w:pPr>
      <w:spacing w:before="240" w:line="240" w:lineRule="auto"/>
      <w:ind w:left="284" w:hanging="284"/>
    </w:pPr>
    <w:rPr>
      <w:b/>
      <w:i/>
      <w:kern w:val="28"/>
      <w:sz w:val="24"/>
    </w:rPr>
  </w:style>
  <w:style w:type="paragraph" w:customStyle="1" w:styleId="notepara">
    <w:name w:val="note(para)"/>
    <w:aliases w:val="na"/>
    <w:basedOn w:val="OPCParaBase"/>
    <w:rsid w:val="00DB1E3C"/>
    <w:pPr>
      <w:spacing w:before="40" w:line="198" w:lineRule="exact"/>
      <w:ind w:left="2354" w:hanging="369"/>
    </w:pPr>
    <w:rPr>
      <w:sz w:val="18"/>
    </w:rPr>
  </w:style>
  <w:style w:type="paragraph" w:styleId="Footer">
    <w:name w:val="footer"/>
    <w:link w:val="FooterChar"/>
    <w:rsid w:val="00DB1E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1E3C"/>
    <w:rPr>
      <w:rFonts w:eastAsia="Times New Roman" w:cs="Times New Roman"/>
      <w:sz w:val="22"/>
      <w:szCs w:val="24"/>
      <w:lang w:eastAsia="en-AU"/>
    </w:rPr>
  </w:style>
  <w:style w:type="character" w:styleId="LineNumber">
    <w:name w:val="line number"/>
    <w:basedOn w:val="OPCCharBase"/>
    <w:uiPriority w:val="99"/>
    <w:semiHidden/>
    <w:unhideWhenUsed/>
    <w:rsid w:val="00DB1E3C"/>
    <w:rPr>
      <w:sz w:val="16"/>
    </w:rPr>
  </w:style>
  <w:style w:type="table" w:customStyle="1" w:styleId="CFlag">
    <w:name w:val="CFlag"/>
    <w:basedOn w:val="TableNormal"/>
    <w:uiPriority w:val="99"/>
    <w:rsid w:val="00DB1E3C"/>
    <w:rPr>
      <w:rFonts w:eastAsia="Times New Roman" w:cs="Times New Roman"/>
      <w:lang w:eastAsia="en-AU"/>
    </w:rPr>
    <w:tblPr/>
  </w:style>
  <w:style w:type="paragraph" w:customStyle="1" w:styleId="NotesHeading1">
    <w:name w:val="NotesHeading 1"/>
    <w:basedOn w:val="OPCParaBase"/>
    <w:next w:val="Normal"/>
    <w:rsid w:val="00DB1E3C"/>
    <w:rPr>
      <w:b/>
      <w:sz w:val="28"/>
      <w:szCs w:val="28"/>
    </w:rPr>
  </w:style>
  <w:style w:type="paragraph" w:customStyle="1" w:styleId="NotesHeading2">
    <w:name w:val="NotesHeading 2"/>
    <w:basedOn w:val="OPCParaBase"/>
    <w:next w:val="Normal"/>
    <w:rsid w:val="00DB1E3C"/>
    <w:rPr>
      <w:b/>
      <w:sz w:val="28"/>
      <w:szCs w:val="28"/>
    </w:rPr>
  </w:style>
  <w:style w:type="paragraph" w:customStyle="1" w:styleId="SignCoverPageEnd">
    <w:name w:val="SignCoverPageEnd"/>
    <w:basedOn w:val="OPCParaBase"/>
    <w:next w:val="Normal"/>
    <w:rsid w:val="00DB1E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1E3C"/>
    <w:pPr>
      <w:pBdr>
        <w:top w:val="single" w:sz="4" w:space="1" w:color="auto"/>
      </w:pBdr>
      <w:spacing w:before="360"/>
      <w:ind w:right="397"/>
      <w:jc w:val="both"/>
    </w:pPr>
  </w:style>
  <w:style w:type="paragraph" w:customStyle="1" w:styleId="Paragraphsub-sub-sub">
    <w:name w:val="Paragraph(sub-sub-sub)"/>
    <w:aliases w:val="aaaa"/>
    <w:basedOn w:val="OPCParaBase"/>
    <w:rsid w:val="00DB1E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1E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1E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1E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1E3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B1E3C"/>
    <w:pPr>
      <w:spacing w:before="120"/>
    </w:pPr>
  </w:style>
  <w:style w:type="paragraph" w:customStyle="1" w:styleId="TableTextEndNotes">
    <w:name w:val="TableTextEndNotes"/>
    <w:aliases w:val="Tten"/>
    <w:basedOn w:val="Normal"/>
    <w:rsid w:val="00DB1E3C"/>
    <w:pPr>
      <w:spacing w:before="60" w:line="240" w:lineRule="auto"/>
    </w:pPr>
    <w:rPr>
      <w:rFonts w:cs="Arial"/>
      <w:sz w:val="20"/>
      <w:szCs w:val="22"/>
    </w:rPr>
  </w:style>
  <w:style w:type="paragraph" w:customStyle="1" w:styleId="TableHeading">
    <w:name w:val="TableHeading"/>
    <w:aliases w:val="th"/>
    <w:basedOn w:val="OPCParaBase"/>
    <w:next w:val="Tabletext"/>
    <w:rsid w:val="00DB1E3C"/>
    <w:pPr>
      <w:keepNext/>
      <w:spacing w:before="60" w:line="240" w:lineRule="atLeast"/>
    </w:pPr>
    <w:rPr>
      <w:b/>
      <w:sz w:val="20"/>
    </w:rPr>
  </w:style>
  <w:style w:type="paragraph" w:customStyle="1" w:styleId="NoteToSubpara">
    <w:name w:val="NoteToSubpara"/>
    <w:aliases w:val="nts"/>
    <w:basedOn w:val="OPCParaBase"/>
    <w:rsid w:val="00DB1E3C"/>
    <w:pPr>
      <w:spacing w:before="40" w:line="198" w:lineRule="exact"/>
      <w:ind w:left="2835" w:hanging="709"/>
    </w:pPr>
    <w:rPr>
      <w:sz w:val="18"/>
    </w:rPr>
  </w:style>
  <w:style w:type="paragraph" w:customStyle="1" w:styleId="ENoteTableHeading">
    <w:name w:val="ENoteTableHeading"/>
    <w:aliases w:val="enth"/>
    <w:basedOn w:val="OPCParaBase"/>
    <w:rsid w:val="00DB1E3C"/>
    <w:pPr>
      <w:keepNext/>
      <w:spacing w:before="60" w:line="240" w:lineRule="atLeast"/>
    </w:pPr>
    <w:rPr>
      <w:rFonts w:ascii="Arial" w:hAnsi="Arial"/>
      <w:b/>
      <w:sz w:val="16"/>
    </w:rPr>
  </w:style>
  <w:style w:type="paragraph" w:customStyle="1" w:styleId="ENoteTTi">
    <w:name w:val="ENoteTTi"/>
    <w:aliases w:val="entti"/>
    <w:basedOn w:val="OPCParaBase"/>
    <w:rsid w:val="00DB1E3C"/>
    <w:pPr>
      <w:keepNext/>
      <w:spacing w:before="60" w:line="240" w:lineRule="atLeast"/>
      <w:ind w:left="170"/>
    </w:pPr>
    <w:rPr>
      <w:sz w:val="16"/>
    </w:rPr>
  </w:style>
  <w:style w:type="paragraph" w:customStyle="1" w:styleId="ENotesHeading1">
    <w:name w:val="ENotesHeading 1"/>
    <w:aliases w:val="Enh1"/>
    <w:basedOn w:val="OPCParaBase"/>
    <w:next w:val="Normal"/>
    <w:rsid w:val="00DB1E3C"/>
    <w:pPr>
      <w:spacing w:before="120"/>
      <w:outlineLvl w:val="1"/>
    </w:pPr>
    <w:rPr>
      <w:b/>
      <w:sz w:val="28"/>
      <w:szCs w:val="28"/>
    </w:rPr>
  </w:style>
  <w:style w:type="paragraph" w:customStyle="1" w:styleId="ENotesHeading2">
    <w:name w:val="ENotesHeading 2"/>
    <w:aliases w:val="Enh2"/>
    <w:basedOn w:val="OPCParaBase"/>
    <w:next w:val="Normal"/>
    <w:rsid w:val="00DB1E3C"/>
    <w:pPr>
      <w:spacing w:before="120" w:after="120"/>
      <w:outlineLvl w:val="2"/>
    </w:pPr>
    <w:rPr>
      <w:b/>
      <w:sz w:val="24"/>
      <w:szCs w:val="28"/>
    </w:rPr>
  </w:style>
  <w:style w:type="paragraph" w:customStyle="1" w:styleId="ENoteTTIndentHeading">
    <w:name w:val="ENoteTTIndentHeading"/>
    <w:aliases w:val="enTTHi"/>
    <w:basedOn w:val="OPCParaBase"/>
    <w:rsid w:val="00DB1E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1E3C"/>
    <w:pPr>
      <w:spacing w:before="60" w:line="240" w:lineRule="atLeast"/>
    </w:pPr>
    <w:rPr>
      <w:sz w:val="16"/>
    </w:rPr>
  </w:style>
  <w:style w:type="paragraph" w:customStyle="1" w:styleId="MadeunderText">
    <w:name w:val="MadeunderText"/>
    <w:basedOn w:val="OPCParaBase"/>
    <w:next w:val="Normal"/>
    <w:rsid w:val="00DB1E3C"/>
    <w:pPr>
      <w:spacing w:before="240"/>
    </w:pPr>
    <w:rPr>
      <w:sz w:val="24"/>
      <w:szCs w:val="24"/>
    </w:rPr>
  </w:style>
  <w:style w:type="paragraph" w:customStyle="1" w:styleId="ENotesHeading3">
    <w:name w:val="ENotesHeading 3"/>
    <w:aliases w:val="Enh3"/>
    <w:basedOn w:val="OPCParaBase"/>
    <w:next w:val="Normal"/>
    <w:rsid w:val="00DB1E3C"/>
    <w:pPr>
      <w:keepNext/>
      <w:spacing w:before="120" w:line="240" w:lineRule="auto"/>
      <w:outlineLvl w:val="4"/>
    </w:pPr>
    <w:rPr>
      <w:b/>
      <w:szCs w:val="24"/>
    </w:rPr>
  </w:style>
  <w:style w:type="paragraph" w:customStyle="1" w:styleId="SubPartCASA">
    <w:name w:val="SubPart(CASA)"/>
    <w:aliases w:val="csp"/>
    <w:basedOn w:val="OPCParaBase"/>
    <w:next w:val="ActHead3"/>
    <w:rsid w:val="00DB1E3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B1E3C"/>
  </w:style>
  <w:style w:type="character" w:customStyle="1" w:styleId="CharSubPartNoCASA">
    <w:name w:val="CharSubPartNo(CASA)"/>
    <w:basedOn w:val="OPCCharBase"/>
    <w:uiPriority w:val="1"/>
    <w:rsid w:val="00DB1E3C"/>
  </w:style>
  <w:style w:type="paragraph" w:customStyle="1" w:styleId="ENoteTTIndentHeadingSub">
    <w:name w:val="ENoteTTIndentHeadingSub"/>
    <w:aliases w:val="enTTHis"/>
    <w:basedOn w:val="OPCParaBase"/>
    <w:rsid w:val="00DB1E3C"/>
    <w:pPr>
      <w:keepNext/>
      <w:spacing w:before="60" w:line="240" w:lineRule="atLeast"/>
      <w:ind w:left="340"/>
    </w:pPr>
    <w:rPr>
      <w:b/>
      <w:sz w:val="16"/>
    </w:rPr>
  </w:style>
  <w:style w:type="paragraph" w:customStyle="1" w:styleId="ENoteTTiSub">
    <w:name w:val="ENoteTTiSub"/>
    <w:aliases w:val="enttis"/>
    <w:basedOn w:val="OPCParaBase"/>
    <w:rsid w:val="00DB1E3C"/>
    <w:pPr>
      <w:keepNext/>
      <w:spacing w:before="60" w:line="240" w:lineRule="atLeast"/>
      <w:ind w:left="340"/>
    </w:pPr>
    <w:rPr>
      <w:sz w:val="16"/>
    </w:rPr>
  </w:style>
  <w:style w:type="paragraph" w:customStyle="1" w:styleId="SubDivisionMigration">
    <w:name w:val="SubDivisionMigration"/>
    <w:aliases w:val="sdm"/>
    <w:basedOn w:val="OPCParaBase"/>
    <w:rsid w:val="00DB1E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1E3C"/>
    <w:pPr>
      <w:keepNext/>
      <w:keepLines/>
      <w:spacing w:before="240" w:line="240" w:lineRule="auto"/>
      <w:ind w:left="1134" w:hanging="1134"/>
    </w:pPr>
    <w:rPr>
      <w:b/>
      <w:sz w:val="28"/>
    </w:rPr>
  </w:style>
  <w:style w:type="table" w:styleId="TableGrid">
    <w:name w:val="Table Grid"/>
    <w:basedOn w:val="TableNormal"/>
    <w:uiPriority w:val="59"/>
    <w:rsid w:val="00DB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B1E3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B1E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1E3C"/>
    <w:rPr>
      <w:sz w:val="22"/>
    </w:rPr>
  </w:style>
  <w:style w:type="paragraph" w:customStyle="1" w:styleId="SOTextNote">
    <w:name w:val="SO TextNote"/>
    <w:aliases w:val="sont"/>
    <w:basedOn w:val="SOText"/>
    <w:qFormat/>
    <w:rsid w:val="00DB1E3C"/>
    <w:pPr>
      <w:spacing w:before="122" w:line="198" w:lineRule="exact"/>
      <w:ind w:left="1843" w:hanging="709"/>
    </w:pPr>
    <w:rPr>
      <w:sz w:val="18"/>
    </w:rPr>
  </w:style>
  <w:style w:type="paragraph" w:customStyle="1" w:styleId="SOPara">
    <w:name w:val="SO Para"/>
    <w:aliases w:val="soa"/>
    <w:basedOn w:val="SOText"/>
    <w:link w:val="SOParaChar"/>
    <w:qFormat/>
    <w:rsid w:val="00DB1E3C"/>
    <w:pPr>
      <w:tabs>
        <w:tab w:val="right" w:pos="1786"/>
      </w:tabs>
      <w:spacing w:before="40"/>
      <w:ind w:left="2070" w:hanging="936"/>
    </w:pPr>
  </w:style>
  <w:style w:type="character" w:customStyle="1" w:styleId="SOParaChar">
    <w:name w:val="SO Para Char"/>
    <w:aliases w:val="soa Char"/>
    <w:basedOn w:val="DefaultParagraphFont"/>
    <w:link w:val="SOPara"/>
    <w:rsid w:val="00DB1E3C"/>
    <w:rPr>
      <w:sz w:val="22"/>
    </w:rPr>
  </w:style>
  <w:style w:type="paragraph" w:customStyle="1" w:styleId="FileName">
    <w:name w:val="FileName"/>
    <w:basedOn w:val="Normal"/>
    <w:rsid w:val="00DB1E3C"/>
  </w:style>
  <w:style w:type="paragraph" w:customStyle="1" w:styleId="SOHeadBold">
    <w:name w:val="SO HeadBold"/>
    <w:aliases w:val="sohb"/>
    <w:basedOn w:val="SOText"/>
    <w:next w:val="SOText"/>
    <w:link w:val="SOHeadBoldChar"/>
    <w:qFormat/>
    <w:rsid w:val="00DB1E3C"/>
    <w:rPr>
      <w:b/>
    </w:rPr>
  </w:style>
  <w:style w:type="character" w:customStyle="1" w:styleId="SOHeadBoldChar">
    <w:name w:val="SO HeadBold Char"/>
    <w:aliases w:val="sohb Char"/>
    <w:basedOn w:val="DefaultParagraphFont"/>
    <w:link w:val="SOHeadBold"/>
    <w:rsid w:val="00DB1E3C"/>
    <w:rPr>
      <w:b/>
      <w:sz w:val="22"/>
    </w:rPr>
  </w:style>
  <w:style w:type="paragraph" w:customStyle="1" w:styleId="SOHeadItalic">
    <w:name w:val="SO HeadItalic"/>
    <w:aliases w:val="sohi"/>
    <w:basedOn w:val="SOText"/>
    <w:next w:val="SOText"/>
    <w:link w:val="SOHeadItalicChar"/>
    <w:qFormat/>
    <w:rsid w:val="00DB1E3C"/>
    <w:rPr>
      <w:i/>
    </w:rPr>
  </w:style>
  <w:style w:type="character" w:customStyle="1" w:styleId="SOHeadItalicChar">
    <w:name w:val="SO HeadItalic Char"/>
    <w:aliases w:val="sohi Char"/>
    <w:basedOn w:val="DefaultParagraphFont"/>
    <w:link w:val="SOHeadItalic"/>
    <w:rsid w:val="00DB1E3C"/>
    <w:rPr>
      <w:i/>
      <w:sz w:val="22"/>
    </w:rPr>
  </w:style>
  <w:style w:type="paragraph" w:customStyle="1" w:styleId="SOBullet">
    <w:name w:val="SO Bullet"/>
    <w:aliases w:val="sotb"/>
    <w:basedOn w:val="SOText"/>
    <w:link w:val="SOBulletChar"/>
    <w:qFormat/>
    <w:rsid w:val="00DB1E3C"/>
    <w:pPr>
      <w:ind w:left="1559" w:hanging="425"/>
    </w:pPr>
  </w:style>
  <w:style w:type="character" w:customStyle="1" w:styleId="SOBulletChar">
    <w:name w:val="SO Bullet Char"/>
    <w:aliases w:val="sotb Char"/>
    <w:basedOn w:val="DefaultParagraphFont"/>
    <w:link w:val="SOBullet"/>
    <w:rsid w:val="00DB1E3C"/>
    <w:rPr>
      <w:sz w:val="22"/>
    </w:rPr>
  </w:style>
  <w:style w:type="paragraph" w:customStyle="1" w:styleId="SOBulletNote">
    <w:name w:val="SO BulletNote"/>
    <w:aliases w:val="sonb"/>
    <w:basedOn w:val="SOTextNote"/>
    <w:link w:val="SOBulletNoteChar"/>
    <w:qFormat/>
    <w:rsid w:val="00DB1E3C"/>
    <w:pPr>
      <w:tabs>
        <w:tab w:val="left" w:pos="1560"/>
      </w:tabs>
      <w:ind w:left="2268" w:hanging="1134"/>
    </w:pPr>
  </w:style>
  <w:style w:type="character" w:customStyle="1" w:styleId="SOBulletNoteChar">
    <w:name w:val="SO BulletNote Char"/>
    <w:aliases w:val="sonb Char"/>
    <w:basedOn w:val="DefaultParagraphFont"/>
    <w:link w:val="SOBulletNote"/>
    <w:rsid w:val="00DB1E3C"/>
    <w:rPr>
      <w:sz w:val="18"/>
    </w:rPr>
  </w:style>
  <w:style w:type="paragraph" w:customStyle="1" w:styleId="SOText2">
    <w:name w:val="SO Text2"/>
    <w:aliases w:val="sot2"/>
    <w:basedOn w:val="Normal"/>
    <w:next w:val="SOText"/>
    <w:link w:val="SOText2Char"/>
    <w:rsid w:val="00DB1E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1E3C"/>
    <w:rPr>
      <w:sz w:val="22"/>
    </w:rPr>
  </w:style>
  <w:style w:type="paragraph" w:customStyle="1" w:styleId="Transitional">
    <w:name w:val="Transitional"/>
    <w:aliases w:val="tr"/>
    <w:basedOn w:val="ItemHead"/>
    <w:next w:val="Item"/>
    <w:rsid w:val="00DB1E3C"/>
  </w:style>
  <w:style w:type="character" w:customStyle="1" w:styleId="ActHead5Char">
    <w:name w:val="ActHead 5 Char"/>
    <w:aliases w:val="s Char"/>
    <w:link w:val="ActHead5"/>
    <w:locked/>
    <w:rsid w:val="00CD62E1"/>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CD62E1"/>
    <w:rPr>
      <w:rFonts w:eastAsia="Times New Roman" w:cs="Times New Roman"/>
      <w:sz w:val="22"/>
      <w:lang w:eastAsia="en-AU"/>
    </w:rPr>
  </w:style>
  <w:style w:type="character" w:customStyle="1" w:styleId="ItemChar">
    <w:name w:val="Item Char"/>
    <w:aliases w:val="i Char"/>
    <w:link w:val="Item"/>
    <w:locked/>
    <w:rsid w:val="00CD62E1"/>
    <w:rPr>
      <w:rFonts w:eastAsia="Times New Roman" w:cs="Times New Roman"/>
      <w:sz w:val="22"/>
      <w:lang w:eastAsia="en-AU"/>
    </w:rPr>
  </w:style>
  <w:style w:type="character" w:customStyle="1" w:styleId="ItemHeadChar">
    <w:name w:val="ItemHead Char"/>
    <w:aliases w:val="ih Char"/>
    <w:link w:val="ItemHead"/>
    <w:locked/>
    <w:rsid w:val="00CD62E1"/>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CD62E1"/>
    <w:rPr>
      <w:rFonts w:eastAsia="Times New Roman" w:cs="Times New Roman"/>
      <w:sz w:val="22"/>
      <w:lang w:eastAsia="en-AU"/>
    </w:rPr>
  </w:style>
  <w:style w:type="character" w:customStyle="1" w:styleId="subsection2Char">
    <w:name w:val="subsection2 Char"/>
    <w:aliases w:val="ss2 Char"/>
    <w:link w:val="subsection2"/>
    <w:locked/>
    <w:rsid w:val="00CD62E1"/>
    <w:rPr>
      <w:rFonts w:eastAsia="Times New Roman" w:cs="Times New Roman"/>
      <w:sz w:val="22"/>
      <w:lang w:eastAsia="en-AU"/>
    </w:rPr>
  </w:style>
  <w:style w:type="character" w:customStyle="1" w:styleId="notetextChar">
    <w:name w:val="note(text) Char"/>
    <w:aliases w:val="n Char"/>
    <w:basedOn w:val="DefaultParagraphFont"/>
    <w:link w:val="notetext"/>
    <w:locked/>
    <w:rsid w:val="00CD62E1"/>
    <w:rPr>
      <w:rFonts w:eastAsia="Times New Roman" w:cs="Times New Roman"/>
      <w:sz w:val="18"/>
      <w:lang w:eastAsia="en-AU"/>
    </w:rPr>
  </w:style>
  <w:style w:type="character" w:styleId="Hyperlink">
    <w:name w:val="Hyperlink"/>
    <w:basedOn w:val="DefaultParagraphFont"/>
    <w:uiPriority w:val="99"/>
    <w:semiHidden/>
    <w:unhideWhenUsed/>
    <w:rsid w:val="00063811"/>
    <w:rPr>
      <w:color w:val="0000FF" w:themeColor="hyperlink"/>
      <w:u w:val="single"/>
    </w:rPr>
  </w:style>
  <w:style w:type="character" w:styleId="FollowedHyperlink">
    <w:name w:val="FollowedHyperlink"/>
    <w:basedOn w:val="DefaultParagraphFont"/>
    <w:uiPriority w:val="99"/>
    <w:semiHidden/>
    <w:unhideWhenUsed/>
    <w:rsid w:val="00063811"/>
    <w:rPr>
      <w:color w:val="0000FF" w:themeColor="hyperlink"/>
      <w:u w:val="single"/>
    </w:rPr>
  </w:style>
  <w:style w:type="character" w:customStyle="1" w:styleId="Heading1Char">
    <w:name w:val="Heading 1 Char"/>
    <w:basedOn w:val="DefaultParagraphFont"/>
    <w:link w:val="Heading1"/>
    <w:uiPriority w:val="9"/>
    <w:rsid w:val="001659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9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9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9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9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9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9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9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59A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659AB"/>
    <w:pPr>
      <w:spacing w:before="800"/>
    </w:pPr>
  </w:style>
  <w:style w:type="character" w:customStyle="1" w:styleId="OPCParaBaseChar">
    <w:name w:val="OPCParaBase Char"/>
    <w:basedOn w:val="DefaultParagraphFont"/>
    <w:link w:val="OPCParaBase"/>
    <w:rsid w:val="001659AB"/>
    <w:rPr>
      <w:rFonts w:eastAsia="Times New Roman" w:cs="Times New Roman"/>
      <w:sz w:val="22"/>
      <w:lang w:eastAsia="en-AU"/>
    </w:rPr>
  </w:style>
  <w:style w:type="character" w:customStyle="1" w:styleId="ShortTChar">
    <w:name w:val="ShortT Char"/>
    <w:basedOn w:val="OPCParaBaseChar"/>
    <w:link w:val="ShortT"/>
    <w:rsid w:val="001659AB"/>
    <w:rPr>
      <w:rFonts w:eastAsia="Times New Roman" w:cs="Times New Roman"/>
      <w:b/>
      <w:sz w:val="40"/>
      <w:lang w:eastAsia="en-AU"/>
    </w:rPr>
  </w:style>
  <w:style w:type="character" w:customStyle="1" w:styleId="ShortTP1Char">
    <w:name w:val="ShortTP1 Char"/>
    <w:basedOn w:val="ShortTChar"/>
    <w:link w:val="ShortTP1"/>
    <w:rsid w:val="001659AB"/>
    <w:rPr>
      <w:rFonts w:eastAsia="Times New Roman" w:cs="Times New Roman"/>
      <w:b/>
      <w:sz w:val="40"/>
      <w:lang w:eastAsia="en-AU"/>
    </w:rPr>
  </w:style>
  <w:style w:type="paragraph" w:customStyle="1" w:styleId="ActNoP1">
    <w:name w:val="ActNoP1"/>
    <w:basedOn w:val="Actno"/>
    <w:link w:val="ActNoP1Char"/>
    <w:rsid w:val="001659AB"/>
    <w:pPr>
      <w:spacing w:before="800"/>
    </w:pPr>
    <w:rPr>
      <w:sz w:val="28"/>
    </w:rPr>
  </w:style>
  <w:style w:type="character" w:customStyle="1" w:styleId="ActnoChar">
    <w:name w:val="Actno Char"/>
    <w:basedOn w:val="ShortTChar"/>
    <w:link w:val="Actno"/>
    <w:rsid w:val="001659AB"/>
    <w:rPr>
      <w:rFonts w:eastAsia="Times New Roman" w:cs="Times New Roman"/>
      <w:b/>
      <w:sz w:val="40"/>
      <w:lang w:eastAsia="en-AU"/>
    </w:rPr>
  </w:style>
  <w:style w:type="character" w:customStyle="1" w:styleId="ActNoP1Char">
    <w:name w:val="ActNoP1 Char"/>
    <w:basedOn w:val="ActnoChar"/>
    <w:link w:val="ActNoP1"/>
    <w:rsid w:val="001659AB"/>
    <w:rPr>
      <w:rFonts w:eastAsia="Times New Roman" w:cs="Times New Roman"/>
      <w:b/>
      <w:sz w:val="28"/>
      <w:lang w:eastAsia="en-AU"/>
    </w:rPr>
  </w:style>
  <w:style w:type="paragraph" w:customStyle="1" w:styleId="ShortTCP">
    <w:name w:val="ShortTCP"/>
    <w:basedOn w:val="ShortT"/>
    <w:link w:val="ShortTCPChar"/>
    <w:rsid w:val="001659AB"/>
  </w:style>
  <w:style w:type="character" w:customStyle="1" w:styleId="ShortTCPChar">
    <w:name w:val="ShortTCP Char"/>
    <w:basedOn w:val="ShortTChar"/>
    <w:link w:val="ShortTCP"/>
    <w:rsid w:val="001659AB"/>
    <w:rPr>
      <w:rFonts w:eastAsia="Times New Roman" w:cs="Times New Roman"/>
      <w:b/>
      <w:sz w:val="40"/>
      <w:lang w:eastAsia="en-AU"/>
    </w:rPr>
  </w:style>
  <w:style w:type="paragraph" w:customStyle="1" w:styleId="ActNoCP">
    <w:name w:val="ActNoCP"/>
    <w:basedOn w:val="Actno"/>
    <w:link w:val="ActNoCPChar"/>
    <w:rsid w:val="001659AB"/>
    <w:pPr>
      <w:spacing w:before="400"/>
    </w:pPr>
  </w:style>
  <w:style w:type="character" w:customStyle="1" w:styleId="ActNoCPChar">
    <w:name w:val="ActNoCP Char"/>
    <w:basedOn w:val="ActnoChar"/>
    <w:link w:val="ActNoCP"/>
    <w:rsid w:val="001659AB"/>
    <w:rPr>
      <w:rFonts w:eastAsia="Times New Roman" w:cs="Times New Roman"/>
      <w:b/>
      <w:sz w:val="40"/>
      <w:lang w:eastAsia="en-AU"/>
    </w:rPr>
  </w:style>
  <w:style w:type="paragraph" w:customStyle="1" w:styleId="AssentBk">
    <w:name w:val="AssentBk"/>
    <w:basedOn w:val="Normal"/>
    <w:rsid w:val="001659AB"/>
    <w:pPr>
      <w:spacing w:line="240" w:lineRule="auto"/>
    </w:pPr>
    <w:rPr>
      <w:rFonts w:eastAsia="Times New Roman" w:cs="Times New Roman"/>
      <w:sz w:val="20"/>
      <w:lang w:eastAsia="en-AU"/>
    </w:rPr>
  </w:style>
  <w:style w:type="paragraph" w:customStyle="1" w:styleId="AssentDt">
    <w:name w:val="AssentDt"/>
    <w:basedOn w:val="Normal"/>
    <w:rsid w:val="00A77508"/>
    <w:pPr>
      <w:spacing w:line="240" w:lineRule="auto"/>
    </w:pPr>
    <w:rPr>
      <w:rFonts w:eastAsia="Times New Roman" w:cs="Times New Roman"/>
      <w:sz w:val="20"/>
      <w:lang w:eastAsia="en-AU"/>
    </w:rPr>
  </w:style>
  <w:style w:type="paragraph" w:customStyle="1" w:styleId="2ndRd">
    <w:name w:val="2ndRd"/>
    <w:basedOn w:val="Normal"/>
    <w:rsid w:val="00A77508"/>
    <w:pPr>
      <w:spacing w:line="240" w:lineRule="auto"/>
    </w:pPr>
    <w:rPr>
      <w:rFonts w:eastAsia="Times New Roman" w:cs="Times New Roman"/>
      <w:sz w:val="20"/>
      <w:lang w:eastAsia="en-AU"/>
    </w:rPr>
  </w:style>
  <w:style w:type="paragraph" w:customStyle="1" w:styleId="ScalePlusRef">
    <w:name w:val="ScalePlusRef"/>
    <w:basedOn w:val="Normal"/>
    <w:rsid w:val="00A7750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E3C"/>
    <w:pPr>
      <w:spacing w:line="260" w:lineRule="atLeast"/>
    </w:pPr>
    <w:rPr>
      <w:sz w:val="22"/>
    </w:rPr>
  </w:style>
  <w:style w:type="paragraph" w:styleId="Heading1">
    <w:name w:val="heading 1"/>
    <w:basedOn w:val="Normal"/>
    <w:next w:val="Normal"/>
    <w:link w:val="Heading1Char"/>
    <w:uiPriority w:val="9"/>
    <w:qFormat/>
    <w:rsid w:val="001659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9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9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9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9A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9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9A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9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1E3C"/>
  </w:style>
  <w:style w:type="paragraph" w:customStyle="1" w:styleId="OPCParaBase">
    <w:name w:val="OPCParaBase"/>
    <w:link w:val="OPCParaBaseChar"/>
    <w:qFormat/>
    <w:rsid w:val="00DB1E3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B1E3C"/>
    <w:pPr>
      <w:spacing w:line="240" w:lineRule="auto"/>
    </w:pPr>
    <w:rPr>
      <w:b/>
      <w:sz w:val="40"/>
    </w:rPr>
  </w:style>
  <w:style w:type="paragraph" w:customStyle="1" w:styleId="ActHead1">
    <w:name w:val="ActHead 1"/>
    <w:aliases w:val="c"/>
    <w:basedOn w:val="OPCParaBase"/>
    <w:next w:val="Normal"/>
    <w:qFormat/>
    <w:rsid w:val="00DB1E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1E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1E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1E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1E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1E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1E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1E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1E3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B1E3C"/>
  </w:style>
  <w:style w:type="paragraph" w:customStyle="1" w:styleId="Blocks">
    <w:name w:val="Blocks"/>
    <w:aliases w:val="bb"/>
    <w:basedOn w:val="OPCParaBase"/>
    <w:qFormat/>
    <w:rsid w:val="00DB1E3C"/>
    <w:pPr>
      <w:spacing w:line="240" w:lineRule="auto"/>
    </w:pPr>
    <w:rPr>
      <w:sz w:val="24"/>
    </w:rPr>
  </w:style>
  <w:style w:type="paragraph" w:customStyle="1" w:styleId="BoxText">
    <w:name w:val="BoxText"/>
    <w:aliases w:val="bt"/>
    <w:basedOn w:val="OPCParaBase"/>
    <w:qFormat/>
    <w:rsid w:val="00DB1E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1E3C"/>
    <w:rPr>
      <w:b/>
    </w:rPr>
  </w:style>
  <w:style w:type="paragraph" w:customStyle="1" w:styleId="BoxHeadItalic">
    <w:name w:val="BoxHeadItalic"/>
    <w:aliases w:val="bhi"/>
    <w:basedOn w:val="BoxText"/>
    <w:next w:val="BoxStep"/>
    <w:qFormat/>
    <w:rsid w:val="00DB1E3C"/>
    <w:rPr>
      <w:i/>
    </w:rPr>
  </w:style>
  <w:style w:type="paragraph" w:customStyle="1" w:styleId="BoxList">
    <w:name w:val="BoxList"/>
    <w:aliases w:val="bl"/>
    <w:basedOn w:val="BoxText"/>
    <w:qFormat/>
    <w:rsid w:val="00DB1E3C"/>
    <w:pPr>
      <w:ind w:left="1559" w:hanging="425"/>
    </w:pPr>
  </w:style>
  <w:style w:type="paragraph" w:customStyle="1" w:styleId="BoxNote">
    <w:name w:val="BoxNote"/>
    <w:aliases w:val="bn"/>
    <w:basedOn w:val="BoxText"/>
    <w:qFormat/>
    <w:rsid w:val="00DB1E3C"/>
    <w:pPr>
      <w:tabs>
        <w:tab w:val="left" w:pos="1985"/>
      </w:tabs>
      <w:spacing w:before="122" w:line="198" w:lineRule="exact"/>
      <w:ind w:left="2948" w:hanging="1814"/>
    </w:pPr>
    <w:rPr>
      <w:sz w:val="18"/>
    </w:rPr>
  </w:style>
  <w:style w:type="paragraph" w:customStyle="1" w:styleId="BoxPara">
    <w:name w:val="BoxPara"/>
    <w:aliases w:val="bp"/>
    <w:basedOn w:val="BoxText"/>
    <w:qFormat/>
    <w:rsid w:val="00DB1E3C"/>
    <w:pPr>
      <w:tabs>
        <w:tab w:val="right" w:pos="2268"/>
      </w:tabs>
      <w:ind w:left="2552" w:hanging="1418"/>
    </w:pPr>
  </w:style>
  <w:style w:type="paragraph" w:customStyle="1" w:styleId="BoxStep">
    <w:name w:val="BoxStep"/>
    <w:aliases w:val="bs"/>
    <w:basedOn w:val="BoxText"/>
    <w:qFormat/>
    <w:rsid w:val="00DB1E3C"/>
    <w:pPr>
      <w:ind w:left="1985" w:hanging="851"/>
    </w:pPr>
  </w:style>
  <w:style w:type="character" w:customStyle="1" w:styleId="CharAmPartNo">
    <w:name w:val="CharAmPartNo"/>
    <w:basedOn w:val="OPCCharBase"/>
    <w:qFormat/>
    <w:rsid w:val="00DB1E3C"/>
  </w:style>
  <w:style w:type="character" w:customStyle="1" w:styleId="CharAmPartText">
    <w:name w:val="CharAmPartText"/>
    <w:basedOn w:val="OPCCharBase"/>
    <w:qFormat/>
    <w:rsid w:val="00DB1E3C"/>
  </w:style>
  <w:style w:type="character" w:customStyle="1" w:styleId="CharAmSchNo">
    <w:name w:val="CharAmSchNo"/>
    <w:basedOn w:val="OPCCharBase"/>
    <w:qFormat/>
    <w:rsid w:val="00DB1E3C"/>
  </w:style>
  <w:style w:type="character" w:customStyle="1" w:styleId="CharAmSchText">
    <w:name w:val="CharAmSchText"/>
    <w:basedOn w:val="OPCCharBase"/>
    <w:qFormat/>
    <w:rsid w:val="00DB1E3C"/>
  </w:style>
  <w:style w:type="character" w:customStyle="1" w:styleId="CharBoldItalic">
    <w:name w:val="CharBoldItalic"/>
    <w:basedOn w:val="OPCCharBase"/>
    <w:uiPriority w:val="1"/>
    <w:qFormat/>
    <w:rsid w:val="00DB1E3C"/>
    <w:rPr>
      <w:b/>
      <w:i/>
    </w:rPr>
  </w:style>
  <w:style w:type="character" w:customStyle="1" w:styleId="CharChapNo">
    <w:name w:val="CharChapNo"/>
    <w:basedOn w:val="OPCCharBase"/>
    <w:uiPriority w:val="1"/>
    <w:qFormat/>
    <w:rsid w:val="00DB1E3C"/>
  </w:style>
  <w:style w:type="character" w:customStyle="1" w:styleId="CharChapText">
    <w:name w:val="CharChapText"/>
    <w:basedOn w:val="OPCCharBase"/>
    <w:uiPriority w:val="1"/>
    <w:qFormat/>
    <w:rsid w:val="00DB1E3C"/>
  </w:style>
  <w:style w:type="character" w:customStyle="1" w:styleId="CharDivNo">
    <w:name w:val="CharDivNo"/>
    <w:basedOn w:val="OPCCharBase"/>
    <w:uiPriority w:val="1"/>
    <w:qFormat/>
    <w:rsid w:val="00DB1E3C"/>
  </w:style>
  <w:style w:type="character" w:customStyle="1" w:styleId="CharDivText">
    <w:name w:val="CharDivText"/>
    <w:basedOn w:val="OPCCharBase"/>
    <w:uiPriority w:val="1"/>
    <w:qFormat/>
    <w:rsid w:val="00DB1E3C"/>
  </w:style>
  <w:style w:type="character" w:customStyle="1" w:styleId="CharItalic">
    <w:name w:val="CharItalic"/>
    <w:basedOn w:val="OPCCharBase"/>
    <w:uiPriority w:val="1"/>
    <w:qFormat/>
    <w:rsid w:val="00DB1E3C"/>
    <w:rPr>
      <w:i/>
    </w:rPr>
  </w:style>
  <w:style w:type="character" w:customStyle="1" w:styleId="CharPartNo">
    <w:name w:val="CharPartNo"/>
    <w:basedOn w:val="OPCCharBase"/>
    <w:uiPriority w:val="1"/>
    <w:qFormat/>
    <w:rsid w:val="00DB1E3C"/>
  </w:style>
  <w:style w:type="character" w:customStyle="1" w:styleId="CharPartText">
    <w:name w:val="CharPartText"/>
    <w:basedOn w:val="OPCCharBase"/>
    <w:uiPriority w:val="1"/>
    <w:qFormat/>
    <w:rsid w:val="00DB1E3C"/>
  </w:style>
  <w:style w:type="character" w:customStyle="1" w:styleId="CharSectno">
    <w:name w:val="CharSectno"/>
    <w:basedOn w:val="OPCCharBase"/>
    <w:qFormat/>
    <w:rsid w:val="00DB1E3C"/>
  </w:style>
  <w:style w:type="character" w:customStyle="1" w:styleId="CharSubdNo">
    <w:name w:val="CharSubdNo"/>
    <w:basedOn w:val="OPCCharBase"/>
    <w:uiPriority w:val="1"/>
    <w:qFormat/>
    <w:rsid w:val="00DB1E3C"/>
  </w:style>
  <w:style w:type="character" w:customStyle="1" w:styleId="CharSubdText">
    <w:name w:val="CharSubdText"/>
    <w:basedOn w:val="OPCCharBase"/>
    <w:uiPriority w:val="1"/>
    <w:qFormat/>
    <w:rsid w:val="00DB1E3C"/>
  </w:style>
  <w:style w:type="paragraph" w:customStyle="1" w:styleId="CTA--">
    <w:name w:val="CTA --"/>
    <w:basedOn w:val="OPCParaBase"/>
    <w:next w:val="Normal"/>
    <w:rsid w:val="00DB1E3C"/>
    <w:pPr>
      <w:spacing w:before="60" w:line="240" w:lineRule="atLeast"/>
      <w:ind w:left="142" w:hanging="142"/>
    </w:pPr>
    <w:rPr>
      <w:sz w:val="20"/>
    </w:rPr>
  </w:style>
  <w:style w:type="paragraph" w:customStyle="1" w:styleId="CTA-">
    <w:name w:val="CTA -"/>
    <w:basedOn w:val="OPCParaBase"/>
    <w:rsid w:val="00DB1E3C"/>
    <w:pPr>
      <w:spacing w:before="60" w:line="240" w:lineRule="atLeast"/>
      <w:ind w:left="85" w:hanging="85"/>
    </w:pPr>
    <w:rPr>
      <w:sz w:val="20"/>
    </w:rPr>
  </w:style>
  <w:style w:type="paragraph" w:customStyle="1" w:styleId="CTA---">
    <w:name w:val="CTA ---"/>
    <w:basedOn w:val="OPCParaBase"/>
    <w:next w:val="Normal"/>
    <w:rsid w:val="00DB1E3C"/>
    <w:pPr>
      <w:spacing w:before="60" w:line="240" w:lineRule="atLeast"/>
      <w:ind w:left="198" w:hanging="198"/>
    </w:pPr>
    <w:rPr>
      <w:sz w:val="20"/>
    </w:rPr>
  </w:style>
  <w:style w:type="paragraph" w:customStyle="1" w:styleId="CTA----">
    <w:name w:val="CTA ----"/>
    <w:basedOn w:val="OPCParaBase"/>
    <w:next w:val="Normal"/>
    <w:rsid w:val="00DB1E3C"/>
    <w:pPr>
      <w:spacing w:before="60" w:line="240" w:lineRule="atLeast"/>
      <w:ind w:left="255" w:hanging="255"/>
    </w:pPr>
    <w:rPr>
      <w:sz w:val="20"/>
    </w:rPr>
  </w:style>
  <w:style w:type="paragraph" w:customStyle="1" w:styleId="CTA1a">
    <w:name w:val="CTA 1(a)"/>
    <w:basedOn w:val="OPCParaBase"/>
    <w:rsid w:val="00DB1E3C"/>
    <w:pPr>
      <w:tabs>
        <w:tab w:val="right" w:pos="414"/>
      </w:tabs>
      <w:spacing w:before="40" w:line="240" w:lineRule="atLeast"/>
      <w:ind w:left="675" w:hanging="675"/>
    </w:pPr>
    <w:rPr>
      <w:sz w:val="20"/>
    </w:rPr>
  </w:style>
  <w:style w:type="paragraph" w:customStyle="1" w:styleId="CTA1ai">
    <w:name w:val="CTA 1(a)(i)"/>
    <w:basedOn w:val="OPCParaBase"/>
    <w:rsid w:val="00DB1E3C"/>
    <w:pPr>
      <w:tabs>
        <w:tab w:val="right" w:pos="1004"/>
      </w:tabs>
      <w:spacing w:before="40" w:line="240" w:lineRule="atLeast"/>
      <w:ind w:left="1253" w:hanging="1253"/>
    </w:pPr>
    <w:rPr>
      <w:sz w:val="20"/>
    </w:rPr>
  </w:style>
  <w:style w:type="paragraph" w:customStyle="1" w:styleId="CTA2a">
    <w:name w:val="CTA 2(a)"/>
    <w:basedOn w:val="OPCParaBase"/>
    <w:rsid w:val="00DB1E3C"/>
    <w:pPr>
      <w:tabs>
        <w:tab w:val="right" w:pos="482"/>
      </w:tabs>
      <w:spacing w:before="40" w:line="240" w:lineRule="atLeast"/>
      <w:ind w:left="748" w:hanging="748"/>
    </w:pPr>
    <w:rPr>
      <w:sz w:val="20"/>
    </w:rPr>
  </w:style>
  <w:style w:type="paragraph" w:customStyle="1" w:styleId="CTA2ai">
    <w:name w:val="CTA 2(a)(i)"/>
    <w:basedOn w:val="OPCParaBase"/>
    <w:rsid w:val="00DB1E3C"/>
    <w:pPr>
      <w:tabs>
        <w:tab w:val="right" w:pos="1089"/>
      </w:tabs>
      <w:spacing w:before="40" w:line="240" w:lineRule="atLeast"/>
      <w:ind w:left="1327" w:hanging="1327"/>
    </w:pPr>
    <w:rPr>
      <w:sz w:val="20"/>
    </w:rPr>
  </w:style>
  <w:style w:type="paragraph" w:customStyle="1" w:styleId="CTA3a">
    <w:name w:val="CTA 3(a)"/>
    <w:basedOn w:val="OPCParaBase"/>
    <w:rsid w:val="00DB1E3C"/>
    <w:pPr>
      <w:tabs>
        <w:tab w:val="right" w:pos="556"/>
      </w:tabs>
      <w:spacing w:before="40" w:line="240" w:lineRule="atLeast"/>
      <w:ind w:left="805" w:hanging="805"/>
    </w:pPr>
    <w:rPr>
      <w:sz w:val="20"/>
    </w:rPr>
  </w:style>
  <w:style w:type="paragraph" w:customStyle="1" w:styleId="CTA3ai">
    <w:name w:val="CTA 3(a)(i)"/>
    <w:basedOn w:val="OPCParaBase"/>
    <w:rsid w:val="00DB1E3C"/>
    <w:pPr>
      <w:tabs>
        <w:tab w:val="right" w:pos="1140"/>
      </w:tabs>
      <w:spacing w:before="40" w:line="240" w:lineRule="atLeast"/>
      <w:ind w:left="1361" w:hanging="1361"/>
    </w:pPr>
    <w:rPr>
      <w:sz w:val="20"/>
    </w:rPr>
  </w:style>
  <w:style w:type="paragraph" w:customStyle="1" w:styleId="CTA4a">
    <w:name w:val="CTA 4(a)"/>
    <w:basedOn w:val="OPCParaBase"/>
    <w:rsid w:val="00DB1E3C"/>
    <w:pPr>
      <w:tabs>
        <w:tab w:val="right" w:pos="624"/>
      </w:tabs>
      <w:spacing w:before="40" w:line="240" w:lineRule="atLeast"/>
      <w:ind w:left="873" w:hanging="873"/>
    </w:pPr>
    <w:rPr>
      <w:sz w:val="20"/>
    </w:rPr>
  </w:style>
  <w:style w:type="paragraph" w:customStyle="1" w:styleId="CTA4ai">
    <w:name w:val="CTA 4(a)(i)"/>
    <w:basedOn w:val="OPCParaBase"/>
    <w:rsid w:val="00DB1E3C"/>
    <w:pPr>
      <w:tabs>
        <w:tab w:val="right" w:pos="1213"/>
      </w:tabs>
      <w:spacing w:before="40" w:line="240" w:lineRule="atLeast"/>
      <w:ind w:left="1452" w:hanging="1452"/>
    </w:pPr>
    <w:rPr>
      <w:sz w:val="20"/>
    </w:rPr>
  </w:style>
  <w:style w:type="paragraph" w:customStyle="1" w:styleId="CTACAPS">
    <w:name w:val="CTA CAPS"/>
    <w:basedOn w:val="OPCParaBase"/>
    <w:rsid w:val="00DB1E3C"/>
    <w:pPr>
      <w:spacing w:before="60" w:line="240" w:lineRule="atLeast"/>
    </w:pPr>
    <w:rPr>
      <w:sz w:val="20"/>
    </w:rPr>
  </w:style>
  <w:style w:type="paragraph" w:customStyle="1" w:styleId="CTAright">
    <w:name w:val="CTA right"/>
    <w:basedOn w:val="OPCParaBase"/>
    <w:rsid w:val="00DB1E3C"/>
    <w:pPr>
      <w:spacing w:before="60" w:line="240" w:lineRule="auto"/>
      <w:jc w:val="right"/>
    </w:pPr>
    <w:rPr>
      <w:sz w:val="20"/>
    </w:rPr>
  </w:style>
  <w:style w:type="paragraph" w:customStyle="1" w:styleId="subsection">
    <w:name w:val="subsection"/>
    <w:aliases w:val="ss"/>
    <w:basedOn w:val="OPCParaBase"/>
    <w:link w:val="subsectionChar"/>
    <w:rsid w:val="00DB1E3C"/>
    <w:pPr>
      <w:tabs>
        <w:tab w:val="right" w:pos="1021"/>
      </w:tabs>
      <w:spacing w:before="180" w:line="240" w:lineRule="auto"/>
      <w:ind w:left="1134" w:hanging="1134"/>
    </w:pPr>
  </w:style>
  <w:style w:type="paragraph" w:customStyle="1" w:styleId="Definition">
    <w:name w:val="Definition"/>
    <w:aliases w:val="dd"/>
    <w:basedOn w:val="OPCParaBase"/>
    <w:rsid w:val="00DB1E3C"/>
    <w:pPr>
      <w:spacing w:before="180" w:line="240" w:lineRule="auto"/>
      <w:ind w:left="1134"/>
    </w:pPr>
  </w:style>
  <w:style w:type="paragraph" w:customStyle="1" w:styleId="ETAsubitem">
    <w:name w:val="ETA(subitem)"/>
    <w:basedOn w:val="OPCParaBase"/>
    <w:rsid w:val="00DB1E3C"/>
    <w:pPr>
      <w:tabs>
        <w:tab w:val="right" w:pos="340"/>
      </w:tabs>
      <w:spacing w:before="60" w:line="240" w:lineRule="auto"/>
      <w:ind w:left="454" w:hanging="454"/>
    </w:pPr>
    <w:rPr>
      <w:sz w:val="20"/>
    </w:rPr>
  </w:style>
  <w:style w:type="paragraph" w:customStyle="1" w:styleId="ETApara">
    <w:name w:val="ETA(para)"/>
    <w:basedOn w:val="OPCParaBase"/>
    <w:rsid w:val="00DB1E3C"/>
    <w:pPr>
      <w:tabs>
        <w:tab w:val="right" w:pos="754"/>
      </w:tabs>
      <w:spacing w:before="60" w:line="240" w:lineRule="auto"/>
      <w:ind w:left="828" w:hanging="828"/>
    </w:pPr>
    <w:rPr>
      <w:sz w:val="20"/>
    </w:rPr>
  </w:style>
  <w:style w:type="paragraph" w:customStyle="1" w:styleId="ETAsubpara">
    <w:name w:val="ETA(subpara)"/>
    <w:basedOn w:val="OPCParaBase"/>
    <w:rsid w:val="00DB1E3C"/>
    <w:pPr>
      <w:tabs>
        <w:tab w:val="right" w:pos="1083"/>
      </w:tabs>
      <w:spacing w:before="60" w:line="240" w:lineRule="auto"/>
      <w:ind w:left="1191" w:hanging="1191"/>
    </w:pPr>
    <w:rPr>
      <w:sz w:val="20"/>
    </w:rPr>
  </w:style>
  <w:style w:type="paragraph" w:customStyle="1" w:styleId="ETAsub-subpara">
    <w:name w:val="ETA(sub-subpara)"/>
    <w:basedOn w:val="OPCParaBase"/>
    <w:rsid w:val="00DB1E3C"/>
    <w:pPr>
      <w:tabs>
        <w:tab w:val="right" w:pos="1412"/>
      </w:tabs>
      <w:spacing w:before="60" w:line="240" w:lineRule="auto"/>
      <w:ind w:left="1525" w:hanging="1525"/>
    </w:pPr>
    <w:rPr>
      <w:sz w:val="20"/>
    </w:rPr>
  </w:style>
  <w:style w:type="paragraph" w:customStyle="1" w:styleId="Formula">
    <w:name w:val="Formula"/>
    <w:basedOn w:val="OPCParaBase"/>
    <w:rsid w:val="00DB1E3C"/>
    <w:pPr>
      <w:spacing w:line="240" w:lineRule="auto"/>
      <w:ind w:left="1134"/>
    </w:pPr>
    <w:rPr>
      <w:sz w:val="20"/>
    </w:rPr>
  </w:style>
  <w:style w:type="paragraph" w:styleId="Header">
    <w:name w:val="header"/>
    <w:basedOn w:val="OPCParaBase"/>
    <w:link w:val="HeaderChar"/>
    <w:unhideWhenUsed/>
    <w:rsid w:val="00DB1E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1E3C"/>
    <w:rPr>
      <w:rFonts w:eastAsia="Times New Roman" w:cs="Times New Roman"/>
      <w:sz w:val="16"/>
      <w:lang w:eastAsia="en-AU"/>
    </w:rPr>
  </w:style>
  <w:style w:type="paragraph" w:customStyle="1" w:styleId="House">
    <w:name w:val="House"/>
    <w:basedOn w:val="OPCParaBase"/>
    <w:rsid w:val="00DB1E3C"/>
    <w:pPr>
      <w:spacing w:line="240" w:lineRule="auto"/>
    </w:pPr>
    <w:rPr>
      <w:sz w:val="28"/>
    </w:rPr>
  </w:style>
  <w:style w:type="paragraph" w:customStyle="1" w:styleId="Item">
    <w:name w:val="Item"/>
    <w:aliases w:val="i"/>
    <w:basedOn w:val="OPCParaBase"/>
    <w:next w:val="ItemHead"/>
    <w:link w:val="ItemChar"/>
    <w:rsid w:val="00DB1E3C"/>
    <w:pPr>
      <w:keepLines/>
      <w:spacing w:before="80" w:line="240" w:lineRule="auto"/>
      <w:ind w:left="709"/>
    </w:pPr>
  </w:style>
  <w:style w:type="paragraph" w:customStyle="1" w:styleId="ItemHead">
    <w:name w:val="ItemHead"/>
    <w:aliases w:val="ih"/>
    <w:basedOn w:val="OPCParaBase"/>
    <w:next w:val="Item"/>
    <w:link w:val="ItemHeadChar"/>
    <w:rsid w:val="00DB1E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1E3C"/>
    <w:pPr>
      <w:spacing w:line="240" w:lineRule="auto"/>
    </w:pPr>
    <w:rPr>
      <w:b/>
      <w:sz w:val="32"/>
    </w:rPr>
  </w:style>
  <w:style w:type="paragraph" w:customStyle="1" w:styleId="notedraft">
    <w:name w:val="note(draft)"/>
    <w:aliases w:val="nd"/>
    <w:basedOn w:val="OPCParaBase"/>
    <w:rsid w:val="00DB1E3C"/>
    <w:pPr>
      <w:spacing w:before="240" w:line="240" w:lineRule="auto"/>
      <w:ind w:left="284" w:hanging="284"/>
    </w:pPr>
    <w:rPr>
      <w:i/>
      <w:sz w:val="24"/>
    </w:rPr>
  </w:style>
  <w:style w:type="paragraph" w:customStyle="1" w:styleId="notemargin">
    <w:name w:val="note(margin)"/>
    <w:aliases w:val="nm"/>
    <w:basedOn w:val="OPCParaBase"/>
    <w:rsid w:val="00DB1E3C"/>
    <w:pPr>
      <w:tabs>
        <w:tab w:val="left" w:pos="709"/>
      </w:tabs>
      <w:spacing w:before="122" w:line="198" w:lineRule="exact"/>
      <w:ind w:left="709" w:hanging="709"/>
    </w:pPr>
    <w:rPr>
      <w:sz w:val="18"/>
    </w:rPr>
  </w:style>
  <w:style w:type="paragraph" w:customStyle="1" w:styleId="noteToPara">
    <w:name w:val="noteToPara"/>
    <w:aliases w:val="ntp"/>
    <w:basedOn w:val="OPCParaBase"/>
    <w:rsid w:val="00DB1E3C"/>
    <w:pPr>
      <w:spacing w:before="122" w:line="198" w:lineRule="exact"/>
      <w:ind w:left="2353" w:hanging="709"/>
    </w:pPr>
    <w:rPr>
      <w:sz w:val="18"/>
    </w:rPr>
  </w:style>
  <w:style w:type="paragraph" w:customStyle="1" w:styleId="noteParlAmend">
    <w:name w:val="note(ParlAmend)"/>
    <w:aliases w:val="npp"/>
    <w:basedOn w:val="OPCParaBase"/>
    <w:next w:val="ParlAmend"/>
    <w:rsid w:val="00DB1E3C"/>
    <w:pPr>
      <w:spacing w:line="240" w:lineRule="auto"/>
      <w:jc w:val="right"/>
    </w:pPr>
    <w:rPr>
      <w:rFonts w:ascii="Arial" w:hAnsi="Arial"/>
      <w:b/>
      <w:i/>
    </w:rPr>
  </w:style>
  <w:style w:type="paragraph" w:customStyle="1" w:styleId="Page1">
    <w:name w:val="Page1"/>
    <w:basedOn w:val="OPCParaBase"/>
    <w:rsid w:val="00DB1E3C"/>
    <w:pPr>
      <w:spacing w:before="400" w:line="240" w:lineRule="auto"/>
    </w:pPr>
    <w:rPr>
      <w:b/>
      <w:sz w:val="32"/>
    </w:rPr>
  </w:style>
  <w:style w:type="paragraph" w:customStyle="1" w:styleId="PageBreak">
    <w:name w:val="PageBreak"/>
    <w:aliases w:val="pb"/>
    <w:basedOn w:val="OPCParaBase"/>
    <w:rsid w:val="00DB1E3C"/>
    <w:pPr>
      <w:spacing w:line="240" w:lineRule="auto"/>
    </w:pPr>
    <w:rPr>
      <w:sz w:val="20"/>
    </w:rPr>
  </w:style>
  <w:style w:type="paragraph" w:customStyle="1" w:styleId="paragraphsub">
    <w:name w:val="paragraph(sub)"/>
    <w:aliases w:val="aa"/>
    <w:basedOn w:val="OPCParaBase"/>
    <w:rsid w:val="00DB1E3C"/>
    <w:pPr>
      <w:tabs>
        <w:tab w:val="right" w:pos="1985"/>
      </w:tabs>
      <w:spacing w:before="40" w:line="240" w:lineRule="auto"/>
      <w:ind w:left="2098" w:hanging="2098"/>
    </w:pPr>
  </w:style>
  <w:style w:type="paragraph" w:customStyle="1" w:styleId="paragraphsub-sub">
    <w:name w:val="paragraph(sub-sub)"/>
    <w:aliases w:val="aaa"/>
    <w:basedOn w:val="OPCParaBase"/>
    <w:rsid w:val="00DB1E3C"/>
    <w:pPr>
      <w:tabs>
        <w:tab w:val="right" w:pos="2722"/>
      </w:tabs>
      <w:spacing w:before="40" w:line="240" w:lineRule="auto"/>
      <w:ind w:left="2835" w:hanging="2835"/>
    </w:pPr>
  </w:style>
  <w:style w:type="paragraph" w:customStyle="1" w:styleId="paragraph">
    <w:name w:val="paragraph"/>
    <w:aliases w:val="a"/>
    <w:basedOn w:val="OPCParaBase"/>
    <w:link w:val="paragraphChar"/>
    <w:rsid w:val="00DB1E3C"/>
    <w:pPr>
      <w:tabs>
        <w:tab w:val="right" w:pos="1531"/>
      </w:tabs>
      <w:spacing w:before="40" w:line="240" w:lineRule="auto"/>
      <w:ind w:left="1644" w:hanging="1644"/>
    </w:pPr>
  </w:style>
  <w:style w:type="paragraph" w:customStyle="1" w:styleId="ParlAmend">
    <w:name w:val="ParlAmend"/>
    <w:aliases w:val="pp"/>
    <w:basedOn w:val="OPCParaBase"/>
    <w:rsid w:val="00DB1E3C"/>
    <w:pPr>
      <w:spacing w:before="240" w:line="240" w:lineRule="atLeast"/>
      <w:ind w:hanging="567"/>
    </w:pPr>
    <w:rPr>
      <w:sz w:val="24"/>
    </w:rPr>
  </w:style>
  <w:style w:type="paragraph" w:customStyle="1" w:styleId="Penalty">
    <w:name w:val="Penalty"/>
    <w:basedOn w:val="OPCParaBase"/>
    <w:rsid w:val="00DB1E3C"/>
    <w:pPr>
      <w:tabs>
        <w:tab w:val="left" w:pos="2977"/>
      </w:tabs>
      <w:spacing w:before="180" w:line="240" w:lineRule="auto"/>
      <w:ind w:left="1985" w:hanging="851"/>
    </w:pPr>
  </w:style>
  <w:style w:type="paragraph" w:customStyle="1" w:styleId="Portfolio">
    <w:name w:val="Portfolio"/>
    <w:basedOn w:val="OPCParaBase"/>
    <w:rsid w:val="00DB1E3C"/>
    <w:pPr>
      <w:spacing w:line="240" w:lineRule="auto"/>
    </w:pPr>
    <w:rPr>
      <w:i/>
      <w:sz w:val="20"/>
    </w:rPr>
  </w:style>
  <w:style w:type="paragraph" w:customStyle="1" w:styleId="Preamble">
    <w:name w:val="Preamble"/>
    <w:basedOn w:val="OPCParaBase"/>
    <w:next w:val="Normal"/>
    <w:rsid w:val="00DB1E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1E3C"/>
    <w:pPr>
      <w:spacing w:line="240" w:lineRule="auto"/>
    </w:pPr>
    <w:rPr>
      <w:i/>
      <w:sz w:val="20"/>
    </w:rPr>
  </w:style>
  <w:style w:type="paragraph" w:customStyle="1" w:styleId="Session">
    <w:name w:val="Session"/>
    <w:basedOn w:val="OPCParaBase"/>
    <w:rsid w:val="00DB1E3C"/>
    <w:pPr>
      <w:spacing w:line="240" w:lineRule="auto"/>
    </w:pPr>
    <w:rPr>
      <w:sz w:val="28"/>
    </w:rPr>
  </w:style>
  <w:style w:type="paragraph" w:customStyle="1" w:styleId="Sponsor">
    <w:name w:val="Sponsor"/>
    <w:basedOn w:val="OPCParaBase"/>
    <w:rsid w:val="00DB1E3C"/>
    <w:pPr>
      <w:spacing w:line="240" w:lineRule="auto"/>
    </w:pPr>
    <w:rPr>
      <w:i/>
    </w:rPr>
  </w:style>
  <w:style w:type="paragraph" w:customStyle="1" w:styleId="Subitem">
    <w:name w:val="Subitem"/>
    <w:aliases w:val="iss"/>
    <w:basedOn w:val="OPCParaBase"/>
    <w:rsid w:val="00DB1E3C"/>
    <w:pPr>
      <w:spacing w:before="180" w:line="240" w:lineRule="auto"/>
      <w:ind w:left="709" w:hanging="709"/>
    </w:pPr>
  </w:style>
  <w:style w:type="paragraph" w:customStyle="1" w:styleId="SubitemHead">
    <w:name w:val="SubitemHead"/>
    <w:aliases w:val="issh"/>
    <w:basedOn w:val="OPCParaBase"/>
    <w:rsid w:val="00DB1E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B1E3C"/>
    <w:pPr>
      <w:spacing w:before="40" w:line="240" w:lineRule="auto"/>
      <w:ind w:left="1134"/>
    </w:pPr>
  </w:style>
  <w:style w:type="paragraph" w:customStyle="1" w:styleId="SubsectionHead">
    <w:name w:val="SubsectionHead"/>
    <w:aliases w:val="ssh"/>
    <w:basedOn w:val="OPCParaBase"/>
    <w:next w:val="subsection"/>
    <w:rsid w:val="00DB1E3C"/>
    <w:pPr>
      <w:keepNext/>
      <w:keepLines/>
      <w:spacing w:before="240" w:line="240" w:lineRule="auto"/>
      <w:ind w:left="1134"/>
    </w:pPr>
    <w:rPr>
      <w:i/>
    </w:rPr>
  </w:style>
  <w:style w:type="paragraph" w:customStyle="1" w:styleId="Tablea">
    <w:name w:val="Table(a)"/>
    <w:aliases w:val="ta"/>
    <w:basedOn w:val="OPCParaBase"/>
    <w:rsid w:val="00DB1E3C"/>
    <w:pPr>
      <w:spacing w:before="60" w:line="240" w:lineRule="auto"/>
      <w:ind w:left="284" w:hanging="284"/>
    </w:pPr>
    <w:rPr>
      <w:sz w:val="20"/>
    </w:rPr>
  </w:style>
  <w:style w:type="paragraph" w:customStyle="1" w:styleId="TableAA">
    <w:name w:val="Table(AA)"/>
    <w:aliases w:val="taaa"/>
    <w:basedOn w:val="OPCParaBase"/>
    <w:rsid w:val="00DB1E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1E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1E3C"/>
    <w:pPr>
      <w:spacing w:before="60" w:line="240" w:lineRule="atLeast"/>
    </w:pPr>
    <w:rPr>
      <w:sz w:val="20"/>
    </w:rPr>
  </w:style>
  <w:style w:type="paragraph" w:customStyle="1" w:styleId="TLPBoxTextnote">
    <w:name w:val="TLPBoxText(note"/>
    <w:aliases w:val="right)"/>
    <w:basedOn w:val="OPCParaBase"/>
    <w:rsid w:val="00DB1E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1E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1E3C"/>
    <w:pPr>
      <w:spacing w:before="122" w:line="198" w:lineRule="exact"/>
      <w:ind w:left="1985" w:hanging="851"/>
      <w:jc w:val="right"/>
    </w:pPr>
    <w:rPr>
      <w:sz w:val="18"/>
    </w:rPr>
  </w:style>
  <w:style w:type="paragraph" w:customStyle="1" w:styleId="TLPTableBullet">
    <w:name w:val="TLPTableBullet"/>
    <w:aliases w:val="ttb"/>
    <w:basedOn w:val="OPCParaBase"/>
    <w:rsid w:val="00DB1E3C"/>
    <w:pPr>
      <w:spacing w:line="240" w:lineRule="exact"/>
      <w:ind w:left="284" w:hanging="284"/>
    </w:pPr>
    <w:rPr>
      <w:sz w:val="20"/>
    </w:rPr>
  </w:style>
  <w:style w:type="paragraph" w:styleId="TOC1">
    <w:name w:val="toc 1"/>
    <w:basedOn w:val="OPCParaBase"/>
    <w:next w:val="Normal"/>
    <w:uiPriority w:val="39"/>
    <w:semiHidden/>
    <w:unhideWhenUsed/>
    <w:rsid w:val="00DB1E3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B1E3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B1E3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B1E3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B1E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1E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B1E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B1E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1E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1E3C"/>
    <w:pPr>
      <w:keepLines/>
      <w:spacing w:before="240" w:after="120" w:line="240" w:lineRule="auto"/>
      <w:ind w:left="794"/>
    </w:pPr>
    <w:rPr>
      <w:b/>
      <w:kern w:val="28"/>
      <w:sz w:val="20"/>
    </w:rPr>
  </w:style>
  <w:style w:type="paragraph" w:customStyle="1" w:styleId="TofSectsHeading">
    <w:name w:val="TofSects(Heading)"/>
    <w:basedOn w:val="OPCParaBase"/>
    <w:rsid w:val="00DB1E3C"/>
    <w:pPr>
      <w:spacing w:before="240" w:after="120" w:line="240" w:lineRule="auto"/>
    </w:pPr>
    <w:rPr>
      <w:b/>
      <w:sz w:val="24"/>
    </w:rPr>
  </w:style>
  <w:style w:type="paragraph" w:customStyle="1" w:styleId="TofSectsSection">
    <w:name w:val="TofSects(Section)"/>
    <w:basedOn w:val="OPCParaBase"/>
    <w:rsid w:val="00DB1E3C"/>
    <w:pPr>
      <w:keepLines/>
      <w:spacing w:before="40" w:line="240" w:lineRule="auto"/>
      <w:ind w:left="1588" w:hanging="794"/>
    </w:pPr>
    <w:rPr>
      <w:kern w:val="28"/>
      <w:sz w:val="18"/>
    </w:rPr>
  </w:style>
  <w:style w:type="paragraph" w:customStyle="1" w:styleId="TofSectsSubdiv">
    <w:name w:val="TofSects(Subdiv)"/>
    <w:basedOn w:val="OPCParaBase"/>
    <w:rsid w:val="00DB1E3C"/>
    <w:pPr>
      <w:keepLines/>
      <w:spacing w:before="80" w:line="240" w:lineRule="auto"/>
      <w:ind w:left="1588" w:hanging="794"/>
    </w:pPr>
    <w:rPr>
      <w:kern w:val="28"/>
    </w:rPr>
  </w:style>
  <w:style w:type="paragraph" w:customStyle="1" w:styleId="WRStyle">
    <w:name w:val="WR Style"/>
    <w:aliases w:val="WR"/>
    <w:basedOn w:val="OPCParaBase"/>
    <w:rsid w:val="00DB1E3C"/>
    <w:pPr>
      <w:spacing w:before="240" w:line="240" w:lineRule="auto"/>
      <w:ind w:left="284" w:hanging="284"/>
    </w:pPr>
    <w:rPr>
      <w:b/>
      <w:i/>
      <w:kern w:val="28"/>
      <w:sz w:val="24"/>
    </w:rPr>
  </w:style>
  <w:style w:type="paragraph" w:customStyle="1" w:styleId="notepara">
    <w:name w:val="note(para)"/>
    <w:aliases w:val="na"/>
    <w:basedOn w:val="OPCParaBase"/>
    <w:rsid w:val="00DB1E3C"/>
    <w:pPr>
      <w:spacing w:before="40" w:line="198" w:lineRule="exact"/>
      <w:ind w:left="2354" w:hanging="369"/>
    </w:pPr>
    <w:rPr>
      <w:sz w:val="18"/>
    </w:rPr>
  </w:style>
  <w:style w:type="paragraph" w:styleId="Footer">
    <w:name w:val="footer"/>
    <w:link w:val="FooterChar"/>
    <w:rsid w:val="00DB1E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1E3C"/>
    <w:rPr>
      <w:rFonts w:eastAsia="Times New Roman" w:cs="Times New Roman"/>
      <w:sz w:val="22"/>
      <w:szCs w:val="24"/>
      <w:lang w:eastAsia="en-AU"/>
    </w:rPr>
  </w:style>
  <w:style w:type="character" w:styleId="LineNumber">
    <w:name w:val="line number"/>
    <w:basedOn w:val="OPCCharBase"/>
    <w:uiPriority w:val="99"/>
    <w:semiHidden/>
    <w:unhideWhenUsed/>
    <w:rsid w:val="00DB1E3C"/>
    <w:rPr>
      <w:sz w:val="16"/>
    </w:rPr>
  </w:style>
  <w:style w:type="table" w:customStyle="1" w:styleId="CFlag">
    <w:name w:val="CFlag"/>
    <w:basedOn w:val="TableNormal"/>
    <w:uiPriority w:val="99"/>
    <w:rsid w:val="00DB1E3C"/>
    <w:rPr>
      <w:rFonts w:eastAsia="Times New Roman" w:cs="Times New Roman"/>
      <w:lang w:eastAsia="en-AU"/>
    </w:rPr>
    <w:tblPr/>
  </w:style>
  <w:style w:type="paragraph" w:customStyle="1" w:styleId="NotesHeading1">
    <w:name w:val="NotesHeading 1"/>
    <w:basedOn w:val="OPCParaBase"/>
    <w:next w:val="Normal"/>
    <w:rsid w:val="00DB1E3C"/>
    <w:rPr>
      <w:b/>
      <w:sz w:val="28"/>
      <w:szCs w:val="28"/>
    </w:rPr>
  </w:style>
  <w:style w:type="paragraph" w:customStyle="1" w:styleId="NotesHeading2">
    <w:name w:val="NotesHeading 2"/>
    <w:basedOn w:val="OPCParaBase"/>
    <w:next w:val="Normal"/>
    <w:rsid w:val="00DB1E3C"/>
    <w:rPr>
      <w:b/>
      <w:sz w:val="28"/>
      <w:szCs w:val="28"/>
    </w:rPr>
  </w:style>
  <w:style w:type="paragraph" w:customStyle="1" w:styleId="SignCoverPageEnd">
    <w:name w:val="SignCoverPageEnd"/>
    <w:basedOn w:val="OPCParaBase"/>
    <w:next w:val="Normal"/>
    <w:rsid w:val="00DB1E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1E3C"/>
    <w:pPr>
      <w:pBdr>
        <w:top w:val="single" w:sz="4" w:space="1" w:color="auto"/>
      </w:pBdr>
      <w:spacing w:before="360"/>
      <w:ind w:right="397"/>
      <w:jc w:val="both"/>
    </w:pPr>
  </w:style>
  <w:style w:type="paragraph" w:customStyle="1" w:styleId="Paragraphsub-sub-sub">
    <w:name w:val="Paragraph(sub-sub-sub)"/>
    <w:aliases w:val="aaaa"/>
    <w:basedOn w:val="OPCParaBase"/>
    <w:rsid w:val="00DB1E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1E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1E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1E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1E3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B1E3C"/>
    <w:pPr>
      <w:spacing w:before="120"/>
    </w:pPr>
  </w:style>
  <w:style w:type="paragraph" w:customStyle="1" w:styleId="TableTextEndNotes">
    <w:name w:val="TableTextEndNotes"/>
    <w:aliases w:val="Tten"/>
    <w:basedOn w:val="Normal"/>
    <w:rsid w:val="00DB1E3C"/>
    <w:pPr>
      <w:spacing w:before="60" w:line="240" w:lineRule="auto"/>
    </w:pPr>
    <w:rPr>
      <w:rFonts w:cs="Arial"/>
      <w:sz w:val="20"/>
      <w:szCs w:val="22"/>
    </w:rPr>
  </w:style>
  <w:style w:type="paragraph" w:customStyle="1" w:styleId="TableHeading">
    <w:name w:val="TableHeading"/>
    <w:aliases w:val="th"/>
    <w:basedOn w:val="OPCParaBase"/>
    <w:next w:val="Tabletext"/>
    <w:rsid w:val="00DB1E3C"/>
    <w:pPr>
      <w:keepNext/>
      <w:spacing w:before="60" w:line="240" w:lineRule="atLeast"/>
    </w:pPr>
    <w:rPr>
      <w:b/>
      <w:sz w:val="20"/>
    </w:rPr>
  </w:style>
  <w:style w:type="paragraph" w:customStyle="1" w:styleId="NoteToSubpara">
    <w:name w:val="NoteToSubpara"/>
    <w:aliases w:val="nts"/>
    <w:basedOn w:val="OPCParaBase"/>
    <w:rsid w:val="00DB1E3C"/>
    <w:pPr>
      <w:spacing w:before="40" w:line="198" w:lineRule="exact"/>
      <w:ind w:left="2835" w:hanging="709"/>
    </w:pPr>
    <w:rPr>
      <w:sz w:val="18"/>
    </w:rPr>
  </w:style>
  <w:style w:type="paragraph" w:customStyle="1" w:styleId="ENoteTableHeading">
    <w:name w:val="ENoteTableHeading"/>
    <w:aliases w:val="enth"/>
    <w:basedOn w:val="OPCParaBase"/>
    <w:rsid w:val="00DB1E3C"/>
    <w:pPr>
      <w:keepNext/>
      <w:spacing w:before="60" w:line="240" w:lineRule="atLeast"/>
    </w:pPr>
    <w:rPr>
      <w:rFonts w:ascii="Arial" w:hAnsi="Arial"/>
      <w:b/>
      <w:sz w:val="16"/>
    </w:rPr>
  </w:style>
  <w:style w:type="paragraph" w:customStyle="1" w:styleId="ENoteTTi">
    <w:name w:val="ENoteTTi"/>
    <w:aliases w:val="entti"/>
    <w:basedOn w:val="OPCParaBase"/>
    <w:rsid w:val="00DB1E3C"/>
    <w:pPr>
      <w:keepNext/>
      <w:spacing w:before="60" w:line="240" w:lineRule="atLeast"/>
      <w:ind w:left="170"/>
    </w:pPr>
    <w:rPr>
      <w:sz w:val="16"/>
    </w:rPr>
  </w:style>
  <w:style w:type="paragraph" w:customStyle="1" w:styleId="ENotesHeading1">
    <w:name w:val="ENotesHeading 1"/>
    <w:aliases w:val="Enh1"/>
    <w:basedOn w:val="OPCParaBase"/>
    <w:next w:val="Normal"/>
    <w:rsid w:val="00DB1E3C"/>
    <w:pPr>
      <w:spacing w:before="120"/>
      <w:outlineLvl w:val="1"/>
    </w:pPr>
    <w:rPr>
      <w:b/>
      <w:sz w:val="28"/>
      <w:szCs w:val="28"/>
    </w:rPr>
  </w:style>
  <w:style w:type="paragraph" w:customStyle="1" w:styleId="ENotesHeading2">
    <w:name w:val="ENotesHeading 2"/>
    <w:aliases w:val="Enh2"/>
    <w:basedOn w:val="OPCParaBase"/>
    <w:next w:val="Normal"/>
    <w:rsid w:val="00DB1E3C"/>
    <w:pPr>
      <w:spacing w:before="120" w:after="120"/>
      <w:outlineLvl w:val="2"/>
    </w:pPr>
    <w:rPr>
      <w:b/>
      <w:sz w:val="24"/>
      <w:szCs w:val="28"/>
    </w:rPr>
  </w:style>
  <w:style w:type="paragraph" w:customStyle="1" w:styleId="ENoteTTIndentHeading">
    <w:name w:val="ENoteTTIndentHeading"/>
    <w:aliases w:val="enTTHi"/>
    <w:basedOn w:val="OPCParaBase"/>
    <w:rsid w:val="00DB1E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1E3C"/>
    <w:pPr>
      <w:spacing w:before="60" w:line="240" w:lineRule="atLeast"/>
    </w:pPr>
    <w:rPr>
      <w:sz w:val="16"/>
    </w:rPr>
  </w:style>
  <w:style w:type="paragraph" w:customStyle="1" w:styleId="MadeunderText">
    <w:name w:val="MadeunderText"/>
    <w:basedOn w:val="OPCParaBase"/>
    <w:next w:val="Normal"/>
    <w:rsid w:val="00DB1E3C"/>
    <w:pPr>
      <w:spacing w:before="240"/>
    </w:pPr>
    <w:rPr>
      <w:sz w:val="24"/>
      <w:szCs w:val="24"/>
    </w:rPr>
  </w:style>
  <w:style w:type="paragraph" w:customStyle="1" w:styleId="ENotesHeading3">
    <w:name w:val="ENotesHeading 3"/>
    <w:aliases w:val="Enh3"/>
    <w:basedOn w:val="OPCParaBase"/>
    <w:next w:val="Normal"/>
    <w:rsid w:val="00DB1E3C"/>
    <w:pPr>
      <w:keepNext/>
      <w:spacing w:before="120" w:line="240" w:lineRule="auto"/>
      <w:outlineLvl w:val="4"/>
    </w:pPr>
    <w:rPr>
      <w:b/>
      <w:szCs w:val="24"/>
    </w:rPr>
  </w:style>
  <w:style w:type="paragraph" w:customStyle="1" w:styleId="SubPartCASA">
    <w:name w:val="SubPart(CASA)"/>
    <w:aliases w:val="csp"/>
    <w:basedOn w:val="OPCParaBase"/>
    <w:next w:val="ActHead3"/>
    <w:rsid w:val="00DB1E3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B1E3C"/>
  </w:style>
  <w:style w:type="character" w:customStyle="1" w:styleId="CharSubPartNoCASA">
    <w:name w:val="CharSubPartNo(CASA)"/>
    <w:basedOn w:val="OPCCharBase"/>
    <w:uiPriority w:val="1"/>
    <w:rsid w:val="00DB1E3C"/>
  </w:style>
  <w:style w:type="paragraph" w:customStyle="1" w:styleId="ENoteTTIndentHeadingSub">
    <w:name w:val="ENoteTTIndentHeadingSub"/>
    <w:aliases w:val="enTTHis"/>
    <w:basedOn w:val="OPCParaBase"/>
    <w:rsid w:val="00DB1E3C"/>
    <w:pPr>
      <w:keepNext/>
      <w:spacing w:before="60" w:line="240" w:lineRule="atLeast"/>
      <w:ind w:left="340"/>
    </w:pPr>
    <w:rPr>
      <w:b/>
      <w:sz w:val="16"/>
    </w:rPr>
  </w:style>
  <w:style w:type="paragraph" w:customStyle="1" w:styleId="ENoteTTiSub">
    <w:name w:val="ENoteTTiSub"/>
    <w:aliases w:val="enttis"/>
    <w:basedOn w:val="OPCParaBase"/>
    <w:rsid w:val="00DB1E3C"/>
    <w:pPr>
      <w:keepNext/>
      <w:spacing w:before="60" w:line="240" w:lineRule="atLeast"/>
      <w:ind w:left="340"/>
    </w:pPr>
    <w:rPr>
      <w:sz w:val="16"/>
    </w:rPr>
  </w:style>
  <w:style w:type="paragraph" w:customStyle="1" w:styleId="SubDivisionMigration">
    <w:name w:val="SubDivisionMigration"/>
    <w:aliases w:val="sdm"/>
    <w:basedOn w:val="OPCParaBase"/>
    <w:rsid w:val="00DB1E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1E3C"/>
    <w:pPr>
      <w:keepNext/>
      <w:keepLines/>
      <w:spacing w:before="240" w:line="240" w:lineRule="auto"/>
      <w:ind w:left="1134" w:hanging="1134"/>
    </w:pPr>
    <w:rPr>
      <w:b/>
      <w:sz w:val="28"/>
    </w:rPr>
  </w:style>
  <w:style w:type="table" w:styleId="TableGrid">
    <w:name w:val="Table Grid"/>
    <w:basedOn w:val="TableNormal"/>
    <w:uiPriority w:val="59"/>
    <w:rsid w:val="00DB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B1E3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B1E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1E3C"/>
    <w:rPr>
      <w:sz w:val="22"/>
    </w:rPr>
  </w:style>
  <w:style w:type="paragraph" w:customStyle="1" w:styleId="SOTextNote">
    <w:name w:val="SO TextNote"/>
    <w:aliases w:val="sont"/>
    <w:basedOn w:val="SOText"/>
    <w:qFormat/>
    <w:rsid w:val="00DB1E3C"/>
    <w:pPr>
      <w:spacing w:before="122" w:line="198" w:lineRule="exact"/>
      <w:ind w:left="1843" w:hanging="709"/>
    </w:pPr>
    <w:rPr>
      <w:sz w:val="18"/>
    </w:rPr>
  </w:style>
  <w:style w:type="paragraph" w:customStyle="1" w:styleId="SOPara">
    <w:name w:val="SO Para"/>
    <w:aliases w:val="soa"/>
    <w:basedOn w:val="SOText"/>
    <w:link w:val="SOParaChar"/>
    <w:qFormat/>
    <w:rsid w:val="00DB1E3C"/>
    <w:pPr>
      <w:tabs>
        <w:tab w:val="right" w:pos="1786"/>
      </w:tabs>
      <w:spacing w:before="40"/>
      <w:ind w:left="2070" w:hanging="936"/>
    </w:pPr>
  </w:style>
  <w:style w:type="character" w:customStyle="1" w:styleId="SOParaChar">
    <w:name w:val="SO Para Char"/>
    <w:aliases w:val="soa Char"/>
    <w:basedOn w:val="DefaultParagraphFont"/>
    <w:link w:val="SOPara"/>
    <w:rsid w:val="00DB1E3C"/>
    <w:rPr>
      <w:sz w:val="22"/>
    </w:rPr>
  </w:style>
  <w:style w:type="paragraph" w:customStyle="1" w:styleId="FileName">
    <w:name w:val="FileName"/>
    <w:basedOn w:val="Normal"/>
    <w:rsid w:val="00DB1E3C"/>
  </w:style>
  <w:style w:type="paragraph" w:customStyle="1" w:styleId="SOHeadBold">
    <w:name w:val="SO HeadBold"/>
    <w:aliases w:val="sohb"/>
    <w:basedOn w:val="SOText"/>
    <w:next w:val="SOText"/>
    <w:link w:val="SOHeadBoldChar"/>
    <w:qFormat/>
    <w:rsid w:val="00DB1E3C"/>
    <w:rPr>
      <w:b/>
    </w:rPr>
  </w:style>
  <w:style w:type="character" w:customStyle="1" w:styleId="SOHeadBoldChar">
    <w:name w:val="SO HeadBold Char"/>
    <w:aliases w:val="sohb Char"/>
    <w:basedOn w:val="DefaultParagraphFont"/>
    <w:link w:val="SOHeadBold"/>
    <w:rsid w:val="00DB1E3C"/>
    <w:rPr>
      <w:b/>
      <w:sz w:val="22"/>
    </w:rPr>
  </w:style>
  <w:style w:type="paragraph" w:customStyle="1" w:styleId="SOHeadItalic">
    <w:name w:val="SO HeadItalic"/>
    <w:aliases w:val="sohi"/>
    <w:basedOn w:val="SOText"/>
    <w:next w:val="SOText"/>
    <w:link w:val="SOHeadItalicChar"/>
    <w:qFormat/>
    <w:rsid w:val="00DB1E3C"/>
    <w:rPr>
      <w:i/>
    </w:rPr>
  </w:style>
  <w:style w:type="character" w:customStyle="1" w:styleId="SOHeadItalicChar">
    <w:name w:val="SO HeadItalic Char"/>
    <w:aliases w:val="sohi Char"/>
    <w:basedOn w:val="DefaultParagraphFont"/>
    <w:link w:val="SOHeadItalic"/>
    <w:rsid w:val="00DB1E3C"/>
    <w:rPr>
      <w:i/>
      <w:sz w:val="22"/>
    </w:rPr>
  </w:style>
  <w:style w:type="paragraph" w:customStyle="1" w:styleId="SOBullet">
    <w:name w:val="SO Bullet"/>
    <w:aliases w:val="sotb"/>
    <w:basedOn w:val="SOText"/>
    <w:link w:val="SOBulletChar"/>
    <w:qFormat/>
    <w:rsid w:val="00DB1E3C"/>
    <w:pPr>
      <w:ind w:left="1559" w:hanging="425"/>
    </w:pPr>
  </w:style>
  <w:style w:type="character" w:customStyle="1" w:styleId="SOBulletChar">
    <w:name w:val="SO Bullet Char"/>
    <w:aliases w:val="sotb Char"/>
    <w:basedOn w:val="DefaultParagraphFont"/>
    <w:link w:val="SOBullet"/>
    <w:rsid w:val="00DB1E3C"/>
    <w:rPr>
      <w:sz w:val="22"/>
    </w:rPr>
  </w:style>
  <w:style w:type="paragraph" w:customStyle="1" w:styleId="SOBulletNote">
    <w:name w:val="SO BulletNote"/>
    <w:aliases w:val="sonb"/>
    <w:basedOn w:val="SOTextNote"/>
    <w:link w:val="SOBulletNoteChar"/>
    <w:qFormat/>
    <w:rsid w:val="00DB1E3C"/>
    <w:pPr>
      <w:tabs>
        <w:tab w:val="left" w:pos="1560"/>
      </w:tabs>
      <w:ind w:left="2268" w:hanging="1134"/>
    </w:pPr>
  </w:style>
  <w:style w:type="character" w:customStyle="1" w:styleId="SOBulletNoteChar">
    <w:name w:val="SO BulletNote Char"/>
    <w:aliases w:val="sonb Char"/>
    <w:basedOn w:val="DefaultParagraphFont"/>
    <w:link w:val="SOBulletNote"/>
    <w:rsid w:val="00DB1E3C"/>
    <w:rPr>
      <w:sz w:val="18"/>
    </w:rPr>
  </w:style>
  <w:style w:type="paragraph" w:customStyle="1" w:styleId="SOText2">
    <w:name w:val="SO Text2"/>
    <w:aliases w:val="sot2"/>
    <w:basedOn w:val="Normal"/>
    <w:next w:val="SOText"/>
    <w:link w:val="SOText2Char"/>
    <w:rsid w:val="00DB1E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1E3C"/>
    <w:rPr>
      <w:sz w:val="22"/>
    </w:rPr>
  </w:style>
  <w:style w:type="paragraph" w:customStyle="1" w:styleId="Transitional">
    <w:name w:val="Transitional"/>
    <w:aliases w:val="tr"/>
    <w:basedOn w:val="ItemHead"/>
    <w:next w:val="Item"/>
    <w:rsid w:val="00DB1E3C"/>
  </w:style>
  <w:style w:type="character" w:customStyle="1" w:styleId="ActHead5Char">
    <w:name w:val="ActHead 5 Char"/>
    <w:aliases w:val="s Char"/>
    <w:link w:val="ActHead5"/>
    <w:locked/>
    <w:rsid w:val="00CD62E1"/>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CD62E1"/>
    <w:rPr>
      <w:rFonts w:eastAsia="Times New Roman" w:cs="Times New Roman"/>
      <w:sz w:val="22"/>
      <w:lang w:eastAsia="en-AU"/>
    </w:rPr>
  </w:style>
  <w:style w:type="character" w:customStyle="1" w:styleId="ItemChar">
    <w:name w:val="Item Char"/>
    <w:aliases w:val="i Char"/>
    <w:link w:val="Item"/>
    <w:locked/>
    <w:rsid w:val="00CD62E1"/>
    <w:rPr>
      <w:rFonts w:eastAsia="Times New Roman" w:cs="Times New Roman"/>
      <w:sz w:val="22"/>
      <w:lang w:eastAsia="en-AU"/>
    </w:rPr>
  </w:style>
  <w:style w:type="character" w:customStyle="1" w:styleId="ItemHeadChar">
    <w:name w:val="ItemHead Char"/>
    <w:aliases w:val="ih Char"/>
    <w:link w:val="ItemHead"/>
    <w:locked/>
    <w:rsid w:val="00CD62E1"/>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CD62E1"/>
    <w:rPr>
      <w:rFonts w:eastAsia="Times New Roman" w:cs="Times New Roman"/>
      <w:sz w:val="22"/>
      <w:lang w:eastAsia="en-AU"/>
    </w:rPr>
  </w:style>
  <w:style w:type="character" w:customStyle="1" w:styleId="subsection2Char">
    <w:name w:val="subsection2 Char"/>
    <w:aliases w:val="ss2 Char"/>
    <w:link w:val="subsection2"/>
    <w:locked/>
    <w:rsid w:val="00CD62E1"/>
    <w:rPr>
      <w:rFonts w:eastAsia="Times New Roman" w:cs="Times New Roman"/>
      <w:sz w:val="22"/>
      <w:lang w:eastAsia="en-AU"/>
    </w:rPr>
  </w:style>
  <w:style w:type="character" w:customStyle="1" w:styleId="notetextChar">
    <w:name w:val="note(text) Char"/>
    <w:aliases w:val="n Char"/>
    <w:basedOn w:val="DefaultParagraphFont"/>
    <w:link w:val="notetext"/>
    <w:locked/>
    <w:rsid w:val="00CD62E1"/>
    <w:rPr>
      <w:rFonts w:eastAsia="Times New Roman" w:cs="Times New Roman"/>
      <w:sz w:val="18"/>
      <w:lang w:eastAsia="en-AU"/>
    </w:rPr>
  </w:style>
  <w:style w:type="character" w:styleId="Hyperlink">
    <w:name w:val="Hyperlink"/>
    <w:basedOn w:val="DefaultParagraphFont"/>
    <w:uiPriority w:val="99"/>
    <w:semiHidden/>
    <w:unhideWhenUsed/>
    <w:rsid w:val="00063811"/>
    <w:rPr>
      <w:color w:val="0000FF" w:themeColor="hyperlink"/>
      <w:u w:val="single"/>
    </w:rPr>
  </w:style>
  <w:style w:type="character" w:styleId="FollowedHyperlink">
    <w:name w:val="FollowedHyperlink"/>
    <w:basedOn w:val="DefaultParagraphFont"/>
    <w:uiPriority w:val="99"/>
    <w:semiHidden/>
    <w:unhideWhenUsed/>
    <w:rsid w:val="00063811"/>
    <w:rPr>
      <w:color w:val="0000FF" w:themeColor="hyperlink"/>
      <w:u w:val="single"/>
    </w:rPr>
  </w:style>
  <w:style w:type="character" w:customStyle="1" w:styleId="Heading1Char">
    <w:name w:val="Heading 1 Char"/>
    <w:basedOn w:val="DefaultParagraphFont"/>
    <w:link w:val="Heading1"/>
    <w:uiPriority w:val="9"/>
    <w:rsid w:val="001659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9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9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9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9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9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9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9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659AB"/>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659AB"/>
    <w:pPr>
      <w:spacing w:before="800"/>
    </w:pPr>
  </w:style>
  <w:style w:type="character" w:customStyle="1" w:styleId="OPCParaBaseChar">
    <w:name w:val="OPCParaBase Char"/>
    <w:basedOn w:val="DefaultParagraphFont"/>
    <w:link w:val="OPCParaBase"/>
    <w:rsid w:val="001659AB"/>
    <w:rPr>
      <w:rFonts w:eastAsia="Times New Roman" w:cs="Times New Roman"/>
      <w:sz w:val="22"/>
      <w:lang w:eastAsia="en-AU"/>
    </w:rPr>
  </w:style>
  <w:style w:type="character" w:customStyle="1" w:styleId="ShortTChar">
    <w:name w:val="ShortT Char"/>
    <w:basedOn w:val="OPCParaBaseChar"/>
    <w:link w:val="ShortT"/>
    <w:rsid w:val="001659AB"/>
    <w:rPr>
      <w:rFonts w:eastAsia="Times New Roman" w:cs="Times New Roman"/>
      <w:b/>
      <w:sz w:val="40"/>
      <w:lang w:eastAsia="en-AU"/>
    </w:rPr>
  </w:style>
  <w:style w:type="character" w:customStyle="1" w:styleId="ShortTP1Char">
    <w:name w:val="ShortTP1 Char"/>
    <w:basedOn w:val="ShortTChar"/>
    <w:link w:val="ShortTP1"/>
    <w:rsid w:val="001659AB"/>
    <w:rPr>
      <w:rFonts w:eastAsia="Times New Roman" w:cs="Times New Roman"/>
      <w:b/>
      <w:sz w:val="40"/>
      <w:lang w:eastAsia="en-AU"/>
    </w:rPr>
  </w:style>
  <w:style w:type="paragraph" w:customStyle="1" w:styleId="ActNoP1">
    <w:name w:val="ActNoP1"/>
    <w:basedOn w:val="Actno"/>
    <w:link w:val="ActNoP1Char"/>
    <w:rsid w:val="001659AB"/>
    <w:pPr>
      <w:spacing w:before="800"/>
    </w:pPr>
    <w:rPr>
      <w:sz w:val="28"/>
    </w:rPr>
  </w:style>
  <w:style w:type="character" w:customStyle="1" w:styleId="ActnoChar">
    <w:name w:val="Actno Char"/>
    <w:basedOn w:val="ShortTChar"/>
    <w:link w:val="Actno"/>
    <w:rsid w:val="001659AB"/>
    <w:rPr>
      <w:rFonts w:eastAsia="Times New Roman" w:cs="Times New Roman"/>
      <w:b/>
      <w:sz w:val="40"/>
      <w:lang w:eastAsia="en-AU"/>
    </w:rPr>
  </w:style>
  <w:style w:type="character" w:customStyle="1" w:styleId="ActNoP1Char">
    <w:name w:val="ActNoP1 Char"/>
    <w:basedOn w:val="ActnoChar"/>
    <w:link w:val="ActNoP1"/>
    <w:rsid w:val="001659AB"/>
    <w:rPr>
      <w:rFonts w:eastAsia="Times New Roman" w:cs="Times New Roman"/>
      <w:b/>
      <w:sz w:val="28"/>
      <w:lang w:eastAsia="en-AU"/>
    </w:rPr>
  </w:style>
  <w:style w:type="paragraph" w:customStyle="1" w:styleId="ShortTCP">
    <w:name w:val="ShortTCP"/>
    <w:basedOn w:val="ShortT"/>
    <w:link w:val="ShortTCPChar"/>
    <w:rsid w:val="001659AB"/>
  </w:style>
  <w:style w:type="character" w:customStyle="1" w:styleId="ShortTCPChar">
    <w:name w:val="ShortTCP Char"/>
    <w:basedOn w:val="ShortTChar"/>
    <w:link w:val="ShortTCP"/>
    <w:rsid w:val="001659AB"/>
    <w:rPr>
      <w:rFonts w:eastAsia="Times New Roman" w:cs="Times New Roman"/>
      <w:b/>
      <w:sz w:val="40"/>
      <w:lang w:eastAsia="en-AU"/>
    </w:rPr>
  </w:style>
  <w:style w:type="paragraph" w:customStyle="1" w:styleId="ActNoCP">
    <w:name w:val="ActNoCP"/>
    <w:basedOn w:val="Actno"/>
    <w:link w:val="ActNoCPChar"/>
    <w:rsid w:val="001659AB"/>
    <w:pPr>
      <w:spacing w:before="400"/>
    </w:pPr>
  </w:style>
  <w:style w:type="character" w:customStyle="1" w:styleId="ActNoCPChar">
    <w:name w:val="ActNoCP Char"/>
    <w:basedOn w:val="ActnoChar"/>
    <w:link w:val="ActNoCP"/>
    <w:rsid w:val="001659AB"/>
    <w:rPr>
      <w:rFonts w:eastAsia="Times New Roman" w:cs="Times New Roman"/>
      <w:b/>
      <w:sz w:val="40"/>
      <w:lang w:eastAsia="en-AU"/>
    </w:rPr>
  </w:style>
  <w:style w:type="paragraph" w:customStyle="1" w:styleId="AssentBk">
    <w:name w:val="AssentBk"/>
    <w:basedOn w:val="Normal"/>
    <w:rsid w:val="001659AB"/>
    <w:pPr>
      <w:spacing w:line="240" w:lineRule="auto"/>
    </w:pPr>
    <w:rPr>
      <w:rFonts w:eastAsia="Times New Roman" w:cs="Times New Roman"/>
      <w:sz w:val="20"/>
      <w:lang w:eastAsia="en-AU"/>
    </w:rPr>
  </w:style>
  <w:style w:type="paragraph" w:customStyle="1" w:styleId="AssentDt">
    <w:name w:val="AssentDt"/>
    <w:basedOn w:val="Normal"/>
    <w:rsid w:val="00A77508"/>
    <w:pPr>
      <w:spacing w:line="240" w:lineRule="auto"/>
    </w:pPr>
    <w:rPr>
      <w:rFonts w:eastAsia="Times New Roman" w:cs="Times New Roman"/>
      <w:sz w:val="20"/>
      <w:lang w:eastAsia="en-AU"/>
    </w:rPr>
  </w:style>
  <w:style w:type="paragraph" w:customStyle="1" w:styleId="2ndRd">
    <w:name w:val="2ndRd"/>
    <w:basedOn w:val="Normal"/>
    <w:rsid w:val="00A77508"/>
    <w:pPr>
      <w:spacing w:line="240" w:lineRule="auto"/>
    </w:pPr>
    <w:rPr>
      <w:rFonts w:eastAsia="Times New Roman" w:cs="Times New Roman"/>
      <w:sz w:val="20"/>
      <w:lang w:eastAsia="en-AU"/>
    </w:rPr>
  </w:style>
  <w:style w:type="paragraph" w:customStyle="1" w:styleId="ScalePlusRef">
    <w:name w:val="ScalePlusRef"/>
    <w:basedOn w:val="Normal"/>
    <w:rsid w:val="00A7750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2311</Words>
  <Characters>11049</Characters>
  <Application>Microsoft Office Word</Application>
  <DocSecurity>0</DocSecurity>
  <PresentationFormat/>
  <Lines>1578</Lines>
  <Paragraphs>494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2019-09-09T07:32:00Z</cp:lastPrinted>
  <dcterms:created xsi:type="dcterms:W3CDTF">2020-03-11T01:24:00Z</dcterms:created>
  <dcterms:modified xsi:type="dcterms:W3CDTF">2020-03-11T06:17:00Z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(Recovering Unpaid Superannuation) Act 2020</vt:lpwstr>
  </property>
  <property fmtid="{D5CDD505-2E9C-101B-9397-08002B2CF9AE}" pid="5" name="ActNo">
    <vt:lpwstr>No. 21,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OPC7017</vt:lpwstr>
  </property>
</Properties>
</file>