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E1" w:rsidRDefault="00135FE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2018959" r:id="rId9"/>
        </w:object>
      </w:r>
    </w:p>
    <w:p w:rsidR="00135FE1" w:rsidRDefault="00135FE1"/>
    <w:p w:rsidR="00135FE1" w:rsidRDefault="00135FE1" w:rsidP="00135FE1">
      <w:pPr>
        <w:spacing w:line="240" w:lineRule="auto"/>
      </w:pPr>
    </w:p>
    <w:p w:rsidR="00135FE1" w:rsidRDefault="00135FE1" w:rsidP="00135FE1"/>
    <w:p w:rsidR="00135FE1" w:rsidRDefault="00135FE1" w:rsidP="00135FE1"/>
    <w:p w:rsidR="00135FE1" w:rsidRDefault="00135FE1" w:rsidP="00135FE1"/>
    <w:p w:rsidR="00135FE1" w:rsidRDefault="00135FE1" w:rsidP="00135FE1"/>
    <w:p w:rsidR="00056181" w:rsidRPr="00F669DA" w:rsidRDefault="00056181" w:rsidP="00056181">
      <w:pPr>
        <w:pStyle w:val="ShortT"/>
      </w:pPr>
      <w:r w:rsidRPr="00F669DA">
        <w:rPr>
          <w:color w:val="000000"/>
        </w:rPr>
        <w:t xml:space="preserve">Telecommunications (Regional Broadband Scheme) Charge </w:t>
      </w:r>
      <w:r w:rsidR="00135FE1">
        <w:rPr>
          <w:color w:val="000000"/>
        </w:rPr>
        <w:t>Act</w:t>
      </w:r>
      <w:r w:rsidRPr="00F669DA">
        <w:rPr>
          <w:color w:val="000000"/>
        </w:rPr>
        <w:t xml:space="preserve"> </w:t>
      </w:r>
      <w:r w:rsidR="00D54B4E" w:rsidRPr="00F669DA">
        <w:rPr>
          <w:color w:val="000000"/>
        </w:rPr>
        <w:t>20</w:t>
      </w:r>
      <w:r w:rsidR="00D54B4E">
        <w:rPr>
          <w:color w:val="000000"/>
        </w:rPr>
        <w:t>20</w:t>
      </w:r>
    </w:p>
    <w:p w:rsidR="00056181" w:rsidRPr="00F669DA" w:rsidRDefault="00056181" w:rsidP="00056181"/>
    <w:p w:rsidR="00056181" w:rsidRPr="00F669DA" w:rsidRDefault="00056181" w:rsidP="00135FE1">
      <w:pPr>
        <w:pStyle w:val="Actno"/>
        <w:spacing w:before="400"/>
      </w:pPr>
      <w:r w:rsidRPr="00F669DA">
        <w:t>No.</w:t>
      </w:r>
      <w:r w:rsidR="00A41FC5">
        <w:t xml:space="preserve"> 48</w:t>
      </w:r>
      <w:r w:rsidRPr="00F669DA">
        <w:t xml:space="preserve">, </w:t>
      </w:r>
      <w:r w:rsidR="00D54B4E" w:rsidRPr="00F669DA">
        <w:t>20</w:t>
      </w:r>
      <w:r w:rsidR="00D54B4E">
        <w:t>20</w:t>
      </w:r>
    </w:p>
    <w:p w:rsidR="00056181" w:rsidRPr="00F669DA" w:rsidRDefault="00056181" w:rsidP="00056181"/>
    <w:p w:rsidR="00135FE1" w:rsidRDefault="00135FE1" w:rsidP="00135FE1"/>
    <w:p w:rsidR="00135FE1" w:rsidRDefault="00135FE1" w:rsidP="00135FE1"/>
    <w:p w:rsidR="00135FE1" w:rsidRDefault="00135FE1" w:rsidP="00135FE1"/>
    <w:p w:rsidR="00135FE1" w:rsidRDefault="00135FE1" w:rsidP="00135FE1"/>
    <w:p w:rsidR="00056181" w:rsidRPr="00F669DA" w:rsidRDefault="00135FE1" w:rsidP="00056181">
      <w:pPr>
        <w:pStyle w:val="LongT"/>
      </w:pPr>
      <w:r>
        <w:t>An Act</w:t>
      </w:r>
      <w:r w:rsidR="00056181" w:rsidRPr="00F669DA">
        <w:t xml:space="preserve"> to impose a charge to support the funding of fixed wireless broadband and satellite broadband, and for related purposes</w:t>
      </w:r>
    </w:p>
    <w:p w:rsidR="00056181" w:rsidRPr="00806D7E" w:rsidRDefault="00056181" w:rsidP="00056181">
      <w:pPr>
        <w:pStyle w:val="Header"/>
        <w:tabs>
          <w:tab w:val="clear" w:pos="4150"/>
          <w:tab w:val="clear" w:pos="8307"/>
        </w:tabs>
      </w:pPr>
      <w:r w:rsidRPr="00806D7E">
        <w:rPr>
          <w:rStyle w:val="CharChapNo"/>
        </w:rPr>
        <w:t xml:space="preserve"> </w:t>
      </w:r>
      <w:r w:rsidRPr="00806D7E">
        <w:rPr>
          <w:rStyle w:val="CharChapText"/>
        </w:rPr>
        <w:t xml:space="preserve"> </w:t>
      </w:r>
    </w:p>
    <w:p w:rsidR="00056181" w:rsidRPr="00806D7E" w:rsidRDefault="00056181" w:rsidP="00056181">
      <w:pPr>
        <w:pStyle w:val="Header"/>
        <w:tabs>
          <w:tab w:val="clear" w:pos="4150"/>
          <w:tab w:val="clear" w:pos="8307"/>
        </w:tabs>
      </w:pPr>
      <w:r w:rsidRPr="00806D7E">
        <w:rPr>
          <w:rStyle w:val="CharPartNo"/>
        </w:rPr>
        <w:t xml:space="preserve"> </w:t>
      </w:r>
      <w:r w:rsidRPr="00806D7E">
        <w:rPr>
          <w:rStyle w:val="CharPartText"/>
        </w:rPr>
        <w:t xml:space="preserve"> </w:t>
      </w:r>
    </w:p>
    <w:p w:rsidR="00056181" w:rsidRPr="00806D7E" w:rsidRDefault="00056181" w:rsidP="00056181">
      <w:pPr>
        <w:pStyle w:val="Header"/>
        <w:tabs>
          <w:tab w:val="clear" w:pos="4150"/>
          <w:tab w:val="clear" w:pos="8307"/>
        </w:tabs>
      </w:pPr>
      <w:r w:rsidRPr="00806D7E">
        <w:rPr>
          <w:rStyle w:val="CharDivNo"/>
        </w:rPr>
        <w:t xml:space="preserve"> </w:t>
      </w:r>
      <w:r w:rsidRPr="00806D7E">
        <w:rPr>
          <w:rStyle w:val="CharDivText"/>
        </w:rPr>
        <w:t xml:space="preserve"> </w:t>
      </w:r>
    </w:p>
    <w:p w:rsidR="00056181" w:rsidRPr="00F669DA" w:rsidRDefault="00056181" w:rsidP="00056181">
      <w:pPr>
        <w:sectPr w:rsidR="00056181" w:rsidRPr="00F669DA" w:rsidSect="00135FE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056181" w:rsidRPr="00F669DA" w:rsidRDefault="00056181" w:rsidP="00056181">
      <w:pPr>
        <w:rPr>
          <w:sz w:val="36"/>
        </w:rPr>
      </w:pPr>
      <w:r w:rsidRPr="00F669DA">
        <w:rPr>
          <w:sz w:val="36"/>
        </w:rPr>
        <w:lastRenderedPageBreak/>
        <w:t>Contents</w:t>
      </w:r>
    </w:p>
    <w:bookmarkStart w:id="0" w:name="BKCheck15B_1"/>
    <w:bookmarkEnd w:id="0"/>
    <w:p w:rsidR="00F51041" w:rsidRDefault="00F5104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51041">
        <w:rPr>
          <w:noProof/>
        </w:rPr>
        <w:tab/>
      </w:r>
      <w:r w:rsidRPr="00F51041">
        <w:rPr>
          <w:noProof/>
        </w:rPr>
        <w:fldChar w:fldCharType="begin"/>
      </w:r>
      <w:r w:rsidRPr="00F51041">
        <w:rPr>
          <w:noProof/>
        </w:rPr>
        <w:instrText xml:space="preserve"> PAGEREF _Toc41406003 \h </w:instrText>
      </w:r>
      <w:r w:rsidRPr="00F51041">
        <w:rPr>
          <w:noProof/>
        </w:rPr>
      </w:r>
      <w:r w:rsidRPr="00F51041">
        <w:rPr>
          <w:noProof/>
        </w:rPr>
        <w:fldChar w:fldCharType="separate"/>
      </w:r>
      <w:r w:rsidR="00EE2A72">
        <w:rPr>
          <w:noProof/>
        </w:rPr>
        <w:t>1</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2</w:t>
      </w:r>
      <w:r>
        <w:rPr>
          <w:noProof/>
        </w:rPr>
        <w:tab/>
        <w:t>Commencement</w:t>
      </w:r>
      <w:r w:rsidRPr="00F51041">
        <w:rPr>
          <w:noProof/>
        </w:rPr>
        <w:tab/>
      </w:r>
      <w:r w:rsidRPr="00F51041">
        <w:rPr>
          <w:noProof/>
        </w:rPr>
        <w:fldChar w:fldCharType="begin"/>
      </w:r>
      <w:r w:rsidRPr="00F51041">
        <w:rPr>
          <w:noProof/>
        </w:rPr>
        <w:instrText xml:space="preserve"> PAGEREF _Toc41406004 \h </w:instrText>
      </w:r>
      <w:r w:rsidRPr="00F51041">
        <w:rPr>
          <w:noProof/>
        </w:rPr>
      </w:r>
      <w:r w:rsidRPr="00F51041">
        <w:rPr>
          <w:noProof/>
        </w:rPr>
        <w:fldChar w:fldCharType="separate"/>
      </w:r>
      <w:r w:rsidR="00EE2A72">
        <w:rPr>
          <w:noProof/>
        </w:rPr>
        <w:t>2</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3</w:t>
      </w:r>
      <w:r>
        <w:rPr>
          <w:noProof/>
        </w:rPr>
        <w:tab/>
        <w:t>Definitions</w:t>
      </w:r>
      <w:r w:rsidRPr="00F51041">
        <w:rPr>
          <w:noProof/>
        </w:rPr>
        <w:tab/>
      </w:r>
      <w:r w:rsidRPr="00F51041">
        <w:rPr>
          <w:noProof/>
        </w:rPr>
        <w:fldChar w:fldCharType="begin"/>
      </w:r>
      <w:r w:rsidRPr="00F51041">
        <w:rPr>
          <w:noProof/>
        </w:rPr>
        <w:instrText xml:space="preserve"> PAGEREF _Toc41406005 \h </w:instrText>
      </w:r>
      <w:r w:rsidRPr="00F51041">
        <w:rPr>
          <w:noProof/>
        </w:rPr>
      </w:r>
      <w:r w:rsidRPr="00F51041">
        <w:rPr>
          <w:noProof/>
        </w:rPr>
        <w:fldChar w:fldCharType="separate"/>
      </w:r>
      <w:r w:rsidR="00EE2A72">
        <w:rPr>
          <w:noProof/>
        </w:rPr>
        <w:t>2</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F51041">
        <w:rPr>
          <w:noProof/>
        </w:rPr>
        <w:tab/>
      </w:r>
      <w:r w:rsidRPr="00F51041">
        <w:rPr>
          <w:noProof/>
        </w:rPr>
        <w:fldChar w:fldCharType="begin"/>
      </w:r>
      <w:r w:rsidRPr="00F51041">
        <w:rPr>
          <w:noProof/>
        </w:rPr>
        <w:instrText xml:space="preserve"> PAGEREF _Toc41406006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5</w:t>
      </w:r>
      <w:r>
        <w:rPr>
          <w:noProof/>
        </w:rPr>
        <w:tab/>
        <w:t>Act to bind Crown</w:t>
      </w:r>
      <w:r w:rsidRPr="00F51041">
        <w:rPr>
          <w:noProof/>
        </w:rPr>
        <w:tab/>
      </w:r>
      <w:r w:rsidRPr="00F51041">
        <w:rPr>
          <w:noProof/>
        </w:rPr>
        <w:fldChar w:fldCharType="begin"/>
      </w:r>
      <w:r w:rsidRPr="00F51041">
        <w:rPr>
          <w:noProof/>
        </w:rPr>
        <w:instrText xml:space="preserve"> PAGEREF _Toc41406007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6</w:t>
      </w:r>
      <w:r>
        <w:rPr>
          <w:noProof/>
        </w:rPr>
        <w:tab/>
        <w:t>Imposition of charge</w:t>
      </w:r>
      <w:r w:rsidRPr="00F51041">
        <w:rPr>
          <w:noProof/>
        </w:rPr>
        <w:tab/>
      </w:r>
      <w:r w:rsidRPr="00F51041">
        <w:rPr>
          <w:noProof/>
        </w:rPr>
        <w:fldChar w:fldCharType="begin"/>
      </w:r>
      <w:r w:rsidRPr="00F51041">
        <w:rPr>
          <w:noProof/>
        </w:rPr>
        <w:instrText xml:space="preserve"> PAGEREF _Toc41406008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7</w:t>
      </w:r>
      <w:r>
        <w:rPr>
          <w:noProof/>
        </w:rPr>
        <w:tab/>
        <w:t>Amount of charge</w:t>
      </w:r>
      <w:r w:rsidRPr="00F51041">
        <w:rPr>
          <w:noProof/>
        </w:rPr>
        <w:tab/>
      </w:r>
      <w:r w:rsidRPr="00F51041">
        <w:rPr>
          <w:noProof/>
        </w:rPr>
        <w:fldChar w:fldCharType="begin"/>
      </w:r>
      <w:r w:rsidRPr="00F51041">
        <w:rPr>
          <w:noProof/>
        </w:rPr>
        <w:instrText xml:space="preserve"> PAGEREF _Toc41406009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8</w:t>
      </w:r>
      <w:r>
        <w:rPr>
          <w:noProof/>
        </w:rPr>
        <w:tab/>
        <w:t>Person liable to pay charge</w:t>
      </w:r>
      <w:r w:rsidRPr="00F51041">
        <w:rPr>
          <w:noProof/>
        </w:rPr>
        <w:tab/>
      </w:r>
      <w:r w:rsidRPr="00F51041">
        <w:rPr>
          <w:noProof/>
        </w:rPr>
        <w:fldChar w:fldCharType="begin"/>
      </w:r>
      <w:r w:rsidRPr="00F51041">
        <w:rPr>
          <w:noProof/>
        </w:rPr>
        <w:instrText xml:space="preserve"> PAGEREF _Toc41406010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9</w:t>
      </w:r>
      <w:r>
        <w:rPr>
          <w:noProof/>
        </w:rPr>
        <w:tab/>
        <w:t>Annual chargeable premises amount</w:t>
      </w:r>
      <w:r w:rsidRPr="00F51041">
        <w:rPr>
          <w:noProof/>
        </w:rPr>
        <w:tab/>
      </w:r>
      <w:r w:rsidRPr="00F51041">
        <w:rPr>
          <w:noProof/>
        </w:rPr>
        <w:fldChar w:fldCharType="begin"/>
      </w:r>
      <w:r w:rsidRPr="00F51041">
        <w:rPr>
          <w:noProof/>
        </w:rPr>
        <w:instrText xml:space="preserve"> PAGEREF _Toc41406011 \h </w:instrText>
      </w:r>
      <w:r w:rsidRPr="00F51041">
        <w:rPr>
          <w:noProof/>
        </w:rPr>
      </w:r>
      <w:r w:rsidRPr="00F51041">
        <w:rPr>
          <w:noProof/>
        </w:rPr>
        <w:fldChar w:fldCharType="separate"/>
      </w:r>
      <w:r w:rsidR="00EE2A72">
        <w:rPr>
          <w:noProof/>
        </w:rPr>
        <w:t>5</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10</w:t>
      </w:r>
      <w:r>
        <w:rPr>
          <w:noProof/>
        </w:rPr>
        <w:tab/>
        <w:t>Annual base amount</w:t>
      </w:r>
      <w:r w:rsidRPr="00F51041">
        <w:rPr>
          <w:noProof/>
        </w:rPr>
        <w:tab/>
      </w:r>
      <w:r w:rsidRPr="00F51041">
        <w:rPr>
          <w:noProof/>
        </w:rPr>
        <w:fldChar w:fldCharType="begin"/>
      </w:r>
      <w:r w:rsidRPr="00F51041">
        <w:rPr>
          <w:noProof/>
        </w:rPr>
        <w:instrText xml:space="preserve"> PAGEREF _Toc41406012 \h </w:instrText>
      </w:r>
      <w:r w:rsidRPr="00F51041">
        <w:rPr>
          <w:noProof/>
        </w:rPr>
      </w:r>
      <w:r w:rsidRPr="00F51041">
        <w:rPr>
          <w:noProof/>
        </w:rPr>
        <w:fldChar w:fldCharType="separate"/>
      </w:r>
      <w:r w:rsidR="00EE2A72">
        <w:rPr>
          <w:noProof/>
        </w:rPr>
        <w:t>6</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11</w:t>
      </w:r>
      <w:r>
        <w:rPr>
          <w:noProof/>
        </w:rPr>
        <w:tab/>
        <w:t>Monthly base amount</w:t>
      </w:r>
      <w:r w:rsidRPr="00F51041">
        <w:rPr>
          <w:noProof/>
        </w:rPr>
        <w:tab/>
      </w:r>
      <w:r w:rsidRPr="00F51041">
        <w:rPr>
          <w:noProof/>
        </w:rPr>
        <w:fldChar w:fldCharType="begin"/>
      </w:r>
      <w:r w:rsidRPr="00F51041">
        <w:rPr>
          <w:noProof/>
        </w:rPr>
        <w:instrText xml:space="preserve"> PAGEREF _Toc41406013 \h </w:instrText>
      </w:r>
      <w:r w:rsidRPr="00F51041">
        <w:rPr>
          <w:noProof/>
        </w:rPr>
      </w:r>
      <w:r w:rsidRPr="00F51041">
        <w:rPr>
          <w:noProof/>
        </w:rPr>
        <w:fldChar w:fldCharType="separate"/>
      </w:r>
      <w:r w:rsidR="00EE2A72">
        <w:rPr>
          <w:noProof/>
        </w:rPr>
        <w:t>6</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12</w:t>
      </w:r>
      <w:r>
        <w:rPr>
          <w:noProof/>
        </w:rPr>
        <w:tab/>
        <w:t>Base component</w:t>
      </w:r>
      <w:r w:rsidRPr="00F51041">
        <w:rPr>
          <w:noProof/>
        </w:rPr>
        <w:tab/>
      </w:r>
      <w:r w:rsidRPr="00F51041">
        <w:rPr>
          <w:noProof/>
        </w:rPr>
        <w:fldChar w:fldCharType="begin"/>
      </w:r>
      <w:r w:rsidRPr="00F51041">
        <w:rPr>
          <w:noProof/>
        </w:rPr>
        <w:instrText xml:space="preserve"> PAGEREF _Toc41406014 \h </w:instrText>
      </w:r>
      <w:r w:rsidRPr="00F51041">
        <w:rPr>
          <w:noProof/>
        </w:rPr>
      </w:r>
      <w:r w:rsidRPr="00F51041">
        <w:rPr>
          <w:noProof/>
        </w:rPr>
        <w:fldChar w:fldCharType="separate"/>
      </w:r>
      <w:r w:rsidR="00EE2A72">
        <w:rPr>
          <w:noProof/>
        </w:rPr>
        <w:t>7</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13</w:t>
      </w:r>
      <w:r>
        <w:rPr>
          <w:noProof/>
        </w:rPr>
        <w:tab/>
        <w:t>Advice by the ACCC about base component</w:t>
      </w:r>
      <w:r w:rsidRPr="00F51041">
        <w:rPr>
          <w:noProof/>
        </w:rPr>
        <w:tab/>
      </w:r>
      <w:r w:rsidRPr="00F51041">
        <w:rPr>
          <w:noProof/>
        </w:rPr>
        <w:fldChar w:fldCharType="begin"/>
      </w:r>
      <w:r w:rsidRPr="00F51041">
        <w:rPr>
          <w:noProof/>
        </w:rPr>
        <w:instrText xml:space="preserve"> PAGEREF _Toc41406015 \h </w:instrText>
      </w:r>
      <w:r w:rsidRPr="00F51041">
        <w:rPr>
          <w:noProof/>
        </w:rPr>
      </w:r>
      <w:r w:rsidRPr="00F51041">
        <w:rPr>
          <w:noProof/>
        </w:rPr>
        <w:fldChar w:fldCharType="separate"/>
      </w:r>
      <w:r w:rsidR="00EE2A72">
        <w:rPr>
          <w:noProof/>
        </w:rPr>
        <w:t>8</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14</w:t>
      </w:r>
      <w:r>
        <w:rPr>
          <w:noProof/>
        </w:rPr>
        <w:tab/>
        <w:t>Annual administrative cost amount</w:t>
      </w:r>
      <w:r w:rsidRPr="00F51041">
        <w:rPr>
          <w:noProof/>
        </w:rPr>
        <w:tab/>
      </w:r>
      <w:r w:rsidRPr="00F51041">
        <w:rPr>
          <w:noProof/>
        </w:rPr>
        <w:fldChar w:fldCharType="begin"/>
      </w:r>
      <w:r w:rsidRPr="00F51041">
        <w:rPr>
          <w:noProof/>
        </w:rPr>
        <w:instrText xml:space="preserve"> PAGEREF _Toc41406016 \h </w:instrText>
      </w:r>
      <w:r w:rsidRPr="00F51041">
        <w:rPr>
          <w:noProof/>
        </w:rPr>
      </w:r>
      <w:r w:rsidRPr="00F51041">
        <w:rPr>
          <w:noProof/>
        </w:rPr>
        <w:fldChar w:fldCharType="separate"/>
      </w:r>
      <w:r w:rsidR="00EE2A72">
        <w:rPr>
          <w:noProof/>
        </w:rPr>
        <w:t>9</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15</w:t>
      </w:r>
      <w:r>
        <w:rPr>
          <w:noProof/>
        </w:rPr>
        <w:tab/>
        <w:t>Monthly administrative cost amount</w:t>
      </w:r>
      <w:r w:rsidRPr="00F51041">
        <w:rPr>
          <w:noProof/>
        </w:rPr>
        <w:tab/>
      </w:r>
      <w:r w:rsidRPr="00F51041">
        <w:rPr>
          <w:noProof/>
        </w:rPr>
        <w:fldChar w:fldCharType="begin"/>
      </w:r>
      <w:r w:rsidRPr="00F51041">
        <w:rPr>
          <w:noProof/>
        </w:rPr>
        <w:instrText xml:space="preserve"> PAGEREF _Toc41406017 \h </w:instrText>
      </w:r>
      <w:r w:rsidRPr="00F51041">
        <w:rPr>
          <w:noProof/>
        </w:rPr>
      </w:r>
      <w:r w:rsidRPr="00F51041">
        <w:rPr>
          <w:noProof/>
        </w:rPr>
        <w:fldChar w:fldCharType="separate"/>
      </w:r>
      <w:r w:rsidR="00EE2A72">
        <w:rPr>
          <w:noProof/>
        </w:rPr>
        <w:t>10</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16</w:t>
      </w:r>
      <w:r>
        <w:rPr>
          <w:noProof/>
        </w:rPr>
        <w:tab/>
        <w:t>Administrative cost component</w:t>
      </w:r>
      <w:r w:rsidRPr="00F51041">
        <w:rPr>
          <w:noProof/>
        </w:rPr>
        <w:tab/>
      </w:r>
      <w:r w:rsidRPr="00F51041">
        <w:rPr>
          <w:noProof/>
        </w:rPr>
        <w:fldChar w:fldCharType="begin"/>
      </w:r>
      <w:r w:rsidRPr="00F51041">
        <w:rPr>
          <w:noProof/>
        </w:rPr>
        <w:instrText xml:space="preserve"> PAGEREF _Toc41406018 \h </w:instrText>
      </w:r>
      <w:r w:rsidRPr="00F51041">
        <w:rPr>
          <w:noProof/>
        </w:rPr>
      </w:r>
      <w:r w:rsidRPr="00F51041">
        <w:rPr>
          <w:noProof/>
        </w:rPr>
        <w:fldChar w:fldCharType="separate"/>
      </w:r>
      <w:r w:rsidR="00EE2A72">
        <w:rPr>
          <w:noProof/>
        </w:rPr>
        <w:t>10</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17</w:t>
      </w:r>
      <w:r>
        <w:rPr>
          <w:noProof/>
        </w:rPr>
        <w:tab/>
        <w:t>Advice by the ACCC about administrative cost component</w:t>
      </w:r>
      <w:r w:rsidRPr="00F51041">
        <w:rPr>
          <w:noProof/>
        </w:rPr>
        <w:tab/>
      </w:r>
      <w:r w:rsidRPr="00F51041">
        <w:rPr>
          <w:noProof/>
        </w:rPr>
        <w:fldChar w:fldCharType="begin"/>
      </w:r>
      <w:r w:rsidRPr="00F51041">
        <w:rPr>
          <w:noProof/>
        </w:rPr>
        <w:instrText xml:space="preserve"> PAGEREF _Toc41406019 \h </w:instrText>
      </w:r>
      <w:r w:rsidRPr="00F51041">
        <w:rPr>
          <w:noProof/>
        </w:rPr>
      </w:r>
      <w:r w:rsidRPr="00F51041">
        <w:rPr>
          <w:noProof/>
        </w:rPr>
        <w:fldChar w:fldCharType="separate"/>
      </w:r>
      <w:r w:rsidR="00EE2A72">
        <w:rPr>
          <w:noProof/>
        </w:rPr>
        <w:t>12</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17A</w:t>
      </w:r>
      <w:r>
        <w:rPr>
          <w:noProof/>
        </w:rPr>
        <w:tab/>
        <w:t>Combined component cap</w:t>
      </w:r>
      <w:r w:rsidRPr="00F51041">
        <w:rPr>
          <w:noProof/>
        </w:rPr>
        <w:tab/>
      </w:r>
      <w:r w:rsidRPr="00F51041">
        <w:rPr>
          <w:noProof/>
        </w:rPr>
        <w:fldChar w:fldCharType="begin"/>
      </w:r>
      <w:r w:rsidRPr="00F51041">
        <w:rPr>
          <w:noProof/>
        </w:rPr>
        <w:instrText xml:space="preserve"> PAGEREF _Toc41406020 \h </w:instrText>
      </w:r>
      <w:r w:rsidRPr="00F51041">
        <w:rPr>
          <w:noProof/>
        </w:rPr>
      </w:r>
      <w:r w:rsidRPr="00F51041">
        <w:rPr>
          <w:noProof/>
        </w:rPr>
        <w:fldChar w:fldCharType="separate"/>
      </w:r>
      <w:r w:rsidR="00EE2A72">
        <w:rPr>
          <w:noProof/>
        </w:rPr>
        <w:t>13</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18</w:t>
      </w:r>
      <w:r>
        <w:rPr>
          <w:noProof/>
        </w:rPr>
        <w:tab/>
        <w:t>Indexation factor</w:t>
      </w:r>
      <w:r w:rsidRPr="00F51041">
        <w:rPr>
          <w:noProof/>
        </w:rPr>
        <w:tab/>
      </w:r>
      <w:r w:rsidRPr="00F51041">
        <w:rPr>
          <w:noProof/>
        </w:rPr>
        <w:fldChar w:fldCharType="begin"/>
      </w:r>
      <w:r w:rsidRPr="00F51041">
        <w:rPr>
          <w:noProof/>
        </w:rPr>
        <w:instrText xml:space="preserve"> PAGEREF _Toc41406021 \h </w:instrText>
      </w:r>
      <w:r w:rsidRPr="00F51041">
        <w:rPr>
          <w:noProof/>
        </w:rPr>
      </w:r>
      <w:r w:rsidRPr="00F51041">
        <w:rPr>
          <w:noProof/>
        </w:rPr>
        <w:fldChar w:fldCharType="separate"/>
      </w:r>
      <w:r w:rsidR="00EE2A72">
        <w:rPr>
          <w:noProof/>
        </w:rPr>
        <w:t>14</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19</w:t>
      </w:r>
      <w:r>
        <w:rPr>
          <w:noProof/>
        </w:rPr>
        <w:tab/>
        <w:t>Disallowance of determinations</w:t>
      </w:r>
      <w:r w:rsidRPr="00F51041">
        <w:rPr>
          <w:noProof/>
        </w:rPr>
        <w:tab/>
      </w:r>
      <w:r w:rsidRPr="00F51041">
        <w:rPr>
          <w:noProof/>
        </w:rPr>
        <w:fldChar w:fldCharType="begin"/>
      </w:r>
      <w:r w:rsidRPr="00F51041">
        <w:rPr>
          <w:noProof/>
        </w:rPr>
        <w:instrText xml:space="preserve"> PAGEREF _Toc41406022 \h </w:instrText>
      </w:r>
      <w:r w:rsidRPr="00F51041">
        <w:rPr>
          <w:noProof/>
        </w:rPr>
      </w:r>
      <w:r w:rsidRPr="00F51041">
        <w:rPr>
          <w:noProof/>
        </w:rPr>
        <w:fldChar w:fldCharType="separate"/>
      </w:r>
      <w:r w:rsidR="00EE2A72">
        <w:rPr>
          <w:noProof/>
        </w:rPr>
        <w:t>14</w:t>
      </w:r>
      <w:r w:rsidRPr="00F51041">
        <w:rPr>
          <w:noProof/>
        </w:rPr>
        <w:fldChar w:fldCharType="end"/>
      </w:r>
    </w:p>
    <w:p w:rsidR="00F51041" w:rsidRDefault="00F51041">
      <w:pPr>
        <w:pStyle w:val="TOC5"/>
        <w:rPr>
          <w:rFonts w:asciiTheme="minorHAnsi" w:eastAsiaTheme="minorEastAsia" w:hAnsiTheme="minorHAnsi" w:cstheme="minorBidi"/>
          <w:noProof/>
          <w:kern w:val="0"/>
          <w:sz w:val="22"/>
          <w:szCs w:val="22"/>
        </w:rPr>
      </w:pPr>
      <w:r>
        <w:rPr>
          <w:noProof/>
        </w:rPr>
        <w:t>20</w:t>
      </w:r>
      <w:r>
        <w:rPr>
          <w:noProof/>
        </w:rPr>
        <w:tab/>
        <w:t>Transitional—reduction in total number of chargeable premises</w:t>
      </w:r>
      <w:r w:rsidRPr="00F51041">
        <w:rPr>
          <w:noProof/>
        </w:rPr>
        <w:tab/>
      </w:r>
      <w:r w:rsidRPr="00F51041">
        <w:rPr>
          <w:noProof/>
        </w:rPr>
        <w:fldChar w:fldCharType="begin"/>
      </w:r>
      <w:r w:rsidRPr="00F51041">
        <w:rPr>
          <w:noProof/>
        </w:rPr>
        <w:instrText xml:space="preserve"> PAGEREF _Toc41406023 \h </w:instrText>
      </w:r>
      <w:r w:rsidRPr="00F51041">
        <w:rPr>
          <w:noProof/>
        </w:rPr>
      </w:r>
      <w:r w:rsidRPr="00F51041">
        <w:rPr>
          <w:noProof/>
        </w:rPr>
        <w:fldChar w:fldCharType="separate"/>
      </w:r>
      <w:r w:rsidR="00EE2A72">
        <w:rPr>
          <w:noProof/>
        </w:rPr>
        <w:t>16</w:t>
      </w:r>
      <w:r w:rsidRPr="00F51041">
        <w:rPr>
          <w:noProof/>
        </w:rPr>
        <w:fldChar w:fldCharType="end"/>
      </w:r>
    </w:p>
    <w:p w:rsidR="00056181" w:rsidRPr="00F669DA" w:rsidRDefault="00F51041" w:rsidP="00056181">
      <w:pPr>
        <w:sectPr w:rsidR="00056181" w:rsidRPr="00F669DA" w:rsidSect="00135FE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135FE1" w:rsidRDefault="00135FE1">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2018960" r:id="rId21"/>
        </w:object>
      </w:r>
    </w:p>
    <w:p w:rsidR="00135FE1" w:rsidRDefault="00135FE1"/>
    <w:p w:rsidR="00135FE1" w:rsidRDefault="00135FE1" w:rsidP="00135FE1">
      <w:pPr>
        <w:spacing w:line="240" w:lineRule="auto"/>
      </w:pPr>
    </w:p>
    <w:p w:rsidR="00135FE1" w:rsidRDefault="00F51041" w:rsidP="00135FE1">
      <w:pPr>
        <w:pStyle w:val="ShortTP1"/>
      </w:pPr>
      <w:fldSimple w:instr=" STYLEREF ShortT ">
        <w:r w:rsidR="00EE2A72">
          <w:rPr>
            <w:noProof/>
          </w:rPr>
          <w:t>Telecommunications (Regional Broadband Scheme) Charge Act 2020</w:t>
        </w:r>
      </w:fldSimple>
    </w:p>
    <w:p w:rsidR="00135FE1" w:rsidRDefault="00F51041" w:rsidP="00135FE1">
      <w:pPr>
        <w:pStyle w:val="ActNoP1"/>
      </w:pPr>
      <w:fldSimple w:instr=" STYLEREF Actno ">
        <w:r w:rsidR="00EE2A72">
          <w:rPr>
            <w:noProof/>
          </w:rPr>
          <w:t>No. 48, 2020</w:t>
        </w:r>
      </w:fldSimple>
    </w:p>
    <w:p w:rsidR="00135FE1" w:rsidRPr="009A0728" w:rsidRDefault="00135FE1" w:rsidP="009A0728">
      <w:pPr>
        <w:pBdr>
          <w:bottom w:val="single" w:sz="6" w:space="0" w:color="auto"/>
        </w:pBdr>
        <w:spacing w:before="400" w:line="240" w:lineRule="auto"/>
        <w:rPr>
          <w:rFonts w:eastAsia="Times New Roman"/>
          <w:b/>
          <w:sz w:val="28"/>
        </w:rPr>
      </w:pPr>
    </w:p>
    <w:p w:rsidR="00135FE1" w:rsidRPr="009A0728" w:rsidRDefault="00135FE1" w:rsidP="009A0728">
      <w:pPr>
        <w:spacing w:line="40" w:lineRule="exact"/>
        <w:rPr>
          <w:rFonts w:eastAsia="Calibri"/>
          <w:b/>
          <w:sz w:val="28"/>
        </w:rPr>
      </w:pPr>
    </w:p>
    <w:p w:rsidR="00135FE1" w:rsidRPr="009A0728" w:rsidRDefault="00135FE1" w:rsidP="009A0728">
      <w:pPr>
        <w:pBdr>
          <w:top w:val="single" w:sz="12" w:space="0" w:color="auto"/>
        </w:pBdr>
        <w:spacing w:line="240" w:lineRule="auto"/>
        <w:rPr>
          <w:rFonts w:eastAsia="Times New Roman"/>
          <w:b/>
          <w:sz w:val="28"/>
        </w:rPr>
      </w:pPr>
    </w:p>
    <w:p w:rsidR="00056181" w:rsidRPr="00F669DA" w:rsidRDefault="00135FE1" w:rsidP="00806D7E">
      <w:pPr>
        <w:pStyle w:val="Page1"/>
      </w:pPr>
      <w:r>
        <w:t>An Act</w:t>
      </w:r>
      <w:r w:rsidR="00806D7E" w:rsidRPr="00F669DA">
        <w:t xml:space="preserve"> to impose a charge to support the funding of fixed wireless broadband and satellite broadband, and for related purposes</w:t>
      </w:r>
    </w:p>
    <w:p w:rsidR="00A41FC5" w:rsidRPr="00A41FC5" w:rsidRDefault="00A41FC5" w:rsidP="00A41FC5">
      <w:pPr>
        <w:pStyle w:val="AssentDt"/>
        <w:spacing w:before="240"/>
        <w:rPr>
          <w:sz w:val="24"/>
        </w:rPr>
      </w:pPr>
      <w:r>
        <w:rPr>
          <w:sz w:val="24"/>
        </w:rPr>
        <w:t>[</w:t>
      </w:r>
      <w:r>
        <w:rPr>
          <w:i/>
          <w:sz w:val="24"/>
        </w:rPr>
        <w:t>Assented to 25 May 2020</w:t>
      </w:r>
      <w:r>
        <w:rPr>
          <w:sz w:val="24"/>
        </w:rPr>
        <w:t>]</w:t>
      </w:r>
    </w:p>
    <w:p w:rsidR="00056181" w:rsidRPr="00F669DA" w:rsidRDefault="00056181" w:rsidP="00F669DA">
      <w:pPr>
        <w:spacing w:before="240" w:line="240" w:lineRule="auto"/>
        <w:rPr>
          <w:sz w:val="32"/>
        </w:rPr>
      </w:pPr>
      <w:r w:rsidRPr="00F669DA">
        <w:rPr>
          <w:sz w:val="32"/>
        </w:rPr>
        <w:t>The Parliament of Australia enacts:</w:t>
      </w:r>
    </w:p>
    <w:p w:rsidR="00056181" w:rsidRPr="00F669DA" w:rsidRDefault="00056181" w:rsidP="00F669DA">
      <w:pPr>
        <w:pStyle w:val="ActHead5"/>
      </w:pPr>
      <w:bookmarkStart w:id="1" w:name="_Toc41406003"/>
      <w:r w:rsidRPr="00806D7E">
        <w:rPr>
          <w:rStyle w:val="CharSectno"/>
        </w:rPr>
        <w:t>1</w:t>
      </w:r>
      <w:r w:rsidRPr="00F669DA">
        <w:t xml:space="preserve">  Short title</w:t>
      </w:r>
      <w:bookmarkEnd w:id="1"/>
    </w:p>
    <w:p w:rsidR="00056181" w:rsidRPr="00F669DA" w:rsidRDefault="00056181" w:rsidP="00F669DA">
      <w:pPr>
        <w:pStyle w:val="subsection"/>
      </w:pPr>
      <w:r w:rsidRPr="00F669DA">
        <w:tab/>
      </w:r>
      <w:r w:rsidRPr="00F669DA">
        <w:tab/>
        <w:t xml:space="preserve">This Act is the </w:t>
      </w:r>
      <w:r w:rsidRPr="00F669DA">
        <w:rPr>
          <w:i/>
          <w:color w:val="000000"/>
        </w:rPr>
        <w:t xml:space="preserve">Telecommunications (Regional Broadband Scheme) Charge Act </w:t>
      </w:r>
      <w:r w:rsidR="00D54B4E" w:rsidRPr="00F669DA">
        <w:rPr>
          <w:i/>
          <w:color w:val="000000"/>
        </w:rPr>
        <w:t>20</w:t>
      </w:r>
      <w:r w:rsidR="00D54B4E">
        <w:rPr>
          <w:i/>
          <w:color w:val="000000"/>
        </w:rPr>
        <w:t>20</w:t>
      </w:r>
      <w:r w:rsidRPr="00F669DA">
        <w:rPr>
          <w:i/>
          <w:color w:val="000000"/>
        </w:rPr>
        <w:t>.</w:t>
      </w:r>
    </w:p>
    <w:p w:rsidR="00056181" w:rsidRPr="00F669DA" w:rsidRDefault="00056181" w:rsidP="00F669DA">
      <w:pPr>
        <w:pStyle w:val="ActHead5"/>
      </w:pPr>
      <w:bookmarkStart w:id="2" w:name="_Toc41406004"/>
      <w:r w:rsidRPr="00806D7E">
        <w:rPr>
          <w:rStyle w:val="CharSectno"/>
        </w:rPr>
        <w:lastRenderedPageBreak/>
        <w:t>2</w:t>
      </w:r>
      <w:r w:rsidRPr="00F669DA">
        <w:t xml:space="preserve">  Commencement</w:t>
      </w:r>
      <w:bookmarkEnd w:id="2"/>
    </w:p>
    <w:p w:rsidR="00056181" w:rsidRPr="00F669DA" w:rsidRDefault="00056181" w:rsidP="00F669DA">
      <w:pPr>
        <w:pStyle w:val="subsection"/>
      </w:pPr>
      <w:r w:rsidRPr="00F669DA">
        <w:tab/>
        <w:t>(1)</w:t>
      </w:r>
      <w:r w:rsidRPr="00F669DA">
        <w:tab/>
        <w:t>Each provision of this Act specified in column 1 of the table commences, or is taken to have commenced, in accordance with column 2 of the table. Any other statement in column 2 has effect according to its terms.</w:t>
      </w:r>
    </w:p>
    <w:p w:rsidR="00056181" w:rsidRPr="00F669DA" w:rsidRDefault="00056181" w:rsidP="00F669D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56181" w:rsidRPr="00F669DA" w:rsidTr="008A5E21">
        <w:trPr>
          <w:tblHeader/>
        </w:trPr>
        <w:tc>
          <w:tcPr>
            <w:tcW w:w="7111" w:type="dxa"/>
            <w:gridSpan w:val="3"/>
            <w:tcBorders>
              <w:top w:val="single" w:sz="12" w:space="0" w:color="auto"/>
              <w:bottom w:val="single" w:sz="6" w:space="0" w:color="auto"/>
            </w:tcBorders>
            <w:shd w:val="clear" w:color="auto" w:fill="auto"/>
          </w:tcPr>
          <w:p w:rsidR="00056181" w:rsidRPr="00F669DA" w:rsidRDefault="00056181" w:rsidP="00F669DA">
            <w:pPr>
              <w:pStyle w:val="TableHeading"/>
            </w:pPr>
            <w:r w:rsidRPr="00F669DA">
              <w:t>Commencement information</w:t>
            </w:r>
          </w:p>
        </w:tc>
      </w:tr>
      <w:tr w:rsidR="00056181" w:rsidRPr="00F669DA" w:rsidTr="008A5E21">
        <w:trPr>
          <w:tblHeader/>
        </w:trPr>
        <w:tc>
          <w:tcPr>
            <w:tcW w:w="1701" w:type="dxa"/>
            <w:tcBorders>
              <w:top w:val="single" w:sz="6" w:space="0" w:color="auto"/>
              <w:bottom w:val="single" w:sz="6" w:space="0" w:color="auto"/>
            </w:tcBorders>
            <w:shd w:val="clear" w:color="auto" w:fill="auto"/>
          </w:tcPr>
          <w:p w:rsidR="00056181" w:rsidRPr="00F669DA" w:rsidRDefault="00056181" w:rsidP="00F669DA">
            <w:pPr>
              <w:pStyle w:val="TableHeading"/>
            </w:pPr>
            <w:r w:rsidRPr="00F669DA">
              <w:t>Column 1</w:t>
            </w:r>
          </w:p>
        </w:tc>
        <w:tc>
          <w:tcPr>
            <w:tcW w:w="3828" w:type="dxa"/>
            <w:tcBorders>
              <w:top w:val="single" w:sz="6" w:space="0" w:color="auto"/>
              <w:bottom w:val="single" w:sz="6" w:space="0" w:color="auto"/>
            </w:tcBorders>
            <w:shd w:val="clear" w:color="auto" w:fill="auto"/>
          </w:tcPr>
          <w:p w:rsidR="00056181" w:rsidRPr="00F669DA" w:rsidRDefault="00056181" w:rsidP="00F669DA">
            <w:pPr>
              <w:pStyle w:val="TableHeading"/>
            </w:pPr>
            <w:r w:rsidRPr="00F669DA">
              <w:t>Column 2</w:t>
            </w:r>
          </w:p>
        </w:tc>
        <w:tc>
          <w:tcPr>
            <w:tcW w:w="1582" w:type="dxa"/>
            <w:tcBorders>
              <w:top w:val="single" w:sz="6" w:space="0" w:color="auto"/>
              <w:bottom w:val="single" w:sz="6" w:space="0" w:color="auto"/>
            </w:tcBorders>
            <w:shd w:val="clear" w:color="auto" w:fill="auto"/>
          </w:tcPr>
          <w:p w:rsidR="00056181" w:rsidRPr="00F669DA" w:rsidRDefault="00056181" w:rsidP="00F669DA">
            <w:pPr>
              <w:pStyle w:val="TableHeading"/>
            </w:pPr>
            <w:r w:rsidRPr="00F669DA">
              <w:t>Column 3</w:t>
            </w:r>
          </w:p>
        </w:tc>
      </w:tr>
      <w:tr w:rsidR="00056181" w:rsidRPr="00F669DA" w:rsidTr="008A5E21">
        <w:trPr>
          <w:tblHeader/>
        </w:trPr>
        <w:tc>
          <w:tcPr>
            <w:tcW w:w="1701" w:type="dxa"/>
            <w:tcBorders>
              <w:top w:val="single" w:sz="6" w:space="0" w:color="auto"/>
              <w:bottom w:val="single" w:sz="12" w:space="0" w:color="auto"/>
            </w:tcBorders>
            <w:shd w:val="clear" w:color="auto" w:fill="auto"/>
          </w:tcPr>
          <w:p w:rsidR="00056181" w:rsidRPr="00F669DA" w:rsidRDefault="00056181" w:rsidP="00F669DA">
            <w:pPr>
              <w:pStyle w:val="TableHeading"/>
            </w:pPr>
            <w:r w:rsidRPr="00F669DA">
              <w:t>Provisions</w:t>
            </w:r>
          </w:p>
        </w:tc>
        <w:tc>
          <w:tcPr>
            <w:tcW w:w="3828" w:type="dxa"/>
            <w:tcBorders>
              <w:top w:val="single" w:sz="6" w:space="0" w:color="auto"/>
              <w:bottom w:val="single" w:sz="12" w:space="0" w:color="auto"/>
            </w:tcBorders>
            <w:shd w:val="clear" w:color="auto" w:fill="auto"/>
          </w:tcPr>
          <w:p w:rsidR="00056181" w:rsidRPr="00F669DA" w:rsidRDefault="00056181" w:rsidP="00F669DA">
            <w:pPr>
              <w:pStyle w:val="TableHeading"/>
            </w:pPr>
            <w:r w:rsidRPr="00F669DA">
              <w:t>Commencement</w:t>
            </w:r>
          </w:p>
        </w:tc>
        <w:tc>
          <w:tcPr>
            <w:tcW w:w="1582" w:type="dxa"/>
            <w:tcBorders>
              <w:top w:val="single" w:sz="6" w:space="0" w:color="auto"/>
              <w:bottom w:val="single" w:sz="12" w:space="0" w:color="auto"/>
            </w:tcBorders>
            <w:shd w:val="clear" w:color="auto" w:fill="auto"/>
          </w:tcPr>
          <w:p w:rsidR="00056181" w:rsidRPr="00F669DA" w:rsidRDefault="00056181" w:rsidP="00F669DA">
            <w:pPr>
              <w:pStyle w:val="TableHeading"/>
            </w:pPr>
            <w:r w:rsidRPr="00F669DA">
              <w:t>Date/Details</w:t>
            </w:r>
          </w:p>
        </w:tc>
      </w:tr>
      <w:tr w:rsidR="00056181" w:rsidRPr="00F669DA" w:rsidTr="008A5E21">
        <w:tc>
          <w:tcPr>
            <w:tcW w:w="1701" w:type="dxa"/>
            <w:tcBorders>
              <w:top w:val="single" w:sz="12" w:space="0" w:color="auto"/>
              <w:bottom w:val="single" w:sz="2" w:space="0" w:color="auto"/>
            </w:tcBorders>
            <w:shd w:val="clear" w:color="auto" w:fill="auto"/>
          </w:tcPr>
          <w:p w:rsidR="00056181" w:rsidRPr="00F669DA" w:rsidRDefault="00056181" w:rsidP="00F669DA">
            <w:pPr>
              <w:pStyle w:val="Tabletext"/>
            </w:pPr>
            <w:r w:rsidRPr="00F669DA">
              <w:t>1.  Sections</w:t>
            </w:r>
            <w:r w:rsidR="00F669DA" w:rsidRPr="00F669DA">
              <w:t> </w:t>
            </w:r>
            <w:r w:rsidRPr="00F669DA">
              <w:t>1 and 2 and anything in this Act not elsewhere covered by this table</w:t>
            </w:r>
          </w:p>
        </w:tc>
        <w:tc>
          <w:tcPr>
            <w:tcW w:w="3828" w:type="dxa"/>
            <w:tcBorders>
              <w:top w:val="single" w:sz="12" w:space="0" w:color="auto"/>
              <w:bottom w:val="single" w:sz="2" w:space="0" w:color="auto"/>
            </w:tcBorders>
            <w:shd w:val="clear" w:color="auto" w:fill="auto"/>
          </w:tcPr>
          <w:p w:rsidR="00056181" w:rsidRPr="00F669DA" w:rsidRDefault="00056181" w:rsidP="00F669DA">
            <w:pPr>
              <w:pStyle w:val="Tabletext"/>
            </w:pPr>
            <w:r w:rsidRPr="00F669DA">
              <w:t>The day this Act receives the Royal Assent</w:t>
            </w:r>
            <w:bookmarkStart w:id="3" w:name="BK_S3P2L4C43"/>
            <w:bookmarkEnd w:id="3"/>
            <w:r w:rsidRPr="00F669DA">
              <w:t>.</w:t>
            </w:r>
          </w:p>
        </w:tc>
        <w:tc>
          <w:tcPr>
            <w:tcW w:w="1582" w:type="dxa"/>
            <w:tcBorders>
              <w:top w:val="single" w:sz="12" w:space="0" w:color="auto"/>
              <w:bottom w:val="single" w:sz="2" w:space="0" w:color="auto"/>
            </w:tcBorders>
            <w:shd w:val="clear" w:color="auto" w:fill="auto"/>
          </w:tcPr>
          <w:p w:rsidR="00056181" w:rsidRPr="00F669DA" w:rsidRDefault="00A41FC5" w:rsidP="00F669DA">
            <w:pPr>
              <w:pStyle w:val="Tabletext"/>
            </w:pPr>
            <w:r>
              <w:t>25 May 2020</w:t>
            </w:r>
          </w:p>
        </w:tc>
      </w:tr>
      <w:tr w:rsidR="00056181" w:rsidRPr="00F669DA" w:rsidTr="008A5E21">
        <w:tc>
          <w:tcPr>
            <w:tcW w:w="1701" w:type="dxa"/>
            <w:tcBorders>
              <w:top w:val="single" w:sz="2" w:space="0" w:color="auto"/>
              <w:bottom w:val="single" w:sz="12" w:space="0" w:color="auto"/>
            </w:tcBorders>
            <w:shd w:val="clear" w:color="auto" w:fill="auto"/>
          </w:tcPr>
          <w:p w:rsidR="00056181" w:rsidRPr="00F669DA" w:rsidRDefault="00056181" w:rsidP="00F669DA">
            <w:pPr>
              <w:pStyle w:val="Tabletext"/>
            </w:pPr>
            <w:r w:rsidRPr="00F669DA">
              <w:t>2.  Sections</w:t>
            </w:r>
            <w:r w:rsidR="00F669DA" w:rsidRPr="00F669DA">
              <w:t> </w:t>
            </w:r>
            <w:r w:rsidRPr="00F669DA">
              <w:t>3 to 20</w:t>
            </w:r>
          </w:p>
        </w:tc>
        <w:tc>
          <w:tcPr>
            <w:tcW w:w="3828" w:type="dxa"/>
            <w:tcBorders>
              <w:top w:val="single" w:sz="2" w:space="0" w:color="auto"/>
              <w:bottom w:val="single" w:sz="12" w:space="0" w:color="auto"/>
            </w:tcBorders>
            <w:shd w:val="clear" w:color="auto" w:fill="auto"/>
          </w:tcPr>
          <w:p w:rsidR="00056181" w:rsidRPr="00F669DA" w:rsidRDefault="00056181" w:rsidP="00F669DA">
            <w:pPr>
              <w:pStyle w:val="Tabletext"/>
            </w:pPr>
            <w:r w:rsidRPr="00F669DA">
              <w:t>At the same time</w:t>
            </w:r>
            <w:bookmarkStart w:id="4" w:name="BK_S3P2L9C17"/>
            <w:bookmarkEnd w:id="4"/>
            <w:r w:rsidRPr="00F669DA">
              <w:t xml:space="preserve"> as Schedule</w:t>
            </w:r>
            <w:r w:rsidR="00F669DA" w:rsidRPr="00F669DA">
              <w:t> </w:t>
            </w:r>
            <w:r w:rsidRPr="00F669DA">
              <w:t xml:space="preserve">4 to the </w:t>
            </w:r>
            <w:r w:rsidRPr="00F669DA">
              <w:rPr>
                <w:i/>
              </w:rPr>
              <w:t>Telecommunications Legislation Amendment (Competition and Consumer) Act 20</w:t>
            </w:r>
            <w:r w:rsidR="00D54B4E">
              <w:rPr>
                <w:i/>
              </w:rPr>
              <w:t>20</w:t>
            </w:r>
            <w:bookmarkStart w:id="5" w:name="BK_S3P2L11C9"/>
            <w:bookmarkEnd w:id="5"/>
            <w:r w:rsidRPr="00F669DA">
              <w:t xml:space="preserve"> commences.</w:t>
            </w:r>
          </w:p>
        </w:tc>
        <w:tc>
          <w:tcPr>
            <w:tcW w:w="1582" w:type="dxa"/>
            <w:tcBorders>
              <w:top w:val="single" w:sz="2" w:space="0" w:color="auto"/>
              <w:bottom w:val="single" w:sz="12" w:space="0" w:color="auto"/>
            </w:tcBorders>
            <w:shd w:val="clear" w:color="auto" w:fill="auto"/>
          </w:tcPr>
          <w:p w:rsidR="00056181" w:rsidRPr="00F669DA" w:rsidRDefault="00A41FC5" w:rsidP="00F669DA">
            <w:pPr>
              <w:pStyle w:val="Tabletext"/>
            </w:pPr>
            <w:r>
              <w:t>26 May 2020</w:t>
            </w:r>
          </w:p>
        </w:tc>
      </w:tr>
    </w:tbl>
    <w:p w:rsidR="00056181" w:rsidRPr="00F669DA" w:rsidRDefault="00056181" w:rsidP="00F669DA">
      <w:pPr>
        <w:pStyle w:val="notetext"/>
      </w:pPr>
      <w:r w:rsidRPr="00F669DA">
        <w:t>Note:</w:t>
      </w:r>
      <w:r w:rsidRPr="00F669DA">
        <w:tab/>
        <w:t>This table relates only to the provisions of this Act as originally enacted. It will not be amended to deal with any later amendments of this Act.</w:t>
      </w:r>
    </w:p>
    <w:p w:rsidR="00056181" w:rsidRPr="00F669DA" w:rsidRDefault="00056181" w:rsidP="00F669DA">
      <w:pPr>
        <w:pStyle w:val="subsection"/>
      </w:pPr>
      <w:r w:rsidRPr="00F669DA">
        <w:tab/>
        <w:t>(2)</w:t>
      </w:r>
      <w:r w:rsidRPr="00F669DA">
        <w:tab/>
        <w:t>Any information in column 3 of the table is not part of this Act. Information may be inserted in this column, or information in it may be edited, in any published version of this Act.</w:t>
      </w:r>
    </w:p>
    <w:p w:rsidR="00056181" w:rsidRPr="00F669DA" w:rsidRDefault="00056181" w:rsidP="00F669DA">
      <w:pPr>
        <w:pStyle w:val="ActHead5"/>
      </w:pPr>
      <w:bookmarkStart w:id="6" w:name="_Toc41406005"/>
      <w:r w:rsidRPr="00806D7E">
        <w:rPr>
          <w:rStyle w:val="CharSectno"/>
        </w:rPr>
        <w:t>3</w:t>
      </w:r>
      <w:r w:rsidRPr="00F669DA">
        <w:t xml:space="preserve">  Definitions</w:t>
      </w:r>
      <w:bookmarkEnd w:id="6"/>
    </w:p>
    <w:p w:rsidR="00056181" w:rsidRPr="00F669DA" w:rsidRDefault="00056181" w:rsidP="00F669DA">
      <w:pPr>
        <w:pStyle w:val="subsection"/>
      </w:pPr>
      <w:r w:rsidRPr="00F669DA">
        <w:tab/>
      </w:r>
      <w:r w:rsidRPr="00F669DA">
        <w:tab/>
        <w:t>In this Act:</w:t>
      </w:r>
    </w:p>
    <w:p w:rsidR="00056181" w:rsidRPr="00F669DA" w:rsidRDefault="00056181" w:rsidP="00F669DA">
      <w:pPr>
        <w:pStyle w:val="Definition"/>
      </w:pPr>
      <w:r w:rsidRPr="00F669DA">
        <w:rPr>
          <w:b/>
          <w:i/>
        </w:rPr>
        <w:t xml:space="preserve">ACCC </w:t>
      </w:r>
      <w:r w:rsidRPr="00F669DA">
        <w:t>means the Australian Competition and Consumer Commission.</w:t>
      </w:r>
    </w:p>
    <w:p w:rsidR="00056181" w:rsidRPr="00F669DA" w:rsidRDefault="00056181" w:rsidP="00F669DA">
      <w:pPr>
        <w:pStyle w:val="Definition"/>
      </w:pPr>
      <w:r w:rsidRPr="00F669DA">
        <w:rPr>
          <w:b/>
          <w:i/>
        </w:rPr>
        <w:t>administrative cost component</w:t>
      </w:r>
      <w:r w:rsidRPr="00F669DA">
        <w:t>, for a month,</w:t>
      </w:r>
      <w:r w:rsidRPr="00F669DA">
        <w:rPr>
          <w:b/>
          <w:i/>
        </w:rPr>
        <w:t xml:space="preserve"> </w:t>
      </w:r>
      <w:r w:rsidRPr="00F669DA">
        <w:t>has the meaning given by section</w:t>
      </w:r>
      <w:r w:rsidR="00F669DA" w:rsidRPr="00F669DA">
        <w:t> </w:t>
      </w:r>
      <w:r w:rsidRPr="00F669DA">
        <w:t>16.</w:t>
      </w:r>
    </w:p>
    <w:p w:rsidR="00056181" w:rsidRPr="00F669DA" w:rsidRDefault="00056181" w:rsidP="00F669DA">
      <w:pPr>
        <w:pStyle w:val="Definition"/>
      </w:pPr>
      <w:r w:rsidRPr="00F669DA">
        <w:rPr>
          <w:b/>
          <w:i/>
        </w:rPr>
        <w:t xml:space="preserve">amount </w:t>
      </w:r>
      <w:r w:rsidRPr="00F669DA">
        <w:t>includes a nil amount.</w:t>
      </w:r>
    </w:p>
    <w:p w:rsidR="00056181" w:rsidRPr="00F669DA" w:rsidRDefault="00056181" w:rsidP="00F669DA">
      <w:pPr>
        <w:pStyle w:val="Definition"/>
      </w:pPr>
      <w:r w:rsidRPr="00F669DA">
        <w:rPr>
          <w:b/>
          <w:i/>
        </w:rPr>
        <w:lastRenderedPageBreak/>
        <w:t>annual administrative cost amount</w:t>
      </w:r>
      <w:r w:rsidRPr="00F669DA">
        <w:t>, for an eligible financial year, has the meaning given by section</w:t>
      </w:r>
      <w:r w:rsidR="00F669DA" w:rsidRPr="00F669DA">
        <w:t> </w:t>
      </w:r>
      <w:r w:rsidRPr="00F669DA">
        <w:t>14.</w:t>
      </w:r>
    </w:p>
    <w:p w:rsidR="00056181" w:rsidRPr="00F669DA" w:rsidRDefault="00056181" w:rsidP="00F669DA">
      <w:pPr>
        <w:pStyle w:val="Definition"/>
      </w:pPr>
      <w:r w:rsidRPr="00F669DA">
        <w:rPr>
          <w:b/>
          <w:i/>
        </w:rPr>
        <w:t>annual base amount</w:t>
      </w:r>
      <w:r w:rsidRPr="00F669DA">
        <w:t>, for an eligible financial year, has the meaning given by section</w:t>
      </w:r>
      <w:r w:rsidR="00F669DA" w:rsidRPr="00F669DA">
        <w:t> </w:t>
      </w:r>
      <w:r w:rsidRPr="00F669DA">
        <w:t>10.</w:t>
      </w:r>
    </w:p>
    <w:p w:rsidR="00056181" w:rsidRPr="00F669DA" w:rsidRDefault="00056181" w:rsidP="00F669DA">
      <w:pPr>
        <w:pStyle w:val="Definition"/>
      </w:pPr>
      <w:r w:rsidRPr="00F669DA">
        <w:rPr>
          <w:b/>
          <w:i/>
        </w:rPr>
        <w:t>annual chargeable premises amount</w:t>
      </w:r>
      <w:r w:rsidRPr="00F669DA">
        <w:t>, for an eligible financial year, has the meaning given by section</w:t>
      </w:r>
      <w:r w:rsidR="00F669DA" w:rsidRPr="00F669DA">
        <w:t> </w:t>
      </w:r>
      <w:r w:rsidRPr="00F669DA">
        <w:t>9.</w:t>
      </w:r>
    </w:p>
    <w:p w:rsidR="00056181" w:rsidRPr="00F669DA" w:rsidRDefault="00056181" w:rsidP="00F669DA">
      <w:pPr>
        <w:pStyle w:val="Definition"/>
      </w:pPr>
      <w:r w:rsidRPr="00F669DA">
        <w:rPr>
          <w:b/>
          <w:i/>
        </w:rPr>
        <w:t>base component</w:t>
      </w:r>
      <w:r w:rsidRPr="00F669DA">
        <w:t>, for a month, has the meaning given by section</w:t>
      </w:r>
      <w:r w:rsidR="00F669DA" w:rsidRPr="00F669DA">
        <w:t> </w:t>
      </w:r>
      <w:r w:rsidRPr="00F669DA">
        <w:t>12.</w:t>
      </w:r>
    </w:p>
    <w:p w:rsidR="00056181" w:rsidRPr="00F669DA" w:rsidRDefault="00056181" w:rsidP="00F669DA">
      <w:pPr>
        <w:pStyle w:val="Definition"/>
      </w:pPr>
      <w:r w:rsidRPr="00F669DA">
        <w:rPr>
          <w:b/>
          <w:i/>
        </w:rPr>
        <w:t>carriage service provider</w:t>
      </w:r>
      <w:r w:rsidRPr="00F669DA">
        <w:t xml:space="preserve"> has the same meaning as in the </w:t>
      </w:r>
      <w:r w:rsidRPr="00F669DA">
        <w:rPr>
          <w:i/>
        </w:rPr>
        <w:t>Telecommunications Act 1997</w:t>
      </w:r>
      <w:r w:rsidRPr="00F669DA">
        <w:t>.</w:t>
      </w:r>
    </w:p>
    <w:p w:rsidR="00056181" w:rsidRPr="00F669DA" w:rsidRDefault="00056181" w:rsidP="00F669DA">
      <w:pPr>
        <w:pStyle w:val="Definition"/>
      </w:pPr>
      <w:r w:rsidRPr="00F669DA">
        <w:rPr>
          <w:b/>
          <w:i/>
        </w:rPr>
        <w:t>chargeable premises associated with a local access line</w:t>
      </w:r>
      <w:r w:rsidRPr="00F669DA">
        <w:t xml:space="preserve"> of a person for a month</w:t>
      </w:r>
      <w:r w:rsidRPr="00F669DA">
        <w:rPr>
          <w:b/>
          <w:i/>
        </w:rPr>
        <w:t xml:space="preserve"> </w:t>
      </w:r>
      <w:r w:rsidRPr="00F669DA">
        <w:t>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rPr>
          <w:b/>
          <w:i/>
        </w:rPr>
      </w:pPr>
      <w:r w:rsidRPr="00F669DA">
        <w:rPr>
          <w:b/>
          <w:i/>
        </w:rPr>
        <w:t>combined component cap</w:t>
      </w:r>
      <w:r w:rsidRPr="00F669DA">
        <w:t>, for a month, has the meaning given by section</w:t>
      </w:r>
      <w:r w:rsidR="00F669DA" w:rsidRPr="00F669DA">
        <w:t> </w:t>
      </w:r>
      <w:r w:rsidRPr="00F669DA">
        <w:t>17A.</w:t>
      </w:r>
    </w:p>
    <w:p w:rsidR="00056181" w:rsidRPr="00F669DA" w:rsidRDefault="00056181" w:rsidP="00F669DA">
      <w:pPr>
        <w:pStyle w:val="Definition"/>
      </w:pPr>
      <w:r w:rsidRPr="00F669DA">
        <w:rPr>
          <w:b/>
          <w:i/>
        </w:rPr>
        <w:t>connection</w:t>
      </w:r>
      <w:r w:rsidRPr="00F669DA">
        <w:t>, in relation to</w:t>
      </w:r>
      <w:bookmarkStart w:id="7" w:name="BK_S3P3L11C27"/>
      <w:bookmarkEnd w:id="7"/>
      <w:r w:rsidRPr="00F669DA">
        <w:t xml:space="preserve"> a telecommunications network, has the same meaning as in the </w:t>
      </w:r>
      <w:r w:rsidRPr="00F669DA">
        <w:rPr>
          <w:i/>
        </w:rPr>
        <w:t>Telecommunications Act 1997</w:t>
      </w:r>
      <w:r w:rsidRPr="00F669DA">
        <w:t>.</w:t>
      </w:r>
    </w:p>
    <w:p w:rsidR="00056181" w:rsidRPr="00F669DA" w:rsidRDefault="00056181" w:rsidP="00F669DA">
      <w:pPr>
        <w:pStyle w:val="notetext"/>
      </w:pPr>
      <w:r w:rsidRPr="00F669DA">
        <w:t>Note:</w:t>
      </w:r>
      <w:r w:rsidRPr="00F669DA">
        <w:tab/>
        <w:t xml:space="preserve">See the definition of </w:t>
      </w:r>
      <w:r w:rsidRPr="00F669DA">
        <w:rPr>
          <w:b/>
          <w:i/>
        </w:rPr>
        <w:t xml:space="preserve">connected </w:t>
      </w:r>
      <w:r w:rsidRPr="00F669DA">
        <w:t>in section</w:t>
      </w:r>
      <w:r w:rsidR="00F669DA" w:rsidRPr="00F669DA">
        <w:t> </w:t>
      </w:r>
      <w:r w:rsidRPr="00F669DA">
        <w:t xml:space="preserve">7 of the </w:t>
      </w:r>
      <w:r w:rsidRPr="00F669DA">
        <w:rPr>
          <w:i/>
        </w:rPr>
        <w:t>Telecommunications Act 1997</w:t>
      </w:r>
      <w:r w:rsidRPr="00F669DA">
        <w:t>,</w:t>
      </w:r>
      <w:r w:rsidRPr="00F669DA">
        <w:rPr>
          <w:i/>
        </w:rPr>
        <w:t xml:space="preserve"> </w:t>
      </w:r>
      <w:r w:rsidRPr="00F669DA">
        <w:t>and section</w:t>
      </w:r>
      <w:r w:rsidR="00F669DA" w:rsidRPr="00F669DA">
        <w:t> </w:t>
      </w:r>
      <w:r w:rsidRPr="00F669DA">
        <w:t xml:space="preserve">18A of the </w:t>
      </w:r>
      <w:r w:rsidRPr="00F669DA">
        <w:rPr>
          <w:i/>
        </w:rPr>
        <w:t>Acts Interpretation Act 1901</w:t>
      </w:r>
      <w:r w:rsidRPr="00F669DA">
        <w:t>.</w:t>
      </w:r>
    </w:p>
    <w:p w:rsidR="00056181" w:rsidRPr="00F669DA" w:rsidRDefault="00056181" w:rsidP="00F669DA">
      <w:pPr>
        <w:pStyle w:val="Definition"/>
      </w:pPr>
      <w:r w:rsidRPr="00F669DA">
        <w:rPr>
          <w:b/>
          <w:i/>
        </w:rPr>
        <w:t>designated administrative costs</w:t>
      </w:r>
      <w:r w:rsidRPr="00F669DA">
        <w:t xml:space="preserve"> 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pPr>
      <w:r w:rsidRPr="00F669DA">
        <w:rPr>
          <w:b/>
          <w:i/>
        </w:rPr>
        <w:t xml:space="preserve">eligible financial year </w:t>
      </w:r>
      <w:r w:rsidRPr="00F669DA">
        <w:t>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pPr>
      <w:r w:rsidRPr="00F669DA">
        <w:rPr>
          <w:b/>
          <w:i/>
        </w:rPr>
        <w:t xml:space="preserve">eligible funding recipient </w:t>
      </w:r>
      <w:r w:rsidRPr="00F669DA">
        <w:t>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pPr>
      <w:r w:rsidRPr="00F669DA">
        <w:rPr>
          <w:b/>
          <w:i/>
        </w:rPr>
        <w:t>eligible service</w:t>
      </w:r>
      <w:r w:rsidRPr="00F669DA">
        <w:t xml:space="preserve"> has the same meaning as in section</w:t>
      </w:r>
      <w:r w:rsidR="00F669DA" w:rsidRPr="00F669DA">
        <w:t> </w:t>
      </w:r>
      <w:r w:rsidRPr="00F669DA">
        <w:t xml:space="preserve">152AL of the </w:t>
      </w:r>
      <w:r w:rsidRPr="00F669DA">
        <w:rPr>
          <w:i/>
        </w:rPr>
        <w:t>Competition and Consumer Act 2010</w:t>
      </w:r>
      <w:r w:rsidRPr="00F669DA">
        <w:t>.</w:t>
      </w:r>
    </w:p>
    <w:p w:rsidR="00056181" w:rsidRPr="00F669DA" w:rsidRDefault="00056181" w:rsidP="00F669DA">
      <w:pPr>
        <w:pStyle w:val="Definition"/>
      </w:pPr>
      <w:r w:rsidRPr="00F669DA">
        <w:rPr>
          <w:b/>
          <w:i/>
        </w:rPr>
        <w:lastRenderedPageBreak/>
        <w:t xml:space="preserve">facilities </w:t>
      </w:r>
      <w:r w:rsidRPr="00F669DA">
        <w:t xml:space="preserve">has the same meaning as in the </w:t>
      </w:r>
      <w:r w:rsidRPr="00F669DA">
        <w:rPr>
          <w:i/>
        </w:rPr>
        <w:t>Telecommunications Act 1997</w:t>
      </w:r>
      <w:r w:rsidRPr="00F669DA">
        <w:t>.</w:t>
      </w:r>
    </w:p>
    <w:p w:rsidR="00056181" w:rsidRPr="00F669DA" w:rsidRDefault="00056181" w:rsidP="00F669DA">
      <w:pPr>
        <w:pStyle w:val="notetext"/>
      </w:pPr>
      <w:r w:rsidRPr="00F669DA">
        <w:t>Note:</w:t>
      </w:r>
      <w:r w:rsidRPr="00F669DA">
        <w:tab/>
        <w:t xml:space="preserve">See the definition of </w:t>
      </w:r>
      <w:r w:rsidRPr="00F669DA">
        <w:rPr>
          <w:b/>
          <w:i/>
        </w:rPr>
        <w:t>facility</w:t>
      </w:r>
      <w:r w:rsidRPr="00F669DA">
        <w:t xml:space="preserve"> in section</w:t>
      </w:r>
      <w:r w:rsidR="00F669DA" w:rsidRPr="00F669DA">
        <w:t> </w:t>
      </w:r>
      <w:r w:rsidRPr="00F669DA">
        <w:t xml:space="preserve">7 of the </w:t>
      </w:r>
      <w:r w:rsidRPr="00F669DA">
        <w:rPr>
          <w:i/>
        </w:rPr>
        <w:t xml:space="preserve">Telecommunications Act 1997 </w:t>
      </w:r>
      <w:r w:rsidRPr="00F669DA">
        <w:t>(when read together with section</w:t>
      </w:r>
      <w:r w:rsidR="00F669DA" w:rsidRPr="00F669DA">
        <w:t> </w:t>
      </w:r>
      <w:r w:rsidRPr="00F669DA">
        <w:t xml:space="preserve">18A of the </w:t>
      </w:r>
      <w:r w:rsidRPr="00F669DA">
        <w:rPr>
          <w:i/>
        </w:rPr>
        <w:t>Acts Interpretation Act 1901</w:t>
      </w:r>
      <w:r w:rsidRPr="00F669DA">
        <w:t>).</w:t>
      </w:r>
    </w:p>
    <w:p w:rsidR="00D54B4E" w:rsidRPr="00E05611" w:rsidRDefault="00D54B4E" w:rsidP="00D54B4E">
      <w:pPr>
        <w:pStyle w:val="Definition"/>
      </w:pPr>
      <w:r w:rsidRPr="00E05611">
        <w:rPr>
          <w:b/>
          <w:i/>
        </w:rPr>
        <w:t>fixed wireless broadband service</w:t>
      </w:r>
      <w:r w:rsidRPr="00E05611">
        <w:t xml:space="preserve"> has the same meaning as in Part 3 of the </w:t>
      </w:r>
      <w:r w:rsidRPr="00E05611">
        <w:rPr>
          <w:i/>
        </w:rPr>
        <w:t>Telecommunications (Consumer Protection and Service Standards) Act 1999</w:t>
      </w:r>
      <w:r w:rsidRPr="00E05611">
        <w:t>.</w:t>
      </w:r>
    </w:p>
    <w:p w:rsidR="00056181" w:rsidRPr="00F669DA" w:rsidRDefault="00056181" w:rsidP="00F669DA">
      <w:pPr>
        <w:pStyle w:val="Definition"/>
      </w:pPr>
      <w:r w:rsidRPr="00F669DA">
        <w:rPr>
          <w:b/>
          <w:i/>
        </w:rPr>
        <w:t>indexation factor</w:t>
      </w:r>
      <w:r w:rsidRPr="00F669DA">
        <w:t>, for a financial year,</w:t>
      </w:r>
      <w:r w:rsidRPr="00F669DA">
        <w:rPr>
          <w:b/>
          <w:i/>
        </w:rPr>
        <w:t xml:space="preserve"> </w:t>
      </w:r>
      <w:r w:rsidRPr="00F669DA">
        <w:t>has the meaning given by section</w:t>
      </w:r>
      <w:r w:rsidR="00F669DA" w:rsidRPr="00F669DA">
        <w:t> </w:t>
      </w:r>
      <w:r w:rsidRPr="00F669DA">
        <w:t>18.</w:t>
      </w:r>
    </w:p>
    <w:p w:rsidR="00056181" w:rsidRPr="00F669DA" w:rsidRDefault="00056181" w:rsidP="00F669DA">
      <w:pPr>
        <w:pStyle w:val="Definition"/>
      </w:pPr>
      <w:r w:rsidRPr="00F669DA">
        <w:rPr>
          <w:b/>
          <w:i/>
        </w:rPr>
        <w:t>index number</w:t>
      </w:r>
      <w:r w:rsidRPr="00F669DA">
        <w:t>, in relation to</w:t>
      </w:r>
      <w:bookmarkStart w:id="8" w:name="BK_S3P4L5C29"/>
      <w:bookmarkEnd w:id="8"/>
      <w:r w:rsidRPr="00F669DA">
        <w:t xml:space="preserve"> a quarter, means the All Groups Consumer Price Index number, being the weighted average of the 8 capital cities, published by the Australian Statistician</w:t>
      </w:r>
      <w:bookmarkStart w:id="9" w:name="BK_S3P4L7C63"/>
      <w:bookmarkEnd w:id="9"/>
      <w:r w:rsidRPr="00F669DA">
        <w:t xml:space="preserve"> in respect of that quarter.</w:t>
      </w:r>
    </w:p>
    <w:p w:rsidR="00056181" w:rsidRPr="00F669DA" w:rsidRDefault="00056181" w:rsidP="00F669DA">
      <w:pPr>
        <w:pStyle w:val="Definition"/>
      </w:pPr>
      <w:r w:rsidRPr="00F669DA">
        <w:rPr>
          <w:b/>
          <w:i/>
        </w:rPr>
        <w:t xml:space="preserve">month </w:t>
      </w:r>
      <w:r w:rsidRPr="00F669DA">
        <w:t>means calendar month.</w:t>
      </w:r>
    </w:p>
    <w:p w:rsidR="00056181" w:rsidRPr="00F669DA" w:rsidRDefault="00056181" w:rsidP="00F669DA">
      <w:pPr>
        <w:pStyle w:val="Definition"/>
      </w:pPr>
      <w:r w:rsidRPr="00F669DA">
        <w:rPr>
          <w:b/>
          <w:i/>
        </w:rPr>
        <w:t>monthly administrative cost amount</w:t>
      </w:r>
      <w:r w:rsidRPr="00F669DA">
        <w:t>, for a month,</w:t>
      </w:r>
      <w:r w:rsidRPr="00F669DA">
        <w:rPr>
          <w:b/>
          <w:i/>
        </w:rPr>
        <w:t xml:space="preserve"> </w:t>
      </w:r>
      <w:r w:rsidRPr="00F669DA">
        <w:t>has the meaning given by section</w:t>
      </w:r>
      <w:r w:rsidR="00F669DA" w:rsidRPr="00F669DA">
        <w:t> </w:t>
      </w:r>
      <w:r w:rsidRPr="00F669DA">
        <w:t>15.</w:t>
      </w:r>
    </w:p>
    <w:p w:rsidR="00056181" w:rsidRPr="00F669DA" w:rsidRDefault="00056181" w:rsidP="00F669DA">
      <w:pPr>
        <w:pStyle w:val="Definition"/>
      </w:pPr>
      <w:r w:rsidRPr="00F669DA">
        <w:rPr>
          <w:b/>
          <w:i/>
        </w:rPr>
        <w:t>monthly base amount</w:t>
      </w:r>
      <w:r w:rsidRPr="00F669DA">
        <w:t>, for a month,</w:t>
      </w:r>
      <w:r w:rsidRPr="00F669DA">
        <w:rPr>
          <w:b/>
          <w:i/>
        </w:rPr>
        <w:t xml:space="preserve"> </w:t>
      </w:r>
      <w:r w:rsidRPr="00F669DA">
        <w:t>has the meaning given by section</w:t>
      </w:r>
      <w:r w:rsidR="00F669DA" w:rsidRPr="00F669DA">
        <w:t> </w:t>
      </w:r>
      <w:r w:rsidRPr="00F669DA">
        <w:t>11.</w:t>
      </w:r>
    </w:p>
    <w:p w:rsidR="00056181" w:rsidRPr="00F669DA" w:rsidRDefault="00056181" w:rsidP="00F669DA">
      <w:pPr>
        <w:pStyle w:val="Definition"/>
      </w:pPr>
      <w:r w:rsidRPr="00F669DA">
        <w:rPr>
          <w:b/>
          <w:i/>
        </w:rPr>
        <w:t xml:space="preserve">person </w:t>
      </w:r>
      <w:r w:rsidRPr="00F669DA">
        <w:t xml:space="preserve">has the same meaning as in the </w:t>
      </w:r>
      <w:r w:rsidRPr="00F669DA">
        <w:rPr>
          <w:i/>
        </w:rPr>
        <w:t>Telecommunications Act 1997</w:t>
      </w:r>
      <w:r w:rsidRPr="00F669DA">
        <w:t>.</w:t>
      </w:r>
    </w:p>
    <w:p w:rsidR="00056181" w:rsidRPr="00F669DA" w:rsidRDefault="00056181" w:rsidP="00F669DA">
      <w:pPr>
        <w:pStyle w:val="Definition"/>
      </w:pPr>
      <w:r w:rsidRPr="00F669DA">
        <w:rPr>
          <w:b/>
          <w:i/>
        </w:rPr>
        <w:t>potentially concessional premises</w:t>
      </w:r>
      <w:r w:rsidRPr="00F669DA">
        <w:t xml:space="preserve"> 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7C6964" w:rsidRPr="00F669DA" w:rsidRDefault="007C6964" w:rsidP="00F669DA">
      <w:pPr>
        <w:pStyle w:val="Definition"/>
      </w:pPr>
      <w:r w:rsidRPr="00F669DA">
        <w:rPr>
          <w:b/>
          <w:i/>
        </w:rPr>
        <w:t>recently connected greenfield premises</w:t>
      </w:r>
      <w:r w:rsidRPr="00F669DA">
        <w:t>, in relation to</w:t>
      </w:r>
      <w:bookmarkStart w:id="10" w:name="BK_S3P4L19C55"/>
      <w:bookmarkEnd w:id="10"/>
      <w:r w:rsidRPr="00F669DA">
        <w:t xml:space="preserve"> a person for a month,</w:t>
      </w:r>
      <w:r w:rsidRPr="00F669DA">
        <w:rPr>
          <w:b/>
          <w:i/>
        </w:rPr>
        <w:t xml:space="preserve"> </w:t>
      </w:r>
      <w:r w:rsidRPr="00F669DA">
        <w:t>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pPr>
      <w:r w:rsidRPr="00F669DA">
        <w:rPr>
          <w:b/>
          <w:i/>
        </w:rPr>
        <w:t xml:space="preserve">satellite broadband service </w:t>
      </w:r>
      <w:r w:rsidRPr="00F669DA">
        <w:t>has the same meaning as in Part</w:t>
      </w:r>
      <w:r w:rsidR="00F669DA" w:rsidRPr="00F669DA">
        <w:t> </w:t>
      </w:r>
      <w:r w:rsidRPr="00F669DA">
        <w:t xml:space="preserve">3 of the </w:t>
      </w:r>
      <w:r w:rsidRPr="00F669DA">
        <w:rPr>
          <w:i/>
        </w:rPr>
        <w:t>Telecommunications (Consumer Protection and Service Standards) Act 1999</w:t>
      </w:r>
      <w:r w:rsidRPr="00F669DA">
        <w:t>.</w:t>
      </w:r>
    </w:p>
    <w:p w:rsidR="00056181" w:rsidRPr="00F669DA" w:rsidRDefault="00056181" w:rsidP="00F669DA">
      <w:pPr>
        <w:pStyle w:val="Definition"/>
      </w:pPr>
      <w:r w:rsidRPr="00F669DA">
        <w:rPr>
          <w:b/>
          <w:i/>
        </w:rPr>
        <w:lastRenderedPageBreak/>
        <w:t>telecommunications network</w:t>
      </w:r>
      <w:r w:rsidRPr="00F669DA">
        <w:t xml:space="preserve"> has the same meaning as in the </w:t>
      </w:r>
      <w:r w:rsidRPr="00F669DA">
        <w:rPr>
          <w:i/>
        </w:rPr>
        <w:t>Telecommunications Act 1997</w:t>
      </w:r>
      <w:r w:rsidRPr="00F669DA">
        <w:t>.</w:t>
      </w:r>
    </w:p>
    <w:p w:rsidR="00056181" w:rsidRPr="00F669DA" w:rsidRDefault="00056181" w:rsidP="001C18E9">
      <w:pPr>
        <w:pStyle w:val="ActHead5"/>
      </w:pPr>
      <w:bookmarkStart w:id="11" w:name="_Toc41406006"/>
      <w:r w:rsidRPr="00806D7E">
        <w:rPr>
          <w:rStyle w:val="CharSectno"/>
        </w:rPr>
        <w:t>4</w:t>
      </w:r>
      <w:r w:rsidRPr="00F669DA">
        <w:t xml:space="preserve">  Extension to external Territories</w:t>
      </w:r>
      <w:bookmarkEnd w:id="11"/>
    </w:p>
    <w:p w:rsidR="00056181" w:rsidRPr="00F669DA" w:rsidRDefault="00056181" w:rsidP="001C18E9">
      <w:pPr>
        <w:pStyle w:val="subsection"/>
        <w:keepNext/>
        <w:keepLines/>
      </w:pPr>
      <w:r w:rsidRPr="00F669DA">
        <w:tab/>
      </w:r>
      <w:r w:rsidRPr="00F669DA">
        <w:tab/>
        <w:t>This Act extend</w:t>
      </w:r>
      <w:bookmarkStart w:id="12" w:name="BK_S3P5L2C18"/>
      <w:bookmarkEnd w:id="12"/>
      <w:r w:rsidRPr="00F669DA">
        <w:t>s to each external Territory referred to in section</w:t>
      </w:r>
      <w:r w:rsidR="00F669DA" w:rsidRPr="00F669DA">
        <w:t> </w:t>
      </w:r>
      <w:r w:rsidRPr="00F669DA">
        <w:t xml:space="preserve">10 of the </w:t>
      </w:r>
      <w:r w:rsidRPr="00F669DA">
        <w:rPr>
          <w:i/>
        </w:rPr>
        <w:t>Telecommunications Act 1997</w:t>
      </w:r>
      <w:r w:rsidRPr="00F669DA">
        <w:t>.</w:t>
      </w:r>
    </w:p>
    <w:p w:rsidR="00056181" w:rsidRPr="00F669DA" w:rsidRDefault="00056181" w:rsidP="00F669DA">
      <w:pPr>
        <w:pStyle w:val="notetext"/>
      </w:pPr>
      <w:r w:rsidRPr="00F669DA">
        <w:t>Note:</w:t>
      </w:r>
      <w:r w:rsidRPr="00F669DA">
        <w:tab/>
        <w:t>See also section</w:t>
      </w:r>
      <w:r w:rsidR="00F669DA" w:rsidRPr="00F669DA">
        <w:t> </w:t>
      </w:r>
      <w:r w:rsidRPr="00F669DA">
        <w:t xml:space="preserve">7 of the </w:t>
      </w:r>
      <w:r w:rsidRPr="00F669DA">
        <w:rPr>
          <w:i/>
        </w:rPr>
        <w:t>Telecommunications (Consumer Protection and Service Standards) Act 1999</w:t>
      </w:r>
      <w:r w:rsidRPr="00F669DA">
        <w:t>.</w:t>
      </w:r>
    </w:p>
    <w:p w:rsidR="00056181" w:rsidRPr="00F669DA" w:rsidRDefault="00056181" w:rsidP="00F669DA">
      <w:pPr>
        <w:pStyle w:val="ActHead5"/>
      </w:pPr>
      <w:bookmarkStart w:id="13" w:name="_Toc41406007"/>
      <w:r w:rsidRPr="00806D7E">
        <w:rPr>
          <w:rStyle w:val="CharSectno"/>
        </w:rPr>
        <w:t>5</w:t>
      </w:r>
      <w:r w:rsidRPr="00F669DA">
        <w:t xml:space="preserve">  Act to bind Crown</w:t>
      </w:r>
      <w:bookmarkEnd w:id="13"/>
    </w:p>
    <w:p w:rsidR="00056181" w:rsidRPr="00F669DA" w:rsidRDefault="00056181" w:rsidP="00F669DA">
      <w:pPr>
        <w:pStyle w:val="subsection"/>
      </w:pPr>
      <w:r w:rsidRPr="00F669DA">
        <w:tab/>
      </w:r>
      <w:r w:rsidRPr="00F669DA">
        <w:tab/>
        <w:t>This Act binds the Crown</w:t>
      </w:r>
      <w:bookmarkStart w:id="14" w:name="BK_S3P5L7C27"/>
      <w:bookmarkEnd w:id="14"/>
      <w:r w:rsidRPr="00F669DA">
        <w:t xml:space="preserve"> in right of each of the States, of the Australian Capital Territory and of the Northern Territory. However, it does not bind the Crown in right of the Commonwealth.</w:t>
      </w:r>
    </w:p>
    <w:p w:rsidR="00056181" w:rsidRPr="00F669DA" w:rsidRDefault="00056181" w:rsidP="00F669DA">
      <w:pPr>
        <w:pStyle w:val="ActHead5"/>
      </w:pPr>
      <w:bookmarkStart w:id="15" w:name="_Toc41406008"/>
      <w:r w:rsidRPr="00806D7E">
        <w:rPr>
          <w:rStyle w:val="CharSectno"/>
        </w:rPr>
        <w:t>6</w:t>
      </w:r>
      <w:r w:rsidRPr="00F669DA">
        <w:t xml:space="preserve">  Imposition of charge</w:t>
      </w:r>
      <w:bookmarkEnd w:id="15"/>
    </w:p>
    <w:p w:rsidR="00056181" w:rsidRPr="00F669DA" w:rsidRDefault="00056181" w:rsidP="00F669DA">
      <w:pPr>
        <w:pStyle w:val="subsection"/>
      </w:pPr>
      <w:r w:rsidRPr="00F669DA">
        <w:tab/>
      </w:r>
      <w:r w:rsidRPr="00F669DA">
        <w:tab/>
        <w:t>If a person has an annual chargeable premises amount for an eligible financial year, charge is imposed on that amount.</w:t>
      </w:r>
    </w:p>
    <w:p w:rsidR="00056181" w:rsidRPr="00F669DA" w:rsidRDefault="00056181" w:rsidP="00F669DA">
      <w:pPr>
        <w:pStyle w:val="ActHead5"/>
      </w:pPr>
      <w:bookmarkStart w:id="16" w:name="_Toc41406009"/>
      <w:r w:rsidRPr="00806D7E">
        <w:rPr>
          <w:rStyle w:val="CharSectno"/>
        </w:rPr>
        <w:t>7</w:t>
      </w:r>
      <w:r w:rsidRPr="00F669DA">
        <w:t xml:space="preserve">  Amount of charge</w:t>
      </w:r>
      <w:bookmarkEnd w:id="16"/>
    </w:p>
    <w:p w:rsidR="00056181" w:rsidRPr="00F669DA" w:rsidRDefault="00056181" w:rsidP="00F669DA">
      <w:pPr>
        <w:pStyle w:val="subsection"/>
      </w:pPr>
      <w:r w:rsidRPr="00F669DA">
        <w:tab/>
      </w:r>
      <w:r w:rsidRPr="00F669DA">
        <w:tab/>
        <w:t>The amount of a charge that this Act imposes on an annual chargeable premises amount for an eligible financial year is equal to that annual chargeable premises amount.</w:t>
      </w:r>
    </w:p>
    <w:p w:rsidR="00056181" w:rsidRPr="00F669DA" w:rsidRDefault="00056181" w:rsidP="00F669DA">
      <w:pPr>
        <w:pStyle w:val="ActHead5"/>
      </w:pPr>
      <w:bookmarkStart w:id="17" w:name="_Toc41406010"/>
      <w:r w:rsidRPr="00806D7E">
        <w:rPr>
          <w:rStyle w:val="CharSectno"/>
        </w:rPr>
        <w:t>8</w:t>
      </w:r>
      <w:r w:rsidRPr="00F669DA">
        <w:t xml:space="preserve">  Person liable to pay charge</w:t>
      </w:r>
      <w:bookmarkEnd w:id="17"/>
    </w:p>
    <w:p w:rsidR="00056181" w:rsidRPr="00F669DA" w:rsidRDefault="00056181" w:rsidP="00F669DA">
      <w:pPr>
        <w:pStyle w:val="subsection"/>
      </w:pPr>
      <w:r w:rsidRPr="00F669DA">
        <w:tab/>
      </w:r>
      <w:r w:rsidRPr="00F669DA">
        <w:tab/>
        <w:t>Charge imposed by this Act on a person’s annual chargeable premises amount for an eligible financial year is payable by the person.</w:t>
      </w:r>
    </w:p>
    <w:p w:rsidR="00056181" w:rsidRPr="00F669DA" w:rsidRDefault="00056181" w:rsidP="00F669DA">
      <w:pPr>
        <w:pStyle w:val="ActHead5"/>
      </w:pPr>
      <w:bookmarkStart w:id="18" w:name="_Toc41406011"/>
      <w:r w:rsidRPr="00806D7E">
        <w:rPr>
          <w:rStyle w:val="CharSectno"/>
        </w:rPr>
        <w:t>9</w:t>
      </w:r>
      <w:r w:rsidRPr="00F669DA">
        <w:t xml:space="preserve">  Annual chargeable premises amount</w:t>
      </w:r>
      <w:bookmarkEnd w:id="18"/>
    </w:p>
    <w:p w:rsidR="00056181" w:rsidRPr="00F669DA" w:rsidRDefault="00056181" w:rsidP="00F669DA">
      <w:pPr>
        <w:pStyle w:val="subsection"/>
      </w:pPr>
      <w:r w:rsidRPr="00F669DA">
        <w:tab/>
        <w:t>(1)</w:t>
      </w:r>
      <w:r w:rsidRPr="00F669DA">
        <w:tab/>
        <w:t xml:space="preserve">For the purposes of this Act, a person’s </w:t>
      </w:r>
      <w:r w:rsidRPr="00F669DA">
        <w:rPr>
          <w:b/>
          <w:i/>
        </w:rPr>
        <w:t xml:space="preserve">annual chargeable premises amount </w:t>
      </w:r>
      <w:r w:rsidRPr="00F669DA">
        <w:t>for an eligible financial year is the sum of:</w:t>
      </w:r>
    </w:p>
    <w:p w:rsidR="00056181" w:rsidRPr="00F669DA" w:rsidRDefault="00056181" w:rsidP="00F669DA">
      <w:pPr>
        <w:pStyle w:val="paragraph"/>
      </w:pPr>
      <w:r w:rsidRPr="00F669DA">
        <w:tab/>
        <w:t>(a)</w:t>
      </w:r>
      <w:r w:rsidRPr="00F669DA">
        <w:tab/>
        <w:t>the person’s annual base amount for the eligible financial year; and</w:t>
      </w:r>
    </w:p>
    <w:p w:rsidR="00056181" w:rsidRPr="00F669DA" w:rsidRDefault="00056181" w:rsidP="00F669DA">
      <w:pPr>
        <w:pStyle w:val="paragraph"/>
      </w:pPr>
      <w:r w:rsidRPr="00F669DA">
        <w:lastRenderedPageBreak/>
        <w:tab/>
        <w:t>(b)</w:t>
      </w:r>
      <w:r w:rsidRPr="00F669DA">
        <w:tab/>
        <w:t>the person’s annual administrative cost amount for the eligible financial year.</w:t>
      </w:r>
    </w:p>
    <w:p w:rsidR="00056181" w:rsidRPr="00F669DA" w:rsidRDefault="00056181" w:rsidP="00F669DA">
      <w:pPr>
        <w:pStyle w:val="subsection"/>
      </w:pPr>
      <w:r w:rsidRPr="00F669DA">
        <w:tab/>
        <w:t>(2)</w:t>
      </w:r>
      <w:r w:rsidRPr="00F669DA">
        <w:tab/>
        <w:t>If a person’s annual chargeable premises amount</w:t>
      </w:r>
      <w:r w:rsidRPr="00F669DA">
        <w:rPr>
          <w:b/>
          <w:i/>
        </w:rPr>
        <w:t xml:space="preserve"> </w:t>
      </w:r>
      <w:r w:rsidRPr="00F669DA">
        <w:t>for an eligible financial year:</w:t>
      </w:r>
    </w:p>
    <w:p w:rsidR="00056181" w:rsidRPr="00F669DA" w:rsidRDefault="00056181" w:rsidP="00F669DA">
      <w:pPr>
        <w:pStyle w:val="paragraph"/>
      </w:pPr>
      <w:r w:rsidRPr="00F669DA">
        <w:tab/>
        <w:t>(a)</w:t>
      </w:r>
      <w:r w:rsidRPr="00F669DA">
        <w:tab/>
        <w:t>is not an amount of whole dollars; and</w:t>
      </w:r>
    </w:p>
    <w:p w:rsidR="00056181" w:rsidRPr="00F669DA" w:rsidRDefault="00056181" w:rsidP="00F669DA">
      <w:pPr>
        <w:pStyle w:val="paragraph"/>
      </w:pPr>
      <w:r w:rsidRPr="00F669DA">
        <w:tab/>
        <w:t>(b)</w:t>
      </w:r>
      <w:r w:rsidRPr="00F669DA">
        <w:tab/>
        <w:t>is above zero;</w:t>
      </w:r>
    </w:p>
    <w:p w:rsidR="00056181" w:rsidRPr="00F669DA" w:rsidRDefault="00056181" w:rsidP="00F669DA">
      <w:pPr>
        <w:pStyle w:val="subsection2"/>
      </w:pPr>
      <w:r w:rsidRPr="00F669DA">
        <w:t>the amount is to be rounded to the nearest dollar (rounding 50 cents upwards).</w:t>
      </w:r>
    </w:p>
    <w:p w:rsidR="00056181" w:rsidRPr="00F669DA" w:rsidRDefault="00056181" w:rsidP="00F669DA">
      <w:pPr>
        <w:pStyle w:val="subsection"/>
      </w:pPr>
      <w:r w:rsidRPr="00F669DA">
        <w:tab/>
        <w:t>(3)</w:t>
      </w:r>
      <w:r w:rsidRPr="00F669DA">
        <w:tab/>
        <w:t xml:space="preserve">For the purposes of </w:t>
      </w:r>
      <w:r w:rsidR="00F669DA" w:rsidRPr="00F669DA">
        <w:t>subsection (</w:t>
      </w:r>
      <w:r w:rsidRPr="00F669DA">
        <w:t xml:space="preserve">2), </w:t>
      </w:r>
      <w:r w:rsidRPr="00F669DA">
        <w:rPr>
          <w:b/>
          <w:i/>
        </w:rPr>
        <w:t xml:space="preserve">dollar </w:t>
      </w:r>
      <w:r w:rsidRPr="00F669DA">
        <w:t>includes $0.</w:t>
      </w:r>
    </w:p>
    <w:p w:rsidR="00056181" w:rsidRPr="00F669DA" w:rsidRDefault="00056181" w:rsidP="00F669DA">
      <w:pPr>
        <w:pStyle w:val="ActHead5"/>
      </w:pPr>
      <w:bookmarkStart w:id="19" w:name="_Toc41406012"/>
      <w:r w:rsidRPr="00806D7E">
        <w:rPr>
          <w:rStyle w:val="CharSectno"/>
        </w:rPr>
        <w:t>10</w:t>
      </w:r>
      <w:r w:rsidRPr="00F669DA">
        <w:t xml:space="preserve">  Annual base amount</w:t>
      </w:r>
      <w:bookmarkEnd w:id="19"/>
    </w:p>
    <w:p w:rsidR="00056181" w:rsidRPr="00F669DA" w:rsidRDefault="00056181" w:rsidP="00F669DA">
      <w:pPr>
        <w:pStyle w:val="subsection"/>
      </w:pPr>
      <w:r w:rsidRPr="00F669DA">
        <w:tab/>
        <w:t>(1)</w:t>
      </w:r>
      <w:r w:rsidRPr="00F669DA">
        <w:tab/>
        <w:t xml:space="preserve">For the purposes of this Act, a person’s </w:t>
      </w:r>
      <w:r w:rsidRPr="00F669DA">
        <w:rPr>
          <w:b/>
          <w:i/>
        </w:rPr>
        <w:t>annual base amount</w:t>
      </w:r>
      <w:r w:rsidRPr="00F669DA">
        <w:t xml:space="preserve"> for an eligible financial year is the sum of the person’s monthly base amounts for each of the months in the eligible financial year.</w:t>
      </w:r>
    </w:p>
    <w:p w:rsidR="00056181" w:rsidRPr="00F669DA" w:rsidRDefault="00056181" w:rsidP="00F669DA">
      <w:pPr>
        <w:pStyle w:val="subsection"/>
      </w:pPr>
      <w:r w:rsidRPr="00F669DA">
        <w:tab/>
        <w:t>(2)</w:t>
      </w:r>
      <w:r w:rsidRPr="00F669DA">
        <w:tab/>
        <w:t xml:space="preserve">If there are no chargeable premises associated with a local access line of the person for a particular month, disregard that month for the purposes of </w:t>
      </w:r>
      <w:r w:rsidR="00F669DA" w:rsidRPr="00F669DA">
        <w:t>subsection (</w:t>
      </w:r>
      <w:r w:rsidRPr="00F669DA">
        <w:t>1).</w:t>
      </w:r>
    </w:p>
    <w:p w:rsidR="00056181" w:rsidRPr="00F669DA" w:rsidRDefault="00056181" w:rsidP="00F669DA">
      <w:pPr>
        <w:pStyle w:val="ActHead5"/>
      </w:pPr>
      <w:bookmarkStart w:id="20" w:name="_Toc41406013"/>
      <w:r w:rsidRPr="00806D7E">
        <w:rPr>
          <w:rStyle w:val="CharSectno"/>
        </w:rPr>
        <w:t>11</w:t>
      </w:r>
      <w:r w:rsidRPr="00F669DA">
        <w:t xml:space="preserve">  Monthly base amount</w:t>
      </w:r>
      <w:bookmarkEnd w:id="20"/>
    </w:p>
    <w:p w:rsidR="00056181" w:rsidRPr="00F669DA" w:rsidRDefault="00056181" w:rsidP="00F669DA">
      <w:pPr>
        <w:pStyle w:val="subsection"/>
      </w:pPr>
      <w:r w:rsidRPr="00F669DA">
        <w:tab/>
      </w:r>
      <w:r w:rsidRPr="00F669DA">
        <w:tab/>
        <w:t xml:space="preserve">For the purposes of this Act, a person’s </w:t>
      </w:r>
      <w:r w:rsidRPr="00F669DA">
        <w:rPr>
          <w:b/>
          <w:i/>
        </w:rPr>
        <w:t xml:space="preserve">monthly base amount </w:t>
      </w:r>
      <w:r w:rsidRPr="00F669DA">
        <w:t>for a month is the amount calculated using the formula:</w:t>
      </w:r>
    </w:p>
    <w:bookmarkStart w:id="21" w:name="BKCheck15B_2"/>
    <w:bookmarkEnd w:id="21"/>
    <w:p w:rsidR="00056181" w:rsidRPr="00F669DA" w:rsidRDefault="00056181" w:rsidP="00F669DA">
      <w:pPr>
        <w:pStyle w:val="subsection2"/>
      </w:pPr>
      <w:r w:rsidRPr="00F669DA">
        <w:rPr>
          <w:position w:val="-20"/>
        </w:rPr>
        <w:object w:dxaOrig="4400" w:dyaOrig="620">
          <v:shape id="_x0000_i1027" type="#_x0000_t75" style="width:219.75pt;height:31.5pt" o:ole="">
            <v:imagedata r:id="rId22" o:title=""/>
          </v:shape>
          <o:OLEObject Type="Embed" ProgID="Equation.DSMT4" ShapeID="_x0000_i1027" DrawAspect="Content" ObjectID="_1652018961" r:id="rId23"/>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base component </w:t>
      </w:r>
      <w:r w:rsidRPr="00F669DA">
        <w:t>means the base component for that month.</w:t>
      </w:r>
    </w:p>
    <w:p w:rsidR="00056181" w:rsidRPr="00F669DA" w:rsidRDefault="00056181" w:rsidP="00F669DA">
      <w:pPr>
        <w:pStyle w:val="Definition"/>
      </w:pPr>
      <w:r w:rsidRPr="00F669DA">
        <w:rPr>
          <w:b/>
          <w:i/>
        </w:rPr>
        <w:t>number of chargeable premises associated with a local access line</w:t>
      </w:r>
      <w:r w:rsidRPr="00F669DA">
        <w:t xml:space="preserve"> means the total number of chargeable premises associated with a local access line of the person for that month.</w:t>
      </w:r>
    </w:p>
    <w:p w:rsidR="00056181" w:rsidRPr="00F669DA" w:rsidRDefault="00056181" w:rsidP="00F669DA">
      <w:pPr>
        <w:pStyle w:val="notetext"/>
      </w:pPr>
      <w:r w:rsidRPr="00F669DA">
        <w:t>Note:</w:t>
      </w:r>
      <w:r w:rsidRPr="00F669DA">
        <w:tab/>
        <w:t>If that month is in the first, second, third, fourth or fifth eligible financial year, the total number may be reduced under section</w:t>
      </w:r>
      <w:r w:rsidR="00F669DA" w:rsidRPr="00F669DA">
        <w:t> </w:t>
      </w:r>
      <w:r w:rsidRPr="00F669DA">
        <w:t>20.</w:t>
      </w:r>
    </w:p>
    <w:p w:rsidR="00056181" w:rsidRPr="00F669DA" w:rsidRDefault="00056181" w:rsidP="00F669DA">
      <w:pPr>
        <w:pStyle w:val="ActHead5"/>
      </w:pPr>
      <w:bookmarkStart w:id="22" w:name="_Toc41406014"/>
      <w:r w:rsidRPr="00806D7E">
        <w:rPr>
          <w:rStyle w:val="CharSectno"/>
        </w:rPr>
        <w:lastRenderedPageBreak/>
        <w:t>12</w:t>
      </w:r>
      <w:r w:rsidRPr="00F669DA">
        <w:t xml:space="preserve">  Base component</w:t>
      </w:r>
      <w:bookmarkEnd w:id="22"/>
    </w:p>
    <w:p w:rsidR="00056181" w:rsidRPr="00F669DA" w:rsidRDefault="00056181" w:rsidP="00F669DA">
      <w:pPr>
        <w:pStyle w:val="SubsectionHead"/>
      </w:pPr>
      <w:r w:rsidRPr="00F669DA">
        <w:t>First eligible financial year</w:t>
      </w:r>
    </w:p>
    <w:p w:rsidR="00056181" w:rsidRPr="00F669DA" w:rsidRDefault="00056181" w:rsidP="00F669DA">
      <w:pPr>
        <w:pStyle w:val="subsection"/>
      </w:pPr>
      <w:r w:rsidRPr="00F669DA">
        <w:tab/>
        <w:t>(1)</w:t>
      </w:r>
      <w:r w:rsidRPr="00F669DA">
        <w:tab/>
        <w:t xml:space="preserve">For the purposes of this Act, the </w:t>
      </w:r>
      <w:r w:rsidRPr="00F669DA">
        <w:rPr>
          <w:b/>
          <w:i/>
        </w:rPr>
        <w:t xml:space="preserve">base component </w:t>
      </w:r>
      <w:r w:rsidRPr="00F669DA">
        <w:t>for a month in the first eligible financial year is:</w:t>
      </w:r>
    </w:p>
    <w:p w:rsidR="00056181" w:rsidRPr="00F669DA" w:rsidRDefault="00056181" w:rsidP="00F669DA">
      <w:pPr>
        <w:pStyle w:val="paragraph"/>
      </w:pPr>
      <w:r w:rsidRPr="00F669DA">
        <w:tab/>
        <w:t>(a)</w:t>
      </w:r>
      <w:r w:rsidRPr="00F669DA">
        <w:tab/>
        <w:t>$7.09; or</w:t>
      </w:r>
    </w:p>
    <w:p w:rsidR="00056181" w:rsidRPr="00F669DA" w:rsidRDefault="00056181" w:rsidP="00F669DA">
      <w:pPr>
        <w:pStyle w:val="paragraph"/>
      </w:pPr>
      <w:r w:rsidRPr="00F669DA">
        <w:tab/>
        <w:t>(b)</w:t>
      </w:r>
      <w:r w:rsidRPr="00F669DA">
        <w:tab/>
        <w:t xml:space="preserve">if another amount is determined under </w:t>
      </w:r>
      <w:r w:rsidR="00F669DA" w:rsidRPr="00F669DA">
        <w:t>subsection (</w:t>
      </w:r>
      <w:r w:rsidRPr="00F669DA">
        <w:t>4) in relation to that month—that other amount.</w:t>
      </w:r>
    </w:p>
    <w:p w:rsidR="00056181" w:rsidRPr="00F669DA" w:rsidRDefault="00056181" w:rsidP="00F669DA">
      <w:pPr>
        <w:pStyle w:val="SubsectionHead"/>
      </w:pPr>
      <w:r w:rsidRPr="00F669DA">
        <w:t>Second and subsequent eligible financial years</w:t>
      </w:r>
    </w:p>
    <w:p w:rsidR="00056181" w:rsidRPr="00F669DA" w:rsidRDefault="00056181" w:rsidP="00F669DA">
      <w:pPr>
        <w:pStyle w:val="subsection"/>
      </w:pPr>
      <w:r w:rsidRPr="00F669DA">
        <w:tab/>
        <w:t>(2)</w:t>
      </w:r>
      <w:r w:rsidRPr="00F669DA">
        <w:tab/>
        <w:t xml:space="preserve">For the purposes of this Act, the </w:t>
      </w:r>
      <w:r w:rsidRPr="00F669DA">
        <w:rPr>
          <w:b/>
          <w:i/>
        </w:rPr>
        <w:t xml:space="preserve">base component </w:t>
      </w:r>
      <w:r w:rsidRPr="00F669DA">
        <w:t>for a month in:</w:t>
      </w:r>
    </w:p>
    <w:p w:rsidR="00056181" w:rsidRPr="00F669DA" w:rsidRDefault="00056181" w:rsidP="00F669DA">
      <w:pPr>
        <w:pStyle w:val="paragraph"/>
      </w:pPr>
      <w:r w:rsidRPr="00F669DA">
        <w:tab/>
        <w:t>(a)</w:t>
      </w:r>
      <w:r w:rsidRPr="00F669DA">
        <w:tab/>
        <w:t>the second eligible financial year; or</w:t>
      </w:r>
    </w:p>
    <w:p w:rsidR="00056181" w:rsidRPr="00F669DA" w:rsidRDefault="00056181" w:rsidP="00F669DA">
      <w:pPr>
        <w:pStyle w:val="paragraph"/>
      </w:pPr>
      <w:r w:rsidRPr="00F669DA">
        <w:tab/>
        <w:t>(b)</w:t>
      </w:r>
      <w:r w:rsidRPr="00F669DA">
        <w:tab/>
        <w:t>a later financial year;</w:t>
      </w:r>
    </w:p>
    <w:p w:rsidR="00056181" w:rsidRPr="00F669DA" w:rsidRDefault="00056181" w:rsidP="00F669DA">
      <w:pPr>
        <w:pStyle w:val="subsection2"/>
      </w:pPr>
      <w:r w:rsidRPr="00F669DA">
        <w:t>is:</w:t>
      </w:r>
    </w:p>
    <w:p w:rsidR="00056181" w:rsidRPr="00F669DA" w:rsidRDefault="00056181" w:rsidP="00F669DA">
      <w:pPr>
        <w:pStyle w:val="paragraph"/>
      </w:pPr>
      <w:r w:rsidRPr="00F669DA">
        <w:tab/>
        <w:t>(c)</w:t>
      </w:r>
      <w:r w:rsidRPr="00F669DA">
        <w:tab/>
        <w:t xml:space="preserve">the amount calculated using the formula in </w:t>
      </w:r>
      <w:r w:rsidR="00F669DA" w:rsidRPr="00F669DA">
        <w:t>subsection (</w:t>
      </w:r>
      <w:r w:rsidRPr="00F669DA">
        <w:t>3); or</w:t>
      </w:r>
    </w:p>
    <w:p w:rsidR="00056181" w:rsidRPr="00F669DA" w:rsidRDefault="00056181" w:rsidP="00F669DA">
      <w:pPr>
        <w:pStyle w:val="paragraph"/>
      </w:pPr>
      <w:r w:rsidRPr="00F669DA">
        <w:tab/>
        <w:t>(d)</w:t>
      </w:r>
      <w:r w:rsidRPr="00F669DA">
        <w:tab/>
        <w:t xml:space="preserve">if another amount is determined under </w:t>
      </w:r>
      <w:r w:rsidR="00F669DA" w:rsidRPr="00F669DA">
        <w:t>subsection (</w:t>
      </w:r>
      <w:r w:rsidRPr="00F669DA">
        <w:t>4) in relation to that month—that other amount.</w:t>
      </w:r>
    </w:p>
    <w:p w:rsidR="00056181" w:rsidRPr="00F669DA" w:rsidRDefault="00056181" w:rsidP="00F669DA">
      <w:pPr>
        <w:pStyle w:val="subsection"/>
      </w:pPr>
      <w:r w:rsidRPr="00F669DA">
        <w:tab/>
        <w:t>(3)</w:t>
      </w:r>
      <w:r w:rsidRPr="00F669DA">
        <w:tab/>
        <w:t xml:space="preserve">The formula mentioned in </w:t>
      </w:r>
      <w:r w:rsidR="00F669DA" w:rsidRPr="00F669DA">
        <w:t>paragraph (</w:t>
      </w:r>
      <w:r w:rsidRPr="00F669DA">
        <w:t>2)(c) is:</w:t>
      </w:r>
    </w:p>
    <w:bookmarkStart w:id="23" w:name="BKCheck15B_3"/>
    <w:bookmarkEnd w:id="23"/>
    <w:p w:rsidR="00056181" w:rsidRPr="00F669DA" w:rsidRDefault="00056181" w:rsidP="00F669DA">
      <w:pPr>
        <w:pStyle w:val="subsection2"/>
      </w:pPr>
      <w:r w:rsidRPr="00F669DA">
        <w:rPr>
          <w:position w:val="-10"/>
        </w:rPr>
        <w:object w:dxaOrig="3780" w:dyaOrig="420">
          <v:shape id="_x0000_i1028" type="#_x0000_t75" style="width:189.75pt;height:21pt" o:ole="">
            <v:imagedata r:id="rId24" o:title=""/>
          </v:shape>
          <o:OLEObject Type="Embed" ProgID="Equation.DSMT4" ShapeID="_x0000_i1028" DrawAspect="Content" ObjectID="_1652018962" r:id="rId25"/>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indexation factor </w:t>
      </w:r>
      <w:r w:rsidRPr="00F669DA">
        <w:t>means the indexation factor for the financial year.</w:t>
      </w:r>
    </w:p>
    <w:p w:rsidR="00056181" w:rsidRPr="00F669DA" w:rsidRDefault="00056181" w:rsidP="00F669DA">
      <w:pPr>
        <w:pStyle w:val="Definition"/>
      </w:pPr>
      <w:r w:rsidRPr="00F669DA">
        <w:rPr>
          <w:b/>
          <w:i/>
        </w:rPr>
        <w:t xml:space="preserve">previous base component </w:t>
      </w:r>
      <w:r w:rsidRPr="00F669DA">
        <w:t>means the base component for a month in the previous financial year.</w:t>
      </w:r>
    </w:p>
    <w:p w:rsidR="00056181" w:rsidRPr="00F669DA" w:rsidRDefault="00056181" w:rsidP="00F669DA">
      <w:pPr>
        <w:pStyle w:val="SubsectionHead"/>
      </w:pPr>
      <w:r w:rsidRPr="00F669DA">
        <w:t>Determinations</w:t>
      </w:r>
    </w:p>
    <w:p w:rsidR="00056181" w:rsidRPr="00F669DA" w:rsidRDefault="00056181" w:rsidP="00F669DA">
      <w:pPr>
        <w:pStyle w:val="subsection"/>
      </w:pPr>
      <w:r w:rsidRPr="00F669DA">
        <w:tab/>
        <w:t>(4)</w:t>
      </w:r>
      <w:r w:rsidRPr="00F669DA">
        <w:tab/>
        <w:t>The Minister may, by legislative instrument:</w:t>
      </w:r>
    </w:p>
    <w:p w:rsidR="00056181" w:rsidRPr="00F669DA" w:rsidRDefault="00056181" w:rsidP="00F669DA">
      <w:pPr>
        <w:pStyle w:val="paragraph"/>
      </w:pPr>
      <w:r w:rsidRPr="00F669DA">
        <w:tab/>
        <w:t>(a)</w:t>
      </w:r>
      <w:r w:rsidRPr="00F669DA">
        <w:tab/>
        <w:t xml:space="preserve">for the purposes of </w:t>
      </w:r>
      <w:r w:rsidR="00F669DA" w:rsidRPr="00F669DA">
        <w:t>paragraph (</w:t>
      </w:r>
      <w:r w:rsidRPr="00F669DA">
        <w:t>1)(b), determine a single specified amount in relation to each of the months in the first eligible financial year; or</w:t>
      </w:r>
    </w:p>
    <w:p w:rsidR="00056181" w:rsidRPr="00F669DA" w:rsidRDefault="00056181" w:rsidP="00F669DA">
      <w:pPr>
        <w:pStyle w:val="paragraph"/>
      </w:pPr>
      <w:r w:rsidRPr="00F669DA">
        <w:tab/>
        <w:t>(b)</w:t>
      </w:r>
      <w:r w:rsidRPr="00F669DA">
        <w:tab/>
        <w:t xml:space="preserve">for the purposes of </w:t>
      </w:r>
      <w:r w:rsidR="00F669DA" w:rsidRPr="00F669DA">
        <w:t>paragraph (</w:t>
      </w:r>
      <w:r w:rsidRPr="00F669DA">
        <w:t>2)(d), determine a single specified amount in relation to each of the months in a specified financial year.</w:t>
      </w:r>
    </w:p>
    <w:p w:rsidR="00056181" w:rsidRPr="00F669DA" w:rsidRDefault="00056181" w:rsidP="00F669DA">
      <w:pPr>
        <w:pStyle w:val="notetext"/>
      </w:pPr>
      <w:r w:rsidRPr="00F669DA">
        <w:lastRenderedPageBreak/>
        <w:t>Note:</w:t>
      </w:r>
      <w:r w:rsidRPr="00F669DA">
        <w:tab/>
        <w:t>See also section</w:t>
      </w:r>
      <w:r w:rsidR="00F669DA" w:rsidRPr="00F669DA">
        <w:t> </w:t>
      </w:r>
      <w:r w:rsidRPr="00F669DA">
        <w:t>19.</w:t>
      </w:r>
    </w:p>
    <w:p w:rsidR="00056181" w:rsidRPr="00F669DA" w:rsidRDefault="00056181" w:rsidP="00F669DA">
      <w:pPr>
        <w:pStyle w:val="subsection"/>
      </w:pPr>
      <w:r w:rsidRPr="00F669DA">
        <w:tab/>
        <w:t>(5)</w:t>
      </w:r>
      <w:r w:rsidRPr="00F669DA">
        <w:tab/>
        <w:t xml:space="preserve">In deciding whether to make a determination under </w:t>
      </w:r>
      <w:r w:rsidR="00F669DA" w:rsidRPr="00F669DA">
        <w:t>subsection (</w:t>
      </w:r>
      <w:r w:rsidRPr="00F669DA">
        <w:t>4), the Minister must have regard to the following:</w:t>
      </w:r>
    </w:p>
    <w:p w:rsidR="00056181" w:rsidRPr="00F669DA" w:rsidRDefault="00056181" w:rsidP="00F669DA">
      <w:pPr>
        <w:pStyle w:val="paragraph"/>
      </w:pPr>
      <w:r w:rsidRPr="00F669DA">
        <w:tab/>
        <w:t>(a)</w:t>
      </w:r>
      <w:r w:rsidRPr="00F669DA">
        <w:tab/>
        <w:t>the most recent advice that the ACCC has given to the Minister under section</w:t>
      </w:r>
      <w:r w:rsidR="00F669DA" w:rsidRPr="00F669DA">
        <w:t> </w:t>
      </w:r>
      <w:r w:rsidRPr="00F669DA">
        <w:t>13;</w:t>
      </w:r>
    </w:p>
    <w:p w:rsidR="00056181" w:rsidRPr="00F669DA" w:rsidRDefault="00056181" w:rsidP="00F669DA">
      <w:pPr>
        <w:pStyle w:val="paragraph"/>
      </w:pPr>
      <w:r w:rsidRPr="00F669DA">
        <w:tab/>
        <w:t>(b)</w:t>
      </w:r>
      <w:r w:rsidRPr="00F669DA">
        <w:tab/>
        <w:t>such other matters (if any) as the Minister considers relevant.</w:t>
      </w:r>
    </w:p>
    <w:p w:rsidR="00056181" w:rsidRPr="00F669DA" w:rsidRDefault="00056181" w:rsidP="00F669DA">
      <w:pPr>
        <w:pStyle w:val="subsection"/>
      </w:pPr>
      <w:r w:rsidRPr="00F669DA">
        <w:tab/>
        <w:t>(6)</w:t>
      </w:r>
      <w:r w:rsidRPr="00F669DA">
        <w:tab/>
        <w:t xml:space="preserve">The Minister must not make a determination under </w:t>
      </w:r>
      <w:r w:rsidR="00F669DA" w:rsidRPr="00F669DA">
        <w:t>subsection (</w:t>
      </w:r>
      <w:r w:rsidRPr="00F669DA">
        <w:t>4) unless the ACCC has given advice to the Minister under section</w:t>
      </w:r>
      <w:r w:rsidR="00F669DA" w:rsidRPr="00F669DA">
        <w:t> </w:t>
      </w:r>
      <w:r w:rsidRPr="00F669DA">
        <w:t>13.</w:t>
      </w:r>
    </w:p>
    <w:p w:rsidR="00056181" w:rsidRPr="00F669DA" w:rsidRDefault="00056181" w:rsidP="00F669DA">
      <w:pPr>
        <w:pStyle w:val="subsection"/>
      </w:pPr>
      <w:r w:rsidRPr="00F669DA">
        <w:tab/>
        <w:t>(7)</w:t>
      </w:r>
      <w:r w:rsidRPr="00F669DA">
        <w:tab/>
        <w:t xml:space="preserve">A determination under </w:t>
      </w:r>
      <w:r w:rsidR="00F669DA" w:rsidRPr="00F669DA">
        <w:t>subsection (</w:t>
      </w:r>
      <w:r w:rsidRPr="00F669DA">
        <w:t>4) must not be inconsistent with section</w:t>
      </w:r>
      <w:r w:rsidR="00F669DA" w:rsidRPr="00F669DA">
        <w:t> </w:t>
      </w:r>
      <w:r w:rsidRPr="00F669DA">
        <w:t>17A (which deals with the combined component cap).</w:t>
      </w:r>
    </w:p>
    <w:p w:rsidR="00056181" w:rsidRPr="00F669DA" w:rsidRDefault="00056181" w:rsidP="00F669DA">
      <w:pPr>
        <w:pStyle w:val="ActHead5"/>
      </w:pPr>
      <w:bookmarkStart w:id="24" w:name="_Toc41406015"/>
      <w:r w:rsidRPr="00806D7E">
        <w:rPr>
          <w:rStyle w:val="CharSectno"/>
        </w:rPr>
        <w:t>13</w:t>
      </w:r>
      <w:r w:rsidRPr="00F669DA">
        <w:t xml:space="preserve">  Advice by the ACCC about base component</w:t>
      </w:r>
      <w:bookmarkEnd w:id="24"/>
    </w:p>
    <w:p w:rsidR="00056181" w:rsidRPr="00F669DA" w:rsidRDefault="00056181" w:rsidP="00F669DA">
      <w:pPr>
        <w:pStyle w:val="subsection"/>
      </w:pPr>
      <w:r w:rsidRPr="00F669DA">
        <w:tab/>
        <w:t>(1)</w:t>
      </w:r>
      <w:r w:rsidRPr="00F669DA">
        <w:tab/>
        <w:t>The ACCC:</w:t>
      </w:r>
    </w:p>
    <w:p w:rsidR="00056181" w:rsidRPr="00F669DA" w:rsidRDefault="00056181" w:rsidP="00F669DA">
      <w:pPr>
        <w:pStyle w:val="paragraph"/>
      </w:pPr>
      <w:r w:rsidRPr="00F669DA">
        <w:tab/>
        <w:t>(a)</w:t>
      </w:r>
      <w:r w:rsidRPr="00F669DA">
        <w:tab/>
        <w:t>may give advice to the Minister in relation to the exercise of the Minister’s power under subsection</w:t>
      </w:r>
      <w:r w:rsidR="00F669DA" w:rsidRPr="00F669DA">
        <w:t> </w:t>
      </w:r>
      <w:r w:rsidRPr="00F669DA">
        <w:t>12(4); and</w:t>
      </w:r>
    </w:p>
    <w:p w:rsidR="00056181" w:rsidRPr="00F669DA" w:rsidRDefault="00056181" w:rsidP="00F669DA">
      <w:pPr>
        <w:pStyle w:val="paragraph"/>
      </w:pPr>
      <w:r w:rsidRPr="00F669DA">
        <w:tab/>
        <w:t>(b)</w:t>
      </w:r>
      <w:r w:rsidRPr="00F669DA">
        <w:tab/>
        <w:t>must do so:</w:t>
      </w:r>
    </w:p>
    <w:p w:rsidR="00056181" w:rsidRPr="00F669DA" w:rsidRDefault="00056181" w:rsidP="00F669DA">
      <w:pPr>
        <w:pStyle w:val="paragraphsub"/>
      </w:pPr>
      <w:r w:rsidRPr="00F669DA">
        <w:tab/>
        <w:t>(</w:t>
      </w:r>
      <w:proofErr w:type="spellStart"/>
      <w:r w:rsidRPr="00F669DA">
        <w:t>i</w:t>
      </w:r>
      <w:proofErr w:type="spellEnd"/>
      <w:r w:rsidRPr="00F669DA">
        <w:t>)</w:t>
      </w:r>
      <w:r w:rsidRPr="00F669DA">
        <w:tab/>
        <w:t>at least once during the 5</w:t>
      </w:r>
      <w:r w:rsidR="00B41559">
        <w:noBreakHyphen/>
      </w:r>
      <w:r w:rsidRPr="00F669DA">
        <w:t>year period beginning at the commencement of this section; and</w:t>
      </w:r>
    </w:p>
    <w:p w:rsidR="00056181" w:rsidRPr="00F669DA" w:rsidRDefault="00056181" w:rsidP="00F669DA">
      <w:pPr>
        <w:pStyle w:val="paragraphsub"/>
      </w:pPr>
      <w:r w:rsidRPr="00F669DA">
        <w:tab/>
        <w:t>(ii)</w:t>
      </w:r>
      <w:r w:rsidRPr="00F669DA">
        <w:tab/>
        <w:t>at least once during each subsequent 5</w:t>
      </w:r>
      <w:r w:rsidR="00B41559">
        <w:noBreakHyphen/>
      </w:r>
      <w:r w:rsidRPr="00F669DA">
        <w:t>year period.</w:t>
      </w:r>
    </w:p>
    <w:p w:rsidR="00056181" w:rsidRPr="00F669DA" w:rsidRDefault="00056181" w:rsidP="00F669DA">
      <w:pPr>
        <w:pStyle w:val="subsection"/>
      </w:pPr>
      <w:r w:rsidRPr="00F669DA">
        <w:tab/>
        <w:t>(2)</w:t>
      </w:r>
      <w:r w:rsidRPr="00F669DA">
        <w:tab/>
        <w:t xml:space="preserve">In giving advice under </w:t>
      </w:r>
      <w:r w:rsidR="00F669DA" w:rsidRPr="00F669DA">
        <w:t>subsection (</w:t>
      </w:r>
      <w:r w:rsidRPr="00F669DA">
        <w:t>1), the ACCC:</w:t>
      </w:r>
    </w:p>
    <w:p w:rsidR="00056181" w:rsidRPr="00F669DA" w:rsidRDefault="00056181" w:rsidP="00F669DA">
      <w:pPr>
        <w:pStyle w:val="paragraph"/>
      </w:pPr>
      <w:r w:rsidRPr="00F669DA">
        <w:tab/>
        <w:t>(a)</w:t>
      </w:r>
      <w:r w:rsidRPr="00F669DA">
        <w:tab/>
        <w:t xml:space="preserve">must have regard to the principle set out in </w:t>
      </w:r>
      <w:r w:rsidR="00F669DA" w:rsidRPr="00F669DA">
        <w:t>subsection (</w:t>
      </w:r>
      <w:r w:rsidRPr="00F669DA">
        <w:t>3); and</w:t>
      </w:r>
    </w:p>
    <w:p w:rsidR="00056181" w:rsidRPr="00F669DA" w:rsidRDefault="00056181" w:rsidP="00F669DA">
      <w:pPr>
        <w:pStyle w:val="paragraph"/>
      </w:pPr>
      <w:r w:rsidRPr="00F669DA">
        <w:tab/>
        <w:t>(b)</w:t>
      </w:r>
      <w:r w:rsidRPr="00F669DA">
        <w:tab/>
        <w:t>may have regard to such other matters (if any) as the ACCC considers relevant.</w:t>
      </w:r>
    </w:p>
    <w:p w:rsidR="00056181" w:rsidRPr="00F669DA" w:rsidRDefault="00056181" w:rsidP="00F669DA">
      <w:pPr>
        <w:pStyle w:val="subsection"/>
      </w:pPr>
      <w:r w:rsidRPr="00F669DA">
        <w:tab/>
        <w:t>(3)</w:t>
      </w:r>
      <w:r w:rsidRPr="00F669DA">
        <w:tab/>
        <w:t xml:space="preserve">The principle mentioned in </w:t>
      </w:r>
      <w:r w:rsidR="00F669DA" w:rsidRPr="00F669DA">
        <w:t>paragraph (</w:t>
      </w:r>
      <w:r w:rsidRPr="00F669DA">
        <w:t>2)(a) is that amounts received by the Commonwealth by way of so much of charge imposed under this Act as is attributable to the annual base amount should be sufficient, over time, to offset reasonable losses incurred by eligible funding recipients in relation to:</w:t>
      </w:r>
    </w:p>
    <w:p w:rsidR="00056181" w:rsidRPr="00F669DA" w:rsidRDefault="00056181" w:rsidP="00F669DA">
      <w:pPr>
        <w:pStyle w:val="paragraph"/>
      </w:pPr>
      <w:r w:rsidRPr="00F669DA">
        <w:tab/>
        <w:t>(a)</w:t>
      </w:r>
      <w:r w:rsidRPr="00F669DA">
        <w:tab/>
        <w:t>the connection of premises to a telecommunications network in order that a carriage service provider can provide:</w:t>
      </w:r>
    </w:p>
    <w:p w:rsidR="00056181" w:rsidRPr="00F669DA" w:rsidRDefault="00056181" w:rsidP="00F669DA">
      <w:pPr>
        <w:pStyle w:val="paragraphsub"/>
      </w:pPr>
      <w:r w:rsidRPr="00F669DA">
        <w:tab/>
        <w:t>(</w:t>
      </w:r>
      <w:proofErr w:type="spellStart"/>
      <w:r w:rsidRPr="00F669DA">
        <w:t>i</w:t>
      </w:r>
      <w:proofErr w:type="spellEnd"/>
      <w:r w:rsidRPr="00F669DA">
        <w:t>)</w:t>
      </w:r>
      <w:r w:rsidRPr="00F669DA">
        <w:tab/>
        <w:t>fixed wireless broadband services to an end</w:t>
      </w:r>
      <w:r w:rsidR="00B41559">
        <w:noBreakHyphen/>
      </w:r>
      <w:r w:rsidRPr="00F669DA">
        <w:t>user at the premises; or</w:t>
      </w:r>
    </w:p>
    <w:p w:rsidR="00056181" w:rsidRPr="00F669DA" w:rsidRDefault="00056181" w:rsidP="00F669DA">
      <w:pPr>
        <w:pStyle w:val="paragraphsub"/>
      </w:pPr>
      <w:r w:rsidRPr="00F669DA">
        <w:lastRenderedPageBreak/>
        <w:tab/>
        <w:t>(ii)</w:t>
      </w:r>
      <w:r w:rsidRPr="00F669DA">
        <w:tab/>
        <w:t>satellite broadband services to an end</w:t>
      </w:r>
      <w:r w:rsidR="00B41559">
        <w:noBreakHyphen/>
      </w:r>
      <w:r w:rsidRPr="00F669DA">
        <w:t>user at the premises; or</w:t>
      </w:r>
    </w:p>
    <w:p w:rsidR="00056181" w:rsidRPr="00F669DA" w:rsidRDefault="00056181" w:rsidP="00F669DA">
      <w:pPr>
        <w:pStyle w:val="paragraph"/>
      </w:pPr>
      <w:r w:rsidRPr="00F669DA">
        <w:tab/>
        <w:t>(b)</w:t>
      </w:r>
      <w:r w:rsidRPr="00F669DA">
        <w:tab/>
        <w:t>the supply of eligible services to a carriage service provider in order that the carriage service provider can provide:</w:t>
      </w:r>
    </w:p>
    <w:p w:rsidR="00056181" w:rsidRPr="00F669DA" w:rsidRDefault="00056181" w:rsidP="00F669DA">
      <w:pPr>
        <w:pStyle w:val="paragraphsub"/>
      </w:pPr>
      <w:r w:rsidRPr="00F669DA">
        <w:tab/>
        <w:t>(</w:t>
      </w:r>
      <w:proofErr w:type="spellStart"/>
      <w:r w:rsidRPr="00F669DA">
        <w:t>i</w:t>
      </w:r>
      <w:proofErr w:type="spellEnd"/>
      <w:r w:rsidRPr="00F669DA">
        <w:t>)</w:t>
      </w:r>
      <w:r w:rsidRPr="00F669DA">
        <w:tab/>
        <w:t>fixed wireless broadband services to an end</w:t>
      </w:r>
      <w:r w:rsidR="00B41559">
        <w:noBreakHyphen/>
      </w:r>
      <w:r w:rsidRPr="00F669DA">
        <w:t>user at premises; or</w:t>
      </w:r>
    </w:p>
    <w:p w:rsidR="00056181" w:rsidRPr="00F669DA" w:rsidRDefault="00056181" w:rsidP="00F669DA">
      <w:pPr>
        <w:pStyle w:val="paragraphsub"/>
      </w:pPr>
      <w:r w:rsidRPr="00F669DA">
        <w:tab/>
        <w:t>(ii)</w:t>
      </w:r>
      <w:r w:rsidRPr="00F669DA">
        <w:tab/>
        <w:t>satellite broadband services to an end</w:t>
      </w:r>
      <w:r w:rsidR="00B41559">
        <w:noBreakHyphen/>
      </w:r>
      <w:r w:rsidRPr="00F669DA">
        <w:t>user at premises; or</w:t>
      </w:r>
    </w:p>
    <w:p w:rsidR="00056181" w:rsidRPr="00F669DA" w:rsidRDefault="00056181" w:rsidP="00F669DA">
      <w:pPr>
        <w:pStyle w:val="paragraph"/>
      </w:pPr>
      <w:r w:rsidRPr="00F669DA">
        <w:tab/>
        <w:t>(c)</w:t>
      </w:r>
      <w:r w:rsidRPr="00F669DA">
        <w:tab/>
        <w:t>facilities that are used, or proposed to be used, to supply:</w:t>
      </w:r>
    </w:p>
    <w:p w:rsidR="00056181" w:rsidRPr="00F669DA" w:rsidRDefault="00056181" w:rsidP="00F669DA">
      <w:pPr>
        <w:pStyle w:val="paragraphsub"/>
      </w:pPr>
      <w:r w:rsidRPr="00F669DA">
        <w:tab/>
        <w:t>(</w:t>
      </w:r>
      <w:proofErr w:type="spellStart"/>
      <w:r w:rsidRPr="00F669DA">
        <w:t>i</w:t>
      </w:r>
      <w:proofErr w:type="spellEnd"/>
      <w:r w:rsidRPr="00F669DA">
        <w:t>)</w:t>
      </w:r>
      <w:r w:rsidRPr="00F669DA">
        <w:tab/>
        <w:t>fixed wireless broadband services; or</w:t>
      </w:r>
    </w:p>
    <w:p w:rsidR="00056181" w:rsidRPr="00F669DA" w:rsidRDefault="00056181" w:rsidP="00F669DA">
      <w:pPr>
        <w:pStyle w:val="paragraphsub"/>
      </w:pPr>
      <w:r w:rsidRPr="00F669DA">
        <w:tab/>
        <w:t>(ii)</w:t>
      </w:r>
      <w:r w:rsidRPr="00F669DA">
        <w:tab/>
        <w:t>satellite broadband services; or</w:t>
      </w:r>
    </w:p>
    <w:p w:rsidR="00056181" w:rsidRPr="00F669DA" w:rsidRDefault="00056181" w:rsidP="00F669DA">
      <w:pPr>
        <w:pStyle w:val="paragraph"/>
      </w:pPr>
      <w:r w:rsidRPr="00F669DA">
        <w:tab/>
        <w:t>(d)</w:t>
      </w:r>
      <w:r w:rsidRPr="00F669DA">
        <w:tab/>
        <w:t xml:space="preserve">a matter that is incidental or ancillary to a matter mentioned in </w:t>
      </w:r>
      <w:r w:rsidR="00F669DA" w:rsidRPr="00F669DA">
        <w:t>paragraph (</w:t>
      </w:r>
      <w:r w:rsidRPr="00F669DA">
        <w:t>a), (b) or (c).</w:t>
      </w:r>
    </w:p>
    <w:p w:rsidR="00056181" w:rsidRPr="00F669DA" w:rsidRDefault="00056181" w:rsidP="00F669DA">
      <w:pPr>
        <w:pStyle w:val="subsection"/>
      </w:pPr>
      <w:r w:rsidRPr="00F669DA">
        <w:tab/>
        <w:t>(4)</w:t>
      </w:r>
      <w:r w:rsidRPr="00F669DA">
        <w:tab/>
        <w:t xml:space="preserve">For the purposes of </w:t>
      </w:r>
      <w:r w:rsidR="00F669DA" w:rsidRPr="00F669DA">
        <w:t>subsection (</w:t>
      </w:r>
      <w:r w:rsidRPr="00F669DA">
        <w:t>3), it is immaterial whether losses were incurred before or after the commencement of this section.</w:t>
      </w:r>
    </w:p>
    <w:p w:rsidR="00056181" w:rsidRPr="00F669DA" w:rsidRDefault="00056181" w:rsidP="00F669DA">
      <w:pPr>
        <w:pStyle w:val="subsection"/>
      </w:pPr>
      <w:r w:rsidRPr="00F669DA">
        <w:tab/>
        <w:t>(5)</w:t>
      </w:r>
      <w:r w:rsidRPr="00F669DA">
        <w:tab/>
        <w:t xml:space="preserve">In giving advice under </w:t>
      </w:r>
      <w:r w:rsidR="00F669DA" w:rsidRPr="00F669DA">
        <w:t>subsection (</w:t>
      </w:r>
      <w:r w:rsidRPr="00F669DA">
        <w:t>1), the ACCC must assume that Division</w:t>
      </w:r>
      <w:r w:rsidR="00F669DA" w:rsidRPr="00F669DA">
        <w:t> </w:t>
      </w:r>
      <w:r w:rsidRPr="00F669DA">
        <w:t>6 of Part</w:t>
      </w:r>
      <w:r w:rsidR="00F669DA" w:rsidRPr="00F669DA">
        <w:t> </w:t>
      </w:r>
      <w:r w:rsidRPr="00F669DA">
        <w:t xml:space="preserve">3 of the </w:t>
      </w:r>
      <w:r w:rsidRPr="00F669DA">
        <w:rPr>
          <w:i/>
        </w:rPr>
        <w:t>Telecommunications (Consumer Protection and Service Standards) Act 1999</w:t>
      </w:r>
      <w:r w:rsidRPr="00F669DA">
        <w:t xml:space="preserve"> had not been enacted.</w:t>
      </w:r>
    </w:p>
    <w:p w:rsidR="00056181" w:rsidRPr="00F669DA" w:rsidRDefault="00056181" w:rsidP="00F669DA">
      <w:pPr>
        <w:pStyle w:val="notetext"/>
      </w:pPr>
      <w:r w:rsidRPr="00F669DA">
        <w:t>Note:</w:t>
      </w:r>
      <w:r w:rsidRPr="00F669DA">
        <w:tab/>
        <w:t>That Division deals with charge offset certificates.</w:t>
      </w:r>
    </w:p>
    <w:p w:rsidR="00056181" w:rsidRPr="00F669DA" w:rsidRDefault="00056181" w:rsidP="00F669DA">
      <w:pPr>
        <w:pStyle w:val="subsection"/>
      </w:pPr>
      <w:r w:rsidRPr="00F669DA">
        <w:tab/>
        <w:t>(6)</w:t>
      </w:r>
      <w:r w:rsidRPr="00F669DA">
        <w:tab/>
        <w:t>To avoid doubt, the use of the word “Regional”</w:t>
      </w:r>
      <w:r w:rsidRPr="00F669DA">
        <w:rPr>
          <w:b/>
          <w:i/>
        </w:rPr>
        <w:t xml:space="preserve"> </w:t>
      </w:r>
      <w:r w:rsidRPr="00F669DA">
        <w:t>in:</w:t>
      </w:r>
    </w:p>
    <w:p w:rsidR="00056181" w:rsidRPr="00F669DA" w:rsidRDefault="00056181" w:rsidP="00F669DA">
      <w:pPr>
        <w:pStyle w:val="paragraph"/>
      </w:pPr>
      <w:r w:rsidRPr="00F669DA">
        <w:tab/>
        <w:t>(a)</w:t>
      </w:r>
      <w:r w:rsidRPr="00F669DA">
        <w:tab/>
        <w:t>the short title of this Act; or</w:t>
      </w:r>
    </w:p>
    <w:p w:rsidR="00056181" w:rsidRPr="00F669DA" w:rsidRDefault="00056181" w:rsidP="00F669DA">
      <w:pPr>
        <w:pStyle w:val="paragraph"/>
      </w:pPr>
      <w:r w:rsidRPr="00F669DA">
        <w:tab/>
        <w:t>(b)</w:t>
      </w:r>
      <w:r w:rsidRPr="00F669DA">
        <w:tab/>
        <w:t>the name of the Regional Broadband Scheme Special Account</w:t>
      </w:r>
      <w:bookmarkStart w:id="25" w:name="BK_S3P9L29C8"/>
      <w:bookmarkEnd w:id="25"/>
      <w:r w:rsidRPr="00F669DA">
        <w:t>; or</w:t>
      </w:r>
    </w:p>
    <w:p w:rsidR="00056181" w:rsidRPr="00F669DA" w:rsidRDefault="00056181" w:rsidP="00F669DA">
      <w:pPr>
        <w:pStyle w:val="paragraph"/>
      </w:pPr>
      <w:r w:rsidRPr="00F669DA">
        <w:tab/>
        <w:t>(c)</w:t>
      </w:r>
      <w:r w:rsidRPr="00F669DA">
        <w:tab/>
        <w:t>section</w:t>
      </w:r>
      <w:r w:rsidR="00F669DA" w:rsidRPr="00F669DA">
        <w:t> </w:t>
      </w:r>
      <w:r w:rsidRPr="00F669DA">
        <w:t xml:space="preserve">92A of the </w:t>
      </w:r>
      <w:r w:rsidRPr="00F669DA">
        <w:rPr>
          <w:i/>
        </w:rPr>
        <w:t>Telecommunications (Consumer Protection and Service Standards) Act 1999</w:t>
      </w:r>
      <w:r w:rsidRPr="00F669DA">
        <w:t>;</w:t>
      </w:r>
    </w:p>
    <w:p w:rsidR="00056181" w:rsidRPr="00F669DA" w:rsidRDefault="00056181" w:rsidP="00F669DA">
      <w:pPr>
        <w:pStyle w:val="subsection2"/>
      </w:pPr>
      <w:r w:rsidRPr="00F669DA">
        <w:t xml:space="preserve">does not limit </w:t>
      </w:r>
      <w:r w:rsidR="00F669DA" w:rsidRPr="00F669DA">
        <w:t>subsection (</w:t>
      </w:r>
      <w:r w:rsidRPr="00F669DA">
        <w:t>3) of this section.</w:t>
      </w:r>
    </w:p>
    <w:p w:rsidR="00056181" w:rsidRPr="00F669DA" w:rsidRDefault="00056181" w:rsidP="00F669DA">
      <w:pPr>
        <w:pStyle w:val="ActHead5"/>
      </w:pPr>
      <w:bookmarkStart w:id="26" w:name="_Toc41406016"/>
      <w:r w:rsidRPr="00806D7E">
        <w:rPr>
          <w:rStyle w:val="CharSectno"/>
        </w:rPr>
        <w:t>14</w:t>
      </w:r>
      <w:r w:rsidRPr="00F669DA">
        <w:t xml:space="preserve">  Annual administrative cost amount</w:t>
      </w:r>
      <w:bookmarkEnd w:id="26"/>
    </w:p>
    <w:p w:rsidR="00056181" w:rsidRPr="00F669DA" w:rsidRDefault="00056181" w:rsidP="00F669DA">
      <w:pPr>
        <w:pStyle w:val="subsection"/>
      </w:pPr>
      <w:r w:rsidRPr="00F669DA">
        <w:tab/>
        <w:t>(1)</w:t>
      </w:r>
      <w:r w:rsidRPr="00F669DA">
        <w:tab/>
        <w:t xml:space="preserve">For the purposes of this Act, a person’s </w:t>
      </w:r>
      <w:r w:rsidRPr="00F669DA">
        <w:rPr>
          <w:b/>
          <w:i/>
        </w:rPr>
        <w:t>annual administrative cost amount</w:t>
      </w:r>
      <w:r w:rsidRPr="00F669DA">
        <w:t xml:space="preserve"> for an eligible financial year is the sum of the person’s monthly administrative cost amounts for each of the months in the eligible financial year.</w:t>
      </w:r>
    </w:p>
    <w:p w:rsidR="00056181" w:rsidRPr="00F669DA" w:rsidRDefault="00056181" w:rsidP="00F669DA">
      <w:pPr>
        <w:pStyle w:val="subsection"/>
      </w:pPr>
      <w:r w:rsidRPr="00F669DA">
        <w:lastRenderedPageBreak/>
        <w:tab/>
        <w:t>(2)</w:t>
      </w:r>
      <w:r w:rsidRPr="00F669DA">
        <w:tab/>
        <w:t xml:space="preserve">If there are no chargeable premises associated with a local access line of the person for a particular month, disregard that month for the purposes of </w:t>
      </w:r>
      <w:r w:rsidR="00F669DA" w:rsidRPr="00F669DA">
        <w:t>subsection (</w:t>
      </w:r>
      <w:r w:rsidRPr="00F669DA">
        <w:t>1).</w:t>
      </w:r>
    </w:p>
    <w:p w:rsidR="00056181" w:rsidRPr="00F669DA" w:rsidRDefault="00056181" w:rsidP="00F669DA">
      <w:pPr>
        <w:pStyle w:val="ActHead5"/>
      </w:pPr>
      <w:bookmarkStart w:id="27" w:name="_Toc41406017"/>
      <w:r w:rsidRPr="00806D7E">
        <w:rPr>
          <w:rStyle w:val="CharSectno"/>
        </w:rPr>
        <w:t>15</w:t>
      </w:r>
      <w:r w:rsidRPr="00F669DA">
        <w:t xml:space="preserve">  Monthly administrative cost amount</w:t>
      </w:r>
      <w:bookmarkEnd w:id="27"/>
    </w:p>
    <w:p w:rsidR="00056181" w:rsidRPr="00F669DA" w:rsidRDefault="00056181" w:rsidP="00F669DA">
      <w:pPr>
        <w:pStyle w:val="subsection"/>
      </w:pPr>
      <w:r w:rsidRPr="00F669DA">
        <w:tab/>
      </w:r>
      <w:r w:rsidRPr="00F669DA">
        <w:tab/>
        <w:t xml:space="preserve">For the purposes of this Act, a person’s </w:t>
      </w:r>
      <w:r w:rsidRPr="00F669DA">
        <w:rPr>
          <w:b/>
          <w:i/>
        </w:rPr>
        <w:t xml:space="preserve">monthly administrative cost amount </w:t>
      </w:r>
      <w:r w:rsidRPr="00F669DA">
        <w:t>for a month is the amount calculated using the formula:</w:t>
      </w:r>
    </w:p>
    <w:bookmarkStart w:id="28" w:name="BKCheck15B_4"/>
    <w:bookmarkEnd w:id="28"/>
    <w:p w:rsidR="00056181" w:rsidRPr="00F669DA" w:rsidRDefault="00056181" w:rsidP="00F669DA">
      <w:pPr>
        <w:pStyle w:val="subsection2"/>
      </w:pPr>
      <w:r w:rsidRPr="00F669DA">
        <w:rPr>
          <w:position w:val="-20"/>
        </w:rPr>
        <w:object w:dxaOrig="5580" w:dyaOrig="620">
          <v:shape id="_x0000_i1029" type="#_x0000_t75" style="width:279pt;height:31.5pt" o:ole="">
            <v:imagedata r:id="rId26" o:title=""/>
          </v:shape>
          <o:OLEObject Type="Embed" ProgID="Equation.DSMT4" ShapeID="_x0000_i1029" DrawAspect="Content" ObjectID="_1652018963" r:id="rId27"/>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administrative cost component </w:t>
      </w:r>
      <w:r w:rsidRPr="00F669DA">
        <w:t>means the administrative cost component for that month.</w:t>
      </w:r>
    </w:p>
    <w:p w:rsidR="00056181" w:rsidRPr="00F669DA" w:rsidRDefault="00056181" w:rsidP="00F669DA">
      <w:pPr>
        <w:pStyle w:val="Definition"/>
      </w:pPr>
      <w:r w:rsidRPr="00F669DA">
        <w:rPr>
          <w:b/>
          <w:i/>
        </w:rPr>
        <w:t>number of chargeable premises associated with a local access line</w:t>
      </w:r>
      <w:r w:rsidRPr="00F669DA">
        <w:t xml:space="preserve"> means the total number of chargeable premises associated with a local access line of the person for that month.</w:t>
      </w:r>
    </w:p>
    <w:p w:rsidR="00056181" w:rsidRPr="00F669DA" w:rsidRDefault="00056181" w:rsidP="00F669DA">
      <w:pPr>
        <w:pStyle w:val="notetext"/>
      </w:pPr>
      <w:r w:rsidRPr="00F669DA">
        <w:t>Note:</w:t>
      </w:r>
      <w:r w:rsidRPr="00F669DA">
        <w:tab/>
        <w:t>If that month is in the first, second, third, fourth or fifth eligible financial year, the total number may be reduced under section</w:t>
      </w:r>
      <w:r w:rsidR="00F669DA" w:rsidRPr="00F669DA">
        <w:t> </w:t>
      </w:r>
      <w:r w:rsidRPr="00F669DA">
        <w:t>20.</w:t>
      </w:r>
    </w:p>
    <w:p w:rsidR="00056181" w:rsidRPr="00F669DA" w:rsidRDefault="00056181" w:rsidP="00F669DA">
      <w:pPr>
        <w:pStyle w:val="ActHead5"/>
      </w:pPr>
      <w:bookmarkStart w:id="29" w:name="_Toc41406018"/>
      <w:r w:rsidRPr="00806D7E">
        <w:rPr>
          <w:rStyle w:val="CharSectno"/>
        </w:rPr>
        <w:t>16</w:t>
      </w:r>
      <w:r w:rsidRPr="00F669DA">
        <w:t xml:space="preserve">  Administrative cost component</w:t>
      </w:r>
      <w:bookmarkEnd w:id="29"/>
    </w:p>
    <w:p w:rsidR="00056181" w:rsidRPr="00F669DA" w:rsidRDefault="00056181" w:rsidP="00F669DA">
      <w:pPr>
        <w:pStyle w:val="subsection"/>
      </w:pPr>
      <w:r w:rsidRPr="00F669DA">
        <w:tab/>
        <w:t>(1)</w:t>
      </w:r>
      <w:r w:rsidRPr="00F669DA">
        <w:tab/>
        <w:t xml:space="preserve">For the purposes of this Act, the </w:t>
      </w:r>
      <w:r w:rsidRPr="00F669DA">
        <w:rPr>
          <w:b/>
          <w:i/>
        </w:rPr>
        <w:t xml:space="preserve">administrative cost component </w:t>
      </w:r>
      <w:r w:rsidRPr="00F669DA">
        <w:t>for a month in the first eligible financial year is:</w:t>
      </w:r>
    </w:p>
    <w:p w:rsidR="00056181" w:rsidRPr="00F669DA" w:rsidRDefault="008A5E21" w:rsidP="00F669DA">
      <w:pPr>
        <w:pStyle w:val="paragraph"/>
      </w:pPr>
      <w:r w:rsidRPr="00F669DA">
        <w:tab/>
        <w:t>(a)</w:t>
      </w:r>
      <w:r w:rsidRPr="00F669DA">
        <w:tab/>
        <w:t>$0.01</w:t>
      </w:r>
      <w:r w:rsidR="00056181" w:rsidRPr="00F669DA">
        <w:t>; or</w:t>
      </w:r>
    </w:p>
    <w:p w:rsidR="00056181" w:rsidRPr="00F669DA" w:rsidRDefault="00056181" w:rsidP="00F669DA">
      <w:pPr>
        <w:pStyle w:val="paragraph"/>
      </w:pPr>
      <w:r w:rsidRPr="00F669DA">
        <w:tab/>
        <w:t>(b)</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(2)</w:t>
      </w:r>
      <w:r w:rsidRPr="00F669DA">
        <w:tab/>
        <w:t xml:space="preserve">For the purposes of this Act, the </w:t>
      </w:r>
      <w:r w:rsidRPr="00F669DA">
        <w:rPr>
          <w:b/>
          <w:i/>
        </w:rPr>
        <w:t xml:space="preserve">administrative cost component </w:t>
      </w:r>
      <w:r w:rsidRPr="00F669DA">
        <w:t>for a month in the second eligible financial year is:</w:t>
      </w:r>
    </w:p>
    <w:p w:rsidR="00056181" w:rsidRPr="00F669DA" w:rsidRDefault="00056181" w:rsidP="00F669DA">
      <w:pPr>
        <w:pStyle w:val="paragraph"/>
      </w:pPr>
      <w:r w:rsidRPr="00F669DA">
        <w:tab/>
        <w:t>(a)</w:t>
      </w:r>
      <w:r w:rsidRPr="00F669DA">
        <w:tab/>
      </w:r>
      <w:r w:rsidRPr="00F669DA">
        <w:rPr>
          <w:color w:val="000000"/>
        </w:rPr>
        <w:t>$0.00172</w:t>
      </w:r>
      <w:r w:rsidRPr="00F669DA">
        <w:t>; or</w:t>
      </w:r>
    </w:p>
    <w:p w:rsidR="00056181" w:rsidRPr="00F669DA" w:rsidRDefault="00056181" w:rsidP="00F669DA">
      <w:pPr>
        <w:pStyle w:val="paragraph"/>
      </w:pPr>
      <w:r w:rsidRPr="00F669DA">
        <w:tab/>
        <w:t>(b)</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(3)</w:t>
      </w:r>
      <w:r w:rsidRPr="00F669DA">
        <w:tab/>
        <w:t xml:space="preserve">For the purposes of this Act, the </w:t>
      </w:r>
      <w:r w:rsidRPr="00F669DA">
        <w:rPr>
          <w:b/>
          <w:i/>
        </w:rPr>
        <w:t xml:space="preserve">administrative cost component </w:t>
      </w:r>
      <w:r w:rsidRPr="00F669DA">
        <w:t>for a month in the third eligible financial year is:</w:t>
      </w:r>
    </w:p>
    <w:p w:rsidR="00056181" w:rsidRPr="00F669DA" w:rsidRDefault="00056181" w:rsidP="00F669DA">
      <w:pPr>
        <w:pStyle w:val="paragraph"/>
      </w:pPr>
      <w:r w:rsidRPr="00F669DA">
        <w:tab/>
        <w:t>(a)</w:t>
      </w:r>
      <w:r w:rsidRPr="00F669DA">
        <w:tab/>
        <w:t>$0.00; or</w:t>
      </w:r>
    </w:p>
    <w:p w:rsidR="00056181" w:rsidRPr="00F669DA" w:rsidRDefault="00056181" w:rsidP="00F669DA">
      <w:pPr>
        <w:pStyle w:val="paragraph"/>
      </w:pPr>
      <w:r w:rsidRPr="00F669DA">
        <w:lastRenderedPageBreak/>
        <w:tab/>
        <w:t>(b)</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(4)</w:t>
      </w:r>
      <w:r w:rsidRPr="00F669DA">
        <w:tab/>
        <w:t xml:space="preserve">For the purposes of this Act, the </w:t>
      </w:r>
      <w:r w:rsidRPr="00F669DA">
        <w:rPr>
          <w:b/>
          <w:i/>
        </w:rPr>
        <w:t xml:space="preserve">administrative cost component </w:t>
      </w:r>
      <w:r w:rsidRPr="00F669DA">
        <w:t>for a month in the fourth eligible financial year is:</w:t>
      </w:r>
    </w:p>
    <w:p w:rsidR="00056181" w:rsidRPr="00F669DA" w:rsidRDefault="00056181" w:rsidP="00F669DA">
      <w:pPr>
        <w:pStyle w:val="paragraph"/>
      </w:pPr>
      <w:r w:rsidRPr="00F669DA">
        <w:tab/>
        <w:t>(a)</w:t>
      </w:r>
      <w:r w:rsidRPr="00F669DA">
        <w:tab/>
        <w:t>$0.0027; or</w:t>
      </w:r>
    </w:p>
    <w:p w:rsidR="00056181" w:rsidRPr="00F669DA" w:rsidRDefault="00056181" w:rsidP="00F669DA">
      <w:pPr>
        <w:pStyle w:val="paragraph"/>
      </w:pPr>
      <w:r w:rsidRPr="00F669DA">
        <w:tab/>
        <w:t>(b)</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(5)</w:t>
      </w:r>
      <w:r w:rsidRPr="00F669DA">
        <w:tab/>
        <w:t xml:space="preserve">For the purposes of this Act, the </w:t>
      </w:r>
      <w:r w:rsidRPr="00F669DA">
        <w:rPr>
          <w:b/>
          <w:i/>
        </w:rPr>
        <w:t xml:space="preserve">administrative cost component </w:t>
      </w:r>
      <w:r w:rsidRPr="00F669DA">
        <w:t>for a month in the fifth eligible financial year is:</w:t>
      </w:r>
    </w:p>
    <w:p w:rsidR="00056181" w:rsidRPr="00F669DA" w:rsidRDefault="00056181" w:rsidP="00F669DA">
      <w:pPr>
        <w:pStyle w:val="paragraph"/>
      </w:pPr>
      <w:r w:rsidRPr="00F669DA">
        <w:tab/>
        <w:t>(a)</w:t>
      </w:r>
      <w:r w:rsidRPr="00F669DA">
        <w:tab/>
        <w:t>$0.00; or</w:t>
      </w:r>
    </w:p>
    <w:p w:rsidR="00056181" w:rsidRPr="00F669DA" w:rsidRDefault="00056181" w:rsidP="00F669DA">
      <w:pPr>
        <w:pStyle w:val="paragraph"/>
      </w:pPr>
      <w:r w:rsidRPr="00F669DA">
        <w:tab/>
        <w:t>(b)</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(6)</w:t>
      </w:r>
      <w:r w:rsidRPr="00F669DA">
        <w:tab/>
        <w:t xml:space="preserve">For the purposes of this Act, the </w:t>
      </w:r>
      <w:r w:rsidRPr="00F669DA">
        <w:rPr>
          <w:b/>
          <w:i/>
        </w:rPr>
        <w:t xml:space="preserve">administrative cost component </w:t>
      </w:r>
      <w:r w:rsidRPr="00F669DA">
        <w:t>for a month in:</w:t>
      </w:r>
    </w:p>
    <w:p w:rsidR="00056181" w:rsidRPr="00F669DA" w:rsidRDefault="00056181" w:rsidP="00F669DA">
      <w:pPr>
        <w:pStyle w:val="paragraph"/>
      </w:pPr>
      <w:r w:rsidRPr="00F669DA">
        <w:tab/>
        <w:t>(a)</w:t>
      </w:r>
      <w:r w:rsidRPr="00F669DA">
        <w:tab/>
        <w:t>the sixth eligible financial year; or</w:t>
      </w:r>
    </w:p>
    <w:p w:rsidR="00056181" w:rsidRPr="00F669DA" w:rsidRDefault="00056181" w:rsidP="00F669DA">
      <w:pPr>
        <w:pStyle w:val="paragraph"/>
      </w:pPr>
      <w:r w:rsidRPr="00F669DA">
        <w:tab/>
        <w:t>(b)</w:t>
      </w:r>
      <w:r w:rsidRPr="00F669DA">
        <w:tab/>
        <w:t>a later financial year;</w:t>
      </w:r>
    </w:p>
    <w:p w:rsidR="00056181" w:rsidRPr="00F669DA" w:rsidRDefault="00056181" w:rsidP="00F669DA">
      <w:pPr>
        <w:pStyle w:val="subsection2"/>
      </w:pPr>
      <w:r w:rsidRPr="00F669DA">
        <w:t>is:</w:t>
      </w:r>
    </w:p>
    <w:p w:rsidR="00056181" w:rsidRPr="00F669DA" w:rsidRDefault="00056181" w:rsidP="00F669DA">
      <w:pPr>
        <w:pStyle w:val="paragraph"/>
      </w:pPr>
      <w:r w:rsidRPr="00F669DA">
        <w:tab/>
        <w:t>(c)</w:t>
      </w:r>
      <w:r w:rsidRPr="00F669DA">
        <w:tab/>
        <w:t xml:space="preserve">the amount calculated, to 5 decimal places (rounding up if the sixth decimal place is 5 or more), using the formula in </w:t>
      </w:r>
      <w:r w:rsidR="00F669DA" w:rsidRPr="00F669DA">
        <w:t>subsection (</w:t>
      </w:r>
      <w:r w:rsidRPr="00F669DA">
        <w:t>7); or</w:t>
      </w:r>
    </w:p>
    <w:p w:rsidR="00056181" w:rsidRPr="00F669DA" w:rsidRDefault="00056181" w:rsidP="00F669DA">
      <w:pPr>
        <w:pStyle w:val="paragraph"/>
      </w:pPr>
      <w:r w:rsidRPr="00F669DA">
        <w:tab/>
        <w:t>(d)</w:t>
      </w:r>
      <w:r w:rsidRPr="00F669DA">
        <w:tab/>
        <w:t xml:space="preserve">if another amount is determined under </w:t>
      </w:r>
      <w:r w:rsidR="00F669DA" w:rsidRPr="00F669DA">
        <w:t>subsection (</w:t>
      </w:r>
      <w:r w:rsidRPr="00F669DA">
        <w:t>8) in relation to that month—that other amount.</w:t>
      </w:r>
    </w:p>
    <w:p w:rsidR="00056181" w:rsidRPr="00F669DA" w:rsidRDefault="00056181" w:rsidP="00F669DA">
      <w:pPr>
        <w:pStyle w:val="subsection"/>
      </w:pPr>
      <w:r w:rsidRPr="00F669DA">
        <w:tab/>
        <w:t>(7)</w:t>
      </w:r>
      <w:r w:rsidRPr="00F669DA">
        <w:tab/>
        <w:t xml:space="preserve">The formula mentioned in </w:t>
      </w:r>
      <w:r w:rsidR="00F669DA" w:rsidRPr="00F669DA">
        <w:t>paragraph (</w:t>
      </w:r>
      <w:r w:rsidRPr="00F669DA">
        <w:t>6)(c) is:</w:t>
      </w:r>
    </w:p>
    <w:bookmarkStart w:id="30" w:name="BKCheck15B_5"/>
    <w:bookmarkEnd w:id="30"/>
    <w:p w:rsidR="00056181" w:rsidRPr="00F669DA" w:rsidRDefault="00056181" w:rsidP="00F669DA">
      <w:pPr>
        <w:pStyle w:val="subsection2"/>
      </w:pPr>
      <w:r w:rsidRPr="00F669DA">
        <w:rPr>
          <w:position w:val="-10"/>
        </w:rPr>
        <w:object w:dxaOrig="4940" w:dyaOrig="420">
          <v:shape id="_x0000_i1030" type="#_x0000_t75" style="width:246.75pt;height:21pt" o:ole="">
            <v:imagedata r:id="rId28" o:title=""/>
          </v:shape>
          <o:OLEObject Type="Embed" ProgID="Equation.DSMT4" ShapeID="_x0000_i1030" DrawAspect="Content" ObjectID="_1652018964" r:id="rId29"/>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indexation factor </w:t>
      </w:r>
      <w:r w:rsidRPr="00F669DA">
        <w:t>means the indexation factor for the financial year.</w:t>
      </w:r>
    </w:p>
    <w:p w:rsidR="00056181" w:rsidRPr="00F669DA" w:rsidRDefault="00056181" w:rsidP="00F669DA">
      <w:pPr>
        <w:pStyle w:val="Definition"/>
      </w:pPr>
      <w:r w:rsidRPr="00F669DA">
        <w:rPr>
          <w:b/>
          <w:i/>
        </w:rPr>
        <w:t xml:space="preserve">previous administrative cost component </w:t>
      </w:r>
      <w:r w:rsidRPr="00F669DA">
        <w:t>means the administrative cost component for a month in the previous financial year.</w:t>
      </w:r>
    </w:p>
    <w:p w:rsidR="00056181" w:rsidRPr="00F669DA" w:rsidRDefault="00056181" w:rsidP="00F669DA">
      <w:pPr>
        <w:pStyle w:val="SubsectionHead"/>
      </w:pPr>
      <w:r w:rsidRPr="00F669DA">
        <w:t>Determinations</w:t>
      </w:r>
    </w:p>
    <w:p w:rsidR="00056181" w:rsidRPr="00F669DA" w:rsidRDefault="00056181" w:rsidP="00F669DA">
      <w:pPr>
        <w:pStyle w:val="subsection"/>
      </w:pPr>
      <w:r w:rsidRPr="00F669DA">
        <w:tab/>
        <w:t>(8)</w:t>
      </w:r>
      <w:r w:rsidRPr="00F669DA">
        <w:tab/>
        <w:t>The Minister may, by legislative instrument:</w:t>
      </w:r>
    </w:p>
    <w:p w:rsidR="00056181" w:rsidRPr="00F669DA" w:rsidRDefault="00056181" w:rsidP="00F669DA">
      <w:pPr>
        <w:pStyle w:val="paragraph"/>
      </w:pPr>
      <w:r w:rsidRPr="00F669DA">
        <w:lastRenderedPageBreak/>
        <w:tab/>
        <w:t>(a)</w:t>
      </w:r>
      <w:r w:rsidRPr="00F669DA">
        <w:tab/>
        <w:t xml:space="preserve">for the purposes of </w:t>
      </w:r>
      <w:r w:rsidR="00F669DA" w:rsidRPr="00F669DA">
        <w:t>paragraph (</w:t>
      </w:r>
      <w:r w:rsidRPr="00F669DA">
        <w:t>1)(b), determine a single specified amount in relation to each of the months in the first eligible financial year; or</w:t>
      </w:r>
    </w:p>
    <w:p w:rsidR="00056181" w:rsidRPr="00F669DA" w:rsidRDefault="00056181" w:rsidP="00F669DA">
      <w:pPr>
        <w:pStyle w:val="paragraph"/>
      </w:pPr>
      <w:r w:rsidRPr="00F669DA">
        <w:tab/>
        <w:t>(b)</w:t>
      </w:r>
      <w:r w:rsidRPr="00F669DA">
        <w:tab/>
        <w:t xml:space="preserve">for the purposes of </w:t>
      </w:r>
      <w:r w:rsidR="00F669DA" w:rsidRPr="00F669DA">
        <w:t>paragraph (</w:t>
      </w:r>
      <w:r w:rsidRPr="00F669DA">
        <w:t>2)(b), determine a single specified amount in relation to each of the months in the second eligible financial year; or</w:t>
      </w:r>
    </w:p>
    <w:p w:rsidR="00056181" w:rsidRPr="00F669DA" w:rsidRDefault="00056181" w:rsidP="00F669DA">
      <w:pPr>
        <w:pStyle w:val="paragraph"/>
      </w:pPr>
      <w:r w:rsidRPr="00F669DA">
        <w:tab/>
        <w:t>(c)</w:t>
      </w:r>
      <w:r w:rsidRPr="00F669DA">
        <w:tab/>
        <w:t xml:space="preserve">for the purposes of </w:t>
      </w:r>
      <w:r w:rsidR="00F669DA" w:rsidRPr="00F669DA">
        <w:t>paragraph (</w:t>
      </w:r>
      <w:r w:rsidRPr="00F669DA">
        <w:t>3)(b), determine a single specified amount in relation to each of the months in the third eligible financial year; or</w:t>
      </w:r>
    </w:p>
    <w:p w:rsidR="00056181" w:rsidRPr="00F669DA" w:rsidRDefault="00056181" w:rsidP="00F669DA">
      <w:pPr>
        <w:pStyle w:val="paragraph"/>
      </w:pPr>
      <w:r w:rsidRPr="00F669DA">
        <w:tab/>
        <w:t>(d)</w:t>
      </w:r>
      <w:r w:rsidRPr="00F669DA">
        <w:tab/>
        <w:t xml:space="preserve">for the purposes of </w:t>
      </w:r>
      <w:r w:rsidR="00F669DA" w:rsidRPr="00F669DA">
        <w:t>paragraph (</w:t>
      </w:r>
      <w:r w:rsidRPr="00F669DA">
        <w:t>4)(b), determine a single specified amount in relation to each of the months in the fourth eligible financial year; or</w:t>
      </w:r>
    </w:p>
    <w:p w:rsidR="00056181" w:rsidRPr="00F669DA" w:rsidRDefault="00056181" w:rsidP="00F669DA">
      <w:pPr>
        <w:pStyle w:val="paragraph"/>
      </w:pPr>
      <w:r w:rsidRPr="00F669DA">
        <w:tab/>
        <w:t>(e)</w:t>
      </w:r>
      <w:r w:rsidRPr="00F669DA">
        <w:tab/>
        <w:t xml:space="preserve">for the purposes of </w:t>
      </w:r>
      <w:r w:rsidR="00F669DA" w:rsidRPr="00F669DA">
        <w:t>paragraph (</w:t>
      </w:r>
      <w:r w:rsidRPr="00F669DA">
        <w:t>5)(b), determine a single specified amount in relation to each of the months in the fifth eligible financial year; or</w:t>
      </w:r>
    </w:p>
    <w:p w:rsidR="00056181" w:rsidRPr="00F669DA" w:rsidRDefault="00056181" w:rsidP="00F669DA">
      <w:pPr>
        <w:pStyle w:val="paragraph"/>
      </w:pPr>
      <w:r w:rsidRPr="00F669DA">
        <w:tab/>
        <w:t>(f)</w:t>
      </w:r>
      <w:r w:rsidRPr="00F669DA">
        <w:tab/>
        <w:t xml:space="preserve">for the purposes of </w:t>
      </w:r>
      <w:r w:rsidR="00F669DA" w:rsidRPr="00F669DA">
        <w:t>paragraph (</w:t>
      </w:r>
      <w:r w:rsidRPr="00F669DA">
        <w:t>6)(d), determine a single specified amount in relation to each of the months in a specified financial year.</w:t>
      </w:r>
    </w:p>
    <w:p w:rsidR="00056181" w:rsidRPr="00F669DA" w:rsidRDefault="00056181" w:rsidP="00F669DA">
      <w:pPr>
        <w:pStyle w:val="notetext"/>
      </w:pPr>
      <w:r w:rsidRPr="00F669DA">
        <w:t>Note:</w:t>
      </w:r>
      <w:r w:rsidRPr="00F669DA">
        <w:tab/>
        <w:t>See also section</w:t>
      </w:r>
      <w:r w:rsidR="00F669DA" w:rsidRPr="00F669DA">
        <w:t> </w:t>
      </w:r>
      <w:r w:rsidRPr="00F669DA">
        <w:t>19.</w:t>
      </w:r>
    </w:p>
    <w:p w:rsidR="00056181" w:rsidRPr="00F669DA" w:rsidRDefault="00056181" w:rsidP="00F669DA">
      <w:pPr>
        <w:pStyle w:val="subsection"/>
      </w:pPr>
      <w:r w:rsidRPr="00F669DA">
        <w:tab/>
        <w:t>(9)</w:t>
      </w:r>
      <w:r w:rsidRPr="00F669DA">
        <w:tab/>
        <w:t xml:space="preserve">In deciding whether to make a determination under </w:t>
      </w:r>
      <w:r w:rsidR="00F669DA" w:rsidRPr="00F669DA">
        <w:t>subsection (</w:t>
      </w:r>
      <w:r w:rsidRPr="00F669DA">
        <w:t>8), the Minister must have regard to the following:</w:t>
      </w:r>
    </w:p>
    <w:p w:rsidR="00056181" w:rsidRPr="00F669DA" w:rsidRDefault="00056181" w:rsidP="00F669DA">
      <w:pPr>
        <w:pStyle w:val="paragraph"/>
      </w:pPr>
      <w:r w:rsidRPr="00F669DA">
        <w:tab/>
        <w:t>(a)</w:t>
      </w:r>
      <w:r w:rsidRPr="00F669DA">
        <w:tab/>
        <w:t>the most recent advice that the ACCC has given to the Minister under section</w:t>
      </w:r>
      <w:r w:rsidR="00F669DA" w:rsidRPr="00F669DA">
        <w:t> </w:t>
      </w:r>
      <w:r w:rsidRPr="00F669DA">
        <w:t>17;</w:t>
      </w:r>
    </w:p>
    <w:p w:rsidR="00056181" w:rsidRPr="00F669DA" w:rsidRDefault="00056181" w:rsidP="00F669DA">
      <w:pPr>
        <w:pStyle w:val="paragraph"/>
      </w:pPr>
      <w:r w:rsidRPr="00F669DA">
        <w:tab/>
        <w:t>(b)</w:t>
      </w:r>
      <w:r w:rsidRPr="00F669DA">
        <w:tab/>
        <w:t>such other matters (if any) as the Minister considers relevant.</w:t>
      </w:r>
    </w:p>
    <w:p w:rsidR="00056181" w:rsidRPr="00F669DA" w:rsidRDefault="00056181" w:rsidP="00F669DA">
      <w:pPr>
        <w:pStyle w:val="subsection"/>
      </w:pPr>
      <w:r w:rsidRPr="00F669DA">
        <w:tab/>
        <w:t>(10)</w:t>
      </w:r>
      <w:r w:rsidRPr="00F669DA">
        <w:tab/>
        <w:t xml:space="preserve">The Minister must not make a determination under </w:t>
      </w:r>
      <w:r w:rsidR="00F669DA" w:rsidRPr="00F669DA">
        <w:t>subsection (</w:t>
      </w:r>
      <w:r w:rsidRPr="00F669DA">
        <w:t>8) unless the ACCC has given advice to the Minister under section</w:t>
      </w:r>
      <w:r w:rsidR="00F669DA" w:rsidRPr="00F669DA">
        <w:t> </w:t>
      </w:r>
      <w:r w:rsidRPr="00F669DA">
        <w:t>17.</w:t>
      </w:r>
    </w:p>
    <w:p w:rsidR="00056181" w:rsidRPr="00F669DA" w:rsidRDefault="00056181" w:rsidP="00F669DA">
      <w:pPr>
        <w:pStyle w:val="subsection"/>
      </w:pPr>
      <w:r w:rsidRPr="00F669DA">
        <w:tab/>
        <w:t>(11)</w:t>
      </w:r>
      <w:r w:rsidRPr="00F669DA">
        <w:tab/>
        <w:t xml:space="preserve">A determination under </w:t>
      </w:r>
      <w:r w:rsidR="00F669DA" w:rsidRPr="00F669DA">
        <w:t>subsection (</w:t>
      </w:r>
      <w:r w:rsidRPr="00F669DA">
        <w:t>8) must not be inconsistent with section</w:t>
      </w:r>
      <w:r w:rsidR="00F669DA" w:rsidRPr="00F669DA">
        <w:t> </w:t>
      </w:r>
      <w:r w:rsidRPr="00F669DA">
        <w:t>17A (which deals with the combined component cap)</w:t>
      </w:r>
    </w:p>
    <w:p w:rsidR="00056181" w:rsidRPr="00F669DA" w:rsidRDefault="00056181" w:rsidP="00F669DA">
      <w:pPr>
        <w:pStyle w:val="ActHead5"/>
      </w:pPr>
      <w:bookmarkStart w:id="31" w:name="_Toc41406019"/>
      <w:r w:rsidRPr="00806D7E">
        <w:rPr>
          <w:rStyle w:val="CharSectno"/>
        </w:rPr>
        <w:t>17</w:t>
      </w:r>
      <w:r w:rsidRPr="00F669DA">
        <w:t xml:space="preserve">  Advice by the ACCC about administrative cost component</w:t>
      </w:r>
      <w:bookmarkEnd w:id="31"/>
    </w:p>
    <w:p w:rsidR="00056181" w:rsidRPr="00F669DA" w:rsidRDefault="00056181" w:rsidP="00F669DA">
      <w:pPr>
        <w:pStyle w:val="subsection"/>
      </w:pPr>
      <w:r w:rsidRPr="00F669DA">
        <w:tab/>
        <w:t>(1)</w:t>
      </w:r>
      <w:r w:rsidRPr="00F669DA">
        <w:tab/>
        <w:t>The ACCC:</w:t>
      </w:r>
    </w:p>
    <w:p w:rsidR="00056181" w:rsidRPr="00F669DA" w:rsidRDefault="00056181" w:rsidP="00F669DA">
      <w:pPr>
        <w:pStyle w:val="paragraph"/>
      </w:pPr>
      <w:r w:rsidRPr="00F669DA">
        <w:tab/>
        <w:t>(a)</w:t>
      </w:r>
      <w:r w:rsidRPr="00F669DA">
        <w:tab/>
        <w:t>may give advice to the Minister in relation to the exercise of the Minister’s power under subsection</w:t>
      </w:r>
      <w:r w:rsidR="00F669DA" w:rsidRPr="00F669DA">
        <w:t> </w:t>
      </w:r>
      <w:r w:rsidRPr="00F669DA">
        <w:t>16(8); and</w:t>
      </w:r>
    </w:p>
    <w:p w:rsidR="00056181" w:rsidRPr="00F669DA" w:rsidRDefault="00056181" w:rsidP="00F669DA">
      <w:pPr>
        <w:pStyle w:val="paragraph"/>
      </w:pPr>
      <w:r w:rsidRPr="00F669DA">
        <w:tab/>
        <w:t>(b)</w:t>
      </w:r>
      <w:r w:rsidRPr="00F669DA">
        <w:tab/>
        <w:t>must do so:</w:t>
      </w:r>
    </w:p>
    <w:p w:rsidR="00056181" w:rsidRPr="00F669DA" w:rsidRDefault="00056181" w:rsidP="00F669DA">
      <w:pPr>
        <w:pStyle w:val="paragraphsub"/>
      </w:pPr>
      <w:r w:rsidRPr="00F669DA">
        <w:lastRenderedPageBreak/>
        <w:tab/>
        <w:t>(</w:t>
      </w:r>
      <w:proofErr w:type="spellStart"/>
      <w:r w:rsidRPr="00F669DA">
        <w:t>i</w:t>
      </w:r>
      <w:proofErr w:type="spellEnd"/>
      <w:r w:rsidRPr="00F669DA">
        <w:t>)</w:t>
      </w:r>
      <w:r w:rsidRPr="00F669DA">
        <w:tab/>
        <w:t>at least once during the 5</w:t>
      </w:r>
      <w:r w:rsidR="00B41559">
        <w:noBreakHyphen/>
      </w:r>
      <w:r w:rsidRPr="00F669DA">
        <w:t>year period beginning at the commencement of this section; and</w:t>
      </w:r>
    </w:p>
    <w:p w:rsidR="00056181" w:rsidRPr="00F669DA" w:rsidRDefault="00056181" w:rsidP="00F669DA">
      <w:pPr>
        <w:pStyle w:val="paragraphsub"/>
      </w:pPr>
      <w:r w:rsidRPr="00F669DA">
        <w:tab/>
        <w:t>(ii)</w:t>
      </w:r>
      <w:r w:rsidRPr="00F669DA">
        <w:tab/>
        <w:t>at least once during each subsequent 5</w:t>
      </w:r>
      <w:r w:rsidR="00B41559">
        <w:noBreakHyphen/>
      </w:r>
      <w:r w:rsidRPr="00F669DA">
        <w:t>year period.</w:t>
      </w:r>
    </w:p>
    <w:p w:rsidR="00056181" w:rsidRPr="00F669DA" w:rsidRDefault="00056181" w:rsidP="00F669DA">
      <w:pPr>
        <w:pStyle w:val="subsection"/>
      </w:pPr>
      <w:r w:rsidRPr="00F669DA">
        <w:tab/>
        <w:t>(2)</w:t>
      </w:r>
      <w:r w:rsidRPr="00F669DA">
        <w:tab/>
        <w:t xml:space="preserve">In giving advice under </w:t>
      </w:r>
      <w:r w:rsidR="00F669DA" w:rsidRPr="00F669DA">
        <w:t>subsection (</w:t>
      </w:r>
      <w:r w:rsidRPr="00F669DA">
        <w:t>1), the ACCC:</w:t>
      </w:r>
    </w:p>
    <w:p w:rsidR="00056181" w:rsidRPr="00F669DA" w:rsidRDefault="00056181" w:rsidP="00F669DA">
      <w:pPr>
        <w:pStyle w:val="paragraph"/>
      </w:pPr>
      <w:r w:rsidRPr="00F669DA">
        <w:tab/>
        <w:t>(a)</w:t>
      </w:r>
      <w:r w:rsidRPr="00F669DA">
        <w:tab/>
        <w:t>must have regard to the principle that amounts received by the Commonwealth by way of so much of charge imposed under this Act as is attributable to the annual administrative cost amount should be sufficient, over time, to offset designated administrative costs incurred after the start of the first eligible financial year; and</w:t>
      </w:r>
    </w:p>
    <w:p w:rsidR="00056181" w:rsidRPr="00F669DA" w:rsidRDefault="00056181" w:rsidP="00F669DA">
      <w:pPr>
        <w:pStyle w:val="paragraph"/>
      </w:pPr>
      <w:r w:rsidRPr="00F669DA">
        <w:tab/>
        <w:t>(b)</w:t>
      </w:r>
      <w:r w:rsidRPr="00F669DA">
        <w:tab/>
        <w:t>may have regard to such other matters (if any) as the ACCC considers relevant.</w:t>
      </w:r>
    </w:p>
    <w:p w:rsidR="00056181" w:rsidRPr="00F669DA" w:rsidRDefault="00056181" w:rsidP="00F669DA">
      <w:pPr>
        <w:pStyle w:val="ActHead5"/>
      </w:pPr>
      <w:bookmarkStart w:id="32" w:name="_Toc41406020"/>
      <w:r w:rsidRPr="00806D7E">
        <w:rPr>
          <w:rStyle w:val="CharSectno"/>
        </w:rPr>
        <w:t>17A</w:t>
      </w:r>
      <w:r w:rsidRPr="00F669DA">
        <w:t xml:space="preserve">  Combined component cap</w:t>
      </w:r>
      <w:bookmarkEnd w:id="32"/>
    </w:p>
    <w:p w:rsidR="00056181" w:rsidRPr="00F669DA" w:rsidRDefault="00056181" w:rsidP="00F669DA">
      <w:pPr>
        <w:pStyle w:val="subsection"/>
      </w:pPr>
      <w:r w:rsidRPr="00F669DA">
        <w:tab/>
        <w:t>(1)</w:t>
      </w:r>
      <w:r w:rsidRPr="00F669DA">
        <w:tab/>
        <w:t>The sum of:</w:t>
      </w:r>
    </w:p>
    <w:p w:rsidR="00056181" w:rsidRPr="00F669DA" w:rsidRDefault="00056181" w:rsidP="00F669DA">
      <w:pPr>
        <w:pStyle w:val="paragraph"/>
      </w:pPr>
      <w:r w:rsidRPr="00F669DA">
        <w:tab/>
        <w:t>(a)</w:t>
      </w:r>
      <w:r w:rsidRPr="00F669DA">
        <w:tab/>
        <w:t>the base component for a month; and</w:t>
      </w:r>
    </w:p>
    <w:p w:rsidR="00056181" w:rsidRPr="00F669DA" w:rsidRDefault="00056181" w:rsidP="00F669DA">
      <w:pPr>
        <w:pStyle w:val="paragraph"/>
      </w:pPr>
      <w:r w:rsidRPr="00F669DA">
        <w:tab/>
        <w:t>(b)</w:t>
      </w:r>
      <w:r w:rsidRPr="00F669DA">
        <w:tab/>
        <w:t>the administrative cost component for that month;</w:t>
      </w:r>
    </w:p>
    <w:p w:rsidR="00056181" w:rsidRPr="00F669DA" w:rsidRDefault="00056181" w:rsidP="00F669DA">
      <w:pPr>
        <w:pStyle w:val="subsection2"/>
      </w:pPr>
      <w:r w:rsidRPr="00F669DA">
        <w:t>must not exceed the combined component cap for that month.</w:t>
      </w:r>
    </w:p>
    <w:p w:rsidR="00056181" w:rsidRPr="00F669DA" w:rsidRDefault="00056181" w:rsidP="00F669DA">
      <w:pPr>
        <w:pStyle w:val="subsection"/>
      </w:pPr>
      <w:r w:rsidRPr="00F669DA">
        <w:tab/>
        <w:t>(2)</w:t>
      </w:r>
      <w:r w:rsidRPr="00F669DA">
        <w:tab/>
        <w:t xml:space="preserve">For the purposes of this Act, the </w:t>
      </w:r>
      <w:r w:rsidRPr="00F669DA">
        <w:rPr>
          <w:b/>
          <w:i/>
        </w:rPr>
        <w:t>combined component cap</w:t>
      </w:r>
      <w:r w:rsidRPr="00F669DA">
        <w:t xml:space="preserve"> for a month in the first eligible financial year is $</w:t>
      </w:r>
      <w:r w:rsidR="007C6964" w:rsidRPr="00F669DA">
        <w:t>7.</w:t>
      </w:r>
      <w:r w:rsidRPr="00F669DA">
        <w:t>10.</w:t>
      </w:r>
    </w:p>
    <w:p w:rsidR="00056181" w:rsidRPr="00F669DA" w:rsidRDefault="00056181" w:rsidP="00F669DA">
      <w:pPr>
        <w:pStyle w:val="subsection"/>
      </w:pPr>
      <w:r w:rsidRPr="00F669DA">
        <w:tab/>
        <w:t>(3)</w:t>
      </w:r>
      <w:r w:rsidRPr="00F669DA">
        <w:tab/>
        <w:t xml:space="preserve">For the purposes of this Act, the </w:t>
      </w:r>
      <w:r w:rsidRPr="00F669DA">
        <w:rPr>
          <w:b/>
          <w:i/>
        </w:rPr>
        <w:t>combined component cap</w:t>
      </w:r>
      <w:r w:rsidRPr="00F669DA">
        <w:t xml:space="preserve"> for a month in:</w:t>
      </w:r>
    </w:p>
    <w:p w:rsidR="00056181" w:rsidRPr="00F669DA" w:rsidRDefault="00056181" w:rsidP="00F669DA">
      <w:pPr>
        <w:pStyle w:val="paragraph"/>
      </w:pPr>
      <w:r w:rsidRPr="00F669DA">
        <w:tab/>
        <w:t>(a)</w:t>
      </w:r>
      <w:r w:rsidRPr="00F669DA">
        <w:tab/>
        <w:t>the second eligible financial year; or</w:t>
      </w:r>
    </w:p>
    <w:p w:rsidR="00056181" w:rsidRPr="00F669DA" w:rsidRDefault="00056181" w:rsidP="00F669DA">
      <w:pPr>
        <w:pStyle w:val="paragraph"/>
      </w:pPr>
      <w:r w:rsidRPr="00F669DA">
        <w:tab/>
        <w:t>(b)</w:t>
      </w:r>
      <w:r w:rsidRPr="00F669DA">
        <w:tab/>
        <w:t>a later eligible financial year;</w:t>
      </w:r>
    </w:p>
    <w:p w:rsidR="00056181" w:rsidRPr="00F669DA" w:rsidRDefault="00056181" w:rsidP="00F669DA">
      <w:pPr>
        <w:pStyle w:val="subsection2"/>
      </w:pPr>
      <w:r w:rsidRPr="00F669DA">
        <w:t>is the amount calculated using the following formula:</w:t>
      </w:r>
    </w:p>
    <w:bookmarkStart w:id="33" w:name="BKCheck15B_6"/>
    <w:bookmarkEnd w:id="33"/>
    <w:p w:rsidR="00056181" w:rsidRPr="00F669DA" w:rsidRDefault="00056181" w:rsidP="00F669DA">
      <w:pPr>
        <w:pStyle w:val="subsection2"/>
      </w:pPr>
      <w:r w:rsidRPr="00F669DA">
        <w:rPr>
          <w:position w:val="-10"/>
        </w:rPr>
        <w:object w:dxaOrig="4540" w:dyaOrig="420">
          <v:shape id="_x0000_i1031" type="#_x0000_t75" style="width:227.25pt;height:21pt" o:ole="">
            <v:imagedata r:id="rId30" o:title=""/>
          </v:shape>
          <o:OLEObject Type="Embed" ProgID="Equation.DSMT4" ShapeID="_x0000_i1031" DrawAspect="Content" ObjectID="_1652018965" r:id="rId31"/>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indexation factor </w:t>
      </w:r>
      <w:r w:rsidRPr="00F669DA">
        <w:t>means the indexation factor for the financial year.</w:t>
      </w:r>
    </w:p>
    <w:p w:rsidR="00056181" w:rsidRPr="00F669DA" w:rsidRDefault="00056181" w:rsidP="00F669DA">
      <w:pPr>
        <w:pStyle w:val="Definition"/>
      </w:pPr>
      <w:r w:rsidRPr="00F669DA">
        <w:rPr>
          <w:b/>
          <w:i/>
        </w:rPr>
        <w:t xml:space="preserve">previous combined component cap </w:t>
      </w:r>
      <w:r w:rsidRPr="00F669DA">
        <w:t>means the combined component cap for a month in the previous financial year.</w:t>
      </w:r>
    </w:p>
    <w:p w:rsidR="00056181" w:rsidRPr="00F669DA" w:rsidRDefault="00056181" w:rsidP="00F669DA">
      <w:pPr>
        <w:pStyle w:val="ActHead5"/>
      </w:pPr>
      <w:bookmarkStart w:id="34" w:name="_Toc41406021"/>
      <w:r w:rsidRPr="00806D7E">
        <w:rPr>
          <w:rStyle w:val="CharSectno"/>
        </w:rPr>
        <w:lastRenderedPageBreak/>
        <w:t>18</w:t>
      </w:r>
      <w:r w:rsidRPr="00F669DA">
        <w:t xml:space="preserve">  Indexation factor</w:t>
      </w:r>
      <w:bookmarkEnd w:id="34"/>
    </w:p>
    <w:p w:rsidR="00056181" w:rsidRPr="00F669DA" w:rsidRDefault="00056181" w:rsidP="00F669DA">
      <w:pPr>
        <w:pStyle w:val="subsection"/>
      </w:pPr>
      <w:r w:rsidRPr="00F669DA">
        <w:tab/>
        <w:t>(1)</w:t>
      </w:r>
      <w:r w:rsidRPr="00F669DA">
        <w:tab/>
        <w:t xml:space="preserve">For the purposes of this Act, the </w:t>
      </w:r>
      <w:r w:rsidRPr="00F669DA">
        <w:rPr>
          <w:b/>
          <w:i/>
        </w:rPr>
        <w:t>indexation factor</w:t>
      </w:r>
      <w:r w:rsidRPr="00F669DA">
        <w:t xml:space="preserve"> for a financial year is the number calculated, to 3 decimal places (rounding up if the fourth decimal place is 5 or more), using the formula:</w:t>
      </w:r>
    </w:p>
    <w:bookmarkStart w:id="35" w:name="BKCheck15B_7"/>
    <w:bookmarkEnd w:id="35"/>
    <w:p w:rsidR="00056181" w:rsidRPr="00F669DA" w:rsidRDefault="00056181" w:rsidP="00F669DA">
      <w:pPr>
        <w:pStyle w:val="subsection2"/>
      </w:pPr>
      <w:r w:rsidRPr="00F669DA">
        <w:rPr>
          <w:position w:val="-36"/>
        </w:rPr>
        <w:object w:dxaOrig="3760" w:dyaOrig="800">
          <v:shape id="_x0000_i1032" type="#_x0000_t75" style="width:186.75pt;height:40.5pt" o:ole="">
            <v:imagedata r:id="rId32" o:title=""/>
          </v:shape>
          <o:OLEObject Type="Embed" ProgID="Equation.DSMT4" ShapeID="_x0000_i1032" DrawAspect="Content" ObjectID="_1652018966" r:id="rId33"/>
        </w:object>
      </w:r>
    </w:p>
    <w:p w:rsidR="00056181" w:rsidRPr="00F669DA" w:rsidRDefault="00056181" w:rsidP="00F669DA">
      <w:pPr>
        <w:pStyle w:val="subsection2"/>
      </w:pPr>
      <w:r w:rsidRPr="00F669DA">
        <w:t>where:</w:t>
      </w:r>
    </w:p>
    <w:p w:rsidR="00056181" w:rsidRPr="00F669DA" w:rsidRDefault="00056181" w:rsidP="00F669DA">
      <w:pPr>
        <w:pStyle w:val="Definition"/>
      </w:pPr>
      <w:r w:rsidRPr="00F669DA">
        <w:rPr>
          <w:b/>
          <w:i/>
        </w:rPr>
        <w:t xml:space="preserve">base March quarter </w:t>
      </w:r>
      <w:r w:rsidRPr="00F669DA">
        <w:t>means the last March quarter before the reference March quarter.</w:t>
      </w:r>
    </w:p>
    <w:p w:rsidR="00056181" w:rsidRPr="00F669DA" w:rsidRDefault="00056181" w:rsidP="00F669DA">
      <w:pPr>
        <w:pStyle w:val="Definition"/>
      </w:pPr>
      <w:r w:rsidRPr="00F669DA">
        <w:rPr>
          <w:b/>
          <w:i/>
        </w:rPr>
        <w:t>reference March quarter</w:t>
      </w:r>
      <w:r w:rsidRPr="00F669DA">
        <w:t xml:space="preserve"> means the last March quarter before the financial year.</w:t>
      </w:r>
    </w:p>
    <w:p w:rsidR="00056181" w:rsidRPr="00F669DA" w:rsidRDefault="00056181" w:rsidP="00F669DA">
      <w:pPr>
        <w:pStyle w:val="subsection"/>
      </w:pPr>
      <w:r w:rsidRPr="00F669DA">
        <w:tab/>
        <w:t>(2)</w:t>
      </w:r>
      <w:r w:rsidRPr="00F669DA">
        <w:tab/>
        <w:t xml:space="preserve">Subject to </w:t>
      </w:r>
      <w:r w:rsidR="00F669DA" w:rsidRPr="00F669DA">
        <w:t>subsection (</w:t>
      </w:r>
      <w:r w:rsidRPr="00F669DA">
        <w:t>3), if (whether before or after the commencement of this section) the Australian Statistician</w:t>
      </w:r>
      <w:bookmarkStart w:id="36" w:name="BK_S3P14L18C58"/>
      <w:bookmarkEnd w:id="36"/>
      <w:r w:rsidRPr="00F669DA">
        <w:t xml:space="preserve"> has published or publishes an index number in respect of a quarter in substitution for an index number previously published in respect of that quarter, the publication of the later index number must be disregarded for the purposes of this section.</w:t>
      </w:r>
    </w:p>
    <w:p w:rsidR="00056181" w:rsidRPr="00F669DA" w:rsidRDefault="00056181" w:rsidP="00F669DA">
      <w:pPr>
        <w:pStyle w:val="subsection"/>
      </w:pPr>
      <w:r w:rsidRPr="00F669DA">
        <w:tab/>
        <w:t>(3)</w:t>
      </w:r>
      <w:r w:rsidRPr="00F669DA">
        <w:tab/>
        <w:t>If (whether before or after the commencement of this section) the Australian Statistician</w:t>
      </w:r>
      <w:bookmarkStart w:id="37" w:name="BK_S3P14L24C28"/>
      <w:bookmarkEnd w:id="37"/>
      <w:r w:rsidRPr="00F669DA">
        <w:t xml:space="preserve"> has changed or changes the index reference period for the Consumer Price Index, then, for the purposes of the application of this section after the change took place or takes place, regard must only be had to the index number published in terms of the new index reference period.</w:t>
      </w:r>
    </w:p>
    <w:p w:rsidR="00056181" w:rsidRPr="00F669DA" w:rsidRDefault="00056181" w:rsidP="00F669DA">
      <w:pPr>
        <w:pStyle w:val="ActHead5"/>
      </w:pPr>
      <w:bookmarkStart w:id="38" w:name="_Toc41406022"/>
      <w:r w:rsidRPr="00806D7E">
        <w:rPr>
          <w:rStyle w:val="CharSectno"/>
        </w:rPr>
        <w:t>19</w:t>
      </w:r>
      <w:r w:rsidRPr="00F669DA">
        <w:t xml:space="preserve">  Disallowance of determinations</w:t>
      </w:r>
      <w:bookmarkEnd w:id="38"/>
    </w:p>
    <w:p w:rsidR="00056181" w:rsidRPr="00F669DA" w:rsidRDefault="00056181" w:rsidP="00F669DA">
      <w:pPr>
        <w:pStyle w:val="SubsectionHead"/>
      </w:pPr>
      <w:r w:rsidRPr="00F669DA">
        <w:t>Scope</w:t>
      </w:r>
    </w:p>
    <w:p w:rsidR="00056181" w:rsidRPr="00F669DA" w:rsidRDefault="00056181" w:rsidP="00F669DA">
      <w:pPr>
        <w:pStyle w:val="subsection"/>
      </w:pPr>
      <w:r w:rsidRPr="00F669DA">
        <w:tab/>
        <w:t>(1)</w:t>
      </w:r>
      <w:r w:rsidRPr="00F669DA">
        <w:tab/>
        <w:t>This section applies to a determination made under subsection</w:t>
      </w:r>
      <w:r w:rsidR="00F669DA" w:rsidRPr="00F669DA">
        <w:t> </w:t>
      </w:r>
      <w:r w:rsidRPr="00F669DA">
        <w:t>12(4) or 16(8).</w:t>
      </w:r>
    </w:p>
    <w:p w:rsidR="00056181" w:rsidRPr="00F669DA" w:rsidRDefault="00056181" w:rsidP="00F669DA">
      <w:pPr>
        <w:pStyle w:val="SubsectionHead"/>
      </w:pPr>
      <w:r w:rsidRPr="00F669DA">
        <w:lastRenderedPageBreak/>
        <w:t>Disallowance</w:t>
      </w:r>
    </w:p>
    <w:p w:rsidR="00056181" w:rsidRPr="00F669DA" w:rsidRDefault="00056181" w:rsidP="00F669DA">
      <w:pPr>
        <w:pStyle w:val="subsection"/>
        <w:keepNext/>
        <w:keepLines/>
      </w:pPr>
      <w:r w:rsidRPr="00F669DA">
        <w:tab/>
        <w:t>(2)</w:t>
      </w:r>
      <w:r w:rsidRPr="00F669DA">
        <w:tab/>
        <w:t>Either House of the Parliament may, following</w:t>
      </w:r>
      <w:bookmarkStart w:id="39" w:name="BK_S3P15L6C51"/>
      <w:bookmarkEnd w:id="39"/>
      <w:r w:rsidRPr="00F669DA">
        <w:t xml:space="preserve"> a motion upon notice, pass a resolution disallowing the determination. For the resolution to be effective:</w:t>
      </w:r>
    </w:p>
    <w:p w:rsidR="00056181" w:rsidRPr="00F669DA" w:rsidRDefault="00056181" w:rsidP="00F669DA">
      <w:pPr>
        <w:pStyle w:val="paragraph"/>
      </w:pPr>
      <w:r w:rsidRPr="00F669DA">
        <w:tab/>
        <w:t>(a)</w:t>
      </w:r>
      <w:r w:rsidRPr="00F669DA">
        <w:tab/>
        <w:t>the notice must be given in that House within 15 sitting days of that House after the copy of the determination was tabled in the House under section</w:t>
      </w:r>
      <w:r w:rsidR="00F669DA" w:rsidRPr="00F669DA">
        <w:t> </w:t>
      </w:r>
      <w:r w:rsidRPr="00F669DA">
        <w:t xml:space="preserve">38 of the </w:t>
      </w:r>
      <w:r w:rsidRPr="00F669DA">
        <w:rPr>
          <w:i/>
        </w:rPr>
        <w:t>Legislation Act 2003</w:t>
      </w:r>
      <w:r w:rsidRPr="00F669DA">
        <w:t>; and</w:t>
      </w:r>
    </w:p>
    <w:p w:rsidR="00056181" w:rsidRPr="00F669DA" w:rsidRDefault="00056181" w:rsidP="00F669DA">
      <w:pPr>
        <w:pStyle w:val="paragraph"/>
      </w:pPr>
      <w:r w:rsidRPr="00F669DA">
        <w:tab/>
        <w:t>(b)</w:t>
      </w:r>
      <w:r w:rsidRPr="00F669DA">
        <w:tab/>
        <w:t>the resolution must be passed, in pursuance of the motion, within 15 sitting days of that House after the giving of that notice.</w:t>
      </w:r>
    </w:p>
    <w:p w:rsidR="00056181" w:rsidRPr="00F669DA" w:rsidRDefault="00056181" w:rsidP="00F669DA">
      <w:pPr>
        <w:pStyle w:val="subsection"/>
      </w:pPr>
      <w:r w:rsidRPr="00F669DA">
        <w:tab/>
        <w:t>(3)</w:t>
      </w:r>
      <w:r w:rsidRPr="00F669DA">
        <w:tab/>
        <w:t xml:space="preserve">If neither House passes such a resolution, the determination takes effect on the day immediately after the last day upon which such a resolution could have been passed if it were assumed that notice of a motion to disallow the determination was given in each House on the last day of the 15 sitting day period of that House mentioned in </w:t>
      </w:r>
      <w:r w:rsidR="00F669DA" w:rsidRPr="00F669DA">
        <w:t>paragraph (</w:t>
      </w:r>
      <w:r w:rsidRPr="00F669DA">
        <w:t>2)(a).</w:t>
      </w:r>
    </w:p>
    <w:p w:rsidR="00056181" w:rsidRPr="00F669DA" w:rsidRDefault="00056181" w:rsidP="00F669DA">
      <w:pPr>
        <w:pStyle w:val="subsection"/>
      </w:pPr>
      <w:r w:rsidRPr="00F669DA">
        <w:tab/>
        <w:t>(3A)</w:t>
      </w:r>
      <w:r w:rsidRPr="00F669DA">
        <w:tab/>
        <w:t>If:</w:t>
      </w:r>
    </w:p>
    <w:p w:rsidR="00056181" w:rsidRPr="00F669DA" w:rsidRDefault="00056181" w:rsidP="00F669DA">
      <w:pPr>
        <w:pStyle w:val="paragraph"/>
      </w:pPr>
      <w:r w:rsidRPr="00F669DA">
        <w:tab/>
        <w:t>(a)</w:t>
      </w:r>
      <w:r w:rsidRPr="00F669DA">
        <w:tab/>
        <w:t>notice of a motion to disallow the determination is given in a House of the Parliament within 15 sitting days of that House after the copy of the determination was tabled in that House under section</w:t>
      </w:r>
      <w:r w:rsidR="00F669DA" w:rsidRPr="00F669DA">
        <w:t> </w:t>
      </w:r>
      <w:r w:rsidRPr="00F669DA">
        <w:t xml:space="preserve">38 of the </w:t>
      </w:r>
      <w:r w:rsidRPr="00F669DA">
        <w:rPr>
          <w:i/>
        </w:rPr>
        <w:t>Legislation Act 2003</w:t>
      </w:r>
      <w:r w:rsidRPr="00F669DA">
        <w:t>; and</w:t>
      </w:r>
    </w:p>
    <w:p w:rsidR="00056181" w:rsidRPr="00F669DA" w:rsidRDefault="00056181" w:rsidP="00F669DA">
      <w:pPr>
        <w:pStyle w:val="paragraph"/>
      </w:pPr>
      <w:r w:rsidRPr="00F669DA">
        <w:tab/>
        <w:t>(b)</w:t>
      </w:r>
      <w:r w:rsidRPr="00F669DA">
        <w:tab/>
        <w:t>at the end of 15 sitting days of that House after the giving of that notice of motion:</w:t>
      </w:r>
    </w:p>
    <w:p w:rsidR="00056181" w:rsidRPr="00F669DA" w:rsidRDefault="00056181" w:rsidP="00F669DA">
      <w:pPr>
        <w:pStyle w:val="paragraphsub"/>
      </w:pPr>
      <w:r w:rsidRPr="00F669DA">
        <w:tab/>
        <w:t>(</w:t>
      </w:r>
      <w:proofErr w:type="spellStart"/>
      <w:r w:rsidRPr="00F669DA">
        <w:t>i</w:t>
      </w:r>
      <w:proofErr w:type="spellEnd"/>
      <w:r w:rsidRPr="00F669DA">
        <w:t>)</w:t>
      </w:r>
      <w:r w:rsidRPr="00F669DA">
        <w:tab/>
        <w:t>the notice has not been withdrawn and the motion has not been called on; or</w:t>
      </w:r>
    </w:p>
    <w:p w:rsidR="00056181" w:rsidRPr="00F669DA" w:rsidRDefault="00056181" w:rsidP="00F669DA">
      <w:pPr>
        <w:pStyle w:val="paragraphsub"/>
      </w:pPr>
      <w:r w:rsidRPr="00F669DA">
        <w:tab/>
        <w:t>(ii)</w:t>
      </w:r>
      <w:r w:rsidRPr="00F669DA">
        <w:tab/>
        <w:t>the motion has been called on, moved and (where relevant) seconded and has not been withdrawn or otherwise disposed of;</w:t>
      </w:r>
    </w:p>
    <w:p w:rsidR="00056181" w:rsidRPr="00F669DA" w:rsidRDefault="00056181" w:rsidP="00F669DA">
      <w:pPr>
        <w:pStyle w:val="subsection2"/>
      </w:pPr>
      <w:r w:rsidRPr="00F669DA">
        <w:t xml:space="preserve">the determination is then taken to have been disallowed, and </w:t>
      </w:r>
      <w:r w:rsidR="00F669DA" w:rsidRPr="00F669DA">
        <w:t>subsection (</w:t>
      </w:r>
      <w:r w:rsidRPr="00F669DA">
        <w:t>3) does not apply to the determination.</w:t>
      </w:r>
    </w:p>
    <w:p w:rsidR="00056181" w:rsidRPr="00F669DA" w:rsidRDefault="00056181" w:rsidP="00F669DA">
      <w:pPr>
        <w:pStyle w:val="subsection"/>
      </w:pPr>
      <w:r w:rsidRPr="00F669DA">
        <w:tab/>
        <w:t>(4)</w:t>
      </w:r>
      <w:r w:rsidRPr="00F669DA">
        <w:tab/>
        <w:t>Section</w:t>
      </w:r>
      <w:r w:rsidR="00F669DA" w:rsidRPr="00F669DA">
        <w:t> </w:t>
      </w:r>
      <w:r w:rsidRPr="00F669DA">
        <w:t xml:space="preserve">42 (disallowance) of the </w:t>
      </w:r>
      <w:r w:rsidRPr="00F669DA">
        <w:rPr>
          <w:i/>
        </w:rPr>
        <w:t>Legislation Act 2003</w:t>
      </w:r>
      <w:bookmarkStart w:id="40" w:name="BK_S3P16L3C59"/>
      <w:bookmarkEnd w:id="40"/>
      <w:r w:rsidRPr="00F669DA">
        <w:t xml:space="preserve"> does not apply</w:t>
      </w:r>
      <w:bookmarkStart w:id="41" w:name="BK_S3P16L4C6"/>
      <w:bookmarkEnd w:id="41"/>
      <w:r w:rsidRPr="00F669DA">
        <w:t xml:space="preserve"> to the determination.</w:t>
      </w:r>
    </w:p>
    <w:p w:rsidR="00056181" w:rsidRPr="00F669DA" w:rsidRDefault="00056181" w:rsidP="00F669DA">
      <w:pPr>
        <w:pStyle w:val="notetext"/>
      </w:pPr>
      <w:r w:rsidRPr="00F669DA">
        <w:t>Note 1:</w:t>
      </w:r>
      <w:r w:rsidRPr="00F669DA">
        <w:tab/>
        <w:t xml:space="preserve">The 15 sitting day notice period mentioned in </w:t>
      </w:r>
      <w:r w:rsidR="00F669DA" w:rsidRPr="00F669DA">
        <w:t>paragraph (</w:t>
      </w:r>
      <w:r w:rsidRPr="00F669DA">
        <w:t>2)(a) of this section is the same as the 15 sitting day notice period mentioned in paragraph</w:t>
      </w:r>
      <w:r w:rsidR="00F669DA" w:rsidRPr="00F669DA">
        <w:t> </w:t>
      </w:r>
      <w:r w:rsidRPr="00F669DA">
        <w:t xml:space="preserve">42(1)(a) of the </w:t>
      </w:r>
      <w:r w:rsidRPr="00F669DA">
        <w:rPr>
          <w:i/>
        </w:rPr>
        <w:t>Legislation Act 2003</w:t>
      </w:r>
      <w:r w:rsidRPr="00F669DA">
        <w:t>.</w:t>
      </w:r>
    </w:p>
    <w:p w:rsidR="00056181" w:rsidRPr="00F669DA" w:rsidRDefault="00056181" w:rsidP="00F669DA">
      <w:pPr>
        <w:pStyle w:val="notetext"/>
      </w:pPr>
      <w:r w:rsidRPr="00F669DA">
        <w:lastRenderedPageBreak/>
        <w:t>Note 2:</w:t>
      </w:r>
      <w:r w:rsidRPr="00F669DA">
        <w:tab/>
        <w:t xml:space="preserve">The 15 sitting day disallowance period mentioned in </w:t>
      </w:r>
      <w:r w:rsidR="00F669DA" w:rsidRPr="00F669DA">
        <w:t>paragraph (</w:t>
      </w:r>
      <w:r w:rsidRPr="00F669DA">
        <w:t>2)(b) of this section is the same as the 15 sitting day disallowance period mentioned in paragraph</w:t>
      </w:r>
      <w:r w:rsidR="00F669DA" w:rsidRPr="00F669DA">
        <w:t> </w:t>
      </w:r>
      <w:r w:rsidRPr="00F669DA">
        <w:t xml:space="preserve">42(1)(b) of the </w:t>
      </w:r>
      <w:r w:rsidRPr="00F669DA">
        <w:rPr>
          <w:i/>
        </w:rPr>
        <w:t>Legislation Act 2003</w:t>
      </w:r>
      <w:r w:rsidRPr="00F669DA">
        <w:t>.</w:t>
      </w:r>
    </w:p>
    <w:p w:rsidR="00056181" w:rsidRPr="00F669DA" w:rsidRDefault="00056181" w:rsidP="00F669DA">
      <w:pPr>
        <w:pStyle w:val="ActHead5"/>
      </w:pPr>
      <w:bookmarkStart w:id="42" w:name="_Toc41406023"/>
      <w:r w:rsidRPr="00806D7E">
        <w:rPr>
          <w:rStyle w:val="CharSectno"/>
        </w:rPr>
        <w:t>20</w:t>
      </w:r>
      <w:r w:rsidRPr="00F669DA">
        <w:t xml:space="preserve">  Transitional—reduction in total number of chargeable premises</w:t>
      </w:r>
      <w:bookmarkEnd w:id="42"/>
    </w:p>
    <w:p w:rsidR="007C6964" w:rsidRPr="00F669DA" w:rsidRDefault="007C6964" w:rsidP="00F669DA">
      <w:pPr>
        <w:pStyle w:val="SubsectionHead"/>
      </w:pPr>
      <w:r w:rsidRPr="00F669DA">
        <w:t xml:space="preserve">25,000 or more potentially concessional premises where no premises </w:t>
      </w:r>
      <w:r w:rsidR="0037761C" w:rsidRPr="00F669DA">
        <w:t xml:space="preserve">are </w:t>
      </w:r>
      <w:r w:rsidRPr="00F669DA">
        <w:t>recently connected greenfield premises</w:t>
      </w:r>
    </w:p>
    <w:p w:rsidR="007C6964" w:rsidRPr="00F669DA" w:rsidRDefault="007C6964" w:rsidP="00F669DA">
      <w:pPr>
        <w:pStyle w:val="subsection"/>
      </w:pPr>
      <w:r w:rsidRPr="00F669DA">
        <w:tab/>
        <w:t>(1)</w:t>
      </w:r>
      <w:r w:rsidRPr="00F669DA">
        <w:tab/>
        <w:t>For the purposes of this Act, if:</w:t>
      </w:r>
    </w:p>
    <w:p w:rsidR="007C6964" w:rsidRPr="00F669DA" w:rsidRDefault="007C6964" w:rsidP="00F669DA">
      <w:pPr>
        <w:pStyle w:val="paragraph"/>
      </w:pPr>
      <w:r w:rsidRPr="00F669DA">
        <w:tab/>
        <w:t>(a)</w:t>
      </w:r>
      <w:r w:rsidRPr="00F669DA">
        <w:tab/>
        <w:t>the total number of potentially concessional premises in relation to a person for a month in:</w:t>
      </w:r>
    </w:p>
    <w:p w:rsidR="007C6964" w:rsidRPr="00F669DA" w:rsidRDefault="007C6964" w:rsidP="00F669DA">
      <w:pPr>
        <w:pStyle w:val="paragraphsub"/>
      </w:pPr>
      <w:r w:rsidRPr="00F669DA">
        <w:tab/>
        <w:t>(</w:t>
      </w:r>
      <w:proofErr w:type="spellStart"/>
      <w:r w:rsidRPr="00F669DA">
        <w:t>i</w:t>
      </w:r>
      <w:proofErr w:type="spellEnd"/>
      <w:r w:rsidRPr="00F669DA">
        <w:t>)</w:t>
      </w:r>
      <w:r w:rsidRPr="00F669DA">
        <w:tab/>
        <w:t>the first eligible financial year; or</w:t>
      </w:r>
    </w:p>
    <w:p w:rsidR="007C6964" w:rsidRPr="00F669DA" w:rsidRDefault="007C6964" w:rsidP="00F669DA">
      <w:pPr>
        <w:pStyle w:val="paragraphsub"/>
      </w:pPr>
      <w:r w:rsidRPr="00F669DA">
        <w:tab/>
        <w:t>(ii)</w:t>
      </w:r>
      <w:r w:rsidRPr="00F669DA">
        <w:tab/>
        <w:t>the second eligible financial year; or</w:t>
      </w:r>
    </w:p>
    <w:p w:rsidR="007C6964" w:rsidRPr="00F669DA" w:rsidRDefault="007C6964" w:rsidP="00F669DA">
      <w:pPr>
        <w:pStyle w:val="paragraphsub"/>
      </w:pPr>
      <w:r w:rsidRPr="00F669DA">
        <w:tab/>
        <w:t>(iii)</w:t>
      </w:r>
      <w:r w:rsidRPr="00F669DA">
        <w:tab/>
        <w:t>the third eligible financial year; or</w:t>
      </w:r>
    </w:p>
    <w:p w:rsidR="007C6964" w:rsidRPr="00F669DA" w:rsidRDefault="007C6964" w:rsidP="00F669DA">
      <w:pPr>
        <w:pStyle w:val="paragraphsub"/>
      </w:pPr>
      <w:r w:rsidRPr="00F669DA">
        <w:tab/>
        <w:t>(iv)</w:t>
      </w:r>
      <w:r w:rsidRPr="00F669DA">
        <w:tab/>
        <w:t>the fourth eligible financial year; or</w:t>
      </w:r>
    </w:p>
    <w:p w:rsidR="007C6964" w:rsidRPr="00F669DA" w:rsidRDefault="007C6964" w:rsidP="00F669DA">
      <w:pPr>
        <w:pStyle w:val="paragraphsub"/>
      </w:pPr>
      <w:r w:rsidRPr="00F669DA">
        <w:tab/>
        <w:t>(v)</w:t>
      </w:r>
      <w:r w:rsidRPr="00F669DA">
        <w:tab/>
        <w:t>the fifth eligible financial year;</w:t>
      </w:r>
    </w:p>
    <w:p w:rsidR="007C6964" w:rsidRPr="00F669DA" w:rsidRDefault="007C6964" w:rsidP="00F669DA">
      <w:pPr>
        <w:pStyle w:val="paragraph"/>
      </w:pPr>
      <w:r w:rsidRPr="00F669DA">
        <w:tab/>
      </w:r>
      <w:r w:rsidRPr="00F669DA">
        <w:tab/>
        <w:t>is 25,000 or more; and</w:t>
      </w:r>
    </w:p>
    <w:p w:rsidR="007C6964" w:rsidRPr="00F669DA" w:rsidRDefault="007C6964" w:rsidP="00F669DA">
      <w:pPr>
        <w:pStyle w:val="paragraph"/>
      </w:pPr>
      <w:r w:rsidRPr="00F669DA">
        <w:tab/>
        <w:t>(b)</w:t>
      </w:r>
      <w:r w:rsidRPr="00F669DA">
        <w:tab/>
        <w:t>none of the chargeable premises associated with a local access line of the person for that month are recently connected greenfield premises in relation to the person for that month;</w:t>
      </w:r>
    </w:p>
    <w:p w:rsidR="007C6964" w:rsidRPr="00F669DA" w:rsidRDefault="007C6964" w:rsidP="00F669DA">
      <w:pPr>
        <w:pStyle w:val="subsection2"/>
      </w:pPr>
      <w:r w:rsidRPr="00F669DA">
        <w:t xml:space="preserve">the total number of chargeable premises associated with </w:t>
      </w:r>
      <w:r w:rsidR="0037761C" w:rsidRPr="00F669DA">
        <w:t>a</w:t>
      </w:r>
      <w:r w:rsidRPr="00F669DA">
        <w:t xml:space="preserve"> local access line of the person for that month is to be reduced by 25,000.</w:t>
      </w:r>
    </w:p>
    <w:p w:rsidR="007C6964" w:rsidRPr="00F669DA" w:rsidRDefault="007C6964" w:rsidP="00F669DA">
      <w:pPr>
        <w:pStyle w:val="SubsectionHead"/>
      </w:pPr>
      <w:r w:rsidRPr="00F669DA">
        <w:t xml:space="preserve">Less than 25,000 potentially concessional premises where no premises </w:t>
      </w:r>
      <w:r w:rsidR="0037761C" w:rsidRPr="00F669DA">
        <w:t xml:space="preserve">are </w:t>
      </w:r>
      <w:r w:rsidRPr="00F669DA">
        <w:t>recently connected greenfield premises</w:t>
      </w:r>
    </w:p>
    <w:p w:rsidR="007C6964" w:rsidRPr="00F669DA" w:rsidRDefault="007C6964" w:rsidP="00F669DA">
      <w:pPr>
        <w:pStyle w:val="subsection"/>
      </w:pPr>
      <w:r w:rsidRPr="00F669DA">
        <w:tab/>
        <w:t>(2)</w:t>
      </w:r>
      <w:r w:rsidRPr="00F669DA">
        <w:tab/>
        <w:t>For the purposes of this Act, if:</w:t>
      </w:r>
    </w:p>
    <w:p w:rsidR="007C6964" w:rsidRPr="00F669DA" w:rsidRDefault="007C6964" w:rsidP="00F669DA">
      <w:pPr>
        <w:pStyle w:val="paragraph"/>
      </w:pPr>
      <w:r w:rsidRPr="00F669DA">
        <w:tab/>
        <w:t>(a)</w:t>
      </w:r>
      <w:r w:rsidRPr="00F669DA">
        <w:tab/>
        <w:t>the total number of potentially concessional premises in relation to a person for a month in:</w:t>
      </w:r>
    </w:p>
    <w:p w:rsidR="007C6964" w:rsidRPr="00F669DA" w:rsidRDefault="007C6964" w:rsidP="00F669DA">
      <w:pPr>
        <w:pStyle w:val="paragraphsub"/>
      </w:pPr>
      <w:r w:rsidRPr="00F669DA">
        <w:tab/>
        <w:t>(</w:t>
      </w:r>
      <w:proofErr w:type="spellStart"/>
      <w:r w:rsidRPr="00F669DA">
        <w:t>i</w:t>
      </w:r>
      <w:proofErr w:type="spellEnd"/>
      <w:r w:rsidRPr="00F669DA">
        <w:t>)</w:t>
      </w:r>
      <w:r w:rsidRPr="00F669DA">
        <w:tab/>
        <w:t>the first eligible financial year; or</w:t>
      </w:r>
    </w:p>
    <w:p w:rsidR="007C6964" w:rsidRPr="00F669DA" w:rsidRDefault="007C6964" w:rsidP="00F669DA">
      <w:pPr>
        <w:pStyle w:val="paragraphsub"/>
      </w:pPr>
      <w:r w:rsidRPr="00F669DA">
        <w:tab/>
        <w:t>(ii)</w:t>
      </w:r>
      <w:r w:rsidRPr="00F669DA">
        <w:tab/>
        <w:t>the second eligible financial year; or</w:t>
      </w:r>
    </w:p>
    <w:p w:rsidR="007C6964" w:rsidRPr="00F669DA" w:rsidRDefault="007C6964" w:rsidP="00F669DA">
      <w:pPr>
        <w:pStyle w:val="paragraphsub"/>
      </w:pPr>
      <w:r w:rsidRPr="00F669DA">
        <w:tab/>
        <w:t>(iii)</w:t>
      </w:r>
      <w:r w:rsidRPr="00F669DA">
        <w:tab/>
        <w:t>the third eligible financial year; or</w:t>
      </w:r>
    </w:p>
    <w:p w:rsidR="007C6964" w:rsidRPr="00F669DA" w:rsidRDefault="007C6964" w:rsidP="00F669DA">
      <w:pPr>
        <w:pStyle w:val="paragraphsub"/>
      </w:pPr>
      <w:r w:rsidRPr="00F669DA">
        <w:tab/>
        <w:t>(iv)</w:t>
      </w:r>
      <w:r w:rsidRPr="00F669DA">
        <w:tab/>
        <w:t>the fourth eligible financial year; or</w:t>
      </w:r>
    </w:p>
    <w:p w:rsidR="007C6964" w:rsidRPr="00F669DA" w:rsidRDefault="007C6964" w:rsidP="00F669DA">
      <w:pPr>
        <w:pStyle w:val="paragraphsub"/>
      </w:pPr>
      <w:r w:rsidRPr="00F669DA">
        <w:tab/>
        <w:t>(v)</w:t>
      </w:r>
      <w:r w:rsidRPr="00F669DA">
        <w:tab/>
        <w:t>the fifth eligible financial year;</w:t>
      </w:r>
    </w:p>
    <w:p w:rsidR="007C6964" w:rsidRPr="00F669DA" w:rsidRDefault="007C6964" w:rsidP="00F669DA">
      <w:pPr>
        <w:pStyle w:val="paragraph"/>
      </w:pPr>
      <w:r w:rsidRPr="00F669DA">
        <w:tab/>
      </w:r>
      <w:r w:rsidRPr="00F669DA">
        <w:tab/>
        <w:t>is less than 25,000; and</w:t>
      </w:r>
    </w:p>
    <w:p w:rsidR="007C6964" w:rsidRPr="00F669DA" w:rsidRDefault="007C6964" w:rsidP="00F669DA">
      <w:pPr>
        <w:pStyle w:val="paragraph"/>
      </w:pPr>
      <w:r w:rsidRPr="00F669DA">
        <w:lastRenderedPageBreak/>
        <w:tab/>
        <w:t>(b)</w:t>
      </w:r>
      <w:r w:rsidRPr="00F669DA">
        <w:tab/>
        <w:t>none of the chargeable premises associated with a local access line of the person for that month are recently connected greenfield premises in relation to the person for that month;</w:t>
      </w:r>
    </w:p>
    <w:p w:rsidR="007C6964" w:rsidRPr="00F669DA" w:rsidRDefault="007C6964" w:rsidP="00F669DA">
      <w:pPr>
        <w:pStyle w:val="subsection2"/>
      </w:pPr>
      <w:r w:rsidRPr="00F669DA">
        <w:t>the total number of chargeable premises associated with a local access line of the person for that month is to be reduced by that total number of potentially concessional premises.</w:t>
      </w:r>
    </w:p>
    <w:p w:rsidR="007C6964" w:rsidRPr="00F669DA" w:rsidRDefault="007C6964" w:rsidP="00F669DA">
      <w:pPr>
        <w:pStyle w:val="SubsectionHead"/>
      </w:pPr>
      <w:r w:rsidRPr="00F669DA">
        <w:t>55,000 or more recently connected greenfield premises</w:t>
      </w:r>
    </w:p>
    <w:p w:rsidR="007C6964" w:rsidRPr="00F669DA" w:rsidRDefault="007C6964" w:rsidP="00F669DA">
      <w:pPr>
        <w:pStyle w:val="subsection"/>
      </w:pPr>
      <w:r w:rsidRPr="00F669DA">
        <w:tab/>
        <w:t>(</w:t>
      </w:r>
      <w:r w:rsidR="0037761C" w:rsidRPr="00F669DA">
        <w:t>3</w:t>
      </w:r>
      <w:r w:rsidRPr="00F669DA">
        <w:t>)</w:t>
      </w:r>
      <w:r w:rsidRPr="00F669DA">
        <w:tab/>
        <w:t>For the purposes of this Act, if the total number of recently connected greenfield premises in relation to a person for a month in:</w:t>
      </w:r>
    </w:p>
    <w:p w:rsidR="007C6964" w:rsidRPr="00F669DA" w:rsidRDefault="007C6964" w:rsidP="00F669DA">
      <w:pPr>
        <w:pStyle w:val="paragraph"/>
      </w:pPr>
      <w:r w:rsidRPr="00F669DA">
        <w:tab/>
        <w:t>(a)</w:t>
      </w:r>
      <w:r w:rsidRPr="00F669DA">
        <w:tab/>
        <w:t>the first eligible financial year; or</w:t>
      </w:r>
    </w:p>
    <w:p w:rsidR="007C6964" w:rsidRPr="00F669DA" w:rsidRDefault="007C6964" w:rsidP="00F669DA">
      <w:pPr>
        <w:pStyle w:val="paragraph"/>
      </w:pPr>
      <w:r w:rsidRPr="00F669DA">
        <w:tab/>
        <w:t>(b)</w:t>
      </w:r>
      <w:r w:rsidRPr="00F669DA">
        <w:tab/>
        <w:t>the second eligible financial year; or</w:t>
      </w:r>
    </w:p>
    <w:p w:rsidR="007C6964" w:rsidRPr="00F669DA" w:rsidRDefault="007C6964" w:rsidP="00F669DA">
      <w:pPr>
        <w:pStyle w:val="paragraph"/>
      </w:pPr>
      <w:r w:rsidRPr="00F669DA">
        <w:tab/>
        <w:t>(c)</w:t>
      </w:r>
      <w:r w:rsidRPr="00F669DA">
        <w:tab/>
        <w:t>the third eligible financial year; or</w:t>
      </w:r>
    </w:p>
    <w:p w:rsidR="007C6964" w:rsidRPr="00F669DA" w:rsidRDefault="007C6964" w:rsidP="00F669DA">
      <w:pPr>
        <w:pStyle w:val="paragraph"/>
      </w:pPr>
      <w:r w:rsidRPr="00F669DA">
        <w:tab/>
        <w:t>(d)</w:t>
      </w:r>
      <w:r w:rsidRPr="00F669DA">
        <w:tab/>
        <w:t>the fourth eligible financial year; or</w:t>
      </w:r>
    </w:p>
    <w:p w:rsidR="007C6964" w:rsidRPr="00F669DA" w:rsidRDefault="007C6964" w:rsidP="00F669DA">
      <w:pPr>
        <w:pStyle w:val="paragraph"/>
      </w:pPr>
      <w:r w:rsidRPr="00F669DA">
        <w:tab/>
        <w:t>(e)</w:t>
      </w:r>
      <w:r w:rsidRPr="00F669DA">
        <w:tab/>
        <w:t>the fifth eligible financial year;</w:t>
      </w:r>
    </w:p>
    <w:p w:rsidR="000147B0" w:rsidRPr="00F669DA" w:rsidRDefault="007C6964" w:rsidP="00F669DA">
      <w:pPr>
        <w:pStyle w:val="subsection2"/>
      </w:pPr>
      <w:r w:rsidRPr="00F669DA">
        <w:t>is</w:t>
      </w:r>
      <w:r w:rsidR="0037761C" w:rsidRPr="00F669DA">
        <w:t xml:space="preserve"> 55,000 or more,</w:t>
      </w:r>
      <w:r w:rsidRPr="00F669DA">
        <w:t xml:space="preserve"> the total number of chargeable premises associated with </w:t>
      </w:r>
      <w:r w:rsidR="0037761C" w:rsidRPr="00F669DA">
        <w:t>a</w:t>
      </w:r>
      <w:r w:rsidRPr="00F669DA">
        <w:t xml:space="preserve"> local access line of the person for that month is to be reduced by 55,000.</w:t>
      </w:r>
    </w:p>
    <w:p w:rsidR="007C6964" w:rsidRPr="00F669DA" w:rsidRDefault="007C6964" w:rsidP="00F669DA">
      <w:pPr>
        <w:pStyle w:val="SubsectionHead"/>
      </w:pPr>
      <w:r w:rsidRPr="00F669DA">
        <w:t>Less than 55,000 recently connected greenfield premises</w:t>
      </w:r>
    </w:p>
    <w:p w:rsidR="007C6964" w:rsidRPr="00F669DA" w:rsidRDefault="0037761C" w:rsidP="00F669DA">
      <w:pPr>
        <w:pStyle w:val="subsection"/>
      </w:pPr>
      <w:r w:rsidRPr="00F669DA">
        <w:tab/>
        <w:t>(4</w:t>
      </w:r>
      <w:r w:rsidR="007C6964" w:rsidRPr="00F669DA">
        <w:t>)</w:t>
      </w:r>
      <w:r w:rsidR="007C6964" w:rsidRPr="00F669DA">
        <w:tab/>
        <w:t>For the purposes of this Act, if the total number of recently connected greenfield premises in relation to a person for a month in:</w:t>
      </w:r>
    </w:p>
    <w:p w:rsidR="007C6964" w:rsidRPr="00F669DA" w:rsidRDefault="007C6964" w:rsidP="00F669DA">
      <w:pPr>
        <w:pStyle w:val="paragraph"/>
      </w:pPr>
      <w:r w:rsidRPr="00F669DA">
        <w:tab/>
        <w:t>(a)</w:t>
      </w:r>
      <w:r w:rsidRPr="00F669DA">
        <w:tab/>
        <w:t>the first eligible financial year; or</w:t>
      </w:r>
    </w:p>
    <w:p w:rsidR="007C6964" w:rsidRPr="00F669DA" w:rsidRDefault="007C6964" w:rsidP="00F669DA">
      <w:pPr>
        <w:pStyle w:val="paragraph"/>
      </w:pPr>
      <w:r w:rsidRPr="00F669DA">
        <w:tab/>
        <w:t>(b)</w:t>
      </w:r>
      <w:r w:rsidRPr="00F669DA">
        <w:tab/>
        <w:t>the second eligible financial year; or</w:t>
      </w:r>
    </w:p>
    <w:p w:rsidR="007C6964" w:rsidRPr="00F669DA" w:rsidRDefault="007C6964" w:rsidP="00F669DA">
      <w:pPr>
        <w:pStyle w:val="paragraph"/>
      </w:pPr>
      <w:r w:rsidRPr="00F669DA">
        <w:tab/>
        <w:t>(c)</w:t>
      </w:r>
      <w:r w:rsidRPr="00F669DA">
        <w:tab/>
        <w:t>the third eligible financial year; or</w:t>
      </w:r>
    </w:p>
    <w:p w:rsidR="007C6964" w:rsidRPr="00F669DA" w:rsidRDefault="007C6964" w:rsidP="00F669DA">
      <w:pPr>
        <w:pStyle w:val="paragraph"/>
      </w:pPr>
      <w:r w:rsidRPr="00F669DA">
        <w:tab/>
        <w:t>(d)</w:t>
      </w:r>
      <w:r w:rsidRPr="00F669DA">
        <w:tab/>
        <w:t>the fourth eligible financial year; or</w:t>
      </w:r>
    </w:p>
    <w:p w:rsidR="007C6964" w:rsidRPr="00F669DA" w:rsidRDefault="007C6964" w:rsidP="00F669DA">
      <w:pPr>
        <w:pStyle w:val="paragraph"/>
      </w:pPr>
      <w:r w:rsidRPr="00F669DA">
        <w:tab/>
        <w:t>(e)</w:t>
      </w:r>
      <w:r w:rsidRPr="00F669DA">
        <w:tab/>
        <w:t>the fifth eligible financial year;</w:t>
      </w:r>
    </w:p>
    <w:p w:rsidR="000147B0" w:rsidRPr="00F669DA" w:rsidRDefault="007C6964" w:rsidP="00F669DA">
      <w:pPr>
        <w:pStyle w:val="subsection2"/>
      </w:pPr>
      <w:r w:rsidRPr="00F669DA">
        <w:t>is less than 55,000, the total number of chargeable premises associated with a local access line of the person for that month is to be reduced by that total number of recently connected greenfield premises.</w:t>
      </w:r>
    </w:p>
    <w:p w:rsidR="00E87127" w:rsidRPr="00F669DA" w:rsidRDefault="00E87127" w:rsidP="00F669DA">
      <w:pPr>
        <w:pStyle w:val="SubsectionHead"/>
      </w:pPr>
      <w:r w:rsidRPr="00F669DA">
        <w:lastRenderedPageBreak/>
        <w:t>Exception—subordinate members of associated groups</w:t>
      </w:r>
    </w:p>
    <w:p w:rsidR="00E87127" w:rsidRPr="00F669DA" w:rsidRDefault="0037761C" w:rsidP="00F669DA">
      <w:pPr>
        <w:pStyle w:val="subsection"/>
      </w:pPr>
      <w:r w:rsidRPr="00F669DA">
        <w:tab/>
        <w:t>(5</w:t>
      </w:r>
      <w:r w:rsidR="00E87127" w:rsidRPr="00F669DA">
        <w:t>)</w:t>
      </w:r>
      <w:r w:rsidR="00E87127" w:rsidRPr="00F669DA">
        <w:tab/>
      </w:r>
      <w:r w:rsidR="00F669DA" w:rsidRPr="00F669DA">
        <w:t>Subsections (</w:t>
      </w:r>
      <w:r w:rsidR="00E87127" w:rsidRPr="00F669DA">
        <w:t>1) and (2) do not apply in relation to a person for a month if the person is a subordinate member of an associated group during the whole or a part of the month.</w:t>
      </w:r>
    </w:p>
    <w:p w:rsidR="00E87127" w:rsidRPr="00F669DA" w:rsidRDefault="00E87127" w:rsidP="00F669DA">
      <w:pPr>
        <w:pStyle w:val="SubsectionHead"/>
      </w:pPr>
      <w:r w:rsidRPr="00F669DA">
        <w:t>Associated group</w:t>
      </w:r>
    </w:p>
    <w:p w:rsidR="00E87127" w:rsidRPr="00F669DA" w:rsidRDefault="00E87127" w:rsidP="00F669DA">
      <w:pPr>
        <w:pStyle w:val="subsection"/>
      </w:pPr>
      <w:r w:rsidRPr="00F669DA">
        <w:tab/>
        <w:t>(</w:t>
      </w:r>
      <w:r w:rsidR="0037761C" w:rsidRPr="00F669DA">
        <w:t>6</w:t>
      </w:r>
      <w:r w:rsidRPr="00F669DA">
        <w:t>)</w:t>
      </w:r>
      <w:r w:rsidRPr="00F669DA">
        <w:tab/>
        <w:t>For the purposes of this section, if:</w:t>
      </w:r>
    </w:p>
    <w:p w:rsidR="00E87127" w:rsidRPr="00F669DA" w:rsidRDefault="00E87127" w:rsidP="00F669DA">
      <w:pPr>
        <w:pStyle w:val="paragraph"/>
      </w:pPr>
      <w:r w:rsidRPr="00F669DA">
        <w:tab/>
        <w:t>(a)</w:t>
      </w:r>
      <w:r w:rsidRPr="00F669DA">
        <w:tab/>
        <w:t>a person is in a position to exercise control of:</w:t>
      </w:r>
    </w:p>
    <w:p w:rsidR="00E87127" w:rsidRPr="00F669DA" w:rsidRDefault="00E87127" w:rsidP="00F669DA">
      <w:pPr>
        <w:pStyle w:val="paragraphsub"/>
      </w:pPr>
      <w:r w:rsidRPr="00F669DA">
        <w:tab/>
        <w:t>(</w:t>
      </w:r>
      <w:proofErr w:type="spellStart"/>
      <w:r w:rsidRPr="00F669DA">
        <w:t>i</w:t>
      </w:r>
      <w:proofErr w:type="spellEnd"/>
      <w:r w:rsidRPr="00F669DA">
        <w:t>)</w:t>
      </w:r>
      <w:r w:rsidRPr="00F669DA">
        <w:tab/>
        <w:t>a local access line; or</w:t>
      </w:r>
    </w:p>
    <w:p w:rsidR="00E87127" w:rsidRPr="00F669DA" w:rsidRDefault="00E87127" w:rsidP="00F669DA">
      <w:pPr>
        <w:pStyle w:val="paragraphsub"/>
      </w:pPr>
      <w:r w:rsidRPr="00F669DA">
        <w:tab/>
        <w:t>(ii)</w:t>
      </w:r>
      <w:r w:rsidRPr="00F669DA">
        <w:tab/>
        <w:t>a telecommunications network; and</w:t>
      </w:r>
    </w:p>
    <w:p w:rsidR="00E87127" w:rsidRPr="00F669DA" w:rsidRDefault="00E87127" w:rsidP="00F669DA">
      <w:pPr>
        <w:pStyle w:val="paragraph"/>
      </w:pPr>
      <w:r w:rsidRPr="00F669DA">
        <w:tab/>
        <w:t>(b)</w:t>
      </w:r>
      <w:r w:rsidRPr="00F669DA">
        <w:tab/>
        <w:t>the person has one or more associates;</w:t>
      </w:r>
    </w:p>
    <w:p w:rsidR="00E87127" w:rsidRPr="00F669DA" w:rsidRDefault="00E87127" w:rsidP="00F669DA">
      <w:pPr>
        <w:pStyle w:val="subsection2"/>
      </w:pPr>
      <w:r w:rsidRPr="00F669DA">
        <w:t>then:</w:t>
      </w:r>
    </w:p>
    <w:p w:rsidR="00E87127" w:rsidRPr="00F669DA" w:rsidRDefault="00E87127" w:rsidP="00F669DA">
      <w:pPr>
        <w:pStyle w:val="paragraph"/>
      </w:pPr>
      <w:r w:rsidRPr="00F669DA">
        <w:tab/>
        <w:t>(c)</w:t>
      </w:r>
      <w:r w:rsidRPr="00F669DA">
        <w:tab/>
        <w:t>the person is taken to belong to an associated group; and</w:t>
      </w:r>
    </w:p>
    <w:p w:rsidR="00E87127" w:rsidRPr="00F669DA" w:rsidRDefault="00E87127" w:rsidP="00F669DA">
      <w:pPr>
        <w:pStyle w:val="paragraph"/>
      </w:pPr>
      <w:r w:rsidRPr="00F669DA">
        <w:tab/>
        <w:t>(d)</w:t>
      </w:r>
      <w:r w:rsidRPr="00F669DA">
        <w:tab/>
        <w:t>the associated group consists of the person and those associates; and</w:t>
      </w:r>
    </w:p>
    <w:p w:rsidR="00E87127" w:rsidRPr="00F669DA" w:rsidRDefault="00E87127" w:rsidP="00F669DA">
      <w:pPr>
        <w:pStyle w:val="paragraph"/>
      </w:pPr>
      <w:r w:rsidRPr="00F669DA">
        <w:tab/>
        <w:t>(e)</w:t>
      </w:r>
      <w:r w:rsidRPr="00F669DA">
        <w:tab/>
        <w:t>each of those associates is a subordinate member of the associated group.</w:t>
      </w:r>
    </w:p>
    <w:p w:rsidR="00E87127" w:rsidRPr="00F669DA" w:rsidRDefault="0037761C" w:rsidP="00F669DA">
      <w:pPr>
        <w:pStyle w:val="subsection"/>
      </w:pPr>
      <w:r w:rsidRPr="00F669DA">
        <w:tab/>
        <w:t>(7</w:t>
      </w:r>
      <w:r w:rsidR="00E87127" w:rsidRPr="00F669DA">
        <w:t>)</w:t>
      </w:r>
      <w:r w:rsidR="00E87127" w:rsidRPr="00F669DA">
        <w:tab/>
        <w:t xml:space="preserve">For the purposes of </w:t>
      </w:r>
      <w:r w:rsidR="00F669DA" w:rsidRPr="00F669DA">
        <w:t>subsection (</w:t>
      </w:r>
      <w:r w:rsidRPr="00F669DA">
        <w:t>6</w:t>
      </w:r>
      <w:r w:rsidR="00E87127" w:rsidRPr="00F669DA">
        <w:t>), the question of whether a person is in a position to exercise control of:</w:t>
      </w:r>
    </w:p>
    <w:p w:rsidR="00E87127" w:rsidRPr="00F669DA" w:rsidRDefault="00E87127" w:rsidP="00F669DA">
      <w:pPr>
        <w:pStyle w:val="paragraph"/>
      </w:pPr>
      <w:r w:rsidRPr="00F669DA">
        <w:tab/>
        <w:t>(a)</w:t>
      </w:r>
      <w:r w:rsidRPr="00F669DA">
        <w:tab/>
        <w:t>a local access line; or</w:t>
      </w:r>
    </w:p>
    <w:p w:rsidR="00E87127" w:rsidRPr="00F669DA" w:rsidRDefault="00E87127" w:rsidP="00F669DA">
      <w:pPr>
        <w:pStyle w:val="paragraph"/>
      </w:pPr>
      <w:r w:rsidRPr="00F669DA">
        <w:tab/>
        <w:t>(b)</w:t>
      </w:r>
      <w:r w:rsidRPr="00F669DA">
        <w:tab/>
        <w:t>a telecommunications network;</w:t>
      </w:r>
    </w:p>
    <w:p w:rsidR="00E87127" w:rsidRPr="00F669DA" w:rsidRDefault="00E87127" w:rsidP="00F669DA">
      <w:pPr>
        <w:pStyle w:val="subsection2"/>
      </w:pPr>
      <w:r w:rsidRPr="00F669DA">
        <w:t>is to be determined in the same manner in which that question is determined for the purposes of Part</w:t>
      </w:r>
      <w:r w:rsidR="00F669DA" w:rsidRPr="00F669DA">
        <w:t> </w:t>
      </w:r>
      <w:r w:rsidRPr="00F669DA">
        <w:t xml:space="preserve">8 of the </w:t>
      </w:r>
      <w:r w:rsidRPr="00F669DA">
        <w:rPr>
          <w:i/>
        </w:rPr>
        <w:t>Telecommunications Act 1997</w:t>
      </w:r>
      <w:r w:rsidRPr="00F669DA">
        <w:t>.</w:t>
      </w:r>
    </w:p>
    <w:p w:rsidR="00E87127" w:rsidRPr="00F669DA" w:rsidRDefault="00A12388" w:rsidP="00F669DA">
      <w:pPr>
        <w:pStyle w:val="subsection"/>
      </w:pPr>
      <w:r w:rsidRPr="00F669DA">
        <w:tab/>
        <w:t>(8</w:t>
      </w:r>
      <w:r w:rsidR="00E87127" w:rsidRPr="00F669DA">
        <w:t>)</w:t>
      </w:r>
      <w:r w:rsidR="00E87127" w:rsidRPr="00F669DA">
        <w:tab/>
        <w:t xml:space="preserve">For the purposes of </w:t>
      </w:r>
      <w:r w:rsidR="00F669DA" w:rsidRPr="00F669DA">
        <w:t>subsection (</w:t>
      </w:r>
      <w:r w:rsidR="0037761C" w:rsidRPr="00F669DA">
        <w:t>6</w:t>
      </w:r>
      <w:r w:rsidR="00E87127" w:rsidRPr="00F669DA">
        <w:t>), the question of whether a person has one or more associates is to be determined in the same manner in which that question is determined for the purposes of Part</w:t>
      </w:r>
      <w:r w:rsidR="00F669DA" w:rsidRPr="00F669DA">
        <w:t> </w:t>
      </w:r>
      <w:r w:rsidR="00E87127" w:rsidRPr="00F669DA">
        <w:t xml:space="preserve">8 of the </w:t>
      </w:r>
      <w:r w:rsidR="00E87127" w:rsidRPr="00F669DA">
        <w:rPr>
          <w:i/>
        </w:rPr>
        <w:t>Telecommunications Act 1997</w:t>
      </w:r>
      <w:r w:rsidR="00E87127" w:rsidRPr="00F669DA">
        <w:t>.</w:t>
      </w:r>
    </w:p>
    <w:p w:rsidR="00E87127" w:rsidRDefault="00A12388" w:rsidP="00F669DA">
      <w:pPr>
        <w:pStyle w:val="subsection"/>
      </w:pPr>
      <w:r w:rsidRPr="00F669DA">
        <w:tab/>
        <w:t>(9</w:t>
      </w:r>
      <w:r w:rsidR="00E87127" w:rsidRPr="00F669DA">
        <w:t>)</w:t>
      </w:r>
      <w:r w:rsidR="00E87127" w:rsidRPr="00F669DA">
        <w:tab/>
        <w:t xml:space="preserve">For the purposes of </w:t>
      </w:r>
      <w:r w:rsidR="00F669DA" w:rsidRPr="00F669DA">
        <w:t>subsection (</w:t>
      </w:r>
      <w:r w:rsidR="00CE0375" w:rsidRPr="00F669DA">
        <w:t>7</w:t>
      </w:r>
      <w:r w:rsidR="00E87127" w:rsidRPr="00F669DA">
        <w:t xml:space="preserve">), </w:t>
      </w:r>
      <w:r w:rsidR="00E87127" w:rsidRPr="00F669DA">
        <w:rPr>
          <w:b/>
          <w:i/>
        </w:rPr>
        <w:t>local access line</w:t>
      </w:r>
      <w:r w:rsidR="00E87127" w:rsidRPr="00F669DA">
        <w:t xml:space="preserve"> has the same meaning as in Part</w:t>
      </w:r>
      <w:r w:rsidR="00F669DA" w:rsidRPr="00F669DA">
        <w:t> </w:t>
      </w:r>
      <w:r w:rsidR="00E87127" w:rsidRPr="00F669DA">
        <w:t xml:space="preserve">3 of the </w:t>
      </w:r>
      <w:r w:rsidR="00E87127" w:rsidRPr="00F669DA">
        <w:rPr>
          <w:i/>
        </w:rPr>
        <w:t>Telecommunications (Consumer Protection and Service Standards) Act 1999</w:t>
      </w:r>
      <w:r w:rsidR="00E87127" w:rsidRPr="00F669DA">
        <w:t>.</w:t>
      </w:r>
    </w:p>
    <w:p w:rsidR="00F51041" w:rsidRDefault="00F51041" w:rsidP="00F51041">
      <w:pPr>
        <w:pStyle w:val="subsection"/>
        <w:sectPr w:rsidR="00F51041" w:rsidSect="00135FE1">
          <w:headerReference w:type="even" r:id="rId34"/>
          <w:headerReference w:type="default" r:id="rId35"/>
          <w:footerReference w:type="even" r:id="rId36"/>
          <w:footerReference w:type="default" r:id="rId37"/>
          <w:headerReference w:type="first" r:id="rId38"/>
          <w:footerReference w:type="first" r:id="rId39"/>
          <w:pgSz w:w="11907" w:h="16839"/>
          <w:pgMar w:top="2381" w:right="2409" w:bottom="4252" w:left="2409" w:header="720" w:footer="3402" w:gutter="0"/>
          <w:pgNumType w:start="1"/>
          <w:cols w:space="708"/>
          <w:titlePg/>
          <w:docGrid w:linePitch="360"/>
        </w:sectPr>
      </w:pPr>
    </w:p>
    <w:p w:rsidR="00A41FC5" w:rsidRDefault="00A41FC5" w:rsidP="00A41FC5">
      <w:pPr>
        <w:pStyle w:val="2ndRd"/>
        <w:keepNext/>
        <w:spacing w:line="260" w:lineRule="atLeast"/>
        <w:rPr>
          <w:i/>
        </w:rPr>
      </w:pPr>
      <w:r>
        <w:lastRenderedPageBreak/>
        <w:t>[</w:t>
      </w:r>
      <w:r>
        <w:rPr>
          <w:i/>
        </w:rPr>
        <w:t>Minister’s second reading speech made in—</w:t>
      </w:r>
    </w:p>
    <w:p w:rsidR="00A41FC5" w:rsidRDefault="00A41FC5" w:rsidP="00A41FC5">
      <w:pPr>
        <w:pStyle w:val="2ndRd"/>
        <w:keepNext/>
        <w:spacing w:line="260" w:lineRule="atLeast"/>
        <w:rPr>
          <w:i/>
        </w:rPr>
      </w:pPr>
      <w:r>
        <w:rPr>
          <w:i/>
        </w:rPr>
        <w:t>House of Representatives on 28 November 2019</w:t>
      </w:r>
    </w:p>
    <w:p w:rsidR="00A41FC5" w:rsidRDefault="00A41FC5" w:rsidP="00A41FC5">
      <w:pPr>
        <w:pStyle w:val="2ndRd"/>
        <w:keepNext/>
        <w:spacing w:line="260" w:lineRule="atLeast"/>
        <w:rPr>
          <w:i/>
        </w:rPr>
      </w:pPr>
      <w:r>
        <w:rPr>
          <w:i/>
        </w:rPr>
        <w:t>Senate on 13 February 2020</w:t>
      </w:r>
      <w:r>
        <w:t>]</w:t>
      </w:r>
    </w:p>
    <w:p w:rsidR="00A41FC5" w:rsidRDefault="00A41FC5" w:rsidP="00ED52B5">
      <w:pPr>
        <w:framePr w:hSpace="180" w:wrap="around" w:vAnchor="text" w:hAnchor="page" w:x="2401" w:y="9140"/>
      </w:pPr>
      <w:bookmarkStart w:id="43" w:name="_GoBack"/>
      <w:r>
        <w:t>(224/19)</w:t>
      </w:r>
    </w:p>
    <w:bookmarkEnd w:id="43"/>
    <w:p w:rsidR="00A41FC5" w:rsidRDefault="00A41FC5" w:rsidP="00A41FC5">
      <w:pPr>
        <w:pStyle w:val="subsection"/>
      </w:pPr>
    </w:p>
    <w:sectPr w:rsidR="00A41FC5" w:rsidSect="00A41FC5">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21" w:rsidRDefault="008A5E21" w:rsidP="00715914">
      <w:pPr>
        <w:spacing w:line="240" w:lineRule="auto"/>
      </w:pPr>
      <w:r>
        <w:separator/>
      </w:r>
    </w:p>
  </w:endnote>
  <w:endnote w:type="continuationSeparator" w:id="0">
    <w:p w:rsidR="008A5E21" w:rsidRDefault="008A5E2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5F1388" w:rsidRDefault="008A5E21" w:rsidP="00F669D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Default="00135FE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5FE1" w:rsidTr="00806D7E">
      <w:tc>
        <w:tcPr>
          <w:tcW w:w="1247" w:type="dxa"/>
        </w:tcPr>
        <w:p w:rsidR="00135FE1" w:rsidRDefault="00135FE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c>
        <w:tcPr>
          <w:tcW w:w="5387" w:type="dxa"/>
        </w:tcPr>
        <w:p w:rsidR="00135FE1" w:rsidRDefault="00135FE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669" w:type="dxa"/>
        </w:tcPr>
        <w:p w:rsidR="00135FE1" w:rsidRDefault="00135FE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16</w:t>
          </w:r>
          <w:r w:rsidRPr="007A1328">
            <w:rPr>
              <w:i/>
              <w:sz w:val="18"/>
            </w:rPr>
            <w:fldChar w:fldCharType="end"/>
          </w:r>
        </w:p>
      </w:tc>
    </w:tr>
  </w:tbl>
  <w:p w:rsidR="00135FE1" w:rsidRPr="007A1328" w:rsidRDefault="00135FE1"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Default="00135FE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5FE1" w:rsidTr="00806D7E">
      <w:tc>
        <w:tcPr>
          <w:tcW w:w="1247" w:type="dxa"/>
        </w:tcPr>
        <w:p w:rsidR="00135FE1" w:rsidRDefault="00135FE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c>
        <w:tcPr>
          <w:tcW w:w="5387" w:type="dxa"/>
        </w:tcPr>
        <w:p w:rsidR="00135FE1" w:rsidRDefault="00135FE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669" w:type="dxa"/>
        </w:tcPr>
        <w:p w:rsidR="00135FE1" w:rsidRDefault="00135FE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19</w:t>
          </w:r>
          <w:r w:rsidRPr="007A1328">
            <w:rPr>
              <w:i/>
              <w:sz w:val="18"/>
            </w:rPr>
            <w:fldChar w:fldCharType="end"/>
          </w:r>
        </w:p>
      </w:tc>
    </w:tr>
  </w:tbl>
  <w:p w:rsidR="00135FE1" w:rsidRPr="007A1328" w:rsidRDefault="00135FE1"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C5" w:rsidRDefault="00A41FC5" w:rsidP="00CD12A5">
    <w:pPr>
      <w:pStyle w:val="ScalePlusRef"/>
    </w:pPr>
    <w:r>
      <w:t>Note: An electronic version of this Act is available on the Federal Register of Legislation (</w:t>
    </w:r>
    <w:hyperlink r:id="rId1" w:history="1">
      <w:r>
        <w:t>https://www.legislation.gov.au/</w:t>
      </w:r>
    </w:hyperlink>
    <w:r>
      <w:t>)</w:t>
    </w:r>
  </w:p>
  <w:p w:rsidR="00A41FC5" w:rsidRDefault="00A41FC5" w:rsidP="00CD12A5"/>
  <w:p w:rsidR="008A5E21" w:rsidRDefault="008A5E21" w:rsidP="00F669DA">
    <w:pPr>
      <w:pStyle w:val="Footer"/>
      <w:spacing w:before="120"/>
    </w:pPr>
  </w:p>
  <w:p w:rsidR="008A5E21" w:rsidRPr="005F1388" w:rsidRDefault="008A5E21"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ED79B6" w:rsidRDefault="008A5E21" w:rsidP="00F669D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Default="008A5E2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5E21" w:rsidTr="00AC4BB2">
      <w:tc>
        <w:tcPr>
          <w:tcW w:w="646" w:type="dxa"/>
        </w:tcPr>
        <w:p w:rsidR="008A5E21" w:rsidRDefault="008A5E2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A72">
            <w:rPr>
              <w:i/>
              <w:noProof/>
              <w:sz w:val="18"/>
            </w:rPr>
            <w:t>xvi</w:t>
          </w:r>
          <w:r w:rsidRPr="00ED79B6">
            <w:rPr>
              <w:i/>
              <w:sz w:val="18"/>
            </w:rPr>
            <w:fldChar w:fldCharType="end"/>
          </w:r>
        </w:p>
      </w:tc>
      <w:tc>
        <w:tcPr>
          <w:tcW w:w="5387" w:type="dxa"/>
        </w:tcPr>
        <w:p w:rsidR="008A5E21" w:rsidRDefault="008A5E2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2A72">
            <w:rPr>
              <w:i/>
              <w:sz w:val="18"/>
            </w:rPr>
            <w:t>Telecommunications (Regional Broadband Scheme) Charge Act 2020</w:t>
          </w:r>
          <w:r w:rsidRPr="00ED79B6">
            <w:rPr>
              <w:i/>
              <w:sz w:val="18"/>
            </w:rPr>
            <w:fldChar w:fldCharType="end"/>
          </w:r>
        </w:p>
      </w:tc>
      <w:tc>
        <w:tcPr>
          <w:tcW w:w="1270" w:type="dxa"/>
        </w:tcPr>
        <w:p w:rsidR="008A5E21" w:rsidRDefault="008A5E2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2A72">
            <w:rPr>
              <w:i/>
              <w:sz w:val="18"/>
            </w:rPr>
            <w:t>No. 48, 2020</w:t>
          </w:r>
          <w:r w:rsidRPr="00ED79B6">
            <w:rPr>
              <w:i/>
              <w:sz w:val="18"/>
            </w:rPr>
            <w:fldChar w:fldCharType="end"/>
          </w:r>
        </w:p>
      </w:tc>
    </w:tr>
  </w:tbl>
  <w:p w:rsidR="008A5E21" w:rsidRPr="00ED79B6" w:rsidRDefault="008A5E21"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ED79B6" w:rsidRDefault="008A5E2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5E21" w:rsidTr="00340F07">
      <w:tc>
        <w:tcPr>
          <w:tcW w:w="1247" w:type="dxa"/>
        </w:tcPr>
        <w:p w:rsidR="008A5E21" w:rsidRDefault="008A5E2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2A72">
            <w:rPr>
              <w:i/>
              <w:sz w:val="18"/>
            </w:rPr>
            <w:t>No. 48, 2020</w:t>
          </w:r>
          <w:r w:rsidRPr="00ED79B6">
            <w:rPr>
              <w:i/>
              <w:sz w:val="18"/>
            </w:rPr>
            <w:fldChar w:fldCharType="end"/>
          </w:r>
        </w:p>
      </w:tc>
      <w:tc>
        <w:tcPr>
          <w:tcW w:w="5387" w:type="dxa"/>
        </w:tcPr>
        <w:p w:rsidR="008A5E21" w:rsidRDefault="008A5E2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2A72">
            <w:rPr>
              <w:i/>
              <w:sz w:val="18"/>
            </w:rPr>
            <w:t>Telecommunications (Regional Broadband Scheme) Charge Act 2020</w:t>
          </w:r>
          <w:r w:rsidRPr="00ED79B6">
            <w:rPr>
              <w:i/>
              <w:sz w:val="18"/>
            </w:rPr>
            <w:fldChar w:fldCharType="end"/>
          </w:r>
        </w:p>
      </w:tc>
      <w:tc>
        <w:tcPr>
          <w:tcW w:w="669" w:type="dxa"/>
        </w:tcPr>
        <w:p w:rsidR="008A5E21" w:rsidRDefault="008A5E21" w:rsidP="008A5E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2A72">
            <w:rPr>
              <w:i/>
              <w:noProof/>
              <w:sz w:val="18"/>
            </w:rPr>
            <w:t>i</w:t>
          </w:r>
          <w:r w:rsidRPr="00ED79B6">
            <w:rPr>
              <w:i/>
              <w:sz w:val="18"/>
            </w:rPr>
            <w:fldChar w:fldCharType="end"/>
          </w:r>
        </w:p>
      </w:tc>
    </w:tr>
  </w:tbl>
  <w:p w:rsidR="008A5E21" w:rsidRPr="00ED79B6" w:rsidRDefault="008A5E21"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Default="00F5104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1041" w:rsidTr="00806D7E">
      <w:tc>
        <w:tcPr>
          <w:tcW w:w="646" w:type="dxa"/>
        </w:tcPr>
        <w:p w:rsidR="00F51041" w:rsidRDefault="00F5104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18</w:t>
          </w:r>
          <w:r w:rsidRPr="007A1328">
            <w:rPr>
              <w:i/>
              <w:sz w:val="18"/>
            </w:rPr>
            <w:fldChar w:fldCharType="end"/>
          </w:r>
        </w:p>
      </w:tc>
      <w:tc>
        <w:tcPr>
          <w:tcW w:w="5387" w:type="dxa"/>
        </w:tcPr>
        <w:p w:rsidR="00F51041" w:rsidRDefault="00F5104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1270" w:type="dxa"/>
        </w:tcPr>
        <w:p w:rsidR="00F51041" w:rsidRDefault="00F5104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r>
  </w:tbl>
  <w:p w:rsidR="00F51041" w:rsidRPr="007A1328" w:rsidRDefault="00F51041"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Default="00F5104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1041" w:rsidTr="00806D7E">
      <w:tc>
        <w:tcPr>
          <w:tcW w:w="1247" w:type="dxa"/>
        </w:tcPr>
        <w:p w:rsidR="00F51041" w:rsidRDefault="00F5104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c>
        <w:tcPr>
          <w:tcW w:w="5387" w:type="dxa"/>
        </w:tcPr>
        <w:p w:rsidR="00F51041" w:rsidRDefault="00F5104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669" w:type="dxa"/>
        </w:tcPr>
        <w:p w:rsidR="00F51041" w:rsidRDefault="00F5104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17</w:t>
          </w:r>
          <w:r w:rsidRPr="007A1328">
            <w:rPr>
              <w:i/>
              <w:sz w:val="18"/>
            </w:rPr>
            <w:fldChar w:fldCharType="end"/>
          </w:r>
        </w:p>
      </w:tc>
    </w:tr>
  </w:tbl>
  <w:p w:rsidR="00F51041" w:rsidRPr="007A1328" w:rsidRDefault="00F51041"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Default="00F5104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1041" w:rsidTr="00806D7E">
      <w:tc>
        <w:tcPr>
          <w:tcW w:w="1247" w:type="dxa"/>
        </w:tcPr>
        <w:p w:rsidR="00F51041" w:rsidRDefault="00F5104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c>
        <w:tcPr>
          <w:tcW w:w="5387" w:type="dxa"/>
        </w:tcPr>
        <w:p w:rsidR="00F51041" w:rsidRDefault="00F5104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669" w:type="dxa"/>
        </w:tcPr>
        <w:p w:rsidR="00F51041" w:rsidRDefault="00F5104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w:t>
          </w:r>
          <w:r w:rsidRPr="007A1328">
            <w:rPr>
              <w:i/>
              <w:sz w:val="18"/>
            </w:rPr>
            <w:fldChar w:fldCharType="end"/>
          </w:r>
        </w:p>
      </w:tc>
    </w:tr>
  </w:tbl>
  <w:p w:rsidR="00F51041" w:rsidRPr="007A1328" w:rsidRDefault="00F51041"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Default="00135FE1" w:rsidP="00F669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5FE1" w:rsidTr="00806D7E">
      <w:tc>
        <w:tcPr>
          <w:tcW w:w="646" w:type="dxa"/>
        </w:tcPr>
        <w:p w:rsidR="00135FE1" w:rsidRDefault="00135FE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2A72">
            <w:rPr>
              <w:i/>
              <w:noProof/>
              <w:sz w:val="18"/>
            </w:rPr>
            <w:t>16</w:t>
          </w:r>
          <w:r w:rsidRPr="007A1328">
            <w:rPr>
              <w:i/>
              <w:sz w:val="18"/>
            </w:rPr>
            <w:fldChar w:fldCharType="end"/>
          </w:r>
        </w:p>
      </w:tc>
      <w:tc>
        <w:tcPr>
          <w:tcW w:w="5387" w:type="dxa"/>
        </w:tcPr>
        <w:p w:rsidR="00135FE1" w:rsidRDefault="00135FE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2A72">
            <w:rPr>
              <w:i/>
              <w:sz w:val="18"/>
            </w:rPr>
            <w:t>Telecommunications (Regional Broadband Scheme) Charge Act 2020</w:t>
          </w:r>
          <w:r w:rsidRPr="007A1328">
            <w:rPr>
              <w:i/>
              <w:sz w:val="18"/>
            </w:rPr>
            <w:fldChar w:fldCharType="end"/>
          </w:r>
        </w:p>
      </w:tc>
      <w:tc>
        <w:tcPr>
          <w:tcW w:w="1270" w:type="dxa"/>
        </w:tcPr>
        <w:p w:rsidR="00135FE1" w:rsidRDefault="00135FE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2A72">
            <w:rPr>
              <w:i/>
              <w:sz w:val="18"/>
            </w:rPr>
            <w:t>No. 48, 2020</w:t>
          </w:r>
          <w:r w:rsidRPr="007A1328">
            <w:rPr>
              <w:i/>
              <w:sz w:val="18"/>
            </w:rPr>
            <w:fldChar w:fldCharType="end"/>
          </w:r>
        </w:p>
      </w:tc>
    </w:tr>
  </w:tbl>
  <w:p w:rsidR="00135FE1" w:rsidRPr="007A1328" w:rsidRDefault="00135FE1"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21" w:rsidRDefault="008A5E21" w:rsidP="00715914">
      <w:pPr>
        <w:spacing w:line="240" w:lineRule="auto"/>
      </w:pPr>
      <w:r>
        <w:separator/>
      </w:r>
    </w:p>
  </w:footnote>
  <w:footnote w:type="continuationSeparator" w:id="0">
    <w:p w:rsidR="008A5E21" w:rsidRDefault="008A5E2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5F1388" w:rsidRDefault="008A5E21"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Default="00135FE1" w:rsidP="00715914">
    <w:pPr>
      <w:rPr>
        <w:sz w:val="20"/>
      </w:rPr>
    </w:pPr>
  </w:p>
  <w:p w:rsidR="00135FE1" w:rsidRDefault="00135FE1" w:rsidP="00715914">
    <w:pPr>
      <w:rPr>
        <w:sz w:val="20"/>
      </w:rPr>
    </w:pPr>
  </w:p>
  <w:p w:rsidR="00135FE1" w:rsidRPr="007A1328" w:rsidRDefault="00135FE1" w:rsidP="00715914">
    <w:pPr>
      <w:rPr>
        <w:sz w:val="20"/>
      </w:rPr>
    </w:pPr>
  </w:p>
  <w:p w:rsidR="00135FE1" w:rsidRPr="007A1328" w:rsidRDefault="00135FE1" w:rsidP="00715914">
    <w:pPr>
      <w:rPr>
        <w:b/>
        <w:sz w:val="24"/>
      </w:rPr>
    </w:pPr>
  </w:p>
  <w:p w:rsidR="00135FE1" w:rsidRPr="007A1328" w:rsidRDefault="00135FE1"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Pr="007A1328" w:rsidRDefault="00135FE1" w:rsidP="00715914">
    <w:pPr>
      <w:jc w:val="right"/>
      <w:rPr>
        <w:sz w:val="20"/>
      </w:rPr>
    </w:pPr>
  </w:p>
  <w:p w:rsidR="00135FE1" w:rsidRPr="007A1328" w:rsidRDefault="00135FE1" w:rsidP="00715914">
    <w:pPr>
      <w:jc w:val="right"/>
      <w:rPr>
        <w:sz w:val="20"/>
      </w:rPr>
    </w:pPr>
  </w:p>
  <w:p w:rsidR="00135FE1" w:rsidRPr="007A1328" w:rsidRDefault="00135FE1" w:rsidP="00715914">
    <w:pPr>
      <w:jc w:val="right"/>
      <w:rPr>
        <w:sz w:val="20"/>
      </w:rPr>
    </w:pPr>
  </w:p>
  <w:p w:rsidR="00135FE1" w:rsidRPr="007A1328" w:rsidRDefault="00135FE1" w:rsidP="00715914">
    <w:pPr>
      <w:jc w:val="right"/>
      <w:rPr>
        <w:b/>
        <w:sz w:val="24"/>
      </w:rPr>
    </w:pPr>
  </w:p>
  <w:p w:rsidR="00135FE1" w:rsidRPr="007A1328" w:rsidRDefault="00135FE1"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1" w:rsidRPr="007A1328" w:rsidRDefault="00135FE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5F1388" w:rsidRDefault="008A5E21"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5F1388" w:rsidRDefault="008A5E2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ED79B6" w:rsidRDefault="008A5E21"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ED79B6" w:rsidRDefault="008A5E21"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1" w:rsidRPr="00ED79B6" w:rsidRDefault="008A5E2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Default="00F5104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1041" w:rsidRDefault="00F5104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51041" w:rsidRPr="007A1328" w:rsidRDefault="00F5104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1041" w:rsidRPr="007A1328" w:rsidRDefault="00F51041" w:rsidP="00715914">
    <w:pPr>
      <w:rPr>
        <w:b/>
        <w:sz w:val="24"/>
      </w:rPr>
    </w:pPr>
  </w:p>
  <w:p w:rsidR="00F51041" w:rsidRPr="007A1328" w:rsidRDefault="00F51041"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2A72">
      <w:rPr>
        <w:noProof/>
        <w:sz w:val="24"/>
      </w:rPr>
      <w:t>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Pr="007A1328" w:rsidRDefault="00F5104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1041" w:rsidRPr="007A1328" w:rsidRDefault="00F5104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51041" w:rsidRPr="007A1328" w:rsidRDefault="00F5104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1041" w:rsidRPr="007A1328" w:rsidRDefault="00F51041" w:rsidP="00715914">
    <w:pPr>
      <w:jc w:val="right"/>
      <w:rPr>
        <w:b/>
        <w:sz w:val="24"/>
      </w:rPr>
    </w:pPr>
  </w:p>
  <w:p w:rsidR="00F51041" w:rsidRPr="007A1328" w:rsidRDefault="00F5104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2A72">
      <w:rPr>
        <w:noProof/>
        <w:sz w:val="24"/>
      </w:rPr>
      <w:t>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1" w:rsidRPr="007A1328" w:rsidRDefault="00F5104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B88C3CC-3C98-4D3C-ACF9-41184C341E0D}"/>
    <w:docVar w:name="dgnword-eventsink" w:val="382207560"/>
  </w:docVars>
  <w:rsids>
    <w:rsidRoot w:val="00056181"/>
    <w:rsid w:val="000136AF"/>
    <w:rsid w:val="000147B0"/>
    <w:rsid w:val="0003377B"/>
    <w:rsid w:val="00052671"/>
    <w:rsid w:val="00056181"/>
    <w:rsid w:val="000614BF"/>
    <w:rsid w:val="00087D46"/>
    <w:rsid w:val="00091780"/>
    <w:rsid w:val="000A556A"/>
    <w:rsid w:val="000D05EF"/>
    <w:rsid w:val="000D0EB7"/>
    <w:rsid w:val="000E11E2"/>
    <w:rsid w:val="000E2261"/>
    <w:rsid w:val="000E3F92"/>
    <w:rsid w:val="000F21C1"/>
    <w:rsid w:val="0010745C"/>
    <w:rsid w:val="00112B07"/>
    <w:rsid w:val="00122FE1"/>
    <w:rsid w:val="0013072E"/>
    <w:rsid w:val="00135FE1"/>
    <w:rsid w:val="001464BD"/>
    <w:rsid w:val="00166C2F"/>
    <w:rsid w:val="001671E9"/>
    <w:rsid w:val="00183285"/>
    <w:rsid w:val="00184F85"/>
    <w:rsid w:val="001939E1"/>
    <w:rsid w:val="00195382"/>
    <w:rsid w:val="001A45D5"/>
    <w:rsid w:val="001B782B"/>
    <w:rsid w:val="001C18E9"/>
    <w:rsid w:val="001C69C4"/>
    <w:rsid w:val="001D11E9"/>
    <w:rsid w:val="001D37EF"/>
    <w:rsid w:val="001E3590"/>
    <w:rsid w:val="001E6469"/>
    <w:rsid w:val="001E7407"/>
    <w:rsid w:val="001E7F6E"/>
    <w:rsid w:val="001F5D5E"/>
    <w:rsid w:val="001F6219"/>
    <w:rsid w:val="002065DA"/>
    <w:rsid w:val="00212DDD"/>
    <w:rsid w:val="0024010F"/>
    <w:rsid w:val="00240749"/>
    <w:rsid w:val="002564A4"/>
    <w:rsid w:val="00277EAE"/>
    <w:rsid w:val="00297ECB"/>
    <w:rsid w:val="002B205F"/>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7761C"/>
    <w:rsid w:val="003837B6"/>
    <w:rsid w:val="003D0BFE"/>
    <w:rsid w:val="003D5700"/>
    <w:rsid w:val="003F11DF"/>
    <w:rsid w:val="00410A84"/>
    <w:rsid w:val="004116CD"/>
    <w:rsid w:val="00417EB9"/>
    <w:rsid w:val="00424CA9"/>
    <w:rsid w:val="00431A1F"/>
    <w:rsid w:val="0044291A"/>
    <w:rsid w:val="004511D0"/>
    <w:rsid w:val="00463EC0"/>
    <w:rsid w:val="00477FB9"/>
    <w:rsid w:val="00481861"/>
    <w:rsid w:val="0048419B"/>
    <w:rsid w:val="0048585C"/>
    <w:rsid w:val="00496F97"/>
    <w:rsid w:val="004B38C1"/>
    <w:rsid w:val="004C5414"/>
    <w:rsid w:val="004E7BEC"/>
    <w:rsid w:val="00502192"/>
    <w:rsid w:val="00515424"/>
    <w:rsid w:val="00516B8D"/>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33157"/>
    <w:rsid w:val="00677CC2"/>
    <w:rsid w:val="006905DE"/>
    <w:rsid w:val="0069207B"/>
    <w:rsid w:val="0069210F"/>
    <w:rsid w:val="006A22E9"/>
    <w:rsid w:val="006B6E88"/>
    <w:rsid w:val="006C2748"/>
    <w:rsid w:val="006C7F8C"/>
    <w:rsid w:val="006F318F"/>
    <w:rsid w:val="006F6D10"/>
    <w:rsid w:val="00700B2C"/>
    <w:rsid w:val="00713084"/>
    <w:rsid w:val="00715914"/>
    <w:rsid w:val="00731E00"/>
    <w:rsid w:val="007440B7"/>
    <w:rsid w:val="00746C1A"/>
    <w:rsid w:val="007715C9"/>
    <w:rsid w:val="00774EDD"/>
    <w:rsid w:val="007757EC"/>
    <w:rsid w:val="007924FC"/>
    <w:rsid w:val="007B0119"/>
    <w:rsid w:val="007B75F4"/>
    <w:rsid w:val="007C6964"/>
    <w:rsid w:val="00806D7E"/>
    <w:rsid w:val="008422C3"/>
    <w:rsid w:val="0084395C"/>
    <w:rsid w:val="0085473A"/>
    <w:rsid w:val="00856A31"/>
    <w:rsid w:val="008754D0"/>
    <w:rsid w:val="00881B8F"/>
    <w:rsid w:val="00885006"/>
    <w:rsid w:val="0089107B"/>
    <w:rsid w:val="00892DD3"/>
    <w:rsid w:val="008A27FC"/>
    <w:rsid w:val="008A5E21"/>
    <w:rsid w:val="008D0EE0"/>
    <w:rsid w:val="008D165D"/>
    <w:rsid w:val="008D2DF7"/>
    <w:rsid w:val="008F00CC"/>
    <w:rsid w:val="008F54E7"/>
    <w:rsid w:val="00903422"/>
    <w:rsid w:val="00904A28"/>
    <w:rsid w:val="00913EEB"/>
    <w:rsid w:val="009213B7"/>
    <w:rsid w:val="009265BF"/>
    <w:rsid w:val="00932377"/>
    <w:rsid w:val="00940885"/>
    <w:rsid w:val="00947D5A"/>
    <w:rsid w:val="009532A5"/>
    <w:rsid w:val="009851AC"/>
    <w:rsid w:val="009868E9"/>
    <w:rsid w:val="00990ED3"/>
    <w:rsid w:val="009B77D0"/>
    <w:rsid w:val="009C6470"/>
    <w:rsid w:val="009D006B"/>
    <w:rsid w:val="009F374D"/>
    <w:rsid w:val="00A03DF4"/>
    <w:rsid w:val="00A12388"/>
    <w:rsid w:val="00A15C98"/>
    <w:rsid w:val="00A22C98"/>
    <w:rsid w:val="00A231E2"/>
    <w:rsid w:val="00A41FC5"/>
    <w:rsid w:val="00A64912"/>
    <w:rsid w:val="00A70A74"/>
    <w:rsid w:val="00A81C46"/>
    <w:rsid w:val="00A930F1"/>
    <w:rsid w:val="00AC4BB2"/>
    <w:rsid w:val="00AC719E"/>
    <w:rsid w:val="00AC78EE"/>
    <w:rsid w:val="00AD5641"/>
    <w:rsid w:val="00AE5CA2"/>
    <w:rsid w:val="00AF06CF"/>
    <w:rsid w:val="00B20224"/>
    <w:rsid w:val="00B33B3C"/>
    <w:rsid w:val="00B41559"/>
    <w:rsid w:val="00B63834"/>
    <w:rsid w:val="00B646E3"/>
    <w:rsid w:val="00B80199"/>
    <w:rsid w:val="00B86188"/>
    <w:rsid w:val="00B93F3D"/>
    <w:rsid w:val="00B9706F"/>
    <w:rsid w:val="00BA220B"/>
    <w:rsid w:val="00BC3550"/>
    <w:rsid w:val="00BD5850"/>
    <w:rsid w:val="00BE719A"/>
    <w:rsid w:val="00BE720A"/>
    <w:rsid w:val="00BF6BCB"/>
    <w:rsid w:val="00C122FF"/>
    <w:rsid w:val="00C25299"/>
    <w:rsid w:val="00C42BF8"/>
    <w:rsid w:val="00C50043"/>
    <w:rsid w:val="00C5509A"/>
    <w:rsid w:val="00C74FD3"/>
    <w:rsid w:val="00C7573B"/>
    <w:rsid w:val="00CC5811"/>
    <w:rsid w:val="00CE0375"/>
    <w:rsid w:val="00CF0BB2"/>
    <w:rsid w:val="00CF3EE8"/>
    <w:rsid w:val="00D13141"/>
    <w:rsid w:val="00D13441"/>
    <w:rsid w:val="00D256F3"/>
    <w:rsid w:val="00D473B5"/>
    <w:rsid w:val="00D54B4E"/>
    <w:rsid w:val="00D70DFB"/>
    <w:rsid w:val="00D74249"/>
    <w:rsid w:val="00D766DF"/>
    <w:rsid w:val="00D8280A"/>
    <w:rsid w:val="00DA6185"/>
    <w:rsid w:val="00DC4F88"/>
    <w:rsid w:val="00DD51EA"/>
    <w:rsid w:val="00DF2145"/>
    <w:rsid w:val="00E05704"/>
    <w:rsid w:val="00E118B9"/>
    <w:rsid w:val="00E159D1"/>
    <w:rsid w:val="00E17108"/>
    <w:rsid w:val="00E30FCA"/>
    <w:rsid w:val="00E338EF"/>
    <w:rsid w:val="00E74DC7"/>
    <w:rsid w:val="00E75AEA"/>
    <w:rsid w:val="00E87127"/>
    <w:rsid w:val="00E87BDF"/>
    <w:rsid w:val="00E94D5E"/>
    <w:rsid w:val="00EA7100"/>
    <w:rsid w:val="00EB1780"/>
    <w:rsid w:val="00EB7AC1"/>
    <w:rsid w:val="00EC3721"/>
    <w:rsid w:val="00EC4ECE"/>
    <w:rsid w:val="00ED52B5"/>
    <w:rsid w:val="00EE2A72"/>
    <w:rsid w:val="00EF2E3A"/>
    <w:rsid w:val="00F0228A"/>
    <w:rsid w:val="00F072A7"/>
    <w:rsid w:val="00F078DC"/>
    <w:rsid w:val="00F12083"/>
    <w:rsid w:val="00F15EF4"/>
    <w:rsid w:val="00F3299C"/>
    <w:rsid w:val="00F4270E"/>
    <w:rsid w:val="00F51041"/>
    <w:rsid w:val="00F52330"/>
    <w:rsid w:val="00F669DA"/>
    <w:rsid w:val="00F70B97"/>
    <w:rsid w:val="00F71650"/>
    <w:rsid w:val="00F73BD6"/>
    <w:rsid w:val="00F83989"/>
    <w:rsid w:val="00F91403"/>
    <w:rsid w:val="00F94B8C"/>
    <w:rsid w:val="00F95A47"/>
    <w:rsid w:val="00FB3154"/>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469"/>
    <w:pPr>
      <w:spacing w:line="260" w:lineRule="atLeast"/>
    </w:pPr>
    <w:rPr>
      <w:sz w:val="22"/>
    </w:rPr>
  </w:style>
  <w:style w:type="paragraph" w:styleId="Heading1">
    <w:name w:val="heading 1"/>
    <w:basedOn w:val="Normal"/>
    <w:next w:val="Normal"/>
    <w:link w:val="Heading1Char"/>
    <w:uiPriority w:val="9"/>
    <w:qFormat/>
    <w:rsid w:val="00056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6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1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61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61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61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61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618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618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6469"/>
  </w:style>
  <w:style w:type="paragraph" w:customStyle="1" w:styleId="OPCParaBase">
    <w:name w:val="OPCParaBase"/>
    <w:link w:val="OPCParaBaseChar"/>
    <w:qFormat/>
    <w:rsid w:val="001E6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E6469"/>
    <w:pPr>
      <w:spacing w:line="240" w:lineRule="auto"/>
    </w:pPr>
    <w:rPr>
      <w:b/>
      <w:sz w:val="40"/>
    </w:rPr>
  </w:style>
  <w:style w:type="paragraph" w:customStyle="1" w:styleId="ActHead1">
    <w:name w:val="ActHead 1"/>
    <w:aliases w:val="c"/>
    <w:basedOn w:val="OPCParaBase"/>
    <w:next w:val="Normal"/>
    <w:qFormat/>
    <w:rsid w:val="001E6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6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6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6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469"/>
  </w:style>
  <w:style w:type="paragraph" w:customStyle="1" w:styleId="Blocks">
    <w:name w:val="Blocks"/>
    <w:aliases w:val="bb"/>
    <w:basedOn w:val="OPCParaBase"/>
    <w:qFormat/>
    <w:rsid w:val="001E6469"/>
    <w:pPr>
      <w:spacing w:line="240" w:lineRule="auto"/>
    </w:pPr>
    <w:rPr>
      <w:sz w:val="24"/>
    </w:rPr>
  </w:style>
  <w:style w:type="paragraph" w:customStyle="1" w:styleId="BoxText">
    <w:name w:val="BoxText"/>
    <w:aliases w:val="bt"/>
    <w:basedOn w:val="OPCParaBase"/>
    <w:qFormat/>
    <w:rsid w:val="001E6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469"/>
    <w:rPr>
      <w:b/>
    </w:rPr>
  </w:style>
  <w:style w:type="paragraph" w:customStyle="1" w:styleId="BoxHeadItalic">
    <w:name w:val="BoxHeadItalic"/>
    <w:aliases w:val="bhi"/>
    <w:basedOn w:val="BoxText"/>
    <w:next w:val="BoxStep"/>
    <w:qFormat/>
    <w:rsid w:val="001E6469"/>
    <w:rPr>
      <w:i/>
    </w:rPr>
  </w:style>
  <w:style w:type="paragraph" w:customStyle="1" w:styleId="BoxList">
    <w:name w:val="BoxList"/>
    <w:aliases w:val="bl"/>
    <w:basedOn w:val="BoxText"/>
    <w:qFormat/>
    <w:rsid w:val="001E6469"/>
    <w:pPr>
      <w:ind w:left="1559" w:hanging="425"/>
    </w:pPr>
  </w:style>
  <w:style w:type="paragraph" w:customStyle="1" w:styleId="BoxNote">
    <w:name w:val="BoxNote"/>
    <w:aliases w:val="bn"/>
    <w:basedOn w:val="BoxText"/>
    <w:qFormat/>
    <w:rsid w:val="001E6469"/>
    <w:pPr>
      <w:tabs>
        <w:tab w:val="left" w:pos="1985"/>
      </w:tabs>
      <w:spacing w:before="122" w:line="198" w:lineRule="exact"/>
      <w:ind w:left="2948" w:hanging="1814"/>
    </w:pPr>
    <w:rPr>
      <w:sz w:val="18"/>
    </w:rPr>
  </w:style>
  <w:style w:type="paragraph" w:customStyle="1" w:styleId="BoxPara">
    <w:name w:val="BoxPara"/>
    <w:aliases w:val="bp"/>
    <w:basedOn w:val="BoxText"/>
    <w:qFormat/>
    <w:rsid w:val="001E6469"/>
    <w:pPr>
      <w:tabs>
        <w:tab w:val="right" w:pos="2268"/>
      </w:tabs>
      <w:ind w:left="2552" w:hanging="1418"/>
    </w:pPr>
  </w:style>
  <w:style w:type="paragraph" w:customStyle="1" w:styleId="BoxStep">
    <w:name w:val="BoxStep"/>
    <w:aliases w:val="bs"/>
    <w:basedOn w:val="BoxText"/>
    <w:qFormat/>
    <w:rsid w:val="001E6469"/>
    <w:pPr>
      <w:ind w:left="1985" w:hanging="851"/>
    </w:pPr>
  </w:style>
  <w:style w:type="character" w:customStyle="1" w:styleId="CharAmPartNo">
    <w:name w:val="CharAmPartNo"/>
    <w:basedOn w:val="OPCCharBase"/>
    <w:qFormat/>
    <w:rsid w:val="001E6469"/>
  </w:style>
  <w:style w:type="character" w:customStyle="1" w:styleId="CharAmPartText">
    <w:name w:val="CharAmPartText"/>
    <w:basedOn w:val="OPCCharBase"/>
    <w:qFormat/>
    <w:rsid w:val="001E6469"/>
  </w:style>
  <w:style w:type="character" w:customStyle="1" w:styleId="CharAmSchNo">
    <w:name w:val="CharAmSchNo"/>
    <w:basedOn w:val="OPCCharBase"/>
    <w:qFormat/>
    <w:rsid w:val="001E6469"/>
  </w:style>
  <w:style w:type="character" w:customStyle="1" w:styleId="CharAmSchText">
    <w:name w:val="CharAmSchText"/>
    <w:basedOn w:val="OPCCharBase"/>
    <w:qFormat/>
    <w:rsid w:val="001E6469"/>
  </w:style>
  <w:style w:type="character" w:customStyle="1" w:styleId="CharBoldItalic">
    <w:name w:val="CharBoldItalic"/>
    <w:basedOn w:val="OPCCharBase"/>
    <w:uiPriority w:val="1"/>
    <w:qFormat/>
    <w:rsid w:val="001E6469"/>
    <w:rPr>
      <w:b/>
      <w:i/>
    </w:rPr>
  </w:style>
  <w:style w:type="character" w:customStyle="1" w:styleId="CharChapNo">
    <w:name w:val="CharChapNo"/>
    <w:basedOn w:val="OPCCharBase"/>
    <w:uiPriority w:val="1"/>
    <w:qFormat/>
    <w:rsid w:val="001E6469"/>
  </w:style>
  <w:style w:type="character" w:customStyle="1" w:styleId="CharChapText">
    <w:name w:val="CharChapText"/>
    <w:basedOn w:val="OPCCharBase"/>
    <w:uiPriority w:val="1"/>
    <w:qFormat/>
    <w:rsid w:val="001E6469"/>
  </w:style>
  <w:style w:type="character" w:customStyle="1" w:styleId="CharDivNo">
    <w:name w:val="CharDivNo"/>
    <w:basedOn w:val="OPCCharBase"/>
    <w:uiPriority w:val="1"/>
    <w:qFormat/>
    <w:rsid w:val="001E6469"/>
  </w:style>
  <w:style w:type="character" w:customStyle="1" w:styleId="CharDivText">
    <w:name w:val="CharDivText"/>
    <w:basedOn w:val="OPCCharBase"/>
    <w:uiPriority w:val="1"/>
    <w:qFormat/>
    <w:rsid w:val="001E6469"/>
  </w:style>
  <w:style w:type="character" w:customStyle="1" w:styleId="CharItalic">
    <w:name w:val="CharItalic"/>
    <w:basedOn w:val="OPCCharBase"/>
    <w:uiPriority w:val="1"/>
    <w:qFormat/>
    <w:rsid w:val="001E6469"/>
    <w:rPr>
      <w:i/>
    </w:rPr>
  </w:style>
  <w:style w:type="character" w:customStyle="1" w:styleId="CharPartNo">
    <w:name w:val="CharPartNo"/>
    <w:basedOn w:val="OPCCharBase"/>
    <w:uiPriority w:val="1"/>
    <w:qFormat/>
    <w:rsid w:val="001E6469"/>
  </w:style>
  <w:style w:type="character" w:customStyle="1" w:styleId="CharPartText">
    <w:name w:val="CharPartText"/>
    <w:basedOn w:val="OPCCharBase"/>
    <w:uiPriority w:val="1"/>
    <w:qFormat/>
    <w:rsid w:val="001E6469"/>
  </w:style>
  <w:style w:type="character" w:customStyle="1" w:styleId="CharSectno">
    <w:name w:val="CharSectno"/>
    <w:basedOn w:val="OPCCharBase"/>
    <w:qFormat/>
    <w:rsid w:val="001E6469"/>
  </w:style>
  <w:style w:type="character" w:customStyle="1" w:styleId="CharSubdNo">
    <w:name w:val="CharSubdNo"/>
    <w:basedOn w:val="OPCCharBase"/>
    <w:uiPriority w:val="1"/>
    <w:qFormat/>
    <w:rsid w:val="001E6469"/>
  </w:style>
  <w:style w:type="character" w:customStyle="1" w:styleId="CharSubdText">
    <w:name w:val="CharSubdText"/>
    <w:basedOn w:val="OPCCharBase"/>
    <w:uiPriority w:val="1"/>
    <w:qFormat/>
    <w:rsid w:val="001E6469"/>
  </w:style>
  <w:style w:type="paragraph" w:customStyle="1" w:styleId="CTA--">
    <w:name w:val="CTA --"/>
    <w:basedOn w:val="OPCParaBase"/>
    <w:next w:val="Normal"/>
    <w:rsid w:val="001E6469"/>
    <w:pPr>
      <w:spacing w:before="60" w:line="240" w:lineRule="atLeast"/>
      <w:ind w:left="142" w:hanging="142"/>
    </w:pPr>
    <w:rPr>
      <w:sz w:val="20"/>
    </w:rPr>
  </w:style>
  <w:style w:type="paragraph" w:customStyle="1" w:styleId="CTA-">
    <w:name w:val="CTA -"/>
    <w:basedOn w:val="OPCParaBase"/>
    <w:rsid w:val="001E6469"/>
    <w:pPr>
      <w:spacing w:before="60" w:line="240" w:lineRule="atLeast"/>
      <w:ind w:left="85" w:hanging="85"/>
    </w:pPr>
    <w:rPr>
      <w:sz w:val="20"/>
    </w:rPr>
  </w:style>
  <w:style w:type="paragraph" w:customStyle="1" w:styleId="CTA---">
    <w:name w:val="CTA ---"/>
    <w:basedOn w:val="OPCParaBase"/>
    <w:next w:val="Normal"/>
    <w:rsid w:val="001E6469"/>
    <w:pPr>
      <w:spacing w:before="60" w:line="240" w:lineRule="atLeast"/>
      <w:ind w:left="198" w:hanging="198"/>
    </w:pPr>
    <w:rPr>
      <w:sz w:val="20"/>
    </w:rPr>
  </w:style>
  <w:style w:type="paragraph" w:customStyle="1" w:styleId="CTA----">
    <w:name w:val="CTA ----"/>
    <w:basedOn w:val="OPCParaBase"/>
    <w:next w:val="Normal"/>
    <w:rsid w:val="001E6469"/>
    <w:pPr>
      <w:spacing w:before="60" w:line="240" w:lineRule="atLeast"/>
      <w:ind w:left="255" w:hanging="255"/>
    </w:pPr>
    <w:rPr>
      <w:sz w:val="20"/>
    </w:rPr>
  </w:style>
  <w:style w:type="paragraph" w:customStyle="1" w:styleId="CTA1a">
    <w:name w:val="CTA 1(a)"/>
    <w:basedOn w:val="OPCParaBase"/>
    <w:rsid w:val="001E6469"/>
    <w:pPr>
      <w:tabs>
        <w:tab w:val="right" w:pos="414"/>
      </w:tabs>
      <w:spacing w:before="40" w:line="240" w:lineRule="atLeast"/>
      <w:ind w:left="675" w:hanging="675"/>
    </w:pPr>
    <w:rPr>
      <w:sz w:val="20"/>
    </w:rPr>
  </w:style>
  <w:style w:type="paragraph" w:customStyle="1" w:styleId="CTA1ai">
    <w:name w:val="CTA 1(a)(i)"/>
    <w:basedOn w:val="OPCParaBase"/>
    <w:rsid w:val="001E6469"/>
    <w:pPr>
      <w:tabs>
        <w:tab w:val="right" w:pos="1004"/>
      </w:tabs>
      <w:spacing w:before="40" w:line="240" w:lineRule="atLeast"/>
      <w:ind w:left="1253" w:hanging="1253"/>
    </w:pPr>
    <w:rPr>
      <w:sz w:val="20"/>
    </w:rPr>
  </w:style>
  <w:style w:type="paragraph" w:customStyle="1" w:styleId="CTA2a">
    <w:name w:val="CTA 2(a)"/>
    <w:basedOn w:val="OPCParaBase"/>
    <w:rsid w:val="001E6469"/>
    <w:pPr>
      <w:tabs>
        <w:tab w:val="right" w:pos="482"/>
      </w:tabs>
      <w:spacing w:before="40" w:line="240" w:lineRule="atLeast"/>
      <w:ind w:left="748" w:hanging="748"/>
    </w:pPr>
    <w:rPr>
      <w:sz w:val="20"/>
    </w:rPr>
  </w:style>
  <w:style w:type="paragraph" w:customStyle="1" w:styleId="CTA2ai">
    <w:name w:val="CTA 2(a)(i)"/>
    <w:basedOn w:val="OPCParaBase"/>
    <w:rsid w:val="001E6469"/>
    <w:pPr>
      <w:tabs>
        <w:tab w:val="right" w:pos="1089"/>
      </w:tabs>
      <w:spacing w:before="40" w:line="240" w:lineRule="atLeast"/>
      <w:ind w:left="1327" w:hanging="1327"/>
    </w:pPr>
    <w:rPr>
      <w:sz w:val="20"/>
    </w:rPr>
  </w:style>
  <w:style w:type="paragraph" w:customStyle="1" w:styleId="CTA3a">
    <w:name w:val="CTA 3(a)"/>
    <w:basedOn w:val="OPCParaBase"/>
    <w:rsid w:val="001E6469"/>
    <w:pPr>
      <w:tabs>
        <w:tab w:val="right" w:pos="556"/>
      </w:tabs>
      <w:spacing w:before="40" w:line="240" w:lineRule="atLeast"/>
      <w:ind w:left="805" w:hanging="805"/>
    </w:pPr>
    <w:rPr>
      <w:sz w:val="20"/>
    </w:rPr>
  </w:style>
  <w:style w:type="paragraph" w:customStyle="1" w:styleId="CTA3ai">
    <w:name w:val="CTA 3(a)(i)"/>
    <w:basedOn w:val="OPCParaBase"/>
    <w:rsid w:val="001E6469"/>
    <w:pPr>
      <w:tabs>
        <w:tab w:val="right" w:pos="1140"/>
      </w:tabs>
      <w:spacing w:before="40" w:line="240" w:lineRule="atLeast"/>
      <w:ind w:left="1361" w:hanging="1361"/>
    </w:pPr>
    <w:rPr>
      <w:sz w:val="20"/>
    </w:rPr>
  </w:style>
  <w:style w:type="paragraph" w:customStyle="1" w:styleId="CTA4a">
    <w:name w:val="CTA 4(a)"/>
    <w:basedOn w:val="OPCParaBase"/>
    <w:rsid w:val="001E6469"/>
    <w:pPr>
      <w:tabs>
        <w:tab w:val="right" w:pos="624"/>
      </w:tabs>
      <w:spacing w:before="40" w:line="240" w:lineRule="atLeast"/>
      <w:ind w:left="873" w:hanging="873"/>
    </w:pPr>
    <w:rPr>
      <w:sz w:val="20"/>
    </w:rPr>
  </w:style>
  <w:style w:type="paragraph" w:customStyle="1" w:styleId="CTA4ai">
    <w:name w:val="CTA 4(a)(i)"/>
    <w:basedOn w:val="OPCParaBase"/>
    <w:rsid w:val="001E6469"/>
    <w:pPr>
      <w:tabs>
        <w:tab w:val="right" w:pos="1213"/>
      </w:tabs>
      <w:spacing w:before="40" w:line="240" w:lineRule="atLeast"/>
      <w:ind w:left="1452" w:hanging="1452"/>
    </w:pPr>
    <w:rPr>
      <w:sz w:val="20"/>
    </w:rPr>
  </w:style>
  <w:style w:type="paragraph" w:customStyle="1" w:styleId="CTACAPS">
    <w:name w:val="CTA CAPS"/>
    <w:basedOn w:val="OPCParaBase"/>
    <w:rsid w:val="001E6469"/>
    <w:pPr>
      <w:spacing w:before="60" w:line="240" w:lineRule="atLeast"/>
    </w:pPr>
    <w:rPr>
      <w:sz w:val="20"/>
    </w:rPr>
  </w:style>
  <w:style w:type="paragraph" w:customStyle="1" w:styleId="CTAright">
    <w:name w:val="CTA right"/>
    <w:basedOn w:val="OPCParaBase"/>
    <w:rsid w:val="001E6469"/>
    <w:pPr>
      <w:spacing w:before="60" w:line="240" w:lineRule="auto"/>
      <w:jc w:val="right"/>
    </w:pPr>
    <w:rPr>
      <w:sz w:val="20"/>
    </w:rPr>
  </w:style>
  <w:style w:type="paragraph" w:customStyle="1" w:styleId="subsection">
    <w:name w:val="subsection"/>
    <w:aliases w:val="ss"/>
    <w:basedOn w:val="OPCParaBase"/>
    <w:link w:val="subsectionChar"/>
    <w:rsid w:val="001E64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E6469"/>
    <w:pPr>
      <w:spacing w:before="180" w:line="240" w:lineRule="auto"/>
      <w:ind w:left="1134"/>
    </w:pPr>
  </w:style>
  <w:style w:type="paragraph" w:customStyle="1" w:styleId="Formula">
    <w:name w:val="Formula"/>
    <w:basedOn w:val="OPCParaBase"/>
    <w:rsid w:val="001E6469"/>
    <w:pPr>
      <w:spacing w:line="240" w:lineRule="auto"/>
      <w:ind w:left="1134"/>
    </w:pPr>
    <w:rPr>
      <w:sz w:val="20"/>
    </w:rPr>
  </w:style>
  <w:style w:type="paragraph" w:styleId="Header">
    <w:name w:val="header"/>
    <w:basedOn w:val="OPCParaBase"/>
    <w:link w:val="HeaderChar"/>
    <w:unhideWhenUsed/>
    <w:rsid w:val="001E6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469"/>
    <w:rPr>
      <w:rFonts w:eastAsia="Times New Roman" w:cs="Times New Roman"/>
      <w:sz w:val="16"/>
      <w:lang w:eastAsia="en-AU"/>
    </w:rPr>
  </w:style>
  <w:style w:type="paragraph" w:customStyle="1" w:styleId="House">
    <w:name w:val="House"/>
    <w:basedOn w:val="OPCParaBase"/>
    <w:rsid w:val="001E6469"/>
    <w:pPr>
      <w:spacing w:line="240" w:lineRule="auto"/>
    </w:pPr>
    <w:rPr>
      <w:sz w:val="28"/>
    </w:rPr>
  </w:style>
  <w:style w:type="paragraph" w:customStyle="1" w:styleId="Item">
    <w:name w:val="Item"/>
    <w:aliases w:val="i"/>
    <w:basedOn w:val="OPCParaBase"/>
    <w:next w:val="ItemHead"/>
    <w:rsid w:val="001E6469"/>
    <w:pPr>
      <w:keepLines/>
      <w:spacing w:before="80" w:line="240" w:lineRule="auto"/>
      <w:ind w:left="709"/>
    </w:pPr>
  </w:style>
  <w:style w:type="paragraph" w:customStyle="1" w:styleId="ItemHead">
    <w:name w:val="ItemHead"/>
    <w:aliases w:val="ih"/>
    <w:basedOn w:val="OPCParaBase"/>
    <w:next w:val="Item"/>
    <w:rsid w:val="001E6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6469"/>
    <w:pPr>
      <w:spacing w:line="240" w:lineRule="auto"/>
    </w:pPr>
    <w:rPr>
      <w:b/>
      <w:sz w:val="32"/>
    </w:rPr>
  </w:style>
  <w:style w:type="paragraph" w:customStyle="1" w:styleId="notedraft">
    <w:name w:val="note(draft)"/>
    <w:aliases w:val="nd"/>
    <w:basedOn w:val="OPCParaBase"/>
    <w:rsid w:val="001E6469"/>
    <w:pPr>
      <w:spacing w:before="240" w:line="240" w:lineRule="auto"/>
      <w:ind w:left="284" w:hanging="284"/>
    </w:pPr>
    <w:rPr>
      <w:i/>
      <w:sz w:val="24"/>
    </w:rPr>
  </w:style>
  <w:style w:type="paragraph" w:customStyle="1" w:styleId="notemargin">
    <w:name w:val="note(margin)"/>
    <w:aliases w:val="nm"/>
    <w:basedOn w:val="OPCParaBase"/>
    <w:rsid w:val="001E6469"/>
    <w:pPr>
      <w:tabs>
        <w:tab w:val="left" w:pos="709"/>
      </w:tabs>
      <w:spacing w:before="122" w:line="198" w:lineRule="exact"/>
      <w:ind w:left="709" w:hanging="709"/>
    </w:pPr>
    <w:rPr>
      <w:sz w:val="18"/>
    </w:rPr>
  </w:style>
  <w:style w:type="paragraph" w:customStyle="1" w:styleId="noteToPara">
    <w:name w:val="noteToPara"/>
    <w:aliases w:val="ntp"/>
    <w:basedOn w:val="OPCParaBase"/>
    <w:rsid w:val="001E6469"/>
    <w:pPr>
      <w:spacing w:before="122" w:line="198" w:lineRule="exact"/>
      <w:ind w:left="2353" w:hanging="709"/>
    </w:pPr>
    <w:rPr>
      <w:sz w:val="18"/>
    </w:rPr>
  </w:style>
  <w:style w:type="paragraph" w:customStyle="1" w:styleId="noteParlAmend">
    <w:name w:val="note(ParlAmend)"/>
    <w:aliases w:val="npp"/>
    <w:basedOn w:val="OPCParaBase"/>
    <w:next w:val="ParlAmend"/>
    <w:rsid w:val="001E6469"/>
    <w:pPr>
      <w:spacing w:line="240" w:lineRule="auto"/>
      <w:jc w:val="right"/>
    </w:pPr>
    <w:rPr>
      <w:rFonts w:ascii="Arial" w:hAnsi="Arial"/>
      <w:b/>
      <w:i/>
    </w:rPr>
  </w:style>
  <w:style w:type="paragraph" w:customStyle="1" w:styleId="Page1">
    <w:name w:val="Page1"/>
    <w:basedOn w:val="OPCParaBase"/>
    <w:rsid w:val="001E6469"/>
    <w:pPr>
      <w:spacing w:before="400" w:line="240" w:lineRule="auto"/>
    </w:pPr>
    <w:rPr>
      <w:b/>
      <w:sz w:val="32"/>
    </w:rPr>
  </w:style>
  <w:style w:type="paragraph" w:customStyle="1" w:styleId="PageBreak">
    <w:name w:val="PageBreak"/>
    <w:aliases w:val="pb"/>
    <w:basedOn w:val="OPCParaBase"/>
    <w:rsid w:val="001E6469"/>
    <w:pPr>
      <w:spacing w:line="240" w:lineRule="auto"/>
    </w:pPr>
    <w:rPr>
      <w:sz w:val="20"/>
    </w:rPr>
  </w:style>
  <w:style w:type="paragraph" w:customStyle="1" w:styleId="paragraphsub">
    <w:name w:val="paragraph(sub)"/>
    <w:aliases w:val="aa"/>
    <w:basedOn w:val="OPCParaBase"/>
    <w:rsid w:val="001E6469"/>
    <w:pPr>
      <w:tabs>
        <w:tab w:val="right" w:pos="1985"/>
      </w:tabs>
      <w:spacing w:before="40" w:line="240" w:lineRule="auto"/>
      <w:ind w:left="2098" w:hanging="2098"/>
    </w:pPr>
  </w:style>
  <w:style w:type="paragraph" w:customStyle="1" w:styleId="paragraphsub-sub">
    <w:name w:val="paragraph(sub-sub)"/>
    <w:aliases w:val="aaa"/>
    <w:basedOn w:val="OPCParaBase"/>
    <w:rsid w:val="001E6469"/>
    <w:pPr>
      <w:tabs>
        <w:tab w:val="right" w:pos="2722"/>
      </w:tabs>
      <w:spacing w:before="40" w:line="240" w:lineRule="auto"/>
      <w:ind w:left="2835" w:hanging="2835"/>
    </w:pPr>
  </w:style>
  <w:style w:type="paragraph" w:customStyle="1" w:styleId="paragraph">
    <w:name w:val="paragraph"/>
    <w:aliases w:val="a"/>
    <w:basedOn w:val="OPCParaBase"/>
    <w:link w:val="paragraphChar"/>
    <w:rsid w:val="001E6469"/>
    <w:pPr>
      <w:tabs>
        <w:tab w:val="right" w:pos="1531"/>
      </w:tabs>
      <w:spacing w:before="40" w:line="240" w:lineRule="auto"/>
      <w:ind w:left="1644" w:hanging="1644"/>
    </w:pPr>
  </w:style>
  <w:style w:type="paragraph" w:customStyle="1" w:styleId="ParlAmend">
    <w:name w:val="ParlAmend"/>
    <w:aliases w:val="pp"/>
    <w:basedOn w:val="OPCParaBase"/>
    <w:rsid w:val="001E6469"/>
    <w:pPr>
      <w:spacing w:before="240" w:line="240" w:lineRule="atLeast"/>
      <w:ind w:hanging="567"/>
    </w:pPr>
    <w:rPr>
      <w:sz w:val="24"/>
    </w:rPr>
  </w:style>
  <w:style w:type="paragraph" w:customStyle="1" w:styleId="Penalty">
    <w:name w:val="Penalty"/>
    <w:basedOn w:val="OPCParaBase"/>
    <w:rsid w:val="001E6469"/>
    <w:pPr>
      <w:tabs>
        <w:tab w:val="left" w:pos="2977"/>
      </w:tabs>
      <w:spacing w:before="180" w:line="240" w:lineRule="auto"/>
      <w:ind w:left="1985" w:hanging="851"/>
    </w:pPr>
  </w:style>
  <w:style w:type="paragraph" w:customStyle="1" w:styleId="Portfolio">
    <w:name w:val="Portfolio"/>
    <w:basedOn w:val="OPCParaBase"/>
    <w:rsid w:val="001E6469"/>
    <w:pPr>
      <w:spacing w:line="240" w:lineRule="auto"/>
    </w:pPr>
    <w:rPr>
      <w:i/>
      <w:sz w:val="20"/>
    </w:rPr>
  </w:style>
  <w:style w:type="paragraph" w:customStyle="1" w:styleId="Preamble">
    <w:name w:val="Preamble"/>
    <w:basedOn w:val="OPCParaBase"/>
    <w:next w:val="Normal"/>
    <w:rsid w:val="001E6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469"/>
    <w:pPr>
      <w:spacing w:line="240" w:lineRule="auto"/>
    </w:pPr>
    <w:rPr>
      <w:i/>
      <w:sz w:val="20"/>
    </w:rPr>
  </w:style>
  <w:style w:type="paragraph" w:customStyle="1" w:styleId="Session">
    <w:name w:val="Session"/>
    <w:basedOn w:val="OPCParaBase"/>
    <w:rsid w:val="001E6469"/>
    <w:pPr>
      <w:spacing w:line="240" w:lineRule="auto"/>
    </w:pPr>
    <w:rPr>
      <w:sz w:val="28"/>
    </w:rPr>
  </w:style>
  <w:style w:type="paragraph" w:customStyle="1" w:styleId="Sponsor">
    <w:name w:val="Sponsor"/>
    <w:basedOn w:val="OPCParaBase"/>
    <w:rsid w:val="001E6469"/>
    <w:pPr>
      <w:spacing w:line="240" w:lineRule="auto"/>
    </w:pPr>
    <w:rPr>
      <w:i/>
    </w:rPr>
  </w:style>
  <w:style w:type="paragraph" w:customStyle="1" w:styleId="Subitem">
    <w:name w:val="Subitem"/>
    <w:aliases w:val="iss"/>
    <w:basedOn w:val="OPCParaBase"/>
    <w:rsid w:val="001E6469"/>
    <w:pPr>
      <w:spacing w:before="180" w:line="240" w:lineRule="auto"/>
      <w:ind w:left="709" w:hanging="709"/>
    </w:pPr>
  </w:style>
  <w:style w:type="paragraph" w:customStyle="1" w:styleId="SubitemHead">
    <w:name w:val="SubitemHead"/>
    <w:aliases w:val="issh"/>
    <w:basedOn w:val="OPCParaBase"/>
    <w:rsid w:val="001E6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469"/>
    <w:pPr>
      <w:spacing w:before="40" w:line="240" w:lineRule="auto"/>
      <w:ind w:left="1134"/>
    </w:pPr>
  </w:style>
  <w:style w:type="paragraph" w:customStyle="1" w:styleId="SubsectionHead">
    <w:name w:val="SubsectionHead"/>
    <w:aliases w:val="ssh"/>
    <w:basedOn w:val="OPCParaBase"/>
    <w:next w:val="subsection"/>
    <w:rsid w:val="001E6469"/>
    <w:pPr>
      <w:keepNext/>
      <w:keepLines/>
      <w:spacing w:before="240" w:line="240" w:lineRule="auto"/>
      <w:ind w:left="1134"/>
    </w:pPr>
    <w:rPr>
      <w:i/>
    </w:rPr>
  </w:style>
  <w:style w:type="paragraph" w:customStyle="1" w:styleId="Tablea">
    <w:name w:val="Table(a)"/>
    <w:aliases w:val="ta"/>
    <w:basedOn w:val="OPCParaBase"/>
    <w:rsid w:val="001E6469"/>
    <w:pPr>
      <w:spacing w:before="60" w:line="240" w:lineRule="auto"/>
      <w:ind w:left="284" w:hanging="284"/>
    </w:pPr>
    <w:rPr>
      <w:sz w:val="20"/>
    </w:rPr>
  </w:style>
  <w:style w:type="paragraph" w:customStyle="1" w:styleId="TableAA">
    <w:name w:val="Table(AA)"/>
    <w:aliases w:val="taaa"/>
    <w:basedOn w:val="OPCParaBase"/>
    <w:rsid w:val="001E6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469"/>
    <w:pPr>
      <w:spacing w:before="60" w:line="240" w:lineRule="atLeast"/>
    </w:pPr>
    <w:rPr>
      <w:sz w:val="20"/>
    </w:rPr>
  </w:style>
  <w:style w:type="paragraph" w:customStyle="1" w:styleId="TLPBoxTextnote">
    <w:name w:val="TLPBoxText(note"/>
    <w:aliases w:val="right)"/>
    <w:basedOn w:val="OPCParaBase"/>
    <w:rsid w:val="001E6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469"/>
    <w:pPr>
      <w:spacing w:before="122" w:line="198" w:lineRule="exact"/>
      <w:ind w:left="1985" w:hanging="851"/>
      <w:jc w:val="right"/>
    </w:pPr>
    <w:rPr>
      <w:sz w:val="18"/>
    </w:rPr>
  </w:style>
  <w:style w:type="paragraph" w:customStyle="1" w:styleId="TLPTableBullet">
    <w:name w:val="TLPTableBullet"/>
    <w:aliases w:val="ttb"/>
    <w:basedOn w:val="OPCParaBase"/>
    <w:rsid w:val="001E6469"/>
    <w:pPr>
      <w:spacing w:line="240" w:lineRule="exact"/>
      <w:ind w:left="284" w:hanging="284"/>
    </w:pPr>
    <w:rPr>
      <w:sz w:val="20"/>
    </w:rPr>
  </w:style>
  <w:style w:type="paragraph" w:styleId="TOC1">
    <w:name w:val="toc 1"/>
    <w:basedOn w:val="OPCParaBase"/>
    <w:next w:val="Normal"/>
    <w:uiPriority w:val="39"/>
    <w:semiHidden/>
    <w:unhideWhenUsed/>
    <w:rsid w:val="001E64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4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E64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E64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E6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E6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469"/>
    <w:pPr>
      <w:keepLines/>
      <w:spacing w:before="240" w:after="120" w:line="240" w:lineRule="auto"/>
      <w:ind w:left="794"/>
    </w:pPr>
    <w:rPr>
      <w:b/>
      <w:kern w:val="28"/>
      <w:sz w:val="20"/>
    </w:rPr>
  </w:style>
  <w:style w:type="paragraph" w:customStyle="1" w:styleId="TofSectsHeading">
    <w:name w:val="TofSects(Heading)"/>
    <w:basedOn w:val="OPCParaBase"/>
    <w:rsid w:val="001E6469"/>
    <w:pPr>
      <w:spacing w:before="240" w:after="120" w:line="240" w:lineRule="auto"/>
    </w:pPr>
    <w:rPr>
      <w:b/>
      <w:sz w:val="24"/>
    </w:rPr>
  </w:style>
  <w:style w:type="paragraph" w:customStyle="1" w:styleId="TofSectsSection">
    <w:name w:val="TofSects(Section)"/>
    <w:basedOn w:val="OPCParaBase"/>
    <w:rsid w:val="001E6469"/>
    <w:pPr>
      <w:keepLines/>
      <w:spacing w:before="40" w:line="240" w:lineRule="auto"/>
      <w:ind w:left="1588" w:hanging="794"/>
    </w:pPr>
    <w:rPr>
      <w:kern w:val="28"/>
      <w:sz w:val="18"/>
    </w:rPr>
  </w:style>
  <w:style w:type="paragraph" w:customStyle="1" w:styleId="TofSectsSubdiv">
    <w:name w:val="TofSects(Subdiv)"/>
    <w:basedOn w:val="OPCParaBase"/>
    <w:rsid w:val="001E6469"/>
    <w:pPr>
      <w:keepLines/>
      <w:spacing w:before="80" w:line="240" w:lineRule="auto"/>
      <w:ind w:left="1588" w:hanging="794"/>
    </w:pPr>
    <w:rPr>
      <w:kern w:val="28"/>
    </w:rPr>
  </w:style>
  <w:style w:type="paragraph" w:customStyle="1" w:styleId="WRStyle">
    <w:name w:val="WR Style"/>
    <w:aliases w:val="WR"/>
    <w:basedOn w:val="OPCParaBase"/>
    <w:rsid w:val="001E6469"/>
    <w:pPr>
      <w:spacing w:before="240" w:line="240" w:lineRule="auto"/>
      <w:ind w:left="284" w:hanging="284"/>
    </w:pPr>
    <w:rPr>
      <w:b/>
      <w:i/>
      <w:kern w:val="28"/>
      <w:sz w:val="24"/>
    </w:rPr>
  </w:style>
  <w:style w:type="paragraph" w:customStyle="1" w:styleId="notepara">
    <w:name w:val="note(para)"/>
    <w:aliases w:val="na"/>
    <w:basedOn w:val="OPCParaBase"/>
    <w:rsid w:val="001E6469"/>
    <w:pPr>
      <w:spacing w:before="40" w:line="198" w:lineRule="exact"/>
      <w:ind w:left="2354" w:hanging="369"/>
    </w:pPr>
    <w:rPr>
      <w:sz w:val="18"/>
    </w:rPr>
  </w:style>
  <w:style w:type="paragraph" w:styleId="Footer">
    <w:name w:val="footer"/>
    <w:link w:val="FooterChar"/>
    <w:rsid w:val="001E6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6469"/>
    <w:rPr>
      <w:rFonts w:eastAsia="Times New Roman" w:cs="Times New Roman"/>
      <w:sz w:val="22"/>
      <w:szCs w:val="24"/>
      <w:lang w:eastAsia="en-AU"/>
    </w:rPr>
  </w:style>
  <w:style w:type="character" w:styleId="LineNumber">
    <w:name w:val="line number"/>
    <w:basedOn w:val="OPCCharBase"/>
    <w:uiPriority w:val="99"/>
    <w:semiHidden/>
    <w:unhideWhenUsed/>
    <w:rsid w:val="001E6469"/>
    <w:rPr>
      <w:sz w:val="16"/>
    </w:rPr>
  </w:style>
  <w:style w:type="table" w:customStyle="1" w:styleId="CFlag">
    <w:name w:val="CFlag"/>
    <w:basedOn w:val="TableNormal"/>
    <w:uiPriority w:val="99"/>
    <w:rsid w:val="001E6469"/>
    <w:rPr>
      <w:rFonts w:eastAsia="Times New Roman" w:cs="Times New Roman"/>
      <w:lang w:eastAsia="en-AU"/>
    </w:rPr>
    <w:tblPr/>
  </w:style>
  <w:style w:type="paragraph" w:customStyle="1" w:styleId="SignCoverPageEnd">
    <w:name w:val="SignCoverPageEnd"/>
    <w:basedOn w:val="OPCParaBase"/>
    <w:next w:val="Normal"/>
    <w:rsid w:val="001E6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469"/>
    <w:pPr>
      <w:pBdr>
        <w:top w:val="single" w:sz="4" w:space="1" w:color="auto"/>
      </w:pBdr>
      <w:spacing w:before="360"/>
      <w:ind w:right="397"/>
      <w:jc w:val="both"/>
    </w:pPr>
  </w:style>
  <w:style w:type="paragraph" w:customStyle="1" w:styleId="CompiledActNo">
    <w:name w:val="CompiledActNo"/>
    <w:basedOn w:val="OPCParaBase"/>
    <w:next w:val="Normal"/>
    <w:rsid w:val="001E6469"/>
    <w:rPr>
      <w:b/>
      <w:sz w:val="24"/>
      <w:szCs w:val="24"/>
    </w:rPr>
  </w:style>
  <w:style w:type="paragraph" w:customStyle="1" w:styleId="ENotesText">
    <w:name w:val="ENotesText"/>
    <w:aliases w:val="Ent"/>
    <w:basedOn w:val="OPCParaBase"/>
    <w:next w:val="Normal"/>
    <w:rsid w:val="001E6469"/>
    <w:pPr>
      <w:spacing w:before="120"/>
    </w:pPr>
  </w:style>
  <w:style w:type="paragraph" w:customStyle="1" w:styleId="CompiledMadeUnder">
    <w:name w:val="CompiledMadeUnder"/>
    <w:basedOn w:val="OPCParaBase"/>
    <w:next w:val="Normal"/>
    <w:rsid w:val="001E6469"/>
    <w:rPr>
      <w:i/>
      <w:sz w:val="24"/>
      <w:szCs w:val="24"/>
    </w:rPr>
  </w:style>
  <w:style w:type="paragraph" w:customStyle="1" w:styleId="Paragraphsub-sub-sub">
    <w:name w:val="Paragraph(sub-sub-sub)"/>
    <w:aliases w:val="aaaa"/>
    <w:basedOn w:val="OPCParaBase"/>
    <w:rsid w:val="001E6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6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6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6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4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6469"/>
    <w:pPr>
      <w:spacing w:before="60" w:line="240" w:lineRule="auto"/>
    </w:pPr>
    <w:rPr>
      <w:rFonts w:cs="Arial"/>
      <w:sz w:val="20"/>
      <w:szCs w:val="22"/>
    </w:rPr>
  </w:style>
  <w:style w:type="paragraph" w:customStyle="1" w:styleId="TableHeading">
    <w:name w:val="TableHeading"/>
    <w:aliases w:val="th"/>
    <w:basedOn w:val="OPCParaBase"/>
    <w:next w:val="Tabletext"/>
    <w:rsid w:val="001E6469"/>
    <w:pPr>
      <w:keepNext/>
      <w:spacing w:before="60" w:line="240" w:lineRule="atLeast"/>
    </w:pPr>
    <w:rPr>
      <w:b/>
      <w:sz w:val="20"/>
    </w:rPr>
  </w:style>
  <w:style w:type="paragraph" w:customStyle="1" w:styleId="NoteToSubpara">
    <w:name w:val="NoteToSubpara"/>
    <w:aliases w:val="nts"/>
    <w:basedOn w:val="OPCParaBase"/>
    <w:rsid w:val="001E6469"/>
    <w:pPr>
      <w:spacing w:before="40" w:line="198" w:lineRule="exact"/>
      <w:ind w:left="2835" w:hanging="709"/>
    </w:pPr>
    <w:rPr>
      <w:sz w:val="18"/>
    </w:rPr>
  </w:style>
  <w:style w:type="paragraph" w:customStyle="1" w:styleId="ENoteTableHeading">
    <w:name w:val="ENoteTableHeading"/>
    <w:aliases w:val="enth"/>
    <w:basedOn w:val="OPCParaBase"/>
    <w:rsid w:val="001E6469"/>
    <w:pPr>
      <w:keepNext/>
      <w:spacing w:before="60" w:line="240" w:lineRule="atLeast"/>
    </w:pPr>
    <w:rPr>
      <w:rFonts w:ascii="Arial" w:hAnsi="Arial"/>
      <w:b/>
      <w:sz w:val="16"/>
    </w:rPr>
  </w:style>
  <w:style w:type="paragraph" w:customStyle="1" w:styleId="ENoteTableText">
    <w:name w:val="ENoteTableText"/>
    <w:aliases w:val="entt"/>
    <w:basedOn w:val="OPCParaBase"/>
    <w:rsid w:val="001E6469"/>
    <w:pPr>
      <w:spacing w:before="60" w:line="240" w:lineRule="atLeast"/>
    </w:pPr>
    <w:rPr>
      <w:sz w:val="16"/>
    </w:rPr>
  </w:style>
  <w:style w:type="paragraph" w:customStyle="1" w:styleId="ENoteTTi">
    <w:name w:val="ENoteTTi"/>
    <w:aliases w:val="entti"/>
    <w:basedOn w:val="OPCParaBase"/>
    <w:rsid w:val="001E6469"/>
    <w:pPr>
      <w:keepNext/>
      <w:spacing w:before="60" w:line="240" w:lineRule="atLeast"/>
      <w:ind w:left="170"/>
    </w:pPr>
    <w:rPr>
      <w:sz w:val="16"/>
    </w:rPr>
  </w:style>
  <w:style w:type="paragraph" w:customStyle="1" w:styleId="ENoteTTIndentHeading">
    <w:name w:val="ENoteTTIndentHeading"/>
    <w:aliases w:val="enTTHi"/>
    <w:basedOn w:val="OPCParaBase"/>
    <w:rsid w:val="001E646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E6469"/>
    <w:pPr>
      <w:spacing w:before="120"/>
      <w:outlineLvl w:val="1"/>
    </w:pPr>
    <w:rPr>
      <w:b/>
      <w:sz w:val="28"/>
      <w:szCs w:val="28"/>
    </w:rPr>
  </w:style>
  <w:style w:type="paragraph" w:customStyle="1" w:styleId="ENotesHeading2">
    <w:name w:val="ENotesHeading 2"/>
    <w:aliases w:val="Enh2"/>
    <w:basedOn w:val="OPCParaBase"/>
    <w:next w:val="Normal"/>
    <w:rsid w:val="001E6469"/>
    <w:pPr>
      <w:spacing w:before="120" w:after="120"/>
      <w:outlineLvl w:val="2"/>
    </w:pPr>
    <w:rPr>
      <w:b/>
      <w:sz w:val="24"/>
      <w:szCs w:val="28"/>
    </w:rPr>
  </w:style>
  <w:style w:type="paragraph" w:customStyle="1" w:styleId="MadeunderText">
    <w:name w:val="MadeunderText"/>
    <w:basedOn w:val="OPCParaBase"/>
    <w:next w:val="Normal"/>
    <w:rsid w:val="001E6469"/>
    <w:pPr>
      <w:spacing w:before="240"/>
    </w:pPr>
    <w:rPr>
      <w:sz w:val="24"/>
      <w:szCs w:val="24"/>
    </w:rPr>
  </w:style>
  <w:style w:type="paragraph" w:customStyle="1" w:styleId="ENotesHeading3">
    <w:name w:val="ENotesHeading 3"/>
    <w:aliases w:val="Enh3"/>
    <w:basedOn w:val="OPCParaBase"/>
    <w:next w:val="Normal"/>
    <w:rsid w:val="001E6469"/>
    <w:pPr>
      <w:keepNext/>
      <w:spacing w:before="120" w:line="240" w:lineRule="auto"/>
      <w:outlineLvl w:val="4"/>
    </w:pPr>
    <w:rPr>
      <w:b/>
      <w:szCs w:val="24"/>
    </w:rPr>
  </w:style>
  <w:style w:type="character" w:customStyle="1" w:styleId="CharSubPartNoCASA">
    <w:name w:val="CharSubPartNo(CASA)"/>
    <w:basedOn w:val="OPCCharBase"/>
    <w:uiPriority w:val="1"/>
    <w:rsid w:val="001E6469"/>
  </w:style>
  <w:style w:type="character" w:customStyle="1" w:styleId="CharSubPartTextCASA">
    <w:name w:val="CharSubPartText(CASA)"/>
    <w:basedOn w:val="OPCCharBase"/>
    <w:uiPriority w:val="1"/>
    <w:rsid w:val="001E6469"/>
  </w:style>
  <w:style w:type="paragraph" w:customStyle="1" w:styleId="SubPartCASA">
    <w:name w:val="SubPart(CASA)"/>
    <w:aliases w:val="csp"/>
    <w:basedOn w:val="OPCParaBase"/>
    <w:next w:val="ActHead3"/>
    <w:rsid w:val="001E646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E6469"/>
    <w:pPr>
      <w:keepNext/>
      <w:spacing w:before="60" w:line="240" w:lineRule="atLeast"/>
      <w:ind w:left="340"/>
    </w:pPr>
    <w:rPr>
      <w:b/>
      <w:sz w:val="16"/>
    </w:rPr>
  </w:style>
  <w:style w:type="paragraph" w:customStyle="1" w:styleId="ENoteTTiSub">
    <w:name w:val="ENoteTTiSub"/>
    <w:aliases w:val="enttis"/>
    <w:basedOn w:val="OPCParaBase"/>
    <w:rsid w:val="001E6469"/>
    <w:pPr>
      <w:keepNext/>
      <w:spacing w:before="60" w:line="240" w:lineRule="atLeast"/>
      <w:ind w:left="340"/>
    </w:pPr>
    <w:rPr>
      <w:sz w:val="16"/>
    </w:rPr>
  </w:style>
  <w:style w:type="paragraph" w:customStyle="1" w:styleId="SubDivisionMigration">
    <w:name w:val="SubDivisionMigration"/>
    <w:aliases w:val="sdm"/>
    <w:basedOn w:val="OPCParaBase"/>
    <w:rsid w:val="001E6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469"/>
    <w:pPr>
      <w:keepNext/>
      <w:keepLines/>
      <w:spacing w:before="240" w:line="240" w:lineRule="auto"/>
      <w:ind w:left="1134" w:hanging="1134"/>
    </w:pPr>
    <w:rPr>
      <w:b/>
      <w:sz w:val="28"/>
    </w:rPr>
  </w:style>
  <w:style w:type="table" w:styleId="TableGrid">
    <w:name w:val="Table Grid"/>
    <w:basedOn w:val="TableNormal"/>
    <w:uiPriority w:val="59"/>
    <w:rsid w:val="001E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E6469"/>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1E6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6469"/>
    <w:rPr>
      <w:sz w:val="22"/>
    </w:rPr>
  </w:style>
  <w:style w:type="paragraph" w:customStyle="1" w:styleId="SOTextNote">
    <w:name w:val="SO TextNote"/>
    <w:aliases w:val="sont"/>
    <w:basedOn w:val="SOText"/>
    <w:qFormat/>
    <w:rsid w:val="001E6469"/>
    <w:pPr>
      <w:spacing w:before="122" w:line="198" w:lineRule="exact"/>
      <w:ind w:left="1843" w:hanging="709"/>
    </w:pPr>
    <w:rPr>
      <w:sz w:val="18"/>
    </w:rPr>
  </w:style>
  <w:style w:type="paragraph" w:customStyle="1" w:styleId="SOPara">
    <w:name w:val="SO Para"/>
    <w:aliases w:val="soa"/>
    <w:basedOn w:val="SOText"/>
    <w:link w:val="SOParaChar"/>
    <w:qFormat/>
    <w:rsid w:val="001E6469"/>
    <w:pPr>
      <w:tabs>
        <w:tab w:val="right" w:pos="1786"/>
      </w:tabs>
      <w:spacing w:before="40"/>
      <w:ind w:left="2070" w:hanging="936"/>
    </w:pPr>
  </w:style>
  <w:style w:type="character" w:customStyle="1" w:styleId="SOParaChar">
    <w:name w:val="SO Para Char"/>
    <w:aliases w:val="soa Char"/>
    <w:basedOn w:val="DefaultParagraphFont"/>
    <w:link w:val="SOPara"/>
    <w:rsid w:val="001E6469"/>
    <w:rPr>
      <w:sz w:val="22"/>
    </w:rPr>
  </w:style>
  <w:style w:type="paragraph" w:customStyle="1" w:styleId="SOBullet">
    <w:name w:val="SO Bullet"/>
    <w:aliases w:val="sotb"/>
    <w:basedOn w:val="SOText"/>
    <w:link w:val="SOBulletChar"/>
    <w:qFormat/>
    <w:rsid w:val="001E6469"/>
    <w:pPr>
      <w:ind w:left="1559" w:hanging="425"/>
    </w:pPr>
  </w:style>
  <w:style w:type="character" w:customStyle="1" w:styleId="SOBulletChar">
    <w:name w:val="SO Bullet Char"/>
    <w:aliases w:val="sotb Char"/>
    <w:basedOn w:val="DefaultParagraphFont"/>
    <w:link w:val="SOBullet"/>
    <w:rsid w:val="001E6469"/>
    <w:rPr>
      <w:sz w:val="22"/>
    </w:rPr>
  </w:style>
  <w:style w:type="paragraph" w:customStyle="1" w:styleId="SOBulletNote">
    <w:name w:val="SO BulletNote"/>
    <w:aliases w:val="sonb"/>
    <w:basedOn w:val="SOTextNote"/>
    <w:link w:val="SOBulletNoteChar"/>
    <w:qFormat/>
    <w:rsid w:val="001E6469"/>
    <w:pPr>
      <w:tabs>
        <w:tab w:val="left" w:pos="1560"/>
      </w:tabs>
      <w:ind w:left="2268" w:hanging="1134"/>
    </w:pPr>
  </w:style>
  <w:style w:type="character" w:customStyle="1" w:styleId="SOBulletNoteChar">
    <w:name w:val="SO BulletNote Char"/>
    <w:aliases w:val="sonb Char"/>
    <w:basedOn w:val="DefaultParagraphFont"/>
    <w:link w:val="SOBulletNote"/>
    <w:rsid w:val="001E6469"/>
    <w:rPr>
      <w:sz w:val="18"/>
    </w:rPr>
  </w:style>
  <w:style w:type="paragraph" w:customStyle="1" w:styleId="FileName">
    <w:name w:val="FileName"/>
    <w:basedOn w:val="Normal"/>
    <w:rsid w:val="001E6469"/>
  </w:style>
  <w:style w:type="paragraph" w:customStyle="1" w:styleId="SOHeadBold">
    <w:name w:val="SO HeadBold"/>
    <w:aliases w:val="sohb"/>
    <w:basedOn w:val="SOText"/>
    <w:next w:val="SOText"/>
    <w:link w:val="SOHeadBoldChar"/>
    <w:qFormat/>
    <w:rsid w:val="001E6469"/>
    <w:rPr>
      <w:b/>
    </w:rPr>
  </w:style>
  <w:style w:type="character" w:customStyle="1" w:styleId="SOHeadBoldChar">
    <w:name w:val="SO HeadBold Char"/>
    <w:aliases w:val="sohb Char"/>
    <w:basedOn w:val="DefaultParagraphFont"/>
    <w:link w:val="SOHeadBold"/>
    <w:rsid w:val="001E6469"/>
    <w:rPr>
      <w:b/>
      <w:sz w:val="22"/>
    </w:rPr>
  </w:style>
  <w:style w:type="paragraph" w:customStyle="1" w:styleId="SOHeadItalic">
    <w:name w:val="SO HeadItalic"/>
    <w:aliases w:val="sohi"/>
    <w:basedOn w:val="SOText"/>
    <w:next w:val="SOText"/>
    <w:link w:val="SOHeadItalicChar"/>
    <w:qFormat/>
    <w:rsid w:val="001E6469"/>
    <w:rPr>
      <w:i/>
    </w:rPr>
  </w:style>
  <w:style w:type="character" w:customStyle="1" w:styleId="SOHeadItalicChar">
    <w:name w:val="SO HeadItalic Char"/>
    <w:aliases w:val="sohi Char"/>
    <w:basedOn w:val="DefaultParagraphFont"/>
    <w:link w:val="SOHeadItalic"/>
    <w:rsid w:val="001E6469"/>
    <w:rPr>
      <w:i/>
      <w:sz w:val="22"/>
    </w:rPr>
  </w:style>
  <w:style w:type="paragraph" w:customStyle="1" w:styleId="SOText2">
    <w:name w:val="SO Text2"/>
    <w:aliases w:val="sot2"/>
    <w:basedOn w:val="Normal"/>
    <w:next w:val="SOText"/>
    <w:link w:val="SOText2Char"/>
    <w:rsid w:val="001E64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6469"/>
    <w:rPr>
      <w:sz w:val="22"/>
    </w:rPr>
  </w:style>
  <w:style w:type="paragraph" w:customStyle="1" w:styleId="ETAsubitem">
    <w:name w:val="ETA(subitem)"/>
    <w:basedOn w:val="OPCParaBase"/>
    <w:rsid w:val="001E6469"/>
    <w:pPr>
      <w:tabs>
        <w:tab w:val="right" w:pos="340"/>
      </w:tabs>
      <w:spacing w:before="60" w:line="240" w:lineRule="auto"/>
      <w:ind w:left="454" w:hanging="454"/>
    </w:pPr>
    <w:rPr>
      <w:sz w:val="20"/>
    </w:rPr>
  </w:style>
  <w:style w:type="paragraph" w:customStyle="1" w:styleId="ETApara">
    <w:name w:val="ETA(para)"/>
    <w:basedOn w:val="OPCParaBase"/>
    <w:rsid w:val="001E6469"/>
    <w:pPr>
      <w:tabs>
        <w:tab w:val="right" w:pos="754"/>
      </w:tabs>
      <w:spacing w:before="60" w:line="240" w:lineRule="auto"/>
      <w:ind w:left="828" w:hanging="828"/>
    </w:pPr>
    <w:rPr>
      <w:sz w:val="20"/>
    </w:rPr>
  </w:style>
  <w:style w:type="paragraph" w:customStyle="1" w:styleId="ETAsubpara">
    <w:name w:val="ETA(subpara)"/>
    <w:basedOn w:val="OPCParaBase"/>
    <w:rsid w:val="001E6469"/>
    <w:pPr>
      <w:tabs>
        <w:tab w:val="right" w:pos="1083"/>
      </w:tabs>
      <w:spacing w:before="60" w:line="240" w:lineRule="auto"/>
      <w:ind w:left="1191" w:hanging="1191"/>
    </w:pPr>
    <w:rPr>
      <w:sz w:val="20"/>
    </w:rPr>
  </w:style>
  <w:style w:type="paragraph" w:customStyle="1" w:styleId="ETAsub-subpara">
    <w:name w:val="ETA(sub-subpara)"/>
    <w:basedOn w:val="OPCParaBase"/>
    <w:rsid w:val="001E646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E6469"/>
    <w:rPr>
      <w:b/>
      <w:sz w:val="28"/>
      <w:szCs w:val="28"/>
    </w:rPr>
  </w:style>
  <w:style w:type="paragraph" w:customStyle="1" w:styleId="NotesHeading2">
    <w:name w:val="NotesHeading 2"/>
    <w:basedOn w:val="OPCParaBase"/>
    <w:next w:val="Normal"/>
    <w:rsid w:val="001E6469"/>
    <w:rPr>
      <w:b/>
      <w:sz w:val="28"/>
      <w:szCs w:val="28"/>
    </w:rPr>
  </w:style>
  <w:style w:type="paragraph" w:customStyle="1" w:styleId="Transitional">
    <w:name w:val="Transitional"/>
    <w:aliases w:val="tr"/>
    <w:basedOn w:val="ItemHead"/>
    <w:next w:val="Item"/>
    <w:rsid w:val="001E6469"/>
  </w:style>
  <w:style w:type="character" w:customStyle="1" w:styleId="Heading1Char">
    <w:name w:val="Heading 1 Char"/>
    <w:basedOn w:val="DefaultParagraphFont"/>
    <w:link w:val="Heading1"/>
    <w:uiPriority w:val="9"/>
    <w:rsid w:val="00056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6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1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61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61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61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61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61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618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056181"/>
    <w:rPr>
      <w:rFonts w:eastAsia="Times New Roman" w:cs="Times New Roman"/>
      <w:sz w:val="22"/>
      <w:lang w:eastAsia="en-AU"/>
    </w:rPr>
  </w:style>
  <w:style w:type="character" w:customStyle="1" w:styleId="DefinitionChar">
    <w:name w:val="Definition Char"/>
    <w:aliases w:val="dd Char"/>
    <w:link w:val="Definition"/>
    <w:rsid w:val="00056181"/>
    <w:rPr>
      <w:rFonts w:eastAsia="Times New Roman" w:cs="Times New Roman"/>
      <w:sz w:val="22"/>
      <w:lang w:eastAsia="en-AU"/>
    </w:rPr>
  </w:style>
  <w:style w:type="paragraph" w:styleId="BalloonText">
    <w:name w:val="Balloon Text"/>
    <w:basedOn w:val="Normal"/>
    <w:link w:val="BalloonTextChar"/>
    <w:uiPriority w:val="99"/>
    <w:semiHidden/>
    <w:unhideWhenUsed/>
    <w:rsid w:val="00056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81"/>
    <w:rPr>
      <w:rFonts w:ascii="Tahoma" w:hAnsi="Tahoma" w:cs="Tahoma"/>
      <w:sz w:val="16"/>
      <w:szCs w:val="16"/>
    </w:rPr>
  </w:style>
  <w:style w:type="character" w:customStyle="1" w:styleId="paragraphChar">
    <w:name w:val="paragraph Char"/>
    <w:aliases w:val="a Char"/>
    <w:link w:val="paragraph"/>
    <w:rsid w:val="00056181"/>
    <w:rPr>
      <w:rFonts w:eastAsia="Times New Roman" w:cs="Times New Roman"/>
      <w:sz w:val="22"/>
      <w:lang w:eastAsia="en-AU"/>
    </w:rPr>
  </w:style>
  <w:style w:type="character" w:customStyle="1" w:styleId="notetextChar">
    <w:name w:val="note(text) Char"/>
    <w:aliases w:val="n Char"/>
    <w:basedOn w:val="DefaultParagraphFont"/>
    <w:link w:val="notetext"/>
    <w:rsid w:val="00056181"/>
    <w:rPr>
      <w:rFonts w:eastAsia="Times New Roman" w:cs="Times New Roman"/>
      <w:sz w:val="18"/>
      <w:lang w:eastAsia="en-AU"/>
    </w:rPr>
  </w:style>
  <w:style w:type="character" w:styleId="Hyperlink">
    <w:name w:val="Hyperlink"/>
    <w:basedOn w:val="DefaultParagraphFont"/>
    <w:uiPriority w:val="99"/>
    <w:semiHidden/>
    <w:unhideWhenUsed/>
    <w:rsid w:val="00056181"/>
    <w:rPr>
      <w:color w:val="0000FF" w:themeColor="hyperlink"/>
      <w:u w:val="single"/>
    </w:rPr>
  </w:style>
  <w:style w:type="character" w:styleId="FollowedHyperlink">
    <w:name w:val="FollowedHyperlink"/>
    <w:basedOn w:val="DefaultParagraphFont"/>
    <w:uiPriority w:val="99"/>
    <w:semiHidden/>
    <w:unhideWhenUsed/>
    <w:rsid w:val="00056181"/>
    <w:rPr>
      <w:color w:val="0000FF" w:themeColor="hyperlink"/>
      <w:u w:val="single"/>
    </w:rPr>
  </w:style>
  <w:style w:type="paragraph" w:customStyle="1" w:styleId="ShortTP1">
    <w:name w:val="ShortTP1"/>
    <w:basedOn w:val="ShortT"/>
    <w:link w:val="ShortTP1Char"/>
    <w:rsid w:val="00135FE1"/>
    <w:pPr>
      <w:spacing w:before="800"/>
    </w:pPr>
  </w:style>
  <w:style w:type="character" w:customStyle="1" w:styleId="OPCParaBaseChar">
    <w:name w:val="OPCParaBase Char"/>
    <w:basedOn w:val="DefaultParagraphFont"/>
    <w:link w:val="OPCParaBase"/>
    <w:rsid w:val="00135FE1"/>
    <w:rPr>
      <w:rFonts w:eastAsia="Times New Roman" w:cs="Times New Roman"/>
      <w:sz w:val="22"/>
      <w:lang w:eastAsia="en-AU"/>
    </w:rPr>
  </w:style>
  <w:style w:type="character" w:customStyle="1" w:styleId="ShortTChar">
    <w:name w:val="ShortT Char"/>
    <w:basedOn w:val="OPCParaBaseChar"/>
    <w:link w:val="ShortT"/>
    <w:rsid w:val="00135FE1"/>
    <w:rPr>
      <w:rFonts w:eastAsia="Times New Roman" w:cs="Times New Roman"/>
      <w:b/>
      <w:sz w:val="40"/>
      <w:lang w:eastAsia="en-AU"/>
    </w:rPr>
  </w:style>
  <w:style w:type="character" w:customStyle="1" w:styleId="ShortTP1Char">
    <w:name w:val="ShortTP1 Char"/>
    <w:basedOn w:val="ShortTChar"/>
    <w:link w:val="ShortTP1"/>
    <w:rsid w:val="00135FE1"/>
    <w:rPr>
      <w:rFonts w:eastAsia="Times New Roman" w:cs="Times New Roman"/>
      <w:b/>
      <w:sz w:val="40"/>
      <w:lang w:eastAsia="en-AU"/>
    </w:rPr>
  </w:style>
  <w:style w:type="paragraph" w:customStyle="1" w:styleId="ActNoP1">
    <w:name w:val="ActNoP1"/>
    <w:basedOn w:val="Actno"/>
    <w:link w:val="ActNoP1Char"/>
    <w:rsid w:val="00135FE1"/>
    <w:pPr>
      <w:spacing w:before="800"/>
    </w:pPr>
    <w:rPr>
      <w:sz w:val="28"/>
    </w:rPr>
  </w:style>
  <w:style w:type="character" w:customStyle="1" w:styleId="ActnoChar">
    <w:name w:val="Actno Char"/>
    <w:basedOn w:val="ShortTChar"/>
    <w:link w:val="Actno"/>
    <w:rsid w:val="00135FE1"/>
    <w:rPr>
      <w:rFonts w:eastAsia="Times New Roman" w:cs="Times New Roman"/>
      <w:b/>
      <w:sz w:val="40"/>
      <w:lang w:eastAsia="en-AU"/>
    </w:rPr>
  </w:style>
  <w:style w:type="character" w:customStyle="1" w:styleId="ActNoP1Char">
    <w:name w:val="ActNoP1 Char"/>
    <w:basedOn w:val="ActnoChar"/>
    <w:link w:val="ActNoP1"/>
    <w:rsid w:val="00135FE1"/>
    <w:rPr>
      <w:rFonts w:eastAsia="Times New Roman" w:cs="Times New Roman"/>
      <w:b/>
      <w:sz w:val="28"/>
      <w:lang w:eastAsia="en-AU"/>
    </w:rPr>
  </w:style>
  <w:style w:type="paragraph" w:customStyle="1" w:styleId="ShortTCP">
    <w:name w:val="ShortTCP"/>
    <w:basedOn w:val="ShortT"/>
    <w:link w:val="ShortTCPChar"/>
    <w:rsid w:val="00135FE1"/>
    <w:rPr>
      <w:color w:val="000000"/>
    </w:rPr>
  </w:style>
  <w:style w:type="character" w:customStyle="1" w:styleId="ShortTCPChar">
    <w:name w:val="ShortTCP Char"/>
    <w:basedOn w:val="ShortTChar"/>
    <w:link w:val="ShortTCP"/>
    <w:rsid w:val="00135FE1"/>
    <w:rPr>
      <w:rFonts w:eastAsia="Times New Roman" w:cs="Times New Roman"/>
      <w:b/>
      <w:color w:val="000000"/>
      <w:sz w:val="40"/>
      <w:lang w:eastAsia="en-AU"/>
    </w:rPr>
  </w:style>
  <w:style w:type="paragraph" w:customStyle="1" w:styleId="ActNoCP">
    <w:name w:val="ActNoCP"/>
    <w:basedOn w:val="Actno"/>
    <w:link w:val="ActNoCPChar"/>
    <w:rsid w:val="00135FE1"/>
    <w:pPr>
      <w:spacing w:before="400"/>
    </w:pPr>
  </w:style>
  <w:style w:type="character" w:customStyle="1" w:styleId="ActNoCPChar">
    <w:name w:val="ActNoCP Char"/>
    <w:basedOn w:val="ActnoChar"/>
    <w:link w:val="ActNoCP"/>
    <w:rsid w:val="00135FE1"/>
    <w:rPr>
      <w:rFonts w:eastAsia="Times New Roman" w:cs="Times New Roman"/>
      <w:b/>
      <w:sz w:val="40"/>
      <w:lang w:eastAsia="en-AU"/>
    </w:rPr>
  </w:style>
  <w:style w:type="paragraph" w:customStyle="1" w:styleId="AssentBk">
    <w:name w:val="AssentBk"/>
    <w:basedOn w:val="Normal"/>
    <w:rsid w:val="00135FE1"/>
    <w:pPr>
      <w:spacing w:line="240" w:lineRule="auto"/>
    </w:pPr>
    <w:rPr>
      <w:rFonts w:eastAsia="Times New Roman" w:cs="Times New Roman"/>
      <w:sz w:val="20"/>
      <w:lang w:eastAsia="en-AU"/>
    </w:rPr>
  </w:style>
  <w:style w:type="paragraph" w:customStyle="1" w:styleId="AssentDt">
    <w:name w:val="AssentDt"/>
    <w:basedOn w:val="Normal"/>
    <w:rsid w:val="00A41FC5"/>
    <w:pPr>
      <w:spacing w:line="240" w:lineRule="auto"/>
    </w:pPr>
    <w:rPr>
      <w:rFonts w:eastAsia="Times New Roman" w:cs="Times New Roman"/>
      <w:sz w:val="20"/>
      <w:lang w:eastAsia="en-AU"/>
    </w:rPr>
  </w:style>
  <w:style w:type="paragraph" w:customStyle="1" w:styleId="2ndRd">
    <w:name w:val="2ndRd"/>
    <w:basedOn w:val="Normal"/>
    <w:rsid w:val="00A41FC5"/>
    <w:pPr>
      <w:spacing w:line="240" w:lineRule="auto"/>
    </w:pPr>
    <w:rPr>
      <w:rFonts w:eastAsia="Times New Roman" w:cs="Times New Roman"/>
      <w:sz w:val="20"/>
      <w:lang w:eastAsia="en-AU"/>
    </w:rPr>
  </w:style>
  <w:style w:type="paragraph" w:customStyle="1" w:styleId="ScalePlusRef">
    <w:name w:val="ScalePlusRef"/>
    <w:basedOn w:val="Normal"/>
    <w:rsid w:val="00A41FC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469"/>
    <w:pPr>
      <w:spacing w:line="260" w:lineRule="atLeast"/>
    </w:pPr>
    <w:rPr>
      <w:sz w:val="22"/>
    </w:rPr>
  </w:style>
  <w:style w:type="paragraph" w:styleId="Heading1">
    <w:name w:val="heading 1"/>
    <w:basedOn w:val="Normal"/>
    <w:next w:val="Normal"/>
    <w:link w:val="Heading1Char"/>
    <w:uiPriority w:val="9"/>
    <w:qFormat/>
    <w:rsid w:val="00056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6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1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61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61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61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61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618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618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6469"/>
  </w:style>
  <w:style w:type="paragraph" w:customStyle="1" w:styleId="OPCParaBase">
    <w:name w:val="OPCParaBase"/>
    <w:link w:val="OPCParaBaseChar"/>
    <w:qFormat/>
    <w:rsid w:val="001E6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E6469"/>
    <w:pPr>
      <w:spacing w:line="240" w:lineRule="auto"/>
    </w:pPr>
    <w:rPr>
      <w:b/>
      <w:sz w:val="40"/>
    </w:rPr>
  </w:style>
  <w:style w:type="paragraph" w:customStyle="1" w:styleId="ActHead1">
    <w:name w:val="ActHead 1"/>
    <w:aliases w:val="c"/>
    <w:basedOn w:val="OPCParaBase"/>
    <w:next w:val="Normal"/>
    <w:qFormat/>
    <w:rsid w:val="001E6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6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6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6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469"/>
  </w:style>
  <w:style w:type="paragraph" w:customStyle="1" w:styleId="Blocks">
    <w:name w:val="Blocks"/>
    <w:aliases w:val="bb"/>
    <w:basedOn w:val="OPCParaBase"/>
    <w:qFormat/>
    <w:rsid w:val="001E6469"/>
    <w:pPr>
      <w:spacing w:line="240" w:lineRule="auto"/>
    </w:pPr>
    <w:rPr>
      <w:sz w:val="24"/>
    </w:rPr>
  </w:style>
  <w:style w:type="paragraph" w:customStyle="1" w:styleId="BoxText">
    <w:name w:val="BoxText"/>
    <w:aliases w:val="bt"/>
    <w:basedOn w:val="OPCParaBase"/>
    <w:qFormat/>
    <w:rsid w:val="001E6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469"/>
    <w:rPr>
      <w:b/>
    </w:rPr>
  </w:style>
  <w:style w:type="paragraph" w:customStyle="1" w:styleId="BoxHeadItalic">
    <w:name w:val="BoxHeadItalic"/>
    <w:aliases w:val="bhi"/>
    <w:basedOn w:val="BoxText"/>
    <w:next w:val="BoxStep"/>
    <w:qFormat/>
    <w:rsid w:val="001E6469"/>
    <w:rPr>
      <w:i/>
    </w:rPr>
  </w:style>
  <w:style w:type="paragraph" w:customStyle="1" w:styleId="BoxList">
    <w:name w:val="BoxList"/>
    <w:aliases w:val="bl"/>
    <w:basedOn w:val="BoxText"/>
    <w:qFormat/>
    <w:rsid w:val="001E6469"/>
    <w:pPr>
      <w:ind w:left="1559" w:hanging="425"/>
    </w:pPr>
  </w:style>
  <w:style w:type="paragraph" w:customStyle="1" w:styleId="BoxNote">
    <w:name w:val="BoxNote"/>
    <w:aliases w:val="bn"/>
    <w:basedOn w:val="BoxText"/>
    <w:qFormat/>
    <w:rsid w:val="001E6469"/>
    <w:pPr>
      <w:tabs>
        <w:tab w:val="left" w:pos="1985"/>
      </w:tabs>
      <w:spacing w:before="122" w:line="198" w:lineRule="exact"/>
      <w:ind w:left="2948" w:hanging="1814"/>
    </w:pPr>
    <w:rPr>
      <w:sz w:val="18"/>
    </w:rPr>
  </w:style>
  <w:style w:type="paragraph" w:customStyle="1" w:styleId="BoxPara">
    <w:name w:val="BoxPara"/>
    <w:aliases w:val="bp"/>
    <w:basedOn w:val="BoxText"/>
    <w:qFormat/>
    <w:rsid w:val="001E6469"/>
    <w:pPr>
      <w:tabs>
        <w:tab w:val="right" w:pos="2268"/>
      </w:tabs>
      <w:ind w:left="2552" w:hanging="1418"/>
    </w:pPr>
  </w:style>
  <w:style w:type="paragraph" w:customStyle="1" w:styleId="BoxStep">
    <w:name w:val="BoxStep"/>
    <w:aliases w:val="bs"/>
    <w:basedOn w:val="BoxText"/>
    <w:qFormat/>
    <w:rsid w:val="001E6469"/>
    <w:pPr>
      <w:ind w:left="1985" w:hanging="851"/>
    </w:pPr>
  </w:style>
  <w:style w:type="character" w:customStyle="1" w:styleId="CharAmPartNo">
    <w:name w:val="CharAmPartNo"/>
    <w:basedOn w:val="OPCCharBase"/>
    <w:qFormat/>
    <w:rsid w:val="001E6469"/>
  </w:style>
  <w:style w:type="character" w:customStyle="1" w:styleId="CharAmPartText">
    <w:name w:val="CharAmPartText"/>
    <w:basedOn w:val="OPCCharBase"/>
    <w:qFormat/>
    <w:rsid w:val="001E6469"/>
  </w:style>
  <w:style w:type="character" w:customStyle="1" w:styleId="CharAmSchNo">
    <w:name w:val="CharAmSchNo"/>
    <w:basedOn w:val="OPCCharBase"/>
    <w:qFormat/>
    <w:rsid w:val="001E6469"/>
  </w:style>
  <w:style w:type="character" w:customStyle="1" w:styleId="CharAmSchText">
    <w:name w:val="CharAmSchText"/>
    <w:basedOn w:val="OPCCharBase"/>
    <w:qFormat/>
    <w:rsid w:val="001E6469"/>
  </w:style>
  <w:style w:type="character" w:customStyle="1" w:styleId="CharBoldItalic">
    <w:name w:val="CharBoldItalic"/>
    <w:basedOn w:val="OPCCharBase"/>
    <w:uiPriority w:val="1"/>
    <w:qFormat/>
    <w:rsid w:val="001E6469"/>
    <w:rPr>
      <w:b/>
      <w:i/>
    </w:rPr>
  </w:style>
  <w:style w:type="character" w:customStyle="1" w:styleId="CharChapNo">
    <w:name w:val="CharChapNo"/>
    <w:basedOn w:val="OPCCharBase"/>
    <w:uiPriority w:val="1"/>
    <w:qFormat/>
    <w:rsid w:val="001E6469"/>
  </w:style>
  <w:style w:type="character" w:customStyle="1" w:styleId="CharChapText">
    <w:name w:val="CharChapText"/>
    <w:basedOn w:val="OPCCharBase"/>
    <w:uiPriority w:val="1"/>
    <w:qFormat/>
    <w:rsid w:val="001E6469"/>
  </w:style>
  <w:style w:type="character" w:customStyle="1" w:styleId="CharDivNo">
    <w:name w:val="CharDivNo"/>
    <w:basedOn w:val="OPCCharBase"/>
    <w:uiPriority w:val="1"/>
    <w:qFormat/>
    <w:rsid w:val="001E6469"/>
  </w:style>
  <w:style w:type="character" w:customStyle="1" w:styleId="CharDivText">
    <w:name w:val="CharDivText"/>
    <w:basedOn w:val="OPCCharBase"/>
    <w:uiPriority w:val="1"/>
    <w:qFormat/>
    <w:rsid w:val="001E6469"/>
  </w:style>
  <w:style w:type="character" w:customStyle="1" w:styleId="CharItalic">
    <w:name w:val="CharItalic"/>
    <w:basedOn w:val="OPCCharBase"/>
    <w:uiPriority w:val="1"/>
    <w:qFormat/>
    <w:rsid w:val="001E6469"/>
    <w:rPr>
      <w:i/>
    </w:rPr>
  </w:style>
  <w:style w:type="character" w:customStyle="1" w:styleId="CharPartNo">
    <w:name w:val="CharPartNo"/>
    <w:basedOn w:val="OPCCharBase"/>
    <w:uiPriority w:val="1"/>
    <w:qFormat/>
    <w:rsid w:val="001E6469"/>
  </w:style>
  <w:style w:type="character" w:customStyle="1" w:styleId="CharPartText">
    <w:name w:val="CharPartText"/>
    <w:basedOn w:val="OPCCharBase"/>
    <w:uiPriority w:val="1"/>
    <w:qFormat/>
    <w:rsid w:val="001E6469"/>
  </w:style>
  <w:style w:type="character" w:customStyle="1" w:styleId="CharSectno">
    <w:name w:val="CharSectno"/>
    <w:basedOn w:val="OPCCharBase"/>
    <w:qFormat/>
    <w:rsid w:val="001E6469"/>
  </w:style>
  <w:style w:type="character" w:customStyle="1" w:styleId="CharSubdNo">
    <w:name w:val="CharSubdNo"/>
    <w:basedOn w:val="OPCCharBase"/>
    <w:uiPriority w:val="1"/>
    <w:qFormat/>
    <w:rsid w:val="001E6469"/>
  </w:style>
  <w:style w:type="character" w:customStyle="1" w:styleId="CharSubdText">
    <w:name w:val="CharSubdText"/>
    <w:basedOn w:val="OPCCharBase"/>
    <w:uiPriority w:val="1"/>
    <w:qFormat/>
    <w:rsid w:val="001E6469"/>
  </w:style>
  <w:style w:type="paragraph" w:customStyle="1" w:styleId="CTA--">
    <w:name w:val="CTA --"/>
    <w:basedOn w:val="OPCParaBase"/>
    <w:next w:val="Normal"/>
    <w:rsid w:val="001E6469"/>
    <w:pPr>
      <w:spacing w:before="60" w:line="240" w:lineRule="atLeast"/>
      <w:ind w:left="142" w:hanging="142"/>
    </w:pPr>
    <w:rPr>
      <w:sz w:val="20"/>
    </w:rPr>
  </w:style>
  <w:style w:type="paragraph" w:customStyle="1" w:styleId="CTA-">
    <w:name w:val="CTA -"/>
    <w:basedOn w:val="OPCParaBase"/>
    <w:rsid w:val="001E6469"/>
    <w:pPr>
      <w:spacing w:before="60" w:line="240" w:lineRule="atLeast"/>
      <w:ind w:left="85" w:hanging="85"/>
    </w:pPr>
    <w:rPr>
      <w:sz w:val="20"/>
    </w:rPr>
  </w:style>
  <w:style w:type="paragraph" w:customStyle="1" w:styleId="CTA---">
    <w:name w:val="CTA ---"/>
    <w:basedOn w:val="OPCParaBase"/>
    <w:next w:val="Normal"/>
    <w:rsid w:val="001E6469"/>
    <w:pPr>
      <w:spacing w:before="60" w:line="240" w:lineRule="atLeast"/>
      <w:ind w:left="198" w:hanging="198"/>
    </w:pPr>
    <w:rPr>
      <w:sz w:val="20"/>
    </w:rPr>
  </w:style>
  <w:style w:type="paragraph" w:customStyle="1" w:styleId="CTA----">
    <w:name w:val="CTA ----"/>
    <w:basedOn w:val="OPCParaBase"/>
    <w:next w:val="Normal"/>
    <w:rsid w:val="001E6469"/>
    <w:pPr>
      <w:spacing w:before="60" w:line="240" w:lineRule="atLeast"/>
      <w:ind w:left="255" w:hanging="255"/>
    </w:pPr>
    <w:rPr>
      <w:sz w:val="20"/>
    </w:rPr>
  </w:style>
  <w:style w:type="paragraph" w:customStyle="1" w:styleId="CTA1a">
    <w:name w:val="CTA 1(a)"/>
    <w:basedOn w:val="OPCParaBase"/>
    <w:rsid w:val="001E6469"/>
    <w:pPr>
      <w:tabs>
        <w:tab w:val="right" w:pos="414"/>
      </w:tabs>
      <w:spacing w:before="40" w:line="240" w:lineRule="atLeast"/>
      <w:ind w:left="675" w:hanging="675"/>
    </w:pPr>
    <w:rPr>
      <w:sz w:val="20"/>
    </w:rPr>
  </w:style>
  <w:style w:type="paragraph" w:customStyle="1" w:styleId="CTA1ai">
    <w:name w:val="CTA 1(a)(i)"/>
    <w:basedOn w:val="OPCParaBase"/>
    <w:rsid w:val="001E6469"/>
    <w:pPr>
      <w:tabs>
        <w:tab w:val="right" w:pos="1004"/>
      </w:tabs>
      <w:spacing w:before="40" w:line="240" w:lineRule="atLeast"/>
      <w:ind w:left="1253" w:hanging="1253"/>
    </w:pPr>
    <w:rPr>
      <w:sz w:val="20"/>
    </w:rPr>
  </w:style>
  <w:style w:type="paragraph" w:customStyle="1" w:styleId="CTA2a">
    <w:name w:val="CTA 2(a)"/>
    <w:basedOn w:val="OPCParaBase"/>
    <w:rsid w:val="001E6469"/>
    <w:pPr>
      <w:tabs>
        <w:tab w:val="right" w:pos="482"/>
      </w:tabs>
      <w:spacing w:before="40" w:line="240" w:lineRule="atLeast"/>
      <w:ind w:left="748" w:hanging="748"/>
    </w:pPr>
    <w:rPr>
      <w:sz w:val="20"/>
    </w:rPr>
  </w:style>
  <w:style w:type="paragraph" w:customStyle="1" w:styleId="CTA2ai">
    <w:name w:val="CTA 2(a)(i)"/>
    <w:basedOn w:val="OPCParaBase"/>
    <w:rsid w:val="001E6469"/>
    <w:pPr>
      <w:tabs>
        <w:tab w:val="right" w:pos="1089"/>
      </w:tabs>
      <w:spacing w:before="40" w:line="240" w:lineRule="atLeast"/>
      <w:ind w:left="1327" w:hanging="1327"/>
    </w:pPr>
    <w:rPr>
      <w:sz w:val="20"/>
    </w:rPr>
  </w:style>
  <w:style w:type="paragraph" w:customStyle="1" w:styleId="CTA3a">
    <w:name w:val="CTA 3(a)"/>
    <w:basedOn w:val="OPCParaBase"/>
    <w:rsid w:val="001E6469"/>
    <w:pPr>
      <w:tabs>
        <w:tab w:val="right" w:pos="556"/>
      </w:tabs>
      <w:spacing w:before="40" w:line="240" w:lineRule="atLeast"/>
      <w:ind w:left="805" w:hanging="805"/>
    </w:pPr>
    <w:rPr>
      <w:sz w:val="20"/>
    </w:rPr>
  </w:style>
  <w:style w:type="paragraph" w:customStyle="1" w:styleId="CTA3ai">
    <w:name w:val="CTA 3(a)(i)"/>
    <w:basedOn w:val="OPCParaBase"/>
    <w:rsid w:val="001E6469"/>
    <w:pPr>
      <w:tabs>
        <w:tab w:val="right" w:pos="1140"/>
      </w:tabs>
      <w:spacing w:before="40" w:line="240" w:lineRule="atLeast"/>
      <w:ind w:left="1361" w:hanging="1361"/>
    </w:pPr>
    <w:rPr>
      <w:sz w:val="20"/>
    </w:rPr>
  </w:style>
  <w:style w:type="paragraph" w:customStyle="1" w:styleId="CTA4a">
    <w:name w:val="CTA 4(a)"/>
    <w:basedOn w:val="OPCParaBase"/>
    <w:rsid w:val="001E6469"/>
    <w:pPr>
      <w:tabs>
        <w:tab w:val="right" w:pos="624"/>
      </w:tabs>
      <w:spacing w:before="40" w:line="240" w:lineRule="atLeast"/>
      <w:ind w:left="873" w:hanging="873"/>
    </w:pPr>
    <w:rPr>
      <w:sz w:val="20"/>
    </w:rPr>
  </w:style>
  <w:style w:type="paragraph" w:customStyle="1" w:styleId="CTA4ai">
    <w:name w:val="CTA 4(a)(i)"/>
    <w:basedOn w:val="OPCParaBase"/>
    <w:rsid w:val="001E6469"/>
    <w:pPr>
      <w:tabs>
        <w:tab w:val="right" w:pos="1213"/>
      </w:tabs>
      <w:spacing w:before="40" w:line="240" w:lineRule="atLeast"/>
      <w:ind w:left="1452" w:hanging="1452"/>
    </w:pPr>
    <w:rPr>
      <w:sz w:val="20"/>
    </w:rPr>
  </w:style>
  <w:style w:type="paragraph" w:customStyle="1" w:styleId="CTACAPS">
    <w:name w:val="CTA CAPS"/>
    <w:basedOn w:val="OPCParaBase"/>
    <w:rsid w:val="001E6469"/>
    <w:pPr>
      <w:spacing w:before="60" w:line="240" w:lineRule="atLeast"/>
    </w:pPr>
    <w:rPr>
      <w:sz w:val="20"/>
    </w:rPr>
  </w:style>
  <w:style w:type="paragraph" w:customStyle="1" w:styleId="CTAright">
    <w:name w:val="CTA right"/>
    <w:basedOn w:val="OPCParaBase"/>
    <w:rsid w:val="001E6469"/>
    <w:pPr>
      <w:spacing w:before="60" w:line="240" w:lineRule="auto"/>
      <w:jc w:val="right"/>
    </w:pPr>
    <w:rPr>
      <w:sz w:val="20"/>
    </w:rPr>
  </w:style>
  <w:style w:type="paragraph" w:customStyle="1" w:styleId="subsection">
    <w:name w:val="subsection"/>
    <w:aliases w:val="ss"/>
    <w:basedOn w:val="OPCParaBase"/>
    <w:link w:val="subsectionChar"/>
    <w:rsid w:val="001E64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E6469"/>
    <w:pPr>
      <w:spacing w:before="180" w:line="240" w:lineRule="auto"/>
      <w:ind w:left="1134"/>
    </w:pPr>
  </w:style>
  <w:style w:type="paragraph" w:customStyle="1" w:styleId="Formula">
    <w:name w:val="Formula"/>
    <w:basedOn w:val="OPCParaBase"/>
    <w:rsid w:val="001E6469"/>
    <w:pPr>
      <w:spacing w:line="240" w:lineRule="auto"/>
      <w:ind w:left="1134"/>
    </w:pPr>
    <w:rPr>
      <w:sz w:val="20"/>
    </w:rPr>
  </w:style>
  <w:style w:type="paragraph" w:styleId="Header">
    <w:name w:val="header"/>
    <w:basedOn w:val="OPCParaBase"/>
    <w:link w:val="HeaderChar"/>
    <w:unhideWhenUsed/>
    <w:rsid w:val="001E6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469"/>
    <w:rPr>
      <w:rFonts w:eastAsia="Times New Roman" w:cs="Times New Roman"/>
      <w:sz w:val="16"/>
      <w:lang w:eastAsia="en-AU"/>
    </w:rPr>
  </w:style>
  <w:style w:type="paragraph" w:customStyle="1" w:styleId="House">
    <w:name w:val="House"/>
    <w:basedOn w:val="OPCParaBase"/>
    <w:rsid w:val="001E6469"/>
    <w:pPr>
      <w:spacing w:line="240" w:lineRule="auto"/>
    </w:pPr>
    <w:rPr>
      <w:sz w:val="28"/>
    </w:rPr>
  </w:style>
  <w:style w:type="paragraph" w:customStyle="1" w:styleId="Item">
    <w:name w:val="Item"/>
    <w:aliases w:val="i"/>
    <w:basedOn w:val="OPCParaBase"/>
    <w:next w:val="ItemHead"/>
    <w:rsid w:val="001E6469"/>
    <w:pPr>
      <w:keepLines/>
      <w:spacing w:before="80" w:line="240" w:lineRule="auto"/>
      <w:ind w:left="709"/>
    </w:pPr>
  </w:style>
  <w:style w:type="paragraph" w:customStyle="1" w:styleId="ItemHead">
    <w:name w:val="ItemHead"/>
    <w:aliases w:val="ih"/>
    <w:basedOn w:val="OPCParaBase"/>
    <w:next w:val="Item"/>
    <w:rsid w:val="001E6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6469"/>
    <w:pPr>
      <w:spacing w:line="240" w:lineRule="auto"/>
    </w:pPr>
    <w:rPr>
      <w:b/>
      <w:sz w:val="32"/>
    </w:rPr>
  </w:style>
  <w:style w:type="paragraph" w:customStyle="1" w:styleId="notedraft">
    <w:name w:val="note(draft)"/>
    <w:aliases w:val="nd"/>
    <w:basedOn w:val="OPCParaBase"/>
    <w:rsid w:val="001E6469"/>
    <w:pPr>
      <w:spacing w:before="240" w:line="240" w:lineRule="auto"/>
      <w:ind w:left="284" w:hanging="284"/>
    </w:pPr>
    <w:rPr>
      <w:i/>
      <w:sz w:val="24"/>
    </w:rPr>
  </w:style>
  <w:style w:type="paragraph" w:customStyle="1" w:styleId="notemargin">
    <w:name w:val="note(margin)"/>
    <w:aliases w:val="nm"/>
    <w:basedOn w:val="OPCParaBase"/>
    <w:rsid w:val="001E6469"/>
    <w:pPr>
      <w:tabs>
        <w:tab w:val="left" w:pos="709"/>
      </w:tabs>
      <w:spacing w:before="122" w:line="198" w:lineRule="exact"/>
      <w:ind w:left="709" w:hanging="709"/>
    </w:pPr>
    <w:rPr>
      <w:sz w:val="18"/>
    </w:rPr>
  </w:style>
  <w:style w:type="paragraph" w:customStyle="1" w:styleId="noteToPara">
    <w:name w:val="noteToPara"/>
    <w:aliases w:val="ntp"/>
    <w:basedOn w:val="OPCParaBase"/>
    <w:rsid w:val="001E6469"/>
    <w:pPr>
      <w:spacing w:before="122" w:line="198" w:lineRule="exact"/>
      <w:ind w:left="2353" w:hanging="709"/>
    </w:pPr>
    <w:rPr>
      <w:sz w:val="18"/>
    </w:rPr>
  </w:style>
  <w:style w:type="paragraph" w:customStyle="1" w:styleId="noteParlAmend">
    <w:name w:val="note(ParlAmend)"/>
    <w:aliases w:val="npp"/>
    <w:basedOn w:val="OPCParaBase"/>
    <w:next w:val="ParlAmend"/>
    <w:rsid w:val="001E6469"/>
    <w:pPr>
      <w:spacing w:line="240" w:lineRule="auto"/>
      <w:jc w:val="right"/>
    </w:pPr>
    <w:rPr>
      <w:rFonts w:ascii="Arial" w:hAnsi="Arial"/>
      <w:b/>
      <w:i/>
    </w:rPr>
  </w:style>
  <w:style w:type="paragraph" w:customStyle="1" w:styleId="Page1">
    <w:name w:val="Page1"/>
    <w:basedOn w:val="OPCParaBase"/>
    <w:rsid w:val="001E6469"/>
    <w:pPr>
      <w:spacing w:before="400" w:line="240" w:lineRule="auto"/>
    </w:pPr>
    <w:rPr>
      <w:b/>
      <w:sz w:val="32"/>
    </w:rPr>
  </w:style>
  <w:style w:type="paragraph" w:customStyle="1" w:styleId="PageBreak">
    <w:name w:val="PageBreak"/>
    <w:aliases w:val="pb"/>
    <w:basedOn w:val="OPCParaBase"/>
    <w:rsid w:val="001E6469"/>
    <w:pPr>
      <w:spacing w:line="240" w:lineRule="auto"/>
    </w:pPr>
    <w:rPr>
      <w:sz w:val="20"/>
    </w:rPr>
  </w:style>
  <w:style w:type="paragraph" w:customStyle="1" w:styleId="paragraphsub">
    <w:name w:val="paragraph(sub)"/>
    <w:aliases w:val="aa"/>
    <w:basedOn w:val="OPCParaBase"/>
    <w:rsid w:val="001E6469"/>
    <w:pPr>
      <w:tabs>
        <w:tab w:val="right" w:pos="1985"/>
      </w:tabs>
      <w:spacing w:before="40" w:line="240" w:lineRule="auto"/>
      <w:ind w:left="2098" w:hanging="2098"/>
    </w:pPr>
  </w:style>
  <w:style w:type="paragraph" w:customStyle="1" w:styleId="paragraphsub-sub">
    <w:name w:val="paragraph(sub-sub)"/>
    <w:aliases w:val="aaa"/>
    <w:basedOn w:val="OPCParaBase"/>
    <w:rsid w:val="001E6469"/>
    <w:pPr>
      <w:tabs>
        <w:tab w:val="right" w:pos="2722"/>
      </w:tabs>
      <w:spacing w:before="40" w:line="240" w:lineRule="auto"/>
      <w:ind w:left="2835" w:hanging="2835"/>
    </w:pPr>
  </w:style>
  <w:style w:type="paragraph" w:customStyle="1" w:styleId="paragraph">
    <w:name w:val="paragraph"/>
    <w:aliases w:val="a"/>
    <w:basedOn w:val="OPCParaBase"/>
    <w:link w:val="paragraphChar"/>
    <w:rsid w:val="001E6469"/>
    <w:pPr>
      <w:tabs>
        <w:tab w:val="right" w:pos="1531"/>
      </w:tabs>
      <w:spacing w:before="40" w:line="240" w:lineRule="auto"/>
      <w:ind w:left="1644" w:hanging="1644"/>
    </w:pPr>
  </w:style>
  <w:style w:type="paragraph" w:customStyle="1" w:styleId="ParlAmend">
    <w:name w:val="ParlAmend"/>
    <w:aliases w:val="pp"/>
    <w:basedOn w:val="OPCParaBase"/>
    <w:rsid w:val="001E6469"/>
    <w:pPr>
      <w:spacing w:before="240" w:line="240" w:lineRule="atLeast"/>
      <w:ind w:hanging="567"/>
    </w:pPr>
    <w:rPr>
      <w:sz w:val="24"/>
    </w:rPr>
  </w:style>
  <w:style w:type="paragraph" w:customStyle="1" w:styleId="Penalty">
    <w:name w:val="Penalty"/>
    <w:basedOn w:val="OPCParaBase"/>
    <w:rsid w:val="001E6469"/>
    <w:pPr>
      <w:tabs>
        <w:tab w:val="left" w:pos="2977"/>
      </w:tabs>
      <w:spacing w:before="180" w:line="240" w:lineRule="auto"/>
      <w:ind w:left="1985" w:hanging="851"/>
    </w:pPr>
  </w:style>
  <w:style w:type="paragraph" w:customStyle="1" w:styleId="Portfolio">
    <w:name w:val="Portfolio"/>
    <w:basedOn w:val="OPCParaBase"/>
    <w:rsid w:val="001E6469"/>
    <w:pPr>
      <w:spacing w:line="240" w:lineRule="auto"/>
    </w:pPr>
    <w:rPr>
      <w:i/>
      <w:sz w:val="20"/>
    </w:rPr>
  </w:style>
  <w:style w:type="paragraph" w:customStyle="1" w:styleId="Preamble">
    <w:name w:val="Preamble"/>
    <w:basedOn w:val="OPCParaBase"/>
    <w:next w:val="Normal"/>
    <w:rsid w:val="001E6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469"/>
    <w:pPr>
      <w:spacing w:line="240" w:lineRule="auto"/>
    </w:pPr>
    <w:rPr>
      <w:i/>
      <w:sz w:val="20"/>
    </w:rPr>
  </w:style>
  <w:style w:type="paragraph" w:customStyle="1" w:styleId="Session">
    <w:name w:val="Session"/>
    <w:basedOn w:val="OPCParaBase"/>
    <w:rsid w:val="001E6469"/>
    <w:pPr>
      <w:spacing w:line="240" w:lineRule="auto"/>
    </w:pPr>
    <w:rPr>
      <w:sz w:val="28"/>
    </w:rPr>
  </w:style>
  <w:style w:type="paragraph" w:customStyle="1" w:styleId="Sponsor">
    <w:name w:val="Sponsor"/>
    <w:basedOn w:val="OPCParaBase"/>
    <w:rsid w:val="001E6469"/>
    <w:pPr>
      <w:spacing w:line="240" w:lineRule="auto"/>
    </w:pPr>
    <w:rPr>
      <w:i/>
    </w:rPr>
  </w:style>
  <w:style w:type="paragraph" w:customStyle="1" w:styleId="Subitem">
    <w:name w:val="Subitem"/>
    <w:aliases w:val="iss"/>
    <w:basedOn w:val="OPCParaBase"/>
    <w:rsid w:val="001E6469"/>
    <w:pPr>
      <w:spacing w:before="180" w:line="240" w:lineRule="auto"/>
      <w:ind w:left="709" w:hanging="709"/>
    </w:pPr>
  </w:style>
  <w:style w:type="paragraph" w:customStyle="1" w:styleId="SubitemHead">
    <w:name w:val="SubitemHead"/>
    <w:aliases w:val="issh"/>
    <w:basedOn w:val="OPCParaBase"/>
    <w:rsid w:val="001E6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469"/>
    <w:pPr>
      <w:spacing w:before="40" w:line="240" w:lineRule="auto"/>
      <w:ind w:left="1134"/>
    </w:pPr>
  </w:style>
  <w:style w:type="paragraph" w:customStyle="1" w:styleId="SubsectionHead">
    <w:name w:val="SubsectionHead"/>
    <w:aliases w:val="ssh"/>
    <w:basedOn w:val="OPCParaBase"/>
    <w:next w:val="subsection"/>
    <w:rsid w:val="001E6469"/>
    <w:pPr>
      <w:keepNext/>
      <w:keepLines/>
      <w:spacing w:before="240" w:line="240" w:lineRule="auto"/>
      <w:ind w:left="1134"/>
    </w:pPr>
    <w:rPr>
      <w:i/>
    </w:rPr>
  </w:style>
  <w:style w:type="paragraph" w:customStyle="1" w:styleId="Tablea">
    <w:name w:val="Table(a)"/>
    <w:aliases w:val="ta"/>
    <w:basedOn w:val="OPCParaBase"/>
    <w:rsid w:val="001E6469"/>
    <w:pPr>
      <w:spacing w:before="60" w:line="240" w:lineRule="auto"/>
      <w:ind w:left="284" w:hanging="284"/>
    </w:pPr>
    <w:rPr>
      <w:sz w:val="20"/>
    </w:rPr>
  </w:style>
  <w:style w:type="paragraph" w:customStyle="1" w:styleId="TableAA">
    <w:name w:val="Table(AA)"/>
    <w:aliases w:val="taaa"/>
    <w:basedOn w:val="OPCParaBase"/>
    <w:rsid w:val="001E6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469"/>
    <w:pPr>
      <w:spacing w:before="60" w:line="240" w:lineRule="atLeast"/>
    </w:pPr>
    <w:rPr>
      <w:sz w:val="20"/>
    </w:rPr>
  </w:style>
  <w:style w:type="paragraph" w:customStyle="1" w:styleId="TLPBoxTextnote">
    <w:name w:val="TLPBoxText(note"/>
    <w:aliases w:val="right)"/>
    <w:basedOn w:val="OPCParaBase"/>
    <w:rsid w:val="001E6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469"/>
    <w:pPr>
      <w:spacing w:before="122" w:line="198" w:lineRule="exact"/>
      <w:ind w:left="1985" w:hanging="851"/>
      <w:jc w:val="right"/>
    </w:pPr>
    <w:rPr>
      <w:sz w:val="18"/>
    </w:rPr>
  </w:style>
  <w:style w:type="paragraph" w:customStyle="1" w:styleId="TLPTableBullet">
    <w:name w:val="TLPTableBullet"/>
    <w:aliases w:val="ttb"/>
    <w:basedOn w:val="OPCParaBase"/>
    <w:rsid w:val="001E6469"/>
    <w:pPr>
      <w:spacing w:line="240" w:lineRule="exact"/>
      <w:ind w:left="284" w:hanging="284"/>
    </w:pPr>
    <w:rPr>
      <w:sz w:val="20"/>
    </w:rPr>
  </w:style>
  <w:style w:type="paragraph" w:styleId="TOC1">
    <w:name w:val="toc 1"/>
    <w:basedOn w:val="OPCParaBase"/>
    <w:next w:val="Normal"/>
    <w:uiPriority w:val="39"/>
    <w:semiHidden/>
    <w:unhideWhenUsed/>
    <w:rsid w:val="001E64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4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E64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E64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E6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E6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469"/>
    <w:pPr>
      <w:keepLines/>
      <w:spacing w:before="240" w:after="120" w:line="240" w:lineRule="auto"/>
      <w:ind w:left="794"/>
    </w:pPr>
    <w:rPr>
      <w:b/>
      <w:kern w:val="28"/>
      <w:sz w:val="20"/>
    </w:rPr>
  </w:style>
  <w:style w:type="paragraph" w:customStyle="1" w:styleId="TofSectsHeading">
    <w:name w:val="TofSects(Heading)"/>
    <w:basedOn w:val="OPCParaBase"/>
    <w:rsid w:val="001E6469"/>
    <w:pPr>
      <w:spacing w:before="240" w:after="120" w:line="240" w:lineRule="auto"/>
    </w:pPr>
    <w:rPr>
      <w:b/>
      <w:sz w:val="24"/>
    </w:rPr>
  </w:style>
  <w:style w:type="paragraph" w:customStyle="1" w:styleId="TofSectsSection">
    <w:name w:val="TofSects(Section)"/>
    <w:basedOn w:val="OPCParaBase"/>
    <w:rsid w:val="001E6469"/>
    <w:pPr>
      <w:keepLines/>
      <w:spacing w:before="40" w:line="240" w:lineRule="auto"/>
      <w:ind w:left="1588" w:hanging="794"/>
    </w:pPr>
    <w:rPr>
      <w:kern w:val="28"/>
      <w:sz w:val="18"/>
    </w:rPr>
  </w:style>
  <w:style w:type="paragraph" w:customStyle="1" w:styleId="TofSectsSubdiv">
    <w:name w:val="TofSects(Subdiv)"/>
    <w:basedOn w:val="OPCParaBase"/>
    <w:rsid w:val="001E6469"/>
    <w:pPr>
      <w:keepLines/>
      <w:spacing w:before="80" w:line="240" w:lineRule="auto"/>
      <w:ind w:left="1588" w:hanging="794"/>
    </w:pPr>
    <w:rPr>
      <w:kern w:val="28"/>
    </w:rPr>
  </w:style>
  <w:style w:type="paragraph" w:customStyle="1" w:styleId="WRStyle">
    <w:name w:val="WR Style"/>
    <w:aliases w:val="WR"/>
    <w:basedOn w:val="OPCParaBase"/>
    <w:rsid w:val="001E6469"/>
    <w:pPr>
      <w:spacing w:before="240" w:line="240" w:lineRule="auto"/>
      <w:ind w:left="284" w:hanging="284"/>
    </w:pPr>
    <w:rPr>
      <w:b/>
      <w:i/>
      <w:kern w:val="28"/>
      <w:sz w:val="24"/>
    </w:rPr>
  </w:style>
  <w:style w:type="paragraph" w:customStyle="1" w:styleId="notepara">
    <w:name w:val="note(para)"/>
    <w:aliases w:val="na"/>
    <w:basedOn w:val="OPCParaBase"/>
    <w:rsid w:val="001E6469"/>
    <w:pPr>
      <w:spacing w:before="40" w:line="198" w:lineRule="exact"/>
      <w:ind w:left="2354" w:hanging="369"/>
    </w:pPr>
    <w:rPr>
      <w:sz w:val="18"/>
    </w:rPr>
  </w:style>
  <w:style w:type="paragraph" w:styleId="Footer">
    <w:name w:val="footer"/>
    <w:link w:val="FooterChar"/>
    <w:rsid w:val="001E6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6469"/>
    <w:rPr>
      <w:rFonts w:eastAsia="Times New Roman" w:cs="Times New Roman"/>
      <w:sz w:val="22"/>
      <w:szCs w:val="24"/>
      <w:lang w:eastAsia="en-AU"/>
    </w:rPr>
  </w:style>
  <w:style w:type="character" w:styleId="LineNumber">
    <w:name w:val="line number"/>
    <w:basedOn w:val="OPCCharBase"/>
    <w:uiPriority w:val="99"/>
    <w:semiHidden/>
    <w:unhideWhenUsed/>
    <w:rsid w:val="001E6469"/>
    <w:rPr>
      <w:sz w:val="16"/>
    </w:rPr>
  </w:style>
  <w:style w:type="table" w:customStyle="1" w:styleId="CFlag">
    <w:name w:val="CFlag"/>
    <w:basedOn w:val="TableNormal"/>
    <w:uiPriority w:val="99"/>
    <w:rsid w:val="001E6469"/>
    <w:rPr>
      <w:rFonts w:eastAsia="Times New Roman" w:cs="Times New Roman"/>
      <w:lang w:eastAsia="en-AU"/>
    </w:rPr>
    <w:tblPr/>
  </w:style>
  <w:style w:type="paragraph" w:customStyle="1" w:styleId="SignCoverPageEnd">
    <w:name w:val="SignCoverPageEnd"/>
    <w:basedOn w:val="OPCParaBase"/>
    <w:next w:val="Normal"/>
    <w:rsid w:val="001E6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469"/>
    <w:pPr>
      <w:pBdr>
        <w:top w:val="single" w:sz="4" w:space="1" w:color="auto"/>
      </w:pBdr>
      <w:spacing w:before="360"/>
      <w:ind w:right="397"/>
      <w:jc w:val="both"/>
    </w:pPr>
  </w:style>
  <w:style w:type="paragraph" w:customStyle="1" w:styleId="CompiledActNo">
    <w:name w:val="CompiledActNo"/>
    <w:basedOn w:val="OPCParaBase"/>
    <w:next w:val="Normal"/>
    <w:rsid w:val="001E6469"/>
    <w:rPr>
      <w:b/>
      <w:sz w:val="24"/>
      <w:szCs w:val="24"/>
    </w:rPr>
  </w:style>
  <w:style w:type="paragraph" w:customStyle="1" w:styleId="ENotesText">
    <w:name w:val="ENotesText"/>
    <w:aliases w:val="Ent"/>
    <w:basedOn w:val="OPCParaBase"/>
    <w:next w:val="Normal"/>
    <w:rsid w:val="001E6469"/>
    <w:pPr>
      <w:spacing w:before="120"/>
    </w:pPr>
  </w:style>
  <w:style w:type="paragraph" w:customStyle="1" w:styleId="CompiledMadeUnder">
    <w:name w:val="CompiledMadeUnder"/>
    <w:basedOn w:val="OPCParaBase"/>
    <w:next w:val="Normal"/>
    <w:rsid w:val="001E6469"/>
    <w:rPr>
      <w:i/>
      <w:sz w:val="24"/>
      <w:szCs w:val="24"/>
    </w:rPr>
  </w:style>
  <w:style w:type="paragraph" w:customStyle="1" w:styleId="Paragraphsub-sub-sub">
    <w:name w:val="Paragraph(sub-sub-sub)"/>
    <w:aliases w:val="aaaa"/>
    <w:basedOn w:val="OPCParaBase"/>
    <w:rsid w:val="001E6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6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6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6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4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6469"/>
    <w:pPr>
      <w:spacing w:before="60" w:line="240" w:lineRule="auto"/>
    </w:pPr>
    <w:rPr>
      <w:rFonts w:cs="Arial"/>
      <w:sz w:val="20"/>
      <w:szCs w:val="22"/>
    </w:rPr>
  </w:style>
  <w:style w:type="paragraph" w:customStyle="1" w:styleId="TableHeading">
    <w:name w:val="TableHeading"/>
    <w:aliases w:val="th"/>
    <w:basedOn w:val="OPCParaBase"/>
    <w:next w:val="Tabletext"/>
    <w:rsid w:val="001E6469"/>
    <w:pPr>
      <w:keepNext/>
      <w:spacing w:before="60" w:line="240" w:lineRule="atLeast"/>
    </w:pPr>
    <w:rPr>
      <w:b/>
      <w:sz w:val="20"/>
    </w:rPr>
  </w:style>
  <w:style w:type="paragraph" w:customStyle="1" w:styleId="NoteToSubpara">
    <w:name w:val="NoteToSubpara"/>
    <w:aliases w:val="nts"/>
    <w:basedOn w:val="OPCParaBase"/>
    <w:rsid w:val="001E6469"/>
    <w:pPr>
      <w:spacing w:before="40" w:line="198" w:lineRule="exact"/>
      <w:ind w:left="2835" w:hanging="709"/>
    </w:pPr>
    <w:rPr>
      <w:sz w:val="18"/>
    </w:rPr>
  </w:style>
  <w:style w:type="paragraph" w:customStyle="1" w:styleId="ENoteTableHeading">
    <w:name w:val="ENoteTableHeading"/>
    <w:aliases w:val="enth"/>
    <w:basedOn w:val="OPCParaBase"/>
    <w:rsid w:val="001E6469"/>
    <w:pPr>
      <w:keepNext/>
      <w:spacing w:before="60" w:line="240" w:lineRule="atLeast"/>
    </w:pPr>
    <w:rPr>
      <w:rFonts w:ascii="Arial" w:hAnsi="Arial"/>
      <w:b/>
      <w:sz w:val="16"/>
    </w:rPr>
  </w:style>
  <w:style w:type="paragraph" w:customStyle="1" w:styleId="ENoteTableText">
    <w:name w:val="ENoteTableText"/>
    <w:aliases w:val="entt"/>
    <w:basedOn w:val="OPCParaBase"/>
    <w:rsid w:val="001E6469"/>
    <w:pPr>
      <w:spacing w:before="60" w:line="240" w:lineRule="atLeast"/>
    </w:pPr>
    <w:rPr>
      <w:sz w:val="16"/>
    </w:rPr>
  </w:style>
  <w:style w:type="paragraph" w:customStyle="1" w:styleId="ENoteTTi">
    <w:name w:val="ENoteTTi"/>
    <w:aliases w:val="entti"/>
    <w:basedOn w:val="OPCParaBase"/>
    <w:rsid w:val="001E6469"/>
    <w:pPr>
      <w:keepNext/>
      <w:spacing w:before="60" w:line="240" w:lineRule="atLeast"/>
      <w:ind w:left="170"/>
    </w:pPr>
    <w:rPr>
      <w:sz w:val="16"/>
    </w:rPr>
  </w:style>
  <w:style w:type="paragraph" w:customStyle="1" w:styleId="ENoteTTIndentHeading">
    <w:name w:val="ENoteTTIndentHeading"/>
    <w:aliases w:val="enTTHi"/>
    <w:basedOn w:val="OPCParaBase"/>
    <w:rsid w:val="001E646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E6469"/>
    <w:pPr>
      <w:spacing w:before="120"/>
      <w:outlineLvl w:val="1"/>
    </w:pPr>
    <w:rPr>
      <w:b/>
      <w:sz w:val="28"/>
      <w:szCs w:val="28"/>
    </w:rPr>
  </w:style>
  <w:style w:type="paragraph" w:customStyle="1" w:styleId="ENotesHeading2">
    <w:name w:val="ENotesHeading 2"/>
    <w:aliases w:val="Enh2"/>
    <w:basedOn w:val="OPCParaBase"/>
    <w:next w:val="Normal"/>
    <w:rsid w:val="001E6469"/>
    <w:pPr>
      <w:spacing w:before="120" w:after="120"/>
      <w:outlineLvl w:val="2"/>
    </w:pPr>
    <w:rPr>
      <w:b/>
      <w:sz w:val="24"/>
      <w:szCs w:val="28"/>
    </w:rPr>
  </w:style>
  <w:style w:type="paragraph" w:customStyle="1" w:styleId="MadeunderText">
    <w:name w:val="MadeunderText"/>
    <w:basedOn w:val="OPCParaBase"/>
    <w:next w:val="Normal"/>
    <w:rsid w:val="001E6469"/>
    <w:pPr>
      <w:spacing w:before="240"/>
    </w:pPr>
    <w:rPr>
      <w:sz w:val="24"/>
      <w:szCs w:val="24"/>
    </w:rPr>
  </w:style>
  <w:style w:type="paragraph" w:customStyle="1" w:styleId="ENotesHeading3">
    <w:name w:val="ENotesHeading 3"/>
    <w:aliases w:val="Enh3"/>
    <w:basedOn w:val="OPCParaBase"/>
    <w:next w:val="Normal"/>
    <w:rsid w:val="001E6469"/>
    <w:pPr>
      <w:keepNext/>
      <w:spacing w:before="120" w:line="240" w:lineRule="auto"/>
      <w:outlineLvl w:val="4"/>
    </w:pPr>
    <w:rPr>
      <w:b/>
      <w:szCs w:val="24"/>
    </w:rPr>
  </w:style>
  <w:style w:type="character" w:customStyle="1" w:styleId="CharSubPartNoCASA">
    <w:name w:val="CharSubPartNo(CASA)"/>
    <w:basedOn w:val="OPCCharBase"/>
    <w:uiPriority w:val="1"/>
    <w:rsid w:val="001E6469"/>
  </w:style>
  <w:style w:type="character" w:customStyle="1" w:styleId="CharSubPartTextCASA">
    <w:name w:val="CharSubPartText(CASA)"/>
    <w:basedOn w:val="OPCCharBase"/>
    <w:uiPriority w:val="1"/>
    <w:rsid w:val="001E6469"/>
  </w:style>
  <w:style w:type="paragraph" w:customStyle="1" w:styleId="SubPartCASA">
    <w:name w:val="SubPart(CASA)"/>
    <w:aliases w:val="csp"/>
    <w:basedOn w:val="OPCParaBase"/>
    <w:next w:val="ActHead3"/>
    <w:rsid w:val="001E646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E6469"/>
    <w:pPr>
      <w:keepNext/>
      <w:spacing w:before="60" w:line="240" w:lineRule="atLeast"/>
      <w:ind w:left="340"/>
    </w:pPr>
    <w:rPr>
      <w:b/>
      <w:sz w:val="16"/>
    </w:rPr>
  </w:style>
  <w:style w:type="paragraph" w:customStyle="1" w:styleId="ENoteTTiSub">
    <w:name w:val="ENoteTTiSub"/>
    <w:aliases w:val="enttis"/>
    <w:basedOn w:val="OPCParaBase"/>
    <w:rsid w:val="001E6469"/>
    <w:pPr>
      <w:keepNext/>
      <w:spacing w:before="60" w:line="240" w:lineRule="atLeast"/>
      <w:ind w:left="340"/>
    </w:pPr>
    <w:rPr>
      <w:sz w:val="16"/>
    </w:rPr>
  </w:style>
  <w:style w:type="paragraph" w:customStyle="1" w:styleId="SubDivisionMigration">
    <w:name w:val="SubDivisionMigration"/>
    <w:aliases w:val="sdm"/>
    <w:basedOn w:val="OPCParaBase"/>
    <w:rsid w:val="001E6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469"/>
    <w:pPr>
      <w:keepNext/>
      <w:keepLines/>
      <w:spacing w:before="240" w:line="240" w:lineRule="auto"/>
      <w:ind w:left="1134" w:hanging="1134"/>
    </w:pPr>
    <w:rPr>
      <w:b/>
      <w:sz w:val="28"/>
    </w:rPr>
  </w:style>
  <w:style w:type="table" w:styleId="TableGrid">
    <w:name w:val="Table Grid"/>
    <w:basedOn w:val="TableNormal"/>
    <w:uiPriority w:val="59"/>
    <w:rsid w:val="001E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E6469"/>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1E6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6469"/>
    <w:rPr>
      <w:sz w:val="22"/>
    </w:rPr>
  </w:style>
  <w:style w:type="paragraph" w:customStyle="1" w:styleId="SOTextNote">
    <w:name w:val="SO TextNote"/>
    <w:aliases w:val="sont"/>
    <w:basedOn w:val="SOText"/>
    <w:qFormat/>
    <w:rsid w:val="001E6469"/>
    <w:pPr>
      <w:spacing w:before="122" w:line="198" w:lineRule="exact"/>
      <w:ind w:left="1843" w:hanging="709"/>
    </w:pPr>
    <w:rPr>
      <w:sz w:val="18"/>
    </w:rPr>
  </w:style>
  <w:style w:type="paragraph" w:customStyle="1" w:styleId="SOPara">
    <w:name w:val="SO Para"/>
    <w:aliases w:val="soa"/>
    <w:basedOn w:val="SOText"/>
    <w:link w:val="SOParaChar"/>
    <w:qFormat/>
    <w:rsid w:val="001E6469"/>
    <w:pPr>
      <w:tabs>
        <w:tab w:val="right" w:pos="1786"/>
      </w:tabs>
      <w:spacing w:before="40"/>
      <w:ind w:left="2070" w:hanging="936"/>
    </w:pPr>
  </w:style>
  <w:style w:type="character" w:customStyle="1" w:styleId="SOParaChar">
    <w:name w:val="SO Para Char"/>
    <w:aliases w:val="soa Char"/>
    <w:basedOn w:val="DefaultParagraphFont"/>
    <w:link w:val="SOPara"/>
    <w:rsid w:val="001E6469"/>
    <w:rPr>
      <w:sz w:val="22"/>
    </w:rPr>
  </w:style>
  <w:style w:type="paragraph" w:customStyle="1" w:styleId="SOBullet">
    <w:name w:val="SO Bullet"/>
    <w:aliases w:val="sotb"/>
    <w:basedOn w:val="SOText"/>
    <w:link w:val="SOBulletChar"/>
    <w:qFormat/>
    <w:rsid w:val="001E6469"/>
    <w:pPr>
      <w:ind w:left="1559" w:hanging="425"/>
    </w:pPr>
  </w:style>
  <w:style w:type="character" w:customStyle="1" w:styleId="SOBulletChar">
    <w:name w:val="SO Bullet Char"/>
    <w:aliases w:val="sotb Char"/>
    <w:basedOn w:val="DefaultParagraphFont"/>
    <w:link w:val="SOBullet"/>
    <w:rsid w:val="001E6469"/>
    <w:rPr>
      <w:sz w:val="22"/>
    </w:rPr>
  </w:style>
  <w:style w:type="paragraph" w:customStyle="1" w:styleId="SOBulletNote">
    <w:name w:val="SO BulletNote"/>
    <w:aliases w:val="sonb"/>
    <w:basedOn w:val="SOTextNote"/>
    <w:link w:val="SOBulletNoteChar"/>
    <w:qFormat/>
    <w:rsid w:val="001E6469"/>
    <w:pPr>
      <w:tabs>
        <w:tab w:val="left" w:pos="1560"/>
      </w:tabs>
      <w:ind w:left="2268" w:hanging="1134"/>
    </w:pPr>
  </w:style>
  <w:style w:type="character" w:customStyle="1" w:styleId="SOBulletNoteChar">
    <w:name w:val="SO BulletNote Char"/>
    <w:aliases w:val="sonb Char"/>
    <w:basedOn w:val="DefaultParagraphFont"/>
    <w:link w:val="SOBulletNote"/>
    <w:rsid w:val="001E6469"/>
    <w:rPr>
      <w:sz w:val="18"/>
    </w:rPr>
  </w:style>
  <w:style w:type="paragraph" w:customStyle="1" w:styleId="FileName">
    <w:name w:val="FileName"/>
    <w:basedOn w:val="Normal"/>
    <w:rsid w:val="001E6469"/>
  </w:style>
  <w:style w:type="paragraph" w:customStyle="1" w:styleId="SOHeadBold">
    <w:name w:val="SO HeadBold"/>
    <w:aliases w:val="sohb"/>
    <w:basedOn w:val="SOText"/>
    <w:next w:val="SOText"/>
    <w:link w:val="SOHeadBoldChar"/>
    <w:qFormat/>
    <w:rsid w:val="001E6469"/>
    <w:rPr>
      <w:b/>
    </w:rPr>
  </w:style>
  <w:style w:type="character" w:customStyle="1" w:styleId="SOHeadBoldChar">
    <w:name w:val="SO HeadBold Char"/>
    <w:aliases w:val="sohb Char"/>
    <w:basedOn w:val="DefaultParagraphFont"/>
    <w:link w:val="SOHeadBold"/>
    <w:rsid w:val="001E6469"/>
    <w:rPr>
      <w:b/>
      <w:sz w:val="22"/>
    </w:rPr>
  </w:style>
  <w:style w:type="paragraph" w:customStyle="1" w:styleId="SOHeadItalic">
    <w:name w:val="SO HeadItalic"/>
    <w:aliases w:val="sohi"/>
    <w:basedOn w:val="SOText"/>
    <w:next w:val="SOText"/>
    <w:link w:val="SOHeadItalicChar"/>
    <w:qFormat/>
    <w:rsid w:val="001E6469"/>
    <w:rPr>
      <w:i/>
    </w:rPr>
  </w:style>
  <w:style w:type="character" w:customStyle="1" w:styleId="SOHeadItalicChar">
    <w:name w:val="SO HeadItalic Char"/>
    <w:aliases w:val="sohi Char"/>
    <w:basedOn w:val="DefaultParagraphFont"/>
    <w:link w:val="SOHeadItalic"/>
    <w:rsid w:val="001E6469"/>
    <w:rPr>
      <w:i/>
      <w:sz w:val="22"/>
    </w:rPr>
  </w:style>
  <w:style w:type="paragraph" w:customStyle="1" w:styleId="SOText2">
    <w:name w:val="SO Text2"/>
    <w:aliases w:val="sot2"/>
    <w:basedOn w:val="Normal"/>
    <w:next w:val="SOText"/>
    <w:link w:val="SOText2Char"/>
    <w:rsid w:val="001E64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6469"/>
    <w:rPr>
      <w:sz w:val="22"/>
    </w:rPr>
  </w:style>
  <w:style w:type="paragraph" w:customStyle="1" w:styleId="ETAsubitem">
    <w:name w:val="ETA(subitem)"/>
    <w:basedOn w:val="OPCParaBase"/>
    <w:rsid w:val="001E6469"/>
    <w:pPr>
      <w:tabs>
        <w:tab w:val="right" w:pos="340"/>
      </w:tabs>
      <w:spacing w:before="60" w:line="240" w:lineRule="auto"/>
      <w:ind w:left="454" w:hanging="454"/>
    </w:pPr>
    <w:rPr>
      <w:sz w:val="20"/>
    </w:rPr>
  </w:style>
  <w:style w:type="paragraph" w:customStyle="1" w:styleId="ETApara">
    <w:name w:val="ETA(para)"/>
    <w:basedOn w:val="OPCParaBase"/>
    <w:rsid w:val="001E6469"/>
    <w:pPr>
      <w:tabs>
        <w:tab w:val="right" w:pos="754"/>
      </w:tabs>
      <w:spacing w:before="60" w:line="240" w:lineRule="auto"/>
      <w:ind w:left="828" w:hanging="828"/>
    </w:pPr>
    <w:rPr>
      <w:sz w:val="20"/>
    </w:rPr>
  </w:style>
  <w:style w:type="paragraph" w:customStyle="1" w:styleId="ETAsubpara">
    <w:name w:val="ETA(subpara)"/>
    <w:basedOn w:val="OPCParaBase"/>
    <w:rsid w:val="001E6469"/>
    <w:pPr>
      <w:tabs>
        <w:tab w:val="right" w:pos="1083"/>
      </w:tabs>
      <w:spacing w:before="60" w:line="240" w:lineRule="auto"/>
      <w:ind w:left="1191" w:hanging="1191"/>
    </w:pPr>
    <w:rPr>
      <w:sz w:val="20"/>
    </w:rPr>
  </w:style>
  <w:style w:type="paragraph" w:customStyle="1" w:styleId="ETAsub-subpara">
    <w:name w:val="ETA(sub-subpara)"/>
    <w:basedOn w:val="OPCParaBase"/>
    <w:rsid w:val="001E646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E6469"/>
    <w:rPr>
      <w:b/>
      <w:sz w:val="28"/>
      <w:szCs w:val="28"/>
    </w:rPr>
  </w:style>
  <w:style w:type="paragraph" w:customStyle="1" w:styleId="NotesHeading2">
    <w:name w:val="NotesHeading 2"/>
    <w:basedOn w:val="OPCParaBase"/>
    <w:next w:val="Normal"/>
    <w:rsid w:val="001E6469"/>
    <w:rPr>
      <w:b/>
      <w:sz w:val="28"/>
      <w:szCs w:val="28"/>
    </w:rPr>
  </w:style>
  <w:style w:type="paragraph" w:customStyle="1" w:styleId="Transitional">
    <w:name w:val="Transitional"/>
    <w:aliases w:val="tr"/>
    <w:basedOn w:val="ItemHead"/>
    <w:next w:val="Item"/>
    <w:rsid w:val="001E6469"/>
  </w:style>
  <w:style w:type="character" w:customStyle="1" w:styleId="Heading1Char">
    <w:name w:val="Heading 1 Char"/>
    <w:basedOn w:val="DefaultParagraphFont"/>
    <w:link w:val="Heading1"/>
    <w:uiPriority w:val="9"/>
    <w:rsid w:val="00056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6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1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61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61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61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61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61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618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056181"/>
    <w:rPr>
      <w:rFonts w:eastAsia="Times New Roman" w:cs="Times New Roman"/>
      <w:sz w:val="22"/>
      <w:lang w:eastAsia="en-AU"/>
    </w:rPr>
  </w:style>
  <w:style w:type="character" w:customStyle="1" w:styleId="DefinitionChar">
    <w:name w:val="Definition Char"/>
    <w:aliases w:val="dd Char"/>
    <w:link w:val="Definition"/>
    <w:rsid w:val="00056181"/>
    <w:rPr>
      <w:rFonts w:eastAsia="Times New Roman" w:cs="Times New Roman"/>
      <w:sz w:val="22"/>
      <w:lang w:eastAsia="en-AU"/>
    </w:rPr>
  </w:style>
  <w:style w:type="paragraph" w:styleId="BalloonText">
    <w:name w:val="Balloon Text"/>
    <w:basedOn w:val="Normal"/>
    <w:link w:val="BalloonTextChar"/>
    <w:uiPriority w:val="99"/>
    <w:semiHidden/>
    <w:unhideWhenUsed/>
    <w:rsid w:val="00056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81"/>
    <w:rPr>
      <w:rFonts w:ascii="Tahoma" w:hAnsi="Tahoma" w:cs="Tahoma"/>
      <w:sz w:val="16"/>
      <w:szCs w:val="16"/>
    </w:rPr>
  </w:style>
  <w:style w:type="character" w:customStyle="1" w:styleId="paragraphChar">
    <w:name w:val="paragraph Char"/>
    <w:aliases w:val="a Char"/>
    <w:link w:val="paragraph"/>
    <w:rsid w:val="00056181"/>
    <w:rPr>
      <w:rFonts w:eastAsia="Times New Roman" w:cs="Times New Roman"/>
      <w:sz w:val="22"/>
      <w:lang w:eastAsia="en-AU"/>
    </w:rPr>
  </w:style>
  <w:style w:type="character" w:customStyle="1" w:styleId="notetextChar">
    <w:name w:val="note(text) Char"/>
    <w:aliases w:val="n Char"/>
    <w:basedOn w:val="DefaultParagraphFont"/>
    <w:link w:val="notetext"/>
    <w:rsid w:val="00056181"/>
    <w:rPr>
      <w:rFonts w:eastAsia="Times New Roman" w:cs="Times New Roman"/>
      <w:sz w:val="18"/>
      <w:lang w:eastAsia="en-AU"/>
    </w:rPr>
  </w:style>
  <w:style w:type="character" w:styleId="Hyperlink">
    <w:name w:val="Hyperlink"/>
    <w:basedOn w:val="DefaultParagraphFont"/>
    <w:uiPriority w:val="99"/>
    <w:semiHidden/>
    <w:unhideWhenUsed/>
    <w:rsid w:val="00056181"/>
    <w:rPr>
      <w:color w:val="0000FF" w:themeColor="hyperlink"/>
      <w:u w:val="single"/>
    </w:rPr>
  </w:style>
  <w:style w:type="character" w:styleId="FollowedHyperlink">
    <w:name w:val="FollowedHyperlink"/>
    <w:basedOn w:val="DefaultParagraphFont"/>
    <w:uiPriority w:val="99"/>
    <w:semiHidden/>
    <w:unhideWhenUsed/>
    <w:rsid w:val="00056181"/>
    <w:rPr>
      <w:color w:val="0000FF" w:themeColor="hyperlink"/>
      <w:u w:val="single"/>
    </w:rPr>
  </w:style>
  <w:style w:type="paragraph" w:customStyle="1" w:styleId="ShortTP1">
    <w:name w:val="ShortTP1"/>
    <w:basedOn w:val="ShortT"/>
    <w:link w:val="ShortTP1Char"/>
    <w:rsid w:val="00135FE1"/>
    <w:pPr>
      <w:spacing w:before="800"/>
    </w:pPr>
  </w:style>
  <w:style w:type="character" w:customStyle="1" w:styleId="OPCParaBaseChar">
    <w:name w:val="OPCParaBase Char"/>
    <w:basedOn w:val="DefaultParagraphFont"/>
    <w:link w:val="OPCParaBase"/>
    <w:rsid w:val="00135FE1"/>
    <w:rPr>
      <w:rFonts w:eastAsia="Times New Roman" w:cs="Times New Roman"/>
      <w:sz w:val="22"/>
      <w:lang w:eastAsia="en-AU"/>
    </w:rPr>
  </w:style>
  <w:style w:type="character" w:customStyle="1" w:styleId="ShortTChar">
    <w:name w:val="ShortT Char"/>
    <w:basedOn w:val="OPCParaBaseChar"/>
    <w:link w:val="ShortT"/>
    <w:rsid w:val="00135FE1"/>
    <w:rPr>
      <w:rFonts w:eastAsia="Times New Roman" w:cs="Times New Roman"/>
      <w:b/>
      <w:sz w:val="40"/>
      <w:lang w:eastAsia="en-AU"/>
    </w:rPr>
  </w:style>
  <w:style w:type="character" w:customStyle="1" w:styleId="ShortTP1Char">
    <w:name w:val="ShortTP1 Char"/>
    <w:basedOn w:val="ShortTChar"/>
    <w:link w:val="ShortTP1"/>
    <w:rsid w:val="00135FE1"/>
    <w:rPr>
      <w:rFonts w:eastAsia="Times New Roman" w:cs="Times New Roman"/>
      <w:b/>
      <w:sz w:val="40"/>
      <w:lang w:eastAsia="en-AU"/>
    </w:rPr>
  </w:style>
  <w:style w:type="paragraph" w:customStyle="1" w:styleId="ActNoP1">
    <w:name w:val="ActNoP1"/>
    <w:basedOn w:val="Actno"/>
    <w:link w:val="ActNoP1Char"/>
    <w:rsid w:val="00135FE1"/>
    <w:pPr>
      <w:spacing w:before="800"/>
    </w:pPr>
    <w:rPr>
      <w:sz w:val="28"/>
    </w:rPr>
  </w:style>
  <w:style w:type="character" w:customStyle="1" w:styleId="ActnoChar">
    <w:name w:val="Actno Char"/>
    <w:basedOn w:val="ShortTChar"/>
    <w:link w:val="Actno"/>
    <w:rsid w:val="00135FE1"/>
    <w:rPr>
      <w:rFonts w:eastAsia="Times New Roman" w:cs="Times New Roman"/>
      <w:b/>
      <w:sz w:val="40"/>
      <w:lang w:eastAsia="en-AU"/>
    </w:rPr>
  </w:style>
  <w:style w:type="character" w:customStyle="1" w:styleId="ActNoP1Char">
    <w:name w:val="ActNoP1 Char"/>
    <w:basedOn w:val="ActnoChar"/>
    <w:link w:val="ActNoP1"/>
    <w:rsid w:val="00135FE1"/>
    <w:rPr>
      <w:rFonts w:eastAsia="Times New Roman" w:cs="Times New Roman"/>
      <w:b/>
      <w:sz w:val="28"/>
      <w:lang w:eastAsia="en-AU"/>
    </w:rPr>
  </w:style>
  <w:style w:type="paragraph" w:customStyle="1" w:styleId="ShortTCP">
    <w:name w:val="ShortTCP"/>
    <w:basedOn w:val="ShortT"/>
    <w:link w:val="ShortTCPChar"/>
    <w:rsid w:val="00135FE1"/>
    <w:rPr>
      <w:color w:val="000000"/>
    </w:rPr>
  </w:style>
  <w:style w:type="character" w:customStyle="1" w:styleId="ShortTCPChar">
    <w:name w:val="ShortTCP Char"/>
    <w:basedOn w:val="ShortTChar"/>
    <w:link w:val="ShortTCP"/>
    <w:rsid w:val="00135FE1"/>
    <w:rPr>
      <w:rFonts w:eastAsia="Times New Roman" w:cs="Times New Roman"/>
      <w:b/>
      <w:color w:val="000000"/>
      <w:sz w:val="40"/>
      <w:lang w:eastAsia="en-AU"/>
    </w:rPr>
  </w:style>
  <w:style w:type="paragraph" w:customStyle="1" w:styleId="ActNoCP">
    <w:name w:val="ActNoCP"/>
    <w:basedOn w:val="Actno"/>
    <w:link w:val="ActNoCPChar"/>
    <w:rsid w:val="00135FE1"/>
    <w:pPr>
      <w:spacing w:before="400"/>
    </w:pPr>
  </w:style>
  <w:style w:type="character" w:customStyle="1" w:styleId="ActNoCPChar">
    <w:name w:val="ActNoCP Char"/>
    <w:basedOn w:val="ActnoChar"/>
    <w:link w:val="ActNoCP"/>
    <w:rsid w:val="00135FE1"/>
    <w:rPr>
      <w:rFonts w:eastAsia="Times New Roman" w:cs="Times New Roman"/>
      <w:b/>
      <w:sz w:val="40"/>
      <w:lang w:eastAsia="en-AU"/>
    </w:rPr>
  </w:style>
  <w:style w:type="paragraph" w:customStyle="1" w:styleId="AssentBk">
    <w:name w:val="AssentBk"/>
    <w:basedOn w:val="Normal"/>
    <w:rsid w:val="00135FE1"/>
    <w:pPr>
      <w:spacing w:line="240" w:lineRule="auto"/>
    </w:pPr>
    <w:rPr>
      <w:rFonts w:eastAsia="Times New Roman" w:cs="Times New Roman"/>
      <w:sz w:val="20"/>
      <w:lang w:eastAsia="en-AU"/>
    </w:rPr>
  </w:style>
  <w:style w:type="paragraph" w:customStyle="1" w:styleId="AssentDt">
    <w:name w:val="AssentDt"/>
    <w:basedOn w:val="Normal"/>
    <w:rsid w:val="00A41FC5"/>
    <w:pPr>
      <w:spacing w:line="240" w:lineRule="auto"/>
    </w:pPr>
    <w:rPr>
      <w:rFonts w:eastAsia="Times New Roman" w:cs="Times New Roman"/>
      <w:sz w:val="20"/>
      <w:lang w:eastAsia="en-AU"/>
    </w:rPr>
  </w:style>
  <w:style w:type="paragraph" w:customStyle="1" w:styleId="2ndRd">
    <w:name w:val="2ndRd"/>
    <w:basedOn w:val="Normal"/>
    <w:rsid w:val="00A41FC5"/>
    <w:pPr>
      <w:spacing w:line="240" w:lineRule="auto"/>
    </w:pPr>
    <w:rPr>
      <w:rFonts w:eastAsia="Times New Roman" w:cs="Times New Roman"/>
      <w:sz w:val="20"/>
      <w:lang w:eastAsia="en-AU"/>
    </w:rPr>
  </w:style>
  <w:style w:type="paragraph" w:customStyle="1" w:styleId="ScalePlusRef">
    <w:name w:val="ScalePlusRef"/>
    <w:basedOn w:val="Normal"/>
    <w:rsid w:val="00A41FC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7.bin"/><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header" Target="header8.xml"/><Relationship Id="rId43"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23</Pages>
  <Words>3982</Words>
  <Characters>22701</Characters>
  <Application>Microsoft Office Word</Application>
  <DocSecurity>0</DocSecurity>
  <PresentationFormat/>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2019-07-30T23:15:00Z</cp:lastPrinted>
  <dcterms:created xsi:type="dcterms:W3CDTF">2020-05-26T07:12:00Z</dcterms:created>
  <dcterms:modified xsi:type="dcterms:W3CDTF">2020-05-26T07:22:00Z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(Regional Broadband Scheme) Charge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OPC7216</vt:lpwstr>
  </property>
  <property fmtid="{D5CDD505-2E9C-101B-9397-08002B2CF9AE}" pid="8" name="ActNo">
    <vt:lpwstr>No. 48, 2020</vt:lpwstr>
  </property>
  <property fmtid="{D5CDD505-2E9C-101B-9397-08002B2CF9AE}" pid="9" name="Classification">
    <vt:lpwstr> </vt:lpwstr>
  </property>
  <property fmtid="{D5CDD505-2E9C-101B-9397-08002B2CF9AE}" pid="10" name="DLM">
    <vt:lpwstr> </vt:lpwstr>
  </property>
</Properties>
</file>