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94" w:rsidRDefault="006C529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52019722" r:id="rId9"/>
        </w:object>
      </w:r>
    </w:p>
    <w:p w:rsidR="006C5294" w:rsidRDefault="006C5294"/>
    <w:p w:rsidR="006C5294" w:rsidRDefault="006C5294" w:rsidP="006C5294">
      <w:pPr>
        <w:spacing w:line="240" w:lineRule="auto"/>
      </w:pPr>
    </w:p>
    <w:p w:rsidR="006C5294" w:rsidRDefault="006C5294" w:rsidP="006C5294"/>
    <w:p w:rsidR="006C5294" w:rsidRDefault="006C5294" w:rsidP="006C5294"/>
    <w:p w:rsidR="006C5294" w:rsidRDefault="006C5294" w:rsidP="006C5294"/>
    <w:p w:rsidR="006C5294" w:rsidRDefault="006C5294" w:rsidP="006C5294"/>
    <w:p w:rsidR="0048364F" w:rsidRPr="00343BD4" w:rsidRDefault="002A7CE4" w:rsidP="0048364F">
      <w:pPr>
        <w:pStyle w:val="ShortT"/>
      </w:pPr>
      <w:r w:rsidRPr="00343BD4">
        <w:t>Treasury Laws Amendment (</w:t>
      </w:r>
      <w:r w:rsidR="00EA38BA" w:rsidRPr="00343BD4">
        <w:t>20</w:t>
      </w:r>
      <w:r w:rsidRPr="00343BD4">
        <w:t xml:space="preserve">20 </w:t>
      </w:r>
      <w:r w:rsidR="00EA38BA" w:rsidRPr="00343BD4">
        <w:t>Measures No.</w:t>
      </w:r>
      <w:r w:rsidR="00343BD4" w:rsidRPr="00343BD4">
        <w:t> </w:t>
      </w:r>
      <w:r w:rsidR="00EA38BA" w:rsidRPr="00343BD4">
        <w:t>1</w:t>
      </w:r>
      <w:r w:rsidRPr="00343BD4">
        <w:t xml:space="preserve">) </w:t>
      </w:r>
      <w:r w:rsidR="006C5294">
        <w:t>Act</w:t>
      </w:r>
      <w:r w:rsidR="00C164CA" w:rsidRPr="00343BD4">
        <w:t xml:space="preserve"> 20</w:t>
      </w:r>
      <w:r w:rsidR="001B633C" w:rsidRPr="00343BD4">
        <w:t>20</w:t>
      </w:r>
    </w:p>
    <w:p w:rsidR="0048364F" w:rsidRPr="00343BD4" w:rsidRDefault="0048364F" w:rsidP="0048364F"/>
    <w:p w:rsidR="0048364F" w:rsidRPr="00343BD4" w:rsidRDefault="00C164CA" w:rsidP="006C5294">
      <w:pPr>
        <w:pStyle w:val="Actno"/>
        <w:spacing w:before="400"/>
      </w:pPr>
      <w:r w:rsidRPr="00343BD4">
        <w:t>No.</w:t>
      </w:r>
      <w:r w:rsidR="00110597">
        <w:t xml:space="preserve"> 49</w:t>
      </w:r>
      <w:r w:rsidRPr="00343BD4">
        <w:t>, 20</w:t>
      </w:r>
      <w:r w:rsidR="001B633C" w:rsidRPr="00343BD4">
        <w:t>20</w:t>
      </w:r>
    </w:p>
    <w:p w:rsidR="0048364F" w:rsidRPr="00343BD4" w:rsidRDefault="0048364F" w:rsidP="0048364F"/>
    <w:p w:rsidR="006C5294" w:rsidRDefault="006C5294" w:rsidP="006C5294"/>
    <w:p w:rsidR="006C5294" w:rsidRDefault="006C5294" w:rsidP="006C5294"/>
    <w:p w:rsidR="006C5294" w:rsidRDefault="006C5294" w:rsidP="006C5294"/>
    <w:p w:rsidR="006C5294" w:rsidRDefault="006C5294" w:rsidP="006C5294"/>
    <w:p w:rsidR="0048364F" w:rsidRPr="00343BD4" w:rsidRDefault="006C5294" w:rsidP="0048364F">
      <w:pPr>
        <w:pStyle w:val="LongT"/>
      </w:pPr>
      <w:r>
        <w:t>An Act</w:t>
      </w:r>
      <w:r w:rsidR="0048364F" w:rsidRPr="00343BD4">
        <w:t xml:space="preserve"> to </w:t>
      </w:r>
      <w:r w:rsidR="00657D70" w:rsidRPr="00343BD4">
        <w:t>amend the law relat</w:t>
      </w:r>
      <w:bookmarkStart w:id="0" w:name="_GoBack"/>
      <w:bookmarkEnd w:id="0"/>
      <w:r w:rsidR="00657D70" w:rsidRPr="00343BD4">
        <w:t xml:space="preserve">ing to taxation and superannuation, </w:t>
      </w:r>
      <w:r w:rsidR="0048364F" w:rsidRPr="00343BD4">
        <w:t>and for related purposes</w:t>
      </w:r>
    </w:p>
    <w:p w:rsidR="0048364F" w:rsidRPr="00BE2E2D" w:rsidRDefault="0048364F" w:rsidP="0048364F">
      <w:pPr>
        <w:pStyle w:val="Header"/>
        <w:tabs>
          <w:tab w:val="clear" w:pos="4150"/>
          <w:tab w:val="clear" w:pos="8307"/>
        </w:tabs>
      </w:pPr>
      <w:r w:rsidRPr="00BE2E2D">
        <w:rPr>
          <w:rStyle w:val="CharAmSchNo"/>
        </w:rPr>
        <w:t xml:space="preserve"> </w:t>
      </w:r>
      <w:r w:rsidRPr="00BE2E2D">
        <w:rPr>
          <w:rStyle w:val="CharAmSchText"/>
        </w:rPr>
        <w:t xml:space="preserve"> </w:t>
      </w:r>
    </w:p>
    <w:p w:rsidR="0048364F" w:rsidRPr="00BE2E2D" w:rsidRDefault="0048364F" w:rsidP="0048364F">
      <w:pPr>
        <w:pStyle w:val="Header"/>
        <w:tabs>
          <w:tab w:val="clear" w:pos="4150"/>
          <w:tab w:val="clear" w:pos="8307"/>
        </w:tabs>
      </w:pPr>
      <w:r w:rsidRPr="00BE2E2D">
        <w:rPr>
          <w:rStyle w:val="CharAmPartNo"/>
        </w:rPr>
        <w:t xml:space="preserve"> </w:t>
      </w:r>
      <w:r w:rsidRPr="00BE2E2D">
        <w:rPr>
          <w:rStyle w:val="CharAmPartText"/>
        </w:rPr>
        <w:t xml:space="preserve"> </w:t>
      </w:r>
    </w:p>
    <w:p w:rsidR="0048364F" w:rsidRPr="00343BD4" w:rsidRDefault="0048364F" w:rsidP="0048364F">
      <w:pPr>
        <w:sectPr w:rsidR="0048364F" w:rsidRPr="00343BD4" w:rsidSect="006C529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43BD4" w:rsidRDefault="0048364F" w:rsidP="008D47D7">
      <w:pPr>
        <w:rPr>
          <w:sz w:val="36"/>
        </w:rPr>
      </w:pPr>
      <w:r w:rsidRPr="00343BD4">
        <w:rPr>
          <w:sz w:val="36"/>
        </w:rPr>
        <w:lastRenderedPageBreak/>
        <w:t>Contents</w:t>
      </w:r>
    </w:p>
    <w:bookmarkStart w:id="1" w:name="BKCheck15B_1"/>
    <w:bookmarkEnd w:id="1"/>
    <w:p w:rsidR="00110597" w:rsidRDefault="001105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10597">
        <w:rPr>
          <w:noProof/>
        </w:rPr>
        <w:tab/>
      </w:r>
      <w:r w:rsidRPr="00110597">
        <w:rPr>
          <w:noProof/>
        </w:rPr>
        <w:fldChar w:fldCharType="begin"/>
      </w:r>
      <w:r w:rsidRPr="00110597">
        <w:rPr>
          <w:noProof/>
        </w:rPr>
        <w:instrText xml:space="preserve"> PAGEREF _Toc41406737 \h </w:instrText>
      </w:r>
      <w:r w:rsidRPr="00110597">
        <w:rPr>
          <w:noProof/>
        </w:rPr>
      </w:r>
      <w:r w:rsidRPr="00110597">
        <w:rPr>
          <w:noProof/>
        </w:rPr>
        <w:fldChar w:fldCharType="separate"/>
      </w:r>
      <w:r w:rsidR="00F73A62">
        <w:rPr>
          <w:noProof/>
        </w:rPr>
        <w:t>1</w:t>
      </w:r>
      <w:r w:rsidRPr="00110597">
        <w:rPr>
          <w:noProof/>
        </w:rPr>
        <w:fldChar w:fldCharType="end"/>
      </w:r>
    </w:p>
    <w:p w:rsidR="00110597" w:rsidRDefault="00110597">
      <w:pPr>
        <w:pStyle w:val="TOC5"/>
        <w:rPr>
          <w:rFonts w:asciiTheme="minorHAnsi" w:eastAsiaTheme="minorEastAsia" w:hAnsiTheme="minorHAnsi" w:cstheme="minorBidi"/>
          <w:noProof/>
          <w:kern w:val="0"/>
          <w:sz w:val="22"/>
          <w:szCs w:val="22"/>
        </w:rPr>
      </w:pPr>
      <w:r>
        <w:rPr>
          <w:noProof/>
        </w:rPr>
        <w:t>2</w:t>
      </w:r>
      <w:r>
        <w:rPr>
          <w:noProof/>
        </w:rPr>
        <w:tab/>
        <w:t>Commencement</w:t>
      </w:r>
      <w:r w:rsidRPr="00110597">
        <w:rPr>
          <w:noProof/>
        </w:rPr>
        <w:tab/>
      </w:r>
      <w:r w:rsidRPr="00110597">
        <w:rPr>
          <w:noProof/>
        </w:rPr>
        <w:fldChar w:fldCharType="begin"/>
      </w:r>
      <w:r w:rsidRPr="00110597">
        <w:rPr>
          <w:noProof/>
        </w:rPr>
        <w:instrText xml:space="preserve"> PAGEREF _Toc41406738 \h </w:instrText>
      </w:r>
      <w:r w:rsidRPr="00110597">
        <w:rPr>
          <w:noProof/>
        </w:rPr>
      </w:r>
      <w:r w:rsidRPr="00110597">
        <w:rPr>
          <w:noProof/>
        </w:rPr>
        <w:fldChar w:fldCharType="separate"/>
      </w:r>
      <w:r w:rsidR="00F73A62">
        <w:rPr>
          <w:noProof/>
        </w:rPr>
        <w:t>2</w:t>
      </w:r>
      <w:r w:rsidRPr="00110597">
        <w:rPr>
          <w:noProof/>
        </w:rPr>
        <w:fldChar w:fldCharType="end"/>
      </w:r>
    </w:p>
    <w:p w:rsidR="00110597" w:rsidRDefault="00110597">
      <w:pPr>
        <w:pStyle w:val="TOC5"/>
        <w:rPr>
          <w:rFonts w:asciiTheme="minorHAnsi" w:eastAsiaTheme="minorEastAsia" w:hAnsiTheme="minorHAnsi" w:cstheme="minorBidi"/>
          <w:noProof/>
          <w:kern w:val="0"/>
          <w:sz w:val="22"/>
          <w:szCs w:val="22"/>
        </w:rPr>
      </w:pPr>
      <w:r>
        <w:rPr>
          <w:noProof/>
        </w:rPr>
        <w:t>3</w:t>
      </w:r>
      <w:r>
        <w:rPr>
          <w:noProof/>
        </w:rPr>
        <w:tab/>
        <w:t>Schedules</w:t>
      </w:r>
      <w:r w:rsidRPr="00110597">
        <w:rPr>
          <w:noProof/>
        </w:rPr>
        <w:tab/>
      </w:r>
      <w:r w:rsidRPr="00110597">
        <w:rPr>
          <w:noProof/>
        </w:rPr>
        <w:fldChar w:fldCharType="begin"/>
      </w:r>
      <w:r w:rsidRPr="00110597">
        <w:rPr>
          <w:noProof/>
        </w:rPr>
        <w:instrText xml:space="preserve"> PAGEREF _Toc41406739 \h </w:instrText>
      </w:r>
      <w:r w:rsidRPr="00110597">
        <w:rPr>
          <w:noProof/>
        </w:rPr>
      </w:r>
      <w:r w:rsidRPr="00110597">
        <w:rPr>
          <w:noProof/>
        </w:rPr>
        <w:fldChar w:fldCharType="separate"/>
      </w:r>
      <w:r w:rsidR="00F73A62">
        <w:rPr>
          <w:noProof/>
        </w:rPr>
        <w:t>2</w:t>
      </w:r>
      <w:r w:rsidRPr="00110597">
        <w:rPr>
          <w:noProof/>
        </w:rPr>
        <w:fldChar w:fldCharType="end"/>
      </w:r>
    </w:p>
    <w:p w:rsidR="00110597" w:rsidRDefault="00110597">
      <w:pPr>
        <w:pStyle w:val="TOC6"/>
        <w:rPr>
          <w:rFonts w:asciiTheme="minorHAnsi" w:eastAsiaTheme="minorEastAsia" w:hAnsiTheme="minorHAnsi" w:cstheme="minorBidi"/>
          <w:b w:val="0"/>
          <w:noProof/>
          <w:kern w:val="0"/>
          <w:sz w:val="22"/>
          <w:szCs w:val="22"/>
        </w:rPr>
      </w:pPr>
      <w:r>
        <w:rPr>
          <w:noProof/>
        </w:rPr>
        <w:t>Schedule 1—Significant global entities</w:t>
      </w:r>
      <w:r w:rsidRPr="00110597">
        <w:rPr>
          <w:b w:val="0"/>
          <w:noProof/>
          <w:sz w:val="18"/>
        </w:rPr>
        <w:tab/>
      </w:r>
      <w:r w:rsidRPr="00110597">
        <w:rPr>
          <w:b w:val="0"/>
          <w:noProof/>
          <w:sz w:val="18"/>
        </w:rPr>
        <w:fldChar w:fldCharType="begin"/>
      </w:r>
      <w:r w:rsidRPr="00110597">
        <w:rPr>
          <w:b w:val="0"/>
          <w:noProof/>
          <w:sz w:val="18"/>
        </w:rPr>
        <w:instrText xml:space="preserve"> PAGEREF _Toc41406740 \h </w:instrText>
      </w:r>
      <w:r w:rsidRPr="00110597">
        <w:rPr>
          <w:b w:val="0"/>
          <w:noProof/>
          <w:sz w:val="18"/>
        </w:rPr>
      </w:r>
      <w:r w:rsidRPr="00110597">
        <w:rPr>
          <w:b w:val="0"/>
          <w:noProof/>
          <w:sz w:val="18"/>
        </w:rPr>
        <w:fldChar w:fldCharType="separate"/>
      </w:r>
      <w:r w:rsidR="00F73A62">
        <w:rPr>
          <w:b w:val="0"/>
          <w:noProof/>
          <w:sz w:val="18"/>
        </w:rPr>
        <w:t>3</w:t>
      </w:r>
      <w:r w:rsidRPr="00110597">
        <w:rPr>
          <w:b w:val="0"/>
          <w:noProof/>
          <w:sz w:val="18"/>
        </w:rPr>
        <w:fldChar w:fldCharType="end"/>
      </w:r>
    </w:p>
    <w:p w:rsidR="00110597" w:rsidRDefault="00110597">
      <w:pPr>
        <w:pStyle w:val="TOC9"/>
        <w:rPr>
          <w:rFonts w:asciiTheme="minorHAnsi" w:eastAsiaTheme="minorEastAsia" w:hAnsiTheme="minorHAnsi" w:cstheme="minorBidi"/>
          <w:i w:val="0"/>
          <w:noProof/>
          <w:kern w:val="0"/>
          <w:sz w:val="22"/>
          <w:szCs w:val="22"/>
        </w:rPr>
      </w:pPr>
      <w:r>
        <w:rPr>
          <w:noProof/>
        </w:rPr>
        <w:t>Income Tax Assessment Act 1997</w:t>
      </w:r>
      <w:r w:rsidRPr="00110597">
        <w:rPr>
          <w:i w:val="0"/>
          <w:noProof/>
          <w:sz w:val="18"/>
        </w:rPr>
        <w:tab/>
      </w:r>
      <w:r w:rsidRPr="00110597">
        <w:rPr>
          <w:i w:val="0"/>
          <w:noProof/>
          <w:sz w:val="18"/>
        </w:rPr>
        <w:fldChar w:fldCharType="begin"/>
      </w:r>
      <w:r w:rsidRPr="00110597">
        <w:rPr>
          <w:i w:val="0"/>
          <w:noProof/>
          <w:sz w:val="18"/>
        </w:rPr>
        <w:instrText xml:space="preserve"> PAGEREF _Toc41406741 \h </w:instrText>
      </w:r>
      <w:r w:rsidRPr="00110597">
        <w:rPr>
          <w:i w:val="0"/>
          <w:noProof/>
          <w:sz w:val="18"/>
        </w:rPr>
      </w:r>
      <w:r w:rsidRPr="00110597">
        <w:rPr>
          <w:i w:val="0"/>
          <w:noProof/>
          <w:sz w:val="18"/>
        </w:rPr>
        <w:fldChar w:fldCharType="separate"/>
      </w:r>
      <w:r w:rsidR="00F73A62">
        <w:rPr>
          <w:i w:val="0"/>
          <w:noProof/>
          <w:sz w:val="18"/>
        </w:rPr>
        <w:t>3</w:t>
      </w:r>
      <w:r w:rsidRPr="00110597">
        <w:rPr>
          <w:i w:val="0"/>
          <w:noProof/>
          <w:sz w:val="18"/>
        </w:rPr>
        <w:fldChar w:fldCharType="end"/>
      </w:r>
    </w:p>
    <w:p w:rsidR="00110597" w:rsidRDefault="00110597">
      <w:pPr>
        <w:pStyle w:val="TOC9"/>
        <w:rPr>
          <w:rFonts w:asciiTheme="minorHAnsi" w:eastAsiaTheme="minorEastAsia" w:hAnsiTheme="minorHAnsi" w:cstheme="minorBidi"/>
          <w:i w:val="0"/>
          <w:noProof/>
          <w:kern w:val="0"/>
          <w:sz w:val="22"/>
          <w:szCs w:val="22"/>
        </w:rPr>
      </w:pPr>
      <w:r>
        <w:rPr>
          <w:noProof/>
        </w:rPr>
        <w:t>Taxation Administration Act 1953</w:t>
      </w:r>
      <w:r w:rsidRPr="00110597">
        <w:rPr>
          <w:i w:val="0"/>
          <w:noProof/>
          <w:sz w:val="18"/>
        </w:rPr>
        <w:tab/>
      </w:r>
      <w:r w:rsidRPr="00110597">
        <w:rPr>
          <w:i w:val="0"/>
          <w:noProof/>
          <w:sz w:val="18"/>
        </w:rPr>
        <w:fldChar w:fldCharType="begin"/>
      </w:r>
      <w:r w:rsidRPr="00110597">
        <w:rPr>
          <w:i w:val="0"/>
          <w:noProof/>
          <w:sz w:val="18"/>
        </w:rPr>
        <w:instrText xml:space="preserve"> PAGEREF _Toc41406747 \h </w:instrText>
      </w:r>
      <w:r w:rsidRPr="00110597">
        <w:rPr>
          <w:i w:val="0"/>
          <w:noProof/>
          <w:sz w:val="18"/>
        </w:rPr>
      </w:r>
      <w:r w:rsidRPr="00110597">
        <w:rPr>
          <w:i w:val="0"/>
          <w:noProof/>
          <w:sz w:val="18"/>
        </w:rPr>
        <w:fldChar w:fldCharType="separate"/>
      </w:r>
      <w:r w:rsidR="00F73A62">
        <w:rPr>
          <w:i w:val="0"/>
          <w:noProof/>
          <w:sz w:val="18"/>
        </w:rPr>
        <w:t>8</w:t>
      </w:r>
      <w:r w:rsidRPr="00110597">
        <w:rPr>
          <w:i w:val="0"/>
          <w:noProof/>
          <w:sz w:val="18"/>
        </w:rPr>
        <w:fldChar w:fldCharType="end"/>
      </w:r>
    </w:p>
    <w:p w:rsidR="00110597" w:rsidRDefault="00110597">
      <w:pPr>
        <w:pStyle w:val="TOC6"/>
        <w:rPr>
          <w:rFonts w:asciiTheme="minorHAnsi" w:eastAsiaTheme="minorEastAsia" w:hAnsiTheme="minorHAnsi" w:cstheme="minorBidi"/>
          <w:b w:val="0"/>
          <w:noProof/>
          <w:kern w:val="0"/>
          <w:sz w:val="22"/>
          <w:szCs w:val="22"/>
        </w:rPr>
      </w:pPr>
      <w:r>
        <w:rPr>
          <w:noProof/>
        </w:rPr>
        <w:t>Schedule 2—Merging superannuation funds</w:t>
      </w:r>
      <w:r w:rsidRPr="00110597">
        <w:rPr>
          <w:b w:val="0"/>
          <w:noProof/>
          <w:sz w:val="18"/>
        </w:rPr>
        <w:tab/>
      </w:r>
      <w:r w:rsidRPr="00110597">
        <w:rPr>
          <w:b w:val="0"/>
          <w:noProof/>
          <w:sz w:val="18"/>
        </w:rPr>
        <w:fldChar w:fldCharType="begin"/>
      </w:r>
      <w:r w:rsidRPr="00110597">
        <w:rPr>
          <w:b w:val="0"/>
          <w:noProof/>
          <w:sz w:val="18"/>
        </w:rPr>
        <w:instrText xml:space="preserve"> PAGEREF _Toc41406749 \h </w:instrText>
      </w:r>
      <w:r w:rsidRPr="00110597">
        <w:rPr>
          <w:b w:val="0"/>
          <w:noProof/>
          <w:sz w:val="18"/>
        </w:rPr>
      </w:r>
      <w:r w:rsidRPr="00110597">
        <w:rPr>
          <w:b w:val="0"/>
          <w:noProof/>
          <w:sz w:val="18"/>
        </w:rPr>
        <w:fldChar w:fldCharType="separate"/>
      </w:r>
      <w:r w:rsidR="00F73A62">
        <w:rPr>
          <w:b w:val="0"/>
          <w:noProof/>
          <w:sz w:val="18"/>
        </w:rPr>
        <w:t>11</w:t>
      </w:r>
      <w:r w:rsidRPr="00110597">
        <w:rPr>
          <w:b w:val="0"/>
          <w:noProof/>
          <w:sz w:val="18"/>
        </w:rPr>
        <w:fldChar w:fldCharType="end"/>
      </w:r>
    </w:p>
    <w:p w:rsidR="00110597" w:rsidRDefault="00110597">
      <w:pPr>
        <w:pStyle w:val="TOC9"/>
        <w:rPr>
          <w:rFonts w:asciiTheme="minorHAnsi" w:eastAsiaTheme="minorEastAsia" w:hAnsiTheme="minorHAnsi" w:cstheme="minorBidi"/>
          <w:i w:val="0"/>
          <w:noProof/>
          <w:kern w:val="0"/>
          <w:sz w:val="22"/>
          <w:szCs w:val="22"/>
        </w:rPr>
      </w:pPr>
      <w:r>
        <w:rPr>
          <w:noProof/>
        </w:rPr>
        <w:t>Income Tax Assessment Act 1997</w:t>
      </w:r>
      <w:r w:rsidRPr="00110597">
        <w:rPr>
          <w:i w:val="0"/>
          <w:noProof/>
          <w:sz w:val="18"/>
        </w:rPr>
        <w:tab/>
      </w:r>
      <w:r w:rsidRPr="00110597">
        <w:rPr>
          <w:i w:val="0"/>
          <w:noProof/>
          <w:sz w:val="18"/>
        </w:rPr>
        <w:fldChar w:fldCharType="begin"/>
      </w:r>
      <w:r w:rsidRPr="00110597">
        <w:rPr>
          <w:i w:val="0"/>
          <w:noProof/>
          <w:sz w:val="18"/>
        </w:rPr>
        <w:instrText xml:space="preserve"> PAGEREF _Toc41406750 \h </w:instrText>
      </w:r>
      <w:r w:rsidRPr="00110597">
        <w:rPr>
          <w:i w:val="0"/>
          <w:noProof/>
          <w:sz w:val="18"/>
        </w:rPr>
      </w:r>
      <w:r w:rsidRPr="00110597">
        <w:rPr>
          <w:i w:val="0"/>
          <w:noProof/>
          <w:sz w:val="18"/>
        </w:rPr>
        <w:fldChar w:fldCharType="separate"/>
      </w:r>
      <w:r w:rsidR="00F73A62">
        <w:rPr>
          <w:i w:val="0"/>
          <w:noProof/>
          <w:sz w:val="18"/>
        </w:rPr>
        <w:t>11</w:t>
      </w:r>
      <w:r w:rsidRPr="00110597">
        <w:rPr>
          <w:i w:val="0"/>
          <w:noProof/>
          <w:sz w:val="18"/>
        </w:rPr>
        <w:fldChar w:fldCharType="end"/>
      </w:r>
    </w:p>
    <w:p w:rsidR="00110597" w:rsidRDefault="00110597">
      <w:pPr>
        <w:pStyle w:val="TOC9"/>
        <w:rPr>
          <w:rFonts w:asciiTheme="minorHAnsi" w:eastAsiaTheme="minorEastAsia" w:hAnsiTheme="minorHAnsi" w:cstheme="minorBidi"/>
          <w:i w:val="0"/>
          <w:noProof/>
          <w:kern w:val="0"/>
          <w:sz w:val="22"/>
          <w:szCs w:val="22"/>
        </w:rPr>
      </w:pPr>
      <w:r>
        <w:rPr>
          <w:noProof/>
        </w:rPr>
        <w:t>Superannuation Laws Amendment (Capital Gains Tax Relief and Other Efficiency Measures) Act 2012</w:t>
      </w:r>
      <w:r w:rsidRPr="00110597">
        <w:rPr>
          <w:i w:val="0"/>
          <w:noProof/>
          <w:sz w:val="18"/>
        </w:rPr>
        <w:tab/>
      </w:r>
      <w:r w:rsidRPr="00110597">
        <w:rPr>
          <w:i w:val="0"/>
          <w:noProof/>
          <w:sz w:val="18"/>
        </w:rPr>
        <w:fldChar w:fldCharType="begin"/>
      </w:r>
      <w:r w:rsidRPr="00110597">
        <w:rPr>
          <w:i w:val="0"/>
          <w:noProof/>
          <w:sz w:val="18"/>
        </w:rPr>
        <w:instrText xml:space="preserve"> PAGEREF _Toc41406751 \h </w:instrText>
      </w:r>
      <w:r w:rsidRPr="00110597">
        <w:rPr>
          <w:i w:val="0"/>
          <w:noProof/>
          <w:sz w:val="18"/>
        </w:rPr>
      </w:r>
      <w:r w:rsidRPr="00110597">
        <w:rPr>
          <w:i w:val="0"/>
          <w:noProof/>
          <w:sz w:val="18"/>
        </w:rPr>
        <w:fldChar w:fldCharType="separate"/>
      </w:r>
      <w:r w:rsidR="00F73A62">
        <w:rPr>
          <w:i w:val="0"/>
          <w:noProof/>
          <w:sz w:val="18"/>
        </w:rPr>
        <w:t>11</w:t>
      </w:r>
      <w:r w:rsidRPr="00110597">
        <w:rPr>
          <w:i w:val="0"/>
          <w:noProof/>
          <w:sz w:val="18"/>
        </w:rPr>
        <w:fldChar w:fldCharType="end"/>
      </w:r>
    </w:p>
    <w:p w:rsidR="00110597" w:rsidRDefault="00110597">
      <w:pPr>
        <w:pStyle w:val="TOC9"/>
        <w:rPr>
          <w:rFonts w:asciiTheme="minorHAnsi" w:eastAsiaTheme="minorEastAsia" w:hAnsiTheme="minorHAnsi" w:cstheme="minorBidi"/>
          <w:i w:val="0"/>
          <w:noProof/>
          <w:kern w:val="0"/>
          <w:sz w:val="22"/>
          <w:szCs w:val="22"/>
        </w:rPr>
      </w:pPr>
      <w:r>
        <w:rPr>
          <w:noProof/>
        </w:rPr>
        <w:t>Tax Laws Amendment (2009 Measures No. 6) Act 2010</w:t>
      </w:r>
      <w:r w:rsidRPr="00110597">
        <w:rPr>
          <w:i w:val="0"/>
          <w:noProof/>
          <w:sz w:val="18"/>
        </w:rPr>
        <w:tab/>
      </w:r>
      <w:r w:rsidRPr="00110597">
        <w:rPr>
          <w:i w:val="0"/>
          <w:noProof/>
          <w:sz w:val="18"/>
        </w:rPr>
        <w:fldChar w:fldCharType="begin"/>
      </w:r>
      <w:r w:rsidRPr="00110597">
        <w:rPr>
          <w:i w:val="0"/>
          <w:noProof/>
          <w:sz w:val="18"/>
        </w:rPr>
        <w:instrText xml:space="preserve"> PAGEREF _Toc41406752 \h </w:instrText>
      </w:r>
      <w:r w:rsidRPr="00110597">
        <w:rPr>
          <w:i w:val="0"/>
          <w:noProof/>
          <w:sz w:val="18"/>
        </w:rPr>
      </w:r>
      <w:r w:rsidRPr="00110597">
        <w:rPr>
          <w:i w:val="0"/>
          <w:noProof/>
          <w:sz w:val="18"/>
        </w:rPr>
        <w:fldChar w:fldCharType="separate"/>
      </w:r>
      <w:r w:rsidR="00F73A62">
        <w:rPr>
          <w:i w:val="0"/>
          <w:noProof/>
          <w:sz w:val="18"/>
        </w:rPr>
        <w:t>11</w:t>
      </w:r>
      <w:r w:rsidRPr="00110597">
        <w:rPr>
          <w:i w:val="0"/>
          <w:noProof/>
          <w:sz w:val="18"/>
        </w:rPr>
        <w:fldChar w:fldCharType="end"/>
      </w:r>
    </w:p>
    <w:p w:rsidR="00055B5C" w:rsidRPr="00343BD4" w:rsidRDefault="00110597" w:rsidP="0048364F">
      <w:r>
        <w:fldChar w:fldCharType="end"/>
      </w:r>
    </w:p>
    <w:p w:rsidR="00060FF9" w:rsidRPr="00343BD4" w:rsidRDefault="00060FF9" w:rsidP="0048364F"/>
    <w:p w:rsidR="00FE7F93" w:rsidRPr="00343BD4" w:rsidRDefault="00FE7F93" w:rsidP="0048364F">
      <w:pPr>
        <w:sectPr w:rsidR="00FE7F93" w:rsidRPr="00343BD4" w:rsidSect="006C529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C5294" w:rsidRDefault="006C529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52019723" r:id="rId21"/>
        </w:object>
      </w:r>
    </w:p>
    <w:p w:rsidR="006C5294" w:rsidRDefault="006C5294"/>
    <w:p w:rsidR="006C5294" w:rsidRDefault="006C5294" w:rsidP="006C5294">
      <w:pPr>
        <w:spacing w:line="240" w:lineRule="auto"/>
      </w:pPr>
    </w:p>
    <w:p w:rsidR="006C5294" w:rsidRDefault="00F73A62" w:rsidP="006C5294">
      <w:pPr>
        <w:pStyle w:val="ShortTP1"/>
      </w:pPr>
      <w:r>
        <w:fldChar w:fldCharType="begin"/>
      </w:r>
      <w:r>
        <w:instrText xml:space="preserve"> STYLEREF ShortT </w:instrText>
      </w:r>
      <w:r>
        <w:fldChar w:fldCharType="separate"/>
      </w:r>
      <w:r>
        <w:rPr>
          <w:noProof/>
        </w:rPr>
        <w:t>Treasury Laws Amendment (2020 Measures No. 1) Act 2020</w:t>
      </w:r>
      <w:r>
        <w:rPr>
          <w:noProof/>
        </w:rPr>
        <w:fldChar w:fldCharType="end"/>
      </w:r>
    </w:p>
    <w:p w:rsidR="006C5294" w:rsidRDefault="00F73A62" w:rsidP="006C5294">
      <w:pPr>
        <w:pStyle w:val="ActNoP1"/>
      </w:pPr>
      <w:r>
        <w:fldChar w:fldCharType="begin"/>
      </w:r>
      <w:r>
        <w:instrText xml:space="preserve"> STYLEREF Actno </w:instrText>
      </w:r>
      <w:r>
        <w:fldChar w:fldCharType="separate"/>
      </w:r>
      <w:r>
        <w:rPr>
          <w:noProof/>
        </w:rPr>
        <w:t>No. 49, 2020</w:t>
      </w:r>
      <w:r>
        <w:rPr>
          <w:noProof/>
        </w:rPr>
        <w:fldChar w:fldCharType="end"/>
      </w:r>
    </w:p>
    <w:p w:rsidR="006C5294" w:rsidRPr="009A0728" w:rsidRDefault="006C5294" w:rsidP="009A0728">
      <w:pPr>
        <w:pBdr>
          <w:bottom w:val="single" w:sz="6" w:space="0" w:color="auto"/>
        </w:pBdr>
        <w:spacing w:before="400" w:line="240" w:lineRule="auto"/>
        <w:rPr>
          <w:rFonts w:eastAsia="Times New Roman"/>
          <w:b/>
          <w:sz w:val="28"/>
        </w:rPr>
      </w:pPr>
    </w:p>
    <w:p w:rsidR="006C5294" w:rsidRPr="009A0728" w:rsidRDefault="006C5294" w:rsidP="009A0728">
      <w:pPr>
        <w:spacing w:line="40" w:lineRule="exact"/>
        <w:rPr>
          <w:rFonts w:eastAsia="Calibri"/>
          <w:b/>
          <w:sz w:val="28"/>
        </w:rPr>
      </w:pPr>
    </w:p>
    <w:p w:rsidR="006C5294" w:rsidRPr="009A0728" w:rsidRDefault="006C5294" w:rsidP="009A0728">
      <w:pPr>
        <w:pBdr>
          <w:top w:val="single" w:sz="12" w:space="0" w:color="auto"/>
        </w:pBdr>
        <w:spacing w:line="240" w:lineRule="auto"/>
        <w:rPr>
          <w:rFonts w:eastAsia="Times New Roman"/>
          <w:b/>
          <w:sz w:val="28"/>
        </w:rPr>
      </w:pPr>
    </w:p>
    <w:p w:rsidR="0048364F" w:rsidRPr="00343BD4" w:rsidRDefault="006C5294" w:rsidP="00BE2E2D">
      <w:pPr>
        <w:pStyle w:val="Page1"/>
      </w:pPr>
      <w:r>
        <w:t>An Act</w:t>
      </w:r>
      <w:r w:rsidR="00BE2E2D" w:rsidRPr="00343BD4">
        <w:t xml:space="preserve"> to amend the law relating to taxation and superannuation, and for related purposes</w:t>
      </w:r>
    </w:p>
    <w:p w:rsidR="00110597" w:rsidRPr="00110597" w:rsidRDefault="00110597" w:rsidP="00110597">
      <w:pPr>
        <w:pStyle w:val="AssentDt"/>
        <w:spacing w:before="240"/>
        <w:rPr>
          <w:sz w:val="24"/>
        </w:rPr>
      </w:pPr>
      <w:r>
        <w:rPr>
          <w:sz w:val="24"/>
        </w:rPr>
        <w:t>[</w:t>
      </w:r>
      <w:r>
        <w:rPr>
          <w:i/>
          <w:sz w:val="24"/>
        </w:rPr>
        <w:t>Assented to 25 May 2020</w:t>
      </w:r>
      <w:r>
        <w:rPr>
          <w:sz w:val="24"/>
        </w:rPr>
        <w:t>]</w:t>
      </w:r>
    </w:p>
    <w:p w:rsidR="0048364F" w:rsidRPr="00343BD4" w:rsidRDefault="0048364F" w:rsidP="00343BD4">
      <w:pPr>
        <w:spacing w:before="240" w:line="240" w:lineRule="auto"/>
        <w:rPr>
          <w:sz w:val="32"/>
        </w:rPr>
      </w:pPr>
      <w:r w:rsidRPr="00343BD4">
        <w:rPr>
          <w:sz w:val="32"/>
        </w:rPr>
        <w:t>The Parliament of Australia enacts:</w:t>
      </w:r>
    </w:p>
    <w:p w:rsidR="0048364F" w:rsidRPr="00343BD4" w:rsidRDefault="0048364F" w:rsidP="00343BD4">
      <w:pPr>
        <w:pStyle w:val="ActHead5"/>
      </w:pPr>
      <w:bookmarkStart w:id="2" w:name="_Toc41406737"/>
      <w:r w:rsidRPr="00BE2E2D">
        <w:rPr>
          <w:rStyle w:val="CharSectno"/>
        </w:rPr>
        <w:t>1</w:t>
      </w:r>
      <w:r w:rsidRPr="00343BD4">
        <w:t xml:space="preserve">  Short title</w:t>
      </w:r>
      <w:bookmarkEnd w:id="2"/>
    </w:p>
    <w:p w:rsidR="0048364F" w:rsidRPr="00343BD4" w:rsidRDefault="0048364F" w:rsidP="00343BD4">
      <w:pPr>
        <w:pStyle w:val="subsection"/>
      </w:pPr>
      <w:r w:rsidRPr="00343BD4">
        <w:tab/>
      </w:r>
      <w:r w:rsidRPr="00343BD4">
        <w:tab/>
        <w:t xml:space="preserve">This Act </w:t>
      </w:r>
      <w:r w:rsidR="00275197" w:rsidRPr="00343BD4">
        <w:t xml:space="preserve">is </w:t>
      </w:r>
      <w:r w:rsidRPr="00343BD4">
        <w:t xml:space="preserve">the </w:t>
      </w:r>
      <w:r w:rsidR="002A7CE4" w:rsidRPr="00343BD4">
        <w:rPr>
          <w:i/>
        </w:rPr>
        <w:t>Treasury</w:t>
      </w:r>
      <w:bookmarkStart w:id="3" w:name="BK_S3P1L20C27"/>
      <w:bookmarkEnd w:id="3"/>
      <w:r w:rsidR="002A7CE4" w:rsidRPr="00343BD4">
        <w:rPr>
          <w:i/>
        </w:rPr>
        <w:t xml:space="preserve"> Laws Amendment (2020 Measures No.</w:t>
      </w:r>
      <w:r w:rsidR="00343BD4" w:rsidRPr="00343BD4">
        <w:rPr>
          <w:i/>
        </w:rPr>
        <w:t> </w:t>
      </w:r>
      <w:r w:rsidR="002A7CE4" w:rsidRPr="00343BD4">
        <w:rPr>
          <w:i/>
        </w:rPr>
        <w:t xml:space="preserve">1) </w:t>
      </w:r>
      <w:r w:rsidR="00EE3E36" w:rsidRPr="00343BD4">
        <w:rPr>
          <w:i/>
        </w:rPr>
        <w:t>Act 20</w:t>
      </w:r>
      <w:r w:rsidR="001B633C" w:rsidRPr="00343BD4">
        <w:rPr>
          <w:i/>
        </w:rPr>
        <w:t>20</w:t>
      </w:r>
      <w:r w:rsidRPr="00343BD4">
        <w:t>.</w:t>
      </w:r>
    </w:p>
    <w:p w:rsidR="0048364F" w:rsidRPr="00343BD4" w:rsidRDefault="0048364F" w:rsidP="00343BD4">
      <w:pPr>
        <w:pStyle w:val="ActHead5"/>
      </w:pPr>
      <w:bookmarkStart w:id="4" w:name="_Toc41406738"/>
      <w:r w:rsidRPr="00BE2E2D">
        <w:rPr>
          <w:rStyle w:val="CharSectno"/>
        </w:rPr>
        <w:lastRenderedPageBreak/>
        <w:t>2</w:t>
      </w:r>
      <w:r w:rsidRPr="00343BD4">
        <w:t xml:space="preserve">  Commencement</w:t>
      </w:r>
      <w:bookmarkEnd w:id="4"/>
    </w:p>
    <w:p w:rsidR="0048364F" w:rsidRPr="00343BD4" w:rsidRDefault="0048364F" w:rsidP="00343BD4">
      <w:pPr>
        <w:pStyle w:val="subsection"/>
      </w:pPr>
      <w:r w:rsidRPr="00343BD4">
        <w:tab/>
        <w:t>(1)</w:t>
      </w:r>
      <w:r w:rsidRPr="00343BD4">
        <w:tab/>
        <w:t>Each provision of this Act specified in column 1 of the table commences, or is taken to have commenced, in accordance with column 2 of the table. Any other statement in column 2 has effect according to its terms.</w:t>
      </w:r>
    </w:p>
    <w:p w:rsidR="0048364F" w:rsidRPr="00343BD4" w:rsidRDefault="0048364F" w:rsidP="00343BD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43BD4" w:rsidTr="0084762C">
        <w:trPr>
          <w:tblHeader/>
        </w:trPr>
        <w:tc>
          <w:tcPr>
            <w:tcW w:w="7111" w:type="dxa"/>
            <w:gridSpan w:val="3"/>
            <w:tcBorders>
              <w:top w:val="single" w:sz="12" w:space="0" w:color="auto"/>
              <w:bottom w:val="single" w:sz="6" w:space="0" w:color="auto"/>
            </w:tcBorders>
            <w:shd w:val="clear" w:color="auto" w:fill="auto"/>
          </w:tcPr>
          <w:p w:rsidR="0048364F" w:rsidRPr="00343BD4" w:rsidRDefault="0048364F" w:rsidP="00343BD4">
            <w:pPr>
              <w:pStyle w:val="TableHeading"/>
            </w:pPr>
            <w:r w:rsidRPr="00343BD4">
              <w:t>Commencement information</w:t>
            </w:r>
          </w:p>
        </w:tc>
      </w:tr>
      <w:tr w:rsidR="0048364F" w:rsidRPr="00343BD4" w:rsidTr="0084762C">
        <w:trPr>
          <w:tblHeader/>
        </w:trPr>
        <w:tc>
          <w:tcPr>
            <w:tcW w:w="1701" w:type="dxa"/>
            <w:tcBorders>
              <w:top w:val="single" w:sz="6" w:space="0" w:color="auto"/>
              <w:bottom w:val="single" w:sz="6" w:space="0" w:color="auto"/>
            </w:tcBorders>
            <w:shd w:val="clear" w:color="auto" w:fill="auto"/>
          </w:tcPr>
          <w:p w:rsidR="0048364F" w:rsidRPr="00343BD4" w:rsidRDefault="0048364F" w:rsidP="00343BD4">
            <w:pPr>
              <w:pStyle w:val="TableHeading"/>
            </w:pPr>
            <w:r w:rsidRPr="00343BD4">
              <w:t>Column 1</w:t>
            </w:r>
          </w:p>
        </w:tc>
        <w:tc>
          <w:tcPr>
            <w:tcW w:w="3828" w:type="dxa"/>
            <w:tcBorders>
              <w:top w:val="single" w:sz="6" w:space="0" w:color="auto"/>
              <w:bottom w:val="single" w:sz="6" w:space="0" w:color="auto"/>
            </w:tcBorders>
            <w:shd w:val="clear" w:color="auto" w:fill="auto"/>
          </w:tcPr>
          <w:p w:rsidR="0048364F" w:rsidRPr="00343BD4" w:rsidRDefault="0048364F" w:rsidP="00343BD4">
            <w:pPr>
              <w:pStyle w:val="TableHeading"/>
            </w:pPr>
            <w:r w:rsidRPr="00343BD4">
              <w:t>Column 2</w:t>
            </w:r>
          </w:p>
        </w:tc>
        <w:tc>
          <w:tcPr>
            <w:tcW w:w="1582" w:type="dxa"/>
            <w:tcBorders>
              <w:top w:val="single" w:sz="6" w:space="0" w:color="auto"/>
              <w:bottom w:val="single" w:sz="6" w:space="0" w:color="auto"/>
            </w:tcBorders>
            <w:shd w:val="clear" w:color="auto" w:fill="auto"/>
          </w:tcPr>
          <w:p w:rsidR="0048364F" w:rsidRPr="00343BD4" w:rsidRDefault="0048364F" w:rsidP="00343BD4">
            <w:pPr>
              <w:pStyle w:val="TableHeading"/>
            </w:pPr>
            <w:r w:rsidRPr="00343BD4">
              <w:t>Column 3</w:t>
            </w:r>
          </w:p>
        </w:tc>
      </w:tr>
      <w:tr w:rsidR="0048364F" w:rsidRPr="00343BD4" w:rsidTr="0084762C">
        <w:trPr>
          <w:tblHeader/>
        </w:trPr>
        <w:tc>
          <w:tcPr>
            <w:tcW w:w="1701" w:type="dxa"/>
            <w:tcBorders>
              <w:top w:val="single" w:sz="6" w:space="0" w:color="auto"/>
              <w:bottom w:val="single" w:sz="12" w:space="0" w:color="auto"/>
            </w:tcBorders>
            <w:shd w:val="clear" w:color="auto" w:fill="auto"/>
          </w:tcPr>
          <w:p w:rsidR="0048364F" w:rsidRPr="00343BD4" w:rsidRDefault="0048364F" w:rsidP="00343BD4">
            <w:pPr>
              <w:pStyle w:val="TableHeading"/>
            </w:pPr>
            <w:r w:rsidRPr="00343BD4">
              <w:t>Provisions</w:t>
            </w:r>
          </w:p>
        </w:tc>
        <w:tc>
          <w:tcPr>
            <w:tcW w:w="3828" w:type="dxa"/>
            <w:tcBorders>
              <w:top w:val="single" w:sz="6" w:space="0" w:color="auto"/>
              <w:bottom w:val="single" w:sz="12" w:space="0" w:color="auto"/>
            </w:tcBorders>
            <w:shd w:val="clear" w:color="auto" w:fill="auto"/>
          </w:tcPr>
          <w:p w:rsidR="0048364F" w:rsidRPr="00343BD4" w:rsidRDefault="0048364F" w:rsidP="00343BD4">
            <w:pPr>
              <w:pStyle w:val="TableHeading"/>
            </w:pPr>
            <w:r w:rsidRPr="00343BD4">
              <w:t>Commencement</w:t>
            </w:r>
          </w:p>
        </w:tc>
        <w:tc>
          <w:tcPr>
            <w:tcW w:w="1582" w:type="dxa"/>
            <w:tcBorders>
              <w:top w:val="single" w:sz="6" w:space="0" w:color="auto"/>
              <w:bottom w:val="single" w:sz="12" w:space="0" w:color="auto"/>
            </w:tcBorders>
            <w:shd w:val="clear" w:color="auto" w:fill="auto"/>
          </w:tcPr>
          <w:p w:rsidR="0048364F" w:rsidRPr="00343BD4" w:rsidRDefault="0048364F" w:rsidP="00343BD4">
            <w:pPr>
              <w:pStyle w:val="TableHeading"/>
            </w:pPr>
            <w:r w:rsidRPr="00343BD4">
              <w:t>Date/Details</w:t>
            </w:r>
          </w:p>
        </w:tc>
      </w:tr>
      <w:tr w:rsidR="0048364F" w:rsidRPr="00343BD4" w:rsidTr="0084762C">
        <w:tc>
          <w:tcPr>
            <w:tcW w:w="1701" w:type="dxa"/>
            <w:tcBorders>
              <w:top w:val="single" w:sz="12" w:space="0" w:color="auto"/>
              <w:bottom w:val="single" w:sz="12" w:space="0" w:color="auto"/>
            </w:tcBorders>
            <w:shd w:val="clear" w:color="auto" w:fill="auto"/>
          </w:tcPr>
          <w:p w:rsidR="0048364F" w:rsidRPr="00343BD4" w:rsidRDefault="0084762C" w:rsidP="00343BD4">
            <w:pPr>
              <w:pStyle w:val="Tabletext"/>
            </w:pPr>
            <w:r w:rsidRPr="00343BD4">
              <w:t>1.  The whole of this Act</w:t>
            </w:r>
          </w:p>
        </w:tc>
        <w:tc>
          <w:tcPr>
            <w:tcW w:w="3828" w:type="dxa"/>
            <w:tcBorders>
              <w:top w:val="single" w:sz="12" w:space="0" w:color="auto"/>
              <w:bottom w:val="single" w:sz="12" w:space="0" w:color="auto"/>
            </w:tcBorders>
            <w:shd w:val="clear" w:color="auto" w:fill="auto"/>
          </w:tcPr>
          <w:p w:rsidR="0048364F" w:rsidRPr="00343BD4" w:rsidRDefault="0084762C" w:rsidP="00343BD4">
            <w:pPr>
              <w:pStyle w:val="Tabletext"/>
            </w:pPr>
            <w:r w:rsidRPr="00343BD4">
              <w:t>The first 1</w:t>
            </w:r>
            <w:r w:rsidR="00343BD4" w:rsidRPr="00343BD4">
              <w:t> </w:t>
            </w:r>
            <w:r w:rsidRPr="00343BD4">
              <w:t>January, 1</w:t>
            </w:r>
            <w:r w:rsidR="00343BD4" w:rsidRPr="00343BD4">
              <w:t> </w:t>
            </w:r>
            <w:r w:rsidRPr="00343BD4">
              <w:t>April, 1</w:t>
            </w:r>
            <w:r w:rsidR="00343BD4" w:rsidRPr="00343BD4">
              <w:t> </w:t>
            </w:r>
            <w:r w:rsidRPr="00343BD4">
              <w:t>July or 1</w:t>
            </w:r>
            <w:r w:rsidR="00343BD4" w:rsidRPr="00343BD4">
              <w:t> </w:t>
            </w:r>
            <w:r w:rsidRPr="00343BD4">
              <w:t>October to occur after the day this Act receives the Royal Assent</w:t>
            </w:r>
            <w:bookmarkStart w:id="5" w:name="BK_S3P2L3C26"/>
            <w:bookmarkEnd w:id="5"/>
            <w:r w:rsidRPr="00343BD4">
              <w:t>.</w:t>
            </w:r>
          </w:p>
        </w:tc>
        <w:tc>
          <w:tcPr>
            <w:tcW w:w="1582" w:type="dxa"/>
            <w:tcBorders>
              <w:top w:val="single" w:sz="12" w:space="0" w:color="auto"/>
              <w:bottom w:val="single" w:sz="12" w:space="0" w:color="auto"/>
            </w:tcBorders>
            <w:shd w:val="clear" w:color="auto" w:fill="auto"/>
          </w:tcPr>
          <w:p w:rsidR="0048364F" w:rsidRPr="00343BD4" w:rsidRDefault="00110597" w:rsidP="00343BD4">
            <w:pPr>
              <w:pStyle w:val="Tabletext"/>
            </w:pPr>
            <w:r>
              <w:t>1 July 2020</w:t>
            </w:r>
          </w:p>
        </w:tc>
      </w:tr>
    </w:tbl>
    <w:p w:rsidR="0048364F" w:rsidRPr="00343BD4" w:rsidRDefault="00201D27" w:rsidP="00343BD4">
      <w:pPr>
        <w:pStyle w:val="notetext"/>
      </w:pPr>
      <w:r w:rsidRPr="00343BD4">
        <w:t>Note:</w:t>
      </w:r>
      <w:r w:rsidRPr="00343BD4">
        <w:tab/>
        <w:t>This table relates only to the provisions of this Act as originally enacted. It will not be amended to deal with any later amendments of this Act.</w:t>
      </w:r>
    </w:p>
    <w:p w:rsidR="0048364F" w:rsidRPr="00343BD4" w:rsidRDefault="0048364F" w:rsidP="00343BD4">
      <w:pPr>
        <w:pStyle w:val="subsection"/>
      </w:pPr>
      <w:r w:rsidRPr="00343BD4">
        <w:tab/>
        <w:t>(2)</w:t>
      </w:r>
      <w:r w:rsidRPr="00343BD4">
        <w:tab/>
      </w:r>
      <w:r w:rsidR="00201D27" w:rsidRPr="00343BD4">
        <w:t xml:space="preserve">Any information in </w:t>
      </w:r>
      <w:r w:rsidR="00877D48" w:rsidRPr="00343BD4">
        <w:t>c</w:t>
      </w:r>
      <w:r w:rsidR="00201D27" w:rsidRPr="00343BD4">
        <w:t>olumn 3 of the table is not part of this Act. Information may be inserted in this column, or information in it may be edited, in any published version of this Act.</w:t>
      </w:r>
    </w:p>
    <w:p w:rsidR="0048364F" w:rsidRPr="00343BD4" w:rsidRDefault="0048364F" w:rsidP="00343BD4">
      <w:pPr>
        <w:pStyle w:val="ActHead5"/>
      </w:pPr>
      <w:bookmarkStart w:id="6" w:name="_Toc41406739"/>
      <w:r w:rsidRPr="00BE2E2D">
        <w:rPr>
          <w:rStyle w:val="CharSectno"/>
        </w:rPr>
        <w:t>3</w:t>
      </w:r>
      <w:r w:rsidRPr="00343BD4">
        <w:t xml:space="preserve">  Schedules</w:t>
      </w:r>
      <w:bookmarkEnd w:id="6"/>
    </w:p>
    <w:p w:rsidR="0048364F" w:rsidRPr="00343BD4" w:rsidRDefault="0048364F" w:rsidP="00343BD4">
      <w:pPr>
        <w:pStyle w:val="subsection"/>
      </w:pPr>
      <w:r w:rsidRPr="00343BD4">
        <w:tab/>
      </w:r>
      <w:r w:rsidRPr="00343BD4">
        <w:tab/>
      </w:r>
      <w:r w:rsidR="00202618" w:rsidRPr="00343BD4">
        <w:t>Legislation that is specified in a Schedule to this Act is amended or repealed as set out in the applicable items in the Schedule concerned, and any other item in a Schedule to this Act has effect according to its terms.</w:t>
      </w:r>
    </w:p>
    <w:p w:rsidR="008D3E94" w:rsidRPr="00343BD4" w:rsidRDefault="0048364F" w:rsidP="00343BD4">
      <w:pPr>
        <w:pStyle w:val="ActHead6"/>
        <w:pageBreakBefore/>
      </w:pPr>
      <w:bookmarkStart w:id="7" w:name="_Toc41406740"/>
      <w:bookmarkStart w:id="8" w:name="opcAmSched"/>
      <w:r w:rsidRPr="00BE2E2D">
        <w:rPr>
          <w:rStyle w:val="CharAmSchNo"/>
        </w:rPr>
        <w:lastRenderedPageBreak/>
        <w:t>Schedule</w:t>
      </w:r>
      <w:r w:rsidR="00343BD4" w:rsidRPr="00BE2E2D">
        <w:rPr>
          <w:rStyle w:val="CharAmSchNo"/>
        </w:rPr>
        <w:t> </w:t>
      </w:r>
      <w:r w:rsidRPr="00BE2E2D">
        <w:rPr>
          <w:rStyle w:val="CharAmSchNo"/>
        </w:rPr>
        <w:t>1</w:t>
      </w:r>
      <w:r w:rsidRPr="00343BD4">
        <w:t>—</w:t>
      </w:r>
      <w:r w:rsidR="0084393D" w:rsidRPr="00BE2E2D">
        <w:rPr>
          <w:rStyle w:val="CharAmSchText"/>
        </w:rPr>
        <w:t>Significant global entities</w:t>
      </w:r>
      <w:bookmarkEnd w:id="7"/>
    </w:p>
    <w:bookmarkEnd w:id="8"/>
    <w:p w:rsidR="0084393D" w:rsidRPr="00BE2E2D" w:rsidRDefault="0084393D" w:rsidP="00343BD4">
      <w:pPr>
        <w:pStyle w:val="Header"/>
      </w:pPr>
      <w:r w:rsidRPr="00BE2E2D">
        <w:rPr>
          <w:rStyle w:val="CharAmPartNo"/>
        </w:rPr>
        <w:t xml:space="preserve"> </w:t>
      </w:r>
      <w:r w:rsidRPr="00BE2E2D">
        <w:rPr>
          <w:rStyle w:val="CharAmPartText"/>
        </w:rPr>
        <w:t xml:space="preserve"> </w:t>
      </w:r>
    </w:p>
    <w:p w:rsidR="0084393D" w:rsidRPr="00343BD4" w:rsidRDefault="0084393D" w:rsidP="00343BD4">
      <w:pPr>
        <w:pStyle w:val="ActHead9"/>
        <w:rPr>
          <w:i w:val="0"/>
        </w:rPr>
      </w:pPr>
      <w:bookmarkStart w:id="9" w:name="_Toc41406741"/>
      <w:r w:rsidRPr="00343BD4">
        <w:t>Income Tax</w:t>
      </w:r>
      <w:bookmarkStart w:id="10" w:name="BK_S3P3L3C11"/>
      <w:bookmarkEnd w:id="10"/>
      <w:r w:rsidRPr="00343BD4">
        <w:t xml:space="preserve"> Assessment Act 1997</w:t>
      </w:r>
      <w:bookmarkStart w:id="11" w:name="BK_S3P3L3C31"/>
      <w:bookmarkEnd w:id="11"/>
      <w:bookmarkEnd w:id="9"/>
    </w:p>
    <w:p w:rsidR="0084393D" w:rsidRPr="00343BD4" w:rsidRDefault="00C63933" w:rsidP="00343BD4">
      <w:pPr>
        <w:pStyle w:val="ItemHead"/>
      </w:pPr>
      <w:r w:rsidRPr="00343BD4">
        <w:t>1</w:t>
      </w:r>
      <w:r w:rsidR="0084393D" w:rsidRPr="00343BD4">
        <w:t xml:space="preserve">  Subdivision</w:t>
      </w:r>
      <w:r w:rsidR="00343BD4" w:rsidRPr="00343BD4">
        <w:t> </w:t>
      </w:r>
      <w:r w:rsidR="0084393D" w:rsidRPr="00343BD4">
        <w:t>815</w:t>
      </w:r>
      <w:r w:rsidR="00DB3488">
        <w:noBreakHyphen/>
      </w:r>
      <w:r w:rsidR="0084393D" w:rsidRPr="00343BD4">
        <w:t>E (heading)</w:t>
      </w:r>
    </w:p>
    <w:p w:rsidR="0084393D" w:rsidRPr="00343BD4" w:rsidRDefault="0084393D" w:rsidP="00343BD4">
      <w:pPr>
        <w:pStyle w:val="Item"/>
      </w:pPr>
      <w:r w:rsidRPr="00343BD4">
        <w:t>Repeal the heading, substitute:</w:t>
      </w:r>
    </w:p>
    <w:p w:rsidR="0084393D" w:rsidRPr="00343BD4" w:rsidRDefault="0084393D" w:rsidP="00343BD4">
      <w:pPr>
        <w:pStyle w:val="ActHead4"/>
      </w:pPr>
      <w:bookmarkStart w:id="12" w:name="_Toc41406742"/>
      <w:r w:rsidRPr="00BE2E2D">
        <w:rPr>
          <w:rStyle w:val="CharSubdNo"/>
        </w:rPr>
        <w:t>Subdivision</w:t>
      </w:r>
      <w:r w:rsidR="00343BD4" w:rsidRPr="00BE2E2D">
        <w:rPr>
          <w:rStyle w:val="CharSubdNo"/>
        </w:rPr>
        <w:t> </w:t>
      </w:r>
      <w:r w:rsidRPr="00BE2E2D">
        <w:rPr>
          <w:rStyle w:val="CharSubdNo"/>
        </w:rPr>
        <w:t>815</w:t>
      </w:r>
      <w:r w:rsidR="00DB3488">
        <w:rPr>
          <w:rStyle w:val="CharSubdNo"/>
        </w:rPr>
        <w:noBreakHyphen/>
      </w:r>
      <w:r w:rsidRPr="00BE2E2D">
        <w:rPr>
          <w:rStyle w:val="CharSubdNo"/>
        </w:rPr>
        <w:t>E</w:t>
      </w:r>
      <w:r w:rsidRPr="00343BD4">
        <w:t>—</w:t>
      </w:r>
      <w:r w:rsidRPr="00BE2E2D">
        <w:rPr>
          <w:rStyle w:val="CharSubdText"/>
        </w:rPr>
        <w:t>Reporting obligations for country by country reporting entities</w:t>
      </w:r>
      <w:bookmarkEnd w:id="12"/>
    </w:p>
    <w:p w:rsidR="0084393D" w:rsidRPr="00343BD4" w:rsidRDefault="00C63933" w:rsidP="00343BD4">
      <w:pPr>
        <w:pStyle w:val="ItemHead"/>
      </w:pPr>
      <w:r w:rsidRPr="00343BD4">
        <w:t>2</w:t>
      </w:r>
      <w:r w:rsidR="0084393D" w:rsidRPr="00343BD4">
        <w:t xml:space="preserve">  Section</w:t>
      </w:r>
      <w:r w:rsidR="00343BD4" w:rsidRPr="00343BD4">
        <w:t> </w:t>
      </w:r>
      <w:r w:rsidR="0084393D" w:rsidRPr="00343BD4">
        <w:t>815</w:t>
      </w:r>
      <w:r w:rsidR="00DB3488">
        <w:noBreakHyphen/>
      </w:r>
      <w:r w:rsidR="0084393D" w:rsidRPr="00343BD4">
        <w:t>350</w:t>
      </w:r>
    </w:p>
    <w:p w:rsidR="0084393D" w:rsidRPr="00343BD4" w:rsidRDefault="0084393D" w:rsidP="00343BD4">
      <w:pPr>
        <w:pStyle w:val="Item"/>
      </w:pPr>
      <w:r w:rsidRPr="00343BD4">
        <w:t>Omit “Significant global entities”, substitute “CBC reporting entities”.</w:t>
      </w:r>
    </w:p>
    <w:p w:rsidR="0084393D" w:rsidRPr="00343BD4" w:rsidRDefault="00C63933" w:rsidP="00343BD4">
      <w:pPr>
        <w:pStyle w:val="ItemHead"/>
      </w:pPr>
      <w:r w:rsidRPr="00343BD4">
        <w:t>3</w:t>
      </w:r>
      <w:r w:rsidR="0084393D" w:rsidRPr="00343BD4">
        <w:t xml:space="preserve">  Paragraph</w:t>
      </w:r>
      <w:r w:rsidR="00343BD4" w:rsidRPr="00343BD4">
        <w:t xml:space="preserve"> </w:t>
      </w:r>
      <w:r w:rsidR="0084393D" w:rsidRPr="00343BD4">
        <w:t>815</w:t>
      </w:r>
      <w:r w:rsidR="00DB3488">
        <w:noBreakHyphen/>
      </w:r>
      <w:r w:rsidR="0084393D" w:rsidRPr="00343BD4">
        <w:t>355(1)(a)</w:t>
      </w:r>
    </w:p>
    <w:p w:rsidR="0084393D" w:rsidRPr="00343BD4" w:rsidRDefault="0084393D" w:rsidP="00343BD4">
      <w:pPr>
        <w:pStyle w:val="Item"/>
      </w:pPr>
      <w:r w:rsidRPr="00343BD4">
        <w:t>Omit “</w:t>
      </w:r>
      <w:r w:rsidR="00343BD4" w:rsidRPr="00343BD4">
        <w:rPr>
          <w:position w:val="6"/>
          <w:sz w:val="16"/>
        </w:rPr>
        <w:t>*</w:t>
      </w:r>
      <w:r w:rsidRPr="00343BD4">
        <w:t>significant</w:t>
      </w:r>
      <w:bookmarkStart w:id="13" w:name="BK_S3P3L11C19"/>
      <w:bookmarkEnd w:id="13"/>
      <w:r w:rsidRPr="00343BD4">
        <w:t xml:space="preserve"> global entity during a period”, substitute “</w:t>
      </w:r>
      <w:r w:rsidR="00343BD4" w:rsidRPr="00343BD4">
        <w:rPr>
          <w:position w:val="6"/>
          <w:sz w:val="16"/>
        </w:rPr>
        <w:t>*</w:t>
      </w:r>
      <w:r w:rsidRPr="00343BD4">
        <w:t>CBC reporting entity for a period”.</w:t>
      </w:r>
    </w:p>
    <w:p w:rsidR="0084393D" w:rsidRPr="00343BD4" w:rsidRDefault="00C63933" w:rsidP="00343BD4">
      <w:pPr>
        <w:pStyle w:val="ItemHead"/>
      </w:pPr>
      <w:r w:rsidRPr="00343BD4">
        <w:t>4</w:t>
      </w:r>
      <w:r w:rsidR="0084393D" w:rsidRPr="00343BD4">
        <w:t xml:space="preserve">  Subparagraph</w:t>
      </w:r>
      <w:r w:rsidR="00343BD4" w:rsidRPr="00343BD4">
        <w:t xml:space="preserve"> </w:t>
      </w:r>
      <w:r w:rsidR="0084393D" w:rsidRPr="00343BD4">
        <w:t>815</w:t>
      </w:r>
      <w:r w:rsidR="00DB3488">
        <w:noBreakHyphen/>
      </w:r>
      <w:r w:rsidR="0084393D" w:rsidRPr="00343BD4">
        <w:t>355(3)(a)(ii)</w:t>
      </w:r>
    </w:p>
    <w:p w:rsidR="0084393D" w:rsidRPr="00343BD4" w:rsidRDefault="0084393D" w:rsidP="00343BD4">
      <w:pPr>
        <w:pStyle w:val="Item"/>
      </w:pPr>
      <w:r w:rsidRPr="00343BD4">
        <w:t>Repeal the subparagraph, substitute:</w:t>
      </w:r>
    </w:p>
    <w:p w:rsidR="0084393D" w:rsidRPr="00343BD4" w:rsidRDefault="0084393D" w:rsidP="00343BD4">
      <w:pPr>
        <w:pStyle w:val="paragraphsub"/>
      </w:pPr>
      <w:r w:rsidRPr="00343BD4">
        <w:tab/>
        <w:t>(ii)</w:t>
      </w:r>
      <w:r w:rsidRPr="00343BD4">
        <w:tab/>
        <w:t xml:space="preserve">if you were a </w:t>
      </w:r>
      <w:r w:rsidR="00343BD4" w:rsidRPr="00343BD4">
        <w:rPr>
          <w:position w:val="6"/>
          <w:sz w:val="16"/>
        </w:rPr>
        <w:t>*</w:t>
      </w:r>
      <w:r w:rsidRPr="00343BD4">
        <w:t xml:space="preserve">member of a </w:t>
      </w:r>
      <w:r w:rsidR="00343BD4" w:rsidRPr="00343BD4">
        <w:rPr>
          <w:position w:val="6"/>
          <w:sz w:val="16"/>
        </w:rPr>
        <w:t>*</w:t>
      </w:r>
      <w:r w:rsidRPr="00343BD4">
        <w:t>CBC reporting group during the previous income year—the other members of that group;</w:t>
      </w:r>
    </w:p>
    <w:p w:rsidR="0084393D" w:rsidRPr="00343BD4" w:rsidRDefault="00C63933" w:rsidP="00343BD4">
      <w:pPr>
        <w:pStyle w:val="ItemHead"/>
      </w:pPr>
      <w:r w:rsidRPr="00343BD4">
        <w:t>5</w:t>
      </w:r>
      <w:r w:rsidR="0084393D" w:rsidRPr="00343BD4">
        <w:t xml:space="preserve">  At the end of Subdivision</w:t>
      </w:r>
      <w:r w:rsidR="00343BD4" w:rsidRPr="00343BD4">
        <w:t> </w:t>
      </w:r>
      <w:r w:rsidR="0084393D" w:rsidRPr="00343BD4">
        <w:t>815</w:t>
      </w:r>
      <w:r w:rsidR="00DB3488">
        <w:noBreakHyphen/>
      </w:r>
      <w:r w:rsidR="0084393D" w:rsidRPr="00343BD4">
        <w:t>E</w:t>
      </w:r>
    </w:p>
    <w:p w:rsidR="0084393D" w:rsidRPr="00343BD4" w:rsidRDefault="0084393D" w:rsidP="00343BD4">
      <w:pPr>
        <w:pStyle w:val="Item"/>
      </w:pPr>
      <w:r w:rsidRPr="00343BD4">
        <w:t>Add:</w:t>
      </w:r>
    </w:p>
    <w:p w:rsidR="0084393D" w:rsidRPr="00343BD4" w:rsidRDefault="0084393D" w:rsidP="00343BD4">
      <w:pPr>
        <w:pStyle w:val="ActHead5"/>
      </w:pPr>
      <w:bookmarkStart w:id="14" w:name="_Toc41406743"/>
      <w:r w:rsidRPr="00BE2E2D">
        <w:rPr>
          <w:rStyle w:val="CharSectno"/>
        </w:rPr>
        <w:t>815</w:t>
      </w:r>
      <w:r w:rsidR="00DB3488">
        <w:rPr>
          <w:rStyle w:val="CharSectno"/>
        </w:rPr>
        <w:noBreakHyphen/>
      </w:r>
      <w:r w:rsidRPr="00BE2E2D">
        <w:rPr>
          <w:rStyle w:val="CharSectno"/>
        </w:rPr>
        <w:t>370</w:t>
      </w:r>
      <w:r w:rsidRPr="00343BD4">
        <w:t xml:space="preserve">  Meaning of </w:t>
      </w:r>
      <w:r w:rsidRPr="00343BD4">
        <w:rPr>
          <w:i/>
        </w:rPr>
        <w:t>country by country reporting entity</w:t>
      </w:r>
      <w:r w:rsidRPr="00343BD4">
        <w:t xml:space="preserve"> (or </w:t>
      </w:r>
      <w:r w:rsidRPr="00343BD4">
        <w:rPr>
          <w:i/>
        </w:rPr>
        <w:t>CBC reporting entity</w:t>
      </w:r>
      <w:r w:rsidRPr="00343BD4">
        <w:t>)</w:t>
      </w:r>
      <w:bookmarkEnd w:id="14"/>
    </w:p>
    <w:p w:rsidR="0084393D" w:rsidRPr="00343BD4" w:rsidRDefault="0084393D" w:rsidP="00343BD4">
      <w:pPr>
        <w:pStyle w:val="subsection"/>
      </w:pPr>
      <w:r w:rsidRPr="00343BD4">
        <w:tab/>
      </w:r>
      <w:r w:rsidRPr="00343BD4">
        <w:tab/>
        <w:t xml:space="preserve">An entity is a </w:t>
      </w:r>
      <w:r w:rsidRPr="00343BD4">
        <w:rPr>
          <w:b/>
          <w:i/>
        </w:rPr>
        <w:t>country by country reporting entity</w:t>
      </w:r>
      <w:r w:rsidRPr="00343BD4">
        <w:t xml:space="preserve"> (or </w:t>
      </w:r>
      <w:r w:rsidRPr="00343BD4">
        <w:rPr>
          <w:b/>
          <w:i/>
        </w:rPr>
        <w:t>CBC reporting entity</w:t>
      </w:r>
      <w:r w:rsidRPr="00343BD4">
        <w:t>) for a period if:</w:t>
      </w:r>
    </w:p>
    <w:p w:rsidR="0084393D" w:rsidRPr="00343BD4" w:rsidRDefault="0084393D" w:rsidP="00343BD4">
      <w:pPr>
        <w:pStyle w:val="paragraph"/>
      </w:pPr>
      <w:r w:rsidRPr="00343BD4">
        <w:tab/>
        <w:t>(a)</w:t>
      </w:r>
      <w:r w:rsidRPr="00343BD4">
        <w:tab/>
        <w:t xml:space="preserve">the entity is a </w:t>
      </w:r>
      <w:r w:rsidR="00343BD4" w:rsidRPr="00343BD4">
        <w:rPr>
          <w:position w:val="6"/>
          <w:sz w:val="16"/>
        </w:rPr>
        <w:t>*</w:t>
      </w:r>
      <w:r w:rsidRPr="00343BD4">
        <w:t>CBC reporting parent</w:t>
      </w:r>
      <w:bookmarkStart w:id="15" w:name="BK_S3P3L24C43"/>
      <w:bookmarkEnd w:id="15"/>
      <w:r w:rsidRPr="00343BD4">
        <w:t xml:space="preserve"> for the period; or</w:t>
      </w:r>
    </w:p>
    <w:p w:rsidR="0084393D" w:rsidRPr="00343BD4" w:rsidRDefault="0084393D" w:rsidP="00343BD4">
      <w:pPr>
        <w:pStyle w:val="paragraph"/>
      </w:pPr>
      <w:r w:rsidRPr="00343BD4">
        <w:tab/>
        <w:t>(b)</w:t>
      </w:r>
      <w:r w:rsidRPr="00343BD4">
        <w:tab/>
        <w:t xml:space="preserve">the entity is a </w:t>
      </w:r>
      <w:r w:rsidR="00343BD4" w:rsidRPr="00343BD4">
        <w:rPr>
          <w:position w:val="6"/>
          <w:sz w:val="16"/>
        </w:rPr>
        <w:t>*</w:t>
      </w:r>
      <w:r w:rsidRPr="00343BD4">
        <w:t xml:space="preserve">member of a </w:t>
      </w:r>
      <w:r w:rsidR="00343BD4" w:rsidRPr="00343BD4">
        <w:rPr>
          <w:position w:val="6"/>
          <w:sz w:val="16"/>
        </w:rPr>
        <w:t>*</w:t>
      </w:r>
      <w:r w:rsidRPr="00343BD4">
        <w:t>CBC reporting group during the period and another member of that group is a CBC reporting parent for the period.</w:t>
      </w:r>
    </w:p>
    <w:p w:rsidR="0084393D" w:rsidRPr="00343BD4" w:rsidRDefault="0084393D" w:rsidP="00343BD4">
      <w:pPr>
        <w:pStyle w:val="ActHead5"/>
      </w:pPr>
      <w:bookmarkStart w:id="16" w:name="_Toc41406744"/>
      <w:r w:rsidRPr="00BE2E2D">
        <w:rPr>
          <w:rStyle w:val="CharSectno"/>
        </w:rPr>
        <w:lastRenderedPageBreak/>
        <w:t>815</w:t>
      </w:r>
      <w:r w:rsidR="00DB3488">
        <w:rPr>
          <w:rStyle w:val="CharSectno"/>
        </w:rPr>
        <w:noBreakHyphen/>
      </w:r>
      <w:r w:rsidRPr="00BE2E2D">
        <w:rPr>
          <w:rStyle w:val="CharSectno"/>
        </w:rPr>
        <w:t>375</w:t>
      </w:r>
      <w:r w:rsidRPr="00343BD4">
        <w:t xml:space="preserve">  Meaning of </w:t>
      </w:r>
      <w:r w:rsidRPr="00343BD4">
        <w:rPr>
          <w:i/>
        </w:rPr>
        <w:t xml:space="preserve">country by country reporting parent </w:t>
      </w:r>
      <w:r w:rsidRPr="00343BD4">
        <w:t xml:space="preserve">(or </w:t>
      </w:r>
      <w:r w:rsidRPr="00343BD4">
        <w:rPr>
          <w:i/>
        </w:rPr>
        <w:t>CBC reporting parent</w:t>
      </w:r>
      <w:r w:rsidRPr="00343BD4">
        <w:t>)</w:t>
      </w:r>
      <w:bookmarkEnd w:id="16"/>
    </w:p>
    <w:p w:rsidR="0084393D" w:rsidRPr="00343BD4" w:rsidRDefault="0084393D" w:rsidP="00343BD4">
      <w:pPr>
        <w:pStyle w:val="subsection"/>
      </w:pPr>
      <w:r w:rsidRPr="00343BD4">
        <w:tab/>
        <w:t>(1)</w:t>
      </w:r>
      <w:r w:rsidRPr="00343BD4">
        <w:tab/>
        <w:t>An entity is a</w:t>
      </w:r>
      <w:r w:rsidRPr="00343BD4">
        <w:rPr>
          <w:b/>
        </w:rPr>
        <w:t xml:space="preserve"> </w:t>
      </w:r>
      <w:r w:rsidRPr="00343BD4">
        <w:rPr>
          <w:b/>
          <w:i/>
        </w:rPr>
        <w:t xml:space="preserve">country by country reporting parent </w:t>
      </w:r>
      <w:r w:rsidRPr="00343BD4">
        <w:t xml:space="preserve">(or </w:t>
      </w:r>
      <w:r w:rsidRPr="00343BD4">
        <w:rPr>
          <w:b/>
          <w:i/>
        </w:rPr>
        <w:t>CBC reporting parent</w:t>
      </w:r>
      <w:r w:rsidRPr="00343BD4">
        <w:t>) for a period if:</w:t>
      </w:r>
    </w:p>
    <w:p w:rsidR="0084393D" w:rsidRPr="00343BD4" w:rsidRDefault="0084393D" w:rsidP="00343BD4">
      <w:pPr>
        <w:pStyle w:val="paragraph"/>
      </w:pPr>
      <w:r w:rsidRPr="00343BD4">
        <w:tab/>
        <w:t>(a)</w:t>
      </w:r>
      <w:r w:rsidRPr="00343BD4">
        <w:tab/>
        <w:t xml:space="preserve">the entity is </w:t>
      </w:r>
      <w:r w:rsidRPr="00343BD4">
        <w:rPr>
          <w:i/>
        </w:rPr>
        <w:t>not</w:t>
      </w:r>
      <w:r w:rsidRPr="00343BD4">
        <w:t xml:space="preserve"> an individual; and</w:t>
      </w:r>
    </w:p>
    <w:p w:rsidR="0084393D" w:rsidRPr="00343BD4" w:rsidRDefault="0084393D" w:rsidP="00343BD4">
      <w:pPr>
        <w:pStyle w:val="paragraph"/>
      </w:pPr>
      <w:r w:rsidRPr="00343BD4">
        <w:tab/>
        <w:t>(b)</w:t>
      </w:r>
      <w:r w:rsidRPr="00343BD4">
        <w:tab/>
        <w:t xml:space="preserve">if the entity is a </w:t>
      </w:r>
      <w:r w:rsidR="00343BD4" w:rsidRPr="00343BD4">
        <w:rPr>
          <w:position w:val="6"/>
          <w:sz w:val="16"/>
        </w:rPr>
        <w:t>*</w:t>
      </w:r>
      <w:r w:rsidRPr="00343BD4">
        <w:t xml:space="preserve">member of a </w:t>
      </w:r>
      <w:r w:rsidR="00343BD4" w:rsidRPr="00343BD4">
        <w:rPr>
          <w:position w:val="6"/>
          <w:sz w:val="16"/>
        </w:rPr>
        <w:t>*</w:t>
      </w:r>
      <w:r w:rsidRPr="00343BD4">
        <w:t>CBC reporting group at the end of the period—it is an entity that, according to:</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r>
      <w:r w:rsidR="00343BD4" w:rsidRPr="00343BD4">
        <w:rPr>
          <w:position w:val="6"/>
          <w:sz w:val="16"/>
        </w:rPr>
        <w:t>*</w:t>
      </w:r>
      <w:r w:rsidRPr="00343BD4">
        <w:t>accounting principles</w:t>
      </w:r>
      <w:bookmarkStart w:id="17" w:name="BK_S3P4L8C28"/>
      <w:bookmarkEnd w:id="17"/>
      <w:r w:rsidRPr="00343BD4">
        <w:t>; or</w:t>
      </w:r>
    </w:p>
    <w:p w:rsidR="0084393D" w:rsidRPr="00343BD4" w:rsidRDefault="0084393D" w:rsidP="00343BD4">
      <w:pPr>
        <w:pStyle w:val="paragraphsub"/>
      </w:pPr>
      <w:r w:rsidRPr="00343BD4">
        <w:tab/>
        <w:t>(ii)</w:t>
      </w:r>
      <w:r w:rsidRPr="00343BD4">
        <w:tab/>
        <w:t>if accounting principles do not apply in relation to the entity—commercially accepted principles related to accounting;</w:t>
      </w:r>
    </w:p>
    <w:p w:rsidR="0084393D" w:rsidRPr="00343BD4" w:rsidRDefault="0084393D" w:rsidP="00343BD4">
      <w:pPr>
        <w:pStyle w:val="paragraph"/>
      </w:pPr>
      <w:r w:rsidRPr="00343BD4">
        <w:tab/>
      </w:r>
      <w:r w:rsidRPr="00343BD4">
        <w:tab/>
        <w:t>is not controlled by any other member of the CBC reporting group at the end of the period; and</w:t>
      </w:r>
    </w:p>
    <w:p w:rsidR="0084393D" w:rsidRPr="00343BD4" w:rsidRDefault="0084393D" w:rsidP="00343BD4">
      <w:pPr>
        <w:pStyle w:val="paragraph"/>
      </w:pPr>
      <w:r w:rsidRPr="00343BD4">
        <w:tab/>
        <w:t>(c)</w:t>
      </w:r>
      <w:r w:rsidRPr="00343BD4">
        <w:tab/>
        <w:t xml:space="preserve">the entity’s </w:t>
      </w:r>
      <w:r w:rsidR="00343BD4" w:rsidRPr="00343BD4">
        <w:rPr>
          <w:position w:val="6"/>
          <w:sz w:val="16"/>
        </w:rPr>
        <w:t>*</w:t>
      </w:r>
      <w:r w:rsidRPr="00343BD4">
        <w:t>annual global income for the period is $1</w:t>
      </w:r>
      <w:r w:rsidR="00343BD4" w:rsidRPr="00343BD4">
        <w:t xml:space="preserve"> </w:t>
      </w:r>
      <w:r w:rsidRPr="00343BD4">
        <w:t>billion or more.</w:t>
      </w:r>
    </w:p>
    <w:p w:rsidR="0084393D" w:rsidRPr="00343BD4" w:rsidRDefault="0084393D" w:rsidP="00343BD4">
      <w:pPr>
        <w:pStyle w:val="subsection"/>
      </w:pPr>
      <w:r w:rsidRPr="00343BD4">
        <w:tab/>
        <w:t>(2)</w:t>
      </w:r>
      <w:r w:rsidRPr="00343BD4">
        <w:tab/>
        <w:t xml:space="preserve">For the purposes of </w:t>
      </w:r>
      <w:r w:rsidR="00343BD4" w:rsidRPr="00343BD4">
        <w:t>paragraph (</w:t>
      </w:r>
      <w:r w:rsidRPr="00343BD4">
        <w:t xml:space="preserve">1)(c), in working out the entity’s </w:t>
      </w:r>
      <w:r w:rsidR="00343BD4" w:rsidRPr="00343BD4">
        <w:rPr>
          <w:position w:val="6"/>
          <w:sz w:val="16"/>
        </w:rPr>
        <w:t>*</w:t>
      </w:r>
      <w:r w:rsidRPr="00343BD4">
        <w:t>annual global income for the period, treat the reference in paragraph</w:t>
      </w:r>
      <w:r w:rsidR="00343BD4" w:rsidRPr="00343BD4">
        <w:t> </w:t>
      </w:r>
      <w:r w:rsidRPr="00343BD4">
        <w:t>960</w:t>
      </w:r>
      <w:r w:rsidR="00DB3488">
        <w:noBreakHyphen/>
      </w:r>
      <w:r w:rsidRPr="00343BD4">
        <w:t xml:space="preserve">565(1)(aa) to </w:t>
      </w:r>
      <w:r w:rsidR="00343BD4" w:rsidRPr="00343BD4">
        <w:rPr>
          <w:position w:val="6"/>
          <w:sz w:val="16"/>
        </w:rPr>
        <w:t>*</w:t>
      </w:r>
      <w:r w:rsidRPr="00343BD4">
        <w:t xml:space="preserve">notional listed company group as instead being a reference to </w:t>
      </w:r>
      <w:r w:rsidR="00343BD4" w:rsidRPr="00343BD4">
        <w:rPr>
          <w:position w:val="6"/>
          <w:sz w:val="16"/>
        </w:rPr>
        <w:t>*</w:t>
      </w:r>
      <w:r w:rsidRPr="00343BD4">
        <w:t>CBC reporting group.</w:t>
      </w:r>
    </w:p>
    <w:p w:rsidR="0084393D" w:rsidRPr="00343BD4" w:rsidRDefault="0084393D" w:rsidP="00343BD4">
      <w:pPr>
        <w:pStyle w:val="ActHead5"/>
      </w:pPr>
      <w:bookmarkStart w:id="18" w:name="_Toc41406745"/>
      <w:r w:rsidRPr="00BE2E2D">
        <w:rPr>
          <w:rStyle w:val="CharSectno"/>
        </w:rPr>
        <w:t>815</w:t>
      </w:r>
      <w:r w:rsidR="00DB3488">
        <w:rPr>
          <w:rStyle w:val="CharSectno"/>
        </w:rPr>
        <w:noBreakHyphen/>
      </w:r>
      <w:r w:rsidRPr="00BE2E2D">
        <w:rPr>
          <w:rStyle w:val="CharSectno"/>
        </w:rPr>
        <w:t>380</w:t>
      </w:r>
      <w:r w:rsidRPr="00343BD4">
        <w:t xml:space="preserve">  Meaning of </w:t>
      </w:r>
      <w:r w:rsidRPr="00343BD4">
        <w:rPr>
          <w:i/>
        </w:rPr>
        <w:t>country by country reporting group</w:t>
      </w:r>
      <w:r w:rsidRPr="00343BD4">
        <w:t xml:space="preserve"> (or </w:t>
      </w:r>
      <w:r w:rsidRPr="00343BD4">
        <w:rPr>
          <w:i/>
        </w:rPr>
        <w:t>CBC reporting group</w:t>
      </w:r>
      <w:r w:rsidRPr="00343BD4">
        <w:t>)</w:t>
      </w:r>
      <w:bookmarkEnd w:id="18"/>
    </w:p>
    <w:p w:rsidR="0084393D" w:rsidRPr="00343BD4" w:rsidRDefault="0084393D" w:rsidP="00343BD4">
      <w:pPr>
        <w:pStyle w:val="subsection"/>
      </w:pPr>
      <w:r w:rsidRPr="00343BD4">
        <w:tab/>
        <w:t>(1)</w:t>
      </w:r>
      <w:r w:rsidRPr="00343BD4">
        <w:tab/>
        <w:t>A group of entities is a</w:t>
      </w:r>
      <w:r w:rsidRPr="00343BD4">
        <w:rPr>
          <w:b/>
          <w:i/>
        </w:rPr>
        <w:t xml:space="preserve"> country by country reporting group</w:t>
      </w:r>
      <w:r w:rsidRPr="00343BD4">
        <w:t xml:space="preserve"> (or </w:t>
      </w:r>
      <w:r w:rsidRPr="00343BD4">
        <w:rPr>
          <w:b/>
          <w:i/>
        </w:rPr>
        <w:t>CBC reporting group</w:t>
      </w:r>
      <w:r w:rsidRPr="00343BD4">
        <w:t>) if:</w:t>
      </w:r>
    </w:p>
    <w:p w:rsidR="0084393D" w:rsidRPr="00343BD4" w:rsidRDefault="0084393D" w:rsidP="00343BD4">
      <w:pPr>
        <w:pStyle w:val="paragraph"/>
      </w:pPr>
      <w:r w:rsidRPr="00343BD4">
        <w:tab/>
        <w:t>(a)</w:t>
      </w:r>
      <w:r w:rsidRPr="00343BD4">
        <w:tab/>
        <w:t>none of the entities is an individual; and</w:t>
      </w:r>
    </w:p>
    <w:p w:rsidR="0084393D" w:rsidRPr="00343BD4" w:rsidRDefault="0084393D" w:rsidP="00343BD4">
      <w:pPr>
        <w:pStyle w:val="paragraph"/>
      </w:pPr>
      <w:r w:rsidRPr="00343BD4">
        <w:tab/>
        <w:t>(b)</w:t>
      </w:r>
      <w:r w:rsidRPr="00343BD4">
        <w:tab/>
        <w:t>any of the following requirements are satisfied:</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the group is consolidated for accounting purposes as a single group;</w:t>
      </w:r>
    </w:p>
    <w:p w:rsidR="0084393D" w:rsidRPr="00343BD4" w:rsidRDefault="0084393D" w:rsidP="00343BD4">
      <w:pPr>
        <w:pStyle w:val="paragraphsub"/>
      </w:pPr>
      <w:r w:rsidRPr="00343BD4">
        <w:tab/>
        <w:t>(ii)</w:t>
      </w:r>
      <w:r w:rsidRPr="00343BD4">
        <w:tab/>
        <w:t xml:space="preserve">the group is a </w:t>
      </w:r>
      <w:r w:rsidR="00343BD4" w:rsidRPr="00343BD4">
        <w:rPr>
          <w:position w:val="6"/>
          <w:sz w:val="16"/>
        </w:rPr>
        <w:t>*</w:t>
      </w:r>
      <w:r w:rsidRPr="00343BD4">
        <w:t>notional listed company group.</w:t>
      </w:r>
    </w:p>
    <w:p w:rsidR="0084393D" w:rsidRPr="00343BD4" w:rsidRDefault="0084393D" w:rsidP="00343BD4">
      <w:pPr>
        <w:pStyle w:val="subsection"/>
      </w:pPr>
      <w:r w:rsidRPr="00343BD4">
        <w:tab/>
        <w:t>(2)</w:t>
      </w:r>
      <w:r w:rsidRPr="00343BD4">
        <w:tab/>
        <w:t>Each entity in the group is a</w:t>
      </w:r>
      <w:r w:rsidRPr="00343BD4">
        <w:rPr>
          <w:b/>
          <w:i/>
        </w:rPr>
        <w:t xml:space="preserve"> member</w:t>
      </w:r>
      <w:r w:rsidRPr="00343BD4">
        <w:t xml:space="preserve"> of the </w:t>
      </w:r>
      <w:r w:rsidR="00343BD4" w:rsidRPr="00343BD4">
        <w:rPr>
          <w:position w:val="6"/>
          <w:sz w:val="16"/>
        </w:rPr>
        <w:t>*</w:t>
      </w:r>
      <w:r w:rsidRPr="00343BD4">
        <w:t>CBC reporting group.</w:t>
      </w:r>
    </w:p>
    <w:p w:rsidR="0084393D" w:rsidRPr="00343BD4" w:rsidRDefault="0084393D" w:rsidP="00343BD4">
      <w:pPr>
        <w:pStyle w:val="subsection"/>
      </w:pPr>
      <w:r w:rsidRPr="00343BD4">
        <w:tab/>
        <w:t>(3)</w:t>
      </w:r>
      <w:r w:rsidRPr="00343BD4">
        <w:tab/>
      </w:r>
      <w:r w:rsidR="00343BD4" w:rsidRPr="00343BD4">
        <w:t>Subsection (</w:t>
      </w:r>
      <w:r w:rsidRPr="00343BD4">
        <w:t>5) applies if:</w:t>
      </w:r>
    </w:p>
    <w:p w:rsidR="0084393D" w:rsidRPr="00343BD4" w:rsidRDefault="0084393D" w:rsidP="00343BD4">
      <w:pPr>
        <w:pStyle w:val="paragraph"/>
      </w:pPr>
      <w:r w:rsidRPr="00343BD4">
        <w:tab/>
        <w:t>(a)</w:t>
      </w:r>
      <w:r w:rsidRPr="00343BD4">
        <w:tab/>
        <w:t xml:space="preserve">all the members of a group that is consolidated for accounting purposes as a single group (the </w:t>
      </w:r>
      <w:r w:rsidRPr="00343BD4">
        <w:rPr>
          <w:b/>
          <w:i/>
        </w:rPr>
        <w:t>smaller group</w:t>
      </w:r>
      <w:r w:rsidRPr="00343BD4">
        <w:t>) are members of:</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another such group; or</w:t>
      </w:r>
    </w:p>
    <w:p w:rsidR="0084393D" w:rsidRPr="00343BD4" w:rsidRDefault="0084393D" w:rsidP="00343BD4">
      <w:pPr>
        <w:pStyle w:val="paragraphsub"/>
      </w:pPr>
      <w:r w:rsidRPr="00343BD4">
        <w:lastRenderedPageBreak/>
        <w:tab/>
        <w:t>(ii)</w:t>
      </w:r>
      <w:r w:rsidRPr="00343BD4">
        <w:tab/>
        <w:t xml:space="preserve">a </w:t>
      </w:r>
      <w:r w:rsidR="00343BD4" w:rsidRPr="00343BD4">
        <w:rPr>
          <w:position w:val="6"/>
          <w:sz w:val="16"/>
        </w:rPr>
        <w:t>*</w:t>
      </w:r>
      <w:r w:rsidRPr="00343BD4">
        <w:t>notional listed company group; and</w:t>
      </w:r>
    </w:p>
    <w:p w:rsidR="0084393D" w:rsidRPr="00343BD4" w:rsidRDefault="0084393D" w:rsidP="00343BD4">
      <w:pPr>
        <w:pStyle w:val="paragraph"/>
      </w:pPr>
      <w:r w:rsidRPr="00343BD4">
        <w:tab/>
        <w:t>(b)</w:t>
      </w:r>
      <w:r w:rsidRPr="00343BD4">
        <w:tab/>
        <w:t xml:space="preserve">at least one entity is a member of the group mentioned in </w:t>
      </w:r>
      <w:r w:rsidR="00343BD4" w:rsidRPr="00343BD4">
        <w:t>subparagraph (</w:t>
      </w:r>
      <w:r w:rsidRPr="00343BD4">
        <w:t>a)(</w:t>
      </w:r>
      <w:proofErr w:type="spellStart"/>
      <w:r w:rsidRPr="00343BD4">
        <w:t>i</w:t>
      </w:r>
      <w:proofErr w:type="spellEnd"/>
      <w:r w:rsidRPr="00343BD4">
        <w:t>) or (ii) but is not a member of the smaller group.</w:t>
      </w:r>
    </w:p>
    <w:p w:rsidR="0084393D" w:rsidRPr="00343BD4" w:rsidRDefault="0084393D" w:rsidP="00343BD4">
      <w:pPr>
        <w:pStyle w:val="subsection"/>
      </w:pPr>
      <w:r w:rsidRPr="00343BD4">
        <w:tab/>
        <w:t>(4)</w:t>
      </w:r>
      <w:r w:rsidRPr="00343BD4">
        <w:tab/>
      </w:r>
      <w:r w:rsidR="00343BD4" w:rsidRPr="00343BD4">
        <w:t>Subsection (</w:t>
      </w:r>
      <w:r w:rsidRPr="00343BD4">
        <w:t>5) also applies if:</w:t>
      </w:r>
    </w:p>
    <w:p w:rsidR="0084393D" w:rsidRPr="00343BD4" w:rsidRDefault="0084393D" w:rsidP="00343BD4">
      <w:pPr>
        <w:pStyle w:val="paragraph"/>
      </w:pPr>
      <w:r w:rsidRPr="00343BD4">
        <w:tab/>
        <w:t>(a)</w:t>
      </w:r>
      <w:r w:rsidRPr="00343BD4">
        <w:tab/>
        <w:t xml:space="preserve">all the </w:t>
      </w:r>
      <w:r w:rsidR="00343BD4" w:rsidRPr="00343BD4">
        <w:rPr>
          <w:position w:val="6"/>
          <w:sz w:val="16"/>
        </w:rPr>
        <w:t>*</w:t>
      </w:r>
      <w:r w:rsidRPr="00343BD4">
        <w:t xml:space="preserve">members of a notional listed company group (the </w:t>
      </w:r>
      <w:r w:rsidRPr="00343BD4">
        <w:rPr>
          <w:b/>
          <w:i/>
        </w:rPr>
        <w:t>smaller group</w:t>
      </w:r>
      <w:r w:rsidRPr="00343BD4">
        <w:t>) are members of:</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another such group; or</w:t>
      </w:r>
    </w:p>
    <w:p w:rsidR="0084393D" w:rsidRPr="00343BD4" w:rsidRDefault="0084393D" w:rsidP="00343BD4">
      <w:pPr>
        <w:pStyle w:val="paragraphsub"/>
      </w:pPr>
      <w:r w:rsidRPr="00343BD4">
        <w:tab/>
        <w:t>(ii)</w:t>
      </w:r>
      <w:r w:rsidRPr="00343BD4">
        <w:tab/>
        <w:t>a group that is consolidated for accounting purposes as a single group; and</w:t>
      </w:r>
    </w:p>
    <w:p w:rsidR="0084393D" w:rsidRPr="00343BD4" w:rsidRDefault="0084393D" w:rsidP="00343BD4">
      <w:pPr>
        <w:pStyle w:val="paragraph"/>
      </w:pPr>
      <w:r w:rsidRPr="00343BD4">
        <w:tab/>
        <w:t>(b)</w:t>
      </w:r>
      <w:r w:rsidRPr="00343BD4">
        <w:tab/>
        <w:t xml:space="preserve">at least one entity is a member of the group mentioned in </w:t>
      </w:r>
      <w:r w:rsidR="00343BD4" w:rsidRPr="00343BD4">
        <w:t>subparagraph (</w:t>
      </w:r>
      <w:r w:rsidRPr="00343BD4">
        <w:t>a)(</w:t>
      </w:r>
      <w:proofErr w:type="spellStart"/>
      <w:r w:rsidRPr="00343BD4">
        <w:t>i</w:t>
      </w:r>
      <w:proofErr w:type="spellEnd"/>
      <w:r w:rsidRPr="00343BD4">
        <w:t>) or (ii) but is not a member of the smaller group.</w:t>
      </w:r>
    </w:p>
    <w:p w:rsidR="0084393D" w:rsidRPr="00343BD4" w:rsidRDefault="0084393D" w:rsidP="00343BD4">
      <w:pPr>
        <w:pStyle w:val="subsection"/>
      </w:pPr>
      <w:r w:rsidRPr="00343BD4">
        <w:tab/>
        <w:t>(5)</w:t>
      </w:r>
      <w:r w:rsidRPr="00343BD4">
        <w:tab/>
        <w:t xml:space="preserve">For the purposes of </w:t>
      </w:r>
      <w:r w:rsidR="00343BD4" w:rsidRPr="00343BD4">
        <w:t>subsection (</w:t>
      </w:r>
      <w:r w:rsidRPr="00343BD4">
        <w:t>1), treat the smaller group as not being any of the following:</w:t>
      </w:r>
    </w:p>
    <w:p w:rsidR="0084393D" w:rsidRPr="00343BD4" w:rsidRDefault="0084393D" w:rsidP="00343BD4">
      <w:pPr>
        <w:pStyle w:val="paragraph"/>
      </w:pPr>
      <w:r w:rsidRPr="00343BD4">
        <w:tab/>
        <w:t>(a)</w:t>
      </w:r>
      <w:r w:rsidRPr="00343BD4">
        <w:tab/>
        <w:t xml:space="preserve"> a group that is consolidated for accounting purposes as a single group;</w:t>
      </w:r>
    </w:p>
    <w:p w:rsidR="0084393D" w:rsidRPr="00343BD4" w:rsidRDefault="0084393D" w:rsidP="00343BD4">
      <w:pPr>
        <w:pStyle w:val="paragraph"/>
      </w:pPr>
      <w:r w:rsidRPr="00343BD4">
        <w:tab/>
        <w:t>(b)</w:t>
      </w:r>
      <w:r w:rsidRPr="00343BD4">
        <w:tab/>
        <w:t xml:space="preserve">a </w:t>
      </w:r>
      <w:r w:rsidR="00343BD4" w:rsidRPr="00343BD4">
        <w:rPr>
          <w:position w:val="6"/>
          <w:sz w:val="16"/>
        </w:rPr>
        <w:t>*</w:t>
      </w:r>
      <w:r w:rsidRPr="00343BD4">
        <w:t>notional listed company group.</w:t>
      </w:r>
    </w:p>
    <w:p w:rsidR="0084393D" w:rsidRPr="00343BD4" w:rsidRDefault="0084393D" w:rsidP="00343BD4">
      <w:pPr>
        <w:pStyle w:val="subsection"/>
      </w:pPr>
      <w:r w:rsidRPr="00343BD4">
        <w:tab/>
        <w:t>(6)</w:t>
      </w:r>
      <w:r w:rsidRPr="00343BD4">
        <w:tab/>
        <w:t>For the purposes of this section, assume that paragraph</w:t>
      </w:r>
      <w:r w:rsidR="00343BD4" w:rsidRPr="00343BD4">
        <w:t> </w:t>
      </w:r>
      <w:r w:rsidRPr="00343BD4">
        <w:t>960</w:t>
      </w:r>
      <w:r w:rsidR="00DB3488">
        <w:noBreakHyphen/>
      </w:r>
      <w:r w:rsidRPr="00343BD4">
        <w:t>575(4)(a) were disregarded:</w:t>
      </w:r>
    </w:p>
    <w:p w:rsidR="0084393D" w:rsidRPr="00343BD4" w:rsidRDefault="0084393D" w:rsidP="00343BD4">
      <w:pPr>
        <w:pStyle w:val="paragraph"/>
      </w:pPr>
      <w:r w:rsidRPr="00343BD4">
        <w:tab/>
        <w:t>(a)</w:t>
      </w:r>
      <w:r w:rsidRPr="00343BD4">
        <w:tab/>
        <w:t xml:space="preserve">in determining whether a </w:t>
      </w:r>
      <w:r w:rsidR="00343BD4" w:rsidRPr="00343BD4">
        <w:rPr>
          <w:position w:val="6"/>
          <w:sz w:val="16"/>
        </w:rPr>
        <w:t>*</w:t>
      </w:r>
      <w:r w:rsidRPr="00343BD4">
        <w:t>notional listed company group exists; and</w:t>
      </w:r>
    </w:p>
    <w:p w:rsidR="0084393D" w:rsidRPr="00343BD4" w:rsidRDefault="0084393D" w:rsidP="00343BD4">
      <w:pPr>
        <w:pStyle w:val="paragraph"/>
      </w:pPr>
      <w:r w:rsidRPr="00343BD4">
        <w:tab/>
        <w:t>(b)</w:t>
      </w:r>
      <w:r w:rsidRPr="00343BD4">
        <w:tab/>
        <w:t xml:space="preserve">in identifying the </w:t>
      </w:r>
      <w:r w:rsidR="00343BD4" w:rsidRPr="00343BD4">
        <w:rPr>
          <w:position w:val="6"/>
          <w:sz w:val="16"/>
        </w:rPr>
        <w:t>*</w:t>
      </w:r>
      <w:r w:rsidRPr="00343BD4">
        <w:t>members of a notional listed company group.</w:t>
      </w:r>
    </w:p>
    <w:p w:rsidR="0084393D" w:rsidRPr="00343BD4" w:rsidRDefault="0084393D" w:rsidP="00343BD4">
      <w:pPr>
        <w:pStyle w:val="notetext"/>
      </w:pPr>
      <w:r w:rsidRPr="00343BD4">
        <w:t>Note:</w:t>
      </w:r>
      <w:r w:rsidRPr="00343BD4">
        <w:tab/>
        <w:t>The effect of that assumption is that certain exceptions in accounting or other principles to requirements to consolidate for accounting purposes are taken into account in working out the membership of the country by country reporting group. Where such exceptions apply, a country by country reporting group may have fewer members than the equivalent notional listed company group.</w:t>
      </w:r>
    </w:p>
    <w:p w:rsidR="0084393D" w:rsidRPr="00343BD4" w:rsidRDefault="00C63933" w:rsidP="00343BD4">
      <w:pPr>
        <w:pStyle w:val="ItemHead"/>
      </w:pPr>
      <w:r w:rsidRPr="00343BD4">
        <w:t>6</w:t>
      </w:r>
      <w:r w:rsidR="0084393D" w:rsidRPr="00343BD4">
        <w:t xml:space="preserve">  Subsection</w:t>
      </w:r>
      <w:r w:rsidR="00343BD4" w:rsidRPr="00343BD4">
        <w:t> </w:t>
      </w:r>
      <w:r w:rsidR="0084393D" w:rsidRPr="00343BD4">
        <w:t>960</w:t>
      </w:r>
      <w:r w:rsidR="00DB3488">
        <w:noBreakHyphen/>
      </w:r>
      <w:r w:rsidR="0084393D" w:rsidRPr="00343BD4">
        <w:t>50(7A)</w:t>
      </w:r>
    </w:p>
    <w:p w:rsidR="0084393D" w:rsidRPr="00343BD4" w:rsidRDefault="0084393D" w:rsidP="00343BD4">
      <w:pPr>
        <w:pStyle w:val="Item"/>
      </w:pPr>
      <w:r w:rsidRPr="00343BD4">
        <w:t xml:space="preserve">Omit “a </w:t>
      </w:r>
      <w:r w:rsidR="00343BD4" w:rsidRPr="00343BD4">
        <w:rPr>
          <w:position w:val="6"/>
          <w:sz w:val="16"/>
        </w:rPr>
        <w:t>*</w:t>
      </w:r>
      <w:r w:rsidRPr="00343BD4">
        <w:t>global parent entity”, substitute “an entity”.</w:t>
      </w:r>
    </w:p>
    <w:p w:rsidR="0084393D" w:rsidRPr="00343BD4" w:rsidRDefault="00C63933" w:rsidP="00343BD4">
      <w:pPr>
        <w:pStyle w:val="ItemHead"/>
      </w:pPr>
      <w:r w:rsidRPr="00343BD4">
        <w:t>7</w:t>
      </w:r>
      <w:r w:rsidR="0084393D" w:rsidRPr="00343BD4">
        <w:t xml:space="preserve">  After subsection</w:t>
      </w:r>
      <w:r w:rsidR="00343BD4" w:rsidRPr="00343BD4">
        <w:t> </w:t>
      </w:r>
      <w:r w:rsidR="0084393D" w:rsidRPr="00343BD4">
        <w:t>960</w:t>
      </w:r>
      <w:r w:rsidR="00DB3488">
        <w:noBreakHyphen/>
      </w:r>
      <w:r w:rsidR="0084393D" w:rsidRPr="00343BD4">
        <w:t>555(2)</w:t>
      </w:r>
    </w:p>
    <w:p w:rsidR="0084393D" w:rsidRPr="00343BD4" w:rsidRDefault="0084393D" w:rsidP="00343BD4">
      <w:pPr>
        <w:pStyle w:val="Item"/>
      </w:pPr>
      <w:r w:rsidRPr="00343BD4">
        <w:t>Insert:</w:t>
      </w:r>
    </w:p>
    <w:p w:rsidR="0084393D" w:rsidRPr="00343BD4" w:rsidRDefault="0084393D" w:rsidP="00343BD4">
      <w:pPr>
        <w:pStyle w:val="subsection"/>
      </w:pPr>
      <w:r w:rsidRPr="00343BD4">
        <w:tab/>
        <w:t>(2A)</w:t>
      </w:r>
      <w:r w:rsidRPr="00343BD4">
        <w:tab/>
        <w:t xml:space="preserve">An entity is also a </w:t>
      </w:r>
      <w:r w:rsidRPr="00343BD4">
        <w:rPr>
          <w:b/>
          <w:i/>
        </w:rPr>
        <w:t>significant global entity</w:t>
      </w:r>
      <w:r w:rsidRPr="00343BD4">
        <w:t xml:space="preserve"> for a period if:</w:t>
      </w:r>
    </w:p>
    <w:p w:rsidR="0084393D" w:rsidRPr="00343BD4" w:rsidRDefault="0084393D" w:rsidP="00343BD4">
      <w:pPr>
        <w:pStyle w:val="paragraph"/>
      </w:pPr>
      <w:r w:rsidRPr="00343BD4">
        <w:lastRenderedPageBreak/>
        <w:tab/>
        <w:t>(a)</w:t>
      </w:r>
      <w:r w:rsidRPr="00343BD4">
        <w:tab/>
        <w:t xml:space="preserve">the entity is a </w:t>
      </w:r>
      <w:r w:rsidR="00343BD4" w:rsidRPr="00343BD4">
        <w:rPr>
          <w:position w:val="6"/>
          <w:sz w:val="16"/>
        </w:rPr>
        <w:t>*</w:t>
      </w:r>
      <w:r w:rsidRPr="00343BD4">
        <w:t xml:space="preserve">member of a </w:t>
      </w:r>
      <w:r w:rsidR="00343BD4" w:rsidRPr="00343BD4">
        <w:rPr>
          <w:position w:val="6"/>
          <w:sz w:val="16"/>
        </w:rPr>
        <w:t>*</w:t>
      </w:r>
      <w:r w:rsidRPr="00343BD4">
        <w:t>notional listed company group; and</w:t>
      </w:r>
    </w:p>
    <w:p w:rsidR="0084393D" w:rsidRPr="00343BD4" w:rsidRDefault="0084393D" w:rsidP="00343BD4">
      <w:pPr>
        <w:pStyle w:val="paragraph"/>
      </w:pPr>
      <w:r w:rsidRPr="00343BD4">
        <w:tab/>
        <w:t>(b)</w:t>
      </w:r>
      <w:r w:rsidRPr="00343BD4">
        <w:tab/>
        <w:t xml:space="preserve">one of the other members of the group is a </w:t>
      </w:r>
      <w:r w:rsidR="00343BD4" w:rsidRPr="00343BD4">
        <w:rPr>
          <w:position w:val="6"/>
          <w:sz w:val="16"/>
        </w:rPr>
        <w:t>*</w:t>
      </w:r>
      <w:r w:rsidRPr="00343BD4">
        <w:t>global parent entity:</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 xml:space="preserve">whose </w:t>
      </w:r>
      <w:r w:rsidR="00343BD4" w:rsidRPr="00343BD4">
        <w:rPr>
          <w:position w:val="6"/>
          <w:sz w:val="16"/>
        </w:rPr>
        <w:t>*</w:t>
      </w:r>
      <w:r w:rsidRPr="00343BD4">
        <w:t>annual global income for the period is $1 billion or more; or</w:t>
      </w:r>
    </w:p>
    <w:p w:rsidR="0084393D" w:rsidRPr="00343BD4" w:rsidRDefault="0084393D" w:rsidP="00343BD4">
      <w:pPr>
        <w:pStyle w:val="paragraphsub"/>
      </w:pPr>
      <w:r w:rsidRPr="00343BD4">
        <w:tab/>
        <w:t>(ii)</w:t>
      </w:r>
      <w:r w:rsidRPr="00343BD4">
        <w:tab/>
        <w:t xml:space="preserve">in relation to whom the Commissioner makes a determination under </w:t>
      </w:r>
      <w:r w:rsidR="00343BD4" w:rsidRPr="00343BD4">
        <w:t>subsection (</w:t>
      </w:r>
      <w:r w:rsidRPr="00343BD4">
        <w:t>3) for the period.</w:t>
      </w:r>
    </w:p>
    <w:p w:rsidR="0084393D" w:rsidRPr="00343BD4" w:rsidRDefault="00C63933" w:rsidP="00343BD4">
      <w:pPr>
        <w:pStyle w:val="ItemHead"/>
      </w:pPr>
      <w:r w:rsidRPr="00343BD4">
        <w:t>8</w:t>
      </w:r>
      <w:r w:rsidR="0084393D" w:rsidRPr="00343BD4">
        <w:t xml:space="preserve">  Section</w:t>
      </w:r>
      <w:r w:rsidR="00343BD4" w:rsidRPr="00343BD4">
        <w:t> </w:t>
      </w:r>
      <w:r w:rsidR="0084393D" w:rsidRPr="00343BD4">
        <w:t>960</w:t>
      </w:r>
      <w:r w:rsidR="00DB3488">
        <w:noBreakHyphen/>
      </w:r>
      <w:r w:rsidR="0084393D" w:rsidRPr="00343BD4">
        <w:t>565</w:t>
      </w:r>
    </w:p>
    <w:p w:rsidR="0084393D" w:rsidRPr="00343BD4" w:rsidRDefault="0084393D" w:rsidP="00343BD4">
      <w:pPr>
        <w:pStyle w:val="Item"/>
      </w:pPr>
      <w:r w:rsidRPr="00343BD4">
        <w:t>Before “The”, insert “(1)”.</w:t>
      </w:r>
    </w:p>
    <w:p w:rsidR="0084393D" w:rsidRPr="00343BD4" w:rsidRDefault="00C63933" w:rsidP="00343BD4">
      <w:pPr>
        <w:pStyle w:val="ItemHead"/>
      </w:pPr>
      <w:r w:rsidRPr="00343BD4">
        <w:t>9</w:t>
      </w:r>
      <w:r w:rsidR="0084393D" w:rsidRPr="00343BD4">
        <w:t xml:space="preserve">  Section</w:t>
      </w:r>
      <w:r w:rsidR="00343BD4" w:rsidRPr="00343BD4">
        <w:t> </w:t>
      </w:r>
      <w:r w:rsidR="0084393D" w:rsidRPr="00343BD4">
        <w:t>960</w:t>
      </w:r>
      <w:r w:rsidR="00DB3488">
        <w:noBreakHyphen/>
      </w:r>
      <w:r w:rsidR="0084393D" w:rsidRPr="00343BD4">
        <w:t>565</w:t>
      </w:r>
    </w:p>
    <w:p w:rsidR="0084393D" w:rsidRPr="00343BD4" w:rsidRDefault="0084393D" w:rsidP="00343BD4">
      <w:pPr>
        <w:pStyle w:val="Item"/>
      </w:pPr>
      <w:r w:rsidRPr="00343BD4">
        <w:t xml:space="preserve">Omit “of a </w:t>
      </w:r>
      <w:r w:rsidR="00343BD4" w:rsidRPr="00343BD4">
        <w:rPr>
          <w:position w:val="6"/>
          <w:sz w:val="16"/>
        </w:rPr>
        <w:t>*</w:t>
      </w:r>
      <w:r w:rsidRPr="00343BD4">
        <w:t>global parent entity”, substitute “of an entity”.</w:t>
      </w:r>
    </w:p>
    <w:p w:rsidR="0084393D" w:rsidRPr="00343BD4" w:rsidRDefault="00C63933" w:rsidP="00343BD4">
      <w:pPr>
        <w:pStyle w:val="ItemHead"/>
      </w:pPr>
      <w:r w:rsidRPr="00343BD4">
        <w:t>10</w:t>
      </w:r>
      <w:r w:rsidR="0084393D" w:rsidRPr="00343BD4">
        <w:t xml:space="preserve">  Before paragraph</w:t>
      </w:r>
      <w:r w:rsidR="00343BD4" w:rsidRPr="00343BD4">
        <w:t> </w:t>
      </w:r>
      <w:r w:rsidR="0084393D" w:rsidRPr="00343BD4">
        <w:t>960</w:t>
      </w:r>
      <w:r w:rsidR="00DB3488">
        <w:noBreakHyphen/>
      </w:r>
      <w:r w:rsidR="0084393D" w:rsidRPr="00343BD4">
        <w:t>565(a)</w:t>
      </w:r>
    </w:p>
    <w:p w:rsidR="0084393D" w:rsidRPr="00343BD4" w:rsidRDefault="0084393D" w:rsidP="00343BD4">
      <w:pPr>
        <w:pStyle w:val="Item"/>
      </w:pPr>
      <w:r w:rsidRPr="00343BD4">
        <w:t>Insert:</w:t>
      </w:r>
    </w:p>
    <w:p w:rsidR="0084393D" w:rsidRPr="00343BD4" w:rsidRDefault="0084393D" w:rsidP="00343BD4">
      <w:pPr>
        <w:pStyle w:val="paragraph"/>
      </w:pPr>
      <w:r w:rsidRPr="00343BD4">
        <w:tab/>
        <w:t>(aa)</w:t>
      </w:r>
      <w:r w:rsidRPr="00343BD4">
        <w:tab/>
        <w:t xml:space="preserve">if the entity is a </w:t>
      </w:r>
      <w:r w:rsidR="00343BD4" w:rsidRPr="00343BD4">
        <w:rPr>
          <w:position w:val="6"/>
          <w:sz w:val="16"/>
        </w:rPr>
        <w:t>*</w:t>
      </w:r>
      <w:r w:rsidRPr="00343BD4">
        <w:t xml:space="preserve">member of a </w:t>
      </w:r>
      <w:r w:rsidR="00343BD4" w:rsidRPr="00343BD4">
        <w:rPr>
          <w:position w:val="6"/>
          <w:sz w:val="16"/>
        </w:rPr>
        <w:t>*</w:t>
      </w:r>
      <w:r w:rsidRPr="00343BD4">
        <w:t>notional listed company group—the total annual income of all the members of the group (worked out on the assumption that all members of the group were consolidated for accounting purposes as a single group); or</w:t>
      </w:r>
    </w:p>
    <w:p w:rsidR="0084393D" w:rsidRPr="00343BD4" w:rsidRDefault="00C63933" w:rsidP="00343BD4">
      <w:pPr>
        <w:pStyle w:val="ItemHead"/>
      </w:pPr>
      <w:r w:rsidRPr="00343BD4">
        <w:t>11</w:t>
      </w:r>
      <w:r w:rsidR="0084393D" w:rsidRPr="00343BD4">
        <w:t xml:space="preserve">  Paragraph</w:t>
      </w:r>
      <w:r w:rsidR="00343BD4" w:rsidRPr="00343BD4">
        <w:t xml:space="preserve"> </w:t>
      </w:r>
      <w:r w:rsidR="0084393D" w:rsidRPr="00343BD4">
        <w:t>960</w:t>
      </w:r>
      <w:r w:rsidR="00DB3488">
        <w:noBreakHyphen/>
      </w:r>
      <w:r w:rsidR="0084393D" w:rsidRPr="00343BD4">
        <w:t>565(a)</w:t>
      </w:r>
    </w:p>
    <w:p w:rsidR="0084393D" w:rsidRPr="00343BD4" w:rsidRDefault="0084393D" w:rsidP="00343BD4">
      <w:pPr>
        <w:pStyle w:val="Item"/>
      </w:pPr>
      <w:r w:rsidRPr="00343BD4">
        <w:t xml:space="preserve">Omit “if the entity”, substitute “if </w:t>
      </w:r>
      <w:r w:rsidR="00343BD4" w:rsidRPr="00343BD4">
        <w:t>paragraph (</w:t>
      </w:r>
      <w:r w:rsidRPr="00343BD4">
        <w:t>aa) does not apply and the entity”.</w:t>
      </w:r>
    </w:p>
    <w:p w:rsidR="0084393D" w:rsidRPr="00343BD4" w:rsidRDefault="00C63933" w:rsidP="00343BD4">
      <w:pPr>
        <w:pStyle w:val="ItemHead"/>
      </w:pPr>
      <w:r w:rsidRPr="00343BD4">
        <w:t>12</w:t>
      </w:r>
      <w:r w:rsidR="0084393D" w:rsidRPr="00343BD4">
        <w:t xml:space="preserve">  At the end of section</w:t>
      </w:r>
      <w:r w:rsidR="00343BD4" w:rsidRPr="00343BD4">
        <w:t> </w:t>
      </w:r>
      <w:r w:rsidR="0084393D" w:rsidRPr="00343BD4">
        <w:t>960</w:t>
      </w:r>
      <w:r w:rsidR="00DB3488">
        <w:noBreakHyphen/>
      </w:r>
      <w:r w:rsidR="0084393D" w:rsidRPr="00343BD4">
        <w:t>565</w:t>
      </w:r>
    </w:p>
    <w:p w:rsidR="0084393D" w:rsidRPr="00343BD4" w:rsidRDefault="0084393D" w:rsidP="00343BD4">
      <w:pPr>
        <w:pStyle w:val="Item"/>
      </w:pPr>
      <w:r w:rsidRPr="00343BD4">
        <w:t>Add:</w:t>
      </w:r>
    </w:p>
    <w:p w:rsidR="0084393D" w:rsidRPr="00343BD4" w:rsidRDefault="0084393D" w:rsidP="00343BD4">
      <w:pPr>
        <w:pStyle w:val="subsection"/>
      </w:pPr>
      <w:r w:rsidRPr="00343BD4">
        <w:tab/>
        <w:t>(2)</w:t>
      </w:r>
      <w:r w:rsidRPr="00343BD4">
        <w:tab/>
      </w:r>
      <w:r w:rsidR="00343BD4" w:rsidRPr="00343BD4">
        <w:t>Subsection (</w:t>
      </w:r>
      <w:r w:rsidRPr="00343BD4">
        <w:t>3) applies if:</w:t>
      </w:r>
    </w:p>
    <w:p w:rsidR="0084393D" w:rsidRPr="00343BD4" w:rsidRDefault="0084393D" w:rsidP="00343BD4">
      <w:pPr>
        <w:pStyle w:val="paragraph"/>
      </w:pPr>
      <w:r w:rsidRPr="00343BD4">
        <w:tab/>
        <w:t>(a)</w:t>
      </w:r>
      <w:r w:rsidRPr="00343BD4">
        <w:tab/>
      </w:r>
      <w:r w:rsidR="00343BD4" w:rsidRPr="00343BD4">
        <w:rPr>
          <w:position w:val="6"/>
          <w:sz w:val="16"/>
        </w:rPr>
        <w:t>*</w:t>
      </w:r>
      <w:r w:rsidRPr="00343BD4">
        <w:t>global financial statement</w:t>
      </w:r>
      <w:bookmarkStart w:id="19" w:name="BK_S3P6L27C33"/>
      <w:bookmarkEnd w:id="19"/>
      <w:r w:rsidRPr="00343BD4">
        <w:t>s have not been prepared for the entity for the period; or</w:t>
      </w:r>
    </w:p>
    <w:p w:rsidR="0084393D" w:rsidRPr="00343BD4" w:rsidRDefault="0084393D" w:rsidP="00343BD4">
      <w:pPr>
        <w:pStyle w:val="paragraph"/>
      </w:pPr>
      <w:r w:rsidRPr="00343BD4">
        <w:tab/>
        <w:t>(b)</w:t>
      </w:r>
      <w:r w:rsidRPr="00343BD4">
        <w:tab/>
        <w:t xml:space="preserve">global financial statements have not been prepared for the entity for the period that show the total annual income mentioned in </w:t>
      </w:r>
      <w:r w:rsidR="00343BD4" w:rsidRPr="00343BD4">
        <w:t>subsection (</w:t>
      </w:r>
      <w:r w:rsidRPr="00343BD4">
        <w:t>1).</w:t>
      </w:r>
    </w:p>
    <w:p w:rsidR="0084393D" w:rsidRPr="00343BD4" w:rsidRDefault="0084393D" w:rsidP="00343BD4">
      <w:pPr>
        <w:pStyle w:val="subsection"/>
      </w:pPr>
      <w:r w:rsidRPr="00343BD4">
        <w:tab/>
        <w:t>(3)</w:t>
      </w:r>
      <w:r w:rsidRPr="00343BD4">
        <w:tab/>
        <w:t xml:space="preserve">Despite </w:t>
      </w:r>
      <w:r w:rsidR="00343BD4" w:rsidRPr="00343BD4">
        <w:t>subsection (</w:t>
      </w:r>
      <w:r w:rsidRPr="00343BD4">
        <w:t xml:space="preserve">1), the </w:t>
      </w:r>
      <w:r w:rsidRPr="00343BD4">
        <w:rPr>
          <w:b/>
          <w:i/>
        </w:rPr>
        <w:t>annual global income</w:t>
      </w:r>
      <w:r w:rsidRPr="00343BD4">
        <w:t xml:space="preserve"> of the </w:t>
      </w:r>
      <w:r w:rsidR="00343BD4" w:rsidRPr="00343BD4">
        <w:rPr>
          <w:position w:val="6"/>
          <w:sz w:val="16"/>
        </w:rPr>
        <w:t>*</w:t>
      </w:r>
      <w:r w:rsidRPr="00343BD4">
        <w:t xml:space="preserve">entity for the period is the amount that would be, on the assumption that such </w:t>
      </w:r>
      <w:r w:rsidRPr="00343BD4">
        <w:lastRenderedPageBreak/>
        <w:t xml:space="preserve">statements had been prepared, the total annual income mentioned in </w:t>
      </w:r>
      <w:r w:rsidR="00343BD4" w:rsidRPr="00343BD4">
        <w:t>subsection (</w:t>
      </w:r>
      <w:r w:rsidRPr="00343BD4">
        <w:t>1) shown in those statements.</w:t>
      </w:r>
    </w:p>
    <w:p w:rsidR="0084393D" w:rsidRPr="00343BD4" w:rsidRDefault="00C63933" w:rsidP="00343BD4">
      <w:pPr>
        <w:pStyle w:val="ItemHead"/>
      </w:pPr>
      <w:r w:rsidRPr="00343BD4">
        <w:t>13</w:t>
      </w:r>
      <w:r w:rsidR="0084393D" w:rsidRPr="00343BD4">
        <w:t xml:space="preserve">  Section</w:t>
      </w:r>
      <w:r w:rsidR="00343BD4" w:rsidRPr="00343BD4">
        <w:t> </w:t>
      </w:r>
      <w:r w:rsidR="0084393D" w:rsidRPr="00343BD4">
        <w:t>960</w:t>
      </w:r>
      <w:r w:rsidR="00DB3488">
        <w:noBreakHyphen/>
      </w:r>
      <w:r w:rsidR="0084393D" w:rsidRPr="00343BD4">
        <w:t>570</w:t>
      </w:r>
    </w:p>
    <w:p w:rsidR="0084393D" w:rsidRPr="00343BD4" w:rsidRDefault="0084393D" w:rsidP="00343BD4">
      <w:pPr>
        <w:pStyle w:val="Item"/>
      </w:pPr>
      <w:r w:rsidRPr="00343BD4">
        <w:t xml:space="preserve">Omit “for a </w:t>
      </w:r>
      <w:r w:rsidR="00343BD4" w:rsidRPr="00343BD4">
        <w:rPr>
          <w:position w:val="6"/>
          <w:sz w:val="16"/>
        </w:rPr>
        <w:t>*</w:t>
      </w:r>
      <w:r w:rsidRPr="00343BD4">
        <w:t>global parent entity”, substitute “for an entity”.</w:t>
      </w:r>
    </w:p>
    <w:p w:rsidR="0084393D" w:rsidRPr="00343BD4" w:rsidRDefault="00C63933" w:rsidP="00343BD4">
      <w:pPr>
        <w:pStyle w:val="ItemHead"/>
      </w:pPr>
      <w:r w:rsidRPr="00343BD4">
        <w:t>14</w:t>
      </w:r>
      <w:r w:rsidR="0084393D" w:rsidRPr="00343BD4">
        <w:t xml:space="preserve">  At the end of Subdivision</w:t>
      </w:r>
      <w:r w:rsidR="00343BD4" w:rsidRPr="00343BD4">
        <w:t> </w:t>
      </w:r>
      <w:r w:rsidR="0084393D" w:rsidRPr="00343BD4">
        <w:t>960</w:t>
      </w:r>
      <w:r w:rsidR="00DB3488">
        <w:noBreakHyphen/>
      </w:r>
      <w:r w:rsidR="0084393D" w:rsidRPr="00343BD4">
        <w:t>U</w:t>
      </w:r>
    </w:p>
    <w:p w:rsidR="0084393D" w:rsidRPr="00343BD4" w:rsidRDefault="0084393D" w:rsidP="00343BD4">
      <w:pPr>
        <w:pStyle w:val="Item"/>
      </w:pPr>
      <w:r w:rsidRPr="00343BD4">
        <w:t>Add:</w:t>
      </w:r>
    </w:p>
    <w:p w:rsidR="0084393D" w:rsidRPr="00343BD4" w:rsidRDefault="0084393D" w:rsidP="00343BD4">
      <w:pPr>
        <w:pStyle w:val="ActHead5"/>
      </w:pPr>
      <w:bookmarkStart w:id="20" w:name="_Toc41406746"/>
      <w:r w:rsidRPr="00BE2E2D">
        <w:rPr>
          <w:rStyle w:val="CharSectno"/>
        </w:rPr>
        <w:t>960</w:t>
      </w:r>
      <w:r w:rsidR="00DB3488">
        <w:rPr>
          <w:rStyle w:val="CharSectno"/>
        </w:rPr>
        <w:noBreakHyphen/>
      </w:r>
      <w:r w:rsidRPr="00BE2E2D">
        <w:rPr>
          <w:rStyle w:val="CharSectno"/>
        </w:rPr>
        <w:t>575</w:t>
      </w:r>
      <w:r w:rsidRPr="00343BD4">
        <w:t xml:space="preserve">  Meaning of </w:t>
      </w:r>
      <w:r w:rsidRPr="00343BD4">
        <w:rPr>
          <w:i/>
        </w:rPr>
        <w:t>notional listed company group</w:t>
      </w:r>
      <w:bookmarkEnd w:id="20"/>
    </w:p>
    <w:p w:rsidR="0084393D" w:rsidRPr="00343BD4" w:rsidRDefault="0084393D" w:rsidP="00343BD4">
      <w:pPr>
        <w:pStyle w:val="subsection"/>
      </w:pPr>
      <w:r w:rsidRPr="00343BD4">
        <w:tab/>
        <w:t>(1)</w:t>
      </w:r>
      <w:r w:rsidRPr="00343BD4">
        <w:tab/>
        <w:t>A</w:t>
      </w:r>
      <w:r w:rsidRPr="00343BD4">
        <w:rPr>
          <w:b/>
          <w:i/>
        </w:rPr>
        <w:t xml:space="preserve"> notional listed company group</w:t>
      </w:r>
      <w:r w:rsidRPr="00343BD4">
        <w:t xml:space="preserve"> is a group of entities that would be required to be consolidated for accounting purposes as a single group, on the assumption that an entity (the </w:t>
      </w:r>
      <w:r w:rsidRPr="00343BD4">
        <w:rPr>
          <w:b/>
          <w:i/>
        </w:rPr>
        <w:t>test entity</w:t>
      </w:r>
      <w:r w:rsidRPr="00343BD4">
        <w:t>) were a listed company (within the meaning of section</w:t>
      </w:r>
      <w:r w:rsidR="00343BD4" w:rsidRPr="00343BD4">
        <w:t> </w:t>
      </w:r>
      <w:r w:rsidRPr="00343BD4">
        <w:t>26BC of the</w:t>
      </w:r>
      <w:r w:rsidRPr="00343BD4">
        <w:rPr>
          <w:i/>
        </w:rPr>
        <w:t xml:space="preserve"> Income Tax Assessment Act 1936</w:t>
      </w:r>
      <w:r w:rsidRPr="00343BD4">
        <w:t>).</w:t>
      </w:r>
    </w:p>
    <w:p w:rsidR="0084393D" w:rsidRPr="00343BD4" w:rsidRDefault="0084393D" w:rsidP="00343BD4">
      <w:pPr>
        <w:pStyle w:val="subsection"/>
      </w:pPr>
      <w:r w:rsidRPr="00343BD4">
        <w:tab/>
        <w:t>(2)</w:t>
      </w:r>
      <w:r w:rsidRPr="00343BD4">
        <w:tab/>
        <w:t>Each entity in that group is a</w:t>
      </w:r>
      <w:r w:rsidRPr="00343BD4">
        <w:rPr>
          <w:b/>
          <w:i/>
        </w:rPr>
        <w:t xml:space="preserve"> member</w:t>
      </w:r>
      <w:r w:rsidRPr="00343BD4">
        <w:t xml:space="preserve"> of the </w:t>
      </w:r>
      <w:r w:rsidR="00343BD4" w:rsidRPr="00343BD4">
        <w:rPr>
          <w:position w:val="6"/>
          <w:sz w:val="16"/>
        </w:rPr>
        <w:t>*</w:t>
      </w:r>
      <w:r w:rsidRPr="00343BD4">
        <w:t>notional listed company group.</w:t>
      </w:r>
    </w:p>
    <w:p w:rsidR="0084393D" w:rsidRPr="00343BD4" w:rsidRDefault="0084393D" w:rsidP="00343BD4">
      <w:pPr>
        <w:pStyle w:val="subsection"/>
      </w:pPr>
      <w:r w:rsidRPr="00343BD4">
        <w:tab/>
        <w:t>(3)</w:t>
      </w:r>
      <w:r w:rsidRPr="00343BD4">
        <w:tab/>
        <w:t xml:space="preserve">For the purposes of </w:t>
      </w:r>
      <w:r w:rsidR="00343BD4" w:rsidRPr="00343BD4">
        <w:t>subsection (</w:t>
      </w:r>
      <w:r w:rsidRPr="00343BD4">
        <w:t>1), determine whether a group of entities would be required to be consolidated for accounting purposes as a single group according to:</w:t>
      </w:r>
    </w:p>
    <w:p w:rsidR="0084393D" w:rsidRPr="00343BD4" w:rsidRDefault="0084393D" w:rsidP="00343BD4">
      <w:pPr>
        <w:pStyle w:val="paragraph"/>
      </w:pPr>
      <w:r w:rsidRPr="00343BD4">
        <w:tab/>
        <w:t>(a)</w:t>
      </w:r>
      <w:r w:rsidRPr="00343BD4">
        <w:tab/>
      </w:r>
      <w:r w:rsidR="00343BD4" w:rsidRPr="00343BD4">
        <w:rPr>
          <w:position w:val="6"/>
          <w:sz w:val="16"/>
        </w:rPr>
        <w:t>*</w:t>
      </w:r>
      <w:r w:rsidRPr="00343BD4">
        <w:t>accounting principles; or</w:t>
      </w:r>
    </w:p>
    <w:p w:rsidR="0084393D" w:rsidRPr="00343BD4" w:rsidRDefault="0084393D" w:rsidP="00343BD4">
      <w:pPr>
        <w:pStyle w:val="paragraph"/>
      </w:pPr>
      <w:r w:rsidRPr="00343BD4">
        <w:tab/>
        <w:t>(b)</w:t>
      </w:r>
      <w:r w:rsidRPr="00343BD4">
        <w:tab/>
        <w:t>if accounting principles do not apply in relation to the test entity—commercially accepted principles related to accounting.</w:t>
      </w:r>
    </w:p>
    <w:p w:rsidR="0084393D" w:rsidRPr="00343BD4" w:rsidRDefault="0084393D" w:rsidP="00343BD4">
      <w:pPr>
        <w:pStyle w:val="subsection"/>
      </w:pPr>
      <w:r w:rsidRPr="00343BD4">
        <w:tab/>
        <w:t>(4)</w:t>
      </w:r>
      <w:r w:rsidRPr="00343BD4">
        <w:tab/>
        <w:t xml:space="preserve">In applying the </w:t>
      </w:r>
      <w:r w:rsidR="00343BD4" w:rsidRPr="00343BD4">
        <w:rPr>
          <w:position w:val="6"/>
          <w:sz w:val="16"/>
        </w:rPr>
        <w:t>*</w:t>
      </w:r>
      <w:r w:rsidRPr="00343BD4">
        <w:t xml:space="preserve">accounting principles or commercially accepted principles referred to in </w:t>
      </w:r>
      <w:r w:rsidR="00343BD4" w:rsidRPr="00343BD4">
        <w:t>subsection (</w:t>
      </w:r>
      <w:r w:rsidRPr="00343BD4">
        <w:t>3):</w:t>
      </w:r>
    </w:p>
    <w:p w:rsidR="0084393D" w:rsidRPr="00343BD4" w:rsidRDefault="0084393D" w:rsidP="00343BD4">
      <w:pPr>
        <w:pStyle w:val="paragraph"/>
      </w:pPr>
      <w:r w:rsidRPr="00343BD4">
        <w:tab/>
        <w:t>(a)</w:t>
      </w:r>
      <w:r w:rsidRPr="00343BD4">
        <w:tab/>
        <w:t>disregard any exceptions in those principles to requirements in those principles for entities to be consolidated as a single group; and</w:t>
      </w:r>
    </w:p>
    <w:p w:rsidR="0084393D" w:rsidRPr="00343BD4" w:rsidRDefault="0084393D" w:rsidP="00343BD4">
      <w:pPr>
        <w:pStyle w:val="paragraph"/>
      </w:pPr>
      <w:r w:rsidRPr="00343BD4">
        <w:tab/>
        <w:t>(b)</w:t>
      </w:r>
      <w:r w:rsidRPr="00343BD4">
        <w:tab/>
        <w:t xml:space="preserve">without limiting </w:t>
      </w:r>
      <w:r w:rsidR="00343BD4" w:rsidRPr="00343BD4">
        <w:t>paragraph (</w:t>
      </w:r>
      <w:r w:rsidRPr="00343BD4">
        <w:t>a), disregard any rule in those principles providing that one or more entities (the</w:t>
      </w:r>
      <w:r w:rsidRPr="00343BD4">
        <w:rPr>
          <w:b/>
          <w:i/>
        </w:rPr>
        <w:t xml:space="preserve"> excepted entities</w:t>
      </w:r>
      <w:r w:rsidRPr="00343BD4">
        <w:t>) are not</w:t>
      </w:r>
      <w:r w:rsidRPr="00343BD4">
        <w:rPr>
          <w:b/>
          <w:i/>
        </w:rPr>
        <w:t xml:space="preserve"> </w:t>
      </w:r>
      <w:r w:rsidRPr="00343BD4">
        <w:t>required to be consolidated as a single group with one or more other entities because the effect of such consolidation would be immaterial as a result of:</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the size of the excepted entities; or</w:t>
      </w:r>
    </w:p>
    <w:p w:rsidR="0084393D" w:rsidRPr="00343BD4" w:rsidRDefault="0084393D" w:rsidP="00343BD4">
      <w:pPr>
        <w:pStyle w:val="paragraphsub"/>
      </w:pPr>
      <w:r w:rsidRPr="00343BD4">
        <w:tab/>
        <w:t>(ii)</w:t>
      </w:r>
      <w:r w:rsidRPr="00343BD4">
        <w:tab/>
        <w:t>any other matter.</w:t>
      </w:r>
    </w:p>
    <w:p w:rsidR="0084393D" w:rsidRPr="00343BD4" w:rsidRDefault="00C63933" w:rsidP="00343BD4">
      <w:pPr>
        <w:pStyle w:val="ItemHead"/>
      </w:pPr>
      <w:r w:rsidRPr="00343BD4">
        <w:lastRenderedPageBreak/>
        <w:t>15</w:t>
      </w:r>
      <w:r w:rsidR="0084393D" w:rsidRPr="00343BD4">
        <w:t xml:space="preserve">  Subsection</w:t>
      </w:r>
      <w:r w:rsidR="00343BD4" w:rsidRPr="00343BD4">
        <w:t> </w:t>
      </w:r>
      <w:r w:rsidR="0084393D" w:rsidRPr="00343BD4">
        <w:t>995</w:t>
      </w:r>
      <w:r w:rsidR="00DB3488">
        <w:noBreakHyphen/>
      </w:r>
      <w:r w:rsidR="0084393D" w:rsidRPr="00343BD4">
        <w:t>1(1)</w:t>
      </w:r>
    </w:p>
    <w:p w:rsidR="0084393D" w:rsidRPr="00343BD4" w:rsidRDefault="0084393D" w:rsidP="00343BD4">
      <w:pPr>
        <w:pStyle w:val="Item"/>
      </w:pPr>
      <w:r w:rsidRPr="00343BD4">
        <w:t>Insert:</w:t>
      </w:r>
    </w:p>
    <w:p w:rsidR="0084393D" w:rsidRPr="00343BD4" w:rsidRDefault="0084393D" w:rsidP="00343BD4">
      <w:pPr>
        <w:pStyle w:val="Definition"/>
      </w:pPr>
      <w:r w:rsidRPr="00343BD4">
        <w:rPr>
          <w:b/>
          <w:i/>
        </w:rPr>
        <w:t>CBC reporting entity</w:t>
      </w:r>
      <w:r w:rsidRPr="00343BD4">
        <w:t xml:space="preserve">: see </w:t>
      </w:r>
      <w:r w:rsidRPr="00343BD4">
        <w:rPr>
          <w:b/>
          <w:i/>
        </w:rPr>
        <w:t>country by country reporting entity</w:t>
      </w:r>
      <w:r w:rsidRPr="00343BD4">
        <w:t>.</w:t>
      </w:r>
    </w:p>
    <w:p w:rsidR="0084393D" w:rsidRPr="00343BD4" w:rsidRDefault="0084393D" w:rsidP="00343BD4">
      <w:pPr>
        <w:pStyle w:val="Definition"/>
      </w:pPr>
      <w:r w:rsidRPr="00343BD4">
        <w:rPr>
          <w:b/>
          <w:i/>
        </w:rPr>
        <w:t>CBC reporting group</w:t>
      </w:r>
      <w:r w:rsidRPr="00343BD4">
        <w:t xml:space="preserve">: see </w:t>
      </w:r>
      <w:r w:rsidRPr="00343BD4">
        <w:rPr>
          <w:b/>
          <w:i/>
        </w:rPr>
        <w:t>country by country reporting group</w:t>
      </w:r>
      <w:r w:rsidRPr="00343BD4">
        <w:t>.</w:t>
      </w:r>
    </w:p>
    <w:p w:rsidR="0084393D" w:rsidRPr="00343BD4" w:rsidRDefault="0084393D" w:rsidP="00343BD4">
      <w:pPr>
        <w:pStyle w:val="Definition"/>
      </w:pPr>
      <w:r w:rsidRPr="00343BD4">
        <w:rPr>
          <w:b/>
          <w:i/>
        </w:rPr>
        <w:t>CBC reporting parent</w:t>
      </w:r>
      <w:r w:rsidRPr="00343BD4">
        <w:t xml:space="preserve">: see </w:t>
      </w:r>
      <w:r w:rsidRPr="00343BD4">
        <w:rPr>
          <w:b/>
          <w:i/>
        </w:rPr>
        <w:t>country by country reporting parent</w:t>
      </w:r>
      <w:r w:rsidRPr="00343BD4">
        <w:t>.</w:t>
      </w:r>
    </w:p>
    <w:p w:rsidR="0084393D" w:rsidRPr="00343BD4" w:rsidRDefault="0084393D" w:rsidP="00343BD4">
      <w:pPr>
        <w:pStyle w:val="Definition"/>
      </w:pPr>
      <w:r w:rsidRPr="00343BD4">
        <w:rPr>
          <w:b/>
          <w:i/>
        </w:rPr>
        <w:t>country by country reporting entity</w:t>
      </w:r>
      <w:r w:rsidRPr="00343BD4">
        <w:t xml:space="preserve"> has the meaning given by section</w:t>
      </w:r>
      <w:r w:rsidR="00343BD4" w:rsidRPr="00343BD4">
        <w:t> </w:t>
      </w:r>
      <w:r w:rsidRPr="00343BD4">
        <w:t>815</w:t>
      </w:r>
      <w:r w:rsidR="00DB3488">
        <w:noBreakHyphen/>
      </w:r>
      <w:r w:rsidRPr="00343BD4">
        <w:t>370.</w:t>
      </w:r>
    </w:p>
    <w:p w:rsidR="0084393D" w:rsidRPr="00343BD4" w:rsidRDefault="0084393D" w:rsidP="00343BD4">
      <w:pPr>
        <w:pStyle w:val="Definition"/>
      </w:pPr>
      <w:r w:rsidRPr="00343BD4">
        <w:rPr>
          <w:b/>
          <w:i/>
        </w:rPr>
        <w:t>country by country reporting group</w:t>
      </w:r>
      <w:r w:rsidRPr="00343BD4">
        <w:t xml:space="preserve"> has the meaning given by section</w:t>
      </w:r>
      <w:r w:rsidR="00343BD4" w:rsidRPr="00343BD4">
        <w:t> </w:t>
      </w:r>
      <w:r w:rsidRPr="00343BD4">
        <w:t>815</w:t>
      </w:r>
      <w:r w:rsidR="00DB3488">
        <w:noBreakHyphen/>
      </w:r>
      <w:r w:rsidRPr="00343BD4">
        <w:t>380.</w:t>
      </w:r>
    </w:p>
    <w:p w:rsidR="0084393D" w:rsidRPr="00343BD4" w:rsidRDefault="0084393D" w:rsidP="00343BD4">
      <w:pPr>
        <w:pStyle w:val="Definition"/>
      </w:pPr>
      <w:r w:rsidRPr="00343BD4">
        <w:rPr>
          <w:b/>
          <w:i/>
        </w:rPr>
        <w:t>country by country reporting parent</w:t>
      </w:r>
      <w:r w:rsidRPr="00343BD4">
        <w:t xml:space="preserve"> has the meaning given by section</w:t>
      </w:r>
      <w:r w:rsidR="00343BD4" w:rsidRPr="00343BD4">
        <w:t> </w:t>
      </w:r>
      <w:r w:rsidRPr="00343BD4">
        <w:t>815</w:t>
      </w:r>
      <w:r w:rsidR="00DB3488">
        <w:noBreakHyphen/>
      </w:r>
      <w:r w:rsidRPr="00343BD4">
        <w:t>375.</w:t>
      </w:r>
    </w:p>
    <w:p w:rsidR="0084393D" w:rsidRPr="00343BD4" w:rsidRDefault="00C63933" w:rsidP="00343BD4">
      <w:pPr>
        <w:pStyle w:val="ItemHead"/>
      </w:pPr>
      <w:r w:rsidRPr="00343BD4">
        <w:t>16</w:t>
      </w:r>
      <w:r w:rsidR="0084393D" w:rsidRPr="00343BD4">
        <w:t xml:space="preserve">  Subsection</w:t>
      </w:r>
      <w:r w:rsidR="00343BD4" w:rsidRPr="00343BD4">
        <w:t> </w:t>
      </w:r>
      <w:r w:rsidR="0084393D" w:rsidRPr="00343BD4">
        <w:t>995</w:t>
      </w:r>
      <w:r w:rsidR="00DB3488">
        <w:noBreakHyphen/>
      </w:r>
      <w:r w:rsidR="0084393D" w:rsidRPr="00343BD4">
        <w:t xml:space="preserve">1(1) (after </w:t>
      </w:r>
      <w:r w:rsidR="00343BD4" w:rsidRPr="00343BD4">
        <w:t>paragraph (</w:t>
      </w:r>
      <w:r w:rsidR="0084393D" w:rsidRPr="00343BD4">
        <w:t>bb) of the definition of</w:t>
      </w:r>
      <w:r w:rsidR="0084393D" w:rsidRPr="00343BD4">
        <w:rPr>
          <w:i/>
        </w:rPr>
        <w:t xml:space="preserve"> member</w:t>
      </w:r>
      <w:r w:rsidR="0084393D" w:rsidRPr="00343BD4">
        <w:t>)</w:t>
      </w:r>
    </w:p>
    <w:p w:rsidR="0084393D" w:rsidRPr="00343BD4" w:rsidRDefault="0084393D" w:rsidP="00343BD4">
      <w:pPr>
        <w:pStyle w:val="Item"/>
      </w:pPr>
      <w:r w:rsidRPr="00343BD4">
        <w:t>Insert:</w:t>
      </w:r>
    </w:p>
    <w:p w:rsidR="0084393D" w:rsidRPr="00343BD4" w:rsidRDefault="0084393D" w:rsidP="00343BD4">
      <w:pPr>
        <w:pStyle w:val="paragraph"/>
      </w:pPr>
      <w:r w:rsidRPr="00343BD4">
        <w:tab/>
        <w:t>(</w:t>
      </w:r>
      <w:proofErr w:type="spellStart"/>
      <w:r w:rsidRPr="00343BD4">
        <w:t>bc</w:t>
      </w:r>
      <w:proofErr w:type="spellEnd"/>
      <w:r w:rsidRPr="00343BD4">
        <w:t>)</w:t>
      </w:r>
      <w:r w:rsidRPr="00343BD4">
        <w:tab/>
        <w:t xml:space="preserve">in relation to a </w:t>
      </w:r>
      <w:r w:rsidR="00343BD4" w:rsidRPr="00343BD4">
        <w:rPr>
          <w:position w:val="6"/>
          <w:sz w:val="16"/>
        </w:rPr>
        <w:t>*</w:t>
      </w:r>
      <w:r w:rsidRPr="00343BD4">
        <w:t>country by country reporting group—has the meaning given by section</w:t>
      </w:r>
      <w:r w:rsidR="00343BD4" w:rsidRPr="00343BD4">
        <w:t> </w:t>
      </w:r>
      <w:r w:rsidRPr="00343BD4">
        <w:t>815</w:t>
      </w:r>
      <w:r w:rsidR="00DB3488">
        <w:noBreakHyphen/>
      </w:r>
      <w:r w:rsidRPr="00343BD4">
        <w:t>380; and</w:t>
      </w:r>
    </w:p>
    <w:p w:rsidR="0084393D" w:rsidRPr="00343BD4" w:rsidRDefault="0084393D" w:rsidP="00343BD4">
      <w:pPr>
        <w:pStyle w:val="paragraph"/>
      </w:pPr>
      <w:r w:rsidRPr="00343BD4">
        <w:tab/>
        <w:t>(</w:t>
      </w:r>
      <w:proofErr w:type="spellStart"/>
      <w:r w:rsidRPr="00343BD4">
        <w:t>bd</w:t>
      </w:r>
      <w:proofErr w:type="spellEnd"/>
      <w:r w:rsidRPr="00343BD4">
        <w:t>)</w:t>
      </w:r>
      <w:r w:rsidRPr="00343BD4">
        <w:tab/>
        <w:t xml:space="preserve">in relation to a </w:t>
      </w:r>
      <w:r w:rsidR="00343BD4" w:rsidRPr="00343BD4">
        <w:rPr>
          <w:position w:val="6"/>
          <w:sz w:val="16"/>
        </w:rPr>
        <w:t>*</w:t>
      </w:r>
      <w:r w:rsidRPr="00343BD4">
        <w:t>notional listed company group—has the meaning given by section</w:t>
      </w:r>
      <w:r w:rsidR="00343BD4" w:rsidRPr="00343BD4">
        <w:t> </w:t>
      </w:r>
      <w:r w:rsidRPr="00343BD4">
        <w:t>960</w:t>
      </w:r>
      <w:r w:rsidR="00DB3488">
        <w:noBreakHyphen/>
      </w:r>
      <w:r w:rsidRPr="00343BD4">
        <w:t>575; and</w:t>
      </w:r>
    </w:p>
    <w:p w:rsidR="0084393D" w:rsidRPr="00343BD4" w:rsidRDefault="00C63933" w:rsidP="00343BD4">
      <w:pPr>
        <w:pStyle w:val="ItemHead"/>
      </w:pPr>
      <w:r w:rsidRPr="00343BD4">
        <w:t>17</w:t>
      </w:r>
      <w:r w:rsidR="0084393D" w:rsidRPr="00343BD4">
        <w:t xml:space="preserve">  Subsection</w:t>
      </w:r>
      <w:r w:rsidR="00343BD4" w:rsidRPr="00343BD4">
        <w:t> </w:t>
      </w:r>
      <w:r w:rsidR="0084393D" w:rsidRPr="00343BD4">
        <w:t>995</w:t>
      </w:r>
      <w:r w:rsidR="00DB3488">
        <w:noBreakHyphen/>
      </w:r>
      <w:r w:rsidR="0084393D" w:rsidRPr="00343BD4">
        <w:t>1(1)</w:t>
      </w:r>
    </w:p>
    <w:p w:rsidR="0084393D" w:rsidRPr="00343BD4" w:rsidRDefault="0084393D" w:rsidP="00343BD4">
      <w:pPr>
        <w:pStyle w:val="Item"/>
      </w:pPr>
      <w:r w:rsidRPr="00343BD4">
        <w:t>Insert:</w:t>
      </w:r>
    </w:p>
    <w:p w:rsidR="0084393D" w:rsidRPr="00343BD4" w:rsidRDefault="0084393D" w:rsidP="00343BD4">
      <w:pPr>
        <w:pStyle w:val="Definition"/>
      </w:pPr>
      <w:r w:rsidRPr="00343BD4">
        <w:rPr>
          <w:b/>
          <w:i/>
        </w:rPr>
        <w:t xml:space="preserve">notional listed company group </w:t>
      </w:r>
      <w:r w:rsidRPr="00343BD4">
        <w:t>has the meaning given by section</w:t>
      </w:r>
      <w:r w:rsidR="00343BD4" w:rsidRPr="00343BD4">
        <w:t> </w:t>
      </w:r>
      <w:r w:rsidRPr="00343BD4">
        <w:t>960</w:t>
      </w:r>
      <w:r w:rsidR="00DB3488">
        <w:noBreakHyphen/>
      </w:r>
      <w:r w:rsidRPr="00343BD4">
        <w:t>575.</w:t>
      </w:r>
    </w:p>
    <w:p w:rsidR="0084393D" w:rsidRPr="00343BD4" w:rsidRDefault="0084393D" w:rsidP="00343BD4">
      <w:pPr>
        <w:pStyle w:val="ActHead9"/>
        <w:rPr>
          <w:i w:val="0"/>
        </w:rPr>
      </w:pPr>
      <w:bookmarkStart w:id="21" w:name="_Toc41406747"/>
      <w:r w:rsidRPr="00343BD4">
        <w:t>Taxation Administration Act 1953</w:t>
      </w:r>
      <w:bookmarkStart w:id="22" w:name="BK_S3P8L25C33"/>
      <w:bookmarkEnd w:id="22"/>
      <w:bookmarkEnd w:id="21"/>
    </w:p>
    <w:p w:rsidR="0084393D" w:rsidRPr="00343BD4" w:rsidRDefault="00C63933" w:rsidP="00343BD4">
      <w:pPr>
        <w:pStyle w:val="ItemHead"/>
      </w:pPr>
      <w:r w:rsidRPr="00343BD4">
        <w:t>18</w:t>
      </w:r>
      <w:r w:rsidR="0084393D" w:rsidRPr="00343BD4">
        <w:t xml:space="preserve">  Section</w:t>
      </w:r>
      <w:r w:rsidR="00343BD4" w:rsidRPr="00343BD4">
        <w:t> </w:t>
      </w:r>
      <w:r w:rsidR="0084393D" w:rsidRPr="00343BD4">
        <w:t>3CA (heading)</w:t>
      </w:r>
    </w:p>
    <w:p w:rsidR="0084393D" w:rsidRPr="00343BD4" w:rsidRDefault="0084393D" w:rsidP="00343BD4">
      <w:pPr>
        <w:pStyle w:val="Item"/>
      </w:pPr>
      <w:r w:rsidRPr="00343BD4">
        <w:t>Repeal the heading, substitute:</w:t>
      </w:r>
    </w:p>
    <w:p w:rsidR="0084393D" w:rsidRPr="00343BD4" w:rsidRDefault="0084393D" w:rsidP="00343BD4">
      <w:pPr>
        <w:pStyle w:val="ActHead5"/>
      </w:pPr>
      <w:bookmarkStart w:id="23" w:name="_Toc41406748"/>
      <w:r w:rsidRPr="00BE2E2D">
        <w:rPr>
          <w:rStyle w:val="CharSectno"/>
        </w:rPr>
        <w:lastRenderedPageBreak/>
        <w:t>3CA</w:t>
      </w:r>
      <w:r w:rsidRPr="00343BD4">
        <w:t xml:space="preserve">  Reporting of information by corporate country by country reporting entities</w:t>
      </w:r>
      <w:bookmarkEnd w:id="23"/>
    </w:p>
    <w:p w:rsidR="0084393D" w:rsidRPr="00343BD4" w:rsidRDefault="00C63933" w:rsidP="00343BD4">
      <w:pPr>
        <w:pStyle w:val="ItemHead"/>
      </w:pPr>
      <w:r w:rsidRPr="00343BD4">
        <w:t>19</w:t>
      </w:r>
      <w:r w:rsidR="0084393D" w:rsidRPr="00343BD4">
        <w:t xml:space="preserve">  Paragraph</w:t>
      </w:r>
      <w:r w:rsidR="00343BD4" w:rsidRPr="00343BD4">
        <w:t xml:space="preserve"> </w:t>
      </w:r>
      <w:r w:rsidR="0084393D" w:rsidRPr="00343BD4">
        <w:t>3CA(1)(a)</w:t>
      </w:r>
    </w:p>
    <w:p w:rsidR="0084393D" w:rsidRPr="00343BD4" w:rsidRDefault="0084393D" w:rsidP="00343BD4">
      <w:pPr>
        <w:pStyle w:val="Item"/>
      </w:pPr>
      <w:r w:rsidRPr="00343BD4">
        <w:t>Omit “significant global entity”, substitute “country by country reporting entity”.</w:t>
      </w:r>
    </w:p>
    <w:p w:rsidR="0084393D" w:rsidRPr="00343BD4" w:rsidRDefault="00C63933" w:rsidP="00343BD4">
      <w:pPr>
        <w:pStyle w:val="ItemHead"/>
      </w:pPr>
      <w:r w:rsidRPr="00343BD4">
        <w:t>20</w:t>
      </w:r>
      <w:r w:rsidR="0084393D" w:rsidRPr="00343BD4">
        <w:t xml:space="preserve">  After subsection</w:t>
      </w:r>
      <w:r w:rsidR="00343BD4" w:rsidRPr="00343BD4">
        <w:t> </w:t>
      </w:r>
      <w:r w:rsidR="0084393D" w:rsidRPr="00343BD4">
        <w:t>3CA(1)</w:t>
      </w:r>
    </w:p>
    <w:p w:rsidR="00AD260F" w:rsidRPr="00343BD4" w:rsidRDefault="00AD260F" w:rsidP="00343BD4">
      <w:pPr>
        <w:pStyle w:val="Item"/>
      </w:pPr>
      <w:r w:rsidRPr="00343BD4">
        <w:t>Insert:</w:t>
      </w:r>
    </w:p>
    <w:p w:rsidR="0084393D" w:rsidRPr="00343BD4" w:rsidRDefault="0084393D" w:rsidP="00343BD4">
      <w:pPr>
        <w:pStyle w:val="subsection"/>
      </w:pPr>
      <w:r w:rsidRPr="00343BD4">
        <w:tab/>
        <w:t>(1A)</w:t>
      </w:r>
      <w:r w:rsidRPr="00343BD4">
        <w:tab/>
        <w:t>However, this section does not apply to a corporate tax entity for an income year if:</w:t>
      </w:r>
    </w:p>
    <w:p w:rsidR="0084393D" w:rsidRPr="00343BD4" w:rsidRDefault="0084393D" w:rsidP="00343BD4">
      <w:pPr>
        <w:pStyle w:val="paragraph"/>
      </w:pPr>
      <w:r w:rsidRPr="00343BD4">
        <w:tab/>
        <w:t>(a)</w:t>
      </w:r>
      <w:r w:rsidRPr="00343BD4">
        <w:tab/>
        <w:t xml:space="preserve">the entity is a government related entity (within the meaning of the </w:t>
      </w:r>
      <w:r w:rsidRPr="00343BD4">
        <w:rPr>
          <w:i/>
        </w:rPr>
        <w:t>A New Tax System (Goods and Services Tax) Act 1999</w:t>
      </w:r>
      <w:r w:rsidRPr="00343BD4">
        <w:t>); and</w:t>
      </w:r>
    </w:p>
    <w:p w:rsidR="0084393D" w:rsidRPr="00343BD4" w:rsidRDefault="0084393D" w:rsidP="00343BD4">
      <w:pPr>
        <w:pStyle w:val="paragraph"/>
      </w:pPr>
      <w:r w:rsidRPr="00343BD4">
        <w:tab/>
        <w:t>(b)</w:t>
      </w:r>
      <w:r w:rsidRPr="00343BD4">
        <w:tab/>
        <w:t xml:space="preserve">the Commissioner has given notice to the entity for the income year under </w:t>
      </w:r>
      <w:r w:rsidR="00343BD4" w:rsidRPr="00343BD4">
        <w:t>subsection (</w:t>
      </w:r>
      <w:r w:rsidRPr="00343BD4">
        <w:t>1B).</w:t>
      </w:r>
    </w:p>
    <w:p w:rsidR="0084393D" w:rsidRPr="00343BD4" w:rsidRDefault="0084393D" w:rsidP="00343BD4">
      <w:pPr>
        <w:pStyle w:val="subsection"/>
      </w:pPr>
      <w:r w:rsidRPr="00343BD4">
        <w:tab/>
        <w:t>(1B)</w:t>
      </w:r>
      <w:r w:rsidRPr="00343BD4">
        <w:tab/>
        <w:t xml:space="preserve">For the purposes of </w:t>
      </w:r>
      <w:r w:rsidR="00343BD4" w:rsidRPr="00343BD4">
        <w:t>paragraph (</w:t>
      </w:r>
      <w:r w:rsidRPr="00343BD4">
        <w:t>1A)(b), the Commissioner may give notice in writi</w:t>
      </w:r>
      <w:bookmarkStart w:id="24" w:name="BK_S3P9L16C21"/>
      <w:bookmarkEnd w:id="24"/>
      <w:r w:rsidRPr="00343BD4">
        <w:t xml:space="preserve">ng to a government related entity (within the meaning of the </w:t>
      </w:r>
      <w:r w:rsidRPr="00343BD4">
        <w:rPr>
          <w:i/>
        </w:rPr>
        <w:t>A New Tax System (Goods and Services Tax) Act 1999</w:t>
      </w:r>
      <w:r w:rsidRPr="00343BD4">
        <w:t>) for one or more specified income years if the Commissioner considers that it is appropriate to do so.</w:t>
      </w:r>
    </w:p>
    <w:p w:rsidR="0084393D" w:rsidRPr="00343BD4" w:rsidRDefault="00C63933" w:rsidP="00343BD4">
      <w:pPr>
        <w:pStyle w:val="Transitional"/>
      </w:pPr>
      <w:r w:rsidRPr="00343BD4">
        <w:t>21</w:t>
      </w:r>
      <w:r w:rsidR="0084393D" w:rsidRPr="00343BD4">
        <w:t xml:space="preserve">  Application</w:t>
      </w:r>
    </w:p>
    <w:p w:rsidR="0084393D" w:rsidRPr="00343BD4" w:rsidRDefault="0084393D" w:rsidP="00343BD4">
      <w:pPr>
        <w:pStyle w:val="Subitem"/>
      </w:pPr>
      <w:r w:rsidRPr="00343BD4">
        <w:t>(1)</w:t>
      </w:r>
      <w:r w:rsidRPr="00343BD4">
        <w:tab/>
        <w:t>The amendments made by this Schedule apply in relation to income years or other periods starting on or after 1</w:t>
      </w:r>
      <w:r w:rsidR="00343BD4" w:rsidRPr="00343BD4">
        <w:t> </w:t>
      </w:r>
      <w:r w:rsidRPr="00343BD4">
        <w:t>July 2019.</w:t>
      </w:r>
    </w:p>
    <w:p w:rsidR="0084393D" w:rsidRPr="00343BD4" w:rsidRDefault="0084393D" w:rsidP="00343BD4">
      <w:pPr>
        <w:pStyle w:val="Subitem"/>
      </w:pPr>
      <w:r w:rsidRPr="00343BD4">
        <w:t>(2)</w:t>
      </w:r>
      <w:r w:rsidRPr="00343BD4">
        <w:tab/>
        <w:t>To avoid doubt, the amendments made by this Schedule apply for the purposes of working out whether an entity was a CBC reporting entity for a period as mentioned in paragraph</w:t>
      </w:r>
      <w:r w:rsidR="00343BD4" w:rsidRPr="00343BD4">
        <w:t> </w:t>
      </w:r>
      <w:r w:rsidRPr="00343BD4">
        <w:t>815</w:t>
      </w:r>
      <w:r w:rsidR="00DB3488">
        <w:noBreakHyphen/>
      </w:r>
      <w:r w:rsidRPr="00343BD4">
        <w:t>355(1)(a) of the</w:t>
      </w:r>
      <w:r w:rsidRPr="00343BD4">
        <w:rPr>
          <w:i/>
        </w:rPr>
        <w:t xml:space="preserve"> Income Tax Assessment Act 1997 </w:t>
      </w:r>
      <w:r w:rsidRPr="00343BD4">
        <w:t>(as amended by this Schedule), even if that period started before 1</w:t>
      </w:r>
      <w:r w:rsidR="00343BD4" w:rsidRPr="00343BD4">
        <w:t> </w:t>
      </w:r>
      <w:r w:rsidRPr="00343BD4">
        <w:t>July 2019.</w:t>
      </w:r>
    </w:p>
    <w:p w:rsidR="0084393D" w:rsidRPr="00343BD4" w:rsidRDefault="0084393D" w:rsidP="00343BD4">
      <w:pPr>
        <w:pStyle w:val="Subitem"/>
      </w:pPr>
      <w:r w:rsidRPr="00343BD4">
        <w:t>(3)</w:t>
      </w:r>
      <w:r w:rsidRPr="00343BD4">
        <w:tab/>
      </w:r>
      <w:proofErr w:type="spellStart"/>
      <w:r w:rsidR="00343BD4" w:rsidRPr="00343BD4">
        <w:t>Subitem</w:t>
      </w:r>
      <w:proofErr w:type="spellEnd"/>
      <w:r w:rsidR="00343BD4" w:rsidRPr="00343BD4">
        <w:t> (</w:t>
      </w:r>
      <w:r w:rsidRPr="00343BD4">
        <w:t>4) applies if:</w:t>
      </w:r>
    </w:p>
    <w:p w:rsidR="0084393D" w:rsidRPr="00343BD4" w:rsidRDefault="0084393D" w:rsidP="00343BD4">
      <w:pPr>
        <w:pStyle w:val="paragraph"/>
      </w:pPr>
      <w:r w:rsidRPr="00343BD4">
        <w:tab/>
        <w:t>(a)</w:t>
      </w:r>
      <w:r w:rsidRPr="00343BD4">
        <w:tab/>
        <w:t>an entity is a significant global entity for an income year or other period that starts:</w:t>
      </w:r>
    </w:p>
    <w:p w:rsidR="0084393D" w:rsidRPr="00343BD4" w:rsidRDefault="0084393D" w:rsidP="00343BD4">
      <w:pPr>
        <w:pStyle w:val="paragraphsub"/>
      </w:pPr>
      <w:r w:rsidRPr="00343BD4">
        <w:tab/>
        <w:t>(</w:t>
      </w:r>
      <w:proofErr w:type="spellStart"/>
      <w:r w:rsidRPr="00343BD4">
        <w:t>i</w:t>
      </w:r>
      <w:proofErr w:type="spellEnd"/>
      <w:r w:rsidRPr="00343BD4">
        <w:t>)</w:t>
      </w:r>
      <w:r w:rsidRPr="00343BD4">
        <w:tab/>
        <w:t>on or after 1</w:t>
      </w:r>
      <w:r w:rsidR="00343BD4" w:rsidRPr="00343BD4">
        <w:t> </w:t>
      </w:r>
      <w:r w:rsidRPr="00343BD4">
        <w:t>July 2019; and</w:t>
      </w:r>
    </w:p>
    <w:p w:rsidR="0084393D" w:rsidRPr="00343BD4" w:rsidRDefault="0084393D" w:rsidP="00343BD4">
      <w:pPr>
        <w:pStyle w:val="paragraphsub"/>
      </w:pPr>
      <w:r w:rsidRPr="00343BD4">
        <w:tab/>
        <w:t>(ii)</w:t>
      </w:r>
      <w:r w:rsidRPr="00343BD4">
        <w:tab/>
        <w:t>before 1</w:t>
      </w:r>
      <w:r w:rsidR="00343BD4" w:rsidRPr="00343BD4">
        <w:t> </w:t>
      </w:r>
      <w:r w:rsidRPr="00343BD4">
        <w:t>July 2020; and</w:t>
      </w:r>
    </w:p>
    <w:p w:rsidR="0084393D" w:rsidRPr="00343BD4" w:rsidRDefault="0084393D" w:rsidP="00343BD4">
      <w:pPr>
        <w:pStyle w:val="paragraph"/>
      </w:pPr>
      <w:r w:rsidRPr="00343BD4">
        <w:lastRenderedPageBreak/>
        <w:tab/>
        <w:t>(b)</w:t>
      </w:r>
      <w:r w:rsidRPr="00343BD4">
        <w:tab/>
        <w:t>disregarding the amendments made by this Schedule, the entity would not be a significant global entity for that income year or other period.</w:t>
      </w:r>
    </w:p>
    <w:p w:rsidR="0084393D" w:rsidRPr="00343BD4" w:rsidRDefault="0084393D" w:rsidP="00343BD4">
      <w:pPr>
        <w:pStyle w:val="Subitem"/>
      </w:pPr>
      <w:r w:rsidRPr="00343BD4">
        <w:t>(4)</w:t>
      </w:r>
      <w:r w:rsidRPr="00343BD4">
        <w:tab/>
        <w:t>For the purposes of Divisions</w:t>
      </w:r>
      <w:r w:rsidR="00343BD4" w:rsidRPr="00343BD4">
        <w:t> </w:t>
      </w:r>
      <w:r w:rsidRPr="00343BD4">
        <w:t>284 and 286 in Schedule</w:t>
      </w:r>
      <w:r w:rsidR="00343BD4" w:rsidRPr="00343BD4">
        <w:t> </w:t>
      </w:r>
      <w:r w:rsidRPr="00343BD4">
        <w:t xml:space="preserve">1 to the </w:t>
      </w:r>
      <w:r w:rsidRPr="00343BD4">
        <w:rPr>
          <w:i/>
        </w:rPr>
        <w:t>Taxation Administration Act 1953</w:t>
      </w:r>
      <w:r w:rsidRPr="00343BD4">
        <w:t>, treat the entity as not being a significant global entity for that income year or other period.</w:t>
      </w:r>
    </w:p>
    <w:p w:rsidR="00BE4548" w:rsidRPr="00343BD4" w:rsidRDefault="00BE4548" w:rsidP="00343BD4">
      <w:pPr>
        <w:pStyle w:val="ActHead6"/>
        <w:pageBreakBefore/>
      </w:pPr>
      <w:bookmarkStart w:id="25" w:name="_Toc41406749"/>
      <w:bookmarkStart w:id="26" w:name="opcCurrentFind"/>
      <w:r w:rsidRPr="00BE2E2D">
        <w:rPr>
          <w:rStyle w:val="CharAmSchNo"/>
        </w:rPr>
        <w:lastRenderedPageBreak/>
        <w:t>Schedule</w:t>
      </w:r>
      <w:r w:rsidR="00343BD4" w:rsidRPr="00BE2E2D">
        <w:rPr>
          <w:rStyle w:val="CharAmSchNo"/>
        </w:rPr>
        <w:t> </w:t>
      </w:r>
      <w:r w:rsidRPr="00BE2E2D">
        <w:rPr>
          <w:rStyle w:val="CharAmSchNo"/>
        </w:rPr>
        <w:t>2</w:t>
      </w:r>
      <w:r w:rsidRPr="00343BD4">
        <w:t>—</w:t>
      </w:r>
      <w:r w:rsidRPr="00BE2E2D">
        <w:rPr>
          <w:rStyle w:val="CharAmSchText"/>
        </w:rPr>
        <w:t>Merging superannuation funds</w:t>
      </w:r>
      <w:bookmarkEnd w:id="25"/>
    </w:p>
    <w:bookmarkEnd w:id="26"/>
    <w:p w:rsidR="00BE4548" w:rsidRPr="00BE2E2D" w:rsidRDefault="00BE4548" w:rsidP="00343BD4">
      <w:pPr>
        <w:pStyle w:val="Header"/>
      </w:pPr>
      <w:r w:rsidRPr="00BE2E2D">
        <w:rPr>
          <w:rStyle w:val="CharAmPartNo"/>
        </w:rPr>
        <w:t xml:space="preserve"> </w:t>
      </w:r>
      <w:r w:rsidRPr="00BE2E2D">
        <w:rPr>
          <w:rStyle w:val="CharAmPartText"/>
        </w:rPr>
        <w:t xml:space="preserve"> </w:t>
      </w:r>
    </w:p>
    <w:p w:rsidR="00BE4548" w:rsidRPr="00343BD4" w:rsidRDefault="00BE4548" w:rsidP="00343BD4">
      <w:pPr>
        <w:pStyle w:val="ActHead9"/>
        <w:rPr>
          <w:i w:val="0"/>
        </w:rPr>
      </w:pPr>
      <w:bookmarkStart w:id="27" w:name="_Toc41406750"/>
      <w:r w:rsidRPr="00343BD4">
        <w:t>Income Tax Assessment Act 1997</w:t>
      </w:r>
      <w:bookmarkEnd w:id="27"/>
    </w:p>
    <w:p w:rsidR="00BE4548" w:rsidRPr="00343BD4" w:rsidRDefault="00C63933" w:rsidP="00343BD4">
      <w:pPr>
        <w:pStyle w:val="ItemHead"/>
      </w:pPr>
      <w:r w:rsidRPr="00343BD4">
        <w:t>1</w:t>
      </w:r>
      <w:r w:rsidR="00BE4548" w:rsidRPr="00343BD4">
        <w:t xml:space="preserve">  Section</w:t>
      </w:r>
      <w:r w:rsidR="00343BD4" w:rsidRPr="00343BD4">
        <w:t> </w:t>
      </w:r>
      <w:r w:rsidR="00BE4548" w:rsidRPr="00343BD4">
        <w:t>310</w:t>
      </w:r>
      <w:r w:rsidR="00DB3488">
        <w:noBreakHyphen/>
      </w:r>
      <w:r w:rsidR="00BE4548" w:rsidRPr="00343BD4">
        <w:t>1 (notes 1 and 2)</w:t>
      </w:r>
    </w:p>
    <w:p w:rsidR="00BE4548" w:rsidRPr="00343BD4" w:rsidRDefault="00BE4548" w:rsidP="00343BD4">
      <w:pPr>
        <w:pStyle w:val="Item"/>
      </w:pPr>
      <w:r w:rsidRPr="00343BD4">
        <w:t>Repeal the notes, substitute:</w:t>
      </w:r>
    </w:p>
    <w:p w:rsidR="00BE4548" w:rsidRPr="00343BD4" w:rsidRDefault="00BE4548" w:rsidP="00343BD4">
      <w:pPr>
        <w:pStyle w:val="notetext"/>
      </w:pPr>
      <w:r w:rsidRPr="00343BD4">
        <w:t>Note:</w:t>
      </w:r>
      <w:r w:rsidRPr="00343BD4">
        <w:tab/>
        <w:t>This Division applies to mergers happening between 24</w:t>
      </w:r>
      <w:r w:rsidR="00343BD4" w:rsidRPr="00343BD4">
        <w:t> </w:t>
      </w:r>
      <w:r w:rsidRPr="00343BD4">
        <w:t>December 2008 and 30</w:t>
      </w:r>
      <w:r w:rsidR="00343BD4" w:rsidRPr="00343BD4">
        <w:t> </w:t>
      </w:r>
      <w:r w:rsidRPr="00343BD4">
        <w:t>June 2011 (or, in certain cases, 30</w:t>
      </w:r>
      <w:r w:rsidR="00343BD4" w:rsidRPr="00343BD4">
        <w:t> </w:t>
      </w:r>
      <w:r w:rsidRPr="00343BD4">
        <w:t>September 2011), or mergers happening on or after 1</w:t>
      </w:r>
      <w:r w:rsidR="00343BD4" w:rsidRPr="00343BD4">
        <w:t> </w:t>
      </w:r>
      <w:r w:rsidRPr="00343BD4">
        <w:t>October 2011 (see Part</w:t>
      </w:r>
      <w:r w:rsidR="00343BD4" w:rsidRPr="00343BD4">
        <w:t> </w:t>
      </w:r>
      <w:r w:rsidRPr="00343BD4">
        <w:t>3 of Schedule</w:t>
      </w:r>
      <w:r w:rsidR="00343BD4" w:rsidRPr="00343BD4">
        <w:t> </w:t>
      </w:r>
      <w:r w:rsidRPr="00343BD4">
        <w:t xml:space="preserve">2 to the </w:t>
      </w:r>
      <w:r w:rsidRPr="00343BD4">
        <w:rPr>
          <w:i/>
        </w:rPr>
        <w:t>Tax Laws Amendment (2009 Measures No.</w:t>
      </w:r>
      <w:r w:rsidR="00343BD4" w:rsidRPr="00343BD4">
        <w:rPr>
          <w:i/>
        </w:rPr>
        <w:t> </w:t>
      </w:r>
      <w:r w:rsidRPr="00343BD4">
        <w:rPr>
          <w:i/>
        </w:rPr>
        <w:t>6) Act 2010</w:t>
      </w:r>
      <w:r w:rsidRPr="00343BD4">
        <w:t>).</w:t>
      </w:r>
    </w:p>
    <w:p w:rsidR="00BE4548" w:rsidRPr="00343BD4" w:rsidRDefault="00BE4548" w:rsidP="00343BD4">
      <w:pPr>
        <w:pStyle w:val="ActHead9"/>
        <w:rPr>
          <w:i w:val="0"/>
        </w:rPr>
      </w:pPr>
      <w:bookmarkStart w:id="28" w:name="_Toc41406751"/>
      <w:r w:rsidRPr="00343BD4">
        <w:t>Superannuation Laws Amendment</w:t>
      </w:r>
      <w:bookmarkStart w:id="29" w:name="BK_S3P11L11C30"/>
      <w:bookmarkEnd w:id="29"/>
      <w:r w:rsidRPr="00343BD4">
        <w:t xml:space="preserve"> (Capital Gains Tax Relief and Other Efficiency Measures) Act 2012</w:t>
      </w:r>
      <w:bookmarkEnd w:id="28"/>
    </w:p>
    <w:p w:rsidR="00BE4548" w:rsidRPr="00343BD4" w:rsidRDefault="00C63933" w:rsidP="00343BD4">
      <w:pPr>
        <w:pStyle w:val="ItemHead"/>
      </w:pPr>
      <w:r w:rsidRPr="00343BD4">
        <w:t>2</w:t>
      </w:r>
      <w:r w:rsidR="00BE4548" w:rsidRPr="00343BD4">
        <w:t xml:space="preserve">  Item</w:t>
      </w:r>
      <w:r w:rsidR="00343BD4" w:rsidRPr="00343BD4">
        <w:t> </w:t>
      </w:r>
      <w:r w:rsidR="00BE4548" w:rsidRPr="00343BD4">
        <w:t>19 of Schedule</w:t>
      </w:r>
      <w:r w:rsidR="00343BD4" w:rsidRPr="00343BD4">
        <w:t> </w:t>
      </w:r>
      <w:r w:rsidR="00BE4548" w:rsidRPr="00343BD4">
        <w:t>1</w:t>
      </w:r>
    </w:p>
    <w:p w:rsidR="00BE4548" w:rsidRPr="00343BD4" w:rsidRDefault="00BE4548" w:rsidP="00343BD4">
      <w:pPr>
        <w:pStyle w:val="Item"/>
      </w:pPr>
      <w:r w:rsidRPr="00343BD4">
        <w:t>Omit “during the period starting on 1</w:t>
      </w:r>
      <w:r w:rsidR="00343BD4" w:rsidRPr="00343BD4">
        <w:t> </w:t>
      </w:r>
      <w:r w:rsidRPr="00343BD4">
        <w:t>October 2011 and ending at the end of 1</w:t>
      </w:r>
      <w:r w:rsidR="00343BD4" w:rsidRPr="00343BD4">
        <w:t> </w:t>
      </w:r>
      <w:r w:rsidRPr="00343BD4">
        <w:t>July 2020”, substitute “on or after 1</w:t>
      </w:r>
      <w:r w:rsidR="00343BD4" w:rsidRPr="00343BD4">
        <w:t> </w:t>
      </w:r>
      <w:r w:rsidRPr="00343BD4">
        <w:t>October 2011”.</w:t>
      </w:r>
    </w:p>
    <w:p w:rsidR="00BE4548" w:rsidRPr="00343BD4" w:rsidRDefault="00BE4548" w:rsidP="00343BD4">
      <w:pPr>
        <w:pStyle w:val="ActHead9"/>
        <w:rPr>
          <w:i w:val="0"/>
        </w:rPr>
      </w:pPr>
      <w:bookmarkStart w:id="30" w:name="_Toc41406752"/>
      <w:r w:rsidRPr="00343BD4">
        <w:t>Tax Laws Amendment (2009 Measures No.</w:t>
      </w:r>
      <w:r w:rsidR="00343BD4" w:rsidRPr="00343BD4">
        <w:t> </w:t>
      </w:r>
      <w:r w:rsidRPr="00343BD4">
        <w:t>6) Act 2010</w:t>
      </w:r>
      <w:bookmarkEnd w:id="30"/>
    </w:p>
    <w:p w:rsidR="00BE4548" w:rsidRPr="00343BD4" w:rsidRDefault="00C63933" w:rsidP="00343BD4">
      <w:pPr>
        <w:pStyle w:val="ItemHead"/>
      </w:pPr>
      <w:r w:rsidRPr="00343BD4">
        <w:t>3</w:t>
      </w:r>
      <w:r w:rsidR="00BE4548" w:rsidRPr="00343BD4">
        <w:t xml:space="preserve">  Subsection</w:t>
      </w:r>
      <w:r w:rsidR="00343BD4" w:rsidRPr="00343BD4">
        <w:t> </w:t>
      </w:r>
      <w:r w:rsidR="00BE4548" w:rsidRPr="00343BD4">
        <w:t>2(1) (table item</w:t>
      </w:r>
      <w:r w:rsidR="00343BD4" w:rsidRPr="00343BD4">
        <w:t> </w:t>
      </w:r>
      <w:r w:rsidR="00BE4548" w:rsidRPr="00343BD4">
        <w:t>4)</w:t>
      </w:r>
    </w:p>
    <w:p w:rsidR="00BE4548" w:rsidRPr="00343BD4" w:rsidRDefault="00BE4548" w:rsidP="00343BD4">
      <w:pPr>
        <w:pStyle w:val="Item"/>
      </w:pPr>
      <w:r w:rsidRPr="00343BD4">
        <w:t>Repeal the item.</w:t>
      </w:r>
    </w:p>
    <w:p w:rsidR="00BE4548" w:rsidRPr="00343BD4" w:rsidRDefault="00C63933" w:rsidP="00343BD4">
      <w:pPr>
        <w:pStyle w:val="ItemHead"/>
      </w:pPr>
      <w:r w:rsidRPr="00343BD4">
        <w:t>4</w:t>
      </w:r>
      <w:r w:rsidR="00BE4548" w:rsidRPr="00343BD4">
        <w:t xml:space="preserve">  </w:t>
      </w:r>
      <w:proofErr w:type="spellStart"/>
      <w:r w:rsidR="00BE4548" w:rsidRPr="00343BD4">
        <w:t>Subitem</w:t>
      </w:r>
      <w:proofErr w:type="spellEnd"/>
      <w:r w:rsidR="00343BD4" w:rsidRPr="00343BD4">
        <w:t> </w:t>
      </w:r>
      <w:r w:rsidR="00BE4548" w:rsidRPr="00343BD4">
        <w:t>11(1) of Schedule</w:t>
      </w:r>
      <w:r w:rsidR="00343BD4" w:rsidRPr="00343BD4">
        <w:t> </w:t>
      </w:r>
      <w:r w:rsidR="00BE4548" w:rsidRPr="00343BD4">
        <w:t>2</w:t>
      </w:r>
    </w:p>
    <w:p w:rsidR="00BE4548" w:rsidRPr="00343BD4" w:rsidRDefault="00BE4548" w:rsidP="00343BD4">
      <w:pPr>
        <w:pStyle w:val="Item"/>
      </w:pPr>
      <w:r w:rsidRPr="00343BD4">
        <w:t>Omit “during the period starting on 1</w:t>
      </w:r>
      <w:r w:rsidR="00343BD4" w:rsidRPr="00343BD4">
        <w:t> </w:t>
      </w:r>
      <w:r w:rsidRPr="00343BD4">
        <w:t>October 2011 and ending at the end of 1</w:t>
      </w:r>
      <w:r w:rsidR="00343BD4" w:rsidRPr="00343BD4">
        <w:t> </w:t>
      </w:r>
      <w:r w:rsidRPr="00343BD4">
        <w:t>July 2020”, substitute “on or after 1</w:t>
      </w:r>
      <w:r w:rsidR="00343BD4" w:rsidRPr="00343BD4">
        <w:t> </w:t>
      </w:r>
      <w:r w:rsidRPr="00343BD4">
        <w:t>October 2011”.</w:t>
      </w:r>
    </w:p>
    <w:p w:rsidR="00BE4548" w:rsidRPr="00343BD4" w:rsidRDefault="00C63933" w:rsidP="00343BD4">
      <w:pPr>
        <w:pStyle w:val="ItemHead"/>
      </w:pPr>
      <w:r w:rsidRPr="00343BD4">
        <w:t>5</w:t>
      </w:r>
      <w:r w:rsidR="00BE4548" w:rsidRPr="00343BD4">
        <w:t xml:space="preserve">  </w:t>
      </w:r>
      <w:proofErr w:type="spellStart"/>
      <w:r w:rsidR="00BE4548" w:rsidRPr="00343BD4">
        <w:t>Subitem</w:t>
      </w:r>
      <w:proofErr w:type="spellEnd"/>
      <w:r w:rsidR="00343BD4" w:rsidRPr="00343BD4">
        <w:t> </w:t>
      </w:r>
      <w:r w:rsidR="00BE4548" w:rsidRPr="00343BD4">
        <w:t>11(1) of Schedule</w:t>
      </w:r>
      <w:r w:rsidR="00343BD4" w:rsidRPr="00343BD4">
        <w:t> </w:t>
      </w:r>
      <w:r w:rsidR="00BE4548" w:rsidRPr="00343BD4">
        <w:t>2 (notes 1 and 2)</w:t>
      </w:r>
    </w:p>
    <w:p w:rsidR="00BE4548" w:rsidRPr="00343BD4" w:rsidRDefault="00BE4548" w:rsidP="00343BD4">
      <w:pPr>
        <w:pStyle w:val="Item"/>
      </w:pPr>
      <w:r w:rsidRPr="00343BD4">
        <w:t>Omit “this period”, substitute “the period or on or after 1</w:t>
      </w:r>
      <w:r w:rsidR="00343BD4" w:rsidRPr="00343BD4">
        <w:t> </w:t>
      </w:r>
      <w:r w:rsidRPr="00343BD4">
        <w:t>October 2011”.</w:t>
      </w:r>
    </w:p>
    <w:p w:rsidR="00BE4548" w:rsidRPr="00343BD4" w:rsidRDefault="00C63933" w:rsidP="00343BD4">
      <w:pPr>
        <w:pStyle w:val="ItemHead"/>
      </w:pPr>
      <w:r w:rsidRPr="00343BD4">
        <w:t>6</w:t>
      </w:r>
      <w:r w:rsidR="00BE4548" w:rsidRPr="00343BD4">
        <w:t xml:space="preserve">  Parts</w:t>
      </w:r>
      <w:r w:rsidR="00343BD4" w:rsidRPr="00343BD4">
        <w:t> </w:t>
      </w:r>
      <w:r w:rsidR="00BE4548" w:rsidRPr="00343BD4">
        <w:t>4 and 5 of Schedule</w:t>
      </w:r>
      <w:r w:rsidR="00343BD4" w:rsidRPr="00343BD4">
        <w:t> </w:t>
      </w:r>
      <w:r w:rsidR="00BE4548" w:rsidRPr="00343BD4">
        <w:t>2</w:t>
      </w:r>
    </w:p>
    <w:p w:rsidR="00BE4548" w:rsidRPr="00343BD4" w:rsidRDefault="00BE4548" w:rsidP="00343BD4">
      <w:pPr>
        <w:pStyle w:val="Item"/>
      </w:pPr>
      <w:r w:rsidRPr="00343BD4">
        <w:t>Repeal the Parts.</w:t>
      </w:r>
    </w:p>
    <w:p w:rsidR="00BE4548" w:rsidRPr="00343BD4" w:rsidRDefault="00C63933" w:rsidP="00343BD4">
      <w:pPr>
        <w:pStyle w:val="Transitional"/>
      </w:pPr>
      <w:r w:rsidRPr="00343BD4">
        <w:t>7</w:t>
      </w:r>
      <w:r w:rsidR="00BE4548" w:rsidRPr="00343BD4">
        <w:t xml:space="preserve">  Application of amendments</w:t>
      </w:r>
    </w:p>
    <w:p w:rsidR="00BE4548" w:rsidRPr="00343BD4" w:rsidRDefault="00BE4548" w:rsidP="00343BD4">
      <w:pPr>
        <w:pStyle w:val="Item"/>
      </w:pPr>
      <w:r w:rsidRPr="00343BD4">
        <w:t>The amendments made by items</w:t>
      </w:r>
      <w:r w:rsidR="00343BD4" w:rsidRPr="00343BD4">
        <w:t> </w:t>
      </w:r>
      <w:r w:rsidRPr="00343BD4">
        <w:t>1, 2, 4 and 5 of this Schedule apply in relation to a transferring entity and a receiving entity if:</w:t>
      </w:r>
    </w:p>
    <w:p w:rsidR="00BE4548" w:rsidRPr="00343BD4" w:rsidRDefault="00BE4548" w:rsidP="00343BD4">
      <w:pPr>
        <w:pStyle w:val="paragraph"/>
      </w:pPr>
      <w:r w:rsidRPr="00343BD4">
        <w:lastRenderedPageBreak/>
        <w:tab/>
        <w:t>(a)</w:t>
      </w:r>
      <w:r w:rsidRPr="00343BD4">
        <w:tab/>
        <w:t>the condition in subsection</w:t>
      </w:r>
      <w:r w:rsidR="00343BD4" w:rsidRPr="00343BD4">
        <w:t> </w:t>
      </w:r>
      <w:r w:rsidRPr="00343BD4">
        <w:t>310</w:t>
      </w:r>
      <w:r w:rsidR="00DB3488">
        <w:noBreakHyphen/>
      </w:r>
      <w:r w:rsidRPr="00343BD4">
        <w:t>10(3), 310</w:t>
      </w:r>
      <w:r w:rsidR="00DB3488">
        <w:noBreakHyphen/>
      </w:r>
      <w:r w:rsidRPr="00343BD4">
        <w:t>15(3) or 310</w:t>
      </w:r>
      <w:r w:rsidR="00DB3488">
        <w:noBreakHyphen/>
      </w:r>
      <w:r w:rsidRPr="00343BD4">
        <w:t xml:space="preserve">20(3) of the </w:t>
      </w:r>
      <w:r w:rsidRPr="00343BD4">
        <w:rPr>
          <w:i/>
        </w:rPr>
        <w:t>Income Tax Assessment Act 1997</w:t>
      </w:r>
      <w:r w:rsidRPr="00343BD4">
        <w:t xml:space="preserve"> for those entities is satisfied on or after 1</w:t>
      </w:r>
      <w:r w:rsidR="00343BD4" w:rsidRPr="00343BD4">
        <w:t> </w:t>
      </w:r>
      <w:r w:rsidRPr="00343BD4">
        <w:t>October 2011; and</w:t>
      </w:r>
    </w:p>
    <w:p w:rsidR="00BE4548" w:rsidRPr="00343BD4" w:rsidRDefault="00BE4548" w:rsidP="00343BD4">
      <w:pPr>
        <w:pStyle w:val="paragraph"/>
      </w:pPr>
      <w:r w:rsidRPr="00343BD4">
        <w:tab/>
        <w:t>(b)</w:t>
      </w:r>
      <w:r w:rsidRPr="00343BD4">
        <w:tab/>
        <w:t>all of the transfer events (if any) referred to in subsection</w:t>
      </w:r>
      <w:r w:rsidR="00343BD4" w:rsidRPr="00343BD4">
        <w:t> </w:t>
      </w:r>
      <w:r w:rsidRPr="00343BD4">
        <w:t>310</w:t>
      </w:r>
      <w:r w:rsidR="00DB3488">
        <w:noBreakHyphen/>
      </w:r>
      <w:r w:rsidRPr="00343BD4">
        <w:t>45(2) of that Act for those entities happen on or after 1</w:t>
      </w:r>
      <w:r w:rsidR="00343BD4" w:rsidRPr="00343BD4">
        <w:t> </w:t>
      </w:r>
      <w:r w:rsidRPr="00343BD4">
        <w:t>October 2011.</w:t>
      </w:r>
    </w:p>
    <w:p w:rsidR="00BE4548" w:rsidRPr="00343BD4" w:rsidRDefault="00BE4548" w:rsidP="00343BD4">
      <w:pPr>
        <w:pStyle w:val="notemargin"/>
      </w:pPr>
      <w:r w:rsidRPr="00343BD4">
        <w:t>Note 1:</w:t>
      </w:r>
      <w:r w:rsidRPr="00343BD4">
        <w:tab/>
        <w:t xml:space="preserve">The effect of </w:t>
      </w:r>
      <w:r w:rsidR="00343BD4" w:rsidRPr="00343BD4">
        <w:t>paragraph (</w:t>
      </w:r>
      <w:r w:rsidRPr="00343BD4">
        <w:t>a) is that all of the members of the original fund will need to become members of a continuing fund on or after 1</w:t>
      </w:r>
      <w:r w:rsidR="00343BD4" w:rsidRPr="00343BD4">
        <w:t> </w:t>
      </w:r>
      <w:r w:rsidRPr="00343BD4">
        <w:t>October 2011.</w:t>
      </w:r>
    </w:p>
    <w:p w:rsidR="00DB3488" w:rsidRDefault="00BE4548" w:rsidP="00343BD4">
      <w:pPr>
        <w:pStyle w:val="notemargin"/>
      </w:pPr>
      <w:r w:rsidRPr="00343BD4">
        <w:t>Note 2:</w:t>
      </w:r>
      <w:r w:rsidRPr="00343BD4">
        <w:tab/>
        <w:t xml:space="preserve">The effect of </w:t>
      </w:r>
      <w:r w:rsidR="00343BD4" w:rsidRPr="00343BD4">
        <w:t>paragraph (</w:t>
      </w:r>
      <w:r w:rsidRPr="00343BD4">
        <w:t>b) is that the transferring entity needs to cease to hold all relevant assets on or after 1</w:t>
      </w:r>
      <w:r w:rsidR="00343BD4" w:rsidRPr="00343BD4">
        <w:t> </w:t>
      </w:r>
      <w:r w:rsidRPr="00343BD4">
        <w:t>October 2011.</w:t>
      </w:r>
    </w:p>
    <w:p w:rsidR="006C5294" w:rsidRDefault="006C5294" w:rsidP="00110597"/>
    <w:p w:rsidR="00110597" w:rsidRDefault="00110597" w:rsidP="000C5962"/>
    <w:p w:rsidR="00110597" w:rsidRDefault="00110597" w:rsidP="000C5962"/>
    <w:p w:rsidR="00110597" w:rsidRDefault="00110597" w:rsidP="000C5962">
      <w:pPr>
        <w:pStyle w:val="2ndRd"/>
        <w:keepNext/>
        <w:pBdr>
          <w:top w:val="single" w:sz="2" w:space="1" w:color="auto"/>
        </w:pBdr>
      </w:pPr>
    </w:p>
    <w:p w:rsidR="00110597" w:rsidRDefault="00110597" w:rsidP="000C5962">
      <w:pPr>
        <w:pStyle w:val="2ndRd"/>
        <w:keepNext/>
        <w:spacing w:line="260" w:lineRule="atLeast"/>
        <w:rPr>
          <w:i/>
        </w:rPr>
      </w:pPr>
      <w:r>
        <w:t>[</w:t>
      </w:r>
      <w:r>
        <w:rPr>
          <w:i/>
        </w:rPr>
        <w:t>Minister’s second reading speech made in—</w:t>
      </w:r>
    </w:p>
    <w:p w:rsidR="00110597" w:rsidRDefault="00110597" w:rsidP="000C5962">
      <w:pPr>
        <w:pStyle w:val="2ndRd"/>
        <w:keepNext/>
        <w:spacing w:line="260" w:lineRule="atLeast"/>
        <w:rPr>
          <w:i/>
        </w:rPr>
      </w:pPr>
      <w:r>
        <w:rPr>
          <w:i/>
        </w:rPr>
        <w:t>House of Representatives on 12 February 2020</w:t>
      </w:r>
    </w:p>
    <w:p w:rsidR="00110597" w:rsidRDefault="00110597" w:rsidP="000C5962">
      <w:pPr>
        <w:pStyle w:val="2ndRd"/>
        <w:keepNext/>
        <w:spacing w:line="260" w:lineRule="atLeast"/>
        <w:rPr>
          <w:i/>
        </w:rPr>
      </w:pPr>
      <w:r>
        <w:rPr>
          <w:i/>
        </w:rPr>
        <w:t>Senate on 14 May 2020</w:t>
      </w:r>
      <w:r>
        <w:t>]</w:t>
      </w:r>
    </w:p>
    <w:p w:rsidR="00110597" w:rsidRDefault="00110597" w:rsidP="000C5962"/>
    <w:p w:rsidR="006C5294" w:rsidRPr="00110597" w:rsidRDefault="00110597" w:rsidP="00F73A62">
      <w:pPr>
        <w:framePr w:hSpace="180" w:wrap="around" w:vAnchor="text" w:hAnchor="page" w:x="2410" w:y="5746"/>
      </w:pPr>
      <w:r>
        <w:t>(8/20)</w:t>
      </w:r>
    </w:p>
    <w:p w:rsidR="00110597" w:rsidRDefault="00110597"/>
    <w:sectPr w:rsidR="00110597" w:rsidSect="006C529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E4" w:rsidRDefault="002A7CE4" w:rsidP="0048364F">
      <w:pPr>
        <w:spacing w:line="240" w:lineRule="auto"/>
      </w:pPr>
      <w:r>
        <w:separator/>
      </w:r>
    </w:p>
  </w:endnote>
  <w:endnote w:type="continuationSeparator" w:id="0">
    <w:p w:rsidR="002A7CE4" w:rsidRDefault="002A7C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343BD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97" w:rsidRDefault="00110597" w:rsidP="00CD12A5">
    <w:pPr>
      <w:pStyle w:val="ScalePlusRef"/>
    </w:pPr>
    <w:r>
      <w:t>Note: An electronic version of this Act is available on the Federal Register of Legislation (</w:t>
    </w:r>
    <w:hyperlink r:id="rId1" w:history="1">
      <w:r>
        <w:t>https://www.legislation.gov.au/</w:t>
      </w:r>
    </w:hyperlink>
    <w:r>
      <w:t>)</w:t>
    </w:r>
  </w:p>
  <w:p w:rsidR="00110597" w:rsidRDefault="00110597" w:rsidP="00CD12A5"/>
  <w:p w:rsidR="00055B5C" w:rsidRDefault="00055B5C" w:rsidP="00343BD4">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343B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343B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A62">
            <w:rPr>
              <w:i/>
              <w:noProof/>
              <w:sz w:val="18"/>
            </w:rPr>
            <w:t>xi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3A62">
            <w:rPr>
              <w:i/>
              <w:sz w:val="18"/>
            </w:rPr>
            <w:t>Treasury Laws Amendment (2020 Measures No. 1)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73A62">
            <w:rPr>
              <w:i/>
              <w:sz w:val="18"/>
            </w:rPr>
            <w:t>No. 49,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343B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73A62">
            <w:rPr>
              <w:i/>
              <w:sz w:val="18"/>
            </w:rPr>
            <w:t>No. 49,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73A62">
            <w:rPr>
              <w:i/>
              <w:sz w:val="18"/>
            </w:rPr>
            <w:t>Treasury Laws Amendment (2020 Measures No. 1)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73A62">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43BD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BE2E2D">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3A62">
            <w:rPr>
              <w:i/>
              <w:noProof/>
              <w:sz w:val="18"/>
            </w:rPr>
            <w:t>12</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3A62">
            <w:rPr>
              <w:i/>
              <w:sz w:val="18"/>
            </w:rPr>
            <w:t>Treasury Laws Amendment (2020 Measures No. 1)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3A62">
            <w:rPr>
              <w:i/>
              <w:sz w:val="18"/>
            </w:rPr>
            <w:t>No. 49,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43B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BE2E2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3A62">
            <w:rPr>
              <w:i/>
              <w:sz w:val="18"/>
            </w:rPr>
            <w:t>No. 49,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3A62">
            <w:rPr>
              <w:i/>
              <w:sz w:val="18"/>
            </w:rPr>
            <w:t>Treasury Laws Amendment (2020 Measures No. 1)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3A62">
            <w:rPr>
              <w:i/>
              <w:noProof/>
              <w:sz w:val="18"/>
            </w:rPr>
            <w:t>11</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43B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BE2E2D">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73A62">
            <w:rPr>
              <w:i/>
              <w:sz w:val="18"/>
            </w:rPr>
            <w:t>No. 49,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73A62">
            <w:rPr>
              <w:i/>
              <w:sz w:val="18"/>
            </w:rPr>
            <w:t>Treasury Laws Amendment (2020 Measures No. 1)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73A62">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E4" w:rsidRDefault="002A7CE4" w:rsidP="0048364F">
      <w:pPr>
        <w:spacing w:line="240" w:lineRule="auto"/>
      </w:pPr>
      <w:r>
        <w:separator/>
      </w:r>
    </w:p>
  </w:footnote>
  <w:footnote w:type="continuationSeparator" w:id="0">
    <w:p w:rsidR="002A7CE4" w:rsidRDefault="002A7CE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73A62">
      <w:rPr>
        <w:b/>
        <w:sz w:val="20"/>
      </w:rPr>
      <w:fldChar w:fldCharType="separate"/>
    </w:r>
    <w:r w:rsidR="00F73A62">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73A62">
      <w:rPr>
        <w:sz w:val="20"/>
      </w:rPr>
      <w:fldChar w:fldCharType="separate"/>
    </w:r>
    <w:r w:rsidR="00F73A62">
      <w:rPr>
        <w:noProof/>
        <w:sz w:val="20"/>
      </w:rPr>
      <w:t>Merging superannuation funds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73A62">
      <w:rPr>
        <w:sz w:val="20"/>
      </w:rPr>
      <w:fldChar w:fldCharType="separate"/>
    </w:r>
    <w:r w:rsidR="00F73A62">
      <w:rPr>
        <w:noProof/>
        <w:sz w:val="20"/>
      </w:rPr>
      <w:t>Merging superannuation funds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73A62">
      <w:rPr>
        <w:b/>
        <w:sz w:val="20"/>
      </w:rPr>
      <w:fldChar w:fldCharType="separate"/>
    </w:r>
    <w:r w:rsidR="00F73A62">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E4"/>
    <w:rsid w:val="000113BC"/>
    <w:rsid w:val="000136AF"/>
    <w:rsid w:val="00023A48"/>
    <w:rsid w:val="000417C9"/>
    <w:rsid w:val="00055B5C"/>
    <w:rsid w:val="00056391"/>
    <w:rsid w:val="00060FF9"/>
    <w:rsid w:val="000614BF"/>
    <w:rsid w:val="000B1FD2"/>
    <w:rsid w:val="000D05EF"/>
    <w:rsid w:val="000F21C1"/>
    <w:rsid w:val="00101D90"/>
    <w:rsid w:val="0010745C"/>
    <w:rsid w:val="00110483"/>
    <w:rsid w:val="00110597"/>
    <w:rsid w:val="00113BD1"/>
    <w:rsid w:val="00122206"/>
    <w:rsid w:val="0015646E"/>
    <w:rsid w:val="001643C9"/>
    <w:rsid w:val="00165568"/>
    <w:rsid w:val="0016598F"/>
    <w:rsid w:val="00166C2F"/>
    <w:rsid w:val="001716C9"/>
    <w:rsid w:val="00173363"/>
    <w:rsid w:val="00173B94"/>
    <w:rsid w:val="00180D3E"/>
    <w:rsid w:val="001854B4"/>
    <w:rsid w:val="00185A2B"/>
    <w:rsid w:val="001939E1"/>
    <w:rsid w:val="00195382"/>
    <w:rsid w:val="001A3658"/>
    <w:rsid w:val="001A759A"/>
    <w:rsid w:val="001B633C"/>
    <w:rsid w:val="001B7A5D"/>
    <w:rsid w:val="001C2418"/>
    <w:rsid w:val="001C69C4"/>
    <w:rsid w:val="001E3590"/>
    <w:rsid w:val="001E7407"/>
    <w:rsid w:val="001F197B"/>
    <w:rsid w:val="00201D27"/>
    <w:rsid w:val="00202618"/>
    <w:rsid w:val="00240749"/>
    <w:rsid w:val="00263820"/>
    <w:rsid w:val="00275197"/>
    <w:rsid w:val="00293B89"/>
    <w:rsid w:val="00297ECB"/>
    <w:rsid w:val="002A7CE4"/>
    <w:rsid w:val="002B5A30"/>
    <w:rsid w:val="002D043A"/>
    <w:rsid w:val="002D395A"/>
    <w:rsid w:val="003415D3"/>
    <w:rsid w:val="00343BD4"/>
    <w:rsid w:val="00350417"/>
    <w:rsid w:val="00351B1F"/>
    <w:rsid w:val="00352B0F"/>
    <w:rsid w:val="00373874"/>
    <w:rsid w:val="00375C6C"/>
    <w:rsid w:val="003A7B3C"/>
    <w:rsid w:val="003B4E3D"/>
    <w:rsid w:val="003C0DD6"/>
    <w:rsid w:val="003C5F2B"/>
    <w:rsid w:val="003D0BFE"/>
    <w:rsid w:val="003D5700"/>
    <w:rsid w:val="00405579"/>
    <w:rsid w:val="00410B8E"/>
    <w:rsid w:val="004116CD"/>
    <w:rsid w:val="00421FC1"/>
    <w:rsid w:val="004229C7"/>
    <w:rsid w:val="00424CA9"/>
    <w:rsid w:val="00436785"/>
    <w:rsid w:val="00436BD5"/>
    <w:rsid w:val="00437E4B"/>
    <w:rsid w:val="0044027D"/>
    <w:rsid w:val="0044291A"/>
    <w:rsid w:val="0048196B"/>
    <w:rsid w:val="0048364F"/>
    <w:rsid w:val="00486D05"/>
    <w:rsid w:val="00496F97"/>
    <w:rsid w:val="004C7C8C"/>
    <w:rsid w:val="004E2A4A"/>
    <w:rsid w:val="004E451C"/>
    <w:rsid w:val="004F0D23"/>
    <w:rsid w:val="004F1FAC"/>
    <w:rsid w:val="00516B8D"/>
    <w:rsid w:val="00537FBC"/>
    <w:rsid w:val="00543469"/>
    <w:rsid w:val="00551B54"/>
    <w:rsid w:val="00584811"/>
    <w:rsid w:val="00593AA6"/>
    <w:rsid w:val="00594161"/>
    <w:rsid w:val="00594749"/>
    <w:rsid w:val="005A0D92"/>
    <w:rsid w:val="005B4067"/>
    <w:rsid w:val="005C3F41"/>
    <w:rsid w:val="005E152A"/>
    <w:rsid w:val="00600219"/>
    <w:rsid w:val="0062119F"/>
    <w:rsid w:val="00641DE5"/>
    <w:rsid w:val="00656F0C"/>
    <w:rsid w:val="00657D70"/>
    <w:rsid w:val="00677CC2"/>
    <w:rsid w:val="00681F92"/>
    <w:rsid w:val="006842C2"/>
    <w:rsid w:val="00685F42"/>
    <w:rsid w:val="0069207B"/>
    <w:rsid w:val="006A0A50"/>
    <w:rsid w:val="006A4B23"/>
    <w:rsid w:val="006C2874"/>
    <w:rsid w:val="006C529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809D1"/>
    <w:rsid w:val="007B30AA"/>
    <w:rsid w:val="007E7D4A"/>
    <w:rsid w:val="008006CC"/>
    <w:rsid w:val="00807F18"/>
    <w:rsid w:val="00831E8D"/>
    <w:rsid w:val="0084393D"/>
    <w:rsid w:val="0084762C"/>
    <w:rsid w:val="00856A31"/>
    <w:rsid w:val="00857D6B"/>
    <w:rsid w:val="008754D0"/>
    <w:rsid w:val="00877D48"/>
    <w:rsid w:val="00883781"/>
    <w:rsid w:val="00885570"/>
    <w:rsid w:val="00893958"/>
    <w:rsid w:val="008A2E77"/>
    <w:rsid w:val="008C3546"/>
    <w:rsid w:val="008C6F6F"/>
    <w:rsid w:val="008D0EE0"/>
    <w:rsid w:val="008D3E94"/>
    <w:rsid w:val="008D47D7"/>
    <w:rsid w:val="008F4F1C"/>
    <w:rsid w:val="008F77C4"/>
    <w:rsid w:val="009103F3"/>
    <w:rsid w:val="00932377"/>
    <w:rsid w:val="00967042"/>
    <w:rsid w:val="0098255A"/>
    <w:rsid w:val="009845BE"/>
    <w:rsid w:val="009969C9"/>
    <w:rsid w:val="009F4BA7"/>
    <w:rsid w:val="009F7BD0"/>
    <w:rsid w:val="00A048FF"/>
    <w:rsid w:val="00A10775"/>
    <w:rsid w:val="00A231E2"/>
    <w:rsid w:val="00A36C48"/>
    <w:rsid w:val="00A41E0B"/>
    <w:rsid w:val="00A55631"/>
    <w:rsid w:val="00A64912"/>
    <w:rsid w:val="00A70A74"/>
    <w:rsid w:val="00AA3795"/>
    <w:rsid w:val="00AC1E75"/>
    <w:rsid w:val="00AD260F"/>
    <w:rsid w:val="00AD5641"/>
    <w:rsid w:val="00AE1088"/>
    <w:rsid w:val="00AF1BA4"/>
    <w:rsid w:val="00B032D8"/>
    <w:rsid w:val="00B33B3C"/>
    <w:rsid w:val="00B6382D"/>
    <w:rsid w:val="00BA5026"/>
    <w:rsid w:val="00BB40BF"/>
    <w:rsid w:val="00BB5B80"/>
    <w:rsid w:val="00BC0CD1"/>
    <w:rsid w:val="00BE2E2D"/>
    <w:rsid w:val="00BE4548"/>
    <w:rsid w:val="00BE719A"/>
    <w:rsid w:val="00BE720A"/>
    <w:rsid w:val="00BF0461"/>
    <w:rsid w:val="00BF4944"/>
    <w:rsid w:val="00BF56D4"/>
    <w:rsid w:val="00C04409"/>
    <w:rsid w:val="00C067E5"/>
    <w:rsid w:val="00C164CA"/>
    <w:rsid w:val="00C176CF"/>
    <w:rsid w:val="00C42BF8"/>
    <w:rsid w:val="00C460AE"/>
    <w:rsid w:val="00C50043"/>
    <w:rsid w:val="00C54E84"/>
    <w:rsid w:val="00C63933"/>
    <w:rsid w:val="00C7573B"/>
    <w:rsid w:val="00C76CF3"/>
    <w:rsid w:val="00CE1E31"/>
    <w:rsid w:val="00CF0BB2"/>
    <w:rsid w:val="00D00EAA"/>
    <w:rsid w:val="00D13441"/>
    <w:rsid w:val="00D243A3"/>
    <w:rsid w:val="00D477C3"/>
    <w:rsid w:val="00D52EFE"/>
    <w:rsid w:val="00D63EF6"/>
    <w:rsid w:val="00D64830"/>
    <w:rsid w:val="00D70DFB"/>
    <w:rsid w:val="00D73029"/>
    <w:rsid w:val="00D766DF"/>
    <w:rsid w:val="00DB3488"/>
    <w:rsid w:val="00DE2002"/>
    <w:rsid w:val="00DF7AE9"/>
    <w:rsid w:val="00E05704"/>
    <w:rsid w:val="00E24D66"/>
    <w:rsid w:val="00E54292"/>
    <w:rsid w:val="00E74DC7"/>
    <w:rsid w:val="00E87699"/>
    <w:rsid w:val="00E947C6"/>
    <w:rsid w:val="00EA38BA"/>
    <w:rsid w:val="00ED492F"/>
    <w:rsid w:val="00EE3E36"/>
    <w:rsid w:val="00EF2E3A"/>
    <w:rsid w:val="00EF33B0"/>
    <w:rsid w:val="00F047E2"/>
    <w:rsid w:val="00F078DC"/>
    <w:rsid w:val="00F13E86"/>
    <w:rsid w:val="00F17B00"/>
    <w:rsid w:val="00F677A9"/>
    <w:rsid w:val="00F72F99"/>
    <w:rsid w:val="00F73A62"/>
    <w:rsid w:val="00F81F1B"/>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BD4"/>
    <w:pPr>
      <w:spacing w:line="260" w:lineRule="atLeast"/>
    </w:pPr>
    <w:rPr>
      <w:sz w:val="22"/>
    </w:rPr>
  </w:style>
  <w:style w:type="paragraph" w:styleId="Heading1">
    <w:name w:val="heading 1"/>
    <w:basedOn w:val="Normal"/>
    <w:next w:val="Normal"/>
    <w:link w:val="Heading1Char"/>
    <w:uiPriority w:val="9"/>
    <w:qFormat/>
    <w:rsid w:val="00847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76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76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76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76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76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76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76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3BD4"/>
  </w:style>
  <w:style w:type="paragraph" w:customStyle="1" w:styleId="OPCParaBase">
    <w:name w:val="OPCParaBase"/>
    <w:link w:val="OPCParaBaseChar"/>
    <w:qFormat/>
    <w:rsid w:val="00343B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43BD4"/>
    <w:pPr>
      <w:spacing w:line="240" w:lineRule="auto"/>
    </w:pPr>
    <w:rPr>
      <w:b/>
      <w:sz w:val="40"/>
    </w:rPr>
  </w:style>
  <w:style w:type="paragraph" w:customStyle="1" w:styleId="ActHead1">
    <w:name w:val="ActHead 1"/>
    <w:aliases w:val="c"/>
    <w:basedOn w:val="OPCParaBase"/>
    <w:next w:val="Normal"/>
    <w:qFormat/>
    <w:rsid w:val="00343B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3B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3B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3B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3B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3B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3B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3B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3B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43BD4"/>
  </w:style>
  <w:style w:type="paragraph" w:customStyle="1" w:styleId="Blocks">
    <w:name w:val="Blocks"/>
    <w:aliases w:val="bb"/>
    <w:basedOn w:val="OPCParaBase"/>
    <w:qFormat/>
    <w:rsid w:val="00343BD4"/>
    <w:pPr>
      <w:spacing w:line="240" w:lineRule="auto"/>
    </w:pPr>
    <w:rPr>
      <w:sz w:val="24"/>
    </w:rPr>
  </w:style>
  <w:style w:type="paragraph" w:customStyle="1" w:styleId="BoxText">
    <w:name w:val="BoxText"/>
    <w:aliases w:val="bt"/>
    <w:basedOn w:val="OPCParaBase"/>
    <w:qFormat/>
    <w:rsid w:val="00343B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3BD4"/>
    <w:rPr>
      <w:b/>
    </w:rPr>
  </w:style>
  <w:style w:type="paragraph" w:customStyle="1" w:styleId="BoxHeadItalic">
    <w:name w:val="BoxHeadItalic"/>
    <w:aliases w:val="bhi"/>
    <w:basedOn w:val="BoxText"/>
    <w:next w:val="BoxStep"/>
    <w:qFormat/>
    <w:rsid w:val="00343BD4"/>
    <w:rPr>
      <w:i/>
    </w:rPr>
  </w:style>
  <w:style w:type="paragraph" w:customStyle="1" w:styleId="BoxList">
    <w:name w:val="BoxList"/>
    <w:aliases w:val="bl"/>
    <w:basedOn w:val="BoxText"/>
    <w:qFormat/>
    <w:rsid w:val="00343BD4"/>
    <w:pPr>
      <w:ind w:left="1559" w:hanging="425"/>
    </w:pPr>
  </w:style>
  <w:style w:type="paragraph" w:customStyle="1" w:styleId="BoxNote">
    <w:name w:val="BoxNote"/>
    <w:aliases w:val="bn"/>
    <w:basedOn w:val="BoxText"/>
    <w:qFormat/>
    <w:rsid w:val="00343BD4"/>
    <w:pPr>
      <w:tabs>
        <w:tab w:val="left" w:pos="1985"/>
      </w:tabs>
      <w:spacing w:before="122" w:line="198" w:lineRule="exact"/>
      <w:ind w:left="2948" w:hanging="1814"/>
    </w:pPr>
    <w:rPr>
      <w:sz w:val="18"/>
    </w:rPr>
  </w:style>
  <w:style w:type="paragraph" w:customStyle="1" w:styleId="BoxPara">
    <w:name w:val="BoxPara"/>
    <w:aliases w:val="bp"/>
    <w:basedOn w:val="BoxText"/>
    <w:qFormat/>
    <w:rsid w:val="00343BD4"/>
    <w:pPr>
      <w:tabs>
        <w:tab w:val="right" w:pos="2268"/>
      </w:tabs>
      <w:ind w:left="2552" w:hanging="1418"/>
    </w:pPr>
  </w:style>
  <w:style w:type="paragraph" w:customStyle="1" w:styleId="BoxStep">
    <w:name w:val="BoxStep"/>
    <w:aliases w:val="bs"/>
    <w:basedOn w:val="BoxText"/>
    <w:qFormat/>
    <w:rsid w:val="00343BD4"/>
    <w:pPr>
      <w:ind w:left="1985" w:hanging="851"/>
    </w:pPr>
  </w:style>
  <w:style w:type="character" w:customStyle="1" w:styleId="CharAmPartNo">
    <w:name w:val="CharAmPartNo"/>
    <w:basedOn w:val="OPCCharBase"/>
    <w:qFormat/>
    <w:rsid w:val="00343BD4"/>
  </w:style>
  <w:style w:type="character" w:customStyle="1" w:styleId="CharAmPartText">
    <w:name w:val="CharAmPartText"/>
    <w:basedOn w:val="OPCCharBase"/>
    <w:qFormat/>
    <w:rsid w:val="00343BD4"/>
  </w:style>
  <w:style w:type="character" w:customStyle="1" w:styleId="CharAmSchNo">
    <w:name w:val="CharAmSchNo"/>
    <w:basedOn w:val="OPCCharBase"/>
    <w:qFormat/>
    <w:rsid w:val="00343BD4"/>
  </w:style>
  <w:style w:type="character" w:customStyle="1" w:styleId="CharAmSchText">
    <w:name w:val="CharAmSchText"/>
    <w:basedOn w:val="OPCCharBase"/>
    <w:qFormat/>
    <w:rsid w:val="00343BD4"/>
  </w:style>
  <w:style w:type="character" w:customStyle="1" w:styleId="CharBoldItalic">
    <w:name w:val="CharBoldItalic"/>
    <w:basedOn w:val="OPCCharBase"/>
    <w:uiPriority w:val="1"/>
    <w:qFormat/>
    <w:rsid w:val="00343BD4"/>
    <w:rPr>
      <w:b/>
      <w:i/>
    </w:rPr>
  </w:style>
  <w:style w:type="character" w:customStyle="1" w:styleId="CharChapNo">
    <w:name w:val="CharChapNo"/>
    <w:basedOn w:val="OPCCharBase"/>
    <w:uiPriority w:val="1"/>
    <w:qFormat/>
    <w:rsid w:val="00343BD4"/>
  </w:style>
  <w:style w:type="character" w:customStyle="1" w:styleId="CharChapText">
    <w:name w:val="CharChapText"/>
    <w:basedOn w:val="OPCCharBase"/>
    <w:uiPriority w:val="1"/>
    <w:qFormat/>
    <w:rsid w:val="00343BD4"/>
  </w:style>
  <w:style w:type="character" w:customStyle="1" w:styleId="CharDivNo">
    <w:name w:val="CharDivNo"/>
    <w:basedOn w:val="OPCCharBase"/>
    <w:uiPriority w:val="1"/>
    <w:qFormat/>
    <w:rsid w:val="00343BD4"/>
  </w:style>
  <w:style w:type="character" w:customStyle="1" w:styleId="CharDivText">
    <w:name w:val="CharDivText"/>
    <w:basedOn w:val="OPCCharBase"/>
    <w:uiPriority w:val="1"/>
    <w:qFormat/>
    <w:rsid w:val="00343BD4"/>
  </w:style>
  <w:style w:type="character" w:customStyle="1" w:styleId="CharItalic">
    <w:name w:val="CharItalic"/>
    <w:basedOn w:val="OPCCharBase"/>
    <w:uiPriority w:val="1"/>
    <w:qFormat/>
    <w:rsid w:val="00343BD4"/>
    <w:rPr>
      <w:i/>
    </w:rPr>
  </w:style>
  <w:style w:type="character" w:customStyle="1" w:styleId="CharPartNo">
    <w:name w:val="CharPartNo"/>
    <w:basedOn w:val="OPCCharBase"/>
    <w:uiPriority w:val="1"/>
    <w:qFormat/>
    <w:rsid w:val="00343BD4"/>
  </w:style>
  <w:style w:type="character" w:customStyle="1" w:styleId="CharPartText">
    <w:name w:val="CharPartText"/>
    <w:basedOn w:val="OPCCharBase"/>
    <w:uiPriority w:val="1"/>
    <w:qFormat/>
    <w:rsid w:val="00343BD4"/>
  </w:style>
  <w:style w:type="character" w:customStyle="1" w:styleId="CharSectno">
    <w:name w:val="CharSectno"/>
    <w:basedOn w:val="OPCCharBase"/>
    <w:qFormat/>
    <w:rsid w:val="00343BD4"/>
  </w:style>
  <w:style w:type="character" w:customStyle="1" w:styleId="CharSubdNo">
    <w:name w:val="CharSubdNo"/>
    <w:basedOn w:val="OPCCharBase"/>
    <w:uiPriority w:val="1"/>
    <w:qFormat/>
    <w:rsid w:val="00343BD4"/>
  </w:style>
  <w:style w:type="character" w:customStyle="1" w:styleId="CharSubdText">
    <w:name w:val="CharSubdText"/>
    <w:basedOn w:val="OPCCharBase"/>
    <w:uiPriority w:val="1"/>
    <w:qFormat/>
    <w:rsid w:val="00343BD4"/>
  </w:style>
  <w:style w:type="paragraph" w:customStyle="1" w:styleId="CTA--">
    <w:name w:val="CTA --"/>
    <w:basedOn w:val="OPCParaBase"/>
    <w:next w:val="Normal"/>
    <w:rsid w:val="00343BD4"/>
    <w:pPr>
      <w:spacing w:before="60" w:line="240" w:lineRule="atLeast"/>
      <w:ind w:left="142" w:hanging="142"/>
    </w:pPr>
    <w:rPr>
      <w:sz w:val="20"/>
    </w:rPr>
  </w:style>
  <w:style w:type="paragraph" w:customStyle="1" w:styleId="CTA-">
    <w:name w:val="CTA -"/>
    <w:basedOn w:val="OPCParaBase"/>
    <w:rsid w:val="00343BD4"/>
    <w:pPr>
      <w:spacing w:before="60" w:line="240" w:lineRule="atLeast"/>
      <w:ind w:left="85" w:hanging="85"/>
    </w:pPr>
    <w:rPr>
      <w:sz w:val="20"/>
    </w:rPr>
  </w:style>
  <w:style w:type="paragraph" w:customStyle="1" w:styleId="CTA---">
    <w:name w:val="CTA ---"/>
    <w:basedOn w:val="OPCParaBase"/>
    <w:next w:val="Normal"/>
    <w:rsid w:val="00343BD4"/>
    <w:pPr>
      <w:spacing w:before="60" w:line="240" w:lineRule="atLeast"/>
      <w:ind w:left="198" w:hanging="198"/>
    </w:pPr>
    <w:rPr>
      <w:sz w:val="20"/>
    </w:rPr>
  </w:style>
  <w:style w:type="paragraph" w:customStyle="1" w:styleId="CTA----">
    <w:name w:val="CTA ----"/>
    <w:basedOn w:val="OPCParaBase"/>
    <w:next w:val="Normal"/>
    <w:rsid w:val="00343BD4"/>
    <w:pPr>
      <w:spacing w:before="60" w:line="240" w:lineRule="atLeast"/>
      <w:ind w:left="255" w:hanging="255"/>
    </w:pPr>
    <w:rPr>
      <w:sz w:val="20"/>
    </w:rPr>
  </w:style>
  <w:style w:type="paragraph" w:customStyle="1" w:styleId="CTA1a">
    <w:name w:val="CTA 1(a)"/>
    <w:basedOn w:val="OPCParaBase"/>
    <w:rsid w:val="00343BD4"/>
    <w:pPr>
      <w:tabs>
        <w:tab w:val="right" w:pos="414"/>
      </w:tabs>
      <w:spacing w:before="40" w:line="240" w:lineRule="atLeast"/>
      <w:ind w:left="675" w:hanging="675"/>
    </w:pPr>
    <w:rPr>
      <w:sz w:val="20"/>
    </w:rPr>
  </w:style>
  <w:style w:type="paragraph" w:customStyle="1" w:styleId="CTA1ai">
    <w:name w:val="CTA 1(a)(i)"/>
    <w:basedOn w:val="OPCParaBase"/>
    <w:rsid w:val="00343BD4"/>
    <w:pPr>
      <w:tabs>
        <w:tab w:val="right" w:pos="1004"/>
      </w:tabs>
      <w:spacing w:before="40" w:line="240" w:lineRule="atLeast"/>
      <w:ind w:left="1253" w:hanging="1253"/>
    </w:pPr>
    <w:rPr>
      <w:sz w:val="20"/>
    </w:rPr>
  </w:style>
  <w:style w:type="paragraph" w:customStyle="1" w:styleId="CTA2a">
    <w:name w:val="CTA 2(a)"/>
    <w:basedOn w:val="OPCParaBase"/>
    <w:rsid w:val="00343BD4"/>
    <w:pPr>
      <w:tabs>
        <w:tab w:val="right" w:pos="482"/>
      </w:tabs>
      <w:spacing w:before="40" w:line="240" w:lineRule="atLeast"/>
      <w:ind w:left="748" w:hanging="748"/>
    </w:pPr>
    <w:rPr>
      <w:sz w:val="20"/>
    </w:rPr>
  </w:style>
  <w:style w:type="paragraph" w:customStyle="1" w:styleId="CTA2ai">
    <w:name w:val="CTA 2(a)(i)"/>
    <w:basedOn w:val="OPCParaBase"/>
    <w:rsid w:val="00343BD4"/>
    <w:pPr>
      <w:tabs>
        <w:tab w:val="right" w:pos="1089"/>
      </w:tabs>
      <w:spacing w:before="40" w:line="240" w:lineRule="atLeast"/>
      <w:ind w:left="1327" w:hanging="1327"/>
    </w:pPr>
    <w:rPr>
      <w:sz w:val="20"/>
    </w:rPr>
  </w:style>
  <w:style w:type="paragraph" w:customStyle="1" w:styleId="CTA3a">
    <w:name w:val="CTA 3(a)"/>
    <w:basedOn w:val="OPCParaBase"/>
    <w:rsid w:val="00343BD4"/>
    <w:pPr>
      <w:tabs>
        <w:tab w:val="right" w:pos="556"/>
      </w:tabs>
      <w:spacing w:before="40" w:line="240" w:lineRule="atLeast"/>
      <w:ind w:left="805" w:hanging="805"/>
    </w:pPr>
    <w:rPr>
      <w:sz w:val="20"/>
    </w:rPr>
  </w:style>
  <w:style w:type="paragraph" w:customStyle="1" w:styleId="CTA3ai">
    <w:name w:val="CTA 3(a)(i)"/>
    <w:basedOn w:val="OPCParaBase"/>
    <w:rsid w:val="00343BD4"/>
    <w:pPr>
      <w:tabs>
        <w:tab w:val="right" w:pos="1140"/>
      </w:tabs>
      <w:spacing w:before="40" w:line="240" w:lineRule="atLeast"/>
      <w:ind w:left="1361" w:hanging="1361"/>
    </w:pPr>
    <w:rPr>
      <w:sz w:val="20"/>
    </w:rPr>
  </w:style>
  <w:style w:type="paragraph" w:customStyle="1" w:styleId="CTA4a">
    <w:name w:val="CTA 4(a)"/>
    <w:basedOn w:val="OPCParaBase"/>
    <w:rsid w:val="00343BD4"/>
    <w:pPr>
      <w:tabs>
        <w:tab w:val="right" w:pos="624"/>
      </w:tabs>
      <w:spacing w:before="40" w:line="240" w:lineRule="atLeast"/>
      <w:ind w:left="873" w:hanging="873"/>
    </w:pPr>
    <w:rPr>
      <w:sz w:val="20"/>
    </w:rPr>
  </w:style>
  <w:style w:type="paragraph" w:customStyle="1" w:styleId="CTA4ai">
    <w:name w:val="CTA 4(a)(i)"/>
    <w:basedOn w:val="OPCParaBase"/>
    <w:rsid w:val="00343BD4"/>
    <w:pPr>
      <w:tabs>
        <w:tab w:val="right" w:pos="1213"/>
      </w:tabs>
      <w:spacing w:before="40" w:line="240" w:lineRule="atLeast"/>
      <w:ind w:left="1452" w:hanging="1452"/>
    </w:pPr>
    <w:rPr>
      <w:sz w:val="20"/>
    </w:rPr>
  </w:style>
  <w:style w:type="paragraph" w:customStyle="1" w:styleId="CTACAPS">
    <w:name w:val="CTA CAPS"/>
    <w:basedOn w:val="OPCParaBase"/>
    <w:rsid w:val="00343BD4"/>
    <w:pPr>
      <w:spacing w:before="60" w:line="240" w:lineRule="atLeast"/>
    </w:pPr>
    <w:rPr>
      <w:sz w:val="20"/>
    </w:rPr>
  </w:style>
  <w:style w:type="paragraph" w:customStyle="1" w:styleId="CTAright">
    <w:name w:val="CTA right"/>
    <w:basedOn w:val="OPCParaBase"/>
    <w:rsid w:val="00343BD4"/>
    <w:pPr>
      <w:spacing w:before="60" w:line="240" w:lineRule="auto"/>
      <w:jc w:val="right"/>
    </w:pPr>
    <w:rPr>
      <w:sz w:val="20"/>
    </w:rPr>
  </w:style>
  <w:style w:type="paragraph" w:customStyle="1" w:styleId="subsection">
    <w:name w:val="subsection"/>
    <w:aliases w:val="ss"/>
    <w:basedOn w:val="OPCParaBase"/>
    <w:link w:val="subsectionChar"/>
    <w:rsid w:val="00343BD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43BD4"/>
    <w:pPr>
      <w:spacing w:before="180" w:line="240" w:lineRule="auto"/>
      <w:ind w:left="1134"/>
    </w:pPr>
  </w:style>
  <w:style w:type="paragraph" w:customStyle="1" w:styleId="ETAsubitem">
    <w:name w:val="ETA(subitem)"/>
    <w:basedOn w:val="OPCParaBase"/>
    <w:rsid w:val="00343BD4"/>
    <w:pPr>
      <w:tabs>
        <w:tab w:val="right" w:pos="340"/>
      </w:tabs>
      <w:spacing w:before="60" w:line="240" w:lineRule="auto"/>
      <w:ind w:left="454" w:hanging="454"/>
    </w:pPr>
    <w:rPr>
      <w:sz w:val="20"/>
    </w:rPr>
  </w:style>
  <w:style w:type="paragraph" w:customStyle="1" w:styleId="ETApara">
    <w:name w:val="ETA(para)"/>
    <w:basedOn w:val="OPCParaBase"/>
    <w:rsid w:val="00343BD4"/>
    <w:pPr>
      <w:tabs>
        <w:tab w:val="right" w:pos="754"/>
      </w:tabs>
      <w:spacing w:before="60" w:line="240" w:lineRule="auto"/>
      <w:ind w:left="828" w:hanging="828"/>
    </w:pPr>
    <w:rPr>
      <w:sz w:val="20"/>
    </w:rPr>
  </w:style>
  <w:style w:type="paragraph" w:customStyle="1" w:styleId="ETAsubpara">
    <w:name w:val="ETA(subpara)"/>
    <w:basedOn w:val="OPCParaBase"/>
    <w:rsid w:val="00343BD4"/>
    <w:pPr>
      <w:tabs>
        <w:tab w:val="right" w:pos="1083"/>
      </w:tabs>
      <w:spacing w:before="60" w:line="240" w:lineRule="auto"/>
      <w:ind w:left="1191" w:hanging="1191"/>
    </w:pPr>
    <w:rPr>
      <w:sz w:val="20"/>
    </w:rPr>
  </w:style>
  <w:style w:type="paragraph" w:customStyle="1" w:styleId="ETAsub-subpara">
    <w:name w:val="ETA(sub-subpara)"/>
    <w:basedOn w:val="OPCParaBase"/>
    <w:rsid w:val="00343BD4"/>
    <w:pPr>
      <w:tabs>
        <w:tab w:val="right" w:pos="1412"/>
      </w:tabs>
      <w:spacing w:before="60" w:line="240" w:lineRule="auto"/>
      <w:ind w:left="1525" w:hanging="1525"/>
    </w:pPr>
    <w:rPr>
      <w:sz w:val="20"/>
    </w:rPr>
  </w:style>
  <w:style w:type="paragraph" w:customStyle="1" w:styleId="Formula">
    <w:name w:val="Formula"/>
    <w:basedOn w:val="OPCParaBase"/>
    <w:rsid w:val="00343BD4"/>
    <w:pPr>
      <w:spacing w:line="240" w:lineRule="auto"/>
      <w:ind w:left="1134"/>
    </w:pPr>
    <w:rPr>
      <w:sz w:val="20"/>
    </w:rPr>
  </w:style>
  <w:style w:type="paragraph" w:styleId="Header">
    <w:name w:val="header"/>
    <w:basedOn w:val="OPCParaBase"/>
    <w:link w:val="HeaderChar"/>
    <w:unhideWhenUsed/>
    <w:rsid w:val="00343B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3BD4"/>
    <w:rPr>
      <w:rFonts w:eastAsia="Times New Roman" w:cs="Times New Roman"/>
      <w:sz w:val="16"/>
      <w:lang w:eastAsia="en-AU"/>
    </w:rPr>
  </w:style>
  <w:style w:type="paragraph" w:customStyle="1" w:styleId="House">
    <w:name w:val="House"/>
    <w:basedOn w:val="OPCParaBase"/>
    <w:rsid w:val="00343BD4"/>
    <w:pPr>
      <w:spacing w:line="240" w:lineRule="auto"/>
    </w:pPr>
    <w:rPr>
      <w:sz w:val="28"/>
    </w:rPr>
  </w:style>
  <w:style w:type="paragraph" w:customStyle="1" w:styleId="Item">
    <w:name w:val="Item"/>
    <w:aliases w:val="i"/>
    <w:basedOn w:val="OPCParaBase"/>
    <w:next w:val="ItemHead"/>
    <w:link w:val="ItemChar"/>
    <w:rsid w:val="00343BD4"/>
    <w:pPr>
      <w:keepLines/>
      <w:spacing w:before="80" w:line="240" w:lineRule="auto"/>
      <w:ind w:left="709"/>
    </w:pPr>
  </w:style>
  <w:style w:type="paragraph" w:customStyle="1" w:styleId="ItemHead">
    <w:name w:val="ItemHead"/>
    <w:aliases w:val="ih"/>
    <w:basedOn w:val="OPCParaBase"/>
    <w:next w:val="Item"/>
    <w:link w:val="ItemHeadChar"/>
    <w:rsid w:val="00343B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3BD4"/>
    <w:pPr>
      <w:spacing w:line="240" w:lineRule="auto"/>
    </w:pPr>
    <w:rPr>
      <w:b/>
      <w:sz w:val="32"/>
    </w:rPr>
  </w:style>
  <w:style w:type="paragraph" w:customStyle="1" w:styleId="notedraft">
    <w:name w:val="note(draft)"/>
    <w:aliases w:val="nd"/>
    <w:basedOn w:val="OPCParaBase"/>
    <w:rsid w:val="00343BD4"/>
    <w:pPr>
      <w:spacing w:before="240" w:line="240" w:lineRule="auto"/>
      <w:ind w:left="284" w:hanging="284"/>
    </w:pPr>
    <w:rPr>
      <w:i/>
      <w:sz w:val="24"/>
    </w:rPr>
  </w:style>
  <w:style w:type="paragraph" w:customStyle="1" w:styleId="notemargin">
    <w:name w:val="note(margin)"/>
    <w:aliases w:val="nm"/>
    <w:basedOn w:val="OPCParaBase"/>
    <w:rsid w:val="00343BD4"/>
    <w:pPr>
      <w:tabs>
        <w:tab w:val="left" w:pos="709"/>
      </w:tabs>
      <w:spacing w:before="122" w:line="198" w:lineRule="exact"/>
      <w:ind w:left="709" w:hanging="709"/>
    </w:pPr>
    <w:rPr>
      <w:sz w:val="18"/>
    </w:rPr>
  </w:style>
  <w:style w:type="paragraph" w:customStyle="1" w:styleId="noteToPara">
    <w:name w:val="noteToPara"/>
    <w:aliases w:val="ntp"/>
    <w:basedOn w:val="OPCParaBase"/>
    <w:rsid w:val="00343BD4"/>
    <w:pPr>
      <w:spacing w:before="122" w:line="198" w:lineRule="exact"/>
      <w:ind w:left="2353" w:hanging="709"/>
    </w:pPr>
    <w:rPr>
      <w:sz w:val="18"/>
    </w:rPr>
  </w:style>
  <w:style w:type="paragraph" w:customStyle="1" w:styleId="noteParlAmend">
    <w:name w:val="note(ParlAmend)"/>
    <w:aliases w:val="npp"/>
    <w:basedOn w:val="OPCParaBase"/>
    <w:next w:val="ParlAmend"/>
    <w:rsid w:val="00343BD4"/>
    <w:pPr>
      <w:spacing w:line="240" w:lineRule="auto"/>
      <w:jc w:val="right"/>
    </w:pPr>
    <w:rPr>
      <w:rFonts w:ascii="Arial" w:hAnsi="Arial"/>
      <w:b/>
      <w:i/>
    </w:rPr>
  </w:style>
  <w:style w:type="paragraph" w:customStyle="1" w:styleId="Page1">
    <w:name w:val="Page1"/>
    <w:basedOn w:val="OPCParaBase"/>
    <w:rsid w:val="00343BD4"/>
    <w:pPr>
      <w:spacing w:before="400" w:line="240" w:lineRule="auto"/>
    </w:pPr>
    <w:rPr>
      <w:b/>
      <w:sz w:val="32"/>
    </w:rPr>
  </w:style>
  <w:style w:type="paragraph" w:customStyle="1" w:styleId="PageBreak">
    <w:name w:val="PageBreak"/>
    <w:aliases w:val="pb"/>
    <w:basedOn w:val="OPCParaBase"/>
    <w:rsid w:val="00343BD4"/>
    <w:pPr>
      <w:spacing w:line="240" w:lineRule="auto"/>
    </w:pPr>
    <w:rPr>
      <w:sz w:val="20"/>
    </w:rPr>
  </w:style>
  <w:style w:type="paragraph" w:customStyle="1" w:styleId="paragraphsub">
    <w:name w:val="paragraph(sub)"/>
    <w:aliases w:val="aa"/>
    <w:basedOn w:val="OPCParaBase"/>
    <w:rsid w:val="00343BD4"/>
    <w:pPr>
      <w:tabs>
        <w:tab w:val="right" w:pos="1985"/>
      </w:tabs>
      <w:spacing w:before="40" w:line="240" w:lineRule="auto"/>
      <w:ind w:left="2098" w:hanging="2098"/>
    </w:pPr>
  </w:style>
  <w:style w:type="paragraph" w:customStyle="1" w:styleId="paragraphsub-sub">
    <w:name w:val="paragraph(sub-sub)"/>
    <w:aliases w:val="aaa"/>
    <w:basedOn w:val="OPCParaBase"/>
    <w:rsid w:val="00343BD4"/>
    <w:pPr>
      <w:tabs>
        <w:tab w:val="right" w:pos="2722"/>
      </w:tabs>
      <w:spacing w:before="40" w:line="240" w:lineRule="auto"/>
      <w:ind w:left="2835" w:hanging="2835"/>
    </w:pPr>
  </w:style>
  <w:style w:type="paragraph" w:customStyle="1" w:styleId="paragraph">
    <w:name w:val="paragraph"/>
    <w:aliases w:val="a"/>
    <w:basedOn w:val="OPCParaBase"/>
    <w:link w:val="paragraphChar"/>
    <w:rsid w:val="00343BD4"/>
    <w:pPr>
      <w:tabs>
        <w:tab w:val="right" w:pos="1531"/>
      </w:tabs>
      <w:spacing w:before="40" w:line="240" w:lineRule="auto"/>
      <w:ind w:left="1644" w:hanging="1644"/>
    </w:pPr>
  </w:style>
  <w:style w:type="paragraph" w:customStyle="1" w:styleId="ParlAmend">
    <w:name w:val="ParlAmend"/>
    <w:aliases w:val="pp"/>
    <w:basedOn w:val="OPCParaBase"/>
    <w:rsid w:val="00343BD4"/>
    <w:pPr>
      <w:spacing w:before="240" w:line="240" w:lineRule="atLeast"/>
      <w:ind w:hanging="567"/>
    </w:pPr>
    <w:rPr>
      <w:sz w:val="24"/>
    </w:rPr>
  </w:style>
  <w:style w:type="paragraph" w:customStyle="1" w:styleId="Penalty">
    <w:name w:val="Penalty"/>
    <w:basedOn w:val="OPCParaBase"/>
    <w:rsid w:val="00343BD4"/>
    <w:pPr>
      <w:tabs>
        <w:tab w:val="left" w:pos="2977"/>
      </w:tabs>
      <w:spacing w:before="180" w:line="240" w:lineRule="auto"/>
      <w:ind w:left="1985" w:hanging="851"/>
    </w:pPr>
  </w:style>
  <w:style w:type="paragraph" w:customStyle="1" w:styleId="Portfolio">
    <w:name w:val="Portfolio"/>
    <w:basedOn w:val="OPCParaBase"/>
    <w:rsid w:val="00343BD4"/>
    <w:pPr>
      <w:spacing w:line="240" w:lineRule="auto"/>
    </w:pPr>
    <w:rPr>
      <w:i/>
      <w:sz w:val="20"/>
    </w:rPr>
  </w:style>
  <w:style w:type="paragraph" w:customStyle="1" w:styleId="Preamble">
    <w:name w:val="Preamble"/>
    <w:basedOn w:val="OPCParaBase"/>
    <w:next w:val="Normal"/>
    <w:rsid w:val="00343B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3BD4"/>
    <w:pPr>
      <w:spacing w:line="240" w:lineRule="auto"/>
    </w:pPr>
    <w:rPr>
      <w:i/>
      <w:sz w:val="20"/>
    </w:rPr>
  </w:style>
  <w:style w:type="paragraph" w:customStyle="1" w:styleId="Session">
    <w:name w:val="Session"/>
    <w:basedOn w:val="OPCParaBase"/>
    <w:rsid w:val="00343BD4"/>
    <w:pPr>
      <w:spacing w:line="240" w:lineRule="auto"/>
    </w:pPr>
    <w:rPr>
      <w:sz w:val="28"/>
    </w:rPr>
  </w:style>
  <w:style w:type="paragraph" w:customStyle="1" w:styleId="Sponsor">
    <w:name w:val="Sponsor"/>
    <w:basedOn w:val="OPCParaBase"/>
    <w:rsid w:val="00343BD4"/>
    <w:pPr>
      <w:spacing w:line="240" w:lineRule="auto"/>
    </w:pPr>
    <w:rPr>
      <w:i/>
    </w:rPr>
  </w:style>
  <w:style w:type="paragraph" w:customStyle="1" w:styleId="Subitem">
    <w:name w:val="Subitem"/>
    <w:aliases w:val="iss"/>
    <w:basedOn w:val="OPCParaBase"/>
    <w:rsid w:val="00343BD4"/>
    <w:pPr>
      <w:spacing w:before="180" w:line="240" w:lineRule="auto"/>
      <w:ind w:left="709" w:hanging="709"/>
    </w:pPr>
  </w:style>
  <w:style w:type="paragraph" w:customStyle="1" w:styleId="SubitemHead">
    <w:name w:val="SubitemHead"/>
    <w:aliases w:val="issh"/>
    <w:basedOn w:val="OPCParaBase"/>
    <w:rsid w:val="00343B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3BD4"/>
    <w:pPr>
      <w:spacing w:before="40" w:line="240" w:lineRule="auto"/>
      <w:ind w:left="1134"/>
    </w:pPr>
  </w:style>
  <w:style w:type="paragraph" w:customStyle="1" w:styleId="SubsectionHead">
    <w:name w:val="SubsectionHead"/>
    <w:aliases w:val="ssh"/>
    <w:basedOn w:val="OPCParaBase"/>
    <w:next w:val="subsection"/>
    <w:rsid w:val="00343BD4"/>
    <w:pPr>
      <w:keepNext/>
      <w:keepLines/>
      <w:spacing w:before="240" w:line="240" w:lineRule="auto"/>
      <w:ind w:left="1134"/>
    </w:pPr>
    <w:rPr>
      <w:i/>
    </w:rPr>
  </w:style>
  <w:style w:type="paragraph" w:customStyle="1" w:styleId="Tablea">
    <w:name w:val="Table(a)"/>
    <w:aliases w:val="ta"/>
    <w:basedOn w:val="OPCParaBase"/>
    <w:rsid w:val="00343BD4"/>
    <w:pPr>
      <w:spacing w:before="60" w:line="240" w:lineRule="auto"/>
      <w:ind w:left="284" w:hanging="284"/>
    </w:pPr>
    <w:rPr>
      <w:sz w:val="20"/>
    </w:rPr>
  </w:style>
  <w:style w:type="paragraph" w:customStyle="1" w:styleId="TableAA">
    <w:name w:val="Table(AA)"/>
    <w:aliases w:val="taaa"/>
    <w:basedOn w:val="OPCParaBase"/>
    <w:rsid w:val="00343B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3B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3BD4"/>
    <w:pPr>
      <w:spacing w:before="60" w:line="240" w:lineRule="atLeast"/>
    </w:pPr>
    <w:rPr>
      <w:sz w:val="20"/>
    </w:rPr>
  </w:style>
  <w:style w:type="paragraph" w:customStyle="1" w:styleId="TLPBoxTextnote">
    <w:name w:val="TLPBoxText(note"/>
    <w:aliases w:val="right)"/>
    <w:basedOn w:val="OPCParaBase"/>
    <w:rsid w:val="00343B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3B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3BD4"/>
    <w:pPr>
      <w:spacing w:before="122" w:line="198" w:lineRule="exact"/>
      <w:ind w:left="1985" w:hanging="851"/>
      <w:jc w:val="right"/>
    </w:pPr>
    <w:rPr>
      <w:sz w:val="18"/>
    </w:rPr>
  </w:style>
  <w:style w:type="paragraph" w:customStyle="1" w:styleId="TLPTableBullet">
    <w:name w:val="TLPTableBullet"/>
    <w:aliases w:val="ttb"/>
    <w:basedOn w:val="OPCParaBase"/>
    <w:rsid w:val="00343BD4"/>
    <w:pPr>
      <w:spacing w:line="240" w:lineRule="exact"/>
      <w:ind w:left="284" w:hanging="284"/>
    </w:pPr>
    <w:rPr>
      <w:sz w:val="20"/>
    </w:rPr>
  </w:style>
  <w:style w:type="paragraph" w:styleId="TOC1">
    <w:name w:val="toc 1"/>
    <w:basedOn w:val="OPCParaBase"/>
    <w:next w:val="Normal"/>
    <w:uiPriority w:val="39"/>
    <w:semiHidden/>
    <w:unhideWhenUsed/>
    <w:rsid w:val="00343B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43B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43B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3B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43B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3B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3B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3B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3B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3BD4"/>
    <w:pPr>
      <w:keepLines/>
      <w:spacing w:before="240" w:after="120" w:line="240" w:lineRule="auto"/>
      <w:ind w:left="794"/>
    </w:pPr>
    <w:rPr>
      <w:b/>
      <w:kern w:val="28"/>
      <w:sz w:val="20"/>
    </w:rPr>
  </w:style>
  <w:style w:type="paragraph" w:customStyle="1" w:styleId="TofSectsHeading">
    <w:name w:val="TofSects(Heading)"/>
    <w:basedOn w:val="OPCParaBase"/>
    <w:rsid w:val="00343BD4"/>
    <w:pPr>
      <w:spacing w:before="240" w:after="120" w:line="240" w:lineRule="auto"/>
    </w:pPr>
    <w:rPr>
      <w:b/>
      <w:sz w:val="24"/>
    </w:rPr>
  </w:style>
  <w:style w:type="paragraph" w:customStyle="1" w:styleId="TofSectsSection">
    <w:name w:val="TofSects(Section)"/>
    <w:basedOn w:val="OPCParaBase"/>
    <w:rsid w:val="00343BD4"/>
    <w:pPr>
      <w:keepLines/>
      <w:spacing w:before="40" w:line="240" w:lineRule="auto"/>
      <w:ind w:left="1588" w:hanging="794"/>
    </w:pPr>
    <w:rPr>
      <w:kern w:val="28"/>
      <w:sz w:val="18"/>
    </w:rPr>
  </w:style>
  <w:style w:type="paragraph" w:customStyle="1" w:styleId="TofSectsSubdiv">
    <w:name w:val="TofSects(Subdiv)"/>
    <w:basedOn w:val="OPCParaBase"/>
    <w:rsid w:val="00343BD4"/>
    <w:pPr>
      <w:keepLines/>
      <w:spacing w:before="80" w:line="240" w:lineRule="auto"/>
      <w:ind w:left="1588" w:hanging="794"/>
    </w:pPr>
    <w:rPr>
      <w:kern w:val="28"/>
    </w:rPr>
  </w:style>
  <w:style w:type="paragraph" w:customStyle="1" w:styleId="WRStyle">
    <w:name w:val="WR Style"/>
    <w:aliases w:val="WR"/>
    <w:basedOn w:val="OPCParaBase"/>
    <w:rsid w:val="00343BD4"/>
    <w:pPr>
      <w:spacing w:before="240" w:line="240" w:lineRule="auto"/>
      <w:ind w:left="284" w:hanging="284"/>
    </w:pPr>
    <w:rPr>
      <w:b/>
      <w:i/>
      <w:kern w:val="28"/>
      <w:sz w:val="24"/>
    </w:rPr>
  </w:style>
  <w:style w:type="paragraph" w:customStyle="1" w:styleId="notepara">
    <w:name w:val="note(para)"/>
    <w:aliases w:val="na"/>
    <w:basedOn w:val="OPCParaBase"/>
    <w:rsid w:val="00343BD4"/>
    <w:pPr>
      <w:spacing w:before="40" w:line="198" w:lineRule="exact"/>
      <w:ind w:left="2354" w:hanging="369"/>
    </w:pPr>
    <w:rPr>
      <w:sz w:val="18"/>
    </w:rPr>
  </w:style>
  <w:style w:type="paragraph" w:styleId="Footer">
    <w:name w:val="footer"/>
    <w:link w:val="FooterChar"/>
    <w:rsid w:val="00343B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3BD4"/>
    <w:rPr>
      <w:rFonts w:eastAsia="Times New Roman" w:cs="Times New Roman"/>
      <w:sz w:val="22"/>
      <w:szCs w:val="24"/>
      <w:lang w:eastAsia="en-AU"/>
    </w:rPr>
  </w:style>
  <w:style w:type="character" w:styleId="LineNumber">
    <w:name w:val="line number"/>
    <w:basedOn w:val="OPCCharBase"/>
    <w:uiPriority w:val="99"/>
    <w:semiHidden/>
    <w:unhideWhenUsed/>
    <w:rsid w:val="00343BD4"/>
    <w:rPr>
      <w:sz w:val="16"/>
    </w:rPr>
  </w:style>
  <w:style w:type="table" w:customStyle="1" w:styleId="CFlag">
    <w:name w:val="CFlag"/>
    <w:basedOn w:val="TableNormal"/>
    <w:uiPriority w:val="99"/>
    <w:rsid w:val="00343BD4"/>
    <w:rPr>
      <w:rFonts w:eastAsia="Times New Roman" w:cs="Times New Roman"/>
      <w:lang w:eastAsia="en-AU"/>
    </w:rPr>
    <w:tblPr/>
  </w:style>
  <w:style w:type="paragraph" w:customStyle="1" w:styleId="NotesHeading1">
    <w:name w:val="NotesHeading 1"/>
    <w:basedOn w:val="OPCParaBase"/>
    <w:next w:val="Normal"/>
    <w:rsid w:val="00343BD4"/>
    <w:rPr>
      <w:b/>
      <w:sz w:val="28"/>
      <w:szCs w:val="28"/>
    </w:rPr>
  </w:style>
  <w:style w:type="paragraph" w:customStyle="1" w:styleId="NotesHeading2">
    <w:name w:val="NotesHeading 2"/>
    <w:basedOn w:val="OPCParaBase"/>
    <w:next w:val="Normal"/>
    <w:rsid w:val="00343BD4"/>
    <w:rPr>
      <w:b/>
      <w:sz w:val="28"/>
      <w:szCs w:val="28"/>
    </w:rPr>
  </w:style>
  <w:style w:type="paragraph" w:customStyle="1" w:styleId="SignCoverPageEnd">
    <w:name w:val="SignCoverPageEnd"/>
    <w:basedOn w:val="OPCParaBase"/>
    <w:next w:val="Normal"/>
    <w:rsid w:val="00343B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3BD4"/>
    <w:pPr>
      <w:pBdr>
        <w:top w:val="single" w:sz="4" w:space="1" w:color="auto"/>
      </w:pBdr>
      <w:spacing w:before="360"/>
      <w:ind w:right="397"/>
      <w:jc w:val="both"/>
    </w:pPr>
  </w:style>
  <w:style w:type="paragraph" w:customStyle="1" w:styleId="Paragraphsub-sub-sub">
    <w:name w:val="Paragraph(sub-sub-sub)"/>
    <w:aliases w:val="aaaa"/>
    <w:basedOn w:val="OPCParaBase"/>
    <w:rsid w:val="00343B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43B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3B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3B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3B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43BD4"/>
    <w:pPr>
      <w:spacing w:before="120"/>
    </w:pPr>
  </w:style>
  <w:style w:type="paragraph" w:customStyle="1" w:styleId="TableTextEndNotes">
    <w:name w:val="TableTextEndNotes"/>
    <w:aliases w:val="Tten"/>
    <w:basedOn w:val="Normal"/>
    <w:rsid w:val="00343BD4"/>
    <w:pPr>
      <w:spacing w:before="60" w:line="240" w:lineRule="auto"/>
    </w:pPr>
    <w:rPr>
      <w:rFonts w:cs="Arial"/>
      <w:sz w:val="20"/>
      <w:szCs w:val="22"/>
    </w:rPr>
  </w:style>
  <w:style w:type="paragraph" w:customStyle="1" w:styleId="TableHeading">
    <w:name w:val="TableHeading"/>
    <w:aliases w:val="th"/>
    <w:basedOn w:val="OPCParaBase"/>
    <w:next w:val="Tabletext"/>
    <w:rsid w:val="00343BD4"/>
    <w:pPr>
      <w:keepNext/>
      <w:spacing w:before="60" w:line="240" w:lineRule="atLeast"/>
    </w:pPr>
    <w:rPr>
      <w:b/>
      <w:sz w:val="20"/>
    </w:rPr>
  </w:style>
  <w:style w:type="paragraph" w:customStyle="1" w:styleId="NoteToSubpara">
    <w:name w:val="NoteToSubpara"/>
    <w:aliases w:val="nts"/>
    <w:basedOn w:val="OPCParaBase"/>
    <w:rsid w:val="00343BD4"/>
    <w:pPr>
      <w:spacing w:before="40" w:line="198" w:lineRule="exact"/>
      <w:ind w:left="2835" w:hanging="709"/>
    </w:pPr>
    <w:rPr>
      <w:sz w:val="18"/>
    </w:rPr>
  </w:style>
  <w:style w:type="paragraph" w:customStyle="1" w:styleId="ENoteTableHeading">
    <w:name w:val="ENoteTableHeading"/>
    <w:aliases w:val="enth"/>
    <w:basedOn w:val="OPCParaBase"/>
    <w:rsid w:val="00343BD4"/>
    <w:pPr>
      <w:keepNext/>
      <w:spacing w:before="60" w:line="240" w:lineRule="atLeast"/>
    </w:pPr>
    <w:rPr>
      <w:rFonts w:ascii="Arial" w:hAnsi="Arial"/>
      <w:b/>
      <w:sz w:val="16"/>
    </w:rPr>
  </w:style>
  <w:style w:type="paragraph" w:customStyle="1" w:styleId="ENoteTTi">
    <w:name w:val="ENoteTTi"/>
    <w:aliases w:val="entti"/>
    <w:basedOn w:val="OPCParaBase"/>
    <w:rsid w:val="00343BD4"/>
    <w:pPr>
      <w:keepNext/>
      <w:spacing w:before="60" w:line="240" w:lineRule="atLeast"/>
      <w:ind w:left="170"/>
    </w:pPr>
    <w:rPr>
      <w:sz w:val="16"/>
    </w:rPr>
  </w:style>
  <w:style w:type="paragraph" w:customStyle="1" w:styleId="ENotesHeading1">
    <w:name w:val="ENotesHeading 1"/>
    <w:aliases w:val="Enh1"/>
    <w:basedOn w:val="OPCParaBase"/>
    <w:next w:val="Normal"/>
    <w:rsid w:val="00343BD4"/>
    <w:pPr>
      <w:spacing w:before="120"/>
      <w:outlineLvl w:val="1"/>
    </w:pPr>
    <w:rPr>
      <w:b/>
      <w:sz w:val="28"/>
      <w:szCs w:val="28"/>
    </w:rPr>
  </w:style>
  <w:style w:type="paragraph" w:customStyle="1" w:styleId="ENotesHeading2">
    <w:name w:val="ENotesHeading 2"/>
    <w:aliases w:val="Enh2"/>
    <w:basedOn w:val="OPCParaBase"/>
    <w:next w:val="Normal"/>
    <w:rsid w:val="00343BD4"/>
    <w:pPr>
      <w:spacing w:before="120" w:after="120"/>
      <w:outlineLvl w:val="2"/>
    </w:pPr>
    <w:rPr>
      <w:b/>
      <w:sz w:val="24"/>
      <w:szCs w:val="28"/>
    </w:rPr>
  </w:style>
  <w:style w:type="paragraph" w:customStyle="1" w:styleId="ENoteTTIndentHeading">
    <w:name w:val="ENoteTTIndentHeading"/>
    <w:aliases w:val="enTTHi"/>
    <w:basedOn w:val="OPCParaBase"/>
    <w:rsid w:val="00343B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3BD4"/>
    <w:pPr>
      <w:spacing w:before="60" w:line="240" w:lineRule="atLeast"/>
    </w:pPr>
    <w:rPr>
      <w:sz w:val="16"/>
    </w:rPr>
  </w:style>
  <w:style w:type="paragraph" w:customStyle="1" w:styleId="MadeunderText">
    <w:name w:val="MadeunderText"/>
    <w:basedOn w:val="OPCParaBase"/>
    <w:next w:val="Normal"/>
    <w:rsid w:val="00343BD4"/>
    <w:pPr>
      <w:spacing w:before="240"/>
    </w:pPr>
    <w:rPr>
      <w:sz w:val="24"/>
      <w:szCs w:val="24"/>
    </w:rPr>
  </w:style>
  <w:style w:type="paragraph" w:customStyle="1" w:styleId="ENotesHeading3">
    <w:name w:val="ENotesHeading 3"/>
    <w:aliases w:val="Enh3"/>
    <w:basedOn w:val="OPCParaBase"/>
    <w:next w:val="Normal"/>
    <w:rsid w:val="00343BD4"/>
    <w:pPr>
      <w:keepNext/>
      <w:spacing w:before="120" w:line="240" w:lineRule="auto"/>
      <w:outlineLvl w:val="4"/>
    </w:pPr>
    <w:rPr>
      <w:b/>
      <w:szCs w:val="24"/>
    </w:rPr>
  </w:style>
  <w:style w:type="paragraph" w:customStyle="1" w:styleId="SubPartCASA">
    <w:name w:val="SubPart(CASA)"/>
    <w:aliases w:val="csp"/>
    <w:basedOn w:val="OPCParaBase"/>
    <w:next w:val="ActHead3"/>
    <w:rsid w:val="00343B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3BD4"/>
  </w:style>
  <w:style w:type="character" w:customStyle="1" w:styleId="CharSubPartNoCASA">
    <w:name w:val="CharSubPartNo(CASA)"/>
    <w:basedOn w:val="OPCCharBase"/>
    <w:uiPriority w:val="1"/>
    <w:rsid w:val="00343BD4"/>
  </w:style>
  <w:style w:type="paragraph" w:customStyle="1" w:styleId="ENoteTTIndentHeadingSub">
    <w:name w:val="ENoteTTIndentHeadingSub"/>
    <w:aliases w:val="enTTHis"/>
    <w:basedOn w:val="OPCParaBase"/>
    <w:rsid w:val="00343BD4"/>
    <w:pPr>
      <w:keepNext/>
      <w:spacing w:before="60" w:line="240" w:lineRule="atLeast"/>
      <w:ind w:left="340"/>
    </w:pPr>
    <w:rPr>
      <w:b/>
      <w:sz w:val="16"/>
    </w:rPr>
  </w:style>
  <w:style w:type="paragraph" w:customStyle="1" w:styleId="ENoteTTiSub">
    <w:name w:val="ENoteTTiSub"/>
    <w:aliases w:val="enttis"/>
    <w:basedOn w:val="OPCParaBase"/>
    <w:rsid w:val="00343BD4"/>
    <w:pPr>
      <w:keepNext/>
      <w:spacing w:before="60" w:line="240" w:lineRule="atLeast"/>
      <w:ind w:left="340"/>
    </w:pPr>
    <w:rPr>
      <w:sz w:val="16"/>
    </w:rPr>
  </w:style>
  <w:style w:type="paragraph" w:customStyle="1" w:styleId="SubDivisionMigration">
    <w:name w:val="SubDivisionMigration"/>
    <w:aliases w:val="sdm"/>
    <w:basedOn w:val="OPCParaBase"/>
    <w:rsid w:val="00343B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3BD4"/>
    <w:pPr>
      <w:keepNext/>
      <w:keepLines/>
      <w:spacing w:before="240" w:line="240" w:lineRule="auto"/>
      <w:ind w:left="1134" w:hanging="1134"/>
    </w:pPr>
    <w:rPr>
      <w:b/>
      <w:sz w:val="28"/>
    </w:rPr>
  </w:style>
  <w:style w:type="table" w:styleId="TableGrid">
    <w:name w:val="Table Grid"/>
    <w:basedOn w:val="TableNormal"/>
    <w:uiPriority w:val="59"/>
    <w:rsid w:val="0034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43BD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43B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3BD4"/>
    <w:rPr>
      <w:sz w:val="22"/>
    </w:rPr>
  </w:style>
  <w:style w:type="paragraph" w:customStyle="1" w:styleId="SOTextNote">
    <w:name w:val="SO TextNote"/>
    <w:aliases w:val="sont"/>
    <w:basedOn w:val="SOText"/>
    <w:qFormat/>
    <w:rsid w:val="00343BD4"/>
    <w:pPr>
      <w:spacing w:before="122" w:line="198" w:lineRule="exact"/>
      <w:ind w:left="1843" w:hanging="709"/>
    </w:pPr>
    <w:rPr>
      <w:sz w:val="18"/>
    </w:rPr>
  </w:style>
  <w:style w:type="paragraph" w:customStyle="1" w:styleId="SOPara">
    <w:name w:val="SO Para"/>
    <w:aliases w:val="soa"/>
    <w:basedOn w:val="SOText"/>
    <w:link w:val="SOParaChar"/>
    <w:qFormat/>
    <w:rsid w:val="00343BD4"/>
    <w:pPr>
      <w:tabs>
        <w:tab w:val="right" w:pos="1786"/>
      </w:tabs>
      <w:spacing w:before="40"/>
      <w:ind w:left="2070" w:hanging="936"/>
    </w:pPr>
  </w:style>
  <w:style w:type="character" w:customStyle="1" w:styleId="SOParaChar">
    <w:name w:val="SO Para Char"/>
    <w:aliases w:val="soa Char"/>
    <w:basedOn w:val="DefaultParagraphFont"/>
    <w:link w:val="SOPara"/>
    <w:rsid w:val="00343BD4"/>
    <w:rPr>
      <w:sz w:val="22"/>
    </w:rPr>
  </w:style>
  <w:style w:type="paragraph" w:customStyle="1" w:styleId="FileName">
    <w:name w:val="FileName"/>
    <w:basedOn w:val="Normal"/>
    <w:rsid w:val="00343BD4"/>
  </w:style>
  <w:style w:type="paragraph" w:customStyle="1" w:styleId="SOHeadBold">
    <w:name w:val="SO HeadBold"/>
    <w:aliases w:val="sohb"/>
    <w:basedOn w:val="SOText"/>
    <w:next w:val="SOText"/>
    <w:link w:val="SOHeadBoldChar"/>
    <w:qFormat/>
    <w:rsid w:val="00343BD4"/>
    <w:rPr>
      <w:b/>
    </w:rPr>
  </w:style>
  <w:style w:type="character" w:customStyle="1" w:styleId="SOHeadBoldChar">
    <w:name w:val="SO HeadBold Char"/>
    <w:aliases w:val="sohb Char"/>
    <w:basedOn w:val="DefaultParagraphFont"/>
    <w:link w:val="SOHeadBold"/>
    <w:rsid w:val="00343BD4"/>
    <w:rPr>
      <w:b/>
      <w:sz w:val="22"/>
    </w:rPr>
  </w:style>
  <w:style w:type="paragraph" w:customStyle="1" w:styleId="SOHeadItalic">
    <w:name w:val="SO HeadItalic"/>
    <w:aliases w:val="sohi"/>
    <w:basedOn w:val="SOText"/>
    <w:next w:val="SOText"/>
    <w:link w:val="SOHeadItalicChar"/>
    <w:qFormat/>
    <w:rsid w:val="00343BD4"/>
    <w:rPr>
      <w:i/>
    </w:rPr>
  </w:style>
  <w:style w:type="character" w:customStyle="1" w:styleId="SOHeadItalicChar">
    <w:name w:val="SO HeadItalic Char"/>
    <w:aliases w:val="sohi Char"/>
    <w:basedOn w:val="DefaultParagraphFont"/>
    <w:link w:val="SOHeadItalic"/>
    <w:rsid w:val="00343BD4"/>
    <w:rPr>
      <w:i/>
      <w:sz w:val="22"/>
    </w:rPr>
  </w:style>
  <w:style w:type="paragraph" w:customStyle="1" w:styleId="SOBullet">
    <w:name w:val="SO Bullet"/>
    <w:aliases w:val="sotb"/>
    <w:basedOn w:val="SOText"/>
    <w:link w:val="SOBulletChar"/>
    <w:qFormat/>
    <w:rsid w:val="00343BD4"/>
    <w:pPr>
      <w:ind w:left="1559" w:hanging="425"/>
    </w:pPr>
  </w:style>
  <w:style w:type="character" w:customStyle="1" w:styleId="SOBulletChar">
    <w:name w:val="SO Bullet Char"/>
    <w:aliases w:val="sotb Char"/>
    <w:basedOn w:val="DefaultParagraphFont"/>
    <w:link w:val="SOBullet"/>
    <w:rsid w:val="00343BD4"/>
    <w:rPr>
      <w:sz w:val="22"/>
    </w:rPr>
  </w:style>
  <w:style w:type="paragraph" w:customStyle="1" w:styleId="SOBulletNote">
    <w:name w:val="SO BulletNote"/>
    <w:aliases w:val="sonb"/>
    <w:basedOn w:val="SOTextNote"/>
    <w:link w:val="SOBulletNoteChar"/>
    <w:qFormat/>
    <w:rsid w:val="00343BD4"/>
    <w:pPr>
      <w:tabs>
        <w:tab w:val="left" w:pos="1560"/>
      </w:tabs>
      <w:ind w:left="2268" w:hanging="1134"/>
    </w:pPr>
  </w:style>
  <w:style w:type="character" w:customStyle="1" w:styleId="SOBulletNoteChar">
    <w:name w:val="SO BulletNote Char"/>
    <w:aliases w:val="sonb Char"/>
    <w:basedOn w:val="DefaultParagraphFont"/>
    <w:link w:val="SOBulletNote"/>
    <w:rsid w:val="00343BD4"/>
    <w:rPr>
      <w:sz w:val="18"/>
    </w:rPr>
  </w:style>
  <w:style w:type="paragraph" w:customStyle="1" w:styleId="SOText2">
    <w:name w:val="SO Text2"/>
    <w:aliases w:val="sot2"/>
    <w:basedOn w:val="Normal"/>
    <w:next w:val="SOText"/>
    <w:link w:val="SOText2Char"/>
    <w:rsid w:val="00343B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3BD4"/>
    <w:rPr>
      <w:sz w:val="22"/>
    </w:rPr>
  </w:style>
  <w:style w:type="paragraph" w:customStyle="1" w:styleId="Transitional">
    <w:name w:val="Transitional"/>
    <w:aliases w:val="tr"/>
    <w:basedOn w:val="ItemHead"/>
    <w:next w:val="Item"/>
    <w:rsid w:val="00343BD4"/>
  </w:style>
  <w:style w:type="character" w:customStyle="1" w:styleId="Heading1Char">
    <w:name w:val="Heading 1 Char"/>
    <w:basedOn w:val="DefaultParagraphFont"/>
    <w:link w:val="Heading1"/>
    <w:uiPriority w:val="9"/>
    <w:rsid w:val="00847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7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76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76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76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476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76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76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762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8439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4393D"/>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84393D"/>
    <w:rPr>
      <w:rFonts w:eastAsia="Times New Roman" w:cs="Times New Roman"/>
      <w:sz w:val="22"/>
      <w:lang w:eastAsia="en-AU"/>
    </w:rPr>
  </w:style>
  <w:style w:type="character" w:customStyle="1" w:styleId="notetextChar">
    <w:name w:val="note(text) Char"/>
    <w:aliases w:val="n Char"/>
    <w:basedOn w:val="DefaultParagraphFont"/>
    <w:link w:val="notetext"/>
    <w:rsid w:val="0084393D"/>
    <w:rPr>
      <w:rFonts w:eastAsia="Times New Roman" w:cs="Times New Roman"/>
      <w:sz w:val="18"/>
      <w:lang w:eastAsia="en-AU"/>
    </w:rPr>
  </w:style>
  <w:style w:type="character" w:customStyle="1" w:styleId="paragraphChar">
    <w:name w:val="paragraph Char"/>
    <w:aliases w:val="a Char"/>
    <w:link w:val="paragraph"/>
    <w:rsid w:val="0084393D"/>
    <w:rPr>
      <w:rFonts w:eastAsia="Times New Roman" w:cs="Times New Roman"/>
      <w:sz w:val="22"/>
      <w:lang w:eastAsia="en-AU"/>
    </w:rPr>
  </w:style>
  <w:style w:type="character" w:customStyle="1" w:styleId="DefinitionChar">
    <w:name w:val="Definition Char"/>
    <w:aliases w:val="dd Char"/>
    <w:link w:val="Definition"/>
    <w:rsid w:val="0084393D"/>
    <w:rPr>
      <w:rFonts w:eastAsia="Times New Roman" w:cs="Times New Roman"/>
      <w:sz w:val="22"/>
      <w:lang w:eastAsia="en-AU"/>
    </w:rPr>
  </w:style>
  <w:style w:type="character" w:styleId="Hyperlink">
    <w:name w:val="Hyperlink"/>
    <w:basedOn w:val="DefaultParagraphFont"/>
    <w:uiPriority w:val="99"/>
    <w:semiHidden/>
    <w:unhideWhenUsed/>
    <w:rsid w:val="00110483"/>
    <w:rPr>
      <w:color w:val="0000FF" w:themeColor="hyperlink"/>
      <w:u w:val="single"/>
    </w:rPr>
  </w:style>
  <w:style w:type="character" w:styleId="FollowedHyperlink">
    <w:name w:val="FollowedHyperlink"/>
    <w:basedOn w:val="DefaultParagraphFont"/>
    <w:uiPriority w:val="99"/>
    <w:semiHidden/>
    <w:unhideWhenUsed/>
    <w:rsid w:val="00110483"/>
    <w:rPr>
      <w:color w:val="0000FF" w:themeColor="hyperlink"/>
      <w:u w:val="single"/>
    </w:rPr>
  </w:style>
  <w:style w:type="paragraph" w:customStyle="1" w:styleId="ShortTP1">
    <w:name w:val="ShortTP1"/>
    <w:basedOn w:val="ShortT"/>
    <w:link w:val="ShortTP1Char"/>
    <w:rsid w:val="006C5294"/>
    <w:pPr>
      <w:spacing w:before="800"/>
    </w:pPr>
  </w:style>
  <w:style w:type="character" w:customStyle="1" w:styleId="OPCParaBaseChar">
    <w:name w:val="OPCParaBase Char"/>
    <w:basedOn w:val="DefaultParagraphFont"/>
    <w:link w:val="OPCParaBase"/>
    <w:rsid w:val="006C5294"/>
    <w:rPr>
      <w:rFonts w:eastAsia="Times New Roman" w:cs="Times New Roman"/>
      <w:sz w:val="22"/>
      <w:lang w:eastAsia="en-AU"/>
    </w:rPr>
  </w:style>
  <w:style w:type="character" w:customStyle="1" w:styleId="ShortTChar">
    <w:name w:val="ShortT Char"/>
    <w:basedOn w:val="OPCParaBaseChar"/>
    <w:link w:val="ShortT"/>
    <w:rsid w:val="006C5294"/>
    <w:rPr>
      <w:rFonts w:eastAsia="Times New Roman" w:cs="Times New Roman"/>
      <w:b/>
      <w:sz w:val="40"/>
      <w:lang w:eastAsia="en-AU"/>
    </w:rPr>
  </w:style>
  <w:style w:type="character" w:customStyle="1" w:styleId="ShortTP1Char">
    <w:name w:val="ShortTP1 Char"/>
    <w:basedOn w:val="ShortTChar"/>
    <w:link w:val="ShortTP1"/>
    <w:rsid w:val="006C5294"/>
    <w:rPr>
      <w:rFonts w:eastAsia="Times New Roman" w:cs="Times New Roman"/>
      <w:b/>
      <w:sz w:val="40"/>
      <w:lang w:eastAsia="en-AU"/>
    </w:rPr>
  </w:style>
  <w:style w:type="paragraph" w:customStyle="1" w:styleId="ActNoP1">
    <w:name w:val="ActNoP1"/>
    <w:basedOn w:val="Actno"/>
    <w:link w:val="ActNoP1Char"/>
    <w:rsid w:val="006C5294"/>
    <w:pPr>
      <w:spacing w:before="800"/>
    </w:pPr>
    <w:rPr>
      <w:sz w:val="28"/>
    </w:rPr>
  </w:style>
  <w:style w:type="character" w:customStyle="1" w:styleId="ActnoChar">
    <w:name w:val="Actno Char"/>
    <w:basedOn w:val="ShortTChar"/>
    <w:link w:val="Actno"/>
    <w:rsid w:val="006C5294"/>
    <w:rPr>
      <w:rFonts w:eastAsia="Times New Roman" w:cs="Times New Roman"/>
      <w:b/>
      <w:sz w:val="40"/>
      <w:lang w:eastAsia="en-AU"/>
    </w:rPr>
  </w:style>
  <w:style w:type="character" w:customStyle="1" w:styleId="ActNoP1Char">
    <w:name w:val="ActNoP1 Char"/>
    <w:basedOn w:val="ActnoChar"/>
    <w:link w:val="ActNoP1"/>
    <w:rsid w:val="006C5294"/>
    <w:rPr>
      <w:rFonts w:eastAsia="Times New Roman" w:cs="Times New Roman"/>
      <w:b/>
      <w:sz w:val="28"/>
      <w:lang w:eastAsia="en-AU"/>
    </w:rPr>
  </w:style>
  <w:style w:type="paragraph" w:customStyle="1" w:styleId="ShortTCP">
    <w:name w:val="ShortTCP"/>
    <w:basedOn w:val="ShortT"/>
    <w:link w:val="ShortTCPChar"/>
    <w:rsid w:val="006C5294"/>
  </w:style>
  <w:style w:type="character" w:customStyle="1" w:styleId="ShortTCPChar">
    <w:name w:val="ShortTCP Char"/>
    <w:basedOn w:val="ShortTChar"/>
    <w:link w:val="ShortTCP"/>
    <w:rsid w:val="006C5294"/>
    <w:rPr>
      <w:rFonts w:eastAsia="Times New Roman" w:cs="Times New Roman"/>
      <w:b/>
      <w:sz w:val="40"/>
      <w:lang w:eastAsia="en-AU"/>
    </w:rPr>
  </w:style>
  <w:style w:type="paragraph" w:customStyle="1" w:styleId="ActNoCP">
    <w:name w:val="ActNoCP"/>
    <w:basedOn w:val="Actno"/>
    <w:link w:val="ActNoCPChar"/>
    <w:rsid w:val="006C5294"/>
    <w:pPr>
      <w:spacing w:before="400"/>
    </w:pPr>
  </w:style>
  <w:style w:type="character" w:customStyle="1" w:styleId="ActNoCPChar">
    <w:name w:val="ActNoCP Char"/>
    <w:basedOn w:val="ActnoChar"/>
    <w:link w:val="ActNoCP"/>
    <w:rsid w:val="006C5294"/>
    <w:rPr>
      <w:rFonts w:eastAsia="Times New Roman" w:cs="Times New Roman"/>
      <w:b/>
      <w:sz w:val="40"/>
      <w:lang w:eastAsia="en-AU"/>
    </w:rPr>
  </w:style>
  <w:style w:type="paragraph" w:customStyle="1" w:styleId="AssentBk">
    <w:name w:val="AssentBk"/>
    <w:basedOn w:val="Normal"/>
    <w:rsid w:val="006C5294"/>
    <w:pPr>
      <w:spacing w:line="240" w:lineRule="auto"/>
    </w:pPr>
    <w:rPr>
      <w:rFonts w:eastAsia="Times New Roman" w:cs="Times New Roman"/>
      <w:sz w:val="20"/>
      <w:lang w:eastAsia="en-AU"/>
    </w:rPr>
  </w:style>
  <w:style w:type="paragraph" w:customStyle="1" w:styleId="AssentDt">
    <w:name w:val="AssentDt"/>
    <w:basedOn w:val="Normal"/>
    <w:rsid w:val="00110597"/>
    <w:pPr>
      <w:spacing w:line="240" w:lineRule="auto"/>
    </w:pPr>
    <w:rPr>
      <w:rFonts w:eastAsia="Times New Roman" w:cs="Times New Roman"/>
      <w:sz w:val="20"/>
      <w:lang w:eastAsia="en-AU"/>
    </w:rPr>
  </w:style>
  <w:style w:type="paragraph" w:customStyle="1" w:styleId="2ndRd">
    <w:name w:val="2ndRd"/>
    <w:basedOn w:val="Normal"/>
    <w:rsid w:val="00110597"/>
    <w:pPr>
      <w:spacing w:line="240" w:lineRule="auto"/>
    </w:pPr>
    <w:rPr>
      <w:rFonts w:eastAsia="Times New Roman" w:cs="Times New Roman"/>
      <w:sz w:val="20"/>
      <w:lang w:eastAsia="en-AU"/>
    </w:rPr>
  </w:style>
  <w:style w:type="paragraph" w:customStyle="1" w:styleId="ScalePlusRef">
    <w:name w:val="ScalePlusRef"/>
    <w:basedOn w:val="Normal"/>
    <w:rsid w:val="0011059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BD4"/>
    <w:pPr>
      <w:spacing w:line="260" w:lineRule="atLeast"/>
    </w:pPr>
    <w:rPr>
      <w:sz w:val="22"/>
    </w:rPr>
  </w:style>
  <w:style w:type="paragraph" w:styleId="Heading1">
    <w:name w:val="heading 1"/>
    <w:basedOn w:val="Normal"/>
    <w:next w:val="Normal"/>
    <w:link w:val="Heading1Char"/>
    <w:uiPriority w:val="9"/>
    <w:qFormat/>
    <w:rsid w:val="00847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7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76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76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76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76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76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76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476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3BD4"/>
  </w:style>
  <w:style w:type="paragraph" w:customStyle="1" w:styleId="OPCParaBase">
    <w:name w:val="OPCParaBase"/>
    <w:link w:val="OPCParaBaseChar"/>
    <w:qFormat/>
    <w:rsid w:val="00343B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43BD4"/>
    <w:pPr>
      <w:spacing w:line="240" w:lineRule="auto"/>
    </w:pPr>
    <w:rPr>
      <w:b/>
      <w:sz w:val="40"/>
    </w:rPr>
  </w:style>
  <w:style w:type="paragraph" w:customStyle="1" w:styleId="ActHead1">
    <w:name w:val="ActHead 1"/>
    <w:aliases w:val="c"/>
    <w:basedOn w:val="OPCParaBase"/>
    <w:next w:val="Normal"/>
    <w:qFormat/>
    <w:rsid w:val="00343B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3B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3B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3B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43B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3B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3B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3B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3B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43BD4"/>
  </w:style>
  <w:style w:type="paragraph" w:customStyle="1" w:styleId="Blocks">
    <w:name w:val="Blocks"/>
    <w:aliases w:val="bb"/>
    <w:basedOn w:val="OPCParaBase"/>
    <w:qFormat/>
    <w:rsid w:val="00343BD4"/>
    <w:pPr>
      <w:spacing w:line="240" w:lineRule="auto"/>
    </w:pPr>
    <w:rPr>
      <w:sz w:val="24"/>
    </w:rPr>
  </w:style>
  <w:style w:type="paragraph" w:customStyle="1" w:styleId="BoxText">
    <w:name w:val="BoxText"/>
    <w:aliases w:val="bt"/>
    <w:basedOn w:val="OPCParaBase"/>
    <w:qFormat/>
    <w:rsid w:val="00343B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3BD4"/>
    <w:rPr>
      <w:b/>
    </w:rPr>
  </w:style>
  <w:style w:type="paragraph" w:customStyle="1" w:styleId="BoxHeadItalic">
    <w:name w:val="BoxHeadItalic"/>
    <w:aliases w:val="bhi"/>
    <w:basedOn w:val="BoxText"/>
    <w:next w:val="BoxStep"/>
    <w:qFormat/>
    <w:rsid w:val="00343BD4"/>
    <w:rPr>
      <w:i/>
    </w:rPr>
  </w:style>
  <w:style w:type="paragraph" w:customStyle="1" w:styleId="BoxList">
    <w:name w:val="BoxList"/>
    <w:aliases w:val="bl"/>
    <w:basedOn w:val="BoxText"/>
    <w:qFormat/>
    <w:rsid w:val="00343BD4"/>
    <w:pPr>
      <w:ind w:left="1559" w:hanging="425"/>
    </w:pPr>
  </w:style>
  <w:style w:type="paragraph" w:customStyle="1" w:styleId="BoxNote">
    <w:name w:val="BoxNote"/>
    <w:aliases w:val="bn"/>
    <w:basedOn w:val="BoxText"/>
    <w:qFormat/>
    <w:rsid w:val="00343BD4"/>
    <w:pPr>
      <w:tabs>
        <w:tab w:val="left" w:pos="1985"/>
      </w:tabs>
      <w:spacing w:before="122" w:line="198" w:lineRule="exact"/>
      <w:ind w:left="2948" w:hanging="1814"/>
    </w:pPr>
    <w:rPr>
      <w:sz w:val="18"/>
    </w:rPr>
  </w:style>
  <w:style w:type="paragraph" w:customStyle="1" w:styleId="BoxPara">
    <w:name w:val="BoxPara"/>
    <w:aliases w:val="bp"/>
    <w:basedOn w:val="BoxText"/>
    <w:qFormat/>
    <w:rsid w:val="00343BD4"/>
    <w:pPr>
      <w:tabs>
        <w:tab w:val="right" w:pos="2268"/>
      </w:tabs>
      <w:ind w:left="2552" w:hanging="1418"/>
    </w:pPr>
  </w:style>
  <w:style w:type="paragraph" w:customStyle="1" w:styleId="BoxStep">
    <w:name w:val="BoxStep"/>
    <w:aliases w:val="bs"/>
    <w:basedOn w:val="BoxText"/>
    <w:qFormat/>
    <w:rsid w:val="00343BD4"/>
    <w:pPr>
      <w:ind w:left="1985" w:hanging="851"/>
    </w:pPr>
  </w:style>
  <w:style w:type="character" w:customStyle="1" w:styleId="CharAmPartNo">
    <w:name w:val="CharAmPartNo"/>
    <w:basedOn w:val="OPCCharBase"/>
    <w:qFormat/>
    <w:rsid w:val="00343BD4"/>
  </w:style>
  <w:style w:type="character" w:customStyle="1" w:styleId="CharAmPartText">
    <w:name w:val="CharAmPartText"/>
    <w:basedOn w:val="OPCCharBase"/>
    <w:qFormat/>
    <w:rsid w:val="00343BD4"/>
  </w:style>
  <w:style w:type="character" w:customStyle="1" w:styleId="CharAmSchNo">
    <w:name w:val="CharAmSchNo"/>
    <w:basedOn w:val="OPCCharBase"/>
    <w:qFormat/>
    <w:rsid w:val="00343BD4"/>
  </w:style>
  <w:style w:type="character" w:customStyle="1" w:styleId="CharAmSchText">
    <w:name w:val="CharAmSchText"/>
    <w:basedOn w:val="OPCCharBase"/>
    <w:qFormat/>
    <w:rsid w:val="00343BD4"/>
  </w:style>
  <w:style w:type="character" w:customStyle="1" w:styleId="CharBoldItalic">
    <w:name w:val="CharBoldItalic"/>
    <w:basedOn w:val="OPCCharBase"/>
    <w:uiPriority w:val="1"/>
    <w:qFormat/>
    <w:rsid w:val="00343BD4"/>
    <w:rPr>
      <w:b/>
      <w:i/>
    </w:rPr>
  </w:style>
  <w:style w:type="character" w:customStyle="1" w:styleId="CharChapNo">
    <w:name w:val="CharChapNo"/>
    <w:basedOn w:val="OPCCharBase"/>
    <w:uiPriority w:val="1"/>
    <w:qFormat/>
    <w:rsid w:val="00343BD4"/>
  </w:style>
  <w:style w:type="character" w:customStyle="1" w:styleId="CharChapText">
    <w:name w:val="CharChapText"/>
    <w:basedOn w:val="OPCCharBase"/>
    <w:uiPriority w:val="1"/>
    <w:qFormat/>
    <w:rsid w:val="00343BD4"/>
  </w:style>
  <w:style w:type="character" w:customStyle="1" w:styleId="CharDivNo">
    <w:name w:val="CharDivNo"/>
    <w:basedOn w:val="OPCCharBase"/>
    <w:uiPriority w:val="1"/>
    <w:qFormat/>
    <w:rsid w:val="00343BD4"/>
  </w:style>
  <w:style w:type="character" w:customStyle="1" w:styleId="CharDivText">
    <w:name w:val="CharDivText"/>
    <w:basedOn w:val="OPCCharBase"/>
    <w:uiPriority w:val="1"/>
    <w:qFormat/>
    <w:rsid w:val="00343BD4"/>
  </w:style>
  <w:style w:type="character" w:customStyle="1" w:styleId="CharItalic">
    <w:name w:val="CharItalic"/>
    <w:basedOn w:val="OPCCharBase"/>
    <w:uiPriority w:val="1"/>
    <w:qFormat/>
    <w:rsid w:val="00343BD4"/>
    <w:rPr>
      <w:i/>
    </w:rPr>
  </w:style>
  <w:style w:type="character" w:customStyle="1" w:styleId="CharPartNo">
    <w:name w:val="CharPartNo"/>
    <w:basedOn w:val="OPCCharBase"/>
    <w:uiPriority w:val="1"/>
    <w:qFormat/>
    <w:rsid w:val="00343BD4"/>
  </w:style>
  <w:style w:type="character" w:customStyle="1" w:styleId="CharPartText">
    <w:name w:val="CharPartText"/>
    <w:basedOn w:val="OPCCharBase"/>
    <w:uiPriority w:val="1"/>
    <w:qFormat/>
    <w:rsid w:val="00343BD4"/>
  </w:style>
  <w:style w:type="character" w:customStyle="1" w:styleId="CharSectno">
    <w:name w:val="CharSectno"/>
    <w:basedOn w:val="OPCCharBase"/>
    <w:qFormat/>
    <w:rsid w:val="00343BD4"/>
  </w:style>
  <w:style w:type="character" w:customStyle="1" w:styleId="CharSubdNo">
    <w:name w:val="CharSubdNo"/>
    <w:basedOn w:val="OPCCharBase"/>
    <w:uiPriority w:val="1"/>
    <w:qFormat/>
    <w:rsid w:val="00343BD4"/>
  </w:style>
  <w:style w:type="character" w:customStyle="1" w:styleId="CharSubdText">
    <w:name w:val="CharSubdText"/>
    <w:basedOn w:val="OPCCharBase"/>
    <w:uiPriority w:val="1"/>
    <w:qFormat/>
    <w:rsid w:val="00343BD4"/>
  </w:style>
  <w:style w:type="paragraph" w:customStyle="1" w:styleId="CTA--">
    <w:name w:val="CTA --"/>
    <w:basedOn w:val="OPCParaBase"/>
    <w:next w:val="Normal"/>
    <w:rsid w:val="00343BD4"/>
    <w:pPr>
      <w:spacing w:before="60" w:line="240" w:lineRule="atLeast"/>
      <w:ind w:left="142" w:hanging="142"/>
    </w:pPr>
    <w:rPr>
      <w:sz w:val="20"/>
    </w:rPr>
  </w:style>
  <w:style w:type="paragraph" w:customStyle="1" w:styleId="CTA-">
    <w:name w:val="CTA -"/>
    <w:basedOn w:val="OPCParaBase"/>
    <w:rsid w:val="00343BD4"/>
    <w:pPr>
      <w:spacing w:before="60" w:line="240" w:lineRule="atLeast"/>
      <w:ind w:left="85" w:hanging="85"/>
    </w:pPr>
    <w:rPr>
      <w:sz w:val="20"/>
    </w:rPr>
  </w:style>
  <w:style w:type="paragraph" w:customStyle="1" w:styleId="CTA---">
    <w:name w:val="CTA ---"/>
    <w:basedOn w:val="OPCParaBase"/>
    <w:next w:val="Normal"/>
    <w:rsid w:val="00343BD4"/>
    <w:pPr>
      <w:spacing w:before="60" w:line="240" w:lineRule="atLeast"/>
      <w:ind w:left="198" w:hanging="198"/>
    </w:pPr>
    <w:rPr>
      <w:sz w:val="20"/>
    </w:rPr>
  </w:style>
  <w:style w:type="paragraph" w:customStyle="1" w:styleId="CTA----">
    <w:name w:val="CTA ----"/>
    <w:basedOn w:val="OPCParaBase"/>
    <w:next w:val="Normal"/>
    <w:rsid w:val="00343BD4"/>
    <w:pPr>
      <w:spacing w:before="60" w:line="240" w:lineRule="atLeast"/>
      <w:ind w:left="255" w:hanging="255"/>
    </w:pPr>
    <w:rPr>
      <w:sz w:val="20"/>
    </w:rPr>
  </w:style>
  <w:style w:type="paragraph" w:customStyle="1" w:styleId="CTA1a">
    <w:name w:val="CTA 1(a)"/>
    <w:basedOn w:val="OPCParaBase"/>
    <w:rsid w:val="00343BD4"/>
    <w:pPr>
      <w:tabs>
        <w:tab w:val="right" w:pos="414"/>
      </w:tabs>
      <w:spacing w:before="40" w:line="240" w:lineRule="atLeast"/>
      <w:ind w:left="675" w:hanging="675"/>
    </w:pPr>
    <w:rPr>
      <w:sz w:val="20"/>
    </w:rPr>
  </w:style>
  <w:style w:type="paragraph" w:customStyle="1" w:styleId="CTA1ai">
    <w:name w:val="CTA 1(a)(i)"/>
    <w:basedOn w:val="OPCParaBase"/>
    <w:rsid w:val="00343BD4"/>
    <w:pPr>
      <w:tabs>
        <w:tab w:val="right" w:pos="1004"/>
      </w:tabs>
      <w:spacing w:before="40" w:line="240" w:lineRule="atLeast"/>
      <w:ind w:left="1253" w:hanging="1253"/>
    </w:pPr>
    <w:rPr>
      <w:sz w:val="20"/>
    </w:rPr>
  </w:style>
  <w:style w:type="paragraph" w:customStyle="1" w:styleId="CTA2a">
    <w:name w:val="CTA 2(a)"/>
    <w:basedOn w:val="OPCParaBase"/>
    <w:rsid w:val="00343BD4"/>
    <w:pPr>
      <w:tabs>
        <w:tab w:val="right" w:pos="482"/>
      </w:tabs>
      <w:spacing w:before="40" w:line="240" w:lineRule="atLeast"/>
      <w:ind w:left="748" w:hanging="748"/>
    </w:pPr>
    <w:rPr>
      <w:sz w:val="20"/>
    </w:rPr>
  </w:style>
  <w:style w:type="paragraph" w:customStyle="1" w:styleId="CTA2ai">
    <w:name w:val="CTA 2(a)(i)"/>
    <w:basedOn w:val="OPCParaBase"/>
    <w:rsid w:val="00343BD4"/>
    <w:pPr>
      <w:tabs>
        <w:tab w:val="right" w:pos="1089"/>
      </w:tabs>
      <w:spacing w:before="40" w:line="240" w:lineRule="atLeast"/>
      <w:ind w:left="1327" w:hanging="1327"/>
    </w:pPr>
    <w:rPr>
      <w:sz w:val="20"/>
    </w:rPr>
  </w:style>
  <w:style w:type="paragraph" w:customStyle="1" w:styleId="CTA3a">
    <w:name w:val="CTA 3(a)"/>
    <w:basedOn w:val="OPCParaBase"/>
    <w:rsid w:val="00343BD4"/>
    <w:pPr>
      <w:tabs>
        <w:tab w:val="right" w:pos="556"/>
      </w:tabs>
      <w:spacing w:before="40" w:line="240" w:lineRule="atLeast"/>
      <w:ind w:left="805" w:hanging="805"/>
    </w:pPr>
    <w:rPr>
      <w:sz w:val="20"/>
    </w:rPr>
  </w:style>
  <w:style w:type="paragraph" w:customStyle="1" w:styleId="CTA3ai">
    <w:name w:val="CTA 3(a)(i)"/>
    <w:basedOn w:val="OPCParaBase"/>
    <w:rsid w:val="00343BD4"/>
    <w:pPr>
      <w:tabs>
        <w:tab w:val="right" w:pos="1140"/>
      </w:tabs>
      <w:spacing w:before="40" w:line="240" w:lineRule="atLeast"/>
      <w:ind w:left="1361" w:hanging="1361"/>
    </w:pPr>
    <w:rPr>
      <w:sz w:val="20"/>
    </w:rPr>
  </w:style>
  <w:style w:type="paragraph" w:customStyle="1" w:styleId="CTA4a">
    <w:name w:val="CTA 4(a)"/>
    <w:basedOn w:val="OPCParaBase"/>
    <w:rsid w:val="00343BD4"/>
    <w:pPr>
      <w:tabs>
        <w:tab w:val="right" w:pos="624"/>
      </w:tabs>
      <w:spacing w:before="40" w:line="240" w:lineRule="atLeast"/>
      <w:ind w:left="873" w:hanging="873"/>
    </w:pPr>
    <w:rPr>
      <w:sz w:val="20"/>
    </w:rPr>
  </w:style>
  <w:style w:type="paragraph" w:customStyle="1" w:styleId="CTA4ai">
    <w:name w:val="CTA 4(a)(i)"/>
    <w:basedOn w:val="OPCParaBase"/>
    <w:rsid w:val="00343BD4"/>
    <w:pPr>
      <w:tabs>
        <w:tab w:val="right" w:pos="1213"/>
      </w:tabs>
      <w:spacing w:before="40" w:line="240" w:lineRule="atLeast"/>
      <w:ind w:left="1452" w:hanging="1452"/>
    </w:pPr>
    <w:rPr>
      <w:sz w:val="20"/>
    </w:rPr>
  </w:style>
  <w:style w:type="paragraph" w:customStyle="1" w:styleId="CTACAPS">
    <w:name w:val="CTA CAPS"/>
    <w:basedOn w:val="OPCParaBase"/>
    <w:rsid w:val="00343BD4"/>
    <w:pPr>
      <w:spacing w:before="60" w:line="240" w:lineRule="atLeast"/>
    </w:pPr>
    <w:rPr>
      <w:sz w:val="20"/>
    </w:rPr>
  </w:style>
  <w:style w:type="paragraph" w:customStyle="1" w:styleId="CTAright">
    <w:name w:val="CTA right"/>
    <w:basedOn w:val="OPCParaBase"/>
    <w:rsid w:val="00343BD4"/>
    <w:pPr>
      <w:spacing w:before="60" w:line="240" w:lineRule="auto"/>
      <w:jc w:val="right"/>
    </w:pPr>
    <w:rPr>
      <w:sz w:val="20"/>
    </w:rPr>
  </w:style>
  <w:style w:type="paragraph" w:customStyle="1" w:styleId="subsection">
    <w:name w:val="subsection"/>
    <w:aliases w:val="ss"/>
    <w:basedOn w:val="OPCParaBase"/>
    <w:link w:val="subsectionChar"/>
    <w:rsid w:val="00343BD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43BD4"/>
    <w:pPr>
      <w:spacing w:before="180" w:line="240" w:lineRule="auto"/>
      <w:ind w:left="1134"/>
    </w:pPr>
  </w:style>
  <w:style w:type="paragraph" w:customStyle="1" w:styleId="ETAsubitem">
    <w:name w:val="ETA(subitem)"/>
    <w:basedOn w:val="OPCParaBase"/>
    <w:rsid w:val="00343BD4"/>
    <w:pPr>
      <w:tabs>
        <w:tab w:val="right" w:pos="340"/>
      </w:tabs>
      <w:spacing w:before="60" w:line="240" w:lineRule="auto"/>
      <w:ind w:left="454" w:hanging="454"/>
    </w:pPr>
    <w:rPr>
      <w:sz w:val="20"/>
    </w:rPr>
  </w:style>
  <w:style w:type="paragraph" w:customStyle="1" w:styleId="ETApara">
    <w:name w:val="ETA(para)"/>
    <w:basedOn w:val="OPCParaBase"/>
    <w:rsid w:val="00343BD4"/>
    <w:pPr>
      <w:tabs>
        <w:tab w:val="right" w:pos="754"/>
      </w:tabs>
      <w:spacing w:before="60" w:line="240" w:lineRule="auto"/>
      <w:ind w:left="828" w:hanging="828"/>
    </w:pPr>
    <w:rPr>
      <w:sz w:val="20"/>
    </w:rPr>
  </w:style>
  <w:style w:type="paragraph" w:customStyle="1" w:styleId="ETAsubpara">
    <w:name w:val="ETA(subpara)"/>
    <w:basedOn w:val="OPCParaBase"/>
    <w:rsid w:val="00343BD4"/>
    <w:pPr>
      <w:tabs>
        <w:tab w:val="right" w:pos="1083"/>
      </w:tabs>
      <w:spacing w:before="60" w:line="240" w:lineRule="auto"/>
      <w:ind w:left="1191" w:hanging="1191"/>
    </w:pPr>
    <w:rPr>
      <w:sz w:val="20"/>
    </w:rPr>
  </w:style>
  <w:style w:type="paragraph" w:customStyle="1" w:styleId="ETAsub-subpara">
    <w:name w:val="ETA(sub-subpara)"/>
    <w:basedOn w:val="OPCParaBase"/>
    <w:rsid w:val="00343BD4"/>
    <w:pPr>
      <w:tabs>
        <w:tab w:val="right" w:pos="1412"/>
      </w:tabs>
      <w:spacing w:before="60" w:line="240" w:lineRule="auto"/>
      <w:ind w:left="1525" w:hanging="1525"/>
    </w:pPr>
    <w:rPr>
      <w:sz w:val="20"/>
    </w:rPr>
  </w:style>
  <w:style w:type="paragraph" w:customStyle="1" w:styleId="Formula">
    <w:name w:val="Formula"/>
    <w:basedOn w:val="OPCParaBase"/>
    <w:rsid w:val="00343BD4"/>
    <w:pPr>
      <w:spacing w:line="240" w:lineRule="auto"/>
      <w:ind w:left="1134"/>
    </w:pPr>
    <w:rPr>
      <w:sz w:val="20"/>
    </w:rPr>
  </w:style>
  <w:style w:type="paragraph" w:styleId="Header">
    <w:name w:val="header"/>
    <w:basedOn w:val="OPCParaBase"/>
    <w:link w:val="HeaderChar"/>
    <w:unhideWhenUsed/>
    <w:rsid w:val="00343B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3BD4"/>
    <w:rPr>
      <w:rFonts w:eastAsia="Times New Roman" w:cs="Times New Roman"/>
      <w:sz w:val="16"/>
      <w:lang w:eastAsia="en-AU"/>
    </w:rPr>
  </w:style>
  <w:style w:type="paragraph" w:customStyle="1" w:styleId="House">
    <w:name w:val="House"/>
    <w:basedOn w:val="OPCParaBase"/>
    <w:rsid w:val="00343BD4"/>
    <w:pPr>
      <w:spacing w:line="240" w:lineRule="auto"/>
    </w:pPr>
    <w:rPr>
      <w:sz w:val="28"/>
    </w:rPr>
  </w:style>
  <w:style w:type="paragraph" w:customStyle="1" w:styleId="Item">
    <w:name w:val="Item"/>
    <w:aliases w:val="i"/>
    <w:basedOn w:val="OPCParaBase"/>
    <w:next w:val="ItemHead"/>
    <w:link w:val="ItemChar"/>
    <w:rsid w:val="00343BD4"/>
    <w:pPr>
      <w:keepLines/>
      <w:spacing w:before="80" w:line="240" w:lineRule="auto"/>
      <w:ind w:left="709"/>
    </w:pPr>
  </w:style>
  <w:style w:type="paragraph" w:customStyle="1" w:styleId="ItemHead">
    <w:name w:val="ItemHead"/>
    <w:aliases w:val="ih"/>
    <w:basedOn w:val="OPCParaBase"/>
    <w:next w:val="Item"/>
    <w:link w:val="ItemHeadChar"/>
    <w:rsid w:val="00343B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3BD4"/>
    <w:pPr>
      <w:spacing w:line="240" w:lineRule="auto"/>
    </w:pPr>
    <w:rPr>
      <w:b/>
      <w:sz w:val="32"/>
    </w:rPr>
  </w:style>
  <w:style w:type="paragraph" w:customStyle="1" w:styleId="notedraft">
    <w:name w:val="note(draft)"/>
    <w:aliases w:val="nd"/>
    <w:basedOn w:val="OPCParaBase"/>
    <w:rsid w:val="00343BD4"/>
    <w:pPr>
      <w:spacing w:before="240" w:line="240" w:lineRule="auto"/>
      <w:ind w:left="284" w:hanging="284"/>
    </w:pPr>
    <w:rPr>
      <w:i/>
      <w:sz w:val="24"/>
    </w:rPr>
  </w:style>
  <w:style w:type="paragraph" w:customStyle="1" w:styleId="notemargin">
    <w:name w:val="note(margin)"/>
    <w:aliases w:val="nm"/>
    <w:basedOn w:val="OPCParaBase"/>
    <w:rsid w:val="00343BD4"/>
    <w:pPr>
      <w:tabs>
        <w:tab w:val="left" w:pos="709"/>
      </w:tabs>
      <w:spacing w:before="122" w:line="198" w:lineRule="exact"/>
      <w:ind w:left="709" w:hanging="709"/>
    </w:pPr>
    <w:rPr>
      <w:sz w:val="18"/>
    </w:rPr>
  </w:style>
  <w:style w:type="paragraph" w:customStyle="1" w:styleId="noteToPara">
    <w:name w:val="noteToPara"/>
    <w:aliases w:val="ntp"/>
    <w:basedOn w:val="OPCParaBase"/>
    <w:rsid w:val="00343BD4"/>
    <w:pPr>
      <w:spacing w:before="122" w:line="198" w:lineRule="exact"/>
      <w:ind w:left="2353" w:hanging="709"/>
    </w:pPr>
    <w:rPr>
      <w:sz w:val="18"/>
    </w:rPr>
  </w:style>
  <w:style w:type="paragraph" w:customStyle="1" w:styleId="noteParlAmend">
    <w:name w:val="note(ParlAmend)"/>
    <w:aliases w:val="npp"/>
    <w:basedOn w:val="OPCParaBase"/>
    <w:next w:val="ParlAmend"/>
    <w:rsid w:val="00343BD4"/>
    <w:pPr>
      <w:spacing w:line="240" w:lineRule="auto"/>
      <w:jc w:val="right"/>
    </w:pPr>
    <w:rPr>
      <w:rFonts w:ascii="Arial" w:hAnsi="Arial"/>
      <w:b/>
      <w:i/>
    </w:rPr>
  </w:style>
  <w:style w:type="paragraph" w:customStyle="1" w:styleId="Page1">
    <w:name w:val="Page1"/>
    <w:basedOn w:val="OPCParaBase"/>
    <w:rsid w:val="00343BD4"/>
    <w:pPr>
      <w:spacing w:before="400" w:line="240" w:lineRule="auto"/>
    </w:pPr>
    <w:rPr>
      <w:b/>
      <w:sz w:val="32"/>
    </w:rPr>
  </w:style>
  <w:style w:type="paragraph" w:customStyle="1" w:styleId="PageBreak">
    <w:name w:val="PageBreak"/>
    <w:aliases w:val="pb"/>
    <w:basedOn w:val="OPCParaBase"/>
    <w:rsid w:val="00343BD4"/>
    <w:pPr>
      <w:spacing w:line="240" w:lineRule="auto"/>
    </w:pPr>
    <w:rPr>
      <w:sz w:val="20"/>
    </w:rPr>
  </w:style>
  <w:style w:type="paragraph" w:customStyle="1" w:styleId="paragraphsub">
    <w:name w:val="paragraph(sub)"/>
    <w:aliases w:val="aa"/>
    <w:basedOn w:val="OPCParaBase"/>
    <w:rsid w:val="00343BD4"/>
    <w:pPr>
      <w:tabs>
        <w:tab w:val="right" w:pos="1985"/>
      </w:tabs>
      <w:spacing w:before="40" w:line="240" w:lineRule="auto"/>
      <w:ind w:left="2098" w:hanging="2098"/>
    </w:pPr>
  </w:style>
  <w:style w:type="paragraph" w:customStyle="1" w:styleId="paragraphsub-sub">
    <w:name w:val="paragraph(sub-sub)"/>
    <w:aliases w:val="aaa"/>
    <w:basedOn w:val="OPCParaBase"/>
    <w:rsid w:val="00343BD4"/>
    <w:pPr>
      <w:tabs>
        <w:tab w:val="right" w:pos="2722"/>
      </w:tabs>
      <w:spacing w:before="40" w:line="240" w:lineRule="auto"/>
      <w:ind w:left="2835" w:hanging="2835"/>
    </w:pPr>
  </w:style>
  <w:style w:type="paragraph" w:customStyle="1" w:styleId="paragraph">
    <w:name w:val="paragraph"/>
    <w:aliases w:val="a"/>
    <w:basedOn w:val="OPCParaBase"/>
    <w:link w:val="paragraphChar"/>
    <w:rsid w:val="00343BD4"/>
    <w:pPr>
      <w:tabs>
        <w:tab w:val="right" w:pos="1531"/>
      </w:tabs>
      <w:spacing w:before="40" w:line="240" w:lineRule="auto"/>
      <w:ind w:left="1644" w:hanging="1644"/>
    </w:pPr>
  </w:style>
  <w:style w:type="paragraph" w:customStyle="1" w:styleId="ParlAmend">
    <w:name w:val="ParlAmend"/>
    <w:aliases w:val="pp"/>
    <w:basedOn w:val="OPCParaBase"/>
    <w:rsid w:val="00343BD4"/>
    <w:pPr>
      <w:spacing w:before="240" w:line="240" w:lineRule="atLeast"/>
      <w:ind w:hanging="567"/>
    </w:pPr>
    <w:rPr>
      <w:sz w:val="24"/>
    </w:rPr>
  </w:style>
  <w:style w:type="paragraph" w:customStyle="1" w:styleId="Penalty">
    <w:name w:val="Penalty"/>
    <w:basedOn w:val="OPCParaBase"/>
    <w:rsid w:val="00343BD4"/>
    <w:pPr>
      <w:tabs>
        <w:tab w:val="left" w:pos="2977"/>
      </w:tabs>
      <w:spacing w:before="180" w:line="240" w:lineRule="auto"/>
      <w:ind w:left="1985" w:hanging="851"/>
    </w:pPr>
  </w:style>
  <w:style w:type="paragraph" w:customStyle="1" w:styleId="Portfolio">
    <w:name w:val="Portfolio"/>
    <w:basedOn w:val="OPCParaBase"/>
    <w:rsid w:val="00343BD4"/>
    <w:pPr>
      <w:spacing w:line="240" w:lineRule="auto"/>
    </w:pPr>
    <w:rPr>
      <w:i/>
      <w:sz w:val="20"/>
    </w:rPr>
  </w:style>
  <w:style w:type="paragraph" w:customStyle="1" w:styleId="Preamble">
    <w:name w:val="Preamble"/>
    <w:basedOn w:val="OPCParaBase"/>
    <w:next w:val="Normal"/>
    <w:rsid w:val="00343B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3BD4"/>
    <w:pPr>
      <w:spacing w:line="240" w:lineRule="auto"/>
    </w:pPr>
    <w:rPr>
      <w:i/>
      <w:sz w:val="20"/>
    </w:rPr>
  </w:style>
  <w:style w:type="paragraph" w:customStyle="1" w:styleId="Session">
    <w:name w:val="Session"/>
    <w:basedOn w:val="OPCParaBase"/>
    <w:rsid w:val="00343BD4"/>
    <w:pPr>
      <w:spacing w:line="240" w:lineRule="auto"/>
    </w:pPr>
    <w:rPr>
      <w:sz w:val="28"/>
    </w:rPr>
  </w:style>
  <w:style w:type="paragraph" w:customStyle="1" w:styleId="Sponsor">
    <w:name w:val="Sponsor"/>
    <w:basedOn w:val="OPCParaBase"/>
    <w:rsid w:val="00343BD4"/>
    <w:pPr>
      <w:spacing w:line="240" w:lineRule="auto"/>
    </w:pPr>
    <w:rPr>
      <w:i/>
    </w:rPr>
  </w:style>
  <w:style w:type="paragraph" w:customStyle="1" w:styleId="Subitem">
    <w:name w:val="Subitem"/>
    <w:aliases w:val="iss"/>
    <w:basedOn w:val="OPCParaBase"/>
    <w:rsid w:val="00343BD4"/>
    <w:pPr>
      <w:spacing w:before="180" w:line="240" w:lineRule="auto"/>
      <w:ind w:left="709" w:hanging="709"/>
    </w:pPr>
  </w:style>
  <w:style w:type="paragraph" w:customStyle="1" w:styleId="SubitemHead">
    <w:name w:val="SubitemHead"/>
    <w:aliases w:val="issh"/>
    <w:basedOn w:val="OPCParaBase"/>
    <w:rsid w:val="00343B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3BD4"/>
    <w:pPr>
      <w:spacing w:before="40" w:line="240" w:lineRule="auto"/>
      <w:ind w:left="1134"/>
    </w:pPr>
  </w:style>
  <w:style w:type="paragraph" w:customStyle="1" w:styleId="SubsectionHead">
    <w:name w:val="SubsectionHead"/>
    <w:aliases w:val="ssh"/>
    <w:basedOn w:val="OPCParaBase"/>
    <w:next w:val="subsection"/>
    <w:rsid w:val="00343BD4"/>
    <w:pPr>
      <w:keepNext/>
      <w:keepLines/>
      <w:spacing w:before="240" w:line="240" w:lineRule="auto"/>
      <w:ind w:left="1134"/>
    </w:pPr>
    <w:rPr>
      <w:i/>
    </w:rPr>
  </w:style>
  <w:style w:type="paragraph" w:customStyle="1" w:styleId="Tablea">
    <w:name w:val="Table(a)"/>
    <w:aliases w:val="ta"/>
    <w:basedOn w:val="OPCParaBase"/>
    <w:rsid w:val="00343BD4"/>
    <w:pPr>
      <w:spacing w:before="60" w:line="240" w:lineRule="auto"/>
      <w:ind w:left="284" w:hanging="284"/>
    </w:pPr>
    <w:rPr>
      <w:sz w:val="20"/>
    </w:rPr>
  </w:style>
  <w:style w:type="paragraph" w:customStyle="1" w:styleId="TableAA">
    <w:name w:val="Table(AA)"/>
    <w:aliases w:val="taaa"/>
    <w:basedOn w:val="OPCParaBase"/>
    <w:rsid w:val="00343B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3B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3BD4"/>
    <w:pPr>
      <w:spacing w:before="60" w:line="240" w:lineRule="atLeast"/>
    </w:pPr>
    <w:rPr>
      <w:sz w:val="20"/>
    </w:rPr>
  </w:style>
  <w:style w:type="paragraph" w:customStyle="1" w:styleId="TLPBoxTextnote">
    <w:name w:val="TLPBoxText(note"/>
    <w:aliases w:val="right)"/>
    <w:basedOn w:val="OPCParaBase"/>
    <w:rsid w:val="00343B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3B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3BD4"/>
    <w:pPr>
      <w:spacing w:before="122" w:line="198" w:lineRule="exact"/>
      <w:ind w:left="1985" w:hanging="851"/>
      <w:jc w:val="right"/>
    </w:pPr>
    <w:rPr>
      <w:sz w:val="18"/>
    </w:rPr>
  </w:style>
  <w:style w:type="paragraph" w:customStyle="1" w:styleId="TLPTableBullet">
    <w:name w:val="TLPTableBullet"/>
    <w:aliases w:val="ttb"/>
    <w:basedOn w:val="OPCParaBase"/>
    <w:rsid w:val="00343BD4"/>
    <w:pPr>
      <w:spacing w:line="240" w:lineRule="exact"/>
      <w:ind w:left="284" w:hanging="284"/>
    </w:pPr>
    <w:rPr>
      <w:sz w:val="20"/>
    </w:rPr>
  </w:style>
  <w:style w:type="paragraph" w:styleId="TOC1">
    <w:name w:val="toc 1"/>
    <w:basedOn w:val="OPCParaBase"/>
    <w:next w:val="Normal"/>
    <w:uiPriority w:val="39"/>
    <w:semiHidden/>
    <w:unhideWhenUsed/>
    <w:rsid w:val="00343BD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43BD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43BD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43BD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43B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43B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3B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3B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43B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3BD4"/>
    <w:pPr>
      <w:keepLines/>
      <w:spacing w:before="240" w:after="120" w:line="240" w:lineRule="auto"/>
      <w:ind w:left="794"/>
    </w:pPr>
    <w:rPr>
      <w:b/>
      <w:kern w:val="28"/>
      <w:sz w:val="20"/>
    </w:rPr>
  </w:style>
  <w:style w:type="paragraph" w:customStyle="1" w:styleId="TofSectsHeading">
    <w:name w:val="TofSects(Heading)"/>
    <w:basedOn w:val="OPCParaBase"/>
    <w:rsid w:val="00343BD4"/>
    <w:pPr>
      <w:spacing w:before="240" w:after="120" w:line="240" w:lineRule="auto"/>
    </w:pPr>
    <w:rPr>
      <w:b/>
      <w:sz w:val="24"/>
    </w:rPr>
  </w:style>
  <w:style w:type="paragraph" w:customStyle="1" w:styleId="TofSectsSection">
    <w:name w:val="TofSects(Section)"/>
    <w:basedOn w:val="OPCParaBase"/>
    <w:rsid w:val="00343BD4"/>
    <w:pPr>
      <w:keepLines/>
      <w:spacing w:before="40" w:line="240" w:lineRule="auto"/>
      <w:ind w:left="1588" w:hanging="794"/>
    </w:pPr>
    <w:rPr>
      <w:kern w:val="28"/>
      <w:sz w:val="18"/>
    </w:rPr>
  </w:style>
  <w:style w:type="paragraph" w:customStyle="1" w:styleId="TofSectsSubdiv">
    <w:name w:val="TofSects(Subdiv)"/>
    <w:basedOn w:val="OPCParaBase"/>
    <w:rsid w:val="00343BD4"/>
    <w:pPr>
      <w:keepLines/>
      <w:spacing w:before="80" w:line="240" w:lineRule="auto"/>
      <w:ind w:left="1588" w:hanging="794"/>
    </w:pPr>
    <w:rPr>
      <w:kern w:val="28"/>
    </w:rPr>
  </w:style>
  <w:style w:type="paragraph" w:customStyle="1" w:styleId="WRStyle">
    <w:name w:val="WR Style"/>
    <w:aliases w:val="WR"/>
    <w:basedOn w:val="OPCParaBase"/>
    <w:rsid w:val="00343BD4"/>
    <w:pPr>
      <w:spacing w:before="240" w:line="240" w:lineRule="auto"/>
      <w:ind w:left="284" w:hanging="284"/>
    </w:pPr>
    <w:rPr>
      <w:b/>
      <w:i/>
      <w:kern w:val="28"/>
      <w:sz w:val="24"/>
    </w:rPr>
  </w:style>
  <w:style w:type="paragraph" w:customStyle="1" w:styleId="notepara">
    <w:name w:val="note(para)"/>
    <w:aliases w:val="na"/>
    <w:basedOn w:val="OPCParaBase"/>
    <w:rsid w:val="00343BD4"/>
    <w:pPr>
      <w:spacing w:before="40" w:line="198" w:lineRule="exact"/>
      <w:ind w:left="2354" w:hanging="369"/>
    </w:pPr>
    <w:rPr>
      <w:sz w:val="18"/>
    </w:rPr>
  </w:style>
  <w:style w:type="paragraph" w:styleId="Footer">
    <w:name w:val="footer"/>
    <w:link w:val="FooterChar"/>
    <w:rsid w:val="00343B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43BD4"/>
    <w:rPr>
      <w:rFonts w:eastAsia="Times New Roman" w:cs="Times New Roman"/>
      <w:sz w:val="22"/>
      <w:szCs w:val="24"/>
      <w:lang w:eastAsia="en-AU"/>
    </w:rPr>
  </w:style>
  <w:style w:type="character" w:styleId="LineNumber">
    <w:name w:val="line number"/>
    <w:basedOn w:val="OPCCharBase"/>
    <w:uiPriority w:val="99"/>
    <w:semiHidden/>
    <w:unhideWhenUsed/>
    <w:rsid w:val="00343BD4"/>
    <w:rPr>
      <w:sz w:val="16"/>
    </w:rPr>
  </w:style>
  <w:style w:type="table" w:customStyle="1" w:styleId="CFlag">
    <w:name w:val="CFlag"/>
    <w:basedOn w:val="TableNormal"/>
    <w:uiPriority w:val="99"/>
    <w:rsid w:val="00343BD4"/>
    <w:rPr>
      <w:rFonts w:eastAsia="Times New Roman" w:cs="Times New Roman"/>
      <w:lang w:eastAsia="en-AU"/>
    </w:rPr>
    <w:tblPr/>
  </w:style>
  <w:style w:type="paragraph" w:customStyle="1" w:styleId="NotesHeading1">
    <w:name w:val="NotesHeading 1"/>
    <w:basedOn w:val="OPCParaBase"/>
    <w:next w:val="Normal"/>
    <w:rsid w:val="00343BD4"/>
    <w:rPr>
      <w:b/>
      <w:sz w:val="28"/>
      <w:szCs w:val="28"/>
    </w:rPr>
  </w:style>
  <w:style w:type="paragraph" w:customStyle="1" w:styleId="NotesHeading2">
    <w:name w:val="NotesHeading 2"/>
    <w:basedOn w:val="OPCParaBase"/>
    <w:next w:val="Normal"/>
    <w:rsid w:val="00343BD4"/>
    <w:rPr>
      <w:b/>
      <w:sz w:val="28"/>
      <w:szCs w:val="28"/>
    </w:rPr>
  </w:style>
  <w:style w:type="paragraph" w:customStyle="1" w:styleId="SignCoverPageEnd">
    <w:name w:val="SignCoverPageEnd"/>
    <w:basedOn w:val="OPCParaBase"/>
    <w:next w:val="Normal"/>
    <w:rsid w:val="00343B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3BD4"/>
    <w:pPr>
      <w:pBdr>
        <w:top w:val="single" w:sz="4" w:space="1" w:color="auto"/>
      </w:pBdr>
      <w:spacing w:before="360"/>
      <w:ind w:right="397"/>
      <w:jc w:val="both"/>
    </w:pPr>
  </w:style>
  <w:style w:type="paragraph" w:customStyle="1" w:styleId="Paragraphsub-sub-sub">
    <w:name w:val="Paragraph(sub-sub-sub)"/>
    <w:aliases w:val="aaaa"/>
    <w:basedOn w:val="OPCParaBase"/>
    <w:rsid w:val="00343B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43B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3B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3B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3B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43BD4"/>
    <w:pPr>
      <w:spacing w:before="120"/>
    </w:pPr>
  </w:style>
  <w:style w:type="paragraph" w:customStyle="1" w:styleId="TableTextEndNotes">
    <w:name w:val="TableTextEndNotes"/>
    <w:aliases w:val="Tten"/>
    <w:basedOn w:val="Normal"/>
    <w:rsid w:val="00343BD4"/>
    <w:pPr>
      <w:spacing w:before="60" w:line="240" w:lineRule="auto"/>
    </w:pPr>
    <w:rPr>
      <w:rFonts w:cs="Arial"/>
      <w:sz w:val="20"/>
      <w:szCs w:val="22"/>
    </w:rPr>
  </w:style>
  <w:style w:type="paragraph" w:customStyle="1" w:styleId="TableHeading">
    <w:name w:val="TableHeading"/>
    <w:aliases w:val="th"/>
    <w:basedOn w:val="OPCParaBase"/>
    <w:next w:val="Tabletext"/>
    <w:rsid w:val="00343BD4"/>
    <w:pPr>
      <w:keepNext/>
      <w:spacing w:before="60" w:line="240" w:lineRule="atLeast"/>
    </w:pPr>
    <w:rPr>
      <w:b/>
      <w:sz w:val="20"/>
    </w:rPr>
  </w:style>
  <w:style w:type="paragraph" w:customStyle="1" w:styleId="NoteToSubpara">
    <w:name w:val="NoteToSubpara"/>
    <w:aliases w:val="nts"/>
    <w:basedOn w:val="OPCParaBase"/>
    <w:rsid w:val="00343BD4"/>
    <w:pPr>
      <w:spacing w:before="40" w:line="198" w:lineRule="exact"/>
      <w:ind w:left="2835" w:hanging="709"/>
    </w:pPr>
    <w:rPr>
      <w:sz w:val="18"/>
    </w:rPr>
  </w:style>
  <w:style w:type="paragraph" w:customStyle="1" w:styleId="ENoteTableHeading">
    <w:name w:val="ENoteTableHeading"/>
    <w:aliases w:val="enth"/>
    <w:basedOn w:val="OPCParaBase"/>
    <w:rsid w:val="00343BD4"/>
    <w:pPr>
      <w:keepNext/>
      <w:spacing w:before="60" w:line="240" w:lineRule="atLeast"/>
    </w:pPr>
    <w:rPr>
      <w:rFonts w:ascii="Arial" w:hAnsi="Arial"/>
      <w:b/>
      <w:sz w:val="16"/>
    </w:rPr>
  </w:style>
  <w:style w:type="paragraph" w:customStyle="1" w:styleId="ENoteTTi">
    <w:name w:val="ENoteTTi"/>
    <w:aliases w:val="entti"/>
    <w:basedOn w:val="OPCParaBase"/>
    <w:rsid w:val="00343BD4"/>
    <w:pPr>
      <w:keepNext/>
      <w:spacing w:before="60" w:line="240" w:lineRule="atLeast"/>
      <w:ind w:left="170"/>
    </w:pPr>
    <w:rPr>
      <w:sz w:val="16"/>
    </w:rPr>
  </w:style>
  <w:style w:type="paragraph" w:customStyle="1" w:styleId="ENotesHeading1">
    <w:name w:val="ENotesHeading 1"/>
    <w:aliases w:val="Enh1"/>
    <w:basedOn w:val="OPCParaBase"/>
    <w:next w:val="Normal"/>
    <w:rsid w:val="00343BD4"/>
    <w:pPr>
      <w:spacing w:before="120"/>
      <w:outlineLvl w:val="1"/>
    </w:pPr>
    <w:rPr>
      <w:b/>
      <w:sz w:val="28"/>
      <w:szCs w:val="28"/>
    </w:rPr>
  </w:style>
  <w:style w:type="paragraph" w:customStyle="1" w:styleId="ENotesHeading2">
    <w:name w:val="ENotesHeading 2"/>
    <w:aliases w:val="Enh2"/>
    <w:basedOn w:val="OPCParaBase"/>
    <w:next w:val="Normal"/>
    <w:rsid w:val="00343BD4"/>
    <w:pPr>
      <w:spacing w:before="120" w:after="120"/>
      <w:outlineLvl w:val="2"/>
    </w:pPr>
    <w:rPr>
      <w:b/>
      <w:sz w:val="24"/>
      <w:szCs w:val="28"/>
    </w:rPr>
  </w:style>
  <w:style w:type="paragraph" w:customStyle="1" w:styleId="ENoteTTIndentHeading">
    <w:name w:val="ENoteTTIndentHeading"/>
    <w:aliases w:val="enTTHi"/>
    <w:basedOn w:val="OPCParaBase"/>
    <w:rsid w:val="00343B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3BD4"/>
    <w:pPr>
      <w:spacing w:before="60" w:line="240" w:lineRule="atLeast"/>
    </w:pPr>
    <w:rPr>
      <w:sz w:val="16"/>
    </w:rPr>
  </w:style>
  <w:style w:type="paragraph" w:customStyle="1" w:styleId="MadeunderText">
    <w:name w:val="MadeunderText"/>
    <w:basedOn w:val="OPCParaBase"/>
    <w:next w:val="Normal"/>
    <w:rsid w:val="00343BD4"/>
    <w:pPr>
      <w:spacing w:before="240"/>
    </w:pPr>
    <w:rPr>
      <w:sz w:val="24"/>
      <w:szCs w:val="24"/>
    </w:rPr>
  </w:style>
  <w:style w:type="paragraph" w:customStyle="1" w:styleId="ENotesHeading3">
    <w:name w:val="ENotesHeading 3"/>
    <w:aliases w:val="Enh3"/>
    <w:basedOn w:val="OPCParaBase"/>
    <w:next w:val="Normal"/>
    <w:rsid w:val="00343BD4"/>
    <w:pPr>
      <w:keepNext/>
      <w:spacing w:before="120" w:line="240" w:lineRule="auto"/>
      <w:outlineLvl w:val="4"/>
    </w:pPr>
    <w:rPr>
      <w:b/>
      <w:szCs w:val="24"/>
    </w:rPr>
  </w:style>
  <w:style w:type="paragraph" w:customStyle="1" w:styleId="SubPartCASA">
    <w:name w:val="SubPart(CASA)"/>
    <w:aliases w:val="csp"/>
    <w:basedOn w:val="OPCParaBase"/>
    <w:next w:val="ActHead3"/>
    <w:rsid w:val="00343BD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43BD4"/>
  </w:style>
  <w:style w:type="character" w:customStyle="1" w:styleId="CharSubPartNoCASA">
    <w:name w:val="CharSubPartNo(CASA)"/>
    <w:basedOn w:val="OPCCharBase"/>
    <w:uiPriority w:val="1"/>
    <w:rsid w:val="00343BD4"/>
  </w:style>
  <w:style w:type="paragraph" w:customStyle="1" w:styleId="ENoteTTIndentHeadingSub">
    <w:name w:val="ENoteTTIndentHeadingSub"/>
    <w:aliases w:val="enTTHis"/>
    <w:basedOn w:val="OPCParaBase"/>
    <w:rsid w:val="00343BD4"/>
    <w:pPr>
      <w:keepNext/>
      <w:spacing w:before="60" w:line="240" w:lineRule="atLeast"/>
      <w:ind w:left="340"/>
    </w:pPr>
    <w:rPr>
      <w:b/>
      <w:sz w:val="16"/>
    </w:rPr>
  </w:style>
  <w:style w:type="paragraph" w:customStyle="1" w:styleId="ENoteTTiSub">
    <w:name w:val="ENoteTTiSub"/>
    <w:aliases w:val="enttis"/>
    <w:basedOn w:val="OPCParaBase"/>
    <w:rsid w:val="00343BD4"/>
    <w:pPr>
      <w:keepNext/>
      <w:spacing w:before="60" w:line="240" w:lineRule="atLeast"/>
      <w:ind w:left="340"/>
    </w:pPr>
    <w:rPr>
      <w:sz w:val="16"/>
    </w:rPr>
  </w:style>
  <w:style w:type="paragraph" w:customStyle="1" w:styleId="SubDivisionMigration">
    <w:name w:val="SubDivisionMigration"/>
    <w:aliases w:val="sdm"/>
    <w:basedOn w:val="OPCParaBase"/>
    <w:rsid w:val="00343B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3BD4"/>
    <w:pPr>
      <w:keepNext/>
      <w:keepLines/>
      <w:spacing w:before="240" w:line="240" w:lineRule="auto"/>
      <w:ind w:left="1134" w:hanging="1134"/>
    </w:pPr>
    <w:rPr>
      <w:b/>
      <w:sz w:val="28"/>
    </w:rPr>
  </w:style>
  <w:style w:type="table" w:styleId="TableGrid">
    <w:name w:val="Table Grid"/>
    <w:basedOn w:val="TableNormal"/>
    <w:uiPriority w:val="59"/>
    <w:rsid w:val="0034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43BD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343B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43BD4"/>
    <w:rPr>
      <w:sz w:val="22"/>
    </w:rPr>
  </w:style>
  <w:style w:type="paragraph" w:customStyle="1" w:styleId="SOTextNote">
    <w:name w:val="SO TextNote"/>
    <w:aliases w:val="sont"/>
    <w:basedOn w:val="SOText"/>
    <w:qFormat/>
    <w:rsid w:val="00343BD4"/>
    <w:pPr>
      <w:spacing w:before="122" w:line="198" w:lineRule="exact"/>
      <w:ind w:left="1843" w:hanging="709"/>
    </w:pPr>
    <w:rPr>
      <w:sz w:val="18"/>
    </w:rPr>
  </w:style>
  <w:style w:type="paragraph" w:customStyle="1" w:styleId="SOPara">
    <w:name w:val="SO Para"/>
    <w:aliases w:val="soa"/>
    <w:basedOn w:val="SOText"/>
    <w:link w:val="SOParaChar"/>
    <w:qFormat/>
    <w:rsid w:val="00343BD4"/>
    <w:pPr>
      <w:tabs>
        <w:tab w:val="right" w:pos="1786"/>
      </w:tabs>
      <w:spacing w:before="40"/>
      <w:ind w:left="2070" w:hanging="936"/>
    </w:pPr>
  </w:style>
  <w:style w:type="character" w:customStyle="1" w:styleId="SOParaChar">
    <w:name w:val="SO Para Char"/>
    <w:aliases w:val="soa Char"/>
    <w:basedOn w:val="DefaultParagraphFont"/>
    <w:link w:val="SOPara"/>
    <w:rsid w:val="00343BD4"/>
    <w:rPr>
      <w:sz w:val="22"/>
    </w:rPr>
  </w:style>
  <w:style w:type="paragraph" w:customStyle="1" w:styleId="FileName">
    <w:name w:val="FileName"/>
    <w:basedOn w:val="Normal"/>
    <w:rsid w:val="00343BD4"/>
  </w:style>
  <w:style w:type="paragraph" w:customStyle="1" w:styleId="SOHeadBold">
    <w:name w:val="SO HeadBold"/>
    <w:aliases w:val="sohb"/>
    <w:basedOn w:val="SOText"/>
    <w:next w:val="SOText"/>
    <w:link w:val="SOHeadBoldChar"/>
    <w:qFormat/>
    <w:rsid w:val="00343BD4"/>
    <w:rPr>
      <w:b/>
    </w:rPr>
  </w:style>
  <w:style w:type="character" w:customStyle="1" w:styleId="SOHeadBoldChar">
    <w:name w:val="SO HeadBold Char"/>
    <w:aliases w:val="sohb Char"/>
    <w:basedOn w:val="DefaultParagraphFont"/>
    <w:link w:val="SOHeadBold"/>
    <w:rsid w:val="00343BD4"/>
    <w:rPr>
      <w:b/>
      <w:sz w:val="22"/>
    </w:rPr>
  </w:style>
  <w:style w:type="paragraph" w:customStyle="1" w:styleId="SOHeadItalic">
    <w:name w:val="SO HeadItalic"/>
    <w:aliases w:val="sohi"/>
    <w:basedOn w:val="SOText"/>
    <w:next w:val="SOText"/>
    <w:link w:val="SOHeadItalicChar"/>
    <w:qFormat/>
    <w:rsid w:val="00343BD4"/>
    <w:rPr>
      <w:i/>
    </w:rPr>
  </w:style>
  <w:style w:type="character" w:customStyle="1" w:styleId="SOHeadItalicChar">
    <w:name w:val="SO HeadItalic Char"/>
    <w:aliases w:val="sohi Char"/>
    <w:basedOn w:val="DefaultParagraphFont"/>
    <w:link w:val="SOHeadItalic"/>
    <w:rsid w:val="00343BD4"/>
    <w:rPr>
      <w:i/>
      <w:sz w:val="22"/>
    </w:rPr>
  </w:style>
  <w:style w:type="paragraph" w:customStyle="1" w:styleId="SOBullet">
    <w:name w:val="SO Bullet"/>
    <w:aliases w:val="sotb"/>
    <w:basedOn w:val="SOText"/>
    <w:link w:val="SOBulletChar"/>
    <w:qFormat/>
    <w:rsid w:val="00343BD4"/>
    <w:pPr>
      <w:ind w:left="1559" w:hanging="425"/>
    </w:pPr>
  </w:style>
  <w:style w:type="character" w:customStyle="1" w:styleId="SOBulletChar">
    <w:name w:val="SO Bullet Char"/>
    <w:aliases w:val="sotb Char"/>
    <w:basedOn w:val="DefaultParagraphFont"/>
    <w:link w:val="SOBullet"/>
    <w:rsid w:val="00343BD4"/>
    <w:rPr>
      <w:sz w:val="22"/>
    </w:rPr>
  </w:style>
  <w:style w:type="paragraph" w:customStyle="1" w:styleId="SOBulletNote">
    <w:name w:val="SO BulletNote"/>
    <w:aliases w:val="sonb"/>
    <w:basedOn w:val="SOTextNote"/>
    <w:link w:val="SOBulletNoteChar"/>
    <w:qFormat/>
    <w:rsid w:val="00343BD4"/>
    <w:pPr>
      <w:tabs>
        <w:tab w:val="left" w:pos="1560"/>
      </w:tabs>
      <w:ind w:left="2268" w:hanging="1134"/>
    </w:pPr>
  </w:style>
  <w:style w:type="character" w:customStyle="1" w:styleId="SOBulletNoteChar">
    <w:name w:val="SO BulletNote Char"/>
    <w:aliases w:val="sonb Char"/>
    <w:basedOn w:val="DefaultParagraphFont"/>
    <w:link w:val="SOBulletNote"/>
    <w:rsid w:val="00343BD4"/>
    <w:rPr>
      <w:sz w:val="18"/>
    </w:rPr>
  </w:style>
  <w:style w:type="paragraph" w:customStyle="1" w:styleId="SOText2">
    <w:name w:val="SO Text2"/>
    <w:aliases w:val="sot2"/>
    <w:basedOn w:val="Normal"/>
    <w:next w:val="SOText"/>
    <w:link w:val="SOText2Char"/>
    <w:rsid w:val="00343B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43BD4"/>
    <w:rPr>
      <w:sz w:val="22"/>
    </w:rPr>
  </w:style>
  <w:style w:type="paragraph" w:customStyle="1" w:styleId="Transitional">
    <w:name w:val="Transitional"/>
    <w:aliases w:val="tr"/>
    <w:basedOn w:val="ItemHead"/>
    <w:next w:val="Item"/>
    <w:rsid w:val="00343BD4"/>
  </w:style>
  <w:style w:type="character" w:customStyle="1" w:styleId="Heading1Char">
    <w:name w:val="Heading 1 Char"/>
    <w:basedOn w:val="DefaultParagraphFont"/>
    <w:link w:val="Heading1"/>
    <w:uiPriority w:val="9"/>
    <w:rsid w:val="008476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76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76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476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476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476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476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476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4762C"/>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8439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4393D"/>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84393D"/>
    <w:rPr>
      <w:rFonts w:eastAsia="Times New Roman" w:cs="Times New Roman"/>
      <w:sz w:val="22"/>
      <w:lang w:eastAsia="en-AU"/>
    </w:rPr>
  </w:style>
  <w:style w:type="character" w:customStyle="1" w:styleId="notetextChar">
    <w:name w:val="note(text) Char"/>
    <w:aliases w:val="n Char"/>
    <w:basedOn w:val="DefaultParagraphFont"/>
    <w:link w:val="notetext"/>
    <w:rsid w:val="0084393D"/>
    <w:rPr>
      <w:rFonts w:eastAsia="Times New Roman" w:cs="Times New Roman"/>
      <w:sz w:val="18"/>
      <w:lang w:eastAsia="en-AU"/>
    </w:rPr>
  </w:style>
  <w:style w:type="character" w:customStyle="1" w:styleId="paragraphChar">
    <w:name w:val="paragraph Char"/>
    <w:aliases w:val="a Char"/>
    <w:link w:val="paragraph"/>
    <w:rsid w:val="0084393D"/>
    <w:rPr>
      <w:rFonts w:eastAsia="Times New Roman" w:cs="Times New Roman"/>
      <w:sz w:val="22"/>
      <w:lang w:eastAsia="en-AU"/>
    </w:rPr>
  </w:style>
  <w:style w:type="character" w:customStyle="1" w:styleId="DefinitionChar">
    <w:name w:val="Definition Char"/>
    <w:aliases w:val="dd Char"/>
    <w:link w:val="Definition"/>
    <w:rsid w:val="0084393D"/>
    <w:rPr>
      <w:rFonts w:eastAsia="Times New Roman" w:cs="Times New Roman"/>
      <w:sz w:val="22"/>
      <w:lang w:eastAsia="en-AU"/>
    </w:rPr>
  </w:style>
  <w:style w:type="character" w:styleId="Hyperlink">
    <w:name w:val="Hyperlink"/>
    <w:basedOn w:val="DefaultParagraphFont"/>
    <w:uiPriority w:val="99"/>
    <w:semiHidden/>
    <w:unhideWhenUsed/>
    <w:rsid w:val="00110483"/>
    <w:rPr>
      <w:color w:val="0000FF" w:themeColor="hyperlink"/>
      <w:u w:val="single"/>
    </w:rPr>
  </w:style>
  <w:style w:type="character" w:styleId="FollowedHyperlink">
    <w:name w:val="FollowedHyperlink"/>
    <w:basedOn w:val="DefaultParagraphFont"/>
    <w:uiPriority w:val="99"/>
    <w:semiHidden/>
    <w:unhideWhenUsed/>
    <w:rsid w:val="00110483"/>
    <w:rPr>
      <w:color w:val="0000FF" w:themeColor="hyperlink"/>
      <w:u w:val="single"/>
    </w:rPr>
  </w:style>
  <w:style w:type="paragraph" w:customStyle="1" w:styleId="ShortTP1">
    <w:name w:val="ShortTP1"/>
    <w:basedOn w:val="ShortT"/>
    <w:link w:val="ShortTP1Char"/>
    <w:rsid w:val="006C5294"/>
    <w:pPr>
      <w:spacing w:before="800"/>
    </w:pPr>
  </w:style>
  <w:style w:type="character" w:customStyle="1" w:styleId="OPCParaBaseChar">
    <w:name w:val="OPCParaBase Char"/>
    <w:basedOn w:val="DefaultParagraphFont"/>
    <w:link w:val="OPCParaBase"/>
    <w:rsid w:val="006C5294"/>
    <w:rPr>
      <w:rFonts w:eastAsia="Times New Roman" w:cs="Times New Roman"/>
      <w:sz w:val="22"/>
      <w:lang w:eastAsia="en-AU"/>
    </w:rPr>
  </w:style>
  <w:style w:type="character" w:customStyle="1" w:styleId="ShortTChar">
    <w:name w:val="ShortT Char"/>
    <w:basedOn w:val="OPCParaBaseChar"/>
    <w:link w:val="ShortT"/>
    <w:rsid w:val="006C5294"/>
    <w:rPr>
      <w:rFonts w:eastAsia="Times New Roman" w:cs="Times New Roman"/>
      <w:b/>
      <w:sz w:val="40"/>
      <w:lang w:eastAsia="en-AU"/>
    </w:rPr>
  </w:style>
  <w:style w:type="character" w:customStyle="1" w:styleId="ShortTP1Char">
    <w:name w:val="ShortTP1 Char"/>
    <w:basedOn w:val="ShortTChar"/>
    <w:link w:val="ShortTP1"/>
    <w:rsid w:val="006C5294"/>
    <w:rPr>
      <w:rFonts w:eastAsia="Times New Roman" w:cs="Times New Roman"/>
      <w:b/>
      <w:sz w:val="40"/>
      <w:lang w:eastAsia="en-AU"/>
    </w:rPr>
  </w:style>
  <w:style w:type="paragraph" w:customStyle="1" w:styleId="ActNoP1">
    <w:name w:val="ActNoP1"/>
    <w:basedOn w:val="Actno"/>
    <w:link w:val="ActNoP1Char"/>
    <w:rsid w:val="006C5294"/>
    <w:pPr>
      <w:spacing w:before="800"/>
    </w:pPr>
    <w:rPr>
      <w:sz w:val="28"/>
    </w:rPr>
  </w:style>
  <w:style w:type="character" w:customStyle="1" w:styleId="ActnoChar">
    <w:name w:val="Actno Char"/>
    <w:basedOn w:val="ShortTChar"/>
    <w:link w:val="Actno"/>
    <w:rsid w:val="006C5294"/>
    <w:rPr>
      <w:rFonts w:eastAsia="Times New Roman" w:cs="Times New Roman"/>
      <w:b/>
      <w:sz w:val="40"/>
      <w:lang w:eastAsia="en-AU"/>
    </w:rPr>
  </w:style>
  <w:style w:type="character" w:customStyle="1" w:styleId="ActNoP1Char">
    <w:name w:val="ActNoP1 Char"/>
    <w:basedOn w:val="ActnoChar"/>
    <w:link w:val="ActNoP1"/>
    <w:rsid w:val="006C5294"/>
    <w:rPr>
      <w:rFonts w:eastAsia="Times New Roman" w:cs="Times New Roman"/>
      <w:b/>
      <w:sz w:val="28"/>
      <w:lang w:eastAsia="en-AU"/>
    </w:rPr>
  </w:style>
  <w:style w:type="paragraph" w:customStyle="1" w:styleId="ShortTCP">
    <w:name w:val="ShortTCP"/>
    <w:basedOn w:val="ShortT"/>
    <w:link w:val="ShortTCPChar"/>
    <w:rsid w:val="006C5294"/>
  </w:style>
  <w:style w:type="character" w:customStyle="1" w:styleId="ShortTCPChar">
    <w:name w:val="ShortTCP Char"/>
    <w:basedOn w:val="ShortTChar"/>
    <w:link w:val="ShortTCP"/>
    <w:rsid w:val="006C5294"/>
    <w:rPr>
      <w:rFonts w:eastAsia="Times New Roman" w:cs="Times New Roman"/>
      <w:b/>
      <w:sz w:val="40"/>
      <w:lang w:eastAsia="en-AU"/>
    </w:rPr>
  </w:style>
  <w:style w:type="paragraph" w:customStyle="1" w:styleId="ActNoCP">
    <w:name w:val="ActNoCP"/>
    <w:basedOn w:val="Actno"/>
    <w:link w:val="ActNoCPChar"/>
    <w:rsid w:val="006C5294"/>
    <w:pPr>
      <w:spacing w:before="400"/>
    </w:pPr>
  </w:style>
  <w:style w:type="character" w:customStyle="1" w:styleId="ActNoCPChar">
    <w:name w:val="ActNoCP Char"/>
    <w:basedOn w:val="ActnoChar"/>
    <w:link w:val="ActNoCP"/>
    <w:rsid w:val="006C5294"/>
    <w:rPr>
      <w:rFonts w:eastAsia="Times New Roman" w:cs="Times New Roman"/>
      <w:b/>
      <w:sz w:val="40"/>
      <w:lang w:eastAsia="en-AU"/>
    </w:rPr>
  </w:style>
  <w:style w:type="paragraph" w:customStyle="1" w:styleId="AssentBk">
    <w:name w:val="AssentBk"/>
    <w:basedOn w:val="Normal"/>
    <w:rsid w:val="006C5294"/>
    <w:pPr>
      <w:spacing w:line="240" w:lineRule="auto"/>
    </w:pPr>
    <w:rPr>
      <w:rFonts w:eastAsia="Times New Roman" w:cs="Times New Roman"/>
      <w:sz w:val="20"/>
      <w:lang w:eastAsia="en-AU"/>
    </w:rPr>
  </w:style>
  <w:style w:type="paragraph" w:customStyle="1" w:styleId="AssentDt">
    <w:name w:val="AssentDt"/>
    <w:basedOn w:val="Normal"/>
    <w:rsid w:val="00110597"/>
    <w:pPr>
      <w:spacing w:line="240" w:lineRule="auto"/>
    </w:pPr>
    <w:rPr>
      <w:rFonts w:eastAsia="Times New Roman" w:cs="Times New Roman"/>
      <w:sz w:val="20"/>
      <w:lang w:eastAsia="en-AU"/>
    </w:rPr>
  </w:style>
  <w:style w:type="paragraph" w:customStyle="1" w:styleId="2ndRd">
    <w:name w:val="2ndRd"/>
    <w:basedOn w:val="Normal"/>
    <w:rsid w:val="00110597"/>
    <w:pPr>
      <w:spacing w:line="240" w:lineRule="auto"/>
    </w:pPr>
    <w:rPr>
      <w:rFonts w:eastAsia="Times New Roman" w:cs="Times New Roman"/>
      <w:sz w:val="20"/>
      <w:lang w:eastAsia="en-AU"/>
    </w:rPr>
  </w:style>
  <w:style w:type="paragraph" w:customStyle="1" w:styleId="ScalePlusRef">
    <w:name w:val="ScalePlusRef"/>
    <w:basedOn w:val="Normal"/>
    <w:rsid w:val="0011059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2121</Words>
  <Characters>12093</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2020-05-26T07:30:00Z</dcterms:created>
  <dcterms:modified xsi:type="dcterms:W3CDTF">2020-05-26T07:35:00Z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(2020 Measures No. 1) Act 2020</vt:lpwstr>
  </property>
  <property fmtid="{D5CDD505-2E9C-101B-9397-08002B2CF9AE}" pid="5" name="ActNo">
    <vt:lpwstr>No. 49,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OPC7376</vt:lpwstr>
  </property>
  <property fmtid="{D5CDD505-2E9C-101B-9397-08002B2CF9AE}" pid="10" name="DoNotAsk">
    <vt:lpwstr>0</vt:lpwstr>
  </property>
  <property fmtid="{D5CDD505-2E9C-101B-9397-08002B2CF9AE}" pid="11" name="ChangedTitle">
    <vt:lpwstr/>
  </property>
</Properties>
</file>