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C8" w:rsidRDefault="008B19C8" w:rsidP="008B19C8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07.3pt;height:78.1pt" o:ole="" fillcolor="window">
            <v:imagedata r:id="rId9" o:title=""/>
          </v:shape>
          <o:OLEObject Type="Embed" ProgID="Word.Picture.8" ShapeID="_x0000_i1026" DrawAspect="Content" ObjectID="_1667893659" r:id="rId10"/>
        </w:object>
      </w:r>
    </w:p>
    <w:p w:rsidR="008B19C8" w:rsidRDefault="008B19C8" w:rsidP="008B19C8"/>
    <w:p w:rsidR="008B19C8" w:rsidRDefault="008B19C8" w:rsidP="008B19C8"/>
    <w:p w:rsidR="008B19C8" w:rsidRDefault="008B19C8" w:rsidP="008B19C8"/>
    <w:p w:rsidR="008B19C8" w:rsidRDefault="008B19C8" w:rsidP="008B19C8"/>
    <w:p w:rsidR="008B19C8" w:rsidRDefault="008B19C8" w:rsidP="008B19C8"/>
    <w:p w:rsidR="008B19C8" w:rsidRDefault="008B19C8" w:rsidP="008B19C8"/>
    <w:p w:rsidR="00715914" w:rsidRPr="0043330F" w:rsidRDefault="008B19C8" w:rsidP="00715914">
      <w:pPr>
        <w:pStyle w:val="ShortT"/>
      </w:pPr>
      <w:r>
        <w:t>Higher Education (Up</w:t>
      </w:r>
      <w:r>
        <w:noBreakHyphen/>
        <w:t>front Payments Tuition Protection Levy) Act 2020</w:t>
      </w:r>
    </w:p>
    <w:p w:rsidR="00715914" w:rsidRPr="0043330F" w:rsidRDefault="00715914" w:rsidP="00715914"/>
    <w:p w:rsidR="00715914" w:rsidRPr="0043330F" w:rsidRDefault="00715914" w:rsidP="004B53CF">
      <w:pPr>
        <w:pStyle w:val="Actno"/>
        <w:spacing w:before="400"/>
      </w:pPr>
      <w:r w:rsidRPr="0043330F">
        <w:t>No.</w:t>
      </w:r>
      <w:r w:rsidR="00F0444A">
        <w:t xml:space="preserve"> 102</w:t>
      </w:r>
      <w:r w:rsidR="006C41FA" w:rsidRPr="0043330F">
        <w:t>, 2020</w:t>
      </w:r>
    </w:p>
    <w:p w:rsidR="00715914" w:rsidRPr="0043330F" w:rsidRDefault="00715914" w:rsidP="00715914"/>
    <w:p w:rsidR="00560172" w:rsidRDefault="00560172" w:rsidP="00560172">
      <w:pPr>
        <w:rPr>
          <w:lang w:eastAsia="en-AU"/>
        </w:rPr>
      </w:pPr>
    </w:p>
    <w:p w:rsidR="00990ED3" w:rsidRPr="0043330F" w:rsidRDefault="00990ED3" w:rsidP="00715914"/>
    <w:p w:rsidR="00990ED3" w:rsidRPr="0043330F" w:rsidRDefault="00990ED3" w:rsidP="00715914"/>
    <w:p w:rsidR="00990ED3" w:rsidRPr="0043330F" w:rsidRDefault="00990ED3" w:rsidP="00715914"/>
    <w:p w:rsidR="008B19C8" w:rsidRDefault="008B19C8" w:rsidP="008B19C8">
      <w:pPr>
        <w:pStyle w:val="LongT"/>
      </w:pPr>
      <w:r>
        <w:t>An Act to impose up</w:t>
      </w:r>
      <w:r>
        <w:noBreakHyphen/>
        <w:t>front payments tuition protection levy, and for related purposes</w:t>
      </w:r>
    </w:p>
    <w:p w:rsidR="00715914" w:rsidRPr="00876449" w:rsidRDefault="00715914" w:rsidP="00715914">
      <w:pPr>
        <w:pStyle w:val="Header"/>
        <w:tabs>
          <w:tab w:val="clear" w:pos="4150"/>
          <w:tab w:val="clear" w:pos="8307"/>
        </w:tabs>
      </w:pPr>
      <w:r w:rsidRPr="00876449">
        <w:rPr>
          <w:rStyle w:val="CharChapNo"/>
        </w:rPr>
        <w:t xml:space="preserve"> </w:t>
      </w:r>
      <w:r w:rsidRPr="00876449">
        <w:rPr>
          <w:rStyle w:val="CharChapText"/>
        </w:rPr>
        <w:t xml:space="preserve"> </w:t>
      </w:r>
    </w:p>
    <w:p w:rsidR="00715914" w:rsidRPr="00876449" w:rsidRDefault="00715914" w:rsidP="00715914">
      <w:pPr>
        <w:pStyle w:val="Header"/>
        <w:tabs>
          <w:tab w:val="clear" w:pos="4150"/>
          <w:tab w:val="clear" w:pos="8307"/>
        </w:tabs>
      </w:pPr>
      <w:r w:rsidRPr="00876449">
        <w:rPr>
          <w:rStyle w:val="CharPartNo"/>
        </w:rPr>
        <w:t xml:space="preserve"> </w:t>
      </w:r>
      <w:r w:rsidRPr="00876449">
        <w:rPr>
          <w:rStyle w:val="CharPartText"/>
        </w:rPr>
        <w:t xml:space="preserve"> </w:t>
      </w:r>
    </w:p>
    <w:p w:rsidR="00715914" w:rsidRPr="00876449" w:rsidRDefault="00715914" w:rsidP="00715914">
      <w:pPr>
        <w:pStyle w:val="Header"/>
        <w:tabs>
          <w:tab w:val="clear" w:pos="4150"/>
          <w:tab w:val="clear" w:pos="8307"/>
        </w:tabs>
      </w:pPr>
      <w:r w:rsidRPr="00876449">
        <w:rPr>
          <w:rStyle w:val="CharDivNo"/>
        </w:rPr>
        <w:t xml:space="preserve"> </w:t>
      </w:r>
      <w:r w:rsidRPr="00876449">
        <w:rPr>
          <w:rStyle w:val="CharDivText"/>
        </w:rPr>
        <w:t xml:space="preserve"> </w:t>
      </w:r>
    </w:p>
    <w:p w:rsidR="00715914" w:rsidRPr="0043330F" w:rsidRDefault="00715914" w:rsidP="00715914">
      <w:pPr>
        <w:sectPr w:rsidR="00715914" w:rsidRPr="0043330F" w:rsidSect="008B19C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715914" w:rsidRPr="0043330F" w:rsidRDefault="00715914" w:rsidP="0009777D">
      <w:pPr>
        <w:rPr>
          <w:sz w:val="36"/>
        </w:rPr>
      </w:pPr>
      <w:r w:rsidRPr="0043330F">
        <w:rPr>
          <w:sz w:val="36"/>
        </w:rPr>
        <w:lastRenderedPageBreak/>
        <w:t>Contents</w:t>
      </w:r>
    </w:p>
    <w:bookmarkStart w:id="0" w:name="BKCheck15B_1"/>
    <w:bookmarkEnd w:id="0"/>
    <w:p w:rsidR="00F0444A" w:rsidRDefault="00F0444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F0444A">
        <w:rPr>
          <w:b w:val="0"/>
          <w:noProof/>
          <w:sz w:val="18"/>
        </w:rPr>
        <w:tab/>
      </w:r>
      <w:r w:rsidRPr="00F0444A">
        <w:rPr>
          <w:b w:val="0"/>
          <w:noProof/>
          <w:sz w:val="18"/>
        </w:rPr>
        <w:fldChar w:fldCharType="begin"/>
      </w:r>
      <w:r w:rsidRPr="00F0444A">
        <w:rPr>
          <w:b w:val="0"/>
          <w:noProof/>
          <w:sz w:val="18"/>
        </w:rPr>
        <w:instrText xml:space="preserve"> PAGEREF _Toc57280532 \h </w:instrText>
      </w:r>
      <w:r w:rsidRPr="00F0444A">
        <w:rPr>
          <w:b w:val="0"/>
          <w:noProof/>
          <w:sz w:val="18"/>
        </w:rPr>
      </w:r>
      <w:r w:rsidRPr="00F0444A">
        <w:rPr>
          <w:b w:val="0"/>
          <w:noProof/>
          <w:sz w:val="18"/>
        </w:rPr>
        <w:fldChar w:fldCharType="separate"/>
      </w:r>
      <w:r w:rsidR="0014513D">
        <w:rPr>
          <w:b w:val="0"/>
          <w:noProof/>
          <w:sz w:val="18"/>
        </w:rPr>
        <w:t>2</w:t>
      </w:r>
      <w:r w:rsidRPr="00F0444A">
        <w:rPr>
          <w:b w:val="0"/>
          <w:noProof/>
          <w:sz w:val="18"/>
        </w:rPr>
        <w:fldChar w:fldCharType="end"/>
      </w:r>
    </w:p>
    <w:p w:rsidR="00F0444A" w:rsidRDefault="00F044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Short title</w:t>
      </w:r>
      <w:r w:rsidRPr="00F0444A">
        <w:rPr>
          <w:noProof/>
        </w:rPr>
        <w:tab/>
      </w:r>
      <w:r w:rsidRPr="00F0444A">
        <w:rPr>
          <w:noProof/>
        </w:rPr>
        <w:fldChar w:fldCharType="begin"/>
      </w:r>
      <w:r w:rsidRPr="00F0444A">
        <w:rPr>
          <w:noProof/>
        </w:rPr>
        <w:instrText xml:space="preserve"> PAGEREF _Toc57280533 \h </w:instrText>
      </w:r>
      <w:r w:rsidRPr="00F0444A">
        <w:rPr>
          <w:noProof/>
        </w:rPr>
      </w:r>
      <w:r w:rsidRPr="00F0444A">
        <w:rPr>
          <w:noProof/>
        </w:rPr>
        <w:fldChar w:fldCharType="separate"/>
      </w:r>
      <w:r w:rsidR="0014513D">
        <w:rPr>
          <w:noProof/>
        </w:rPr>
        <w:t>2</w:t>
      </w:r>
      <w:r w:rsidRPr="00F0444A">
        <w:rPr>
          <w:noProof/>
        </w:rPr>
        <w:fldChar w:fldCharType="end"/>
      </w:r>
    </w:p>
    <w:p w:rsidR="00F0444A" w:rsidRDefault="00F044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0444A">
        <w:rPr>
          <w:noProof/>
        </w:rPr>
        <w:tab/>
      </w:r>
      <w:r w:rsidRPr="00F0444A">
        <w:rPr>
          <w:noProof/>
        </w:rPr>
        <w:fldChar w:fldCharType="begin"/>
      </w:r>
      <w:r w:rsidRPr="00F0444A">
        <w:rPr>
          <w:noProof/>
        </w:rPr>
        <w:instrText xml:space="preserve"> PAGEREF _Toc57280534 \h </w:instrText>
      </w:r>
      <w:r w:rsidRPr="00F0444A">
        <w:rPr>
          <w:noProof/>
        </w:rPr>
      </w:r>
      <w:r w:rsidRPr="00F0444A">
        <w:rPr>
          <w:noProof/>
        </w:rPr>
        <w:fldChar w:fldCharType="separate"/>
      </w:r>
      <w:r w:rsidR="0014513D">
        <w:rPr>
          <w:noProof/>
        </w:rPr>
        <w:t>2</w:t>
      </w:r>
      <w:r w:rsidRPr="00F0444A">
        <w:rPr>
          <w:noProof/>
        </w:rPr>
        <w:fldChar w:fldCharType="end"/>
      </w:r>
    </w:p>
    <w:p w:rsidR="00F0444A" w:rsidRDefault="00F044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Crown to be bound</w:t>
      </w:r>
      <w:r w:rsidRPr="00F0444A">
        <w:rPr>
          <w:noProof/>
        </w:rPr>
        <w:tab/>
      </w:r>
      <w:r w:rsidRPr="00F0444A">
        <w:rPr>
          <w:noProof/>
        </w:rPr>
        <w:fldChar w:fldCharType="begin"/>
      </w:r>
      <w:r w:rsidRPr="00F0444A">
        <w:rPr>
          <w:noProof/>
        </w:rPr>
        <w:instrText xml:space="preserve"> PAGEREF _Toc57280535 \h </w:instrText>
      </w:r>
      <w:r w:rsidRPr="00F0444A">
        <w:rPr>
          <w:noProof/>
        </w:rPr>
      </w:r>
      <w:r w:rsidRPr="00F0444A">
        <w:rPr>
          <w:noProof/>
        </w:rPr>
        <w:fldChar w:fldCharType="separate"/>
      </w:r>
      <w:r w:rsidR="0014513D">
        <w:rPr>
          <w:noProof/>
        </w:rPr>
        <w:t>2</w:t>
      </w:r>
      <w:r w:rsidRPr="00F0444A">
        <w:rPr>
          <w:noProof/>
        </w:rPr>
        <w:fldChar w:fldCharType="end"/>
      </w:r>
    </w:p>
    <w:p w:rsidR="00F0444A" w:rsidRDefault="00F044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Act does not impose tax on property of a State</w:t>
      </w:r>
      <w:r w:rsidRPr="00F0444A">
        <w:rPr>
          <w:noProof/>
        </w:rPr>
        <w:tab/>
      </w:r>
      <w:r w:rsidRPr="00F0444A">
        <w:rPr>
          <w:noProof/>
        </w:rPr>
        <w:fldChar w:fldCharType="begin"/>
      </w:r>
      <w:r w:rsidRPr="00F0444A">
        <w:rPr>
          <w:noProof/>
        </w:rPr>
        <w:instrText xml:space="preserve"> PAGEREF _Toc57280536 \h </w:instrText>
      </w:r>
      <w:r w:rsidRPr="00F0444A">
        <w:rPr>
          <w:noProof/>
        </w:rPr>
      </w:r>
      <w:r w:rsidRPr="00F0444A">
        <w:rPr>
          <w:noProof/>
        </w:rPr>
        <w:fldChar w:fldCharType="separate"/>
      </w:r>
      <w:r w:rsidR="0014513D">
        <w:rPr>
          <w:noProof/>
        </w:rPr>
        <w:t>2</w:t>
      </w:r>
      <w:r w:rsidRPr="00F0444A">
        <w:rPr>
          <w:noProof/>
        </w:rPr>
        <w:fldChar w:fldCharType="end"/>
      </w:r>
    </w:p>
    <w:p w:rsidR="00F0444A" w:rsidRDefault="00F044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F0444A">
        <w:rPr>
          <w:noProof/>
        </w:rPr>
        <w:tab/>
      </w:r>
      <w:r w:rsidRPr="00F0444A">
        <w:rPr>
          <w:noProof/>
        </w:rPr>
        <w:fldChar w:fldCharType="begin"/>
      </w:r>
      <w:r w:rsidRPr="00F0444A">
        <w:rPr>
          <w:noProof/>
        </w:rPr>
        <w:instrText xml:space="preserve"> PAGEREF _Toc57280537 \h </w:instrText>
      </w:r>
      <w:r w:rsidRPr="00F0444A">
        <w:rPr>
          <w:noProof/>
        </w:rPr>
      </w:r>
      <w:r w:rsidRPr="00F0444A">
        <w:rPr>
          <w:noProof/>
        </w:rPr>
        <w:fldChar w:fldCharType="separate"/>
      </w:r>
      <w:r w:rsidR="0014513D">
        <w:rPr>
          <w:noProof/>
        </w:rPr>
        <w:t>3</w:t>
      </w:r>
      <w:r w:rsidRPr="00F0444A">
        <w:rPr>
          <w:noProof/>
        </w:rPr>
        <w:fldChar w:fldCharType="end"/>
      </w:r>
    </w:p>
    <w:p w:rsidR="00F0444A" w:rsidRDefault="00F0444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2—Up</w:t>
      </w:r>
      <w:r>
        <w:rPr>
          <w:noProof/>
        </w:rPr>
        <w:noBreakHyphen/>
        <w:t>front payments tuition protection levy</w:t>
      </w:r>
      <w:r w:rsidRPr="00F0444A">
        <w:rPr>
          <w:b w:val="0"/>
          <w:noProof/>
          <w:sz w:val="18"/>
        </w:rPr>
        <w:tab/>
      </w:r>
      <w:r w:rsidRPr="00F0444A">
        <w:rPr>
          <w:b w:val="0"/>
          <w:noProof/>
          <w:sz w:val="18"/>
        </w:rPr>
        <w:fldChar w:fldCharType="begin"/>
      </w:r>
      <w:r w:rsidRPr="00F0444A">
        <w:rPr>
          <w:b w:val="0"/>
          <w:noProof/>
          <w:sz w:val="18"/>
        </w:rPr>
        <w:instrText xml:space="preserve"> PAGEREF _Toc57280538 \h </w:instrText>
      </w:r>
      <w:r w:rsidRPr="00F0444A">
        <w:rPr>
          <w:b w:val="0"/>
          <w:noProof/>
          <w:sz w:val="18"/>
        </w:rPr>
      </w:r>
      <w:r w:rsidRPr="00F0444A">
        <w:rPr>
          <w:b w:val="0"/>
          <w:noProof/>
          <w:sz w:val="18"/>
        </w:rPr>
        <w:fldChar w:fldCharType="separate"/>
      </w:r>
      <w:r w:rsidR="0014513D">
        <w:rPr>
          <w:b w:val="0"/>
          <w:noProof/>
          <w:sz w:val="18"/>
        </w:rPr>
        <w:t>5</w:t>
      </w:r>
      <w:r w:rsidRPr="00F0444A">
        <w:rPr>
          <w:b w:val="0"/>
          <w:noProof/>
          <w:sz w:val="18"/>
        </w:rPr>
        <w:fldChar w:fldCharType="end"/>
      </w:r>
    </w:p>
    <w:p w:rsidR="00F0444A" w:rsidRDefault="00F044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Imposition of up</w:t>
      </w:r>
      <w:r>
        <w:rPr>
          <w:noProof/>
        </w:rPr>
        <w:noBreakHyphen/>
        <w:t>front payments tuition protection levy</w:t>
      </w:r>
      <w:r w:rsidRPr="00F0444A">
        <w:rPr>
          <w:noProof/>
        </w:rPr>
        <w:tab/>
      </w:r>
      <w:r w:rsidRPr="00F0444A">
        <w:rPr>
          <w:noProof/>
        </w:rPr>
        <w:fldChar w:fldCharType="begin"/>
      </w:r>
      <w:r w:rsidRPr="00F0444A">
        <w:rPr>
          <w:noProof/>
        </w:rPr>
        <w:instrText xml:space="preserve"> PAGEREF _Toc57280539 \h </w:instrText>
      </w:r>
      <w:r w:rsidRPr="00F0444A">
        <w:rPr>
          <w:noProof/>
        </w:rPr>
      </w:r>
      <w:r w:rsidRPr="00F0444A">
        <w:rPr>
          <w:noProof/>
        </w:rPr>
        <w:fldChar w:fldCharType="separate"/>
      </w:r>
      <w:r w:rsidR="0014513D">
        <w:rPr>
          <w:noProof/>
        </w:rPr>
        <w:t>5</w:t>
      </w:r>
      <w:r w:rsidRPr="00F0444A">
        <w:rPr>
          <w:noProof/>
        </w:rPr>
        <w:fldChar w:fldCharType="end"/>
      </w:r>
    </w:p>
    <w:p w:rsidR="00F0444A" w:rsidRDefault="00F044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Amount of up</w:t>
      </w:r>
      <w:r>
        <w:rPr>
          <w:noProof/>
        </w:rPr>
        <w:noBreakHyphen/>
        <w:t>front payments tuition protection levy</w:t>
      </w:r>
      <w:r w:rsidRPr="00F0444A">
        <w:rPr>
          <w:noProof/>
        </w:rPr>
        <w:tab/>
      </w:r>
      <w:r w:rsidRPr="00F0444A">
        <w:rPr>
          <w:noProof/>
        </w:rPr>
        <w:fldChar w:fldCharType="begin"/>
      </w:r>
      <w:r w:rsidRPr="00F0444A">
        <w:rPr>
          <w:noProof/>
        </w:rPr>
        <w:instrText xml:space="preserve"> PAGEREF _Toc57280540 \h </w:instrText>
      </w:r>
      <w:r w:rsidRPr="00F0444A">
        <w:rPr>
          <w:noProof/>
        </w:rPr>
      </w:r>
      <w:r w:rsidRPr="00F0444A">
        <w:rPr>
          <w:noProof/>
        </w:rPr>
        <w:fldChar w:fldCharType="separate"/>
      </w:r>
      <w:r w:rsidR="0014513D">
        <w:rPr>
          <w:noProof/>
        </w:rPr>
        <w:t>5</w:t>
      </w:r>
      <w:r w:rsidRPr="00F0444A">
        <w:rPr>
          <w:noProof/>
        </w:rPr>
        <w:fldChar w:fldCharType="end"/>
      </w:r>
    </w:p>
    <w:p w:rsidR="00F0444A" w:rsidRDefault="00F044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Administrative fee component</w:t>
      </w:r>
      <w:r w:rsidRPr="00F0444A">
        <w:rPr>
          <w:noProof/>
        </w:rPr>
        <w:tab/>
      </w:r>
      <w:r w:rsidRPr="00F0444A">
        <w:rPr>
          <w:noProof/>
        </w:rPr>
        <w:fldChar w:fldCharType="begin"/>
      </w:r>
      <w:r w:rsidRPr="00F0444A">
        <w:rPr>
          <w:noProof/>
        </w:rPr>
        <w:instrText xml:space="preserve"> PAGEREF _Toc57280541 \h </w:instrText>
      </w:r>
      <w:r w:rsidRPr="00F0444A">
        <w:rPr>
          <w:noProof/>
        </w:rPr>
      </w:r>
      <w:r w:rsidRPr="00F0444A">
        <w:rPr>
          <w:noProof/>
        </w:rPr>
        <w:fldChar w:fldCharType="separate"/>
      </w:r>
      <w:r w:rsidR="0014513D">
        <w:rPr>
          <w:noProof/>
        </w:rPr>
        <w:t>5</w:t>
      </w:r>
      <w:r w:rsidRPr="00F0444A">
        <w:rPr>
          <w:noProof/>
        </w:rPr>
        <w:fldChar w:fldCharType="end"/>
      </w:r>
    </w:p>
    <w:p w:rsidR="00F0444A" w:rsidRDefault="00F044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Legislative instrument for purposes of section 8</w:t>
      </w:r>
      <w:r w:rsidRPr="00F0444A">
        <w:rPr>
          <w:noProof/>
        </w:rPr>
        <w:tab/>
      </w:r>
      <w:r w:rsidRPr="00F0444A">
        <w:rPr>
          <w:noProof/>
        </w:rPr>
        <w:fldChar w:fldCharType="begin"/>
      </w:r>
      <w:r w:rsidRPr="00F0444A">
        <w:rPr>
          <w:noProof/>
        </w:rPr>
        <w:instrText xml:space="preserve"> PAGEREF _Toc57280542 \h </w:instrText>
      </w:r>
      <w:r w:rsidRPr="00F0444A">
        <w:rPr>
          <w:noProof/>
        </w:rPr>
      </w:r>
      <w:r w:rsidRPr="00F0444A">
        <w:rPr>
          <w:noProof/>
        </w:rPr>
        <w:fldChar w:fldCharType="separate"/>
      </w:r>
      <w:r w:rsidR="0014513D">
        <w:rPr>
          <w:noProof/>
        </w:rPr>
        <w:t>6</w:t>
      </w:r>
      <w:r w:rsidRPr="00F0444A">
        <w:rPr>
          <w:noProof/>
        </w:rPr>
        <w:fldChar w:fldCharType="end"/>
      </w:r>
    </w:p>
    <w:p w:rsidR="00F0444A" w:rsidRDefault="00F044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Indexation of administrative fee components etc.</w:t>
      </w:r>
      <w:r w:rsidRPr="00F0444A">
        <w:rPr>
          <w:noProof/>
        </w:rPr>
        <w:tab/>
      </w:r>
      <w:r w:rsidRPr="00F0444A">
        <w:rPr>
          <w:noProof/>
        </w:rPr>
        <w:fldChar w:fldCharType="begin"/>
      </w:r>
      <w:r w:rsidRPr="00F0444A">
        <w:rPr>
          <w:noProof/>
        </w:rPr>
        <w:instrText xml:space="preserve"> PAGEREF _Toc57280543 \h </w:instrText>
      </w:r>
      <w:r w:rsidRPr="00F0444A">
        <w:rPr>
          <w:noProof/>
        </w:rPr>
      </w:r>
      <w:r w:rsidRPr="00F0444A">
        <w:rPr>
          <w:noProof/>
        </w:rPr>
        <w:fldChar w:fldCharType="separate"/>
      </w:r>
      <w:r w:rsidR="0014513D">
        <w:rPr>
          <w:noProof/>
        </w:rPr>
        <w:t>7</w:t>
      </w:r>
      <w:r w:rsidRPr="00F0444A">
        <w:rPr>
          <w:noProof/>
        </w:rPr>
        <w:fldChar w:fldCharType="end"/>
      </w:r>
    </w:p>
    <w:p w:rsidR="00F0444A" w:rsidRDefault="00F044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Risk rated premium component</w:t>
      </w:r>
      <w:r w:rsidRPr="00F0444A">
        <w:rPr>
          <w:noProof/>
        </w:rPr>
        <w:tab/>
      </w:r>
      <w:r w:rsidRPr="00F0444A">
        <w:rPr>
          <w:noProof/>
        </w:rPr>
        <w:fldChar w:fldCharType="begin"/>
      </w:r>
      <w:r w:rsidRPr="00F0444A">
        <w:rPr>
          <w:noProof/>
        </w:rPr>
        <w:instrText xml:space="preserve"> PAGEREF _Toc57280544 \h </w:instrText>
      </w:r>
      <w:r w:rsidRPr="00F0444A">
        <w:rPr>
          <w:noProof/>
        </w:rPr>
      </w:r>
      <w:r w:rsidRPr="00F0444A">
        <w:rPr>
          <w:noProof/>
        </w:rPr>
        <w:fldChar w:fldCharType="separate"/>
      </w:r>
      <w:r w:rsidR="0014513D">
        <w:rPr>
          <w:noProof/>
        </w:rPr>
        <w:t>8</w:t>
      </w:r>
      <w:r w:rsidRPr="00F0444A">
        <w:rPr>
          <w:noProof/>
        </w:rPr>
        <w:fldChar w:fldCharType="end"/>
      </w:r>
    </w:p>
    <w:p w:rsidR="00F0444A" w:rsidRDefault="00F044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Special tuition protection component</w:t>
      </w:r>
      <w:r w:rsidRPr="00F0444A">
        <w:rPr>
          <w:noProof/>
        </w:rPr>
        <w:tab/>
      </w:r>
      <w:r w:rsidRPr="00F0444A">
        <w:rPr>
          <w:noProof/>
        </w:rPr>
        <w:fldChar w:fldCharType="begin"/>
      </w:r>
      <w:r w:rsidRPr="00F0444A">
        <w:rPr>
          <w:noProof/>
        </w:rPr>
        <w:instrText xml:space="preserve"> PAGEREF _Toc57280545 \h </w:instrText>
      </w:r>
      <w:r w:rsidRPr="00F0444A">
        <w:rPr>
          <w:noProof/>
        </w:rPr>
      </w:r>
      <w:r w:rsidRPr="00F0444A">
        <w:rPr>
          <w:noProof/>
        </w:rPr>
        <w:fldChar w:fldCharType="separate"/>
      </w:r>
      <w:r w:rsidR="0014513D">
        <w:rPr>
          <w:noProof/>
        </w:rPr>
        <w:t>10</w:t>
      </w:r>
      <w:r w:rsidRPr="00F0444A">
        <w:rPr>
          <w:noProof/>
        </w:rPr>
        <w:fldChar w:fldCharType="end"/>
      </w:r>
    </w:p>
    <w:p w:rsidR="00F0444A" w:rsidRDefault="00F044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Legislative instrument for purposes of section 11 or 12</w:t>
      </w:r>
      <w:r w:rsidRPr="00F0444A">
        <w:rPr>
          <w:noProof/>
        </w:rPr>
        <w:tab/>
      </w:r>
      <w:r w:rsidRPr="00F0444A">
        <w:rPr>
          <w:noProof/>
        </w:rPr>
        <w:fldChar w:fldCharType="begin"/>
      </w:r>
      <w:r w:rsidRPr="00F0444A">
        <w:rPr>
          <w:noProof/>
        </w:rPr>
        <w:instrText xml:space="preserve"> PAGEREF _Toc57280546 \h </w:instrText>
      </w:r>
      <w:r w:rsidRPr="00F0444A">
        <w:rPr>
          <w:noProof/>
        </w:rPr>
      </w:r>
      <w:r w:rsidRPr="00F0444A">
        <w:rPr>
          <w:noProof/>
        </w:rPr>
        <w:fldChar w:fldCharType="separate"/>
      </w:r>
      <w:r w:rsidR="0014513D">
        <w:rPr>
          <w:noProof/>
        </w:rPr>
        <w:t>10</w:t>
      </w:r>
      <w:r w:rsidRPr="00F0444A">
        <w:rPr>
          <w:noProof/>
        </w:rPr>
        <w:fldChar w:fldCharType="end"/>
      </w:r>
    </w:p>
    <w:p w:rsidR="00F0444A" w:rsidRDefault="00F0444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3—Other matters</w:t>
      </w:r>
      <w:r w:rsidRPr="00F0444A">
        <w:rPr>
          <w:b w:val="0"/>
          <w:noProof/>
          <w:sz w:val="18"/>
        </w:rPr>
        <w:tab/>
      </w:r>
      <w:r w:rsidRPr="00F0444A">
        <w:rPr>
          <w:b w:val="0"/>
          <w:noProof/>
          <w:sz w:val="18"/>
        </w:rPr>
        <w:fldChar w:fldCharType="begin"/>
      </w:r>
      <w:r w:rsidRPr="00F0444A">
        <w:rPr>
          <w:b w:val="0"/>
          <w:noProof/>
          <w:sz w:val="18"/>
        </w:rPr>
        <w:instrText xml:space="preserve"> PAGEREF _Toc57280547 \h </w:instrText>
      </w:r>
      <w:r w:rsidRPr="00F0444A">
        <w:rPr>
          <w:b w:val="0"/>
          <w:noProof/>
          <w:sz w:val="18"/>
        </w:rPr>
      </w:r>
      <w:r w:rsidRPr="00F0444A">
        <w:rPr>
          <w:b w:val="0"/>
          <w:noProof/>
          <w:sz w:val="18"/>
        </w:rPr>
        <w:fldChar w:fldCharType="separate"/>
      </w:r>
      <w:r w:rsidR="0014513D">
        <w:rPr>
          <w:b w:val="0"/>
          <w:noProof/>
          <w:sz w:val="18"/>
        </w:rPr>
        <w:t>12</w:t>
      </w:r>
      <w:r w:rsidRPr="00F0444A">
        <w:rPr>
          <w:b w:val="0"/>
          <w:noProof/>
          <w:sz w:val="18"/>
        </w:rPr>
        <w:fldChar w:fldCharType="end"/>
      </w:r>
    </w:p>
    <w:p w:rsidR="00F0444A" w:rsidRDefault="00F044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14</w:t>
      </w:r>
      <w:r>
        <w:rPr>
          <w:noProof/>
        </w:rPr>
        <w:tab/>
        <w:t>Exemptions</w:t>
      </w:r>
      <w:r w:rsidRPr="00F0444A">
        <w:rPr>
          <w:noProof/>
        </w:rPr>
        <w:tab/>
      </w:r>
      <w:r w:rsidRPr="00F0444A">
        <w:rPr>
          <w:noProof/>
        </w:rPr>
        <w:fldChar w:fldCharType="begin"/>
      </w:r>
      <w:r w:rsidRPr="00F0444A">
        <w:rPr>
          <w:noProof/>
        </w:rPr>
        <w:instrText xml:space="preserve"> PAGEREF _Toc57280548 \h </w:instrText>
      </w:r>
      <w:r w:rsidRPr="00F0444A">
        <w:rPr>
          <w:noProof/>
        </w:rPr>
      </w:r>
      <w:r w:rsidRPr="00F0444A">
        <w:rPr>
          <w:noProof/>
        </w:rPr>
        <w:fldChar w:fldCharType="separate"/>
      </w:r>
      <w:r w:rsidR="0014513D">
        <w:rPr>
          <w:noProof/>
        </w:rPr>
        <w:t>12</w:t>
      </w:r>
      <w:r w:rsidRPr="00F0444A">
        <w:rPr>
          <w:noProof/>
        </w:rPr>
        <w:fldChar w:fldCharType="end"/>
      </w:r>
    </w:p>
    <w:p w:rsidR="00F0444A" w:rsidRDefault="00F0444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15</w:t>
      </w:r>
      <w:r>
        <w:rPr>
          <w:noProof/>
        </w:rPr>
        <w:tab/>
        <w:t>Regulations</w:t>
      </w:r>
      <w:r w:rsidRPr="00F0444A">
        <w:rPr>
          <w:noProof/>
        </w:rPr>
        <w:tab/>
      </w:r>
      <w:r w:rsidRPr="00F0444A">
        <w:rPr>
          <w:noProof/>
        </w:rPr>
        <w:fldChar w:fldCharType="begin"/>
      </w:r>
      <w:r w:rsidRPr="00F0444A">
        <w:rPr>
          <w:noProof/>
        </w:rPr>
        <w:instrText xml:space="preserve"> PAGEREF _Toc57280549 \h </w:instrText>
      </w:r>
      <w:r w:rsidRPr="00F0444A">
        <w:rPr>
          <w:noProof/>
        </w:rPr>
      </w:r>
      <w:r w:rsidRPr="00F0444A">
        <w:rPr>
          <w:noProof/>
        </w:rPr>
        <w:fldChar w:fldCharType="separate"/>
      </w:r>
      <w:r w:rsidR="0014513D">
        <w:rPr>
          <w:noProof/>
        </w:rPr>
        <w:t>12</w:t>
      </w:r>
      <w:r w:rsidRPr="00F0444A">
        <w:rPr>
          <w:noProof/>
        </w:rPr>
        <w:fldChar w:fldCharType="end"/>
      </w:r>
    </w:p>
    <w:p w:rsidR="005D7042" w:rsidRPr="0043330F" w:rsidRDefault="00F0444A" w:rsidP="00715914">
      <w:r>
        <w:fldChar w:fldCharType="end"/>
      </w:r>
    </w:p>
    <w:p w:rsidR="00374B0A" w:rsidRPr="0043330F" w:rsidRDefault="00374B0A" w:rsidP="00715914">
      <w:pPr>
        <w:sectPr w:rsidR="00374B0A" w:rsidRPr="0043330F" w:rsidSect="008B19C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8B19C8" w:rsidRDefault="008B19C8">
      <w:r>
        <w:object w:dxaOrig="2146" w:dyaOrig="1561">
          <v:shape id="_x0000_i1027" type="#_x0000_t75" alt="Commonwealth Coat of Arms of Australia" style="width:110.05pt;height:80.15pt" o:ole="" fillcolor="window">
            <v:imagedata r:id="rId9" o:title=""/>
          </v:shape>
          <o:OLEObject Type="Embed" ProgID="Word.Picture.8" ShapeID="_x0000_i1027" DrawAspect="Content" ObjectID="_1667893660" r:id="rId22"/>
        </w:object>
      </w:r>
    </w:p>
    <w:p w:rsidR="008B19C8" w:rsidRDefault="008B19C8"/>
    <w:p w:rsidR="008B19C8" w:rsidRDefault="008B19C8" w:rsidP="000178F8">
      <w:pPr>
        <w:spacing w:line="240" w:lineRule="auto"/>
      </w:pPr>
    </w:p>
    <w:p w:rsidR="008B19C8" w:rsidRDefault="0014513D" w:rsidP="000178F8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Higher Education (Up-front Payments Tuition Protection Levy) Act 2020</w:t>
      </w:r>
      <w:r>
        <w:rPr>
          <w:noProof/>
        </w:rPr>
        <w:fldChar w:fldCharType="end"/>
      </w:r>
    </w:p>
    <w:p w:rsidR="008B19C8" w:rsidRDefault="008B19C8" w:rsidP="000178F8">
      <w:pPr>
        <w:pStyle w:val="ActNoP1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STYLEREF Actno </w:instrText>
      </w:r>
      <w:r>
        <w:rPr>
          <w:noProof/>
        </w:rPr>
        <w:fldChar w:fldCharType="separate"/>
      </w:r>
      <w:r w:rsidR="0014513D">
        <w:rPr>
          <w:noProof/>
        </w:rPr>
        <w:t>No. 102, 2020</w:t>
      </w:r>
      <w:r>
        <w:rPr>
          <w:noProof/>
        </w:rPr>
        <w:fldChar w:fldCharType="end"/>
      </w:r>
    </w:p>
    <w:p w:rsidR="008B19C8" w:rsidRPr="009A0728" w:rsidRDefault="008B19C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8B19C8" w:rsidRPr="009A0728" w:rsidRDefault="008B19C8" w:rsidP="009A0728">
      <w:pPr>
        <w:spacing w:line="40" w:lineRule="exact"/>
        <w:rPr>
          <w:rFonts w:eastAsia="Calibri"/>
          <w:b/>
          <w:sz w:val="28"/>
        </w:rPr>
      </w:pPr>
    </w:p>
    <w:p w:rsidR="008B19C8" w:rsidRPr="009A0728" w:rsidRDefault="008B19C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8B19C8" w:rsidRDefault="008B19C8" w:rsidP="008B19C8">
      <w:pPr>
        <w:pStyle w:val="Page1"/>
        <w:spacing w:before="400"/>
      </w:pPr>
      <w:r>
        <w:t>An Act to impose up</w:t>
      </w:r>
      <w:r>
        <w:noBreakHyphen/>
        <w:t>front payments tuition protection levy, and for related purposes</w:t>
      </w:r>
    </w:p>
    <w:p w:rsidR="00F0444A" w:rsidRDefault="00F0444A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20 November 2020</w:t>
      </w:r>
      <w:r>
        <w:rPr>
          <w:sz w:val="24"/>
        </w:rPr>
        <w:t>]</w:t>
      </w:r>
    </w:p>
    <w:p w:rsidR="00715914" w:rsidRPr="0043330F" w:rsidRDefault="00715914" w:rsidP="0043330F">
      <w:pPr>
        <w:spacing w:before="240" w:line="240" w:lineRule="auto"/>
        <w:rPr>
          <w:sz w:val="32"/>
        </w:rPr>
      </w:pPr>
      <w:r w:rsidRPr="0043330F">
        <w:rPr>
          <w:sz w:val="32"/>
        </w:rPr>
        <w:t>The Parliament of Australia enacts:</w:t>
      </w:r>
    </w:p>
    <w:p w:rsidR="00715914" w:rsidRPr="0043330F" w:rsidRDefault="00715914" w:rsidP="0043330F">
      <w:pPr>
        <w:pStyle w:val="ActHead2"/>
      </w:pPr>
      <w:bookmarkStart w:id="1" w:name="_Toc57280532"/>
      <w:r w:rsidRPr="00876449">
        <w:rPr>
          <w:rStyle w:val="CharPartNo"/>
        </w:rPr>
        <w:t>Part</w:t>
      </w:r>
      <w:r w:rsidR="0043330F" w:rsidRPr="00876449">
        <w:rPr>
          <w:rStyle w:val="CharPartNo"/>
        </w:rPr>
        <w:t> </w:t>
      </w:r>
      <w:r w:rsidRPr="00876449">
        <w:rPr>
          <w:rStyle w:val="CharPartNo"/>
        </w:rPr>
        <w:t>1</w:t>
      </w:r>
      <w:r w:rsidRPr="0043330F">
        <w:t>—</w:t>
      </w:r>
      <w:r w:rsidRPr="00876449">
        <w:rPr>
          <w:rStyle w:val="CharPartText"/>
        </w:rPr>
        <w:t>Preliminary</w:t>
      </w:r>
      <w:bookmarkEnd w:id="1"/>
    </w:p>
    <w:p w:rsidR="00715914" w:rsidRPr="00876449" w:rsidRDefault="00715914" w:rsidP="0043330F">
      <w:pPr>
        <w:pStyle w:val="Header"/>
      </w:pPr>
      <w:r w:rsidRPr="00876449">
        <w:rPr>
          <w:rStyle w:val="CharDivNo"/>
        </w:rPr>
        <w:t xml:space="preserve"> </w:t>
      </w:r>
      <w:r w:rsidRPr="00876449">
        <w:rPr>
          <w:rStyle w:val="CharDivText"/>
        </w:rPr>
        <w:t xml:space="preserve"> </w:t>
      </w:r>
    </w:p>
    <w:p w:rsidR="00715914" w:rsidRPr="0043330F" w:rsidRDefault="00715914" w:rsidP="0043330F">
      <w:pPr>
        <w:pStyle w:val="ActHead5"/>
      </w:pPr>
      <w:bookmarkStart w:id="2" w:name="_Toc57280533"/>
      <w:r w:rsidRPr="00876449">
        <w:rPr>
          <w:rStyle w:val="CharSectno"/>
        </w:rPr>
        <w:t>1</w:t>
      </w:r>
      <w:r w:rsidRPr="0043330F">
        <w:t xml:space="preserve">  Short title</w:t>
      </w:r>
      <w:bookmarkEnd w:id="2"/>
    </w:p>
    <w:p w:rsidR="00715914" w:rsidRPr="0043330F" w:rsidRDefault="00715914" w:rsidP="0043330F">
      <w:pPr>
        <w:pStyle w:val="subsection"/>
      </w:pPr>
      <w:r w:rsidRPr="0043330F">
        <w:tab/>
      </w:r>
      <w:r w:rsidRPr="0043330F">
        <w:tab/>
      </w:r>
      <w:r w:rsidR="00B77A4B" w:rsidRPr="0043330F">
        <w:t xml:space="preserve">This Act is the </w:t>
      </w:r>
      <w:r w:rsidR="00C55470" w:rsidRPr="0043330F">
        <w:rPr>
          <w:i/>
        </w:rPr>
        <w:t>Higher Education (</w:t>
      </w:r>
      <w:r w:rsidR="0008144C" w:rsidRPr="0043330F">
        <w:rPr>
          <w:i/>
        </w:rPr>
        <w:t>Up</w:t>
      </w:r>
      <w:r w:rsidR="0043330F">
        <w:rPr>
          <w:i/>
        </w:rPr>
        <w:noBreakHyphen/>
      </w:r>
      <w:r w:rsidR="0008144C" w:rsidRPr="0043330F">
        <w:rPr>
          <w:i/>
        </w:rPr>
        <w:t xml:space="preserve">front Payments Tuition Protection Levy) </w:t>
      </w:r>
      <w:r w:rsidR="004A6B0B" w:rsidRPr="0043330F">
        <w:rPr>
          <w:i/>
        </w:rPr>
        <w:t>Act</w:t>
      </w:r>
      <w:r w:rsidR="0008144C" w:rsidRPr="0043330F">
        <w:rPr>
          <w:i/>
        </w:rPr>
        <w:t xml:space="preserve"> 2020</w:t>
      </w:r>
      <w:r w:rsidR="00B77A4B" w:rsidRPr="0043330F">
        <w:t>.</w:t>
      </w:r>
    </w:p>
    <w:p w:rsidR="00715914" w:rsidRPr="0043330F" w:rsidRDefault="00715914" w:rsidP="0043330F">
      <w:pPr>
        <w:pStyle w:val="ActHead5"/>
      </w:pPr>
      <w:bookmarkStart w:id="3" w:name="_Toc57280534"/>
      <w:r w:rsidRPr="00876449">
        <w:rPr>
          <w:rStyle w:val="CharSectno"/>
        </w:rPr>
        <w:t>2</w:t>
      </w:r>
      <w:r w:rsidRPr="0043330F">
        <w:t xml:space="preserve">  Commencement</w:t>
      </w:r>
      <w:bookmarkEnd w:id="3"/>
    </w:p>
    <w:p w:rsidR="00B77A4B" w:rsidRPr="0043330F" w:rsidRDefault="00715914" w:rsidP="0043330F">
      <w:pPr>
        <w:pStyle w:val="subsection"/>
      </w:pPr>
      <w:r w:rsidRPr="0043330F">
        <w:tab/>
        <w:t>(1)</w:t>
      </w:r>
      <w:r w:rsidRPr="0043330F">
        <w:tab/>
      </w:r>
      <w:r w:rsidR="00B77A4B" w:rsidRPr="0043330F">
        <w:t>Each provision of this Act specified in column 1 of the table commences, or is taken to have commenced, in accordance with column 2 of the table. Any other statement in column 2 has effect according to its terms.</w:t>
      </w:r>
    </w:p>
    <w:p w:rsidR="00B77A4B" w:rsidRPr="0043330F" w:rsidRDefault="00B77A4B" w:rsidP="0043330F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B77A4B" w:rsidRPr="0043330F" w:rsidTr="00A60768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77A4B" w:rsidRPr="0043330F" w:rsidRDefault="00B77A4B" w:rsidP="0043330F">
            <w:pPr>
              <w:pStyle w:val="TableHeading"/>
            </w:pPr>
            <w:r w:rsidRPr="0043330F">
              <w:t>Commencement information</w:t>
            </w:r>
          </w:p>
        </w:tc>
      </w:tr>
      <w:tr w:rsidR="00B77A4B" w:rsidRPr="0043330F" w:rsidTr="00A6076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7A4B" w:rsidRPr="0043330F" w:rsidRDefault="00B77A4B" w:rsidP="0043330F">
            <w:pPr>
              <w:pStyle w:val="TableHeading"/>
            </w:pPr>
            <w:r w:rsidRPr="0043330F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7A4B" w:rsidRPr="0043330F" w:rsidRDefault="00B77A4B" w:rsidP="0043330F">
            <w:pPr>
              <w:pStyle w:val="TableHeading"/>
            </w:pPr>
            <w:r w:rsidRPr="0043330F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7A4B" w:rsidRPr="0043330F" w:rsidRDefault="00B77A4B" w:rsidP="0043330F">
            <w:pPr>
              <w:pStyle w:val="TableHeading"/>
            </w:pPr>
            <w:r w:rsidRPr="0043330F">
              <w:t>Column 3</w:t>
            </w:r>
          </w:p>
        </w:tc>
      </w:tr>
      <w:tr w:rsidR="00B77A4B" w:rsidRPr="0043330F" w:rsidTr="00A60768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77A4B" w:rsidRPr="0043330F" w:rsidRDefault="00B77A4B" w:rsidP="0043330F">
            <w:pPr>
              <w:pStyle w:val="TableHeading"/>
            </w:pPr>
            <w:r w:rsidRPr="0043330F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77A4B" w:rsidRPr="0043330F" w:rsidRDefault="00B77A4B" w:rsidP="0043330F">
            <w:pPr>
              <w:pStyle w:val="TableHeading"/>
            </w:pPr>
            <w:r w:rsidRPr="0043330F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77A4B" w:rsidRPr="0043330F" w:rsidRDefault="00B77A4B" w:rsidP="0043330F">
            <w:pPr>
              <w:pStyle w:val="TableHeading"/>
            </w:pPr>
            <w:r w:rsidRPr="0043330F">
              <w:t>Date/Details</w:t>
            </w:r>
          </w:p>
        </w:tc>
      </w:tr>
      <w:tr w:rsidR="00B77A4B" w:rsidRPr="0043330F" w:rsidTr="00A60768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77A4B" w:rsidRPr="0043330F" w:rsidRDefault="00B77A4B" w:rsidP="0043330F">
            <w:pPr>
              <w:pStyle w:val="Tabletext"/>
            </w:pPr>
            <w:r w:rsidRPr="0043330F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77A4B" w:rsidRPr="0043330F" w:rsidRDefault="00B77A4B" w:rsidP="0043330F">
            <w:pPr>
              <w:pStyle w:val="Tabletext"/>
            </w:pPr>
            <w:r w:rsidRPr="0043330F">
              <w:t xml:space="preserve">At the same time as </w:t>
            </w:r>
            <w:r w:rsidR="00437600" w:rsidRPr="0043330F">
              <w:t xml:space="preserve">the </w:t>
            </w:r>
            <w:r w:rsidR="00910306" w:rsidRPr="0043330F">
              <w:rPr>
                <w:i/>
              </w:rPr>
              <w:t>Education Legislation Amendment (Up</w:t>
            </w:r>
            <w:r w:rsidR="0043330F">
              <w:rPr>
                <w:i/>
              </w:rPr>
              <w:noBreakHyphen/>
            </w:r>
            <w:r w:rsidR="00910306" w:rsidRPr="0043330F">
              <w:rPr>
                <w:i/>
              </w:rPr>
              <w:t>front Payments Tuition Protection)</w:t>
            </w:r>
            <w:r w:rsidR="00437600" w:rsidRPr="0043330F">
              <w:rPr>
                <w:i/>
              </w:rPr>
              <w:t xml:space="preserve"> Act 2020</w:t>
            </w:r>
            <w:bookmarkStart w:id="4" w:name="BK_S3P2L6C29"/>
            <w:bookmarkEnd w:id="4"/>
            <w:r w:rsidR="00535F39" w:rsidRPr="0043330F">
              <w:t xml:space="preserve"> commences</w:t>
            </w:r>
            <w:r w:rsidRPr="0043330F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77A4B" w:rsidRPr="0043330F" w:rsidRDefault="00C53158" w:rsidP="0043330F">
            <w:pPr>
              <w:pStyle w:val="Tabletext"/>
            </w:pPr>
            <w:r w:rsidRPr="0043330F">
              <w:t>1</w:t>
            </w:r>
            <w:r w:rsidR="0043330F" w:rsidRPr="0043330F">
              <w:t> </w:t>
            </w:r>
            <w:r w:rsidRPr="0043330F">
              <w:t>January 2021</w:t>
            </w:r>
          </w:p>
        </w:tc>
      </w:tr>
    </w:tbl>
    <w:p w:rsidR="00B77A4B" w:rsidRPr="0043330F" w:rsidRDefault="00B77A4B" w:rsidP="0043330F">
      <w:pPr>
        <w:pStyle w:val="notetext"/>
      </w:pPr>
      <w:r w:rsidRPr="0043330F">
        <w:t>Note:</w:t>
      </w:r>
      <w:r w:rsidRPr="0043330F">
        <w:tab/>
        <w:t>This table relates only to the provisions of this Act as originally enacted. It will not be amended to deal with any later amendments of this Act.</w:t>
      </w:r>
    </w:p>
    <w:p w:rsidR="00715914" w:rsidRPr="0043330F" w:rsidRDefault="00B77A4B" w:rsidP="0043330F">
      <w:pPr>
        <w:pStyle w:val="subsection"/>
      </w:pPr>
      <w:r w:rsidRPr="0043330F">
        <w:tab/>
        <w:t>(2)</w:t>
      </w:r>
      <w:r w:rsidRPr="0043330F">
        <w:tab/>
        <w:t>Any information in column 3 of the table is not part of this Act. Information may be inserted in this column, or information in it may be edited, in any published version of this Act.</w:t>
      </w:r>
    </w:p>
    <w:p w:rsidR="00B77A4B" w:rsidRPr="0043330F" w:rsidRDefault="00B77A4B" w:rsidP="0043330F">
      <w:pPr>
        <w:pStyle w:val="ActHead5"/>
      </w:pPr>
      <w:bookmarkStart w:id="5" w:name="_Toc57280535"/>
      <w:r w:rsidRPr="00876449">
        <w:rPr>
          <w:rStyle w:val="CharSectno"/>
        </w:rPr>
        <w:t>3</w:t>
      </w:r>
      <w:r w:rsidRPr="0043330F">
        <w:t xml:space="preserve">  Crown to be bound</w:t>
      </w:r>
      <w:bookmarkEnd w:id="5"/>
    </w:p>
    <w:p w:rsidR="00B77A4B" w:rsidRPr="0043330F" w:rsidRDefault="00B77A4B" w:rsidP="0043330F">
      <w:pPr>
        <w:pStyle w:val="subsection"/>
      </w:pPr>
      <w:r w:rsidRPr="0043330F">
        <w:tab/>
      </w:r>
      <w:r w:rsidRPr="0043330F">
        <w:tab/>
        <w:t>This Act binds the Crown in each of its capacities.</w:t>
      </w:r>
    </w:p>
    <w:p w:rsidR="00B77A4B" w:rsidRPr="0043330F" w:rsidRDefault="00B77A4B" w:rsidP="0043330F">
      <w:pPr>
        <w:pStyle w:val="ActHead5"/>
      </w:pPr>
      <w:bookmarkStart w:id="6" w:name="_Toc57280536"/>
      <w:r w:rsidRPr="00876449">
        <w:rPr>
          <w:rStyle w:val="CharSectno"/>
        </w:rPr>
        <w:t>4</w:t>
      </w:r>
      <w:r w:rsidRPr="0043330F">
        <w:t xml:space="preserve">  Act does not impose tax on property of a State</w:t>
      </w:r>
      <w:bookmarkEnd w:id="6"/>
    </w:p>
    <w:p w:rsidR="00B77A4B" w:rsidRPr="0043330F" w:rsidRDefault="00B77A4B" w:rsidP="0043330F">
      <w:pPr>
        <w:pStyle w:val="subsection"/>
      </w:pPr>
      <w:r w:rsidRPr="0043330F">
        <w:tab/>
        <w:t>(1)</w:t>
      </w:r>
      <w:r w:rsidRPr="0043330F">
        <w:tab/>
        <w:t>This Act does not impose a tax on property of any kind belonging to a State.</w:t>
      </w:r>
    </w:p>
    <w:p w:rsidR="00B77A4B" w:rsidRPr="0043330F" w:rsidRDefault="00B77A4B" w:rsidP="0043330F">
      <w:pPr>
        <w:pStyle w:val="subsection"/>
      </w:pPr>
      <w:r w:rsidRPr="0043330F">
        <w:tab/>
        <w:t>(2)</w:t>
      </w:r>
      <w:r w:rsidRPr="0043330F">
        <w:tab/>
      </w:r>
      <w:r w:rsidRPr="0043330F">
        <w:rPr>
          <w:b/>
          <w:i/>
        </w:rPr>
        <w:t>Property of any kind belonging to a State</w:t>
      </w:r>
      <w:r w:rsidRPr="0043330F">
        <w:t xml:space="preserve"> has the same meaning as in section</w:t>
      </w:r>
      <w:r w:rsidR="0043330F" w:rsidRPr="0043330F">
        <w:t> </w:t>
      </w:r>
      <w:r w:rsidRPr="0043330F">
        <w:t>114 of the Constitution.</w:t>
      </w:r>
    </w:p>
    <w:p w:rsidR="00B77A4B" w:rsidRPr="0043330F" w:rsidRDefault="00B77A4B" w:rsidP="0043330F">
      <w:pPr>
        <w:pStyle w:val="ActHead5"/>
      </w:pPr>
      <w:bookmarkStart w:id="7" w:name="_Toc57280537"/>
      <w:r w:rsidRPr="00876449">
        <w:rPr>
          <w:rStyle w:val="CharSectno"/>
        </w:rPr>
        <w:t>5</w:t>
      </w:r>
      <w:r w:rsidRPr="0043330F">
        <w:t xml:space="preserve">  Definitions</w:t>
      </w:r>
      <w:bookmarkEnd w:id="7"/>
    </w:p>
    <w:p w:rsidR="00B77A4B" w:rsidRPr="0043330F" w:rsidRDefault="00F74733" w:rsidP="0043330F">
      <w:pPr>
        <w:pStyle w:val="subsection"/>
      </w:pPr>
      <w:r>
        <w:tab/>
      </w:r>
      <w:r>
        <w:tab/>
      </w:r>
      <w:r w:rsidR="00B77A4B" w:rsidRPr="0043330F">
        <w:t>In this Act:</w:t>
      </w:r>
    </w:p>
    <w:p w:rsidR="00B77A4B" w:rsidRPr="0043330F" w:rsidRDefault="00B77A4B" w:rsidP="0043330F">
      <w:pPr>
        <w:pStyle w:val="Definition"/>
      </w:pPr>
      <w:r w:rsidRPr="0043330F">
        <w:rPr>
          <w:b/>
          <w:i/>
        </w:rPr>
        <w:t>administrative fee component</w:t>
      </w:r>
      <w:r w:rsidRPr="0043330F">
        <w:t>, for a leviable provider for a year, has the meaning given by section</w:t>
      </w:r>
      <w:r w:rsidR="0009777D" w:rsidRPr="0043330F">
        <w:t xml:space="preserve"> </w:t>
      </w:r>
      <w:r w:rsidRPr="0043330F">
        <w:t>8.</w:t>
      </w:r>
    </w:p>
    <w:p w:rsidR="00AD50ED" w:rsidRPr="0043330F" w:rsidRDefault="00AD50ED" w:rsidP="0043330F">
      <w:pPr>
        <w:pStyle w:val="Definition"/>
      </w:pPr>
      <w:r w:rsidRPr="0043330F">
        <w:rPr>
          <w:b/>
          <w:i/>
        </w:rPr>
        <w:t>Australian course of study</w:t>
      </w:r>
      <w:r w:rsidRPr="0043330F">
        <w:t xml:space="preserve"> </w:t>
      </w:r>
      <w:r w:rsidR="00FC0EFD" w:rsidRPr="0043330F">
        <w:t xml:space="preserve">has the same meaning as in the </w:t>
      </w:r>
      <w:r w:rsidR="00FC0EFD" w:rsidRPr="0043330F">
        <w:rPr>
          <w:i/>
        </w:rPr>
        <w:t>Tertiary Education Quality and Standards Agency Act 2011.</w:t>
      </w:r>
    </w:p>
    <w:p w:rsidR="00FC0EFD" w:rsidRPr="0043330F" w:rsidRDefault="00AD50ED" w:rsidP="0043330F">
      <w:pPr>
        <w:pStyle w:val="Definition"/>
        <w:rPr>
          <w:i/>
        </w:rPr>
      </w:pPr>
      <w:r w:rsidRPr="0043330F">
        <w:rPr>
          <w:b/>
          <w:i/>
        </w:rPr>
        <w:t>domestic student</w:t>
      </w:r>
      <w:r w:rsidRPr="0043330F">
        <w:t xml:space="preserve"> </w:t>
      </w:r>
      <w:r w:rsidR="00FC0EFD" w:rsidRPr="0043330F">
        <w:t xml:space="preserve">has the same meaning as in the </w:t>
      </w:r>
      <w:r w:rsidR="00FC0EFD" w:rsidRPr="0043330F">
        <w:rPr>
          <w:i/>
        </w:rPr>
        <w:t>Tertiary Education Quality and Standards Agency Act 2011.</w:t>
      </w:r>
    </w:p>
    <w:p w:rsidR="00720E3A" w:rsidRPr="0043330F" w:rsidRDefault="00720E3A" w:rsidP="0043330F">
      <w:pPr>
        <w:pStyle w:val="Definition"/>
      </w:pPr>
      <w:r w:rsidRPr="0043330F">
        <w:rPr>
          <w:b/>
          <w:i/>
        </w:rPr>
        <w:t>Higher Education Tuition Protection Director</w:t>
      </w:r>
      <w:r w:rsidRPr="0043330F">
        <w:t xml:space="preserve"> means the person referred to in section</w:t>
      </w:r>
      <w:r w:rsidR="0043330F" w:rsidRPr="0043330F">
        <w:t> </w:t>
      </w:r>
      <w:r w:rsidRPr="0043330F">
        <w:t>167</w:t>
      </w:r>
      <w:r w:rsidR="0043330F">
        <w:noBreakHyphen/>
      </w:r>
      <w:r w:rsidRPr="0043330F">
        <w:t xml:space="preserve">15 of the </w:t>
      </w:r>
      <w:r w:rsidRPr="0043330F">
        <w:rPr>
          <w:i/>
        </w:rPr>
        <w:t>Higher Education Support Act 2003</w:t>
      </w:r>
      <w:r w:rsidRPr="0043330F">
        <w:t>.</w:t>
      </w:r>
    </w:p>
    <w:p w:rsidR="00745A53" w:rsidRPr="0043330F" w:rsidRDefault="00745A53" w:rsidP="0043330F">
      <w:pPr>
        <w:pStyle w:val="Definition"/>
      </w:pPr>
      <w:r w:rsidRPr="0043330F">
        <w:rPr>
          <w:b/>
          <w:i/>
        </w:rPr>
        <w:t>Higher Education Tuition Protection Fund</w:t>
      </w:r>
      <w:r w:rsidRPr="0043330F">
        <w:t xml:space="preserve"> means the Fund established by section</w:t>
      </w:r>
      <w:r w:rsidR="0043330F" w:rsidRPr="0043330F">
        <w:t> </w:t>
      </w:r>
      <w:r w:rsidRPr="0043330F">
        <w:t>167</w:t>
      </w:r>
      <w:r w:rsidR="0043330F">
        <w:noBreakHyphen/>
      </w:r>
      <w:r w:rsidRPr="0043330F">
        <w:t xml:space="preserve">1 of the </w:t>
      </w:r>
      <w:r w:rsidRPr="0043330F">
        <w:rPr>
          <w:i/>
        </w:rPr>
        <w:t>Higher Education Support Act 2003</w:t>
      </w:r>
      <w:r w:rsidRPr="0043330F">
        <w:t>.</w:t>
      </w:r>
    </w:p>
    <w:p w:rsidR="0042140D" w:rsidRPr="0043330F" w:rsidRDefault="0042140D" w:rsidP="0043330F">
      <w:pPr>
        <w:pStyle w:val="Definition"/>
        <w:rPr>
          <w:b/>
          <w:i/>
        </w:rPr>
      </w:pPr>
      <w:r w:rsidRPr="0043330F">
        <w:rPr>
          <w:b/>
          <w:i/>
        </w:rPr>
        <w:t>Higher Education Tuition Protection Fund Advisory Board</w:t>
      </w:r>
      <w:r w:rsidRPr="0043330F">
        <w:t xml:space="preserve"> means the Board established by section</w:t>
      </w:r>
      <w:r w:rsidR="0043330F" w:rsidRPr="0043330F">
        <w:t> </w:t>
      </w:r>
      <w:r w:rsidRPr="0043330F">
        <w:t>167</w:t>
      </w:r>
      <w:r w:rsidR="0043330F">
        <w:noBreakHyphen/>
      </w:r>
      <w:r w:rsidRPr="0043330F">
        <w:t xml:space="preserve">30 of the </w:t>
      </w:r>
      <w:r w:rsidRPr="0043330F">
        <w:rPr>
          <w:i/>
        </w:rPr>
        <w:t>Higher Education Support Act 2003</w:t>
      </w:r>
      <w:r w:rsidRPr="0043330F">
        <w:t>.</w:t>
      </w:r>
    </w:p>
    <w:p w:rsidR="00870773" w:rsidRPr="0043330F" w:rsidRDefault="00870773" w:rsidP="0043330F">
      <w:pPr>
        <w:pStyle w:val="Definition"/>
      </w:pPr>
      <w:r w:rsidRPr="0043330F">
        <w:rPr>
          <w:b/>
          <w:i/>
        </w:rPr>
        <w:t>leviable provider</w:t>
      </w:r>
      <w:r w:rsidRPr="0043330F">
        <w:t xml:space="preserve"> means a regis</w:t>
      </w:r>
      <w:r w:rsidR="004E1658" w:rsidRPr="0043330F">
        <w:t>tered higher education provider</w:t>
      </w:r>
      <w:r w:rsidR="00ED0121" w:rsidRPr="0043330F">
        <w:t xml:space="preserve"> </w:t>
      </w:r>
      <w:r w:rsidRPr="0043330F">
        <w:t>to whom Part</w:t>
      </w:r>
      <w:r w:rsidR="0043330F" w:rsidRPr="0043330F">
        <w:t> </w:t>
      </w:r>
      <w:r w:rsidRPr="0043330F">
        <w:t xml:space="preserve">5A of the </w:t>
      </w:r>
      <w:r w:rsidRPr="0043330F">
        <w:rPr>
          <w:i/>
        </w:rPr>
        <w:t>Tertiary Education Quality and Standards Agency Act 2011</w:t>
      </w:r>
      <w:r w:rsidRPr="0043330F">
        <w:t xml:space="preserve"> applies.</w:t>
      </w:r>
    </w:p>
    <w:p w:rsidR="00B77A4B" w:rsidRPr="0043330F" w:rsidRDefault="00B77A4B" w:rsidP="0043330F">
      <w:pPr>
        <w:pStyle w:val="Definition"/>
      </w:pPr>
      <w:r w:rsidRPr="0043330F">
        <w:rPr>
          <w:b/>
          <w:i/>
        </w:rPr>
        <w:t>new provider</w:t>
      </w:r>
      <w:r w:rsidRPr="0043330F">
        <w:t xml:space="preserve">, for a year, means a leviable provider that was not a </w:t>
      </w:r>
      <w:r w:rsidR="001C37C5" w:rsidRPr="0043330F">
        <w:t xml:space="preserve">registered </w:t>
      </w:r>
      <w:r w:rsidRPr="0043330F">
        <w:t>higher education provider at any time during the previous year.</w:t>
      </w:r>
    </w:p>
    <w:p w:rsidR="00B77A4B" w:rsidRPr="0043330F" w:rsidRDefault="00B77A4B" w:rsidP="0043330F">
      <w:pPr>
        <w:pStyle w:val="Definition"/>
      </w:pPr>
      <w:r w:rsidRPr="0043330F">
        <w:rPr>
          <w:b/>
          <w:i/>
        </w:rPr>
        <w:t>property of any kind belonging to a State</w:t>
      </w:r>
      <w:r w:rsidRPr="0043330F">
        <w:t>: see subsection</w:t>
      </w:r>
      <w:r w:rsidR="0043330F" w:rsidRPr="0043330F">
        <w:t> </w:t>
      </w:r>
      <w:r w:rsidRPr="0043330F">
        <w:t>4(2).</w:t>
      </w:r>
    </w:p>
    <w:p w:rsidR="006469EB" w:rsidRPr="0043330F" w:rsidRDefault="006469EB" w:rsidP="0043330F">
      <w:pPr>
        <w:pStyle w:val="Definition"/>
      </w:pPr>
      <w:r w:rsidRPr="0043330F">
        <w:rPr>
          <w:b/>
          <w:i/>
        </w:rPr>
        <w:t xml:space="preserve">registered higher education provider </w:t>
      </w:r>
      <w:r w:rsidRPr="0043330F">
        <w:t xml:space="preserve">has the same meaning as in the </w:t>
      </w:r>
      <w:r w:rsidRPr="0043330F">
        <w:rPr>
          <w:i/>
        </w:rPr>
        <w:t>Tertiary Education Quality and Standards Agency Act 2011</w:t>
      </w:r>
      <w:r w:rsidRPr="0043330F">
        <w:t>.</w:t>
      </w:r>
    </w:p>
    <w:p w:rsidR="00B77A4B" w:rsidRPr="0043330F" w:rsidRDefault="00B77A4B" w:rsidP="0043330F">
      <w:pPr>
        <w:pStyle w:val="Definition"/>
      </w:pPr>
      <w:r w:rsidRPr="0043330F">
        <w:rPr>
          <w:b/>
          <w:i/>
        </w:rPr>
        <w:t>risk rated premium component</w:t>
      </w:r>
      <w:r w:rsidRPr="0043330F">
        <w:t>, for a leviable provider for a year, has the meaning given by section</w:t>
      </w:r>
      <w:r w:rsidR="0009777D" w:rsidRPr="0043330F">
        <w:t xml:space="preserve"> </w:t>
      </w:r>
      <w:r w:rsidRPr="0043330F">
        <w:t>11.</w:t>
      </w:r>
    </w:p>
    <w:p w:rsidR="00B77A4B" w:rsidRPr="0043330F" w:rsidRDefault="00B77A4B" w:rsidP="0043330F">
      <w:pPr>
        <w:pStyle w:val="Definition"/>
      </w:pPr>
      <w:r w:rsidRPr="0043330F">
        <w:rPr>
          <w:b/>
          <w:i/>
        </w:rPr>
        <w:t>special tuition protection component</w:t>
      </w:r>
      <w:r w:rsidRPr="0043330F">
        <w:t>, for a leviable provider for a year, has the meaning given by section</w:t>
      </w:r>
      <w:r w:rsidR="0009777D" w:rsidRPr="0043330F">
        <w:t xml:space="preserve"> </w:t>
      </w:r>
      <w:r w:rsidRPr="0043330F">
        <w:t>12.</w:t>
      </w:r>
    </w:p>
    <w:p w:rsidR="00502D7C" w:rsidRPr="0043330F" w:rsidRDefault="00502D7C" w:rsidP="0043330F">
      <w:pPr>
        <w:pStyle w:val="Definition"/>
      </w:pPr>
      <w:r w:rsidRPr="0043330F">
        <w:rPr>
          <w:b/>
          <w:i/>
        </w:rPr>
        <w:t>total up</w:t>
      </w:r>
      <w:r w:rsidR="0043330F">
        <w:rPr>
          <w:b/>
          <w:i/>
        </w:rPr>
        <w:noBreakHyphen/>
      </w:r>
      <w:r w:rsidRPr="0043330F">
        <w:rPr>
          <w:b/>
          <w:i/>
        </w:rPr>
        <w:t>front fee paying students</w:t>
      </w:r>
      <w:r w:rsidRPr="0043330F">
        <w:t>, for a leviable provider for a y</w:t>
      </w:r>
      <w:r w:rsidR="00ED0121" w:rsidRPr="0043330F">
        <w:t xml:space="preserve">ear, means the total number of </w:t>
      </w:r>
      <w:r w:rsidRPr="0043330F">
        <w:t>domestic students</w:t>
      </w:r>
      <w:r w:rsidR="00B817D7" w:rsidRPr="0043330F">
        <w:t xml:space="preserve"> for which one or more</w:t>
      </w:r>
      <w:r w:rsidRPr="0043330F">
        <w:t xml:space="preserve"> up</w:t>
      </w:r>
      <w:r w:rsidR="0043330F">
        <w:noBreakHyphen/>
      </w:r>
      <w:r w:rsidRPr="0043330F">
        <w:t>front payment</w:t>
      </w:r>
      <w:r w:rsidR="00B817D7" w:rsidRPr="0043330F">
        <w:t>s</w:t>
      </w:r>
      <w:r w:rsidRPr="0043330F">
        <w:t xml:space="preserve"> </w:t>
      </w:r>
      <w:r w:rsidR="00BA66EC" w:rsidRPr="0043330F">
        <w:t xml:space="preserve">for one or more units of study </w:t>
      </w:r>
      <w:r w:rsidRPr="0043330F">
        <w:t>was received, directly or indirectly, by the provider during the year.</w:t>
      </w:r>
    </w:p>
    <w:p w:rsidR="00C53158" w:rsidRPr="0043330F" w:rsidRDefault="00C53158" w:rsidP="0043330F">
      <w:pPr>
        <w:pStyle w:val="Definition"/>
      </w:pPr>
      <w:r w:rsidRPr="0043330F">
        <w:rPr>
          <w:b/>
          <w:i/>
        </w:rPr>
        <w:t>unit of study</w:t>
      </w:r>
      <w:r w:rsidRPr="0043330F">
        <w:t>:</w:t>
      </w:r>
    </w:p>
    <w:p w:rsidR="00C53158" w:rsidRPr="0043330F" w:rsidRDefault="00C53158" w:rsidP="0043330F">
      <w:pPr>
        <w:pStyle w:val="paragraph"/>
      </w:pPr>
      <w:r w:rsidRPr="0043330F">
        <w:tab/>
        <w:t>(a)</w:t>
      </w:r>
      <w:r w:rsidRPr="0043330F">
        <w:tab/>
        <w:t xml:space="preserve">in relation to an Australian course of study and a registered higher education provider that is also a higher education provider within the meaning of the </w:t>
      </w:r>
      <w:r w:rsidRPr="0043330F">
        <w:rPr>
          <w:i/>
        </w:rPr>
        <w:t>Higher Education Support Act 2003</w:t>
      </w:r>
      <w:r w:rsidRPr="0043330F">
        <w:t>—has the same meaning as in that Act; or</w:t>
      </w:r>
    </w:p>
    <w:p w:rsidR="00C53158" w:rsidRPr="0043330F" w:rsidRDefault="00C53158" w:rsidP="0043330F">
      <w:pPr>
        <w:pStyle w:val="paragraph"/>
      </w:pPr>
      <w:r w:rsidRPr="0043330F">
        <w:tab/>
        <w:t>(b)</w:t>
      </w:r>
      <w:r w:rsidRPr="0043330F">
        <w:tab/>
        <w:t xml:space="preserve">in relation to an Australian course of study and a registered higher education provider that is not of the kind mentioned in </w:t>
      </w:r>
      <w:r w:rsidR="0043330F" w:rsidRPr="0043330F">
        <w:t>paragraph (</w:t>
      </w:r>
      <w:r w:rsidRPr="0043330F">
        <w:t>a) means:</w:t>
      </w:r>
    </w:p>
    <w:p w:rsidR="00C53158" w:rsidRPr="0043330F" w:rsidRDefault="00C53158" w:rsidP="0043330F">
      <w:pPr>
        <w:pStyle w:val="paragraphsub"/>
      </w:pPr>
      <w:r w:rsidRPr="0043330F">
        <w:tab/>
        <w:t>(i)</w:t>
      </w:r>
      <w:r w:rsidRPr="0043330F">
        <w:tab/>
        <w:t>a subject or unit (however described) that a person may undertake as part of the course; or</w:t>
      </w:r>
    </w:p>
    <w:p w:rsidR="00C53158" w:rsidRPr="0043330F" w:rsidRDefault="00C53158" w:rsidP="0043330F">
      <w:pPr>
        <w:pStyle w:val="paragraphsub"/>
      </w:pPr>
      <w:r w:rsidRPr="0043330F">
        <w:tab/>
        <w:t>(ii)</w:t>
      </w:r>
      <w:r w:rsidRPr="0043330F">
        <w:tab/>
        <w:t xml:space="preserve">if the course is not comprised of subjects or units as referred to in </w:t>
      </w:r>
      <w:r w:rsidR="0043330F" w:rsidRPr="0043330F">
        <w:t>subparagraph (</w:t>
      </w:r>
      <w:r w:rsidRPr="0043330F">
        <w:t>i)—the course.</w:t>
      </w:r>
    </w:p>
    <w:p w:rsidR="00D0627E" w:rsidRPr="0043330F" w:rsidRDefault="008227EA" w:rsidP="0043330F">
      <w:pPr>
        <w:pStyle w:val="Definition"/>
      </w:pPr>
      <w:r w:rsidRPr="0043330F">
        <w:rPr>
          <w:b/>
          <w:i/>
        </w:rPr>
        <w:t>up</w:t>
      </w:r>
      <w:r w:rsidR="0043330F">
        <w:rPr>
          <w:b/>
          <w:i/>
        </w:rPr>
        <w:noBreakHyphen/>
      </w:r>
      <w:r w:rsidRPr="0043330F">
        <w:rPr>
          <w:b/>
          <w:i/>
        </w:rPr>
        <w:t>front payment</w:t>
      </w:r>
      <w:r w:rsidRPr="0043330F">
        <w:t xml:space="preserve"> </w:t>
      </w:r>
      <w:r w:rsidR="00D0627E" w:rsidRPr="0043330F">
        <w:t xml:space="preserve">has the same meaning as in the </w:t>
      </w:r>
      <w:r w:rsidR="00D0627E" w:rsidRPr="0043330F">
        <w:rPr>
          <w:i/>
        </w:rPr>
        <w:t>Tertiary Education Quality and Standards Agency Act 2011</w:t>
      </w:r>
      <w:r w:rsidR="00D0627E" w:rsidRPr="0043330F">
        <w:t>.</w:t>
      </w:r>
    </w:p>
    <w:p w:rsidR="006C362B" w:rsidRPr="0043330F" w:rsidRDefault="006C362B" w:rsidP="0043330F">
      <w:pPr>
        <w:pStyle w:val="Definition"/>
      </w:pPr>
      <w:r w:rsidRPr="0043330F">
        <w:rPr>
          <w:b/>
          <w:i/>
        </w:rPr>
        <w:t>Up</w:t>
      </w:r>
      <w:r w:rsidR="0043330F">
        <w:rPr>
          <w:b/>
          <w:i/>
        </w:rPr>
        <w:noBreakHyphen/>
      </w:r>
      <w:r w:rsidR="001B79C7" w:rsidRPr="0043330F">
        <w:rPr>
          <w:b/>
          <w:i/>
        </w:rPr>
        <w:t xml:space="preserve">front Payments </w:t>
      </w:r>
      <w:r w:rsidRPr="0043330F">
        <w:rPr>
          <w:b/>
          <w:i/>
        </w:rPr>
        <w:t>Guidelines</w:t>
      </w:r>
      <w:r w:rsidRPr="0043330F">
        <w:t xml:space="preserve"> means guidelines made by the Minister under section</w:t>
      </w:r>
      <w:r w:rsidR="0043330F" w:rsidRPr="0043330F">
        <w:t> </w:t>
      </w:r>
      <w:r w:rsidRPr="0043330F">
        <w:t xml:space="preserve">26B of the </w:t>
      </w:r>
      <w:r w:rsidRPr="0043330F">
        <w:rPr>
          <w:i/>
        </w:rPr>
        <w:t>Tertiary Education Quality and Standards Agency Act 2011</w:t>
      </w:r>
      <w:r w:rsidRPr="0043330F">
        <w:t>.</w:t>
      </w:r>
    </w:p>
    <w:p w:rsidR="00EC7B96" w:rsidRPr="0043330F" w:rsidRDefault="00EC7B96" w:rsidP="0043330F">
      <w:pPr>
        <w:pStyle w:val="Definition"/>
      </w:pPr>
      <w:r w:rsidRPr="0043330F">
        <w:rPr>
          <w:b/>
          <w:i/>
        </w:rPr>
        <w:t>up</w:t>
      </w:r>
      <w:r w:rsidR="0043330F">
        <w:rPr>
          <w:b/>
          <w:i/>
        </w:rPr>
        <w:noBreakHyphen/>
      </w:r>
      <w:r w:rsidRPr="0043330F">
        <w:rPr>
          <w:b/>
          <w:i/>
        </w:rPr>
        <w:t>front payments tuition protection levy</w:t>
      </w:r>
      <w:r w:rsidRPr="0043330F">
        <w:t xml:space="preserve"> means levy imposed by section 6.</w:t>
      </w:r>
    </w:p>
    <w:p w:rsidR="00B77A4B" w:rsidRPr="0043330F" w:rsidRDefault="00B77A4B" w:rsidP="0043330F">
      <w:pPr>
        <w:pStyle w:val="Definition"/>
      </w:pPr>
      <w:r w:rsidRPr="0043330F">
        <w:rPr>
          <w:b/>
          <w:i/>
        </w:rPr>
        <w:t>year</w:t>
      </w:r>
      <w:r w:rsidRPr="0043330F">
        <w:t xml:space="preserve"> means calendar year.</w:t>
      </w:r>
    </w:p>
    <w:p w:rsidR="00B77A4B" w:rsidRPr="0043330F" w:rsidRDefault="00B77A4B" w:rsidP="0043330F">
      <w:pPr>
        <w:pStyle w:val="ActHead2"/>
        <w:pageBreakBefore/>
      </w:pPr>
      <w:bookmarkStart w:id="8" w:name="f_Check_Lines_above"/>
      <w:bookmarkStart w:id="9" w:name="_Toc57280538"/>
      <w:bookmarkEnd w:id="8"/>
      <w:r w:rsidRPr="00876449">
        <w:rPr>
          <w:rStyle w:val="CharPartNo"/>
        </w:rPr>
        <w:t>Part</w:t>
      </w:r>
      <w:r w:rsidR="0043330F" w:rsidRPr="00876449">
        <w:rPr>
          <w:rStyle w:val="CharPartNo"/>
        </w:rPr>
        <w:t> </w:t>
      </w:r>
      <w:r w:rsidRPr="00876449">
        <w:rPr>
          <w:rStyle w:val="CharPartNo"/>
        </w:rPr>
        <w:t>2</w:t>
      </w:r>
      <w:r w:rsidRPr="0043330F">
        <w:t>—</w:t>
      </w:r>
      <w:r w:rsidR="00731F2F" w:rsidRPr="00876449">
        <w:rPr>
          <w:rStyle w:val="CharPartText"/>
        </w:rPr>
        <w:t>U</w:t>
      </w:r>
      <w:r w:rsidR="0069795C" w:rsidRPr="00876449">
        <w:rPr>
          <w:rStyle w:val="CharPartText"/>
        </w:rPr>
        <w:t>p</w:t>
      </w:r>
      <w:r w:rsidR="0043330F" w:rsidRPr="00876449">
        <w:rPr>
          <w:rStyle w:val="CharPartText"/>
        </w:rPr>
        <w:noBreakHyphen/>
      </w:r>
      <w:r w:rsidR="0069795C" w:rsidRPr="00876449">
        <w:rPr>
          <w:rStyle w:val="CharPartText"/>
        </w:rPr>
        <w:t xml:space="preserve">front </w:t>
      </w:r>
      <w:r w:rsidR="00581F99" w:rsidRPr="00876449">
        <w:rPr>
          <w:rStyle w:val="CharPartText"/>
        </w:rPr>
        <w:t xml:space="preserve">payments </w:t>
      </w:r>
      <w:r w:rsidR="0069795C" w:rsidRPr="00876449">
        <w:rPr>
          <w:rStyle w:val="CharPartText"/>
        </w:rPr>
        <w:t>tuition protection levy</w:t>
      </w:r>
      <w:bookmarkEnd w:id="9"/>
    </w:p>
    <w:p w:rsidR="00B77A4B" w:rsidRPr="00876449" w:rsidRDefault="00B77A4B" w:rsidP="0043330F">
      <w:pPr>
        <w:pStyle w:val="Header"/>
      </w:pPr>
      <w:r w:rsidRPr="00876449">
        <w:rPr>
          <w:rStyle w:val="CharDivNo"/>
        </w:rPr>
        <w:t xml:space="preserve"> </w:t>
      </w:r>
      <w:r w:rsidRPr="00876449">
        <w:rPr>
          <w:rStyle w:val="CharDivText"/>
        </w:rPr>
        <w:t xml:space="preserve"> </w:t>
      </w:r>
    </w:p>
    <w:p w:rsidR="00B77A4B" w:rsidRPr="0043330F" w:rsidRDefault="00B77A4B" w:rsidP="0043330F">
      <w:pPr>
        <w:pStyle w:val="ActHead5"/>
      </w:pPr>
      <w:bookmarkStart w:id="10" w:name="_Toc57280539"/>
      <w:r w:rsidRPr="00876449">
        <w:rPr>
          <w:rStyle w:val="CharSectno"/>
        </w:rPr>
        <w:t>6</w:t>
      </w:r>
      <w:r w:rsidRPr="0043330F">
        <w:t xml:space="preserve">  Imposition of </w:t>
      </w:r>
      <w:r w:rsidR="00581F99" w:rsidRPr="0043330F">
        <w:t>up</w:t>
      </w:r>
      <w:r w:rsidR="0043330F">
        <w:noBreakHyphen/>
      </w:r>
      <w:r w:rsidR="00581F99" w:rsidRPr="0043330F">
        <w:t>front payments</w:t>
      </w:r>
      <w:r w:rsidR="0069795C" w:rsidRPr="0043330F">
        <w:t xml:space="preserve"> tuition protection levy</w:t>
      </w:r>
      <w:bookmarkEnd w:id="10"/>
    </w:p>
    <w:p w:rsidR="00B77A4B" w:rsidRPr="0043330F" w:rsidRDefault="00B77A4B" w:rsidP="0043330F">
      <w:pPr>
        <w:pStyle w:val="subsection"/>
      </w:pPr>
      <w:r w:rsidRPr="0043330F">
        <w:tab/>
      </w:r>
      <w:r w:rsidRPr="0043330F">
        <w:tab/>
        <w:t>Levy is imposed by this section on a body, for a year starting on or after the commencement of this section, if the body is a leviable provider at any time during the year.</w:t>
      </w:r>
    </w:p>
    <w:p w:rsidR="00B77A4B" w:rsidRPr="0043330F" w:rsidRDefault="00B77A4B" w:rsidP="0043330F">
      <w:pPr>
        <w:pStyle w:val="ActHead5"/>
      </w:pPr>
      <w:bookmarkStart w:id="11" w:name="_Toc57280540"/>
      <w:r w:rsidRPr="00876449">
        <w:rPr>
          <w:rStyle w:val="CharSectno"/>
        </w:rPr>
        <w:t>7</w:t>
      </w:r>
      <w:r w:rsidR="00E74AC2" w:rsidRPr="0043330F">
        <w:t xml:space="preserve">  Amount of </w:t>
      </w:r>
      <w:r w:rsidR="00581F99" w:rsidRPr="0043330F">
        <w:t>up</w:t>
      </w:r>
      <w:r w:rsidR="0043330F">
        <w:noBreakHyphen/>
      </w:r>
      <w:r w:rsidR="00581F99" w:rsidRPr="0043330F">
        <w:t>front payments</w:t>
      </w:r>
      <w:r w:rsidR="0069795C" w:rsidRPr="0043330F">
        <w:t xml:space="preserve"> tuition protection levy</w:t>
      </w:r>
      <w:bookmarkEnd w:id="11"/>
    </w:p>
    <w:p w:rsidR="00B77A4B" w:rsidRPr="0043330F" w:rsidRDefault="00B77A4B" w:rsidP="0043330F">
      <w:pPr>
        <w:pStyle w:val="subsection"/>
      </w:pPr>
      <w:r w:rsidRPr="0043330F">
        <w:tab/>
      </w:r>
      <w:r w:rsidRPr="0043330F">
        <w:tab/>
        <w:t>The</w:t>
      </w:r>
      <w:r w:rsidR="003F3BBA" w:rsidRPr="0043330F">
        <w:t xml:space="preserve"> amount of </w:t>
      </w:r>
      <w:r w:rsidR="00581F99" w:rsidRPr="0043330F">
        <w:t>up</w:t>
      </w:r>
      <w:r w:rsidR="0043330F">
        <w:noBreakHyphen/>
      </w:r>
      <w:r w:rsidR="00581F99" w:rsidRPr="0043330F">
        <w:t>front payments</w:t>
      </w:r>
      <w:r w:rsidR="0069795C" w:rsidRPr="0043330F">
        <w:t xml:space="preserve"> tuition protection levy</w:t>
      </w:r>
      <w:r w:rsidRPr="0043330F">
        <w:t xml:space="preserve"> for a year for a leviable provider is the sum of the following components:</w:t>
      </w:r>
    </w:p>
    <w:p w:rsidR="00B77A4B" w:rsidRPr="0043330F" w:rsidRDefault="00B77A4B" w:rsidP="0043330F">
      <w:pPr>
        <w:pStyle w:val="paragraph"/>
      </w:pPr>
      <w:r w:rsidRPr="0043330F">
        <w:tab/>
        <w:t>(a)</w:t>
      </w:r>
      <w:r w:rsidRPr="0043330F">
        <w:tab/>
        <w:t>the provider’s administrative fee component for the year (see section</w:t>
      </w:r>
      <w:r w:rsidR="0009777D" w:rsidRPr="0043330F">
        <w:t xml:space="preserve"> </w:t>
      </w:r>
      <w:r w:rsidRPr="0043330F">
        <w:t>8);</w:t>
      </w:r>
    </w:p>
    <w:p w:rsidR="00B77A4B" w:rsidRPr="0043330F" w:rsidRDefault="00B77A4B" w:rsidP="0043330F">
      <w:pPr>
        <w:pStyle w:val="paragraph"/>
      </w:pPr>
      <w:r w:rsidRPr="0043330F">
        <w:tab/>
        <w:t>(b)</w:t>
      </w:r>
      <w:r w:rsidRPr="0043330F">
        <w:tab/>
        <w:t>the provider’s risk rated premium component for the year (see section</w:t>
      </w:r>
      <w:r w:rsidR="0009777D" w:rsidRPr="0043330F">
        <w:t xml:space="preserve"> </w:t>
      </w:r>
      <w:r w:rsidRPr="0043330F">
        <w:t>11);</w:t>
      </w:r>
    </w:p>
    <w:p w:rsidR="00B77A4B" w:rsidRPr="0043330F" w:rsidRDefault="00B77A4B" w:rsidP="0043330F">
      <w:pPr>
        <w:pStyle w:val="paragraph"/>
      </w:pPr>
      <w:r w:rsidRPr="0043330F">
        <w:tab/>
        <w:t>(c)</w:t>
      </w:r>
      <w:r w:rsidRPr="0043330F">
        <w:tab/>
        <w:t>the provider’s special tuition protection component for the year (see section</w:t>
      </w:r>
      <w:r w:rsidR="0009777D" w:rsidRPr="0043330F">
        <w:t xml:space="preserve"> </w:t>
      </w:r>
      <w:r w:rsidRPr="0043330F">
        <w:t>12).</w:t>
      </w:r>
    </w:p>
    <w:p w:rsidR="00B77A4B" w:rsidRPr="0043330F" w:rsidRDefault="00B77A4B" w:rsidP="0043330F">
      <w:pPr>
        <w:pStyle w:val="notetext"/>
      </w:pPr>
      <w:r w:rsidRPr="0043330F">
        <w:t>Note:</w:t>
      </w:r>
      <w:r w:rsidRPr="0043330F">
        <w:tab/>
        <w:t>Classes of providers may be exempt from the requirement to pa</w:t>
      </w:r>
      <w:r w:rsidR="003F3BBA" w:rsidRPr="0043330F">
        <w:t xml:space="preserve">y one or more components of </w:t>
      </w:r>
      <w:r w:rsidR="00581F99" w:rsidRPr="0043330F">
        <w:t>up</w:t>
      </w:r>
      <w:r w:rsidR="0043330F">
        <w:noBreakHyphen/>
      </w:r>
      <w:r w:rsidR="00581F99" w:rsidRPr="0043330F">
        <w:t xml:space="preserve">front payments </w:t>
      </w:r>
      <w:r w:rsidR="0069795C" w:rsidRPr="0043330F">
        <w:t>tuition protection levy</w:t>
      </w:r>
      <w:r w:rsidRPr="0043330F">
        <w:t>: see section</w:t>
      </w:r>
      <w:r w:rsidR="0009777D" w:rsidRPr="0043330F">
        <w:t xml:space="preserve"> </w:t>
      </w:r>
      <w:r w:rsidRPr="0043330F">
        <w:t>14.</w:t>
      </w:r>
    </w:p>
    <w:p w:rsidR="00B77A4B" w:rsidRPr="0043330F" w:rsidRDefault="00B77A4B" w:rsidP="0043330F">
      <w:pPr>
        <w:pStyle w:val="ActHead5"/>
      </w:pPr>
      <w:bookmarkStart w:id="12" w:name="_Toc57280541"/>
      <w:r w:rsidRPr="00876449">
        <w:rPr>
          <w:rStyle w:val="CharSectno"/>
        </w:rPr>
        <w:t>8</w:t>
      </w:r>
      <w:r w:rsidRPr="0043330F">
        <w:t xml:space="preserve">  Administrative fee component</w:t>
      </w:r>
      <w:bookmarkEnd w:id="12"/>
    </w:p>
    <w:p w:rsidR="00B77A4B" w:rsidRPr="0043330F" w:rsidRDefault="00B77A4B" w:rsidP="0043330F">
      <w:pPr>
        <w:pStyle w:val="subsection"/>
      </w:pPr>
      <w:r w:rsidRPr="0043330F">
        <w:tab/>
        <w:t>(1)</w:t>
      </w:r>
      <w:r w:rsidRPr="0043330F">
        <w:tab/>
        <w:t xml:space="preserve">If a leviable provider is a new provider for a year, the amount of the provider’s </w:t>
      </w:r>
      <w:r w:rsidRPr="0043330F">
        <w:rPr>
          <w:b/>
          <w:i/>
        </w:rPr>
        <w:t>administrative fee component</w:t>
      </w:r>
      <w:r w:rsidRPr="0043330F">
        <w:t xml:space="preserve"> for the year is the amount determined for the purposes of </w:t>
      </w:r>
      <w:r w:rsidR="0043330F" w:rsidRPr="0043330F">
        <w:t>paragraph (</w:t>
      </w:r>
      <w:r w:rsidRPr="0043330F">
        <w:t>2)(a) for the year.</w:t>
      </w:r>
    </w:p>
    <w:p w:rsidR="00B77A4B" w:rsidRPr="0043330F" w:rsidRDefault="00B77A4B" w:rsidP="0043330F">
      <w:pPr>
        <w:pStyle w:val="subsection"/>
      </w:pPr>
      <w:r w:rsidRPr="0043330F">
        <w:tab/>
        <w:t>(2)</w:t>
      </w:r>
      <w:r w:rsidRPr="0043330F">
        <w:tab/>
        <w:t xml:space="preserve">Otherwise, a leviable provider’s </w:t>
      </w:r>
      <w:r w:rsidRPr="0043330F">
        <w:rPr>
          <w:b/>
          <w:i/>
        </w:rPr>
        <w:t>administrative fee component</w:t>
      </w:r>
      <w:r w:rsidRPr="0043330F">
        <w:t xml:space="preserve"> for a year is the sum of:</w:t>
      </w:r>
    </w:p>
    <w:p w:rsidR="00B77A4B" w:rsidRPr="0043330F" w:rsidRDefault="00B77A4B" w:rsidP="0043330F">
      <w:pPr>
        <w:pStyle w:val="paragraph"/>
      </w:pPr>
      <w:r w:rsidRPr="0043330F">
        <w:tab/>
        <w:t>(a)</w:t>
      </w:r>
      <w:r w:rsidRPr="0043330F">
        <w:tab/>
        <w:t>the amount determined in an instrument under section</w:t>
      </w:r>
      <w:r w:rsidR="0009777D" w:rsidRPr="0043330F">
        <w:t xml:space="preserve"> </w:t>
      </w:r>
      <w:r w:rsidRPr="0043330F">
        <w:t>9 for the purposes of this paragraph for the year; and</w:t>
      </w:r>
    </w:p>
    <w:p w:rsidR="00B77A4B" w:rsidRPr="0043330F" w:rsidRDefault="00B77A4B" w:rsidP="0043330F">
      <w:pPr>
        <w:pStyle w:val="paragraph"/>
      </w:pPr>
      <w:r w:rsidRPr="0043330F">
        <w:tab/>
        <w:t>(b)</w:t>
      </w:r>
      <w:r w:rsidRPr="0043330F">
        <w:tab/>
        <w:t>the amount determined in an instrument under section</w:t>
      </w:r>
      <w:r w:rsidR="0009777D" w:rsidRPr="0043330F">
        <w:t xml:space="preserve"> </w:t>
      </w:r>
      <w:r w:rsidRPr="0043330F">
        <w:t xml:space="preserve">9 for the purposes of this paragraph for the year, multiplied by the </w:t>
      </w:r>
      <w:r w:rsidR="00731F2F" w:rsidRPr="0043330F">
        <w:t xml:space="preserve">total </w:t>
      </w:r>
      <w:r w:rsidR="00D471AE" w:rsidRPr="0043330F">
        <w:t>up</w:t>
      </w:r>
      <w:r w:rsidR="0043330F">
        <w:noBreakHyphen/>
      </w:r>
      <w:r w:rsidR="00D471AE" w:rsidRPr="0043330F">
        <w:t>front fee paying students</w:t>
      </w:r>
      <w:r w:rsidRPr="0043330F">
        <w:t xml:space="preserve"> for the provider for the </w:t>
      </w:r>
      <w:r w:rsidR="00BF170A" w:rsidRPr="0043330F">
        <w:t xml:space="preserve">previous </w:t>
      </w:r>
      <w:r w:rsidRPr="0043330F">
        <w:t>year.</w:t>
      </w:r>
    </w:p>
    <w:p w:rsidR="006C6109" w:rsidRPr="0043330F" w:rsidRDefault="006C6109" w:rsidP="0043330F">
      <w:pPr>
        <w:pStyle w:val="subsection"/>
      </w:pPr>
      <w:r w:rsidRPr="0043330F">
        <w:tab/>
        <w:t>(3)</w:t>
      </w:r>
      <w:r w:rsidRPr="0043330F">
        <w:tab/>
        <w:t>For the purposes of working out the total up</w:t>
      </w:r>
      <w:r w:rsidR="0043330F">
        <w:noBreakHyphen/>
      </w:r>
      <w:r w:rsidRPr="0043330F">
        <w:t xml:space="preserve">front fee paying students for a provider for the previous year in </w:t>
      </w:r>
      <w:r w:rsidR="0043330F" w:rsidRPr="0043330F">
        <w:t>paragraph (</w:t>
      </w:r>
      <w:r w:rsidRPr="0043330F">
        <w:t>2)</w:t>
      </w:r>
      <w:r w:rsidR="00B34B43" w:rsidRPr="0043330F">
        <w:t>(b)</w:t>
      </w:r>
      <w:r w:rsidRPr="0043330F">
        <w:t xml:space="preserve">, disregard a student if that student would also fall within the definition of </w:t>
      </w:r>
      <w:r w:rsidRPr="0043330F">
        <w:rPr>
          <w:b/>
          <w:i/>
        </w:rPr>
        <w:t>total HELP students</w:t>
      </w:r>
      <w:r w:rsidRPr="0043330F">
        <w:t xml:space="preserve"> (within the meaning of the </w:t>
      </w:r>
      <w:r w:rsidRPr="0043330F">
        <w:rPr>
          <w:i/>
        </w:rPr>
        <w:t>Higher Education Support (HELP Tuition Protection Levy) Act 2020</w:t>
      </w:r>
      <w:r w:rsidRPr="0043330F">
        <w:t>) for that previous year.</w:t>
      </w:r>
    </w:p>
    <w:p w:rsidR="00B77A4B" w:rsidRPr="0043330F" w:rsidRDefault="00B77A4B" w:rsidP="0043330F">
      <w:pPr>
        <w:pStyle w:val="ActHead5"/>
      </w:pPr>
      <w:bookmarkStart w:id="13" w:name="_Toc57280542"/>
      <w:r w:rsidRPr="00876449">
        <w:rPr>
          <w:rStyle w:val="CharSectno"/>
        </w:rPr>
        <w:t>9</w:t>
      </w:r>
      <w:r w:rsidRPr="0043330F">
        <w:t xml:space="preserve">  Legislative instrument for purposes of section</w:t>
      </w:r>
      <w:r w:rsidR="0009777D" w:rsidRPr="0043330F">
        <w:t xml:space="preserve"> </w:t>
      </w:r>
      <w:r w:rsidRPr="0043330F">
        <w:t>8</w:t>
      </w:r>
      <w:bookmarkEnd w:id="13"/>
    </w:p>
    <w:p w:rsidR="00B77A4B" w:rsidRPr="0043330F" w:rsidRDefault="00E34A33" w:rsidP="0043330F">
      <w:pPr>
        <w:pStyle w:val="SubsectionHead"/>
      </w:pPr>
      <w:r w:rsidRPr="0043330F">
        <w:t>2021</w:t>
      </w:r>
    </w:p>
    <w:p w:rsidR="00B77A4B" w:rsidRPr="0043330F" w:rsidRDefault="00E34A33" w:rsidP="0043330F">
      <w:pPr>
        <w:pStyle w:val="subsection"/>
      </w:pPr>
      <w:r w:rsidRPr="0043330F">
        <w:tab/>
        <w:t>(1)</w:t>
      </w:r>
      <w:r w:rsidRPr="0043330F">
        <w:tab/>
        <w:t>Before 1</w:t>
      </w:r>
      <w:r w:rsidR="0043330F" w:rsidRPr="0043330F">
        <w:t> </w:t>
      </w:r>
      <w:r w:rsidR="003D0EF4" w:rsidRPr="0043330F">
        <w:t>August</w:t>
      </w:r>
      <w:r w:rsidRPr="0043330F">
        <w:t xml:space="preserve"> 2021</w:t>
      </w:r>
      <w:r w:rsidR="00B77A4B" w:rsidRPr="0043330F">
        <w:t>, the Minister must, by legislative instrument, determine each of the following for that year:</w:t>
      </w:r>
    </w:p>
    <w:p w:rsidR="00B77A4B" w:rsidRPr="0043330F" w:rsidRDefault="00B77A4B" w:rsidP="0043330F">
      <w:pPr>
        <w:pStyle w:val="paragraph"/>
      </w:pPr>
      <w:r w:rsidRPr="0043330F">
        <w:tab/>
        <w:t>(a)</w:t>
      </w:r>
      <w:r w:rsidRPr="0043330F">
        <w:tab/>
        <w:t>an amount for the purposes of paragraph</w:t>
      </w:r>
      <w:r w:rsidR="0043330F" w:rsidRPr="0043330F">
        <w:t> </w:t>
      </w:r>
      <w:r w:rsidRPr="0043330F">
        <w:t>8(2)(a);</w:t>
      </w:r>
    </w:p>
    <w:p w:rsidR="00B77A4B" w:rsidRPr="0043330F" w:rsidRDefault="00B77A4B" w:rsidP="0043330F">
      <w:pPr>
        <w:pStyle w:val="paragraph"/>
      </w:pPr>
      <w:r w:rsidRPr="0043330F">
        <w:tab/>
        <w:t>(b)</w:t>
      </w:r>
      <w:r w:rsidRPr="0043330F">
        <w:tab/>
        <w:t>an amount for the purposes of paragraph</w:t>
      </w:r>
      <w:r w:rsidR="0043330F" w:rsidRPr="0043330F">
        <w:t> </w:t>
      </w:r>
      <w:r w:rsidRPr="0043330F">
        <w:t>8(2)(b).</w:t>
      </w:r>
    </w:p>
    <w:p w:rsidR="00B77A4B" w:rsidRPr="0043330F" w:rsidRDefault="00B77A4B" w:rsidP="0043330F">
      <w:pPr>
        <w:pStyle w:val="SubsectionHead"/>
      </w:pPr>
      <w:r w:rsidRPr="0043330F">
        <w:t>Later years</w:t>
      </w:r>
    </w:p>
    <w:p w:rsidR="00B77A4B" w:rsidRPr="0043330F" w:rsidRDefault="00352B45" w:rsidP="0043330F">
      <w:pPr>
        <w:pStyle w:val="subsection"/>
      </w:pPr>
      <w:r w:rsidRPr="0043330F">
        <w:tab/>
        <w:t>(2)</w:t>
      </w:r>
      <w:r w:rsidRPr="0043330F">
        <w:tab/>
        <w:t>Before 1</w:t>
      </w:r>
      <w:r w:rsidR="0043330F" w:rsidRPr="0043330F">
        <w:t> </w:t>
      </w:r>
      <w:r w:rsidR="003D0EF4" w:rsidRPr="0043330F">
        <w:t>August</w:t>
      </w:r>
      <w:r w:rsidR="00B77A4B" w:rsidRPr="0043330F">
        <w:t xml:space="preserve"> of the year </w:t>
      </w:r>
      <w:r w:rsidRPr="0043330F">
        <w:t>2022</w:t>
      </w:r>
      <w:r w:rsidR="00B77A4B" w:rsidRPr="0043330F">
        <w:t xml:space="preserve"> or a later year, the Minister may, by legislative instrument, determine one or both of the following for the year:</w:t>
      </w:r>
    </w:p>
    <w:p w:rsidR="00B77A4B" w:rsidRPr="0043330F" w:rsidRDefault="00B77A4B" w:rsidP="0043330F">
      <w:pPr>
        <w:pStyle w:val="paragraph"/>
      </w:pPr>
      <w:r w:rsidRPr="0043330F">
        <w:tab/>
        <w:t>(a)</w:t>
      </w:r>
      <w:r w:rsidRPr="0043330F">
        <w:tab/>
        <w:t>an amount for the purposes of paragraph</w:t>
      </w:r>
      <w:r w:rsidR="0043330F" w:rsidRPr="0043330F">
        <w:t> </w:t>
      </w:r>
      <w:r w:rsidRPr="0043330F">
        <w:t>8(2)(a);</w:t>
      </w:r>
    </w:p>
    <w:p w:rsidR="00B77A4B" w:rsidRPr="0043330F" w:rsidRDefault="00B77A4B" w:rsidP="0043330F">
      <w:pPr>
        <w:pStyle w:val="paragraph"/>
      </w:pPr>
      <w:r w:rsidRPr="0043330F">
        <w:tab/>
        <w:t>(b)</w:t>
      </w:r>
      <w:r w:rsidRPr="0043330F">
        <w:tab/>
        <w:t>an amount for the purposes of paragraph</w:t>
      </w:r>
      <w:r w:rsidR="0043330F" w:rsidRPr="0043330F">
        <w:t> </w:t>
      </w:r>
      <w:r w:rsidRPr="0043330F">
        <w:t>8(2)(b).</w:t>
      </w:r>
    </w:p>
    <w:p w:rsidR="00B77A4B" w:rsidRPr="0043330F" w:rsidRDefault="00B77A4B" w:rsidP="0043330F">
      <w:pPr>
        <w:pStyle w:val="notetext"/>
      </w:pPr>
      <w:r w:rsidRPr="0043330F">
        <w:t>Note:</w:t>
      </w:r>
      <w:r w:rsidRPr="0043330F">
        <w:tab/>
        <w:t>The amounts determined under this subsection may be indexed under section</w:t>
      </w:r>
      <w:r w:rsidR="0009777D" w:rsidRPr="0043330F">
        <w:t xml:space="preserve"> </w:t>
      </w:r>
      <w:r w:rsidRPr="0043330F">
        <w:t>10.</w:t>
      </w:r>
    </w:p>
    <w:p w:rsidR="00B77A4B" w:rsidRPr="0043330F" w:rsidRDefault="00B77A4B" w:rsidP="0043330F">
      <w:pPr>
        <w:pStyle w:val="SubsectionHead"/>
      </w:pPr>
      <w:r w:rsidRPr="0043330F">
        <w:t>Upper limit</w:t>
      </w:r>
    </w:p>
    <w:p w:rsidR="00B77A4B" w:rsidRPr="0043330F" w:rsidRDefault="00B77A4B" w:rsidP="0043330F">
      <w:pPr>
        <w:pStyle w:val="subsection"/>
      </w:pPr>
      <w:r w:rsidRPr="0043330F">
        <w:tab/>
        <w:t>(3)</w:t>
      </w:r>
      <w:r w:rsidRPr="0043330F">
        <w:tab/>
        <w:t>The Minister must not determine an amount for the purposes of paragraph</w:t>
      </w:r>
      <w:r w:rsidR="0043330F" w:rsidRPr="0043330F">
        <w:t> </w:t>
      </w:r>
      <w:r w:rsidRPr="0043330F">
        <w:t>8(2)(a) or (b) for a year that exceeds the following:</w:t>
      </w:r>
    </w:p>
    <w:p w:rsidR="00B77A4B" w:rsidRPr="0043330F" w:rsidRDefault="00B77A4B" w:rsidP="0043330F">
      <w:pPr>
        <w:pStyle w:val="paragraph"/>
      </w:pPr>
      <w:r w:rsidRPr="0043330F">
        <w:tab/>
        <w:t>(a)</w:t>
      </w:r>
      <w:r w:rsidRPr="0043330F">
        <w:tab/>
        <w:t>for paragraph</w:t>
      </w:r>
      <w:r w:rsidR="0043330F" w:rsidRPr="0043330F">
        <w:t> </w:t>
      </w:r>
      <w:r w:rsidRPr="0043330F">
        <w:t>8(2)(a)—$325;</w:t>
      </w:r>
    </w:p>
    <w:p w:rsidR="00B77A4B" w:rsidRPr="0043330F" w:rsidRDefault="00B77A4B" w:rsidP="0043330F">
      <w:pPr>
        <w:pStyle w:val="paragraph"/>
      </w:pPr>
      <w:r w:rsidRPr="0043330F">
        <w:tab/>
        <w:t>(b)</w:t>
      </w:r>
      <w:r w:rsidRPr="0043330F">
        <w:tab/>
        <w:t>for paragraph</w:t>
      </w:r>
      <w:r w:rsidR="0043330F" w:rsidRPr="0043330F">
        <w:t> </w:t>
      </w:r>
      <w:r w:rsidRPr="0043330F">
        <w:t>8(2)(b)—$31.</w:t>
      </w:r>
    </w:p>
    <w:p w:rsidR="00B77A4B" w:rsidRPr="0043330F" w:rsidRDefault="00B77A4B" w:rsidP="0043330F">
      <w:pPr>
        <w:pStyle w:val="notetext"/>
      </w:pPr>
      <w:r w:rsidRPr="0043330F">
        <w:t>Note:</w:t>
      </w:r>
      <w:r w:rsidRPr="0043330F">
        <w:tab/>
        <w:t>The amounts in this subsection are indexed under section</w:t>
      </w:r>
      <w:r w:rsidR="0009777D" w:rsidRPr="0043330F">
        <w:t xml:space="preserve"> </w:t>
      </w:r>
      <w:r w:rsidRPr="0043330F">
        <w:t>10.</w:t>
      </w:r>
    </w:p>
    <w:p w:rsidR="00B77A4B" w:rsidRPr="0043330F" w:rsidRDefault="00B77A4B" w:rsidP="0043330F">
      <w:pPr>
        <w:pStyle w:val="SubsectionHead"/>
      </w:pPr>
      <w:r w:rsidRPr="0043330F">
        <w:t>Having regard to matters</w:t>
      </w:r>
    </w:p>
    <w:p w:rsidR="00B77A4B" w:rsidRPr="0043330F" w:rsidRDefault="00B77A4B" w:rsidP="0043330F">
      <w:pPr>
        <w:pStyle w:val="subsection"/>
      </w:pPr>
      <w:r w:rsidRPr="0043330F">
        <w:tab/>
        <w:t>(4)</w:t>
      </w:r>
      <w:r w:rsidRPr="0043330F">
        <w:tab/>
        <w:t xml:space="preserve">In making a legislative instrument under this section, the Minister must have regard to the sustainability of the </w:t>
      </w:r>
      <w:r w:rsidR="00BA5645" w:rsidRPr="0043330F">
        <w:t xml:space="preserve">Higher Education </w:t>
      </w:r>
      <w:r w:rsidRPr="0043330F">
        <w:t>Tuition Protection Fund.</w:t>
      </w:r>
    </w:p>
    <w:p w:rsidR="00B77A4B" w:rsidRPr="0043330F" w:rsidRDefault="00B77A4B" w:rsidP="0043330F">
      <w:pPr>
        <w:pStyle w:val="subsection"/>
      </w:pPr>
      <w:r w:rsidRPr="0043330F">
        <w:tab/>
        <w:t>(5)</w:t>
      </w:r>
      <w:r w:rsidRPr="0043330F">
        <w:tab/>
        <w:t>The Minister may also have regard to any other matter the Minister considers appropriate.</w:t>
      </w:r>
    </w:p>
    <w:p w:rsidR="00B77A4B" w:rsidRPr="0043330F" w:rsidRDefault="00B77A4B" w:rsidP="0043330F">
      <w:pPr>
        <w:pStyle w:val="ActHead5"/>
      </w:pPr>
      <w:bookmarkStart w:id="14" w:name="_Toc57280543"/>
      <w:r w:rsidRPr="00876449">
        <w:rPr>
          <w:rStyle w:val="CharSectno"/>
        </w:rPr>
        <w:t>10</w:t>
      </w:r>
      <w:r w:rsidRPr="0043330F">
        <w:t xml:space="preserve">  Indexation of administrative fee components etc.</w:t>
      </w:r>
      <w:bookmarkEnd w:id="14"/>
    </w:p>
    <w:p w:rsidR="00B77A4B" w:rsidRPr="0043330F" w:rsidRDefault="006C2723" w:rsidP="0043330F">
      <w:pPr>
        <w:pStyle w:val="subsection"/>
      </w:pPr>
      <w:r w:rsidRPr="0043330F">
        <w:tab/>
        <w:t>(1)</w:t>
      </w:r>
      <w:r w:rsidRPr="0043330F">
        <w:tab/>
        <w:t>On 1</w:t>
      </w:r>
      <w:r w:rsidR="0043330F" w:rsidRPr="0043330F">
        <w:t> </w:t>
      </w:r>
      <w:r w:rsidR="003D0EF4" w:rsidRPr="0043330F">
        <w:t>August</w:t>
      </w:r>
      <w:r w:rsidRPr="0043330F">
        <w:t xml:space="preserve"> of the year 2022</w:t>
      </w:r>
      <w:r w:rsidR="00B77A4B" w:rsidRPr="0043330F">
        <w:t xml:space="preserve"> (the </w:t>
      </w:r>
      <w:r w:rsidR="00B77A4B" w:rsidRPr="0043330F">
        <w:rPr>
          <w:b/>
          <w:i/>
        </w:rPr>
        <w:t>current year</w:t>
      </w:r>
      <w:r w:rsidR="00B77A4B" w:rsidRPr="0043330F">
        <w:t xml:space="preserve">) and each later year (the </w:t>
      </w:r>
      <w:r w:rsidR="00B77A4B" w:rsidRPr="0043330F">
        <w:rPr>
          <w:b/>
          <w:i/>
        </w:rPr>
        <w:t>current year</w:t>
      </w:r>
      <w:r w:rsidR="00B77A4B" w:rsidRPr="0043330F">
        <w:t>) an amount mentioned in paragraph</w:t>
      </w:r>
      <w:r w:rsidR="0043330F" w:rsidRPr="0043330F">
        <w:t> </w:t>
      </w:r>
      <w:r w:rsidR="00B77A4B" w:rsidRPr="0043330F">
        <w:t>8(2)(a) or (b) or 9(3)(a) or (b) is replaced by the amount worked out using the formula:</w:t>
      </w:r>
    </w:p>
    <w:bookmarkStart w:id="15" w:name="BKCheck15B_2"/>
    <w:bookmarkEnd w:id="15"/>
    <w:p w:rsidR="00B77A4B" w:rsidRPr="0043330F" w:rsidRDefault="003D0EF4" w:rsidP="0043330F">
      <w:pPr>
        <w:pStyle w:val="subsection2"/>
      </w:pPr>
      <w:r w:rsidRPr="0043330F">
        <w:rPr>
          <w:position w:val="-20"/>
        </w:rPr>
        <w:object w:dxaOrig="4099" w:dyaOrig="620">
          <v:shape id="_x0000_i1028" type="#_x0000_t75" style="width:203.75pt;height:30.55pt" o:ole="">
            <v:imagedata r:id="rId23" o:title=""/>
          </v:shape>
          <o:OLEObject Type="Embed" ProgID="Equation.DSMT4" ShapeID="_x0000_i1028" DrawAspect="Content" ObjectID="_1667893661" r:id="rId24"/>
        </w:object>
      </w:r>
    </w:p>
    <w:p w:rsidR="00B77A4B" w:rsidRPr="0043330F" w:rsidRDefault="00B77A4B" w:rsidP="0043330F">
      <w:pPr>
        <w:pStyle w:val="subsection"/>
      </w:pPr>
      <w:r w:rsidRPr="0043330F">
        <w:tab/>
        <w:t>(2)</w:t>
      </w:r>
      <w:r w:rsidRPr="0043330F">
        <w:tab/>
      </w:r>
      <w:r w:rsidR="0043330F" w:rsidRPr="0043330F">
        <w:t>Subsection (</w:t>
      </w:r>
      <w:r w:rsidRPr="0043330F">
        <w:t>1) does not apply to an amount mentioned in paragraph</w:t>
      </w:r>
      <w:r w:rsidR="0043330F" w:rsidRPr="0043330F">
        <w:t> </w:t>
      </w:r>
      <w:r w:rsidRPr="0043330F">
        <w:t>8(2)(a) or (b) if the Minister has determined an amount for the purposes of that paragraph for the current year.</w:t>
      </w:r>
    </w:p>
    <w:p w:rsidR="00B77A4B" w:rsidRPr="0043330F" w:rsidRDefault="006C2723" w:rsidP="0043330F">
      <w:pPr>
        <w:pStyle w:val="SubsectionHead"/>
      </w:pPr>
      <w:r w:rsidRPr="0043330F">
        <w:t>Indexation factor</w:t>
      </w:r>
    </w:p>
    <w:p w:rsidR="00B77A4B" w:rsidRPr="0043330F" w:rsidRDefault="00B77A4B" w:rsidP="0043330F">
      <w:pPr>
        <w:pStyle w:val="subsection"/>
      </w:pPr>
      <w:r w:rsidRPr="0043330F">
        <w:tab/>
        <w:t>(3)</w:t>
      </w:r>
      <w:r w:rsidRPr="0043330F">
        <w:tab/>
        <w:t xml:space="preserve">The </w:t>
      </w:r>
      <w:r w:rsidRPr="0043330F">
        <w:rPr>
          <w:b/>
          <w:i/>
        </w:rPr>
        <w:t xml:space="preserve">indexation factor </w:t>
      </w:r>
      <w:r w:rsidR="005C3C50" w:rsidRPr="0043330F">
        <w:t>for a 1</w:t>
      </w:r>
      <w:r w:rsidR="0043330F" w:rsidRPr="0043330F">
        <w:t> </w:t>
      </w:r>
      <w:r w:rsidR="003D0EF4" w:rsidRPr="0043330F">
        <w:t>August</w:t>
      </w:r>
      <w:r w:rsidRPr="0043330F">
        <w:t xml:space="preserve"> is the number worked out using the formula:</w:t>
      </w:r>
    </w:p>
    <w:bookmarkStart w:id="16" w:name="BKCheck15B_3"/>
    <w:bookmarkEnd w:id="16"/>
    <w:p w:rsidR="00B77A4B" w:rsidRPr="0043330F" w:rsidRDefault="00B77A4B" w:rsidP="0043330F">
      <w:pPr>
        <w:pStyle w:val="subsection2"/>
      </w:pPr>
      <w:r w:rsidRPr="0043330F">
        <w:rPr>
          <w:position w:val="-36"/>
        </w:rPr>
        <w:object w:dxaOrig="3200" w:dyaOrig="800">
          <v:shape id="_x0000_i1029" type="#_x0000_t75" style="width:159.6pt;height:40.75pt" o:ole="">
            <v:imagedata r:id="rId25" o:title=""/>
          </v:shape>
          <o:OLEObject Type="Embed" ProgID="Equation.DSMT4" ShapeID="_x0000_i1029" DrawAspect="Content" ObjectID="_1667893662" r:id="rId26"/>
        </w:object>
      </w:r>
    </w:p>
    <w:p w:rsidR="00B77A4B" w:rsidRPr="0043330F" w:rsidRDefault="00B77A4B" w:rsidP="0043330F">
      <w:pPr>
        <w:pStyle w:val="subsection2"/>
        <w:spacing w:before="180"/>
      </w:pPr>
      <w:r w:rsidRPr="0043330F">
        <w:t>where:</w:t>
      </w:r>
    </w:p>
    <w:p w:rsidR="00B77A4B" w:rsidRPr="0043330F" w:rsidRDefault="00B77A4B" w:rsidP="0043330F">
      <w:pPr>
        <w:pStyle w:val="Definition"/>
      </w:pPr>
      <w:r w:rsidRPr="0043330F">
        <w:rPr>
          <w:b/>
          <w:i/>
        </w:rPr>
        <w:t xml:space="preserve">base quarter </w:t>
      </w:r>
      <w:r w:rsidRPr="0043330F">
        <w:t>means the last September quarter before the reference quarter.</w:t>
      </w:r>
    </w:p>
    <w:p w:rsidR="00B77A4B" w:rsidRPr="0043330F" w:rsidRDefault="00B77A4B" w:rsidP="0043330F">
      <w:pPr>
        <w:pStyle w:val="Definition"/>
      </w:pPr>
      <w:r w:rsidRPr="0043330F">
        <w:rPr>
          <w:b/>
          <w:i/>
        </w:rPr>
        <w:t>index number</w:t>
      </w:r>
      <w:r w:rsidRPr="0043330F">
        <w:t>, for a quarter, means the All Groups Consumer Price Index number from the original series</w:t>
      </w:r>
      <w:r w:rsidRPr="0043330F">
        <w:rPr>
          <w:i/>
        </w:rPr>
        <w:t xml:space="preserve"> </w:t>
      </w:r>
      <w:r w:rsidRPr="0043330F">
        <w:t>(being the weighted average of the 8 capital cities) published by the Australian Statistician for that quarter.</w:t>
      </w:r>
    </w:p>
    <w:p w:rsidR="00B77A4B" w:rsidRPr="0043330F" w:rsidRDefault="00B77A4B" w:rsidP="0043330F">
      <w:pPr>
        <w:pStyle w:val="Definition"/>
      </w:pPr>
      <w:r w:rsidRPr="0043330F">
        <w:rPr>
          <w:b/>
          <w:i/>
        </w:rPr>
        <w:t>reference quarter</w:t>
      </w:r>
      <w:r w:rsidRPr="0043330F">
        <w:t xml:space="preserve"> means the September quarter in the year before the current year.</w:t>
      </w:r>
    </w:p>
    <w:p w:rsidR="00B77A4B" w:rsidRPr="0043330F" w:rsidRDefault="00B77A4B" w:rsidP="0043330F">
      <w:pPr>
        <w:pStyle w:val="SubsectionHead"/>
      </w:pPr>
      <w:r w:rsidRPr="0043330F">
        <w:t>Rounding factors and amounts etc.</w:t>
      </w:r>
    </w:p>
    <w:p w:rsidR="00B77A4B" w:rsidRPr="0043330F" w:rsidRDefault="00B77A4B" w:rsidP="0043330F">
      <w:pPr>
        <w:pStyle w:val="subsection"/>
      </w:pPr>
      <w:r w:rsidRPr="0043330F">
        <w:tab/>
        <w:t>(4)</w:t>
      </w:r>
      <w:r w:rsidRPr="0043330F">
        <w:tab/>
        <w:t xml:space="preserve">The indexation factor worked out under </w:t>
      </w:r>
      <w:r w:rsidR="0043330F" w:rsidRPr="0043330F">
        <w:t>subsection (</w:t>
      </w:r>
      <w:r w:rsidRPr="0043330F">
        <w:t xml:space="preserve">3) must be rounded up or down to 3 </w:t>
      </w:r>
      <w:r w:rsidR="00720E3A" w:rsidRPr="0043330F">
        <w:t xml:space="preserve">decimal </w:t>
      </w:r>
      <w:r w:rsidRPr="0043330F">
        <w:t>places (rounding up in the case of exactly halfway between).</w:t>
      </w:r>
    </w:p>
    <w:p w:rsidR="00B77A4B" w:rsidRPr="0043330F" w:rsidRDefault="00B77A4B" w:rsidP="0043330F">
      <w:pPr>
        <w:pStyle w:val="subsection"/>
      </w:pPr>
      <w:r w:rsidRPr="0043330F">
        <w:tab/>
        <w:t>(5)</w:t>
      </w:r>
      <w:r w:rsidRPr="0043330F">
        <w:tab/>
        <w:t xml:space="preserve">An amount worked out under </w:t>
      </w:r>
      <w:r w:rsidR="0043330F" w:rsidRPr="0043330F">
        <w:t>subsection (</w:t>
      </w:r>
      <w:r w:rsidRPr="0043330F">
        <w:t>1) for the purposes of paragraph</w:t>
      </w:r>
      <w:r w:rsidR="0009777D" w:rsidRPr="0043330F">
        <w:t xml:space="preserve"> </w:t>
      </w:r>
      <w:r w:rsidRPr="0043330F">
        <w:t>8(2)(a) or 9(3)(a) or (b) must be rounded to the nearest whole dollar (rounding up in the case of 50 cents).</w:t>
      </w:r>
    </w:p>
    <w:p w:rsidR="00B77A4B" w:rsidRPr="0043330F" w:rsidRDefault="00B77A4B" w:rsidP="0043330F">
      <w:pPr>
        <w:pStyle w:val="subsection"/>
      </w:pPr>
      <w:r w:rsidRPr="0043330F">
        <w:tab/>
        <w:t>(6)</w:t>
      </w:r>
      <w:r w:rsidRPr="0043330F">
        <w:tab/>
        <w:t xml:space="preserve">An amount worked out under </w:t>
      </w:r>
      <w:r w:rsidR="0043330F" w:rsidRPr="0043330F">
        <w:t>subsection (</w:t>
      </w:r>
      <w:r w:rsidRPr="0043330F">
        <w:t>1) for the purposes of paragraph</w:t>
      </w:r>
      <w:r w:rsidR="0009777D" w:rsidRPr="0043330F">
        <w:t xml:space="preserve"> </w:t>
      </w:r>
      <w:r w:rsidRPr="0043330F">
        <w:t>8(2)(b) must be rounded to the nearest whole cent (rounding up in the case of 0.5 cents).</w:t>
      </w:r>
    </w:p>
    <w:p w:rsidR="00B77A4B" w:rsidRPr="0043330F" w:rsidRDefault="00B77A4B" w:rsidP="0043330F">
      <w:pPr>
        <w:pStyle w:val="subsection"/>
      </w:pPr>
      <w:r w:rsidRPr="0043330F">
        <w:tab/>
        <w:t>(7)</w:t>
      </w:r>
      <w:r w:rsidRPr="0043330F">
        <w:tab/>
        <w:t>An indexation factor that is less than 1 is to be increased to 1.</w:t>
      </w:r>
    </w:p>
    <w:p w:rsidR="00B77A4B" w:rsidRPr="0043330F" w:rsidRDefault="00B77A4B" w:rsidP="0043330F">
      <w:pPr>
        <w:pStyle w:val="subsection"/>
      </w:pPr>
      <w:r w:rsidRPr="0043330F">
        <w:tab/>
        <w:t>(8)</w:t>
      </w:r>
      <w:r w:rsidRPr="0043330F">
        <w:tab/>
        <w:t xml:space="preserve">If at any time (whether before or after the commencement of this section) the Australian Statistician has changed or changes the </w:t>
      </w:r>
      <w:r w:rsidRPr="0043330F">
        <w:rPr>
          <w:rFonts w:eastAsia="Calibri"/>
        </w:rPr>
        <w:t>index reference period</w:t>
      </w:r>
      <w:r w:rsidRPr="0043330F">
        <w:t xml:space="preserve"> for the Consumer Price Index, then, for the purposes of applying this section after the change, only index numbers published in terms of the new </w:t>
      </w:r>
      <w:r w:rsidRPr="0043330F">
        <w:rPr>
          <w:rFonts w:eastAsia="Calibri"/>
        </w:rPr>
        <w:t>index reference period</w:t>
      </w:r>
      <w:r w:rsidRPr="0043330F">
        <w:t xml:space="preserve"> are to be used.</w:t>
      </w:r>
    </w:p>
    <w:p w:rsidR="00B77A4B" w:rsidRPr="0043330F" w:rsidRDefault="00B77A4B" w:rsidP="0043330F">
      <w:pPr>
        <w:pStyle w:val="SubsectionHead"/>
      </w:pPr>
      <w:r w:rsidRPr="0043330F">
        <w:t>Publication</w:t>
      </w:r>
    </w:p>
    <w:p w:rsidR="00B77A4B" w:rsidRPr="0043330F" w:rsidRDefault="00B77A4B" w:rsidP="0043330F">
      <w:pPr>
        <w:pStyle w:val="subsection"/>
      </w:pPr>
      <w:r w:rsidRPr="0043330F">
        <w:tab/>
        <w:t>(9)</w:t>
      </w:r>
      <w:r w:rsidRPr="0043330F">
        <w:tab/>
        <w:t xml:space="preserve">The Minister must cause each amount worked out under </w:t>
      </w:r>
      <w:r w:rsidR="0043330F" w:rsidRPr="0043330F">
        <w:t>subsection (</w:t>
      </w:r>
      <w:r w:rsidRPr="0043330F">
        <w:t>1) to be made publicly available in any manner the Minister considers appropriate.</w:t>
      </w:r>
    </w:p>
    <w:p w:rsidR="00B77A4B" w:rsidRPr="0043330F" w:rsidRDefault="00B77A4B" w:rsidP="0043330F">
      <w:pPr>
        <w:pStyle w:val="ActHead5"/>
      </w:pPr>
      <w:bookmarkStart w:id="17" w:name="_Toc57280544"/>
      <w:r w:rsidRPr="00876449">
        <w:rPr>
          <w:rStyle w:val="CharSectno"/>
        </w:rPr>
        <w:t>11</w:t>
      </w:r>
      <w:r w:rsidRPr="0043330F">
        <w:t xml:space="preserve">  Risk rated premium component</w:t>
      </w:r>
      <w:bookmarkEnd w:id="17"/>
    </w:p>
    <w:p w:rsidR="00B77A4B" w:rsidRPr="0043330F" w:rsidRDefault="00B77A4B" w:rsidP="0043330F">
      <w:pPr>
        <w:pStyle w:val="subsection"/>
      </w:pPr>
      <w:r w:rsidRPr="0043330F">
        <w:tab/>
        <w:t>(1)</w:t>
      </w:r>
      <w:r w:rsidRPr="0043330F">
        <w:tab/>
        <w:t xml:space="preserve">If a leviable provider is a new provider for a year, the amount of the provider’s </w:t>
      </w:r>
      <w:r w:rsidRPr="0043330F">
        <w:rPr>
          <w:b/>
          <w:i/>
        </w:rPr>
        <w:t>risk rated premium component</w:t>
      </w:r>
      <w:r w:rsidRPr="0043330F">
        <w:t xml:space="preserve"> for the year is zero.</w:t>
      </w:r>
    </w:p>
    <w:p w:rsidR="00B77A4B" w:rsidRPr="0043330F" w:rsidRDefault="00B77A4B" w:rsidP="0043330F">
      <w:pPr>
        <w:pStyle w:val="subsection"/>
      </w:pPr>
      <w:r w:rsidRPr="0043330F">
        <w:tab/>
        <w:t>(2)</w:t>
      </w:r>
      <w:r w:rsidRPr="0043330F">
        <w:tab/>
        <w:t xml:space="preserve">Otherwise, a leviable provider’s </w:t>
      </w:r>
      <w:r w:rsidRPr="0043330F">
        <w:rPr>
          <w:b/>
          <w:i/>
        </w:rPr>
        <w:t>risk rated premium component</w:t>
      </w:r>
      <w:r w:rsidRPr="0043330F">
        <w:t xml:space="preserve"> for a year </w:t>
      </w:r>
      <w:r w:rsidR="00993BD3" w:rsidRPr="0043330F">
        <w:t xml:space="preserve">(the </w:t>
      </w:r>
      <w:r w:rsidR="00993BD3" w:rsidRPr="0043330F">
        <w:rPr>
          <w:b/>
          <w:i/>
        </w:rPr>
        <w:t>current year</w:t>
      </w:r>
      <w:r w:rsidR="00993BD3" w:rsidRPr="0043330F">
        <w:t xml:space="preserve">) </w:t>
      </w:r>
      <w:r w:rsidRPr="0043330F">
        <w:t>is worked out using</w:t>
      </w:r>
      <w:r w:rsidR="00A0454E" w:rsidRPr="0043330F">
        <w:t xml:space="preserve"> the following method statement:</w:t>
      </w:r>
    </w:p>
    <w:p w:rsidR="00B77A4B" w:rsidRPr="0043330F" w:rsidRDefault="00B77A4B" w:rsidP="0043330F">
      <w:pPr>
        <w:pStyle w:val="BoxHeadItalic"/>
      </w:pPr>
      <w:r w:rsidRPr="0043330F">
        <w:t>Method statement</w:t>
      </w:r>
      <w:bookmarkStart w:id="18" w:name="BK_S3P9L1C17"/>
      <w:bookmarkEnd w:id="18"/>
    </w:p>
    <w:p w:rsidR="00B77A4B" w:rsidRPr="0043330F" w:rsidRDefault="00895EA2" w:rsidP="0043330F">
      <w:pPr>
        <w:pStyle w:val="BoxStep"/>
      </w:pPr>
      <w:r w:rsidRPr="0043330F">
        <w:t>Step 1:</w:t>
      </w:r>
      <w:r w:rsidRPr="0043330F">
        <w:tab/>
        <w:t xml:space="preserve">Multiply the </w:t>
      </w:r>
      <w:r w:rsidR="00731F2F" w:rsidRPr="0043330F">
        <w:t xml:space="preserve">total </w:t>
      </w:r>
      <w:r w:rsidR="002D1940" w:rsidRPr="0043330F">
        <w:t>up</w:t>
      </w:r>
      <w:r w:rsidR="0043330F">
        <w:noBreakHyphen/>
      </w:r>
      <w:r w:rsidR="002D1940" w:rsidRPr="0043330F">
        <w:t xml:space="preserve">front fee paying </w:t>
      </w:r>
      <w:r w:rsidR="00B77A4B" w:rsidRPr="0043330F">
        <w:t xml:space="preserve">students </w:t>
      </w:r>
      <w:r w:rsidR="007469DE" w:rsidRPr="0043330F">
        <w:t xml:space="preserve">(as reduced under </w:t>
      </w:r>
      <w:r w:rsidR="0043330F" w:rsidRPr="0043330F">
        <w:t>subsection (</w:t>
      </w:r>
      <w:r w:rsidR="007469DE" w:rsidRPr="0043330F">
        <w:t xml:space="preserve">3)) </w:t>
      </w:r>
      <w:r w:rsidR="00B77A4B" w:rsidRPr="0043330F">
        <w:t xml:space="preserve">for the provider for the </w:t>
      </w:r>
      <w:r w:rsidR="00BF170A" w:rsidRPr="0043330F">
        <w:t xml:space="preserve">previous </w:t>
      </w:r>
      <w:r w:rsidR="00B77A4B" w:rsidRPr="0043330F">
        <w:t>year by the amount determined in an instrument under section</w:t>
      </w:r>
      <w:r w:rsidR="0009777D" w:rsidRPr="0043330F">
        <w:t xml:space="preserve"> </w:t>
      </w:r>
      <w:r w:rsidR="00B77A4B" w:rsidRPr="0043330F">
        <w:t xml:space="preserve">13 for the purposes of this step for the </w:t>
      </w:r>
      <w:r w:rsidR="00993BD3" w:rsidRPr="0043330F">
        <w:t xml:space="preserve">current </w:t>
      </w:r>
      <w:r w:rsidR="00B77A4B" w:rsidRPr="0043330F">
        <w:t>year.</w:t>
      </w:r>
    </w:p>
    <w:p w:rsidR="00B77A4B" w:rsidRPr="0043330F" w:rsidRDefault="00B77A4B" w:rsidP="0043330F">
      <w:pPr>
        <w:pStyle w:val="BoxStep"/>
      </w:pPr>
      <w:r w:rsidRPr="0043330F">
        <w:t>Step 2:</w:t>
      </w:r>
      <w:r w:rsidRPr="0043330F">
        <w:tab/>
      </w:r>
      <w:r w:rsidR="00ED0121" w:rsidRPr="0043330F">
        <w:t xml:space="preserve">Multiply the amount equal to </w:t>
      </w:r>
      <w:r w:rsidR="008C4901" w:rsidRPr="0043330F">
        <w:t>the sum of each up</w:t>
      </w:r>
      <w:r w:rsidR="0043330F">
        <w:noBreakHyphen/>
      </w:r>
      <w:r w:rsidR="005E3800" w:rsidRPr="0043330F">
        <w:t xml:space="preserve">front payment </w:t>
      </w:r>
      <w:r w:rsidR="008C4901" w:rsidRPr="0043330F">
        <w:t>received</w:t>
      </w:r>
      <w:r w:rsidR="00280E40" w:rsidRPr="0043330F">
        <w:t xml:space="preserve">, directly or indirectly, </w:t>
      </w:r>
      <w:r w:rsidR="00B61588" w:rsidRPr="0043330F">
        <w:t xml:space="preserve">by the provider for a domestic student for a unit of study </w:t>
      </w:r>
      <w:r w:rsidR="008C4901" w:rsidRPr="0043330F">
        <w:t xml:space="preserve">during the previous year by the percentage determined in an instrument under section 13 for the purposes of this step for the </w:t>
      </w:r>
      <w:r w:rsidR="00993BD3" w:rsidRPr="0043330F">
        <w:t xml:space="preserve">current </w:t>
      </w:r>
      <w:r w:rsidR="008C4901" w:rsidRPr="0043330F">
        <w:t>year.</w:t>
      </w:r>
    </w:p>
    <w:p w:rsidR="00B77A4B" w:rsidRPr="0043330F" w:rsidRDefault="00B77A4B" w:rsidP="0043330F">
      <w:pPr>
        <w:pStyle w:val="BoxStep"/>
      </w:pPr>
      <w:r w:rsidRPr="0043330F">
        <w:t>Step 3:</w:t>
      </w:r>
      <w:r w:rsidRPr="0043330F">
        <w:tab/>
        <w:t>Add up the results of steps 1 and 2.</w:t>
      </w:r>
    </w:p>
    <w:p w:rsidR="00B77A4B" w:rsidRPr="0043330F" w:rsidRDefault="00B77A4B" w:rsidP="0043330F">
      <w:pPr>
        <w:pStyle w:val="BoxStep"/>
      </w:pPr>
      <w:r w:rsidRPr="0043330F">
        <w:t>Step 4:</w:t>
      </w:r>
      <w:r w:rsidRPr="0043330F">
        <w:tab/>
        <w:t>For each risk factor determined in an instrument under section</w:t>
      </w:r>
      <w:r w:rsidR="0009777D" w:rsidRPr="0043330F">
        <w:t xml:space="preserve"> </w:t>
      </w:r>
      <w:r w:rsidRPr="0043330F">
        <w:t xml:space="preserve">13 for the purposes of this step for the </w:t>
      </w:r>
      <w:r w:rsidR="00993BD3" w:rsidRPr="0043330F">
        <w:t xml:space="preserve">current </w:t>
      </w:r>
      <w:r w:rsidRPr="0043330F">
        <w:t xml:space="preserve">year, work out the risk factor value for the provider for the </w:t>
      </w:r>
      <w:r w:rsidR="00993BD3" w:rsidRPr="0043330F">
        <w:t xml:space="preserve">current </w:t>
      </w:r>
      <w:r w:rsidRPr="0043330F">
        <w:t>year in accordance with the instrument.</w:t>
      </w:r>
    </w:p>
    <w:p w:rsidR="00B77A4B" w:rsidRPr="0043330F" w:rsidRDefault="00B77A4B" w:rsidP="0043330F">
      <w:pPr>
        <w:pStyle w:val="BoxStep"/>
      </w:pPr>
      <w:r w:rsidRPr="0043330F">
        <w:t>Step 5:</w:t>
      </w:r>
      <w:r w:rsidRPr="0043330F">
        <w:tab/>
        <w:t>Add up the results of step 4 and add 1.</w:t>
      </w:r>
    </w:p>
    <w:p w:rsidR="00B77A4B" w:rsidRPr="0043330F" w:rsidRDefault="00B77A4B" w:rsidP="0043330F">
      <w:pPr>
        <w:pStyle w:val="BoxStep"/>
      </w:pPr>
      <w:r w:rsidRPr="0043330F">
        <w:t>Step 6:</w:t>
      </w:r>
      <w:r w:rsidRPr="0043330F">
        <w:tab/>
        <w:t xml:space="preserve">Multiply the results of step 3 by the results of step 5. The result is the provider’s risk rated premium component for the </w:t>
      </w:r>
      <w:r w:rsidR="00993BD3" w:rsidRPr="0043330F">
        <w:t xml:space="preserve">current </w:t>
      </w:r>
      <w:r w:rsidRPr="0043330F">
        <w:t>year.</w:t>
      </w:r>
    </w:p>
    <w:p w:rsidR="00AB78BC" w:rsidRPr="0043330F" w:rsidRDefault="00AB78BC" w:rsidP="0043330F">
      <w:pPr>
        <w:pStyle w:val="subsection"/>
      </w:pPr>
      <w:r w:rsidRPr="0043330F">
        <w:tab/>
        <w:t>(3)</w:t>
      </w:r>
      <w:r w:rsidRPr="0043330F">
        <w:tab/>
        <w:t xml:space="preserve">For the purposes of </w:t>
      </w:r>
      <w:r w:rsidR="005C7236" w:rsidRPr="0043330F">
        <w:t>working out the</w:t>
      </w:r>
      <w:r w:rsidRPr="0043330F">
        <w:t xml:space="preserve"> total up</w:t>
      </w:r>
      <w:r w:rsidR="0043330F">
        <w:noBreakHyphen/>
      </w:r>
      <w:r w:rsidRPr="0043330F">
        <w:t xml:space="preserve">front fee paying students </w:t>
      </w:r>
      <w:r w:rsidR="00446F8A" w:rsidRPr="0043330F">
        <w:t xml:space="preserve">for a provider </w:t>
      </w:r>
      <w:r w:rsidR="00D117BF" w:rsidRPr="0043330F">
        <w:t xml:space="preserve">for the previous year </w:t>
      </w:r>
      <w:r w:rsidRPr="0043330F">
        <w:t>in step 1 of th</w:t>
      </w:r>
      <w:r w:rsidR="00325376" w:rsidRPr="0043330F">
        <w:t>e method statement</w:t>
      </w:r>
      <w:r w:rsidR="003D770A" w:rsidRPr="0043330F">
        <w:t xml:space="preserve"> in </w:t>
      </w:r>
      <w:r w:rsidR="0043330F" w:rsidRPr="0043330F">
        <w:t>subsection (</w:t>
      </w:r>
      <w:r w:rsidR="003D770A" w:rsidRPr="0043330F">
        <w:t>2)</w:t>
      </w:r>
      <w:r w:rsidRPr="0043330F">
        <w:t xml:space="preserve">, </w:t>
      </w:r>
      <w:r w:rsidR="005C7236" w:rsidRPr="0043330F">
        <w:t xml:space="preserve">disregard a student if that student would also </w:t>
      </w:r>
      <w:r w:rsidR="007469DE" w:rsidRPr="0043330F">
        <w:t>fall within</w:t>
      </w:r>
      <w:r w:rsidR="005C7236" w:rsidRPr="0043330F">
        <w:t xml:space="preserve"> </w:t>
      </w:r>
      <w:r w:rsidR="007469DE" w:rsidRPr="0043330F">
        <w:t>the definition of</w:t>
      </w:r>
      <w:r w:rsidR="00D117BF" w:rsidRPr="0043330F">
        <w:t xml:space="preserve"> </w:t>
      </w:r>
      <w:r w:rsidR="005C7236" w:rsidRPr="0043330F">
        <w:rPr>
          <w:b/>
          <w:i/>
        </w:rPr>
        <w:t>total HELP student</w:t>
      </w:r>
      <w:r w:rsidR="00D117BF" w:rsidRPr="0043330F">
        <w:rPr>
          <w:b/>
          <w:i/>
        </w:rPr>
        <w:t>s</w:t>
      </w:r>
      <w:r w:rsidR="005C7236" w:rsidRPr="0043330F">
        <w:t xml:space="preserve"> </w:t>
      </w:r>
      <w:r w:rsidR="007469DE" w:rsidRPr="0043330F">
        <w:t>(</w:t>
      </w:r>
      <w:r w:rsidR="005C7236" w:rsidRPr="0043330F">
        <w:t xml:space="preserve">within the meaning of the </w:t>
      </w:r>
      <w:r w:rsidR="005C7236" w:rsidRPr="0043330F">
        <w:rPr>
          <w:i/>
        </w:rPr>
        <w:t>Higher Education Support (HELP Tuition Protection Levy) Act 2020</w:t>
      </w:r>
      <w:r w:rsidR="007469DE" w:rsidRPr="0043330F">
        <w:t>) for that previous year</w:t>
      </w:r>
      <w:r w:rsidR="005C7236" w:rsidRPr="0043330F">
        <w:t>.</w:t>
      </w:r>
    </w:p>
    <w:p w:rsidR="00B77A4B" w:rsidRPr="0043330F" w:rsidRDefault="00B77A4B" w:rsidP="00D97280">
      <w:pPr>
        <w:pStyle w:val="ActHead5"/>
      </w:pPr>
      <w:bookmarkStart w:id="19" w:name="_Toc57280545"/>
      <w:r w:rsidRPr="00876449">
        <w:rPr>
          <w:rStyle w:val="CharSectno"/>
        </w:rPr>
        <w:t>12</w:t>
      </w:r>
      <w:r w:rsidRPr="0043330F">
        <w:t xml:space="preserve">  Special tuition protection component</w:t>
      </w:r>
      <w:bookmarkEnd w:id="19"/>
    </w:p>
    <w:p w:rsidR="00FD7CDA" w:rsidRPr="0043330F" w:rsidRDefault="00FD7CDA" w:rsidP="00D97280">
      <w:pPr>
        <w:pStyle w:val="subsection"/>
        <w:keepNext/>
      </w:pPr>
      <w:r w:rsidRPr="0043330F">
        <w:tab/>
      </w:r>
      <w:r w:rsidRPr="0043330F">
        <w:tab/>
        <w:t xml:space="preserve">A leviable provider’s </w:t>
      </w:r>
      <w:r w:rsidRPr="0043330F">
        <w:rPr>
          <w:b/>
          <w:i/>
        </w:rPr>
        <w:t>special tuition protection component</w:t>
      </w:r>
      <w:r w:rsidRPr="0043330F">
        <w:t xml:space="preserve"> for a year is:</w:t>
      </w:r>
    </w:p>
    <w:p w:rsidR="00FD7CDA" w:rsidRPr="0043330F" w:rsidRDefault="00FD7CDA" w:rsidP="00D97280">
      <w:pPr>
        <w:pStyle w:val="paragraph"/>
        <w:keepNext/>
      </w:pPr>
      <w:r w:rsidRPr="0043330F">
        <w:tab/>
        <w:t>(a)</w:t>
      </w:r>
      <w:r w:rsidRPr="0043330F">
        <w:tab/>
        <w:t>if the leviable provider is a new provider for the year—zero; or</w:t>
      </w:r>
    </w:p>
    <w:p w:rsidR="00FD7CDA" w:rsidRPr="0043330F" w:rsidRDefault="00FD7CDA" w:rsidP="00D97280">
      <w:pPr>
        <w:pStyle w:val="paragraph"/>
        <w:keepNext/>
      </w:pPr>
      <w:r w:rsidRPr="0043330F">
        <w:tab/>
        <w:t>(b)</w:t>
      </w:r>
      <w:r w:rsidRPr="0043330F">
        <w:tab/>
        <w:t>otherwise</w:t>
      </w:r>
      <w:r w:rsidR="00FE5258" w:rsidRPr="0043330F">
        <w:t>—</w:t>
      </w:r>
      <w:r w:rsidR="00C52681" w:rsidRPr="0043330F">
        <w:t>an</w:t>
      </w:r>
      <w:r w:rsidR="00ED0121" w:rsidRPr="0043330F">
        <w:t xml:space="preserve"> amount equal to </w:t>
      </w:r>
      <w:r w:rsidR="00280E40" w:rsidRPr="0043330F">
        <w:t>the sum of each up</w:t>
      </w:r>
      <w:r w:rsidR="0043330F">
        <w:noBreakHyphen/>
      </w:r>
      <w:r w:rsidR="00280E40" w:rsidRPr="0043330F">
        <w:t>front payment received, directly or indirectly, by the provider for a domestic student for a unit of study during the previous year</w:t>
      </w:r>
      <w:r w:rsidRPr="0043330F">
        <w:t xml:space="preserve"> multiplied by the percentage determined in an instrument under section 13 f</w:t>
      </w:r>
      <w:r w:rsidR="002101B8" w:rsidRPr="0043330F">
        <w:t>or the purposes of this paragraph</w:t>
      </w:r>
      <w:r w:rsidRPr="0043330F">
        <w:t xml:space="preserve"> for the year.</w:t>
      </w:r>
    </w:p>
    <w:p w:rsidR="00B77A4B" w:rsidRPr="0043330F" w:rsidRDefault="00B77A4B" w:rsidP="0043330F">
      <w:pPr>
        <w:pStyle w:val="ActHead5"/>
      </w:pPr>
      <w:bookmarkStart w:id="20" w:name="_Toc57280546"/>
      <w:r w:rsidRPr="00876449">
        <w:rPr>
          <w:rStyle w:val="CharSectno"/>
        </w:rPr>
        <w:t>13</w:t>
      </w:r>
      <w:r w:rsidRPr="0043330F">
        <w:t xml:space="preserve">  Legislative instrument for purposes of section</w:t>
      </w:r>
      <w:r w:rsidR="0009777D" w:rsidRPr="0043330F">
        <w:t xml:space="preserve"> </w:t>
      </w:r>
      <w:r w:rsidRPr="0043330F">
        <w:t>11 or 12</w:t>
      </w:r>
      <w:bookmarkEnd w:id="20"/>
    </w:p>
    <w:p w:rsidR="00B77A4B" w:rsidRPr="0043330F" w:rsidRDefault="0050182F" w:rsidP="0043330F">
      <w:pPr>
        <w:pStyle w:val="subsection"/>
      </w:pPr>
      <w:r w:rsidRPr="0043330F">
        <w:tab/>
        <w:t>(1)</w:t>
      </w:r>
      <w:r w:rsidRPr="0043330F">
        <w:tab/>
        <w:t>Before 1</w:t>
      </w:r>
      <w:r w:rsidR="0043330F" w:rsidRPr="0043330F">
        <w:t> </w:t>
      </w:r>
      <w:r w:rsidR="00DA54B2" w:rsidRPr="0043330F">
        <w:t>August</w:t>
      </w:r>
      <w:r w:rsidRPr="0043330F">
        <w:t xml:space="preserve"> 2021</w:t>
      </w:r>
      <w:r w:rsidR="00731F2F" w:rsidRPr="0043330F">
        <w:t xml:space="preserve"> and each later year, the</w:t>
      </w:r>
      <w:r w:rsidR="006464FC" w:rsidRPr="0043330F">
        <w:t xml:space="preserve"> </w:t>
      </w:r>
      <w:r w:rsidR="00622BC3" w:rsidRPr="0043330F">
        <w:t>Higher Education Tuition Protection Director</w:t>
      </w:r>
      <w:r w:rsidR="00B77A4B" w:rsidRPr="0043330F">
        <w:t xml:space="preserve"> must, by legislative instrument, determine each of the following for the year:</w:t>
      </w:r>
    </w:p>
    <w:p w:rsidR="00B77A4B" w:rsidRPr="0043330F" w:rsidRDefault="00B77A4B" w:rsidP="0043330F">
      <w:pPr>
        <w:pStyle w:val="paragraph"/>
      </w:pPr>
      <w:r w:rsidRPr="0043330F">
        <w:tab/>
        <w:t>(a)</w:t>
      </w:r>
      <w:r w:rsidRPr="0043330F">
        <w:tab/>
        <w:t>an amount for the purposes of step 1 of the method statement in subsection</w:t>
      </w:r>
      <w:r w:rsidR="0009777D" w:rsidRPr="0043330F">
        <w:t xml:space="preserve"> </w:t>
      </w:r>
      <w:r w:rsidRPr="0043330F">
        <w:t>11(2);</w:t>
      </w:r>
    </w:p>
    <w:p w:rsidR="00B77A4B" w:rsidRPr="0043330F" w:rsidRDefault="00B77A4B" w:rsidP="0043330F">
      <w:pPr>
        <w:pStyle w:val="paragraph"/>
      </w:pPr>
      <w:r w:rsidRPr="0043330F">
        <w:tab/>
        <w:t>(b)</w:t>
      </w:r>
      <w:r w:rsidRPr="0043330F">
        <w:tab/>
        <w:t>a percentage for the purposes of step 2 of the method statement in subsection</w:t>
      </w:r>
      <w:r w:rsidR="0009777D" w:rsidRPr="0043330F">
        <w:t xml:space="preserve"> </w:t>
      </w:r>
      <w:r w:rsidRPr="0043330F">
        <w:t>11(2);</w:t>
      </w:r>
    </w:p>
    <w:p w:rsidR="00B77A4B" w:rsidRPr="0043330F" w:rsidRDefault="00B77A4B" w:rsidP="0043330F">
      <w:pPr>
        <w:pStyle w:val="paragraph"/>
      </w:pPr>
      <w:r w:rsidRPr="0043330F">
        <w:tab/>
        <w:t>(c)</w:t>
      </w:r>
      <w:r w:rsidRPr="0043330F">
        <w:tab/>
        <w:t>for the purposes of step 4 of the method statement in subsection</w:t>
      </w:r>
      <w:r w:rsidR="0009777D" w:rsidRPr="0043330F">
        <w:t xml:space="preserve"> </w:t>
      </w:r>
      <w:r w:rsidRPr="0043330F">
        <w:t>11(2):</w:t>
      </w:r>
    </w:p>
    <w:p w:rsidR="00B77A4B" w:rsidRPr="0043330F" w:rsidRDefault="00B77A4B" w:rsidP="0043330F">
      <w:pPr>
        <w:pStyle w:val="paragraphsub"/>
      </w:pPr>
      <w:r w:rsidRPr="0043330F">
        <w:tab/>
        <w:t>(i)</w:t>
      </w:r>
      <w:r w:rsidRPr="0043330F">
        <w:tab/>
        <w:t xml:space="preserve">one or more risk factors that reflect the risk of payments being made out of the </w:t>
      </w:r>
      <w:r w:rsidR="00B368B0" w:rsidRPr="0043330F">
        <w:t>Higher Education Tuition Protection Fund</w:t>
      </w:r>
      <w:r w:rsidRPr="0043330F">
        <w:t xml:space="preserve"> in respect of leviable providers with that factor or those factors; and</w:t>
      </w:r>
    </w:p>
    <w:p w:rsidR="00B77A4B" w:rsidRPr="0043330F" w:rsidRDefault="00B77A4B" w:rsidP="0043330F">
      <w:pPr>
        <w:pStyle w:val="paragraphsub"/>
      </w:pPr>
      <w:r w:rsidRPr="0043330F">
        <w:tab/>
        <w:t>(ii)</w:t>
      </w:r>
      <w:r w:rsidRPr="0043330F">
        <w:tab/>
        <w:t>for each risk factor—the risk factor value, or a method for working out the risk factor value, for leviable providers, or a class of leviable providers;</w:t>
      </w:r>
    </w:p>
    <w:p w:rsidR="00B77A4B" w:rsidRPr="0043330F" w:rsidRDefault="00B77A4B" w:rsidP="0043330F">
      <w:pPr>
        <w:pStyle w:val="paragraph"/>
      </w:pPr>
      <w:r w:rsidRPr="0043330F">
        <w:tab/>
        <w:t>(d)</w:t>
      </w:r>
      <w:r w:rsidRPr="0043330F">
        <w:tab/>
        <w:t>a percentage for the purpos</w:t>
      </w:r>
      <w:r w:rsidR="003D770A" w:rsidRPr="0043330F">
        <w:t>es of paragraph</w:t>
      </w:r>
      <w:r w:rsidR="0009777D" w:rsidRPr="0043330F">
        <w:t xml:space="preserve"> </w:t>
      </w:r>
      <w:r w:rsidR="002101B8" w:rsidRPr="0043330F">
        <w:t>12(b</w:t>
      </w:r>
      <w:r w:rsidRPr="0043330F">
        <w:t>).</w:t>
      </w:r>
    </w:p>
    <w:p w:rsidR="00B77A4B" w:rsidRPr="0043330F" w:rsidRDefault="00B77A4B" w:rsidP="0043330F">
      <w:pPr>
        <w:pStyle w:val="subsection"/>
      </w:pPr>
      <w:r w:rsidRPr="0043330F">
        <w:tab/>
        <w:t>(2)</w:t>
      </w:r>
      <w:r w:rsidRPr="0043330F">
        <w:tab/>
        <w:t xml:space="preserve">The percentage determined in an instrument for the purposes of </w:t>
      </w:r>
      <w:r w:rsidR="0043330F" w:rsidRPr="0043330F">
        <w:t>paragraph (</w:t>
      </w:r>
      <w:r w:rsidRPr="0043330F">
        <w:t>1)(b) or (d) may be zero.</w:t>
      </w:r>
    </w:p>
    <w:p w:rsidR="00B77A4B" w:rsidRPr="0043330F" w:rsidRDefault="00B77A4B" w:rsidP="0043330F">
      <w:pPr>
        <w:pStyle w:val="subsection"/>
      </w:pPr>
      <w:r w:rsidRPr="0043330F">
        <w:tab/>
        <w:t>(3)</w:t>
      </w:r>
      <w:r w:rsidRPr="0043330F">
        <w:tab/>
        <w:t xml:space="preserve">A risk factor value for a risk factor determined for the purposes of </w:t>
      </w:r>
      <w:r w:rsidR="0043330F" w:rsidRPr="0043330F">
        <w:t>subparagraph (</w:t>
      </w:r>
      <w:r w:rsidRPr="0043330F">
        <w:t>1)(c)(ii) must be a number between zero and 10 (inclusive).</w:t>
      </w:r>
    </w:p>
    <w:p w:rsidR="00B77A4B" w:rsidRPr="0043330F" w:rsidRDefault="00B77A4B" w:rsidP="0043330F">
      <w:pPr>
        <w:pStyle w:val="subsection"/>
      </w:pPr>
      <w:r w:rsidRPr="0043330F">
        <w:tab/>
        <w:t>(4)</w:t>
      </w:r>
      <w:r w:rsidRPr="0043330F">
        <w:tab/>
        <w:t xml:space="preserve">In making a legislative instrument under </w:t>
      </w:r>
      <w:r w:rsidR="0043330F" w:rsidRPr="0043330F">
        <w:t>subsection (</w:t>
      </w:r>
      <w:r w:rsidRPr="0043330F">
        <w:t xml:space="preserve">1), the </w:t>
      </w:r>
      <w:r w:rsidR="00622BC3" w:rsidRPr="0043330F">
        <w:t>Higher Education Tuition Protection Director</w:t>
      </w:r>
      <w:r w:rsidRPr="0043330F">
        <w:t xml:space="preserve"> must have regard to:</w:t>
      </w:r>
    </w:p>
    <w:p w:rsidR="00B77A4B" w:rsidRPr="0043330F" w:rsidRDefault="00B77A4B" w:rsidP="0043330F">
      <w:pPr>
        <w:pStyle w:val="paragraph"/>
      </w:pPr>
      <w:r w:rsidRPr="0043330F">
        <w:tab/>
        <w:t>(a)</w:t>
      </w:r>
      <w:r w:rsidRPr="0043330F">
        <w:tab/>
        <w:t xml:space="preserve">any advice of the </w:t>
      </w:r>
      <w:r w:rsidR="00B368B0" w:rsidRPr="0043330F">
        <w:t>Higher E</w:t>
      </w:r>
      <w:r w:rsidR="00355D2A" w:rsidRPr="0043330F">
        <w:t xml:space="preserve">ducation Tuition Protection </w:t>
      </w:r>
      <w:r w:rsidR="00625537" w:rsidRPr="0043330F">
        <w:t xml:space="preserve">Fund </w:t>
      </w:r>
      <w:r w:rsidRPr="0043330F">
        <w:t>Advisory Board in relation to the matters referred to in that subsection; and</w:t>
      </w:r>
    </w:p>
    <w:p w:rsidR="00B77A4B" w:rsidRPr="0043330F" w:rsidRDefault="00B77A4B" w:rsidP="0043330F">
      <w:pPr>
        <w:pStyle w:val="paragraph"/>
      </w:pPr>
      <w:r w:rsidRPr="0043330F">
        <w:tab/>
        <w:t>(b)</w:t>
      </w:r>
      <w:r w:rsidRPr="0043330F">
        <w:tab/>
        <w:t xml:space="preserve">the sustainability of the </w:t>
      </w:r>
      <w:r w:rsidR="00B368B0" w:rsidRPr="0043330F">
        <w:t>Higher Education Tuition Protection Fund</w:t>
      </w:r>
      <w:r w:rsidRPr="0043330F">
        <w:t>.</w:t>
      </w:r>
    </w:p>
    <w:p w:rsidR="00B77A4B" w:rsidRPr="0043330F" w:rsidRDefault="00B77A4B" w:rsidP="0043330F">
      <w:pPr>
        <w:pStyle w:val="subsection"/>
      </w:pPr>
      <w:r w:rsidRPr="0043330F">
        <w:tab/>
        <w:t>(5)</w:t>
      </w:r>
      <w:r w:rsidRPr="0043330F">
        <w:tab/>
        <w:t xml:space="preserve">The </w:t>
      </w:r>
      <w:r w:rsidR="00622BC3" w:rsidRPr="0043330F">
        <w:t>Higher Education Tuition Protection Director</w:t>
      </w:r>
      <w:r w:rsidRPr="0043330F">
        <w:t xml:space="preserve"> may have regard to any other matter that the Director considers appropriate.</w:t>
      </w:r>
    </w:p>
    <w:p w:rsidR="00B77A4B" w:rsidRPr="0043330F" w:rsidRDefault="00B77A4B" w:rsidP="0043330F">
      <w:pPr>
        <w:pStyle w:val="subsection"/>
      </w:pPr>
      <w:r w:rsidRPr="0043330F">
        <w:tab/>
        <w:t>(6)</w:t>
      </w:r>
      <w:r w:rsidRPr="0043330F">
        <w:tab/>
        <w:t xml:space="preserve">Before the </w:t>
      </w:r>
      <w:r w:rsidR="00622BC3" w:rsidRPr="0043330F">
        <w:t>Higher Education Tuition Protection Director</w:t>
      </w:r>
      <w:r w:rsidRPr="0043330F">
        <w:t xml:space="preserve"> makes a legislative instrument under </w:t>
      </w:r>
      <w:r w:rsidR="0043330F" w:rsidRPr="0043330F">
        <w:t>subsection (</w:t>
      </w:r>
      <w:r w:rsidRPr="0043330F">
        <w:t>1), the Treasurer must approve the legislative instrument in writing.</w:t>
      </w:r>
    </w:p>
    <w:p w:rsidR="00B77A4B" w:rsidRPr="0043330F" w:rsidRDefault="00B77A4B" w:rsidP="0043330F">
      <w:pPr>
        <w:pStyle w:val="ActHead2"/>
        <w:pageBreakBefore/>
      </w:pPr>
      <w:bookmarkStart w:id="21" w:name="_Toc57280547"/>
      <w:r w:rsidRPr="00876449">
        <w:rPr>
          <w:rStyle w:val="CharPartNo"/>
        </w:rPr>
        <w:t>Part</w:t>
      </w:r>
      <w:r w:rsidR="0043330F" w:rsidRPr="00876449">
        <w:rPr>
          <w:rStyle w:val="CharPartNo"/>
        </w:rPr>
        <w:t> </w:t>
      </w:r>
      <w:r w:rsidRPr="00876449">
        <w:rPr>
          <w:rStyle w:val="CharPartNo"/>
        </w:rPr>
        <w:t>3</w:t>
      </w:r>
      <w:r w:rsidRPr="0043330F">
        <w:t>—</w:t>
      </w:r>
      <w:r w:rsidRPr="00876449">
        <w:rPr>
          <w:rStyle w:val="CharPartText"/>
        </w:rPr>
        <w:t>Other matters</w:t>
      </w:r>
      <w:bookmarkEnd w:id="21"/>
    </w:p>
    <w:p w:rsidR="00B77A4B" w:rsidRPr="00876449" w:rsidRDefault="00B77A4B" w:rsidP="0043330F">
      <w:pPr>
        <w:pStyle w:val="Header"/>
      </w:pPr>
      <w:r w:rsidRPr="00876449">
        <w:rPr>
          <w:rStyle w:val="CharDivNo"/>
        </w:rPr>
        <w:t xml:space="preserve"> </w:t>
      </w:r>
      <w:r w:rsidRPr="00876449">
        <w:rPr>
          <w:rStyle w:val="CharDivText"/>
        </w:rPr>
        <w:t xml:space="preserve"> </w:t>
      </w:r>
    </w:p>
    <w:p w:rsidR="00B77A4B" w:rsidRPr="0043330F" w:rsidRDefault="00B77A4B" w:rsidP="0043330F">
      <w:pPr>
        <w:pStyle w:val="ActHead5"/>
      </w:pPr>
      <w:bookmarkStart w:id="22" w:name="_Toc57280548"/>
      <w:r w:rsidRPr="00876449">
        <w:rPr>
          <w:rStyle w:val="CharSectno"/>
        </w:rPr>
        <w:t>14</w:t>
      </w:r>
      <w:r w:rsidRPr="0043330F">
        <w:t xml:space="preserve">  Exemptions</w:t>
      </w:r>
      <w:bookmarkEnd w:id="22"/>
    </w:p>
    <w:p w:rsidR="00B77A4B" w:rsidRPr="0043330F" w:rsidRDefault="00B77A4B" w:rsidP="0043330F">
      <w:pPr>
        <w:pStyle w:val="subsection"/>
      </w:pPr>
      <w:r w:rsidRPr="0043330F">
        <w:tab/>
      </w:r>
      <w:r w:rsidRPr="0043330F">
        <w:tab/>
        <w:t xml:space="preserve">The </w:t>
      </w:r>
      <w:r w:rsidR="006C362B" w:rsidRPr="0043330F">
        <w:t>Up</w:t>
      </w:r>
      <w:r w:rsidR="0043330F">
        <w:noBreakHyphen/>
      </w:r>
      <w:r w:rsidR="001B79C7" w:rsidRPr="0043330F">
        <w:t xml:space="preserve">front Payments </w:t>
      </w:r>
      <w:r w:rsidRPr="0043330F">
        <w:t>Guidelines may prescribe one or more classes of leviable providers who are exempt from the requirement to pay one or more of the following:</w:t>
      </w:r>
    </w:p>
    <w:p w:rsidR="00B77A4B" w:rsidRPr="0043330F" w:rsidRDefault="00B77A4B" w:rsidP="0043330F">
      <w:pPr>
        <w:pStyle w:val="paragraph"/>
      </w:pPr>
      <w:r w:rsidRPr="0043330F">
        <w:tab/>
        <w:t>(a)</w:t>
      </w:r>
      <w:r w:rsidRPr="0043330F">
        <w:tab/>
        <w:t>the administrative fee component;</w:t>
      </w:r>
    </w:p>
    <w:p w:rsidR="00B77A4B" w:rsidRPr="0043330F" w:rsidRDefault="00B77A4B" w:rsidP="0043330F">
      <w:pPr>
        <w:pStyle w:val="paragraph"/>
      </w:pPr>
      <w:r w:rsidRPr="0043330F">
        <w:tab/>
        <w:t>(b)</w:t>
      </w:r>
      <w:r w:rsidRPr="0043330F">
        <w:tab/>
        <w:t>the risk rated premium component;</w:t>
      </w:r>
    </w:p>
    <w:p w:rsidR="00B77A4B" w:rsidRPr="0043330F" w:rsidRDefault="00B77A4B" w:rsidP="0043330F">
      <w:pPr>
        <w:pStyle w:val="paragraph"/>
      </w:pPr>
      <w:r w:rsidRPr="0043330F">
        <w:tab/>
        <w:t>(c)</w:t>
      </w:r>
      <w:r w:rsidRPr="0043330F">
        <w:tab/>
        <w:t>the special tuition protection component.</w:t>
      </w:r>
    </w:p>
    <w:p w:rsidR="00B77A4B" w:rsidRPr="0043330F" w:rsidRDefault="00B77A4B" w:rsidP="0043330F">
      <w:pPr>
        <w:pStyle w:val="ActHead5"/>
      </w:pPr>
      <w:bookmarkStart w:id="23" w:name="_Toc57280549"/>
      <w:r w:rsidRPr="00876449">
        <w:rPr>
          <w:rStyle w:val="CharSectno"/>
        </w:rPr>
        <w:t>15</w:t>
      </w:r>
      <w:r w:rsidRPr="0043330F">
        <w:t xml:space="preserve">  Regulations</w:t>
      </w:r>
      <w:bookmarkEnd w:id="23"/>
    </w:p>
    <w:p w:rsidR="00B77A4B" w:rsidRPr="0043330F" w:rsidRDefault="00B77A4B" w:rsidP="0043330F">
      <w:pPr>
        <w:pStyle w:val="subsection"/>
      </w:pPr>
      <w:r w:rsidRPr="0043330F">
        <w:tab/>
      </w:r>
      <w:r w:rsidRPr="0043330F">
        <w:tab/>
        <w:t>The Governor</w:t>
      </w:r>
      <w:r w:rsidR="0043330F">
        <w:noBreakHyphen/>
      </w:r>
      <w:r w:rsidRPr="0043330F">
        <w:t>General may make regulations prescribing matters:</w:t>
      </w:r>
    </w:p>
    <w:p w:rsidR="00B77A4B" w:rsidRPr="0043330F" w:rsidRDefault="00B77A4B" w:rsidP="0043330F">
      <w:pPr>
        <w:pStyle w:val="paragraph"/>
      </w:pPr>
      <w:r w:rsidRPr="0043330F">
        <w:tab/>
        <w:t>(a)</w:t>
      </w:r>
      <w:r w:rsidRPr="0043330F">
        <w:tab/>
        <w:t>required or permitted by this Act to be prescribed; or</w:t>
      </w:r>
    </w:p>
    <w:p w:rsidR="00B77A4B" w:rsidRDefault="00B77A4B" w:rsidP="0043330F">
      <w:pPr>
        <w:pStyle w:val="paragraph"/>
      </w:pPr>
      <w:r w:rsidRPr="0043330F">
        <w:tab/>
        <w:t>(b)</w:t>
      </w:r>
      <w:r w:rsidRPr="0043330F">
        <w:tab/>
        <w:t>necessary or convenient to be prescribed for carrying out or giving effect to this Act.</w:t>
      </w:r>
    </w:p>
    <w:p w:rsidR="00F0444A" w:rsidRPr="007E0999" w:rsidRDefault="00F0444A" w:rsidP="00F0444A"/>
    <w:p w:rsidR="00F0444A" w:rsidRDefault="00F0444A" w:rsidP="00F0444A">
      <w:pPr>
        <w:pStyle w:val="AssentBk"/>
        <w:keepNext/>
      </w:pPr>
    </w:p>
    <w:p w:rsidR="00F0444A" w:rsidRDefault="00F0444A" w:rsidP="00F0444A">
      <w:pPr>
        <w:pStyle w:val="AssentBk"/>
        <w:keepNext/>
      </w:pPr>
    </w:p>
    <w:p w:rsidR="00F0444A" w:rsidRDefault="00F0444A" w:rsidP="00F0444A">
      <w:pPr>
        <w:pStyle w:val="2ndRd"/>
        <w:keepNext/>
        <w:pBdr>
          <w:top w:val="single" w:sz="2" w:space="1" w:color="auto"/>
        </w:pBdr>
      </w:pPr>
    </w:p>
    <w:p w:rsidR="00F0444A" w:rsidRDefault="00F0444A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F0444A" w:rsidRDefault="00F0444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26 August 2020</w:t>
      </w:r>
    </w:p>
    <w:p w:rsidR="00F0444A" w:rsidRDefault="00F0444A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10 November 2020</w:t>
      </w:r>
      <w:r>
        <w:t>]</w:t>
      </w:r>
    </w:p>
    <w:p w:rsidR="00F0444A" w:rsidRDefault="00F0444A" w:rsidP="000C5962"/>
    <w:p w:rsidR="008B19C8" w:rsidRPr="00F0444A" w:rsidRDefault="00F0444A" w:rsidP="00F0444A">
      <w:pPr>
        <w:framePr w:hSpace="180" w:wrap="around" w:vAnchor="text" w:hAnchor="page" w:x="2363" w:y="2686"/>
      </w:pPr>
      <w:r>
        <w:t>(100/20)</w:t>
      </w:r>
    </w:p>
    <w:p w:rsidR="00F0444A" w:rsidRDefault="00F0444A">
      <w:bookmarkStart w:id="24" w:name="_GoBack"/>
      <w:bookmarkEnd w:id="24"/>
    </w:p>
    <w:sectPr w:rsidR="00F0444A" w:rsidSect="008B19C8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7" w:h="16839"/>
      <w:pgMar w:top="238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76" w:rsidRDefault="00325376" w:rsidP="00715914">
      <w:pPr>
        <w:spacing w:line="240" w:lineRule="auto"/>
      </w:pPr>
      <w:r>
        <w:separator/>
      </w:r>
    </w:p>
  </w:endnote>
  <w:endnote w:type="continuationSeparator" w:id="0">
    <w:p w:rsidR="00325376" w:rsidRDefault="0032537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76" w:rsidRPr="005F1388" w:rsidRDefault="00325376" w:rsidP="0043330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4A" w:rsidRDefault="00F0444A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F0444A" w:rsidRDefault="00F0444A" w:rsidP="00CD12A5"/>
  <w:p w:rsidR="00325376" w:rsidRDefault="00325376" w:rsidP="0043330F">
    <w:pPr>
      <w:pStyle w:val="Footer"/>
      <w:spacing w:before="120"/>
    </w:pPr>
  </w:p>
  <w:p w:rsidR="00325376" w:rsidRPr="005F1388" w:rsidRDefault="00325376" w:rsidP="005D7042">
    <w:pPr>
      <w:pStyle w:val="Footer"/>
      <w:tabs>
        <w:tab w:val="clear" w:pos="4153"/>
        <w:tab w:val="clear" w:pos="8306"/>
        <w:tab w:val="center" w:pos="4150"/>
        <w:tab w:val="right" w:pos="8307"/>
      </w:tabs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76" w:rsidRPr="00ED79B6" w:rsidRDefault="00325376" w:rsidP="0043330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76" w:rsidRDefault="00325376" w:rsidP="0043330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25376" w:rsidTr="00AC4BB2">
      <w:tc>
        <w:tcPr>
          <w:tcW w:w="646" w:type="dxa"/>
        </w:tcPr>
        <w:p w:rsidR="00325376" w:rsidRDefault="00325376" w:rsidP="00AC4BB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513D">
            <w:rPr>
              <w:i/>
              <w:noProof/>
              <w:sz w:val="18"/>
            </w:rPr>
            <w:t>xii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25376" w:rsidRDefault="00325376" w:rsidP="00A15C98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4513D">
            <w:rPr>
              <w:i/>
              <w:sz w:val="18"/>
            </w:rPr>
            <w:t>Higher Education (Up-front Payments Tuition Protection Levy)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325376" w:rsidRDefault="00325376" w:rsidP="00A15C9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4513D">
            <w:rPr>
              <w:i/>
              <w:sz w:val="18"/>
            </w:rPr>
            <w:t>No. 102, 2020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25376" w:rsidRPr="00ED79B6" w:rsidRDefault="00325376" w:rsidP="0071591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76" w:rsidRPr="00ED79B6" w:rsidRDefault="00325376" w:rsidP="0043330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25376" w:rsidTr="00340F07">
      <w:tc>
        <w:tcPr>
          <w:tcW w:w="1247" w:type="dxa"/>
        </w:tcPr>
        <w:p w:rsidR="00325376" w:rsidRDefault="00325376" w:rsidP="00340F07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14513D">
            <w:rPr>
              <w:i/>
              <w:sz w:val="18"/>
            </w:rPr>
            <w:t>No. 102,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25376" w:rsidRDefault="00325376" w:rsidP="005D704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14513D">
            <w:rPr>
              <w:i/>
              <w:sz w:val="18"/>
            </w:rPr>
            <w:t>Higher Education (Up-front Payments Tuition Protection Levy) Act 2020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25376" w:rsidRDefault="00325376" w:rsidP="00A60768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513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25376" w:rsidRPr="00ED79B6" w:rsidRDefault="00325376" w:rsidP="00715914">
    <w:pPr>
      <w:jc w:val="right"/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76" w:rsidRDefault="00325376" w:rsidP="0043330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25376" w:rsidTr="00A9413F">
      <w:tc>
        <w:tcPr>
          <w:tcW w:w="646" w:type="dxa"/>
        </w:tcPr>
        <w:p w:rsidR="00325376" w:rsidRDefault="00325376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4513D">
            <w:rPr>
              <w:i/>
              <w:noProof/>
              <w:sz w:val="18"/>
            </w:rPr>
            <w:t>12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25376" w:rsidRDefault="00325376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4513D">
            <w:rPr>
              <w:i/>
              <w:sz w:val="18"/>
            </w:rPr>
            <w:t>Higher Education (Up-front Payments Tuition Protection Levy)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325376" w:rsidRDefault="00325376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4513D">
            <w:rPr>
              <w:i/>
              <w:sz w:val="18"/>
            </w:rPr>
            <w:t>No. 102, 2020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25376" w:rsidRPr="007A1328" w:rsidRDefault="00325376" w:rsidP="00601309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76" w:rsidRDefault="00325376" w:rsidP="0043330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25376" w:rsidTr="00A9413F">
      <w:tc>
        <w:tcPr>
          <w:tcW w:w="1247" w:type="dxa"/>
        </w:tcPr>
        <w:p w:rsidR="00325376" w:rsidRDefault="00325376" w:rsidP="00601309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4513D">
            <w:rPr>
              <w:i/>
              <w:sz w:val="18"/>
            </w:rPr>
            <w:t>No. 102,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25376" w:rsidRDefault="00325376" w:rsidP="00601309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4513D">
            <w:rPr>
              <w:i/>
              <w:sz w:val="18"/>
            </w:rPr>
            <w:t>Higher Education (Up-front Payments Tuition Protection Levy)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25376" w:rsidRDefault="00325376" w:rsidP="00601309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4513D">
            <w:rPr>
              <w:i/>
              <w:noProof/>
              <w:sz w:val="18"/>
            </w:rPr>
            <w:t>11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25376" w:rsidRPr="007A1328" w:rsidRDefault="00325376" w:rsidP="0071591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76" w:rsidRDefault="00325376" w:rsidP="0043330F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25376" w:rsidTr="00A9413F">
      <w:tc>
        <w:tcPr>
          <w:tcW w:w="1247" w:type="dxa"/>
        </w:tcPr>
        <w:p w:rsidR="00325376" w:rsidRDefault="00325376" w:rsidP="00212DDD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14513D">
            <w:rPr>
              <w:i/>
              <w:sz w:val="18"/>
            </w:rPr>
            <w:t>No. 102,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25376" w:rsidRDefault="00325376" w:rsidP="00C122FF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14513D">
            <w:rPr>
              <w:i/>
              <w:sz w:val="18"/>
            </w:rPr>
            <w:t>Higher Education (Up-front Payments Tuition Protection Levy) Act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25376" w:rsidRDefault="00325376" w:rsidP="00C122FF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14513D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25376" w:rsidRPr="007A1328" w:rsidRDefault="00325376" w:rsidP="00212DDD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76" w:rsidRDefault="00325376" w:rsidP="00715914">
      <w:pPr>
        <w:spacing w:line="240" w:lineRule="auto"/>
      </w:pPr>
      <w:r>
        <w:separator/>
      </w:r>
    </w:p>
  </w:footnote>
  <w:footnote w:type="continuationSeparator" w:id="0">
    <w:p w:rsidR="00325376" w:rsidRDefault="0032537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76" w:rsidRPr="005F1388" w:rsidRDefault="00325376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76" w:rsidRPr="005F1388" w:rsidRDefault="00325376" w:rsidP="00EB1780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76" w:rsidRPr="005F1388" w:rsidRDefault="0032537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76" w:rsidRPr="00ED79B6" w:rsidRDefault="00325376" w:rsidP="00EB1780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76" w:rsidRPr="00ED79B6" w:rsidRDefault="00325376" w:rsidP="00EB1780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76" w:rsidRPr="00ED79B6" w:rsidRDefault="0032537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76" w:rsidRDefault="003253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325376" w:rsidRDefault="0032537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14513D">
      <w:rPr>
        <w:b/>
        <w:sz w:val="20"/>
      </w:rPr>
      <w:fldChar w:fldCharType="separate"/>
    </w:r>
    <w:r w:rsidR="0014513D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14513D">
      <w:rPr>
        <w:sz w:val="20"/>
      </w:rPr>
      <w:fldChar w:fldCharType="separate"/>
    </w:r>
    <w:r w:rsidR="0014513D">
      <w:rPr>
        <w:noProof/>
        <w:sz w:val="20"/>
      </w:rPr>
      <w:t>Other matters</w:t>
    </w:r>
    <w:r>
      <w:rPr>
        <w:sz w:val="20"/>
      </w:rPr>
      <w:fldChar w:fldCharType="end"/>
    </w:r>
  </w:p>
  <w:p w:rsidR="00325376" w:rsidRPr="007A1328" w:rsidRDefault="0032537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325376" w:rsidRPr="007A1328" w:rsidRDefault="00325376" w:rsidP="00715914">
    <w:pPr>
      <w:rPr>
        <w:b/>
        <w:sz w:val="24"/>
      </w:rPr>
    </w:pPr>
  </w:p>
  <w:p w:rsidR="00325376" w:rsidRPr="007A1328" w:rsidRDefault="00325376" w:rsidP="00EB1780">
    <w:pPr>
      <w:pBdr>
        <w:bottom w:val="single" w:sz="6" w:space="1" w:color="auto"/>
      </w:pBdr>
      <w:spacing w:after="120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4513D">
      <w:rPr>
        <w:noProof/>
        <w:sz w:val="24"/>
      </w:rPr>
      <w:t>14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76" w:rsidRPr="007A1328" w:rsidRDefault="0032537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325376" w:rsidRPr="007A1328" w:rsidRDefault="0032537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14513D">
      <w:rPr>
        <w:sz w:val="20"/>
      </w:rPr>
      <w:fldChar w:fldCharType="separate"/>
    </w:r>
    <w:r w:rsidR="0014513D">
      <w:rPr>
        <w:noProof/>
        <w:sz w:val="20"/>
      </w:rPr>
      <w:t>Up-front payments tuition protection levy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14513D">
      <w:rPr>
        <w:b/>
        <w:sz w:val="20"/>
      </w:rPr>
      <w:fldChar w:fldCharType="separate"/>
    </w:r>
    <w:r w:rsidR="0014513D">
      <w:rPr>
        <w:b/>
        <w:noProof/>
        <w:sz w:val="20"/>
      </w:rPr>
      <w:t>Part 2</w:t>
    </w:r>
    <w:r>
      <w:rPr>
        <w:b/>
        <w:sz w:val="20"/>
      </w:rPr>
      <w:fldChar w:fldCharType="end"/>
    </w:r>
  </w:p>
  <w:p w:rsidR="00325376" w:rsidRPr="007A1328" w:rsidRDefault="0032537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325376" w:rsidRPr="007A1328" w:rsidRDefault="00325376" w:rsidP="00715914">
    <w:pPr>
      <w:jc w:val="right"/>
      <w:rPr>
        <w:b/>
        <w:sz w:val="24"/>
      </w:rPr>
    </w:pPr>
  </w:p>
  <w:p w:rsidR="00325376" w:rsidRPr="007A1328" w:rsidRDefault="00325376" w:rsidP="00EB1780">
    <w:pPr>
      <w:pBdr>
        <w:bottom w:val="single" w:sz="6" w:space="1" w:color="auto"/>
      </w:pBdr>
      <w:spacing w:after="120"/>
      <w:jc w:val="right"/>
      <w:rPr>
        <w:sz w:val="24"/>
      </w:rPr>
    </w:pPr>
    <w:r w:rsidRPr="007A1328">
      <w:rPr>
        <w:sz w:val="24"/>
      </w:rPr>
      <w:t xml:space="preserve">Section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4513D"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376" w:rsidRPr="007A1328" w:rsidRDefault="00325376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4B"/>
    <w:rsid w:val="00000E77"/>
    <w:rsid w:val="0000305D"/>
    <w:rsid w:val="00004D83"/>
    <w:rsid w:val="000057BC"/>
    <w:rsid w:val="00005E05"/>
    <w:rsid w:val="00011CC8"/>
    <w:rsid w:val="000136AF"/>
    <w:rsid w:val="0001385F"/>
    <w:rsid w:val="00015DAB"/>
    <w:rsid w:val="00022BD5"/>
    <w:rsid w:val="00022DAC"/>
    <w:rsid w:val="000259F4"/>
    <w:rsid w:val="0003377B"/>
    <w:rsid w:val="00035014"/>
    <w:rsid w:val="00043906"/>
    <w:rsid w:val="00052671"/>
    <w:rsid w:val="000614BF"/>
    <w:rsid w:val="000675C3"/>
    <w:rsid w:val="0008144C"/>
    <w:rsid w:val="00084627"/>
    <w:rsid w:val="00086D1F"/>
    <w:rsid w:val="00087D46"/>
    <w:rsid w:val="00096886"/>
    <w:rsid w:val="0009777D"/>
    <w:rsid w:val="000A556A"/>
    <w:rsid w:val="000A564E"/>
    <w:rsid w:val="000A56A1"/>
    <w:rsid w:val="000B0C81"/>
    <w:rsid w:val="000B33F5"/>
    <w:rsid w:val="000B6188"/>
    <w:rsid w:val="000C12D1"/>
    <w:rsid w:val="000C50EC"/>
    <w:rsid w:val="000C7213"/>
    <w:rsid w:val="000D05EF"/>
    <w:rsid w:val="000D0EB7"/>
    <w:rsid w:val="000D3598"/>
    <w:rsid w:val="000D39EC"/>
    <w:rsid w:val="000D66C4"/>
    <w:rsid w:val="000D6DC8"/>
    <w:rsid w:val="000E2261"/>
    <w:rsid w:val="000E3F92"/>
    <w:rsid w:val="000E4F5F"/>
    <w:rsid w:val="000F0C8F"/>
    <w:rsid w:val="000F1DA1"/>
    <w:rsid w:val="000F21C1"/>
    <w:rsid w:val="000F3035"/>
    <w:rsid w:val="000F3251"/>
    <w:rsid w:val="000F3747"/>
    <w:rsid w:val="000F45C8"/>
    <w:rsid w:val="000F7039"/>
    <w:rsid w:val="0010364C"/>
    <w:rsid w:val="00104F1D"/>
    <w:rsid w:val="0010745C"/>
    <w:rsid w:val="00112619"/>
    <w:rsid w:val="0011469C"/>
    <w:rsid w:val="0011587C"/>
    <w:rsid w:val="00115F6E"/>
    <w:rsid w:val="00122FE1"/>
    <w:rsid w:val="00125E47"/>
    <w:rsid w:val="0012621A"/>
    <w:rsid w:val="001262F1"/>
    <w:rsid w:val="0013072E"/>
    <w:rsid w:val="0013365E"/>
    <w:rsid w:val="00135600"/>
    <w:rsid w:val="00135A26"/>
    <w:rsid w:val="00140FF3"/>
    <w:rsid w:val="00142B01"/>
    <w:rsid w:val="0014513D"/>
    <w:rsid w:val="00145704"/>
    <w:rsid w:val="00145FF2"/>
    <w:rsid w:val="001464BD"/>
    <w:rsid w:val="00150160"/>
    <w:rsid w:val="00155772"/>
    <w:rsid w:val="00163058"/>
    <w:rsid w:val="00166C2F"/>
    <w:rsid w:val="001671E9"/>
    <w:rsid w:val="00172CDD"/>
    <w:rsid w:val="001740AD"/>
    <w:rsid w:val="0017486B"/>
    <w:rsid w:val="00175033"/>
    <w:rsid w:val="001939E1"/>
    <w:rsid w:val="00195382"/>
    <w:rsid w:val="001A01DA"/>
    <w:rsid w:val="001A0B25"/>
    <w:rsid w:val="001A0D07"/>
    <w:rsid w:val="001A42BB"/>
    <w:rsid w:val="001A45D5"/>
    <w:rsid w:val="001A5027"/>
    <w:rsid w:val="001A6212"/>
    <w:rsid w:val="001A68DE"/>
    <w:rsid w:val="001B3843"/>
    <w:rsid w:val="001B56E1"/>
    <w:rsid w:val="001B782B"/>
    <w:rsid w:val="001B79C7"/>
    <w:rsid w:val="001C0122"/>
    <w:rsid w:val="001C37C5"/>
    <w:rsid w:val="001C69C4"/>
    <w:rsid w:val="001D11E9"/>
    <w:rsid w:val="001D36BB"/>
    <w:rsid w:val="001D37EF"/>
    <w:rsid w:val="001E1E15"/>
    <w:rsid w:val="001E3590"/>
    <w:rsid w:val="001E7407"/>
    <w:rsid w:val="001E7F6E"/>
    <w:rsid w:val="001F1A88"/>
    <w:rsid w:val="001F3478"/>
    <w:rsid w:val="001F5D5E"/>
    <w:rsid w:val="001F6219"/>
    <w:rsid w:val="00202BDE"/>
    <w:rsid w:val="00205E29"/>
    <w:rsid w:val="002065DA"/>
    <w:rsid w:val="002101B8"/>
    <w:rsid w:val="00212DDD"/>
    <w:rsid w:val="002139B9"/>
    <w:rsid w:val="00214499"/>
    <w:rsid w:val="00215975"/>
    <w:rsid w:val="00220156"/>
    <w:rsid w:val="002208D8"/>
    <w:rsid w:val="00222CF2"/>
    <w:rsid w:val="002278EC"/>
    <w:rsid w:val="0023167D"/>
    <w:rsid w:val="002334AD"/>
    <w:rsid w:val="00234A83"/>
    <w:rsid w:val="0024010F"/>
    <w:rsid w:val="00240749"/>
    <w:rsid w:val="00242F55"/>
    <w:rsid w:val="00253B74"/>
    <w:rsid w:val="002564A4"/>
    <w:rsid w:val="00257934"/>
    <w:rsid w:val="00257DF2"/>
    <w:rsid w:val="00261C3C"/>
    <w:rsid w:val="00263EF3"/>
    <w:rsid w:val="0026554C"/>
    <w:rsid w:val="00275712"/>
    <w:rsid w:val="00276E6E"/>
    <w:rsid w:val="00277EAE"/>
    <w:rsid w:val="00280E40"/>
    <w:rsid w:val="002845AA"/>
    <w:rsid w:val="002861A1"/>
    <w:rsid w:val="002872C5"/>
    <w:rsid w:val="002954F6"/>
    <w:rsid w:val="00296B1E"/>
    <w:rsid w:val="00297C46"/>
    <w:rsid w:val="00297ECB"/>
    <w:rsid w:val="002B1A7B"/>
    <w:rsid w:val="002B493C"/>
    <w:rsid w:val="002C01D6"/>
    <w:rsid w:val="002C441E"/>
    <w:rsid w:val="002D043A"/>
    <w:rsid w:val="002D1446"/>
    <w:rsid w:val="002D1940"/>
    <w:rsid w:val="002D5497"/>
    <w:rsid w:val="002D6224"/>
    <w:rsid w:val="002E66B9"/>
    <w:rsid w:val="002E7AE4"/>
    <w:rsid w:val="002F2D5F"/>
    <w:rsid w:val="002F6389"/>
    <w:rsid w:val="00300C2F"/>
    <w:rsid w:val="00304DB7"/>
    <w:rsid w:val="00311062"/>
    <w:rsid w:val="00313E63"/>
    <w:rsid w:val="003143E3"/>
    <w:rsid w:val="0031583D"/>
    <w:rsid w:val="00315A9B"/>
    <w:rsid w:val="00316F06"/>
    <w:rsid w:val="00320238"/>
    <w:rsid w:val="003213F0"/>
    <w:rsid w:val="00322330"/>
    <w:rsid w:val="00324BDF"/>
    <w:rsid w:val="00325376"/>
    <w:rsid w:val="0032591D"/>
    <w:rsid w:val="003304A9"/>
    <w:rsid w:val="0033667B"/>
    <w:rsid w:val="00336CD8"/>
    <w:rsid w:val="00340F07"/>
    <w:rsid w:val="003411F1"/>
    <w:rsid w:val="003415D3"/>
    <w:rsid w:val="00343247"/>
    <w:rsid w:val="0034382B"/>
    <w:rsid w:val="003525AC"/>
    <w:rsid w:val="00352B0F"/>
    <w:rsid w:val="00352B45"/>
    <w:rsid w:val="00355469"/>
    <w:rsid w:val="00355D2A"/>
    <w:rsid w:val="00356B3D"/>
    <w:rsid w:val="00360459"/>
    <w:rsid w:val="00363897"/>
    <w:rsid w:val="00364EFF"/>
    <w:rsid w:val="0036791C"/>
    <w:rsid w:val="0037075B"/>
    <w:rsid w:val="00374B0A"/>
    <w:rsid w:val="0039438E"/>
    <w:rsid w:val="00395525"/>
    <w:rsid w:val="003A0205"/>
    <w:rsid w:val="003B0EFA"/>
    <w:rsid w:val="003B4E92"/>
    <w:rsid w:val="003B5659"/>
    <w:rsid w:val="003C0D23"/>
    <w:rsid w:val="003C2E62"/>
    <w:rsid w:val="003C64F7"/>
    <w:rsid w:val="003D09CB"/>
    <w:rsid w:val="003D0BFE"/>
    <w:rsid w:val="003D0EF4"/>
    <w:rsid w:val="003D5700"/>
    <w:rsid w:val="003D7558"/>
    <w:rsid w:val="003D770A"/>
    <w:rsid w:val="003F356F"/>
    <w:rsid w:val="003F3BBA"/>
    <w:rsid w:val="004032A8"/>
    <w:rsid w:val="00403511"/>
    <w:rsid w:val="004050BD"/>
    <w:rsid w:val="00410A84"/>
    <w:rsid w:val="004116CD"/>
    <w:rsid w:val="00417EB9"/>
    <w:rsid w:val="0042140D"/>
    <w:rsid w:val="00424CA9"/>
    <w:rsid w:val="00426211"/>
    <w:rsid w:val="00431A1F"/>
    <w:rsid w:val="00432731"/>
    <w:rsid w:val="0043330F"/>
    <w:rsid w:val="004334E3"/>
    <w:rsid w:val="00434289"/>
    <w:rsid w:val="00437600"/>
    <w:rsid w:val="0044291A"/>
    <w:rsid w:val="00446F8A"/>
    <w:rsid w:val="004507F2"/>
    <w:rsid w:val="004511D0"/>
    <w:rsid w:val="00452D4B"/>
    <w:rsid w:val="00456B2F"/>
    <w:rsid w:val="004603A6"/>
    <w:rsid w:val="00460CC6"/>
    <w:rsid w:val="004619AB"/>
    <w:rsid w:val="00463173"/>
    <w:rsid w:val="00463EC0"/>
    <w:rsid w:val="00463F7E"/>
    <w:rsid w:val="0047487D"/>
    <w:rsid w:val="00477D50"/>
    <w:rsid w:val="00477FB9"/>
    <w:rsid w:val="00480B34"/>
    <w:rsid w:val="00481861"/>
    <w:rsid w:val="0048194C"/>
    <w:rsid w:val="004848F9"/>
    <w:rsid w:val="0048572D"/>
    <w:rsid w:val="0048585C"/>
    <w:rsid w:val="00486293"/>
    <w:rsid w:val="00496F97"/>
    <w:rsid w:val="004A63EC"/>
    <w:rsid w:val="004A6B0B"/>
    <w:rsid w:val="004B38C1"/>
    <w:rsid w:val="004B407D"/>
    <w:rsid w:val="004B53CF"/>
    <w:rsid w:val="004B63C0"/>
    <w:rsid w:val="004C0221"/>
    <w:rsid w:val="004C4464"/>
    <w:rsid w:val="004D2238"/>
    <w:rsid w:val="004D26F2"/>
    <w:rsid w:val="004D2C12"/>
    <w:rsid w:val="004D3ECD"/>
    <w:rsid w:val="004E1658"/>
    <w:rsid w:val="004E7BEC"/>
    <w:rsid w:val="0050182F"/>
    <w:rsid w:val="00502192"/>
    <w:rsid w:val="00502D7C"/>
    <w:rsid w:val="00512B32"/>
    <w:rsid w:val="00515727"/>
    <w:rsid w:val="00516B8D"/>
    <w:rsid w:val="0052031C"/>
    <w:rsid w:val="00523044"/>
    <w:rsid w:val="00527857"/>
    <w:rsid w:val="00532337"/>
    <w:rsid w:val="00535F39"/>
    <w:rsid w:val="00537FBC"/>
    <w:rsid w:val="005426A2"/>
    <w:rsid w:val="005435CB"/>
    <w:rsid w:val="00544776"/>
    <w:rsid w:val="00545296"/>
    <w:rsid w:val="00545504"/>
    <w:rsid w:val="00553CD0"/>
    <w:rsid w:val="00554D14"/>
    <w:rsid w:val="0055660B"/>
    <w:rsid w:val="00560172"/>
    <w:rsid w:val="005623B9"/>
    <w:rsid w:val="00567C14"/>
    <w:rsid w:val="00577775"/>
    <w:rsid w:val="00580B11"/>
    <w:rsid w:val="00581F99"/>
    <w:rsid w:val="00584811"/>
    <w:rsid w:val="00592550"/>
    <w:rsid w:val="00593AA6"/>
    <w:rsid w:val="00594161"/>
    <w:rsid w:val="00594749"/>
    <w:rsid w:val="005A0E72"/>
    <w:rsid w:val="005A27E6"/>
    <w:rsid w:val="005A2E03"/>
    <w:rsid w:val="005A420D"/>
    <w:rsid w:val="005A4447"/>
    <w:rsid w:val="005A6928"/>
    <w:rsid w:val="005B112B"/>
    <w:rsid w:val="005B19EB"/>
    <w:rsid w:val="005B4067"/>
    <w:rsid w:val="005C3C50"/>
    <w:rsid w:val="005C3F41"/>
    <w:rsid w:val="005C5911"/>
    <w:rsid w:val="005C7236"/>
    <w:rsid w:val="005D3471"/>
    <w:rsid w:val="005D4663"/>
    <w:rsid w:val="005D7042"/>
    <w:rsid w:val="005D74DB"/>
    <w:rsid w:val="005E0429"/>
    <w:rsid w:val="005E0F38"/>
    <w:rsid w:val="005E3800"/>
    <w:rsid w:val="005E57FD"/>
    <w:rsid w:val="005E7E54"/>
    <w:rsid w:val="005F0762"/>
    <w:rsid w:val="005F0A35"/>
    <w:rsid w:val="005F4FFB"/>
    <w:rsid w:val="005F5A73"/>
    <w:rsid w:val="00600219"/>
    <w:rsid w:val="00601309"/>
    <w:rsid w:val="00601F64"/>
    <w:rsid w:val="00602388"/>
    <w:rsid w:val="006025E8"/>
    <w:rsid w:val="00603CCF"/>
    <w:rsid w:val="00622BC3"/>
    <w:rsid w:val="00625537"/>
    <w:rsid w:val="0063376C"/>
    <w:rsid w:val="00634FF4"/>
    <w:rsid w:val="006372F5"/>
    <w:rsid w:val="0064240B"/>
    <w:rsid w:val="006464FC"/>
    <w:rsid w:val="006469EB"/>
    <w:rsid w:val="0065617E"/>
    <w:rsid w:val="0066047C"/>
    <w:rsid w:val="0066075B"/>
    <w:rsid w:val="006629F5"/>
    <w:rsid w:val="00664F29"/>
    <w:rsid w:val="00677CC2"/>
    <w:rsid w:val="006822F3"/>
    <w:rsid w:val="006905DE"/>
    <w:rsid w:val="0069207B"/>
    <w:rsid w:val="0069210F"/>
    <w:rsid w:val="006949D8"/>
    <w:rsid w:val="0069795C"/>
    <w:rsid w:val="006A597E"/>
    <w:rsid w:val="006A5D46"/>
    <w:rsid w:val="006A5ED1"/>
    <w:rsid w:val="006B3D2D"/>
    <w:rsid w:val="006B514A"/>
    <w:rsid w:val="006B6E88"/>
    <w:rsid w:val="006C2723"/>
    <w:rsid w:val="006C2748"/>
    <w:rsid w:val="006C362B"/>
    <w:rsid w:val="006C41FA"/>
    <w:rsid w:val="006C6109"/>
    <w:rsid w:val="006C7F8C"/>
    <w:rsid w:val="006D4460"/>
    <w:rsid w:val="006D5E84"/>
    <w:rsid w:val="006E0987"/>
    <w:rsid w:val="006E2ACA"/>
    <w:rsid w:val="006E6FFF"/>
    <w:rsid w:val="006E7688"/>
    <w:rsid w:val="006F14B4"/>
    <w:rsid w:val="006F318F"/>
    <w:rsid w:val="006F4EF4"/>
    <w:rsid w:val="006F6D10"/>
    <w:rsid w:val="00700B2C"/>
    <w:rsid w:val="00705F83"/>
    <w:rsid w:val="00712EA1"/>
    <w:rsid w:val="00713084"/>
    <w:rsid w:val="00715914"/>
    <w:rsid w:val="00716F78"/>
    <w:rsid w:val="007175A4"/>
    <w:rsid w:val="00720E3A"/>
    <w:rsid w:val="0072485B"/>
    <w:rsid w:val="00724CB3"/>
    <w:rsid w:val="007254B2"/>
    <w:rsid w:val="00731E00"/>
    <w:rsid w:val="00731F2F"/>
    <w:rsid w:val="007404A5"/>
    <w:rsid w:val="00741A00"/>
    <w:rsid w:val="00742171"/>
    <w:rsid w:val="00743BA9"/>
    <w:rsid w:val="007440B7"/>
    <w:rsid w:val="00744668"/>
    <w:rsid w:val="00745A53"/>
    <w:rsid w:val="007460E0"/>
    <w:rsid w:val="007469DE"/>
    <w:rsid w:val="00746C1A"/>
    <w:rsid w:val="00762D20"/>
    <w:rsid w:val="00764A47"/>
    <w:rsid w:val="00765BAE"/>
    <w:rsid w:val="00770DF8"/>
    <w:rsid w:val="007715C9"/>
    <w:rsid w:val="00774EDD"/>
    <w:rsid w:val="007757EC"/>
    <w:rsid w:val="007769FE"/>
    <w:rsid w:val="00777CF3"/>
    <w:rsid w:val="007815AC"/>
    <w:rsid w:val="00787662"/>
    <w:rsid w:val="00790EA8"/>
    <w:rsid w:val="007924FC"/>
    <w:rsid w:val="00792D3B"/>
    <w:rsid w:val="007931D9"/>
    <w:rsid w:val="007952D1"/>
    <w:rsid w:val="00795317"/>
    <w:rsid w:val="007A37FF"/>
    <w:rsid w:val="007A6C53"/>
    <w:rsid w:val="007B37BD"/>
    <w:rsid w:val="007B5A54"/>
    <w:rsid w:val="007B75F4"/>
    <w:rsid w:val="007D07EF"/>
    <w:rsid w:val="007D5037"/>
    <w:rsid w:val="007D5D89"/>
    <w:rsid w:val="007E2056"/>
    <w:rsid w:val="007E4E32"/>
    <w:rsid w:val="007E55FD"/>
    <w:rsid w:val="007E61BA"/>
    <w:rsid w:val="007F06C7"/>
    <w:rsid w:val="007F329D"/>
    <w:rsid w:val="007F3433"/>
    <w:rsid w:val="007F7F09"/>
    <w:rsid w:val="00800437"/>
    <w:rsid w:val="008033DF"/>
    <w:rsid w:val="008049B8"/>
    <w:rsid w:val="008052B3"/>
    <w:rsid w:val="00807F58"/>
    <w:rsid w:val="008107D0"/>
    <w:rsid w:val="008114B9"/>
    <w:rsid w:val="00814A0F"/>
    <w:rsid w:val="008227EA"/>
    <w:rsid w:val="008316C3"/>
    <w:rsid w:val="00833E4D"/>
    <w:rsid w:val="0083793B"/>
    <w:rsid w:val="0084160E"/>
    <w:rsid w:val="0084210D"/>
    <w:rsid w:val="008422C3"/>
    <w:rsid w:val="0084395C"/>
    <w:rsid w:val="00843995"/>
    <w:rsid w:val="00843C0F"/>
    <w:rsid w:val="0085473A"/>
    <w:rsid w:val="0085599D"/>
    <w:rsid w:val="00856A31"/>
    <w:rsid w:val="008601D8"/>
    <w:rsid w:val="00862797"/>
    <w:rsid w:val="0086480C"/>
    <w:rsid w:val="0086507D"/>
    <w:rsid w:val="00870773"/>
    <w:rsid w:val="00870D8D"/>
    <w:rsid w:val="00871D04"/>
    <w:rsid w:val="00875250"/>
    <w:rsid w:val="008754D0"/>
    <w:rsid w:val="00876449"/>
    <w:rsid w:val="00880E8A"/>
    <w:rsid w:val="00881B8F"/>
    <w:rsid w:val="0088253E"/>
    <w:rsid w:val="00883098"/>
    <w:rsid w:val="00883494"/>
    <w:rsid w:val="00887471"/>
    <w:rsid w:val="0089107B"/>
    <w:rsid w:val="008928EF"/>
    <w:rsid w:val="00892DD3"/>
    <w:rsid w:val="00895C09"/>
    <w:rsid w:val="00895EA2"/>
    <w:rsid w:val="008A110C"/>
    <w:rsid w:val="008A132A"/>
    <w:rsid w:val="008A27FC"/>
    <w:rsid w:val="008A53DA"/>
    <w:rsid w:val="008A7D93"/>
    <w:rsid w:val="008B19C8"/>
    <w:rsid w:val="008B3B0F"/>
    <w:rsid w:val="008B4392"/>
    <w:rsid w:val="008B7356"/>
    <w:rsid w:val="008B7DFC"/>
    <w:rsid w:val="008C1AFF"/>
    <w:rsid w:val="008C1CF0"/>
    <w:rsid w:val="008C4901"/>
    <w:rsid w:val="008C7693"/>
    <w:rsid w:val="008D0EE0"/>
    <w:rsid w:val="008D165D"/>
    <w:rsid w:val="008D2DF7"/>
    <w:rsid w:val="008E318C"/>
    <w:rsid w:val="008F23A2"/>
    <w:rsid w:val="008F54E7"/>
    <w:rsid w:val="00902065"/>
    <w:rsid w:val="00903422"/>
    <w:rsid w:val="00904A28"/>
    <w:rsid w:val="00910306"/>
    <w:rsid w:val="00913EEB"/>
    <w:rsid w:val="009213B7"/>
    <w:rsid w:val="009265BF"/>
    <w:rsid w:val="009315AA"/>
    <w:rsid w:val="00932377"/>
    <w:rsid w:val="009372E9"/>
    <w:rsid w:val="00940885"/>
    <w:rsid w:val="00940FAF"/>
    <w:rsid w:val="00946AB5"/>
    <w:rsid w:val="00947D5A"/>
    <w:rsid w:val="009523A0"/>
    <w:rsid w:val="009532A5"/>
    <w:rsid w:val="00953508"/>
    <w:rsid w:val="00957348"/>
    <w:rsid w:val="0096039C"/>
    <w:rsid w:val="009613CE"/>
    <w:rsid w:val="0096159B"/>
    <w:rsid w:val="00961927"/>
    <w:rsid w:val="0097146B"/>
    <w:rsid w:val="0097626B"/>
    <w:rsid w:val="009821A7"/>
    <w:rsid w:val="009851AC"/>
    <w:rsid w:val="00985B5D"/>
    <w:rsid w:val="009868E9"/>
    <w:rsid w:val="00990ED3"/>
    <w:rsid w:val="009933AE"/>
    <w:rsid w:val="00993BD3"/>
    <w:rsid w:val="0099608C"/>
    <w:rsid w:val="0099665D"/>
    <w:rsid w:val="00996E9C"/>
    <w:rsid w:val="009B087C"/>
    <w:rsid w:val="009B265C"/>
    <w:rsid w:val="009B67C6"/>
    <w:rsid w:val="009C4658"/>
    <w:rsid w:val="009C6470"/>
    <w:rsid w:val="009D006B"/>
    <w:rsid w:val="009D1939"/>
    <w:rsid w:val="009D625D"/>
    <w:rsid w:val="009E1D13"/>
    <w:rsid w:val="009F02CC"/>
    <w:rsid w:val="009F374D"/>
    <w:rsid w:val="009F4547"/>
    <w:rsid w:val="009F5CA8"/>
    <w:rsid w:val="00A03DF4"/>
    <w:rsid w:val="00A0454E"/>
    <w:rsid w:val="00A050D7"/>
    <w:rsid w:val="00A07EFE"/>
    <w:rsid w:val="00A15C98"/>
    <w:rsid w:val="00A172DC"/>
    <w:rsid w:val="00A22C98"/>
    <w:rsid w:val="00A231E2"/>
    <w:rsid w:val="00A27B40"/>
    <w:rsid w:val="00A550FD"/>
    <w:rsid w:val="00A55A87"/>
    <w:rsid w:val="00A5760F"/>
    <w:rsid w:val="00A60768"/>
    <w:rsid w:val="00A61772"/>
    <w:rsid w:val="00A6190D"/>
    <w:rsid w:val="00A62956"/>
    <w:rsid w:val="00A64912"/>
    <w:rsid w:val="00A70A74"/>
    <w:rsid w:val="00A753CC"/>
    <w:rsid w:val="00A765C2"/>
    <w:rsid w:val="00A7716D"/>
    <w:rsid w:val="00A81C46"/>
    <w:rsid w:val="00A82B14"/>
    <w:rsid w:val="00A87811"/>
    <w:rsid w:val="00A87CAC"/>
    <w:rsid w:val="00A92318"/>
    <w:rsid w:val="00A930F1"/>
    <w:rsid w:val="00A9413F"/>
    <w:rsid w:val="00AA1BCF"/>
    <w:rsid w:val="00AA5AEB"/>
    <w:rsid w:val="00AB42CB"/>
    <w:rsid w:val="00AB4796"/>
    <w:rsid w:val="00AB53F3"/>
    <w:rsid w:val="00AB6112"/>
    <w:rsid w:val="00AB7686"/>
    <w:rsid w:val="00AB78BC"/>
    <w:rsid w:val="00AC39C7"/>
    <w:rsid w:val="00AC4365"/>
    <w:rsid w:val="00AC4BB2"/>
    <w:rsid w:val="00AC5470"/>
    <w:rsid w:val="00AC719E"/>
    <w:rsid w:val="00AC78EE"/>
    <w:rsid w:val="00AD50ED"/>
    <w:rsid w:val="00AD5641"/>
    <w:rsid w:val="00AE2987"/>
    <w:rsid w:val="00AE5552"/>
    <w:rsid w:val="00AE5CA2"/>
    <w:rsid w:val="00AF06CF"/>
    <w:rsid w:val="00AF46A0"/>
    <w:rsid w:val="00AF4E2A"/>
    <w:rsid w:val="00AF520F"/>
    <w:rsid w:val="00AF75A9"/>
    <w:rsid w:val="00AF75E9"/>
    <w:rsid w:val="00B009FE"/>
    <w:rsid w:val="00B17026"/>
    <w:rsid w:val="00B20224"/>
    <w:rsid w:val="00B23C28"/>
    <w:rsid w:val="00B25BAC"/>
    <w:rsid w:val="00B2628F"/>
    <w:rsid w:val="00B275DE"/>
    <w:rsid w:val="00B27B0E"/>
    <w:rsid w:val="00B33B3C"/>
    <w:rsid w:val="00B34B43"/>
    <w:rsid w:val="00B368B0"/>
    <w:rsid w:val="00B37644"/>
    <w:rsid w:val="00B41F52"/>
    <w:rsid w:val="00B45D23"/>
    <w:rsid w:val="00B51A2B"/>
    <w:rsid w:val="00B5674F"/>
    <w:rsid w:val="00B61588"/>
    <w:rsid w:val="00B616AE"/>
    <w:rsid w:val="00B63834"/>
    <w:rsid w:val="00B63D91"/>
    <w:rsid w:val="00B646E3"/>
    <w:rsid w:val="00B73C12"/>
    <w:rsid w:val="00B77A4B"/>
    <w:rsid w:val="00B80199"/>
    <w:rsid w:val="00B817D7"/>
    <w:rsid w:val="00B82243"/>
    <w:rsid w:val="00B84214"/>
    <w:rsid w:val="00B86188"/>
    <w:rsid w:val="00B87FE2"/>
    <w:rsid w:val="00B93C07"/>
    <w:rsid w:val="00B93F3D"/>
    <w:rsid w:val="00B9706F"/>
    <w:rsid w:val="00BA00B6"/>
    <w:rsid w:val="00BA15C6"/>
    <w:rsid w:val="00BA220B"/>
    <w:rsid w:val="00BA4834"/>
    <w:rsid w:val="00BA5645"/>
    <w:rsid w:val="00BA66EC"/>
    <w:rsid w:val="00BB0A67"/>
    <w:rsid w:val="00BB1695"/>
    <w:rsid w:val="00BB4856"/>
    <w:rsid w:val="00BC0731"/>
    <w:rsid w:val="00BD7274"/>
    <w:rsid w:val="00BD77AB"/>
    <w:rsid w:val="00BE3D60"/>
    <w:rsid w:val="00BE5518"/>
    <w:rsid w:val="00BE6B76"/>
    <w:rsid w:val="00BE719A"/>
    <w:rsid w:val="00BE720A"/>
    <w:rsid w:val="00BF170A"/>
    <w:rsid w:val="00BF1970"/>
    <w:rsid w:val="00BF2E5B"/>
    <w:rsid w:val="00BF3943"/>
    <w:rsid w:val="00BF596B"/>
    <w:rsid w:val="00BF5B75"/>
    <w:rsid w:val="00BF6BCB"/>
    <w:rsid w:val="00C003EA"/>
    <w:rsid w:val="00C01C63"/>
    <w:rsid w:val="00C122FF"/>
    <w:rsid w:val="00C125D8"/>
    <w:rsid w:val="00C14779"/>
    <w:rsid w:val="00C1659E"/>
    <w:rsid w:val="00C2127B"/>
    <w:rsid w:val="00C25299"/>
    <w:rsid w:val="00C3133B"/>
    <w:rsid w:val="00C33A7B"/>
    <w:rsid w:val="00C41395"/>
    <w:rsid w:val="00C42BF8"/>
    <w:rsid w:val="00C50043"/>
    <w:rsid w:val="00C52681"/>
    <w:rsid w:val="00C53158"/>
    <w:rsid w:val="00C535BF"/>
    <w:rsid w:val="00C5509A"/>
    <w:rsid w:val="00C55470"/>
    <w:rsid w:val="00C718D9"/>
    <w:rsid w:val="00C74FD3"/>
    <w:rsid w:val="00C7573B"/>
    <w:rsid w:val="00C75AA3"/>
    <w:rsid w:val="00C77865"/>
    <w:rsid w:val="00C859FF"/>
    <w:rsid w:val="00C85D59"/>
    <w:rsid w:val="00C86928"/>
    <w:rsid w:val="00C92FED"/>
    <w:rsid w:val="00C9544A"/>
    <w:rsid w:val="00C95E5E"/>
    <w:rsid w:val="00CA3AF1"/>
    <w:rsid w:val="00CA676C"/>
    <w:rsid w:val="00CB2581"/>
    <w:rsid w:val="00CC1372"/>
    <w:rsid w:val="00CC5F49"/>
    <w:rsid w:val="00CD23AB"/>
    <w:rsid w:val="00CE1DD9"/>
    <w:rsid w:val="00CE4F5F"/>
    <w:rsid w:val="00CF0BB2"/>
    <w:rsid w:val="00CF3EE8"/>
    <w:rsid w:val="00D0627E"/>
    <w:rsid w:val="00D117BF"/>
    <w:rsid w:val="00D13141"/>
    <w:rsid w:val="00D13441"/>
    <w:rsid w:val="00D14EC7"/>
    <w:rsid w:val="00D16BD5"/>
    <w:rsid w:val="00D256F3"/>
    <w:rsid w:val="00D276BF"/>
    <w:rsid w:val="00D278B8"/>
    <w:rsid w:val="00D371AF"/>
    <w:rsid w:val="00D419AE"/>
    <w:rsid w:val="00D42CE9"/>
    <w:rsid w:val="00D471AE"/>
    <w:rsid w:val="00D473B5"/>
    <w:rsid w:val="00D50638"/>
    <w:rsid w:val="00D55257"/>
    <w:rsid w:val="00D613C8"/>
    <w:rsid w:val="00D6393F"/>
    <w:rsid w:val="00D66B3C"/>
    <w:rsid w:val="00D67061"/>
    <w:rsid w:val="00D70DFB"/>
    <w:rsid w:val="00D73444"/>
    <w:rsid w:val="00D74249"/>
    <w:rsid w:val="00D75A98"/>
    <w:rsid w:val="00D766DF"/>
    <w:rsid w:val="00D8280A"/>
    <w:rsid w:val="00D97280"/>
    <w:rsid w:val="00DA54B2"/>
    <w:rsid w:val="00DA6185"/>
    <w:rsid w:val="00DA6326"/>
    <w:rsid w:val="00DB14F2"/>
    <w:rsid w:val="00DB3B00"/>
    <w:rsid w:val="00DB4DA6"/>
    <w:rsid w:val="00DC4F88"/>
    <w:rsid w:val="00DD119F"/>
    <w:rsid w:val="00DD2639"/>
    <w:rsid w:val="00DD51EA"/>
    <w:rsid w:val="00DD5E3E"/>
    <w:rsid w:val="00DE4114"/>
    <w:rsid w:val="00DF2145"/>
    <w:rsid w:val="00DF4CC6"/>
    <w:rsid w:val="00DF66F7"/>
    <w:rsid w:val="00DF6EEA"/>
    <w:rsid w:val="00E05704"/>
    <w:rsid w:val="00E118B9"/>
    <w:rsid w:val="00E1367B"/>
    <w:rsid w:val="00E159D1"/>
    <w:rsid w:val="00E17108"/>
    <w:rsid w:val="00E26E83"/>
    <w:rsid w:val="00E27053"/>
    <w:rsid w:val="00E27BD0"/>
    <w:rsid w:val="00E3021E"/>
    <w:rsid w:val="00E3097E"/>
    <w:rsid w:val="00E30FCA"/>
    <w:rsid w:val="00E338EF"/>
    <w:rsid w:val="00E34A33"/>
    <w:rsid w:val="00E43968"/>
    <w:rsid w:val="00E507C7"/>
    <w:rsid w:val="00E55E7A"/>
    <w:rsid w:val="00E56744"/>
    <w:rsid w:val="00E613F3"/>
    <w:rsid w:val="00E61E61"/>
    <w:rsid w:val="00E71904"/>
    <w:rsid w:val="00E7220A"/>
    <w:rsid w:val="00E7441B"/>
    <w:rsid w:val="00E74AC2"/>
    <w:rsid w:val="00E74DC7"/>
    <w:rsid w:val="00E75AEA"/>
    <w:rsid w:val="00E81C6F"/>
    <w:rsid w:val="00E8211A"/>
    <w:rsid w:val="00E87BDF"/>
    <w:rsid w:val="00E910F5"/>
    <w:rsid w:val="00E94D5E"/>
    <w:rsid w:val="00EA7100"/>
    <w:rsid w:val="00EB1780"/>
    <w:rsid w:val="00EB26BA"/>
    <w:rsid w:val="00EB3432"/>
    <w:rsid w:val="00EB7AC1"/>
    <w:rsid w:val="00EC11E3"/>
    <w:rsid w:val="00EC311B"/>
    <w:rsid w:val="00EC3721"/>
    <w:rsid w:val="00EC4ECE"/>
    <w:rsid w:val="00EC7B96"/>
    <w:rsid w:val="00ED0121"/>
    <w:rsid w:val="00EE0AD4"/>
    <w:rsid w:val="00EE0E0F"/>
    <w:rsid w:val="00EE2F84"/>
    <w:rsid w:val="00EF06F0"/>
    <w:rsid w:val="00EF2E3A"/>
    <w:rsid w:val="00EF3495"/>
    <w:rsid w:val="00EF578D"/>
    <w:rsid w:val="00F0228A"/>
    <w:rsid w:val="00F0444A"/>
    <w:rsid w:val="00F072A7"/>
    <w:rsid w:val="00F078DC"/>
    <w:rsid w:val="00F11144"/>
    <w:rsid w:val="00F12083"/>
    <w:rsid w:val="00F167BE"/>
    <w:rsid w:val="00F21FE6"/>
    <w:rsid w:val="00F30641"/>
    <w:rsid w:val="00F3299C"/>
    <w:rsid w:val="00F41644"/>
    <w:rsid w:val="00F4305A"/>
    <w:rsid w:val="00F52330"/>
    <w:rsid w:val="00F53324"/>
    <w:rsid w:val="00F5510B"/>
    <w:rsid w:val="00F576B6"/>
    <w:rsid w:val="00F61112"/>
    <w:rsid w:val="00F65A8B"/>
    <w:rsid w:val="00F713C2"/>
    <w:rsid w:val="00F71650"/>
    <w:rsid w:val="00F73BD6"/>
    <w:rsid w:val="00F74733"/>
    <w:rsid w:val="00F813F4"/>
    <w:rsid w:val="00F824F8"/>
    <w:rsid w:val="00F83989"/>
    <w:rsid w:val="00F91403"/>
    <w:rsid w:val="00F95A47"/>
    <w:rsid w:val="00FA24D3"/>
    <w:rsid w:val="00FA5606"/>
    <w:rsid w:val="00FB40BA"/>
    <w:rsid w:val="00FB6078"/>
    <w:rsid w:val="00FB7482"/>
    <w:rsid w:val="00FC0EFD"/>
    <w:rsid w:val="00FC55A3"/>
    <w:rsid w:val="00FC6E0E"/>
    <w:rsid w:val="00FD2C28"/>
    <w:rsid w:val="00FD3083"/>
    <w:rsid w:val="00FD53C3"/>
    <w:rsid w:val="00FD7CDA"/>
    <w:rsid w:val="00FE2847"/>
    <w:rsid w:val="00FE5258"/>
    <w:rsid w:val="00FE5341"/>
    <w:rsid w:val="00FE6714"/>
    <w:rsid w:val="00FF00F1"/>
    <w:rsid w:val="00FF0A7E"/>
    <w:rsid w:val="00FF3201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33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1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1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1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1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0B61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1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1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18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1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330F"/>
  </w:style>
  <w:style w:type="paragraph" w:customStyle="1" w:styleId="OPCParaBase">
    <w:name w:val="OPCParaBase"/>
    <w:qFormat/>
    <w:rsid w:val="004333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333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333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333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333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33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333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33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33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33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33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3330F"/>
  </w:style>
  <w:style w:type="paragraph" w:customStyle="1" w:styleId="Blocks">
    <w:name w:val="Blocks"/>
    <w:aliases w:val="bb"/>
    <w:basedOn w:val="OPCParaBase"/>
    <w:qFormat/>
    <w:rsid w:val="004333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33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33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330F"/>
    <w:rPr>
      <w:i/>
    </w:rPr>
  </w:style>
  <w:style w:type="paragraph" w:customStyle="1" w:styleId="BoxList">
    <w:name w:val="BoxList"/>
    <w:aliases w:val="bl"/>
    <w:basedOn w:val="BoxText"/>
    <w:qFormat/>
    <w:rsid w:val="004333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33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33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330F"/>
    <w:pPr>
      <w:ind w:left="1985" w:hanging="851"/>
    </w:pPr>
  </w:style>
  <w:style w:type="character" w:customStyle="1" w:styleId="CharAmPartNo">
    <w:name w:val="CharAmPartNo"/>
    <w:basedOn w:val="OPCCharBase"/>
    <w:qFormat/>
    <w:rsid w:val="0043330F"/>
  </w:style>
  <w:style w:type="character" w:customStyle="1" w:styleId="CharAmPartText">
    <w:name w:val="CharAmPartText"/>
    <w:basedOn w:val="OPCCharBase"/>
    <w:qFormat/>
    <w:rsid w:val="0043330F"/>
  </w:style>
  <w:style w:type="character" w:customStyle="1" w:styleId="CharAmSchNo">
    <w:name w:val="CharAmSchNo"/>
    <w:basedOn w:val="OPCCharBase"/>
    <w:qFormat/>
    <w:rsid w:val="0043330F"/>
  </w:style>
  <w:style w:type="character" w:customStyle="1" w:styleId="CharAmSchText">
    <w:name w:val="CharAmSchText"/>
    <w:basedOn w:val="OPCCharBase"/>
    <w:qFormat/>
    <w:rsid w:val="0043330F"/>
  </w:style>
  <w:style w:type="character" w:customStyle="1" w:styleId="CharBoldItalic">
    <w:name w:val="CharBoldItalic"/>
    <w:basedOn w:val="OPCCharBase"/>
    <w:uiPriority w:val="1"/>
    <w:qFormat/>
    <w:rsid w:val="004333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43330F"/>
  </w:style>
  <w:style w:type="character" w:customStyle="1" w:styleId="CharChapText">
    <w:name w:val="CharChapText"/>
    <w:basedOn w:val="OPCCharBase"/>
    <w:uiPriority w:val="1"/>
    <w:qFormat/>
    <w:rsid w:val="0043330F"/>
  </w:style>
  <w:style w:type="character" w:customStyle="1" w:styleId="CharDivNo">
    <w:name w:val="CharDivNo"/>
    <w:basedOn w:val="OPCCharBase"/>
    <w:uiPriority w:val="1"/>
    <w:qFormat/>
    <w:rsid w:val="0043330F"/>
  </w:style>
  <w:style w:type="character" w:customStyle="1" w:styleId="CharDivText">
    <w:name w:val="CharDivText"/>
    <w:basedOn w:val="OPCCharBase"/>
    <w:uiPriority w:val="1"/>
    <w:qFormat/>
    <w:rsid w:val="0043330F"/>
  </w:style>
  <w:style w:type="character" w:customStyle="1" w:styleId="CharItalic">
    <w:name w:val="CharItalic"/>
    <w:basedOn w:val="OPCCharBase"/>
    <w:uiPriority w:val="1"/>
    <w:qFormat/>
    <w:rsid w:val="0043330F"/>
    <w:rPr>
      <w:i/>
    </w:rPr>
  </w:style>
  <w:style w:type="character" w:customStyle="1" w:styleId="CharPartNo">
    <w:name w:val="CharPartNo"/>
    <w:basedOn w:val="OPCCharBase"/>
    <w:uiPriority w:val="1"/>
    <w:qFormat/>
    <w:rsid w:val="0043330F"/>
  </w:style>
  <w:style w:type="character" w:customStyle="1" w:styleId="CharPartText">
    <w:name w:val="CharPartText"/>
    <w:basedOn w:val="OPCCharBase"/>
    <w:uiPriority w:val="1"/>
    <w:qFormat/>
    <w:rsid w:val="0043330F"/>
  </w:style>
  <w:style w:type="character" w:customStyle="1" w:styleId="CharSectno">
    <w:name w:val="CharSectno"/>
    <w:basedOn w:val="OPCCharBase"/>
    <w:qFormat/>
    <w:rsid w:val="0043330F"/>
  </w:style>
  <w:style w:type="character" w:customStyle="1" w:styleId="CharSubdNo">
    <w:name w:val="CharSubdNo"/>
    <w:basedOn w:val="OPCCharBase"/>
    <w:uiPriority w:val="1"/>
    <w:qFormat/>
    <w:rsid w:val="0043330F"/>
  </w:style>
  <w:style w:type="character" w:customStyle="1" w:styleId="CharSubdText">
    <w:name w:val="CharSubdText"/>
    <w:basedOn w:val="OPCCharBase"/>
    <w:uiPriority w:val="1"/>
    <w:qFormat/>
    <w:rsid w:val="0043330F"/>
  </w:style>
  <w:style w:type="paragraph" w:customStyle="1" w:styleId="CTA--">
    <w:name w:val="CTA --"/>
    <w:basedOn w:val="OPCParaBase"/>
    <w:next w:val="Normal"/>
    <w:rsid w:val="004333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33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33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33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33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33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33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33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33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33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33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33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33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33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333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43330F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4333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333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333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333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33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33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33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33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33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33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33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333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333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333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33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333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33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33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333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33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33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33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33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33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33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4333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33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33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33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33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33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33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33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33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33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3330F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3330F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3330F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3330F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3330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3330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3330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3330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3330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333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33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33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33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33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333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333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333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3330F"/>
    <w:rPr>
      <w:sz w:val="16"/>
    </w:rPr>
  </w:style>
  <w:style w:type="table" w:customStyle="1" w:styleId="CFlag">
    <w:name w:val="CFlag"/>
    <w:basedOn w:val="TableNormal"/>
    <w:uiPriority w:val="99"/>
    <w:rsid w:val="0043330F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43330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333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43330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3330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3330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333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333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33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33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33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3330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3330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333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33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43330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43330F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4333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4333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330F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4333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3330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43330F"/>
  </w:style>
  <w:style w:type="character" w:customStyle="1" w:styleId="CharSubPartTextCASA">
    <w:name w:val="CharSubPartText(CASA)"/>
    <w:basedOn w:val="OPCCharBase"/>
    <w:uiPriority w:val="1"/>
    <w:rsid w:val="0043330F"/>
  </w:style>
  <w:style w:type="paragraph" w:customStyle="1" w:styleId="SubPartCASA">
    <w:name w:val="SubPart(CASA)"/>
    <w:aliases w:val="csp"/>
    <w:basedOn w:val="OPCParaBase"/>
    <w:next w:val="ActHead3"/>
    <w:rsid w:val="004333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4333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33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33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330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3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333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18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333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3330F"/>
    <w:rPr>
      <w:sz w:val="22"/>
    </w:rPr>
  </w:style>
  <w:style w:type="paragraph" w:customStyle="1" w:styleId="SOTextNote">
    <w:name w:val="SO TextNote"/>
    <w:aliases w:val="sont"/>
    <w:basedOn w:val="SOText"/>
    <w:qFormat/>
    <w:rsid w:val="004333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333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3330F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333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333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333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3330F"/>
    <w:rPr>
      <w:sz w:val="18"/>
    </w:rPr>
  </w:style>
  <w:style w:type="paragraph" w:customStyle="1" w:styleId="FileName">
    <w:name w:val="FileName"/>
    <w:basedOn w:val="Normal"/>
    <w:rsid w:val="0043330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333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333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333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3330F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4333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3330F"/>
    <w:rPr>
      <w:sz w:val="22"/>
    </w:rPr>
  </w:style>
  <w:style w:type="paragraph" w:customStyle="1" w:styleId="ETAsubitem">
    <w:name w:val="ETA(subitem)"/>
    <w:basedOn w:val="OPCParaBase"/>
    <w:rsid w:val="004333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333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333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333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4333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3330F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43330F"/>
  </w:style>
  <w:style w:type="character" w:customStyle="1" w:styleId="subsectionChar">
    <w:name w:val="subsection Char"/>
    <w:aliases w:val="ss Char"/>
    <w:link w:val="subsection"/>
    <w:locked/>
    <w:rsid w:val="00B77A4B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B77A4B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B77A4B"/>
    <w:rPr>
      <w:rFonts w:eastAsia="Times New Roman" w:cs="Times New Roman"/>
      <w:b/>
      <w:kern w:val="28"/>
      <w:sz w:val="24"/>
      <w:lang w:eastAsia="en-AU"/>
    </w:rPr>
  </w:style>
  <w:style w:type="character" w:customStyle="1" w:styleId="DefinitionChar">
    <w:name w:val="Definition Char"/>
    <w:aliases w:val="dd Char"/>
    <w:link w:val="Definition"/>
    <w:locked/>
    <w:rsid w:val="00B77A4B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locked/>
    <w:rsid w:val="00B77A4B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15"/>
    <w:rPr>
      <w:rFonts w:ascii="Tahoma" w:hAnsi="Tahoma" w:cs="Tahoma"/>
      <w:sz w:val="16"/>
      <w:szCs w:val="16"/>
    </w:rPr>
  </w:style>
  <w:style w:type="character" w:customStyle="1" w:styleId="notetextChar">
    <w:name w:val="note(text) Char"/>
    <w:aliases w:val="n Char"/>
    <w:basedOn w:val="DefaultParagraphFont"/>
    <w:link w:val="notetext"/>
    <w:rsid w:val="000B618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B6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18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18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0B618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18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18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18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1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7B37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7BD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B19C8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B19C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B19C8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B19C8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B19C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ctNoCP">
    <w:name w:val="ActNoCP"/>
    <w:basedOn w:val="Actno"/>
    <w:link w:val="ActNoCPChar"/>
    <w:rsid w:val="004B53CF"/>
    <w:pPr>
      <w:spacing w:before="400"/>
    </w:pPr>
  </w:style>
  <w:style w:type="character" w:customStyle="1" w:styleId="ActNoCPChar">
    <w:name w:val="ActNoCP Char"/>
    <w:basedOn w:val="DefaultParagraphFont"/>
    <w:link w:val="ActNoCP"/>
    <w:rsid w:val="004B53CF"/>
    <w:rPr>
      <w:rFonts w:eastAsia="Times New Roman" w:cs="Times New Roman"/>
      <w:b/>
      <w:sz w:val="40"/>
      <w:lang w:eastAsia="en-AU"/>
    </w:rPr>
  </w:style>
  <w:style w:type="character" w:customStyle="1" w:styleId="ActnoChar">
    <w:name w:val="Actno Char"/>
    <w:basedOn w:val="DefaultParagraphFont"/>
    <w:link w:val="Actno"/>
    <w:rsid w:val="004B53CF"/>
    <w:rPr>
      <w:rFonts w:eastAsia="Times New Roman" w:cs="Times New Roman"/>
      <w:b/>
      <w:sz w:val="40"/>
      <w:lang w:eastAsia="en-AU"/>
    </w:rPr>
  </w:style>
  <w:style w:type="paragraph" w:customStyle="1" w:styleId="AssentDt">
    <w:name w:val="AssentDt"/>
    <w:basedOn w:val="Normal"/>
    <w:rsid w:val="00F0444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0444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0444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330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1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1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1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1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0B61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1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18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18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18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330F"/>
  </w:style>
  <w:style w:type="paragraph" w:customStyle="1" w:styleId="OPCParaBase">
    <w:name w:val="OPCParaBase"/>
    <w:qFormat/>
    <w:rsid w:val="0043330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3330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3330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3330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3330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330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3330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330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330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330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330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43330F"/>
  </w:style>
  <w:style w:type="paragraph" w:customStyle="1" w:styleId="Blocks">
    <w:name w:val="Blocks"/>
    <w:aliases w:val="bb"/>
    <w:basedOn w:val="OPCParaBase"/>
    <w:qFormat/>
    <w:rsid w:val="0043330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33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330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330F"/>
    <w:rPr>
      <w:i/>
    </w:rPr>
  </w:style>
  <w:style w:type="paragraph" w:customStyle="1" w:styleId="BoxList">
    <w:name w:val="BoxList"/>
    <w:aliases w:val="bl"/>
    <w:basedOn w:val="BoxText"/>
    <w:qFormat/>
    <w:rsid w:val="0043330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330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330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330F"/>
    <w:pPr>
      <w:ind w:left="1985" w:hanging="851"/>
    </w:pPr>
  </w:style>
  <w:style w:type="character" w:customStyle="1" w:styleId="CharAmPartNo">
    <w:name w:val="CharAmPartNo"/>
    <w:basedOn w:val="OPCCharBase"/>
    <w:qFormat/>
    <w:rsid w:val="0043330F"/>
  </w:style>
  <w:style w:type="character" w:customStyle="1" w:styleId="CharAmPartText">
    <w:name w:val="CharAmPartText"/>
    <w:basedOn w:val="OPCCharBase"/>
    <w:qFormat/>
    <w:rsid w:val="0043330F"/>
  </w:style>
  <w:style w:type="character" w:customStyle="1" w:styleId="CharAmSchNo">
    <w:name w:val="CharAmSchNo"/>
    <w:basedOn w:val="OPCCharBase"/>
    <w:qFormat/>
    <w:rsid w:val="0043330F"/>
  </w:style>
  <w:style w:type="character" w:customStyle="1" w:styleId="CharAmSchText">
    <w:name w:val="CharAmSchText"/>
    <w:basedOn w:val="OPCCharBase"/>
    <w:qFormat/>
    <w:rsid w:val="0043330F"/>
  </w:style>
  <w:style w:type="character" w:customStyle="1" w:styleId="CharBoldItalic">
    <w:name w:val="CharBoldItalic"/>
    <w:basedOn w:val="OPCCharBase"/>
    <w:uiPriority w:val="1"/>
    <w:qFormat/>
    <w:rsid w:val="0043330F"/>
    <w:rPr>
      <w:b/>
      <w:i/>
    </w:rPr>
  </w:style>
  <w:style w:type="character" w:customStyle="1" w:styleId="CharChapNo">
    <w:name w:val="CharChapNo"/>
    <w:basedOn w:val="OPCCharBase"/>
    <w:uiPriority w:val="1"/>
    <w:qFormat/>
    <w:rsid w:val="0043330F"/>
  </w:style>
  <w:style w:type="character" w:customStyle="1" w:styleId="CharChapText">
    <w:name w:val="CharChapText"/>
    <w:basedOn w:val="OPCCharBase"/>
    <w:uiPriority w:val="1"/>
    <w:qFormat/>
    <w:rsid w:val="0043330F"/>
  </w:style>
  <w:style w:type="character" w:customStyle="1" w:styleId="CharDivNo">
    <w:name w:val="CharDivNo"/>
    <w:basedOn w:val="OPCCharBase"/>
    <w:uiPriority w:val="1"/>
    <w:qFormat/>
    <w:rsid w:val="0043330F"/>
  </w:style>
  <w:style w:type="character" w:customStyle="1" w:styleId="CharDivText">
    <w:name w:val="CharDivText"/>
    <w:basedOn w:val="OPCCharBase"/>
    <w:uiPriority w:val="1"/>
    <w:qFormat/>
    <w:rsid w:val="0043330F"/>
  </w:style>
  <w:style w:type="character" w:customStyle="1" w:styleId="CharItalic">
    <w:name w:val="CharItalic"/>
    <w:basedOn w:val="OPCCharBase"/>
    <w:uiPriority w:val="1"/>
    <w:qFormat/>
    <w:rsid w:val="0043330F"/>
    <w:rPr>
      <w:i/>
    </w:rPr>
  </w:style>
  <w:style w:type="character" w:customStyle="1" w:styleId="CharPartNo">
    <w:name w:val="CharPartNo"/>
    <w:basedOn w:val="OPCCharBase"/>
    <w:uiPriority w:val="1"/>
    <w:qFormat/>
    <w:rsid w:val="0043330F"/>
  </w:style>
  <w:style w:type="character" w:customStyle="1" w:styleId="CharPartText">
    <w:name w:val="CharPartText"/>
    <w:basedOn w:val="OPCCharBase"/>
    <w:uiPriority w:val="1"/>
    <w:qFormat/>
    <w:rsid w:val="0043330F"/>
  </w:style>
  <w:style w:type="character" w:customStyle="1" w:styleId="CharSectno">
    <w:name w:val="CharSectno"/>
    <w:basedOn w:val="OPCCharBase"/>
    <w:qFormat/>
    <w:rsid w:val="0043330F"/>
  </w:style>
  <w:style w:type="character" w:customStyle="1" w:styleId="CharSubdNo">
    <w:name w:val="CharSubdNo"/>
    <w:basedOn w:val="OPCCharBase"/>
    <w:uiPriority w:val="1"/>
    <w:qFormat/>
    <w:rsid w:val="0043330F"/>
  </w:style>
  <w:style w:type="character" w:customStyle="1" w:styleId="CharSubdText">
    <w:name w:val="CharSubdText"/>
    <w:basedOn w:val="OPCCharBase"/>
    <w:uiPriority w:val="1"/>
    <w:qFormat/>
    <w:rsid w:val="0043330F"/>
  </w:style>
  <w:style w:type="paragraph" w:customStyle="1" w:styleId="CTA--">
    <w:name w:val="CTA --"/>
    <w:basedOn w:val="OPCParaBase"/>
    <w:next w:val="Normal"/>
    <w:rsid w:val="0043330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330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330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330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330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330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330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330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330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330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330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330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330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330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43330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43330F"/>
    <w:pPr>
      <w:spacing w:before="180" w:line="240" w:lineRule="auto"/>
      <w:ind w:left="1134"/>
    </w:pPr>
  </w:style>
  <w:style w:type="paragraph" w:customStyle="1" w:styleId="Formula">
    <w:name w:val="Formula"/>
    <w:basedOn w:val="OPCParaBase"/>
    <w:rsid w:val="0043330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3330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3330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3330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330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330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330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330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330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330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330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3330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3330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3330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330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43330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330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330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333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33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33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330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330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330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330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43330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330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330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330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330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330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33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330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330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330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3330F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43330F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3330F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3330F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3330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3330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3330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3330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3330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3330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330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330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330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330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3330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3330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3330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3330F"/>
    <w:rPr>
      <w:sz w:val="16"/>
    </w:rPr>
  </w:style>
  <w:style w:type="table" w:customStyle="1" w:styleId="CFlag">
    <w:name w:val="CFlag"/>
    <w:basedOn w:val="TableNormal"/>
    <w:uiPriority w:val="99"/>
    <w:rsid w:val="0043330F"/>
    <w:rPr>
      <w:rFonts w:eastAsia="Times New Roman" w:cs="Times New Roman"/>
      <w:lang w:eastAsia="en-AU"/>
    </w:rPr>
    <w:tblPr/>
  </w:style>
  <w:style w:type="paragraph" w:customStyle="1" w:styleId="SignCoverPageEnd">
    <w:name w:val="SignCoverPageEnd"/>
    <w:basedOn w:val="OPCParaBase"/>
    <w:next w:val="Normal"/>
    <w:rsid w:val="0043330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3330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CompiledActNo">
    <w:name w:val="CompiledActNo"/>
    <w:basedOn w:val="OPCParaBase"/>
    <w:next w:val="Normal"/>
    <w:rsid w:val="0043330F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3330F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3330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3330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3330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33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33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33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3330F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43330F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43330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330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43330F"/>
    <w:pPr>
      <w:spacing w:before="60" w:line="240" w:lineRule="atLeast"/>
    </w:pPr>
    <w:rPr>
      <w:sz w:val="16"/>
    </w:rPr>
  </w:style>
  <w:style w:type="paragraph" w:customStyle="1" w:styleId="ENoteTTi">
    <w:name w:val="ENoteTTi"/>
    <w:aliases w:val="entti"/>
    <w:basedOn w:val="OPCParaBase"/>
    <w:rsid w:val="0043330F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43330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sHeading1">
    <w:name w:val="ENotesHeading 1"/>
    <w:aliases w:val="Enh1"/>
    <w:basedOn w:val="OPCParaBase"/>
    <w:next w:val="Normal"/>
    <w:rsid w:val="0043330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330F"/>
    <w:pPr>
      <w:spacing w:before="120" w:after="120"/>
      <w:outlineLvl w:val="2"/>
    </w:pPr>
    <w:rPr>
      <w:b/>
      <w:sz w:val="24"/>
      <w:szCs w:val="28"/>
    </w:rPr>
  </w:style>
  <w:style w:type="paragraph" w:customStyle="1" w:styleId="MadeunderText">
    <w:name w:val="MadeunderText"/>
    <w:basedOn w:val="OPCParaBase"/>
    <w:next w:val="Normal"/>
    <w:rsid w:val="0043330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3330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NoCASA">
    <w:name w:val="CharSubPartNo(CASA)"/>
    <w:basedOn w:val="OPCCharBase"/>
    <w:uiPriority w:val="1"/>
    <w:rsid w:val="0043330F"/>
  </w:style>
  <w:style w:type="character" w:customStyle="1" w:styleId="CharSubPartTextCASA">
    <w:name w:val="CharSubPartText(CASA)"/>
    <w:basedOn w:val="OPCCharBase"/>
    <w:uiPriority w:val="1"/>
    <w:rsid w:val="0043330F"/>
  </w:style>
  <w:style w:type="paragraph" w:customStyle="1" w:styleId="SubPartCASA">
    <w:name w:val="SubPart(CASA)"/>
    <w:aliases w:val="csp"/>
    <w:basedOn w:val="OPCParaBase"/>
    <w:next w:val="ActHead3"/>
    <w:rsid w:val="0043330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ENoteTTIndentHeadingSub">
    <w:name w:val="ENoteTTIndentHeadingSub"/>
    <w:aliases w:val="enTTHis"/>
    <w:basedOn w:val="OPCParaBase"/>
    <w:rsid w:val="0043330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330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330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330F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433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43330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18D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333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3330F"/>
    <w:rPr>
      <w:sz w:val="22"/>
    </w:rPr>
  </w:style>
  <w:style w:type="paragraph" w:customStyle="1" w:styleId="SOTextNote">
    <w:name w:val="SO TextNote"/>
    <w:aliases w:val="sont"/>
    <w:basedOn w:val="SOText"/>
    <w:qFormat/>
    <w:rsid w:val="0043330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3330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3330F"/>
    <w:rPr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3330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3330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3330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3330F"/>
    <w:rPr>
      <w:sz w:val="18"/>
    </w:rPr>
  </w:style>
  <w:style w:type="paragraph" w:customStyle="1" w:styleId="FileName">
    <w:name w:val="FileName"/>
    <w:basedOn w:val="Normal"/>
    <w:rsid w:val="0043330F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3330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3330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3330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3330F"/>
    <w:rPr>
      <w:i/>
      <w:sz w:val="22"/>
    </w:rPr>
  </w:style>
  <w:style w:type="paragraph" w:customStyle="1" w:styleId="SOText2">
    <w:name w:val="SO Text2"/>
    <w:aliases w:val="sot2"/>
    <w:basedOn w:val="Normal"/>
    <w:next w:val="SOText"/>
    <w:link w:val="SOText2Char"/>
    <w:rsid w:val="0043330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3330F"/>
    <w:rPr>
      <w:sz w:val="22"/>
    </w:rPr>
  </w:style>
  <w:style w:type="paragraph" w:customStyle="1" w:styleId="ETAsubitem">
    <w:name w:val="ETA(subitem)"/>
    <w:basedOn w:val="OPCParaBase"/>
    <w:rsid w:val="0043330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3330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3330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3330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NotesHeading1">
    <w:name w:val="NotesHeading 1"/>
    <w:basedOn w:val="OPCParaBase"/>
    <w:next w:val="Normal"/>
    <w:rsid w:val="0043330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3330F"/>
    <w:rPr>
      <w:b/>
      <w:sz w:val="28"/>
      <w:szCs w:val="28"/>
    </w:rPr>
  </w:style>
  <w:style w:type="paragraph" w:customStyle="1" w:styleId="Transitional">
    <w:name w:val="Transitional"/>
    <w:aliases w:val="tr"/>
    <w:basedOn w:val="ItemHead"/>
    <w:next w:val="Item"/>
    <w:rsid w:val="0043330F"/>
  </w:style>
  <w:style w:type="character" w:customStyle="1" w:styleId="subsectionChar">
    <w:name w:val="subsection Char"/>
    <w:aliases w:val="ss Char"/>
    <w:link w:val="subsection"/>
    <w:locked/>
    <w:rsid w:val="00B77A4B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B77A4B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rsid w:val="00B77A4B"/>
    <w:rPr>
      <w:rFonts w:eastAsia="Times New Roman" w:cs="Times New Roman"/>
      <w:b/>
      <w:kern w:val="28"/>
      <w:sz w:val="24"/>
      <w:lang w:eastAsia="en-AU"/>
    </w:rPr>
  </w:style>
  <w:style w:type="character" w:customStyle="1" w:styleId="DefinitionChar">
    <w:name w:val="Definition Char"/>
    <w:aliases w:val="dd Char"/>
    <w:link w:val="Definition"/>
    <w:locked/>
    <w:rsid w:val="00B77A4B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locked/>
    <w:rsid w:val="00B77A4B"/>
    <w:rPr>
      <w:rFonts w:eastAsia="Times New Roman" w:cs="Times New Roman"/>
      <w:sz w:val="22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15"/>
    <w:rPr>
      <w:rFonts w:ascii="Tahoma" w:hAnsi="Tahoma" w:cs="Tahoma"/>
      <w:sz w:val="16"/>
      <w:szCs w:val="16"/>
    </w:rPr>
  </w:style>
  <w:style w:type="character" w:customStyle="1" w:styleId="notetextChar">
    <w:name w:val="note(text) Char"/>
    <w:aliases w:val="n Char"/>
    <w:basedOn w:val="DefaultParagraphFont"/>
    <w:link w:val="notetext"/>
    <w:rsid w:val="000B618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0B6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18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18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rsid w:val="000B618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18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18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18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1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7B37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7BD"/>
    <w:rPr>
      <w:color w:val="0000FF" w:themeColor="hyperlink"/>
      <w:u w:val="single"/>
    </w:rPr>
  </w:style>
  <w:style w:type="paragraph" w:customStyle="1" w:styleId="ShortTP1">
    <w:name w:val="ShortTP1"/>
    <w:basedOn w:val="ShortT"/>
    <w:link w:val="ShortTP1Char"/>
    <w:rsid w:val="008B19C8"/>
    <w:pPr>
      <w:spacing w:before="800"/>
    </w:pPr>
  </w:style>
  <w:style w:type="character" w:customStyle="1" w:styleId="ShortTP1Char">
    <w:name w:val="ShortTP1 Char"/>
    <w:basedOn w:val="DefaultParagraphFont"/>
    <w:link w:val="ShortTP1"/>
    <w:rsid w:val="008B19C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8B19C8"/>
    <w:pPr>
      <w:spacing w:before="800"/>
    </w:pPr>
    <w:rPr>
      <w:sz w:val="28"/>
    </w:rPr>
  </w:style>
  <w:style w:type="character" w:customStyle="1" w:styleId="ActNoP1Char">
    <w:name w:val="ActNoP1 Char"/>
    <w:basedOn w:val="DefaultParagraphFont"/>
    <w:link w:val="ActNoP1"/>
    <w:rsid w:val="008B19C8"/>
    <w:rPr>
      <w:rFonts w:eastAsia="Times New Roman" w:cs="Times New Roman"/>
      <w:b/>
      <w:sz w:val="28"/>
      <w:lang w:eastAsia="en-AU"/>
    </w:rPr>
  </w:style>
  <w:style w:type="paragraph" w:customStyle="1" w:styleId="AssentBk">
    <w:name w:val="AssentBk"/>
    <w:basedOn w:val="Normal"/>
    <w:rsid w:val="008B19C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ctNoCP">
    <w:name w:val="ActNoCP"/>
    <w:basedOn w:val="Actno"/>
    <w:link w:val="ActNoCPChar"/>
    <w:rsid w:val="004B53CF"/>
    <w:pPr>
      <w:spacing w:before="400"/>
    </w:pPr>
  </w:style>
  <w:style w:type="character" w:customStyle="1" w:styleId="ActNoCPChar">
    <w:name w:val="ActNoCP Char"/>
    <w:basedOn w:val="DefaultParagraphFont"/>
    <w:link w:val="ActNoCP"/>
    <w:rsid w:val="004B53CF"/>
    <w:rPr>
      <w:rFonts w:eastAsia="Times New Roman" w:cs="Times New Roman"/>
      <w:b/>
      <w:sz w:val="40"/>
      <w:lang w:eastAsia="en-AU"/>
    </w:rPr>
  </w:style>
  <w:style w:type="character" w:customStyle="1" w:styleId="ActnoChar">
    <w:name w:val="Actno Char"/>
    <w:basedOn w:val="DefaultParagraphFont"/>
    <w:link w:val="Actno"/>
    <w:rsid w:val="004B53CF"/>
    <w:rPr>
      <w:rFonts w:eastAsia="Times New Roman" w:cs="Times New Roman"/>
      <w:b/>
      <w:sz w:val="40"/>
      <w:lang w:eastAsia="en-AU"/>
    </w:rPr>
  </w:style>
  <w:style w:type="paragraph" w:customStyle="1" w:styleId="AssentDt">
    <w:name w:val="AssentDt"/>
    <w:basedOn w:val="Normal"/>
    <w:rsid w:val="00F0444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F0444A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F0444A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oleObject" Target="embeddings/oleObject4.bin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image" Target="media/image3.w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oleObject" Target="embeddings/oleObject3.bin"/><Relationship Id="rId32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image" Target="media/image2.wmf"/><Relationship Id="rId28" Type="http://schemas.openxmlformats.org/officeDocument/2006/relationships/header" Target="head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31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7.xml"/><Relationship Id="rId30" Type="http://schemas.openxmlformats.org/officeDocument/2006/relationships/footer" Target="foot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fick\AppData\Roaming\OPC-APH\bill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D72B-151B-44FA-A81F-F3088A40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bill_new.dotx</Template>
  <TotalTime>0</TotalTime>
  <Pages>16</Pages>
  <Words>2473</Words>
  <Characters>13097</Characters>
  <Application>Microsoft Office Word</Application>
  <DocSecurity>0</DocSecurity>
  <PresentationFormat/>
  <Lines>353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15357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2020-06-15T00:51:00Z</cp:lastPrinted>
  <dcterms:created xsi:type="dcterms:W3CDTF">2020-11-25T03:30:00Z</dcterms:created>
  <dcterms:modified xsi:type="dcterms:W3CDTF">2020-11-26T00:00:00Z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Higher Education (Up-front Payments Tuition Protection Levy) Act 2020</vt:lpwstr>
  </property>
  <property fmtid="{D5CDD505-2E9C-101B-9397-08002B2CF9AE}" pid="3" name="Class">
    <vt:lpwstr>BILL</vt:lpwstr>
  </property>
  <property fmtid="{D5CDD505-2E9C-101B-9397-08002B2CF9AE}" pid="4" name="Type">
    <vt:lpwstr>BILL</vt:lpwstr>
  </property>
  <property fmtid="{D5CDD505-2E9C-101B-9397-08002B2CF9AE}" pid="5" name="DocType">
    <vt:lpwstr>NEW</vt:lpwstr>
  </property>
  <property fmtid="{D5CDD505-2E9C-101B-9397-08002B2CF9AE}" pid="6" name="Header">
    <vt:lpwstr>Section</vt:lpwstr>
  </property>
  <property fmtid="{D5CDD505-2E9C-101B-9397-08002B2CF9AE}" pid="7" name="ID">
    <vt:lpwstr>OPC7483</vt:lpwstr>
  </property>
  <property fmtid="{D5CDD505-2E9C-101B-9397-08002B2CF9AE}" pid="8" name="ActNo">
    <vt:lpwstr>No. 102, 2020</vt:lpwstr>
  </property>
  <property fmtid="{D5CDD505-2E9C-101B-9397-08002B2CF9AE}" pid="9" name="Classification">
    <vt:lpwstr> </vt:lpwstr>
  </property>
  <property fmtid="{D5CDD505-2E9C-101B-9397-08002B2CF9AE}" pid="10" name="DLM">
    <vt:lpwstr> </vt:lpwstr>
  </property>
  <property fmtid="{D5CDD505-2E9C-101B-9397-08002B2CF9AE}" pid="11" name="DoNotAsk">
    <vt:lpwstr>0</vt:lpwstr>
  </property>
  <property fmtid="{D5CDD505-2E9C-101B-9397-08002B2CF9AE}" pid="12" name="ChangedTitle">
    <vt:lpwstr/>
  </property>
</Properties>
</file>