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E04BA" w14:textId="77777777" w:rsidR="00253A3F" w:rsidRDefault="00253A3F" w:rsidP="00253A3F">
      <w:r>
        <w:object w:dxaOrig="2146" w:dyaOrig="1561" w14:anchorId="1582E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93022842" r:id="rId9"/>
        </w:object>
      </w:r>
    </w:p>
    <w:p w14:paraId="4C682C36" w14:textId="77777777" w:rsidR="00253A3F" w:rsidRDefault="00253A3F" w:rsidP="00253A3F"/>
    <w:p w14:paraId="5374E8E2" w14:textId="77777777" w:rsidR="00253A3F" w:rsidRDefault="00253A3F" w:rsidP="00253A3F"/>
    <w:p w14:paraId="47171B11" w14:textId="77777777" w:rsidR="00253A3F" w:rsidRDefault="00253A3F" w:rsidP="00253A3F"/>
    <w:p w14:paraId="5C762368" w14:textId="77777777" w:rsidR="00253A3F" w:rsidRDefault="00253A3F" w:rsidP="00253A3F"/>
    <w:p w14:paraId="3B392A84" w14:textId="77777777" w:rsidR="00253A3F" w:rsidRDefault="00253A3F" w:rsidP="00253A3F"/>
    <w:p w14:paraId="1B20ECB6" w14:textId="77777777" w:rsidR="00253A3F" w:rsidRDefault="00253A3F" w:rsidP="00253A3F"/>
    <w:p w14:paraId="5925C507" w14:textId="77777777" w:rsidR="0048364F" w:rsidRPr="00016BFF" w:rsidRDefault="00253A3F" w:rsidP="0048364F">
      <w:pPr>
        <w:pStyle w:val="ShortT"/>
      </w:pPr>
      <w:r>
        <w:t>Electoral Amendment (Territory Representation) Act 2020</w:t>
      </w:r>
    </w:p>
    <w:p w14:paraId="19047F41" w14:textId="77777777" w:rsidR="0048364F" w:rsidRPr="00016BFF" w:rsidRDefault="0048364F" w:rsidP="0048364F"/>
    <w:p w14:paraId="5C928EB1" w14:textId="72AC0D1C" w:rsidR="0048364F" w:rsidRPr="00016BFF" w:rsidRDefault="00C164CA" w:rsidP="00253A3F">
      <w:pPr>
        <w:pStyle w:val="Actno"/>
        <w:spacing w:before="400"/>
      </w:pPr>
      <w:r w:rsidRPr="00016BFF">
        <w:t>No.</w:t>
      </w:r>
      <w:r w:rsidR="00556CAC">
        <w:t xml:space="preserve"> 127</w:t>
      </w:r>
      <w:r w:rsidRPr="00016BFF">
        <w:t>, 20</w:t>
      </w:r>
      <w:r w:rsidR="001B633C" w:rsidRPr="00016BFF">
        <w:t>20</w:t>
      </w:r>
    </w:p>
    <w:p w14:paraId="7D791156" w14:textId="77777777" w:rsidR="0048364F" w:rsidRPr="00016BFF" w:rsidRDefault="0048364F" w:rsidP="0048364F"/>
    <w:p w14:paraId="289B05CE" w14:textId="77777777" w:rsidR="00BB73EC" w:rsidRDefault="00BB73EC" w:rsidP="00BB73EC">
      <w:pPr>
        <w:rPr>
          <w:lang w:eastAsia="en-AU"/>
        </w:rPr>
      </w:pPr>
    </w:p>
    <w:p w14:paraId="5E3A8986" w14:textId="77777777" w:rsidR="0048364F" w:rsidRPr="00016BFF" w:rsidRDefault="0048364F" w:rsidP="0048364F"/>
    <w:p w14:paraId="06BAC3C8" w14:textId="77777777" w:rsidR="0048364F" w:rsidRPr="00016BFF" w:rsidRDefault="0048364F" w:rsidP="0048364F"/>
    <w:p w14:paraId="45F58AED" w14:textId="77777777" w:rsidR="0048364F" w:rsidRPr="00016BFF" w:rsidRDefault="0048364F" w:rsidP="0048364F"/>
    <w:p w14:paraId="77DF7392" w14:textId="77777777" w:rsidR="00253A3F" w:rsidRDefault="00253A3F" w:rsidP="00253A3F">
      <w:pPr>
        <w:pStyle w:val="LongT"/>
      </w:pPr>
      <w:r>
        <w:t xml:space="preserve">An Act to amend the </w:t>
      </w:r>
      <w:r w:rsidRPr="00253A3F">
        <w:rPr>
          <w:i/>
        </w:rPr>
        <w:t>Commonwealth Electoral Act 1918</w:t>
      </w:r>
      <w:r>
        <w:t xml:space="preserve"> in relation to the representation of the Territories in the House of Representatives, and for related purposes</w:t>
      </w:r>
    </w:p>
    <w:p w14:paraId="5261A133" w14:textId="77777777" w:rsidR="00967FDD" w:rsidRPr="00007B90" w:rsidRDefault="00967FDD" w:rsidP="00967FDD">
      <w:pPr>
        <w:pStyle w:val="Header"/>
        <w:tabs>
          <w:tab w:val="clear" w:pos="4150"/>
          <w:tab w:val="clear" w:pos="8307"/>
        </w:tabs>
      </w:pPr>
      <w:r w:rsidRPr="00007B90">
        <w:rPr>
          <w:rStyle w:val="CharAmSchNo"/>
        </w:rPr>
        <w:t xml:space="preserve"> </w:t>
      </w:r>
      <w:r w:rsidRPr="00007B90">
        <w:rPr>
          <w:rStyle w:val="CharAmSchText"/>
        </w:rPr>
        <w:t xml:space="preserve"> </w:t>
      </w:r>
    </w:p>
    <w:p w14:paraId="0671F06E" w14:textId="77777777" w:rsidR="00967FDD" w:rsidRPr="00007B90" w:rsidRDefault="00967FDD" w:rsidP="00967FDD">
      <w:pPr>
        <w:pStyle w:val="Header"/>
        <w:tabs>
          <w:tab w:val="clear" w:pos="4150"/>
          <w:tab w:val="clear" w:pos="8307"/>
        </w:tabs>
      </w:pPr>
      <w:r w:rsidRPr="00007B90">
        <w:rPr>
          <w:rStyle w:val="CharAmPartNo"/>
        </w:rPr>
        <w:t xml:space="preserve"> </w:t>
      </w:r>
      <w:r w:rsidRPr="00007B90">
        <w:rPr>
          <w:rStyle w:val="CharAmPartText"/>
        </w:rPr>
        <w:t xml:space="preserve"> </w:t>
      </w:r>
    </w:p>
    <w:p w14:paraId="5C2169B3" w14:textId="77777777" w:rsidR="0048364F" w:rsidRPr="00016BFF" w:rsidRDefault="0048364F" w:rsidP="0048364F">
      <w:pPr>
        <w:sectPr w:rsidR="0048364F" w:rsidRPr="00016BFF" w:rsidSect="00253A3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8E0EBA5" w14:textId="77777777" w:rsidR="0048364F" w:rsidRPr="00016BFF" w:rsidRDefault="0048364F" w:rsidP="00C42835">
      <w:pPr>
        <w:rPr>
          <w:sz w:val="36"/>
        </w:rPr>
      </w:pPr>
      <w:r w:rsidRPr="00016BFF">
        <w:rPr>
          <w:sz w:val="36"/>
        </w:rPr>
        <w:lastRenderedPageBreak/>
        <w:t>Contents</w:t>
      </w:r>
    </w:p>
    <w:bookmarkStart w:id="0" w:name="BKCheck15B_1"/>
    <w:bookmarkEnd w:id="0"/>
    <w:p w14:paraId="17369045" w14:textId="2CA75B6A" w:rsidR="00AC68EC" w:rsidRDefault="00AC68E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C68EC">
        <w:rPr>
          <w:noProof/>
        </w:rPr>
        <w:tab/>
      </w:r>
      <w:r w:rsidRPr="00AC68EC">
        <w:rPr>
          <w:noProof/>
        </w:rPr>
        <w:fldChar w:fldCharType="begin"/>
      </w:r>
      <w:r w:rsidRPr="00AC68EC">
        <w:rPr>
          <w:noProof/>
        </w:rPr>
        <w:instrText xml:space="preserve"> PAGEREF _Toc59110494 \h </w:instrText>
      </w:r>
      <w:r w:rsidRPr="00AC68EC">
        <w:rPr>
          <w:noProof/>
        </w:rPr>
      </w:r>
      <w:r w:rsidRPr="00AC68EC">
        <w:rPr>
          <w:noProof/>
        </w:rPr>
        <w:fldChar w:fldCharType="separate"/>
      </w:r>
      <w:r w:rsidR="002C61A1">
        <w:rPr>
          <w:noProof/>
        </w:rPr>
        <w:t>1</w:t>
      </w:r>
      <w:r w:rsidRPr="00AC68EC">
        <w:rPr>
          <w:noProof/>
        </w:rPr>
        <w:fldChar w:fldCharType="end"/>
      </w:r>
    </w:p>
    <w:p w14:paraId="23496170" w14:textId="39DFD453" w:rsidR="00AC68EC" w:rsidRDefault="00AC68EC">
      <w:pPr>
        <w:pStyle w:val="TOC5"/>
        <w:rPr>
          <w:rFonts w:asciiTheme="minorHAnsi" w:eastAsiaTheme="minorEastAsia" w:hAnsiTheme="minorHAnsi" w:cstheme="minorBidi"/>
          <w:noProof/>
          <w:kern w:val="0"/>
          <w:sz w:val="22"/>
          <w:szCs w:val="22"/>
        </w:rPr>
      </w:pPr>
      <w:r>
        <w:rPr>
          <w:noProof/>
        </w:rPr>
        <w:t>2</w:t>
      </w:r>
      <w:r>
        <w:rPr>
          <w:noProof/>
        </w:rPr>
        <w:tab/>
        <w:t>Commencement</w:t>
      </w:r>
      <w:r w:rsidRPr="00AC68EC">
        <w:rPr>
          <w:noProof/>
        </w:rPr>
        <w:tab/>
      </w:r>
      <w:r w:rsidRPr="00AC68EC">
        <w:rPr>
          <w:noProof/>
        </w:rPr>
        <w:fldChar w:fldCharType="begin"/>
      </w:r>
      <w:r w:rsidRPr="00AC68EC">
        <w:rPr>
          <w:noProof/>
        </w:rPr>
        <w:instrText xml:space="preserve"> PAGEREF _Toc59110495 \h </w:instrText>
      </w:r>
      <w:r w:rsidRPr="00AC68EC">
        <w:rPr>
          <w:noProof/>
        </w:rPr>
      </w:r>
      <w:r w:rsidRPr="00AC68EC">
        <w:rPr>
          <w:noProof/>
        </w:rPr>
        <w:fldChar w:fldCharType="separate"/>
      </w:r>
      <w:r w:rsidR="002C61A1">
        <w:rPr>
          <w:noProof/>
        </w:rPr>
        <w:t>2</w:t>
      </w:r>
      <w:r w:rsidRPr="00AC68EC">
        <w:rPr>
          <w:noProof/>
        </w:rPr>
        <w:fldChar w:fldCharType="end"/>
      </w:r>
    </w:p>
    <w:p w14:paraId="512BCC45" w14:textId="10C77775" w:rsidR="00AC68EC" w:rsidRDefault="00AC68EC">
      <w:pPr>
        <w:pStyle w:val="TOC5"/>
        <w:rPr>
          <w:rFonts w:asciiTheme="minorHAnsi" w:eastAsiaTheme="minorEastAsia" w:hAnsiTheme="minorHAnsi" w:cstheme="minorBidi"/>
          <w:noProof/>
          <w:kern w:val="0"/>
          <w:sz w:val="22"/>
          <w:szCs w:val="22"/>
        </w:rPr>
      </w:pPr>
      <w:r>
        <w:rPr>
          <w:noProof/>
        </w:rPr>
        <w:t>3</w:t>
      </w:r>
      <w:r>
        <w:rPr>
          <w:noProof/>
        </w:rPr>
        <w:tab/>
        <w:t>Schedules</w:t>
      </w:r>
      <w:r w:rsidRPr="00AC68EC">
        <w:rPr>
          <w:noProof/>
        </w:rPr>
        <w:tab/>
      </w:r>
      <w:r w:rsidRPr="00AC68EC">
        <w:rPr>
          <w:noProof/>
        </w:rPr>
        <w:fldChar w:fldCharType="begin"/>
      </w:r>
      <w:r w:rsidRPr="00AC68EC">
        <w:rPr>
          <w:noProof/>
        </w:rPr>
        <w:instrText xml:space="preserve"> PAGEREF _Toc59110496 \h </w:instrText>
      </w:r>
      <w:r w:rsidRPr="00AC68EC">
        <w:rPr>
          <w:noProof/>
        </w:rPr>
      </w:r>
      <w:r w:rsidRPr="00AC68EC">
        <w:rPr>
          <w:noProof/>
        </w:rPr>
        <w:fldChar w:fldCharType="separate"/>
      </w:r>
      <w:r w:rsidR="002C61A1">
        <w:rPr>
          <w:noProof/>
        </w:rPr>
        <w:t>2</w:t>
      </w:r>
      <w:r w:rsidRPr="00AC68EC">
        <w:rPr>
          <w:noProof/>
        </w:rPr>
        <w:fldChar w:fldCharType="end"/>
      </w:r>
    </w:p>
    <w:p w14:paraId="184850F4" w14:textId="77777777" w:rsidR="00AC68EC" w:rsidRDefault="00AC68EC">
      <w:pPr>
        <w:pStyle w:val="TOC6"/>
        <w:rPr>
          <w:rFonts w:asciiTheme="minorHAnsi" w:eastAsiaTheme="minorEastAsia" w:hAnsiTheme="minorHAnsi" w:cstheme="minorBidi"/>
          <w:b w:val="0"/>
          <w:noProof/>
          <w:kern w:val="0"/>
          <w:sz w:val="22"/>
          <w:szCs w:val="22"/>
        </w:rPr>
      </w:pPr>
      <w:r>
        <w:rPr>
          <w:noProof/>
        </w:rPr>
        <w:t>Schedule 1—Amendments</w:t>
      </w:r>
      <w:r w:rsidRPr="00AC68EC">
        <w:rPr>
          <w:b w:val="0"/>
          <w:noProof/>
          <w:sz w:val="18"/>
        </w:rPr>
        <w:tab/>
      </w:r>
      <w:r w:rsidRPr="00AC68EC">
        <w:rPr>
          <w:b w:val="0"/>
          <w:noProof/>
          <w:sz w:val="18"/>
        </w:rPr>
        <w:fldChar w:fldCharType="begin"/>
      </w:r>
      <w:r w:rsidRPr="00AC68EC">
        <w:rPr>
          <w:b w:val="0"/>
          <w:noProof/>
          <w:sz w:val="18"/>
        </w:rPr>
        <w:instrText xml:space="preserve"> PAGEREF _Toc59110497 \h </w:instrText>
      </w:r>
      <w:r w:rsidRPr="00AC68EC">
        <w:rPr>
          <w:b w:val="0"/>
          <w:noProof/>
          <w:sz w:val="18"/>
        </w:rPr>
      </w:r>
      <w:r w:rsidRPr="00AC68EC">
        <w:rPr>
          <w:b w:val="0"/>
          <w:noProof/>
          <w:sz w:val="18"/>
        </w:rPr>
        <w:fldChar w:fldCharType="separate"/>
      </w:r>
      <w:r w:rsidR="002C61A1">
        <w:rPr>
          <w:b w:val="0"/>
          <w:noProof/>
          <w:sz w:val="18"/>
        </w:rPr>
        <w:t>3</w:t>
      </w:r>
      <w:r w:rsidRPr="00AC68EC">
        <w:rPr>
          <w:b w:val="0"/>
          <w:noProof/>
          <w:sz w:val="18"/>
        </w:rPr>
        <w:fldChar w:fldCharType="end"/>
      </w:r>
    </w:p>
    <w:p w14:paraId="29566AF9" w14:textId="77777777" w:rsidR="00AC68EC" w:rsidRDefault="00AC68EC">
      <w:pPr>
        <w:pStyle w:val="TOC9"/>
        <w:rPr>
          <w:rFonts w:asciiTheme="minorHAnsi" w:eastAsiaTheme="minorEastAsia" w:hAnsiTheme="minorHAnsi" w:cstheme="minorBidi"/>
          <w:i w:val="0"/>
          <w:noProof/>
          <w:kern w:val="0"/>
          <w:sz w:val="22"/>
          <w:szCs w:val="22"/>
        </w:rPr>
      </w:pPr>
      <w:r>
        <w:rPr>
          <w:noProof/>
        </w:rPr>
        <w:t>Commonwealth Electoral Act 1918</w:t>
      </w:r>
      <w:r w:rsidRPr="00AC68EC">
        <w:rPr>
          <w:i w:val="0"/>
          <w:noProof/>
          <w:sz w:val="18"/>
        </w:rPr>
        <w:tab/>
      </w:r>
      <w:r w:rsidRPr="00AC68EC">
        <w:rPr>
          <w:i w:val="0"/>
          <w:noProof/>
          <w:sz w:val="18"/>
        </w:rPr>
        <w:fldChar w:fldCharType="begin"/>
      </w:r>
      <w:r w:rsidRPr="00AC68EC">
        <w:rPr>
          <w:i w:val="0"/>
          <w:noProof/>
          <w:sz w:val="18"/>
        </w:rPr>
        <w:instrText xml:space="preserve"> PAGEREF _Toc59110498 \h </w:instrText>
      </w:r>
      <w:r w:rsidRPr="00AC68EC">
        <w:rPr>
          <w:i w:val="0"/>
          <w:noProof/>
          <w:sz w:val="18"/>
        </w:rPr>
      </w:r>
      <w:r w:rsidRPr="00AC68EC">
        <w:rPr>
          <w:i w:val="0"/>
          <w:noProof/>
          <w:sz w:val="18"/>
        </w:rPr>
        <w:fldChar w:fldCharType="separate"/>
      </w:r>
      <w:r w:rsidR="002C61A1">
        <w:rPr>
          <w:i w:val="0"/>
          <w:noProof/>
          <w:sz w:val="18"/>
        </w:rPr>
        <w:t>3</w:t>
      </w:r>
      <w:r w:rsidRPr="00AC68EC">
        <w:rPr>
          <w:i w:val="0"/>
          <w:noProof/>
          <w:sz w:val="18"/>
        </w:rPr>
        <w:fldChar w:fldCharType="end"/>
      </w:r>
    </w:p>
    <w:p w14:paraId="3D7BAE35" w14:textId="0EED06EC" w:rsidR="00060FF9" w:rsidRPr="00A40358" w:rsidRDefault="00AC68EC" w:rsidP="0048364F">
      <w:pPr>
        <w:rPr>
          <w:rFonts w:cs="Times New Roman"/>
          <w:sz w:val="18"/>
        </w:rPr>
      </w:pPr>
      <w:r>
        <w:rPr>
          <w:rFonts w:cs="Times New Roman"/>
          <w:sz w:val="18"/>
        </w:rPr>
        <w:fldChar w:fldCharType="end"/>
      </w:r>
    </w:p>
    <w:p w14:paraId="4CD6EB70" w14:textId="77777777" w:rsidR="00FE7F93" w:rsidRPr="00016BFF" w:rsidRDefault="00FE7F93" w:rsidP="0048364F">
      <w:pPr>
        <w:sectPr w:rsidR="00FE7F93" w:rsidRPr="00016BFF" w:rsidSect="00253A3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C130CC3" w14:textId="77777777" w:rsidR="00253A3F" w:rsidRDefault="00253A3F">
      <w:r>
        <w:object w:dxaOrig="2146" w:dyaOrig="1561" w14:anchorId="5A331D1E">
          <v:shape id="_x0000_i1026" type="#_x0000_t75" alt="Commonwealth Coat of Arms of Australia" style="width:110.25pt;height:80.25pt" o:ole="" fillcolor="window">
            <v:imagedata r:id="rId8" o:title=""/>
          </v:shape>
          <o:OLEObject Type="Embed" ProgID="Word.Picture.8" ShapeID="_x0000_i1026" DrawAspect="Content" ObjectID="_1693022843" r:id="rId21"/>
        </w:object>
      </w:r>
    </w:p>
    <w:p w14:paraId="31DD9651" w14:textId="77777777" w:rsidR="00253A3F" w:rsidRDefault="00253A3F"/>
    <w:p w14:paraId="1CDC7679" w14:textId="77777777" w:rsidR="00253A3F" w:rsidRDefault="00253A3F" w:rsidP="000178F8">
      <w:pPr>
        <w:spacing w:line="240" w:lineRule="auto"/>
      </w:pPr>
    </w:p>
    <w:p w14:paraId="50B9B9A7" w14:textId="08A98464" w:rsidR="00253A3F" w:rsidRDefault="002C61A1" w:rsidP="000178F8">
      <w:pPr>
        <w:pStyle w:val="ShortTP1"/>
      </w:pPr>
      <w:fldSimple w:instr=" STYLEREF ShortT ">
        <w:r>
          <w:rPr>
            <w:noProof/>
          </w:rPr>
          <w:t>Electoral Amendment (Territory Representation) Act 2020</w:t>
        </w:r>
      </w:fldSimple>
    </w:p>
    <w:p w14:paraId="00141044" w14:textId="7EF4D0B0" w:rsidR="00253A3F" w:rsidRDefault="002C61A1" w:rsidP="000178F8">
      <w:pPr>
        <w:pStyle w:val="ActNoP1"/>
      </w:pPr>
      <w:fldSimple w:instr=" STYLEREF Actno ">
        <w:r>
          <w:rPr>
            <w:noProof/>
          </w:rPr>
          <w:t>No. 127, 2020</w:t>
        </w:r>
      </w:fldSimple>
    </w:p>
    <w:p w14:paraId="1CC0B6F4" w14:textId="77777777" w:rsidR="00253A3F" w:rsidRPr="009A0728" w:rsidRDefault="00253A3F" w:rsidP="009A0728">
      <w:pPr>
        <w:pBdr>
          <w:bottom w:val="single" w:sz="6" w:space="0" w:color="auto"/>
        </w:pBdr>
        <w:spacing w:before="400" w:line="240" w:lineRule="auto"/>
        <w:rPr>
          <w:rFonts w:eastAsia="Times New Roman"/>
          <w:b/>
          <w:sz w:val="28"/>
        </w:rPr>
      </w:pPr>
    </w:p>
    <w:p w14:paraId="2837759A" w14:textId="77777777" w:rsidR="00253A3F" w:rsidRPr="009A0728" w:rsidRDefault="00253A3F" w:rsidP="009A0728">
      <w:pPr>
        <w:spacing w:line="40" w:lineRule="exact"/>
        <w:rPr>
          <w:rFonts w:eastAsia="Calibri"/>
          <w:b/>
          <w:sz w:val="28"/>
        </w:rPr>
      </w:pPr>
    </w:p>
    <w:p w14:paraId="72A75694" w14:textId="77777777" w:rsidR="00253A3F" w:rsidRPr="009A0728" w:rsidRDefault="00253A3F" w:rsidP="009A0728">
      <w:pPr>
        <w:pBdr>
          <w:top w:val="single" w:sz="12" w:space="0" w:color="auto"/>
        </w:pBdr>
        <w:spacing w:line="240" w:lineRule="auto"/>
        <w:rPr>
          <w:rFonts w:eastAsia="Times New Roman"/>
          <w:b/>
          <w:sz w:val="28"/>
        </w:rPr>
      </w:pPr>
    </w:p>
    <w:p w14:paraId="18B17077" w14:textId="77777777" w:rsidR="00253A3F" w:rsidRDefault="00253A3F" w:rsidP="00253A3F">
      <w:pPr>
        <w:pStyle w:val="Page1"/>
        <w:spacing w:before="400"/>
      </w:pPr>
      <w:r>
        <w:t xml:space="preserve">An Act to amend the </w:t>
      </w:r>
      <w:r w:rsidRPr="00253A3F">
        <w:rPr>
          <w:i/>
        </w:rPr>
        <w:t>Commonwealth Electoral Act 1918</w:t>
      </w:r>
      <w:r>
        <w:t xml:space="preserve"> in relation to the representation of the Territories in the House of Representatives, and for related purposes</w:t>
      </w:r>
    </w:p>
    <w:p w14:paraId="184BB7DE" w14:textId="7FE4FDE4" w:rsidR="00556CAC" w:rsidRPr="00A40358" w:rsidRDefault="00556CAC" w:rsidP="00A40358">
      <w:pPr>
        <w:pStyle w:val="AssentDt"/>
        <w:spacing w:before="240"/>
        <w:rPr>
          <w:sz w:val="24"/>
        </w:rPr>
      </w:pPr>
      <w:r>
        <w:rPr>
          <w:sz w:val="24"/>
        </w:rPr>
        <w:t>[</w:t>
      </w:r>
      <w:r>
        <w:rPr>
          <w:i/>
          <w:sz w:val="24"/>
        </w:rPr>
        <w:t>Assented to 15 December 2020</w:t>
      </w:r>
      <w:r>
        <w:rPr>
          <w:sz w:val="24"/>
        </w:rPr>
        <w:t>]</w:t>
      </w:r>
    </w:p>
    <w:p w14:paraId="6A345314" w14:textId="144209C4" w:rsidR="0048364F" w:rsidRPr="00016BFF" w:rsidRDefault="0048364F" w:rsidP="00016BFF">
      <w:pPr>
        <w:spacing w:before="240" w:line="240" w:lineRule="auto"/>
        <w:rPr>
          <w:sz w:val="32"/>
        </w:rPr>
      </w:pPr>
      <w:r w:rsidRPr="00016BFF">
        <w:rPr>
          <w:sz w:val="32"/>
        </w:rPr>
        <w:t>The Parliament of Australia enacts:</w:t>
      </w:r>
    </w:p>
    <w:p w14:paraId="74641BE6" w14:textId="77777777" w:rsidR="0048364F" w:rsidRPr="00016BFF" w:rsidRDefault="0048364F" w:rsidP="00016BFF">
      <w:pPr>
        <w:pStyle w:val="ActHead5"/>
      </w:pPr>
      <w:bookmarkStart w:id="1" w:name="_Toc59110494"/>
      <w:r w:rsidRPr="00007B90">
        <w:rPr>
          <w:rStyle w:val="CharSectno"/>
        </w:rPr>
        <w:t>1</w:t>
      </w:r>
      <w:r w:rsidRPr="00016BFF">
        <w:t xml:space="preserve">  Short title</w:t>
      </w:r>
      <w:bookmarkEnd w:id="1"/>
    </w:p>
    <w:p w14:paraId="3F8F4D80" w14:textId="77777777" w:rsidR="0048364F" w:rsidRPr="00016BFF" w:rsidRDefault="0048364F" w:rsidP="00016BFF">
      <w:pPr>
        <w:pStyle w:val="subsection"/>
      </w:pPr>
      <w:r w:rsidRPr="00016BFF">
        <w:tab/>
      </w:r>
      <w:r w:rsidRPr="00016BFF">
        <w:tab/>
        <w:t xml:space="preserve">This Act </w:t>
      </w:r>
      <w:r w:rsidR="00275197" w:rsidRPr="00016BFF">
        <w:t xml:space="preserve">is </w:t>
      </w:r>
      <w:r w:rsidRPr="00016BFF">
        <w:t xml:space="preserve">the </w:t>
      </w:r>
      <w:r w:rsidR="000F54AA" w:rsidRPr="00016BFF">
        <w:rPr>
          <w:i/>
        </w:rPr>
        <w:t>Electoral Amendment (Territory Representation)</w:t>
      </w:r>
      <w:r w:rsidR="00EE3E36" w:rsidRPr="00016BFF">
        <w:rPr>
          <w:i/>
        </w:rPr>
        <w:t xml:space="preserve"> Act 20</w:t>
      </w:r>
      <w:r w:rsidR="001B633C" w:rsidRPr="00016BFF">
        <w:rPr>
          <w:i/>
        </w:rPr>
        <w:t>20</w:t>
      </w:r>
      <w:r w:rsidRPr="00016BFF">
        <w:t>.</w:t>
      </w:r>
    </w:p>
    <w:p w14:paraId="779D0695" w14:textId="77777777" w:rsidR="0048364F" w:rsidRPr="00016BFF" w:rsidRDefault="0048364F" w:rsidP="00016BFF">
      <w:pPr>
        <w:pStyle w:val="ActHead5"/>
      </w:pPr>
      <w:bookmarkStart w:id="2" w:name="_Toc59110495"/>
      <w:r w:rsidRPr="00007B90">
        <w:rPr>
          <w:rStyle w:val="CharSectno"/>
        </w:rPr>
        <w:lastRenderedPageBreak/>
        <w:t>2</w:t>
      </w:r>
      <w:r w:rsidRPr="00016BFF">
        <w:t xml:space="preserve">  Commencement</w:t>
      </w:r>
      <w:bookmarkEnd w:id="2"/>
    </w:p>
    <w:p w14:paraId="5E126F39" w14:textId="77777777" w:rsidR="007B1A2C" w:rsidRPr="00016BFF" w:rsidRDefault="007B1A2C" w:rsidP="00016BFF">
      <w:pPr>
        <w:pStyle w:val="subsection"/>
      </w:pPr>
      <w:r w:rsidRPr="00016BFF">
        <w:tab/>
        <w:t>(1)</w:t>
      </w:r>
      <w:r w:rsidRPr="00016BFF">
        <w:tab/>
        <w:t>Each provision of this Act specified in column 1 of the table commences, or is taken to have commenced, in accordance with column 2 of the table. Any other statement in column 2 has effect according to its terms.</w:t>
      </w:r>
    </w:p>
    <w:p w14:paraId="0441C988" w14:textId="77777777" w:rsidR="007B1A2C" w:rsidRPr="00016BFF" w:rsidRDefault="007B1A2C" w:rsidP="00016BF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B1A2C" w:rsidRPr="00016BFF" w14:paraId="41674B8E" w14:textId="77777777" w:rsidTr="00671930">
        <w:trPr>
          <w:tblHeader/>
        </w:trPr>
        <w:tc>
          <w:tcPr>
            <w:tcW w:w="7111" w:type="dxa"/>
            <w:gridSpan w:val="3"/>
            <w:tcBorders>
              <w:top w:val="single" w:sz="12" w:space="0" w:color="auto"/>
              <w:bottom w:val="single" w:sz="2" w:space="0" w:color="auto"/>
            </w:tcBorders>
            <w:shd w:val="clear" w:color="auto" w:fill="auto"/>
            <w:hideMark/>
          </w:tcPr>
          <w:p w14:paraId="6ADD287E" w14:textId="77777777" w:rsidR="007B1A2C" w:rsidRPr="00016BFF" w:rsidRDefault="007B1A2C" w:rsidP="00016BFF">
            <w:pPr>
              <w:pStyle w:val="TableHeading"/>
            </w:pPr>
            <w:r w:rsidRPr="00016BFF">
              <w:t>Commencement information</w:t>
            </w:r>
          </w:p>
        </w:tc>
      </w:tr>
      <w:tr w:rsidR="007B1A2C" w:rsidRPr="00016BFF" w14:paraId="4DDC2A30" w14:textId="77777777" w:rsidTr="00671930">
        <w:trPr>
          <w:tblHeader/>
        </w:trPr>
        <w:tc>
          <w:tcPr>
            <w:tcW w:w="1701" w:type="dxa"/>
            <w:tcBorders>
              <w:top w:val="single" w:sz="2" w:space="0" w:color="auto"/>
              <w:bottom w:val="single" w:sz="2" w:space="0" w:color="auto"/>
            </w:tcBorders>
            <w:shd w:val="clear" w:color="auto" w:fill="auto"/>
            <w:hideMark/>
          </w:tcPr>
          <w:p w14:paraId="32CA6213" w14:textId="77777777" w:rsidR="007B1A2C" w:rsidRPr="00016BFF" w:rsidRDefault="007B1A2C" w:rsidP="00016BFF">
            <w:pPr>
              <w:pStyle w:val="TableHeading"/>
            </w:pPr>
            <w:r w:rsidRPr="00016BFF">
              <w:t>Column 1</w:t>
            </w:r>
          </w:p>
        </w:tc>
        <w:tc>
          <w:tcPr>
            <w:tcW w:w="3828" w:type="dxa"/>
            <w:tcBorders>
              <w:top w:val="single" w:sz="2" w:space="0" w:color="auto"/>
              <w:bottom w:val="single" w:sz="2" w:space="0" w:color="auto"/>
            </w:tcBorders>
            <w:shd w:val="clear" w:color="auto" w:fill="auto"/>
            <w:hideMark/>
          </w:tcPr>
          <w:p w14:paraId="1921446D" w14:textId="77777777" w:rsidR="007B1A2C" w:rsidRPr="00016BFF" w:rsidRDefault="007B1A2C" w:rsidP="00016BFF">
            <w:pPr>
              <w:pStyle w:val="TableHeading"/>
            </w:pPr>
            <w:r w:rsidRPr="00016BFF">
              <w:t>Column 2</w:t>
            </w:r>
          </w:p>
        </w:tc>
        <w:tc>
          <w:tcPr>
            <w:tcW w:w="1582" w:type="dxa"/>
            <w:tcBorders>
              <w:top w:val="single" w:sz="2" w:space="0" w:color="auto"/>
              <w:bottom w:val="single" w:sz="2" w:space="0" w:color="auto"/>
            </w:tcBorders>
            <w:shd w:val="clear" w:color="auto" w:fill="auto"/>
            <w:hideMark/>
          </w:tcPr>
          <w:p w14:paraId="2C4AD50D" w14:textId="77777777" w:rsidR="007B1A2C" w:rsidRPr="00016BFF" w:rsidRDefault="007B1A2C" w:rsidP="00016BFF">
            <w:pPr>
              <w:pStyle w:val="TableHeading"/>
            </w:pPr>
            <w:r w:rsidRPr="00016BFF">
              <w:t>Column 3</w:t>
            </w:r>
          </w:p>
        </w:tc>
      </w:tr>
      <w:tr w:rsidR="007B1A2C" w:rsidRPr="00016BFF" w14:paraId="172495BC" w14:textId="77777777" w:rsidTr="00671930">
        <w:trPr>
          <w:tblHeader/>
        </w:trPr>
        <w:tc>
          <w:tcPr>
            <w:tcW w:w="1701" w:type="dxa"/>
            <w:tcBorders>
              <w:top w:val="single" w:sz="2" w:space="0" w:color="auto"/>
              <w:bottom w:val="single" w:sz="12" w:space="0" w:color="auto"/>
            </w:tcBorders>
            <w:shd w:val="clear" w:color="auto" w:fill="auto"/>
            <w:hideMark/>
          </w:tcPr>
          <w:p w14:paraId="124B64CF" w14:textId="77777777" w:rsidR="007B1A2C" w:rsidRPr="00016BFF" w:rsidRDefault="007B1A2C" w:rsidP="00016BFF">
            <w:pPr>
              <w:pStyle w:val="TableHeading"/>
            </w:pPr>
            <w:r w:rsidRPr="00016BFF">
              <w:t>Provisions</w:t>
            </w:r>
          </w:p>
        </w:tc>
        <w:tc>
          <w:tcPr>
            <w:tcW w:w="3828" w:type="dxa"/>
            <w:tcBorders>
              <w:top w:val="single" w:sz="2" w:space="0" w:color="auto"/>
              <w:bottom w:val="single" w:sz="12" w:space="0" w:color="auto"/>
            </w:tcBorders>
            <w:shd w:val="clear" w:color="auto" w:fill="auto"/>
            <w:hideMark/>
          </w:tcPr>
          <w:p w14:paraId="716705DB" w14:textId="77777777" w:rsidR="007B1A2C" w:rsidRPr="00016BFF" w:rsidRDefault="007B1A2C" w:rsidP="00016BFF">
            <w:pPr>
              <w:pStyle w:val="TableHeading"/>
            </w:pPr>
            <w:r w:rsidRPr="00016BFF">
              <w:t>Commencement</w:t>
            </w:r>
          </w:p>
        </w:tc>
        <w:tc>
          <w:tcPr>
            <w:tcW w:w="1582" w:type="dxa"/>
            <w:tcBorders>
              <w:top w:val="single" w:sz="2" w:space="0" w:color="auto"/>
              <w:bottom w:val="single" w:sz="12" w:space="0" w:color="auto"/>
            </w:tcBorders>
            <w:shd w:val="clear" w:color="auto" w:fill="auto"/>
            <w:hideMark/>
          </w:tcPr>
          <w:p w14:paraId="1858864A" w14:textId="77777777" w:rsidR="007B1A2C" w:rsidRPr="00016BFF" w:rsidRDefault="007B1A2C" w:rsidP="00016BFF">
            <w:pPr>
              <w:pStyle w:val="TableHeading"/>
            </w:pPr>
            <w:r w:rsidRPr="00016BFF">
              <w:t>Date/Details</w:t>
            </w:r>
          </w:p>
        </w:tc>
      </w:tr>
      <w:tr w:rsidR="007B1A2C" w:rsidRPr="00016BFF" w14:paraId="07E7CF65" w14:textId="77777777" w:rsidTr="00671930">
        <w:tc>
          <w:tcPr>
            <w:tcW w:w="1701" w:type="dxa"/>
            <w:tcBorders>
              <w:top w:val="single" w:sz="12" w:space="0" w:color="auto"/>
              <w:bottom w:val="single" w:sz="12" w:space="0" w:color="auto"/>
            </w:tcBorders>
            <w:shd w:val="clear" w:color="auto" w:fill="auto"/>
            <w:hideMark/>
          </w:tcPr>
          <w:p w14:paraId="71910065" w14:textId="77777777" w:rsidR="007B1A2C" w:rsidRPr="00016BFF" w:rsidRDefault="007B1A2C" w:rsidP="00016BFF">
            <w:pPr>
              <w:pStyle w:val="Tabletext"/>
            </w:pPr>
            <w:r w:rsidRPr="00016BFF">
              <w:t>1.  The whole of this Act</w:t>
            </w:r>
          </w:p>
        </w:tc>
        <w:tc>
          <w:tcPr>
            <w:tcW w:w="3828" w:type="dxa"/>
            <w:tcBorders>
              <w:top w:val="single" w:sz="12" w:space="0" w:color="auto"/>
              <w:bottom w:val="single" w:sz="12" w:space="0" w:color="auto"/>
            </w:tcBorders>
            <w:shd w:val="clear" w:color="auto" w:fill="auto"/>
            <w:hideMark/>
          </w:tcPr>
          <w:p w14:paraId="62C91E3F" w14:textId="77777777" w:rsidR="006F6AB5" w:rsidRPr="00016BFF" w:rsidRDefault="006F6AB5" w:rsidP="00016BFF">
            <w:pPr>
              <w:pStyle w:val="Tabletext"/>
            </w:pPr>
            <w:r w:rsidRPr="00016BFF">
              <w:t>A single day to be fixed by Proclamation.</w:t>
            </w:r>
          </w:p>
          <w:p w14:paraId="589A44F5" w14:textId="77777777" w:rsidR="007B1A2C" w:rsidRPr="00016BFF" w:rsidRDefault="006F6AB5" w:rsidP="00016BFF">
            <w:pPr>
              <w:pStyle w:val="Tabletext"/>
            </w:pPr>
            <w:r w:rsidRPr="00016BFF">
              <w:t>However, if the provisions do not commence within the period of 2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31543E53" w14:textId="61B731B5" w:rsidR="007B1A2C" w:rsidRPr="00016BFF" w:rsidRDefault="001D2489" w:rsidP="001D2489">
            <w:pPr>
              <w:pStyle w:val="Tabletext"/>
            </w:pPr>
            <w:r>
              <w:t>15 February 2021</w:t>
            </w:r>
          </w:p>
        </w:tc>
      </w:tr>
    </w:tbl>
    <w:p w14:paraId="630C15FA" w14:textId="77777777" w:rsidR="007B1A2C" w:rsidRPr="00016BFF" w:rsidRDefault="007B1A2C" w:rsidP="00016BFF">
      <w:pPr>
        <w:pStyle w:val="notetext"/>
      </w:pPr>
      <w:r w:rsidRPr="00016BFF">
        <w:rPr>
          <w:snapToGrid w:val="0"/>
          <w:lang w:eastAsia="en-US"/>
        </w:rPr>
        <w:t>Note:</w:t>
      </w:r>
      <w:r w:rsidRPr="00016BFF">
        <w:rPr>
          <w:snapToGrid w:val="0"/>
          <w:lang w:eastAsia="en-US"/>
        </w:rPr>
        <w:tab/>
        <w:t>This table relates only to the provisions of this Act as originally enacted. It will not be amended to deal with any later amendments of this Act.</w:t>
      </w:r>
    </w:p>
    <w:p w14:paraId="61B4122D" w14:textId="77777777" w:rsidR="007B1A2C" w:rsidRPr="00016BFF" w:rsidRDefault="007B1A2C" w:rsidP="00016BFF">
      <w:pPr>
        <w:pStyle w:val="subsection"/>
      </w:pPr>
      <w:r w:rsidRPr="00016BFF">
        <w:tab/>
        <w:t>(2)</w:t>
      </w:r>
      <w:r w:rsidRPr="00016BFF">
        <w:tab/>
        <w:t>Any information in column 3 of the table is not part of this Act. Information may be inserted in this column, or information in it may be edited, in any published version of this Act.</w:t>
      </w:r>
    </w:p>
    <w:p w14:paraId="542A39F0" w14:textId="77777777" w:rsidR="0048364F" w:rsidRPr="00016BFF" w:rsidRDefault="0048364F" w:rsidP="00016BFF">
      <w:pPr>
        <w:pStyle w:val="ActHead5"/>
      </w:pPr>
      <w:bookmarkStart w:id="3" w:name="_Toc59110496"/>
      <w:r w:rsidRPr="00007B90">
        <w:rPr>
          <w:rStyle w:val="CharSectno"/>
        </w:rPr>
        <w:t>3</w:t>
      </w:r>
      <w:r w:rsidRPr="00016BFF">
        <w:t xml:space="preserve">  Schedules</w:t>
      </w:r>
      <w:bookmarkEnd w:id="3"/>
    </w:p>
    <w:p w14:paraId="72FD941C" w14:textId="77777777" w:rsidR="0048364F" w:rsidRPr="00016BFF" w:rsidRDefault="0048364F" w:rsidP="00016BFF">
      <w:pPr>
        <w:pStyle w:val="subsection"/>
      </w:pPr>
      <w:r w:rsidRPr="00016BFF">
        <w:tab/>
      </w:r>
      <w:r w:rsidRPr="00016BFF">
        <w:tab/>
      </w:r>
      <w:r w:rsidR="00202618" w:rsidRPr="00016BFF">
        <w:t>Legislation that is specified in a Schedule to this Act is amended or repealed as set out in the applicable items in the Schedule concerned, and any other item in a Schedule to this Act has effect according to its terms.</w:t>
      </w:r>
    </w:p>
    <w:p w14:paraId="0527F3E8" w14:textId="77777777" w:rsidR="00CE3355" w:rsidRPr="00016BFF" w:rsidRDefault="00CE3355" w:rsidP="00016BFF">
      <w:pPr>
        <w:pStyle w:val="ActHead6"/>
        <w:pageBreakBefore/>
      </w:pPr>
      <w:bookmarkStart w:id="4" w:name="_Toc59110497"/>
      <w:bookmarkStart w:id="5" w:name="opcAmSched"/>
      <w:bookmarkStart w:id="6" w:name="opcCurrentFind"/>
      <w:r w:rsidRPr="00007B90">
        <w:rPr>
          <w:rStyle w:val="CharAmSchNo"/>
        </w:rPr>
        <w:lastRenderedPageBreak/>
        <w:t>Schedule 1</w:t>
      </w:r>
      <w:r w:rsidRPr="00016BFF">
        <w:t>—</w:t>
      </w:r>
      <w:r w:rsidRPr="00007B90">
        <w:rPr>
          <w:rStyle w:val="CharAmSchText"/>
        </w:rPr>
        <w:t>Amendments</w:t>
      </w:r>
      <w:bookmarkEnd w:id="4"/>
    </w:p>
    <w:bookmarkEnd w:id="5"/>
    <w:bookmarkEnd w:id="6"/>
    <w:p w14:paraId="68C4B6F6" w14:textId="77777777" w:rsidR="00CE3355" w:rsidRPr="00007B90" w:rsidRDefault="00CE3355" w:rsidP="00016BFF">
      <w:pPr>
        <w:pStyle w:val="Header"/>
      </w:pPr>
      <w:r w:rsidRPr="00007B90">
        <w:rPr>
          <w:rStyle w:val="CharAmPartNo"/>
        </w:rPr>
        <w:t xml:space="preserve"> </w:t>
      </w:r>
      <w:r w:rsidRPr="00007B90">
        <w:rPr>
          <w:rStyle w:val="CharAmPartText"/>
        </w:rPr>
        <w:t xml:space="preserve"> </w:t>
      </w:r>
    </w:p>
    <w:p w14:paraId="5DABF799" w14:textId="77777777" w:rsidR="00CE3355" w:rsidRPr="00016BFF" w:rsidRDefault="00CE3355" w:rsidP="00016BFF">
      <w:pPr>
        <w:pStyle w:val="ActHead9"/>
        <w:rPr>
          <w:i w:val="0"/>
        </w:rPr>
      </w:pPr>
      <w:bookmarkStart w:id="7" w:name="_Toc59110498"/>
      <w:r w:rsidRPr="00016BFF">
        <w:t>Commonwealth Electoral Act 1918</w:t>
      </w:r>
      <w:bookmarkEnd w:id="7"/>
    </w:p>
    <w:p w14:paraId="29468891" w14:textId="77777777" w:rsidR="00CE3355" w:rsidRPr="00016BFF" w:rsidRDefault="00C5644E" w:rsidP="00016BFF">
      <w:pPr>
        <w:pStyle w:val="ItemHead"/>
      </w:pPr>
      <w:r w:rsidRPr="00016BFF">
        <w:t>1</w:t>
      </w:r>
      <w:r w:rsidR="00CE3355" w:rsidRPr="00016BFF">
        <w:t xml:space="preserve">  Subsection 4(1) (definition of </w:t>
      </w:r>
      <w:r w:rsidR="00CE3355" w:rsidRPr="00016BFF">
        <w:rPr>
          <w:i/>
        </w:rPr>
        <w:t>Australian Capital Territory</w:t>
      </w:r>
      <w:r w:rsidR="00CE3355" w:rsidRPr="00016BFF">
        <w:t>)</w:t>
      </w:r>
    </w:p>
    <w:p w14:paraId="11F1F04E" w14:textId="77777777" w:rsidR="00CE3355" w:rsidRPr="00016BFF" w:rsidRDefault="00CE3355" w:rsidP="00016BFF">
      <w:pPr>
        <w:pStyle w:val="Item"/>
      </w:pPr>
      <w:r w:rsidRPr="00016BFF">
        <w:t xml:space="preserve">After “includes”, insert “(except in </w:t>
      </w:r>
      <w:r w:rsidR="00AB6F77" w:rsidRPr="00016BFF">
        <w:t>Part I</w:t>
      </w:r>
      <w:r w:rsidRPr="00016BFF">
        <w:t>II)”.</w:t>
      </w:r>
    </w:p>
    <w:p w14:paraId="099C9AB5" w14:textId="77777777" w:rsidR="00CE3355" w:rsidRPr="00016BFF" w:rsidRDefault="00C5644E" w:rsidP="00016BFF">
      <w:pPr>
        <w:pStyle w:val="ItemHead"/>
      </w:pPr>
      <w:r w:rsidRPr="00016BFF">
        <w:t>2</w:t>
      </w:r>
      <w:r w:rsidR="00CE3355" w:rsidRPr="00016BFF">
        <w:t xml:space="preserve">  Subsection 4(1) (at the end of the definition of </w:t>
      </w:r>
      <w:r w:rsidR="00CE3355" w:rsidRPr="00016BFF">
        <w:rPr>
          <w:i/>
        </w:rPr>
        <w:t>Australian Capital Territory</w:t>
      </w:r>
      <w:r w:rsidR="00CE3355" w:rsidRPr="00016BFF">
        <w:t>)</w:t>
      </w:r>
    </w:p>
    <w:p w14:paraId="57E7D856" w14:textId="77777777" w:rsidR="00CE3355" w:rsidRPr="00016BFF" w:rsidRDefault="00CE3355" w:rsidP="00016BFF">
      <w:pPr>
        <w:pStyle w:val="Item"/>
      </w:pPr>
      <w:r w:rsidRPr="00016BFF">
        <w:t>Add:</w:t>
      </w:r>
    </w:p>
    <w:p w14:paraId="74633920" w14:textId="77777777" w:rsidR="00CE3355" w:rsidRPr="00016BFF" w:rsidRDefault="00CE3355" w:rsidP="00016BFF">
      <w:pPr>
        <w:pStyle w:val="notetext"/>
        <w:rPr>
          <w:b/>
        </w:rPr>
      </w:pPr>
      <w:r w:rsidRPr="00016BFF">
        <w:t>Note:</w:t>
      </w:r>
      <w:r w:rsidRPr="00016BFF">
        <w:tab/>
        <w:t xml:space="preserve">For the definition of </w:t>
      </w:r>
      <w:r w:rsidRPr="00016BFF">
        <w:rPr>
          <w:b/>
          <w:i/>
        </w:rPr>
        <w:t>Australian Capital Territory</w:t>
      </w:r>
      <w:r w:rsidRPr="00016BFF">
        <w:t xml:space="preserve"> in </w:t>
      </w:r>
      <w:r w:rsidR="00AB6F77" w:rsidRPr="00016BFF">
        <w:t>Part I</w:t>
      </w:r>
      <w:r w:rsidRPr="00016BFF">
        <w:t xml:space="preserve">II, see </w:t>
      </w:r>
      <w:r w:rsidR="00AB6F77" w:rsidRPr="00016BFF">
        <w:t>section 3</w:t>
      </w:r>
      <w:r w:rsidRPr="00016BFF">
        <w:t>8A.</w:t>
      </w:r>
    </w:p>
    <w:p w14:paraId="1D937152" w14:textId="77777777" w:rsidR="00CE3355" w:rsidRPr="00016BFF" w:rsidRDefault="00C5644E" w:rsidP="00016BFF">
      <w:pPr>
        <w:pStyle w:val="ItemHead"/>
      </w:pPr>
      <w:r w:rsidRPr="00016BFF">
        <w:t>3</w:t>
      </w:r>
      <w:r w:rsidR="00CE3355" w:rsidRPr="00016BFF">
        <w:t xml:space="preserve">  Subsection 4(1) (definition of </w:t>
      </w:r>
      <w:r w:rsidR="00CE3355" w:rsidRPr="00016BFF">
        <w:rPr>
          <w:i/>
        </w:rPr>
        <w:t>Northern Territory</w:t>
      </w:r>
      <w:r w:rsidR="00CE3355" w:rsidRPr="00016BFF">
        <w:t>)</w:t>
      </w:r>
    </w:p>
    <w:p w14:paraId="3C6F1175" w14:textId="77777777" w:rsidR="00CE3355" w:rsidRPr="00016BFF" w:rsidRDefault="00CE3355" w:rsidP="00016BFF">
      <w:pPr>
        <w:pStyle w:val="Item"/>
      </w:pPr>
      <w:r w:rsidRPr="00016BFF">
        <w:t xml:space="preserve">After “includes”, insert “(except in </w:t>
      </w:r>
      <w:r w:rsidR="00AB6F77" w:rsidRPr="00016BFF">
        <w:t>Part I</w:t>
      </w:r>
      <w:r w:rsidRPr="00016BFF">
        <w:t>II)”.</w:t>
      </w:r>
    </w:p>
    <w:p w14:paraId="0BFD97F7" w14:textId="77777777" w:rsidR="00CE3355" w:rsidRPr="00016BFF" w:rsidRDefault="00C5644E" w:rsidP="00016BFF">
      <w:pPr>
        <w:pStyle w:val="ItemHead"/>
      </w:pPr>
      <w:r w:rsidRPr="00016BFF">
        <w:t>4</w:t>
      </w:r>
      <w:r w:rsidR="00CE3355" w:rsidRPr="00016BFF">
        <w:t xml:space="preserve">  Subsection 4(1) (at the end of the definition of </w:t>
      </w:r>
      <w:r w:rsidR="00CE3355" w:rsidRPr="00016BFF">
        <w:rPr>
          <w:i/>
        </w:rPr>
        <w:t>Northern Territory</w:t>
      </w:r>
      <w:r w:rsidR="00CE3355" w:rsidRPr="00016BFF">
        <w:t>)</w:t>
      </w:r>
    </w:p>
    <w:p w14:paraId="1ABB85C5" w14:textId="77777777" w:rsidR="00CE3355" w:rsidRPr="00016BFF" w:rsidRDefault="00CE3355" w:rsidP="00016BFF">
      <w:pPr>
        <w:pStyle w:val="Item"/>
      </w:pPr>
      <w:r w:rsidRPr="00016BFF">
        <w:t>Add:</w:t>
      </w:r>
    </w:p>
    <w:p w14:paraId="2707A265" w14:textId="77777777" w:rsidR="00CE3355" w:rsidRPr="00016BFF" w:rsidRDefault="00CE3355" w:rsidP="00016BFF">
      <w:pPr>
        <w:pStyle w:val="notetext"/>
        <w:rPr>
          <w:b/>
        </w:rPr>
      </w:pPr>
      <w:r w:rsidRPr="00016BFF">
        <w:t>Note:</w:t>
      </w:r>
      <w:r w:rsidRPr="00016BFF">
        <w:tab/>
        <w:t xml:space="preserve">For the definition of </w:t>
      </w:r>
      <w:r w:rsidRPr="00016BFF">
        <w:rPr>
          <w:b/>
          <w:i/>
        </w:rPr>
        <w:t>Northern</w:t>
      </w:r>
      <w:r w:rsidRPr="00016BFF">
        <w:rPr>
          <w:i/>
        </w:rPr>
        <w:t xml:space="preserve"> </w:t>
      </w:r>
      <w:r w:rsidRPr="00016BFF">
        <w:rPr>
          <w:b/>
          <w:i/>
        </w:rPr>
        <w:t>Territory</w:t>
      </w:r>
      <w:r w:rsidRPr="00016BFF">
        <w:t xml:space="preserve"> in </w:t>
      </w:r>
      <w:r w:rsidR="00AB6F77" w:rsidRPr="00016BFF">
        <w:t>Part I</w:t>
      </w:r>
      <w:r w:rsidRPr="00016BFF">
        <w:t xml:space="preserve">II, see </w:t>
      </w:r>
      <w:r w:rsidR="00AB6F77" w:rsidRPr="00016BFF">
        <w:t>section 3</w:t>
      </w:r>
      <w:r w:rsidRPr="00016BFF">
        <w:t>8A.</w:t>
      </w:r>
    </w:p>
    <w:p w14:paraId="6AEDCFA2" w14:textId="77777777" w:rsidR="00CE3355" w:rsidRPr="00016BFF" w:rsidRDefault="00C5644E" w:rsidP="00016BFF">
      <w:pPr>
        <w:pStyle w:val="ItemHead"/>
      </w:pPr>
      <w:r w:rsidRPr="00016BFF">
        <w:t>5</w:t>
      </w:r>
      <w:r w:rsidR="00CE3355" w:rsidRPr="00016BFF">
        <w:t xml:space="preserve">  Subsection 4(1) (definition of </w:t>
      </w:r>
      <w:r w:rsidR="00CE3355" w:rsidRPr="00016BFF">
        <w:rPr>
          <w:i/>
        </w:rPr>
        <w:t>Territory</w:t>
      </w:r>
      <w:r w:rsidR="00CE3355" w:rsidRPr="00016BFF">
        <w:t>)</w:t>
      </w:r>
    </w:p>
    <w:p w14:paraId="40437CFA" w14:textId="77777777" w:rsidR="00CE3355" w:rsidRPr="00016BFF" w:rsidRDefault="00CE3355" w:rsidP="00016BFF">
      <w:pPr>
        <w:pStyle w:val="Item"/>
      </w:pPr>
      <w:r w:rsidRPr="00016BFF">
        <w:t xml:space="preserve">After “means”, insert “(except in </w:t>
      </w:r>
      <w:r w:rsidR="00AB6F77" w:rsidRPr="00016BFF">
        <w:t>Part I</w:t>
      </w:r>
      <w:r w:rsidRPr="00016BFF">
        <w:t>II)”.</w:t>
      </w:r>
    </w:p>
    <w:p w14:paraId="781E57DC" w14:textId="77777777" w:rsidR="00CE3355" w:rsidRPr="00016BFF" w:rsidRDefault="00C5644E" w:rsidP="00016BFF">
      <w:pPr>
        <w:pStyle w:val="ItemHead"/>
      </w:pPr>
      <w:r w:rsidRPr="00016BFF">
        <w:t>6</w:t>
      </w:r>
      <w:r w:rsidR="00CE3355" w:rsidRPr="00016BFF">
        <w:t xml:space="preserve">  Subsection 4(1) (at the end of the definition of </w:t>
      </w:r>
      <w:r w:rsidR="00CE3355" w:rsidRPr="00016BFF">
        <w:rPr>
          <w:i/>
        </w:rPr>
        <w:t>Territory</w:t>
      </w:r>
      <w:r w:rsidR="00CE3355" w:rsidRPr="00016BFF">
        <w:t>)</w:t>
      </w:r>
    </w:p>
    <w:p w14:paraId="3F1D9958" w14:textId="77777777" w:rsidR="00CE3355" w:rsidRPr="00016BFF" w:rsidRDefault="00CE3355" w:rsidP="00016BFF">
      <w:pPr>
        <w:pStyle w:val="Item"/>
      </w:pPr>
      <w:r w:rsidRPr="00016BFF">
        <w:t>Add:</w:t>
      </w:r>
    </w:p>
    <w:p w14:paraId="6D9099B6" w14:textId="77777777" w:rsidR="00CE3355" w:rsidRPr="00016BFF" w:rsidRDefault="00CE3355" w:rsidP="00016BFF">
      <w:pPr>
        <w:pStyle w:val="notetext"/>
        <w:rPr>
          <w:b/>
        </w:rPr>
      </w:pPr>
      <w:r w:rsidRPr="00016BFF">
        <w:t>Note:</w:t>
      </w:r>
      <w:r w:rsidRPr="00016BFF">
        <w:tab/>
        <w:t xml:space="preserve">For the definition of </w:t>
      </w:r>
      <w:r w:rsidRPr="00016BFF">
        <w:rPr>
          <w:b/>
          <w:i/>
        </w:rPr>
        <w:t>Territory</w:t>
      </w:r>
      <w:r w:rsidRPr="00016BFF">
        <w:t xml:space="preserve"> in </w:t>
      </w:r>
      <w:r w:rsidR="00AB6F77" w:rsidRPr="00016BFF">
        <w:t>Part I</w:t>
      </w:r>
      <w:r w:rsidRPr="00016BFF">
        <w:t xml:space="preserve">II, see </w:t>
      </w:r>
      <w:r w:rsidR="00AB6F77" w:rsidRPr="00016BFF">
        <w:t>section 3</w:t>
      </w:r>
      <w:r w:rsidRPr="00016BFF">
        <w:t>8A.</w:t>
      </w:r>
    </w:p>
    <w:p w14:paraId="5F65C5AA" w14:textId="77777777" w:rsidR="00CE3355" w:rsidRPr="00016BFF" w:rsidRDefault="00C5644E" w:rsidP="00016BFF">
      <w:pPr>
        <w:pStyle w:val="ItemHead"/>
      </w:pPr>
      <w:r w:rsidRPr="00016BFF">
        <w:t>7</w:t>
      </w:r>
      <w:r w:rsidR="00CE3355" w:rsidRPr="00016BFF">
        <w:t xml:space="preserve">  Paragraph 4(5)(a)</w:t>
      </w:r>
    </w:p>
    <w:p w14:paraId="5E5CEFFC" w14:textId="77777777" w:rsidR="00CE3355" w:rsidRPr="00016BFF" w:rsidRDefault="00CE3355" w:rsidP="00016BFF">
      <w:pPr>
        <w:pStyle w:val="Item"/>
      </w:pPr>
      <w:r w:rsidRPr="00016BFF">
        <w:t xml:space="preserve">Omit “the Northern Territory”, substitute “a Territory </w:t>
      </w:r>
      <w:r w:rsidR="0068110B" w:rsidRPr="00016BFF">
        <w:t xml:space="preserve">to which </w:t>
      </w:r>
      <w:r w:rsidR="009E3511" w:rsidRPr="00016BFF">
        <w:t>section 5</w:t>
      </w:r>
      <w:r w:rsidR="0068110B" w:rsidRPr="00016BFF">
        <w:t>5A does not apply</w:t>
      </w:r>
      <w:r w:rsidRPr="00016BFF">
        <w:t>”.</w:t>
      </w:r>
    </w:p>
    <w:p w14:paraId="2E6F7F99" w14:textId="77777777" w:rsidR="00CE3355" w:rsidRPr="00016BFF" w:rsidRDefault="00C5644E" w:rsidP="00016BFF">
      <w:pPr>
        <w:pStyle w:val="ItemHead"/>
      </w:pPr>
      <w:r w:rsidRPr="00016BFF">
        <w:t>8</w:t>
      </w:r>
      <w:r w:rsidR="00CE3355" w:rsidRPr="00016BFF">
        <w:t xml:space="preserve">  Subsection 4(5A)</w:t>
      </w:r>
    </w:p>
    <w:p w14:paraId="067EDD63" w14:textId="77777777" w:rsidR="00CE3355" w:rsidRPr="00016BFF" w:rsidRDefault="00CE3355" w:rsidP="00016BFF">
      <w:pPr>
        <w:pStyle w:val="Item"/>
      </w:pPr>
      <w:r w:rsidRPr="00016BFF">
        <w:t>Repeal the subsection.</w:t>
      </w:r>
    </w:p>
    <w:p w14:paraId="4BFFD969" w14:textId="77777777" w:rsidR="004667EF" w:rsidRPr="00016BFF" w:rsidRDefault="00C5644E" w:rsidP="00016BFF">
      <w:pPr>
        <w:pStyle w:val="ItemHead"/>
      </w:pPr>
      <w:r w:rsidRPr="00016BFF">
        <w:lastRenderedPageBreak/>
        <w:t>9</w:t>
      </w:r>
      <w:r w:rsidR="004667EF" w:rsidRPr="00016BFF">
        <w:t xml:space="preserve">  </w:t>
      </w:r>
      <w:r w:rsidR="00AB6F77" w:rsidRPr="00016BFF">
        <w:t>Division 1</w:t>
      </w:r>
      <w:r w:rsidR="004667EF" w:rsidRPr="00016BFF">
        <w:t xml:space="preserve">AA of </w:t>
      </w:r>
      <w:r w:rsidR="00AB6F77" w:rsidRPr="00016BFF">
        <w:t>Part I</w:t>
      </w:r>
      <w:r w:rsidR="004667EF" w:rsidRPr="00016BFF">
        <w:t>II (heading)</w:t>
      </w:r>
    </w:p>
    <w:p w14:paraId="31445EB2" w14:textId="77777777" w:rsidR="004667EF" w:rsidRPr="00016BFF" w:rsidRDefault="004667EF" w:rsidP="00016BFF">
      <w:pPr>
        <w:pStyle w:val="Item"/>
      </w:pPr>
      <w:r w:rsidRPr="00016BFF">
        <w:t>Omit “</w:t>
      </w:r>
      <w:r w:rsidRPr="00016BFF">
        <w:rPr>
          <w:b/>
        </w:rPr>
        <w:t>Interpretation</w:t>
      </w:r>
      <w:r w:rsidRPr="00016BFF">
        <w:t>”, substitute “</w:t>
      </w:r>
      <w:r w:rsidRPr="00016BFF">
        <w:rPr>
          <w:b/>
        </w:rPr>
        <w:t>Preliminary</w:t>
      </w:r>
      <w:r w:rsidRPr="00016BFF">
        <w:t>”.</w:t>
      </w:r>
    </w:p>
    <w:p w14:paraId="26F1AC6E" w14:textId="77777777" w:rsidR="00CE3355" w:rsidRPr="00016BFF" w:rsidRDefault="00C5644E" w:rsidP="00016BFF">
      <w:pPr>
        <w:pStyle w:val="ItemHead"/>
      </w:pPr>
      <w:r w:rsidRPr="00016BFF">
        <w:t>10</w:t>
      </w:r>
      <w:r w:rsidR="00CE3355" w:rsidRPr="00016BFF">
        <w:t xml:space="preserve">  Before </w:t>
      </w:r>
      <w:r w:rsidR="00AB6F77" w:rsidRPr="00016BFF">
        <w:t>section 3</w:t>
      </w:r>
      <w:r w:rsidR="00CE3355" w:rsidRPr="00016BFF">
        <w:t>8A</w:t>
      </w:r>
    </w:p>
    <w:p w14:paraId="2070C2AB" w14:textId="77777777" w:rsidR="00CE3355" w:rsidRPr="00016BFF" w:rsidRDefault="00CE3355" w:rsidP="00016BFF">
      <w:pPr>
        <w:pStyle w:val="Item"/>
      </w:pPr>
      <w:r w:rsidRPr="00016BFF">
        <w:t>Insert:</w:t>
      </w:r>
    </w:p>
    <w:p w14:paraId="20E8D145" w14:textId="77777777" w:rsidR="00CE3355" w:rsidRPr="00016BFF" w:rsidRDefault="00CE3355" w:rsidP="00016BFF">
      <w:pPr>
        <w:pStyle w:val="ActHead5"/>
      </w:pPr>
      <w:bookmarkStart w:id="8" w:name="_Toc59110499"/>
      <w:r w:rsidRPr="00007B90">
        <w:rPr>
          <w:rStyle w:val="CharSectno"/>
        </w:rPr>
        <w:t>38AA</w:t>
      </w:r>
      <w:r w:rsidRPr="00016BFF">
        <w:t xml:space="preserve">  Simplified outline of this Part</w:t>
      </w:r>
      <w:bookmarkEnd w:id="8"/>
    </w:p>
    <w:p w14:paraId="1EB111EB" w14:textId="77777777" w:rsidR="00CE3355" w:rsidRPr="00016BFF" w:rsidRDefault="00CE3355" w:rsidP="00016BFF">
      <w:pPr>
        <w:pStyle w:val="SOText"/>
      </w:pPr>
      <w:r w:rsidRPr="00016BFF">
        <w:t>This Part deals with how members and Senators are chosen for the Parliament, and related rules.</w:t>
      </w:r>
    </w:p>
    <w:p w14:paraId="0A0933A6" w14:textId="77777777" w:rsidR="00CE3355" w:rsidRPr="00016BFF" w:rsidRDefault="00AB6F77" w:rsidP="00016BFF">
      <w:pPr>
        <w:pStyle w:val="SOText"/>
      </w:pPr>
      <w:r w:rsidRPr="00016BFF">
        <w:t>Division 1</w:t>
      </w:r>
      <w:r w:rsidR="00CE3355" w:rsidRPr="00016BFF">
        <w:t xml:space="preserve"> deals with Senators for Queensland. These Senators are chosen by the people of Queensland voting as one electorate.</w:t>
      </w:r>
    </w:p>
    <w:p w14:paraId="1E0F2187" w14:textId="77777777" w:rsidR="00CE3355" w:rsidRPr="00016BFF" w:rsidRDefault="00CE3355" w:rsidP="00016BFF">
      <w:pPr>
        <w:pStyle w:val="SOText"/>
      </w:pPr>
      <w:r w:rsidRPr="00016BFF">
        <w:t>Division 2 deals with Senators for the Territories</w:t>
      </w:r>
      <w:r w:rsidR="00CF51A2" w:rsidRPr="00016BFF">
        <w:t xml:space="preserve">, setting out </w:t>
      </w:r>
      <w:r w:rsidRPr="00016BFF">
        <w:t xml:space="preserve">some </w:t>
      </w:r>
      <w:r w:rsidR="00DC4631" w:rsidRPr="00016BFF">
        <w:t xml:space="preserve">rules </w:t>
      </w:r>
      <w:r w:rsidRPr="00016BFF">
        <w:t xml:space="preserve">relating to Senators of Territories (such as </w:t>
      </w:r>
      <w:r w:rsidR="00CF51A2" w:rsidRPr="00016BFF">
        <w:t xml:space="preserve">numbers of Senators, </w:t>
      </w:r>
      <w:r w:rsidRPr="00016BFF">
        <w:t>powers, privileges and im</w:t>
      </w:r>
      <w:r w:rsidR="00AB6F77" w:rsidRPr="00016BFF">
        <w:t>munities, and term of service).</w:t>
      </w:r>
    </w:p>
    <w:p w14:paraId="4585F0B0" w14:textId="77777777" w:rsidR="00CE3355" w:rsidRPr="00016BFF" w:rsidRDefault="00AB6F77" w:rsidP="00016BFF">
      <w:pPr>
        <w:pStyle w:val="SOText"/>
      </w:pPr>
      <w:r w:rsidRPr="00016BFF">
        <w:t>Division 3</w:t>
      </w:r>
      <w:r w:rsidR="00CE3355" w:rsidRPr="00016BFF">
        <w:t xml:space="preserve"> deals with representation of States and Territories in the House of Representatives. The number of members of the House of Representatives is based on the population of the Commonwealth, the States and the Territories, as determined by the Australian Statistician.</w:t>
      </w:r>
    </w:p>
    <w:p w14:paraId="3E6F7611" w14:textId="77777777" w:rsidR="00CE3355" w:rsidRPr="00016BFF" w:rsidRDefault="00CE3355" w:rsidP="00016BFF">
      <w:pPr>
        <w:pStyle w:val="SOText"/>
      </w:pPr>
      <w:r w:rsidRPr="00016BFF">
        <w:t>The number of members is worked out using a quota, which is the number of people of the Commonwealth (excluding the populations of Territories) divided by twice the number of Senators</w:t>
      </w:r>
      <w:r w:rsidR="00DC4631" w:rsidRPr="00016BFF">
        <w:t xml:space="preserve"> for the States</w:t>
      </w:r>
      <w:r w:rsidRPr="00016BFF">
        <w:t>. This produces a national aver</w:t>
      </w:r>
      <w:r w:rsidR="00AB6F77" w:rsidRPr="00016BFF">
        <w:t>age population for each member.</w:t>
      </w:r>
    </w:p>
    <w:p w14:paraId="551133C1" w14:textId="77777777" w:rsidR="00CE3355" w:rsidRPr="00016BFF" w:rsidRDefault="00CE3355" w:rsidP="00016BFF">
      <w:pPr>
        <w:pStyle w:val="SOText"/>
      </w:pPr>
      <w:r w:rsidRPr="00016BFF">
        <w:t>For States, the number of members is worked out by dividing the population</w:t>
      </w:r>
      <w:r w:rsidR="00DC4631" w:rsidRPr="00016BFF">
        <w:t xml:space="preserve"> which is worked out for </w:t>
      </w:r>
      <w:r w:rsidRPr="00016BFF">
        <w:t>the State by the quota (rounding up if the remainder is more than 0.5).</w:t>
      </w:r>
    </w:p>
    <w:p w14:paraId="0FFB5B31" w14:textId="77777777" w:rsidR="00CE3355" w:rsidRPr="00016BFF" w:rsidRDefault="00CE3355" w:rsidP="00016BFF">
      <w:pPr>
        <w:pStyle w:val="SOText"/>
      </w:pPr>
      <w:r w:rsidRPr="00016BFF">
        <w:t xml:space="preserve">For Territories, the number of members is worked out the same way, except that the </w:t>
      </w:r>
      <w:r w:rsidR="004A5992" w:rsidRPr="00016BFF">
        <w:t>result</w:t>
      </w:r>
      <w:r w:rsidRPr="00016BFF">
        <w:t xml:space="preserve"> is rounded using the harmonic mean. The harmonic mean is a method of rounding that improves proportionality and addresses under</w:t>
      </w:r>
      <w:r w:rsidR="00016BFF">
        <w:noBreakHyphen/>
      </w:r>
      <w:r w:rsidRPr="00016BFF">
        <w:t xml:space="preserve">representation of Territories by minimising the gap between the average population per member </w:t>
      </w:r>
      <w:r w:rsidRPr="00016BFF">
        <w:lastRenderedPageBreak/>
        <w:t>in the Territories, compared with the national average population for the States (as measured by the quota).</w:t>
      </w:r>
    </w:p>
    <w:p w14:paraId="38E625BE" w14:textId="77777777" w:rsidR="00CE3355" w:rsidRPr="00016BFF" w:rsidRDefault="00C5644E" w:rsidP="00016BFF">
      <w:pPr>
        <w:pStyle w:val="ItemHead"/>
      </w:pPr>
      <w:r w:rsidRPr="00016BFF">
        <w:t>11</w:t>
      </w:r>
      <w:r w:rsidR="00CE3355" w:rsidRPr="00016BFF">
        <w:t xml:space="preserve">  Section 38A</w:t>
      </w:r>
    </w:p>
    <w:p w14:paraId="7042B3AD" w14:textId="77777777" w:rsidR="00CE3355" w:rsidRPr="00016BFF" w:rsidRDefault="00CE3355" w:rsidP="00016BFF">
      <w:pPr>
        <w:pStyle w:val="Item"/>
      </w:pPr>
      <w:r w:rsidRPr="00016BFF">
        <w:t>Insert:</w:t>
      </w:r>
    </w:p>
    <w:p w14:paraId="49F3E2E4" w14:textId="77777777" w:rsidR="00CE3355" w:rsidRPr="00016BFF" w:rsidRDefault="00CE3355" w:rsidP="00016BFF">
      <w:pPr>
        <w:pStyle w:val="Definition"/>
      </w:pPr>
      <w:r w:rsidRPr="00016BFF">
        <w:rPr>
          <w:b/>
          <w:i/>
        </w:rPr>
        <w:t>harmonic mean</w:t>
      </w:r>
      <w:r w:rsidRPr="00016BFF">
        <w:t xml:space="preserve"> has the meaning given by </w:t>
      </w:r>
      <w:r w:rsidR="00AB6F77" w:rsidRPr="00016BFF">
        <w:t>subsection 4</w:t>
      </w:r>
      <w:r w:rsidRPr="00016BFF">
        <w:t>8(2AA).</w:t>
      </w:r>
    </w:p>
    <w:p w14:paraId="2C542629" w14:textId="77777777" w:rsidR="00CE3355" w:rsidRPr="00016BFF" w:rsidRDefault="00CE3355" w:rsidP="00016BFF">
      <w:pPr>
        <w:pStyle w:val="Definition"/>
      </w:pPr>
      <w:r w:rsidRPr="00016BFF">
        <w:rPr>
          <w:b/>
          <w:i/>
        </w:rPr>
        <w:t>quota</w:t>
      </w:r>
      <w:r w:rsidRPr="00016BFF">
        <w:t xml:space="preserve"> has the meaning given by paragraph 48(2)(a).</w:t>
      </w:r>
    </w:p>
    <w:p w14:paraId="3348CADD" w14:textId="77777777" w:rsidR="00CE3355" w:rsidRPr="00016BFF" w:rsidRDefault="00C5644E" w:rsidP="00016BFF">
      <w:pPr>
        <w:pStyle w:val="ItemHead"/>
      </w:pPr>
      <w:r w:rsidRPr="00016BFF">
        <w:t>12</w:t>
      </w:r>
      <w:r w:rsidR="00CE3355" w:rsidRPr="00016BFF">
        <w:t xml:space="preserve">  </w:t>
      </w:r>
      <w:r w:rsidR="00AB6F77" w:rsidRPr="00016BFF">
        <w:t>Section 4</w:t>
      </w:r>
      <w:r w:rsidR="00CE3355" w:rsidRPr="00016BFF">
        <w:t>7</w:t>
      </w:r>
    </w:p>
    <w:p w14:paraId="0A9B3D35" w14:textId="77777777" w:rsidR="00CE3355" w:rsidRPr="00016BFF" w:rsidRDefault="00CE3355" w:rsidP="00016BFF">
      <w:pPr>
        <w:pStyle w:val="Item"/>
      </w:pPr>
      <w:r w:rsidRPr="00016BFF">
        <w:t>Omit “(1) The”, substitute “The”.</w:t>
      </w:r>
    </w:p>
    <w:p w14:paraId="0087C139" w14:textId="77777777" w:rsidR="00CE3355" w:rsidRPr="00016BFF" w:rsidRDefault="00C5644E" w:rsidP="00016BFF">
      <w:pPr>
        <w:pStyle w:val="ItemHead"/>
      </w:pPr>
      <w:r w:rsidRPr="00016BFF">
        <w:t>13</w:t>
      </w:r>
      <w:r w:rsidR="00CE3355" w:rsidRPr="00016BFF">
        <w:t xml:space="preserve">  Paragraph 47(1)(b)</w:t>
      </w:r>
    </w:p>
    <w:p w14:paraId="730C4633" w14:textId="77777777" w:rsidR="00CE3355" w:rsidRPr="00016BFF" w:rsidRDefault="00CE3355" w:rsidP="00016BFF">
      <w:pPr>
        <w:pStyle w:val="Item"/>
      </w:pPr>
      <w:r w:rsidRPr="00016BFF">
        <w:t>Repeal the paragraph.</w:t>
      </w:r>
    </w:p>
    <w:p w14:paraId="38EE0FF6" w14:textId="77777777" w:rsidR="00CE3355" w:rsidRPr="00016BFF" w:rsidRDefault="00C5644E" w:rsidP="00016BFF">
      <w:pPr>
        <w:pStyle w:val="ItemHead"/>
      </w:pPr>
      <w:r w:rsidRPr="00016BFF">
        <w:t>14</w:t>
      </w:r>
      <w:r w:rsidR="00CE3355" w:rsidRPr="00016BFF">
        <w:t xml:space="preserve">  Subsection 47(2)</w:t>
      </w:r>
    </w:p>
    <w:p w14:paraId="1FE711EF" w14:textId="77777777" w:rsidR="00CE3355" w:rsidRPr="00016BFF" w:rsidRDefault="00CE3355" w:rsidP="00016BFF">
      <w:pPr>
        <w:pStyle w:val="Item"/>
      </w:pPr>
      <w:r w:rsidRPr="00016BFF">
        <w:t>Repeal the subsection.</w:t>
      </w:r>
    </w:p>
    <w:p w14:paraId="7EA7AED3" w14:textId="77777777" w:rsidR="00CE3355" w:rsidRPr="00016BFF" w:rsidRDefault="00C5644E" w:rsidP="00016BFF">
      <w:pPr>
        <w:pStyle w:val="ItemHead"/>
      </w:pPr>
      <w:r w:rsidRPr="00016BFF">
        <w:t>15</w:t>
      </w:r>
      <w:r w:rsidR="00CE3355" w:rsidRPr="00016BFF">
        <w:t xml:space="preserve">  Paragraph 48(1)(b)</w:t>
      </w:r>
    </w:p>
    <w:p w14:paraId="01EACCEB" w14:textId="77777777" w:rsidR="00CE3355" w:rsidRPr="00016BFF" w:rsidRDefault="00CE3355" w:rsidP="00016BFF">
      <w:pPr>
        <w:pStyle w:val="Item"/>
      </w:pPr>
      <w:r w:rsidRPr="00016BFF">
        <w:t>Omit “(2B), (2BA), (2C) and (2F)”, substitute “(2AA), (2B), (2BA) and (2C)”.</w:t>
      </w:r>
    </w:p>
    <w:p w14:paraId="27C3F504" w14:textId="77777777" w:rsidR="00CE3355" w:rsidRPr="00016BFF" w:rsidRDefault="00C5644E" w:rsidP="00016BFF">
      <w:pPr>
        <w:pStyle w:val="ItemHead"/>
      </w:pPr>
      <w:r w:rsidRPr="00016BFF">
        <w:t>16</w:t>
      </w:r>
      <w:r w:rsidR="00CE3355" w:rsidRPr="00016BFF">
        <w:t xml:space="preserve">  Before </w:t>
      </w:r>
      <w:r w:rsidR="00AB6F77" w:rsidRPr="00016BFF">
        <w:t>subsection 4</w:t>
      </w:r>
      <w:r w:rsidR="00CE3355" w:rsidRPr="00016BFF">
        <w:t>8(2)</w:t>
      </w:r>
    </w:p>
    <w:p w14:paraId="239B634A" w14:textId="77777777" w:rsidR="00CE3355" w:rsidRPr="00016BFF" w:rsidRDefault="00CE3355" w:rsidP="00016BFF">
      <w:pPr>
        <w:pStyle w:val="Item"/>
      </w:pPr>
      <w:r w:rsidRPr="00016BFF">
        <w:t>Insert:</w:t>
      </w:r>
    </w:p>
    <w:p w14:paraId="1B3CC748" w14:textId="77777777" w:rsidR="00CE3355" w:rsidRPr="00016BFF" w:rsidRDefault="00CE3355" w:rsidP="00016BFF">
      <w:pPr>
        <w:pStyle w:val="SubsectionHead"/>
      </w:pPr>
      <w:r w:rsidRPr="00016BFF">
        <w:t>Determining number of members for States</w:t>
      </w:r>
    </w:p>
    <w:p w14:paraId="05B5CDE1" w14:textId="77777777" w:rsidR="00CE3355" w:rsidRPr="00016BFF" w:rsidRDefault="00C5644E" w:rsidP="00016BFF">
      <w:pPr>
        <w:pStyle w:val="ItemHead"/>
      </w:pPr>
      <w:r w:rsidRPr="00016BFF">
        <w:t>17</w:t>
      </w:r>
      <w:r w:rsidR="00CE3355" w:rsidRPr="00016BFF">
        <w:t xml:space="preserve">  Paragraph 48(2)(a)</w:t>
      </w:r>
    </w:p>
    <w:p w14:paraId="2AA7F779" w14:textId="77777777" w:rsidR="00CE3355" w:rsidRPr="00016BFF" w:rsidRDefault="00CE3355" w:rsidP="00016BFF">
      <w:pPr>
        <w:pStyle w:val="Item"/>
      </w:pPr>
      <w:r w:rsidRPr="00016BFF">
        <w:t>Omit “quota”, substitute “</w:t>
      </w:r>
      <w:r w:rsidRPr="00016BFF">
        <w:rPr>
          <w:b/>
          <w:i/>
        </w:rPr>
        <w:t>quota</w:t>
      </w:r>
      <w:r w:rsidRPr="00016BFF">
        <w:t>”.</w:t>
      </w:r>
    </w:p>
    <w:p w14:paraId="08CDA26B" w14:textId="77777777" w:rsidR="00CE3355" w:rsidRPr="00016BFF" w:rsidRDefault="00C5644E" w:rsidP="00016BFF">
      <w:pPr>
        <w:pStyle w:val="ItemHead"/>
      </w:pPr>
      <w:r w:rsidRPr="00016BFF">
        <w:t>18</w:t>
      </w:r>
      <w:r w:rsidR="00CE3355" w:rsidRPr="00016BFF">
        <w:t xml:space="preserve">  Before </w:t>
      </w:r>
      <w:r w:rsidR="00AB6F77" w:rsidRPr="00016BFF">
        <w:t>subsection 4</w:t>
      </w:r>
      <w:r w:rsidR="00CE3355" w:rsidRPr="00016BFF">
        <w:t>8(2A)</w:t>
      </w:r>
    </w:p>
    <w:p w14:paraId="53DCA4F5" w14:textId="77777777" w:rsidR="00CE3355" w:rsidRPr="00016BFF" w:rsidRDefault="00CE3355" w:rsidP="00016BFF">
      <w:pPr>
        <w:pStyle w:val="Item"/>
      </w:pPr>
      <w:r w:rsidRPr="00016BFF">
        <w:t>Insert:</w:t>
      </w:r>
    </w:p>
    <w:p w14:paraId="52B12CC9" w14:textId="77777777" w:rsidR="00CE3355" w:rsidRPr="00016BFF" w:rsidRDefault="00CE3355" w:rsidP="00016BFF">
      <w:pPr>
        <w:pStyle w:val="SubsectionHead"/>
      </w:pPr>
      <w:r w:rsidRPr="00016BFF">
        <w:lastRenderedPageBreak/>
        <w:t>Determining number of members for Territories</w:t>
      </w:r>
    </w:p>
    <w:p w14:paraId="720FF66E" w14:textId="77777777" w:rsidR="00CE3355" w:rsidRPr="00016BFF" w:rsidRDefault="00C5644E" w:rsidP="00016BFF">
      <w:pPr>
        <w:pStyle w:val="ItemHead"/>
      </w:pPr>
      <w:r w:rsidRPr="00016BFF">
        <w:t>19</w:t>
      </w:r>
      <w:r w:rsidR="00CE3355" w:rsidRPr="00016BFF">
        <w:t xml:space="preserve">  Subsection 48(2A)</w:t>
      </w:r>
    </w:p>
    <w:p w14:paraId="696DCAE0" w14:textId="77777777" w:rsidR="00CE3355" w:rsidRPr="00016BFF" w:rsidRDefault="00CE3355" w:rsidP="00016BFF">
      <w:pPr>
        <w:pStyle w:val="Item"/>
      </w:pPr>
      <w:r w:rsidRPr="00016BFF">
        <w:t>Omit “(2B), (2BA), (2C) and (2F)”, substitute “(2AA), (2B), (2BA) and (2C)”.</w:t>
      </w:r>
    </w:p>
    <w:p w14:paraId="340CE963" w14:textId="77777777" w:rsidR="00CE3355" w:rsidRPr="00016BFF" w:rsidRDefault="00C5644E" w:rsidP="00016BFF">
      <w:pPr>
        <w:pStyle w:val="ItemHead"/>
      </w:pPr>
      <w:r w:rsidRPr="00016BFF">
        <w:t>20</w:t>
      </w:r>
      <w:r w:rsidR="00CE3355" w:rsidRPr="00016BFF">
        <w:t xml:space="preserve">  Paragraph 48(2A)(b)</w:t>
      </w:r>
    </w:p>
    <w:p w14:paraId="6E625806" w14:textId="77777777" w:rsidR="00CE3355" w:rsidRPr="00016BFF" w:rsidRDefault="00CE3355" w:rsidP="00016BFF">
      <w:pPr>
        <w:pStyle w:val="Item"/>
      </w:pPr>
      <w:r w:rsidRPr="00016BFF">
        <w:t>Omit “or equal to 1.5”, substitute “1”.</w:t>
      </w:r>
    </w:p>
    <w:p w14:paraId="4DD7CEF2" w14:textId="77777777" w:rsidR="00CE3355" w:rsidRPr="00016BFF" w:rsidRDefault="00C5644E" w:rsidP="00016BFF">
      <w:pPr>
        <w:pStyle w:val="ItemHead"/>
      </w:pPr>
      <w:r w:rsidRPr="00016BFF">
        <w:t>21</w:t>
      </w:r>
      <w:r w:rsidR="00CE3355" w:rsidRPr="00016BFF">
        <w:t xml:space="preserve">  After paragraph 48(2A)(b)</w:t>
      </w:r>
    </w:p>
    <w:p w14:paraId="6B2B01FD" w14:textId="77777777" w:rsidR="00CE3355" w:rsidRPr="00016BFF" w:rsidRDefault="00CE3355" w:rsidP="00016BFF">
      <w:pPr>
        <w:pStyle w:val="Item"/>
      </w:pPr>
      <w:r w:rsidRPr="00016BFF">
        <w:t>Insert:</w:t>
      </w:r>
    </w:p>
    <w:p w14:paraId="6BF82C36" w14:textId="77777777" w:rsidR="00CE3355" w:rsidRPr="00016BFF" w:rsidRDefault="00CE3355" w:rsidP="00016BFF">
      <w:pPr>
        <w:pStyle w:val="paragraph"/>
      </w:pPr>
      <w:r w:rsidRPr="00016BFF">
        <w:tab/>
        <w:t>(ba)</w:t>
      </w:r>
      <w:r w:rsidRPr="00016BFF">
        <w:tab/>
        <w:t>if the result of the divisi</w:t>
      </w:r>
      <w:r w:rsidR="00DC4631" w:rsidRPr="00016BFF">
        <w:t>on is 1 or more, and less than 3</w:t>
      </w:r>
      <w:r w:rsidRPr="00016BFF">
        <w:t xml:space="preserve">—that the number of members to be chosen for the Territory at a general election is the result of the division, rounding the </w:t>
      </w:r>
      <w:r w:rsidR="00E45206" w:rsidRPr="00016BFF">
        <w:t>result</w:t>
      </w:r>
      <w:r w:rsidRPr="00016BFF">
        <w:t xml:space="preserve"> using the harmonic mean in accordance with </w:t>
      </w:r>
      <w:r w:rsidR="00AB6F77" w:rsidRPr="00016BFF">
        <w:t>subsection (</w:t>
      </w:r>
      <w:r w:rsidRPr="00016BFF">
        <w:t>2AA); or</w:t>
      </w:r>
    </w:p>
    <w:p w14:paraId="2AC503A3" w14:textId="77777777" w:rsidR="00CE3355" w:rsidRPr="00016BFF" w:rsidRDefault="00C5644E" w:rsidP="00016BFF">
      <w:pPr>
        <w:pStyle w:val="ItemHead"/>
      </w:pPr>
      <w:r w:rsidRPr="00016BFF">
        <w:t>22</w:t>
      </w:r>
      <w:r w:rsidR="00CE3355" w:rsidRPr="00016BFF">
        <w:t xml:space="preserve">  At the end of </w:t>
      </w:r>
      <w:r w:rsidR="00AB6F77" w:rsidRPr="00016BFF">
        <w:t>subsection 4</w:t>
      </w:r>
      <w:r w:rsidR="00CE3355" w:rsidRPr="00016BFF">
        <w:t>8(2A)</w:t>
      </w:r>
    </w:p>
    <w:p w14:paraId="63294CF8" w14:textId="77777777" w:rsidR="00CE3355" w:rsidRPr="00016BFF" w:rsidRDefault="00CE3355" w:rsidP="00016BFF">
      <w:pPr>
        <w:pStyle w:val="Item"/>
      </w:pPr>
      <w:r w:rsidRPr="00016BFF">
        <w:t>Add:</w:t>
      </w:r>
    </w:p>
    <w:p w14:paraId="427AAE3F" w14:textId="77777777" w:rsidR="00CE3355" w:rsidRPr="00016BFF" w:rsidRDefault="00CE3355" w:rsidP="00016BFF">
      <w:pPr>
        <w:pStyle w:val="notetext"/>
      </w:pPr>
      <w:r w:rsidRPr="00016BFF">
        <w:t>Note:</w:t>
      </w:r>
      <w:r w:rsidRPr="00016BFF">
        <w:tab/>
        <w:t xml:space="preserve">For the definition of </w:t>
      </w:r>
      <w:r w:rsidRPr="00016BFF">
        <w:rPr>
          <w:b/>
          <w:i/>
        </w:rPr>
        <w:t>Territory</w:t>
      </w:r>
      <w:r w:rsidRPr="00016BFF">
        <w:t xml:space="preserve">, see </w:t>
      </w:r>
      <w:r w:rsidR="00AB6F77" w:rsidRPr="00016BFF">
        <w:t>section 3</w:t>
      </w:r>
      <w:r w:rsidRPr="00016BFF">
        <w:t>8A.</w:t>
      </w:r>
    </w:p>
    <w:p w14:paraId="777B6CCB" w14:textId="77777777" w:rsidR="00CE3355" w:rsidRPr="00016BFF" w:rsidRDefault="00C5644E" w:rsidP="00016BFF">
      <w:pPr>
        <w:pStyle w:val="ItemHead"/>
      </w:pPr>
      <w:r w:rsidRPr="00016BFF">
        <w:t>23</w:t>
      </w:r>
      <w:r w:rsidR="00CE3355" w:rsidRPr="00016BFF">
        <w:t xml:space="preserve">  After </w:t>
      </w:r>
      <w:r w:rsidR="00AB6F77" w:rsidRPr="00016BFF">
        <w:t>subsection 4</w:t>
      </w:r>
      <w:r w:rsidR="00CE3355" w:rsidRPr="00016BFF">
        <w:t>8(2A)</w:t>
      </w:r>
    </w:p>
    <w:p w14:paraId="550993A4" w14:textId="77777777" w:rsidR="00CE3355" w:rsidRPr="00016BFF" w:rsidRDefault="00CE3355" w:rsidP="00016BFF">
      <w:pPr>
        <w:pStyle w:val="Item"/>
      </w:pPr>
      <w:r w:rsidRPr="00016BFF">
        <w:t>Insert:</w:t>
      </w:r>
    </w:p>
    <w:p w14:paraId="6B71E9FF" w14:textId="77777777" w:rsidR="00CE3355" w:rsidRPr="00016BFF" w:rsidRDefault="00CE3355" w:rsidP="00016BFF">
      <w:pPr>
        <w:pStyle w:val="SubsectionHead"/>
      </w:pPr>
      <w:r w:rsidRPr="00016BFF">
        <w:t>Rounding using harmonic mean for Territories</w:t>
      </w:r>
    </w:p>
    <w:p w14:paraId="0C2AB94D" w14:textId="77777777" w:rsidR="00CE3355" w:rsidRPr="00016BFF" w:rsidRDefault="00CE3355" w:rsidP="00016BFF">
      <w:pPr>
        <w:pStyle w:val="subsection"/>
      </w:pPr>
      <w:r w:rsidRPr="00016BFF">
        <w:tab/>
        <w:t>(2AA)</w:t>
      </w:r>
      <w:r w:rsidRPr="00016BFF">
        <w:tab/>
        <w:t>If paragraph (2A)(ba) applies in relation to a Territory, the result</w:t>
      </w:r>
      <w:r w:rsidR="004A5992" w:rsidRPr="00016BFF">
        <w:t xml:space="preserve"> of</w:t>
      </w:r>
      <w:r w:rsidRPr="00016BFF">
        <w:t xml:space="preserve"> the division under </w:t>
      </w:r>
      <w:r w:rsidR="00AB6F77" w:rsidRPr="00016BFF">
        <w:t>subsection (</w:t>
      </w:r>
      <w:r w:rsidRPr="00016BFF">
        <w:t xml:space="preserve">2A) is to be rounded up if the </w:t>
      </w:r>
      <w:r w:rsidR="004A5992" w:rsidRPr="00016BFF">
        <w:t xml:space="preserve">result </w:t>
      </w:r>
      <w:r w:rsidRPr="00016BFF">
        <w:t xml:space="preserve">is </w:t>
      </w:r>
      <w:r w:rsidR="00586F21" w:rsidRPr="00016BFF">
        <w:t>equal to or</w:t>
      </w:r>
      <w:r w:rsidR="00586F21" w:rsidRPr="00016BFF">
        <w:rPr>
          <w:i/>
        </w:rPr>
        <w:t xml:space="preserve"> </w:t>
      </w:r>
      <w:r w:rsidRPr="00016BFF">
        <w:t xml:space="preserve">greater than the amount worked out using the following formula (the </w:t>
      </w:r>
      <w:r w:rsidRPr="00016BFF">
        <w:rPr>
          <w:b/>
          <w:i/>
        </w:rPr>
        <w:t>harmonic mean</w:t>
      </w:r>
      <w:r w:rsidRPr="00016BFF">
        <w:t>):</w:t>
      </w:r>
    </w:p>
    <w:p w14:paraId="5E13748B" w14:textId="0F1B58D5" w:rsidR="00CE3355" w:rsidRPr="00016BFF" w:rsidRDefault="00032BCF" w:rsidP="00016BFF">
      <w:pPr>
        <w:pStyle w:val="subsection2"/>
      </w:pPr>
      <w:bookmarkStart w:id="9" w:name="BKCheck15B_2"/>
      <w:bookmarkStart w:id="10" w:name="_GoBack"/>
      <w:bookmarkEnd w:id="9"/>
      <w:r>
        <w:rPr>
          <w:noProof/>
        </w:rPr>
        <w:drawing>
          <wp:inline distT="0" distB="0" distL="0" distR="0" wp14:anchorId="138956CB" wp14:editId="6D0A777D">
            <wp:extent cx="2486025" cy="1171575"/>
            <wp:effectExtent l="0" t="0" r="9525" b="9525"/>
            <wp:docPr id="1" name="Picture 1" descr="Start formula start fraction open bracket 2 times minimum number of members times minimum number plus 1 close bracket over open bracket minimum number of members plus minimum number plus 1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6025" cy="1171575"/>
                    </a:xfrm>
                    <a:prstGeom prst="rect">
                      <a:avLst/>
                    </a:prstGeom>
                    <a:noFill/>
                    <a:ln>
                      <a:noFill/>
                    </a:ln>
                  </pic:spPr>
                </pic:pic>
              </a:graphicData>
            </a:graphic>
          </wp:inline>
        </w:drawing>
      </w:r>
      <w:bookmarkEnd w:id="10"/>
    </w:p>
    <w:p w14:paraId="2B6AF3D4" w14:textId="77777777" w:rsidR="00CE3355" w:rsidRPr="00016BFF" w:rsidRDefault="00CE3355" w:rsidP="00016BFF">
      <w:pPr>
        <w:pStyle w:val="subsection2"/>
      </w:pPr>
      <w:r w:rsidRPr="00016BFF">
        <w:t>where:</w:t>
      </w:r>
    </w:p>
    <w:p w14:paraId="4118E51B" w14:textId="77777777" w:rsidR="00CE3355" w:rsidRPr="00016BFF" w:rsidRDefault="00CE3355" w:rsidP="00016BFF">
      <w:pPr>
        <w:pStyle w:val="Definition"/>
      </w:pPr>
      <w:r w:rsidRPr="00016BFF">
        <w:rPr>
          <w:b/>
          <w:i/>
        </w:rPr>
        <w:lastRenderedPageBreak/>
        <w:t>minimum number of members</w:t>
      </w:r>
      <w:r w:rsidRPr="00016BFF">
        <w:t xml:space="preserve"> for a Territory means the number of members for the Territory worked out under </w:t>
      </w:r>
      <w:r w:rsidR="00AB6F77" w:rsidRPr="00016BFF">
        <w:t>subsection (</w:t>
      </w:r>
      <w:r w:rsidRPr="00016BFF">
        <w:t>2A) (disregarding any remainder).</w:t>
      </w:r>
    </w:p>
    <w:p w14:paraId="731A1585" w14:textId="77777777" w:rsidR="00CE3355" w:rsidRPr="00016BFF" w:rsidRDefault="00CE3355" w:rsidP="00016BFF">
      <w:pPr>
        <w:pStyle w:val="Definition"/>
        <w:rPr>
          <w:b/>
          <w:i/>
        </w:rPr>
      </w:pPr>
      <w:r w:rsidRPr="00016BFF">
        <w:rPr>
          <w:b/>
          <w:i/>
        </w:rPr>
        <w:t>minimum number plus 1</w:t>
      </w:r>
      <w:r w:rsidRPr="00FB66A7">
        <w:t xml:space="preserve"> </w:t>
      </w:r>
      <w:r w:rsidRPr="00016BFF">
        <w:t xml:space="preserve">for a Territory means the </w:t>
      </w:r>
      <w:r w:rsidR="007D24EB" w:rsidRPr="00016BFF">
        <w:t xml:space="preserve">minimum </w:t>
      </w:r>
      <w:r w:rsidRPr="00016BFF">
        <w:t>number of members for the Territory plus 1.</w:t>
      </w:r>
    </w:p>
    <w:p w14:paraId="4AB891EB" w14:textId="77777777" w:rsidR="00CE3355" w:rsidRPr="00016BFF" w:rsidRDefault="00CE3355" w:rsidP="00016BFF">
      <w:pPr>
        <w:pStyle w:val="SubsectionHead"/>
      </w:pPr>
      <w:r w:rsidRPr="00016BFF">
        <w:t>Minimum number of members for the Australian Capital Territory and Northern Territory</w:t>
      </w:r>
    </w:p>
    <w:p w14:paraId="25C2AEED" w14:textId="77777777" w:rsidR="00CE3355" w:rsidRPr="00016BFF" w:rsidRDefault="00C5644E" w:rsidP="00016BFF">
      <w:pPr>
        <w:pStyle w:val="ItemHead"/>
      </w:pPr>
      <w:r w:rsidRPr="00016BFF">
        <w:t>24</w:t>
      </w:r>
      <w:r w:rsidR="00CE3355" w:rsidRPr="00016BFF">
        <w:t xml:space="preserve">  At the end of </w:t>
      </w:r>
      <w:r w:rsidR="00AB6F77" w:rsidRPr="00016BFF">
        <w:t>subsection 4</w:t>
      </w:r>
      <w:r w:rsidR="00CE3355" w:rsidRPr="00016BFF">
        <w:t>8(2B)</w:t>
      </w:r>
    </w:p>
    <w:p w14:paraId="38BD89AC" w14:textId="77777777" w:rsidR="00CE3355" w:rsidRPr="00016BFF" w:rsidRDefault="00CE3355" w:rsidP="00016BFF">
      <w:pPr>
        <w:pStyle w:val="Item"/>
      </w:pPr>
      <w:r w:rsidRPr="00016BFF">
        <w:t>Add:</w:t>
      </w:r>
    </w:p>
    <w:p w14:paraId="5A576193" w14:textId="77777777" w:rsidR="00CE3355" w:rsidRPr="00016BFF" w:rsidRDefault="00CE3355" w:rsidP="00016BFF">
      <w:pPr>
        <w:pStyle w:val="notetext"/>
      </w:pPr>
      <w:r w:rsidRPr="00016BFF">
        <w:t>Note:</w:t>
      </w:r>
      <w:r w:rsidRPr="00016BFF">
        <w:tab/>
        <w:t xml:space="preserve">For the definitions of </w:t>
      </w:r>
      <w:r w:rsidRPr="00016BFF">
        <w:rPr>
          <w:b/>
          <w:i/>
        </w:rPr>
        <w:t>Australian Capital Territory</w:t>
      </w:r>
      <w:r w:rsidRPr="00016BFF">
        <w:t xml:space="preserve"> and </w:t>
      </w:r>
      <w:r w:rsidRPr="00016BFF">
        <w:rPr>
          <w:b/>
          <w:i/>
        </w:rPr>
        <w:t>Northern Territory</w:t>
      </w:r>
      <w:r w:rsidRPr="00016BFF">
        <w:t xml:space="preserve">, see </w:t>
      </w:r>
      <w:r w:rsidR="00AB6F77" w:rsidRPr="00016BFF">
        <w:t>section 3</w:t>
      </w:r>
      <w:r w:rsidRPr="00016BFF">
        <w:t>8A.</w:t>
      </w:r>
    </w:p>
    <w:p w14:paraId="6547394A" w14:textId="77777777" w:rsidR="00CE3355" w:rsidRPr="00016BFF" w:rsidRDefault="00C5644E" w:rsidP="00016BFF">
      <w:pPr>
        <w:pStyle w:val="ItemHead"/>
      </w:pPr>
      <w:r w:rsidRPr="00016BFF">
        <w:t>25</w:t>
      </w:r>
      <w:r w:rsidR="00CE3355" w:rsidRPr="00016BFF">
        <w:t xml:space="preserve">  Before </w:t>
      </w:r>
      <w:r w:rsidR="00AB6F77" w:rsidRPr="00016BFF">
        <w:t>subsection 4</w:t>
      </w:r>
      <w:r w:rsidR="00CE3355" w:rsidRPr="00016BFF">
        <w:t>8(2BA)</w:t>
      </w:r>
    </w:p>
    <w:p w14:paraId="786DB381" w14:textId="77777777" w:rsidR="00CE3355" w:rsidRPr="00016BFF" w:rsidRDefault="00CE3355" w:rsidP="00016BFF">
      <w:pPr>
        <w:pStyle w:val="Item"/>
      </w:pPr>
      <w:r w:rsidRPr="00016BFF">
        <w:t>Insert:</w:t>
      </w:r>
    </w:p>
    <w:p w14:paraId="238C6416" w14:textId="77777777" w:rsidR="00CE3355" w:rsidRPr="00016BFF" w:rsidRDefault="00CE3355" w:rsidP="00016BFF">
      <w:pPr>
        <w:pStyle w:val="SubsectionHead"/>
      </w:pPr>
      <w:r w:rsidRPr="00016BFF">
        <w:t>When no separate member for Norfolk Island is determined</w:t>
      </w:r>
    </w:p>
    <w:p w14:paraId="5BE85C29" w14:textId="77777777" w:rsidR="00CE3355" w:rsidRPr="00016BFF" w:rsidRDefault="00C5644E" w:rsidP="00016BFF">
      <w:pPr>
        <w:pStyle w:val="ItemHead"/>
      </w:pPr>
      <w:r w:rsidRPr="00016BFF">
        <w:t>26</w:t>
      </w:r>
      <w:r w:rsidR="00CE3355" w:rsidRPr="00016BFF">
        <w:t xml:space="preserve">  Subsection 48(2BA)</w:t>
      </w:r>
    </w:p>
    <w:p w14:paraId="7C246543" w14:textId="77777777" w:rsidR="00CE3355" w:rsidRPr="00016BFF" w:rsidRDefault="00CE3355" w:rsidP="00016BFF">
      <w:pPr>
        <w:pStyle w:val="Item"/>
      </w:pPr>
      <w:r w:rsidRPr="00016BFF">
        <w:t xml:space="preserve">Omit “Subject to </w:t>
      </w:r>
      <w:r w:rsidR="00AB6F77" w:rsidRPr="00016BFF">
        <w:t>subsection (</w:t>
      </w:r>
      <w:r w:rsidRPr="00016BFF">
        <w:t>2F), if”, substitute “If”.</w:t>
      </w:r>
    </w:p>
    <w:p w14:paraId="1B4DA969" w14:textId="77777777" w:rsidR="00CE3355" w:rsidRPr="00016BFF" w:rsidRDefault="00C5644E" w:rsidP="00016BFF">
      <w:pPr>
        <w:pStyle w:val="ItemHead"/>
      </w:pPr>
      <w:r w:rsidRPr="00016BFF">
        <w:t>27</w:t>
      </w:r>
      <w:r w:rsidR="00CE3355" w:rsidRPr="00016BFF">
        <w:t xml:space="preserve">  Paragraph 48(2BA)(c)</w:t>
      </w:r>
    </w:p>
    <w:p w14:paraId="0D68F48B" w14:textId="77777777" w:rsidR="00CE3355" w:rsidRPr="00016BFF" w:rsidRDefault="00CE3355" w:rsidP="00016BFF">
      <w:pPr>
        <w:pStyle w:val="Item"/>
      </w:pPr>
      <w:r w:rsidRPr="00016BFF">
        <w:t>Omit “</w:t>
      </w:r>
      <w:r w:rsidR="00AB6F77" w:rsidRPr="00016BFF">
        <w:t>subsection (</w:t>
      </w:r>
      <w:r w:rsidRPr="00016BFF">
        <w:t>2G)”, substitute “subsections (2B) and (2G)”.</w:t>
      </w:r>
    </w:p>
    <w:p w14:paraId="0E7A3258" w14:textId="77777777" w:rsidR="00CE3355" w:rsidRPr="00016BFF" w:rsidRDefault="00C5644E" w:rsidP="00016BFF">
      <w:pPr>
        <w:pStyle w:val="ItemHead"/>
      </w:pPr>
      <w:r w:rsidRPr="00016BFF">
        <w:t>28</w:t>
      </w:r>
      <w:r w:rsidR="00CE3355" w:rsidRPr="00016BFF">
        <w:t xml:space="preserve">  Before </w:t>
      </w:r>
      <w:r w:rsidR="00AB6F77" w:rsidRPr="00016BFF">
        <w:t>subsection 4</w:t>
      </w:r>
      <w:r w:rsidR="00CE3355" w:rsidRPr="00016BFF">
        <w:t>8(2C)</w:t>
      </w:r>
    </w:p>
    <w:p w14:paraId="00EA1624" w14:textId="77777777" w:rsidR="00CE3355" w:rsidRPr="00016BFF" w:rsidRDefault="00CE3355" w:rsidP="00016BFF">
      <w:pPr>
        <w:pStyle w:val="Item"/>
      </w:pPr>
      <w:r w:rsidRPr="00016BFF">
        <w:t>Insert:</w:t>
      </w:r>
    </w:p>
    <w:p w14:paraId="2F601116" w14:textId="77777777" w:rsidR="00CE3355" w:rsidRPr="00016BFF" w:rsidRDefault="00CE3355" w:rsidP="00016BFF">
      <w:pPr>
        <w:pStyle w:val="SubsectionHead"/>
      </w:pPr>
      <w:r w:rsidRPr="00016BFF">
        <w:t>When no separate member for Cocos (Keeling) Islands or Christmas Island is determined</w:t>
      </w:r>
    </w:p>
    <w:p w14:paraId="137C40B4" w14:textId="77777777" w:rsidR="00CE3355" w:rsidRPr="00016BFF" w:rsidRDefault="00C5644E" w:rsidP="00016BFF">
      <w:pPr>
        <w:pStyle w:val="ItemHead"/>
      </w:pPr>
      <w:r w:rsidRPr="00016BFF">
        <w:t>29</w:t>
      </w:r>
      <w:r w:rsidR="00CE3355" w:rsidRPr="00016BFF">
        <w:t xml:space="preserve">  Subsection 48(2C)</w:t>
      </w:r>
    </w:p>
    <w:p w14:paraId="20CAF1DA" w14:textId="77777777" w:rsidR="00CE3355" w:rsidRPr="00016BFF" w:rsidRDefault="00CE3355" w:rsidP="00016BFF">
      <w:pPr>
        <w:pStyle w:val="Item"/>
      </w:pPr>
      <w:r w:rsidRPr="00016BFF">
        <w:t xml:space="preserve">Omit “Subject to </w:t>
      </w:r>
      <w:r w:rsidR="00AB6F77" w:rsidRPr="00016BFF">
        <w:t>subsection (</w:t>
      </w:r>
      <w:r w:rsidRPr="00016BFF">
        <w:t>2F), if”, substitute “If”.</w:t>
      </w:r>
    </w:p>
    <w:p w14:paraId="24ACF9B9" w14:textId="77777777" w:rsidR="00CE3355" w:rsidRPr="00016BFF" w:rsidRDefault="00C5644E" w:rsidP="00016BFF">
      <w:pPr>
        <w:pStyle w:val="ItemHead"/>
      </w:pPr>
      <w:r w:rsidRPr="00016BFF">
        <w:t>30</w:t>
      </w:r>
      <w:r w:rsidR="00CE3355" w:rsidRPr="00016BFF">
        <w:t xml:space="preserve">  Paragraph 48(2C)(e)</w:t>
      </w:r>
    </w:p>
    <w:p w14:paraId="1AF4EEE9" w14:textId="77777777" w:rsidR="00CE3355" w:rsidRPr="00016BFF" w:rsidRDefault="00CE3355" w:rsidP="00016BFF">
      <w:pPr>
        <w:pStyle w:val="Item"/>
      </w:pPr>
      <w:r w:rsidRPr="00016BFF">
        <w:t>Omit “</w:t>
      </w:r>
      <w:r w:rsidR="00AB6F77" w:rsidRPr="00016BFF">
        <w:t>subsection (</w:t>
      </w:r>
      <w:r w:rsidRPr="00016BFF">
        <w:t>2G)”, substitute “subsections (2B) and (2G)”.</w:t>
      </w:r>
    </w:p>
    <w:p w14:paraId="417E216C" w14:textId="77777777" w:rsidR="00CE3355" w:rsidRPr="00016BFF" w:rsidRDefault="00C5644E" w:rsidP="00016BFF">
      <w:pPr>
        <w:pStyle w:val="ItemHead"/>
      </w:pPr>
      <w:r w:rsidRPr="00016BFF">
        <w:lastRenderedPageBreak/>
        <w:t>31</w:t>
      </w:r>
      <w:r w:rsidR="00CE3355" w:rsidRPr="00016BFF">
        <w:t xml:space="preserve">  Subsections 48(2E) and (2F)</w:t>
      </w:r>
    </w:p>
    <w:p w14:paraId="1ED4F3FB" w14:textId="77777777" w:rsidR="00CE3355" w:rsidRPr="00016BFF" w:rsidRDefault="00CE3355" w:rsidP="00016BFF">
      <w:pPr>
        <w:pStyle w:val="Item"/>
      </w:pPr>
      <w:r w:rsidRPr="00016BFF">
        <w:t>Repeal the subsections.</w:t>
      </w:r>
    </w:p>
    <w:p w14:paraId="6AA0A7C4" w14:textId="77777777" w:rsidR="00CE3355" w:rsidRPr="00016BFF" w:rsidRDefault="00C5644E" w:rsidP="00016BFF">
      <w:pPr>
        <w:pStyle w:val="Transitional"/>
      </w:pPr>
      <w:r w:rsidRPr="00016BFF">
        <w:t>32</w:t>
      </w:r>
      <w:r w:rsidR="00CE3355" w:rsidRPr="00016BFF">
        <w:t xml:space="preserve">  Application of amendment</w:t>
      </w:r>
    </w:p>
    <w:p w14:paraId="30510443" w14:textId="77777777" w:rsidR="00CE3355" w:rsidRPr="00016BFF" w:rsidRDefault="00CE3355" w:rsidP="00016BFF">
      <w:pPr>
        <w:pStyle w:val="Item"/>
      </w:pPr>
      <w:r w:rsidRPr="00016BFF">
        <w:t xml:space="preserve">The repeal of subsections 48(2E) and (2F) of the </w:t>
      </w:r>
      <w:r w:rsidRPr="00016BFF">
        <w:rPr>
          <w:i/>
        </w:rPr>
        <w:t xml:space="preserve">Commonwealth Electoral Act 1918 </w:t>
      </w:r>
      <w:r w:rsidRPr="00016BFF">
        <w:t xml:space="preserve">made by this Schedule applies in relation to any determination made under </w:t>
      </w:r>
      <w:r w:rsidR="00AB6F77" w:rsidRPr="00016BFF">
        <w:t>subsection 4</w:t>
      </w:r>
      <w:r w:rsidRPr="00016BFF">
        <w:t>8(1) or (2A) of that Act after the commencement of this Schedule.</w:t>
      </w:r>
    </w:p>
    <w:p w14:paraId="2F1D540F" w14:textId="77777777" w:rsidR="00CE3355" w:rsidRPr="00016BFF" w:rsidRDefault="00C5644E" w:rsidP="00016BFF">
      <w:pPr>
        <w:pStyle w:val="ItemHead"/>
      </w:pPr>
      <w:r w:rsidRPr="00016BFF">
        <w:t>33</w:t>
      </w:r>
      <w:r w:rsidR="00CE3355" w:rsidRPr="00016BFF">
        <w:t xml:space="preserve">  Before </w:t>
      </w:r>
      <w:r w:rsidR="00AB6F77" w:rsidRPr="00016BFF">
        <w:t>subsection 4</w:t>
      </w:r>
      <w:r w:rsidR="00CE3355" w:rsidRPr="00016BFF">
        <w:t>8(2G)</w:t>
      </w:r>
    </w:p>
    <w:p w14:paraId="132E9580" w14:textId="77777777" w:rsidR="00CE3355" w:rsidRPr="00016BFF" w:rsidRDefault="00CE3355" w:rsidP="00016BFF">
      <w:pPr>
        <w:pStyle w:val="Item"/>
      </w:pPr>
      <w:r w:rsidRPr="00016BFF">
        <w:t>Insert:</w:t>
      </w:r>
    </w:p>
    <w:p w14:paraId="7D29FF00" w14:textId="77777777" w:rsidR="00CE3355" w:rsidRPr="00016BFF" w:rsidRDefault="00CE3355" w:rsidP="00016BFF">
      <w:pPr>
        <w:pStyle w:val="SubsectionHead"/>
      </w:pPr>
      <w:r w:rsidRPr="00016BFF">
        <w:t>When determinations must be made</w:t>
      </w:r>
    </w:p>
    <w:p w14:paraId="4F28A959" w14:textId="77777777" w:rsidR="00CE3355" w:rsidRPr="00016BFF" w:rsidRDefault="00C5644E" w:rsidP="00016BFF">
      <w:pPr>
        <w:pStyle w:val="ItemHead"/>
      </w:pPr>
      <w:r w:rsidRPr="00016BFF">
        <w:t>34</w:t>
      </w:r>
      <w:r w:rsidR="00CE3355" w:rsidRPr="00016BFF">
        <w:t xml:space="preserve">  Subsection 48(2G)</w:t>
      </w:r>
    </w:p>
    <w:p w14:paraId="65F58908" w14:textId="77777777" w:rsidR="00CE3355" w:rsidRPr="00016BFF" w:rsidRDefault="00CE3355" w:rsidP="00016BFF">
      <w:pPr>
        <w:pStyle w:val="Item"/>
      </w:pPr>
      <w:r w:rsidRPr="00016BFF">
        <w:t>Omit “, (2C)(e) and (2F)(c)”, substitute “and (2C)(e)”.</w:t>
      </w:r>
    </w:p>
    <w:p w14:paraId="1796DF9C" w14:textId="77777777" w:rsidR="00CE3355" w:rsidRPr="00016BFF" w:rsidRDefault="00C5644E" w:rsidP="00016BFF">
      <w:pPr>
        <w:pStyle w:val="ItemHead"/>
      </w:pPr>
      <w:r w:rsidRPr="00016BFF">
        <w:t>35</w:t>
      </w:r>
      <w:r w:rsidR="00CE3355" w:rsidRPr="00016BFF">
        <w:t xml:space="preserve">  Before </w:t>
      </w:r>
      <w:r w:rsidR="00AB6F77" w:rsidRPr="00016BFF">
        <w:t>subsection 4</w:t>
      </w:r>
      <w:r w:rsidR="00CE3355" w:rsidRPr="00016BFF">
        <w:t>8(3)</w:t>
      </w:r>
    </w:p>
    <w:p w14:paraId="120D2623" w14:textId="77777777" w:rsidR="00CE3355" w:rsidRPr="00016BFF" w:rsidRDefault="00CE3355" w:rsidP="00016BFF">
      <w:pPr>
        <w:pStyle w:val="Item"/>
      </w:pPr>
      <w:r w:rsidRPr="00016BFF">
        <w:t>Insert:</w:t>
      </w:r>
    </w:p>
    <w:p w14:paraId="1D7CC49D" w14:textId="77777777" w:rsidR="00CE3355" w:rsidRPr="00016BFF" w:rsidRDefault="00CE3355" w:rsidP="00016BFF">
      <w:pPr>
        <w:pStyle w:val="SubsectionHead"/>
      </w:pPr>
      <w:r w:rsidRPr="00016BFF">
        <w:t>Decision final and conclusive</w:t>
      </w:r>
    </w:p>
    <w:p w14:paraId="568F81D7" w14:textId="77777777" w:rsidR="00CE3355" w:rsidRPr="00016BFF" w:rsidRDefault="00C5644E" w:rsidP="00016BFF">
      <w:pPr>
        <w:pStyle w:val="ItemHead"/>
      </w:pPr>
      <w:r w:rsidRPr="00016BFF">
        <w:t>36</w:t>
      </w:r>
      <w:r w:rsidR="00CE3355" w:rsidRPr="00016BFF">
        <w:t xml:space="preserve">  Before </w:t>
      </w:r>
      <w:r w:rsidR="00AB6F77" w:rsidRPr="00016BFF">
        <w:t>subsection 4</w:t>
      </w:r>
      <w:r w:rsidR="00CE3355" w:rsidRPr="00016BFF">
        <w:t>8(4)</w:t>
      </w:r>
    </w:p>
    <w:p w14:paraId="5A7507E5" w14:textId="77777777" w:rsidR="00CE3355" w:rsidRPr="00016BFF" w:rsidRDefault="00CE3355" w:rsidP="00016BFF">
      <w:pPr>
        <w:pStyle w:val="Item"/>
      </w:pPr>
      <w:r w:rsidRPr="00016BFF">
        <w:t>Insert:</w:t>
      </w:r>
    </w:p>
    <w:p w14:paraId="56BCC085" w14:textId="77777777" w:rsidR="00CE3355" w:rsidRPr="00016BFF" w:rsidRDefault="00CE3355" w:rsidP="00016BFF">
      <w:pPr>
        <w:pStyle w:val="SubsectionHead"/>
      </w:pPr>
      <w:r w:rsidRPr="00016BFF">
        <w:t>Determination to be in writing</w:t>
      </w:r>
    </w:p>
    <w:p w14:paraId="2232907A" w14:textId="77777777" w:rsidR="00CE3355" w:rsidRPr="00016BFF" w:rsidRDefault="00C5644E" w:rsidP="00016BFF">
      <w:pPr>
        <w:pStyle w:val="ItemHead"/>
      </w:pPr>
      <w:r w:rsidRPr="00016BFF">
        <w:t>37</w:t>
      </w:r>
      <w:r w:rsidR="00CE3355" w:rsidRPr="00016BFF">
        <w:t xml:space="preserve">  Subsection 48(5)</w:t>
      </w:r>
    </w:p>
    <w:p w14:paraId="08DD49DA" w14:textId="77777777" w:rsidR="00CE3355" w:rsidRPr="00016BFF" w:rsidRDefault="00CE3355" w:rsidP="00016BFF">
      <w:pPr>
        <w:pStyle w:val="Item"/>
        <w:rPr>
          <w:b/>
        </w:rPr>
      </w:pPr>
      <w:r w:rsidRPr="00016BFF">
        <w:t>Repeal the subsection.</w:t>
      </w:r>
    </w:p>
    <w:p w14:paraId="2C66E625" w14:textId="77777777" w:rsidR="00CE3355" w:rsidRPr="00016BFF" w:rsidRDefault="00C5644E" w:rsidP="00016BFF">
      <w:pPr>
        <w:pStyle w:val="ItemHead"/>
      </w:pPr>
      <w:r w:rsidRPr="00016BFF">
        <w:t>38</w:t>
      </w:r>
      <w:r w:rsidR="00CE3355" w:rsidRPr="00016BFF">
        <w:t xml:space="preserve">  </w:t>
      </w:r>
      <w:r w:rsidR="00AB6F77" w:rsidRPr="00016BFF">
        <w:t>Section 4</w:t>
      </w:r>
      <w:r w:rsidR="00CE3355" w:rsidRPr="00016BFF">
        <w:t>8A (heading)</w:t>
      </w:r>
    </w:p>
    <w:p w14:paraId="0297EAE4" w14:textId="77777777" w:rsidR="00CE3355" w:rsidRPr="00016BFF" w:rsidRDefault="00CE3355" w:rsidP="00016BFF">
      <w:pPr>
        <w:pStyle w:val="Item"/>
      </w:pPr>
      <w:r w:rsidRPr="00016BFF">
        <w:t>Repeal the heading, substitute:</w:t>
      </w:r>
    </w:p>
    <w:p w14:paraId="191AF151" w14:textId="77777777" w:rsidR="00CE3355" w:rsidRPr="00016BFF" w:rsidRDefault="00CE3355" w:rsidP="00016BFF">
      <w:pPr>
        <w:pStyle w:val="ActHead5"/>
      </w:pPr>
      <w:bookmarkStart w:id="11" w:name="_Toc59110500"/>
      <w:r w:rsidRPr="00007B90">
        <w:rPr>
          <w:rStyle w:val="CharSectno"/>
        </w:rPr>
        <w:lastRenderedPageBreak/>
        <w:t>48A</w:t>
      </w:r>
      <w:r w:rsidRPr="00016BFF">
        <w:t xml:space="preserve">  Setting aside 2020 determination in relation to the Northern Territory</w:t>
      </w:r>
      <w:bookmarkEnd w:id="11"/>
    </w:p>
    <w:p w14:paraId="39A864A7" w14:textId="77777777" w:rsidR="00CE3355" w:rsidRPr="00016BFF" w:rsidRDefault="00C5644E" w:rsidP="00016BFF">
      <w:pPr>
        <w:pStyle w:val="ItemHead"/>
      </w:pPr>
      <w:r w:rsidRPr="00016BFF">
        <w:t>39</w:t>
      </w:r>
      <w:r w:rsidR="00CE3355" w:rsidRPr="00016BFF">
        <w:t xml:space="preserve">  Subsection 48A(1)</w:t>
      </w:r>
    </w:p>
    <w:p w14:paraId="0C2A3C4E" w14:textId="77777777" w:rsidR="00CE3355" w:rsidRPr="00016BFF" w:rsidRDefault="00CE3355" w:rsidP="00016BFF">
      <w:pPr>
        <w:pStyle w:val="Item"/>
      </w:pPr>
      <w:r w:rsidRPr="00016BFF">
        <w:t xml:space="preserve">Omit “19 February 2003 (the </w:t>
      </w:r>
      <w:r w:rsidRPr="00016BFF">
        <w:rPr>
          <w:b/>
          <w:i/>
        </w:rPr>
        <w:t>2003 determination</w:t>
      </w:r>
      <w:r w:rsidRPr="00016BFF">
        <w:t xml:space="preserve">) is set aside, on and from the day on which this section commences (the </w:t>
      </w:r>
      <w:r w:rsidRPr="00016BFF">
        <w:rPr>
          <w:b/>
          <w:i/>
        </w:rPr>
        <w:t>commencement day</w:t>
      </w:r>
      <w:r w:rsidRPr="00016BFF">
        <w:t xml:space="preserve">)”, substitute “3 July 2020 (the </w:t>
      </w:r>
      <w:r w:rsidRPr="00016BFF">
        <w:rPr>
          <w:b/>
          <w:i/>
        </w:rPr>
        <w:t>2020 determination</w:t>
      </w:r>
      <w:r w:rsidRPr="00016BFF">
        <w:t xml:space="preserve">) is set aside, on and from the day on which the </w:t>
      </w:r>
      <w:r w:rsidRPr="00016BFF">
        <w:rPr>
          <w:i/>
        </w:rPr>
        <w:t>Electoral Amendment (Territory Representation) Act 2020</w:t>
      </w:r>
      <w:bookmarkStart w:id="12" w:name="BK_S3P9L8C25"/>
      <w:bookmarkEnd w:id="12"/>
      <w:r w:rsidRPr="00016BFF">
        <w:t xml:space="preserve"> commences (the </w:t>
      </w:r>
      <w:r w:rsidRPr="00016BFF">
        <w:rPr>
          <w:b/>
          <w:i/>
        </w:rPr>
        <w:t>commencement day</w:t>
      </w:r>
      <w:r w:rsidRPr="00016BFF">
        <w:t>)”.</w:t>
      </w:r>
    </w:p>
    <w:p w14:paraId="4B582373" w14:textId="77777777" w:rsidR="00CE3355" w:rsidRPr="00016BFF" w:rsidRDefault="00C5644E" w:rsidP="00016BFF">
      <w:pPr>
        <w:pStyle w:val="ItemHead"/>
      </w:pPr>
      <w:r w:rsidRPr="00016BFF">
        <w:t>40</w:t>
      </w:r>
      <w:r w:rsidR="00CE3355" w:rsidRPr="00016BFF">
        <w:t xml:space="preserve">  Paragraph 48A(2)(a)</w:t>
      </w:r>
    </w:p>
    <w:p w14:paraId="0F54C594" w14:textId="77777777" w:rsidR="00CE3355" w:rsidRPr="00016BFF" w:rsidRDefault="00CE3355" w:rsidP="00016BFF">
      <w:pPr>
        <w:pStyle w:val="Item"/>
      </w:pPr>
      <w:r w:rsidRPr="00016BFF">
        <w:t>Omit “</w:t>
      </w:r>
      <w:r w:rsidR="009E3511" w:rsidRPr="00016BFF">
        <w:t>section 5</w:t>
      </w:r>
      <w:r w:rsidRPr="00016BFF">
        <w:t>0”, substitute “sections 50 and 59”.</w:t>
      </w:r>
    </w:p>
    <w:p w14:paraId="422C673A" w14:textId="77777777" w:rsidR="00CE3355" w:rsidRPr="00016BFF" w:rsidRDefault="00C5644E" w:rsidP="00016BFF">
      <w:pPr>
        <w:pStyle w:val="ItemHead"/>
      </w:pPr>
      <w:r w:rsidRPr="00016BFF">
        <w:t>41</w:t>
      </w:r>
      <w:r w:rsidR="00CE3355" w:rsidRPr="00016BFF">
        <w:t xml:space="preserve">  Paragraph 48A(2)(a)</w:t>
      </w:r>
    </w:p>
    <w:p w14:paraId="3C80F935" w14:textId="77777777" w:rsidR="00CE3355" w:rsidRPr="00016BFF" w:rsidRDefault="00CE3355" w:rsidP="00016BFF">
      <w:pPr>
        <w:pStyle w:val="Item"/>
      </w:pPr>
      <w:r w:rsidRPr="00016BFF">
        <w:t>Omit “2003 determination”, substitute “2020 determination”.</w:t>
      </w:r>
    </w:p>
    <w:p w14:paraId="3AE537A0" w14:textId="77777777" w:rsidR="00CE3355" w:rsidRPr="00016BFF" w:rsidRDefault="00C5644E" w:rsidP="00016BFF">
      <w:pPr>
        <w:pStyle w:val="ItemHead"/>
      </w:pPr>
      <w:r w:rsidRPr="00016BFF">
        <w:t>42</w:t>
      </w:r>
      <w:r w:rsidR="00CE3355" w:rsidRPr="00016BFF">
        <w:t xml:space="preserve">  Subsection 48A(2) (notes 1 and 2)</w:t>
      </w:r>
    </w:p>
    <w:p w14:paraId="0693D902" w14:textId="77777777" w:rsidR="00CE3355" w:rsidRPr="00016BFF" w:rsidRDefault="00CE3355" w:rsidP="00016BFF">
      <w:pPr>
        <w:pStyle w:val="Item"/>
      </w:pPr>
      <w:r w:rsidRPr="00016BFF">
        <w:t>Omit “2003 determination”, substitute “2020 determination”.</w:t>
      </w:r>
    </w:p>
    <w:p w14:paraId="70F8DA12" w14:textId="77777777" w:rsidR="00CE3355" w:rsidRPr="00016BFF" w:rsidRDefault="00C5644E" w:rsidP="00016BFF">
      <w:pPr>
        <w:pStyle w:val="ItemHead"/>
      </w:pPr>
      <w:r w:rsidRPr="00016BFF">
        <w:t>43</w:t>
      </w:r>
      <w:r w:rsidR="00CE3355" w:rsidRPr="00016BFF">
        <w:t xml:space="preserve">  Subsection 48A(2) (note 2)</w:t>
      </w:r>
    </w:p>
    <w:p w14:paraId="15D2D529" w14:textId="77777777" w:rsidR="00CE3355" w:rsidRPr="00016BFF" w:rsidRDefault="00CE3355" w:rsidP="00016BFF">
      <w:pPr>
        <w:pStyle w:val="Item"/>
      </w:pPr>
      <w:r w:rsidRPr="00016BFF">
        <w:t>Omit “9 December 1999”, substitute “31 August 2017”.</w:t>
      </w:r>
    </w:p>
    <w:p w14:paraId="544839AB" w14:textId="77777777" w:rsidR="00CE3355" w:rsidRPr="00016BFF" w:rsidRDefault="00C5644E" w:rsidP="00016BFF">
      <w:pPr>
        <w:pStyle w:val="ItemHead"/>
      </w:pPr>
      <w:r w:rsidRPr="00016BFF">
        <w:t>44</w:t>
      </w:r>
      <w:r w:rsidR="00CE3355" w:rsidRPr="00016BFF">
        <w:t xml:space="preserve">  Subsection 49(1) (note)</w:t>
      </w:r>
    </w:p>
    <w:p w14:paraId="71D942AA" w14:textId="77777777" w:rsidR="00CE3355" w:rsidRPr="00016BFF" w:rsidRDefault="00CE3355" w:rsidP="00016BFF">
      <w:pPr>
        <w:pStyle w:val="Item"/>
      </w:pPr>
      <w:r w:rsidRPr="00016BFF">
        <w:t>Omit “, (2C) or (2F)”, substitute “or (2C)”.</w:t>
      </w:r>
    </w:p>
    <w:p w14:paraId="36DF6307" w14:textId="77777777" w:rsidR="00CE3355" w:rsidRPr="00016BFF" w:rsidRDefault="00C5644E" w:rsidP="00016BFF">
      <w:pPr>
        <w:pStyle w:val="ItemHead"/>
      </w:pPr>
      <w:r w:rsidRPr="00016BFF">
        <w:t>45</w:t>
      </w:r>
      <w:r w:rsidR="00CE3355" w:rsidRPr="00016BFF">
        <w:t xml:space="preserve">  At the end of </w:t>
      </w:r>
      <w:r w:rsidR="00AB6F77" w:rsidRPr="00016BFF">
        <w:t>Division 3</w:t>
      </w:r>
      <w:r w:rsidR="00CE3355" w:rsidRPr="00016BFF">
        <w:t xml:space="preserve"> of </w:t>
      </w:r>
      <w:r w:rsidR="00AB6F77" w:rsidRPr="00016BFF">
        <w:t>Part I</w:t>
      </w:r>
      <w:r w:rsidR="00CE3355" w:rsidRPr="00016BFF">
        <w:t>II</w:t>
      </w:r>
    </w:p>
    <w:p w14:paraId="32E6D358" w14:textId="77777777" w:rsidR="00CE3355" w:rsidRPr="00016BFF" w:rsidRDefault="00CE3355" w:rsidP="00016BFF">
      <w:pPr>
        <w:pStyle w:val="Item"/>
      </w:pPr>
      <w:r w:rsidRPr="00016BFF">
        <w:t>Add:</w:t>
      </w:r>
    </w:p>
    <w:p w14:paraId="5C469B9A" w14:textId="77777777" w:rsidR="00CE3355" w:rsidRPr="00016BFF" w:rsidRDefault="00CE3355" w:rsidP="00016BFF">
      <w:pPr>
        <w:pStyle w:val="ActHead5"/>
      </w:pPr>
      <w:bookmarkStart w:id="13" w:name="_Toc59110501"/>
      <w:r w:rsidRPr="00007B90">
        <w:rPr>
          <w:rStyle w:val="CharSectno"/>
        </w:rPr>
        <w:t>54A</w:t>
      </w:r>
      <w:r w:rsidRPr="00016BFF">
        <w:t xml:space="preserve">  Review of this Division</w:t>
      </w:r>
      <w:bookmarkEnd w:id="13"/>
    </w:p>
    <w:p w14:paraId="1BCC4B79" w14:textId="77777777" w:rsidR="00CE3355" w:rsidRPr="00016BFF" w:rsidRDefault="00CE3355" w:rsidP="00016BFF">
      <w:pPr>
        <w:pStyle w:val="subsection"/>
      </w:pPr>
      <w:r w:rsidRPr="00016BFF">
        <w:tab/>
        <w:t>(1)</w:t>
      </w:r>
      <w:r w:rsidRPr="00016BFF">
        <w:tab/>
        <w:t>The Joint Standing Committee on Electoral Matters, or any other parliamentary committee determined in writing by the Minister, is to:</w:t>
      </w:r>
    </w:p>
    <w:p w14:paraId="07782359" w14:textId="77777777" w:rsidR="00CE3355" w:rsidRPr="00016BFF" w:rsidRDefault="00CE3355" w:rsidP="00016BFF">
      <w:pPr>
        <w:pStyle w:val="paragraph"/>
      </w:pPr>
      <w:r w:rsidRPr="00016BFF">
        <w:tab/>
        <w:t>(a)</w:t>
      </w:r>
      <w:r w:rsidRPr="00016BFF">
        <w:tab/>
        <w:t xml:space="preserve">review the operation of this Division as soon as practicable after </w:t>
      </w:r>
      <w:r w:rsidR="00154913" w:rsidRPr="00016BFF">
        <w:t xml:space="preserve">the Electoral Commissioner </w:t>
      </w:r>
      <w:r w:rsidRPr="00016BFF">
        <w:t>mak</w:t>
      </w:r>
      <w:r w:rsidR="00154913" w:rsidRPr="00016BFF">
        <w:t>es</w:t>
      </w:r>
      <w:r w:rsidRPr="00016BFF">
        <w:t xml:space="preserve"> the first determination under </w:t>
      </w:r>
      <w:r w:rsidR="00AB6F77" w:rsidRPr="00016BFF">
        <w:t>subsection 4</w:t>
      </w:r>
      <w:r w:rsidRPr="00016BFF">
        <w:t>8(2A) for the Australian Capital Territory or the Northern</w:t>
      </w:r>
      <w:r w:rsidR="00F43331" w:rsidRPr="00016BFF">
        <w:t xml:space="preserve"> Territory</w:t>
      </w:r>
      <w:r w:rsidRPr="00016BFF">
        <w:t xml:space="preserve"> af</w:t>
      </w:r>
      <w:r w:rsidR="00AB6F77" w:rsidRPr="00016BFF">
        <w:t>ter this section commences; and</w:t>
      </w:r>
    </w:p>
    <w:p w14:paraId="26F0BE43" w14:textId="77777777" w:rsidR="00CE3355" w:rsidRPr="00016BFF" w:rsidRDefault="00CE3355" w:rsidP="00016BFF">
      <w:pPr>
        <w:pStyle w:val="paragraph"/>
      </w:pPr>
      <w:r w:rsidRPr="00016BFF">
        <w:lastRenderedPageBreak/>
        <w:tab/>
        <w:t>(b)</w:t>
      </w:r>
      <w:r w:rsidRPr="00016BFF">
        <w:tab/>
        <w:t>report the Committee’s comments and recommendations to each House of the Parliament.</w:t>
      </w:r>
    </w:p>
    <w:p w14:paraId="7CBFDB44" w14:textId="77777777" w:rsidR="00CE3355" w:rsidRPr="00016BFF" w:rsidRDefault="00CE3355" w:rsidP="00016BFF">
      <w:pPr>
        <w:pStyle w:val="subsection"/>
      </w:pPr>
      <w:r w:rsidRPr="00016BFF">
        <w:tab/>
        <w:t>(2)</w:t>
      </w:r>
      <w:r w:rsidRPr="00016BFF">
        <w:tab/>
        <w:t>The determination is not a legislative instrument.</w:t>
      </w:r>
    </w:p>
    <w:p w14:paraId="674BB21E" w14:textId="77777777" w:rsidR="00CE3355" w:rsidRPr="00016BFF" w:rsidRDefault="00C5644E" w:rsidP="00016BFF">
      <w:pPr>
        <w:pStyle w:val="ItemHead"/>
      </w:pPr>
      <w:r w:rsidRPr="00016BFF">
        <w:t>46</w:t>
      </w:r>
      <w:r w:rsidR="00CE3355" w:rsidRPr="00016BFF">
        <w:t xml:space="preserve">  </w:t>
      </w:r>
      <w:r w:rsidR="00AB6F77" w:rsidRPr="00016BFF">
        <w:t>Sub</w:t>
      </w:r>
      <w:r w:rsidR="009E3511" w:rsidRPr="00016BFF">
        <w:t>section 5</w:t>
      </w:r>
      <w:r w:rsidR="00CE3355" w:rsidRPr="00016BFF">
        <w:t xml:space="preserve">5(1) (definition of </w:t>
      </w:r>
      <w:r w:rsidR="00CE3355" w:rsidRPr="00016BFF">
        <w:rPr>
          <w:i/>
        </w:rPr>
        <w:t>average divisional enrolment</w:t>
      </w:r>
      <w:r w:rsidR="00CE3355" w:rsidRPr="00016BFF">
        <w:t>)</w:t>
      </w:r>
    </w:p>
    <w:p w14:paraId="5DFD10D3" w14:textId="77777777" w:rsidR="00CE3355" w:rsidRPr="00016BFF" w:rsidRDefault="00CE3355" w:rsidP="00016BFF">
      <w:pPr>
        <w:pStyle w:val="Item"/>
      </w:pPr>
      <w:r w:rsidRPr="00016BFF">
        <w:t>Omit “or the Australian Capital Territory”, substitute “, the Australian Capital Territory or the Northern Territory”.</w:t>
      </w:r>
    </w:p>
    <w:p w14:paraId="507B4605" w14:textId="77777777" w:rsidR="00CE3355" w:rsidRPr="00016BFF" w:rsidRDefault="00C5644E" w:rsidP="00016BFF">
      <w:pPr>
        <w:pStyle w:val="ItemHead"/>
      </w:pPr>
      <w:r w:rsidRPr="00016BFF">
        <w:t>47</w:t>
      </w:r>
      <w:r w:rsidR="00CE3355" w:rsidRPr="00016BFF">
        <w:t xml:space="preserve">  </w:t>
      </w:r>
      <w:r w:rsidR="00AB6F77" w:rsidRPr="00016BFF">
        <w:t>Sub</w:t>
      </w:r>
      <w:r w:rsidR="009E3511" w:rsidRPr="00016BFF">
        <w:t>section 5</w:t>
      </w:r>
      <w:r w:rsidR="00CE3355" w:rsidRPr="00016BFF">
        <w:t>5(1)</w:t>
      </w:r>
    </w:p>
    <w:p w14:paraId="2439FFB7" w14:textId="77777777" w:rsidR="00CE3355" w:rsidRPr="00016BFF" w:rsidRDefault="00CE3355" w:rsidP="00016BFF">
      <w:pPr>
        <w:pStyle w:val="Item"/>
      </w:pPr>
      <w:r w:rsidRPr="00016BFF">
        <w:t>Insert:</w:t>
      </w:r>
    </w:p>
    <w:p w14:paraId="6013D769" w14:textId="77777777" w:rsidR="00CE3355" w:rsidRPr="00016BFF" w:rsidRDefault="00CE3355" w:rsidP="00016BFF">
      <w:pPr>
        <w:pStyle w:val="Definition"/>
      </w:pPr>
      <w:r w:rsidRPr="00016BFF">
        <w:rPr>
          <w:b/>
          <w:i/>
        </w:rPr>
        <w:t>redistribution quota</w:t>
      </w:r>
      <w:r w:rsidRPr="00016BFF">
        <w:t xml:space="preserve"> has the meaning given by </w:t>
      </w:r>
      <w:r w:rsidR="00AB6F77" w:rsidRPr="00016BFF">
        <w:t>section 6</w:t>
      </w:r>
      <w:r w:rsidRPr="00016BFF">
        <w:t>5.</w:t>
      </w:r>
    </w:p>
    <w:p w14:paraId="743BBF5E" w14:textId="77777777" w:rsidR="00CE3355" w:rsidRPr="00016BFF" w:rsidRDefault="00C5644E" w:rsidP="00016BFF">
      <w:pPr>
        <w:pStyle w:val="ItemHead"/>
      </w:pPr>
      <w:r w:rsidRPr="00016BFF">
        <w:t>48</w:t>
      </w:r>
      <w:r w:rsidR="00CE3355" w:rsidRPr="00016BFF">
        <w:t xml:space="preserve">  </w:t>
      </w:r>
      <w:r w:rsidR="00AB6F77" w:rsidRPr="00016BFF">
        <w:t>Sub</w:t>
      </w:r>
      <w:r w:rsidR="009E3511" w:rsidRPr="00016BFF">
        <w:t>section 5</w:t>
      </w:r>
      <w:r w:rsidR="00CE3355" w:rsidRPr="00016BFF">
        <w:t xml:space="preserve">5(1) (definition of </w:t>
      </w:r>
      <w:r w:rsidR="00CE3355" w:rsidRPr="00016BFF">
        <w:rPr>
          <w:i/>
        </w:rPr>
        <w:t>Territory</w:t>
      </w:r>
      <w:r w:rsidR="00CE3355" w:rsidRPr="00016BFF">
        <w:t>)</w:t>
      </w:r>
    </w:p>
    <w:p w14:paraId="33296C64" w14:textId="77777777" w:rsidR="00CE3355" w:rsidRPr="00016BFF" w:rsidRDefault="00CE3355" w:rsidP="00016BFF">
      <w:pPr>
        <w:pStyle w:val="Item"/>
      </w:pPr>
      <w:r w:rsidRPr="00016BFF">
        <w:t>Repeal the definition.</w:t>
      </w:r>
    </w:p>
    <w:p w14:paraId="572FF9E4" w14:textId="77777777" w:rsidR="00CE3355" w:rsidRPr="00016BFF" w:rsidRDefault="00C5644E" w:rsidP="00016BFF">
      <w:pPr>
        <w:pStyle w:val="ItemHead"/>
      </w:pPr>
      <w:r w:rsidRPr="00016BFF">
        <w:t>49</w:t>
      </w:r>
      <w:r w:rsidR="00CE3355" w:rsidRPr="00016BFF">
        <w:t xml:space="preserve">  </w:t>
      </w:r>
      <w:r w:rsidR="00AB6F77" w:rsidRPr="00016BFF">
        <w:t>Section 5</w:t>
      </w:r>
      <w:r w:rsidR="00CE3355" w:rsidRPr="00016BFF">
        <w:t>5A</w:t>
      </w:r>
    </w:p>
    <w:p w14:paraId="66927731" w14:textId="77777777" w:rsidR="00CE3355" w:rsidRPr="00016BFF" w:rsidRDefault="00CE3355" w:rsidP="00016BFF">
      <w:pPr>
        <w:pStyle w:val="Item"/>
      </w:pPr>
      <w:r w:rsidRPr="00016BFF">
        <w:t>Repeal the section, substitute:</w:t>
      </w:r>
    </w:p>
    <w:p w14:paraId="1BF38B10" w14:textId="77777777" w:rsidR="00CE3355" w:rsidRPr="00016BFF" w:rsidRDefault="00CE3355" w:rsidP="00016BFF">
      <w:pPr>
        <w:pStyle w:val="ActHead5"/>
      </w:pPr>
      <w:bookmarkStart w:id="14" w:name="_Toc59110502"/>
      <w:r w:rsidRPr="00007B90">
        <w:rPr>
          <w:rStyle w:val="CharSectno"/>
        </w:rPr>
        <w:t>55A</w:t>
      </w:r>
      <w:r w:rsidRPr="00016BFF">
        <w:t xml:space="preserve">  Application to Territories with </w:t>
      </w:r>
      <w:r w:rsidR="00DC4631" w:rsidRPr="00016BFF">
        <w:t xml:space="preserve">2 or </w:t>
      </w:r>
      <w:r w:rsidRPr="00016BFF">
        <w:t>more members</w:t>
      </w:r>
      <w:bookmarkEnd w:id="14"/>
    </w:p>
    <w:p w14:paraId="692AACBE" w14:textId="77777777" w:rsidR="00CE3355" w:rsidRPr="00016BFF" w:rsidRDefault="00CE3355" w:rsidP="00016BFF">
      <w:pPr>
        <w:pStyle w:val="subsection"/>
      </w:pPr>
      <w:r w:rsidRPr="00016BFF">
        <w:tab/>
      </w:r>
      <w:r w:rsidRPr="00016BFF">
        <w:tab/>
        <w:t xml:space="preserve">A reference in this Part to a State includes (except in </w:t>
      </w:r>
      <w:r w:rsidR="009E3511" w:rsidRPr="00016BFF">
        <w:t>section 5</w:t>
      </w:r>
      <w:r w:rsidRPr="00016BFF">
        <w:t>9) a reference to a Territory that has 2 or more members to be chosen at a general election.</w:t>
      </w:r>
    </w:p>
    <w:p w14:paraId="2531DD40" w14:textId="77777777" w:rsidR="00CE3355" w:rsidRPr="00016BFF" w:rsidRDefault="00CE3355" w:rsidP="00016BFF">
      <w:pPr>
        <w:pStyle w:val="notetext"/>
      </w:pPr>
      <w:r w:rsidRPr="00016BFF">
        <w:t>Note:</w:t>
      </w:r>
      <w:r w:rsidRPr="00016BFF">
        <w:tab/>
      </w:r>
      <w:r w:rsidR="00AB6F77" w:rsidRPr="00016BFF">
        <w:t>Section 5</w:t>
      </w:r>
      <w:r w:rsidRPr="00016BFF">
        <w:t>9</w:t>
      </w:r>
      <w:r w:rsidR="008830E8" w:rsidRPr="00016BFF">
        <w:t xml:space="preserve"> </w:t>
      </w:r>
      <w:r w:rsidRPr="00016BFF">
        <w:t xml:space="preserve">deals with times at which redistributions are to commence. </w:t>
      </w:r>
      <w:r w:rsidR="00F43331" w:rsidRPr="00016BFF">
        <w:t>Some o</w:t>
      </w:r>
      <w:r w:rsidRPr="00016BFF">
        <w:t xml:space="preserve">ther provisions expressly exclude the Australian Capital Territory (see </w:t>
      </w:r>
      <w:r w:rsidR="00AB6F77" w:rsidRPr="00016BFF">
        <w:t>subsection 6</w:t>
      </w:r>
      <w:r w:rsidRPr="00016BFF">
        <w:t>2(3), and paragraphs 64(3)(a) and 69(5)(a)).</w:t>
      </w:r>
    </w:p>
    <w:p w14:paraId="0501AD21" w14:textId="77777777" w:rsidR="00CE3355" w:rsidRPr="00016BFF" w:rsidRDefault="00C5644E" w:rsidP="00016BFF">
      <w:pPr>
        <w:pStyle w:val="ItemHead"/>
      </w:pPr>
      <w:r w:rsidRPr="00016BFF">
        <w:t>50</w:t>
      </w:r>
      <w:r w:rsidR="00CE3355" w:rsidRPr="00016BFF">
        <w:t xml:space="preserve">  </w:t>
      </w:r>
      <w:r w:rsidR="00AB6F77" w:rsidRPr="00016BFF">
        <w:t>Section 5</w:t>
      </w:r>
      <w:r w:rsidR="00CE3355" w:rsidRPr="00016BFF">
        <w:t>6 (heading)</w:t>
      </w:r>
    </w:p>
    <w:p w14:paraId="2C5B8C67" w14:textId="77777777" w:rsidR="00CE3355" w:rsidRPr="00016BFF" w:rsidRDefault="00CE3355" w:rsidP="00016BFF">
      <w:pPr>
        <w:pStyle w:val="Item"/>
      </w:pPr>
      <w:r w:rsidRPr="00016BFF">
        <w:t>Omit “</w:t>
      </w:r>
      <w:r w:rsidRPr="00016BFF">
        <w:rPr>
          <w:b/>
        </w:rPr>
        <w:t>and Australian Capital Territory</w:t>
      </w:r>
      <w:r w:rsidRPr="00016BFF">
        <w:t>”.</w:t>
      </w:r>
    </w:p>
    <w:p w14:paraId="4F2614D9" w14:textId="77777777" w:rsidR="00CE3355" w:rsidRPr="00016BFF" w:rsidRDefault="00C5644E" w:rsidP="00016BFF">
      <w:pPr>
        <w:pStyle w:val="ItemHead"/>
      </w:pPr>
      <w:r w:rsidRPr="00016BFF">
        <w:t>51</w:t>
      </w:r>
      <w:r w:rsidR="00CE3355" w:rsidRPr="00016BFF">
        <w:t xml:space="preserve">  </w:t>
      </w:r>
      <w:r w:rsidR="00AB6F77" w:rsidRPr="00016BFF">
        <w:t>Section 5</w:t>
      </w:r>
      <w:r w:rsidR="00CE3355" w:rsidRPr="00016BFF">
        <w:t>6</w:t>
      </w:r>
    </w:p>
    <w:p w14:paraId="02FAA2FA" w14:textId="77777777" w:rsidR="00CE3355" w:rsidRPr="00016BFF" w:rsidRDefault="00CE3355" w:rsidP="00016BFF">
      <w:pPr>
        <w:pStyle w:val="Item"/>
      </w:pPr>
      <w:r w:rsidRPr="00016BFF">
        <w:t>Omit “and the Australian Capital Territory”.</w:t>
      </w:r>
    </w:p>
    <w:p w14:paraId="644AF1A3" w14:textId="77777777" w:rsidR="00CE3355" w:rsidRPr="00016BFF" w:rsidRDefault="00C5644E" w:rsidP="00016BFF">
      <w:pPr>
        <w:pStyle w:val="ItemHead"/>
      </w:pPr>
      <w:r w:rsidRPr="00016BFF">
        <w:t>52</w:t>
      </w:r>
      <w:r w:rsidR="00CE3355" w:rsidRPr="00016BFF">
        <w:t xml:space="preserve">  Paragraphs 58(1)(a) and (b)</w:t>
      </w:r>
    </w:p>
    <w:p w14:paraId="2A24E97D" w14:textId="77777777" w:rsidR="00CE3355" w:rsidRPr="00016BFF" w:rsidRDefault="00CE3355" w:rsidP="00016BFF">
      <w:pPr>
        <w:pStyle w:val="Item"/>
      </w:pPr>
      <w:r w:rsidRPr="00016BFF">
        <w:t>Omit “and the Australian Capital Territory”.</w:t>
      </w:r>
    </w:p>
    <w:p w14:paraId="651E20C6" w14:textId="77777777" w:rsidR="00CE3355" w:rsidRPr="00016BFF" w:rsidRDefault="00C5644E" w:rsidP="00016BFF">
      <w:pPr>
        <w:pStyle w:val="ItemHead"/>
      </w:pPr>
      <w:r w:rsidRPr="00016BFF">
        <w:lastRenderedPageBreak/>
        <w:t>53</w:t>
      </w:r>
      <w:r w:rsidR="00CE3355" w:rsidRPr="00016BFF">
        <w:t xml:space="preserve">  </w:t>
      </w:r>
      <w:r w:rsidR="00AB6F77" w:rsidRPr="00016BFF">
        <w:t>Sub</w:t>
      </w:r>
      <w:r w:rsidR="009E3511" w:rsidRPr="00016BFF">
        <w:t>section 5</w:t>
      </w:r>
      <w:r w:rsidR="00CE3355" w:rsidRPr="00016BFF">
        <w:t>8(2)</w:t>
      </w:r>
    </w:p>
    <w:p w14:paraId="4FDC26E4" w14:textId="77777777" w:rsidR="00CE3355" w:rsidRPr="00016BFF" w:rsidRDefault="00CE3355" w:rsidP="00016BFF">
      <w:pPr>
        <w:pStyle w:val="Item"/>
      </w:pPr>
      <w:r w:rsidRPr="00016BFF">
        <w:t>Omit “and the Australian Capital Territory”.</w:t>
      </w:r>
    </w:p>
    <w:p w14:paraId="4BCCE64C" w14:textId="77777777" w:rsidR="00CE3355" w:rsidRPr="00016BFF" w:rsidRDefault="00C5644E" w:rsidP="00016BFF">
      <w:pPr>
        <w:pStyle w:val="ItemHead"/>
      </w:pPr>
      <w:r w:rsidRPr="00016BFF">
        <w:t>54</w:t>
      </w:r>
      <w:r w:rsidR="00CE3355" w:rsidRPr="00016BFF">
        <w:t xml:space="preserve">  </w:t>
      </w:r>
      <w:r w:rsidR="00AB6F77" w:rsidRPr="00016BFF">
        <w:t>Sub</w:t>
      </w:r>
      <w:r w:rsidR="009E3511" w:rsidRPr="00016BFF">
        <w:t>section 5</w:t>
      </w:r>
      <w:r w:rsidR="00CE3355" w:rsidRPr="00016BFF">
        <w:t>9(1)</w:t>
      </w:r>
    </w:p>
    <w:p w14:paraId="0EABD9EA" w14:textId="77777777" w:rsidR="00CE3355" w:rsidRPr="00016BFF" w:rsidRDefault="00CE3355" w:rsidP="00016BFF">
      <w:pPr>
        <w:pStyle w:val="Item"/>
      </w:pPr>
      <w:r w:rsidRPr="00016BFF">
        <w:t>Omit “or the Australian Capital Territory”, substitute “</w:t>
      </w:r>
      <w:bookmarkStart w:id="15" w:name="BK_S3P11L4C57"/>
      <w:bookmarkEnd w:id="15"/>
      <w:r w:rsidRPr="00016BFF">
        <w:t>, the Australian Capital Territory or the Northern Territory”.</w:t>
      </w:r>
    </w:p>
    <w:p w14:paraId="71D3937D" w14:textId="77777777" w:rsidR="00CE3355" w:rsidRPr="00016BFF" w:rsidRDefault="00C5644E" w:rsidP="00016BFF">
      <w:pPr>
        <w:pStyle w:val="ItemHead"/>
      </w:pPr>
      <w:r w:rsidRPr="00016BFF">
        <w:t>55</w:t>
      </w:r>
      <w:r w:rsidR="00CE3355" w:rsidRPr="00016BFF">
        <w:t xml:space="preserve">  Before </w:t>
      </w:r>
      <w:r w:rsidR="00AB6F77" w:rsidRPr="00016BFF">
        <w:t>sub</w:t>
      </w:r>
      <w:r w:rsidR="009E3511" w:rsidRPr="00016BFF">
        <w:t>section 5</w:t>
      </w:r>
      <w:r w:rsidR="00CE3355" w:rsidRPr="00016BFF">
        <w:t>9(2)</w:t>
      </w:r>
    </w:p>
    <w:p w14:paraId="5CCE0610" w14:textId="77777777" w:rsidR="00CE3355" w:rsidRPr="00016BFF" w:rsidRDefault="00CE3355" w:rsidP="00016BFF">
      <w:pPr>
        <w:pStyle w:val="Item"/>
      </w:pPr>
      <w:r w:rsidRPr="00016BFF">
        <w:t>Insert:</w:t>
      </w:r>
    </w:p>
    <w:p w14:paraId="66CB8421" w14:textId="77777777" w:rsidR="00CE3355" w:rsidRPr="00016BFF" w:rsidRDefault="00CE3355" w:rsidP="00016BFF">
      <w:pPr>
        <w:pStyle w:val="SubsectionHead"/>
      </w:pPr>
      <w:r w:rsidRPr="00016BFF">
        <w:t>Redistributions of States</w:t>
      </w:r>
    </w:p>
    <w:p w14:paraId="2898CA8B" w14:textId="77777777" w:rsidR="00CE3355" w:rsidRPr="00016BFF" w:rsidRDefault="00C5644E" w:rsidP="00016BFF">
      <w:pPr>
        <w:pStyle w:val="ItemHead"/>
      </w:pPr>
      <w:r w:rsidRPr="00016BFF">
        <w:t>56</w:t>
      </w:r>
      <w:r w:rsidR="00CE3355" w:rsidRPr="00016BFF">
        <w:t xml:space="preserve">  Before </w:t>
      </w:r>
      <w:r w:rsidR="00AB6F77" w:rsidRPr="00016BFF">
        <w:t>sub</w:t>
      </w:r>
      <w:r w:rsidR="009E3511" w:rsidRPr="00016BFF">
        <w:t>section 5</w:t>
      </w:r>
      <w:r w:rsidR="00CE3355" w:rsidRPr="00016BFF">
        <w:t>9(7)</w:t>
      </w:r>
    </w:p>
    <w:p w14:paraId="089F0733" w14:textId="77777777" w:rsidR="00CE3355" w:rsidRPr="00016BFF" w:rsidRDefault="00CE3355" w:rsidP="00016BFF">
      <w:pPr>
        <w:pStyle w:val="Item"/>
      </w:pPr>
      <w:r w:rsidRPr="00016BFF">
        <w:t>Insert:</w:t>
      </w:r>
    </w:p>
    <w:p w14:paraId="57E3D4B1" w14:textId="77777777" w:rsidR="00CE3355" w:rsidRPr="00016BFF" w:rsidRDefault="00CE3355" w:rsidP="00016BFF">
      <w:pPr>
        <w:pStyle w:val="SubsectionHead"/>
      </w:pPr>
      <w:r w:rsidRPr="00016BFF">
        <w:t>Redistributions of Australian Capital Territory or Northern Territory</w:t>
      </w:r>
    </w:p>
    <w:p w14:paraId="5A6367BC" w14:textId="77777777" w:rsidR="00CE3355" w:rsidRPr="00016BFF" w:rsidRDefault="00C5644E" w:rsidP="00016BFF">
      <w:pPr>
        <w:pStyle w:val="ItemHead"/>
      </w:pPr>
      <w:r w:rsidRPr="00016BFF">
        <w:t>57</w:t>
      </w:r>
      <w:r w:rsidR="00CE3355" w:rsidRPr="00016BFF">
        <w:t xml:space="preserve">  Subsections 59(7), (8) and (9)</w:t>
      </w:r>
    </w:p>
    <w:p w14:paraId="328F848B" w14:textId="77777777" w:rsidR="00CE3355" w:rsidRPr="00016BFF" w:rsidRDefault="00CE3355" w:rsidP="00016BFF">
      <w:pPr>
        <w:pStyle w:val="Item"/>
      </w:pPr>
      <w:r w:rsidRPr="00016BFF">
        <w:t>After “the Australian Capital Territory”, insert “or the Northern Territory”.</w:t>
      </w:r>
    </w:p>
    <w:p w14:paraId="46DC9BE4" w14:textId="77777777" w:rsidR="00CE3355" w:rsidRPr="00016BFF" w:rsidRDefault="00C5644E" w:rsidP="00016BFF">
      <w:pPr>
        <w:pStyle w:val="ItemHead"/>
      </w:pPr>
      <w:r w:rsidRPr="00016BFF">
        <w:t>58</w:t>
      </w:r>
      <w:r w:rsidR="00CE3355" w:rsidRPr="00016BFF">
        <w:t xml:space="preserve">  Paragraphs 59(9A)(a) and (9B)(a)</w:t>
      </w:r>
    </w:p>
    <w:p w14:paraId="18555A0A" w14:textId="77777777" w:rsidR="00CE3355" w:rsidRPr="00016BFF" w:rsidRDefault="00CE3355" w:rsidP="00016BFF">
      <w:pPr>
        <w:pStyle w:val="Item"/>
      </w:pPr>
      <w:r w:rsidRPr="00016BFF">
        <w:t>After “the Australian Capital Territory”, insert “or the Northern Territory”.</w:t>
      </w:r>
    </w:p>
    <w:p w14:paraId="1D6BEDCD" w14:textId="77777777" w:rsidR="00CE3355" w:rsidRPr="00016BFF" w:rsidRDefault="00C5644E" w:rsidP="00016BFF">
      <w:pPr>
        <w:pStyle w:val="ItemHead"/>
      </w:pPr>
      <w:r w:rsidRPr="00016BFF">
        <w:t>59</w:t>
      </w:r>
      <w:r w:rsidR="00CE3355" w:rsidRPr="00016BFF">
        <w:t xml:space="preserve">  Before </w:t>
      </w:r>
      <w:r w:rsidR="00AB6F77" w:rsidRPr="00016BFF">
        <w:t>sub</w:t>
      </w:r>
      <w:r w:rsidR="009E3511" w:rsidRPr="00016BFF">
        <w:t>section 5</w:t>
      </w:r>
      <w:r w:rsidR="00CE3355" w:rsidRPr="00016BFF">
        <w:t>9(10)</w:t>
      </w:r>
    </w:p>
    <w:p w14:paraId="508EA5D7" w14:textId="77777777" w:rsidR="00CE3355" w:rsidRPr="00016BFF" w:rsidRDefault="00CE3355" w:rsidP="00016BFF">
      <w:pPr>
        <w:pStyle w:val="Item"/>
      </w:pPr>
      <w:r w:rsidRPr="00016BFF">
        <w:t>Insert:</w:t>
      </w:r>
    </w:p>
    <w:p w14:paraId="0B7D172E" w14:textId="77777777" w:rsidR="00CE3355" w:rsidRPr="00016BFF" w:rsidRDefault="00CE3355" w:rsidP="00016BFF">
      <w:pPr>
        <w:pStyle w:val="SubsectionHead"/>
      </w:pPr>
      <w:r w:rsidRPr="00016BFF">
        <w:t>Interpretation</w:t>
      </w:r>
    </w:p>
    <w:p w14:paraId="58EEECAB" w14:textId="77777777" w:rsidR="00CE3355" w:rsidRPr="00016BFF" w:rsidRDefault="00C5644E" w:rsidP="00016BFF">
      <w:pPr>
        <w:pStyle w:val="ItemHead"/>
      </w:pPr>
      <w:r w:rsidRPr="00016BFF">
        <w:t>60</w:t>
      </w:r>
      <w:r w:rsidR="00CE3355" w:rsidRPr="00016BFF">
        <w:t xml:space="preserve">  Subsections 59(10) and (11)</w:t>
      </w:r>
    </w:p>
    <w:p w14:paraId="60FA355C" w14:textId="77777777" w:rsidR="00CE3355" w:rsidRPr="00016BFF" w:rsidRDefault="00CE3355" w:rsidP="00016BFF">
      <w:pPr>
        <w:pStyle w:val="Item"/>
      </w:pPr>
      <w:r w:rsidRPr="00016BFF">
        <w:t>Omit “or the Australian Capital Territory”, substitute “, the Australian Capital Territory or the Northern Territory”.</w:t>
      </w:r>
    </w:p>
    <w:p w14:paraId="79DDF112" w14:textId="77777777" w:rsidR="00CE3355" w:rsidRPr="00016BFF" w:rsidRDefault="00C5644E" w:rsidP="00016BFF">
      <w:pPr>
        <w:pStyle w:val="ItemHead"/>
      </w:pPr>
      <w:r w:rsidRPr="00016BFF">
        <w:t>61</w:t>
      </w:r>
      <w:r w:rsidR="00CE3355" w:rsidRPr="00016BFF">
        <w:t xml:space="preserve">  </w:t>
      </w:r>
      <w:r w:rsidR="00AB6F77" w:rsidRPr="00016BFF">
        <w:t>Subsection 6</w:t>
      </w:r>
      <w:r w:rsidR="00CE3355" w:rsidRPr="00016BFF">
        <w:t>0(7A)</w:t>
      </w:r>
    </w:p>
    <w:p w14:paraId="527639E5" w14:textId="77777777" w:rsidR="00CE3355" w:rsidRPr="00016BFF" w:rsidRDefault="00CE3355" w:rsidP="00016BFF">
      <w:pPr>
        <w:pStyle w:val="Item"/>
      </w:pPr>
      <w:r w:rsidRPr="00016BFF">
        <w:t>Repeal the subsection, substitute:</w:t>
      </w:r>
    </w:p>
    <w:p w14:paraId="1C97F7DC" w14:textId="77777777" w:rsidR="00CE3355" w:rsidRPr="00016BFF" w:rsidRDefault="00CE3355" w:rsidP="00016BFF">
      <w:pPr>
        <w:pStyle w:val="subsection"/>
      </w:pPr>
      <w:r w:rsidRPr="00016BFF">
        <w:lastRenderedPageBreak/>
        <w:tab/>
        <w:t>(7A)</w:t>
      </w:r>
      <w:r w:rsidRPr="00016BFF">
        <w:tab/>
        <w:t xml:space="preserve">This section applies to the Australian Capital Territory as if a reference to an Australian Electoral Officer for the Australian Capital Territory were a reference to the member of the staff of the Electoral Commission appointed under </w:t>
      </w:r>
      <w:r w:rsidR="00AB6F77" w:rsidRPr="00016BFF">
        <w:t>subsection (</w:t>
      </w:r>
      <w:r w:rsidRPr="00016BFF">
        <w:t>7B).</w:t>
      </w:r>
    </w:p>
    <w:p w14:paraId="0D0C7B75" w14:textId="77777777" w:rsidR="00CE3355" w:rsidRPr="00016BFF" w:rsidRDefault="00C5644E" w:rsidP="00016BFF">
      <w:pPr>
        <w:pStyle w:val="ItemHead"/>
      </w:pPr>
      <w:r w:rsidRPr="00016BFF">
        <w:t>62</w:t>
      </w:r>
      <w:r w:rsidR="00CE3355" w:rsidRPr="00016BFF">
        <w:t xml:space="preserve">  </w:t>
      </w:r>
      <w:r w:rsidR="00AB6F77" w:rsidRPr="00016BFF">
        <w:t>Subsection 6</w:t>
      </w:r>
      <w:r w:rsidR="00CE3355" w:rsidRPr="00016BFF">
        <w:t>2(1)</w:t>
      </w:r>
    </w:p>
    <w:p w14:paraId="32E8E463" w14:textId="77777777" w:rsidR="00CE3355" w:rsidRPr="00016BFF" w:rsidRDefault="00CE3355" w:rsidP="00016BFF">
      <w:pPr>
        <w:pStyle w:val="Item"/>
      </w:pPr>
      <w:r w:rsidRPr="00016BFF">
        <w:t>Omit “or the Australian Capital Territory”.</w:t>
      </w:r>
    </w:p>
    <w:p w14:paraId="2B8E7C3D" w14:textId="77777777" w:rsidR="00CE3355" w:rsidRPr="00016BFF" w:rsidRDefault="00C5644E" w:rsidP="00016BFF">
      <w:pPr>
        <w:pStyle w:val="ItemHead"/>
      </w:pPr>
      <w:r w:rsidRPr="00016BFF">
        <w:t>63</w:t>
      </w:r>
      <w:r w:rsidR="00CE3355" w:rsidRPr="00016BFF">
        <w:t xml:space="preserve">  </w:t>
      </w:r>
      <w:r w:rsidR="00AB6F77" w:rsidRPr="00016BFF">
        <w:t>Subsection 6</w:t>
      </w:r>
      <w:r w:rsidR="00CE3355" w:rsidRPr="00016BFF">
        <w:t>2(3)</w:t>
      </w:r>
    </w:p>
    <w:p w14:paraId="1440F493" w14:textId="77777777" w:rsidR="00CE3355" w:rsidRPr="00016BFF" w:rsidRDefault="00CE3355" w:rsidP="00016BFF">
      <w:pPr>
        <w:pStyle w:val="Item"/>
      </w:pPr>
      <w:r w:rsidRPr="00016BFF">
        <w:t>After “State”, insert “(except the Australian Capital Territory)”.</w:t>
      </w:r>
    </w:p>
    <w:p w14:paraId="1AF358A9" w14:textId="77777777" w:rsidR="00CE3355" w:rsidRPr="00016BFF" w:rsidRDefault="00C5644E" w:rsidP="00016BFF">
      <w:pPr>
        <w:pStyle w:val="ItemHead"/>
      </w:pPr>
      <w:r w:rsidRPr="00016BFF">
        <w:t>64</w:t>
      </w:r>
      <w:r w:rsidR="00CE3355" w:rsidRPr="00016BFF">
        <w:t xml:space="preserve">  </w:t>
      </w:r>
      <w:r w:rsidR="00AB6F77" w:rsidRPr="00016BFF">
        <w:t>Subsection 6</w:t>
      </w:r>
      <w:r w:rsidR="00CE3355" w:rsidRPr="00016BFF">
        <w:t>3(1)</w:t>
      </w:r>
    </w:p>
    <w:p w14:paraId="049D1A26" w14:textId="77777777" w:rsidR="00CE3355" w:rsidRPr="00016BFF" w:rsidRDefault="00CE3355" w:rsidP="00016BFF">
      <w:pPr>
        <w:pStyle w:val="Item"/>
      </w:pPr>
      <w:r w:rsidRPr="00016BFF">
        <w:t>Omit “or the Australian Capital Territory”.</w:t>
      </w:r>
    </w:p>
    <w:p w14:paraId="1A00D39D" w14:textId="77777777" w:rsidR="00CE3355" w:rsidRPr="00016BFF" w:rsidRDefault="00C5644E" w:rsidP="00016BFF">
      <w:pPr>
        <w:pStyle w:val="ItemHead"/>
      </w:pPr>
      <w:r w:rsidRPr="00016BFF">
        <w:t>65</w:t>
      </w:r>
      <w:r w:rsidR="00CE3355" w:rsidRPr="00016BFF">
        <w:t xml:space="preserve">  </w:t>
      </w:r>
      <w:r w:rsidR="00AB6F77" w:rsidRPr="00016BFF">
        <w:t>Subsections 6</w:t>
      </w:r>
      <w:r w:rsidR="00CE3355" w:rsidRPr="00016BFF">
        <w:t>3A(1) and (3)</w:t>
      </w:r>
    </w:p>
    <w:p w14:paraId="2CC2DD2B" w14:textId="77777777" w:rsidR="00CE3355" w:rsidRPr="00016BFF" w:rsidRDefault="00CE3355" w:rsidP="00016BFF">
      <w:pPr>
        <w:pStyle w:val="Item"/>
      </w:pPr>
      <w:r w:rsidRPr="00016BFF">
        <w:t>Omit “or Territory”.</w:t>
      </w:r>
    </w:p>
    <w:p w14:paraId="4AAB77C3" w14:textId="77777777" w:rsidR="00CE3355" w:rsidRPr="00016BFF" w:rsidRDefault="00C5644E" w:rsidP="00016BFF">
      <w:pPr>
        <w:pStyle w:val="ItemHead"/>
      </w:pPr>
      <w:r w:rsidRPr="00016BFF">
        <w:t>66</w:t>
      </w:r>
      <w:r w:rsidR="00CE3355" w:rsidRPr="00016BFF">
        <w:t xml:space="preserve">  </w:t>
      </w:r>
      <w:r w:rsidR="00AB6F77" w:rsidRPr="00016BFF">
        <w:t>Subsection 6</w:t>
      </w:r>
      <w:r w:rsidR="00CE3355" w:rsidRPr="00016BFF">
        <w:t>4(1)</w:t>
      </w:r>
    </w:p>
    <w:p w14:paraId="2F1E5612" w14:textId="77777777" w:rsidR="00CE3355" w:rsidRPr="00016BFF" w:rsidRDefault="00CE3355" w:rsidP="00016BFF">
      <w:pPr>
        <w:pStyle w:val="Item"/>
      </w:pPr>
      <w:r w:rsidRPr="00016BFF">
        <w:t>Omit “or the Australian Capital Territory”.</w:t>
      </w:r>
    </w:p>
    <w:p w14:paraId="39D8CF66" w14:textId="77777777" w:rsidR="00CE3355" w:rsidRPr="00016BFF" w:rsidRDefault="00C5644E" w:rsidP="00016BFF">
      <w:pPr>
        <w:pStyle w:val="ItemHead"/>
      </w:pPr>
      <w:r w:rsidRPr="00016BFF">
        <w:t>67</w:t>
      </w:r>
      <w:r w:rsidR="00CE3355" w:rsidRPr="00016BFF">
        <w:t xml:space="preserve">  </w:t>
      </w:r>
      <w:r w:rsidR="00AB6F77" w:rsidRPr="00016BFF">
        <w:t>Subsection 6</w:t>
      </w:r>
      <w:r w:rsidR="00CE3355" w:rsidRPr="00016BFF">
        <w:t>4(1)</w:t>
      </w:r>
    </w:p>
    <w:p w14:paraId="4D99543F" w14:textId="77777777" w:rsidR="00CE3355" w:rsidRPr="00016BFF" w:rsidRDefault="00CE3355" w:rsidP="00016BFF">
      <w:pPr>
        <w:pStyle w:val="Item"/>
      </w:pPr>
      <w:r w:rsidRPr="00016BFF">
        <w:t>Omit “or Territory” (wherever occurring).</w:t>
      </w:r>
    </w:p>
    <w:p w14:paraId="0E41C6B6" w14:textId="77777777" w:rsidR="00CE3355" w:rsidRPr="00016BFF" w:rsidRDefault="00C5644E" w:rsidP="00016BFF">
      <w:pPr>
        <w:pStyle w:val="ItemHead"/>
      </w:pPr>
      <w:r w:rsidRPr="00016BFF">
        <w:t>68</w:t>
      </w:r>
      <w:r w:rsidR="00CE3355" w:rsidRPr="00016BFF">
        <w:t xml:space="preserve">  </w:t>
      </w:r>
      <w:r w:rsidR="00AB6F77" w:rsidRPr="00016BFF">
        <w:t>Paragraph 6</w:t>
      </w:r>
      <w:r w:rsidR="00CE3355" w:rsidRPr="00016BFF">
        <w:t>4(3)(a)</w:t>
      </w:r>
    </w:p>
    <w:p w14:paraId="0C70F515" w14:textId="77777777" w:rsidR="00CE3355" w:rsidRPr="00016BFF" w:rsidRDefault="00CE3355" w:rsidP="00016BFF">
      <w:pPr>
        <w:pStyle w:val="Item"/>
      </w:pPr>
      <w:r w:rsidRPr="00016BFF">
        <w:t>After “of a State”, insert “(except the Australian Capital Territory)”.</w:t>
      </w:r>
    </w:p>
    <w:p w14:paraId="6476EC9C" w14:textId="77777777" w:rsidR="00CE3355" w:rsidRPr="00016BFF" w:rsidRDefault="00C5644E" w:rsidP="00016BFF">
      <w:pPr>
        <w:pStyle w:val="ItemHead"/>
      </w:pPr>
      <w:r w:rsidRPr="00016BFF">
        <w:t>69</w:t>
      </w:r>
      <w:r w:rsidR="00CE3355" w:rsidRPr="00016BFF">
        <w:t xml:space="preserve">  </w:t>
      </w:r>
      <w:r w:rsidR="00AB6F77" w:rsidRPr="00016BFF">
        <w:t>Section 6</w:t>
      </w:r>
      <w:r w:rsidR="00CE3355" w:rsidRPr="00016BFF">
        <w:t>5 (heading)</w:t>
      </w:r>
    </w:p>
    <w:p w14:paraId="41600F8A" w14:textId="77777777" w:rsidR="00CE3355" w:rsidRPr="00016BFF" w:rsidRDefault="00CE3355" w:rsidP="00016BFF">
      <w:pPr>
        <w:pStyle w:val="Item"/>
      </w:pPr>
      <w:r w:rsidRPr="00016BFF">
        <w:t>Repeal the heading, substitute:</w:t>
      </w:r>
    </w:p>
    <w:p w14:paraId="1D40E612" w14:textId="77777777" w:rsidR="00CE3355" w:rsidRPr="00016BFF" w:rsidRDefault="00CE3355" w:rsidP="00016BFF">
      <w:pPr>
        <w:pStyle w:val="ActHead5"/>
      </w:pPr>
      <w:bookmarkStart w:id="16" w:name="_Toc59110503"/>
      <w:r w:rsidRPr="00007B90">
        <w:rPr>
          <w:rStyle w:val="CharSectno"/>
        </w:rPr>
        <w:t>65</w:t>
      </w:r>
      <w:r w:rsidRPr="00016BFF">
        <w:t xml:space="preserve">  Redistribution quota</w:t>
      </w:r>
      <w:bookmarkEnd w:id="16"/>
    </w:p>
    <w:p w14:paraId="5DC6F836" w14:textId="77777777" w:rsidR="00CE3355" w:rsidRPr="00016BFF" w:rsidRDefault="00C5644E" w:rsidP="00016BFF">
      <w:pPr>
        <w:pStyle w:val="ItemHead"/>
      </w:pPr>
      <w:r w:rsidRPr="00016BFF">
        <w:t>70</w:t>
      </w:r>
      <w:r w:rsidR="00CE3355" w:rsidRPr="00016BFF">
        <w:t xml:space="preserve">  </w:t>
      </w:r>
      <w:r w:rsidR="00AB6F77" w:rsidRPr="00016BFF">
        <w:t>Subsection 6</w:t>
      </w:r>
      <w:r w:rsidR="00CE3355" w:rsidRPr="00016BFF">
        <w:t>5(1)</w:t>
      </w:r>
    </w:p>
    <w:p w14:paraId="352D07E2" w14:textId="77777777" w:rsidR="00CE3355" w:rsidRPr="00016BFF" w:rsidRDefault="00CE3355" w:rsidP="00016BFF">
      <w:pPr>
        <w:pStyle w:val="Item"/>
      </w:pPr>
      <w:r w:rsidRPr="00016BFF">
        <w:t>Omit “or the Australian Capital Territory”.</w:t>
      </w:r>
    </w:p>
    <w:p w14:paraId="1B9441E5" w14:textId="77777777" w:rsidR="00CE3355" w:rsidRPr="00016BFF" w:rsidRDefault="00C5644E" w:rsidP="00016BFF">
      <w:pPr>
        <w:pStyle w:val="ItemHead"/>
      </w:pPr>
      <w:r w:rsidRPr="00016BFF">
        <w:t>71</w:t>
      </w:r>
      <w:r w:rsidR="00CE3355" w:rsidRPr="00016BFF">
        <w:t xml:space="preserve">  </w:t>
      </w:r>
      <w:r w:rsidR="00AB6F77" w:rsidRPr="00016BFF">
        <w:t>Subsection 6</w:t>
      </w:r>
      <w:r w:rsidR="00CE3355" w:rsidRPr="00016BFF">
        <w:t>5(1)</w:t>
      </w:r>
    </w:p>
    <w:p w14:paraId="21B0AB09" w14:textId="77777777" w:rsidR="00CE3355" w:rsidRPr="00016BFF" w:rsidRDefault="00CE3355" w:rsidP="00016BFF">
      <w:pPr>
        <w:pStyle w:val="Item"/>
      </w:pPr>
      <w:r w:rsidRPr="00016BFF">
        <w:t>Omit “quota of electors for the State or Territory”, substitute “</w:t>
      </w:r>
      <w:r w:rsidRPr="00016BFF">
        <w:rPr>
          <w:b/>
          <w:i/>
        </w:rPr>
        <w:t>redistribution quota</w:t>
      </w:r>
      <w:r w:rsidRPr="00016BFF">
        <w:t xml:space="preserve"> for the State”.</w:t>
      </w:r>
    </w:p>
    <w:p w14:paraId="119E3EA1" w14:textId="77777777" w:rsidR="00CE3355" w:rsidRPr="00016BFF" w:rsidRDefault="00C5644E" w:rsidP="00016BFF">
      <w:pPr>
        <w:pStyle w:val="ItemHead"/>
      </w:pPr>
      <w:r w:rsidRPr="00016BFF">
        <w:lastRenderedPageBreak/>
        <w:t>72</w:t>
      </w:r>
      <w:r w:rsidR="00CE3355" w:rsidRPr="00016BFF">
        <w:t xml:space="preserve">  </w:t>
      </w:r>
      <w:r w:rsidR="00AB6F77" w:rsidRPr="00016BFF">
        <w:t>Subsection 6</w:t>
      </w:r>
      <w:r w:rsidR="00CE3355" w:rsidRPr="00016BFF">
        <w:t>5(2)</w:t>
      </w:r>
    </w:p>
    <w:p w14:paraId="7ED56F77" w14:textId="77777777" w:rsidR="00CE3355" w:rsidRPr="00016BFF" w:rsidRDefault="00CE3355" w:rsidP="00016BFF">
      <w:pPr>
        <w:pStyle w:val="Item"/>
      </w:pPr>
      <w:r w:rsidRPr="00016BFF">
        <w:t>Omit “quota of electors for a State or the Australian Capital Territory”, substitute “redistribution quota for a State”.</w:t>
      </w:r>
    </w:p>
    <w:p w14:paraId="5D222549" w14:textId="77777777" w:rsidR="00CE3355" w:rsidRPr="00016BFF" w:rsidRDefault="00C5644E" w:rsidP="00016BFF">
      <w:pPr>
        <w:pStyle w:val="ItemHead"/>
      </w:pPr>
      <w:r w:rsidRPr="00016BFF">
        <w:t>73</w:t>
      </w:r>
      <w:r w:rsidR="00CE3355" w:rsidRPr="00016BFF">
        <w:t xml:space="preserve">  </w:t>
      </w:r>
      <w:r w:rsidR="00AB6F77" w:rsidRPr="00016BFF">
        <w:t>Subsection 6</w:t>
      </w:r>
      <w:r w:rsidR="00CE3355" w:rsidRPr="00016BFF">
        <w:t>5(2)</w:t>
      </w:r>
    </w:p>
    <w:p w14:paraId="01FD4182" w14:textId="77777777" w:rsidR="00CE3355" w:rsidRPr="00016BFF" w:rsidRDefault="00CE3355" w:rsidP="00016BFF">
      <w:pPr>
        <w:pStyle w:val="Item"/>
      </w:pPr>
      <w:r w:rsidRPr="00016BFF">
        <w:t>Omit “or Territory” (wherever occurring).</w:t>
      </w:r>
    </w:p>
    <w:p w14:paraId="6BC6BF7D" w14:textId="77777777" w:rsidR="004F2544" w:rsidRPr="00016BFF" w:rsidRDefault="00C5644E" w:rsidP="00016BFF">
      <w:pPr>
        <w:pStyle w:val="ItemHead"/>
      </w:pPr>
      <w:r w:rsidRPr="00016BFF">
        <w:t>74</w:t>
      </w:r>
      <w:r w:rsidR="004F2544" w:rsidRPr="00016BFF">
        <w:t xml:space="preserve">  At the end of </w:t>
      </w:r>
      <w:r w:rsidR="00AB6F77" w:rsidRPr="00016BFF">
        <w:t>subsection 6</w:t>
      </w:r>
      <w:r w:rsidR="004F2544" w:rsidRPr="00016BFF">
        <w:t>5(2)</w:t>
      </w:r>
    </w:p>
    <w:p w14:paraId="42ACFF25" w14:textId="77777777" w:rsidR="004F2544" w:rsidRPr="00016BFF" w:rsidRDefault="004F2544" w:rsidP="00016BFF">
      <w:pPr>
        <w:pStyle w:val="Item"/>
      </w:pPr>
      <w:r w:rsidRPr="00016BFF">
        <w:t>Add:</w:t>
      </w:r>
    </w:p>
    <w:p w14:paraId="01C50C08" w14:textId="77777777" w:rsidR="004F2544" w:rsidRPr="00016BFF" w:rsidRDefault="0002751B" w:rsidP="00016BFF">
      <w:pPr>
        <w:pStyle w:val="notetext"/>
      </w:pPr>
      <w:r w:rsidRPr="00016BFF">
        <w:t>Note:</w:t>
      </w:r>
      <w:r w:rsidRPr="00016BFF">
        <w:tab/>
      </w:r>
      <w:r w:rsidR="006B4E12" w:rsidRPr="00016BFF">
        <w:t>This section rounds the number of electors for a State or Territory</w:t>
      </w:r>
      <w:r w:rsidR="004F2544" w:rsidRPr="00016BFF">
        <w:t xml:space="preserve">. </w:t>
      </w:r>
      <w:r w:rsidR="00AB6F77" w:rsidRPr="00016BFF">
        <w:t>Section 4</w:t>
      </w:r>
      <w:r w:rsidR="006B4E12" w:rsidRPr="00016BFF">
        <w:t xml:space="preserve">8 rounds the </w:t>
      </w:r>
      <w:r w:rsidR="004F2544" w:rsidRPr="00016BFF">
        <w:t xml:space="preserve">number of members for a State </w:t>
      </w:r>
      <w:r w:rsidR="006B4E12" w:rsidRPr="00016BFF">
        <w:t xml:space="preserve">or Territory (and the method of rounding for Territories under that section may be </w:t>
      </w:r>
      <w:r w:rsidR="004F2544" w:rsidRPr="00016BFF">
        <w:t>different</w:t>
      </w:r>
      <w:r w:rsidR="006B4E12" w:rsidRPr="00016BFF">
        <w:t>)</w:t>
      </w:r>
      <w:r w:rsidR="004F2544" w:rsidRPr="00016BFF">
        <w:t>.</w:t>
      </w:r>
    </w:p>
    <w:p w14:paraId="7F6B3D5C" w14:textId="77777777" w:rsidR="00CE3355" w:rsidRPr="00016BFF" w:rsidRDefault="00C5644E" w:rsidP="00016BFF">
      <w:pPr>
        <w:pStyle w:val="ItemHead"/>
      </w:pPr>
      <w:r w:rsidRPr="00016BFF">
        <w:t>75</w:t>
      </w:r>
      <w:r w:rsidR="00CE3355" w:rsidRPr="00016BFF">
        <w:t xml:space="preserve">  </w:t>
      </w:r>
      <w:r w:rsidR="00AB6F77" w:rsidRPr="00016BFF">
        <w:t>Subsection 6</w:t>
      </w:r>
      <w:r w:rsidR="00CE3355" w:rsidRPr="00016BFF">
        <w:t>6(1)</w:t>
      </w:r>
    </w:p>
    <w:p w14:paraId="501DE3F1" w14:textId="77777777" w:rsidR="00CE3355" w:rsidRPr="00016BFF" w:rsidRDefault="00CE3355" w:rsidP="00016BFF">
      <w:pPr>
        <w:pStyle w:val="Item"/>
      </w:pPr>
      <w:r w:rsidRPr="00016BFF">
        <w:t>Omit “or the Australian Capital Territory”.</w:t>
      </w:r>
    </w:p>
    <w:p w14:paraId="25BE6626" w14:textId="77777777" w:rsidR="00CE3355" w:rsidRPr="00016BFF" w:rsidRDefault="00C5644E" w:rsidP="00016BFF">
      <w:pPr>
        <w:pStyle w:val="ItemHead"/>
      </w:pPr>
      <w:r w:rsidRPr="00016BFF">
        <w:t>76</w:t>
      </w:r>
      <w:r w:rsidR="00CE3355" w:rsidRPr="00016BFF">
        <w:t xml:space="preserve">  </w:t>
      </w:r>
      <w:r w:rsidR="00AB6F77" w:rsidRPr="00016BFF">
        <w:t>Subsection 6</w:t>
      </w:r>
      <w:r w:rsidR="00CE3355" w:rsidRPr="00016BFF">
        <w:t>6(1)</w:t>
      </w:r>
    </w:p>
    <w:p w14:paraId="1461923B" w14:textId="77777777" w:rsidR="00CE3355" w:rsidRPr="00016BFF" w:rsidRDefault="00CE3355" w:rsidP="00016BFF">
      <w:pPr>
        <w:pStyle w:val="Item"/>
      </w:pPr>
      <w:r w:rsidRPr="00016BFF">
        <w:t>Omit “or Territory”.</w:t>
      </w:r>
    </w:p>
    <w:p w14:paraId="7E338D6A" w14:textId="77777777" w:rsidR="00CE3355" w:rsidRPr="00016BFF" w:rsidRDefault="00C5644E" w:rsidP="00016BFF">
      <w:pPr>
        <w:pStyle w:val="ItemHead"/>
      </w:pPr>
      <w:r w:rsidRPr="00016BFF">
        <w:t>77</w:t>
      </w:r>
      <w:r w:rsidR="00CE3355" w:rsidRPr="00016BFF">
        <w:t xml:space="preserve">  </w:t>
      </w:r>
      <w:r w:rsidR="00AB6F77" w:rsidRPr="00016BFF">
        <w:t>Subsection 6</w:t>
      </w:r>
      <w:r w:rsidR="00CE3355" w:rsidRPr="00016BFF">
        <w:t>6(2)</w:t>
      </w:r>
    </w:p>
    <w:p w14:paraId="1AC50D40" w14:textId="77777777" w:rsidR="00CE3355" w:rsidRPr="00016BFF" w:rsidRDefault="00CE3355" w:rsidP="00016BFF">
      <w:pPr>
        <w:pStyle w:val="Item"/>
      </w:pPr>
      <w:r w:rsidRPr="00016BFF">
        <w:t>Omit “or Territory” (wherever occurring).</w:t>
      </w:r>
    </w:p>
    <w:p w14:paraId="149A1FE7" w14:textId="77777777" w:rsidR="00CE3355" w:rsidRPr="00016BFF" w:rsidRDefault="00C5644E" w:rsidP="00016BFF">
      <w:pPr>
        <w:pStyle w:val="ItemHead"/>
      </w:pPr>
      <w:r w:rsidRPr="00016BFF">
        <w:t>78</w:t>
      </w:r>
      <w:r w:rsidR="00CE3355" w:rsidRPr="00016BFF">
        <w:t xml:space="preserve">  Paragraphs 66(3)(a) and (b)</w:t>
      </w:r>
    </w:p>
    <w:p w14:paraId="77C6979D" w14:textId="77777777" w:rsidR="00CE3355" w:rsidRPr="00016BFF" w:rsidRDefault="00CE3355" w:rsidP="00016BFF">
      <w:pPr>
        <w:pStyle w:val="Item"/>
      </w:pPr>
      <w:r w:rsidRPr="00016BFF">
        <w:t>Omit “or Territory” (wherever occurring).</w:t>
      </w:r>
    </w:p>
    <w:p w14:paraId="18B352CE" w14:textId="77777777" w:rsidR="00CE3355" w:rsidRPr="00016BFF" w:rsidRDefault="00C5644E" w:rsidP="00016BFF">
      <w:pPr>
        <w:pStyle w:val="ItemHead"/>
      </w:pPr>
      <w:r w:rsidRPr="00016BFF">
        <w:t>79</w:t>
      </w:r>
      <w:r w:rsidR="00CE3355" w:rsidRPr="00016BFF">
        <w:t xml:space="preserve">  </w:t>
      </w:r>
      <w:r w:rsidR="00AB6F77" w:rsidRPr="00016BFF">
        <w:t>Subsection 6</w:t>
      </w:r>
      <w:r w:rsidR="00CE3355" w:rsidRPr="00016BFF">
        <w:t>6(3)</w:t>
      </w:r>
    </w:p>
    <w:p w14:paraId="327C6A8D" w14:textId="77777777" w:rsidR="00CE3355" w:rsidRPr="00016BFF" w:rsidRDefault="00CE3355" w:rsidP="00016BFF">
      <w:pPr>
        <w:pStyle w:val="Item"/>
      </w:pPr>
      <w:r w:rsidRPr="00016BFF">
        <w:t>Omit “quota of electors for the State or Territory”, substitute “redistribution quota for the State”.</w:t>
      </w:r>
    </w:p>
    <w:p w14:paraId="6A106229" w14:textId="77777777" w:rsidR="00CE3355" w:rsidRPr="00016BFF" w:rsidRDefault="00C5644E" w:rsidP="00016BFF">
      <w:pPr>
        <w:pStyle w:val="ItemHead"/>
      </w:pPr>
      <w:r w:rsidRPr="00016BFF">
        <w:t>80</w:t>
      </w:r>
      <w:r w:rsidR="00CE3355" w:rsidRPr="00016BFF">
        <w:t xml:space="preserve">  </w:t>
      </w:r>
      <w:r w:rsidR="00AB6F77" w:rsidRPr="00016BFF">
        <w:t>Subsection 6</w:t>
      </w:r>
      <w:r w:rsidR="00CE3355" w:rsidRPr="00016BFF">
        <w:t>6(3)</w:t>
      </w:r>
    </w:p>
    <w:p w14:paraId="1192AEEA" w14:textId="77777777" w:rsidR="00CE3355" w:rsidRPr="00016BFF" w:rsidRDefault="00CE3355" w:rsidP="00016BFF">
      <w:pPr>
        <w:pStyle w:val="Item"/>
      </w:pPr>
      <w:r w:rsidRPr="00016BFF">
        <w:t>Omit “the quota be”, substitute “the redistribution quota be”.</w:t>
      </w:r>
    </w:p>
    <w:p w14:paraId="434D0FB0" w14:textId="77777777" w:rsidR="00CE3355" w:rsidRPr="00016BFF" w:rsidRDefault="00C5644E" w:rsidP="00016BFF">
      <w:pPr>
        <w:pStyle w:val="ItemHead"/>
      </w:pPr>
      <w:r w:rsidRPr="00016BFF">
        <w:t>81</w:t>
      </w:r>
      <w:r w:rsidR="00CE3355" w:rsidRPr="00016BFF">
        <w:t xml:space="preserve">  Sections 67 and 67A</w:t>
      </w:r>
    </w:p>
    <w:p w14:paraId="7E5FB41E" w14:textId="77777777" w:rsidR="00CE3355" w:rsidRPr="00016BFF" w:rsidRDefault="00CE3355" w:rsidP="00016BFF">
      <w:pPr>
        <w:pStyle w:val="Item"/>
      </w:pPr>
      <w:r w:rsidRPr="00016BFF">
        <w:t>Omit “or the Australian Capital Territory”.</w:t>
      </w:r>
    </w:p>
    <w:p w14:paraId="388DD34B" w14:textId="77777777" w:rsidR="00CE3355" w:rsidRPr="00016BFF" w:rsidRDefault="00C5644E" w:rsidP="00016BFF">
      <w:pPr>
        <w:pStyle w:val="ItemHead"/>
      </w:pPr>
      <w:r w:rsidRPr="00016BFF">
        <w:t>82</w:t>
      </w:r>
      <w:r w:rsidR="00CE3355" w:rsidRPr="00016BFF">
        <w:t xml:space="preserve">  </w:t>
      </w:r>
      <w:r w:rsidR="00AB6F77" w:rsidRPr="00016BFF">
        <w:t>Section 6</w:t>
      </w:r>
      <w:r w:rsidR="00CE3355" w:rsidRPr="00016BFF">
        <w:t>7A</w:t>
      </w:r>
    </w:p>
    <w:p w14:paraId="33EFA968" w14:textId="77777777" w:rsidR="00CE3355" w:rsidRPr="00016BFF" w:rsidRDefault="00CE3355" w:rsidP="00016BFF">
      <w:pPr>
        <w:pStyle w:val="Item"/>
      </w:pPr>
      <w:r w:rsidRPr="00016BFF">
        <w:t>Omit “or Territory”.</w:t>
      </w:r>
    </w:p>
    <w:p w14:paraId="0C42C75D" w14:textId="77777777" w:rsidR="00CE3355" w:rsidRPr="00016BFF" w:rsidRDefault="00C5644E" w:rsidP="00016BFF">
      <w:pPr>
        <w:pStyle w:val="ItemHead"/>
      </w:pPr>
      <w:r w:rsidRPr="00016BFF">
        <w:lastRenderedPageBreak/>
        <w:t>83</w:t>
      </w:r>
      <w:r w:rsidR="00CE3355" w:rsidRPr="00016BFF">
        <w:t xml:space="preserve">  </w:t>
      </w:r>
      <w:r w:rsidR="00AB6F77" w:rsidRPr="00016BFF">
        <w:t>Subsection 6</w:t>
      </w:r>
      <w:r w:rsidR="00CE3355" w:rsidRPr="00016BFF">
        <w:t>8(1)</w:t>
      </w:r>
    </w:p>
    <w:p w14:paraId="78E6E052" w14:textId="77777777" w:rsidR="00CE3355" w:rsidRPr="00016BFF" w:rsidRDefault="00CE3355" w:rsidP="00016BFF">
      <w:pPr>
        <w:pStyle w:val="Item"/>
      </w:pPr>
      <w:r w:rsidRPr="00016BFF">
        <w:t>Omit “or the Australian Capital Territory”.</w:t>
      </w:r>
    </w:p>
    <w:p w14:paraId="4C38AA11" w14:textId="77777777" w:rsidR="00CE3355" w:rsidRPr="00016BFF" w:rsidRDefault="00C5644E" w:rsidP="00016BFF">
      <w:pPr>
        <w:pStyle w:val="ItemHead"/>
      </w:pPr>
      <w:r w:rsidRPr="00016BFF">
        <w:t>84</w:t>
      </w:r>
      <w:r w:rsidR="00CE3355" w:rsidRPr="00016BFF">
        <w:t xml:space="preserve">  </w:t>
      </w:r>
      <w:r w:rsidR="00AB6F77" w:rsidRPr="00016BFF">
        <w:t>Subsection 6</w:t>
      </w:r>
      <w:r w:rsidR="00CE3355" w:rsidRPr="00016BFF">
        <w:t>8(1)</w:t>
      </w:r>
    </w:p>
    <w:p w14:paraId="34E126D1" w14:textId="77777777" w:rsidR="00CE3355" w:rsidRPr="00016BFF" w:rsidRDefault="00CE3355" w:rsidP="00016BFF">
      <w:pPr>
        <w:pStyle w:val="Item"/>
      </w:pPr>
      <w:r w:rsidRPr="00016BFF">
        <w:t>Omit “or Territory” (wherever occurring).</w:t>
      </w:r>
    </w:p>
    <w:p w14:paraId="3C9AF532" w14:textId="77777777" w:rsidR="00CE3355" w:rsidRPr="00016BFF" w:rsidRDefault="00C5644E" w:rsidP="00016BFF">
      <w:pPr>
        <w:pStyle w:val="ItemHead"/>
      </w:pPr>
      <w:r w:rsidRPr="00016BFF">
        <w:t>85</w:t>
      </w:r>
      <w:r w:rsidR="00CE3355" w:rsidRPr="00016BFF">
        <w:t xml:space="preserve">  </w:t>
      </w:r>
      <w:r w:rsidR="00AB6F77" w:rsidRPr="00016BFF">
        <w:t>Paragraph 6</w:t>
      </w:r>
      <w:r w:rsidR="00CE3355" w:rsidRPr="00016BFF">
        <w:t>9(5)(a)</w:t>
      </w:r>
    </w:p>
    <w:p w14:paraId="1FBD4DC4" w14:textId="77777777" w:rsidR="00CE3355" w:rsidRPr="00016BFF" w:rsidRDefault="00CE3355" w:rsidP="00016BFF">
      <w:pPr>
        <w:pStyle w:val="Item"/>
      </w:pPr>
      <w:r w:rsidRPr="00016BFF">
        <w:t>After “of a State”, insert “(except the Australian Capital Territory)”.</w:t>
      </w:r>
    </w:p>
    <w:p w14:paraId="3C5D206F" w14:textId="77777777" w:rsidR="00CE3355" w:rsidRPr="00016BFF" w:rsidRDefault="00C5644E" w:rsidP="00016BFF">
      <w:pPr>
        <w:pStyle w:val="ItemHead"/>
      </w:pPr>
      <w:r w:rsidRPr="00016BFF">
        <w:t>86</w:t>
      </w:r>
      <w:r w:rsidR="00CE3355" w:rsidRPr="00016BFF">
        <w:t xml:space="preserve">  </w:t>
      </w:r>
      <w:r w:rsidR="00AB6F77" w:rsidRPr="00016BFF">
        <w:t>Subsection 7</w:t>
      </w:r>
      <w:r w:rsidR="00CE3355" w:rsidRPr="00016BFF">
        <w:t>0(1)</w:t>
      </w:r>
    </w:p>
    <w:p w14:paraId="5BB2200F" w14:textId="77777777" w:rsidR="00CE3355" w:rsidRPr="00016BFF" w:rsidRDefault="00CE3355" w:rsidP="00016BFF">
      <w:pPr>
        <w:pStyle w:val="Item"/>
      </w:pPr>
      <w:r w:rsidRPr="00016BFF">
        <w:t>Omit “or the Australian Capital Territory”.</w:t>
      </w:r>
    </w:p>
    <w:p w14:paraId="5B84C234" w14:textId="77777777" w:rsidR="00CE3355" w:rsidRPr="00016BFF" w:rsidRDefault="00C5644E" w:rsidP="00016BFF">
      <w:pPr>
        <w:pStyle w:val="ItemHead"/>
      </w:pPr>
      <w:r w:rsidRPr="00016BFF">
        <w:t>87</w:t>
      </w:r>
      <w:r w:rsidR="00CE3355" w:rsidRPr="00016BFF">
        <w:t xml:space="preserve">  </w:t>
      </w:r>
      <w:r w:rsidR="00AB6F77" w:rsidRPr="00016BFF">
        <w:t>Subsection 7</w:t>
      </w:r>
      <w:r w:rsidR="00CE3355" w:rsidRPr="00016BFF">
        <w:t>0(1)</w:t>
      </w:r>
    </w:p>
    <w:p w14:paraId="0F1B2E2B" w14:textId="77777777" w:rsidR="00CE3355" w:rsidRPr="00016BFF" w:rsidRDefault="00CE3355" w:rsidP="00016BFF">
      <w:pPr>
        <w:pStyle w:val="Item"/>
      </w:pPr>
      <w:r w:rsidRPr="00016BFF">
        <w:t>Omit “or Territory”.</w:t>
      </w:r>
    </w:p>
    <w:p w14:paraId="20C6E2F7" w14:textId="77777777" w:rsidR="00CE3355" w:rsidRPr="00016BFF" w:rsidRDefault="00C5644E" w:rsidP="00016BFF">
      <w:pPr>
        <w:pStyle w:val="ItemHead"/>
      </w:pPr>
      <w:r w:rsidRPr="00016BFF">
        <w:t>88</w:t>
      </w:r>
      <w:r w:rsidR="00CE3355" w:rsidRPr="00016BFF">
        <w:t xml:space="preserve">  </w:t>
      </w:r>
      <w:r w:rsidR="00AB6F77" w:rsidRPr="00016BFF">
        <w:t>Subsection 7</w:t>
      </w:r>
      <w:r w:rsidR="00CE3355" w:rsidRPr="00016BFF">
        <w:t>0(2)</w:t>
      </w:r>
    </w:p>
    <w:p w14:paraId="08FDF22E" w14:textId="77777777" w:rsidR="00CE3355" w:rsidRPr="00016BFF" w:rsidRDefault="00CE3355" w:rsidP="00016BFF">
      <w:pPr>
        <w:pStyle w:val="Item"/>
      </w:pPr>
      <w:r w:rsidRPr="00016BFF">
        <w:t>Omit “or the Australian Capital Territory”.</w:t>
      </w:r>
    </w:p>
    <w:p w14:paraId="11407707" w14:textId="77777777" w:rsidR="00CE3355" w:rsidRPr="00016BFF" w:rsidRDefault="00C5644E" w:rsidP="00016BFF">
      <w:pPr>
        <w:pStyle w:val="ItemHead"/>
      </w:pPr>
      <w:r w:rsidRPr="00016BFF">
        <w:t>89</w:t>
      </w:r>
      <w:r w:rsidR="00CE3355" w:rsidRPr="00016BFF">
        <w:t xml:space="preserve">  Paragraph 70(2)(c)</w:t>
      </w:r>
    </w:p>
    <w:p w14:paraId="7122F060" w14:textId="77777777" w:rsidR="00CE3355" w:rsidRPr="00016BFF" w:rsidRDefault="00CE3355" w:rsidP="00016BFF">
      <w:pPr>
        <w:pStyle w:val="Item"/>
      </w:pPr>
      <w:r w:rsidRPr="00016BFF">
        <w:t>Omit “or Territory”.</w:t>
      </w:r>
    </w:p>
    <w:p w14:paraId="646C92DA" w14:textId="77777777" w:rsidR="00CE3355" w:rsidRPr="00016BFF" w:rsidRDefault="00C5644E" w:rsidP="00016BFF">
      <w:pPr>
        <w:pStyle w:val="ItemHead"/>
      </w:pPr>
      <w:r w:rsidRPr="00016BFF">
        <w:t>90</w:t>
      </w:r>
      <w:r w:rsidR="00CE3355" w:rsidRPr="00016BFF">
        <w:t xml:space="preserve">  </w:t>
      </w:r>
      <w:r w:rsidR="00AB6F77" w:rsidRPr="00016BFF">
        <w:t>Subsection 7</w:t>
      </w:r>
      <w:r w:rsidR="00CE3355" w:rsidRPr="00016BFF">
        <w:t>0(3)</w:t>
      </w:r>
    </w:p>
    <w:p w14:paraId="344A9854" w14:textId="77777777" w:rsidR="00CE3355" w:rsidRPr="00016BFF" w:rsidRDefault="00CE3355" w:rsidP="00016BFF">
      <w:pPr>
        <w:pStyle w:val="Item"/>
      </w:pPr>
      <w:r w:rsidRPr="00016BFF">
        <w:t>Omit “or the Australian Capital Territory”.</w:t>
      </w:r>
    </w:p>
    <w:p w14:paraId="2CC28DE8" w14:textId="77777777" w:rsidR="00CE3355" w:rsidRPr="00016BFF" w:rsidRDefault="00C5644E" w:rsidP="00016BFF">
      <w:pPr>
        <w:pStyle w:val="ItemHead"/>
      </w:pPr>
      <w:r w:rsidRPr="00016BFF">
        <w:t>91</w:t>
      </w:r>
      <w:r w:rsidR="00CE3355" w:rsidRPr="00016BFF">
        <w:t xml:space="preserve">  </w:t>
      </w:r>
      <w:r w:rsidR="00AB6F77" w:rsidRPr="00016BFF">
        <w:t>Subsection 7</w:t>
      </w:r>
      <w:r w:rsidR="00CE3355" w:rsidRPr="00016BFF">
        <w:t>0(4)</w:t>
      </w:r>
    </w:p>
    <w:p w14:paraId="3ECACA62" w14:textId="77777777" w:rsidR="00CE3355" w:rsidRPr="00016BFF" w:rsidRDefault="00CE3355" w:rsidP="00016BFF">
      <w:pPr>
        <w:pStyle w:val="Item"/>
      </w:pPr>
      <w:r w:rsidRPr="00016BFF">
        <w:t>Omit “or Territory” (wherever occurring).</w:t>
      </w:r>
    </w:p>
    <w:p w14:paraId="04C2E7EC" w14:textId="77777777" w:rsidR="00CE3355" w:rsidRPr="00016BFF" w:rsidRDefault="00C5644E" w:rsidP="00016BFF">
      <w:pPr>
        <w:pStyle w:val="ItemHead"/>
      </w:pPr>
      <w:r w:rsidRPr="00016BFF">
        <w:t>92</w:t>
      </w:r>
      <w:r w:rsidR="00CE3355" w:rsidRPr="00016BFF">
        <w:t xml:space="preserve">  Subsections 71(1) and 72(1)</w:t>
      </w:r>
    </w:p>
    <w:p w14:paraId="444805CD" w14:textId="77777777" w:rsidR="00CE3355" w:rsidRPr="00016BFF" w:rsidRDefault="00CE3355" w:rsidP="00016BFF">
      <w:pPr>
        <w:pStyle w:val="Item"/>
      </w:pPr>
      <w:r w:rsidRPr="00016BFF">
        <w:t>Omit “or the Australian Capital Territory”.</w:t>
      </w:r>
    </w:p>
    <w:p w14:paraId="1A1364BD" w14:textId="77777777" w:rsidR="00CE3355" w:rsidRPr="00016BFF" w:rsidRDefault="00C5644E" w:rsidP="00016BFF">
      <w:pPr>
        <w:pStyle w:val="ItemHead"/>
      </w:pPr>
      <w:r w:rsidRPr="00016BFF">
        <w:t>93</w:t>
      </w:r>
      <w:r w:rsidR="00CE3355" w:rsidRPr="00016BFF">
        <w:t xml:space="preserve">  Subparagraph 72(3)(a)(i)</w:t>
      </w:r>
    </w:p>
    <w:p w14:paraId="750C6346" w14:textId="77777777" w:rsidR="00CE3355" w:rsidRPr="00016BFF" w:rsidRDefault="00CE3355" w:rsidP="00016BFF">
      <w:pPr>
        <w:pStyle w:val="Item"/>
      </w:pPr>
      <w:r w:rsidRPr="00016BFF">
        <w:t>Omit “or Territory”.</w:t>
      </w:r>
    </w:p>
    <w:p w14:paraId="7749729B" w14:textId="77777777" w:rsidR="00CE3355" w:rsidRPr="00016BFF" w:rsidRDefault="00C5644E" w:rsidP="00016BFF">
      <w:pPr>
        <w:pStyle w:val="ItemHead"/>
      </w:pPr>
      <w:r w:rsidRPr="00016BFF">
        <w:t>94</w:t>
      </w:r>
      <w:r w:rsidR="00CE3355" w:rsidRPr="00016BFF">
        <w:t xml:space="preserve">  Paragraph 72(10)(a)</w:t>
      </w:r>
    </w:p>
    <w:p w14:paraId="57BEA004" w14:textId="77777777" w:rsidR="00CE3355" w:rsidRPr="00016BFF" w:rsidRDefault="00CE3355" w:rsidP="00016BFF">
      <w:pPr>
        <w:pStyle w:val="Item"/>
      </w:pPr>
      <w:r w:rsidRPr="00016BFF">
        <w:t>Omit “or Territory”.</w:t>
      </w:r>
    </w:p>
    <w:p w14:paraId="470D8F19" w14:textId="77777777" w:rsidR="00CE3355" w:rsidRPr="00016BFF" w:rsidRDefault="00C5644E" w:rsidP="00016BFF">
      <w:pPr>
        <w:pStyle w:val="ItemHead"/>
      </w:pPr>
      <w:r w:rsidRPr="00016BFF">
        <w:lastRenderedPageBreak/>
        <w:t>95</w:t>
      </w:r>
      <w:r w:rsidR="00CE3355" w:rsidRPr="00016BFF">
        <w:t xml:space="preserve">  Section 73 (heading)</w:t>
      </w:r>
    </w:p>
    <w:p w14:paraId="6E377D28" w14:textId="77777777" w:rsidR="00CE3355" w:rsidRPr="00016BFF" w:rsidRDefault="00CE3355" w:rsidP="00016BFF">
      <w:pPr>
        <w:pStyle w:val="Item"/>
      </w:pPr>
      <w:r w:rsidRPr="00016BFF">
        <w:t>Omit “</w:t>
      </w:r>
      <w:r w:rsidRPr="00016BFF">
        <w:rPr>
          <w:b/>
        </w:rPr>
        <w:t>or Australian Capital Territory</w:t>
      </w:r>
      <w:r w:rsidRPr="00016BFF">
        <w:t>”.</w:t>
      </w:r>
    </w:p>
    <w:p w14:paraId="61C967E2" w14:textId="77777777" w:rsidR="00CE3355" w:rsidRPr="00016BFF" w:rsidRDefault="00C5644E" w:rsidP="00016BFF">
      <w:pPr>
        <w:pStyle w:val="ItemHead"/>
      </w:pPr>
      <w:r w:rsidRPr="00016BFF">
        <w:t>96</w:t>
      </w:r>
      <w:r w:rsidR="00CE3355" w:rsidRPr="00016BFF">
        <w:t xml:space="preserve">  </w:t>
      </w:r>
      <w:r w:rsidR="00AB6F77" w:rsidRPr="00016BFF">
        <w:t>Subsection 7</w:t>
      </w:r>
      <w:r w:rsidR="00CE3355" w:rsidRPr="00016BFF">
        <w:t>3(1)</w:t>
      </w:r>
    </w:p>
    <w:p w14:paraId="06A328CA" w14:textId="77777777" w:rsidR="00CE3355" w:rsidRPr="00016BFF" w:rsidRDefault="00CE3355" w:rsidP="00016BFF">
      <w:pPr>
        <w:pStyle w:val="Item"/>
      </w:pPr>
      <w:r w:rsidRPr="00016BFF">
        <w:t>Omit “or the Australian Capital Territory”.</w:t>
      </w:r>
    </w:p>
    <w:p w14:paraId="3C607F23" w14:textId="77777777" w:rsidR="00CE3355" w:rsidRPr="00016BFF" w:rsidRDefault="00C5644E" w:rsidP="00016BFF">
      <w:pPr>
        <w:pStyle w:val="ItemHead"/>
      </w:pPr>
      <w:r w:rsidRPr="00016BFF">
        <w:t>97</w:t>
      </w:r>
      <w:r w:rsidR="00CE3355" w:rsidRPr="00016BFF">
        <w:t xml:space="preserve">  Subsections 73(1) and (3)</w:t>
      </w:r>
    </w:p>
    <w:p w14:paraId="5CFA2C91" w14:textId="77777777" w:rsidR="00CE3355" w:rsidRPr="00016BFF" w:rsidRDefault="00CE3355" w:rsidP="00016BFF">
      <w:pPr>
        <w:pStyle w:val="Item"/>
      </w:pPr>
      <w:r w:rsidRPr="00016BFF">
        <w:t>Omit “or Territory” (wherever occurring).</w:t>
      </w:r>
    </w:p>
    <w:p w14:paraId="048CA220" w14:textId="77777777" w:rsidR="00CE3355" w:rsidRPr="00016BFF" w:rsidRDefault="00C5644E" w:rsidP="00016BFF">
      <w:pPr>
        <w:pStyle w:val="ItemHead"/>
      </w:pPr>
      <w:r w:rsidRPr="00016BFF">
        <w:t>98</w:t>
      </w:r>
      <w:r w:rsidR="00CE3355" w:rsidRPr="00016BFF">
        <w:t xml:space="preserve">  Paragraphs 73(4)(a) and (b)</w:t>
      </w:r>
    </w:p>
    <w:p w14:paraId="22346B3C" w14:textId="77777777" w:rsidR="00CE3355" w:rsidRPr="00016BFF" w:rsidRDefault="00CE3355" w:rsidP="00016BFF">
      <w:pPr>
        <w:pStyle w:val="Item"/>
      </w:pPr>
      <w:r w:rsidRPr="00016BFF">
        <w:t>Omit “or Territory” (wherever occurring).</w:t>
      </w:r>
    </w:p>
    <w:p w14:paraId="5002ACD2" w14:textId="77777777" w:rsidR="00CE3355" w:rsidRPr="00016BFF" w:rsidRDefault="00C5644E" w:rsidP="00016BFF">
      <w:pPr>
        <w:pStyle w:val="ItemHead"/>
      </w:pPr>
      <w:r w:rsidRPr="00016BFF">
        <w:t>99</w:t>
      </w:r>
      <w:r w:rsidR="00CE3355" w:rsidRPr="00016BFF">
        <w:t xml:space="preserve">  </w:t>
      </w:r>
      <w:r w:rsidR="00AB6F77" w:rsidRPr="00016BFF">
        <w:t>Subsection 7</w:t>
      </w:r>
      <w:r w:rsidR="00CE3355" w:rsidRPr="00016BFF">
        <w:t>3(4)</w:t>
      </w:r>
    </w:p>
    <w:p w14:paraId="11ACCDD5" w14:textId="77777777" w:rsidR="00CE3355" w:rsidRPr="00016BFF" w:rsidRDefault="00CE3355" w:rsidP="00016BFF">
      <w:pPr>
        <w:pStyle w:val="Item"/>
      </w:pPr>
      <w:r w:rsidRPr="00016BFF">
        <w:t>Omit “quota of electors for the State or Territory”, substitute “</w:t>
      </w:r>
      <w:bookmarkStart w:id="17" w:name="BK_S3P15L11C2"/>
      <w:bookmarkEnd w:id="17"/>
      <w:r w:rsidRPr="00016BFF">
        <w:t>redistribution quota for the State”.</w:t>
      </w:r>
    </w:p>
    <w:p w14:paraId="2D611A2E" w14:textId="77777777" w:rsidR="00CE3355" w:rsidRPr="00016BFF" w:rsidRDefault="00C5644E" w:rsidP="00016BFF">
      <w:pPr>
        <w:pStyle w:val="ItemHead"/>
      </w:pPr>
      <w:r w:rsidRPr="00016BFF">
        <w:t>100</w:t>
      </w:r>
      <w:r w:rsidR="00CE3355" w:rsidRPr="00016BFF">
        <w:t xml:space="preserve">  </w:t>
      </w:r>
      <w:r w:rsidR="00AB6F77" w:rsidRPr="00016BFF">
        <w:t>Subsection 7</w:t>
      </w:r>
      <w:r w:rsidR="00CE3355" w:rsidRPr="00016BFF">
        <w:t>3(4)</w:t>
      </w:r>
    </w:p>
    <w:p w14:paraId="01361A3A" w14:textId="77777777" w:rsidR="00CE3355" w:rsidRPr="00016BFF" w:rsidRDefault="00CE3355" w:rsidP="00016BFF">
      <w:pPr>
        <w:pStyle w:val="Item"/>
      </w:pPr>
      <w:r w:rsidRPr="00016BFF">
        <w:t>Omit “the quota be”, substitute “the redistribution quota be”.</w:t>
      </w:r>
    </w:p>
    <w:p w14:paraId="1398C970" w14:textId="77777777" w:rsidR="00CE3355" w:rsidRPr="00016BFF" w:rsidRDefault="00C5644E" w:rsidP="00016BFF">
      <w:pPr>
        <w:pStyle w:val="ItemHead"/>
      </w:pPr>
      <w:r w:rsidRPr="00016BFF">
        <w:t>101</w:t>
      </w:r>
      <w:r w:rsidR="00CE3355" w:rsidRPr="00016BFF">
        <w:t xml:space="preserve">  Section 74</w:t>
      </w:r>
    </w:p>
    <w:p w14:paraId="6774812A" w14:textId="77777777" w:rsidR="00CE3355" w:rsidRPr="00016BFF" w:rsidRDefault="00CE3355" w:rsidP="00016BFF">
      <w:pPr>
        <w:pStyle w:val="Item"/>
      </w:pPr>
      <w:r w:rsidRPr="00016BFF">
        <w:t>Omit “or the Australian Capital Territory”.</w:t>
      </w:r>
    </w:p>
    <w:p w14:paraId="7B8C056E" w14:textId="77777777" w:rsidR="00CE3355" w:rsidRPr="00016BFF" w:rsidRDefault="00C5644E" w:rsidP="00016BFF">
      <w:pPr>
        <w:pStyle w:val="ItemHead"/>
      </w:pPr>
      <w:r w:rsidRPr="00016BFF">
        <w:t>102</w:t>
      </w:r>
      <w:r w:rsidR="00CE3355" w:rsidRPr="00016BFF">
        <w:t xml:space="preserve">  </w:t>
      </w:r>
      <w:r w:rsidR="00AB6F77" w:rsidRPr="00016BFF">
        <w:t>Subsection 7</w:t>
      </w:r>
      <w:r w:rsidR="00CE3355" w:rsidRPr="00016BFF">
        <w:t>5(1)</w:t>
      </w:r>
    </w:p>
    <w:p w14:paraId="45B934F6" w14:textId="77777777" w:rsidR="00CE3355" w:rsidRPr="00016BFF" w:rsidRDefault="00CE3355" w:rsidP="00016BFF">
      <w:pPr>
        <w:pStyle w:val="Item"/>
      </w:pPr>
      <w:r w:rsidRPr="00016BFF">
        <w:t>Omit “or the Australian Capital Territory”.</w:t>
      </w:r>
    </w:p>
    <w:p w14:paraId="6D319FB3" w14:textId="77777777" w:rsidR="00CE3355" w:rsidRPr="00016BFF" w:rsidRDefault="00C5644E" w:rsidP="00016BFF">
      <w:pPr>
        <w:pStyle w:val="ItemHead"/>
      </w:pPr>
      <w:r w:rsidRPr="00016BFF">
        <w:t>103</w:t>
      </w:r>
      <w:r w:rsidR="00CE3355" w:rsidRPr="00016BFF">
        <w:t xml:space="preserve">  </w:t>
      </w:r>
      <w:r w:rsidR="00AB6F77" w:rsidRPr="00016BFF">
        <w:t>Subsection 7</w:t>
      </w:r>
      <w:r w:rsidR="00CE3355" w:rsidRPr="00016BFF">
        <w:t>5(1)</w:t>
      </w:r>
    </w:p>
    <w:p w14:paraId="23C88A2B" w14:textId="77777777" w:rsidR="00CE3355" w:rsidRPr="00016BFF" w:rsidRDefault="00CE3355" w:rsidP="00016BFF">
      <w:pPr>
        <w:pStyle w:val="Item"/>
      </w:pPr>
      <w:r w:rsidRPr="00016BFF">
        <w:t>Omit “or Territory” (wherever occurring).</w:t>
      </w:r>
    </w:p>
    <w:p w14:paraId="5F695C13" w14:textId="77777777" w:rsidR="00CE3355" w:rsidRPr="00016BFF" w:rsidRDefault="00C5644E" w:rsidP="00016BFF">
      <w:pPr>
        <w:pStyle w:val="ItemHead"/>
      </w:pPr>
      <w:r w:rsidRPr="00016BFF">
        <w:t>104</w:t>
      </w:r>
      <w:r w:rsidR="00CE3355" w:rsidRPr="00016BFF">
        <w:t xml:space="preserve">  Paragraph 76(16A)(a)</w:t>
      </w:r>
    </w:p>
    <w:p w14:paraId="67FE378A" w14:textId="77777777" w:rsidR="00CE3355" w:rsidRPr="00016BFF" w:rsidRDefault="00CE3355" w:rsidP="00016BFF">
      <w:pPr>
        <w:pStyle w:val="Item"/>
      </w:pPr>
      <w:r w:rsidRPr="00016BFF">
        <w:t>Repeal the paragraph.</w:t>
      </w:r>
    </w:p>
    <w:p w14:paraId="1EA5A5E4" w14:textId="77777777" w:rsidR="00CE3355" w:rsidRPr="00016BFF" w:rsidRDefault="00C5644E" w:rsidP="00016BFF">
      <w:pPr>
        <w:pStyle w:val="ItemHead"/>
      </w:pPr>
      <w:r w:rsidRPr="00016BFF">
        <w:t>105</w:t>
      </w:r>
      <w:r w:rsidR="00CE3355" w:rsidRPr="00016BFF">
        <w:t xml:space="preserve">  Section 76A</w:t>
      </w:r>
    </w:p>
    <w:p w14:paraId="53D9DFDD" w14:textId="77777777" w:rsidR="00CE3355" w:rsidRPr="00016BFF" w:rsidRDefault="00CE3355" w:rsidP="00016BFF">
      <w:pPr>
        <w:pStyle w:val="Item"/>
      </w:pPr>
      <w:r w:rsidRPr="00016BFF">
        <w:t>Repeal the section.</w:t>
      </w:r>
    </w:p>
    <w:p w14:paraId="686DF86D" w14:textId="77777777" w:rsidR="00CE3355" w:rsidRPr="00016BFF" w:rsidRDefault="00C5644E" w:rsidP="00016BFF">
      <w:pPr>
        <w:pStyle w:val="ItemHead"/>
      </w:pPr>
      <w:r w:rsidRPr="00016BFF">
        <w:t>106</w:t>
      </w:r>
      <w:r w:rsidR="00CE3355" w:rsidRPr="00016BFF">
        <w:t xml:space="preserve">  </w:t>
      </w:r>
      <w:r w:rsidR="00AB6F77" w:rsidRPr="00016BFF">
        <w:t>Subsection 7</w:t>
      </w:r>
      <w:r w:rsidR="00CE3355" w:rsidRPr="00016BFF">
        <w:t>7(1)</w:t>
      </w:r>
    </w:p>
    <w:p w14:paraId="5DE050F3" w14:textId="77777777" w:rsidR="00CE3355" w:rsidRPr="00016BFF" w:rsidRDefault="00CE3355" w:rsidP="00016BFF">
      <w:pPr>
        <w:pStyle w:val="Item"/>
      </w:pPr>
      <w:r w:rsidRPr="00016BFF">
        <w:t>Omit “or the Australian Capital Territory” (wherever occurring).</w:t>
      </w:r>
    </w:p>
    <w:p w14:paraId="018E74F0" w14:textId="77777777" w:rsidR="00CE3355" w:rsidRPr="00016BFF" w:rsidRDefault="00C5644E" w:rsidP="00016BFF">
      <w:pPr>
        <w:pStyle w:val="ItemHead"/>
      </w:pPr>
      <w:r w:rsidRPr="00016BFF">
        <w:lastRenderedPageBreak/>
        <w:t>107</w:t>
      </w:r>
      <w:r w:rsidR="00CE3355" w:rsidRPr="00016BFF">
        <w:t xml:space="preserve">  Section 78</w:t>
      </w:r>
    </w:p>
    <w:p w14:paraId="5128DBED" w14:textId="77777777" w:rsidR="00CE3355" w:rsidRPr="00016BFF" w:rsidRDefault="00CE3355" w:rsidP="00016BFF">
      <w:pPr>
        <w:pStyle w:val="Item"/>
      </w:pPr>
      <w:r w:rsidRPr="00016BFF">
        <w:t>Omit “or the Australian Capital Territory” (wherever occurring).</w:t>
      </w:r>
    </w:p>
    <w:p w14:paraId="2789EA8B" w14:textId="77777777" w:rsidR="00CE3355" w:rsidRPr="00016BFF" w:rsidRDefault="00C5644E" w:rsidP="00016BFF">
      <w:pPr>
        <w:pStyle w:val="Transitional"/>
      </w:pPr>
      <w:r w:rsidRPr="00016BFF">
        <w:t>108</w:t>
      </w:r>
      <w:r w:rsidR="00CE3355" w:rsidRPr="00016BFF">
        <w:t xml:space="preserve">  Application of amendments</w:t>
      </w:r>
    </w:p>
    <w:p w14:paraId="70F79476" w14:textId="77777777" w:rsidR="00CE3355" w:rsidRPr="00016BFF" w:rsidRDefault="00CE3355" w:rsidP="00016BFF">
      <w:pPr>
        <w:pStyle w:val="Item"/>
      </w:pPr>
      <w:r w:rsidRPr="00016BFF">
        <w:t xml:space="preserve">The amendments of </w:t>
      </w:r>
      <w:r w:rsidR="00AB6F77" w:rsidRPr="00016BFF">
        <w:t>Part I</w:t>
      </w:r>
      <w:r w:rsidRPr="00016BFF">
        <w:t xml:space="preserve">V of the </w:t>
      </w:r>
      <w:r w:rsidRPr="00016BFF">
        <w:rPr>
          <w:i/>
        </w:rPr>
        <w:t>Commonwealth Electoral Act 1918</w:t>
      </w:r>
      <w:r w:rsidRPr="00016BFF">
        <w:t xml:space="preserve"> made by this Schedule apply in relation to any redistribution for the Australian Capital Territory or the Northern Territory that commences on or after the commencement of this Schedule.</w:t>
      </w:r>
    </w:p>
    <w:p w14:paraId="65075505" w14:textId="77777777" w:rsidR="00CE3355" w:rsidRPr="00016BFF" w:rsidRDefault="00C5644E" w:rsidP="00016BFF">
      <w:pPr>
        <w:pStyle w:val="ItemHead"/>
      </w:pPr>
      <w:r w:rsidRPr="00016BFF">
        <w:t>109</w:t>
      </w:r>
      <w:r w:rsidR="00CE3355" w:rsidRPr="00016BFF">
        <w:t xml:space="preserve">  Paragraph 79(1)(b)</w:t>
      </w:r>
    </w:p>
    <w:p w14:paraId="65559F38" w14:textId="77777777" w:rsidR="00CE3355" w:rsidRPr="00016BFF" w:rsidRDefault="00CE3355" w:rsidP="00016BFF">
      <w:pPr>
        <w:pStyle w:val="Item"/>
      </w:pPr>
      <w:r w:rsidRPr="00016BFF">
        <w:t xml:space="preserve">Omit “the Northern Territory”, substitute “a Territory </w:t>
      </w:r>
      <w:r w:rsidR="0068110B" w:rsidRPr="00016BFF">
        <w:t xml:space="preserve">to which </w:t>
      </w:r>
      <w:r w:rsidR="009E3511" w:rsidRPr="00016BFF">
        <w:t>section 5</w:t>
      </w:r>
      <w:r w:rsidR="0068110B" w:rsidRPr="00016BFF">
        <w:t>5A does not apply</w:t>
      </w:r>
      <w:r w:rsidRPr="00016BFF">
        <w:t>”.</w:t>
      </w:r>
    </w:p>
    <w:p w14:paraId="20CA1198" w14:textId="77777777" w:rsidR="00CE3355" w:rsidRPr="00016BFF" w:rsidRDefault="00C5644E" w:rsidP="00016BFF">
      <w:pPr>
        <w:pStyle w:val="ItemHead"/>
      </w:pPr>
      <w:r w:rsidRPr="00016BFF">
        <w:t>110</w:t>
      </w:r>
      <w:r w:rsidR="00CE3355" w:rsidRPr="00016BFF">
        <w:t xml:space="preserve">  Subsections 79(2) and (3)</w:t>
      </w:r>
    </w:p>
    <w:p w14:paraId="0311BD6E" w14:textId="77777777" w:rsidR="00CE3355" w:rsidRPr="00016BFF" w:rsidRDefault="00CE3355" w:rsidP="00016BFF">
      <w:pPr>
        <w:pStyle w:val="Item"/>
      </w:pPr>
      <w:r w:rsidRPr="00016BFF">
        <w:t>Repeal the subsections, substitute:</w:t>
      </w:r>
    </w:p>
    <w:p w14:paraId="5A9CC3D5" w14:textId="77777777" w:rsidR="00CE3355" w:rsidRPr="00016BFF" w:rsidRDefault="00CE3355" w:rsidP="00016BFF">
      <w:pPr>
        <w:pStyle w:val="subsection"/>
      </w:pPr>
      <w:r w:rsidRPr="00016BFF">
        <w:tab/>
        <w:t>(2)</w:t>
      </w:r>
      <w:r w:rsidRPr="00016BFF">
        <w:tab/>
        <w:t>The Territory of Christmas Island and the Territory of Cocos (Keeling) Islands are each to be</w:t>
      </w:r>
      <w:r w:rsidR="00AC3B59" w:rsidRPr="00016BFF">
        <w:t xml:space="preserve"> </w:t>
      </w:r>
      <w:r w:rsidRPr="00016BFF">
        <w:t>a District of the Division of the Northern Territory in which they are included</w:t>
      </w:r>
      <w:r w:rsidR="00AC3B59" w:rsidRPr="00016BFF">
        <w:t xml:space="preserve"> (if applicable)</w:t>
      </w:r>
      <w:r w:rsidRPr="00016BFF">
        <w:t>.</w:t>
      </w:r>
    </w:p>
    <w:p w14:paraId="4B1195ED" w14:textId="77777777" w:rsidR="00CE3355" w:rsidRPr="00016BFF" w:rsidRDefault="00C5644E" w:rsidP="00016BFF">
      <w:pPr>
        <w:pStyle w:val="ItemHead"/>
      </w:pPr>
      <w:r w:rsidRPr="00016BFF">
        <w:t>111</w:t>
      </w:r>
      <w:r w:rsidR="00CE3355" w:rsidRPr="00016BFF">
        <w:t xml:space="preserve">  Paragraph 154(2)(h)</w:t>
      </w:r>
    </w:p>
    <w:p w14:paraId="7CB183E1" w14:textId="77777777" w:rsidR="00CE3355" w:rsidRPr="00016BFF" w:rsidRDefault="00CE3355" w:rsidP="00016BFF">
      <w:pPr>
        <w:pStyle w:val="Item"/>
      </w:pPr>
      <w:r w:rsidRPr="00016BFF">
        <w:t>Omit “member”, substitute “members”.</w:t>
      </w:r>
    </w:p>
    <w:p w14:paraId="411D4653" w14:textId="77777777" w:rsidR="00CE3355" w:rsidRPr="00016BFF" w:rsidRDefault="00C5644E" w:rsidP="00016BFF">
      <w:pPr>
        <w:pStyle w:val="ItemHead"/>
      </w:pPr>
      <w:r w:rsidRPr="00016BFF">
        <w:t>112</w:t>
      </w:r>
      <w:r w:rsidR="00CE3355" w:rsidRPr="00016BFF">
        <w:t xml:space="preserve">  Subsection 154(2A)</w:t>
      </w:r>
    </w:p>
    <w:p w14:paraId="1B1FB419" w14:textId="77777777" w:rsidR="001308A0" w:rsidRDefault="00CE3355" w:rsidP="00016BFF">
      <w:pPr>
        <w:pStyle w:val="Item"/>
      </w:pPr>
      <w:r w:rsidRPr="00016BFF">
        <w:t>Repeal the subsection.</w:t>
      </w:r>
    </w:p>
    <w:p w14:paraId="66003200" w14:textId="77777777" w:rsidR="00556CAC" w:rsidRPr="00F02B56" w:rsidRDefault="00556CAC" w:rsidP="00556CAC"/>
    <w:p w14:paraId="308B0D82" w14:textId="77777777" w:rsidR="00556CAC" w:rsidRDefault="00556CAC" w:rsidP="00556CAC">
      <w:pPr>
        <w:pStyle w:val="AssentBk"/>
        <w:keepNext/>
      </w:pPr>
    </w:p>
    <w:p w14:paraId="6191F018" w14:textId="77777777" w:rsidR="00556CAC" w:rsidRDefault="00556CAC" w:rsidP="00556CAC">
      <w:pPr>
        <w:pStyle w:val="AssentBk"/>
        <w:keepNext/>
      </w:pPr>
    </w:p>
    <w:p w14:paraId="36B4A794" w14:textId="77777777" w:rsidR="00556CAC" w:rsidRDefault="00556CAC" w:rsidP="00556CAC">
      <w:pPr>
        <w:pStyle w:val="2ndRd"/>
        <w:keepNext/>
        <w:pBdr>
          <w:top w:val="single" w:sz="2" w:space="1" w:color="auto"/>
        </w:pBdr>
      </w:pPr>
    </w:p>
    <w:p w14:paraId="5879E5F4" w14:textId="77777777" w:rsidR="00556CAC" w:rsidRDefault="00556CAC" w:rsidP="00556CAC">
      <w:pPr>
        <w:pStyle w:val="2ndRd"/>
        <w:keepNext/>
        <w:spacing w:line="260" w:lineRule="atLeast"/>
        <w:rPr>
          <w:i/>
        </w:rPr>
      </w:pPr>
      <w:r>
        <w:t>[</w:t>
      </w:r>
      <w:r>
        <w:rPr>
          <w:i/>
        </w:rPr>
        <w:t>Minister’s second reading speech made in—</w:t>
      </w:r>
    </w:p>
    <w:p w14:paraId="5777B122" w14:textId="77777777" w:rsidR="00556CAC" w:rsidRDefault="00556CAC" w:rsidP="00556CAC">
      <w:pPr>
        <w:pStyle w:val="2ndRd"/>
        <w:keepNext/>
        <w:spacing w:line="260" w:lineRule="atLeast"/>
      </w:pPr>
      <w:r>
        <w:rPr>
          <w:i/>
        </w:rPr>
        <w:t>Senate on 2 December 2020</w:t>
      </w:r>
    </w:p>
    <w:p w14:paraId="25D349FB" w14:textId="77777777" w:rsidR="00556CAC" w:rsidRDefault="00556CAC" w:rsidP="00556CAC">
      <w:pPr>
        <w:pStyle w:val="2ndRd"/>
        <w:keepNext/>
        <w:spacing w:line="260" w:lineRule="atLeast"/>
        <w:rPr>
          <w:i/>
        </w:rPr>
      </w:pPr>
      <w:r>
        <w:rPr>
          <w:i/>
        </w:rPr>
        <w:t>House of Representatives on 9 December 2020</w:t>
      </w:r>
      <w:r>
        <w:t>]</w:t>
      </w:r>
    </w:p>
    <w:p w14:paraId="35C9F9DA" w14:textId="77777777" w:rsidR="00556CAC" w:rsidRDefault="00556CAC" w:rsidP="009F28D5">
      <w:pPr>
        <w:framePr w:hSpace="180" w:wrap="around" w:vAnchor="text" w:hAnchor="page" w:x="2401" w:y="2000"/>
      </w:pPr>
      <w:r>
        <w:t>(141/20)</w:t>
      </w:r>
    </w:p>
    <w:p w14:paraId="2082E79B" w14:textId="77777777" w:rsidR="00556CAC" w:rsidRDefault="00556CAC" w:rsidP="00556CAC"/>
    <w:p w14:paraId="42795FAA" w14:textId="77777777" w:rsidR="00556CAC" w:rsidRDefault="00556CAC" w:rsidP="00556CAC"/>
    <w:p w14:paraId="416B17C8" w14:textId="77777777" w:rsidR="00556CAC" w:rsidRDefault="00556CAC" w:rsidP="00556CAC">
      <w:pPr>
        <w:pBdr>
          <w:bottom w:val="single" w:sz="4" w:space="1" w:color="auto"/>
        </w:pBdr>
        <w:sectPr w:rsidR="00556CAC" w:rsidSect="0029067E">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pPr>
    </w:p>
    <w:p w14:paraId="68EFF892" w14:textId="77777777" w:rsidR="00556CAC" w:rsidRDefault="00556CAC" w:rsidP="00556CAC"/>
    <w:sectPr w:rsidR="00556CAC" w:rsidSect="00E95B60">
      <w:headerReference w:type="even" r:id="rId29"/>
      <w:headerReference w:type="default" r:id="rId30"/>
      <w:headerReference w:type="first" r:id="rId31"/>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D1A4" w14:textId="77777777" w:rsidR="00E45206" w:rsidRDefault="00E45206" w:rsidP="0048364F">
      <w:pPr>
        <w:spacing w:line="240" w:lineRule="auto"/>
      </w:pPr>
      <w:r>
        <w:separator/>
      </w:r>
    </w:p>
  </w:endnote>
  <w:endnote w:type="continuationSeparator" w:id="0">
    <w:p w14:paraId="4B1B8FA5" w14:textId="77777777" w:rsidR="00E45206" w:rsidRDefault="00E4520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3F16" w14:textId="77777777" w:rsidR="00984F17" w:rsidRPr="005F1388" w:rsidRDefault="00984F17" w:rsidP="00016BF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2FA2" w14:textId="77777777" w:rsidR="00556CAC" w:rsidRDefault="00556CAC" w:rsidP="00CD12A5">
    <w:pPr>
      <w:pStyle w:val="ScalePlusRef"/>
    </w:pPr>
    <w:r>
      <w:t>Note: An electronic version of this Act is available on the Federal Register of Legislation (</w:t>
    </w:r>
    <w:hyperlink r:id="rId1" w:history="1">
      <w:r>
        <w:t>https://www.legislation.gov.au/</w:t>
      </w:r>
    </w:hyperlink>
    <w:r>
      <w:t>)</w:t>
    </w:r>
  </w:p>
  <w:p w14:paraId="1309484D" w14:textId="77777777" w:rsidR="00556CAC" w:rsidRDefault="00556CAC" w:rsidP="00CD12A5"/>
  <w:p w14:paraId="25D24087" w14:textId="07D6C0C0" w:rsidR="00984F17" w:rsidRDefault="00984F17" w:rsidP="00016BFF">
    <w:pPr>
      <w:pStyle w:val="Footer"/>
      <w:spacing w:before="120"/>
    </w:pPr>
  </w:p>
  <w:p w14:paraId="0E02374A" w14:textId="77777777" w:rsidR="00984F17" w:rsidRPr="005F1388" w:rsidRDefault="00984F17" w:rsidP="00984F17">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3A75" w14:textId="77777777" w:rsidR="00984F17" w:rsidRPr="00ED79B6" w:rsidRDefault="00984F17" w:rsidP="00016BF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4C2E" w14:textId="77777777" w:rsidR="00984F17" w:rsidRDefault="00984F17" w:rsidP="00016B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4F17" w14:paraId="5C693629" w14:textId="77777777" w:rsidTr="002A2FF1">
      <w:tc>
        <w:tcPr>
          <w:tcW w:w="646" w:type="dxa"/>
        </w:tcPr>
        <w:p w14:paraId="54176590" w14:textId="77777777" w:rsidR="00984F17" w:rsidRDefault="00984F17" w:rsidP="002A2FF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7999">
            <w:rPr>
              <w:i/>
              <w:noProof/>
              <w:sz w:val="18"/>
            </w:rPr>
            <w:t>iii</w:t>
          </w:r>
          <w:r w:rsidRPr="00ED79B6">
            <w:rPr>
              <w:i/>
              <w:sz w:val="18"/>
            </w:rPr>
            <w:fldChar w:fldCharType="end"/>
          </w:r>
        </w:p>
      </w:tc>
      <w:tc>
        <w:tcPr>
          <w:tcW w:w="5387" w:type="dxa"/>
        </w:tcPr>
        <w:p w14:paraId="20A031E3" w14:textId="43F304A0" w:rsidR="00984F17" w:rsidRDefault="00984F17" w:rsidP="002A2FF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61A1">
            <w:rPr>
              <w:i/>
              <w:sz w:val="18"/>
            </w:rPr>
            <w:t>Electoral Amendment (Territory Representation) Act 2020</w:t>
          </w:r>
          <w:r w:rsidRPr="00ED79B6">
            <w:rPr>
              <w:i/>
              <w:sz w:val="18"/>
            </w:rPr>
            <w:fldChar w:fldCharType="end"/>
          </w:r>
        </w:p>
      </w:tc>
      <w:tc>
        <w:tcPr>
          <w:tcW w:w="1270" w:type="dxa"/>
        </w:tcPr>
        <w:p w14:paraId="3CA68C82" w14:textId="2D64AEE3" w:rsidR="00984F17" w:rsidRDefault="00984F17" w:rsidP="002A2FF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61A1">
            <w:rPr>
              <w:i/>
              <w:sz w:val="18"/>
            </w:rPr>
            <w:t>No. 127, 2020</w:t>
          </w:r>
          <w:r w:rsidRPr="00ED79B6">
            <w:rPr>
              <w:i/>
              <w:sz w:val="18"/>
            </w:rPr>
            <w:fldChar w:fldCharType="end"/>
          </w:r>
        </w:p>
      </w:tc>
    </w:tr>
  </w:tbl>
  <w:p w14:paraId="4B4FA20E" w14:textId="77777777" w:rsidR="00984F17" w:rsidRDefault="00984F17" w:rsidP="00984F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C6B8" w14:textId="77777777" w:rsidR="00984F17" w:rsidRDefault="00984F17" w:rsidP="00016B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4F17" w14:paraId="04A5CB77" w14:textId="77777777" w:rsidTr="002A2FF1">
      <w:tc>
        <w:tcPr>
          <w:tcW w:w="1247" w:type="dxa"/>
        </w:tcPr>
        <w:p w14:paraId="6A4C69AB" w14:textId="3AB284B7" w:rsidR="00984F17" w:rsidRDefault="00984F17" w:rsidP="002A2FF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61A1">
            <w:rPr>
              <w:i/>
              <w:sz w:val="18"/>
            </w:rPr>
            <w:t>No. 127, 2020</w:t>
          </w:r>
          <w:r w:rsidRPr="00ED79B6">
            <w:rPr>
              <w:i/>
              <w:sz w:val="18"/>
            </w:rPr>
            <w:fldChar w:fldCharType="end"/>
          </w:r>
        </w:p>
      </w:tc>
      <w:tc>
        <w:tcPr>
          <w:tcW w:w="5387" w:type="dxa"/>
        </w:tcPr>
        <w:p w14:paraId="107EA376" w14:textId="503DB327" w:rsidR="00984F17" w:rsidRDefault="00984F17" w:rsidP="002A2FF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61A1">
            <w:rPr>
              <w:i/>
              <w:sz w:val="18"/>
            </w:rPr>
            <w:t>Electoral Amendment (Territory Representation) Act 2020</w:t>
          </w:r>
          <w:r w:rsidRPr="00ED79B6">
            <w:rPr>
              <w:i/>
              <w:sz w:val="18"/>
            </w:rPr>
            <w:fldChar w:fldCharType="end"/>
          </w:r>
        </w:p>
      </w:tc>
      <w:tc>
        <w:tcPr>
          <w:tcW w:w="669" w:type="dxa"/>
        </w:tcPr>
        <w:p w14:paraId="65518D47" w14:textId="77777777" w:rsidR="00984F17" w:rsidRDefault="00984F17" w:rsidP="002A2FF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61A1">
            <w:rPr>
              <w:i/>
              <w:noProof/>
              <w:sz w:val="18"/>
            </w:rPr>
            <w:t>i</w:t>
          </w:r>
          <w:r w:rsidRPr="00ED79B6">
            <w:rPr>
              <w:i/>
              <w:sz w:val="18"/>
            </w:rPr>
            <w:fldChar w:fldCharType="end"/>
          </w:r>
        </w:p>
      </w:tc>
    </w:tr>
  </w:tbl>
  <w:p w14:paraId="677B5292" w14:textId="77777777" w:rsidR="00984F17" w:rsidRPr="00ED79B6" w:rsidRDefault="00984F17" w:rsidP="00984F17">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18AF" w14:textId="77777777" w:rsidR="00556CAC" w:rsidRPr="00A961C4" w:rsidRDefault="00556CAC" w:rsidP="00AE684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56CAC" w14:paraId="19C999AE" w14:textId="77777777" w:rsidTr="002634EE">
      <w:tc>
        <w:tcPr>
          <w:tcW w:w="646" w:type="dxa"/>
        </w:tcPr>
        <w:p w14:paraId="5BE1D634" w14:textId="77777777" w:rsidR="00556CAC" w:rsidRDefault="00556CAC" w:rsidP="00250C1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C61A1">
            <w:rPr>
              <w:i/>
              <w:noProof/>
              <w:sz w:val="18"/>
            </w:rPr>
            <w:t>16</w:t>
          </w:r>
          <w:r w:rsidRPr="007A1328">
            <w:rPr>
              <w:i/>
              <w:sz w:val="18"/>
            </w:rPr>
            <w:fldChar w:fldCharType="end"/>
          </w:r>
        </w:p>
      </w:tc>
      <w:tc>
        <w:tcPr>
          <w:tcW w:w="5387" w:type="dxa"/>
        </w:tcPr>
        <w:p w14:paraId="01E36090" w14:textId="77777777" w:rsidR="00556CAC" w:rsidRDefault="00556CAC" w:rsidP="00250C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61A1">
            <w:rPr>
              <w:i/>
              <w:sz w:val="18"/>
            </w:rPr>
            <w:t>Electoral Amendment (Territory Representation) Act 2020</w:t>
          </w:r>
          <w:r w:rsidRPr="007A1328">
            <w:rPr>
              <w:i/>
              <w:sz w:val="18"/>
            </w:rPr>
            <w:fldChar w:fldCharType="end"/>
          </w:r>
        </w:p>
      </w:tc>
      <w:tc>
        <w:tcPr>
          <w:tcW w:w="1270" w:type="dxa"/>
        </w:tcPr>
        <w:p w14:paraId="6489E957" w14:textId="77777777" w:rsidR="00556CAC" w:rsidRDefault="00556CAC" w:rsidP="00250C1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61A1">
            <w:rPr>
              <w:i/>
              <w:sz w:val="18"/>
            </w:rPr>
            <w:t>No. 127, 2020</w:t>
          </w:r>
          <w:r w:rsidRPr="007A1328">
            <w:rPr>
              <w:i/>
              <w:sz w:val="18"/>
            </w:rPr>
            <w:fldChar w:fldCharType="end"/>
          </w:r>
        </w:p>
      </w:tc>
    </w:tr>
  </w:tbl>
  <w:p w14:paraId="66197157" w14:textId="77777777" w:rsidR="00556CAC" w:rsidRPr="00A961C4" w:rsidRDefault="00556CA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0477" w14:textId="77777777" w:rsidR="00556CAC" w:rsidRPr="00A961C4" w:rsidRDefault="00556CAC" w:rsidP="00AE68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56CAC" w14:paraId="13A8E926" w14:textId="77777777" w:rsidTr="002634EE">
      <w:tc>
        <w:tcPr>
          <w:tcW w:w="1247" w:type="dxa"/>
        </w:tcPr>
        <w:p w14:paraId="2F8410A3" w14:textId="77777777" w:rsidR="00556CAC" w:rsidRDefault="00556CAC" w:rsidP="00250C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61A1">
            <w:rPr>
              <w:i/>
              <w:sz w:val="18"/>
            </w:rPr>
            <w:t>No. 127, 2020</w:t>
          </w:r>
          <w:r w:rsidRPr="007A1328">
            <w:rPr>
              <w:i/>
              <w:sz w:val="18"/>
            </w:rPr>
            <w:fldChar w:fldCharType="end"/>
          </w:r>
        </w:p>
      </w:tc>
      <w:tc>
        <w:tcPr>
          <w:tcW w:w="5387" w:type="dxa"/>
        </w:tcPr>
        <w:p w14:paraId="787F1B06" w14:textId="77777777" w:rsidR="00556CAC" w:rsidRDefault="00556CAC" w:rsidP="00250C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61A1">
            <w:rPr>
              <w:i/>
              <w:sz w:val="18"/>
            </w:rPr>
            <w:t>Electoral Amendment (Territory Representation) Act 2020</w:t>
          </w:r>
          <w:r w:rsidRPr="007A1328">
            <w:rPr>
              <w:i/>
              <w:sz w:val="18"/>
            </w:rPr>
            <w:fldChar w:fldCharType="end"/>
          </w:r>
        </w:p>
      </w:tc>
      <w:tc>
        <w:tcPr>
          <w:tcW w:w="669" w:type="dxa"/>
        </w:tcPr>
        <w:p w14:paraId="3F3C9EE7" w14:textId="77777777" w:rsidR="00556CAC" w:rsidRDefault="00556CAC" w:rsidP="00250C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C61A1">
            <w:rPr>
              <w:i/>
              <w:noProof/>
              <w:sz w:val="18"/>
            </w:rPr>
            <w:t>15</w:t>
          </w:r>
          <w:r w:rsidRPr="007A1328">
            <w:rPr>
              <w:i/>
              <w:sz w:val="18"/>
            </w:rPr>
            <w:fldChar w:fldCharType="end"/>
          </w:r>
        </w:p>
      </w:tc>
    </w:tr>
  </w:tbl>
  <w:p w14:paraId="5205197D" w14:textId="77777777" w:rsidR="00556CAC" w:rsidRPr="00055B5C" w:rsidRDefault="00556CA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7377" w14:textId="77777777" w:rsidR="00556CAC" w:rsidRPr="00A961C4" w:rsidRDefault="00556CAC" w:rsidP="00AE68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56CAC" w14:paraId="712D411F" w14:textId="77777777" w:rsidTr="002634EE">
      <w:tc>
        <w:tcPr>
          <w:tcW w:w="1247" w:type="dxa"/>
        </w:tcPr>
        <w:p w14:paraId="2D9D478A" w14:textId="77777777" w:rsidR="00556CAC" w:rsidRDefault="00556CAC" w:rsidP="00250C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61A1">
            <w:rPr>
              <w:i/>
              <w:sz w:val="18"/>
            </w:rPr>
            <w:t>No. 127, 2020</w:t>
          </w:r>
          <w:r w:rsidRPr="007A1328">
            <w:rPr>
              <w:i/>
              <w:sz w:val="18"/>
            </w:rPr>
            <w:fldChar w:fldCharType="end"/>
          </w:r>
        </w:p>
      </w:tc>
      <w:tc>
        <w:tcPr>
          <w:tcW w:w="5387" w:type="dxa"/>
        </w:tcPr>
        <w:p w14:paraId="05CE5287" w14:textId="77777777" w:rsidR="00556CAC" w:rsidRDefault="00556CAC" w:rsidP="00250C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61A1">
            <w:rPr>
              <w:i/>
              <w:sz w:val="18"/>
            </w:rPr>
            <w:t>Electoral Amendment (Territory Representation) Act 2020</w:t>
          </w:r>
          <w:r w:rsidRPr="007A1328">
            <w:rPr>
              <w:i/>
              <w:sz w:val="18"/>
            </w:rPr>
            <w:fldChar w:fldCharType="end"/>
          </w:r>
        </w:p>
      </w:tc>
      <w:tc>
        <w:tcPr>
          <w:tcW w:w="669" w:type="dxa"/>
        </w:tcPr>
        <w:p w14:paraId="5740ACE7" w14:textId="77777777" w:rsidR="00556CAC" w:rsidRDefault="00556CAC" w:rsidP="00250C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C61A1">
            <w:rPr>
              <w:i/>
              <w:noProof/>
              <w:sz w:val="18"/>
            </w:rPr>
            <w:t>1</w:t>
          </w:r>
          <w:r w:rsidRPr="007A1328">
            <w:rPr>
              <w:i/>
              <w:sz w:val="18"/>
            </w:rPr>
            <w:fldChar w:fldCharType="end"/>
          </w:r>
        </w:p>
      </w:tc>
    </w:tr>
  </w:tbl>
  <w:p w14:paraId="2214E7B7" w14:textId="77777777" w:rsidR="00556CAC" w:rsidRPr="00A961C4" w:rsidRDefault="00556CA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3DC29" w14:textId="77777777" w:rsidR="00E45206" w:rsidRDefault="00E45206" w:rsidP="0048364F">
      <w:pPr>
        <w:spacing w:line="240" w:lineRule="auto"/>
      </w:pPr>
      <w:r>
        <w:separator/>
      </w:r>
    </w:p>
  </w:footnote>
  <w:footnote w:type="continuationSeparator" w:id="0">
    <w:p w14:paraId="42F69425" w14:textId="77777777" w:rsidR="00E45206" w:rsidRDefault="00E4520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A1F4" w14:textId="77777777" w:rsidR="00984F17" w:rsidRPr="005F1388" w:rsidRDefault="00984F17" w:rsidP="00984F17">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F1A4" w14:textId="77777777" w:rsidR="0029067E" w:rsidRPr="00A961C4" w:rsidRDefault="00032BCF" w:rsidP="0048364F">
    <w:pPr>
      <w:rPr>
        <w:b/>
        <w:sz w:val="20"/>
      </w:rPr>
    </w:pPr>
  </w:p>
  <w:p w14:paraId="1A99C54C" w14:textId="77777777" w:rsidR="0029067E" w:rsidRPr="00A961C4" w:rsidRDefault="00032BCF" w:rsidP="0048364F">
    <w:pPr>
      <w:rPr>
        <w:b/>
        <w:sz w:val="20"/>
      </w:rPr>
    </w:pPr>
  </w:p>
  <w:p w14:paraId="1832A83D" w14:textId="77777777" w:rsidR="0029067E" w:rsidRPr="00A961C4" w:rsidRDefault="00032BC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97ED" w14:textId="77777777" w:rsidR="0029067E" w:rsidRPr="00A961C4" w:rsidRDefault="00032BCF" w:rsidP="0048364F">
    <w:pPr>
      <w:jc w:val="right"/>
      <w:rPr>
        <w:sz w:val="20"/>
      </w:rPr>
    </w:pPr>
  </w:p>
  <w:p w14:paraId="7B36546F" w14:textId="77777777" w:rsidR="0029067E" w:rsidRPr="00A961C4" w:rsidRDefault="00032BCF" w:rsidP="0048364F">
    <w:pPr>
      <w:jc w:val="right"/>
      <w:rPr>
        <w:b/>
        <w:sz w:val="20"/>
      </w:rPr>
    </w:pPr>
  </w:p>
  <w:p w14:paraId="6E521165" w14:textId="77777777" w:rsidR="0029067E" w:rsidRPr="00A961C4" w:rsidRDefault="00032BC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B2A7" w14:textId="77777777" w:rsidR="0029067E" w:rsidRPr="00A961C4" w:rsidRDefault="00032BC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1057" w14:textId="77777777" w:rsidR="00984F17" w:rsidRPr="005F1388" w:rsidRDefault="00984F17" w:rsidP="00984F17">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A982" w14:textId="77777777" w:rsidR="00984F17" w:rsidRPr="005F1388" w:rsidRDefault="00984F17" w:rsidP="00984F1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754E" w14:textId="77777777" w:rsidR="00984F17" w:rsidRPr="00ED79B6" w:rsidRDefault="00984F17" w:rsidP="00984F1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4469" w14:textId="77777777" w:rsidR="00984F17" w:rsidRPr="00ED79B6" w:rsidRDefault="00984F17" w:rsidP="00984F1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7523" w14:textId="77777777" w:rsidR="00984F17" w:rsidRPr="00ED79B6" w:rsidRDefault="00984F17" w:rsidP="00984F1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61F5" w14:textId="7732FF9D" w:rsidR="00556CAC" w:rsidRPr="00A961C4" w:rsidRDefault="00556CAC" w:rsidP="0048364F">
    <w:pPr>
      <w:rPr>
        <w:b/>
        <w:sz w:val="20"/>
      </w:rPr>
    </w:pPr>
    <w:r>
      <w:rPr>
        <w:b/>
        <w:sz w:val="20"/>
      </w:rPr>
      <w:fldChar w:fldCharType="begin"/>
    </w:r>
    <w:r>
      <w:rPr>
        <w:b/>
        <w:sz w:val="20"/>
      </w:rPr>
      <w:instrText xml:space="preserve"> STYLEREF CharAmSchNo </w:instrText>
    </w:r>
    <w:r w:rsidR="00032BCF">
      <w:rPr>
        <w:b/>
        <w:sz w:val="20"/>
      </w:rPr>
      <w:fldChar w:fldCharType="separate"/>
    </w:r>
    <w:r w:rsidR="00032BC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32BCF">
      <w:rPr>
        <w:sz w:val="20"/>
      </w:rPr>
      <w:fldChar w:fldCharType="separate"/>
    </w:r>
    <w:r w:rsidR="00032BCF">
      <w:rPr>
        <w:noProof/>
        <w:sz w:val="20"/>
      </w:rPr>
      <w:t>Amendments</w:t>
    </w:r>
    <w:r>
      <w:rPr>
        <w:sz w:val="20"/>
      </w:rPr>
      <w:fldChar w:fldCharType="end"/>
    </w:r>
  </w:p>
  <w:p w14:paraId="5190A440" w14:textId="5CEB5813" w:rsidR="00556CAC" w:rsidRPr="00A961C4" w:rsidRDefault="00556CA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4FA0D55" w14:textId="77777777" w:rsidR="00556CAC" w:rsidRPr="00A961C4" w:rsidRDefault="00556CA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06E8" w14:textId="205E3D34" w:rsidR="00556CAC" w:rsidRPr="00A961C4" w:rsidRDefault="00556CA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32BC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32BCF">
      <w:rPr>
        <w:b/>
        <w:noProof/>
        <w:sz w:val="20"/>
      </w:rPr>
      <w:t>Schedule 1</w:t>
    </w:r>
    <w:r>
      <w:rPr>
        <w:b/>
        <w:sz w:val="20"/>
      </w:rPr>
      <w:fldChar w:fldCharType="end"/>
    </w:r>
  </w:p>
  <w:p w14:paraId="63C8C36D" w14:textId="6FBB3890" w:rsidR="00556CAC" w:rsidRPr="00A961C4" w:rsidRDefault="00556CA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7FE21F0" w14:textId="77777777" w:rsidR="00556CAC" w:rsidRPr="00A961C4" w:rsidRDefault="00556CA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BF35" w14:textId="77777777" w:rsidR="00556CAC" w:rsidRPr="00A961C4" w:rsidRDefault="00556CA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7B90"/>
    <w:rsid w:val="000113BC"/>
    <w:rsid w:val="00012FCD"/>
    <w:rsid w:val="000136AF"/>
    <w:rsid w:val="00016BFF"/>
    <w:rsid w:val="000202E9"/>
    <w:rsid w:val="0002751B"/>
    <w:rsid w:val="00032BCF"/>
    <w:rsid w:val="000417C9"/>
    <w:rsid w:val="00042038"/>
    <w:rsid w:val="00055B5C"/>
    <w:rsid w:val="00056391"/>
    <w:rsid w:val="00060FF9"/>
    <w:rsid w:val="000614BF"/>
    <w:rsid w:val="00070921"/>
    <w:rsid w:val="000B1FD2"/>
    <w:rsid w:val="000B50BB"/>
    <w:rsid w:val="000B77AB"/>
    <w:rsid w:val="000D05EF"/>
    <w:rsid w:val="000D7528"/>
    <w:rsid w:val="000F21C1"/>
    <w:rsid w:val="000F2EF8"/>
    <w:rsid w:val="000F54AA"/>
    <w:rsid w:val="000F660D"/>
    <w:rsid w:val="00101D90"/>
    <w:rsid w:val="00105B11"/>
    <w:rsid w:val="0010745C"/>
    <w:rsid w:val="00111F17"/>
    <w:rsid w:val="00113BD1"/>
    <w:rsid w:val="00121FAE"/>
    <w:rsid w:val="00122206"/>
    <w:rsid w:val="001308A0"/>
    <w:rsid w:val="00144E56"/>
    <w:rsid w:val="00154913"/>
    <w:rsid w:val="0015646E"/>
    <w:rsid w:val="00157BFF"/>
    <w:rsid w:val="001643C9"/>
    <w:rsid w:val="00165568"/>
    <w:rsid w:val="00166C2F"/>
    <w:rsid w:val="001716C9"/>
    <w:rsid w:val="00173363"/>
    <w:rsid w:val="001733F3"/>
    <w:rsid w:val="00173B94"/>
    <w:rsid w:val="001854B4"/>
    <w:rsid w:val="00192E70"/>
    <w:rsid w:val="001939E1"/>
    <w:rsid w:val="00195382"/>
    <w:rsid w:val="001A31A2"/>
    <w:rsid w:val="001A3658"/>
    <w:rsid w:val="001A759A"/>
    <w:rsid w:val="001A7E3E"/>
    <w:rsid w:val="001B168E"/>
    <w:rsid w:val="001B633C"/>
    <w:rsid w:val="001B7A5D"/>
    <w:rsid w:val="001C2418"/>
    <w:rsid w:val="001C2DE1"/>
    <w:rsid w:val="001C69C4"/>
    <w:rsid w:val="001C7D49"/>
    <w:rsid w:val="001D2489"/>
    <w:rsid w:val="001E3590"/>
    <w:rsid w:val="001E43AB"/>
    <w:rsid w:val="001E6803"/>
    <w:rsid w:val="001E7407"/>
    <w:rsid w:val="00201D27"/>
    <w:rsid w:val="00202618"/>
    <w:rsid w:val="00215435"/>
    <w:rsid w:val="00240749"/>
    <w:rsid w:val="00240F55"/>
    <w:rsid w:val="00253A3F"/>
    <w:rsid w:val="00263820"/>
    <w:rsid w:val="00272C96"/>
    <w:rsid w:val="00275197"/>
    <w:rsid w:val="002855AA"/>
    <w:rsid w:val="00292273"/>
    <w:rsid w:val="00293B89"/>
    <w:rsid w:val="002958CE"/>
    <w:rsid w:val="00297ECB"/>
    <w:rsid w:val="002B5A30"/>
    <w:rsid w:val="002C61A1"/>
    <w:rsid w:val="002D043A"/>
    <w:rsid w:val="002D395A"/>
    <w:rsid w:val="002D3C9C"/>
    <w:rsid w:val="002E0BB7"/>
    <w:rsid w:val="002E0F6E"/>
    <w:rsid w:val="002E2FEB"/>
    <w:rsid w:val="002E7DA2"/>
    <w:rsid w:val="002F22B5"/>
    <w:rsid w:val="002F52E7"/>
    <w:rsid w:val="00304797"/>
    <w:rsid w:val="003157E8"/>
    <w:rsid w:val="00340EFE"/>
    <w:rsid w:val="003415D3"/>
    <w:rsid w:val="00350417"/>
    <w:rsid w:val="00352B0F"/>
    <w:rsid w:val="0035354C"/>
    <w:rsid w:val="00372D95"/>
    <w:rsid w:val="00373874"/>
    <w:rsid w:val="00375C6C"/>
    <w:rsid w:val="00387885"/>
    <w:rsid w:val="003A7B3C"/>
    <w:rsid w:val="003B4E3D"/>
    <w:rsid w:val="003C04D4"/>
    <w:rsid w:val="003C5F2B"/>
    <w:rsid w:val="003D0BFE"/>
    <w:rsid w:val="003D5700"/>
    <w:rsid w:val="003F1495"/>
    <w:rsid w:val="003F3251"/>
    <w:rsid w:val="003F49C0"/>
    <w:rsid w:val="00400E57"/>
    <w:rsid w:val="004022FD"/>
    <w:rsid w:val="00405579"/>
    <w:rsid w:val="00410B8E"/>
    <w:rsid w:val="004116CD"/>
    <w:rsid w:val="00421FC1"/>
    <w:rsid w:val="004229C7"/>
    <w:rsid w:val="00424CA9"/>
    <w:rsid w:val="0043613B"/>
    <w:rsid w:val="00436785"/>
    <w:rsid w:val="00436BD5"/>
    <w:rsid w:val="00437E4B"/>
    <w:rsid w:val="00442410"/>
    <w:rsid w:val="0044291A"/>
    <w:rsid w:val="004667EF"/>
    <w:rsid w:val="004717D2"/>
    <w:rsid w:val="0048196B"/>
    <w:rsid w:val="0048233E"/>
    <w:rsid w:val="004824C1"/>
    <w:rsid w:val="0048364F"/>
    <w:rsid w:val="00483BCA"/>
    <w:rsid w:val="00486D05"/>
    <w:rsid w:val="0048728B"/>
    <w:rsid w:val="00491B56"/>
    <w:rsid w:val="00496F97"/>
    <w:rsid w:val="004A5992"/>
    <w:rsid w:val="004C4C7F"/>
    <w:rsid w:val="004C7310"/>
    <w:rsid w:val="004C7C8C"/>
    <w:rsid w:val="004E2A4A"/>
    <w:rsid w:val="004E7708"/>
    <w:rsid w:val="004F0D23"/>
    <w:rsid w:val="004F1FAC"/>
    <w:rsid w:val="004F2544"/>
    <w:rsid w:val="004F7845"/>
    <w:rsid w:val="00516B8D"/>
    <w:rsid w:val="00537FBC"/>
    <w:rsid w:val="00543469"/>
    <w:rsid w:val="00551B54"/>
    <w:rsid w:val="00556CAC"/>
    <w:rsid w:val="00567542"/>
    <w:rsid w:val="00571236"/>
    <w:rsid w:val="00573BDF"/>
    <w:rsid w:val="00575C0E"/>
    <w:rsid w:val="00576E18"/>
    <w:rsid w:val="00584811"/>
    <w:rsid w:val="0058531B"/>
    <w:rsid w:val="00585DD9"/>
    <w:rsid w:val="00586F21"/>
    <w:rsid w:val="005911AF"/>
    <w:rsid w:val="00593AA6"/>
    <w:rsid w:val="00594161"/>
    <w:rsid w:val="00594749"/>
    <w:rsid w:val="005A0D92"/>
    <w:rsid w:val="005A72C2"/>
    <w:rsid w:val="005B4067"/>
    <w:rsid w:val="005C3F41"/>
    <w:rsid w:val="005C79DB"/>
    <w:rsid w:val="005D6A71"/>
    <w:rsid w:val="005E152A"/>
    <w:rsid w:val="005E57F1"/>
    <w:rsid w:val="005F4643"/>
    <w:rsid w:val="00600219"/>
    <w:rsid w:val="00604295"/>
    <w:rsid w:val="0060556C"/>
    <w:rsid w:val="006057E0"/>
    <w:rsid w:val="006167FD"/>
    <w:rsid w:val="00626A50"/>
    <w:rsid w:val="006273DE"/>
    <w:rsid w:val="00635FFA"/>
    <w:rsid w:val="00641DE5"/>
    <w:rsid w:val="006431BC"/>
    <w:rsid w:val="00650F79"/>
    <w:rsid w:val="00656F0C"/>
    <w:rsid w:val="00671930"/>
    <w:rsid w:val="00677CC2"/>
    <w:rsid w:val="0068110B"/>
    <w:rsid w:val="00681F92"/>
    <w:rsid w:val="00683CC5"/>
    <w:rsid w:val="006842C2"/>
    <w:rsid w:val="00685F42"/>
    <w:rsid w:val="0069207B"/>
    <w:rsid w:val="006A1AA0"/>
    <w:rsid w:val="006A4821"/>
    <w:rsid w:val="006A4B23"/>
    <w:rsid w:val="006B1C5E"/>
    <w:rsid w:val="006B4E12"/>
    <w:rsid w:val="006C2874"/>
    <w:rsid w:val="006C7F8C"/>
    <w:rsid w:val="006D2E86"/>
    <w:rsid w:val="006D380D"/>
    <w:rsid w:val="006D6CB4"/>
    <w:rsid w:val="006E0135"/>
    <w:rsid w:val="006E303A"/>
    <w:rsid w:val="006E3866"/>
    <w:rsid w:val="006F6AB5"/>
    <w:rsid w:val="006F7E19"/>
    <w:rsid w:val="00700B2C"/>
    <w:rsid w:val="00712A85"/>
    <w:rsid w:val="00712D8D"/>
    <w:rsid w:val="00713084"/>
    <w:rsid w:val="00713669"/>
    <w:rsid w:val="00714B26"/>
    <w:rsid w:val="0071534B"/>
    <w:rsid w:val="00731E00"/>
    <w:rsid w:val="00733E98"/>
    <w:rsid w:val="00741107"/>
    <w:rsid w:val="007440B7"/>
    <w:rsid w:val="007517E8"/>
    <w:rsid w:val="0075538A"/>
    <w:rsid w:val="0075712B"/>
    <w:rsid w:val="007634AD"/>
    <w:rsid w:val="007706AA"/>
    <w:rsid w:val="007715C9"/>
    <w:rsid w:val="00774EDD"/>
    <w:rsid w:val="007757EC"/>
    <w:rsid w:val="007847A0"/>
    <w:rsid w:val="00787999"/>
    <w:rsid w:val="007A6469"/>
    <w:rsid w:val="007B1A2C"/>
    <w:rsid w:val="007B30AA"/>
    <w:rsid w:val="007D24EB"/>
    <w:rsid w:val="007E009F"/>
    <w:rsid w:val="007E17E1"/>
    <w:rsid w:val="007E7D4A"/>
    <w:rsid w:val="008006CC"/>
    <w:rsid w:val="00807F18"/>
    <w:rsid w:val="00824A16"/>
    <w:rsid w:val="00831E8D"/>
    <w:rsid w:val="0083302B"/>
    <w:rsid w:val="00840C37"/>
    <w:rsid w:val="00846D54"/>
    <w:rsid w:val="0085366F"/>
    <w:rsid w:val="00856A31"/>
    <w:rsid w:val="00857D6B"/>
    <w:rsid w:val="008605F2"/>
    <w:rsid w:val="00860EEA"/>
    <w:rsid w:val="008754D0"/>
    <w:rsid w:val="00877D48"/>
    <w:rsid w:val="008830E8"/>
    <w:rsid w:val="00883781"/>
    <w:rsid w:val="00884FF8"/>
    <w:rsid w:val="00885570"/>
    <w:rsid w:val="00893958"/>
    <w:rsid w:val="008A2E77"/>
    <w:rsid w:val="008C6F6F"/>
    <w:rsid w:val="008D0EE0"/>
    <w:rsid w:val="008D3E94"/>
    <w:rsid w:val="008E3116"/>
    <w:rsid w:val="008F4F1C"/>
    <w:rsid w:val="008F64A1"/>
    <w:rsid w:val="008F77C4"/>
    <w:rsid w:val="00905117"/>
    <w:rsid w:val="009103F3"/>
    <w:rsid w:val="00930AFC"/>
    <w:rsid w:val="00932377"/>
    <w:rsid w:val="009420E8"/>
    <w:rsid w:val="00943219"/>
    <w:rsid w:val="00943AF5"/>
    <w:rsid w:val="0096031E"/>
    <w:rsid w:val="00967042"/>
    <w:rsid w:val="00967FDD"/>
    <w:rsid w:val="009705E5"/>
    <w:rsid w:val="00975D8E"/>
    <w:rsid w:val="0098255A"/>
    <w:rsid w:val="00982911"/>
    <w:rsid w:val="009845BE"/>
    <w:rsid w:val="00984F17"/>
    <w:rsid w:val="009969C9"/>
    <w:rsid w:val="009973D3"/>
    <w:rsid w:val="009B53EA"/>
    <w:rsid w:val="009E3124"/>
    <w:rsid w:val="009E324E"/>
    <w:rsid w:val="009E3511"/>
    <w:rsid w:val="009E600B"/>
    <w:rsid w:val="009E671F"/>
    <w:rsid w:val="009F28D5"/>
    <w:rsid w:val="009F7BD0"/>
    <w:rsid w:val="00A048FF"/>
    <w:rsid w:val="00A10775"/>
    <w:rsid w:val="00A12191"/>
    <w:rsid w:val="00A14861"/>
    <w:rsid w:val="00A20804"/>
    <w:rsid w:val="00A231E2"/>
    <w:rsid w:val="00A36C48"/>
    <w:rsid w:val="00A40358"/>
    <w:rsid w:val="00A41E0B"/>
    <w:rsid w:val="00A51385"/>
    <w:rsid w:val="00A535BE"/>
    <w:rsid w:val="00A55631"/>
    <w:rsid w:val="00A60051"/>
    <w:rsid w:val="00A64912"/>
    <w:rsid w:val="00A65887"/>
    <w:rsid w:val="00A70A74"/>
    <w:rsid w:val="00A74705"/>
    <w:rsid w:val="00A93674"/>
    <w:rsid w:val="00AA3795"/>
    <w:rsid w:val="00AB6F77"/>
    <w:rsid w:val="00AC1E75"/>
    <w:rsid w:val="00AC3B59"/>
    <w:rsid w:val="00AC60FB"/>
    <w:rsid w:val="00AC68EC"/>
    <w:rsid w:val="00AD5641"/>
    <w:rsid w:val="00AD6F95"/>
    <w:rsid w:val="00AE1088"/>
    <w:rsid w:val="00AE516A"/>
    <w:rsid w:val="00AF1BA4"/>
    <w:rsid w:val="00B01A6D"/>
    <w:rsid w:val="00B032D8"/>
    <w:rsid w:val="00B12CD5"/>
    <w:rsid w:val="00B21028"/>
    <w:rsid w:val="00B26AE4"/>
    <w:rsid w:val="00B33B3C"/>
    <w:rsid w:val="00B40B27"/>
    <w:rsid w:val="00B5084A"/>
    <w:rsid w:val="00B61F41"/>
    <w:rsid w:val="00B62BC2"/>
    <w:rsid w:val="00B6382D"/>
    <w:rsid w:val="00B942F3"/>
    <w:rsid w:val="00BA1B24"/>
    <w:rsid w:val="00BA5026"/>
    <w:rsid w:val="00BB40BF"/>
    <w:rsid w:val="00BB73EC"/>
    <w:rsid w:val="00BC0CD1"/>
    <w:rsid w:val="00BE719A"/>
    <w:rsid w:val="00BE720A"/>
    <w:rsid w:val="00BF0461"/>
    <w:rsid w:val="00BF047F"/>
    <w:rsid w:val="00BF4944"/>
    <w:rsid w:val="00BF56D4"/>
    <w:rsid w:val="00C04409"/>
    <w:rsid w:val="00C067E5"/>
    <w:rsid w:val="00C0762B"/>
    <w:rsid w:val="00C164CA"/>
    <w:rsid w:val="00C176CF"/>
    <w:rsid w:val="00C27E3B"/>
    <w:rsid w:val="00C42835"/>
    <w:rsid w:val="00C42BF8"/>
    <w:rsid w:val="00C460AE"/>
    <w:rsid w:val="00C50043"/>
    <w:rsid w:val="00C53E9C"/>
    <w:rsid w:val="00C54E84"/>
    <w:rsid w:val="00C5644E"/>
    <w:rsid w:val="00C71E56"/>
    <w:rsid w:val="00C7573B"/>
    <w:rsid w:val="00C76CF3"/>
    <w:rsid w:val="00C85597"/>
    <w:rsid w:val="00CB7FAE"/>
    <w:rsid w:val="00CD076D"/>
    <w:rsid w:val="00CD32A4"/>
    <w:rsid w:val="00CD552F"/>
    <w:rsid w:val="00CE1E31"/>
    <w:rsid w:val="00CE3355"/>
    <w:rsid w:val="00CF0BB2"/>
    <w:rsid w:val="00CF51A2"/>
    <w:rsid w:val="00D00EAA"/>
    <w:rsid w:val="00D13441"/>
    <w:rsid w:val="00D243A3"/>
    <w:rsid w:val="00D26E00"/>
    <w:rsid w:val="00D41230"/>
    <w:rsid w:val="00D477C3"/>
    <w:rsid w:val="00D52EFE"/>
    <w:rsid w:val="00D63EF6"/>
    <w:rsid w:val="00D65C71"/>
    <w:rsid w:val="00D70DFB"/>
    <w:rsid w:val="00D73029"/>
    <w:rsid w:val="00D766DF"/>
    <w:rsid w:val="00D96C94"/>
    <w:rsid w:val="00DA4AF8"/>
    <w:rsid w:val="00DA7092"/>
    <w:rsid w:val="00DB21C2"/>
    <w:rsid w:val="00DB3007"/>
    <w:rsid w:val="00DB37CB"/>
    <w:rsid w:val="00DB4198"/>
    <w:rsid w:val="00DC28E1"/>
    <w:rsid w:val="00DC4631"/>
    <w:rsid w:val="00DD2300"/>
    <w:rsid w:val="00DD76D2"/>
    <w:rsid w:val="00DE2002"/>
    <w:rsid w:val="00DF291B"/>
    <w:rsid w:val="00DF4781"/>
    <w:rsid w:val="00DF4819"/>
    <w:rsid w:val="00DF6338"/>
    <w:rsid w:val="00DF7AE9"/>
    <w:rsid w:val="00E05704"/>
    <w:rsid w:val="00E0722C"/>
    <w:rsid w:val="00E16FFC"/>
    <w:rsid w:val="00E21D03"/>
    <w:rsid w:val="00E24D66"/>
    <w:rsid w:val="00E36FAF"/>
    <w:rsid w:val="00E45206"/>
    <w:rsid w:val="00E45DD6"/>
    <w:rsid w:val="00E54292"/>
    <w:rsid w:val="00E542B3"/>
    <w:rsid w:val="00E62B46"/>
    <w:rsid w:val="00E6665E"/>
    <w:rsid w:val="00E74DC7"/>
    <w:rsid w:val="00E83475"/>
    <w:rsid w:val="00E84E0D"/>
    <w:rsid w:val="00E84ECA"/>
    <w:rsid w:val="00E87699"/>
    <w:rsid w:val="00E917C3"/>
    <w:rsid w:val="00E947C6"/>
    <w:rsid w:val="00EB510C"/>
    <w:rsid w:val="00ED2CE2"/>
    <w:rsid w:val="00ED492F"/>
    <w:rsid w:val="00ED540B"/>
    <w:rsid w:val="00EE3E36"/>
    <w:rsid w:val="00EF2E3A"/>
    <w:rsid w:val="00EF542B"/>
    <w:rsid w:val="00EF5C88"/>
    <w:rsid w:val="00F029C5"/>
    <w:rsid w:val="00F03F1D"/>
    <w:rsid w:val="00F047E2"/>
    <w:rsid w:val="00F078DC"/>
    <w:rsid w:val="00F101ED"/>
    <w:rsid w:val="00F13E86"/>
    <w:rsid w:val="00F17B00"/>
    <w:rsid w:val="00F260E9"/>
    <w:rsid w:val="00F43331"/>
    <w:rsid w:val="00F677A9"/>
    <w:rsid w:val="00F67CFE"/>
    <w:rsid w:val="00F72F10"/>
    <w:rsid w:val="00F757FD"/>
    <w:rsid w:val="00F84CF5"/>
    <w:rsid w:val="00F92D35"/>
    <w:rsid w:val="00FA313B"/>
    <w:rsid w:val="00FA420B"/>
    <w:rsid w:val="00FA43F7"/>
    <w:rsid w:val="00FB66A7"/>
    <w:rsid w:val="00FD1E13"/>
    <w:rsid w:val="00FD4EB2"/>
    <w:rsid w:val="00FD7EB1"/>
    <w:rsid w:val="00FE12D2"/>
    <w:rsid w:val="00FE41C9"/>
    <w:rsid w:val="00FE7F93"/>
    <w:rsid w:val="00FF3FEE"/>
    <w:rsid w:val="00FF6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3EA9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6BFF"/>
    <w:pPr>
      <w:spacing w:line="260" w:lineRule="atLeast"/>
    </w:pPr>
    <w:rPr>
      <w:sz w:val="22"/>
    </w:rPr>
  </w:style>
  <w:style w:type="paragraph" w:styleId="Heading1">
    <w:name w:val="heading 1"/>
    <w:basedOn w:val="Normal"/>
    <w:next w:val="Normal"/>
    <w:link w:val="Heading1Char"/>
    <w:uiPriority w:val="9"/>
    <w:qFormat/>
    <w:rsid w:val="007B1A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1A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1A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1A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A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1A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1A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1A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B1A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6BFF"/>
  </w:style>
  <w:style w:type="paragraph" w:customStyle="1" w:styleId="OPCParaBase">
    <w:name w:val="OPCParaBase"/>
    <w:qFormat/>
    <w:rsid w:val="00016BFF"/>
    <w:pPr>
      <w:spacing w:line="260" w:lineRule="atLeast"/>
    </w:pPr>
    <w:rPr>
      <w:rFonts w:eastAsia="Times New Roman" w:cs="Times New Roman"/>
      <w:sz w:val="22"/>
      <w:lang w:eastAsia="en-AU"/>
    </w:rPr>
  </w:style>
  <w:style w:type="paragraph" w:customStyle="1" w:styleId="ShortT">
    <w:name w:val="ShortT"/>
    <w:basedOn w:val="OPCParaBase"/>
    <w:next w:val="Normal"/>
    <w:qFormat/>
    <w:rsid w:val="00016BFF"/>
    <w:pPr>
      <w:spacing w:line="240" w:lineRule="auto"/>
    </w:pPr>
    <w:rPr>
      <w:b/>
      <w:sz w:val="40"/>
    </w:rPr>
  </w:style>
  <w:style w:type="paragraph" w:customStyle="1" w:styleId="ActHead1">
    <w:name w:val="ActHead 1"/>
    <w:aliases w:val="c"/>
    <w:basedOn w:val="OPCParaBase"/>
    <w:next w:val="Normal"/>
    <w:qFormat/>
    <w:rsid w:val="00016B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6B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6B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6B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6B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6B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6B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6B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6B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6BFF"/>
  </w:style>
  <w:style w:type="paragraph" w:customStyle="1" w:styleId="Blocks">
    <w:name w:val="Blocks"/>
    <w:aliases w:val="bb"/>
    <w:basedOn w:val="OPCParaBase"/>
    <w:qFormat/>
    <w:rsid w:val="00016BFF"/>
    <w:pPr>
      <w:spacing w:line="240" w:lineRule="auto"/>
    </w:pPr>
    <w:rPr>
      <w:sz w:val="24"/>
    </w:rPr>
  </w:style>
  <w:style w:type="paragraph" w:customStyle="1" w:styleId="BoxText">
    <w:name w:val="BoxText"/>
    <w:aliases w:val="bt"/>
    <w:basedOn w:val="OPCParaBase"/>
    <w:qFormat/>
    <w:rsid w:val="00016B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6BFF"/>
    <w:rPr>
      <w:b/>
    </w:rPr>
  </w:style>
  <w:style w:type="paragraph" w:customStyle="1" w:styleId="BoxHeadItalic">
    <w:name w:val="BoxHeadItalic"/>
    <w:aliases w:val="bhi"/>
    <w:basedOn w:val="BoxText"/>
    <w:next w:val="BoxStep"/>
    <w:qFormat/>
    <w:rsid w:val="00016BFF"/>
    <w:rPr>
      <w:i/>
    </w:rPr>
  </w:style>
  <w:style w:type="paragraph" w:customStyle="1" w:styleId="BoxList">
    <w:name w:val="BoxList"/>
    <w:aliases w:val="bl"/>
    <w:basedOn w:val="BoxText"/>
    <w:qFormat/>
    <w:rsid w:val="00016BFF"/>
    <w:pPr>
      <w:ind w:left="1559" w:hanging="425"/>
    </w:pPr>
  </w:style>
  <w:style w:type="paragraph" w:customStyle="1" w:styleId="BoxNote">
    <w:name w:val="BoxNote"/>
    <w:aliases w:val="bn"/>
    <w:basedOn w:val="BoxText"/>
    <w:qFormat/>
    <w:rsid w:val="00016BFF"/>
    <w:pPr>
      <w:tabs>
        <w:tab w:val="left" w:pos="1985"/>
      </w:tabs>
      <w:spacing w:before="122" w:line="198" w:lineRule="exact"/>
      <w:ind w:left="2948" w:hanging="1814"/>
    </w:pPr>
    <w:rPr>
      <w:sz w:val="18"/>
    </w:rPr>
  </w:style>
  <w:style w:type="paragraph" w:customStyle="1" w:styleId="BoxPara">
    <w:name w:val="BoxPara"/>
    <w:aliases w:val="bp"/>
    <w:basedOn w:val="BoxText"/>
    <w:qFormat/>
    <w:rsid w:val="00016BFF"/>
    <w:pPr>
      <w:tabs>
        <w:tab w:val="right" w:pos="2268"/>
      </w:tabs>
      <w:ind w:left="2552" w:hanging="1418"/>
    </w:pPr>
  </w:style>
  <w:style w:type="paragraph" w:customStyle="1" w:styleId="BoxStep">
    <w:name w:val="BoxStep"/>
    <w:aliases w:val="bs"/>
    <w:basedOn w:val="BoxText"/>
    <w:qFormat/>
    <w:rsid w:val="00016BFF"/>
    <w:pPr>
      <w:ind w:left="1985" w:hanging="851"/>
    </w:pPr>
  </w:style>
  <w:style w:type="character" w:customStyle="1" w:styleId="CharAmPartNo">
    <w:name w:val="CharAmPartNo"/>
    <w:basedOn w:val="OPCCharBase"/>
    <w:qFormat/>
    <w:rsid w:val="00016BFF"/>
  </w:style>
  <w:style w:type="character" w:customStyle="1" w:styleId="CharAmPartText">
    <w:name w:val="CharAmPartText"/>
    <w:basedOn w:val="OPCCharBase"/>
    <w:qFormat/>
    <w:rsid w:val="00016BFF"/>
  </w:style>
  <w:style w:type="character" w:customStyle="1" w:styleId="CharAmSchNo">
    <w:name w:val="CharAmSchNo"/>
    <w:basedOn w:val="OPCCharBase"/>
    <w:qFormat/>
    <w:rsid w:val="00016BFF"/>
  </w:style>
  <w:style w:type="character" w:customStyle="1" w:styleId="CharAmSchText">
    <w:name w:val="CharAmSchText"/>
    <w:basedOn w:val="OPCCharBase"/>
    <w:qFormat/>
    <w:rsid w:val="00016BFF"/>
  </w:style>
  <w:style w:type="character" w:customStyle="1" w:styleId="CharBoldItalic">
    <w:name w:val="CharBoldItalic"/>
    <w:basedOn w:val="OPCCharBase"/>
    <w:uiPriority w:val="1"/>
    <w:qFormat/>
    <w:rsid w:val="00016BFF"/>
    <w:rPr>
      <w:b/>
      <w:i/>
    </w:rPr>
  </w:style>
  <w:style w:type="character" w:customStyle="1" w:styleId="CharChapNo">
    <w:name w:val="CharChapNo"/>
    <w:basedOn w:val="OPCCharBase"/>
    <w:uiPriority w:val="1"/>
    <w:qFormat/>
    <w:rsid w:val="00016BFF"/>
  </w:style>
  <w:style w:type="character" w:customStyle="1" w:styleId="CharChapText">
    <w:name w:val="CharChapText"/>
    <w:basedOn w:val="OPCCharBase"/>
    <w:uiPriority w:val="1"/>
    <w:qFormat/>
    <w:rsid w:val="00016BFF"/>
  </w:style>
  <w:style w:type="character" w:customStyle="1" w:styleId="CharDivNo">
    <w:name w:val="CharDivNo"/>
    <w:basedOn w:val="OPCCharBase"/>
    <w:uiPriority w:val="1"/>
    <w:qFormat/>
    <w:rsid w:val="00016BFF"/>
  </w:style>
  <w:style w:type="character" w:customStyle="1" w:styleId="CharDivText">
    <w:name w:val="CharDivText"/>
    <w:basedOn w:val="OPCCharBase"/>
    <w:uiPriority w:val="1"/>
    <w:qFormat/>
    <w:rsid w:val="00016BFF"/>
  </w:style>
  <w:style w:type="character" w:customStyle="1" w:styleId="CharItalic">
    <w:name w:val="CharItalic"/>
    <w:basedOn w:val="OPCCharBase"/>
    <w:uiPriority w:val="1"/>
    <w:qFormat/>
    <w:rsid w:val="00016BFF"/>
    <w:rPr>
      <w:i/>
    </w:rPr>
  </w:style>
  <w:style w:type="character" w:customStyle="1" w:styleId="CharPartNo">
    <w:name w:val="CharPartNo"/>
    <w:basedOn w:val="OPCCharBase"/>
    <w:uiPriority w:val="1"/>
    <w:qFormat/>
    <w:rsid w:val="00016BFF"/>
  </w:style>
  <w:style w:type="character" w:customStyle="1" w:styleId="CharPartText">
    <w:name w:val="CharPartText"/>
    <w:basedOn w:val="OPCCharBase"/>
    <w:uiPriority w:val="1"/>
    <w:qFormat/>
    <w:rsid w:val="00016BFF"/>
  </w:style>
  <w:style w:type="character" w:customStyle="1" w:styleId="CharSectno">
    <w:name w:val="CharSectno"/>
    <w:basedOn w:val="OPCCharBase"/>
    <w:qFormat/>
    <w:rsid w:val="00016BFF"/>
  </w:style>
  <w:style w:type="character" w:customStyle="1" w:styleId="CharSubdNo">
    <w:name w:val="CharSubdNo"/>
    <w:basedOn w:val="OPCCharBase"/>
    <w:uiPriority w:val="1"/>
    <w:qFormat/>
    <w:rsid w:val="00016BFF"/>
  </w:style>
  <w:style w:type="character" w:customStyle="1" w:styleId="CharSubdText">
    <w:name w:val="CharSubdText"/>
    <w:basedOn w:val="OPCCharBase"/>
    <w:uiPriority w:val="1"/>
    <w:qFormat/>
    <w:rsid w:val="00016BFF"/>
  </w:style>
  <w:style w:type="paragraph" w:customStyle="1" w:styleId="CTA--">
    <w:name w:val="CTA --"/>
    <w:basedOn w:val="OPCParaBase"/>
    <w:next w:val="Normal"/>
    <w:rsid w:val="00016BFF"/>
    <w:pPr>
      <w:spacing w:before="60" w:line="240" w:lineRule="atLeast"/>
      <w:ind w:left="142" w:hanging="142"/>
    </w:pPr>
    <w:rPr>
      <w:sz w:val="20"/>
    </w:rPr>
  </w:style>
  <w:style w:type="paragraph" w:customStyle="1" w:styleId="CTA-">
    <w:name w:val="CTA -"/>
    <w:basedOn w:val="OPCParaBase"/>
    <w:rsid w:val="00016BFF"/>
    <w:pPr>
      <w:spacing w:before="60" w:line="240" w:lineRule="atLeast"/>
      <w:ind w:left="85" w:hanging="85"/>
    </w:pPr>
    <w:rPr>
      <w:sz w:val="20"/>
    </w:rPr>
  </w:style>
  <w:style w:type="paragraph" w:customStyle="1" w:styleId="CTA---">
    <w:name w:val="CTA ---"/>
    <w:basedOn w:val="OPCParaBase"/>
    <w:next w:val="Normal"/>
    <w:rsid w:val="00016BFF"/>
    <w:pPr>
      <w:spacing w:before="60" w:line="240" w:lineRule="atLeast"/>
      <w:ind w:left="198" w:hanging="198"/>
    </w:pPr>
    <w:rPr>
      <w:sz w:val="20"/>
    </w:rPr>
  </w:style>
  <w:style w:type="paragraph" w:customStyle="1" w:styleId="CTA----">
    <w:name w:val="CTA ----"/>
    <w:basedOn w:val="OPCParaBase"/>
    <w:next w:val="Normal"/>
    <w:rsid w:val="00016BFF"/>
    <w:pPr>
      <w:spacing w:before="60" w:line="240" w:lineRule="atLeast"/>
      <w:ind w:left="255" w:hanging="255"/>
    </w:pPr>
    <w:rPr>
      <w:sz w:val="20"/>
    </w:rPr>
  </w:style>
  <w:style w:type="paragraph" w:customStyle="1" w:styleId="CTA1a">
    <w:name w:val="CTA 1(a)"/>
    <w:basedOn w:val="OPCParaBase"/>
    <w:rsid w:val="00016BFF"/>
    <w:pPr>
      <w:tabs>
        <w:tab w:val="right" w:pos="414"/>
      </w:tabs>
      <w:spacing w:before="40" w:line="240" w:lineRule="atLeast"/>
      <w:ind w:left="675" w:hanging="675"/>
    </w:pPr>
    <w:rPr>
      <w:sz w:val="20"/>
    </w:rPr>
  </w:style>
  <w:style w:type="paragraph" w:customStyle="1" w:styleId="CTA1ai">
    <w:name w:val="CTA 1(a)(i)"/>
    <w:basedOn w:val="OPCParaBase"/>
    <w:rsid w:val="00016BFF"/>
    <w:pPr>
      <w:tabs>
        <w:tab w:val="right" w:pos="1004"/>
      </w:tabs>
      <w:spacing w:before="40" w:line="240" w:lineRule="atLeast"/>
      <w:ind w:left="1253" w:hanging="1253"/>
    </w:pPr>
    <w:rPr>
      <w:sz w:val="20"/>
    </w:rPr>
  </w:style>
  <w:style w:type="paragraph" w:customStyle="1" w:styleId="CTA2a">
    <w:name w:val="CTA 2(a)"/>
    <w:basedOn w:val="OPCParaBase"/>
    <w:rsid w:val="00016BFF"/>
    <w:pPr>
      <w:tabs>
        <w:tab w:val="right" w:pos="482"/>
      </w:tabs>
      <w:spacing w:before="40" w:line="240" w:lineRule="atLeast"/>
      <w:ind w:left="748" w:hanging="748"/>
    </w:pPr>
    <w:rPr>
      <w:sz w:val="20"/>
    </w:rPr>
  </w:style>
  <w:style w:type="paragraph" w:customStyle="1" w:styleId="CTA2ai">
    <w:name w:val="CTA 2(a)(i)"/>
    <w:basedOn w:val="OPCParaBase"/>
    <w:rsid w:val="00016BFF"/>
    <w:pPr>
      <w:tabs>
        <w:tab w:val="right" w:pos="1089"/>
      </w:tabs>
      <w:spacing w:before="40" w:line="240" w:lineRule="atLeast"/>
      <w:ind w:left="1327" w:hanging="1327"/>
    </w:pPr>
    <w:rPr>
      <w:sz w:val="20"/>
    </w:rPr>
  </w:style>
  <w:style w:type="paragraph" w:customStyle="1" w:styleId="CTA3a">
    <w:name w:val="CTA 3(a)"/>
    <w:basedOn w:val="OPCParaBase"/>
    <w:rsid w:val="00016BFF"/>
    <w:pPr>
      <w:tabs>
        <w:tab w:val="right" w:pos="556"/>
      </w:tabs>
      <w:spacing w:before="40" w:line="240" w:lineRule="atLeast"/>
      <w:ind w:left="805" w:hanging="805"/>
    </w:pPr>
    <w:rPr>
      <w:sz w:val="20"/>
    </w:rPr>
  </w:style>
  <w:style w:type="paragraph" w:customStyle="1" w:styleId="CTA3ai">
    <w:name w:val="CTA 3(a)(i)"/>
    <w:basedOn w:val="OPCParaBase"/>
    <w:rsid w:val="00016BFF"/>
    <w:pPr>
      <w:tabs>
        <w:tab w:val="right" w:pos="1140"/>
      </w:tabs>
      <w:spacing w:before="40" w:line="240" w:lineRule="atLeast"/>
      <w:ind w:left="1361" w:hanging="1361"/>
    </w:pPr>
    <w:rPr>
      <w:sz w:val="20"/>
    </w:rPr>
  </w:style>
  <w:style w:type="paragraph" w:customStyle="1" w:styleId="CTA4a">
    <w:name w:val="CTA 4(a)"/>
    <w:basedOn w:val="OPCParaBase"/>
    <w:rsid w:val="00016BFF"/>
    <w:pPr>
      <w:tabs>
        <w:tab w:val="right" w:pos="624"/>
      </w:tabs>
      <w:spacing w:before="40" w:line="240" w:lineRule="atLeast"/>
      <w:ind w:left="873" w:hanging="873"/>
    </w:pPr>
    <w:rPr>
      <w:sz w:val="20"/>
    </w:rPr>
  </w:style>
  <w:style w:type="paragraph" w:customStyle="1" w:styleId="CTA4ai">
    <w:name w:val="CTA 4(a)(i)"/>
    <w:basedOn w:val="OPCParaBase"/>
    <w:rsid w:val="00016BFF"/>
    <w:pPr>
      <w:tabs>
        <w:tab w:val="right" w:pos="1213"/>
      </w:tabs>
      <w:spacing w:before="40" w:line="240" w:lineRule="atLeast"/>
      <w:ind w:left="1452" w:hanging="1452"/>
    </w:pPr>
    <w:rPr>
      <w:sz w:val="20"/>
    </w:rPr>
  </w:style>
  <w:style w:type="paragraph" w:customStyle="1" w:styleId="CTACAPS">
    <w:name w:val="CTA CAPS"/>
    <w:basedOn w:val="OPCParaBase"/>
    <w:rsid w:val="00016BFF"/>
    <w:pPr>
      <w:spacing w:before="60" w:line="240" w:lineRule="atLeast"/>
    </w:pPr>
    <w:rPr>
      <w:sz w:val="20"/>
    </w:rPr>
  </w:style>
  <w:style w:type="paragraph" w:customStyle="1" w:styleId="CTAright">
    <w:name w:val="CTA right"/>
    <w:basedOn w:val="OPCParaBase"/>
    <w:rsid w:val="00016BFF"/>
    <w:pPr>
      <w:spacing w:before="60" w:line="240" w:lineRule="auto"/>
      <w:jc w:val="right"/>
    </w:pPr>
    <w:rPr>
      <w:sz w:val="20"/>
    </w:rPr>
  </w:style>
  <w:style w:type="paragraph" w:customStyle="1" w:styleId="subsection">
    <w:name w:val="subsection"/>
    <w:aliases w:val="ss"/>
    <w:basedOn w:val="OPCParaBase"/>
    <w:link w:val="subsectionChar"/>
    <w:rsid w:val="00016BFF"/>
    <w:pPr>
      <w:tabs>
        <w:tab w:val="right" w:pos="1021"/>
      </w:tabs>
      <w:spacing w:before="180" w:line="240" w:lineRule="auto"/>
      <w:ind w:left="1134" w:hanging="1134"/>
    </w:pPr>
  </w:style>
  <w:style w:type="paragraph" w:customStyle="1" w:styleId="Definition">
    <w:name w:val="Definition"/>
    <w:aliases w:val="dd"/>
    <w:basedOn w:val="OPCParaBase"/>
    <w:rsid w:val="00016BFF"/>
    <w:pPr>
      <w:spacing w:before="180" w:line="240" w:lineRule="auto"/>
      <w:ind w:left="1134"/>
    </w:pPr>
  </w:style>
  <w:style w:type="paragraph" w:customStyle="1" w:styleId="ETAsubitem">
    <w:name w:val="ETA(subitem)"/>
    <w:basedOn w:val="OPCParaBase"/>
    <w:rsid w:val="00016BFF"/>
    <w:pPr>
      <w:tabs>
        <w:tab w:val="right" w:pos="340"/>
      </w:tabs>
      <w:spacing w:before="60" w:line="240" w:lineRule="auto"/>
      <w:ind w:left="454" w:hanging="454"/>
    </w:pPr>
    <w:rPr>
      <w:sz w:val="20"/>
    </w:rPr>
  </w:style>
  <w:style w:type="paragraph" w:customStyle="1" w:styleId="ETApara">
    <w:name w:val="ETA(para)"/>
    <w:basedOn w:val="OPCParaBase"/>
    <w:rsid w:val="00016BFF"/>
    <w:pPr>
      <w:tabs>
        <w:tab w:val="right" w:pos="754"/>
      </w:tabs>
      <w:spacing w:before="60" w:line="240" w:lineRule="auto"/>
      <w:ind w:left="828" w:hanging="828"/>
    </w:pPr>
    <w:rPr>
      <w:sz w:val="20"/>
    </w:rPr>
  </w:style>
  <w:style w:type="paragraph" w:customStyle="1" w:styleId="ETAsubpara">
    <w:name w:val="ETA(subpara)"/>
    <w:basedOn w:val="OPCParaBase"/>
    <w:rsid w:val="00016BFF"/>
    <w:pPr>
      <w:tabs>
        <w:tab w:val="right" w:pos="1083"/>
      </w:tabs>
      <w:spacing w:before="60" w:line="240" w:lineRule="auto"/>
      <w:ind w:left="1191" w:hanging="1191"/>
    </w:pPr>
    <w:rPr>
      <w:sz w:val="20"/>
    </w:rPr>
  </w:style>
  <w:style w:type="paragraph" w:customStyle="1" w:styleId="ETAsub-subpara">
    <w:name w:val="ETA(sub-subpara)"/>
    <w:basedOn w:val="OPCParaBase"/>
    <w:rsid w:val="00016BFF"/>
    <w:pPr>
      <w:tabs>
        <w:tab w:val="right" w:pos="1412"/>
      </w:tabs>
      <w:spacing w:before="60" w:line="240" w:lineRule="auto"/>
      <w:ind w:left="1525" w:hanging="1525"/>
    </w:pPr>
    <w:rPr>
      <w:sz w:val="20"/>
    </w:rPr>
  </w:style>
  <w:style w:type="paragraph" w:customStyle="1" w:styleId="Formula">
    <w:name w:val="Formula"/>
    <w:basedOn w:val="OPCParaBase"/>
    <w:rsid w:val="00016BFF"/>
    <w:pPr>
      <w:spacing w:line="240" w:lineRule="auto"/>
      <w:ind w:left="1134"/>
    </w:pPr>
    <w:rPr>
      <w:sz w:val="20"/>
    </w:rPr>
  </w:style>
  <w:style w:type="paragraph" w:styleId="Header">
    <w:name w:val="header"/>
    <w:basedOn w:val="OPCParaBase"/>
    <w:link w:val="HeaderChar"/>
    <w:unhideWhenUsed/>
    <w:rsid w:val="00016B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6BFF"/>
    <w:rPr>
      <w:rFonts w:eastAsia="Times New Roman" w:cs="Times New Roman"/>
      <w:sz w:val="16"/>
      <w:lang w:eastAsia="en-AU"/>
    </w:rPr>
  </w:style>
  <w:style w:type="paragraph" w:customStyle="1" w:styleId="House">
    <w:name w:val="House"/>
    <w:basedOn w:val="OPCParaBase"/>
    <w:rsid w:val="00016BFF"/>
    <w:pPr>
      <w:spacing w:line="240" w:lineRule="auto"/>
    </w:pPr>
    <w:rPr>
      <w:sz w:val="28"/>
    </w:rPr>
  </w:style>
  <w:style w:type="paragraph" w:customStyle="1" w:styleId="Item">
    <w:name w:val="Item"/>
    <w:aliases w:val="i"/>
    <w:basedOn w:val="OPCParaBase"/>
    <w:next w:val="ItemHead"/>
    <w:rsid w:val="00016BFF"/>
    <w:pPr>
      <w:keepLines/>
      <w:spacing w:before="80" w:line="240" w:lineRule="auto"/>
      <w:ind w:left="709"/>
    </w:pPr>
  </w:style>
  <w:style w:type="paragraph" w:customStyle="1" w:styleId="ItemHead">
    <w:name w:val="ItemHead"/>
    <w:aliases w:val="ih"/>
    <w:basedOn w:val="OPCParaBase"/>
    <w:next w:val="Item"/>
    <w:rsid w:val="00016B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6BFF"/>
    <w:pPr>
      <w:spacing w:line="240" w:lineRule="auto"/>
    </w:pPr>
    <w:rPr>
      <w:b/>
      <w:sz w:val="32"/>
    </w:rPr>
  </w:style>
  <w:style w:type="paragraph" w:customStyle="1" w:styleId="notedraft">
    <w:name w:val="note(draft)"/>
    <w:aliases w:val="nd"/>
    <w:basedOn w:val="OPCParaBase"/>
    <w:rsid w:val="00016BFF"/>
    <w:pPr>
      <w:spacing w:before="240" w:line="240" w:lineRule="auto"/>
      <w:ind w:left="284" w:hanging="284"/>
    </w:pPr>
    <w:rPr>
      <w:i/>
      <w:sz w:val="24"/>
    </w:rPr>
  </w:style>
  <w:style w:type="paragraph" w:customStyle="1" w:styleId="notemargin">
    <w:name w:val="note(margin)"/>
    <w:aliases w:val="nm"/>
    <w:basedOn w:val="OPCParaBase"/>
    <w:rsid w:val="00016BFF"/>
    <w:pPr>
      <w:tabs>
        <w:tab w:val="left" w:pos="709"/>
      </w:tabs>
      <w:spacing w:before="122" w:line="198" w:lineRule="exact"/>
      <w:ind w:left="709" w:hanging="709"/>
    </w:pPr>
    <w:rPr>
      <w:sz w:val="18"/>
    </w:rPr>
  </w:style>
  <w:style w:type="paragraph" w:customStyle="1" w:styleId="noteToPara">
    <w:name w:val="noteToPara"/>
    <w:aliases w:val="ntp"/>
    <w:basedOn w:val="OPCParaBase"/>
    <w:rsid w:val="00016BFF"/>
    <w:pPr>
      <w:spacing w:before="122" w:line="198" w:lineRule="exact"/>
      <w:ind w:left="2353" w:hanging="709"/>
    </w:pPr>
    <w:rPr>
      <w:sz w:val="18"/>
    </w:rPr>
  </w:style>
  <w:style w:type="paragraph" w:customStyle="1" w:styleId="noteParlAmend">
    <w:name w:val="note(ParlAmend)"/>
    <w:aliases w:val="npp"/>
    <w:basedOn w:val="OPCParaBase"/>
    <w:next w:val="ParlAmend"/>
    <w:rsid w:val="00016BFF"/>
    <w:pPr>
      <w:spacing w:line="240" w:lineRule="auto"/>
      <w:jc w:val="right"/>
    </w:pPr>
    <w:rPr>
      <w:rFonts w:ascii="Arial" w:hAnsi="Arial"/>
      <w:b/>
      <w:i/>
    </w:rPr>
  </w:style>
  <w:style w:type="paragraph" w:customStyle="1" w:styleId="Page1">
    <w:name w:val="Page1"/>
    <w:basedOn w:val="OPCParaBase"/>
    <w:rsid w:val="00016BFF"/>
    <w:pPr>
      <w:spacing w:before="5600" w:line="240" w:lineRule="auto"/>
    </w:pPr>
    <w:rPr>
      <w:b/>
      <w:sz w:val="32"/>
    </w:rPr>
  </w:style>
  <w:style w:type="paragraph" w:customStyle="1" w:styleId="PageBreak">
    <w:name w:val="PageBreak"/>
    <w:aliases w:val="pb"/>
    <w:basedOn w:val="OPCParaBase"/>
    <w:rsid w:val="00016BFF"/>
    <w:pPr>
      <w:spacing w:line="240" w:lineRule="auto"/>
    </w:pPr>
    <w:rPr>
      <w:sz w:val="20"/>
    </w:rPr>
  </w:style>
  <w:style w:type="paragraph" w:customStyle="1" w:styleId="paragraphsub">
    <w:name w:val="paragraph(sub)"/>
    <w:aliases w:val="aa"/>
    <w:basedOn w:val="OPCParaBase"/>
    <w:rsid w:val="00016BFF"/>
    <w:pPr>
      <w:tabs>
        <w:tab w:val="right" w:pos="1985"/>
      </w:tabs>
      <w:spacing w:before="40" w:line="240" w:lineRule="auto"/>
      <w:ind w:left="2098" w:hanging="2098"/>
    </w:pPr>
  </w:style>
  <w:style w:type="paragraph" w:customStyle="1" w:styleId="paragraphsub-sub">
    <w:name w:val="paragraph(sub-sub)"/>
    <w:aliases w:val="aaa"/>
    <w:basedOn w:val="OPCParaBase"/>
    <w:rsid w:val="00016BFF"/>
    <w:pPr>
      <w:tabs>
        <w:tab w:val="right" w:pos="2722"/>
      </w:tabs>
      <w:spacing w:before="40" w:line="240" w:lineRule="auto"/>
      <w:ind w:left="2835" w:hanging="2835"/>
    </w:pPr>
  </w:style>
  <w:style w:type="paragraph" w:customStyle="1" w:styleId="paragraph">
    <w:name w:val="paragraph"/>
    <w:aliases w:val="a"/>
    <w:basedOn w:val="OPCParaBase"/>
    <w:rsid w:val="00016BFF"/>
    <w:pPr>
      <w:tabs>
        <w:tab w:val="right" w:pos="1531"/>
      </w:tabs>
      <w:spacing w:before="40" w:line="240" w:lineRule="auto"/>
      <w:ind w:left="1644" w:hanging="1644"/>
    </w:pPr>
  </w:style>
  <w:style w:type="paragraph" w:customStyle="1" w:styleId="ParlAmend">
    <w:name w:val="ParlAmend"/>
    <w:aliases w:val="pp"/>
    <w:basedOn w:val="OPCParaBase"/>
    <w:rsid w:val="00016BFF"/>
    <w:pPr>
      <w:spacing w:before="240" w:line="240" w:lineRule="atLeast"/>
      <w:ind w:hanging="567"/>
    </w:pPr>
    <w:rPr>
      <w:sz w:val="24"/>
    </w:rPr>
  </w:style>
  <w:style w:type="paragraph" w:customStyle="1" w:styleId="Penalty">
    <w:name w:val="Penalty"/>
    <w:basedOn w:val="OPCParaBase"/>
    <w:rsid w:val="00016BFF"/>
    <w:pPr>
      <w:tabs>
        <w:tab w:val="left" w:pos="2977"/>
      </w:tabs>
      <w:spacing w:before="180" w:line="240" w:lineRule="auto"/>
      <w:ind w:left="1985" w:hanging="851"/>
    </w:pPr>
  </w:style>
  <w:style w:type="paragraph" w:customStyle="1" w:styleId="Portfolio">
    <w:name w:val="Portfolio"/>
    <w:basedOn w:val="OPCParaBase"/>
    <w:rsid w:val="00016BFF"/>
    <w:pPr>
      <w:spacing w:line="240" w:lineRule="auto"/>
    </w:pPr>
    <w:rPr>
      <w:i/>
      <w:sz w:val="20"/>
    </w:rPr>
  </w:style>
  <w:style w:type="paragraph" w:customStyle="1" w:styleId="Preamble">
    <w:name w:val="Preamble"/>
    <w:basedOn w:val="OPCParaBase"/>
    <w:next w:val="Normal"/>
    <w:rsid w:val="00016B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6BFF"/>
    <w:pPr>
      <w:spacing w:line="240" w:lineRule="auto"/>
    </w:pPr>
    <w:rPr>
      <w:i/>
      <w:sz w:val="20"/>
    </w:rPr>
  </w:style>
  <w:style w:type="paragraph" w:customStyle="1" w:styleId="Session">
    <w:name w:val="Session"/>
    <w:basedOn w:val="OPCParaBase"/>
    <w:rsid w:val="00016BFF"/>
    <w:pPr>
      <w:spacing w:line="240" w:lineRule="auto"/>
    </w:pPr>
    <w:rPr>
      <w:sz w:val="28"/>
    </w:rPr>
  </w:style>
  <w:style w:type="paragraph" w:customStyle="1" w:styleId="Sponsor">
    <w:name w:val="Sponsor"/>
    <w:basedOn w:val="OPCParaBase"/>
    <w:rsid w:val="00016BFF"/>
    <w:pPr>
      <w:spacing w:line="240" w:lineRule="auto"/>
    </w:pPr>
    <w:rPr>
      <w:i/>
    </w:rPr>
  </w:style>
  <w:style w:type="paragraph" w:customStyle="1" w:styleId="Subitem">
    <w:name w:val="Subitem"/>
    <w:aliases w:val="iss"/>
    <w:basedOn w:val="OPCParaBase"/>
    <w:rsid w:val="00016BFF"/>
    <w:pPr>
      <w:spacing w:before="180" w:line="240" w:lineRule="auto"/>
      <w:ind w:left="709" w:hanging="709"/>
    </w:pPr>
  </w:style>
  <w:style w:type="paragraph" w:customStyle="1" w:styleId="SubitemHead">
    <w:name w:val="SubitemHead"/>
    <w:aliases w:val="issh"/>
    <w:basedOn w:val="OPCParaBase"/>
    <w:rsid w:val="00016B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6BFF"/>
    <w:pPr>
      <w:spacing w:before="40" w:line="240" w:lineRule="auto"/>
      <w:ind w:left="1134"/>
    </w:pPr>
  </w:style>
  <w:style w:type="paragraph" w:customStyle="1" w:styleId="SubsectionHead">
    <w:name w:val="SubsectionHead"/>
    <w:aliases w:val="ssh"/>
    <w:basedOn w:val="OPCParaBase"/>
    <w:next w:val="subsection"/>
    <w:rsid w:val="00016BFF"/>
    <w:pPr>
      <w:keepNext/>
      <w:keepLines/>
      <w:spacing w:before="240" w:line="240" w:lineRule="auto"/>
      <w:ind w:left="1134"/>
    </w:pPr>
    <w:rPr>
      <w:i/>
    </w:rPr>
  </w:style>
  <w:style w:type="paragraph" w:customStyle="1" w:styleId="Tablea">
    <w:name w:val="Table(a)"/>
    <w:aliases w:val="ta"/>
    <w:basedOn w:val="OPCParaBase"/>
    <w:rsid w:val="00016BFF"/>
    <w:pPr>
      <w:spacing w:before="60" w:line="240" w:lineRule="auto"/>
      <w:ind w:left="284" w:hanging="284"/>
    </w:pPr>
    <w:rPr>
      <w:sz w:val="20"/>
    </w:rPr>
  </w:style>
  <w:style w:type="paragraph" w:customStyle="1" w:styleId="TableAA">
    <w:name w:val="Table(AA)"/>
    <w:aliases w:val="taaa"/>
    <w:basedOn w:val="OPCParaBase"/>
    <w:rsid w:val="00016B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6B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6BFF"/>
    <w:pPr>
      <w:spacing w:before="60" w:line="240" w:lineRule="atLeast"/>
    </w:pPr>
    <w:rPr>
      <w:sz w:val="20"/>
    </w:rPr>
  </w:style>
  <w:style w:type="paragraph" w:customStyle="1" w:styleId="TLPBoxTextnote">
    <w:name w:val="TLPBoxText(note"/>
    <w:aliases w:val="right)"/>
    <w:basedOn w:val="OPCParaBase"/>
    <w:rsid w:val="00016B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6B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6BFF"/>
    <w:pPr>
      <w:spacing w:before="122" w:line="198" w:lineRule="exact"/>
      <w:ind w:left="1985" w:hanging="851"/>
      <w:jc w:val="right"/>
    </w:pPr>
    <w:rPr>
      <w:sz w:val="18"/>
    </w:rPr>
  </w:style>
  <w:style w:type="paragraph" w:customStyle="1" w:styleId="TLPTableBullet">
    <w:name w:val="TLPTableBullet"/>
    <w:aliases w:val="ttb"/>
    <w:basedOn w:val="OPCParaBase"/>
    <w:rsid w:val="00016BFF"/>
    <w:pPr>
      <w:spacing w:line="240" w:lineRule="exact"/>
      <w:ind w:left="284" w:hanging="284"/>
    </w:pPr>
    <w:rPr>
      <w:sz w:val="20"/>
    </w:rPr>
  </w:style>
  <w:style w:type="paragraph" w:styleId="TOC1">
    <w:name w:val="toc 1"/>
    <w:basedOn w:val="OPCParaBase"/>
    <w:next w:val="Normal"/>
    <w:uiPriority w:val="39"/>
    <w:semiHidden/>
    <w:unhideWhenUsed/>
    <w:rsid w:val="00016BF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16BF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6BF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6BF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6BF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6BF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6BF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6BF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6BF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6BFF"/>
    <w:pPr>
      <w:keepLines/>
      <w:spacing w:before="240" w:after="120" w:line="240" w:lineRule="auto"/>
      <w:ind w:left="794"/>
    </w:pPr>
    <w:rPr>
      <w:b/>
      <w:kern w:val="28"/>
      <w:sz w:val="20"/>
    </w:rPr>
  </w:style>
  <w:style w:type="paragraph" w:customStyle="1" w:styleId="TofSectsHeading">
    <w:name w:val="TofSects(Heading)"/>
    <w:basedOn w:val="OPCParaBase"/>
    <w:rsid w:val="00016BFF"/>
    <w:pPr>
      <w:spacing w:before="240" w:after="120" w:line="240" w:lineRule="auto"/>
    </w:pPr>
    <w:rPr>
      <w:b/>
      <w:sz w:val="24"/>
    </w:rPr>
  </w:style>
  <w:style w:type="paragraph" w:customStyle="1" w:styleId="TofSectsSection">
    <w:name w:val="TofSects(Section)"/>
    <w:basedOn w:val="OPCParaBase"/>
    <w:rsid w:val="00016BFF"/>
    <w:pPr>
      <w:keepLines/>
      <w:spacing w:before="40" w:line="240" w:lineRule="auto"/>
      <w:ind w:left="1588" w:hanging="794"/>
    </w:pPr>
    <w:rPr>
      <w:kern w:val="28"/>
      <w:sz w:val="18"/>
    </w:rPr>
  </w:style>
  <w:style w:type="paragraph" w:customStyle="1" w:styleId="TofSectsSubdiv">
    <w:name w:val="TofSects(Subdiv)"/>
    <w:basedOn w:val="OPCParaBase"/>
    <w:rsid w:val="00016BFF"/>
    <w:pPr>
      <w:keepLines/>
      <w:spacing w:before="80" w:line="240" w:lineRule="auto"/>
      <w:ind w:left="1588" w:hanging="794"/>
    </w:pPr>
    <w:rPr>
      <w:kern w:val="28"/>
    </w:rPr>
  </w:style>
  <w:style w:type="paragraph" w:customStyle="1" w:styleId="WRStyle">
    <w:name w:val="WR Style"/>
    <w:aliases w:val="WR"/>
    <w:basedOn w:val="OPCParaBase"/>
    <w:rsid w:val="00016BFF"/>
    <w:pPr>
      <w:spacing w:before="240" w:line="240" w:lineRule="auto"/>
      <w:ind w:left="284" w:hanging="284"/>
    </w:pPr>
    <w:rPr>
      <w:b/>
      <w:i/>
      <w:kern w:val="28"/>
      <w:sz w:val="24"/>
    </w:rPr>
  </w:style>
  <w:style w:type="paragraph" w:customStyle="1" w:styleId="notepara">
    <w:name w:val="note(para)"/>
    <w:aliases w:val="na"/>
    <w:basedOn w:val="OPCParaBase"/>
    <w:rsid w:val="00016BFF"/>
    <w:pPr>
      <w:spacing w:before="40" w:line="198" w:lineRule="exact"/>
      <w:ind w:left="2354" w:hanging="369"/>
    </w:pPr>
    <w:rPr>
      <w:sz w:val="18"/>
    </w:rPr>
  </w:style>
  <w:style w:type="paragraph" w:styleId="Footer">
    <w:name w:val="footer"/>
    <w:link w:val="FooterChar"/>
    <w:rsid w:val="00016B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6BFF"/>
    <w:rPr>
      <w:rFonts w:eastAsia="Times New Roman" w:cs="Times New Roman"/>
      <w:sz w:val="22"/>
      <w:szCs w:val="24"/>
      <w:lang w:eastAsia="en-AU"/>
    </w:rPr>
  </w:style>
  <w:style w:type="character" w:styleId="LineNumber">
    <w:name w:val="line number"/>
    <w:basedOn w:val="OPCCharBase"/>
    <w:uiPriority w:val="99"/>
    <w:semiHidden/>
    <w:unhideWhenUsed/>
    <w:rsid w:val="00016BFF"/>
    <w:rPr>
      <w:sz w:val="16"/>
    </w:rPr>
  </w:style>
  <w:style w:type="table" w:customStyle="1" w:styleId="CFlag">
    <w:name w:val="CFlag"/>
    <w:basedOn w:val="TableNormal"/>
    <w:uiPriority w:val="99"/>
    <w:rsid w:val="00016BFF"/>
    <w:rPr>
      <w:rFonts w:eastAsia="Times New Roman" w:cs="Times New Roman"/>
      <w:lang w:eastAsia="en-AU"/>
    </w:rPr>
    <w:tblPr/>
  </w:style>
  <w:style w:type="paragraph" w:customStyle="1" w:styleId="NotesHeading1">
    <w:name w:val="NotesHeading 1"/>
    <w:basedOn w:val="OPCParaBase"/>
    <w:next w:val="Normal"/>
    <w:rsid w:val="00016BFF"/>
    <w:rPr>
      <w:b/>
      <w:sz w:val="28"/>
      <w:szCs w:val="28"/>
    </w:rPr>
  </w:style>
  <w:style w:type="paragraph" w:customStyle="1" w:styleId="NotesHeading2">
    <w:name w:val="NotesHeading 2"/>
    <w:basedOn w:val="OPCParaBase"/>
    <w:next w:val="Normal"/>
    <w:rsid w:val="00016BFF"/>
    <w:rPr>
      <w:b/>
      <w:sz w:val="28"/>
      <w:szCs w:val="28"/>
    </w:rPr>
  </w:style>
  <w:style w:type="paragraph" w:customStyle="1" w:styleId="SignCoverPageEnd">
    <w:name w:val="SignCoverPageEnd"/>
    <w:basedOn w:val="OPCParaBase"/>
    <w:next w:val="Normal"/>
    <w:rsid w:val="00016B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6BFF"/>
    <w:pPr>
      <w:pBdr>
        <w:top w:val="single" w:sz="4" w:space="1" w:color="auto"/>
      </w:pBdr>
      <w:spacing w:before="360"/>
      <w:ind w:right="397"/>
      <w:jc w:val="both"/>
    </w:pPr>
  </w:style>
  <w:style w:type="paragraph" w:customStyle="1" w:styleId="Paragraphsub-sub-sub">
    <w:name w:val="Paragraph(sub-sub-sub)"/>
    <w:aliases w:val="aaaa"/>
    <w:basedOn w:val="OPCParaBase"/>
    <w:rsid w:val="00016B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6B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6B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6B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6BF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16BFF"/>
    <w:pPr>
      <w:spacing w:before="120"/>
    </w:pPr>
  </w:style>
  <w:style w:type="paragraph" w:customStyle="1" w:styleId="TableTextEndNotes">
    <w:name w:val="TableTextEndNotes"/>
    <w:aliases w:val="Tten"/>
    <w:basedOn w:val="Normal"/>
    <w:rsid w:val="00016BFF"/>
    <w:pPr>
      <w:spacing w:before="60" w:line="240" w:lineRule="auto"/>
    </w:pPr>
    <w:rPr>
      <w:rFonts w:cs="Arial"/>
      <w:sz w:val="20"/>
      <w:szCs w:val="22"/>
    </w:rPr>
  </w:style>
  <w:style w:type="paragraph" w:customStyle="1" w:styleId="TableHeading">
    <w:name w:val="TableHeading"/>
    <w:aliases w:val="th"/>
    <w:basedOn w:val="OPCParaBase"/>
    <w:next w:val="Tabletext"/>
    <w:rsid w:val="00016BFF"/>
    <w:pPr>
      <w:keepNext/>
      <w:spacing w:before="60" w:line="240" w:lineRule="atLeast"/>
    </w:pPr>
    <w:rPr>
      <w:b/>
      <w:sz w:val="20"/>
    </w:rPr>
  </w:style>
  <w:style w:type="paragraph" w:customStyle="1" w:styleId="NoteToSubpara">
    <w:name w:val="NoteToSubpara"/>
    <w:aliases w:val="nts"/>
    <w:basedOn w:val="OPCParaBase"/>
    <w:rsid w:val="00016BFF"/>
    <w:pPr>
      <w:spacing w:before="40" w:line="198" w:lineRule="exact"/>
      <w:ind w:left="2835" w:hanging="709"/>
    </w:pPr>
    <w:rPr>
      <w:sz w:val="18"/>
    </w:rPr>
  </w:style>
  <w:style w:type="paragraph" w:customStyle="1" w:styleId="ENoteTableHeading">
    <w:name w:val="ENoteTableHeading"/>
    <w:aliases w:val="enth"/>
    <w:basedOn w:val="OPCParaBase"/>
    <w:rsid w:val="00016BFF"/>
    <w:pPr>
      <w:keepNext/>
      <w:spacing w:before="60" w:line="240" w:lineRule="atLeast"/>
    </w:pPr>
    <w:rPr>
      <w:rFonts w:ascii="Arial" w:hAnsi="Arial"/>
      <w:b/>
      <w:sz w:val="16"/>
    </w:rPr>
  </w:style>
  <w:style w:type="paragraph" w:customStyle="1" w:styleId="ENoteTTi">
    <w:name w:val="ENoteTTi"/>
    <w:aliases w:val="entti"/>
    <w:basedOn w:val="OPCParaBase"/>
    <w:rsid w:val="00016BFF"/>
    <w:pPr>
      <w:keepNext/>
      <w:spacing w:before="60" w:line="240" w:lineRule="atLeast"/>
      <w:ind w:left="170"/>
    </w:pPr>
    <w:rPr>
      <w:sz w:val="16"/>
    </w:rPr>
  </w:style>
  <w:style w:type="paragraph" w:customStyle="1" w:styleId="ENotesHeading1">
    <w:name w:val="ENotesHeading 1"/>
    <w:aliases w:val="Enh1"/>
    <w:basedOn w:val="OPCParaBase"/>
    <w:next w:val="Normal"/>
    <w:rsid w:val="00016BFF"/>
    <w:pPr>
      <w:spacing w:before="120"/>
      <w:outlineLvl w:val="1"/>
    </w:pPr>
    <w:rPr>
      <w:b/>
      <w:sz w:val="28"/>
      <w:szCs w:val="28"/>
    </w:rPr>
  </w:style>
  <w:style w:type="paragraph" w:customStyle="1" w:styleId="ENotesHeading2">
    <w:name w:val="ENotesHeading 2"/>
    <w:aliases w:val="Enh2"/>
    <w:basedOn w:val="OPCParaBase"/>
    <w:next w:val="Normal"/>
    <w:rsid w:val="00016BFF"/>
    <w:pPr>
      <w:spacing w:before="120" w:after="120"/>
      <w:outlineLvl w:val="2"/>
    </w:pPr>
    <w:rPr>
      <w:b/>
      <w:sz w:val="24"/>
      <w:szCs w:val="28"/>
    </w:rPr>
  </w:style>
  <w:style w:type="paragraph" w:customStyle="1" w:styleId="ENoteTTIndentHeading">
    <w:name w:val="ENoteTTIndentHeading"/>
    <w:aliases w:val="enTTHi"/>
    <w:basedOn w:val="OPCParaBase"/>
    <w:rsid w:val="00016B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6BFF"/>
    <w:pPr>
      <w:spacing w:before="60" w:line="240" w:lineRule="atLeast"/>
    </w:pPr>
    <w:rPr>
      <w:sz w:val="16"/>
    </w:rPr>
  </w:style>
  <w:style w:type="paragraph" w:customStyle="1" w:styleId="MadeunderText">
    <w:name w:val="MadeunderText"/>
    <w:basedOn w:val="OPCParaBase"/>
    <w:next w:val="Normal"/>
    <w:rsid w:val="00016BFF"/>
    <w:pPr>
      <w:spacing w:before="240"/>
    </w:pPr>
    <w:rPr>
      <w:sz w:val="24"/>
      <w:szCs w:val="24"/>
    </w:rPr>
  </w:style>
  <w:style w:type="paragraph" w:customStyle="1" w:styleId="ENotesHeading3">
    <w:name w:val="ENotesHeading 3"/>
    <w:aliases w:val="Enh3"/>
    <w:basedOn w:val="OPCParaBase"/>
    <w:next w:val="Normal"/>
    <w:rsid w:val="00016BFF"/>
    <w:pPr>
      <w:keepNext/>
      <w:spacing w:before="120" w:line="240" w:lineRule="auto"/>
      <w:outlineLvl w:val="4"/>
    </w:pPr>
    <w:rPr>
      <w:b/>
      <w:szCs w:val="24"/>
    </w:rPr>
  </w:style>
  <w:style w:type="paragraph" w:customStyle="1" w:styleId="SubPartCASA">
    <w:name w:val="SubPart(CASA)"/>
    <w:aliases w:val="csp"/>
    <w:basedOn w:val="OPCParaBase"/>
    <w:next w:val="ActHead3"/>
    <w:rsid w:val="00016BF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16BFF"/>
  </w:style>
  <w:style w:type="character" w:customStyle="1" w:styleId="CharSubPartNoCASA">
    <w:name w:val="CharSubPartNo(CASA)"/>
    <w:basedOn w:val="OPCCharBase"/>
    <w:uiPriority w:val="1"/>
    <w:rsid w:val="00016BFF"/>
  </w:style>
  <w:style w:type="paragraph" w:customStyle="1" w:styleId="ENoteTTIndentHeadingSub">
    <w:name w:val="ENoteTTIndentHeadingSub"/>
    <w:aliases w:val="enTTHis"/>
    <w:basedOn w:val="OPCParaBase"/>
    <w:rsid w:val="00016BFF"/>
    <w:pPr>
      <w:keepNext/>
      <w:spacing w:before="60" w:line="240" w:lineRule="atLeast"/>
      <w:ind w:left="340"/>
    </w:pPr>
    <w:rPr>
      <w:b/>
      <w:sz w:val="16"/>
    </w:rPr>
  </w:style>
  <w:style w:type="paragraph" w:customStyle="1" w:styleId="ENoteTTiSub">
    <w:name w:val="ENoteTTiSub"/>
    <w:aliases w:val="enttis"/>
    <w:basedOn w:val="OPCParaBase"/>
    <w:rsid w:val="00016BFF"/>
    <w:pPr>
      <w:keepNext/>
      <w:spacing w:before="60" w:line="240" w:lineRule="atLeast"/>
      <w:ind w:left="340"/>
    </w:pPr>
    <w:rPr>
      <w:sz w:val="16"/>
    </w:rPr>
  </w:style>
  <w:style w:type="paragraph" w:customStyle="1" w:styleId="SubDivisionMigration">
    <w:name w:val="SubDivisionMigration"/>
    <w:aliases w:val="sdm"/>
    <w:basedOn w:val="OPCParaBase"/>
    <w:rsid w:val="00016B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6BFF"/>
    <w:pPr>
      <w:keepNext/>
      <w:keepLines/>
      <w:spacing w:before="240" w:line="240" w:lineRule="auto"/>
      <w:ind w:left="1134" w:hanging="1134"/>
    </w:pPr>
    <w:rPr>
      <w:b/>
      <w:sz w:val="28"/>
    </w:rPr>
  </w:style>
  <w:style w:type="table" w:styleId="TableGrid">
    <w:name w:val="Table Grid"/>
    <w:basedOn w:val="TableNormal"/>
    <w:uiPriority w:val="59"/>
    <w:rsid w:val="0001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16BFF"/>
    <w:pPr>
      <w:spacing w:before="122" w:line="240" w:lineRule="auto"/>
      <w:ind w:left="1985" w:hanging="851"/>
    </w:pPr>
    <w:rPr>
      <w:sz w:val="18"/>
    </w:rPr>
  </w:style>
  <w:style w:type="paragraph" w:customStyle="1" w:styleId="FreeForm">
    <w:name w:val="FreeForm"/>
    <w:rsid w:val="00016BFF"/>
    <w:rPr>
      <w:rFonts w:ascii="Arial" w:hAnsi="Arial"/>
      <w:sz w:val="22"/>
    </w:rPr>
  </w:style>
  <w:style w:type="paragraph" w:customStyle="1" w:styleId="SOText">
    <w:name w:val="SO Text"/>
    <w:aliases w:val="sot"/>
    <w:link w:val="SOTextChar"/>
    <w:rsid w:val="00016B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6BFF"/>
    <w:rPr>
      <w:sz w:val="22"/>
    </w:rPr>
  </w:style>
  <w:style w:type="paragraph" w:customStyle="1" w:styleId="SOTextNote">
    <w:name w:val="SO TextNote"/>
    <w:aliases w:val="sont"/>
    <w:basedOn w:val="SOText"/>
    <w:qFormat/>
    <w:rsid w:val="00016BFF"/>
    <w:pPr>
      <w:spacing w:before="122" w:line="198" w:lineRule="exact"/>
      <w:ind w:left="1843" w:hanging="709"/>
    </w:pPr>
    <w:rPr>
      <w:sz w:val="18"/>
    </w:rPr>
  </w:style>
  <w:style w:type="paragraph" w:customStyle="1" w:styleId="SOPara">
    <w:name w:val="SO Para"/>
    <w:aliases w:val="soa"/>
    <w:basedOn w:val="SOText"/>
    <w:link w:val="SOParaChar"/>
    <w:qFormat/>
    <w:rsid w:val="00016BFF"/>
    <w:pPr>
      <w:tabs>
        <w:tab w:val="right" w:pos="1786"/>
      </w:tabs>
      <w:spacing w:before="40"/>
      <w:ind w:left="2070" w:hanging="936"/>
    </w:pPr>
  </w:style>
  <w:style w:type="character" w:customStyle="1" w:styleId="SOParaChar">
    <w:name w:val="SO Para Char"/>
    <w:aliases w:val="soa Char"/>
    <w:basedOn w:val="DefaultParagraphFont"/>
    <w:link w:val="SOPara"/>
    <w:rsid w:val="00016BFF"/>
    <w:rPr>
      <w:sz w:val="22"/>
    </w:rPr>
  </w:style>
  <w:style w:type="paragraph" w:customStyle="1" w:styleId="FileName">
    <w:name w:val="FileName"/>
    <w:basedOn w:val="Normal"/>
    <w:rsid w:val="00016BFF"/>
  </w:style>
  <w:style w:type="paragraph" w:customStyle="1" w:styleId="SOHeadBold">
    <w:name w:val="SO HeadBold"/>
    <w:aliases w:val="sohb"/>
    <w:basedOn w:val="SOText"/>
    <w:next w:val="SOText"/>
    <w:link w:val="SOHeadBoldChar"/>
    <w:qFormat/>
    <w:rsid w:val="00016BFF"/>
    <w:rPr>
      <w:b/>
    </w:rPr>
  </w:style>
  <w:style w:type="character" w:customStyle="1" w:styleId="SOHeadBoldChar">
    <w:name w:val="SO HeadBold Char"/>
    <w:aliases w:val="sohb Char"/>
    <w:basedOn w:val="DefaultParagraphFont"/>
    <w:link w:val="SOHeadBold"/>
    <w:rsid w:val="00016BFF"/>
    <w:rPr>
      <w:b/>
      <w:sz w:val="22"/>
    </w:rPr>
  </w:style>
  <w:style w:type="paragraph" w:customStyle="1" w:styleId="SOHeadItalic">
    <w:name w:val="SO HeadItalic"/>
    <w:aliases w:val="sohi"/>
    <w:basedOn w:val="SOText"/>
    <w:next w:val="SOText"/>
    <w:link w:val="SOHeadItalicChar"/>
    <w:qFormat/>
    <w:rsid w:val="00016BFF"/>
    <w:rPr>
      <w:i/>
    </w:rPr>
  </w:style>
  <w:style w:type="character" w:customStyle="1" w:styleId="SOHeadItalicChar">
    <w:name w:val="SO HeadItalic Char"/>
    <w:aliases w:val="sohi Char"/>
    <w:basedOn w:val="DefaultParagraphFont"/>
    <w:link w:val="SOHeadItalic"/>
    <w:rsid w:val="00016BFF"/>
    <w:rPr>
      <w:i/>
      <w:sz w:val="22"/>
    </w:rPr>
  </w:style>
  <w:style w:type="paragraph" w:customStyle="1" w:styleId="SOBullet">
    <w:name w:val="SO Bullet"/>
    <w:aliases w:val="sotb"/>
    <w:basedOn w:val="SOText"/>
    <w:link w:val="SOBulletChar"/>
    <w:qFormat/>
    <w:rsid w:val="00016BFF"/>
    <w:pPr>
      <w:ind w:left="1559" w:hanging="425"/>
    </w:pPr>
  </w:style>
  <w:style w:type="character" w:customStyle="1" w:styleId="SOBulletChar">
    <w:name w:val="SO Bullet Char"/>
    <w:aliases w:val="sotb Char"/>
    <w:basedOn w:val="DefaultParagraphFont"/>
    <w:link w:val="SOBullet"/>
    <w:rsid w:val="00016BFF"/>
    <w:rPr>
      <w:sz w:val="22"/>
    </w:rPr>
  </w:style>
  <w:style w:type="paragraph" w:customStyle="1" w:styleId="SOBulletNote">
    <w:name w:val="SO BulletNote"/>
    <w:aliases w:val="sonb"/>
    <w:basedOn w:val="SOTextNote"/>
    <w:link w:val="SOBulletNoteChar"/>
    <w:qFormat/>
    <w:rsid w:val="00016BFF"/>
    <w:pPr>
      <w:tabs>
        <w:tab w:val="left" w:pos="1560"/>
      </w:tabs>
      <w:ind w:left="2268" w:hanging="1134"/>
    </w:pPr>
  </w:style>
  <w:style w:type="character" w:customStyle="1" w:styleId="SOBulletNoteChar">
    <w:name w:val="SO BulletNote Char"/>
    <w:aliases w:val="sonb Char"/>
    <w:basedOn w:val="DefaultParagraphFont"/>
    <w:link w:val="SOBulletNote"/>
    <w:rsid w:val="00016BFF"/>
    <w:rPr>
      <w:sz w:val="18"/>
    </w:rPr>
  </w:style>
  <w:style w:type="paragraph" w:customStyle="1" w:styleId="SOText2">
    <w:name w:val="SO Text2"/>
    <w:aliases w:val="sot2"/>
    <w:basedOn w:val="Normal"/>
    <w:next w:val="SOText"/>
    <w:link w:val="SOText2Char"/>
    <w:rsid w:val="00016B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6BFF"/>
    <w:rPr>
      <w:sz w:val="22"/>
    </w:rPr>
  </w:style>
  <w:style w:type="paragraph" w:customStyle="1" w:styleId="Transitional">
    <w:name w:val="Transitional"/>
    <w:aliases w:val="tr"/>
    <w:basedOn w:val="ItemHead"/>
    <w:next w:val="Item"/>
    <w:rsid w:val="00016BFF"/>
  </w:style>
  <w:style w:type="character" w:customStyle="1" w:styleId="subsectionChar">
    <w:name w:val="subsection Char"/>
    <w:aliases w:val="ss Char"/>
    <w:basedOn w:val="DefaultParagraphFont"/>
    <w:link w:val="subsection"/>
    <w:locked/>
    <w:rsid w:val="007B1A2C"/>
    <w:rPr>
      <w:rFonts w:eastAsia="Times New Roman" w:cs="Times New Roman"/>
      <w:sz w:val="22"/>
      <w:lang w:eastAsia="en-AU"/>
    </w:rPr>
  </w:style>
  <w:style w:type="character" w:customStyle="1" w:styleId="notetextChar">
    <w:name w:val="note(text) Char"/>
    <w:aliases w:val="n Char"/>
    <w:basedOn w:val="DefaultParagraphFont"/>
    <w:link w:val="notetext"/>
    <w:rsid w:val="007B1A2C"/>
    <w:rPr>
      <w:rFonts w:eastAsia="Times New Roman" w:cs="Times New Roman"/>
      <w:sz w:val="18"/>
      <w:lang w:eastAsia="en-AU"/>
    </w:rPr>
  </w:style>
  <w:style w:type="character" w:customStyle="1" w:styleId="Heading1Char">
    <w:name w:val="Heading 1 Char"/>
    <w:basedOn w:val="DefaultParagraphFont"/>
    <w:link w:val="Heading1"/>
    <w:uiPriority w:val="9"/>
    <w:rsid w:val="007B1A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B1A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1A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B1A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B1A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B1A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B1A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B1A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B1A2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F46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643"/>
    <w:rPr>
      <w:rFonts w:ascii="Tahoma" w:hAnsi="Tahoma" w:cs="Tahoma"/>
      <w:sz w:val="16"/>
      <w:szCs w:val="16"/>
    </w:rPr>
  </w:style>
  <w:style w:type="character" w:styleId="Hyperlink">
    <w:name w:val="Hyperlink"/>
    <w:basedOn w:val="DefaultParagraphFont"/>
    <w:uiPriority w:val="99"/>
    <w:semiHidden/>
    <w:unhideWhenUsed/>
    <w:rsid w:val="00491B56"/>
    <w:rPr>
      <w:color w:val="0000FF" w:themeColor="hyperlink"/>
      <w:u w:val="single"/>
    </w:rPr>
  </w:style>
  <w:style w:type="character" w:styleId="FollowedHyperlink">
    <w:name w:val="FollowedHyperlink"/>
    <w:basedOn w:val="DefaultParagraphFont"/>
    <w:uiPriority w:val="99"/>
    <w:semiHidden/>
    <w:unhideWhenUsed/>
    <w:rsid w:val="00491B56"/>
    <w:rPr>
      <w:color w:val="0000FF" w:themeColor="hyperlink"/>
      <w:u w:val="single"/>
    </w:rPr>
  </w:style>
  <w:style w:type="paragraph" w:customStyle="1" w:styleId="ShortTP1">
    <w:name w:val="ShortTP1"/>
    <w:basedOn w:val="ShortT"/>
    <w:link w:val="ShortTP1Char"/>
    <w:rsid w:val="00253A3F"/>
    <w:pPr>
      <w:spacing w:before="800"/>
    </w:pPr>
  </w:style>
  <w:style w:type="character" w:customStyle="1" w:styleId="ShortTP1Char">
    <w:name w:val="ShortTP1 Char"/>
    <w:basedOn w:val="DefaultParagraphFont"/>
    <w:link w:val="ShortTP1"/>
    <w:rsid w:val="00253A3F"/>
    <w:rPr>
      <w:rFonts w:eastAsia="Times New Roman" w:cs="Times New Roman"/>
      <w:b/>
      <w:sz w:val="40"/>
      <w:lang w:eastAsia="en-AU"/>
    </w:rPr>
  </w:style>
  <w:style w:type="paragraph" w:customStyle="1" w:styleId="ActNoP1">
    <w:name w:val="ActNoP1"/>
    <w:basedOn w:val="Actno"/>
    <w:link w:val="ActNoP1Char"/>
    <w:rsid w:val="00253A3F"/>
    <w:pPr>
      <w:spacing w:before="800"/>
    </w:pPr>
    <w:rPr>
      <w:sz w:val="28"/>
    </w:rPr>
  </w:style>
  <w:style w:type="character" w:customStyle="1" w:styleId="ActNoP1Char">
    <w:name w:val="ActNoP1 Char"/>
    <w:basedOn w:val="DefaultParagraphFont"/>
    <w:link w:val="ActNoP1"/>
    <w:rsid w:val="00253A3F"/>
    <w:rPr>
      <w:rFonts w:eastAsia="Times New Roman" w:cs="Times New Roman"/>
      <w:b/>
      <w:sz w:val="28"/>
      <w:lang w:eastAsia="en-AU"/>
    </w:rPr>
  </w:style>
  <w:style w:type="paragraph" w:customStyle="1" w:styleId="AssentBk">
    <w:name w:val="AssentBk"/>
    <w:basedOn w:val="Normal"/>
    <w:rsid w:val="00253A3F"/>
    <w:pPr>
      <w:spacing w:line="240" w:lineRule="auto"/>
    </w:pPr>
    <w:rPr>
      <w:rFonts w:eastAsia="Times New Roman" w:cs="Times New Roman"/>
      <w:sz w:val="20"/>
      <w:lang w:eastAsia="en-AU"/>
    </w:rPr>
  </w:style>
  <w:style w:type="paragraph" w:customStyle="1" w:styleId="AssentDt">
    <w:name w:val="AssentDt"/>
    <w:basedOn w:val="Normal"/>
    <w:rsid w:val="00556CAC"/>
    <w:pPr>
      <w:spacing w:line="240" w:lineRule="auto"/>
    </w:pPr>
    <w:rPr>
      <w:rFonts w:eastAsia="Times New Roman" w:cs="Times New Roman"/>
      <w:sz w:val="20"/>
      <w:lang w:eastAsia="en-AU"/>
    </w:rPr>
  </w:style>
  <w:style w:type="paragraph" w:customStyle="1" w:styleId="2ndRd">
    <w:name w:val="2ndRd"/>
    <w:basedOn w:val="Normal"/>
    <w:rsid w:val="00556CAC"/>
    <w:pPr>
      <w:spacing w:line="240" w:lineRule="auto"/>
    </w:pPr>
    <w:rPr>
      <w:rFonts w:eastAsia="Times New Roman" w:cs="Times New Roman"/>
      <w:sz w:val="20"/>
      <w:lang w:eastAsia="en-AU"/>
    </w:rPr>
  </w:style>
  <w:style w:type="paragraph" w:customStyle="1" w:styleId="ScalePlusRef">
    <w:name w:val="ScalePlusRef"/>
    <w:basedOn w:val="Normal"/>
    <w:rsid w:val="00556CA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5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6433-8917-47C7-A2A0-FEBE460E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2394</Words>
  <Characters>13648</Characters>
  <Application>Microsoft Office Word</Application>
  <DocSecurity>0</DocSecurity>
  <PresentationFormat/>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2020-10-16T05:45:00Z</cp:lastPrinted>
  <dcterms:created xsi:type="dcterms:W3CDTF">2021-09-12T21:20:00Z</dcterms:created>
  <dcterms:modified xsi:type="dcterms:W3CDTF">2021-09-12T21:20:00Z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Amendment (Territory Representation) Act 2020</vt:lpwstr>
  </property>
  <property fmtid="{D5CDD505-2E9C-101B-9397-08002B2CF9AE}" pid="3" name="ActNo">
    <vt:lpwstr>No. 127, 2020</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OPC7593</vt:lpwstr>
  </property>
  <property fmtid="{D5CDD505-2E9C-101B-9397-08002B2CF9AE}" pid="10" name="DoNotAsk">
    <vt:lpwstr>1</vt:lpwstr>
  </property>
  <property fmtid="{D5CDD505-2E9C-101B-9397-08002B2CF9AE}" pid="11" name="ChangedTitle">
    <vt:lpwstr>Electoral Amendment (Territory Representation) Bill 2020</vt:lpwstr>
  </property>
</Properties>
</file>