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B2" w:rsidRPr="00141674" w:rsidRDefault="008467D1" w:rsidP="00851F51">
      <w:pPr>
        <w:spacing w:after="80"/>
        <w:jc w:val="center"/>
        <w:rPr>
          <w:rFonts w:cs="Arial"/>
          <w:b/>
          <w:sz w:val="18"/>
          <w:szCs w:val="18"/>
        </w:rPr>
      </w:pPr>
      <w:r>
        <w:rPr>
          <w:noProof/>
          <w:lang w:eastAsia="en-AU"/>
        </w:rPr>
        <w:drawing>
          <wp:inline distT="0" distB="0" distL="0" distR="0" wp14:anchorId="30901C6C" wp14:editId="239F1AED">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rsidR="00A85D11" w:rsidRDefault="00A85D11" w:rsidP="00A85D11">
      <w:pPr>
        <w:rPr>
          <w:rFonts w:cs="Arial"/>
          <w:sz w:val="18"/>
          <w:szCs w:val="18"/>
        </w:rPr>
      </w:pPr>
      <w:r w:rsidRPr="00141674">
        <w:rPr>
          <w:rFonts w:cs="Arial"/>
          <w:sz w:val="18"/>
          <w:szCs w:val="18"/>
        </w:rPr>
        <w:t xml:space="preserve">The Commissioner of Taxation, </w:t>
      </w:r>
      <w:smartTag w:uri="urn:schemas:contacts" w:element="GivenName">
        <w:smartTag w:uri="urn:schemas-microsoft-com:office:smarttags" w:element="PersonName">
          <w:r>
            <w:rPr>
              <w:rFonts w:cs="Arial"/>
              <w:sz w:val="18"/>
              <w:szCs w:val="18"/>
            </w:rPr>
            <w:t>Chris</w:t>
          </w:r>
        </w:smartTag>
        <w:r>
          <w:rPr>
            <w:rFonts w:cs="Arial"/>
            <w:sz w:val="18"/>
            <w:szCs w:val="18"/>
          </w:rPr>
          <w:t xml:space="preserve"> </w:t>
        </w:r>
        <w:smartTag w:uri="urn:schemas-microsoft-com:office:smarttags" w:element="country-region">
          <w:smartTag w:uri="urn:schemas:contacts" w:element="Sn">
            <w:r>
              <w:rPr>
                <w:rFonts w:cs="Arial"/>
                <w:sz w:val="18"/>
                <w:szCs w:val="18"/>
              </w:rPr>
              <w:t>Jordan</w:t>
            </w:r>
          </w:smartTag>
        </w:smartTag>
      </w:smartTag>
      <w:r>
        <w:rPr>
          <w:rFonts w:cs="Arial"/>
          <w:sz w:val="18"/>
          <w:szCs w:val="18"/>
        </w:rPr>
        <w:t>,</w:t>
      </w:r>
      <w:r w:rsidRPr="00141674">
        <w:rPr>
          <w:rFonts w:cs="Arial"/>
          <w:sz w:val="18"/>
          <w:szCs w:val="18"/>
        </w:rPr>
        <w:t xml:space="preserve"> gives notice of the following Rulings, copies of which can be obtained from </w:t>
      </w:r>
      <w:hyperlink r:id="rId10" w:history="1">
        <w:r w:rsidR="004242FC" w:rsidRPr="004242FC">
          <w:rPr>
            <w:rStyle w:val="Hyperlink"/>
            <w:rFonts w:cs="Arial"/>
            <w:sz w:val="18"/>
            <w:szCs w:val="18"/>
          </w:rPr>
          <w:t>ato.gov.au/law</w:t>
        </w:r>
      </w:hyperlink>
      <w:r w:rsidR="002B282E">
        <w:rPr>
          <w:rFonts w:cs="Arial"/>
          <w:sz w:val="18"/>
          <w:szCs w:val="18"/>
        </w:rPr>
        <w:t>.</w:t>
      </w:r>
    </w:p>
    <w:tbl>
      <w:tblPr>
        <w:tblW w:w="9923" w:type="dxa"/>
        <w:tblLayout w:type="fixed"/>
        <w:tblLook w:val="0000" w:firstRow="0" w:lastRow="0" w:firstColumn="0" w:lastColumn="0" w:noHBand="0" w:noVBand="0"/>
      </w:tblPr>
      <w:tblGrid>
        <w:gridCol w:w="1984"/>
        <w:gridCol w:w="3686"/>
        <w:gridCol w:w="4253"/>
      </w:tblGrid>
      <w:tr w:rsidR="008D0A06" w:rsidRPr="00851F51" w:rsidTr="00DC47DA">
        <w:trPr>
          <w:cantSplit/>
          <w:trHeight w:val="72"/>
          <w:tblHeader/>
        </w:trPr>
        <w:tc>
          <w:tcPr>
            <w:tcW w:w="9923" w:type="dxa"/>
            <w:gridSpan w:val="3"/>
            <w:tcBorders>
              <w:top w:val="single" w:sz="6" w:space="0" w:color="auto"/>
              <w:left w:val="single" w:sz="6" w:space="0" w:color="auto"/>
              <w:bottom w:val="single" w:sz="6" w:space="0" w:color="auto"/>
              <w:right w:val="single" w:sz="6" w:space="0" w:color="auto"/>
            </w:tcBorders>
          </w:tcPr>
          <w:p w:rsidR="008D0A06" w:rsidRPr="00851F51" w:rsidRDefault="008D0A06" w:rsidP="00851F51">
            <w:pPr>
              <w:pStyle w:val="Heading3"/>
              <w:keepLines/>
              <w:spacing w:before="80" w:after="80"/>
              <w:jc w:val="center"/>
              <w:rPr>
                <w:sz w:val="20"/>
                <w:szCs w:val="20"/>
              </w:rPr>
            </w:pPr>
            <w:r w:rsidRPr="00851F51">
              <w:rPr>
                <w:sz w:val="20"/>
                <w:szCs w:val="20"/>
              </w:rPr>
              <w:t>NOTICE OF RULINGS</w:t>
            </w:r>
          </w:p>
        </w:tc>
      </w:tr>
      <w:tr w:rsidR="00114CB2" w:rsidRPr="00851F51"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vAlign w:val="center"/>
          </w:tcPr>
          <w:p w:rsidR="00114CB2" w:rsidRPr="00851F51" w:rsidRDefault="004242FC" w:rsidP="00851F51">
            <w:pPr>
              <w:pStyle w:val="Heading3"/>
              <w:keepLines/>
              <w:spacing w:before="80" w:after="80"/>
              <w:jc w:val="center"/>
              <w:rPr>
                <w:sz w:val="20"/>
                <w:szCs w:val="20"/>
              </w:rPr>
            </w:pPr>
            <w:r>
              <w:rPr>
                <w:sz w:val="20"/>
                <w:szCs w:val="20"/>
              </w:rPr>
              <w:t>Ruling n</w:t>
            </w:r>
            <w:r w:rsidR="00114CB2" w:rsidRPr="00851F51">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rsidR="00114CB2" w:rsidRPr="00851F51" w:rsidRDefault="00114CB2" w:rsidP="00851F51">
            <w:pPr>
              <w:pStyle w:val="Heading3"/>
              <w:keepLines/>
              <w:spacing w:before="80" w:after="80"/>
              <w:jc w:val="center"/>
              <w:rPr>
                <w:sz w:val="20"/>
                <w:szCs w:val="20"/>
              </w:rPr>
            </w:pPr>
            <w:r w:rsidRPr="00851F51">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rsidR="00114CB2" w:rsidRPr="00851F51" w:rsidRDefault="004242FC" w:rsidP="00851F51">
            <w:pPr>
              <w:pStyle w:val="Heading3"/>
              <w:keepLines/>
              <w:spacing w:before="80" w:after="80"/>
              <w:jc w:val="center"/>
              <w:rPr>
                <w:sz w:val="20"/>
                <w:szCs w:val="20"/>
              </w:rPr>
            </w:pPr>
            <w:r>
              <w:rPr>
                <w:sz w:val="20"/>
                <w:szCs w:val="20"/>
              </w:rPr>
              <w:t>Brief d</w:t>
            </w:r>
            <w:r w:rsidR="00114CB2" w:rsidRPr="00851F51">
              <w:rPr>
                <w:sz w:val="20"/>
                <w:szCs w:val="20"/>
              </w:rPr>
              <w:t>escription</w:t>
            </w:r>
          </w:p>
        </w:tc>
      </w:tr>
      <w:tr w:rsidR="00F278A7" w:rsidRPr="002F3FFB"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F278A7" w:rsidRDefault="000F6740" w:rsidP="00B6495D">
            <w:pPr>
              <w:pStyle w:val="Header"/>
              <w:spacing w:before="40" w:after="40"/>
              <w:rPr>
                <w:rFonts w:cs="Arial"/>
                <w:sz w:val="20"/>
                <w:szCs w:val="20"/>
              </w:rPr>
            </w:pPr>
            <w:r>
              <w:rPr>
                <w:rFonts w:cs="Arial"/>
                <w:sz w:val="20"/>
                <w:szCs w:val="20"/>
              </w:rPr>
              <w:t>CR 2020/1</w:t>
            </w:r>
          </w:p>
        </w:tc>
        <w:tc>
          <w:tcPr>
            <w:tcW w:w="3686" w:type="dxa"/>
            <w:tcBorders>
              <w:top w:val="single" w:sz="6" w:space="0" w:color="auto"/>
              <w:left w:val="single" w:sz="6" w:space="0" w:color="auto"/>
              <w:bottom w:val="single" w:sz="6" w:space="0" w:color="auto"/>
              <w:right w:val="single" w:sz="6" w:space="0" w:color="auto"/>
            </w:tcBorders>
          </w:tcPr>
          <w:p w:rsidR="00F278A7" w:rsidRPr="000F6740" w:rsidRDefault="000F6740" w:rsidP="000F6740">
            <w:pPr>
              <w:pStyle w:val="Header"/>
              <w:rPr>
                <w:sz w:val="20"/>
                <w:szCs w:val="20"/>
              </w:rPr>
            </w:pPr>
            <w:r w:rsidRPr="000F6740">
              <w:rPr>
                <w:sz w:val="20"/>
                <w:szCs w:val="20"/>
              </w:rPr>
              <w:t>ERM Power Limited – Scheme of Arrangement and payment of Ordinary Dividend and Special Dividend</w:t>
            </w:r>
          </w:p>
        </w:tc>
        <w:tc>
          <w:tcPr>
            <w:tcW w:w="4253" w:type="dxa"/>
            <w:tcBorders>
              <w:top w:val="single" w:sz="6" w:space="0" w:color="auto"/>
              <w:left w:val="single" w:sz="6" w:space="0" w:color="auto"/>
              <w:bottom w:val="single" w:sz="6" w:space="0" w:color="auto"/>
              <w:right w:val="single" w:sz="6" w:space="0" w:color="auto"/>
            </w:tcBorders>
          </w:tcPr>
          <w:p w:rsidR="00F278A7" w:rsidRDefault="000F6740" w:rsidP="00084784">
            <w:pPr>
              <w:spacing w:before="40" w:after="40"/>
              <w:rPr>
                <w:rFonts w:cs="Arial"/>
                <w:sz w:val="20"/>
                <w:szCs w:val="20"/>
              </w:rPr>
            </w:pPr>
            <w:r>
              <w:rPr>
                <w:rFonts w:cs="Arial"/>
                <w:sz w:val="20"/>
                <w:szCs w:val="20"/>
              </w:rPr>
              <w:t xml:space="preserve">The Ruling sets out the tax </w:t>
            </w:r>
            <w:r w:rsidR="00464B58">
              <w:rPr>
                <w:rFonts w:cs="Arial"/>
                <w:sz w:val="20"/>
                <w:szCs w:val="20"/>
              </w:rPr>
              <w:t xml:space="preserve">consequences of the ordinary and special dividends paid </w:t>
            </w:r>
            <w:r w:rsidR="00F30B02">
              <w:rPr>
                <w:rFonts w:cs="Arial"/>
                <w:sz w:val="20"/>
                <w:szCs w:val="20"/>
              </w:rPr>
              <w:t>by ERM Power Limited on 9 October 2019 and 25 November 2019 respectively and the scheme of arrangement implemented by ERM Power Limited on 29 November 2019</w:t>
            </w:r>
            <w:r w:rsidR="00464B58">
              <w:rPr>
                <w:rFonts w:cs="Arial"/>
                <w:sz w:val="20"/>
                <w:szCs w:val="20"/>
              </w:rPr>
              <w:t>.</w:t>
            </w:r>
          </w:p>
          <w:p w:rsidR="000774A7" w:rsidRPr="00851F51" w:rsidRDefault="000774A7" w:rsidP="00B71E12">
            <w:pPr>
              <w:spacing w:before="40" w:after="40"/>
              <w:rPr>
                <w:rFonts w:cs="Arial"/>
                <w:sz w:val="20"/>
                <w:szCs w:val="20"/>
              </w:rPr>
            </w:pPr>
            <w:r>
              <w:rPr>
                <w:rFonts w:cs="Arial"/>
                <w:sz w:val="20"/>
                <w:szCs w:val="20"/>
              </w:rPr>
              <w:t>The Ruling applies from 1 July 2019 to 30</w:t>
            </w:r>
            <w:r w:rsidR="00B71E12">
              <w:rPr>
                <w:rFonts w:cs="Arial"/>
                <w:sz w:val="20"/>
                <w:szCs w:val="20"/>
              </w:rPr>
              <w:t xml:space="preserve"> </w:t>
            </w:r>
            <w:r>
              <w:rPr>
                <w:rFonts w:cs="Arial"/>
                <w:sz w:val="20"/>
                <w:szCs w:val="20"/>
              </w:rPr>
              <w:t>June 2020.</w:t>
            </w:r>
          </w:p>
        </w:tc>
      </w:tr>
      <w:tr w:rsidR="00F278A7" w:rsidRPr="002F3FFB"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F278A7" w:rsidRDefault="000F6740" w:rsidP="00F278A7">
            <w:pPr>
              <w:pStyle w:val="Header"/>
              <w:spacing w:before="40" w:after="40"/>
              <w:rPr>
                <w:rFonts w:cs="Arial"/>
                <w:sz w:val="20"/>
                <w:szCs w:val="20"/>
              </w:rPr>
            </w:pPr>
            <w:r>
              <w:rPr>
                <w:rFonts w:cs="Arial"/>
                <w:sz w:val="20"/>
                <w:szCs w:val="20"/>
              </w:rPr>
              <w:t>CR 2020/2</w:t>
            </w:r>
          </w:p>
        </w:tc>
        <w:tc>
          <w:tcPr>
            <w:tcW w:w="3686" w:type="dxa"/>
            <w:tcBorders>
              <w:top w:val="single" w:sz="6" w:space="0" w:color="auto"/>
              <w:left w:val="single" w:sz="6" w:space="0" w:color="auto"/>
              <w:bottom w:val="single" w:sz="6" w:space="0" w:color="auto"/>
              <w:right w:val="single" w:sz="6" w:space="0" w:color="auto"/>
            </w:tcBorders>
          </w:tcPr>
          <w:p w:rsidR="00F278A7" w:rsidRPr="00464B58" w:rsidRDefault="00464B58" w:rsidP="003D220D">
            <w:pPr>
              <w:pStyle w:val="Header"/>
              <w:rPr>
                <w:sz w:val="20"/>
                <w:szCs w:val="20"/>
              </w:rPr>
            </w:pPr>
            <w:r w:rsidRPr="00464B58">
              <w:rPr>
                <w:sz w:val="20"/>
                <w:szCs w:val="20"/>
              </w:rPr>
              <w:t>Qantas Airways Limited – off</w:t>
            </w:r>
            <w:r w:rsidRPr="00464B58">
              <w:rPr>
                <w:sz w:val="20"/>
                <w:szCs w:val="20"/>
              </w:rPr>
              <w:noBreakHyphen/>
              <w:t>market share buy</w:t>
            </w:r>
            <w:r w:rsidR="003D220D">
              <w:rPr>
                <w:sz w:val="20"/>
                <w:szCs w:val="20"/>
              </w:rPr>
              <w:t>-</w:t>
            </w:r>
            <w:r w:rsidRPr="00464B58">
              <w:rPr>
                <w:sz w:val="20"/>
                <w:szCs w:val="20"/>
              </w:rPr>
              <w:t>back</w:t>
            </w:r>
          </w:p>
        </w:tc>
        <w:tc>
          <w:tcPr>
            <w:tcW w:w="4253" w:type="dxa"/>
            <w:tcBorders>
              <w:top w:val="single" w:sz="6" w:space="0" w:color="auto"/>
              <w:left w:val="single" w:sz="6" w:space="0" w:color="auto"/>
              <w:bottom w:val="single" w:sz="6" w:space="0" w:color="auto"/>
              <w:right w:val="single" w:sz="6" w:space="0" w:color="auto"/>
            </w:tcBorders>
          </w:tcPr>
          <w:p w:rsidR="00F278A7" w:rsidRDefault="00464B58" w:rsidP="009641EC">
            <w:pPr>
              <w:spacing w:before="40" w:after="40"/>
              <w:rPr>
                <w:rFonts w:cs="Arial"/>
                <w:sz w:val="20"/>
                <w:szCs w:val="20"/>
              </w:rPr>
            </w:pPr>
            <w:r>
              <w:rPr>
                <w:rFonts w:cs="Arial"/>
                <w:sz w:val="20"/>
                <w:szCs w:val="20"/>
              </w:rPr>
              <w:t xml:space="preserve">The Ruling sets out the income tax consequences of the off-market buy-back of ordinary shares </w:t>
            </w:r>
            <w:r w:rsidR="00F30B02">
              <w:rPr>
                <w:rFonts w:cs="Arial"/>
                <w:sz w:val="20"/>
                <w:szCs w:val="20"/>
              </w:rPr>
              <w:t xml:space="preserve">of Qantas Airways Limited </w:t>
            </w:r>
            <w:r>
              <w:rPr>
                <w:rFonts w:cs="Arial"/>
                <w:sz w:val="20"/>
                <w:szCs w:val="20"/>
              </w:rPr>
              <w:t>on 4</w:t>
            </w:r>
            <w:r w:rsidR="00B71E12">
              <w:rPr>
                <w:rFonts w:cs="Arial"/>
                <w:sz w:val="20"/>
                <w:szCs w:val="20"/>
              </w:rPr>
              <w:t xml:space="preserve"> </w:t>
            </w:r>
            <w:r>
              <w:rPr>
                <w:rFonts w:cs="Arial"/>
                <w:sz w:val="20"/>
                <w:szCs w:val="20"/>
              </w:rPr>
              <w:t>November 2019.</w:t>
            </w:r>
          </w:p>
          <w:p w:rsidR="000774A7" w:rsidRDefault="000774A7" w:rsidP="00B71E12">
            <w:pPr>
              <w:spacing w:before="40" w:after="40"/>
              <w:rPr>
                <w:rFonts w:cs="Arial"/>
                <w:sz w:val="20"/>
                <w:szCs w:val="20"/>
              </w:rPr>
            </w:pPr>
            <w:r>
              <w:rPr>
                <w:rFonts w:cs="Arial"/>
                <w:sz w:val="20"/>
                <w:szCs w:val="20"/>
              </w:rPr>
              <w:t>The Ruling applies from 1 July 2019 to 30</w:t>
            </w:r>
            <w:r w:rsidR="00B71E12">
              <w:rPr>
                <w:rFonts w:cs="Arial"/>
                <w:sz w:val="20"/>
                <w:szCs w:val="20"/>
              </w:rPr>
              <w:t xml:space="preserve"> </w:t>
            </w:r>
            <w:r>
              <w:rPr>
                <w:rFonts w:cs="Arial"/>
                <w:sz w:val="20"/>
                <w:szCs w:val="20"/>
              </w:rPr>
              <w:t>June 2020.</w:t>
            </w:r>
          </w:p>
        </w:tc>
      </w:tr>
      <w:tr w:rsidR="00F278A7" w:rsidRPr="002F3FFB"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F278A7" w:rsidRDefault="000F6740" w:rsidP="00F278A7">
            <w:pPr>
              <w:pStyle w:val="Header"/>
              <w:spacing w:before="40" w:after="40"/>
              <w:rPr>
                <w:rFonts w:cs="Arial"/>
                <w:sz w:val="20"/>
                <w:szCs w:val="20"/>
              </w:rPr>
            </w:pPr>
            <w:r>
              <w:rPr>
                <w:rFonts w:cs="Arial"/>
                <w:sz w:val="20"/>
                <w:szCs w:val="20"/>
              </w:rPr>
              <w:t>CR 2020/3</w:t>
            </w:r>
          </w:p>
        </w:tc>
        <w:tc>
          <w:tcPr>
            <w:tcW w:w="3686" w:type="dxa"/>
            <w:tcBorders>
              <w:top w:val="single" w:sz="6" w:space="0" w:color="auto"/>
              <w:left w:val="single" w:sz="6" w:space="0" w:color="auto"/>
              <w:bottom w:val="single" w:sz="6" w:space="0" w:color="auto"/>
              <w:right w:val="single" w:sz="6" w:space="0" w:color="auto"/>
            </w:tcBorders>
          </w:tcPr>
          <w:p w:rsidR="00F278A7" w:rsidRPr="00464B58" w:rsidRDefault="00464B58" w:rsidP="00464B58">
            <w:pPr>
              <w:pStyle w:val="Header"/>
              <w:rPr>
                <w:sz w:val="20"/>
                <w:szCs w:val="20"/>
              </w:rPr>
            </w:pPr>
            <w:r w:rsidRPr="00464B58">
              <w:rPr>
                <w:sz w:val="20"/>
                <w:szCs w:val="20"/>
              </w:rPr>
              <w:t>Bellamy’s Australia Limited – Scheme of Arrangement and Special Dividend</w:t>
            </w:r>
          </w:p>
        </w:tc>
        <w:tc>
          <w:tcPr>
            <w:tcW w:w="4253" w:type="dxa"/>
            <w:tcBorders>
              <w:top w:val="single" w:sz="6" w:space="0" w:color="auto"/>
              <w:left w:val="single" w:sz="6" w:space="0" w:color="auto"/>
              <w:bottom w:val="single" w:sz="6" w:space="0" w:color="auto"/>
              <w:right w:val="single" w:sz="6" w:space="0" w:color="auto"/>
            </w:tcBorders>
          </w:tcPr>
          <w:p w:rsidR="00F278A7" w:rsidRDefault="00464B58" w:rsidP="00464B58">
            <w:pPr>
              <w:spacing w:before="40" w:after="40"/>
              <w:rPr>
                <w:rFonts w:cs="Arial"/>
                <w:sz w:val="20"/>
                <w:szCs w:val="20"/>
              </w:rPr>
            </w:pPr>
            <w:r>
              <w:rPr>
                <w:rFonts w:cs="Arial"/>
                <w:sz w:val="20"/>
                <w:szCs w:val="20"/>
              </w:rPr>
              <w:t xml:space="preserve">The Ruling sets out the tax consequences </w:t>
            </w:r>
            <w:r w:rsidR="00F30B02">
              <w:rPr>
                <w:rFonts w:cs="Arial"/>
                <w:sz w:val="20"/>
                <w:szCs w:val="20"/>
              </w:rPr>
              <w:t>of</w:t>
            </w:r>
            <w:r>
              <w:rPr>
                <w:rFonts w:cs="Arial"/>
                <w:sz w:val="20"/>
                <w:szCs w:val="20"/>
              </w:rPr>
              <w:t xml:space="preserve"> the scheme of arrangement </w:t>
            </w:r>
            <w:r w:rsidR="00F30B02">
              <w:rPr>
                <w:rFonts w:cs="Arial"/>
                <w:sz w:val="20"/>
                <w:szCs w:val="20"/>
              </w:rPr>
              <w:t>announced by Bellamy’s Australia Limited</w:t>
            </w:r>
            <w:r w:rsidR="00355F45">
              <w:rPr>
                <w:rFonts w:cs="Arial"/>
                <w:sz w:val="20"/>
                <w:szCs w:val="20"/>
              </w:rPr>
              <w:t xml:space="preserve"> on 16</w:t>
            </w:r>
            <w:r w:rsidR="00B71E12">
              <w:rPr>
                <w:rFonts w:cs="Arial"/>
                <w:sz w:val="20"/>
                <w:szCs w:val="20"/>
              </w:rPr>
              <w:t xml:space="preserve"> </w:t>
            </w:r>
            <w:r w:rsidR="00355F45">
              <w:rPr>
                <w:rFonts w:cs="Arial"/>
                <w:sz w:val="20"/>
                <w:szCs w:val="20"/>
              </w:rPr>
              <w:t>September</w:t>
            </w:r>
            <w:r w:rsidR="00B71E12">
              <w:rPr>
                <w:rFonts w:cs="Arial"/>
                <w:sz w:val="20"/>
                <w:szCs w:val="20"/>
              </w:rPr>
              <w:t xml:space="preserve"> </w:t>
            </w:r>
            <w:r>
              <w:rPr>
                <w:rFonts w:cs="Arial"/>
                <w:sz w:val="20"/>
                <w:szCs w:val="20"/>
              </w:rPr>
              <w:t>2019</w:t>
            </w:r>
            <w:r w:rsidR="003D220D">
              <w:rPr>
                <w:rFonts w:cs="Arial"/>
                <w:sz w:val="20"/>
                <w:szCs w:val="20"/>
              </w:rPr>
              <w:t xml:space="preserve"> and the special dividend paid </w:t>
            </w:r>
            <w:r w:rsidR="00355F45">
              <w:rPr>
                <w:rFonts w:cs="Arial"/>
                <w:sz w:val="20"/>
                <w:szCs w:val="20"/>
              </w:rPr>
              <w:t xml:space="preserve">on 23 </w:t>
            </w:r>
            <w:r w:rsidR="003D220D">
              <w:rPr>
                <w:rFonts w:cs="Arial"/>
                <w:sz w:val="20"/>
                <w:szCs w:val="20"/>
              </w:rPr>
              <w:t>December 2019</w:t>
            </w:r>
            <w:r>
              <w:rPr>
                <w:rFonts w:cs="Arial"/>
                <w:sz w:val="20"/>
                <w:szCs w:val="20"/>
              </w:rPr>
              <w:t>.</w:t>
            </w:r>
          </w:p>
          <w:p w:rsidR="000774A7" w:rsidRDefault="000774A7" w:rsidP="00B71E12">
            <w:pPr>
              <w:spacing w:before="40" w:after="40"/>
              <w:rPr>
                <w:rFonts w:cs="Arial"/>
                <w:sz w:val="20"/>
                <w:szCs w:val="20"/>
              </w:rPr>
            </w:pPr>
            <w:r>
              <w:rPr>
                <w:rFonts w:cs="Arial"/>
                <w:sz w:val="20"/>
                <w:szCs w:val="20"/>
              </w:rPr>
              <w:t>The Ruling applies from 1 July 2019 to 30</w:t>
            </w:r>
            <w:r w:rsidR="00B71E12">
              <w:rPr>
                <w:rFonts w:cs="Arial"/>
                <w:sz w:val="20"/>
                <w:szCs w:val="20"/>
              </w:rPr>
              <w:t xml:space="preserve"> </w:t>
            </w:r>
            <w:r>
              <w:rPr>
                <w:rFonts w:cs="Arial"/>
                <w:sz w:val="20"/>
                <w:szCs w:val="20"/>
              </w:rPr>
              <w:t>June 2020.</w:t>
            </w:r>
          </w:p>
        </w:tc>
      </w:tr>
      <w:tr w:rsidR="00F278A7" w:rsidRPr="002F3FFB"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F278A7" w:rsidRDefault="000F6740" w:rsidP="00F278A7">
            <w:pPr>
              <w:pStyle w:val="Header"/>
              <w:spacing w:before="40" w:after="40"/>
              <w:rPr>
                <w:rFonts w:cs="Arial"/>
                <w:sz w:val="20"/>
                <w:szCs w:val="20"/>
              </w:rPr>
            </w:pPr>
            <w:r>
              <w:rPr>
                <w:rFonts w:cs="Arial"/>
                <w:sz w:val="20"/>
                <w:szCs w:val="20"/>
              </w:rPr>
              <w:t>CR 2020/4</w:t>
            </w:r>
          </w:p>
        </w:tc>
        <w:tc>
          <w:tcPr>
            <w:tcW w:w="3686" w:type="dxa"/>
            <w:tcBorders>
              <w:top w:val="single" w:sz="6" w:space="0" w:color="auto"/>
              <w:left w:val="single" w:sz="6" w:space="0" w:color="auto"/>
              <w:bottom w:val="single" w:sz="6" w:space="0" w:color="auto"/>
              <w:right w:val="single" w:sz="6" w:space="0" w:color="auto"/>
            </w:tcBorders>
          </w:tcPr>
          <w:p w:rsidR="00F278A7" w:rsidRPr="00464B58" w:rsidRDefault="00464B58" w:rsidP="00464B58">
            <w:pPr>
              <w:pStyle w:val="Header"/>
              <w:rPr>
                <w:sz w:val="20"/>
                <w:szCs w:val="20"/>
              </w:rPr>
            </w:pPr>
            <w:r w:rsidRPr="00464B58">
              <w:rPr>
                <w:sz w:val="20"/>
                <w:szCs w:val="20"/>
              </w:rPr>
              <w:t xml:space="preserve">IFM Australian infrastructure wholesale funds </w:t>
            </w:r>
            <w:r w:rsidRPr="00464B58">
              <w:rPr>
                <w:color w:val="000000"/>
                <w:sz w:val="20"/>
                <w:szCs w:val="20"/>
              </w:rPr>
              <w:t xml:space="preserve">– </w:t>
            </w:r>
            <w:r w:rsidRPr="00464B58">
              <w:rPr>
                <w:sz w:val="20"/>
                <w:szCs w:val="20"/>
              </w:rPr>
              <w:t>capital reallocation</w:t>
            </w:r>
          </w:p>
        </w:tc>
        <w:tc>
          <w:tcPr>
            <w:tcW w:w="4253" w:type="dxa"/>
            <w:tcBorders>
              <w:top w:val="single" w:sz="6" w:space="0" w:color="auto"/>
              <w:left w:val="single" w:sz="6" w:space="0" w:color="auto"/>
              <w:bottom w:val="single" w:sz="6" w:space="0" w:color="auto"/>
              <w:right w:val="single" w:sz="6" w:space="0" w:color="auto"/>
            </w:tcBorders>
          </w:tcPr>
          <w:p w:rsidR="00F278A7" w:rsidRDefault="00464B58" w:rsidP="00464B58">
            <w:pPr>
              <w:spacing w:before="40" w:after="40"/>
              <w:rPr>
                <w:rFonts w:cs="Arial"/>
                <w:sz w:val="20"/>
                <w:szCs w:val="20"/>
              </w:rPr>
            </w:pPr>
            <w:r>
              <w:rPr>
                <w:rFonts w:cs="Arial"/>
                <w:sz w:val="20"/>
                <w:szCs w:val="20"/>
              </w:rPr>
              <w:t xml:space="preserve">The Ruling sets out the tax consequences </w:t>
            </w:r>
            <w:r w:rsidR="00F30B02">
              <w:rPr>
                <w:rFonts w:cs="Arial"/>
                <w:sz w:val="20"/>
                <w:szCs w:val="20"/>
              </w:rPr>
              <w:t>of a</w:t>
            </w:r>
            <w:r>
              <w:rPr>
                <w:rFonts w:cs="Arial"/>
                <w:sz w:val="20"/>
                <w:szCs w:val="20"/>
              </w:rPr>
              <w:t xml:space="preserve"> capital reallocation</w:t>
            </w:r>
            <w:r w:rsidR="00F30B02">
              <w:rPr>
                <w:rFonts w:cs="Arial"/>
                <w:sz w:val="20"/>
                <w:szCs w:val="20"/>
              </w:rPr>
              <w:t xml:space="preserve"> by IFM Fiduciary Pty Ltd</w:t>
            </w:r>
            <w:r>
              <w:rPr>
                <w:rFonts w:cs="Arial"/>
                <w:sz w:val="20"/>
                <w:szCs w:val="20"/>
              </w:rPr>
              <w:t>.</w:t>
            </w:r>
          </w:p>
          <w:p w:rsidR="000774A7" w:rsidRDefault="000774A7" w:rsidP="00B71E12">
            <w:pPr>
              <w:spacing w:before="40" w:after="40"/>
              <w:rPr>
                <w:rFonts w:cs="Arial"/>
                <w:sz w:val="20"/>
                <w:szCs w:val="20"/>
              </w:rPr>
            </w:pPr>
            <w:r>
              <w:rPr>
                <w:rFonts w:cs="Arial"/>
                <w:sz w:val="20"/>
                <w:szCs w:val="20"/>
              </w:rPr>
              <w:t>The Ruling applies from 1 July 2019 to 30</w:t>
            </w:r>
            <w:r w:rsidR="00B71E12">
              <w:rPr>
                <w:rFonts w:cs="Arial"/>
                <w:sz w:val="20"/>
                <w:szCs w:val="20"/>
              </w:rPr>
              <w:t xml:space="preserve"> </w:t>
            </w:r>
            <w:r>
              <w:rPr>
                <w:rFonts w:cs="Arial"/>
                <w:sz w:val="20"/>
                <w:szCs w:val="20"/>
              </w:rPr>
              <w:t>June 2020.</w:t>
            </w:r>
          </w:p>
        </w:tc>
      </w:tr>
      <w:tr w:rsidR="00F278A7" w:rsidRPr="002F3FFB"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F278A7" w:rsidRDefault="000F6740" w:rsidP="00F278A7">
            <w:pPr>
              <w:pStyle w:val="Header"/>
              <w:spacing w:before="40" w:after="40"/>
              <w:rPr>
                <w:rFonts w:cs="Arial"/>
                <w:sz w:val="20"/>
                <w:szCs w:val="20"/>
              </w:rPr>
            </w:pPr>
            <w:r>
              <w:rPr>
                <w:rFonts w:cs="Arial"/>
                <w:sz w:val="20"/>
                <w:szCs w:val="20"/>
              </w:rPr>
              <w:t>CR 2020/5</w:t>
            </w:r>
          </w:p>
        </w:tc>
        <w:tc>
          <w:tcPr>
            <w:tcW w:w="3686" w:type="dxa"/>
            <w:tcBorders>
              <w:top w:val="single" w:sz="6" w:space="0" w:color="auto"/>
              <w:left w:val="single" w:sz="6" w:space="0" w:color="auto"/>
              <w:bottom w:val="single" w:sz="6" w:space="0" w:color="auto"/>
              <w:right w:val="single" w:sz="6" w:space="0" w:color="auto"/>
            </w:tcBorders>
          </w:tcPr>
          <w:p w:rsidR="00F278A7" w:rsidRPr="00464B58" w:rsidRDefault="00464B58" w:rsidP="00464B58">
            <w:pPr>
              <w:pStyle w:val="Header"/>
              <w:rPr>
                <w:sz w:val="20"/>
                <w:szCs w:val="20"/>
              </w:rPr>
            </w:pPr>
            <w:r w:rsidRPr="00464B58">
              <w:rPr>
                <w:sz w:val="20"/>
                <w:szCs w:val="20"/>
              </w:rPr>
              <w:t>Australian Football League Players Association – education and training grants</w:t>
            </w:r>
          </w:p>
        </w:tc>
        <w:tc>
          <w:tcPr>
            <w:tcW w:w="4253" w:type="dxa"/>
            <w:tcBorders>
              <w:top w:val="single" w:sz="6" w:space="0" w:color="auto"/>
              <w:left w:val="single" w:sz="6" w:space="0" w:color="auto"/>
              <w:bottom w:val="single" w:sz="6" w:space="0" w:color="auto"/>
              <w:right w:val="single" w:sz="6" w:space="0" w:color="auto"/>
            </w:tcBorders>
          </w:tcPr>
          <w:p w:rsidR="00F278A7" w:rsidRDefault="00464B58" w:rsidP="00180A9A">
            <w:pPr>
              <w:spacing w:before="40" w:after="40"/>
              <w:rPr>
                <w:rFonts w:cs="Arial"/>
                <w:sz w:val="20"/>
                <w:szCs w:val="20"/>
              </w:rPr>
            </w:pPr>
            <w:r>
              <w:rPr>
                <w:rFonts w:cs="Arial"/>
                <w:sz w:val="20"/>
                <w:szCs w:val="20"/>
              </w:rPr>
              <w:t>The Ruling sets out income and fringe benefits tax consequences for current and former AFLPA members</w:t>
            </w:r>
            <w:r w:rsidR="002B282E">
              <w:rPr>
                <w:rFonts w:cs="Arial"/>
                <w:sz w:val="20"/>
                <w:szCs w:val="20"/>
              </w:rPr>
              <w:t xml:space="preserve"> who receive amounts under the Education and Training Grants Program.</w:t>
            </w:r>
          </w:p>
          <w:p w:rsidR="000774A7" w:rsidRPr="00180A9A" w:rsidRDefault="000774A7" w:rsidP="00180A9A">
            <w:pPr>
              <w:spacing w:before="40" w:after="40"/>
              <w:rPr>
                <w:rFonts w:cs="Arial"/>
                <w:sz w:val="20"/>
                <w:szCs w:val="20"/>
              </w:rPr>
            </w:pPr>
            <w:r>
              <w:rPr>
                <w:rFonts w:cs="Arial"/>
                <w:sz w:val="20"/>
                <w:szCs w:val="20"/>
              </w:rPr>
              <w:t>The Ruling applies from 1 November 2016 to 31 October 2022.</w:t>
            </w:r>
          </w:p>
        </w:tc>
      </w:tr>
      <w:tr w:rsidR="000F6740" w:rsidRPr="002F3FFB"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0F6740" w:rsidRDefault="000F6740" w:rsidP="00F278A7">
            <w:pPr>
              <w:pStyle w:val="Header"/>
              <w:spacing w:before="40" w:after="40"/>
              <w:rPr>
                <w:rFonts w:cs="Arial"/>
                <w:sz w:val="20"/>
                <w:szCs w:val="20"/>
              </w:rPr>
            </w:pPr>
            <w:r>
              <w:rPr>
                <w:rFonts w:cs="Arial"/>
                <w:sz w:val="20"/>
                <w:szCs w:val="20"/>
              </w:rPr>
              <w:t>CR 2020/6</w:t>
            </w:r>
          </w:p>
        </w:tc>
        <w:tc>
          <w:tcPr>
            <w:tcW w:w="3686" w:type="dxa"/>
            <w:tcBorders>
              <w:top w:val="single" w:sz="6" w:space="0" w:color="auto"/>
              <w:left w:val="single" w:sz="6" w:space="0" w:color="auto"/>
              <w:bottom w:val="single" w:sz="6" w:space="0" w:color="auto"/>
              <w:right w:val="single" w:sz="6" w:space="0" w:color="auto"/>
            </w:tcBorders>
          </w:tcPr>
          <w:p w:rsidR="000F6740" w:rsidRPr="00603F7B" w:rsidRDefault="00603F7B" w:rsidP="00603F7B">
            <w:pPr>
              <w:pStyle w:val="Header"/>
              <w:rPr>
                <w:sz w:val="20"/>
                <w:szCs w:val="20"/>
              </w:rPr>
            </w:pPr>
            <w:proofErr w:type="spellStart"/>
            <w:r w:rsidRPr="00603F7B">
              <w:rPr>
                <w:sz w:val="20"/>
                <w:szCs w:val="20"/>
              </w:rPr>
              <w:t>Westgold</w:t>
            </w:r>
            <w:proofErr w:type="spellEnd"/>
            <w:r w:rsidRPr="00603F7B">
              <w:rPr>
                <w:sz w:val="20"/>
                <w:szCs w:val="20"/>
              </w:rPr>
              <w:t xml:space="preserve"> Resources Limited – demerger of </w:t>
            </w:r>
            <w:r w:rsidRPr="00603F7B">
              <w:rPr>
                <w:rFonts w:eastAsia="Times New Roman"/>
                <w:sz w:val="20"/>
                <w:szCs w:val="20"/>
              </w:rPr>
              <w:t>Castile Resources Pty Ltd</w:t>
            </w:r>
          </w:p>
        </w:tc>
        <w:tc>
          <w:tcPr>
            <w:tcW w:w="4253" w:type="dxa"/>
            <w:tcBorders>
              <w:top w:val="single" w:sz="6" w:space="0" w:color="auto"/>
              <w:left w:val="single" w:sz="6" w:space="0" w:color="auto"/>
              <w:bottom w:val="single" w:sz="6" w:space="0" w:color="auto"/>
              <w:right w:val="single" w:sz="6" w:space="0" w:color="auto"/>
            </w:tcBorders>
          </w:tcPr>
          <w:p w:rsidR="00603F7B" w:rsidRDefault="00603F7B" w:rsidP="00603F7B">
            <w:pPr>
              <w:spacing w:before="40" w:after="40"/>
              <w:rPr>
                <w:rFonts w:cs="Arial"/>
                <w:sz w:val="20"/>
                <w:szCs w:val="20"/>
              </w:rPr>
            </w:pPr>
            <w:r>
              <w:rPr>
                <w:rFonts w:cs="Arial"/>
                <w:sz w:val="20"/>
                <w:szCs w:val="20"/>
              </w:rPr>
              <w:t xml:space="preserve">The Ruling sets out the income tax consequences of </w:t>
            </w:r>
            <w:r w:rsidR="00F30B02">
              <w:rPr>
                <w:rFonts w:cs="Arial"/>
                <w:sz w:val="20"/>
                <w:szCs w:val="20"/>
              </w:rPr>
              <w:t xml:space="preserve">the </w:t>
            </w:r>
            <w:r>
              <w:rPr>
                <w:rFonts w:cs="Arial"/>
                <w:sz w:val="20"/>
                <w:szCs w:val="20"/>
              </w:rPr>
              <w:t xml:space="preserve">demerger of Castile </w:t>
            </w:r>
            <w:r w:rsidR="00F30B02">
              <w:rPr>
                <w:rFonts w:cs="Arial"/>
                <w:sz w:val="20"/>
                <w:szCs w:val="20"/>
              </w:rPr>
              <w:t xml:space="preserve">Resources Pty Ltd </w:t>
            </w:r>
            <w:r w:rsidR="00032FBF">
              <w:rPr>
                <w:rFonts w:cs="Arial"/>
                <w:sz w:val="20"/>
                <w:szCs w:val="20"/>
              </w:rPr>
              <w:t xml:space="preserve">by </w:t>
            </w:r>
            <w:proofErr w:type="spellStart"/>
            <w:r w:rsidR="00F30B02">
              <w:rPr>
                <w:rFonts w:cs="Arial"/>
                <w:sz w:val="20"/>
                <w:szCs w:val="20"/>
              </w:rPr>
              <w:t>Westgold</w:t>
            </w:r>
            <w:proofErr w:type="spellEnd"/>
            <w:r w:rsidR="00F30B02">
              <w:rPr>
                <w:rFonts w:cs="Arial"/>
                <w:sz w:val="20"/>
                <w:szCs w:val="20"/>
              </w:rPr>
              <w:t xml:space="preserve"> Resources Limited </w:t>
            </w:r>
            <w:r>
              <w:rPr>
                <w:rFonts w:cs="Arial"/>
                <w:sz w:val="20"/>
                <w:szCs w:val="20"/>
              </w:rPr>
              <w:t>on 3 December 2019.</w:t>
            </w:r>
          </w:p>
          <w:p w:rsidR="000F6740" w:rsidRPr="00180A9A" w:rsidRDefault="00603F7B" w:rsidP="0014731E">
            <w:pPr>
              <w:spacing w:before="40" w:after="40"/>
              <w:rPr>
                <w:rFonts w:cs="Arial"/>
                <w:sz w:val="20"/>
                <w:szCs w:val="20"/>
              </w:rPr>
            </w:pPr>
            <w:r>
              <w:rPr>
                <w:rFonts w:cs="Arial"/>
                <w:sz w:val="20"/>
                <w:szCs w:val="20"/>
              </w:rPr>
              <w:t>The Ruling applies from 1 July 2019 to 30</w:t>
            </w:r>
            <w:r w:rsidR="00B71E12">
              <w:rPr>
                <w:rFonts w:cs="Arial"/>
                <w:sz w:val="20"/>
                <w:szCs w:val="20"/>
              </w:rPr>
              <w:t xml:space="preserve"> </w:t>
            </w:r>
            <w:r>
              <w:rPr>
                <w:rFonts w:cs="Arial"/>
                <w:sz w:val="20"/>
                <w:szCs w:val="20"/>
              </w:rPr>
              <w:t>June 2020.</w:t>
            </w:r>
            <w:bookmarkStart w:id="0" w:name="_GoBack"/>
            <w:bookmarkEnd w:id="0"/>
          </w:p>
        </w:tc>
      </w:tr>
      <w:tr w:rsidR="000F6740" w:rsidRPr="002F3FFB"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0F6740" w:rsidRDefault="000F6740" w:rsidP="003F09F8">
            <w:pPr>
              <w:rPr>
                <w:rFonts w:cs="Arial"/>
                <w:sz w:val="20"/>
                <w:szCs w:val="20"/>
              </w:rPr>
            </w:pPr>
            <w:r>
              <w:rPr>
                <w:rFonts w:cs="Arial"/>
                <w:sz w:val="20"/>
                <w:szCs w:val="20"/>
              </w:rPr>
              <w:t>TD 2020/1</w:t>
            </w:r>
          </w:p>
        </w:tc>
        <w:tc>
          <w:tcPr>
            <w:tcW w:w="3686" w:type="dxa"/>
            <w:tcBorders>
              <w:top w:val="single" w:sz="6" w:space="0" w:color="auto"/>
              <w:left w:val="single" w:sz="6" w:space="0" w:color="auto"/>
              <w:bottom w:val="single" w:sz="6" w:space="0" w:color="auto"/>
              <w:right w:val="single" w:sz="6" w:space="0" w:color="auto"/>
            </w:tcBorders>
          </w:tcPr>
          <w:p w:rsidR="000F6740" w:rsidRPr="002B282E" w:rsidRDefault="002B282E" w:rsidP="00B71E12">
            <w:pPr>
              <w:pStyle w:val="Header"/>
              <w:spacing w:after="120"/>
              <w:rPr>
                <w:sz w:val="20"/>
                <w:szCs w:val="20"/>
              </w:rPr>
            </w:pPr>
            <w:r w:rsidRPr="002B282E">
              <w:rPr>
                <w:sz w:val="20"/>
                <w:szCs w:val="20"/>
              </w:rPr>
              <w:t>Income tax:  value of goods taken from stock for private use for the</w:t>
            </w:r>
            <w:r w:rsidR="00B71E12">
              <w:rPr>
                <w:sz w:val="20"/>
                <w:szCs w:val="20"/>
              </w:rPr>
              <w:t xml:space="preserve"> </w:t>
            </w:r>
            <w:r w:rsidRPr="002B282E">
              <w:rPr>
                <w:sz w:val="20"/>
                <w:szCs w:val="20"/>
              </w:rPr>
              <w:t>2019–20 income year</w:t>
            </w:r>
          </w:p>
        </w:tc>
        <w:tc>
          <w:tcPr>
            <w:tcW w:w="4253" w:type="dxa"/>
            <w:tcBorders>
              <w:top w:val="single" w:sz="6" w:space="0" w:color="auto"/>
              <w:left w:val="single" w:sz="6" w:space="0" w:color="auto"/>
              <w:bottom w:val="single" w:sz="6" w:space="0" w:color="auto"/>
              <w:right w:val="single" w:sz="6" w:space="0" w:color="auto"/>
            </w:tcBorders>
          </w:tcPr>
          <w:p w:rsidR="000774A7" w:rsidRPr="00180A9A" w:rsidRDefault="002B282E" w:rsidP="00180A9A">
            <w:pPr>
              <w:spacing w:before="40" w:after="40"/>
              <w:rPr>
                <w:rFonts w:cs="Arial"/>
                <w:sz w:val="20"/>
                <w:szCs w:val="20"/>
              </w:rPr>
            </w:pPr>
            <w:r>
              <w:rPr>
                <w:rFonts w:cs="Arial"/>
                <w:sz w:val="20"/>
                <w:szCs w:val="20"/>
              </w:rPr>
              <w:t>The Determination provides amounts the Commissioner will accept as estimates of the value of goods taken from trading stock for private use</w:t>
            </w:r>
            <w:r w:rsidR="003D220D">
              <w:rPr>
                <w:rFonts w:cs="Arial"/>
                <w:sz w:val="20"/>
                <w:szCs w:val="20"/>
              </w:rPr>
              <w:t xml:space="preserve"> for the 2019</w:t>
            </w:r>
            <w:r w:rsidR="003D220D" w:rsidRPr="002B282E">
              <w:rPr>
                <w:sz w:val="20"/>
                <w:szCs w:val="20"/>
              </w:rPr>
              <w:t>–</w:t>
            </w:r>
            <w:r w:rsidR="00032FBF">
              <w:rPr>
                <w:sz w:val="20"/>
                <w:szCs w:val="20"/>
              </w:rPr>
              <w:t>20 year.</w:t>
            </w:r>
          </w:p>
        </w:tc>
      </w:tr>
    </w:tbl>
    <w:p w:rsidR="00FA0A9F" w:rsidRPr="008D0A06" w:rsidRDefault="00FA0A9F" w:rsidP="008D0A06">
      <w:pPr>
        <w:spacing w:after="60"/>
        <w:rPr>
          <w:sz w:val="18"/>
          <w:szCs w:val="18"/>
        </w:rPr>
      </w:pPr>
    </w:p>
    <w:sectPr w:rsidR="00FA0A9F" w:rsidRPr="008D0A06"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B2" w:rsidRDefault="00114CB2" w:rsidP="003A707F">
      <w:pPr>
        <w:spacing w:after="0"/>
      </w:pPr>
      <w:r>
        <w:separator/>
      </w:r>
    </w:p>
  </w:endnote>
  <w:endnote w:type="continuationSeparator" w:id="0">
    <w:p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B2" w:rsidRDefault="00114CB2" w:rsidP="003A707F">
      <w:pPr>
        <w:spacing w:after="0"/>
      </w:pPr>
      <w:r>
        <w:separator/>
      </w:r>
    </w:p>
  </w:footnote>
  <w:footnote w:type="continuationSeparator" w:id="0">
    <w:p w:rsidR="00114CB2" w:rsidRDefault="00114CB2" w:rsidP="003A70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114CB2" w:rsidRPr="005E7AE5" w:rsidTr="0095650D">
      <w:trPr>
        <w:trHeight w:val="984"/>
      </w:trPr>
      <w:tc>
        <w:tcPr>
          <w:tcW w:w="1263" w:type="dxa"/>
          <w:tcBorders>
            <w:top w:val="single" w:sz="4" w:space="0" w:color="auto"/>
            <w:left w:val="nil"/>
            <w:bottom w:val="single" w:sz="4" w:space="0" w:color="auto"/>
            <w:right w:val="nil"/>
          </w:tcBorders>
        </w:tcPr>
        <w:p w:rsidR="00114CB2" w:rsidRPr="005E7AE5" w:rsidRDefault="004E56BF" w:rsidP="008D0A06">
          <w:pPr>
            <w:spacing w:before="60" w:after="0" w:line="276" w:lineRule="auto"/>
            <w:ind w:left="-51"/>
            <w:rPr>
              <w:sz w:val="12"/>
            </w:rPr>
          </w:pPr>
          <w:r>
            <w:rPr>
              <w:noProof/>
              <w:sz w:val="12"/>
              <w:lang w:eastAsia="en-AU"/>
            </w:rPr>
            <w:drawing>
              <wp:inline distT="0" distB="0" distL="0" distR="0" wp14:anchorId="43A2B5EB" wp14:editId="5429C5EC">
                <wp:extent cx="655320" cy="526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2641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114CB2" w:rsidRPr="005E7AE5" w:rsidRDefault="00114CB2" w:rsidP="00840A06">
          <w:pPr>
            <w:spacing w:before="60" w:after="0" w:line="460" w:lineRule="exact"/>
            <w:rPr>
              <w:rFonts w:cs="Arial"/>
              <w:b/>
              <w:spacing w:val="-2"/>
              <w:sz w:val="44"/>
              <w:szCs w:val="44"/>
            </w:rPr>
          </w:pPr>
          <w:r w:rsidRPr="005E7AE5">
            <w:rPr>
              <w:rFonts w:cs="Arial"/>
              <w:b/>
              <w:spacing w:val="-2"/>
              <w:sz w:val="44"/>
              <w:szCs w:val="44"/>
            </w:rPr>
            <w:t>Commonwealth</w:t>
          </w:r>
          <w:r w:rsidRPr="005E7AE5">
            <w:rPr>
              <w:rFonts w:cs="Arial"/>
              <w:b/>
              <w:spacing w:val="-2"/>
              <w:sz w:val="44"/>
              <w:szCs w:val="44"/>
            </w:rPr>
            <w:br/>
            <w:t xml:space="preserve">of </w:t>
          </w:r>
          <w:smartTag w:uri="urn:schemas-microsoft-com:office:smarttags" w:element="country-region">
            <w:smartTag w:uri="urn:schemas-microsoft-com:office:smarttags" w:element="place">
              <w:r w:rsidRPr="005E7AE5">
                <w:rPr>
                  <w:rFonts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114CB2" w:rsidRPr="005E7AE5" w:rsidRDefault="00114CB2" w:rsidP="00840A06">
          <w:pPr>
            <w:spacing w:before="180" w:after="0" w:line="800" w:lineRule="exact"/>
            <w:jc w:val="right"/>
            <w:rPr>
              <w:rFonts w:cs="Arial"/>
              <w:b/>
              <w:sz w:val="100"/>
              <w:szCs w:val="100"/>
            </w:rPr>
          </w:pPr>
          <w:r w:rsidRPr="005E7AE5">
            <w:rPr>
              <w:rFonts w:cs="Arial"/>
              <w:b/>
              <w:sz w:val="100"/>
              <w:szCs w:val="100"/>
            </w:rPr>
            <w:t>Gazette</w:t>
          </w:r>
        </w:p>
      </w:tc>
    </w:tr>
    <w:tr w:rsidR="00114CB2" w:rsidRPr="005E7AE5" w:rsidTr="00840A06">
      <w:trPr>
        <w:trHeight w:val="340"/>
      </w:trPr>
      <w:tc>
        <w:tcPr>
          <w:tcW w:w="5698" w:type="dxa"/>
          <w:gridSpan w:val="2"/>
          <w:tcBorders>
            <w:top w:val="single" w:sz="4" w:space="0" w:color="auto"/>
            <w:left w:val="nil"/>
            <w:bottom w:val="single" w:sz="4" w:space="0" w:color="auto"/>
            <w:right w:val="nil"/>
          </w:tcBorders>
          <w:vAlign w:val="bottom"/>
        </w:tcPr>
        <w:p w:rsidR="00114CB2" w:rsidRPr="005E7AE5" w:rsidRDefault="00114CB2" w:rsidP="008D0A06">
          <w:pPr>
            <w:spacing w:after="0" w:line="276" w:lineRule="auto"/>
            <w:ind w:left="-51"/>
            <w:rPr>
              <w:rFonts w:cs="Arial"/>
              <w:sz w:val="14"/>
              <w:szCs w:val="14"/>
            </w:rPr>
          </w:pPr>
          <w:r w:rsidRPr="005E7AE5">
            <w:rPr>
              <w:rFonts w:cs="Arial"/>
              <w:sz w:val="14"/>
              <w:szCs w:val="14"/>
            </w:rPr>
            <w:t xml:space="preserve">Published by the Commonwealth of </w:t>
          </w:r>
          <w:smartTag w:uri="urn:schemas-microsoft-com:office:smarttags" w:element="place">
            <w:smartTag w:uri="urn:schemas-microsoft-com:office:smarttags" w:element="country-region">
              <w:r w:rsidRPr="005E7AE5">
                <w:rPr>
                  <w:rFonts w:cs="Arial"/>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rsidR="00114CB2" w:rsidRPr="005E7AE5" w:rsidRDefault="00114CB2" w:rsidP="008D0A06">
          <w:pPr>
            <w:spacing w:after="0" w:line="276" w:lineRule="auto"/>
            <w:jc w:val="right"/>
            <w:rPr>
              <w:rFonts w:cs="Arial"/>
              <w:b/>
              <w:sz w:val="24"/>
              <w:szCs w:val="24"/>
            </w:rPr>
          </w:pPr>
          <w:r w:rsidRPr="005E7AE5">
            <w:rPr>
              <w:rFonts w:cs="Arial"/>
              <w:b/>
              <w:sz w:val="24"/>
              <w:szCs w:val="24"/>
            </w:rPr>
            <w:t>GOVERNMENT NOTICES</w:t>
          </w:r>
        </w:p>
      </w:tc>
    </w:tr>
  </w:tbl>
  <w:p w:rsidR="00114CB2" w:rsidRPr="003A707F" w:rsidRDefault="00114CB2" w:rsidP="00F40885">
    <w:pPr>
      <w:pStyle w:val="Header"/>
      <w:rPr>
        <w:sz w:val="2"/>
        <w:szCs w:val="2"/>
      </w:rPr>
    </w:pPr>
  </w:p>
  <w:p w:rsidR="00114CB2" w:rsidRPr="00F40885" w:rsidRDefault="00114CB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07360"/>
    <w:rsid w:val="00032FBF"/>
    <w:rsid w:val="000774A7"/>
    <w:rsid w:val="00084784"/>
    <w:rsid w:val="000970F2"/>
    <w:rsid w:val="000C5750"/>
    <w:rsid w:val="000E1F2B"/>
    <w:rsid w:val="000F6740"/>
    <w:rsid w:val="00114CB2"/>
    <w:rsid w:val="00141674"/>
    <w:rsid w:val="0014731E"/>
    <w:rsid w:val="00151647"/>
    <w:rsid w:val="00157BD1"/>
    <w:rsid w:val="00174BD4"/>
    <w:rsid w:val="00175A99"/>
    <w:rsid w:val="00180A9A"/>
    <w:rsid w:val="001C2AAD"/>
    <w:rsid w:val="001F6E54"/>
    <w:rsid w:val="00237961"/>
    <w:rsid w:val="00280BCD"/>
    <w:rsid w:val="002B282E"/>
    <w:rsid w:val="002C0CCE"/>
    <w:rsid w:val="002F3FFB"/>
    <w:rsid w:val="00355F45"/>
    <w:rsid w:val="003A707F"/>
    <w:rsid w:val="003B0EC1"/>
    <w:rsid w:val="003B573B"/>
    <w:rsid w:val="003D220D"/>
    <w:rsid w:val="003F2CBD"/>
    <w:rsid w:val="004242FC"/>
    <w:rsid w:val="00424B97"/>
    <w:rsid w:val="00464B58"/>
    <w:rsid w:val="004B2753"/>
    <w:rsid w:val="004C5A5D"/>
    <w:rsid w:val="004E56BF"/>
    <w:rsid w:val="00520873"/>
    <w:rsid w:val="005262B2"/>
    <w:rsid w:val="00573D44"/>
    <w:rsid w:val="005D7EFC"/>
    <w:rsid w:val="005E7AE5"/>
    <w:rsid w:val="00603F7B"/>
    <w:rsid w:val="00616661"/>
    <w:rsid w:val="00636F01"/>
    <w:rsid w:val="006B38CC"/>
    <w:rsid w:val="00773255"/>
    <w:rsid w:val="007C490F"/>
    <w:rsid w:val="007E2CA6"/>
    <w:rsid w:val="007F191A"/>
    <w:rsid w:val="00840A06"/>
    <w:rsid w:val="008439B7"/>
    <w:rsid w:val="008467D1"/>
    <w:rsid w:val="00851F51"/>
    <w:rsid w:val="0087253F"/>
    <w:rsid w:val="008A25CE"/>
    <w:rsid w:val="008D0A06"/>
    <w:rsid w:val="008D17C9"/>
    <w:rsid w:val="008D30A5"/>
    <w:rsid w:val="008E4F6C"/>
    <w:rsid w:val="00930E40"/>
    <w:rsid w:val="0094219E"/>
    <w:rsid w:val="00943B8D"/>
    <w:rsid w:val="009539C7"/>
    <w:rsid w:val="0095650D"/>
    <w:rsid w:val="009641EC"/>
    <w:rsid w:val="009F72D9"/>
    <w:rsid w:val="00A00F21"/>
    <w:rsid w:val="00A41F5C"/>
    <w:rsid w:val="00A60CE8"/>
    <w:rsid w:val="00A83BCC"/>
    <w:rsid w:val="00A85D11"/>
    <w:rsid w:val="00AD0943"/>
    <w:rsid w:val="00B04E06"/>
    <w:rsid w:val="00B1160F"/>
    <w:rsid w:val="00B4706B"/>
    <w:rsid w:val="00B6495D"/>
    <w:rsid w:val="00B71E12"/>
    <w:rsid w:val="00B84226"/>
    <w:rsid w:val="00BC3F4D"/>
    <w:rsid w:val="00C14513"/>
    <w:rsid w:val="00C51D3C"/>
    <w:rsid w:val="00C63C4E"/>
    <w:rsid w:val="00D254E2"/>
    <w:rsid w:val="00D4639E"/>
    <w:rsid w:val="00D77A88"/>
    <w:rsid w:val="00DC12F0"/>
    <w:rsid w:val="00DC142B"/>
    <w:rsid w:val="00E6384F"/>
    <w:rsid w:val="00E71915"/>
    <w:rsid w:val="00E823AE"/>
    <w:rsid w:val="00EB3C1D"/>
    <w:rsid w:val="00ED2E52"/>
    <w:rsid w:val="00F232E7"/>
    <w:rsid w:val="00F278A7"/>
    <w:rsid w:val="00F30B02"/>
    <w:rsid w:val="00F40885"/>
    <w:rsid w:val="00F44FF5"/>
    <w:rsid w:val="00FA0A9F"/>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uiPriority w:val="99"/>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2B282E"/>
    <w:rPr>
      <w:sz w:val="16"/>
      <w:szCs w:val="16"/>
    </w:rPr>
  </w:style>
  <w:style w:type="paragraph" w:styleId="CommentText">
    <w:name w:val="annotation text"/>
    <w:basedOn w:val="Normal"/>
    <w:link w:val="CommentTextChar"/>
    <w:uiPriority w:val="99"/>
    <w:semiHidden/>
    <w:unhideWhenUsed/>
    <w:rsid w:val="002B282E"/>
    <w:rPr>
      <w:sz w:val="20"/>
      <w:szCs w:val="20"/>
    </w:rPr>
  </w:style>
  <w:style w:type="character" w:customStyle="1" w:styleId="CommentTextChar">
    <w:name w:val="Comment Text Char"/>
    <w:basedOn w:val="DefaultParagraphFont"/>
    <w:link w:val="CommentText"/>
    <w:uiPriority w:val="99"/>
    <w:semiHidden/>
    <w:rsid w:val="002B282E"/>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2B282E"/>
    <w:rPr>
      <w:b/>
      <w:bCs/>
    </w:rPr>
  </w:style>
  <w:style w:type="character" w:customStyle="1" w:styleId="CommentSubjectChar">
    <w:name w:val="Comment Subject Char"/>
    <w:basedOn w:val="CommentTextChar"/>
    <w:link w:val="CommentSubject"/>
    <w:uiPriority w:val="99"/>
    <w:semiHidden/>
    <w:rsid w:val="002B282E"/>
    <w:rPr>
      <w:rFonts w:ascii="Arial" w:hAnsi="Arial"/>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uiPriority w:val="99"/>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2B282E"/>
    <w:rPr>
      <w:sz w:val="16"/>
      <w:szCs w:val="16"/>
    </w:rPr>
  </w:style>
  <w:style w:type="paragraph" w:styleId="CommentText">
    <w:name w:val="annotation text"/>
    <w:basedOn w:val="Normal"/>
    <w:link w:val="CommentTextChar"/>
    <w:uiPriority w:val="99"/>
    <w:semiHidden/>
    <w:unhideWhenUsed/>
    <w:rsid w:val="002B282E"/>
    <w:rPr>
      <w:sz w:val="20"/>
      <w:szCs w:val="20"/>
    </w:rPr>
  </w:style>
  <w:style w:type="character" w:customStyle="1" w:styleId="CommentTextChar">
    <w:name w:val="Comment Text Char"/>
    <w:basedOn w:val="DefaultParagraphFont"/>
    <w:link w:val="CommentText"/>
    <w:uiPriority w:val="99"/>
    <w:semiHidden/>
    <w:rsid w:val="002B282E"/>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2B282E"/>
    <w:rPr>
      <w:b/>
      <w:bCs/>
    </w:rPr>
  </w:style>
  <w:style w:type="character" w:customStyle="1" w:styleId="CommentSubjectChar">
    <w:name w:val="Comment Subject Char"/>
    <w:basedOn w:val="CommentTextChar"/>
    <w:link w:val="CommentSubject"/>
    <w:uiPriority w:val="99"/>
    <w:semiHidden/>
    <w:rsid w:val="002B282E"/>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7703">
      <w:bodyDiv w:val="1"/>
      <w:marLeft w:val="0"/>
      <w:marRight w:val="0"/>
      <w:marTop w:val="0"/>
      <w:marBottom w:val="0"/>
      <w:divBdr>
        <w:top w:val="none" w:sz="0" w:space="0" w:color="auto"/>
        <w:left w:val="none" w:sz="0" w:space="0" w:color="auto"/>
        <w:bottom w:val="none" w:sz="0" w:space="0" w:color="auto"/>
        <w:right w:val="none" w:sz="0" w:space="0" w:color="auto"/>
      </w:divBdr>
    </w:div>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348337246">
      <w:bodyDiv w:val="1"/>
      <w:marLeft w:val="0"/>
      <w:marRight w:val="0"/>
      <w:marTop w:val="0"/>
      <w:marBottom w:val="0"/>
      <w:divBdr>
        <w:top w:val="none" w:sz="0" w:space="0" w:color="auto"/>
        <w:left w:val="none" w:sz="0" w:space="0" w:color="auto"/>
        <w:bottom w:val="none" w:sz="0" w:space="0" w:color="auto"/>
        <w:right w:val="none" w:sz="0" w:space="0" w:color="auto"/>
      </w:divBdr>
    </w:div>
    <w:div w:id="432558510">
      <w:bodyDiv w:val="1"/>
      <w:marLeft w:val="0"/>
      <w:marRight w:val="0"/>
      <w:marTop w:val="0"/>
      <w:marBottom w:val="0"/>
      <w:divBdr>
        <w:top w:val="none" w:sz="0" w:space="0" w:color="auto"/>
        <w:left w:val="none" w:sz="0" w:space="0" w:color="auto"/>
        <w:bottom w:val="none" w:sz="0" w:space="0" w:color="auto"/>
        <w:right w:val="none" w:sz="0" w:space="0" w:color="auto"/>
      </w:divBdr>
    </w:div>
    <w:div w:id="457454777">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900601605">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1165239514">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642074546">
      <w:bodyDiv w:val="1"/>
      <w:marLeft w:val="0"/>
      <w:marRight w:val="0"/>
      <w:marTop w:val="0"/>
      <w:marBottom w:val="0"/>
      <w:divBdr>
        <w:top w:val="none" w:sz="0" w:space="0" w:color="auto"/>
        <w:left w:val="none" w:sz="0" w:space="0" w:color="auto"/>
        <w:bottom w:val="none" w:sz="0" w:space="0" w:color="auto"/>
        <w:right w:val="none" w:sz="0" w:space="0" w:color="auto"/>
      </w:divBdr>
    </w:div>
    <w:div w:id="1688631288">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1979410683">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to.gov.au/"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BE8F0-04C6-46C8-87A8-062D2844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366</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Eling Chang</cp:lastModifiedBy>
  <cp:revision>8</cp:revision>
  <cp:lastPrinted>2013-06-24T01:35:00Z</cp:lastPrinted>
  <dcterms:created xsi:type="dcterms:W3CDTF">2020-01-10T02:35:00Z</dcterms:created>
  <dcterms:modified xsi:type="dcterms:W3CDTF">2020-01-10T03:01:00Z</dcterms:modified>
</cp:coreProperties>
</file>