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1D" w:rsidRPr="00835E1D" w:rsidRDefault="00835E1D" w:rsidP="00835E1D">
      <w:pPr>
        <w:widowControl w:val="0"/>
        <w:spacing w:before="66" w:after="0" w:line="240" w:lineRule="auto"/>
        <w:ind w:left="897" w:right="943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Calibri" w:hAnsi="Calibri" w:cs="Times New Roman"/>
          <w:b/>
          <w:i/>
          <w:sz w:val="24"/>
          <w:lang w:val="en-US"/>
        </w:rPr>
        <w:t>Customs Act</w:t>
      </w:r>
      <w:r w:rsidRPr="00835E1D">
        <w:rPr>
          <w:rFonts w:ascii="Bookman Old Style" w:eastAsia="Calibri" w:hAnsi="Calibri" w:cs="Times New Roman"/>
          <w:b/>
          <w:i/>
          <w:spacing w:val="-12"/>
          <w:sz w:val="24"/>
          <w:lang w:val="en-US"/>
        </w:rPr>
        <w:t xml:space="preserve"> </w:t>
      </w:r>
      <w:r w:rsidRPr="00835E1D">
        <w:rPr>
          <w:rFonts w:ascii="Bookman Old Style" w:eastAsia="Calibri" w:hAnsi="Calibri" w:cs="Times New Roman"/>
          <w:b/>
          <w:i/>
          <w:sz w:val="24"/>
          <w:lang w:val="en-US"/>
        </w:rPr>
        <w:t>1901</w:t>
      </w:r>
    </w:p>
    <w:p w:rsidR="00835E1D" w:rsidRPr="00835E1D" w:rsidRDefault="00835E1D" w:rsidP="00835E1D">
      <w:pPr>
        <w:widowControl w:val="0"/>
        <w:spacing w:before="3" w:after="0" w:line="240" w:lineRule="auto"/>
        <w:rPr>
          <w:rFonts w:ascii="Bookman Old Style" w:eastAsia="Bookman Old Style" w:hAnsi="Bookman Old Style" w:cs="Bookman Old Style"/>
          <w:b/>
          <w:bCs/>
          <w:i/>
          <w:sz w:val="24"/>
          <w:szCs w:val="24"/>
          <w:lang w:val="en-US"/>
        </w:rPr>
      </w:pPr>
    </w:p>
    <w:p w:rsidR="00835E1D" w:rsidRPr="00835E1D" w:rsidRDefault="00835E1D" w:rsidP="00835E1D">
      <w:pPr>
        <w:widowControl w:val="0"/>
        <w:spacing w:after="0" w:line="240" w:lineRule="auto"/>
        <w:ind w:left="898" w:right="943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Notice under Paragraph</w:t>
      </w:r>
      <w:r w:rsidRPr="00835E1D">
        <w:rPr>
          <w:rFonts w:ascii="Bookman Old Style" w:eastAsia="Bookman Old Style" w:hAnsi="Bookman Old Style" w:cs="Times New Roman"/>
          <w:b/>
          <w:spacing w:val="-17"/>
          <w:sz w:val="24"/>
          <w:szCs w:val="24"/>
          <w:lang w:val="en-US"/>
        </w:rPr>
        <w:t xml:space="preserve"> </w:t>
      </w:r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15(1</w:t>
      </w:r>
      <w:proofErr w:type="gramStart"/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)(</w:t>
      </w:r>
      <w:proofErr w:type="gramEnd"/>
      <w:r w:rsidRPr="00835E1D">
        <w:rPr>
          <w:rFonts w:ascii="Bookman Old Style" w:eastAsia="Bookman Old Style" w:hAnsi="Bookman Old Style" w:cs="Times New Roman"/>
          <w:b/>
          <w:sz w:val="24"/>
          <w:szCs w:val="24"/>
          <w:lang w:val="en-US"/>
        </w:rPr>
        <w:t>a)</w:t>
      </w:r>
    </w:p>
    <w:p w:rsidR="00835E1D" w:rsidRPr="00835E1D" w:rsidRDefault="00835E1D" w:rsidP="00835E1D">
      <w:pPr>
        <w:widowControl w:val="0"/>
        <w:spacing w:before="1"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</w:p>
    <w:p w:rsidR="00835E1D" w:rsidRPr="00835E1D" w:rsidRDefault="00835E1D" w:rsidP="00835E1D">
      <w:pPr>
        <w:widowControl w:val="0"/>
        <w:spacing w:after="0" w:line="240" w:lineRule="auto"/>
        <w:ind w:left="898" w:right="943"/>
        <w:jc w:val="center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 xml:space="preserve">Port Revocation and Appointment (No.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20/</w:t>
      </w:r>
      <w:r w:rsidR="0065065B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13</w:t>
      </w:r>
      <w:r w:rsidRPr="00835E1D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) – Port of</w:t>
      </w:r>
      <w:r w:rsidRPr="00835E1D">
        <w:rPr>
          <w:rFonts w:ascii="Bookman Old Style" w:eastAsia="Bookman Old Style" w:hAnsi="Bookman Old Style" w:cs="Bookman Old Style"/>
          <w:b/>
          <w:bCs/>
          <w:spacing w:val="-16"/>
          <w:sz w:val="24"/>
          <w:szCs w:val="24"/>
          <w:lang w:val="en-US"/>
        </w:rPr>
        <w:t xml:space="preserve"> </w:t>
      </w:r>
      <w:r w:rsidR="00E770FF"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  <w:t>Burnie</w:t>
      </w:r>
    </w:p>
    <w:p w:rsidR="00835E1D" w:rsidRPr="00835E1D" w:rsidRDefault="00835E1D" w:rsidP="00835E1D">
      <w:pPr>
        <w:widowControl w:val="0"/>
        <w:spacing w:before="1"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  <w:lang w:val="en-US"/>
        </w:rPr>
      </w:pPr>
    </w:p>
    <w:p w:rsidR="00835E1D" w:rsidRPr="00835E1D" w:rsidRDefault="00835E1D" w:rsidP="00245F1B">
      <w:pPr>
        <w:widowControl w:val="0"/>
        <w:spacing w:after="0" w:line="240" w:lineRule="auto"/>
        <w:ind w:left="152" w:right="274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 w:rsidRPr="00835E1D">
        <w:rPr>
          <w:rFonts w:ascii="Bookman Old Style" w:eastAsia="Calibri" w:hAnsi="Calibri" w:cs="Times New Roman"/>
          <w:sz w:val="24"/>
          <w:lang w:val="en-US"/>
        </w:rPr>
        <w:t xml:space="preserve">I, </w:t>
      </w:r>
      <w:r>
        <w:rPr>
          <w:rFonts w:ascii="Bookman Old Style" w:eastAsia="Calibri" w:hAnsi="Calibri" w:cs="Times New Roman"/>
          <w:sz w:val="24"/>
          <w:lang w:val="en-US"/>
        </w:rPr>
        <w:t xml:space="preserve">Jasmina </w:t>
      </w:r>
      <w:proofErr w:type="spellStart"/>
      <w:r>
        <w:rPr>
          <w:rFonts w:ascii="Bookman Old Style" w:eastAsia="Calibri" w:hAnsi="Calibri" w:cs="Times New Roman"/>
          <w:sz w:val="24"/>
          <w:lang w:val="en-US"/>
        </w:rPr>
        <w:t>Ackar</w:t>
      </w:r>
      <w:proofErr w:type="spellEnd"/>
      <w:r w:rsidRPr="00835E1D">
        <w:rPr>
          <w:rFonts w:ascii="Bookman Old Style" w:eastAsia="Calibri" w:hAnsi="Calibri" w:cs="Times New Roman"/>
          <w:sz w:val="24"/>
          <w:lang w:val="en-US"/>
        </w:rPr>
        <w:t xml:space="preserve">, delegate of the Comptroller-General of Customs, under subsection 33(3) of the </w:t>
      </w:r>
      <w:r w:rsidRPr="00835E1D">
        <w:rPr>
          <w:rFonts w:ascii="Bookman Old Style" w:eastAsia="Calibri" w:hAnsi="Calibri" w:cs="Times New Roman"/>
          <w:i/>
          <w:sz w:val="24"/>
          <w:lang w:val="en-US"/>
        </w:rPr>
        <w:t xml:space="preserve">Acts Interpretation Act 1901 </w:t>
      </w:r>
      <w:r w:rsidRPr="00835E1D">
        <w:rPr>
          <w:rFonts w:ascii="Bookman Old Style" w:eastAsia="Calibri" w:hAnsi="Calibri" w:cs="Times New Roman"/>
          <w:sz w:val="24"/>
          <w:lang w:val="en-US"/>
        </w:rPr>
        <w:t xml:space="preserve">and paragraph 15(1)(a) of the </w:t>
      </w:r>
      <w:r w:rsidRPr="00835E1D">
        <w:rPr>
          <w:rFonts w:ascii="Bookman Old Style" w:eastAsia="Calibri" w:hAnsi="Calibri" w:cs="Times New Roman"/>
          <w:i/>
          <w:sz w:val="24"/>
          <w:lang w:val="en-US"/>
        </w:rPr>
        <w:t>Customs Act</w:t>
      </w:r>
      <w:r w:rsidRPr="00835E1D">
        <w:rPr>
          <w:rFonts w:ascii="Bookman Old Style" w:eastAsia="Calibri" w:hAnsi="Calibri" w:cs="Times New Roman"/>
          <w:i/>
          <w:spacing w:val="-17"/>
          <w:sz w:val="24"/>
          <w:lang w:val="en-US"/>
        </w:rPr>
        <w:t xml:space="preserve"> </w:t>
      </w:r>
      <w:r w:rsidRPr="00835E1D">
        <w:rPr>
          <w:rFonts w:ascii="Bookman Old Style" w:eastAsia="Calibri" w:hAnsi="Calibri" w:cs="Times New Roman"/>
          <w:i/>
          <w:sz w:val="24"/>
          <w:lang w:val="en-US"/>
        </w:rPr>
        <w:t>1901</w:t>
      </w:r>
      <w:r w:rsidRPr="00835E1D">
        <w:rPr>
          <w:rFonts w:ascii="Bookman Old Style" w:eastAsia="Calibri" w:hAnsi="Calibri" w:cs="Times New Roman"/>
          <w:sz w:val="24"/>
          <w:lang w:val="en-US"/>
        </w:rPr>
        <w:t>:</w:t>
      </w:r>
      <w:bookmarkStart w:id="0" w:name="_GoBack"/>
      <w:bookmarkEnd w:id="0"/>
    </w:p>
    <w:p w:rsidR="00835E1D" w:rsidRPr="00835E1D" w:rsidRDefault="00835E1D" w:rsidP="00835E1D">
      <w:pPr>
        <w:widowControl w:val="0"/>
        <w:spacing w:before="10" w:after="0" w:line="240" w:lineRule="auto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65065B" w:rsidRPr="0065065B" w:rsidRDefault="0065065B" w:rsidP="0065065B">
      <w:pPr>
        <w:widowControl w:val="0"/>
        <w:numPr>
          <w:ilvl w:val="0"/>
          <w:numId w:val="1"/>
        </w:numPr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65065B">
        <w:rPr>
          <w:rFonts w:ascii="Bookman Old Style" w:eastAsia="Calibri" w:hAnsi="Calibri" w:cs="Times New Roman"/>
          <w:sz w:val="24"/>
          <w:lang w:val="en-US"/>
        </w:rPr>
        <w:t xml:space="preserve">Revoke all previous notices published in the Commonwealth Gazette, appointing the </w:t>
      </w:r>
      <w:r w:rsidRPr="0065065B">
        <w:rPr>
          <w:rFonts w:ascii="Bookman Old Style" w:eastAsia="Calibri" w:hAnsi="Calibri" w:cs="Times New Roman"/>
          <w:b/>
          <w:bCs/>
          <w:sz w:val="24"/>
          <w:lang w:val="en-US"/>
        </w:rPr>
        <w:t xml:space="preserve">Port of </w:t>
      </w:r>
      <w:r>
        <w:rPr>
          <w:rFonts w:ascii="Bookman Old Style" w:eastAsia="Calibri" w:hAnsi="Calibri" w:cs="Times New Roman"/>
          <w:b/>
          <w:bCs/>
          <w:sz w:val="24"/>
          <w:lang w:val="en-US"/>
        </w:rPr>
        <w:t>Burnie</w:t>
      </w:r>
      <w:r w:rsidRPr="0065065B">
        <w:rPr>
          <w:rFonts w:ascii="Bookman Old Style" w:eastAsia="Calibri" w:hAnsi="Calibri" w:cs="Times New Roman"/>
          <w:sz w:val="24"/>
          <w:lang w:val="en-US"/>
        </w:rPr>
        <w:t xml:space="preserve"> as a port in the State of Tasmania and fixing the limits of that port; and</w:t>
      </w:r>
    </w:p>
    <w:p w:rsidR="0065065B" w:rsidRPr="0065065B" w:rsidRDefault="0065065B" w:rsidP="0065065B">
      <w:pPr>
        <w:widowControl w:val="0"/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</w:p>
    <w:p w:rsidR="0065065B" w:rsidRPr="0065065B" w:rsidRDefault="0065065B" w:rsidP="0065065B">
      <w:pPr>
        <w:widowControl w:val="0"/>
        <w:numPr>
          <w:ilvl w:val="0"/>
          <w:numId w:val="1"/>
        </w:numPr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65065B">
        <w:rPr>
          <w:rFonts w:ascii="Bookman Old Style" w:eastAsia="Calibri" w:hAnsi="Calibri" w:cs="Times New Roman"/>
          <w:sz w:val="24"/>
          <w:lang w:val="en-US"/>
        </w:rPr>
        <w:t xml:space="preserve">Appoint the </w:t>
      </w:r>
      <w:r w:rsidRPr="0065065B">
        <w:rPr>
          <w:rFonts w:ascii="Bookman Old Style" w:eastAsia="Calibri" w:hAnsi="Calibri" w:cs="Times New Roman"/>
          <w:b/>
          <w:bCs/>
          <w:sz w:val="24"/>
          <w:lang w:val="en-US"/>
        </w:rPr>
        <w:t xml:space="preserve">Port of </w:t>
      </w:r>
      <w:r>
        <w:rPr>
          <w:rFonts w:ascii="Bookman Old Style" w:eastAsia="Calibri" w:hAnsi="Calibri" w:cs="Times New Roman"/>
          <w:b/>
          <w:bCs/>
          <w:sz w:val="24"/>
          <w:lang w:val="en-US"/>
        </w:rPr>
        <w:t>Burnie</w:t>
      </w:r>
      <w:r w:rsidRPr="0065065B">
        <w:rPr>
          <w:rFonts w:ascii="Bookman Old Style" w:eastAsia="Calibri" w:hAnsi="Calibri" w:cs="Times New Roman"/>
          <w:b/>
          <w:sz w:val="24"/>
          <w:lang w:val="en-US"/>
        </w:rPr>
        <w:t xml:space="preserve"> </w:t>
      </w:r>
      <w:r w:rsidRPr="0065065B">
        <w:rPr>
          <w:rFonts w:ascii="Bookman Old Style" w:eastAsia="Calibri" w:hAnsi="Calibri" w:cs="Times New Roman"/>
          <w:sz w:val="24"/>
          <w:lang w:val="en-US"/>
        </w:rPr>
        <w:t>in the State of Tasmania as a port; and</w:t>
      </w:r>
    </w:p>
    <w:p w:rsidR="0065065B" w:rsidRPr="0065065B" w:rsidRDefault="0065065B" w:rsidP="0065065B">
      <w:pPr>
        <w:widowControl w:val="0"/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</w:p>
    <w:p w:rsidR="0065065B" w:rsidRPr="0065065B" w:rsidRDefault="0065065B" w:rsidP="0065065B">
      <w:pPr>
        <w:widowControl w:val="0"/>
        <w:numPr>
          <w:ilvl w:val="0"/>
          <w:numId w:val="1"/>
        </w:numPr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65065B">
        <w:rPr>
          <w:rFonts w:ascii="Bookman Old Style" w:eastAsia="Calibri" w:hAnsi="Calibri" w:cs="Times New Roman"/>
          <w:sz w:val="24"/>
          <w:lang w:val="en-US"/>
        </w:rPr>
        <w:t xml:space="preserve">Fix as the limits of that port all areas within the red boundary line as indicated in </w:t>
      </w:r>
      <w:r w:rsidRPr="0065065B">
        <w:rPr>
          <w:rFonts w:ascii="Bookman Old Style" w:eastAsia="Calibri" w:hAnsi="Calibri" w:cs="Times New Roman"/>
          <w:b/>
          <w:sz w:val="24"/>
          <w:u w:val="single"/>
          <w:lang w:val="en-US"/>
        </w:rPr>
        <w:t xml:space="preserve">Attachment A </w:t>
      </w:r>
      <w:r w:rsidRPr="0065065B">
        <w:rPr>
          <w:rFonts w:ascii="Bookman Old Style" w:eastAsia="Calibri" w:hAnsi="Calibri" w:cs="Times New Roman"/>
          <w:sz w:val="24"/>
          <w:lang w:val="en-US"/>
        </w:rPr>
        <w:t>to this notice.</w:t>
      </w:r>
    </w:p>
    <w:p w:rsidR="0065065B" w:rsidRPr="0065065B" w:rsidRDefault="0065065B" w:rsidP="0065065B">
      <w:pPr>
        <w:widowControl w:val="0"/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</w:p>
    <w:p w:rsidR="0065065B" w:rsidRPr="0065065B" w:rsidRDefault="0065065B" w:rsidP="0065065B">
      <w:pPr>
        <w:widowControl w:val="0"/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65065B">
        <w:rPr>
          <w:rFonts w:ascii="Bookman Old Style" w:eastAsia="Calibri" w:hAnsi="Calibri" w:cs="Times New Roman"/>
          <w:sz w:val="24"/>
          <w:lang w:val="en-US"/>
        </w:rPr>
        <w:t xml:space="preserve">The port appointed in paragraph (b) is to be a port only for purposes in relation to ships that are not international passenger cruise ships. </w:t>
      </w:r>
      <w:r w:rsidRPr="0065065B">
        <w:rPr>
          <w:rFonts w:ascii="Bookman Old Style" w:eastAsia="Calibri" w:hAnsi="Calibri" w:cs="Times New Roman"/>
          <w:i/>
          <w:sz w:val="24"/>
          <w:lang w:val="en-US"/>
        </w:rPr>
        <w:t>International passenger cruise ships</w:t>
      </w:r>
      <w:r w:rsidRPr="0065065B">
        <w:rPr>
          <w:rFonts w:ascii="Bookman Old Style" w:eastAsia="Calibri" w:hAnsi="Calibri" w:cs="Times New Roman"/>
          <w:sz w:val="24"/>
          <w:lang w:val="en-US"/>
        </w:rPr>
        <w:t xml:space="preserve"> has the same meaning as in section 169 of the </w:t>
      </w:r>
      <w:r w:rsidRPr="0065065B">
        <w:rPr>
          <w:rFonts w:ascii="Bookman Old Style" w:eastAsia="Calibri" w:hAnsi="Calibri" w:cs="Times New Roman"/>
          <w:i/>
          <w:sz w:val="24"/>
          <w:lang w:val="en-US"/>
        </w:rPr>
        <w:t>Migration Act 1958</w:t>
      </w:r>
      <w:r w:rsidRPr="0065065B">
        <w:rPr>
          <w:rFonts w:ascii="Bookman Old Style" w:eastAsia="Calibri" w:hAnsi="Calibri" w:cs="Times New Roman"/>
          <w:sz w:val="24"/>
          <w:lang w:val="en-US"/>
        </w:rPr>
        <w:t>.</w:t>
      </w:r>
    </w:p>
    <w:p w:rsidR="0065065B" w:rsidRPr="0065065B" w:rsidRDefault="0065065B" w:rsidP="0065065B">
      <w:pPr>
        <w:widowControl w:val="0"/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</w:p>
    <w:p w:rsidR="0065065B" w:rsidRPr="0065065B" w:rsidRDefault="0065065B" w:rsidP="0065065B">
      <w:pPr>
        <w:widowControl w:val="0"/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65065B">
        <w:rPr>
          <w:rFonts w:ascii="Bookman Old Style" w:eastAsia="Calibri" w:hAnsi="Calibri" w:cs="Times New Roman"/>
          <w:sz w:val="24"/>
          <w:lang w:val="en-US"/>
        </w:rPr>
        <w:t>Dated the 15</w:t>
      </w:r>
      <w:r w:rsidRPr="0065065B">
        <w:rPr>
          <w:rFonts w:ascii="Bookman Old Style" w:eastAsia="Calibri" w:hAnsi="Calibri" w:cs="Times New Roman"/>
          <w:sz w:val="24"/>
          <w:vertAlign w:val="superscript"/>
          <w:lang w:val="en-US"/>
        </w:rPr>
        <w:t>th</w:t>
      </w:r>
      <w:r w:rsidRPr="0065065B">
        <w:rPr>
          <w:rFonts w:ascii="Bookman Old Style" w:eastAsia="Calibri" w:hAnsi="Calibri" w:cs="Times New Roman"/>
          <w:sz w:val="24"/>
          <w:lang w:val="en-US"/>
        </w:rPr>
        <w:t xml:space="preserve"> day of March 2020.</w:t>
      </w:r>
    </w:p>
    <w:p w:rsidR="0065065B" w:rsidRPr="0065065B" w:rsidRDefault="0065065B" w:rsidP="0065065B">
      <w:pPr>
        <w:widowControl w:val="0"/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</w:p>
    <w:p w:rsidR="0065065B" w:rsidRPr="0065065B" w:rsidRDefault="0065065B" w:rsidP="0065065B">
      <w:pPr>
        <w:widowControl w:val="0"/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</w:p>
    <w:p w:rsidR="0065065B" w:rsidRPr="0065065B" w:rsidRDefault="0065065B" w:rsidP="0065065B">
      <w:pPr>
        <w:widowControl w:val="0"/>
        <w:spacing w:before="1" w:after="0" w:line="240" w:lineRule="auto"/>
        <w:rPr>
          <w:rFonts w:ascii="Bookman Old Style" w:eastAsia="Calibri" w:hAnsi="Calibri" w:cs="Times New Roman"/>
          <w:sz w:val="24"/>
          <w:lang w:val="en-US"/>
        </w:rPr>
      </w:pPr>
      <w:r w:rsidRPr="0065065B">
        <w:rPr>
          <w:rFonts w:ascii="Bookman Old Style" w:eastAsia="Calibri" w:hAnsi="Calibri" w:cs="Times New Roman"/>
          <w:sz w:val="24"/>
          <w:lang w:val="en-US"/>
        </w:rPr>
        <w:t>(Signed)</w:t>
      </w:r>
    </w:p>
    <w:p w:rsidR="00835E1D" w:rsidRPr="00835E1D" w:rsidRDefault="00835E1D" w:rsidP="00835E1D">
      <w:pPr>
        <w:widowControl w:val="0"/>
        <w:spacing w:before="1" w:after="0" w:line="240" w:lineRule="auto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</w:p>
    <w:p w:rsidR="00835E1D" w:rsidRPr="00835E1D" w:rsidRDefault="00835E1D" w:rsidP="00835E1D">
      <w:pPr>
        <w:widowControl w:val="0"/>
        <w:spacing w:before="10" w:after="0" w:line="240" w:lineRule="auto"/>
        <w:ind w:left="180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835E1D" w:rsidRPr="00835E1D" w:rsidRDefault="00835E1D" w:rsidP="00835E1D">
      <w:pPr>
        <w:widowControl w:val="0"/>
        <w:spacing w:before="10" w:after="0" w:line="240" w:lineRule="auto"/>
        <w:rPr>
          <w:rFonts w:ascii="Bookman Old Style" w:eastAsia="Bookman Old Style" w:hAnsi="Bookman Old Style" w:cs="Bookman Old Style"/>
          <w:sz w:val="23"/>
          <w:szCs w:val="23"/>
          <w:lang w:val="en-US"/>
        </w:rPr>
      </w:pPr>
    </w:p>
    <w:p w:rsidR="00835E1D" w:rsidRPr="00835E1D" w:rsidRDefault="00835E1D" w:rsidP="00835E1D">
      <w:pPr>
        <w:widowControl w:val="0"/>
        <w:spacing w:after="0" w:line="240" w:lineRule="auto"/>
        <w:ind w:left="152" w:right="274"/>
        <w:rPr>
          <w:rFonts w:ascii="Bookman Old Style" w:eastAsia="Bookman Old Style" w:hAnsi="Bookman Old Style" w:cs="Bookman Old Style"/>
          <w:sz w:val="24"/>
          <w:szCs w:val="24"/>
          <w:lang w:val="en-US"/>
        </w:rPr>
      </w:pP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 xml:space="preserve">Jasmina </w:t>
      </w:r>
      <w:proofErr w:type="spellStart"/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Ackar</w:t>
      </w:r>
      <w:proofErr w:type="spellEnd"/>
    </w:p>
    <w:p w:rsidR="00835E1D" w:rsidRDefault="00835E1D" w:rsidP="00835E1D">
      <w:pPr>
        <w:widowControl w:val="0"/>
        <w:spacing w:after="0" w:line="240" w:lineRule="auto"/>
        <w:ind w:left="152" w:right="6236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A</w:t>
      </w:r>
      <w:r w:rsidRPr="00835E1D">
        <w:rPr>
          <w:rFonts w:ascii="Bookman Old Style" w:eastAsia="Bookman Old Style" w:hAnsi="Bookman Old Style" w:cs="Times New Roman"/>
          <w:sz w:val="24"/>
          <w:szCs w:val="24"/>
          <w:lang w:val="en-US"/>
        </w:rPr>
        <w:t xml:space="preserve">cting </w:t>
      </w: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Director</w:t>
      </w:r>
      <w:r w:rsidRPr="00835E1D">
        <w:rPr>
          <w:rFonts w:ascii="Bookman Old Style" w:eastAsia="Bookman Old Style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Ports Policy</w:t>
      </w:r>
    </w:p>
    <w:p w:rsidR="00835E1D" w:rsidRPr="00835E1D" w:rsidRDefault="00835E1D" w:rsidP="00835E1D">
      <w:pPr>
        <w:widowControl w:val="0"/>
        <w:spacing w:after="0" w:line="240" w:lineRule="auto"/>
        <w:ind w:left="152" w:right="6236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>
        <w:rPr>
          <w:rFonts w:ascii="Bookman Old Style" w:eastAsia="Bookman Old Style" w:hAnsi="Bookman Old Style" w:cs="Times New Roman"/>
          <w:sz w:val="24"/>
          <w:szCs w:val="24"/>
          <w:lang w:val="en-US"/>
        </w:rPr>
        <w:t>Traveller Branch</w:t>
      </w:r>
    </w:p>
    <w:p w:rsidR="00835E1D" w:rsidRPr="00835E1D" w:rsidRDefault="00835E1D" w:rsidP="00835E1D">
      <w:pPr>
        <w:widowControl w:val="0"/>
        <w:spacing w:after="0" w:line="240" w:lineRule="auto"/>
        <w:ind w:left="152" w:right="6418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Times New Roman"/>
          <w:sz w:val="24"/>
          <w:szCs w:val="24"/>
          <w:lang w:val="en-US"/>
        </w:rPr>
        <w:t>Customs Group</w:t>
      </w:r>
    </w:p>
    <w:p w:rsidR="00835E1D" w:rsidRPr="00835E1D" w:rsidRDefault="00835E1D" w:rsidP="00835E1D">
      <w:pPr>
        <w:widowControl w:val="0"/>
        <w:spacing w:after="0" w:line="240" w:lineRule="auto"/>
        <w:ind w:left="152" w:right="6418"/>
        <w:rPr>
          <w:rFonts w:ascii="Bookman Old Style" w:eastAsia="Bookman Old Style" w:hAnsi="Bookman Old Style" w:cs="Times New Roman"/>
          <w:sz w:val="24"/>
          <w:szCs w:val="24"/>
          <w:lang w:val="en-US"/>
        </w:rPr>
      </w:pPr>
      <w:r w:rsidRPr="00835E1D">
        <w:rPr>
          <w:rFonts w:ascii="Bookman Old Style" w:eastAsia="Bookman Old Style" w:hAnsi="Bookman Old Style" w:cs="Times New Roman"/>
          <w:sz w:val="24"/>
          <w:szCs w:val="24"/>
          <w:lang w:val="en-US"/>
        </w:rPr>
        <w:t>Australian Border Force</w:t>
      </w:r>
    </w:p>
    <w:p w:rsidR="00E770FF" w:rsidRDefault="00E770FF" w:rsidP="00424B97"/>
    <w:p w:rsidR="00E770FF" w:rsidRDefault="00E770FF">
      <w:r>
        <w:br w:type="page"/>
      </w:r>
    </w:p>
    <w:p w:rsidR="004B2753" w:rsidRPr="00424B97" w:rsidRDefault="00E770FF" w:rsidP="00424B97">
      <w:r>
        <w:rPr>
          <w:noProof/>
          <w:lang w:val="en-US"/>
        </w:rPr>
        <w:lastRenderedPageBreak/>
        <w:drawing>
          <wp:inline distT="0" distB="0" distL="0" distR="0" wp14:anchorId="320A59C5" wp14:editId="3D8944C9">
            <wp:extent cx="6043930" cy="9251950"/>
            <wp:effectExtent l="0" t="0" r="0" b="6350"/>
            <wp:docPr id="2" name="Picture 2" descr="Port Revocation and Appointment (No. 20/13) – Port of Burnie" title="Port Revocation and Appointment (No. 20/13 – Port of Bur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  <w:embedRegular r:id="rId1" w:fontKey="{586A628A-1706-4147-86F4-CD168D3B5B2B}"/>
    <w:embedBold r:id="rId2" w:fontKey="{646CA8BA-131A-4EE3-A5C1-56DACBCE02A8}"/>
    <w:embedItalic r:id="rId3" w:fontKey="{9CC0B660-5237-43A6-A3DD-3B23EAB6A96B}"/>
    <w:embedBoldItalic r:id="rId4" w:fontKey="{754F5198-56F3-42F7-A443-09589B3F1B4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US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1478"/>
    <w:multiLevelType w:val="hybridMultilevel"/>
    <w:tmpl w:val="F9FE23E4"/>
    <w:lvl w:ilvl="0" w:tplc="3D0C84AA">
      <w:start w:val="1"/>
      <w:numFmt w:val="lowerLetter"/>
      <w:lvlText w:val="%1)"/>
      <w:lvlJc w:val="left"/>
      <w:pPr>
        <w:ind w:left="873" w:hanging="360"/>
        <w:jc w:val="left"/>
      </w:pPr>
      <w:rPr>
        <w:rFonts w:ascii="Bookman Old Style" w:eastAsia="Bookman Old Style" w:hAnsi="Bookman Old Style" w:hint="default"/>
        <w:w w:val="100"/>
        <w:sz w:val="24"/>
        <w:szCs w:val="24"/>
      </w:rPr>
    </w:lvl>
    <w:lvl w:ilvl="1" w:tplc="D5E8A410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8FF2C4C0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8C46C7A2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1A8483D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0624E5EE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88186958">
      <w:start w:val="1"/>
      <w:numFmt w:val="bullet"/>
      <w:lvlText w:val="•"/>
      <w:lvlJc w:val="left"/>
      <w:pPr>
        <w:ind w:left="6307" w:hanging="360"/>
      </w:pPr>
      <w:rPr>
        <w:rFonts w:hint="default"/>
      </w:rPr>
    </w:lvl>
    <w:lvl w:ilvl="7" w:tplc="EC20175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D5B65178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45F1B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65065B"/>
    <w:rsid w:val="00835E1D"/>
    <w:rsid w:val="00840A06"/>
    <w:rsid w:val="008439B7"/>
    <w:rsid w:val="0087253F"/>
    <w:rsid w:val="008E4F6C"/>
    <w:rsid w:val="009539C7"/>
    <w:rsid w:val="00A00F21"/>
    <w:rsid w:val="00A41178"/>
    <w:rsid w:val="00B84226"/>
    <w:rsid w:val="00BE7780"/>
    <w:rsid w:val="00C63C4E"/>
    <w:rsid w:val="00C72C30"/>
    <w:rsid w:val="00D229E5"/>
    <w:rsid w:val="00D77A88"/>
    <w:rsid w:val="00E770FF"/>
    <w:rsid w:val="00F03910"/>
    <w:rsid w:val="00F36C8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7AE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A4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D646-5F8B-4C3D-A19D-1A10C97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2020-03-15T01:04:00Z</dcterms:created>
  <dcterms:modified xsi:type="dcterms:W3CDTF">2020-03-15T12:17:00Z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edData">
    <vt:lpwstr>ProtectedData</vt:lpwstr>
  </property>
</Properties>
</file>