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DAED" w14:textId="77777777" w:rsidR="00E00A1A" w:rsidRDefault="00E00A1A" w:rsidP="00A83745">
      <w:pPr>
        <w:rPr>
          <w:rStyle w:val="StyleBold"/>
        </w:rPr>
      </w:pPr>
    </w:p>
    <w:p w14:paraId="1200A54B" w14:textId="77777777" w:rsidR="00A83745" w:rsidRPr="00E00A1A" w:rsidRDefault="00A83745" w:rsidP="00A83745">
      <w:pPr>
        <w:rPr>
          <w:rStyle w:val="StyleBold"/>
          <w:rFonts w:ascii="Arial" w:hAnsi="Arial" w:cs="Arial"/>
        </w:rPr>
      </w:pPr>
      <w:r w:rsidRPr="00E00A1A">
        <w:rPr>
          <w:rStyle w:val="StyleBold"/>
          <w:rFonts w:ascii="Arial" w:hAnsi="Arial" w:cs="Arial"/>
        </w:rPr>
        <w:t>Gazette notice: Commissioner of Taxation – Notice of a data-matching program</w:t>
      </w:r>
    </w:p>
    <w:p w14:paraId="3DD1F700" w14:textId="77777777" w:rsidR="00A83745" w:rsidRPr="00E00A1A" w:rsidRDefault="00A83745" w:rsidP="00A83745">
      <w:pPr>
        <w:rPr>
          <w:rFonts w:ascii="Arial" w:hAnsi="Arial" w:cs="Arial"/>
        </w:rPr>
      </w:pPr>
      <w:r w:rsidRPr="00E00A1A">
        <w:rPr>
          <w:rFonts w:ascii="Arial" w:hAnsi="Arial" w:cs="Arial"/>
        </w:rPr>
        <w:t>The Australian Taxation Office (ATO) will acquire:</w:t>
      </w:r>
    </w:p>
    <w:p w14:paraId="3AFDA327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 xml:space="preserve">confirmation of government Payment made to applicants of temporary early access to superannuation for the period of 19 April 2020 to 24 September 2020 from Services Australia </w:t>
      </w:r>
    </w:p>
    <w:p w14:paraId="2F68D514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 xml:space="preserve">details of incarcerated individuals for the period of 1 March 2020 to 27 September 2020 from state and territory correctional facility regulators.  </w:t>
      </w:r>
    </w:p>
    <w:p w14:paraId="63C325CC" w14:textId="77777777" w:rsidR="00A83745" w:rsidRPr="00E00A1A" w:rsidRDefault="00A83745" w:rsidP="00A83745">
      <w:pPr>
        <w:pStyle w:val="Bulletedlist1"/>
        <w:numPr>
          <w:ilvl w:val="0"/>
          <w:numId w:val="0"/>
        </w:numPr>
        <w:rPr>
          <w:rFonts w:cs="Arial"/>
        </w:rPr>
      </w:pPr>
      <w:r w:rsidRPr="00E00A1A">
        <w:rPr>
          <w:rFonts w:cs="Arial"/>
        </w:rPr>
        <w:t>The data items include:</w:t>
      </w:r>
    </w:p>
    <w:p w14:paraId="508DF287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>identification details (names, addresses, dates of birth)</w:t>
      </w:r>
    </w:p>
    <w:p w14:paraId="709E02B3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>Services Australia transaction details:</w:t>
      </w:r>
    </w:p>
    <w:p w14:paraId="78DA8F2D" w14:textId="77777777" w:rsidR="00A83745" w:rsidRPr="00E00A1A" w:rsidRDefault="00A83745" w:rsidP="00A83745">
      <w:pPr>
        <w:pStyle w:val="Bulletedlist2"/>
        <w:rPr>
          <w:rFonts w:cs="Arial"/>
        </w:rPr>
      </w:pPr>
      <w:r w:rsidRPr="00E00A1A">
        <w:rPr>
          <w:rFonts w:cs="Arial"/>
        </w:rPr>
        <w:t>Government payment/benefit type (</w:t>
      </w:r>
      <w:proofErr w:type="spellStart"/>
      <w:r w:rsidRPr="00E00A1A">
        <w:rPr>
          <w:rFonts w:cs="Arial"/>
        </w:rPr>
        <w:t>JobSeeker</w:t>
      </w:r>
      <w:proofErr w:type="spellEnd"/>
      <w:r w:rsidRPr="00E00A1A">
        <w:rPr>
          <w:rFonts w:cs="Arial"/>
        </w:rPr>
        <w:t xml:space="preserve"> payment, parenting payment, special benefit, youth allowance, farm household allowance).</w:t>
      </w:r>
    </w:p>
    <w:p w14:paraId="73B39ED1" w14:textId="77777777" w:rsidR="00A83745" w:rsidRPr="00E00A1A" w:rsidRDefault="00A83745" w:rsidP="00A83745">
      <w:pPr>
        <w:pStyle w:val="Bulletedlist2"/>
        <w:rPr>
          <w:rFonts w:cs="Arial"/>
        </w:rPr>
      </w:pPr>
      <w:r w:rsidRPr="00E00A1A">
        <w:rPr>
          <w:rFonts w:cs="Arial"/>
        </w:rPr>
        <w:t>Date granted – including where claim for benefit is made and yet to be commenced</w:t>
      </w:r>
    </w:p>
    <w:p w14:paraId="4CE0A04D" w14:textId="77777777" w:rsidR="00A83745" w:rsidRPr="00E00A1A" w:rsidRDefault="00A83745" w:rsidP="00A83745">
      <w:pPr>
        <w:pStyle w:val="Bulletedlist2"/>
        <w:rPr>
          <w:rFonts w:cs="Arial"/>
        </w:rPr>
      </w:pPr>
      <w:r w:rsidRPr="00E00A1A">
        <w:rPr>
          <w:rFonts w:cs="Arial"/>
        </w:rPr>
        <w:t>Ceased government payment/benefit</w:t>
      </w:r>
    </w:p>
    <w:p w14:paraId="607284DC" w14:textId="77777777" w:rsidR="00A83745" w:rsidRPr="00E00A1A" w:rsidRDefault="00A83745" w:rsidP="00A83745">
      <w:pPr>
        <w:pStyle w:val="Bulletedlist2"/>
        <w:rPr>
          <w:rFonts w:cs="Arial"/>
        </w:rPr>
      </w:pPr>
      <w:r w:rsidRPr="00E00A1A">
        <w:rPr>
          <w:rFonts w:cs="Arial"/>
        </w:rPr>
        <w:t>Date government payment/benefit ceased</w:t>
      </w:r>
    </w:p>
    <w:p w14:paraId="245FD26D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>State and territory correctional facility regulators transaction details:</w:t>
      </w:r>
    </w:p>
    <w:p w14:paraId="0B1865A9" w14:textId="77777777" w:rsidR="00A83745" w:rsidRPr="00E00A1A" w:rsidRDefault="00A83745" w:rsidP="00A83745">
      <w:pPr>
        <w:pStyle w:val="Bulletedlist2"/>
        <w:rPr>
          <w:rFonts w:cs="Arial"/>
        </w:rPr>
      </w:pPr>
      <w:r w:rsidRPr="00E00A1A">
        <w:rPr>
          <w:rFonts w:cs="Arial"/>
        </w:rPr>
        <w:t>State of incarceration</w:t>
      </w:r>
    </w:p>
    <w:p w14:paraId="4200B180" w14:textId="77777777" w:rsidR="00A83745" w:rsidRPr="00E00A1A" w:rsidRDefault="00A83745" w:rsidP="00A83745">
      <w:pPr>
        <w:pStyle w:val="Bulletedlist2"/>
        <w:rPr>
          <w:rFonts w:cs="Arial"/>
        </w:rPr>
      </w:pPr>
      <w:r w:rsidRPr="00E00A1A">
        <w:rPr>
          <w:rFonts w:cs="Arial"/>
        </w:rPr>
        <w:t>Date of incarceration</w:t>
      </w:r>
    </w:p>
    <w:p w14:paraId="2FA662AD" w14:textId="77777777" w:rsidR="00A83745" w:rsidRPr="00E00A1A" w:rsidRDefault="00A83745" w:rsidP="00A83745">
      <w:pPr>
        <w:pStyle w:val="Bulletedlist2"/>
        <w:rPr>
          <w:rFonts w:cs="Arial"/>
        </w:rPr>
      </w:pPr>
      <w:r w:rsidRPr="00E00A1A">
        <w:rPr>
          <w:rFonts w:cs="Arial"/>
        </w:rPr>
        <w:t>Expected release date (if available)</w:t>
      </w:r>
    </w:p>
    <w:p w14:paraId="1D246542" w14:textId="77777777" w:rsidR="00A83745" w:rsidRPr="00E00A1A" w:rsidRDefault="00A83745" w:rsidP="00A83745">
      <w:pPr>
        <w:rPr>
          <w:rFonts w:ascii="Arial" w:hAnsi="Arial" w:cs="Arial"/>
        </w:rPr>
      </w:pPr>
    </w:p>
    <w:p w14:paraId="184D69B9" w14:textId="77777777" w:rsidR="00A83745" w:rsidRPr="00E00A1A" w:rsidRDefault="00A83745" w:rsidP="00A83745">
      <w:pPr>
        <w:rPr>
          <w:rFonts w:ascii="Arial" w:hAnsi="Arial" w:cs="Arial"/>
        </w:rPr>
      </w:pPr>
      <w:r w:rsidRPr="00E00A1A">
        <w:rPr>
          <w:rFonts w:ascii="Arial" w:hAnsi="Arial" w:cs="Arial"/>
        </w:rPr>
        <w:t>The data collected from Services Australia is expected to relate to approximately three million individuals.</w:t>
      </w:r>
    </w:p>
    <w:p w14:paraId="6CDDA264" w14:textId="77777777" w:rsidR="00A83745" w:rsidRPr="00E00A1A" w:rsidRDefault="00A83745" w:rsidP="00A83745">
      <w:pPr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The data collected from the state and territory correctional facility regulators is expected to relate to approximately 45,000 individuals.  </w:t>
      </w:r>
    </w:p>
    <w:p w14:paraId="0DABBB69" w14:textId="77777777" w:rsidR="00A83745" w:rsidRPr="00E00A1A" w:rsidRDefault="00A83745" w:rsidP="00A83745">
      <w:pPr>
        <w:rPr>
          <w:rFonts w:ascii="Arial" w:hAnsi="Arial" w:cs="Arial"/>
        </w:rPr>
      </w:pPr>
      <w:r w:rsidRPr="00E00A1A">
        <w:rPr>
          <w:rFonts w:ascii="Arial" w:hAnsi="Arial" w:cs="Arial"/>
        </w:rPr>
        <w:t>The data will be acquired and matched to verify eligibility criteria for:</w:t>
      </w:r>
    </w:p>
    <w:p w14:paraId="10415FF9" w14:textId="77777777" w:rsidR="00A83745" w:rsidRPr="00E00A1A" w:rsidRDefault="00A83745" w:rsidP="00A83745">
      <w:pPr>
        <w:pStyle w:val="Bulletedlist1"/>
        <w:rPr>
          <w:rFonts w:cs="Arial"/>
        </w:rPr>
      </w:pPr>
      <w:proofErr w:type="spellStart"/>
      <w:r w:rsidRPr="00E00A1A">
        <w:rPr>
          <w:rFonts w:cs="Arial"/>
        </w:rPr>
        <w:t>JobKeeper</w:t>
      </w:r>
      <w:proofErr w:type="spellEnd"/>
      <w:r w:rsidRPr="00E00A1A">
        <w:rPr>
          <w:rFonts w:cs="Arial"/>
        </w:rPr>
        <w:t xml:space="preserve"> payments</w:t>
      </w:r>
    </w:p>
    <w:p w14:paraId="370B891B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>temporary early access to superannuation</w:t>
      </w:r>
    </w:p>
    <w:p w14:paraId="5097ACBF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 xml:space="preserve">temporary cash flow boost.  </w:t>
      </w:r>
    </w:p>
    <w:p w14:paraId="65CAF05A" w14:textId="77777777" w:rsidR="00A83745" w:rsidRPr="00E00A1A" w:rsidRDefault="00A83745" w:rsidP="00A83745">
      <w:pPr>
        <w:pStyle w:val="Bulletedlist1"/>
        <w:numPr>
          <w:ilvl w:val="0"/>
          <w:numId w:val="0"/>
        </w:numPr>
        <w:rPr>
          <w:rFonts w:cs="Arial"/>
        </w:rPr>
      </w:pPr>
      <w:r w:rsidRPr="00E00A1A">
        <w:rPr>
          <w:rFonts w:cs="Arial"/>
        </w:rPr>
        <w:t>The objectives of this program are to:</w:t>
      </w:r>
    </w:p>
    <w:p w14:paraId="3573AC26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>ensure COVID-19 economic response provides timely support to affected workers business and the broader community</w:t>
      </w:r>
    </w:p>
    <w:p w14:paraId="31A00685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>undertake verification of applications and identify compliance issues</w:t>
      </w:r>
    </w:p>
    <w:p w14:paraId="6326F88D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lastRenderedPageBreak/>
        <w:t xml:space="preserve">implement treatment strategies to improve voluntary compliance, which may include educational and compliance activities as appropriate </w:t>
      </w:r>
    </w:p>
    <w:p w14:paraId="691A2A10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>identify and educate those individuals and businesses who may be failing to meet their registration and/or lodgment obligations and assist them to comply</w:t>
      </w:r>
    </w:p>
    <w:p w14:paraId="2BCC96C8" w14:textId="77777777" w:rsidR="00A83745" w:rsidRPr="00E00A1A" w:rsidRDefault="00A83745" w:rsidP="00A83745">
      <w:pPr>
        <w:pStyle w:val="Bulletedlist1"/>
        <w:rPr>
          <w:rFonts w:cs="Arial"/>
        </w:rPr>
      </w:pPr>
      <w:r w:rsidRPr="00E00A1A">
        <w:rPr>
          <w:rFonts w:cs="Arial"/>
        </w:rPr>
        <w:t>help ensure that individuals and businesses are fulfilling their tax and superannuation reporting obligations</w:t>
      </w:r>
    </w:p>
    <w:p w14:paraId="62C150DE" w14:textId="77777777" w:rsidR="00A83745" w:rsidRPr="00E00A1A" w:rsidRDefault="00A83745" w:rsidP="00A83745">
      <w:pPr>
        <w:rPr>
          <w:rStyle w:val="Hyperlink"/>
          <w:rFonts w:ascii="Arial" w:hAnsi="Arial" w:cs="Arial"/>
        </w:rPr>
      </w:pPr>
      <w:r w:rsidRPr="00E00A1A">
        <w:rPr>
          <w:rFonts w:ascii="Arial" w:hAnsi="Arial" w:cs="Arial"/>
        </w:rPr>
        <w:t xml:space="preserve">A document describing this program is available at </w:t>
      </w:r>
      <w:hyperlink r:id="rId8" w:history="1">
        <w:r w:rsidRPr="00E00A1A">
          <w:rPr>
            <w:rStyle w:val="Link-Internal"/>
            <w:rFonts w:ascii="Arial" w:hAnsi="Arial" w:cs="Arial"/>
          </w:rPr>
          <w:t>ato.gov.au/</w:t>
        </w:r>
        <w:proofErr w:type="spellStart"/>
        <w:r w:rsidRPr="00E00A1A">
          <w:rPr>
            <w:rStyle w:val="Link-Internal"/>
            <w:rFonts w:ascii="Arial" w:hAnsi="Arial" w:cs="Arial"/>
          </w:rPr>
          <w:t>dmprotocols</w:t>
        </w:r>
        <w:proofErr w:type="spellEnd"/>
      </w:hyperlink>
    </w:p>
    <w:p w14:paraId="2D48492A" w14:textId="77777777" w:rsidR="00A83745" w:rsidRPr="00E00A1A" w:rsidRDefault="00A83745" w:rsidP="00A83745">
      <w:pPr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This program follows the Office of the Australian Information Commissioner’s </w:t>
      </w:r>
      <w:r w:rsidRPr="00E00A1A">
        <w:rPr>
          <w:rStyle w:val="StyleItalic"/>
          <w:rFonts w:ascii="Arial" w:hAnsi="Arial" w:cs="Arial"/>
        </w:rPr>
        <w:t>Guidelines on data matching in Australian government administration</w:t>
      </w:r>
      <w:r w:rsidRPr="00E00A1A">
        <w:rPr>
          <w:rFonts w:ascii="Arial" w:hAnsi="Arial" w:cs="Arial"/>
        </w:rPr>
        <w:t xml:space="preserve"> (2014) (the guidelines). The guidelines include standards for the use data-matching as an administrative tool in a way that complies with the Australian Privacy Principles (APPs) and the </w:t>
      </w:r>
      <w:r w:rsidRPr="00E00A1A">
        <w:rPr>
          <w:rStyle w:val="StyleItalic"/>
          <w:rFonts w:ascii="Arial" w:hAnsi="Arial" w:cs="Arial"/>
        </w:rPr>
        <w:t xml:space="preserve">Privacy Act 1988 </w:t>
      </w:r>
      <w:r w:rsidRPr="00E00A1A">
        <w:rPr>
          <w:rFonts w:ascii="Arial" w:hAnsi="Arial" w:cs="Arial"/>
        </w:rPr>
        <w:t>(Privacy Act) and are consistent with good privacy practice.</w:t>
      </w:r>
    </w:p>
    <w:p w14:paraId="492B950B" w14:textId="77777777" w:rsidR="00A83745" w:rsidRPr="00E00A1A" w:rsidRDefault="00A83745" w:rsidP="00A83745">
      <w:pPr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A full copy of the ATO’s privacy policy can be accessed at </w:t>
      </w:r>
      <w:hyperlink r:id="rId9" w:history="1">
        <w:r w:rsidRPr="00E00A1A">
          <w:rPr>
            <w:rStyle w:val="Link-Internal"/>
            <w:rFonts w:ascii="Arial" w:hAnsi="Arial" w:cs="Arial"/>
          </w:rPr>
          <w:t>ato.gov.au/privacy</w:t>
        </w:r>
      </w:hyperlink>
    </w:p>
    <w:p w14:paraId="28019719" w14:textId="77777777" w:rsidR="004B2753" w:rsidRPr="00424B97" w:rsidRDefault="004B2753" w:rsidP="00424B97">
      <w:bookmarkStart w:id="0" w:name="_GoBack"/>
      <w:bookmarkEnd w:id="0"/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E0910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C01A93C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20D1D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29715971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B03B9E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88EC0E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C719C28" wp14:editId="2D80ABA2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6D4B05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87E294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264E9A4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8FEC214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068753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463F05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9077F6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5D48"/>
    <w:multiLevelType w:val="multilevel"/>
    <w:tmpl w:val="F8F8EC02"/>
    <w:name w:val="BulletedList"/>
    <w:lvl w:ilvl="0">
      <w:start w:val="1"/>
      <w:numFmt w:val="bullet"/>
      <w:pStyle w:val="Bulletedlist1"/>
      <w:lvlText w:val="■"/>
      <w:lvlJc w:val="left"/>
      <w:pPr>
        <w:ind w:left="425" w:hanging="425"/>
      </w:pPr>
      <w:rPr>
        <w:rFonts w:ascii="Arial" w:hAnsi="Arial" w:hint="default"/>
        <w:color w:val="C0C0C0"/>
      </w:rPr>
    </w:lvl>
    <w:lvl w:ilvl="1">
      <w:start w:val="1"/>
      <w:numFmt w:val="bullet"/>
      <w:pStyle w:val="Bulletedlist2"/>
      <w:lvlText w:val="–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bullet"/>
      <w:pStyle w:val="Bulletedlist3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83745"/>
    <w:rsid w:val="00B84226"/>
    <w:rsid w:val="00BE7780"/>
    <w:rsid w:val="00C63C4E"/>
    <w:rsid w:val="00C72C30"/>
    <w:rsid w:val="00D229E5"/>
    <w:rsid w:val="00D77A88"/>
    <w:rsid w:val="00E00A1A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7B3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37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StyleBold">
    <w:name w:val="Style Bold"/>
    <w:rsid w:val="00A83745"/>
    <w:rPr>
      <w:b/>
      <w:bCs/>
    </w:rPr>
  </w:style>
  <w:style w:type="character" w:customStyle="1" w:styleId="StyleItalic">
    <w:name w:val="Style Italic"/>
    <w:rsid w:val="00A83745"/>
    <w:rPr>
      <w:i/>
      <w:iCs/>
    </w:rPr>
  </w:style>
  <w:style w:type="character" w:styleId="Hyperlink">
    <w:name w:val="Hyperlink"/>
    <w:unhideWhenUsed/>
    <w:rsid w:val="00A83745"/>
    <w:rPr>
      <w:color w:val="0000FF"/>
      <w:u w:val="single"/>
    </w:rPr>
  </w:style>
  <w:style w:type="character" w:customStyle="1" w:styleId="Link-Internal">
    <w:name w:val="Link - Internal"/>
    <w:rsid w:val="00A83745"/>
    <w:rPr>
      <w:color w:val="0000FF"/>
      <w:u w:val="single"/>
      <w:bdr w:val="none" w:sz="0" w:space="0" w:color="auto"/>
      <w:shd w:val="clear" w:color="auto" w:fill="FFCCFF"/>
    </w:rPr>
  </w:style>
  <w:style w:type="paragraph" w:customStyle="1" w:styleId="Bulletedlist1">
    <w:name w:val="Bulleted list 1"/>
    <w:basedOn w:val="Normal"/>
    <w:qFormat/>
    <w:rsid w:val="00A83745"/>
    <w:pPr>
      <w:numPr>
        <w:numId w:val="1"/>
      </w:numPr>
      <w:spacing w:before="200" w:after="0" w:line="240" w:lineRule="auto"/>
    </w:pPr>
    <w:rPr>
      <w:rFonts w:ascii="Arial" w:eastAsia="Times New Roman" w:hAnsi="Arial"/>
      <w:szCs w:val="24"/>
      <w:lang w:eastAsia="en-AU"/>
    </w:rPr>
  </w:style>
  <w:style w:type="paragraph" w:customStyle="1" w:styleId="Bulletedlist2">
    <w:name w:val="Bulleted list 2"/>
    <w:basedOn w:val="Bulletedlist1"/>
    <w:qFormat/>
    <w:rsid w:val="00A83745"/>
    <w:pPr>
      <w:numPr>
        <w:ilvl w:val="1"/>
      </w:numPr>
    </w:pPr>
  </w:style>
  <w:style w:type="paragraph" w:customStyle="1" w:styleId="Bulletedlist3">
    <w:name w:val="Bulleted list 3"/>
    <w:basedOn w:val="Bulletedlist1"/>
    <w:qFormat/>
    <w:rsid w:val="00A83745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general/gen/data-matching-protoc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o.gov.au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942B-8CBB-4C3A-AA7F-94EDA135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2020-06-02T01:25:00Z</dcterms:created>
  <dcterms:modified xsi:type="dcterms:W3CDTF">2020-06-02T01:26:00Z</dcterms:modified>
  <cp:category/>
  <cp:contentStatus/>
  <dc:language/>
  <cp:version/>
</cp:coreProperties>
</file>