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8A476" w14:textId="77777777" w:rsidR="00F63404" w:rsidRDefault="00F63404" w:rsidP="00E175CE">
      <w:pPr>
        <w:widowControl w:val="0"/>
        <w:numPr>
          <w:ilvl w:val="0"/>
          <w:numId w:val="0"/>
        </w:numPr>
        <w:spacing w:after="360"/>
        <w:ind w:right="-23"/>
        <w:jc w:val="left"/>
        <w:outlineLvl w:val="0"/>
        <w:rPr>
          <w:rFonts w:eastAsia="Arial" w:cs="Arial"/>
          <w:b/>
          <w:color w:val="auto"/>
          <w:sz w:val="32"/>
          <w:szCs w:val="40"/>
          <w:lang w:val="en-US"/>
        </w:rPr>
      </w:pPr>
    </w:p>
    <w:p w14:paraId="6F9A048E" w14:textId="77777777" w:rsidR="00E175CE" w:rsidRPr="00343221" w:rsidRDefault="00E175CE" w:rsidP="00E175CE">
      <w:pPr>
        <w:widowControl w:val="0"/>
        <w:numPr>
          <w:ilvl w:val="0"/>
          <w:numId w:val="0"/>
        </w:numPr>
        <w:spacing w:after="360"/>
        <w:ind w:right="-23"/>
        <w:jc w:val="left"/>
        <w:outlineLvl w:val="0"/>
        <w:rPr>
          <w:rFonts w:eastAsia="Arial" w:cs="Arial"/>
          <w:color w:val="auto"/>
          <w:sz w:val="32"/>
          <w:szCs w:val="40"/>
          <w:lang w:val="en-US" w:eastAsia="en-AU"/>
        </w:rPr>
      </w:pPr>
      <w:r w:rsidRPr="00343221">
        <w:rPr>
          <w:rFonts w:eastAsia="Arial" w:cs="Arial"/>
          <w:b/>
          <w:color w:val="auto"/>
          <w:sz w:val="32"/>
          <w:szCs w:val="40"/>
          <w:lang w:val="en-US"/>
        </w:rPr>
        <w:t>Registration as a NOHC of a life company</w:t>
      </w:r>
    </w:p>
    <w:p w14:paraId="02ADA0AB" w14:textId="77777777" w:rsidR="00E175CE" w:rsidRPr="00343221" w:rsidRDefault="00E175CE" w:rsidP="00E175CE">
      <w:pPr>
        <w:pBdr>
          <w:bottom w:val="single" w:sz="4" w:space="3" w:color="auto"/>
        </w:pBdr>
        <w:jc w:val="left"/>
        <w:rPr>
          <w:rFonts w:eastAsia="Times New Roman" w:cs="Arial"/>
          <w:b/>
          <w:i/>
          <w:iCs/>
          <w:color w:val="auto"/>
          <w:lang w:eastAsia="en-AU"/>
        </w:rPr>
      </w:pPr>
      <w:r w:rsidRPr="00343221">
        <w:rPr>
          <w:rFonts w:eastAsia="Times New Roman" w:cs="Arial"/>
          <w:b/>
          <w:i/>
          <w:iCs/>
          <w:color w:val="auto"/>
          <w:lang w:eastAsia="en-AU"/>
        </w:rPr>
        <w:t>Life Insurance Act 1995</w:t>
      </w:r>
    </w:p>
    <w:p w14:paraId="59F974F2" w14:textId="77777777" w:rsidR="00E175CE" w:rsidRPr="00343221" w:rsidRDefault="00E175CE" w:rsidP="00E175CE">
      <w:pPr>
        <w:spacing w:after="0"/>
        <w:jc w:val="left"/>
        <w:rPr>
          <w:rFonts w:eastAsia="Trebuchet MS" w:cs="Arial"/>
          <w:color w:val="auto"/>
        </w:rPr>
      </w:pPr>
      <w:r w:rsidRPr="00343221">
        <w:rPr>
          <w:rFonts w:eastAsia="Trebuchet MS" w:cs="Arial"/>
          <w:color w:val="auto"/>
        </w:rPr>
        <w:t xml:space="preserve">To: </w:t>
      </w:r>
      <w:bookmarkStart w:id="0" w:name="_GoBack"/>
      <w:r w:rsidRPr="00343221">
        <w:rPr>
          <w:rFonts w:eastAsia="Trebuchet MS" w:cs="Arial"/>
          <w:color w:val="auto"/>
        </w:rPr>
        <w:t>Resolution Life NOHC Pty Ltd</w:t>
      </w:r>
      <w:bookmarkEnd w:id="0"/>
      <w:r w:rsidRPr="00343221">
        <w:rPr>
          <w:rFonts w:eastAsia="Trebuchet MS" w:cs="Arial"/>
          <w:color w:val="auto"/>
        </w:rPr>
        <w:t xml:space="preserve"> ACN 633 375 069 (the body corporate)</w:t>
      </w:r>
    </w:p>
    <w:p w14:paraId="520843ED" w14:textId="77777777" w:rsidR="00E175CE" w:rsidRPr="00343221" w:rsidRDefault="00E175CE" w:rsidP="00E175CE">
      <w:pPr>
        <w:spacing w:after="0"/>
        <w:jc w:val="left"/>
        <w:rPr>
          <w:rFonts w:eastAsia="Trebuchet MS" w:cs="Arial"/>
          <w:color w:val="auto"/>
        </w:rPr>
      </w:pPr>
    </w:p>
    <w:p w14:paraId="2222CE0A" w14:textId="77777777" w:rsidR="00E175CE" w:rsidRPr="00343221" w:rsidRDefault="00E175CE" w:rsidP="00E175CE">
      <w:pPr>
        <w:spacing w:after="0"/>
        <w:jc w:val="left"/>
        <w:rPr>
          <w:rFonts w:eastAsia="Trebuchet MS" w:cs="Arial"/>
          <w:color w:val="auto"/>
        </w:rPr>
      </w:pPr>
      <w:r w:rsidRPr="00343221">
        <w:rPr>
          <w:rFonts w:eastAsia="Trebuchet MS" w:cs="Arial"/>
          <w:color w:val="auto"/>
        </w:rPr>
        <w:t>Since the body corporate has applied for a NOHC registration and I am satisfied it is appropriate that it be so registered,</w:t>
      </w:r>
    </w:p>
    <w:p w14:paraId="2C472189" w14:textId="77777777" w:rsidR="00E175CE" w:rsidRPr="00343221" w:rsidRDefault="00E175CE" w:rsidP="00E175CE">
      <w:pPr>
        <w:spacing w:after="0"/>
        <w:jc w:val="left"/>
        <w:rPr>
          <w:rFonts w:eastAsia="Trebuchet MS" w:cs="Arial"/>
          <w:color w:val="auto"/>
        </w:rPr>
      </w:pPr>
    </w:p>
    <w:p w14:paraId="3FDE5EAF" w14:textId="77777777" w:rsidR="00E175CE" w:rsidRPr="00343221" w:rsidRDefault="00E175CE" w:rsidP="00E175CE">
      <w:pPr>
        <w:spacing w:after="0"/>
        <w:jc w:val="left"/>
        <w:rPr>
          <w:rFonts w:eastAsia="Trebuchet MS" w:cs="Arial"/>
          <w:color w:val="auto"/>
        </w:rPr>
      </w:pPr>
      <w:r w:rsidRPr="00343221">
        <w:rPr>
          <w:rFonts w:eastAsia="Trebuchet MS" w:cs="Arial"/>
          <w:color w:val="auto"/>
        </w:rPr>
        <w:t xml:space="preserve">I, Brandon </w:t>
      </w:r>
      <w:r w:rsidRPr="00830243">
        <w:rPr>
          <w:rFonts w:eastAsia="Trebuchet MS" w:cs="Arial"/>
          <w:color w:val="auto"/>
        </w:rPr>
        <w:t xml:space="preserve">Kong Leong </w:t>
      </w:r>
      <w:r w:rsidRPr="00343221">
        <w:rPr>
          <w:rFonts w:eastAsia="Trebuchet MS" w:cs="Arial"/>
          <w:color w:val="auto"/>
        </w:rPr>
        <w:t xml:space="preserve">Khoo, as a delegate of APRA, under </w:t>
      </w:r>
    </w:p>
    <w:p w14:paraId="50E33837" w14:textId="77777777" w:rsidR="00E175CE" w:rsidRPr="00343221" w:rsidRDefault="00E175CE" w:rsidP="00E175CE">
      <w:pPr>
        <w:spacing w:after="0"/>
        <w:jc w:val="left"/>
        <w:rPr>
          <w:rFonts w:eastAsia="Trebuchet MS" w:cs="Arial"/>
          <w:color w:val="auto"/>
        </w:rPr>
      </w:pPr>
    </w:p>
    <w:p w14:paraId="37F06B40" w14:textId="77777777" w:rsidR="00E175CE" w:rsidRPr="00343221" w:rsidRDefault="00E175CE" w:rsidP="00E175CE">
      <w:pPr>
        <w:numPr>
          <w:ilvl w:val="0"/>
          <w:numId w:val="13"/>
        </w:numPr>
        <w:spacing w:after="0" w:line="288" w:lineRule="auto"/>
        <w:contextualSpacing/>
        <w:jc w:val="left"/>
        <w:rPr>
          <w:rFonts w:eastAsia="Times New Roman" w:cs="Arial"/>
          <w:color w:val="auto"/>
          <w:szCs w:val="24"/>
          <w:lang w:eastAsia="en-AU"/>
        </w:rPr>
      </w:pPr>
      <w:r w:rsidRPr="00343221">
        <w:rPr>
          <w:rFonts w:eastAsia="Times New Roman" w:cs="Arial"/>
          <w:color w:val="auto"/>
          <w:szCs w:val="24"/>
          <w:lang w:eastAsia="en-AU"/>
        </w:rPr>
        <w:t xml:space="preserve">subsection 28A(3) of the </w:t>
      </w:r>
      <w:r w:rsidRPr="00343221">
        <w:rPr>
          <w:rFonts w:eastAsia="Times New Roman" w:cs="Arial"/>
          <w:i/>
          <w:color w:val="auto"/>
          <w:szCs w:val="24"/>
          <w:lang w:eastAsia="en-AU"/>
        </w:rPr>
        <w:t xml:space="preserve">Life Insurance Act 1995 </w:t>
      </w:r>
      <w:r w:rsidRPr="00343221">
        <w:rPr>
          <w:rFonts w:eastAsia="Times New Roman" w:cs="Arial"/>
          <w:color w:val="auto"/>
          <w:szCs w:val="24"/>
          <w:lang w:eastAsia="en-AU"/>
        </w:rPr>
        <w:t>(Act), grant the body corporate registration under section 28A of the Act; and</w:t>
      </w:r>
    </w:p>
    <w:p w14:paraId="1D4F44DA" w14:textId="77777777" w:rsidR="00E175CE" w:rsidRPr="00343221" w:rsidRDefault="00E175CE" w:rsidP="00E175CE">
      <w:pPr>
        <w:spacing w:after="0"/>
        <w:ind w:left="720"/>
        <w:contextualSpacing/>
        <w:rPr>
          <w:rFonts w:eastAsia="Times New Roman" w:cs="Arial"/>
          <w:color w:val="auto"/>
          <w:szCs w:val="24"/>
          <w:lang w:eastAsia="en-AU"/>
        </w:rPr>
      </w:pPr>
    </w:p>
    <w:p w14:paraId="0511276E" w14:textId="77777777" w:rsidR="00E175CE" w:rsidRPr="00343221" w:rsidRDefault="00E175CE" w:rsidP="00E175CE">
      <w:pPr>
        <w:numPr>
          <w:ilvl w:val="0"/>
          <w:numId w:val="13"/>
        </w:numPr>
        <w:spacing w:after="0" w:line="288" w:lineRule="auto"/>
        <w:contextualSpacing/>
        <w:jc w:val="left"/>
        <w:rPr>
          <w:rFonts w:eastAsia="Times New Roman" w:cs="Arial"/>
          <w:color w:val="auto"/>
          <w:szCs w:val="24"/>
          <w:lang w:eastAsia="en-AU"/>
        </w:rPr>
      </w:pPr>
      <w:r w:rsidRPr="00343221">
        <w:rPr>
          <w:rFonts w:eastAsia="Times New Roman" w:cs="Arial"/>
          <w:color w:val="auto"/>
          <w:szCs w:val="24"/>
          <w:lang w:eastAsia="en-AU"/>
        </w:rPr>
        <w:t xml:space="preserve">subsection 28B(1) of the Act impose the condition on the NOHC registration set out in the Schedule. </w:t>
      </w:r>
    </w:p>
    <w:p w14:paraId="7E225E54" w14:textId="77777777" w:rsidR="00E175CE" w:rsidRPr="00343221" w:rsidRDefault="00E175CE" w:rsidP="00E175CE">
      <w:pPr>
        <w:spacing w:after="0"/>
        <w:jc w:val="left"/>
        <w:rPr>
          <w:rFonts w:eastAsia="Trebuchet MS" w:cs="Arial"/>
          <w:color w:val="auto"/>
        </w:rPr>
      </w:pPr>
    </w:p>
    <w:p w14:paraId="0789C5A3" w14:textId="77777777" w:rsidR="00E175CE" w:rsidRPr="00343221" w:rsidRDefault="00E175CE" w:rsidP="00E175CE">
      <w:pPr>
        <w:spacing w:after="0"/>
        <w:jc w:val="left"/>
        <w:rPr>
          <w:rFonts w:eastAsia="Trebuchet MS" w:cs="Arial"/>
          <w:color w:val="auto"/>
        </w:rPr>
      </w:pPr>
      <w:r w:rsidRPr="00343221">
        <w:rPr>
          <w:rFonts w:eastAsia="Trebuchet MS" w:cs="Arial"/>
          <w:color w:val="auto"/>
        </w:rPr>
        <w:t xml:space="preserve">This authority commences on </w:t>
      </w:r>
      <w:r>
        <w:rPr>
          <w:rFonts w:eastAsia="Trebuchet MS" w:cs="Arial"/>
          <w:color w:val="auto"/>
        </w:rPr>
        <w:t>the day it is made</w:t>
      </w:r>
      <w:r w:rsidRPr="00343221">
        <w:rPr>
          <w:rFonts w:eastAsia="Trebuchet MS" w:cs="Arial"/>
          <w:color w:val="auto"/>
        </w:rPr>
        <w:t>.</w:t>
      </w:r>
    </w:p>
    <w:p w14:paraId="4B6FC146" w14:textId="77777777" w:rsidR="006744E4" w:rsidRDefault="006744E4" w:rsidP="00643022">
      <w:pPr>
        <w:pStyle w:val="IntroTo"/>
        <w:ind w:left="0" w:firstLine="0"/>
        <w:jc w:val="both"/>
        <w:rPr>
          <w:rFonts w:ascii="Arial" w:hAnsi="Arial" w:cs="Arial"/>
          <w:sz w:val="22"/>
          <w:szCs w:val="22"/>
        </w:rPr>
      </w:pPr>
    </w:p>
    <w:p w14:paraId="19568A13" w14:textId="77777777" w:rsidR="00497B24" w:rsidRPr="00C72C1A" w:rsidRDefault="00497B24" w:rsidP="000F714F">
      <w:pPr>
        <w:pStyle w:val="IntroTo"/>
        <w:jc w:val="both"/>
        <w:rPr>
          <w:rFonts w:ascii="Arial" w:hAnsi="Arial" w:cs="Arial"/>
          <w:sz w:val="22"/>
          <w:szCs w:val="22"/>
        </w:rPr>
      </w:pPr>
    </w:p>
    <w:p w14:paraId="27FBC71B" w14:textId="62844175" w:rsidR="000F714F" w:rsidRPr="00C72C1A" w:rsidRDefault="000F714F" w:rsidP="000F714F">
      <w:pPr>
        <w:pStyle w:val="IntroTo"/>
        <w:jc w:val="both"/>
        <w:rPr>
          <w:rFonts w:ascii="Arial" w:hAnsi="Arial" w:cs="Arial"/>
          <w:sz w:val="22"/>
          <w:szCs w:val="22"/>
        </w:rPr>
      </w:pPr>
      <w:r w:rsidRPr="00C72C1A">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E6290BBFF2BA46A1BC5746C576E356C7"/>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CC66208C-89EA-450E-BA15-444249069C72}"/>
          <w:date w:fullDate="2020-07-01T00:00:00Z">
            <w:dateFormat w:val="d MMMM yyyy"/>
            <w:lid w:val="en-AU"/>
            <w:storeMappedDataAs w:val="dateTime"/>
            <w:calendar w:val="gregorian"/>
          </w:date>
        </w:sdtPr>
        <w:sdtEndPr/>
        <w:sdtContent>
          <w:r w:rsidR="00230A1D">
            <w:rPr>
              <w:rFonts w:ascii="Arial" w:hAnsi="Arial" w:cs="Arial"/>
              <w:sz w:val="22"/>
              <w:szCs w:val="22"/>
            </w:rPr>
            <w:t>1 July 2020</w:t>
          </w:r>
        </w:sdtContent>
      </w:sdt>
    </w:p>
    <w:p w14:paraId="0112263D" w14:textId="77777777" w:rsidR="000F714F" w:rsidRPr="00643022" w:rsidRDefault="000F714F" w:rsidP="000F714F">
      <w:pPr>
        <w:pStyle w:val="IntroTo"/>
        <w:jc w:val="both"/>
        <w:rPr>
          <w:rFonts w:ascii="Arial" w:hAnsi="Arial" w:cs="Arial"/>
          <w:b/>
          <w:sz w:val="22"/>
          <w:szCs w:val="22"/>
        </w:rPr>
      </w:pPr>
    </w:p>
    <w:p w14:paraId="305193F4" w14:textId="4D090A12" w:rsidR="000F714F" w:rsidRDefault="000F714F" w:rsidP="000F714F">
      <w:pPr>
        <w:pStyle w:val="IntroTo"/>
        <w:rPr>
          <w:rFonts w:ascii="Arial" w:hAnsi="Arial" w:cs="Arial"/>
          <w:sz w:val="22"/>
          <w:szCs w:val="22"/>
        </w:rPr>
      </w:pPr>
    </w:p>
    <w:p w14:paraId="44A5CE69" w14:textId="177F5B21" w:rsidR="00391C3B" w:rsidRDefault="00230A1D" w:rsidP="000F714F">
      <w:pPr>
        <w:pStyle w:val="IntroTo"/>
        <w:rPr>
          <w:rFonts w:ascii="Arial" w:hAnsi="Arial" w:cs="Arial"/>
          <w:sz w:val="22"/>
          <w:szCs w:val="22"/>
        </w:rPr>
      </w:pPr>
      <w:r>
        <w:rPr>
          <w:rFonts w:ascii="Arial" w:hAnsi="Arial" w:cs="Arial"/>
          <w:noProof/>
          <w:sz w:val="22"/>
          <w:szCs w:val="22"/>
          <w:lang w:eastAsia="en-AU"/>
        </w:rPr>
        <mc:AlternateContent>
          <mc:Choice Requires="wpi">
            <w:drawing>
              <wp:anchor distT="0" distB="0" distL="114300" distR="114300" simplePos="0" relativeHeight="251663360" behindDoc="0" locked="0" layoutInCell="1" allowOverlap="1" wp14:anchorId="6527DA86" wp14:editId="12DF182E">
                <wp:simplePos x="0" y="0"/>
                <wp:positionH relativeFrom="column">
                  <wp:posOffset>2278305</wp:posOffset>
                </wp:positionH>
                <wp:positionV relativeFrom="paragraph">
                  <wp:posOffset>147325</wp:posOffset>
                </wp:positionV>
                <wp:extent cx="4680" cy="8640"/>
                <wp:effectExtent l="38100" t="38100" r="33655" b="29845"/>
                <wp:wrapNone/>
                <wp:docPr id="12" name="Ink 12"/>
                <wp:cNvGraphicFramePr/>
                <a:graphic xmlns:a="http://schemas.openxmlformats.org/drawingml/2006/main">
                  <a:graphicData uri="http://schemas.microsoft.com/office/word/2010/wordprocessingInk">
                    <w14:contentPart bwMode="auto" r:id="rId13">
                      <w14:nvContentPartPr>
                        <w14:cNvContentPartPr/>
                      </w14:nvContentPartPr>
                      <w14:xfrm>
                        <a:off x="0" y="0"/>
                        <a:ext cx="4680" cy="8640"/>
                      </w14:xfrm>
                    </w14:contentPart>
                  </a:graphicData>
                </a:graphic>
              </wp:anchor>
            </w:drawing>
          </mc:Choice>
          <mc:Fallback>
            <w:pict>
              <v:shapetype w14:anchorId="498D6C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179.1pt;margin-top:11.35pt;width:.9pt;height:1.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">
                <v:imagedata r:id="rId14" o:title=""/>
              </v:shape>
            </w:pict>
          </mc:Fallback>
        </mc:AlternateContent>
      </w:r>
      <w:r w:rsidR="00F63404">
        <w:rPr>
          <w:rFonts w:ascii="Arial" w:hAnsi="Arial" w:cs="Arial"/>
          <w:sz w:val="22"/>
          <w:szCs w:val="22"/>
        </w:rPr>
        <w:t>[Signed]</w:t>
      </w:r>
    </w:p>
    <w:p w14:paraId="4AA1504D" w14:textId="0E4E0550" w:rsidR="00230A1D" w:rsidRDefault="00230A1D" w:rsidP="000F714F">
      <w:pPr>
        <w:pStyle w:val="IntroTo"/>
        <w:rPr>
          <w:rFonts w:ascii="Arial" w:hAnsi="Arial" w:cs="Arial"/>
          <w:sz w:val="22"/>
          <w:szCs w:val="22"/>
        </w:rPr>
      </w:pPr>
    </w:p>
    <w:p w14:paraId="5E9ED493" w14:textId="7C5ED573" w:rsidR="00230A1D" w:rsidRPr="00C72C1A" w:rsidRDefault="00230A1D" w:rsidP="000F714F">
      <w:pPr>
        <w:pStyle w:val="IntroTo"/>
        <w:rPr>
          <w:rFonts w:ascii="Arial" w:hAnsi="Arial" w:cs="Arial"/>
          <w:sz w:val="22"/>
          <w:szCs w:val="22"/>
        </w:rPr>
      </w:pPr>
    </w:p>
    <w:p w14:paraId="27EC5E29" w14:textId="77777777" w:rsidR="00E175CE" w:rsidRPr="00343221" w:rsidRDefault="00E175CE" w:rsidP="00E175CE">
      <w:pPr>
        <w:spacing w:after="0"/>
        <w:jc w:val="left"/>
        <w:rPr>
          <w:rFonts w:eastAsia="Trebuchet MS" w:cs="Arial"/>
          <w:color w:val="auto"/>
        </w:rPr>
      </w:pPr>
      <w:r w:rsidRPr="00343221">
        <w:rPr>
          <w:rFonts w:eastAsia="Trebuchet MS" w:cs="Arial"/>
          <w:color w:val="auto"/>
        </w:rPr>
        <w:lastRenderedPageBreak/>
        <w:t xml:space="preserve">Brandon </w:t>
      </w:r>
      <w:r w:rsidRPr="00E175CE">
        <w:rPr>
          <w:rFonts w:eastAsia="Trebuchet MS" w:cs="Arial"/>
          <w:color w:val="auto"/>
        </w:rPr>
        <w:t xml:space="preserve">Kong Leong </w:t>
      </w:r>
      <w:r w:rsidRPr="00343221">
        <w:rPr>
          <w:rFonts w:eastAsia="Trebuchet MS" w:cs="Arial"/>
          <w:color w:val="auto"/>
        </w:rPr>
        <w:t>Khoo</w:t>
      </w:r>
      <w:r w:rsidRPr="00343221">
        <w:rPr>
          <w:rFonts w:eastAsia="Trebuchet MS" w:cs="Arial"/>
          <w:color w:val="auto"/>
        </w:rPr>
        <w:tab/>
      </w:r>
    </w:p>
    <w:p w14:paraId="31E51C1E" w14:textId="485EEAB4" w:rsidR="00E175CE" w:rsidRPr="00343221" w:rsidRDefault="00E175CE" w:rsidP="00E175CE">
      <w:pPr>
        <w:spacing w:after="0"/>
        <w:jc w:val="left"/>
        <w:rPr>
          <w:rFonts w:eastAsia="Trebuchet MS" w:cs="Arial"/>
          <w:color w:val="auto"/>
        </w:rPr>
      </w:pPr>
      <w:r w:rsidRPr="00343221">
        <w:rPr>
          <w:rFonts w:eastAsia="Trebuchet MS" w:cs="Arial"/>
          <w:color w:val="auto"/>
        </w:rPr>
        <w:t>Executive Director</w:t>
      </w:r>
    </w:p>
    <w:p w14:paraId="3D7480D7" w14:textId="77777777" w:rsidR="00E175CE" w:rsidRPr="00343221" w:rsidRDefault="00E175CE" w:rsidP="00E175CE">
      <w:pPr>
        <w:spacing w:after="0"/>
        <w:jc w:val="left"/>
        <w:rPr>
          <w:rFonts w:eastAsia="Trebuchet MS" w:cs="Arial"/>
          <w:color w:val="auto"/>
        </w:rPr>
      </w:pPr>
      <w:r w:rsidRPr="00343221">
        <w:rPr>
          <w:rFonts w:eastAsia="Trebuchet MS" w:cs="Arial"/>
          <w:color w:val="auto"/>
        </w:rPr>
        <w:t>Insurance Division</w:t>
      </w:r>
    </w:p>
    <w:p w14:paraId="397F9F0F" w14:textId="3E904A95" w:rsidR="00E175CE" w:rsidRPr="00343221" w:rsidRDefault="00E175CE" w:rsidP="00E175CE">
      <w:pPr>
        <w:spacing w:after="120" w:line="288" w:lineRule="auto"/>
        <w:jc w:val="left"/>
        <w:rPr>
          <w:rFonts w:eastAsia="Trebuchet MS" w:cs="Arial"/>
          <w:b/>
          <w:color w:val="auto"/>
          <w:sz w:val="24"/>
        </w:rPr>
      </w:pPr>
    </w:p>
    <w:p w14:paraId="0350F8D1" w14:textId="77777777" w:rsidR="00E175CE" w:rsidRPr="00343221" w:rsidRDefault="00E175CE" w:rsidP="00E175CE">
      <w:pPr>
        <w:spacing w:after="120" w:line="288" w:lineRule="auto"/>
        <w:jc w:val="left"/>
        <w:rPr>
          <w:rFonts w:eastAsia="Trebuchet MS" w:cs="Arial"/>
          <w:b/>
          <w:color w:val="auto"/>
          <w:sz w:val="24"/>
        </w:rPr>
      </w:pPr>
    </w:p>
    <w:p w14:paraId="54660CD7" w14:textId="77777777" w:rsidR="00E175CE" w:rsidRPr="00343221" w:rsidRDefault="00E175CE" w:rsidP="00E175CE">
      <w:pPr>
        <w:spacing w:after="0"/>
        <w:jc w:val="left"/>
        <w:rPr>
          <w:rFonts w:eastAsia="Trebuchet MS" w:cs="Arial"/>
          <w:i/>
          <w:color w:val="auto"/>
        </w:rPr>
      </w:pPr>
      <w:r w:rsidRPr="00343221">
        <w:rPr>
          <w:rFonts w:eastAsia="Trebuchet MS" w:cs="Arial"/>
          <w:i/>
          <w:color w:val="auto"/>
        </w:rPr>
        <w:t>Interpretation</w:t>
      </w:r>
    </w:p>
    <w:p w14:paraId="6A0786AC" w14:textId="77777777" w:rsidR="00E175CE" w:rsidRPr="00343221" w:rsidRDefault="00E175CE" w:rsidP="00E175CE">
      <w:pPr>
        <w:spacing w:after="0"/>
        <w:rPr>
          <w:rFonts w:ascii="Times New Roman" w:eastAsia="Trebuchet MS" w:hAnsi="Times New Roman" w:cs="Times New Roman"/>
          <w:color w:val="auto"/>
          <w:sz w:val="24"/>
        </w:rPr>
      </w:pPr>
    </w:p>
    <w:p w14:paraId="3DC65AE9" w14:textId="77777777" w:rsidR="00E175CE" w:rsidRPr="00343221" w:rsidRDefault="00E175CE" w:rsidP="00E175CE">
      <w:pPr>
        <w:spacing w:after="0"/>
        <w:rPr>
          <w:rFonts w:eastAsia="Trebuchet MS" w:cs="Arial"/>
          <w:color w:val="auto"/>
        </w:rPr>
      </w:pPr>
      <w:r w:rsidRPr="00343221">
        <w:rPr>
          <w:rFonts w:eastAsia="Trebuchet MS" w:cs="Arial"/>
          <w:b/>
          <w:i/>
          <w:color w:val="auto"/>
        </w:rPr>
        <w:t>APRA</w:t>
      </w:r>
      <w:r w:rsidRPr="00343221">
        <w:rPr>
          <w:rFonts w:eastAsia="Trebuchet MS" w:cs="Arial"/>
          <w:b/>
          <w:color w:val="auto"/>
        </w:rPr>
        <w:t xml:space="preserve"> </w:t>
      </w:r>
      <w:r w:rsidRPr="00343221">
        <w:rPr>
          <w:rFonts w:eastAsia="Trebuchet MS" w:cs="Arial"/>
          <w:color w:val="auto"/>
        </w:rPr>
        <w:t>means the Australian Prudential Regulation Authority.</w:t>
      </w:r>
    </w:p>
    <w:p w14:paraId="7D9A8218" w14:textId="77777777" w:rsidR="00E175CE" w:rsidRPr="00343221" w:rsidRDefault="00E175CE" w:rsidP="00E175CE">
      <w:pPr>
        <w:tabs>
          <w:tab w:val="left" w:pos="993"/>
        </w:tabs>
        <w:spacing w:before="80" w:after="120" w:line="288" w:lineRule="auto"/>
        <w:jc w:val="left"/>
        <w:rPr>
          <w:rFonts w:eastAsia="Trebuchet MS" w:cs="Arial"/>
          <w:color w:val="auto"/>
        </w:rPr>
      </w:pPr>
      <w:r w:rsidRPr="00343221">
        <w:rPr>
          <w:rFonts w:eastAsia="Trebuchet MS" w:cs="Arial"/>
          <w:b/>
          <w:i/>
          <w:color w:val="auto"/>
        </w:rPr>
        <w:t xml:space="preserve">life company </w:t>
      </w:r>
      <w:r w:rsidRPr="00343221">
        <w:rPr>
          <w:rFonts w:eastAsia="Trebuchet MS" w:cs="Arial"/>
          <w:color w:val="auto"/>
        </w:rPr>
        <w:t xml:space="preserve">has the meaning given in the Dictionary in the Schedule to the Act. </w:t>
      </w:r>
    </w:p>
    <w:p w14:paraId="2B7DD0AD" w14:textId="77777777" w:rsidR="00E175CE" w:rsidRPr="00343221" w:rsidRDefault="00E175CE" w:rsidP="00E175CE">
      <w:pPr>
        <w:tabs>
          <w:tab w:val="left" w:pos="993"/>
        </w:tabs>
        <w:spacing w:before="80" w:after="120" w:line="288" w:lineRule="auto"/>
        <w:jc w:val="left"/>
        <w:rPr>
          <w:rFonts w:eastAsia="Trebuchet MS" w:cs="Arial"/>
          <w:i/>
          <w:color w:val="auto"/>
        </w:rPr>
      </w:pPr>
      <w:r w:rsidRPr="00343221">
        <w:rPr>
          <w:rFonts w:eastAsia="Trebuchet MS" w:cs="Arial"/>
          <w:b/>
          <w:i/>
          <w:color w:val="auto"/>
        </w:rPr>
        <w:t>NOHC</w:t>
      </w:r>
      <w:r w:rsidRPr="00343221">
        <w:rPr>
          <w:rFonts w:eastAsia="Trebuchet MS" w:cs="Arial"/>
          <w:i/>
          <w:color w:val="auto"/>
        </w:rPr>
        <w:t xml:space="preserve"> </w:t>
      </w:r>
      <w:r w:rsidRPr="00343221">
        <w:rPr>
          <w:rFonts w:eastAsia="Trebuchet MS" w:cs="Arial"/>
          <w:color w:val="auto"/>
        </w:rPr>
        <w:t>is short for non-operating holding company and has the meaning given in the Dictionary in the Schedule to the Act.</w:t>
      </w:r>
      <w:r w:rsidRPr="00343221">
        <w:rPr>
          <w:rFonts w:eastAsia="Trebuchet MS" w:cs="Arial"/>
          <w:i/>
          <w:color w:val="auto"/>
        </w:rPr>
        <w:t xml:space="preserve"> </w:t>
      </w:r>
    </w:p>
    <w:p w14:paraId="14BB3D5D" w14:textId="77777777" w:rsidR="00E175CE" w:rsidRPr="00343221" w:rsidRDefault="00E175CE" w:rsidP="00E175CE">
      <w:pPr>
        <w:tabs>
          <w:tab w:val="left" w:pos="993"/>
        </w:tabs>
        <w:spacing w:before="80" w:after="120" w:line="288" w:lineRule="auto"/>
        <w:jc w:val="left"/>
        <w:rPr>
          <w:rFonts w:eastAsia="Trebuchet MS" w:cs="Arial"/>
          <w:i/>
          <w:color w:val="auto"/>
        </w:rPr>
      </w:pPr>
      <w:r w:rsidRPr="00343221">
        <w:rPr>
          <w:rFonts w:eastAsia="Trebuchet MS" w:cs="Arial"/>
          <w:b/>
          <w:i/>
          <w:color w:val="auto"/>
        </w:rPr>
        <w:t>NOHC registration</w:t>
      </w:r>
      <w:r w:rsidRPr="00343221">
        <w:rPr>
          <w:rFonts w:eastAsia="Trebuchet MS" w:cs="Arial"/>
          <w:i/>
          <w:color w:val="auto"/>
        </w:rPr>
        <w:t xml:space="preserve"> </w:t>
      </w:r>
      <w:r w:rsidRPr="00343221">
        <w:rPr>
          <w:rFonts w:eastAsia="Trebuchet MS" w:cs="Arial"/>
          <w:color w:val="auto"/>
        </w:rPr>
        <w:t>has the meaning given by section 28A of the Act.</w:t>
      </w:r>
      <w:r w:rsidRPr="00343221">
        <w:rPr>
          <w:rFonts w:eastAsia="Trebuchet MS" w:cs="Arial"/>
          <w:i/>
          <w:color w:val="auto"/>
        </w:rPr>
        <w:t xml:space="preserve"> </w:t>
      </w:r>
    </w:p>
    <w:p w14:paraId="6E2DDB52" w14:textId="77777777" w:rsidR="00E175CE" w:rsidRPr="00343221" w:rsidRDefault="00E175CE" w:rsidP="00E175CE">
      <w:pPr>
        <w:tabs>
          <w:tab w:val="left" w:pos="993"/>
        </w:tabs>
        <w:spacing w:before="80" w:after="120" w:line="288" w:lineRule="auto"/>
        <w:jc w:val="left"/>
        <w:rPr>
          <w:rFonts w:eastAsia="Trebuchet MS" w:cs="Arial"/>
          <w:b/>
          <w:i/>
          <w:color w:val="auto"/>
        </w:rPr>
      </w:pPr>
      <w:r w:rsidRPr="00343221">
        <w:rPr>
          <w:rFonts w:eastAsia="Trebuchet MS" w:cs="Arial"/>
          <w:b/>
          <w:i/>
          <w:color w:val="auto"/>
        </w:rPr>
        <w:t xml:space="preserve">registered NOHC </w:t>
      </w:r>
      <w:r w:rsidRPr="00343221">
        <w:rPr>
          <w:rFonts w:eastAsia="Trebuchet MS" w:cs="Arial"/>
          <w:color w:val="auto"/>
        </w:rPr>
        <w:t>has the meaning given in the Dictionary in the Schedule to the Act.</w:t>
      </w:r>
      <w:r w:rsidRPr="00343221">
        <w:rPr>
          <w:rFonts w:eastAsia="Trebuchet MS" w:cs="Arial"/>
          <w:i/>
          <w:color w:val="auto"/>
        </w:rPr>
        <w:t xml:space="preserve">  </w:t>
      </w:r>
    </w:p>
    <w:p w14:paraId="7043BE04" w14:textId="77777777" w:rsidR="00E175CE" w:rsidRPr="00343221" w:rsidRDefault="00E175CE" w:rsidP="00E175CE">
      <w:pPr>
        <w:tabs>
          <w:tab w:val="left" w:pos="993"/>
        </w:tabs>
        <w:spacing w:before="80" w:after="120" w:line="288" w:lineRule="auto"/>
        <w:jc w:val="left"/>
        <w:rPr>
          <w:rFonts w:ascii="Times New Roman" w:eastAsia="Trebuchet MS" w:hAnsi="Times New Roman" w:cs="Times New Roman"/>
          <w:color w:val="auto"/>
          <w:sz w:val="20"/>
          <w:szCs w:val="20"/>
        </w:rPr>
      </w:pPr>
      <w:r w:rsidRPr="00F63404">
        <w:rPr>
          <w:rFonts w:eastAsia="Trebuchet MS" w:cs="Arial"/>
          <w:b/>
          <w:color w:val="auto"/>
        </w:rPr>
        <w:t>related</w:t>
      </w:r>
      <w:r w:rsidRPr="00343221">
        <w:rPr>
          <w:rFonts w:eastAsia="Trebuchet MS" w:cs="Arial"/>
          <w:b/>
          <w:i/>
          <w:color w:val="auto"/>
        </w:rPr>
        <w:t xml:space="preserve"> body corporate</w:t>
      </w:r>
      <w:r w:rsidRPr="00343221">
        <w:rPr>
          <w:rFonts w:eastAsia="Trebuchet MS" w:cs="Arial"/>
          <w:i/>
          <w:color w:val="auto"/>
        </w:rPr>
        <w:t xml:space="preserve"> </w:t>
      </w:r>
      <w:r w:rsidRPr="00343221">
        <w:rPr>
          <w:rFonts w:eastAsia="Trebuchet MS" w:cs="Arial"/>
          <w:color w:val="auto"/>
        </w:rPr>
        <w:t>has the meaning given in the Dictionary in the Schedule to the Act.</w:t>
      </w:r>
      <w:r w:rsidRPr="00343221">
        <w:rPr>
          <w:rFonts w:eastAsia="Trebuchet MS" w:cs="Arial"/>
          <w:i/>
          <w:color w:val="auto"/>
        </w:rPr>
        <w:t xml:space="preserve">  </w:t>
      </w:r>
    </w:p>
    <w:p w14:paraId="71DD8893" w14:textId="77777777" w:rsidR="00E175CE" w:rsidRPr="00343221" w:rsidRDefault="00E175CE" w:rsidP="00E175CE">
      <w:pPr>
        <w:spacing w:after="120" w:line="288" w:lineRule="auto"/>
        <w:jc w:val="left"/>
        <w:rPr>
          <w:rFonts w:eastAsia="Trebuchet MS" w:cs="Arial"/>
          <w:i/>
          <w:color w:val="auto"/>
        </w:rPr>
      </w:pPr>
      <w:r w:rsidRPr="00343221">
        <w:rPr>
          <w:rFonts w:eastAsia="Trebuchet MS" w:cs="Arial"/>
          <w:i/>
          <w:color w:val="auto"/>
        </w:rPr>
        <w:t xml:space="preserve"> </w:t>
      </w:r>
    </w:p>
    <w:p w14:paraId="5ACD699C" w14:textId="77777777" w:rsidR="00E175CE" w:rsidRPr="00343221" w:rsidRDefault="00E175CE" w:rsidP="00E175CE">
      <w:pPr>
        <w:spacing w:after="120" w:line="288" w:lineRule="auto"/>
        <w:jc w:val="left"/>
        <w:rPr>
          <w:rFonts w:eastAsia="Trebuchet MS" w:cs="Arial"/>
          <w:color w:val="auto"/>
          <w:sz w:val="20"/>
          <w:szCs w:val="20"/>
        </w:rPr>
      </w:pPr>
      <w:r w:rsidRPr="00343221">
        <w:rPr>
          <w:rFonts w:eastAsia="Trebuchet MS" w:cs="Arial"/>
          <w:i/>
          <w:color w:val="auto"/>
          <w:sz w:val="20"/>
          <w:szCs w:val="20"/>
        </w:rPr>
        <w:t xml:space="preserve">Note 1 </w:t>
      </w:r>
      <w:r w:rsidRPr="00343221">
        <w:rPr>
          <w:rFonts w:eastAsia="Trebuchet MS" w:cs="Arial"/>
          <w:color w:val="auto"/>
          <w:sz w:val="20"/>
          <w:szCs w:val="20"/>
        </w:rPr>
        <w:t xml:space="preserve">Under subsection 28A(1) of the Act, a NOHC registration operates in relation to the body corporate and any life companies that are its subsidiaries from time to time.  </w:t>
      </w:r>
    </w:p>
    <w:p w14:paraId="15596968" w14:textId="77777777" w:rsidR="00E175CE" w:rsidRPr="00343221" w:rsidRDefault="00E175CE" w:rsidP="00E175CE">
      <w:pPr>
        <w:spacing w:after="120" w:line="288" w:lineRule="auto"/>
        <w:jc w:val="left"/>
        <w:rPr>
          <w:rFonts w:eastAsia="Trebuchet MS" w:cs="Arial"/>
          <w:color w:val="auto"/>
          <w:sz w:val="20"/>
          <w:szCs w:val="20"/>
        </w:rPr>
      </w:pPr>
      <w:r w:rsidRPr="00343221">
        <w:rPr>
          <w:rFonts w:eastAsia="Trebuchet MS" w:cs="Arial"/>
          <w:i/>
          <w:color w:val="auto"/>
          <w:sz w:val="20"/>
          <w:szCs w:val="20"/>
        </w:rPr>
        <w:t xml:space="preserve">Note 2  </w:t>
      </w:r>
      <w:r w:rsidRPr="00343221">
        <w:rPr>
          <w:rFonts w:eastAsia="Trebuchet MS" w:cs="Arial"/>
          <w:color w:val="auto"/>
          <w:sz w:val="20"/>
          <w:szCs w:val="20"/>
        </w:rPr>
        <w:t xml:space="preserve">Under subsection 28A(3) of the Act, a NOHC registration must be in writing.   </w:t>
      </w:r>
    </w:p>
    <w:p w14:paraId="222D6531" w14:textId="77777777" w:rsidR="00E175CE" w:rsidRPr="00343221" w:rsidRDefault="00E175CE" w:rsidP="00E175CE">
      <w:pPr>
        <w:spacing w:after="120" w:line="288" w:lineRule="auto"/>
        <w:jc w:val="left"/>
        <w:rPr>
          <w:rFonts w:eastAsia="Trebuchet MS" w:cs="Arial"/>
          <w:color w:val="auto"/>
          <w:sz w:val="20"/>
          <w:szCs w:val="20"/>
        </w:rPr>
      </w:pPr>
      <w:r w:rsidRPr="00343221">
        <w:rPr>
          <w:rFonts w:eastAsia="Trebuchet MS" w:cs="Arial"/>
          <w:i/>
          <w:color w:val="auto"/>
          <w:sz w:val="20"/>
          <w:szCs w:val="20"/>
        </w:rPr>
        <w:t xml:space="preserve">Note 3 </w:t>
      </w:r>
      <w:r w:rsidRPr="00343221">
        <w:rPr>
          <w:rFonts w:eastAsia="Trebuchet MS" w:cs="Arial"/>
          <w:color w:val="auto"/>
          <w:sz w:val="20"/>
          <w:szCs w:val="20"/>
        </w:rPr>
        <w:t xml:space="preserve">Under subsection 28A(4) of the Act, if APRA registers a body corporate under section 28A, APRA must give written notice of its NOHC Registration to the body corporate. </w:t>
      </w:r>
    </w:p>
    <w:p w14:paraId="428FDB4C" w14:textId="77777777" w:rsidR="00E175CE" w:rsidRPr="00343221" w:rsidRDefault="00E175CE" w:rsidP="00E175CE">
      <w:pPr>
        <w:spacing w:after="120" w:line="288" w:lineRule="auto"/>
        <w:jc w:val="left"/>
        <w:rPr>
          <w:rFonts w:eastAsia="Trebuchet MS" w:cs="Arial"/>
          <w:i/>
          <w:color w:val="auto"/>
          <w:sz w:val="20"/>
          <w:szCs w:val="20"/>
        </w:rPr>
      </w:pPr>
      <w:r w:rsidRPr="00343221">
        <w:rPr>
          <w:rFonts w:eastAsia="Trebuchet MS" w:cs="Arial"/>
          <w:i/>
          <w:color w:val="auto"/>
          <w:sz w:val="20"/>
          <w:szCs w:val="20"/>
        </w:rPr>
        <w:t xml:space="preserve">Note 4 </w:t>
      </w:r>
      <w:r w:rsidRPr="00BB43E2">
        <w:rPr>
          <w:rFonts w:eastAsia="Trebuchet MS" w:cs="Arial"/>
          <w:color w:val="auto"/>
          <w:sz w:val="20"/>
          <w:szCs w:val="20"/>
        </w:rPr>
        <w:t xml:space="preserve">Under section 28B of the Act, APRA may at any time impose conditions, or additional conditions, or vary or revoke conditions imposed on a NOHC registration. A condition may be expressed to have effect despite anything in the prudential standards. If APRA imposes, varies or revokes conditions on a NOHC registration, APRA must give written notice to the registered NOHC (see </w:t>
      </w:r>
      <w:r w:rsidRPr="00BB43E2">
        <w:rPr>
          <w:rFonts w:eastAsia="Trebuchet MS" w:cs="Arial"/>
          <w:color w:val="auto"/>
          <w:sz w:val="20"/>
          <w:szCs w:val="20"/>
        </w:rPr>
        <w:lastRenderedPageBreak/>
        <w:t>subsection 28B(3) of the Act). Subsection 28B(4) of the Act provides that the taking of an action is not invalidated merely because of a failure to comply with subsection 28B(3) of the Act.</w:t>
      </w:r>
      <w:r w:rsidRPr="00343221">
        <w:rPr>
          <w:rFonts w:eastAsia="Trebuchet MS" w:cs="Arial"/>
          <w:i/>
          <w:color w:val="auto"/>
          <w:sz w:val="20"/>
          <w:szCs w:val="20"/>
        </w:rPr>
        <w:t xml:space="preserve">    </w:t>
      </w:r>
    </w:p>
    <w:p w14:paraId="23DCCBED" w14:textId="77777777" w:rsidR="00E175CE" w:rsidRPr="00343221" w:rsidRDefault="00E175CE" w:rsidP="00E175CE">
      <w:pPr>
        <w:spacing w:after="120" w:line="288" w:lineRule="auto"/>
        <w:jc w:val="left"/>
        <w:rPr>
          <w:rFonts w:eastAsia="Trebuchet MS" w:cs="Arial"/>
          <w:i/>
          <w:color w:val="auto"/>
          <w:sz w:val="20"/>
          <w:szCs w:val="20"/>
        </w:rPr>
      </w:pPr>
      <w:r w:rsidRPr="00343221">
        <w:rPr>
          <w:rFonts w:eastAsia="Trebuchet MS" w:cs="Arial"/>
          <w:i/>
          <w:color w:val="auto"/>
          <w:sz w:val="20"/>
          <w:szCs w:val="20"/>
        </w:rPr>
        <w:t xml:space="preserve">Note 5  </w:t>
      </w:r>
      <w:r w:rsidRPr="00BB43E2">
        <w:rPr>
          <w:rFonts w:eastAsia="Trebuchet MS" w:cs="Arial"/>
          <w:color w:val="auto"/>
          <w:sz w:val="20"/>
          <w:szCs w:val="20"/>
        </w:rPr>
        <w:t xml:space="preserve">The circumstances in which APRA may revoke a NOHC registration are set out in subsection 28C(1) of the Act.   </w:t>
      </w:r>
    </w:p>
    <w:p w14:paraId="68880A5A" w14:textId="77777777" w:rsidR="00E175CE" w:rsidRPr="00343221" w:rsidRDefault="00E175CE" w:rsidP="00E175CE">
      <w:pPr>
        <w:spacing w:after="120" w:line="288" w:lineRule="auto"/>
        <w:jc w:val="left"/>
        <w:rPr>
          <w:rFonts w:eastAsia="Trebuchet MS" w:cs="Arial"/>
          <w:i/>
          <w:color w:val="auto"/>
          <w:sz w:val="20"/>
          <w:szCs w:val="20"/>
        </w:rPr>
      </w:pPr>
      <w:r w:rsidRPr="00343221">
        <w:rPr>
          <w:rFonts w:eastAsia="Trebuchet MS" w:cs="Arial"/>
          <w:i/>
          <w:color w:val="auto"/>
          <w:sz w:val="20"/>
          <w:szCs w:val="20"/>
        </w:rPr>
        <w:t xml:space="preserve">Note 6 </w:t>
      </w:r>
      <w:r w:rsidRPr="00BB43E2">
        <w:rPr>
          <w:rFonts w:eastAsia="Trebuchet MS" w:cs="Arial"/>
          <w:color w:val="auto"/>
          <w:sz w:val="20"/>
          <w:szCs w:val="20"/>
        </w:rPr>
        <w:t>Under subsection 28D(1) of the Act, APRA must revoke a NOHC registration if the body corporate asks (in writing) APRA to do so, and APRA is satisfied that revoking the registration would not be contrary to either the public interest or the interests of the policy owners of any life company that is a subsidiary of the body corporate.</w:t>
      </w:r>
      <w:r w:rsidRPr="00343221">
        <w:rPr>
          <w:rFonts w:eastAsia="Trebuchet MS" w:cs="Arial"/>
          <w:i/>
          <w:color w:val="auto"/>
          <w:sz w:val="20"/>
          <w:szCs w:val="20"/>
        </w:rPr>
        <w:t xml:space="preserve">  </w:t>
      </w:r>
    </w:p>
    <w:p w14:paraId="460214EF" w14:textId="77777777" w:rsidR="00E175CE" w:rsidRPr="00343221" w:rsidRDefault="00E175CE" w:rsidP="00E175CE">
      <w:pPr>
        <w:spacing w:after="120" w:line="288" w:lineRule="auto"/>
        <w:jc w:val="left"/>
        <w:rPr>
          <w:rFonts w:eastAsia="Trebuchet MS" w:cs="Arial"/>
          <w:i/>
          <w:color w:val="auto"/>
          <w:sz w:val="20"/>
          <w:szCs w:val="20"/>
        </w:rPr>
      </w:pPr>
      <w:r w:rsidRPr="00343221">
        <w:rPr>
          <w:rFonts w:eastAsia="Trebuchet MS" w:cs="Arial"/>
          <w:i/>
          <w:color w:val="auto"/>
          <w:sz w:val="20"/>
          <w:szCs w:val="20"/>
        </w:rPr>
        <w:t xml:space="preserve">Note 7 </w:t>
      </w:r>
      <w:r w:rsidRPr="00BB43E2">
        <w:rPr>
          <w:rFonts w:eastAsia="Trebuchet MS" w:cs="Arial"/>
          <w:color w:val="auto"/>
          <w:sz w:val="20"/>
          <w:szCs w:val="20"/>
        </w:rPr>
        <w:t>By virtue of paragraph 236(1)(gc) of the Act, a decision to impose conditions on a NOHC registration is a reviewable decision to which section 236 of the Act applies. A person affected by a reviewable decision may request APRA to reconsider the decision. The request for reconsideration must be in writing, must state the reasons for the request, and must be given to APRA within 21 days after the person first receives notice of the decision or within such further period as APRA allows. If dissatisfied with APRA’s reconsidered decision confirming or varying the first decision, the person may, subject to the Administrative Appeals Tribunal Act 1975, apply to the Administrative Appeals Tribunal for review of the reconsidered decision.</w:t>
      </w:r>
      <w:r w:rsidRPr="00343221">
        <w:rPr>
          <w:rFonts w:eastAsia="Trebuchet MS" w:cs="Arial"/>
          <w:i/>
          <w:color w:val="auto"/>
          <w:sz w:val="20"/>
          <w:szCs w:val="20"/>
        </w:rPr>
        <w:t xml:space="preserve">    </w:t>
      </w:r>
    </w:p>
    <w:p w14:paraId="58E9E06D" w14:textId="77777777" w:rsidR="00E175CE" w:rsidRPr="00343221" w:rsidRDefault="00E175CE" w:rsidP="00E175CE">
      <w:pPr>
        <w:spacing w:after="120" w:line="288" w:lineRule="auto"/>
        <w:jc w:val="left"/>
        <w:rPr>
          <w:rFonts w:eastAsia="Trebuchet MS" w:cs="Arial"/>
          <w:i/>
          <w:color w:val="auto"/>
          <w:sz w:val="20"/>
          <w:szCs w:val="20"/>
        </w:rPr>
      </w:pPr>
      <w:r w:rsidRPr="00343221">
        <w:rPr>
          <w:rFonts w:eastAsia="Trebuchet MS" w:cs="Arial"/>
          <w:i/>
          <w:color w:val="auto"/>
          <w:sz w:val="20"/>
          <w:szCs w:val="20"/>
        </w:rPr>
        <w:t xml:space="preserve">Note 8 </w:t>
      </w:r>
      <w:r w:rsidRPr="00BB43E2">
        <w:rPr>
          <w:rFonts w:eastAsia="Trebuchet MS" w:cs="Arial"/>
          <w:color w:val="auto"/>
          <w:sz w:val="20"/>
          <w:szCs w:val="20"/>
        </w:rPr>
        <w:t>Under subparagraph 136(b)(iii) of the Act, APRA may issue a show cause notice to a registered NOHC on the grounds that the registered NOHC may have contravened a condition imposed on the NOHC registration. If a show cause notice is issued, Part 7 of the Act will apply to the registered NOHC.</w:t>
      </w:r>
      <w:r w:rsidRPr="00343221">
        <w:rPr>
          <w:rFonts w:eastAsia="Trebuchet MS" w:cs="Arial"/>
          <w:i/>
          <w:color w:val="auto"/>
          <w:sz w:val="20"/>
          <w:szCs w:val="20"/>
        </w:rPr>
        <w:t xml:space="preserve"> </w:t>
      </w:r>
    </w:p>
    <w:p w14:paraId="1F539A01" w14:textId="77777777" w:rsidR="00E175CE" w:rsidRPr="00343221" w:rsidRDefault="00E175CE" w:rsidP="00E175CE">
      <w:pPr>
        <w:spacing w:after="120" w:line="288" w:lineRule="auto"/>
        <w:jc w:val="left"/>
        <w:rPr>
          <w:rFonts w:eastAsia="Trebuchet MS" w:cs="Arial"/>
          <w:i/>
          <w:color w:val="auto"/>
          <w:sz w:val="20"/>
          <w:szCs w:val="20"/>
        </w:rPr>
      </w:pPr>
      <w:r w:rsidRPr="00343221">
        <w:rPr>
          <w:rFonts w:eastAsia="Trebuchet MS" w:cs="Arial"/>
          <w:i/>
          <w:color w:val="auto"/>
          <w:sz w:val="20"/>
          <w:szCs w:val="20"/>
        </w:rPr>
        <w:t xml:space="preserve">Note 9 </w:t>
      </w:r>
      <w:r w:rsidRPr="00BB43E2">
        <w:rPr>
          <w:rFonts w:eastAsia="Trebuchet MS" w:cs="Arial"/>
          <w:color w:val="auto"/>
          <w:sz w:val="20"/>
          <w:szCs w:val="20"/>
        </w:rPr>
        <w:t>Under paragraph 230B(1)(c) of the Act, APRA may give a registered NOHC a direction if APRA has reason to believe that the registered NOHC has contravened a condition under the Act. The kinds of directions that APRA may give are set out in subsection 230B(2) of the Act.</w:t>
      </w:r>
      <w:r w:rsidRPr="00343221">
        <w:rPr>
          <w:rFonts w:eastAsia="Trebuchet MS" w:cs="Arial"/>
          <w:i/>
          <w:color w:val="auto"/>
          <w:sz w:val="20"/>
          <w:szCs w:val="20"/>
        </w:rPr>
        <w:t xml:space="preserve"> </w:t>
      </w:r>
    </w:p>
    <w:p w14:paraId="6547DB1F" w14:textId="77777777" w:rsidR="00E175CE" w:rsidRPr="00343221" w:rsidRDefault="00E175CE" w:rsidP="00E175CE">
      <w:pPr>
        <w:spacing w:after="120" w:line="288" w:lineRule="auto"/>
        <w:jc w:val="left"/>
        <w:rPr>
          <w:rFonts w:ascii="Trebuchet MS" w:eastAsia="Trebuchet MS" w:hAnsi="Trebuchet MS" w:cs="Times New Roman"/>
          <w:i/>
          <w:color w:val="auto"/>
          <w:sz w:val="24"/>
        </w:rPr>
      </w:pPr>
      <w:r w:rsidRPr="00343221">
        <w:rPr>
          <w:rFonts w:eastAsia="Trebuchet MS" w:cs="Arial"/>
          <w:i/>
          <w:color w:val="auto"/>
          <w:sz w:val="20"/>
          <w:szCs w:val="20"/>
        </w:rPr>
        <w:t xml:space="preserve">Note 10 </w:t>
      </w:r>
      <w:r w:rsidRPr="00BB43E2">
        <w:rPr>
          <w:rFonts w:eastAsia="Trebuchet MS" w:cs="Arial"/>
          <w:color w:val="auto"/>
          <w:sz w:val="20"/>
          <w:szCs w:val="20"/>
        </w:rPr>
        <w:t>Under paragraph 235(1)(a) of the Act, the Court may grant an injunction in relation to conduct related to a contravention of a condition imposed on a NOHC Registration. The kinds of injunctions that the Court may grant are set out in subsection 235(2) of the Act.</w:t>
      </w:r>
      <w:r w:rsidRPr="00BB43E2">
        <w:rPr>
          <w:rFonts w:eastAsia="Trebuchet MS" w:cs="Arial"/>
          <w:color w:val="auto"/>
        </w:rPr>
        <w:t xml:space="preserve">   </w:t>
      </w:r>
    </w:p>
    <w:p w14:paraId="10AE2E66" w14:textId="77777777" w:rsidR="00E175CE" w:rsidRDefault="00E175CE" w:rsidP="00E175CE">
      <w:pPr>
        <w:numPr>
          <w:ilvl w:val="0"/>
          <w:numId w:val="0"/>
        </w:numPr>
        <w:rPr>
          <w:rFonts w:eastAsia="Times New Roman" w:cs="Arial"/>
          <w:b/>
          <w:bCs/>
          <w:iCs/>
          <w:color w:val="auto"/>
          <w:sz w:val="24"/>
          <w:szCs w:val="28"/>
          <w:lang w:eastAsia="en-AU"/>
        </w:rPr>
      </w:pPr>
      <w:r>
        <w:rPr>
          <w:rFonts w:eastAsia="Times New Roman" w:cs="Arial"/>
          <w:b/>
          <w:bCs/>
          <w:iCs/>
          <w:color w:val="auto"/>
          <w:sz w:val="24"/>
          <w:szCs w:val="28"/>
          <w:lang w:eastAsia="en-AU"/>
        </w:rPr>
        <w:br w:type="page"/>
      </w:r>
    </w:p>
    <w:p w14:paraId="0536B562" w14:textId="77777777" w:rsidR="00E175CE" w:rsidRPr="00BB43E2" w:rsidRDefault="00E175CE" w:rsidP="00E175CE">
      <w:pPr>
        <w:spacing w:after="120" w:line="288" w:lineRule="auto"/>
        <w:jc w:val="left"/>
        <w:rPr>
          <w:rFonts w:asciiTheme="majorHAnsi" w:eastAsia="Times New Roman" w:hAnsiTheme="majorHAnsi" w:cstheme="majorHAnsi"/>
          <w:b/>
          <w:bCs/>
          <w:i/>
          <w:iCs/>
          <w:color w:val="auto"/>
          <w:sz w:val="24"/>
          <w:szCs w:val="28"/>
          <w:lang w:eastAsia="en-AU"/>
        </w:rPr>
      </w:pPr>
      <w:r w:rsidRPr="00BB43E2">
        <w:rPr>
          <w:rFonts w:asciiTheme="majorHAnsi" w:eastAsia="Times New Roman" w:hAnsiTheme="majorHAnsi" w:cstheme="majorHAnsi"/>
          <w:b/>
          <w:bCs/>
          <w:iCs/>
          <w:color w:val="auto"/>
          <w:sz w:val="24"/>
          <w:szCs w:val="28"/>
          <w:lang w:eastAsia="en-AU"/>
        </w:rPr>
        <w:lastRenderedPageBreak/>
        <w:t>SCHEDULE – CONDITIONS ON NOHC REGISTRATION</w:t>
      </w:r>
    </w:p>
    <w:p w14:paraId="1ED9182B" w14:textId="77777777" w:rsidR="00E175CE" w:rsidRPr="00BB43E2" w:rsidRDefault="00E175CE" w:rsidP="00E175CE">
      <w:pPr>
        <w:spacing w:after="120" w:line="288" w:lineRule="auto"/>
        <w:jc w:val="left"/>
        <w:rPr>
          <w:rFonts w:asciiTheme="majorHAnsi" w:eastAsia="Trebuchet MS" w:hAnsiTheme="majorHAnsi" w:cstheme="majorHAnsi"/>
          <w:color w:val="auto"/>
        </w:rPr>
      </w:pPr>
    </w:p>
    <w:p w14:paraId="0980D981" w14:textId="77777777" w:rsidR="00E175CE" w:rsidRPr="00BB43E2" w:rsidRDefault="00E175CE" w:rsidP="00E175CE">
      <w:pPr>
        <w:spacing w:after="120" w:line="288" w:lineRule="auto"/>
        <w:jc w:val="left"/>
        <w:rPr>
          <w:rFonts w:asciiTheme="majorHAnsi" w:eastAsia="Trebuchet MS" w:hAnsiTheme="majorHAnsi" w:cstheme="majorHAnsi"/>
          <w:color w:val="auto"/>
        </w:rPr>
      </w:pPr>
      <w:r w:rsidRPr="00BB43E2">
        <w:rPr>
          <w:rFonts w:asciiTheme="majorHAnsi" w:eastAsia="Trebuchet MS" w:hAnsiTheme="majorHAnsi" w:cstheme="majorHAnsi"/>
          <w:color w:val="auto"/>
        </w:rPr>
        <w:t>Where a related body corporate of the registered NOHC provides services that are, or conducts business that is, essential to the capacity of a life company subsidiary of the registered NOHC to maintain its operations, it must be a subsidiary of the registered NOHC.</w:t>
      </w:r>
    </w:p>
    <w:p w14:paraId="2F24DFF6" w14:textId="77777777" w:rsidR="00E175CE" w:rsidRPr="00BB43E2" w:rsidRDefault="00E175CE" w:rsidP="00E175CE">
      <w:pPr>
        <w:spacing w:after="120" w:line="288" w:lineRule="auto"/>
        <w:jc w:val="left"/>
        <w:rPr>
          <w:rFonts w:asciiTheme="majorHAnsi" w:eastAsia="Trebuchet MS" w:hAnsiTheme="majorHAnsi" w:cstheme="majorHAnsi"/>
          <w:color w:val="auto"/>
        </w:rPr>
      </w:pPr>
    </w:p>
    <w:p w14:paraId="34B0BFC0" w14:textId="77777777" w:rsidR="00E175CE" w:rsidRPr="00BB43E2" w:rsidRDefault="00E175CE" w:rsidP="00E175CE">
      <w:pPr>
        <w:spacing w:after="120" w:line="288" w:lineRule="auto"/>
        <w:jc w:val="left"/>
        <w:rPr>
          <w:rFonts w:asciiTheme="majorHAnsi" w:eastAsia="Trebuchet MS" w:hAnsiTheme="majorHAnsi" w:cstheme="majorHAnsi"/>
          <w:color w:val="auto"/>
        </w:rPr>
      </w:pPr>
    </w:p>
    <w:p w14:paraId="7BB90B5A" w14:textId="77777777" w:rsidR="00E175CE" w:rsidRPr="00BB43E2" w:rsidRDefault="00E175CE" w:rsidP="00E175CE">
      <w:pPr>
        <w:spacing w:after="120" w:line="288" w:lineRule="auto"/>
        <w:jc w:val="left"/>
        <w:rPr>
          <w:rFonts w:asciiTheme="majorHAnsi" w:eastAsia="Trebuchet MS" w:hAnsiTheme="majorHAnsi" w:cstheme="majorHAnsi"/>
          <w:color w:val="auto"/>
        </w:rPr>
      </w:pPr>
    </w:p>
    <w:p w14:paraId="04F57D66" w14:textId="77777777" w:rsidR="00E175CE" w:rsidRPr="00BB43E2" w:rsidRDefault="00E175CE" w:rsidP="00E175CE">
      <w:pPr>
        <w:spacing w:after="120" w:line="288" w:lineRule="auto"/>
        <w:jc w:val="left"/>
        <w:rPr>
          <w:rFonts w:asciiTheme="majorHAnsi" w:eastAsia="Trebuchet MS" w:hAnsiTheme="majorHAnsi" w:cstheme="majorHAnsi"/>
          <w:color w:val="auto"/>
        </w:rPr>
      </w:pPr>
    </w:p>
    <w:p w14:paraId="58D875B7" w14:textId="77777777" w:rsidR="00E175CE" w:rsidRPr="00BB43E2" w:rsidRDefault="00E175CE" w:rsidP="00E175CE">
      <w:pPr>
        <w:spacing w:after="120" w:line="288" w:lineRule="auto"/>
        <w:jc w:val="left"/>
        <w:rPr>
          <w:rFonts w:asciiTheme="majorHAnsi" w:eastAsia="Trebuchet MS" w:hAnsiTheme="majorHAnsi" w:cstheme="majorHAnsi"/>
          <w:color w:val="auto"/>
        </w:rPr>
      </w:pPr>
    </w:p>
    <w:p w14:paraId="0328C826" w14:textId="77777777" w:rsidR="00E175CE" w:rsidRPr="00BB43E2" w:rsidRDefault="00E175CE" w:rsidP="00E175CE">
      <w:pPr>
        <w:numPr>
          <w:ilvl w:val="0"/>
          <w:numId w:val="0"/>
        </w:numPr>
        <w:spacing w:after="120" w:line="288" w:lineRule="auto"/>
        <w:jc w:val="left"/>
        <w:rPr>
          <w:rFonts w:asciiTheme="majorHAnsi" w:eastAsia="Trebuchet MS" w:hAnsiTheme="majorHAnsi" w:cstheme="majorHAnsi"/>
          <w:color w:val="auto"/>
        </w:rPr>
      </w:pPr>
    </w:p>
    <w:p w14:paraId="4E93050A" w14:textId="77777777" w:rsidR="00E175CE" w:rsidRDefault="00E175CE" w:rsidP="00E175CE">
      <w:pPr>
        <w:numPr>
          <w:ilvl w:val="0"/>
          <w:numId w:val="0"/>
        </w:numPr>
        <w:spacing w:after="120" w:line="288" w:lineRule="auto"/>
        <w:jc w:val="left"/>
        <w:rPr>
          <w:rFonts w:ascii="Trebuchet MS" w:eastAsia="Trebuchet MS" w:hAnsi="Trebuchet MS" w:cs="Times New Roman"/>
          <w:color w:val="auto"/>
        </w:rPr>
      </w:pPr>
    </w:p>
    <w:p w14:paraId="7935230E" w14:textId="77777777" w:rsidR="00E175CE" w:rsidRDefault="00E175CE" w:rsidP="00E175CE">
      <w:pPr>
        <w:numPr>
          <w:ilvl w:val="0"/>
          <w:numId w:val="0"/>
        </w:numPr>
        <w:spacing w:after="120" w:line="288" w:lineRule="auto"/>
        <w:jc w:val="left"/>
        <w:rPr>
          <w:rFonts w:ascii="Trebuchet MS" w:eastAsia="Trebuchet MS" w:hAnsi="Trebuchet MS" w:cs="Times New Roman"/>
          <w:color w:val="auto"/>
        </w:rPr>
      </w:pPr>
    </w:p>
    <w:p w14:paraId="068EB970" w14:textId="77777777" w:rsidR="00E175CE" w:rsidRDefault="00E175CE" w:rsidP="00E175CE">
      <w:pPr>
        <w:numPr>
          <w:ilvl w:val="0"/>
          <w:numId w:val="0"/>
        </w:numPr>
        <w:spacing w:after="120" w:line="288" w:lineRule="auto"/>
        <w:jc w:val="left"/>
        <w:rPr>
          <w:rFonts w:ascii="Trebuchet MS" w:eastAsia="Trebuchet MS" w:hAnsi="Trebuchet MS" w:cs="Times New Roman"/>
          <w:color w:val="auto"/>
        </w:rPr>
      </w:pPr>
    </w:p>
    <w:p w14:paraId="2C6CC027" w14:textId="77777777" w:rsidR="00E175CE" w:rsidRDefault="00E175CE" w:rsidP="00E175CE">
      <w:pPr>
        <w:numPr>
          <w:ilvl w:val="0"/>
          <w:numId w:val="0"/>
        </w:numPr>
        <w:spacing w:after="120" w:line="288" w:lineRule="auto"/>
        <w:jc w:val="left"/>
        <w:rPr>
          <w:rFonts w:ascii="Trebuchet MS" w:eastAsia="Trebuchet MS" w:hAnsi="Trebuchet MS" w:cs="Times New Roman"/>
          <w:color w:val="auto"/>
        </w:rPr>
      </w:pPr>
    </w:p>
    <w:p w14:paraId="63145010" w14:textId="77777777" w:rsidR="00E175CE" w:rsidRDefault="00E175CE" w:rsidP="00E175CE">
      <w:pPr>
        <w:numPr>
          <w:ilvl w:val="0"/>
          <w:numId w:val="0"/>
        </w:numPr>
        <w:spacing w:after="120" w:line="288" w:lineRule="auto"/>
        <w:jc w:val="left"/>
        <w:rPr>
          <w:rFonts w:ascii="Trebuchet MS" w:eastAsia="Trebuchet MS" w:hAnsi="Trebuchet MS" w:cs="Times New Roman"/>
          <w:color w:val="auto"/>
        </w:rPr>
      </w:pPr>
    </w:p>
    <w:p w14:paraId="1D5062FC" w14:textId="77777777" w:rsidR="00E175CE" w:rsidRDefault="00E175CE" w:rsidP="00E175CE">
      <w:pPr>
        <w:numPr>
          <w:ilvl w:val="0"/>
          <w:numId w:val="0"/>
        </w:numPr>
        <w:spacing w:after="120" w:line="288" w:lineRule="auto"/>
        <w:jc w:val="left"/>
        <w:rPr>
          <w:rFonts w:ascii="Trebuchet MS" w:eastAsia="Trebuchet MS" w:hAnsi="Trebuchet MS" w:cs="Times New Roman"/>
          <w:color w:val="auto"/>
        </w:rPr>
      </w:pPr>
    </w:p>
    <w:p w14:paraId="2FF229FA" w14:textId="77777777" w:rsidR="00E175CE" w:rsidRDefault="00E175CE" w:rsidP="00E175CE">
      <w:pPr>
        <w:numPr>
          <w:ilvl w:val="0"/>
          <w:numId w:val="0"/>
        </w:numPr>
        <w:spacing w:after="120" w:line="288" w:lineRule="auto"/>
        <w:jc w:val="left"/>
        <w:rPr>
          <w:rFonts w:ascii="Trebuchet MS" w:eastAsia="Trebuchet MS" w:hAnsi="Trebuchet MS" w:cs="Times New Roman"/>
          <w:color w:val="auto"/>
        </w:rPr>
      </w:pPr>
    </w:p>
    <w:p w14:paraId="784119C8" w14:textId="77777777" w:rsidR="00E175CE" w:rsidRDefault="00E175CE" w:rsidP="00E175CE">
      <w:pPr>
        <w:numPr>
          <w:ilvl w:val="0"/>
          <w:numId w:val="0"/>
        </w:numPr>
        <w:spacing w:after="120" w:line="288" w:lineRule="auto"/>
        <w:jc w:val="left"/>
        <w:rPr>
          <w:rFonts w:ascii="Trebuchet MS" w:eastAsia="Trebuchet MS" w:hAnsi="Trebuchet MS" w:cs="Times New Roman"/>
          <w:color w:val="auto"/>
        </w:rPr>
      </w:pPr>
    </w:p>
    <w:p w14:paraId="7487162C" w14:textId="77777777" w:rsidR="00E175CE" w:rsidRDefault="00E175CE" w:rsidP="00E175CE">
      <w:pPr>
        <w:numPr>
          <w:ilvl w:val="0"/>
          <w:numId w:val="0"/>
        </w:numPr>
        <w:spacing w:after="120" w:line="288" w:lineRule="auto"/>
        <w:jc w:val="left"/>
        <w:rPr>
          <w:rFonts w:ascii="Trebuchet MS" w:eastAsia="Trebuchet MS" w:hAnsi="Trebuchet MS" w:cs="Times New Roman"/>
          <w:color w:val="auto"/>
        </w:rPr>
      </w:pPr>
    </w:p>
    <w:p w14:paraId="7D6A9463" w14:textId="77777777" w:rsidR="00E175CE" w:rsidRDefault="00E175CE" w:rsidP="00E175CE">
      <w:pPr>
        <w:numPr>
          <w:ilvl w:val="0"/>
          <w:numId w:val="0"/>
        </w:numPr>
        <w:spacing w:after="120" w:line="288" w:lineRule="auto"/>
        <w:jc w:val="left"/>
        <w:rPr>
          <w:rFonts w:ascii="Trebuchet MS" w:eastAsia="Trebuchet MS" w:hAnsi="Trebuchet MS" w:cs="Times New Roman"/>
          <w:color w:val="auto"/>
        </w:rPr>
      </w:pPr>
    </w:p>
    <w:p w14:paraId="7CCB8449" w14:textId="77777777" w:rsidR="00E175CE" w:rsidRDefault="00E175CE" w:rsidP="00E175CE">
      <w:pPr>
        <w:numPr>
          <w:ilvl w:val="0"/>
          <w:numId w:val="0"/>
        </w:numPr>
        <w:spacing w:after="120" w:line="288" w:lineRule="auto"/>
        <w:jc w:val="left"/>
        <w:rPr>
          <w:rFonts w:ascii="Trebuchet MS" w:eastAsia="Trebuchet MS" w:hAnsi="Trebuchet MS" w:cs="Times New Roman"/>
          <w:color w:val="auto"/>
        </w:rPr>
      </w:pPr>
    </w:p>
    <w:p w14:paraId="269EDB22" w14:textId="77777777" w:rsidR="00E175CE" w:rsidRDefault="00E175CE" w:rsidP="00E175CE">
      <w:pPr>
        <w:numPr>
          <w:ilvl w:val="0"/>
          <w:numId w:val="0"/>
        </w:numPr>
        <w:spacing w:after="120" w:line="288" w:lineRule="auto"/>
        <w:jc w:val="left"/>
        <w:rPr>
          <w:rFonts w:ascii="Trebuchet MS" w:eastAsia="Trebuchet MS" w:hAnsi="Trebuchet MS" w:cs="Times New Roman"/>
          <w:color w:val="auto"/>
        </w:rPr>
      </w:pPr>
    </w:p>
    <w:p w14:paraId="37496F82" w14:textId="77777777" w:rsidR="00E175CE" w:rsidRDefault="00E175CE" w:rsidP="00E175CE">
      <w:pPr>
        <w:numPr>
          <w:ilvl w:val="0"/>
          <w:numId w:val="0"/>
        </w:numPr>
        <w:spacing w:after="120" w:line="288" w:lineRule="auto"/>
        <w:jc w:val="left"/>
        <w:rPr>
          <w:rFonts w:ascii="Trebuchet MS" w:eastAsia="Trebuchet MS" w:hAnsi="Trebuchet MS" w:cs="Times New Roman"/>
          <w:color w:val="auto"/>
        </w:rPr>
      </w:pPr>
    </w:p>
    <w:p w14:paraId="1747A4FF" w14:textId="77777777" w:rsidR="00E175CE" w:rsidRDefault="00E175CE" w:rsidP="00E175CE">
      <w:pPr>
        <w:numPr>
          <w:ilvl w:val="0"/>
          <w:numId w:val="0"/>
        </w:numPr>
        <w:spacing w:after="120" w:line="288" w:lineRule="auto"/>
        <w:jc w:val="left"/>
        <w:rPr>
          <w:rFonts w:ascii="Trebuchet MS" w:eastAsia="Trebuchet MS" w:hAnsi="Trebuchet MS" w:cs="Times New Roman"/>
          <w:color w:val="auto"/>
        </w:rPr>
      </w:pPr>
    </w:p>
    <w:p w14:paraId="32918B27" w14:textId="77777777" w:rsidR="00E175CE" w:rsidRDefault="00E175CE" w:rsidP="00E175CE">
      <w:pPr>
        <w:numPr>
          <w:ilvl w:val="0"/>
          <w:numId w:val="0"/>
        </w:numPr>
        <w:spacing w:after="120" w:line="288" w:lineRule="auto"/>
        <w:jc w:val="left"/>
        <w:rPr>
          <w:rFonts w:ascii="Trebuchet MS" w:eastAsia="Trebuchet MS" w:hAnsi="Trebuchet MS" w:cs="Times New Roman"/>
          <w:color w:val="auto"/>
        </w:rPr>
      </w:pPr>
    </w:p>
    <w:p w14:paraId="149419B5" w14:textId="77777777" w:rsidR="00E175CE" w:rsidRDefault="00E175CE" w:rsidP="00E175CE">
      <w:pPr>
        <w:numPr>
          <w:ilvl w:val="0"/>
          <w:numId w:val="0"/>
        </w:numPr>
        <w:spacing w:after="120" w:line="288" w:lineRule="auto"/>
        <w:jc w:val="left"/>
        <w:rPr>
          <w:rFonts w:ascii="Trebuchet MS" w:eastAsia="Trebuchet MS" w:hAnsi="Trebuchet MS" w:cs="Times New Roman"/>
          <w:color w:val="auto"/>
        </w:rPr>
      </w:pPr>
    </w:p>
    <w:p w14:paraId="10AAF39F" w14:textId="77777777" w:rsidR="00E175CE" w:rsidRDefault="00E175CE" w:rsidP="00E175CE">
      <w:pPr>
        <w:numPr>
          <w:ilvl w:val="0"/>
          <w:numId w:val="0"/>
        </w:numPr>
        <w:spacing w:after="120" w:line="288" w:lineRule="auto"/>
        <w:jc w:val="left"/>
        <w:rPr>
          <w:rFonts w:ascii="Trebuchet MS" w:eastAsia="Trebuchet MS" w:hAnsi="Trebuchet MS" w:cs="Times New Roman"/>
          <w:color w:val="auto"/>
        </w:rPr>
      </w:pPr>
    </w:p>
    <w:p w14:paraId="0950DD74" w14:textId="77777777" w:rsidR="00E175CE" w:rsidRDefault="00E175CE" w:rsidP="00E175CE">
      <w:pPr>
        <w:numPr>
          <w:ilvl w:val="0"/>
          <w:numId w:val="0"/>
        </w:numPr>
        <w:spacing w:after="120" w:line="288" w:lineRule="auto"/>
        <w:jc w:val="left"/>
        <w:rPr>
          <w:rFonts w:ascii="Trebuchet MS" w:eastAsia="Trebuchet MS" w:hAnsi="Trebuchet MS" w:cs="Times New Roman"/>
          <w:color w:val="auto"/>
        </w:rPr>
      </w:pPr>
    </w:p>
    <w:p w14:paraId="7E4C5193" w14:textId="77777777" w:rsidR="00E175CE" w:rsidRPr="00343221" w:rsidRDefault="00E175CE" w:rsidP="00E175CE">
      <w:pPr>
        <w:numPr>
          <w:ilvl w:val="0"/>
          <w:numId w:val="0"/>
        </w:numPr>
        <w:spacing w:after="120" w:line="288" w:lineRule="auto"/>
        <w:jc w:val="left"/>
        <w:rPr>
          <w:rFonts w:ascii="Trebuchet MS" w:eastAsia="Trebuchet MS" w:hAnsi="Trebuchet MS" w:cs="Times New Roman"/>
          <w:color w:val="auto"/>
        </w:rPr>
      </w:pPr>
    </w:p>
    <w:p w14:paraId="50E27B93" w14:textId="77777777" w:rsidR="00E175CE" w:rsidRPr="00343221" w:rsidRDefault="00E175CE" w:rsidP="00E175CE">
      <w:pPr>
        <w:spacing w:after="120" w:line="288" w:lineRule="auto"/>
        <w:jc w:val="left"/>
        <w:rPr>
          <w:rFonts w:ascii="Trebuchet MS" w:eastAsia="Trebuchet MS" w:hAnsi="Trebuchet MS" w:cs="Times New Roman"/>
          <w:color w:val="auto"/>
        </w:rPr>
      </w:pPr>
    </w:p>
    <w:p w14:paraId="1BAB83F5" w14:textId="77777777" w:rsidR="00E175CE" w:rsidRPr="00343221" w:rsidRDefault="00E175CE" w:rsidP="00E175CE">
      <w:pPr>
        <w:spacing w:after="120" w:line="288" w:lineRule="auto"/>
        <w:jc w:val="left"/>
        <w:rPr>
          <w:rFonts w:ascii="Trebuchet MS" w:eastAsia="Trebuchet MS" w:hAnsi="Trebuchet MS" w:cs="Times New Roman"/>
          <w:color w:val="auto"/>
        </w:rPr>
      </w:pPr>
    </w:p>
    <w:p w14:paraId="682CBD7C" w14:textId="1D2B031E" w:rsidR="00A533A9" w:rsidRPr="00C86970" w:rsidRDefault="00E175CE" w:rsidP="00C86970">
      <w:pPr>
        <w:spacing w:after="120" w:line="288" w:lineRule="auto"/>
        <w:jc w:val="left"/>
        <w:rPr>
          <w:rFonts w:eastAsia="Trebuchet MS" w:cs="Arial"/>
          <w:color w:val="auto"/>
          <w:sz w:val="16"/>
          <w:szCs w:val="20"/>
        </w:rPr>
      </w:pPr>
      <w:r w:rsidRPr="00343221">
        <w:rPr>
          <w:rFonts w:eastAsia="Trebuchet MS" w:cs="Arial"/>
          <w:color w:val="auto"/>
          <w:sz w:val="16"/>
          <w:szCs w:val="20"/>
        </w:rPr>
        <w:t xml:space="preserve">APRA is required to publish this notice in the </w:t>
      </w:r>
      <w:r w:rsidRPr="00343221">
        <w:rPr>
          <w:rFonts w:eastAsia="Trebuchet MS" w:cs="Arial"/>
          <w:i/>
          <w:color w:val="auto"/>
          <w:sz w:val="16"/>
          <w:szCs w:val="20"/>
        </w:rPr>
        <w:t>Gazette</w:t>
      </w:r>
      <w:r w:rsidRPr="00343221">
        <w:rPr>
          <w:rFonts w:eastAsia="Trebuchet MS" w:cs="Arial"/>
          <w:color w:val="auto"/>
          <w:sz w:val="16"/>
          <w:szCs w:val="20"/>
        </w:rPr>
        <w:t>.</w:t>
      </w:r>
    </w:p>
    <w:sectPr w:rsidR="00A533A9" w:rsidRPr="00C86970" w:rsidSect="00F63404">
      <w:headerReference w:type="default" r:id="rId15"/>
      <w:footerReference w:type="default" r:id="rId16"/>
      <w:headerReference w:type="first" r:id="rId17"/>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B4FC8" w14:textId="77777777" w:rsidR="00E175CE" w:rsidRPr="000D4EDE" w:rsidRDefault="00E175CE" w:rsidP="000D4EDE">
      <w:r>
        <w:separator/>
      </w:r>
    </w:p>
  </w:endnote>
  <w:endnote w:type="continuationSeparator" w:id="0">
    <w:p w14:paraId="01239389" w14:textId="77777777" w:rsidR="00E175CE" w:rsidRPr="000D4EDE" w:rsidRDefault="00E175CE"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453472"/>
      <w:docPartObj>
        <w:docPartGallery w:val="Page Numbers (Bottom of Page)"/>
        <w:docPartUnique/>
      </w:docPartObj>
    </w:sdtPr>
    <w:sdtEndPr/>
    <w:sdtContent>
      <w:sdt>
        <w:sdtPr>
          <w:id w:val="860082579"/>
          <w:docPartObj>
            <w:docPartGallery w:val="Page Numbers (Top of Page)"/>
            <w:docPartUnique/>
          </w:docPartObj>
        </w:sdtPr>
        <w:sdtEndPr/>
        <w:sdtContent>
          <w:p w14:paraId="787A475B" w14:textId="77777777" w:rsidR="00E175CE" w:rsidRDefault="00E175CE" w:rsidP="00E175CE">
            <w:pPr>
              <w:pStyle w:val="Footer"/>
              <w:jc w:val="center"/>
            </w:pPr>
            <w:r w:rsidRPr="007046A6">
              <w:rPr>
                <w:rFonts w:ascii="Times New Roman" w:hAnsi="Times New Roman"/>
                <w:bCs/>
                <w:szCs w:val="18"/>
              </w:rPr>
              <w:fldChar w:fldCharType="begin"/>
            </w:r>
            <w:r w:rsidRPr="007046A6">
              <w:rPr>
                <w:rFonts w:ascii="Times New Roman" w:hAnsi="Times New Roman"/>
                <w:bCs/>
                <w:szCs w:val="18"/>
              </w:rPr>
              <w:instrText xml:space="preserve"> PAGE </w:instrText>
            </w:r>
            <w:r w:rsidRPr="007046A6">
              <w:rPr>
                <w:rFonts w:ascii="Times New Roman" w:hAnsi="Times New Roman"/>
                <w:bCs/>
                <w:szCs w:val="18"/>
              </w:rPr>
              <w:fldChar w:fldCharType="separate"/>
            </w:r>
            <w:r w:rsidR="00F63404">
              <w:rPr>
                <w:rFonts w:ascii="Times New Roman" w:hAnsi="Times New Roman"/>
                <w:bCs/>
                <w:noProof/>
                <w:szCs w:val="18"/>
              </w:rPr>
              <w:t>2</w:t>
            </w:r>
            <w:r w:rsidRPr="007046A6">
              <w:rPr>
                <w:rFonts w:ascii="Times New Roman" w:hAnsi="Times New Roman"/>
                <w:bCs/>
                <w:szCs w:val="18"/>
              </w:rPr>
              <w:fldChar w:fldCharType="end"/>
            </w:r>
            <w:r>
              <w:t xml:space="preserve"> </w:t>
            </w:r>
          </w:p>
        </w:sdtContent>
      </w:sdt>
    </w:sdtContent>
  </w:sdt>
  <w:p w14:paraId="06105577" w14:textId="77777777" w:rsidR="00E175CE" w:rsidRDefault="00E175CE" w:rsidP="00E175CE">
    <w:pPr>
      <w:pStyle w:val="Footer"/>
    </w:pPr>
  </w:p>
  <w:p w14:paraId="3BAB5CD2" w14:textId="77777777" w:rsidR="00E175CE" w:rsidRDefault="00E175CE" w:rsidP="00E175CE">
    <w:pPr>
      <w:pStyle w:val="Footer"/>
    </w:pPr>
  </w:p>
  <w:p w14:paraId="3814ACAC" w14:textId="77777777" w:rsidR="00E175CE" w:rsidRDefault="00E17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329F1" w14:textId="77777777" w:rsidR="00E175CE" w:rsidRPr="000D4EDE" w:rsidRDefault="00E175CE" w:rsidP="000D4EDE">
      <w:r>
        <w:separator/>
      </w:r>
    </w:p>
  </w:footnote>
  <w:footnote w:type="continuationSeparator" w:id="0">
    <w:p w14:paraId="37761D61" w14:textId="77777777" w:rsidR="00E175CE" w:rsidRPr="000D4EDE" w:rsidRDefault="00E175CE" w:rsidP="000D4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B7807" w14:textId="788F0947" w:rsidR="00F63404" w:rsidRDefault="00F63404">
    <w:pPr>
      <w:pStyle w:val="Header"/>
    </w:pPr>
  </w:p>
  <w:p w14:paraId="38663352" w14:textId="77777777" w:rsidR="00530A34" w:rsidRPr="00665727" w:rsidRDefault="00F63404" w:rsidP="0066572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63404" w:rsidRPr="00CE796A" w14:paraId="727A7F04" w14:textId="77777777" w:rsidTr="00603D8E">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257C402" w14:textId="77777777" w:rsidR="00F63404" w:rsidRPr="00CE796A" w:rsidRDefault="00F63404" w:rsidP="00F63404">
          <w:pPr>
            <w:spacing w:before="60" w:after="0"/>
            <w:ind w:left="-51"/>
            <w:rPr>
              <w:sz w:val="12"/>
            </w:rPr>
          </w:pPr>
          <w:bookmarkStart w:id="1" w:name="OLE_LINK2"/>
          <w:r>
            <w:rPr>
              <w:noProof/>
              <w:sz w:val="12"/>
              <w:lang w:eastAsia="en-AU"/>
            </w:rPr>
            <w:drawing>
              <wp:inline distT="0" distB="0" distL="0" distR="0" wp14:anchorId="563860F0" wp14:editId="4BEBB645">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C075DC9" w14:textId="77777777" w:rsidR="00F63404" w:rsidRPr="00CE796A" w:rsidRDefault="00F63404" w:rsidP="00F63404">
          <w:pPr>
            <w:spacing w:before="60" w:after="0" w:line="460" w:lineRule="exact"/>
            <w:rPr>
              <w:rFonts w:cs="Arial"/>
              <w:b/>
              <w:spacing w:val="-2"/>
              <w:sz w:val="44"/>
              <w:szCs w:val="44"/>
            </w:rPr>
          </w:pPr>
          <w:r w:rsidRPr="00CE796A">
            <w:rPr>
              <w:rFonts w:cs="Arial"/>
              <w:b/>
              <w:spacing w:val="-2"/>
              <w:sz w:val="44"/>
              <w:szCs w:val="44"/>
            </w:rPr>
            <w:t>Commonwealth</w:t>
          </w:r>
          <w:r w:rsidRPr="00CE796A">
            <w:rPr>
              <w:rFonts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1A5D8CA" w14:textId="77777777" w:rsidR="00F63404" w:rsidRPr="00CE796A" w:rsidRDefault="00F63404" w:rsidP="00F63404">
          <w:pPr>
            <w:spacing w:before="180" w:after="0" w:line="800" w:lineRule="exact"/>
            <w:jc w:val="right"/>
            <w:rPr>
              <w:rFonts w:cs="Arial"/>
              <w:b/>
              <w:sz w:val="100"/>
              <w:szCs w:val="100"/>
            </w:rPr>
          </w:pPr>
          <w:r w:rsidRPr="00CE796A">
            <w:rPr>
              <w:rFonts w:cs="Arial"/>
              <w:b/>
              <w:sz w:val="100"/>
              <w:szCs w:val="100"/>
            </w:rPr>
            <w:t>Gazette</w:t>
          </w:r>
        </w:p>
      </w:tc>
    </w:tr>
    <w:tr w:rsidR="00F63404" w:rsidRPr="00CE796A" w14:paraId="7F6B6616" w14:textId="77777777" w:rsidTr="00603D8E">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067C126" w14:textId="77777777" w:rsidR="00F63404" w:rsidRPr="00CE796A" w:rsidRDefault="00F63404" w:rsidP="00F63404">
          <w:pPr>
            <w:spacing w:after="0"/>
            <w:ind w:left="-51"/>
            <w:rPr>
              <w:rFonts w:cs="Arial"/>
              <w:sz w:val="14"/>
              <w:szCs w:val="14"/>
            </w:rPr>
          </w:pPr>
          <w:bookmarkStart w:id="2" w:name="GazNo"/>
          <w:bookmarkEnd w:id="2"/>
          <w:r w:rsidRPr="00CE796A">
            <w:rPr>
              <w:rFonts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769C306" w14:textId="77777777" w:rsidR="00F63404" w:rsidRPr="00840A06" w:rsidRDefault="00F63404" w:rsidP="00F63404">
          <w:pPr>
            <w:spacing w:after="0"/>
            <w:jc w:val="right"/>
            <w:rPr>
              <w:rFonts w:cs="Arial"/>
              <w:b/>
              <w:sz w:val="24"/>
              <w:szCs w:val="24"/>
            </w:rPr>
          </w:pPr>
          <w:r w:rsidRPr="00840A06">
            <w:rPr>
              <w:rFonts w:cs="Arial"/>
              <w:b/>
              <w:sz w:val="24"/>
              <w:szCs w:val="24"/>
            </w:rPr>
            <w:t>GOVERNMENT NOTICES</w:t>
          </w:r>
        </w:p>
      </w:tc>
    </w:tr>
    <w:bookmarkEnd w:id="1"/>
  </w:tbl>
  <w:p w14:paraId="5004D142" w14:textId="77777777" w:rsidR="00530A34" w:rsidRDefault="00F63404" w:rsidP="001D3B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7"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3FB2ECF"/>
    <w:multiLevelType w:val="hybridMultilevel"/>
    <w:tmpl w:val="A9FCCBEA"/>
    <w:lvl w:ilvl="0" w:tplc="C8A628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B00DDF"/>
    <w:multiLevelType w:val="hybridMultilevel"/>
    <w:tmpl w:val="C64CD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0"/>
  </w:num>
  <w:num w:numId="3">
    <w:abstractNumId w:val="4"/>
  </w:num>
  <w:num w:numId="4">
    <w:abstractNumId w:val="10"/>
  </w:num>
  <w:num w:numId="5">
    <w:abstractNumId w:val="11"/>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5"/>
  </w:num>
  <w:num w:numId="11">
    <w:abstractNumId w:val="3"/>
  </w:num>
  <w:num w:numId="12">
    <w:abstractNumId w:val="9"/>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formatting="1" w:enforcement="0"/>
  <w:styleLockTheme/>
  <w:styleLockQFSet/>
  <w:defaultTabStop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4F"/>
    <w:rsid w:val="00004ED1"/>
    <w:rsid w:val="00005D98"/>
    <w:rsid w:val="00005F96"/>
    <w:rsid w:val="00007262"/>
    <w:rsid w:val="00011C96"/>
    <w:rsid w:val="000141B9"/>
    <w:rsid w:val="00023D8B"/>
    <w:rsid w:val="00027489"/>
    <w:rsid w:val="00034A19"/>
    <w:rsid w:val="00036F9E"/>
    <w:rsid w:val="000413B3"/>
    <w:rsid w:val="000453D9"/>
    <w:rsid w:val="000559A1"/>
    <w:rsid w:val="000573E5"/>
    <w:rsid w:val="00057B71"/>
    <w:rsid w:val="0007202C"/>
    <w:rsid w:val="00072B30"/>
    <w:rsid w:val="0007319C"/>
    <w:rsid w:val="000732AA"/>
    <w:rsid w:val="000767DD"/>
    <w:rsid w:val="0008011A"/>
    <w:rsid w:val="00084F8B"/>
    <w:rsid w:val="000851D0"/>
    <w:rsid w:val="00086D07"/>
    <w:rsid w:val="00086F71"/>
    <w:rsid w:val="00093915"/>
    <w:rsid w:val="000949AD"/>
    <w:rsid w:val="00095109"/>
    <w:rsid w:val="00096B0F"/>
    <w:rsid w:val="000A490E"/>
    <w:rsid w:val="000B04C5"/>
    <w:rsid w:val="000B1F29"/>
    <w:rsid w:val="000B63CA"/>
    <w:rsid w:val="000B752A"/>
    <w:rsid w:val="000C14D9"/>
    <w:rsid w:val="000C15C7"/>
    <w:rsid w:val="000D4EDE"/>
    <w:rsid w:val="000E2460"/>
    <w:rsid w:val="000E43AC"/>
    <w:rsid w:val="000E6E37"/>
    <w:rsid w:val="000F0E6F"/>
    <w:rsid w:val="000F714F"/>
    <w:rsid w:val="001018A5"/>
    <w:rsid w:val="00106F56"/>
    <w:rsid w:val="00115A39"/>
    <w:rsid w:val="00117479"/>
    <w:rsid w:val="00123576"/>
    <w:rsid w:val="001241CB"/>
    <w:rsid w:val="00124B21"/>
    <w:rsid w:val="001327B8"/>
    <w:rsid w:val="0013471B"/>
    <w:rsid w:val="001352D4"/>
    <w:rsid w:val="00155789"/>
    <w:rsid w:val="00157C98"/>
    <w:rsid w:val="001653B6"/>
    <w:rsid w:val="00165BF6"/>
    <w:rsid w:val="00174B0F"/>
    <w:rsid w:val="0018235E"/>
    <w:rsid w:val="00184187"/>
    <w:rsid w:val="001A4EA4"/>
    <w:rsid w:val="001A664F"/>
    <w:rsid w:val="001B2DB7"/>
    <w:rsid w:val="001B3A9F"/>
    <w:rsid w:val="001D0C02"/>
    <w:rsid w:val="001D3D43"/>
    <w:rsid w:val="001E0F51"/>
    <w:rsid w:val="001E1B83"/>
    <w:rsid w:val="001E55BF"/>
    <w:rsid w:val="001F6E1A"/>
    <w:rsid w:val="001F780A"/>
    <w:rsid w:val="001F785A"/>
    <w:rsid w:val="001F7917"/>
    <w:rsid w:val="00200613"/>
    <w:rsid w:val="00214883"/>
    <w:rsid w:val="002156F6"/>
    <w:rsid w:val="00220550"/>
    <w:rsid w:val="002301A2"/>
    <w:rsid w:val="00230A1D"/>
    <w:rsid w:val="00236C2D"/>
    <w:rsid w:val="002374B7"/>
    <w:rsid w:val="00240126"/>
    <w:rsid w:val="00241D16"/>
    <w:rsid w:val="00242384"/>
    <w:rsid w:val="0024304D"/>
    <w:rsid w:val="00244826"/>
    <w:rsid w:val="00247ACA"/>
    <w:rsid w:val="00252E6A"/>
    <w:rsid w:val="00255A20"/>
    <w:rsid w:val="0025782A"/>
    <w:rsid w:val="00263414"/>
    <w:rsid w:val="002661A6"/>
    <w:rsid w:val="00266C23"/>
    <w:rsid w:val="00277D6C"/>
    <w:rsid w:val="00286EAD"/>
    <w:rsid w:val="00292A60"/>
    <w:rsid w:val="0029389B"/>
    <w:rsid w:val="002A1894"/>
    <w:rsid w:val="002A2188"/>
    <w:rsid w:val="002A36F2"/>
    <w:rsid w:val="002A7D14"/>
    <w:rsid w:val="002B0913"/>
    <w:rsid w:val="002B28E4"/>
    <w:rsid w:val="002B7504"/>
    <w:rsid w:val="002C0D97"/>
    <w:rsid w:val="002C1493"/>
    <w:rsid w:val="002C66D1"/>
    <w:rsid w:val="002C7065"/>
    <w:rsid w:val="002C7F4A"/>
    <w:rsid w:val="002D2804"/>
    <w:rsid w:val="002D4B6C"/>
    <w:rsid w:val="002D5274"/>
    <w:rsid w:val="002E1EE3"/>
    <w:rsid w:val="002F0135"/>
    <w:rsid w:val="002F0C2C"/>
    <w:rsid w:val="00300655"/>
    <w:rsid w:val="00303D18"/>
    <w:rsid w:val="00307ADD"/>
    <w:rsid w:val="00307E55"/>
    <w:rsid w:val="00312A66"/>
    <w:rsid w:val="003130CA"/>
    <w:rsid w:val="0031527A"/>
    <w:rsid w:val="0032180D"/>
    <w:rsid w:val="003306A5"/>
    <w:rsid w:val="00355D40"/>
    <w:rsid w:val="00371AAC"/>
    <w:rsid w:val="00371F54"/>
    <w:rsid w:val="0037770C"/>
    <w:rsid w:val="00377C8B"/>
    <w:rsid w:val="00383A95"/>
    <w:rsid w:val="00385CA0"/>
    <w:rsid w:val="00391C3B"/>
    <w:rsid w:val="003A2733"/>
    <w:rsid w:val="003A3021"/>
    <w:rsid w:val="003A627E"/>
    <w:rsid w:val="003A79EE"/>
    <w:rsid w:val="003B6E16"/>
    <w:rsid w:val="003C180A"/>
    <w:rsid w:val="003C1E25"/>
    <w:rsid w:val="003D27CB"/>
    <w:rsid w:val="003D329D"/>
    <w:rsid w:val="003E6BF6"/>
    <w:rsid w:val="003F0F0D"/>
    <w:rsid w:val="0040173E"/>
    <w:rsid w:val="00435339"/>
    <w:rsid w:val="004410DC"/>
    <w:rsid w:val="0044447D"/>
    <w:rsid w:val="00450C67"/>
    <w:rsid w:val="00460CF7"/>
    <w:rsid w:val="00463FA8"/>
    <w:rsid w:val="00466648"/>
    <w:rsid w:val="00472CBC"/>
    <w:rsid w:val="004765B3"/>
    <w:rsid w:val="004843CA"/>
    <w:rsid w:val="00493DAA"/>
    <w:rsid w:val="00494335"/>
    <w:rsid w:val="00495A4C"/>
    <w:rsid w:val="004967A1"/>
    <w:rsid w:val="00497B24"/>
    <w:rsid w:val="004B584E"/>
    <w:rsid w:val="004C1106"/>
    <w:rsid w:val="004C6D4B"/>
    <w:rsid w:val="004C766B"/>
    <w:rsid w:val="004D33E3"/>
    <w:rsid w:val="004D76C1"/>
    <w:rsid w:val="004D7C22"/>
    <w:rsid w:val="004E2269"/>
    <w:rsid w:val="004E451A"/>
    <w:rsid w:val="004F3339"/>
    <w:rsid w:val="004F72A2"/>
    <w:rsid w:val="004F78E5"/>
    <w:rsid w:val="005026D4"/>
    <w:rsid w:val="00503A51"/>
    <w:rsid w:val="00506774"/>
    <w:rsid w:val="00512309"/>
    <w:rsid w:val="00541D54"/>
    <w:rsid w:val="00542522"/>
    <w:rsid w:val="0054526E"/>
    <w:rsid w:val="00545CE1"/>
    <w:rsid w:val="005476B5"/>
    <w:rsid w:val="005549D7"/>
    <w:rsid w:val="005602DA"/>
    <w:rsid w:val="00562087"/>
    <w:rsid w:val="005678FC"/>
    <w:rsid w:val="0057138A"/>
    <w:rsid w:val="00573327"/>
    <w:rsid w:val="00592F64"/>
    <w:rsid w:val="005A3F63"/>
    <w:rsid w:val="005A59D0"/>
    <w:rsid w:val="005B073E"/>
    <w:rsid w:val="005B227F"/>
    <w:rsid w:val="005B63AC"/>
    <w:rsid w:val="005B7801"/>
    <w:rsid w:val="005C5891"/>
    <w:rsid w:val="005D04CC"/>
    <w:rsid w:val="005D5FAE"/>
    <w:rsid w:val="005E4BC9"/>
    <w:rsid w:val="005F102F"/>
    <w:rsid w:val="005F29B7"/>
    <w:rsid w:val="00606EB5"/>
    <w:rsid w:val="00606FC8"/>
    <w:rsid w:val="00616C90"/>
    <w:rsid w:val="00617FDA"/>
    <w:rsid w:val="0062116F"/>
    <w:rsid w:val="00623FD7"/>
    <w:rsid w:val="00626087"/>
    <w:rsid w:val="00634E4C"/>
    <w:rsid w:val="00636B8B"/>
    <w:rsid w:val="00641EAA"/>
    <w:rsid w:val="006427FE"/>
    <w:rsid w:val="00643022"/>
    <w:rsid w:val="006506C1"/>
    <w:rsid w:val="00657459"/>
    <w:rsid w:val="0065747A"/>
    <w:rsid w:val="00662E28"/>
    <w:rsid w:val="0066674D"/>
    <w:rsid w:val="00666A78"/>
    <w:rsid w:val="006744E4"/>
    <w:rsid w:val="00676C12"/>
    <w:rsid w:val="0069375D"/>
    <w:rsid w:val="0069407C"/>
    <w:rsid w:val="0069574E"/>
    <w:rsid w:val="006969C0"/>
    <w:rsid w:val="006A1921"/>
    <w:rsid w:val="006A2303"/>
    <w:rsid w:val="006A2C82"/>
    <w:rsid w:val="006D2A45"/>
    <w:rsid w:val="006D315C"/>
    <w:rsid w:val="006D71B8"/>
    <w:rsid w:val="006E4272"/>
    <w:rsid w:val="006F145A"/>
    <w:rsid w:val="006F27CB"/>
    <w:rsid w:val="006F359B"/>
    <w:rsid w:val="006F5865"/>
    <w:rsid w:val="00701EC6"/>
    <w:rsid w:val="00706179"/>
    <w:rsid w:val="00714F78"/>
    <w:rsid w:val="007152B0"/>
    <w:rsid w:val="007170F7"/>
    <w:rsid w:val="00717589"/>
    <w:rsid w:val="00722F9F"/>
    <w:rsid w:val="007253B8"/>
    <w:rsid w:val="00736E7D"/>
    <w:rsid w:val="007509A6"/>
    <w:rsid w:val="00753F83"/>
    <w:rsid w:val="007541B0"/>
    <w:rsid w:val="0075469B"/>
    <w:rsid w:val="00754CA5"/>
    <w:rsid w:val="00755163"/>
    <w:rsid w:val="00756AAB"/>
    <w:rsid w:val="00757F63"/>
    <w:rsid w:val="007645AE"/>
    <w:rsid w:val="00764992"/>
    <w:rsid w:val="00765749"/>
    <w:rsid w:val="00775AA0"/>
    <w:rsid w:val="007770FA"/>
    <w:rsid w:val="00791738"/>
    <w:rsid w:val="00791780"/>
    <w:rsid w:val="00792D37"/>
    <w:rsid w:val="007A0EB7"/>
    <w:rsid w:val="007B6871"/>
    <w:rsid w:val="007B7899"/>
    <w:rsid w:val="007C08B1"/>
    <w:rsid w:val="007C2CC2"/>
    <w:rsid w:val="007C38BD"/>
    <w:rsid w:val="007C79AA"/>
    <w:rsid w:val="007D31DA"/>
    <w:rsid w:val="007D72C5"/>
    <w:rsid w:val="007E525D"/>
    <w:rsid w:val="007F0323"/>
    <w:rsid w:val="007F379E"/>
    <w:rsid w:val="007F471C"/>
    <w:rsid w:val="00800C90"/>
    <w:rsid w:val="008125F8"/>
    <w:rsid w:val="008208A8"/>
    <w:rsid w:val="00826012"/>
    <w:rsid w:val="00834CE0"/>
    <w:rsid w:val="0084110F"/>
    <w:rsid w:val="00844B1D"/>
    <w:rsid w:val="00844F5C"/>
    <w:rsid w:val="00845843"/>
    <w:rsid w:val="00846D34"/>
    <w:rsid w:val="00863020"/>
    <w:rsid w:val="008637EC"/>
    <w:rsid w:val="00870BC6"/>
    <w:rsid w:val="00875DAD"/>
    <w:rsid w:val="00877B84"/>
    <w:rsid w:val="00877E5F"/>
    <w:rsid w:val="0088036D"/>
    <w:rsid w:val="00881155"/>
    <w:rsid w:val="00882892"/>
    <w:rsid w:val="00885A14"/>
    <w:rsid w:val="0088689B"/>
    <w:rsid w:val="00890FA0"/>
    <w:rsid w:val="008947BF"/>
    <w:rsid w:val="008A0CBE"/>
    <w:rsid w:val="008A1CA8"/>
    <w:rsid w:val="008A214D"/>
    <w:rsid w:val="008A72D2"/>
    <w:rsid w:val="008A74A3"/>
    <w:rsid w:val="008B4FC5"/>
    <w:rsid w:val="008B6868"/>
    <w:rsid w:val="008B6D24"/>
    <w:rsid w:val="008C34F7"/>
    <w:rsid w:val="008C6A43"/>
    <w:rsid w:val="008D080C"/>
    <w:rsid w:val="008D1867"/>
    <w:rsid w:val="008D6437"/>
    <w:rsid w:val="008D6EDF"/>
    <w:rsid w:val="008E3EF5"/>
    <w:rsid w:val="008F33B5"/>
    <w:rsid w:val="00901414"/>
    <w:rsid w:val="00906799"/>
    <w:rsid w:val="00922193"/>
    <w:rsid w:val="00924152"/>
    <w:rsid w:val="0093194D"/>
    <w:rsid w:val="00934C3F"/>
    <w:rsid w:val="009417AE"/>
    <w:rsid w:val="00945B3F"/>
    <w:rsid w:val="00950DCB"/>
    <w:rsid w:val="00952D47"/>
    <w:rsid w:val="00952D4C"/>
    <w:rsid w:val="00960246"/>
    <w:rsid w:val="009720E1"/>
    <w:rsid w:val="00974F0E"/>
    <w:rsid w:val="00975CD7"/>
    <w:rsid w:val="00980CA1"/>
    <w:rsid w:val="00985E70"/>
    <w:rsid w:val="0098783B"/>
    <w:rsid w:val="00993C2B"/>
    <w:rsid w:val="009979F4"/>
    <w:rsid w:val="009A00A5"/>
    <w:rsid w:val="009A246D"/>
    <w:rsid w:val="009A45B2"/>
    <w:rsid w:val="009A5585"/>
    <w:rsid w:val="009A59D5"/>
    <w:rsid w:val="009B2CB7"/>
    <w:rsid w:val="009C2198"/>
    <w:rsid w:val="009D2DDD"/>
    <w:rsid w:val="009E0C10"/>
    <w:rsid w:val="009E4116"/>
    <w:rsid w:val="009E529F"/>
    <w:rsid w:val="009F452A"/>
    <w:rsid w:val="00A10DA6"/>
    <w:rsid w:val="00A151E9"/>
    <w:rsid w:val="00A15DBB"/>
    <w:rsid w:val="00A259F2"/>
    <w:rsid w:val="00A2758A"/>
    <w:rsid w:val="00A33802"/>
    <w:rsid w:val="00A34ADD"/>
    <w:rsid w:val="00A37162"/>
    <w:rsid w:val="00A37E51"/>
    <w:rsid w:val="00A51E2D"/>
    <w:rsid w:val="00A5319F"/>
    <w:rsid w:val="00A533A9"/>
    <w:rsid w:val="00A53690"/>
    <w:rsid w:val="00A62D31"/>
    <w:rsid w:val="00A63380"/>
    <w:rsid w:val="00A70EB4"/>
    <w:rsid w:val="00A8129D"/>
    <w:rsid w:val="00A82188"/>
    <w:rsid w:val="00A865C7"/>
    <w:rsid w:val="00A909CC"/>
    <w:rsid w:val="00A964A5"/>
    <w:rsid w:val="00A97E3B"/>
    <w:rsid w:val="00AA00CB"/>
    <w:rsid w:val="00AA20A1"/>
    <w:rsid w:val="00AA41F2"/>
    <w:rsid w:val="00AB039E"/>
    <w:rsid w:val="00AB4206"/>
    <w:rsid w:val="00AC7E54"/>
    <w:rsid w:val="00AE6A4E"/>
    <w:rsid w:val="00AE7B98"/>
    <w:rsid w:val="00AF129F"/>
    <w:rsid w:val="00B12DC9"/>
    <w:rsid w:val="00B13F84"/>
    <w:rsid w:val="00B14604"/>
    <w:rsid w:val="00B15ABA"/>
    <w:rsid w:val="00B20FA0"/>
    <w:rsid w:val="00B24DD4"/>
    <w:rsid w:val="00B34339"/>
    <w:rsid w:val="00B40B7D"/>
    <w:rsid w:val="00B42B2F"/>
    <w:rsid w:val="00B44900"/>
    <w:rsid w:val="00B467F6"/>
    <w:rsid w:val="00B472E1"/>
    <w:rsid w:val="00B52821"/>
    <w:rsid w:val="00B56C63"/>
    <w:rsid w:val="00B664C7"/>
    <w:rsid w:val="00B71170"/>
    <w:rsid w:val="00B720ED"/>
    <w:rsid w:val="00B7522C"/>
    <w:rsid w:val="00B80BCE"/>
    <w:rsid w:val="00B81524"/>
    <w:rsid w:val="00B81740"/>
    <w:rsid w:val="00B83542"/>
    <w:rsid w:val="00B85D7B"/>
    <w:rsid w:val="00B900EA"/>
    <w:rsid w:val="00B91069"/>
    <w:rsid w:val="00B92842"/>
    <w:rsid w:val="00BA2713"/>
    <w:rsid w:val="00BA2941"/>
    <w:rsid w:val="00BA4C61"/>
    <w:rsid w:val="00BA627A"/>
    <w:rsid w:val="00BB22FA"/>
    <w:rsid w:val="00BB43E2"/>
    <w:rsid w:val="00BD12A1"/>
    <w:rsid w:val="00BD1D09"/>
    <w:rsid w:val="00BD7B83"/>
    <w:rsid w:val="00BF17C6"/>
    <w:rsid w:val="00BF6F09"/>
    <w:rsid w:val="00C00FDA"/>
    <w:rsid w:val="00C02EB9"/>
    <w:rsid w:val="00C0373C"/>
    <w:rsid w:val="00C04E4B"/>
    <w:rsid w:val="00C11531"/>
    <w:rsid w:val="00C11B56"/>
    <w:rsid w:val="00C14C04"/>
    <w:rsid w:val="00C1529E"/>
    <w:rsid w:val="00C16045"/>
    <w:rsid w:val="00C21E27"/>
    <w:rsid w:val="00C2332A"/>
    <w:rsid w:val="00C233E4"/>
    <w:rsid w:val="00C42EA5"/>
    <w:rsid w:val="00C46485"/>
    <w:rsid w:val="00C62BF5"/>
    <w:rsid w:val="00C636DA"/>
    <w:rsid w:val="00C67E22"/>
    <w:rsid w:val="00C72271"/>
    <w:rsid w:val="00C72A17"/>
    <w:rsid w:val="00C81356"/>
    <w:rsid w:val="00C813CD"/>
    <w:rsid w:val="00C858D9"/>
    <w:rsid w:val="00C86970"/>
    <w:rsid w:val="00C87DA0"/>
    <w:rsid w:val="00CA4E4D"/>
    <w:rsid w:val="00CA6FF9"/>
    <w:rsid w:val="00CB4238"/>
    <w:rsid w:val="00CB5938"/>
    <w:rsid w:val="00CB5B27"/>
    <w:rsid w:val="00CC13F5"/>
    <w:rsid w:val="00CC1A64"/>
    <w:rsid w:val="00CC34EB"/>
    <w:rsid w:val="00CC66EA"/>
    <w:rsid w:val="00CD3C17"/>
    <w:rsid w:val="00CE1F9C"/>
    <w:rsid w:val="00CE2E48"/>
    <w:rsid w:val="00CF0184"/>
    <w:rsid w:val="00CF55F6"/>
    <w:rsid w:val="00CF59E0"/>
    <w:rsid w:val="00CF6672"/>
    <w:rsid w:val="00D021F7"/>
    <w:rsid w:val="00D069C7"/>
    <w:rsid w:val="00D078A2"/>
    <w:rsid w:val="00D21123"/>
    <w:rsid w:val="00D26BB7"/>
    <w:rsid w:val="00D367EB"/>
    <w:rsid w:val="00D36C91"/>
    <w:rsid w:val="00D41871"/>
    <w:rsid w:val="00D45954"/>
    <w:rsid w:val="00D461C2"/>
    <w:rsid w:val="00D61AAE"/>
    <w:rsid w:val="00D64CB8"/>
    <w:rsid w:val="00D720AE"/>
    <w:rsid w:val="00D72FD8"/>
    <w:rsid w:val="00D92A45"/>
    <w:rsid w:val="00D9697A"/>
    <w:rsid w:val="00DA3023"/>
    <w:rsid w:val="00DA4C48"/>
    <w:rsid w:val="00DA727D"/>
    <w:rsid w:val="00DB53A7"/>
    <w:rsid w:val="00DD170F"/>
    <w:rsid w:val="00DD6427"/>
    <w:rsid w:val="00DE0A8A"/>
    <w:rsid w:val="00DE3DD9"/>
    <w:rsid w:val="00DF2F8B"/>
    <w:rsid w:val="00DF6837"/>
    <w:rsid w:val="00DF68E4"/>
    <w:rsid w:val="00DF6E54"/>
    <w:rsid w:val="00E04228"/>
    <w:rsid w:val="00E04457"/>
    <w:rsid w:val="00E04665"/>
    <w:rsid w:val="00E04BBC"/>
    <w:rsid w:val="00E10450"/>
    <w:rsid w:val="00E1478E"/>
    <w:rsid w:val="00E159D7"/>
    <w:rsid w:val="00E175CE"/>
    <w:rsid w:val="00E213AB"/>
    <w:rsid w:val="00E21653"/>
    <w:rsid w:val="00E21C9B"/>
    <w:rsid w:val="00E2414E"/>
    <w:rsid w:val="00E26830"/>
    <w:rsid w:val="00E26FAF"/>
    <w:rsid w:val="00E40B36"/>
    <w:rsid w:val="00E51672"/>
    <w:rsid w:val="00E522FC"/>
    <w:rsid w:val="00E55EE5"/>
    <w:rsid w:val="00E61784"/>
    <w:rsid w:val="00E625B3"/>
    <w:rsid w:val="00E64743"/>
    <w:rsid w:val="00E71EBE"/>
    <w:rsid w:val="00E723B0"/>
    <w:rsid w:val="00E7257D"/>
    <w:rsid w:val="00E728CB"/>
    <w:rsid w:val="00E7336F"/>
    <w:rsid w:val="00E74F3B"/>
    <w:rsid w:val="00E76262"/>
    <w:rsid w:val="00E84A6B"/>
    <w:rsid w:val="00E92385"/>
    <w:rsid w:val="00E93F74"/>
    <w:rsid w:val="00E9497B"/>
    <w:rsid w:val="00E96DEA"/>
    <w:rsid w:val="00EA1585"/>
    <w:rsid w:val="00EA48AE"/>
    <w:rsid w:val="00EA568B"/>
    <w:rsid w:val="00EB09E2"/>
    <w:rsid w:val="00EB74A5"/>
    <w:rsid w:val="00EC2D86"/>
    <w:rsid w:val="00ED07DC"/>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5632"/>
    <w:rsid w:val="00F17535"/>
    <w:rsid w:val="00F20949"/>
    <w:rsid w:val="00F24F8F"/>
    <w:rsid w:val="00F303B2"/>
    <w:rsid w:val="00F307E0"/>
    <w:rsid w:val="00F34D63"/>
    <w:rsid w:val="00F57F7A"/>
    <w:rsid w:val="00F6269C"/>
    <w:rsid w:val="00F62D33"/>
    <w:rsid w:val="00F63404"/>
    <w:rsid w:val="00F64AB3"/>
    <w:rsid w:val="00F6570B"/>
    <w:rsid w:val="00F67615"/>
    <w:rsid w:val="00F76C98"/>
    <w:rsid w:val="00F804CD"/>
    <w:rsid w:val="00F80750"/>
    <w:rsid w:val="00F85F59"/>
    <w:rsid w:val="00F86538"/>
    <w:rsid w:val="00F86717"/>
    <w:rsid w:val="00F86DD4"/>
    <w:rsid w:val="00F960D7"/>
    <w:rsid w:val="00F97C7A"/>
    <w:rsid w:val="00FA2909"/>
    <w:rsid w:val="00FA3CEC"/>
    <w:rsid w:val="00FB4CF2"/>
    <w:rsid w:val="00FC4845"/>
    <w:rsid w:val="00FC6B03"/>
    <w:rsid w:val="00FD06D5"/>
    <w:rsid w:val="00FD28FF"/>
    <w:rsid w:val="00FD68A1"/>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96857C"/>
  <w15:chartTrackingRefBased/>
  <w15:docId w15:val="{7C64E4A0-A275-4E1F-AC85-9BE02751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9"/>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ActTitle">
    <w:name w:val="Act Title"/>
    <w:basedOn w:val="Normal"/>
    <w:next w:val="Normal"/>
    <w:rsid w:val="000F714F"/>
    <w:pPr>
      <w:numPr>
        <w:numId w:val="0"/>
      </w:numPr>
      <w:pBdr>
        <w:bottom w:val="single" w:sz="4" w:space="3" w:color="auto"/>
      </w:pBdr>
      <w:spacing w:before="480"/>
      <w:jc w:val="left"/>
    </w:pPr>
    <w:rPr>
      <w:rFonts w:eastAsia="Times New Roman" w:cs="Times New Roman"/>
      <w:i/>
      <w:iCs/>
      <w:color w:val="auto"/>
      <w:sz w:val="28"/>
      <w:szCs w:val="20"/>
      <w:lang w:eastAsia="en-AU"/>
    </w:rPr>
  </w:style>
  <w:style w:type="paragraph" w:customStyle="1" w:styleId="IntroTo">
    <w:name w:val="IntroTo:"/>
    <w:basedOn w:val="Normal"/>
    <w:rsid w:val="000F714F"/>
    <w:pPr>
      <w:numPr>
        <w:numId w:val="0"/>
      </w:numPr>
      <w:spacing w:after="0"/>
      <w:ind w:left="720" w:hanging="720"/>
      <w:jc w:val="left"/>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ustomXml" Target="ink/ink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290BBFF2BA46A1BC5746C576E356C7"/>
        <w:category>
          <w:name w:val="General"/>
          <w:gallery w:val="placeholder"/>
        </w:category>
        <w:types>
          <w:type w:val="bbPlcHdr"/>
        </w:types>
        <w:behaviors>
          <w:behavior w:val="content"/>
        </w:behaviors>
        <w:guid w:val="{93695CC9-619F-40D4-8A5E-38AA7A89B26E}"/>
      </w:docPartPr>
      <w:docPartBody>
        <w:p w:rsidR="00882D47" w:rsidRDefault="00072349">
          <w:r w:rsidRPr="00E74BEE">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49"/>
    <w:rsid w:val="00072349"/>
    <w:rsid w:val="002430F1"/>
    <w:rsid w:val="005C7F0B"/>
    <w:rsid w:val="00882D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349"/>
    <w:rPr>
      <w:noProof w:val="0"/>
      <w:color w:val="000000" w:themeColor="text1"/>
      <w:sz w:val="22"/>
      <w:lang w:val="en-AU"/>
    </w:rPr>
  </w:style>
  <w:style w:type="paragraph" w:customStyle="1" w:styleId="BF6F532D75664C40877F749AC3E55E7A">
    <w:name w:val="BF6F532D75664C40877F749AC3E55E7A"/>
    <w:rsid w:val="00243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6-30T22:27:34.073"/>
    </inkml:context>
    <inkml:brush xml:id="br0">
      <inkml:brushProperty name="width" value="0.05292" units="cm"/>
      <inkml:brushProperty name="height" value="0.05292" units="cm"/>
      <inkml:brushProperty name="fitToCurve" value="1"/>
    </inkml:brush>
  </inkml:definitions>
  <inkml:trace contextRef="#ctx0" brushRef="#br0">11 0 230 0,'0'0'0'0,"-4"9"9"0,-3 4-9 0</inkml:trace>
</inkml:ink>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Owner xmlns="814d62cb-2db6-4c25-ab62-b9075facbc11">
      <UserInfo>
        <DisplayName/>
        <AccountId xsi:nil="true"/>
        <AccountType/>
      </UserInfo>
    </APRAOwner>
    <APRASecurityClassification xmlns="814d62cb-2db6-4c25-ab62-b9075facbc11">UNCLASSIFIED</APRASecurityClassification>
    <APRAApprovalDate xmlns="814d62cb-2db6-4c25-ab62-b9075facbc11">2020-06-30T14:00:00+00:00</APRAApprovalDate>
    <APRAApprovedBy xmlns="814d62cb-2db6-4c25-ab62-b9075facbc11">
      <UserInfo>
        <DisplayName/>
        <AccountId xsi:nil="true"/>
        <AccountType/>
      </UserInfo>
    </APRAApprovedBy>
    <APRAKeywords xmlns="814d62cb-2db6-4c25-ab62-b9075facbc11" xsi:nil="true"/>
    <APRADate xmlns="814d62cb-2db6-4c25-ab62-b9075facbc11">2020-06-30T14:00:00+00:00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109</Value>
      <Value>26</Value>
      <Value>24</Value>
      <Value>134</Value>
      <Value>58</Value>
      <Value>19</Value>
      <Value>795</Value>
      <Value>609</Value>
      <Value>93</Value>
      <Value>10</Value>
      <Value>158</Value>
      <Value>83</Value>
      <Value>229</Value>
      <Value>4</Value>
    </TaxCatchAll>
    <APRADescription xmlns="814d62cb-2db6-4c25-ab62-b9075facbc11">Registration as a NOHC of a life company</APRADescription>
    <APRAActivityID xmlns="814d62cb-2db6-4c25-ab62-b9075facbc11">AI201943778</APRAActivityID>
    <APRADocScanCheck xmlns="814d62cb-2db6-4c25-ab62-b9075facbc11">false</APRADocScanCheck>
    <_dlc_DocId xmlns="814d62cb-2db6-4c25-ab62-b9075facbc11">5JENXJJSCC7A-445999044-11108</_dlc_DocId>
    <_dlc_DocIdUrl xmlns="814d62cb-2db6-4c25-ab62-b9075facbc11">
      <Url>https://im/teams/LEGAL/_layouts/15/DocIdRedir.aspx?ID=5JENXJJSCC7A-445999044-11108</Url>
      <Description>5JENXJJSCC7A-445999044-11108</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j724204a644741eb9f777fcb03fe8840 xmlns="814d62cb-2db6-4c25-ab62-b9075facbc11">
      <Terms xmlns="http://schemas.microsoft.com/office/infopath/2007/PartnerControls"/>
    </j724204a644741eb9f777fcb03fe8840>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APRAEntityID xmlns="814d62cb-2db6-4c25-ab62-b9075facbc11">10</APRAEntityID>
    <l003ee8eff60461aa1bd0027aba92ea4 xmlns="814d62cb-2db6-4c25-ab62-b9075facbc11">
      <Terms xmlns="http://schemas.microsoft.com/office/infopath/2007/PartnerControls"/>
    </l003ee8eff60461aa1bd0027aba92ea4>
    <f284b4f8578a44cfae4f67a86df81119 xmlns="814d62cb-2db6-4c25-ab62-b9075facbc11">
      <Terms xmlns="http://schemas.microsoft.com/office/infopath/2007/PartnerControls">
        <TermInfo xmlns="http://schemas.microsoft.com/office/infopath/2007/PartnerControls">
          <TermName xmlns="http://schemas.microsoft.com/office/infopath/2007/PartnerControls">AMP</TermName>
          <TermId xmlns="http://schemas.microsoft.com/office/infopath/2007/PartnerControls">0e6c9363-8851-e311-9e2e-005056b54f10</TermId>
        </TermInfo>
      </Terms>
    </f284b4f8578a44cfae4f67a86df81119>
    <APRAEntityName xmlns="814d62cb-2db6-4c25-ab62-b9075facbc11">AMP Life Limited</APRAEntityName>
    <m2df5fdf6d1643b4a596982762bb3d00 xmlns="814d62cb-2db6-4c25-ab62-b9075facbc11">
      <Terms xmlns="http://schemas.microsoft.com/office/infopath/2007/PartnerControls">
        <TermInfo xmlns="http://schemas.microsoft.com/office/infopath/2007/PartnerControls">
          <TermName xmlns="http://schemas.microsoft.com/office/infopath/2007/PartnerControls">LI - Diversified</TermName>
          <TermId xmlns="http://schemas.microsoft.com/office/infopath/2007/PartnerControls">97a068b4-7e1f-e511-b542-005056b54f10</TermId>
        </TermInfo>
      </Terms>
    </m2df5fdf6d1643b4a596982762bb3d00>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k4bcc0d734474fea9fb713d9c415b4b0 xmlns="814d62cb-2db6-4c25-ab62-b9075facbc11">
      <Terms xmlns="http://schemas.microsoft.com/office/infopath/2007/PartnerControls"/>
    </k4bcc0d734474fea9fb713d9c415b4b0>
    <APRAMeetingDate xmlns="814d62cb-2db6-4c25-ab62-b9075facbc11" xsi:nil="true"/>
    <APRAMeetingNumber xmlns="814d62cb-2db6-4c25-ab62-b9075facbc11" xsi:nil="true"/>
    <pa005173035e41c3986b37b8e650f3ef xmlns="814d62cb-2db6-4c25-ab62-b9075facbc11">
      <Terms xmlns="http://schemas.microsoft.com/office/infopath/2007/PartnerControls"/>
    </pa005173035e41c3986b37b8e650f3ef>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aa36a5a650d54f768f171f4d17b8b238 xmlns="814d62cb-2db6-4c25-ab62-b9075facbc11">
      <Terms xmlns="http://schemas.microsoft.com/office/infopath/2007/PartnerControls"/>
    </aa36a5a650d54f768f171f4d17b8b23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7DD60-EFDD-49E0-9AE4-5B9D99BCCB5F}">
  <ds:schemaRefs>
    <ds:schemaRef ds:uri="http://schemas.microsoft.com/sharepoint/events"/>
  </ds:schemaRefs>
</ds:datastoreItem>
</file>

<file path=customXml/itemProps2.xml><?xml version="1.0" encoding="utf-8"?>
<ds:datastoreItem xmlns:ds="http://schemas.openxmlformats.org/officeDocument/2006/customXml" ds:itemID="{CC66208C-89EA-450E-BA15-444249069C72}">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814d62cb-2db6-4c25-ab62-b9075facbc11"/>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841FEA56-11E0-4720-81D3-E5ACD0D02FAD}">
  <ds:schemaRefs>
    <ds:schemaRef ds:uri="http://schemas.microsoft.com/sharepoint/v3/contenttype/forms"/>
  </ds:schemaRefs>
</ds:datastoreItem>
</file>

<file path=customXml/itemProps4.xml><?xml version="1.0" encoding="utf-8"?>
<ds:datastoreItem xmlns:ds="http://schemas.openxmlformats.org/officeDocument/2006/customXml" ds:itemID="{969DF6C8-5062-4F60-865C-FF9D91888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4A0AF5-7894-451A-940D-6D9FB4BBBC4D}">
  <ds:schemaRefs>
    <ds:schemaRef ds:uri="Microsoft.SharePoint.Taxonomy.ContentTypeSync"/>
  </ds:schemaRefs>
</ds:datastoreItem>
</file>

<file path=customXml/itemProps6.xml><?xml version="1.0" encoding="utf-8"?>
<ds:datastoreItem xmlns:ds="http://schemas.openxmlformats.org/officeDocument/2006/customXml" ds:itemID="{54C9B7B3-0C7F-47A4-AE4F-F99CFD60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3902</Characters>
  <Application>Microsoft Office Word</Application>
  <DocSecurity>0</DocSecurity>
  <Lines>111</Lines>
  <Paragraphs>40</Paragraphs>
  <ScaleCrop>false</ScaleCrop>
  <HeadingPairs>
    <vt:vector size="2" baseType="variant">
      <vt:variant>
        <vt:lpstr>Title</vt:lpstr>
      </vt:variant>
      <vt:variant>
        <vt:i4>1</vt:i4>
      </vt:variant>
    </vt:vector>
  </HeadingPairs>
  <TitlesOfParts>
    <vt:vector size="1" baseType="lpstr">
      <vt:lpstr>Resolution Life - Registration as a NOHC of a life company - June 2020</vt:lpstr>
    </vt:vector>
  </TitlesOfParts>
  <Company>APRA</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Life NOHC Pty Ltd - 1 July 2020</dc:title>
  <dc:subject/>
  <dc:creator>Li, Joanne</dc:creator>
  <cp:keywords>[SEC=UNCLASSIFIED]</cp:keywords>
  <dc:description/>
  <cp:lastModifiedBy>Toni Michalis</cp:lastModifiedBy>
  <cp:revision>2</cp:revision>
  <cp:lastPrinted>2020-06-30T22:42:00Z</cp:lastPrinted>
  <dcterms:created xsi:type="dcterms:W3CDTF">2020-06-30T23:50:00Z</dcterms:created>
  <dcterms:modified xsi:type="dcterms:W3CDTF">2020-06-30T23:50:00Z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DBF2C23E4BADD8D7D0B29BB6B332033121013C98</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7A7DBF274A3C0FA19AD36D767E86CAD30978FA49</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56DC6E77CD4F4834B5BB56F27AB56C5C</vt:lpwstr>
  </property>
  <property fmtid="{D5CDD505-2E9C-101B-9397-08002B2CF9AE}" pid="16" name="PM_Note">
    <vt:lpwstr/>
  </property>
  <property fmtid="{D5CDD505-2E9C-101B-9397-08002B2CF9AE}" pid="17" name="PM_Markers">
    <vt:lpwstr/>
  </property>
  <property fmtid="{D5CDD505-2E9C-101B-9397-08002B2CF9AE}" pid="18" name="PM_OriginationTimeStamp">
    <vt:lpwstr>2020-06-25T12:18:09Z</vt:lpwstr>
  </property>
  <property fmtid="{D5CDD505-2E9C-101B-9397-08002B2CF9AE}" pid="19" name="PM_Hash_Version">
    <vt:lpwstr>2018.0</vt:lpwstr>
  </property>
  <property fmtid="{D5CDD505-2E9C-101B-9397-08002B2CF9AE}" pid="20" name="PM_Hash_Salt_Prev">
    <vt:lpwstr>C669C7A37BADFDB41D8ED89B1343393B</vt:lpwstr>
  </property>
  <property fmtid="{D5CDD505-2E9C-101B-9397-08002B2CF9AE}" pid="21" name="PM_Hash_Salt">
    <vt:lpwstr>36C466A61DE8B2F145FE4FA906BE8604</vt:lpwstr>
  </property>
  <property fmtid="{D5CDD505-2E9C-101B-9397-08002B2CF9AE}" pid="22" name="PM_SecurityClassification_Prev">
    <vt:lpwstr>UNCLASSIFIED</vt:lpwstr>
  </property>
  <property fmtid="{D5CDD505-2E9C-101B-9397-08002B2CF9AE}" pid="23" name="PM_Qualifier_Prev">
    <vt:lpwstr/>
  </property>
  <property fmtid="{D5CDD505-2E9C-101B-9397-08002B2CF9AE}" pid="24" name="ContentTypeId">
    <vt:lpwstr>0x0101008CA7A4F8331B45C7B0D3158B4994D0CA0200577EC0F5A1FBFC498F9A8436B963F8A6</vt:lpwstr>
  </property>
  <property fmtid="{D5CDD505-2E9C-101B-9397-08002B2CF9AE}" pid="25" name="APRALIAct">
    <vt:lpwstr>18;#Life Insurance Act 1995|ce32dd7f-fe79-42b5-afc0-d0eacbdad6c4</vt:lpwstr>
  </property>
  <property fmtid="{D5CDD505-2E9C-101B-9397-08002B2CF9AE}" pid="26" name="APRAStatus">
    <vt:lpwstr>19;#Final|84d6b2d0-8498-4d62-bf46-bab38babbe9e</vt:lpwstr>
  </property>
  <property fmtid="{D5CDD505-2E9C-101B-9397-08002B2CF9AE}" pid="27" name="APRADocumentType">
    <vt:lpwstr>58;#Legal instrument|71fd6ed3-d6d6-4975-ba99-bfe45802e734</vt:lpwstr>
  </property>
  <property fmtid="{D5CDD505-2E9C-101B-9397-08002B2CF9AE}" pid="28" name="_dlc_DocIdItemGuid">
    <vt:lpwstr>20482f7e-2a82-44d8-b157-3e0da2337986</vt:lpwstr>
  </property>
  <property fmtid="{D5CDD505-2E9C-101B-9397-08002B2CF9AE}" pid="29" name="IsLocked">
    <vt:lpwstr>False</vt:lpwstr>
  </property>
  <property fmtid="{D5CDD505-2E9C-101B-9397-08002B2CF9AE}" pid="30" name="RecordPoint_WorkflowType">
    <vt:lpwstr>ActiveSubmitStub</vt:lpwstr>
  </property>
  <property fmtid="{D5CDD505-2E9C-101B-9397-08002B2CF9AE}" pid="31" name="RecordPoint_ActiveItemWebId">
    <vt:lpwstr>{75a71c27-8d66-4282-ae60-1bfc22a83be1}</vt:lpwstr>
  </property>
  <property fmtid="{D5CDD505-2E9C-101B-9397-08002B2CF9AE}" pid="32" name="RecordPoint_ActiveItemSiteId">
    <vt:lpwstr>{88691c01-5bbb-4215-adc0-66cb7065b0af}</vt:lpwstr>
  </property>
  <property fmtid="{D5CDD505-2E9C-101B-9397-08002B2CF9AE}" pid="33" name="RecordPoint_ActiveItemListId">
    <vt:lpwstr>{0e59e171-09d8-4401-800a-327154450cb3}</vt:lpwstr>
  </property>
  <property fmtid="{D5CDD505-2E9C-101B-9397-08002B2CF9AE}" pid="34" name="RecordPoint_ActiveItemUniqueId">
    <vt:lpwstr>{20482f7e-2a82-44d8-b157-3e0da2337986}</vt:lpwstr>
  </property>
  <property fmtid="{D5CDD505-2E9C-101B-9397-08002B2CF9AE}" pid="35" name="RecordPoint_RecordNumberSubmitted">
    <vt:lpwstr/>
  </property>
  <property fmtid="{D5CDD505-2E9C-101B-9397-08002B2CF9AE}" pid="36" name="RecordPoint_SubmissionCompleted">
    <vt:lpwstr/>
  </property>
  <property fmtid="{D5CDD505-2E9C-101B-9397-08002B2CF9AE}" pid="37" name="APRATemplateType">
    <vt:lpwstr>353;#Legal Instruments - Blank Instruments|4c295f59-8e21-44ac-beb8-b5838410b458</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y fmtid="{D5CDD505-2E9C-101B-9397-08002B2CF9AE}" pid="41" name="WorkflowChangePath">
    <vt:lpwstr>8a2789a0-db01-4dfc-832d-cb0d340d4091,4;8a2789a0-db01-4dfc-832d-cb0d340d4091,6;8a2789a0-db01-4dfc-832d-cb0d340d4091,8;8a2789a0-db01-4dfc-832d-cb0d340d4091,10;</vt:lpwstr>
  </property>
  <property fmtid="{D5CDD505-2E9C-101B-9397-08002B2CF9AE}" pid="42" name="Order">
    <vt:r8>33800</vt:r8>
  </property>
  <property fmtid="{D5CDD505-2E9C-101B-9397-08002B2CF9AE}" pid="43" name="APRAPeerGroup">
    <vt:lpwstr>795;#LI - Diversified|97a068b4-7e1f-e511-b542-005056b54f10</vt:lpwstr>
  </property>
  <property fmtid="{D5CDD505-2E9C-101B-9397-08002B2CF9AE}" pid="44" name="APRAActivity">
    <vt:lpwstr>10;#Registration|390476ce-d76d-4e8d-905f-28e32d2df127;#109;#Statutory instrument|fe68928c-5a9c-4caf-bc8c-6c18cedcb17f</vt:lpwstr>
  </property>
  <property fmtid="{D5CDD505-2E9C-101B-9397-08002B2CF9AE}" pid="45" name="APRAReportingGroup">
    <vt:lpwstr>609;#AMP|0e6c9363-8851-e311-9e2e-005056b54f10</vt:lpwstr>
  </property>
  <property fmtid="{D5CDD505-2E9C-101B-9397-08002B2CF9AE}" pid="46" name="APRAYear">
    <vt:lpwstr>229;#2020|29ca90e3-c619-4296-b1bf-6e33e4d24a28</vt:lpwstr>
  </property>
  <property fmtid="{D5CDD505-2E9C-101B-9397-08002B2CF9AE}" pid="47" name="APRAIndustry">
    <vt:lpwstr/>
  </property>
  <property fmtid="{D5CDD505-2E9C-101B-9397-08002B2CF9AE}" pid="48" name="APRAPeriod">
    <vt:lpwstr/>
  </property>
  <property fmtid="{D5CDD505-2E9C-101B-9397-08002B2CF9AE}" pid="49" name="APRACategory">
    <vt:lpwstr/>
  </property>
  <property fmtid="{D5CDD505-2E9C-101B-9397-08002B2CF9AE}" pid="50" name="APRAIRTR">
    <vt:lpwstr/>
  </property>
  <property fmtid="{D5CDD505-2E9C-101B-9397-08002B2CF9AE}" pid="51"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Life|56f18b50-6605-4f3f-97e3-cad1cb5394e0;#4;#Legal - Resolution ＆ Corporate|696624b1-19f4-47b2-a07b-57868a922a96;#134;#Legal - Superannuation|cce3181d-fd23-4eee-94d3-c66abc2350cf</vt:lpwstr>
  </property>
  <property fmtid="{D5CDD505-2E9C-101B-9397-08002B2CF9AE}" pid="52" name="IT system type">
    <vt:lpwstr/>
  </property>
  <property fmtid="{D5CDD505-2E9C-101B-9397-08002B2CF9AE}" pid="53" name="APRAPRSG">
    <vt:lpwstr/>
  </property>
  <property fmtid="{D5CDD505-2E9C-101B-9397-08002B2CF9AE}" pid="54" name="APRAEntityAdviceSupport">
    <vt:lpwstr/>
  </property>
  <property fmtid="{D5CDD505-2E9C-101B-9397-08002B2CF9AE}" pid="55" name="APRALegislation">
    <vt:lpwstr/>
  </property>
  <property fmtid="{D5CDD505-2E9C-101B-9397-08002B2CF9AE}" pid="56" name="APRAExternalOrganisation">
    <vt:lpwstr/>
  </property>
</Properties>
</file>