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EAA" w:rsidRDefault="00CE7EAA" w:rsidP="00CE7EAA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Calibri" w:hAnsi="Calibri" w:cs="Times New Roman"/>
          <w:b/>
          <w:i/>
          <w:sz w:val="24"/>
          <w:lang w:val="en-US"/>
        </w:rPr>
      </w:pPr>
    </w:p>
    <w:p w:rsidR="00CE7EAA" w:rsidRPr="00CE7EAA" w:rsidRDefault="00CE7EAA" w:rsidP="00CE7EAA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Pr="00CE7EAA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 xml:space="preserve"> </w:t>
      </w:r>
      <w:r w:rsidRPr="00CE7EAA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:rsidR="00CE7EAA" w:rsidRPr="00CE7EAA" w:rsidRDefault="00CE7EAA" w:rsidP="00CE7EAA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Pr="00CE7EAA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 xml:space="preserve"> </w:t>
      </w:r>
      <w:r w:rsidRPr="00CE7EAA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15(2</w:t>
      </w:r>
      <w:proofErr w:type="gramStart"/>
      <w:r w:rsidRPr="00CE7EAA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Pr="00CE7EAA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:rsidR="00CE7EAA" w:rsidRPr="00CE7EAA" w:rsidRDefault="00CE7EAA" w:rsidP="00CE7EAA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Wharf Notice of Appointment (No. 20/16) – Port of</w:t>
      </w:r>
      <w:r w:rsidRPr="00CE7EAA"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Pr="00CE7EAA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Fremantle – Fremantle Outer Harbour (Kwinana BP Oil Refinery Jetty)</w:t>
      </w:r>
    </w:p>
    <w:p w:rsidR="00CE7EAA" w:rsidRPr="00CE7EAA" w:rsidRDefault="00CE7EAA" w:rsidP="00CE7EAA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Calibri" w:hAnsi="Calibri" w:cs="Times New Roman"/>
          <w:sz w:val="24"/>
          <w:lang w:val="en-US"/>
        </w:rPr>
        <w:t xml:space="preserve">I, Jasmina </w:t>
      </w:r>
      <w:proofErr w:type="spellStart"/>
      <w:r w:rsidRPr="00CE7EAA">
        <w:rPr>
          <w:rFonts w:ascii="Bookman Old Style" w:eastAsia="Calibri" w:hAnsi="Calibri" w:cs="Times New Roman"/>
          <w:sz w:val="24"/>
          <w:lang w:val="en-US"/>
        </w:rPr>
        <w:t>Ackar</w:t>
      </w:r>
      <w:proofErr w:type="spellEnd"/>
      <w:r w:rsidRPr="00CE7EAA">
        <w:rPr>
          <w:rFonts w:ascii="Bookman Old Style" w:eastAsia="Calibri" w:hAnsi="Calibri" w:cs="Times New Roman"/>
          <w:sz w:val="24"/>
          <w:lang w:val="en-US"/>
        </w:rPr>
        <w:t>, delegate of the Comptroller-General of Customs, under paragraph 15(2</w:t>
      </w:r>
      <w:proofErr w:type="gramStart"/>
      <w:r w:rsidRPr="00CE7EAA"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 w:rsidRPr="00CE7EAA">
        <w:rPr>
          <w:rFonts w:ascii="Bookman Old Style" w:eastAsia="Calibri" w:hAnsi="Calibri" w:cs="Times New Roman"/>
          <w:sz w:val="24"/>
          <w:lang w:val="en-US"/>
        </w:rPr>
        <w:t xml:space="preserve">a) of the </w:t>
      </w:r>
      <w:r w:rsidRPr="00CE7EAA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Pr="00CE7EAA">
        <w:rPr>
          <w:rFonts w:ascii="Bookman Old Style" w:eastAsia="Calibri" w:hAnsi="Calibri" w:cs="Times New Roman"/>
          <w:i/>
          <w:spacing w:val="-17"/>
          <w:sz w:val="24"/>
          <w:lang w:val="en-US"/>
        </w:rPr>
        <w:t xml:space="preserve"> </w:t>
      </w:r>
      <w:r w:rsidRPr="00CE7EAA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CE7EAA">
        <w:rPr>
          <w:rFonts w:ascii="Bookman Old Style" w:eastAsia="Calibri" w:hAnsi="Calibri" w:cs="Times New Roman"/>
          <w:sz w:val="24"/>
          <w:lang w:val="en-US"/>
        </w:rPr>
        <w:t>:</w:t>
      </w:r>
    </w:p>
    <w:p w:rsidR="00CE7EAA" w:rsidRPr="00CE7EAA" w:rsidRDefault="00CE7EAA" w:rsidP="00CE7EAA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CE7EAA" w:rsidRPr="00CE7EAA" w:rsidRDefault="00CE7EAA" w:rsidP="00CE7EAA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hanging="370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Calibri" w:hAnsi="Calibri" w:cs="Times New Roman"/>
          <w:sz w:val="24"/>
          <w:lang w:val="en-US"/>
        </w:rPr>
        <w:t xml:space="preserve">APPOINT as a wharf in the </w:t>
      </w:r>
      <w:r w:rsidRPr="00CE7EAA">
        <w:rPr>
          <w:rFonts w:ascii="Bookman Old Style" w:eastAsia="Calibri" w:hAnsi="Calibri" w:cs="Times New Roman"/>
          <w:b/>
          <w:sz w:val="24"/>
          <w:lang w:val="en-US"/>
        </w:rPr>
        <w:t xml:space="preserve">Port of Fremantle </w:t>
      </w:r>
      <w:r w:rsidRPr="00CE7EAA">
        <w:rPr>
          <w:rFonts w:ascii="Bookman Old Style" w:eastAsia="Calibri" w:hAnsi="Calibri" w:cs="Times New Roman"/>
          <w:sz w:val="24"/>
          <w:lang w:val="en-US"/>
        </w:rPr>
        <w:t>in the State of Western Australia, the area known as the Fremantle Outer Harbour (Kwinana BP Oil Refinery Jetty);</w:t>
      </w:r>
      <w:r w:rsidRPr="00CE7EAA">
        <w:rPr>
          <w:rFonts w:ascii="Bookman Old Style" w:eastAsia="Calibri" w:hAnsi="Calibri" w:cs="Times New Roman"/>
          <w:spacing w:val="-31"/>
          <w:sz w:val="24"/>
          <w:lang w:val="en-US"/>
        </w:rPr>
        <w:t xml:space="preserve"> </w:t>
      </w:r>
      <w:r w:rsidRPr="00CE7EAA">
        <w:rPr>
          <w:rFonts w:ascii="Bookman Old Style" w:eastAsia="Calibri" w:hAnsi="Calibri" w:cs="Times New Roman"/>
          <w:sz w:val="24"/>
          <w:lang w:val="en-US"/>
        </w:rPr>
        <w:t>and</w:t>
      </w:r>
    </w:p>
    <w:p w:rsidR="00CE7EAA" w:rsidRPr="00CE7EAA" w:rsidRDefault="00CE7EAA" w:rsidP="00CE7EAA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870" w:hanging="346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Calibri" w:hAnsi="Calibri" w:cs="Times New Roman"/>
          <w:sz w:val="24"/>
          <w:lang w:val="en-US"/>
        </w:rPr>
        <w:t xml:space="preserve">FIX as the limits of that wharf all areas within the red boundary lines as indicated, and specified in the legends, in </w:t>
      </w:r>
      <w:r w:rsidRPr="00CE7EAA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Attachment A</w:t>
      </w:r>
      <w:r w:rsidRPr="00CE7EAA">
        <w:rPr>
          <w:rFonts w:ascii="Bookman Old Style" w:eastAsia="Calibri" w:hAnsi="Calibri" w:cs="Times New Roman"/>
          <w:sz w:val="24"/>
          <w:u w:color="000000"/>
          <w:lang w:val="en-US"/>
        </w:rPr>
        <w:t xml:space="preserve"> and</w:t>
      </w:r>
      <w:r w:rsidRPr="00CE7EAA">
        <w:rPr>
          <w:rFonts w:ascii="Bookman Old Style" w:eastAsia="Calibri" w:hAnsi="Calibri" w:cs="Times New Roman"/>
          <w:b/>
          <w:sz w:val="24"/>
          <w:u w:color="000000"/>
          <w:lang w:val="en-US"/>
        </w:rPr>
        <w:t xml:space="preserve"> </w:t>
      </w:r>
      <w:r w:rsidRPr="00CE7EAA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Attachment B</w:t>
      </w:r>
      <w:r w:rsidRPr="00CE7EAA">
        <w:rPr>
          <w:rFonts w:ascii="Bookman Old Style" w:eastAsia="Calibri" w:hAnsi="Calibri" w:cs="Times New Roman"/>
          <w:sz w:val="24"/>
          <w:u w:color="000000"/>
          <w:lang w:val="en-US"/>
        </w:rPr>
        <w:t xml:space="preserve"> </w:t>
      </w:r>
      <w:r w:rsidRPr="00CE7EAA">
        <w:rPr>
          <w:rFonts w:ascii="Bookman Old Style" w:eastAsia="Calibri" w:hAnsi="Calibri" w:cs="Times New Roman"/>
          <w:sz w:val="24"/>
          <w:lang w:val="en-US"/>
        </w:rPr>
        <w:t>to this</w:t>
      </w:r>
      <w:r w:rsidRPr="00CE7EAA">
        <w:rPr>
          <w:rFonts w:ascii="Bookman Old Style" w:eastAsia="Calibri" w:hAnsi="Calibri" w:cs="Times New Roman"/>
          <w:spacing w:val="-24"/>
          <w:sz w:val="24"/>
          <w:lang w:val="en-US"/>
        </w:rPr>
        <w:t xml:space="preserve"> </w:t>
      </w:r>
      <w:r w:rsidRPr="00CE7EAA">
        <w:rPr>
          <w:rFonts w:ascii="Bookman Old Style" w:eastAsia="Calibri" w:hAnsi="Calibri" w:cs="Times New Roman"/>
          <w:sz w:val="24"/>
          <w:lang w:val="en-US"/>
        </w:rPr>
        <w:t>notice.</w:t>
      </w:r>
    </w:p>
    <w:p w:rsidR="00CE7EAA" w:rsidRPr="00CE7EAA" w:rsidRDefault="00CE7EAA" w:rsidP="00CE7EAA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tabs>
          <w:tab w:val="left" w:pos="1857"/>
        </w:tabs>
        <w:spacing w:after="0" w:line="240" w:lineRule="auto"/>
        <w:ind w:left="152"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 w:rsidRPr="00CE7EAA"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the 30</w:t>
      </w:r>
      <w:r w:rsidRPr="00CE7EAA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day of June 2020.</w:t>
      </w:r>
    </w:p>
    <w:p w:rsidR="00CE7EAA" w:rsidRPr="00CE7EAA" w:rsidRDefault="00CE7EAA" w:rsidP="00CE7EAA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CE7EAA" w:rsidRPr="00CE7EAA" w:rsidRDefault="00CE7EAA" w:rsidP="00CE7EAA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Bookman Old Style"/>
          <w:sz w:val="24"/>
          <w:szCs w:val="24"/>
          <w:lang w:val="en-US"/>
        </w:rPr>
        <w:t>(Signed)</w:t>
      </w:r>
    </w:p>
    <w:p w:rsidR="00CE7EAA" w:rsidRPr="00CE7EAA" w:rsidRDefault="00CE7EAA" w:rsidP="00CE7EAA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  <w:r w:rsidRPr="00CE7EAA">
        <w:rPr>
          <w:rFonts w:ascii="Bookman Old Style" w:eastAsia="Bookman Old Style" w:hAnsi="Bookman Old Style" w:cs="Bookman Old Style"/>
          <w:sz w:val="23"/>
          <w:szCs w:val="23"/>
          <w:lang w:val="en-US"/>
        </w:rPr>
        <w:t xml:space="preserve"> </w:t>
      </w:r>
    </w:p>
    <w:p w:rsidR="00CE7EAA" w:rsidRPr="00CE7EAA" w:rsidRDefault="00CE7EAA" w:rsidP="00CE7EAA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CE7EAA" w:rsidRPr="00CE7EAA" w:rsidRDefault="00CE7EAA" w:rsidP="00CE7EAA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Jasmina </w:t>
      </w:r>
      <w:proofErr w:type="spellStart"/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Ackar</w:t>
      </w:r>
      <w:proofErr w:type="spellEnd"/>
    </w:p>
    <w:p w:rsidR="00CE7EAA" w:rsidRPr="00CE7EAA" w:rsidRDefault="00CE7EAA" w:rsidP="00E63DB4">
      <w:pPr>
        <w:widowControl w:val="0"/>
        <w:spacing w:after="0" w:line="240" w:lineRule="auto"/>
        <w:ind w:left="152" w:right="5952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Acting Director Ports Policy</w:t>
      </w:r>
    </w:p>
    <w:p w:rsidR="00CE7EAA" w:rsidRPr="00CE7EAA" w:rsidRDefault="00CE7EAA" w:rsidP="00E63DB4">
      <w:pPr>
        <w:widowControl w:val="0"/>
        <w:spacing w:after="0" w:line="240" w:lineRule="auto"/>
        <w:ind w:left="152" w:right="4251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 Policy and Industry Engagement</w:t>
      </w:r>
    </w:p>
    <w:p w:rsidR="00CE7EAA" w:rsidRPr="00CE7EAA" w:rsidRDefault="00CE7EAA" w:rsidP="00CE7EAA">
      <w:pPr>
        <w:widowControl w:val="0"/>
        <w:spacing w:after="0" w:line="240" w:lineRule="auto"/>
        <w:ind w:left="152" w:right="4677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Customs Group</w:t>
      </w:r>
    </w:p>
    <w:p w:rsidR="00CE7EAA" w:rsidRDefault="00CE7EAA" w:rsidP="00CE7EAA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CE7EAA"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:rsidR="00CE7EAA" w:rsidRDefault="00CE7EAA">
      <w:pPr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br w:type="page"/>
      </w:r>
    </w:p>
    <w:p w:rsidR="00CE7EAA" w:rsidRDefault="00CE7EAA" w:rsidP="00CE7EAA">
      <w:pPr>
        <w:widowControl w:val="0"/>
        <w:spacing w:after="0" w:line="240" w:lineRule="auto"/>
        <w:ind w:left="152" w:right="6418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-410779</wp:posOffset>
            </wp:positionH>
            <wp:positionV relativeFrom="paragraph">
              <wp:posOffset>-529590</wp:posOffset>
            </wp:positionV>
            <wp:extent cx="6931258" cy="10212779"/>
            <wp:effectExtent l="0" t="0" r="3175" b="0"/>
            <wp:wrapNone/>
            <wp:docPr id="2" name="Picture 2" descr="Wharf Notice of Appointment (No. 20/16) – Port of Fremantle – Fremantle Outer Harbour (Kwinana BP Oil Refinery Jetty)" title="Wharf Notice of Appointment (No. 20/16) – Port of Fremantle – Fremantle Outer Harbour (Kwinana BP Oil Refinery Jett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/>
                    <a:stretch/>
                  </pic:blipFill>
                  <pic:spPr bwMode="auto">
                    <a:xfrm>
                      <a:off x="0" y="0"/>
                      <a:ext cx="6931258" cy="1021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EAA" w:rsidRDefault="00CE7EAA">
      <w:r>
        <w:br w:type="page"/>
      </w:r>
    </w:p>
    <w:p w:rsidR="004B2753" w:rsidRPr="00424B97" w:rsidRDefault="00CE7EAA" w:rsidP="00CE7EAA">
      <w:pPr>
        <w:widowControl w:val="0"/>
        <w:spacing w:after="0" w:line="240" w:lineRule="auto"/>
        <w:ind w:left="152" w:right="6418"/>
      </w:pPr>
      <w:bookmarkStart w:id="0" w:name="_GoBack"/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-339840</wp:posOffset>
            </wp:positionH>
            <wp:positionV relativeFrom="paragraph">
              <wp:posOffset>-434654</wp:posOffset>
            </wp:positionV>
            <wp:extent cx="6780810" cy="10050204"/>
            <wp:effectExtent l="0" t="0" r="1270" b="8255"/>
            <wp:wrapNone/>
            <wp:docPr id="3" name="Picture 3" descr="Wharf Notice of Appointment (No. 20/16) – Port of Fremantle – Fremantle Outer Harbour (Kwinana BP Oil Refinery Jetty)" title="Wharf Notice of Appointment (No. 20/16) – Port of Fremantle – Fremantle Outer Harbour (Kwinana BP Oil Refinery Jett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810" cy="10050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6E967704-24A7-4BA5-950A-748EFCABAE42}"/>
    <w:embedBold r:id="rId2" w:fontKey="{82308A5A-B010-4366-81EC-6CB2B6B390D2}"/>
    <w:embedItalic r:id="rId3" w:fontKey="{7396C80D-2430-4EEA-99F0-6E558199F5C0}"/>
    <w:embedBoldItalic r:id="rId4" w:fontKey="{0CAC7AC3-1539-4FE4-B358-059AE900FD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  <w:jc w:val="left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FF2C4C0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8C46C7A2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4" w:tplc="1A8483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0624E5EE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8818695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EC201750">
      <w:start w:val="1"/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D5B65178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0DDF"/>
    <w:rsid w:val="008E4F6C"/>
    <w:rsid w:val="009539C7"/>
    <w:rsid w:val="00A00F21"/>
    <w:rsid w:val="00B84226"/>
    <w:rsid w:val="00BE7780"/>
    <w:rsid w:val="00C63C4E"/>
    <w:rsid w:val="00C72C30"/>
    <w:rsid w:val="00CE7EAA"/>
    <w:rsid w:val="00D229E5"/>
    <w:rsid w:val="00D77A88"/>
    <w:rsid w:val="00E63DB4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9C38F-D48D-48CF-8076-CDF920BA3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678</Characters>
  <Application>Microsoft Office Word</Application>
  <DocSecurity>0</DocSecurity>
  <PresentationFormat/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2020-07-02T04:03:00Z</dcterms:created>
  <dcterms:modified xsi:type="dcterms:W3CDTF">2020-07-03T03:42:00Z</dcterms:modified>
  <cp:category/>
  <cp:contentStatus/>
  <dc:language/>
  <cp:version/>
</cp:coreProperties>
</file>