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0C47" w14:textId="77777777" w:rsidR="00ED0AA0" w:rsidRPr="00065C1F" w:rsidRDefault="00ED0AA0" w:rsidP="00ED0AA0">
      <w:r w:rsidRPr="00277C67">
        <w:t xml:space="preserve">The Australian Taxation Office (ATO) will acquire </w:t>
      </w:r>
      <w:r>
        <w:t xml:space="preserve">visa </w:t>
      </w:r>
      <w:r w:rsidRPr="00065C1F">
        <w:t xml:space="preserve">data from </w:t>
      </w:r>
      <w:r>
        <w:t>the Department of Home Affairs</w:t>
      </w:r>
      <w:r w:rsidRPr="00065C1F">
        <w:t xml:space="preserve"> for</w:t>
      </w:r>
      <w:r>
        <w:t xml:space="preserve"> 2020-21 </w:t>
      </w:r>
      <w:r w:rsidRPr="00065C1F">
        <w:t xml:space="preserve">through to </w:t>
      </w:r>
      <w:r>
        <w:t>2022-23.  The data items include</w:t>
      </w:r>
      <w:r w:rsidRPr="00065C1F">
        <w:t>:</w:t>
      </w:r>
    </w:p>
    <w:p w14:paraId="7A46DE59" w14:textId="77777777" w:rsidR="00ED0AA0" w:rsidRDefault="00ED0AA0" w:rsidP="00ED0AA0">
      <w:pPr>
        <w:pStyle w:val="Bulletedlist1"/>
      </w:pPr>
      <w:r>
        <w:t>Address history for visa applicants and sponsors.</w:t>
      </w:r>
    </w:p>
    <w:p w14:paraId="0BCD0561" w14:textId="77777777" w:rsidR="00ED0AA0" w:rsidRDefault="00ED0AA0" w:rsidP="00ED0AA0">
      <w:pPr>
        <w:pStyle w:val="Bulletedlist1"/>
      </w:pPr>
      <w:r>
        <w:t>Contact history for visa applicants and sponsors.</w:t>
      </w:r>
    </w:p>
    <w:p w14:paraId="53541641" w14:textId="77777777" w:rsidR="00ED0AA0" w:rsidRDefault="00ED0AA0" w:rsidP="00ED0AA0">
      <w:pPr>
        <w:pStyle w:val="Bulletedlist1"/>
      </w:pPr>
      <w:r>
        <w:t>All visa grants.</w:t>
      </w:r>
    </w:p>
    <w:p w14:paraId="5BE6A868" w14:textId="77777777" w:rsidR="00ED0AA0" w:rsidRDefault="00ED0AA0" w:rsidP="00ED0AA0">
      <w:pPr>
        <w:pStyle w:val="Bulletedlist1"/>
      </w:pPr>
      <w:r>
        <w:t>Visa grant status by point in time.</w:t>
      </w:r>
    </w:p>
    <w:p w14:paraId="3AD79418" w14:textId="77777777" w:rsidR="00ED0AA0" w:rsidRDefault="00ED0AA0" w:rsidP="00ED0AA0">
      <w:pPr>
        <w:pStyle w:val="Bulletedlist1"/>
      </w:pPr>
      <w:r>
        <w:t>Migration agents (visa application preparer who assisted or facilitated the processing of the visa).</w:t>
      </w:r>
    </w:p>
    <w:p w14:paraId="7B592F49" w14:textId="77777777" w:rsidR="00ED0AA0" w:rsidRDefault="00ED0AA0" w:rsidP="00ED0AA0">
      <w:pPr>
        <w:pStyle w:val="Bulletedlist1"/>
      </w:pPr>
      <w:r>
        <w:t>Address history for migration agents.</w:t>
      </w:r>
    </w:p>
    <w:p w14:paraId="27780A2B" w14:textId="77777777" w:rsidR="00ED0AA0" w:rsidRDefault="00ED0AA0" w:rsidP="00ED0AA0">
      <w:pPr>
        <w:pStyle w:val="Bulletedlist1"/>
      </w:pPr>
      <w:r>
        <w:t>Contact history for migration agents.</w:t>
      </w:r>
    </w:p>
    <w:p w14:paraId="432AD6D5" w14:textId="77777777" w:rsidR="00ED0AA0" w:rsidRPr="00E639EB" w:rsidRDefault="00ED0AA0" w:rsidP="00ED0AA0">
      <w:pPr>
        <w:pStyle w:val="Bulletedlist1"/>
      </w:pPr>
      <w:r>
        <w:t>All international travel movements undertaken by visa h</w:t>
      </w:r>
      <w:r w:rsidRPr="00E639EB">
        <w:t>olders (arrivals and departures).</w:t>
      </w:r>
    </w:p>
    <w:p w14:paraId="5D808098" w14:textId="77777777" w:rsidR="00ED0AA0" w:rsidRDefault="00ED0AA0" w:rsidP="00ED0AA0">
      <w:pPr>
        <w:pStyle w:val="Bulletedlist1"/>
      </w:pPr>
      <w:r>
        <w:t>Sponsor details</w:t>
      </w:r>
    </w:p>
    <w:p w14:paraId="25D2318B" w14:textId="77777777" w:rsidR="00ED0AA0" w:rsidRDefault="00ED0AA0" w:rsidP="00ED0AA0">
      <w:pPr>
        <w:pStyle w:val="Bulletedlist1"/>
      </w:pPr>
      <w:r>
        <w:t>Education providers (educational institution where a student visa holder intends to undertake their study).</w:t>
      </w:r>
    </w:p>
    <w:p w14:paraId="0BC371AC" w14:textId="77777777" w:rsidR="00ED0AA0" w:rsidRPr="00065C1F" w:rsidRDefault="00ED0AA0" w:rsidP="00ED0AA0">
      <w:pPr>
        <w:pStyle w:val="Bulletedlist1"/>
      </w:pPr>
      <w:r>
        <w:t>Visa subclass name.</w:t>
      </w:r>
    </w:p>
    <w:p w14:paraId="63EC9498" w14:textId="77777777" w:rsidR="00ED0AA0" w:rsidRPr="00065C1F" w:rsidRDefault="00ED0AA0" w:rsidP="00ED0AA0">
      <w:r>
        <w:t xml:space="preserve">We </w:t>
      </w:r>
      <w:r w:rsidRPr="00065C1F">
        <w:t xml:space="preserve">estimate records relating to approximately </w:t>
      </w:r>
      <w:r>
        <w:t>10 million</w:t>
      </w:r>
      <w:r w:rsidRPr="00065C1F">
        <w:t xml:space="preserve"> individuals will be obtained each financial year.</w:t>
      </w:r>
    </w:p>
    <w:p w14:paraId="060D8581" w14:textId="77777777" w:rsidR="00ED0AA0" w:rsidRDefault="00ED0AA0" w:rsidP="00ED0AA0">
      <w:r w:rsidRPr="00901525">
        <w:t xml:space="preserve">The data </w:t>
      </w:r>
      <w:r w:rsidRPr="00065C1F">
        <w:t xml:space="preserve">will be acquired and matched </w:t>
      </w:r>
      <w:r>
        <w:t>with ATO data holdings to identify non-compliance with obligations under taxation and superannuation laws.</w:t>
      </w:r>
    </w:p>
    <w:p w14:paraId="4FC76A1F" w14:textId="77777777" w:rsidR="00ED0AA0" w:rsidRPr="00065C1F" w:rsidRDefault="00ED0AA0" w:rsidP="00ED0AA0">
      <w:r w:rsidRPr="00065C1F">
        <w:t>These obligations may include registration, lodgment, reporting and payment responsibilities.</w:t>
      </w:r>
    </w:p>
    <w:p w14:paraId="303F134F" w14:textId="77777777" w:rsidR="00ED0AA0" w:rsidRDefault="00ED0AA0" w:rsidP="00ED0AA0">
      <w:r w:rsidRPr="00975F58">
        <w:t>The objectives of this program are to:</w:t>
      </w:r>
    </w:p>
    <w:p w14:paraId="7ED494B0" w14:textId="77777777" w:rsidR="00ED0AA0" w:rsidRPr="00CB57E0" w:rsidRDefault="00ED0AA0" w:rsidP="00ED0AA0">
      <w:pPr>
        <w:pStyle w:val="Bulletedlist1"/>
      </w:pPr>
      <w:r w:rsidRPr="00CB57E0">
        <w:t>promote voluntary compliance by communicating how we use external data to help encourage taxpayers to comply with their tax and superannuation obligations.</w:t>
      </w:r>
    </w:p>
    <w:p w14:paraId="3C591FB8" w14:textId="77777777" w:rsidR="00ED0AA0" w:rsidRPr="00CB57E0" w:rsidRDefault="00ED0AA0" w:rsidP="00ED0AA0">
      <w:pPr>
        <w:pStyle w:val="Bulletedlist1"/>
      </w:pPr>
      <w:r w:rsidRPr="00CB57E0">
        <w:t>continue to refine our understanding of the visa population tax and superannuation risks across:</w:t>
      </w:r>
    </w:p>
    <w:p w14:paraId="4222B261" w14:textId="77777777" w:rsidR="00ED0AA0" w:rsidRPr="00CB57E0" w:rsidRDefault="00ED0AA0" w:rsidP="00ED0AA0">
      <w:pPr>
        <w:pStyle w:val="Bulletedlist2"/>
      </w:pPr>
      <w:r w:rsidRPr="00CB57E0">
        <w:t>visa holders</w:t>
      </w:r>
    </w:p>
    <w:p w14:paraId="48221997" w14:textId="77777777" w:rsidR="00ED0AA0" w:rsidRPr="00CB57E0" w:rsidRDefault="00ED0AA0" w:rsidP="00ED0AA0">
      <w:pPr>
        <w:pStyle w:val="Bulletedlist2"/>
      </w:pPr>
      <w:r w:rsidRPr="00CB57E0">
        <w:t>visa sponsors</w:t>
      </w:r>
    </w:p>
    <w:p w14:paraId="5F3C9457" w14:textId="77777777" w:rsidR="00ED0AA0" w:rsidRPr="00CB57E0" w:rsidRDefault="00ED0AA0" w:rsidP="00ED0AA0">
      <w:pPr>
        <w:pStyle w:val="Bulletedlist2"/>
      </w:pPr>
      <w:r w:rsidRPr="00CB57E0">
        <w:t>migration agents.</w:t>
      </w:r>
    </w:p>
    <w:p w14:paraId="3213A952" w14:textId="77777777" w:rsidR="00ED0AA0" w:rsidRPr="00CB57E0" w:rsidRDefault="00ED0AA0" w:rsidP="00ED0AA0">
      <w:pPr>
        <w:pStyle w:val="Bulletedlist1"/>
      </w:pPr>
      <w:r w:rsidRPr="00CB57E0">
        <w:t>develop and implement treatment strategies to improve voluntary compliance; which may include educational or compliance activities as appropriate.</w:t>
      </w:r>
    </w:p>
    <w:p w14:paraId="37536EDB" w14:textId="77777777" w:rsidR="00ED0AA0" w:rsidRPr="00CB57E0" w:rsidRDefault="00ED0AA0" w:rsidP="00ED0AA0">
      <w:pPr>
        <w:pStyle w:val="Bulletedlist1"/>
      </w:pPr>
      <w:r w:rsidRPr="00CB57E0">
        <w:t>help ensure visa populations fulfil their registration, lodgment, correct reporting and payment of tax and superannuation obligations.</w:t>
      </w:r>
    </w:p>
    <w:p w14:paraId="16D086A7" w14:textId="77777777" w:rsidR="00ED0AA0" w:rsidRPr="00CB57E0" w:rsidRDefault="00ED0AA0" w:rsidP="00ED0AA0">
      <w:pPr>
        <w:pStyle w:val="Bulletedlist1"/>
      </w:pPr>
      <w:r w:rsidRPr="00CB57E0">
        <w:lastRenderedPageBreak/>
        <w:t>test the accuracy and strengths of our existing risk detection models and treatment systems, and identify areas for improvement in our models, treatment systems and practices.</w:t>
      </w:r>
    </w:p>
    <w:p w14:paraId="58CA65E5" w14:textId="77777777" w:rsidR="00ED0AA0" w:rsidRPr="00CB57E0" w:rsidRDefault="00ED0AA0" w:rsidP="00ED0AA0">
      <w:pPr>
        <w:pStyle w:val="Bulletedlist1"/>
      </w:pPr>
      <w:r w:rsidRPr="00CB57E0">
        <w:t xml:space="preserve">identify potentially new or emergent approaches to fraud and those entities controlling or exploiting the visa framework. </w:t>
      </w:r>
    </w:p>
    <w:p w14:paraId="67B3E8FE" w14:textId="77777777" w:rsidR="00ED0AA0" w:rsidRPr="00CB57E0" w:rsidRDefault="00ED0AA0" w:rsidP="00ED0AA0">
      <w:pPr>
        <w:pStyle w:val="Bulletedlist1"/>
      </w:pPr>
      <w:r w:rsidRPr="00CB57E0">
        <w:t>improve the integrity of the taxation and superannuation systems by cancelling ineligible ABN holders.</w:t>
      </w:r>
    </w:p>
    <w:p w14:paraId="7BFE3A34" w14:textId="77777777" w:rsidR="00ED0AA0" w:rsidRPr="00CB57E0" w:rsidRDefault="00ED0AA0" w:rsidP="00ED0AA0">
      <w:pPr>
        <w:pStyle w:val="Bulletedlist1"/>
      </w:pPr>
      <w:r w:rsidRPr="00CB57E0">
        <w:t xml:space="preserve">support compliance activities under Australia's foreign investment rules. </w:t>
      </w:r>
    </w:p>
    <w:p w14:paraId="630BC63D" w14:textId="77777777" w:rsidR="00ED0AA0" w:rsidRPr="00F44C3D" w:rsidRDefault="00ED0AA0" w:rsidP="00ED0AA0">
      <w:pPr>
        <w:pStyle w:val="Bulletedlist1"/>
      </w:pPr>
      <w:r w:rsidRPr="00CB57E0">
        <w:t>identify and educate those individuals and businesses who may be failing to meet their registration and/or lodgment obligations and assist them to comply</w:t>
      </w:r>
      <w:r>
        <w:t>.</w:t>
      </w:r>
    </w:p>
    <w:p w14:paraId="55C0FAFC" w14:textId="77777777" w:rsidR="00ED0AA0" w:rsidRPr="00065C1F" w:rsidRDefault="00ED0AA0" w:rsidP="00ED0AA0">
      <w:pPr>
        <w:rPr>
          <w:rStyle w:val="Hyperlink"/>
        </w:rPr>
      </w:pPr>
      <w:r w:rsidRPr="00277C67">
        <w:t xml:space="preserve">A document describing this program </w:t>
      </w:r>
      <w:r w:rsidRPr="00065C1F">
        <w:t xml:space="preserve">is available at </w:t>
      </w:r>
      <w:hyperlink r:id="rId8" w:history="1">
        <w:r w:rsidRPr="00065C1F">
          <w:rPr>
            <w:rStyle w:val="Link-Internal"/>
          </w:rPr>
          <w:t>ato.gov.au/dmprotocols</w:t>
        </w:r>
      </w:hyperlink>
      <w:r w:rsidRPr="00065C1F">
        <w:t>.</w:t>
      </w:r>
    </w:p>
    <w:p w14:paraId="676973CE" w14:textId="77777777" w:rsidR="00ED0AA0" w:rsidRPr="00065C1F" w:rsidRDefault="00ED0AA0" w:rsidP="00ED0AA0">
      <w:r w:rsidRPr="00901525">
        <w:t xml:space="preserve">This program follows the Office of the Australian Information Commissioner’s </w:t>
      </w:r>
      <w:r w:rsidRPr="00065C1F">
        <w:rPr>
          <w:rStyle w:val="StyleItalic"/>
        </w:rPr>
        <w:t>Guidelines on data matching in Australian Government administration</w:t>
      </w:r>
      <w:r w:rsidRPr="00065C1F">
        <w:t xml:space="preserve"> (2014) (the guidelines). The guidelines include standards for the use data-matching as an administrative tool in a way that complies with the Australian Privacy Principles (APPs) and the </w:t>
      </w:r>
      <w:r w:rsidRPr="00065C1F">
        <w:rPr>
          <w:rStyle w:val="StyleItalic"/>
        </w:rPr>
        <w:t xml:space="preserve">Privacy Act 1988 </w:t>
      </w:r>
      <w:r w:rsidRPr="00065C1F">
        <w:t>(Privacy Act) and are consistent with good privacy practice.</w:t>
      </w:r>
    </w:p>
    <w:p w14:paraId="538C9301" w14:textId="77777777" w:rsidR="00ED0AA0" w:rsidRPr="00424B97" w:rsidRDefault="00ED0AA0" w:rsidP="00ED0AA0">
      <w:r w:rsidRPr="001C183C">
        <w:t xml:space="preserve">A full copy of the ATO’s privacy policy can be accessed at </w:t>
      </w:r>
      <w:hyperlink r:id="rId9" w:history="1">
        <w:r w:rsidRPr="00065C1F">
          <w:rPr>
            <w:rStyle w:val="Link-Internal"/>
          </w:rPr>
          <w:t>ato.gov.au/privacy</w:t>
        </w:r>
      </w:hyperlink>
      <w:r w:rsidRPr="00065C1F">
        <w:t>.</w:t>
      </w:r>
    </w:p>
    <w:p w14:paraId="22B123EC" w14:textId="3BB2D5C0" w:rsidR="004B2753" w:rsidRPr="00ED0AA0" w:rsidRDefault="004B2753" w:rsidP="00ED0AA0">
      <w:bookmarkStart w:id="0" w:name="_GoBack"/>
      <w:bookmarkEnd w:id="0"/>
    </w:p>
    <w:sectPr w:rsidR="004B2753" w:rsidRPr="00ED0AA0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9AC1" w14:textId="77777777" w:rsidR="008E4F6C" w:rsidRDefault="008E4F6C" w:rsidP="003A707F">
      <w:r>
        <w:separator/>
      </w:r>
    </w:p>
  </w:endnote>
  <w:endnote w:type="continuationSeparator" w:id="0">
    <w:p w14:paraId="738C77B1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D181" w14:textId="77777777" w:rsidR="008E4F6C" w:rsidRDefault="008E4F6C" w:rsidP="003A707F">
      <w:r>
        <w:separator/>
      </w:r>
    </w:p>
  </w:footnote>
  <w:footnote w:type="continuationSeparator" w:id="0">
    <w:p w14:paraId="6479E7B7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EDD9A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F48A14" w14:textId="77777777"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49D36241" wp14:editId="4D6D3B6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F61E992" w14:textId="77777777"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4A6ABF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95A18E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6C3EBAE" w14:textId="77777777"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5355066" w14:textId="77777777"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14:paraId="7079D9B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DA30B9E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E3CED"/>
    <w:rsid w:val="001F6E54"/>
    <w:rsid w:val="00253165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02F6A"/>
    <w:rsid w:val="00B84226"/>
    <w:rsid w:val="00BE7780"/>
    <w:rsid w:val="00C63C4E"/>
    <w:rsid w:val="00C72C30"/>
    <w:rsid w:val="00D229E5"/>
    <w:rsid w:val="00D77A88"/>
    <w:rsid w:val="00ED0AA0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3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3CED"/>
    <w:p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basedOn w:val="DefaultParagraphFont"/>
    <w:rsid w:val="001E3CED"/>
    <w:rPr>
      <w:b/>
      <w:bCs/>
    </w:rPr>
  </w:style>
  <w:style w:type="character" w:customStyle="1" w:styleId="StyleItalic">
    <w:name w:val="Style Italic"/>
    <w:basedOn w:val="DefaultParagraphFont"/>
    <w:rsid w:val="001E3CED"/>
    <w:rPr>
      <w:i/>
      <w:iCs/>
    </w:rPr>
  </w:style>
  <w:style w:type="character" w:styleId="Hyperlink">
    <w:name w:val="Hyperlink"/>
    <w:basedOn w:val="DefaultParagraphFont"/>
    <w:unhideWhenUsed/>
    <w:rsid w:val="001E3CED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1E3CED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1E3CED"/>
    <w:pPr>
      <w:numPr>
        <w:numId w:val="1"/>
      </w:numPr>
    </w:pPr>
  </w:style>
  <w:style w:type="paragraph" w:customStyle="1" w:styleId="Bulletedlist2">
    <w:name w:val="Bulleted list 2"/>
    <w:basedOn w:val="Bulletedlist1"/>
    <w:qFormat/>
    <w:rsid w:val="001E3CED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1E3CED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2FAF-9540-4CAD-ACC0-D2BA4C7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2020-09-16T03:52:00Z</dcterms:created>
  <dcterms:modified xsi:type="dcterms:W3CDTF">2020-10-28T01:21:00Z</dcterms:modified>
  <cp:category/>
  <cp:contentStatus/>
  <dc:language/>
  <cp:version/>
</cp:coreProperties>
</file>