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753" w:rsidRDefault="004B2753" w:rsidP="00424B97"/>
    <w:p w:rsidR="00006499" w:rsidRPr="00006499" w:rsidRDefault="00006499" w:rsidP="00006499">
      <w:pPr>
        <w:jc w:val="center"/>
        <w:rPr>
          <w:rFonts w:ascii="Times New Roman" w:hAnsi="Times New Roman" w:cs="Times New Roman"/>
          <w:i/>
          <w:color w:val="000000" w:themeColor="text1"/>
          <w:szCs w:val="24"/>
        </w:rPr>
      </w:pPr>
      <w:r w:rsidRPr="00006499">
        <w:rPr>
          <w:rFonts w:ascii="Times New Roman" w:hAnsi="Times New Roman" w:cs="Times New Roman"/>
          <w:i/>
          <w:color w:val="000000" w:themeColor="text1"/>
          <w:szCs w:val="24"/>
        </w:rPr>
        <w:t>Public Service Act 1999</w:t>
      </w:r>
    </w:p>
    <w:p w:rsidR="00006499" w:rsidRPr="00006499" w:rsidRDefault="00006499" w:rsidP="00006499">
      <w:pPr>
        <w:jc w:val="center"/>
        <w:rPr>
          <w:rFonts w:ascii="Times New Roman" w:hAnsi="Times New Roman" w:cs="Times New Roman"/>
          <w:b/>
        </w:rPr>
      </w:pPr>
      <w:r w:rsidRPr="00006499">
        <w:rPr>
          <w:rFonts w:ascii="Times New Roman" w:hAnsi="Times New Roman" w:cs="Times New Roman"/>
          <w:b/>
        </w:rPr>
        <w:t>Order to Establish the Office of the Special Investigator as an Executive Agency</w:t>
      </w:r>
    </w:p>
    <w:p w:rsidR="00006499" w:rsidRDefault="00006499" w:rsidP="00006499">
      <w:pPr>
        <w:spacing w:after="0" w:line="240" w:lineRule="auto"/>
        <w:rPr>
          <w:rFonts w:ascii="Times New Roman" w:hAnsi="Times New Roman"/>
          <w:color w:val="000000" w:themeColor="text1"/>
          <w:sz w:val="24"/>
        </w:rPr>
      </w:pPr>
      <w:r w:rsidRPr="00006499">
        <w:rPr>
          <w:rFonts w:ascii="Times New Roman" w:hAnsi="Times New Roman"/>
          <w:color w:val="000000" w:themeColor="text1"/>
          <w:sz w:val="24"/>
        </w:rPr>
        <w:t>I, General the Honourable David Hurley AC DSC (</w:t>
      </w:r>
      <w:proofErr w:type="spellStart"/>
      <w:r w:rsidRPr="00006499">
        <w:rPr>
          <w:rFonts w:ascii="Times New Roman" w:hAnsi="Times New Roman"/>
          <w:color w:val="000000" w:themeColor="text1"/>
          <w:sz w:val="24"/>
        </w:rPr>
        <w:t>Retd</w:t>
      </w:r>
      <w:proofErr w:type="spellEnd"/>
      <w:r w:rsidRPr="00006499">
        <w:rPr>
          <w:rFonts w:ascii="Times New Roman" w:hAnsi="Times New Roman"/>
          <w:color w:val="000000" w:themeColor="text1"/>
          <w:sz w:val="24"/>
        </w:rPr>
        <w:t xml:space="preserve">), Governor-General of the </w:t>
      </w:r>
      <w:r w:rsidR="00780EEF">
        <w:rPr>
          <w:rFonts w:ascii="Times New Roman" w:hAnsi="Times New Roman"/>
          <w:color w:val="000000" w:themeColor="text1"/>
          <w:sz w:val="24"/>
        </w:rPr>
        <w:br/>
      </w:r>
      <w:r w:rsidRPr="00006499">
        <w:rPr>
          <w:rFonts w:ascii="Times New Roman" w:hAnsi="Times New Roman"/>
          <w:color w:val="000000" w:themeColor="text1"/>
          <w:sz w:val="24"/>
        </w:rPr>
        <w:t xml:space="preserve">Commonwealth of Australia, acting with the advice of the Federal Executive Council and under section 65 of the </w:t>
      </w:r>
      <w:r w:rsidRPr="00006499">
        <w:rPr>
          <w:rFonts w:ascii="Times New Roman" w:hAnsi="Times New Roman"/>
          <w:i/>
          <w:color w:val="000000" w:themeColor="text1"/>
          <w:sz w:val="24"/>
        </w:rPr>
        <w:t>Public Service Act 1999</w:t>
      </w:r>
      <w:r w:rsidRPr="00006499">
        <w:rPr>
          <w:rFonts w:ascii="Times New Roman" w:hAnsi="Times New Roman"/>
          <w:color w:val="000000" w:themeColor="text1"/>
          <w:sz w:val="24"/>
        </w:rPr>
        <w:t>:</w:t>
      </w:r>
    </w:p>
    <w:p w:rsidR="00006499" w:rsidRPr="00006499" w:rsidRDefault="00006499" w:rsidP="00006499">
      <w:pPr>
        <w:spacing w:after="0" w:line="240" w:lineRule="auto"/>
        <w:rPr>
          <w:rFonts w:ascii="Times New Roman" w:hAnsi="Times New Roman"/>
          <w:color w:val="000000" w:themeColor="text1"/>
          <w:sz w:val="24"/>
        </w:rPr>
      </w:pPr>
    </w:p>
    <w:p w:rsidR="00006499" w:rsidRPr="00006499" w:rsidRDefault="00006499" w:rsidP="00006499">
      <w:pPr>
        <w:pStyle w:val="ListParagraph"/>
        <w:widowControl w:val="0"/>
        <w:numPr>
          <w:ilvl w:val="0"/>
          <w:numId w:val="1"/>
        </w:numPr>
        <w:tabs>
          <w:tab w:val="left" w:pos="709"/>
        </w:tabs>
        <w:ind w:left="708" w:hanging="493"/>
        <w:contextualSpacing w:val="0"/>
        <w:rPr>
          <w:rFonts w:cs="Times New Roman"/>
          <w:color w:val="000000" w:themeColor="text1"/>
          <w:szCs w:val="24"/>
        </w:rPr>
      </w:pPr>
      <w:r w:rsidRPr="00006499">
        <w:rPr>
          <w:rFonts w:cs="Times New Roman"/>
          <w:color w:val="000000" w:themeColor="text1"/>
          <w:szCs w:val="24"/>
        </w:rPr>
        <w:t xml:space="preserve">establish the </w:t>
      </w:r>
      <w:r w:rsidRPr="00006499">
        <w:rPr>
          <w:rFonts w:cs="Times New Roman"/>
        </w:rPr>
        <w:t>Office of the Special Investigator</w:t>
      </w:r>
      <w:r w:rsidRPr="00006499">
        <w:rPr>
          <w:rFonts w:cs="Times New Roman"/>
          <w:color w:val="000000" w:themeColor="text1"/>
          <w:szCs w:val="24"/>
        </w:rPr>
        <w:t xml:space="preserve"> as an Executive Agency;</w:t>
      </w:r>
      <w:bookmarkStart w:id="0" w:name="_GoBack"/>
      <w:bookmarkEnd w:id="0"/>
    </w:p>
    <w:p w:rsidR="00006499" w:rsidRPr="00006499" w:rsidRDefault="00006499" w:rsidP="00006499">
      <w:pPr>
        <w:pStyle w:val="ListParagraph"/>
        <w:widowControl w:val="0"/>
        <w:numPr>
          <w:ilvl w:val="0"/>
          <w:numId w:val="1"/>
        </w:numPr>
        <w:tabs>
          <w:tab w:val="left" w:pos="709"/>
        </w:tabs>
        <w:ind w:left="709" w:hanging="493"/>
        <w:contextualSpacing w:val="0"/>
        <w:rPr>
          <w:rFonts w:cs="Times New Roman"/>
          <w:color w:val="000000" w:themeColor="text1"/>
          <w:szCs w:val="24"/>
        </w:rPr>
      </w:pPr>
      <w:r w:rsidRPr="00006499">
        <w:rPr>
          <w:rFonts w:cs="Times New Roman"/>
          <w:color w:val="000000" w:themeColor="text1"/>
          <w:szCs w:val="24"/>
        </w:rPr>
        <w:t xml:space="preserve">allocate the name </w:t>
      </w:r>
      <w:r w:rsidRPr="00006499">
        <w:rPr>
          <w:rFonts w:cs="Times New Roman"/>
        </w:rPr>
        <w:t>Office of the Special Investigator</w:t>
      </w:r>
      <w:r w:rsidRPr="00006499">
        <w:rPr>
          <w:rFonts w:cs="Times New Roman"/>
          <w:color w:val="000000" w:themeColor="text1"/>
          <w:szCs w:val="24"/>
        </w:rPr>
        <w:t xml:space="preserve"> to the Executive Agency;</w:t>
      </w:r>
    </w:p>
    <w:p w:rsidR="00006499" w:rsidRPr="00006499" w:rsidRDefault="00006499" w:rsidP="00006499">
      <w:pPr>
        <w:pStyle w:val="ListParagraph"/>
        <w:widowControl w:val="0"/>
        <w:numPr>
          <w:ilvl w:val="0"/>
          <w:numId w:val="1"/>
        </w:numPr>
        <w:tabs>
          <w:tab w:val="left" w:pos="709"/>
        </w:tabs>
        <w:ind w:left="709" w:hanging="493"/>
        <w:contextualSpacing w:val="0"/>
        <w:rPr>
          <w:rFonts w:cs="Times New Roman"/>
          <w:color w:val="000000" w:themeColor="text1"/>
          <w:szCs w:val="24"/>
        </w:rPr>
      </w:pPr>
      <w:r w:rsidRPr="00006499">
        <w:rPr>
          <w:rFonts w:cs="Times New Roman"/>
          <w:color w:val="000000" w:themeColor="text1"/>
          <w:szCs w:val="24"/>
        </w:rPr>
        <w:t>allocate the name Director-General to the Head of the Executive Agency;</w:t>
      </w:r>
    </w:p>
    <w:p w:rsidR="00006499" w:rsidRPr="00006499" w:rsidRDefault="00006499" w:rsidP="00006499">
      <w:pPr>
        <w:pStyle w:val="ListParagraph"/>
        <w:widowControl w:val="0"/>
        <w:numPr>
          <w:ilvl w:val="0"/>
          <w:numId w:val="1"/>
        </w:numPr>
        <w:tabs>
          <w:tab w:val="left" w:pos="709"/>
        </w:tabs>
        <w:ind w:left="709" w:hanging="493"/>
        <w:contextualSpacing w:val="0"/>
        <w:rPr>
          <w:rFonts w:cs="Times New Roman"/>
          <w:color w:val="000000" w:themeColor="text1"/>
          <w:szCs w:val="24"/>
        </w:rPr>
      </w:pPr>
      <w:r w:rsidRPr="00006499">
        <w:rPr>
          <w:rFonts w:cs="Times New Roman"/>
          <w:color w:val="000000" w:themeColor="text1"/>
          <w:szCs w:val="24"/>
        </w:rPr>
        <w:t xml:space="preserve">identify the </w:t>
      </w:r>
      <w:r w:rsidRPr="00006499">
        <w:rPr>
          <w:rFonts w:cs="Times New Roman"/>
          <w:szCs w:val="24"/>
        </w:rPr>
        <w:t>Minister for Home Affairs</w:t>
      </w:r>
      <w:r w:rsidRPr="00006499">
        <w:rPr>
          <w:rFonts w:cs="Times New Roman"/>
          <w:color w:val="000000" w:themeColor="text1"/>
          <w:szCs w:val="24"/>
        </w:rPr>
        <w:t xml:space="preserve"> as the Minister responsible for the Executive </w:t>
      </w:r>
      <w:r w:rsidR="00780EEF">
        <w:rPr>
          <w:rFonts w:cs="Times New Roman"/>
          <w:color w:val="000000" w:themeColor="text1"/>
          <w:szCs w:val="24"/>
        </w:rPr>
        <w:br/>
      </w:r>
      <w:r w:rsidRPr="00006499">
        <w:rPr>
          <w:rFonts w:cs="Times New Roman"/>
          <w:color w:val="000000" w:themeColor="text1"/>
          <w:szCs w:val="24"/>
        </w:rPr>
        <w:t>Agency;</w:t>
      </w:r>
    </w:p>
    <w:p w:rsidR="00006499" w:rsidRPr="00006499" w:rsidRDefault="00006499" w:rsidP="00006499">
      <w:pPr>
        <w:pStyle w:val="ListParagraph"/>
        <w:widowControl w:val="0"/>
        <w:numPr>
          <w:ilvl w:val="0"/>
          <w:numId w:val="1"/>
        </w:numPr>
        <w:tabs>
          <w:tab w:val="left" w:pos="709"/>
        </w:tabs>
        <w:ind w:left="709" w:hanging="493"/>
        <w:contextualSpacing w:val="0"/>
        <w:rPr>
          <w:rFonts w:cs="Times New Roman"/>
          <w:color w:val="000000" w:themeColor="text1"/>
          <w:szCs w:val="24"/>
        </w:rPr>
      </w:pPr>
      <w:r w:rsidRPr="00006499">
        <w:rPr>
          <w:rFonts w:cs="Times New Roman"/>
          <w:color w:val="000000" w:themeColor="text1"/>
          <w:szCs w:val="24"/>
        </w:rPr>
        <w:t xml:space="preserve">specify the functions of the </w:t>
      </w:r>
      <w:r w:rsidRPr="00006499">
        <w:rPr>
          <w:rFonts w:cs="Times New Roman"/>
        </w:rPr>
        <w:t>Office of the Special Investigator</w:t>
      </w:r>
      <w:r w:rsidRPr="00006499">
        <w:rPr>
          <w:rFonts w:cs="Times New Roman"/>
          <w:color w:val="000000" w:themeColor="text1"/>
          <w:szCs w:val="24"/>
        </w:rPr>
        <w:t xml:space="preserve"> be as follows: </w:t>
      </w:r>
    </w:p>
    <w:p w:rsidR="00006499" w:rsidRPr="00006499" w:rsidRDefault="00006499" w:rsidP="00006499">
      <w:pPr>
        <w:pStyle w:val="ListParagraph"/>
        <w:widowControl w:val="0"/>
        <w:numPr>
          <w:ilvl w:val="1"/>
          <w:numId w:val="1"/>
        </w:numPr>
        <w:tabs>
          <w:tab w:val="left" w:pos="851"/>
        </w:tabs>
        <w:ind w:left="1134" w:hanging="196"/>
        <w:contextualSpacing w:val="0"/>
        <w:rPr>
          <w:rFonts w:cs="Times New Roman"/>
          <w:szCs w:val="24"/>
        </w:rPr>
      </w:pPr>
      <w:r w:rsidRPr="00006499">
        <w:rPr>
          <w:rFonts w:cs="Times New Roman"/>
        </w:rPr>
        <w:t>to review the findings of the Inspector-General of the Australian Defence Force Afghanistan Inquiry;</w:t>
      </w:r>
    </w:p>
    <w:p w:rsidR="00006499" w:rsidRPr="00006499" w:rsidRDefault="00006499" w:rsidP="00006499">
      <w:pPr>
        <w:pStyle w:val="ListParagraph"/>
        <w:widowControl w:val="0"/>
        <w:numPr>
          <w:ilvl w:val="1"/>
          <w:numId w:val="1"/>
        </w:numPr>
        <w:tabs>
          <w:tab w:val="left" w:pos="851"/>
        </w:tabs>
        <w:ind w:left="1134" w:hanging="196"/>
        <w:contextualSpacing w:val="0"/>
        <w:rPr>
          <w:rFonts w:cs="Times New Roman"/>
          <w:szCs w:val="24"/>
        </w:rPr>
      </w:pPr>
      <w:r w:rsidRPr="00006499">
        <w:rPr>
          <w:rFonts w:cs="Times New Roman"/>
        </w:rPr>
        <w:t xml:space="preserve">to work with the Australian Federal Police (AFP) to investigate the commission of criminal offences under Australian law arising from or related to any breaches of the Laws of Armed Conflict by members of the Australian Defence Force in Afghanistan from 2005 to 2016; </w:t>
      </w:r>
    </w:p>
    <w:p w:rsidR="00006499" w:rsidRPr="00006499" w:rsidRDefault="00006499" w:rsidP="00006499">
      <w:pPr>
        <w:pStyle w:val="ListParagraph"/>
        <w:widowControl w:val="0"/>
        <w:numPr>
          <w:ilvl w:val="1"/>
          <w:numId w:val="1"/>
        </w:numPr>
        <w:tabs>
          <w:tab w:val="left" w:pos="851"/>
        </w:tabs>
        <w:ind w:left="1134" w:hanging="196"/>
        <w:contextualSpacing w:val="0"/>
        <w:rPr>
          <w:rFonts w:cs="Times New Roman"/>
        </w:rPr>
      </w:pPr>
      <w:r w:rsidRPr="00006499">
        <w:rPr>
          <w:rFonts w:cs="Times New Roman"/>
        </w:rPr>
        <w:t>to develop briefs of evidence in respect of any offences that are established, for referral to the Commonwealth Director of Public Prosecutions; and</w:t>
      </w:r>
    </w:p>
    <w:p w:rsidR="00006499" w:rsidRPr="00780EEF" w:rsidRDefault="00006499" w:rsidP="00006499">
      <w:pPr>
        <w:pStyle w:val="ListParagraph"/>
        <w:widowControl w:val="0"/>
        <w:numPr>
          <w:ilvl w:val="1"/>
          <w:numId w:val="1"/>
        </w:numPr>
        <w:tabs>
          <w:tab w:val="left" w:pos="851"/>
        </w:tabs>
        <w:ind w:left="1134" w:hanging="196"/>
        <w:contextualSpacing w:val="0"/>
        <w:rPr>
          <w:rFonts w:cs="Times New Roman"/>
          <w:szCs w:val="24"/>
        </w:rPr>
      </w:pPr>
      <w:proofErr w:type="gramStart"/>
      <w:r w:rsidRPr="00006499">
        <w:rPr>
          <w:rFonts w:cs="Times New Roman"/>
          <w:szCs w:val="24"/>
        </w:rPr>
        <w:t>to</w:t>
      </w:r>
      <w:proofErr w:type="gramEnd"/>
      <w:r w:rsidRPr="00006499">
        <w:rPr>
          <w:rFonts w:cs="Times New Roman"/>
          <w:szCs w:val="24"/>
        </w:rPr>
        <w:t xml:space="preserve"> undertake other relevant tasks the Prime Minister and the Minister require from time to time.</w:t>
      </w:r>
    </w:p>
    <w:p w:rsidR="00006499" w:rsidRPr="00006499" w:rsidRDefault="00006499" w:rsidP="00780EEF">
      <w:pPr>
        <w:widowControl w:val="0"/>
        <w:spacing w:before="120" w:after="0" w:line="240" w:lineRule="auto"/>
        <w:rPr>
          <w:rFonts w:ascii="Times New Roman" w:hAnsi="Times New Roman"/>
          <w:color w:val="000000" w:themeColor="text1"/>
          <w:sz w:val="24"/>
          <w:szCs w:val="24"/>
        </w:rPr>
      </w:pPr>
      <w:r w:rsidRPr="00006499">
        <w:rPr>
          <w:rFonts w:ascii="Times New Roman" w:hAnsi="Times New Roman"/>
          <w:color w:val="000000" w:themeColor="text1"/>
          <w:sz w:val="24"/>
          <w:szCs w:val="24"/>
        </w:rPr>
        <w:t>This Order will commence on 4 January 2021.</w:t>
      </w:r>
    </w:p>
    <w:p w:rsidR="00006499" w:rsidRPr="00006499" w:rsidRDefault="00006499" w:rsidP="00006499">
      <w:pPr>
        <w:widowControl w:val="0"/>
        <w:spacing w:after="0" w:line="240" w:lineRule="auto"/>
        <w:rPr>
          <w:rFonts w:ascii="Times New Roman" w:hAnsi="Times New Roman"/>
          <w:color w:val="000000" w:themeColor="text1"/>
          <w:sz w:val="24"/>
          <w:szCs w:val="24"/>
        </w:rPr>
      </w:pPr>
    </w:p>
    <w:p w:rsidR="00006499" w:rsidRPr="00006499" w:rsidRDefault="00C913A1" w:rsidP="00006499">
      <w:pPr>
        <w:widowControl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Dated 10 December 2020</w:t>
      </w:r>
      <w:r w:rsidR="00006499" w:rsidRPr="00006499">
        <w:rPr>
          <w:rFonts w:ascii="Times New Roman" w:hAnsi="Times New Roman"/>
          <w:color w:val="000000" w:themeColor="text1"/>
          <w:sz w:val="24"/>
          <w:szCs w:val="24"/>
        </w:rPr>
        <w:t xml:space="preserve">       </w:t>
      </w:r>
      <w:r w:rsidR="00006499" w:rsidRPr="00006499">
        <w:rPr>
          <w:rFonts w:ascii="Times New Roman" w:hAnsi="Times New Roman"/>
          <w:color w:val="000000" w:themeColor="text1"/>
          <w:sz w:val="24"/>
          <w:szCs w:val="24"/>
        </w:rPr>
        <w:tab/>
        <w:t xml:space="preserve">     </w:t>
      </w:r>
      <w:r w:rsidR="00006499" w:rsidRPr="00006499">
        <w:rPr>
          <w:rFonts w:ascii="Times New Roman" w:hAnsi="Times New Roman"/>
          <w:color w:val="000000" w:themeColor="text1"/>
          <w:sz w:val="24"/>
          <w:szCs w:val="24"/>
        </w:rPr>
        <w:tab/>
      </w:r>
      <w:r w:rsidR="00006499" w:rsidRPr="00006499">
        <w:rPr>
          <w:rFonts w:ascii="Times New Roman" w:hAnsi="Times New Roman"/>
          <w:color w:val="000000" w:themeColor="text1"/>
          <w:sz w:val="24"/>
          <w:szCs w:val="24"/>
        </w:rPr>
        <w:tab/>
        <w:t xml:space="preserve">   </w:t>
      </w:r>
    </w:p>
    <w:p w:rsidR="00006499" w:rsidRPr="00006499" w:rsidRDefault="00006499" w:rsidP="00006499">
      <w:pPr>
        <w:widowControl w:val="0"/>
        <w:tabs>
          <w:tab w:val="left" w:pos="5954"/>
        </w:tabs>
        <w:spacing w:line="240" w:lineRule="exact"/>
        <w:ind w:right="84"/>
        <w:rPr>
          <w:rFonts w:ascii="Times New Roman" w:hAnsi="Times New Roman" w:cs="Times New Roman"/>
          <w:sz w:val="24"/>
          <w:szCs w:val="24"/>
        </w:rPr>
      </w:pPr>
    </w:p>
    <w:p w:rsidR="00006499" w:rsidRPr="00006499" w:rsidRDefault="00006499" w:rsidP="00006499">
      <w:pPr>
        <w:widowControl w:val="0"/>
        <w:tabs>
          <w:tab w:val="left" w:pos="5954"/>
        </w:tabs>
        <w:spacing w:line="240" w:lineRule="exact"/>
        <w:ind w:right="84"/>
        <w:rPr>
          <w:rFonts w:ascii="Times New Roman" w:hAnsi="Times New Roman" w:cs="Times New Roman"/>
          <w:sz w:val="24"/>
          <w:szCs w:val="24"/>
        </w:rPr>
      </w:pPr>
    </w:p>
    <w:p w:rsidR="00780EEF" w:rsidRDefault="00780EEF" w:rsidP="00006499">
      <w:pPr>
        <w:widowControl w:val="0"/>
        <w:tabs>
          <w:tab w:val="left" w:pos="5954"/>
        </w:tabs>
        <w:spacing w:after="0" w:line="240" w:lineRule="exact"/>
        <w:ind w:right="84"/>
        <w:jc w:val="right"/>
        <w:rPr>
          <w:rFonts w:ascii="Times New Roman" w:hAnsi="Times New Roman"/>
          <w:sz w:val="24"/>
          <w:szCs w:val="24"/>
        </w:rPr>
      </w:pPr>
    </w:p>
    <w:p w:rsidR="00780EEF" w:rsidRDefault="00780EEF" w:rsidP="00006499">
      <w:pPr>
        <w:widowControl w:val="0"/>
        <w:tabs>
          <w:tab w:val="left" w:pos="5954"/>
        </w:tabs>
        <w:spacing w:after="0" w:line="240" w:lineRule="exact"/>
        <w:ind w:right="84"/>
        <w:jc w:val="right"/>
        <w:rPr>
          <w:rFonts w:ascii="Times New Roman" w:hAnsi="Times New Roman"/>
          <w:sz w:val="24"/>
          <w:szCs w:val="24"/>
        </w:rPr>
      </w:pPr>
    </w:p>
    <w:p w:rsidR="00006499" w:rsidRPr="00006499" w:rsidRDefault="00006499" w:rsidP="00006499">
      <w:pPr>
        <w:widowControl w:val="0"/>
        <w:tabs>
          <w:tab w:val="left" w:pos="5954"/>
        </w:tabs>
        <w:spacing w:after="0" w:line="240" w:lineRule="exact"/>
        <w:ind w:right="84"/>
        <w:jc w:val="right"/>
        <w:rPr>
          <w:rFonts w:ascii="Times New Roman" w:hAnsi="Times New Roman"/>
          <w:sz w:val="24"/>
          <w:szCs w:val="24"/>
        </w:rPr>
      </w:pPr>
      <w:r w:rsidRPr="00006499">
        <w:rPr>
          <w:rFonts w:ascii="Times New Roman" w:hAnsi="Times New Roman"/>
          <w:sz w:val="24"/>
          <w:szCs w:val="24"/>
        </w:rPr>
        <w:t>David Hurley</w:t>
      </w:r>
    </w:p>
    <w:p w:rsidR="00006499" w:rsidRPr="00006499" w:rsidRDefault="00006499" w:rsidP="00006499">
      <w:pPr>
        <w:widowControl w:val="0"/>
        <w:tabs>
          <w:tab w:val="left" w:pos="5954"/>
        </w:tabs>
        <w:spacing w:after="0" w:line="240" w:lineRule="exact"/>
        <w:ind w:right="84"/>
        <w:jc w:val="right"/>
        <w:rPr>
          <w:rFonts w:ascii="Times New Roman" w:hAnsi="Times New Roman"/>
          <w:sz w:val="24"/>
          <w:szCs w:val="24"/>
        </w:rPr>
      </w:pPr>
      <w:r w:rsidRPr="00006499">
        <w:rPr>
          <w:rFonts w:ascii="Times New Roman" w:hAnsi="Times New Roman"/>
          <w:sz w:val="24"/>
          <w:szCs w:val="24"/>
        </w:rPr>
        <w:t>Governor-General</w:t>
      </w:r>
    </w:p>
    <w:p w:rsidR="00006499" w:rsidRPr="00006499" w:rsidRDefault="00006499" w:rsidP="00006499">
      <w:pPr>
        <w:widowControl w:val="0"/>
        <w:tabs>
          <w:tab w:val="left" w:pos="7371"/>
        </w:tabs>
        <w:spacing w:line="240" w:lineRule="exact"/>
        <w:ind w:right="2643"/>
        <w:rPr>
          <w:rFonts w:ascii="Times New Roman" w:hAnsi="Times New Roman" w:cs="Times New Roman"/>
          <w:sz w:val="24"/>
          <w:szCs w:val="24"/>
        </w:rPr>
      </w:pPr>
    </w:p>
    <w:p w:rsidR="00006499" w:rsidRPr="00006499" w:rsidRDefault="00006499" w:rsidP="00006499">
      <w:pPr>
        <w:widowControl w:val="0"/>
        <w:tabs>
          <w:tab w:val="left" w:pos="7371"/>
        </w:tabs>
        <w:spacing w:line="240" w:lineRule="exact"/>
        <w:ind w:right="2643"/>
        <w:rPr>
          <w:rFonts w:ascii="Times New Roman" w:hAnsi="Times New Roman" w:cs="Times New Roman"/>
          <w:sz w:val="24"/>
          <w:szCs w:val="24"/>
        </w:rPr>
      </w:pPr>
      <w:r w:rsidRPr="00006499">
        <w:rPr>
          <w:rFonts w:ascii="Times New Roman" w:hAnsi="Times New Roman" w:cs="Times New Roman"/>
          <w:sz w:val="24"/>
          <w:szCs w:val="24"/>
        </w:rPr>
        <w:t>By His Excellency’s Command</w:t>
      </w:r>
    </w:p>
    <w:p w:rsidR="00006499" w:rsidRPr="00006499" w:rsidRDefault="00006499" w:rsidP="00006499">
      <w:pPr>
        <w:widowControl w:val="0"/>
        <w:contextualSpacing/>
        <w:rPr>
          <w:rFonts w:ascii="Times New Roman" w:hAnsi="Times New Roman" w:cs="Times New Roman"/>
          <w:sz w:val="24"/>
          <w:szCs w:val="24"/>
        </w:rPr>
      </w:pPr>
    </w:p>
    <w:p w:rsidR="00006499" w:rsidRDefault="00006499" w:rsidP="00006499">
      <w:pPr>
        <w:widowControl w:val="0"/>
        <w:spacing w:after="0"/>
        <w:contextualSpacing/>
        <w:rPr>
          <w:rFonts w:ascii="Times New Roman" w:hAnsi="Times New Roman" w:cs="Times New Roman"/>
          <w:sz w:val="24"/>
          <w:szCs w:val="24"/>
        </w:rPr>
      </w:pPr>
    </w:p>
    <w:p w:rsidR="00780EEF" w:rsidRDefault="00780EEF" w:rsidP="00006499">
      <w:pPr>
        <w:widowControl w:val="0"/>
        <w:spacing w:after="0"/>
        <w:contextualSpacing/>
        <w:rPr>
          <w:rFonts w:ascii="Times New Roman" w:hAnsi="Times New Roman" w:cs="Times New Roman"/>
          <w:sz w:val="24"/>
          <w:szCs w:val="24"/>
        </w:rPr>
      </w:pPr>
    </w:p>
    <w:p w:rsidR="00780EEF" w:rsidRDefault="00780EEF" w:rsidP="00006499">
      <w:pPr>
        <w:widowControl w:val="0"/>
        <w:spacing w:after="0"/>
        <w:contextualSpacing/>
        <w:rPr>
          <w:rFonts w:ascii="Times New Roman" w:hAnsi="Times New Roman" w:cs="Times New Roman"/>
          <w:sz w:val="24"/>
          <w:szCs w:val="24"/>
        </w:rPr>
      </w:pPr>
    </w:p>
    <w:p w:rsidR="00780EEF" w:rsidRDefault="00780EEF" w:rsidP="00006499">
      <w:pPr>
        <w:widowControl w:val="0"/>
        <w:spacing w:after="0"/>
        <w:contextualSpacing/>
        <w:rPr>
          <w:rFonts w:ascii="Times New Roman" w:hAnsi="Times New Roman" w:cs="Times New Roman"/>
          <w:sz w:val="24"/>
          <w:szCs w:val="24"/>
        </w:rPr>
      </w:pPr>
    </w:p>
    <w:p w:rsidR="00006499" w:rsidRPr="00006499" w:rsidRDefault="00006499" w:rsidP="00006499">
      <w:pPr>
        <w:widowControl w:val="0"/>
        <w:spacing w:after="0"/>
        <w:contextualSpacing/>
        <w:rPr>
          <w:rFonts w:ascii="Times New Roman" w:hAnsi="Times New Roman" w:cs="Times New Roman"/>
          <w:sz w:val="24"/>
          <w:szCs w:val="24"/>
        </w:rPr>
      </w:pPr>
      <w:r w:rsidRPr="00006499">
        <w:rPr>
          <w:rFonts w:ascii="Times New Roman" w:hAnsi="Times New Roman" w:cs="Times New Roman"/>
          <w:sz w:val="24"/>
          <w:szCs w:val="24"/>
        </w:rPr>
        <w:t xml:space="preserve">Scott Morrison </w:t>
      </w:r>
    </w:p>
    <w:p w:rsidR="00006499" w:rsidRPr="00780EEF" w:rsidRDefault="00006499" w:rsidP="00780EEF">
      <w:pPr>
        <w:widowControl w:val="0"/>
        <w:spacing w:after="0"/>
        <w:contextualSpacing/>
        <w:rPr>
          <w:rFonts w:ascii="Times New Roman" w:hAnsi="Times New Roman" w:cs="Times New Roman"/>
          <w:sz w:val="24"/>
          <w:szCs w:val="24"/>
        </w:rPr>
      </w:pPr>
      <w:r w:rsidRPr="00006499">
        <w:rPr>
          <w:rFonts w:ascii="Times New Roman" w:hAnsi="Times New Roman" w:cs="Times New Roman"/>
          <w:sz w:val="24"/>
          <w:szCs w:val="24"/>
        </w:rPr>
        <w:t>Prime Minister</w:t>
      </w:r>
    </w:p>
    <w:sectPr w:rsidR="00006499" w:rsidRPr="00780EEF" w:rsidSect="008E4F6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C07" w:rsidRDefault="00A45C07" w:rsidP="003A707F">
      <w:pPr>
        <w:spacing w:after="0" w:line="240" w:lineRule="auto"/>
      </w:pPr>
      <w:r>
        <w:separator/>
      </w:r>
    </w:p>
  </w:endnote>
  <w:endnote w:type="continuationSeparator" w:id="0">
    <w:p w:rsidR="00A45C07" w:rsidRDefault="00A45C07"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A41" w:rsidRDefault="00131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A41" w:rsidRDefault="00131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A41" w:rsidRDefault="00131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C07" w:rsidRDefault="00A45C07" w:rsidP="003A707F">
      <w:pPr>
        <w:spacing w:after="0" w:line="240" w:lineRule="auto"/>
      </w:pPr>
      <w:r>
        <w:separator/>
      </w:r>
    </w:p>
  </w:footnote>
  <w:footnote w:type="continuationSeparator" w:id="0">
    <w:p w:rsidR="00A45C07" w:rsidRDefault="00A45C07"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A41" w:rsidRDefault="00131A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A41" w:rsidRDefault="00131A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8623E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74C3A50"/>
    <w:multiLevelType w:val="hybridMultilevel"/>
    <w:tmpl w:val="CEC8497C"/>
    <w:lvl w:ilvl="0" w:tplc="CC6E3754">
      <w:start w:val="1"/>
      <w:numFmt w:val="lowerLetter"/>
      <w:lvlText w:val="(%1)"/>
      <w:lvlJc w:val="left"/>
      <w:pPr>
        <w:ind w:left="855" w:hanging="495"/>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06499"/>
    <w:rsid w:val="000E1F2B"/>
    <w:rsid w:val="00116A59"/>
    <w:rsid w:val="00131A41"/>
    <w:rsid w:val="001C2AAD"/>
    <w:rsid w:val="001F6E54"/>
    <w:rsid w:val="00280BCD"/>
    <w:rsid w:val="00382D59"/>
    <w:rsid w:val="003A707F"/>
    <w:rsid w:val="003B0EC1"/>
    <w:rsid w:val="003B573B"/>
    <w:rsid w:val="003F2CBD"/>
    <w:rsid w:val="00424B97"/>
    <w:rsid w:val="0049723C"/>
    <w:rsid w:val="004B2753"/>
    <w:rsid w:val="00520873"/>
    <w:rsid w:val="00524B98"/>
    <w:rsid w:val="00573D44"/>
    <w:rsid w:val="00780EEF"/>
    <w:rsid w:val="00840A06"/>
    <w:rsid w:val="008439B7"/>
    <w:rsid w:val="0087253F"/>
    <w:rsid w:val="008E4F6C"/>
    <w:rsid w:val="009539C7"/>
    <w:rsid w:val="00A00F21"/>
    <w:rsid w:val="00A45C07"/>
    <w:rsid w:val="00B84226"/>
    <w:rsid w:val="00BE7780"/>
    <w:rsid w:val="00C63C4E"/>
    <w:rsid w:val="00C72C30"/>
    <w:rsid w:val="00C913A1"/>
    <w:rsid w:val="00CA7BDD"/>
    <w:rsid w:val="00D229E5"/>
    <w:rsid w:val="00D77A88"/>
    <w:rsid w:val="00F03910"/>
    <w:rsid w:val="00F40885"/>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A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Paragraph">
    <w:name w:val="List Paragraph"/>
    <w:basedOn w:val="Normal"/>
    <w:uiPriority w:val="34"/>
    <w:qFormat/>
    <w:rsid w:val="00006499"/>
    <w:pPr>
      <w:spacing w:after="0" w:line="240" w:lineRule="auto"/>
      <w:ind w:left="720"/>
      <w:contextualSpacing/>
    </w:pPr>
    <w:rPr>
      <w:rFonts w:ascii="Times New Roman" w:hAnsi="Times New Roman"/>
      <w:sz w:val="24"/>
    </w:rPr>
  </w:style>
  <w:style w:type="paragraph" w:styleId="ListBullet">
    <w:name w:val="List Bullet"/>
    <w:basedOn w:val="Normal"/>
    <w:uiPriority w:val="99"/>
    <w:unhideWhenUsed/>
    <w:rsid w:val="00780EEF"/>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772CF-BCA1-4BC9-A967-A565C1133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1294</Characters>
  <Application>Microsoft Office Word</Application>
  <DocSecurity>0</DocSecurity>
  <PresentationFormat/>
  <Lines>10</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2020-12-17T22:08:00Z</dcterms:created>
  <dcterms:modified xsi:type="dcterms:W3CDTF">2020-12-18T03:15:00Z</dcterms:modified>
  <cp:category/>
  <cp:contentStatus/>
  <dc:language/>
  <cp:version/>
</cp:coreProperties>
</file>