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7D" w:rsidRDefault="0000067D" w:rsidP="0000067D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5" DrawAspect="Content" ObjectID="_1692706666" r:id="rId9"/>
        </w:object>
      </w:r>
    </w:p>
    <w:p w:rsidR="0000067D" w:rsidRDefault="0000067D" w:rsidP="0000067D"/>
    <w:p w:rsidR="0000067D" w:rsidRDefault="0000067D" w:rsidP="0000067D"/>
    <w:p w:rsidR="0000067D" w:rsidRDefault="0000067D" w:rsidP="0000067D"/>
    <w:p w:rsidR="0000067D" w:rsidRDefault="0000067D" w:rsidP="0000067D"/>
    <w:p w:rsidR="0000067D" w:rsidRDefault="0000067D" w:rsidP="0000067D"/>
    <w:p w:rsidR="0000067D" w:rsidRDefault="0000067D" w:rsidP="0000067D"/>
    <w:p w:rsidR="00AF46CA" w:rsidRDefault="0000067D" w:rsidP="00AF46CA">
      <w:pPr>
        <w:pStyle w:val="ShortT"/>
      </w:pPr>
      <w:r>
        <w:t>Australian Immunisation Register Amendment (Reporting) Act 2021</w:t>
      </w:r>
    </w:p>
    <w:p w:rsidR="0048364F" w:rsidRPr="00B21E90" w:rsidRDefault="0048364F" w:rsidP="0048364F"/>
    <w:p w:rsidR="00AF46CA" w:rsidRDefault="00AF46CA" w:rsidP="0000067D">
      <w:pPr>
        <w:pStyle w:val="Actno"/>
        <w:spacing w:before="400"/>
      </w:pPr>
      <w:r>
        <w:t>No.</w:t>
      </w:r>
      <w:r w:rsidR="003272C5">
        <w:t xml:space="preserve"> 1</w:t>
      </w:r>
      <w:r>
        <w:t>, 2021</w:t>
      </w:r>
    </w:p>
    <w:p w:rsidR="0048364F" w:rsidRPr="00B21E90" w:rsidRDefault="0048364F" w:rsidP="0048364F"/>
    <w:p w:rsidR="00AF46CA" w:rsidRDefault="00AF46CA" w:rsidP="00AF46CA">
      <w:pPr>
        <w:rPr>
          <w:lang w:eastAsia="en-AU"/>
        </w:rPr>
      </w:pPr>
    </w:p>
    <w:p w:rsidR="0048364F" w:rsidRPr="00B21E90" w:rsidRDefault="0048364F" w:rsidP="0048364F"/>
    <w:p w:rsidR="0048364F" w:rsidRPr="00B21E90" w:rsidRDefault="0048364F" w:rsidP="0048364F"/>
    <w:p w:rsidR="0048364F" w:rsidRPr="00B21E90" w:rsidRDefault="0048364F" w:rsidP="0048364F"/>
    <w:p w:rsidR="0000067D" w:rsidRDefault="0000067D" w:rsidP="0000067D">
      <w:pPr>
        <w:pStyle w:val="LongT"/>
      </w:pPr>
      <w:r>
        <w:t xml:space="preserve">An Act to amend the </w:t>
      </w:r>
      <w:r w:rsidRPr="0000067D">
        <w:rPr>
          <w:i/>
        </w:rPr>
        <w:t>Australian Immunisation Register Act 2015</w:t>
      </w:r>
      <w:r>
        <w:t>, and for related purposes</w:t>
      </w:r>
    </w:p>
    <w:p w:rsidR="0048364F" w:rsidRPr="00B73DA4" w:rsidRDefault="0048364F" w:rsidP="0048364F">
      <w:pPr>
        <w:pStyle w:val="Header"/>
        <w:tabs>
          <w:tab w:val="clear" w:pos="4150"/>
          <w:tab w:val="clear" w:pos="8307"/>
        </w:tabs>
      </w:pPr>
      <w:r w:rsidRPr="00B73DA4">
        <w:rPr>
          <w:rStyle w:val="CharAmSchNo"/>
        </w:rPr>
        <w:t xml:space="preserve"> </w:t>
      </w:r>
      <w:r w:rsidRPr="00B73DA4">
        <w:rPr>
          <w:rStyle w:val="CharAmSchText"/>
        </w:rPr>
        <w:t xml:space="preserve"> </w:t>
      </w:r>
    </w:p>
    <w:p w:rsidR="0048364F" w:rsidRPr="00B73DA4" w:rsidRDefault="0048364F" w:rsidP="0048364F">
      <w:pPr>
        <w:pStyle w:val="Header"/>
        <w:tabs>
          <w:tab w:val="clear" w:pos="4150"/>
          <w:tab w:val="clear" w:pos="8307"/>
        </w:tabs>
      </w:pPr>
      <w:r w:rsidRPr="00B73DA4">
        <w:rPr>
          <w:rStyle w:val="CharAmPartNo"/>
        </w:rPr>
        <w:t xml:space="preserve"> </w:t>
      </w:r>
      <w:r w:rsidRPr="00B73DA4">
        <w:rPr>
          <w:rStyle w:val="CharAmPartText"/>
        </w:rPr>
        <w:t xml:space="preserve"> </w:t>
      </w:r>
    </w:p>
    <w:p w:rsidR="0048364F" w:rsidRPr="00B21E90" w:rsidRDefault="0048364F" w:rsidP="0048364F">
      <w:pPr>
        <w:sectPr w:rsidR="0048364F" w:rsidRPr="00B21E90" w:rsidSect="000006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:rsidR="0048364F" w:rsidRPr="00B21E90" w:rsidRDefault="0048364F" w:rsidP="0048364F">
      <w:pPr>
        <w:outlineLvl w:val="0"/>
        <w:rPr>
          <w:sz w:val="36"/>
        </w:rPr>
      </w:pPr>
      <w:r w:rsidRPr="00B21E90">
        <w:rPr>
          <w:sz w:val="36"/>
        </w:rPr>
        <w:lastRenderedPageBreak/>
        <w:t>Contents</w:t>
      </w:r>
    </w:p>
    <w:bookmarkStart w:id="0" w:name="BKCheck15B_1"/>
    <w:bookmarkEnd w:id="0"/>
    <w:p w:rsidR="003272C5" w:rsidRDefault="003272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3272C5">
        <w:rPr>
          <w:noProof/>
        </w:rPr>
        <w:tab/>
      </w:r>
      <w:r w:rsidRPr="003272C5">
        <w:rPr>
          <w:noProof/>
        </w:rPr>
        <w:fldChar w:fldCharType="begin"/>
      </w:r>
      <w:r w:rsidRPr="003272C5">
        <w:rPr>
          <w:noProof/>
        </w:rPr>
        <w:instrText xml:space="preserve"> PAGEREF _Toc64375723 \h </w:instrText>
      </w:r>
      <w:r w:rsidRPr="003272C5">
        <w:rPr>
          <w:noProof/>
        </w:rPr>
      </w:r>
      <w:r w:rsidRPr="003272C5">
        <w:rPr>
          <w:noProof/>
        </w:rPr>
        <w:fldChar w:fldCharType="separate"/>
      </w:r>
      <w:r w:rsidR="003E797D">
        <w:rPr>
          <w:noProof/>
        </w:rPr>
        <w:t>1</w:t>
      </w:r>
      <w:r w:rsidRPr="003272C5">
        <w:rPr>
          <w:noProof/>
        </w:rPr>
        <w:fldChar w:fldCharType="end"/>
      </w:r>
    </w:p>
    <w:p w:rsidR="003272C5" w:rsidRDefault="003272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272C5">
        <w:rPr>
          <w:noProof/>
        </w:rPr>
        <w:tab/>
      </w:r>
      <w:r w:rsidRPr="003272C5">
        <w:rPr>
          <w:noProof/>
        </w:rPr>
        <w:fldChar w:fldCharType="begin"/>
      </w:r>
      <w:r w:rsidRPr="003272C5">
        <w:rPr>
          <w:noProof/>
        </w:rPr>
        <w:instrText xml:space="preserve"> PAGEREF _Toc64375724 \h </w:instrText>
      </w:r>
      <w:r w:rsidRPr="003272C5">
        <w:rPr>
          <w:noProof/>
        </w:rPr>
      </w:r>
      <w:r w:rsidRPr="003272C5">
        <w:rPr>
          <w:noProof/>
        </w:rPr>
        <w:fldChar w:fldCharType="separate"/>
      </w:r>
      <w:r w:rsidR="003E797D">
        <w:rPr>
          <w:noProof/>
        </w:rPr>
        <w:t>2</w:t>
      </w:r>
      <w:r w:rsidRPr="003272C5">
        <w:rPr>
          <w:noProof/>
        </w:rPr>
        <w:fldChar w:fldCharType="end"/>
      </w:r>
    </w:p>
    <w:p w:rsidR="003272C5" w:rsidRDefault="003272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3272C5">
        <w:rPr>
          <w:noProof/>
        </w:rPr>
        <w:tab/>
      </w:r>
      <w:r w:rsidRPr="003272C5">
        <w:rPr>
          <w:noProof/>
        </w:rPr>
        <w:fldChar w:fldCharType="begin"/>
      </w:r>
      <w:r w:rsidRPr="003272C5">
        <w:rPr>
          <w:noProof/>
        </w:rPr>
        <w:instrText xml:space="preserve"> PAGEREF _Toc64375725 \h </w:instrText>
      </w:r>
      <w:r w:rsidRPr="003272C5">
        <w:rPr>
          <w:noProof/>
        </w:rPr>
      </w:r>
      <w:r w:rsidRPr="003272C5">
        <w:rPr>
          <w:noProof/>
        </w:rPr>
        <w:fldChar w:fldCharType="separate"/>
      </w:r>
      <w:r w:rsidR="003E797D">
        <w:rPr>
          <w:noProof/>
        </w:rPr>
        <w:t>2</w:t>
      </w:r>
      <w:r w:rsidRPr="003272C5">
        <w:rPr>
          <w:noProof/>
        </w:rPr>
        <w:fldChar w:fldCharType="end"/>
      </w:r>
    </w:p>
    <w:p w:rsidR="003272C5" w:rsidRDefault="003272C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272C5">
        <w:rPr>
          <w:b w:val="0"/>
          <w:noProof/>
          <w:sz w:val="18"/>
        </w:rPr>
        <w:tab/>
      </w:r>
      <w:r w:rsidRPr="003272C5">
        <w:rPr>
          <w:b w:val="0"/>
          <w:noProof/>
          <w:sz w:val="18"/>
        </w:rPr>
        <w:fldChar w:fldCharType="begin"/>
      </w:r>
      <w:r w:rsidRPr="003272C5">
        <w:rPr>
          <w:b w:val="0"/>
          <w:noProof/>
          <w:sz w:val="18"/>
        </w:rPr>
        <w:instrText xml:space="preserve"> PAGEREF _Toc64375726 \h </w:instrText>
      </w:r>
      <w:r w:rsidRPr="003272C5">
        <w:rPr>
          <w:b w:val="0"/>
          <w:noProof/>
          <w:sz w:val="18"/>
        </w:rPr>
      </w:r>
      <w:r w:rsidRPr="003272C5">
        <w:rPr>
          <w:b w:val="0"/>
          <w:noProof/>
          <w:sz w:val="18"/>
        </w:rPr>
        <w:fldChar w:fldCharType="separate"/>
      </w:r>
      <w:r w:rsidR="003E797D">
        <w:rPr>
          <w:b w:val="0"/>
          <w:noProof/>
          <w:sz w:val="18"/>
        </w:rPr>
        <w:t>4</w:t>
      </w:r>
      <w:r w:rsidRPr="003272C5">
        <w:rPr>
          <w:b w:val="0"/>
          <w:noProof/>
          <w:sz w:val="18"/>
        </w:rPr>
        <w:fldChar w:fldCharType="end"/>
      </w:r>
    </w:p>
    <w:p w:rsidR="003272C5" w:rsidRDefault="003272C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3272C5">
        <w:rPr>
          <w:noProof/>
          <w:sz w:val="18"/>
        </w:rPr>
        <w:tab/>
      </w:r>
      <w:r w:rsidRPr="003272C5">
        <w:rPr>
          <w:noProof/>
          <w:sz w:val="18"/>
        </w:rPr>
        <w:fldChar w:fldCharType="begin"/>
      </w:r>
      <w:r w:rsidRPr="003272C5">
        <w:rPr>
          <w:noProof/>
          <w:sz w:val="18"/>
        </w:rPr>
        <w:instrText xml:space="preserve"> PAGEREF _Toc64375727 \h </w:instrText>
      </w:r>
      <w:r w:rsidRPr="003272C5">
        <w:rPr>
          <w:noProof/>
          <w:sz w:val="18"/>
        </w:rPr>
      </w:r>
      <w:r w:rsidRPr="003272C5">
        <w:rPr>
          <w:noProof/>
          <w:sz w:val="18"/>
        </w:rPr>
        <w:fldChar w:fldCharType="separate"/>
      </w:r>
      <w:r w:rsidR="003E797D">
        <w:rPr>
          <w:noProof/>
          <w:sz w:val="18"/>
        </w:rPr>
        <w:t>4</w:t>
      </w:r>
      <w:r w:rsidRPr="003272C5">
        <w:rPr>
          <w:noProof/>
          <w:sz w:val="18"/>
        </w:rPr>
        <w:fldChar w:fldCharType="end"/>
      </w:r>
    </w:p>
    <w:p w:rsidR="003272C5" w:rsidRDefault="003272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Immunisation Register Act 2015</w:t>
      </w:r>
      <w:r w:rsidRPr="003272C5">
        <w:rPr>
          <w:i w:val="0"/>
          <w:noProof/>
          <w:sz w:val="18"/>
        </w:rPr>
        <w:tab/>
      </w:r>
      <w:r w:rsidRPr="003272C5">
        <w:rPr>
          <w:i w:val="0"/>
          <w:noProof/>
          <w:sz w:val="18"/>
        </w:rPr>
        <w:fldChar w:fldCharType="begin"/>
      </w:r>
      <w:r w:rsidRPr="003272C5">
        <w:rPr>
          <w:i w:val="0"/>
          <w:noProof/>
          <w:sz w:val="18"/>
        </w:rPr>
        <w:instrText xml:space="preserve"> PAGEREF _Toc64375728 \h </w:instrText>
      </w:r>
      <w:r w:rsidRPr="003272C5">
        <w:rPr>
          <w:i w:val="0"/>
          <w:noProof/>
          <w:sz w:val="18"/>
        </w:rPr>
      </w:r>
      <w:r w:rsidRPr="003272C5">
        <w:rPr>
          <w:i w:val="0"/>
          <w:noProof/>
          <w:sz w:val="18"/>
        </w:rPr>
        <w:fldChar w:fldCharType="separate"/>
      </w:r>
      <w:r w:rsidR="003E797D">
        <w:rPr>
          <w:i w:val="0"/>
          <w:noProof/>
          <w:sz w:val="18"/>
        </w:rPr>
        <w:t>4</w:t>
      </w:r>
      <w:r w:rsidRPr="003272C5">
        <w:rPr>
          <w:i w:val="0"/>
          <w:noProof/>
          <w:sz w:val="18"/>
        </w:rPr>
        <w:fldChar w:fldCharType="end"/>
      </w:r>
    </w:p>
    <w:p w:rsidR="003272C5" w:rsidRDefault="003272C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2—Contingent amendments</w:t>
      </w:r>
      <w:r w:rsidRPr="003272C5">
        <w:rPr>
          <w:noProof/>
          <w:sz w:val="18"/>
        </w:rPr>
        <w:tab/>
      </w:r>
      <w:r w:rsidRPr="003272C5">
        <w:rPr>
          <w:noProof/>
          <w:sz w:val="18"/>
        </w:rPr>
        <w:fldChar w:fldCharType="begin"/>
      </w:r>
      <w:r w:rsidRPr="003272C5">
        <w:rPr>
          <w:noProof/>
          <w:sz w:val="18"/>
        </w:rPr>
        <w:instrText xml:space="preserve"> PAGEREF _Toc64375735 \h </w:instrText>
      </w:r>
      <w:r w:rsidRPr="003272C5">
        <w:rPr>
          <w:noProof/>
          <w:sz w:val="18"/>
        </w:rPr>
      </w:r>
      <w:r w:rsidRPr="003272C5">
        <w:rPr>
          <w:noProof/>
          <w:sz w:val="18"/>
        </w:rPr>
        <w:fldChar w:fldCharType="separate"/>
      </w:r>
      <w:r w:rsidR="003E797D">
        <w:rPr>
          <w:noProof/>
          <w:sz w:val="18"/>
        </w:rPr>
        <w:t>10</w:t>
      </w:r>
      <w:r w:rsidRPr="003272C5">
        <w:rPr>
          <w:noProof/>
          <w:sz w:val="18"/>
        </w:rPr>
        <w:fldChar w:fldCharType="end"/>
      </w:r>
    </w:p>
    <w:p w:rsidR="003272C5" w:rsidRDefault="003272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Immunisation Register Act 2015</w:t>
      </w:r>
      <w:r w:rsidRPr="003272C5">
        <w:rPr>
          <w:i w:val="0"/>
          <w:noProof/>
          <w:sz w:val="18"/>
        </w:rPr>
        <w:tab/>
      </w:r>
      <w:r w:rsidRPr="003272C5">
        <w:rPr>
          <w:i w:val="0"/>
          <w:noProof/>
          <w:sz w:val="18"/>
        </w:rPr>
        <w:fldChar w:fldCharType="begin"/>
      </w:r>
      <w:r w:rsidRPr="003272C5">
        <w:rPr>
          <w:i w:val="0"/>
          <w:noProof/>
          <w:sz w:val="18"/>
        </w:rPr>
        <w:instrText xml:space="preserve"> PAGEREF _Toc64375736 \h </w:instrText>
      </w:r>
      <w:r w:rsidRPr="003272C5">
        <w:rPr>
          <w:i w:val="0"/>
          <w:noProof/>
          <w:sz w:val="18"/>
        </w:rPr>
      </w:r>
      <w:r w:rsidRPr="003272C5">
        <w:rPr>
          <w:i w:val="0"/>
          <w:noProof/>
          <w:sz w:val="18"/>
        </w:rPr>
        <w:fldChar w:fldCharType="separate"/>
      </w:r>
      <w:r w:rsidR="003E797D">
        <w:rPr>
          <w:i w:val="0"/>
          <w:noProof/>
          <w:sz w:val="18"/>
        </w:rPr>
        <w:t>10</w:t>
      </w:r>
      <w:r w:rsidRPr="003272C5">
        <w:rPr>
          <w:i w:val="0"/>
          <w:noProof/>
          <w:sz w:val="18"/>
        </w:rPr>
        <w:fldChar w:fldCharType="end"/>
      </w:r>
    </w:p>
    <w:p w:rsidR="00060FF9" w:rsidRPr="00B21E90" w:rsidRDefault="003272C5" w:rsidP="0048364F">
      <w:r>
        <w:fldChar w:fldCharType="end"/>
      </w:r>
    </w:p>
    <w:p w:rsidR="00FE7F93" w:rsidRPr="00B21E90" w:rsidRDefault="00FE7F93" w:rsidP="0048364F">
      <w:pPr>
        <w:sectPr w:rsidR="00FE7F93" w:rsidRPr="00B21E90" w:rsidSect="0000067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:rsidR="0000067D" w:rsidRDefault="0000067D">
      <w:r>
        <w:object w:dxaOrig="2146" w:dyaOrig="1561"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92706667" r:id="rId21"/>
        </w:object>
      </w:r>
    </w:p>
    <w:p w:rsidR="0000067D" w:rsidRDefault="0000067D"/>
    <w:p w:rsidR="0000067D" w:rsidRDefault="0000067D" w:rsidP="000178F8">
      <w:pPr>
        <w:spacing w:line="240" w:lineRule="auto"/>
      </w:pPr>
    </w:p>
    <w:p w:rsidR="0000067D" w:rsidRDefault="00F33846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3E797D">
        <w:rPr>
          <w:noProof/>
        </w:rPr>
        <w:t>Australian Immunisation Register Amendment (Reporting) Act 2021</w:t>
      </w:r>
      <w:r>
        <w:rPr>
          <w:noProof/>
        </w:rPr>
        <w:fldChar w:fldCharType="end"/>
      </w:r>
    </w:p>
    <w:p w:rsidR="0000067D" w:rsidRDefault="00F33846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3E797D">
        <w:rPr>
          <w:noProof/>
        </w:rPr>
        <w:t>No. 1, 2021</w:t>
      </w:r>
      <w:r>
        <w:rPr>
          <w:noProof/>
        </w:rPr>
        <w:fldChar w:fldCharType="end"/>
      </w:r>
    </w:p>
    <w:p w:rsidR="0000067D" w:rsidRPr="009A0728" w:rsidRDefault="0000067D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00067D" w:rsidRPr="009A0728" w:rsidRDefault="0000067D" w:rsidP="009A0728">
      <w:pPr>
        <w:spacing w:line="40" w:lineRule="exact"/>
        <w:rPr>
          <w:rFonts w:eastAsia="Calibri"/>
          <w:b/>
          <w:sz w:val="28"/>
        </w:rPr>
      </w:pPr>
    </w:p>
    <w:p w:rsidR="0000067D" w:rsidRPr="009A0728" w:rsidRDefault="0000067D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00067D" w:rsidRDefault="0000067D" w:rsidP="0000067D">
      <w:pPr>
        <w:pStyle w:val="Page1"/>
        <w:spacing w:before="400"/>
      </w:pPr>
      <w:r>
        <w:t xml:space="preserve">An Act to amend the </w:t>
      </w:r>
      <w:r w:rsidRPr="0000067D">
        <w:rPr>
          <w:i/>
        </w:rPr>
        <w:t>Australian Immunisation Register Act 2015</w:t>
      </w:r>
      <w:r>
        <w:t>, and for related purposes</w:t>
      </w:r>
    </w:p>
    <w:p w:rsidR="003272C5" w:rsidRDefault="003272C5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15 February 2021</w:t>
      </w:r>
      <w:r>
        <w:rPr>
          <w:sz w:val="24"/>
        </w:rPr>
        <w:t>]</w:t>
      </w:r>
    </w:p>
    <w:p w:rsidR="0048364F" w:rsidRPr="00B21E90" w:rsidRDefault="0048364F" w:rsidP="00B21E90">
      <w:pPr>
        <w:spacing w:before="240" w:line="240" w:lineRule="auto"/>
        <w:rPr>
          <w:sz w:val="32"/>
        </w:rPr>
      </w:pPr>
      <w:r w:rsidRPr="00B21E90">
        <w:rPr>
          <w:sz w:val="32"/>
        </w:rPr>
        <w:t>The Parliament of Australia enacts:</w:t>
      </w:r>
    </w:p>
    <w:p w:rsidR="0048364F" w:rsidRPr="00B21E90" w:rsidRDefault="0048364F" w:rsidP="00B21E90">
      <w:pPr>
        <w:pStyle w:val="ActHead5"/>
      </w:pPr>
      <w:bookmarkStart w:id="1" w:name="_Toc64375723"/>
      <w:r w:rsidRPr="00B73DA4">
        <w:rPr>
          <w:rStyle w:val="CharSectno"/>
        </w:rPr>
        <w:t>1</w:t>
      </w:r>
      <w:r w:rsidRPr="00B21E90">
        <w:t xml:space="preserve">  Short title</w:t>
      </w:r>
      <w:bookmarkEnd w:id="1"/>
    </w:p>
    <w:p w:rsidR="00AF46CA" w:rsidRPr="00AF46CA" w:rsidRDefault="00AF46CA" w:rsidP="00AF46CA">
      <w:pPr>
        <w:pStyle w:val="subsection"/>
        <w:rPr>
          <w:i/>
        </w:rPr>
      </w:pPr>
      <w:r>
        <w:tab/>
      </w:r>
      <w:r>
        <w:tab/>
        <w:t xml:space="preserve">This Act is the </w:t>
      </w:r>
      <w:r w:rsidRPr="00AF46CA">
        <w:rPr>
          <w:i/>
        </w:rPr>
        <w:t>Australian Immunisation Register Amendment (Reporting) Act 2021.</w:t>
      </w:r>
    </w:p>
    <w:p w:rsidR="0048364F" w:rsidRPr="00B21E90" w:rsidRDefault="0048364F" w:rsidP="00B21E90">
      <w:pPr>
        <w:pStyle w:val="ActHead5"/>
      </w:pPr>
      <w:bookmarkStart w:id="2" w:name="_Toc64375724"/>
      <w:r w:rsidRPr="00B73DA4">
        <w:rPr>
          <w:rStyle w:val="CharSectno"/>
        </w:rPr>
        <w:lastRenderedPageBreak/>
        <w:t>2</w:t>
      </w:r>
      <w:r w:rsidRPr="00B21E90">
        <w:t xml:space="preserve">  Commencement</w:t>
      </w:r>
      <w:bookmarkEnd w:id="2"/>
    </w:p>
    <w:p w:rsidR="00221D87" w:rsidRPr="00B21E90" w:rsidRDefault="00221D87" w:rsidP="00B21E90">
      <w:pPr>
        <w:pStyle w:val="subsection"/>
      </w:pPr>
      <w:r w:rsidRPr="00B21E90">
        <w:tab/>
        <w:t>(1)</w:t>
      </w:r>
      <w:r w:rsidRPr="00B21E90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221D87" w:rsidRPr="00B21E90" w:rsidRDefault="00221D87" w:rsidP="00B21E9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21D87" w:rsidRPr="00B21E90" w:rsidTr="00221D8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Heading"/>
            </w:pPr>
            <w:r w:rsidRPr="00B21E90">
              <w:t>Commencement information</w:t>
            </w:r>
          </w:p>
        </w:tc>
      </w:tr>
      <w:tr w:rsidR="00221D87" w:rsidRPr="00B21E90" w:rsidTr="00221D8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Heading"/>
            </w:pPr>
            <w:r w:rsidRPr="00B21E90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Heading"/>
            </w:pPr>
            <w:r w:rsidRPr="00B21E90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Heading"/>
            </w:pPr>
            <w:r w:rsidRPr="00B21E90">
              <w:t>Column 3</w:t>
            </w:r>
          </w:p>
        </w:tc>
      </w:tr>
      <w:tr w:rsidR="00221D87" w:rsidRPr="00B21E90" w:rsidTr="00221D8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Heading"/>
            </w:pPr>
            <w:r w:rsidRPr="00B21E90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Heading"/>
            </w:pPr>
            <w:r w:rsidRPr="00B21E90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Heading"/>
            </w:pPr>
            <w:r w:rsidRPr="00B21E90">
              <w:t>Date/Details</w:t>
            </w:r>
          </w:p>
        </w:tc>
      </w:tr>
      <w:tr w:rsidR="00221D87" w:rsidRPr="00B21E90" w:rsidTr="00221D87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text"/>
            </w:pPr>
            <w:r w:rsidRPr="00B21E90">
              <w:t>1.  Sections 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text"/>
            </w:pPr>
            <w:r w:rsidRPr="00B21E90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221D87" w:rsidRPr="00B21E90" w:rsidRDefault="003272C5" w:rsidP="00B21E90">
            <w:pPr>
              <w:pStyle w:val="Tabletext"/>
            </w:pPr>
            <w:r>
              <w:t>15 February 2021</w:t>
            </w:r>
          </w:p>
        </w:tc>
      </w:tr>
      <w:tr w:rsidR="00221D87" w:rsidRPr="00B21E90" w:rsidTr="00221D87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text"/>
            </w:pPr>
            <w:r w:rsidRPr="00B21E90">
              <w:t xml:space="preserve">2.  </w:t>
            </w:r>
            <w:r w:rsidR="00400FAE" w:rsidRPr="00B21E90">
              <w:t>Schedule 1</w:t>
            </w:r>
            <w:r w:rsidRPr="00B21E90">
              <w:t xml:space="preserve">, </w:t>
            </w:r>
            <w:r w:rsidR="00400FAE" w:rsidRPr="00B21E90">
              <w:t>Part 1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:rsidR="00221D87" w:rsidRPr="00B21E90" w:rsidRDefault="00221D87" w:rsidP="00B21E90">
            <w:pPr>
              <w:pStyle w:val="Tabletext"/>
            </w:pPr>
            <w:r w:rsidRPr="00B21E90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:rsidR="00221D87" w:rsidRPr="00B21E90" w:rsidRDefault="003272C5" w:rsidP="00B21E90">
            <w:pPr>
              <w:pStyle w:val="Tabletext"/>
            </w:pPr>
            <w:r>
              <w:t>16 February 2021</w:t>
            </w:r>
          </w:p>
        </w:tc>
      </w:tr>
      <w:tr w:rsidR="00221D87" w:rsidRPr="00B21E90" w:rsidTr="00221D87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21D87" w:rsidRPr="00B21E90" w:rsidRDefault="00221D87" w:rsidP="00B21E90">
            <w:pPr>
              <w:pStyle w:val="Tabletext"/>
            </w:pPr>
            <w:r w:rsidRPr="00B21E90">
              <w:t xml:space="preserve">3.  </w:t>
            </w:r>
            <w:r w:rsidR="00400FAE" w:rsidRPr="00B21E90">
              <w:t>Schedule 1</w:t>
            </w:r>
            <w:r w:rsidRPr="00B21E90">
              <w:t xml:space="preserve">, </w:t>
            </w:r>
            <w:r w:rsidR="00400FAE" w:rsidRPr="00B21E90">
              <w:t>Part 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1D87" w:rsidRPr="00B21E90" w:rsidRDefault="00221D87" w:rsidP="00B21E90">
            <w:pPr>
              <w:pStyle w:val="Tabletext"/>
            </w:pPr>
            <w:r w:rsidRPr="00B21E90">
              <w:t>The later of:</w:t>
            </w:r>
          </w:p>
          <w:p w:rsidR="00221D87" w:rsidRPr="00B21E90" w:rsidRDefault="00221D87" w:rsidP="00B21E90">
            <w:pPr>
              <w:pStyle w:val="Tablea"/>
            </w:pPr>
            <w:r w:rsidRPr="00B21E90">
              <w:t xml:space="preserve">(a) immediately after the commencement of the provisions covered by table </w:t>
            </w:r>
            <w:r w:rsidR="00400FAE" w:rsidRPr="00B21E90">
              <w:t>item 2</w:t>
            </w:r>
            <w:r w:rsidRPr="00B21E90">
              <w:t>; and</w:t>
            </w:r>
          </w:p>
          <w:p w:rsidR="00221D87" w:rsidRPr="00B21E90" w:rsidRDefault="00221D87" w:rsidP="00B21E90">
            <w:pPr>
              <w:pStyle w:val="Tablea"/>
            </w:pPr>
            <w:r w:rsidRPr="00B21E90">
              <w:t xml:space="preserve">(b) immediately after the commencement of the </w:t>
            </w:r>
            <w:r w:rsidRPr="00B21E90">
              <w:rPr>
                <w:i/>
              </w:rPr>
              <w:t>Federal Circuit and Family Court of Australia Act 202</w:t>
            </w:r>
            <w:bookmarkStart w:id="3" w:name="BK_S3P2L14C19"/>
            <w:bookmarkEnd w:id="3"/>
            <w:r w:rsidR="008E1397">
              <w:rPr>
                <w:i/>
              </w:rPr>
              <w:t>1</w:t>
            </w:r>
            <w:r w:rsidRPr="00B21E90">
              <w:t>.</w:t>
            </w:r>
          </w:p>
          <w:p w:rsidR="00221D87" w:rsidRPr="00B21E90" w:rsidRDefault="00B90D3E" w:rsidP="00B21E90">
            <w:pPr>
              <w:pStyle w:val="Tabletext"/>
            </w:pPr>
            <w:r w:rsidRPr="00B21E90">
              <w:t>However, the provisions do not commence at all if the event mentioned in paragraph (b) does not occur.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33846" w:rsidRDefault="00F33846" w:rsidP="00F3384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1 September 2021</w:t>
            </w:r>
          </w:p>
          <w:p w:rsidR="00221D87" w:rsidRPr="00B21E90" w:rsidRDefault="00F33846" w:rsidP="00F33846">
            <w:pPr>
              <w:pStyle w:val="Tabletext"/>
            </w:pPr>
            <w:r>
              <w:rPr>
                <w:lang w:eastAsia="en-US"/>
              </w:rPr>
              <w:t>(paragraph (b) applies)</w:t>
            </w:r>
            <w:bookmarkStart w:id="4" w:name="_GoBack"/>
            <w:bookmarkEnd w:id="4"/>
          </w:p>
        </w:tc>
      </w:tr>
    </w:tbl>
    <w:p w:rsidR="00221D87" w:rsidRPr="00B21E90" w:rsidRDefault="00221D87" w:rsidP="00B21E90">
      <w:pPr>
        <w:pStyle w:val="notetext"/>
      </w:pPr>
      <w:r w:rsidRPr="00B21E90">
        <w:rPr>
          <w:snapToGrid w:val="0"/>
          <w:lang w:eastAsia="en-US"/>
        </w:rPr>
        <w:t>Note:</w:t>
      </w:r>
      <w:r w:rsidRPr="00B21E90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221D87" w:rsidRPr="00B21E90" w:rsidRDefault="00221D87" w:rsidP="00B21E90">
      <w:pPr>
        <w:pStyle w:val="subsection"/>
      </w:pPr>
      <w:r w:rsidRPr="00B21E90">
        <w:tab/>
        <w:t>(2)</w:t>
      </w:r>
      <w:r w:rsidRPr="00B21E90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B21E90" w:rsidRDefault="0048364F" w:rsidP="00B21E90">
      <w:pPr>
        <w:pStyle w:val="ActHead5"/>
      </w:pPr>
      <w:bookmarkStart w:id="5" w:name="_Toc64375725"/>
      <w:r w:rsidRPr="00B73DA4">
        <w:rPr>
          <w:rStyle w:val="CharSectno"/>
        </w:rPr>
        <w:t>3</w:t>
      </w:r>
      <w:r w:rsidRPr="00B21E90">
        <w:t xml:space="preserve">  Schedules</w:t>
      </w:r>
      <w:bookmarkEnd w:id="5"/>
    </w:p>
    <w:p w:rsidR="0048364F" w:rsidRPr="00B21E90" w:rsidRDefault="0048364F" w:rsidP="00B21E90">
      <w:pPr>
        <w:pStyle w:val="subsection"/>
      </w:pPr>
      <w:r w:rsidRPr="00B21E90">
        <w:tab/>
      </w:r>
      <w:r w:rsidRPr="00B21E90">
        <w:tab/>
      </w:r>
      <w:r w:rsidR="00202618" w:rsidRPr="00B21E90">
        <w:t xml:space="preserve">Legislation that is specified in a Schedule to this Act is amended or repealed as set out in the applicable items in the Schedule </w:t>
      </w:r>
      <w:r w:rsidR="00202618" w:rsidRPr="00B21E90">
        <w:lastRenderedPageBreak/>
        <w:t>concerned, and any other item in a Schedule to this Act has effect according to its terms.</w:t>
      </w:r>
    </w:p>
    <w:p w:rsidR="008D3E94" w:rsidRPr="00B21E90" w:rsidRDefault="00400FAE" w:rsidP="00B21E90">
      <w:pPr>
        <w:pStyle w:val="ActHead6"/>
        <w:pageBreakBefore/>
      </w:pPr>
      <w:bookmarkStart w:id="6" w:name="_Toc64375726"/>
      <w:bookmarkStart w:id="7" w:name="opcAmSched"/>
      <w:bookmarkStart w:id="8" w:name="opcCurrentFind"/>
      <w:r w:rsidRPr="00B73DA4">
        <w:rPr>
          <w:rStyle w:val="CharAmSchNo"/>
        </w:rPr>
        <w:lastRenderedPageBreak/>
        <w:t>Schedule 1</w:t>
      </w:r>
      <w:r w:rsidR="0048364F" w:rsidRPr="00B21E90">
        <w:t>—</w:t>
      </w:r>
      <w:r w:rsidR="00221D87" w:rsidRPr="00B73DA4">
        <w:rPr>
          <w:rStyle w:val="CharAmSchText"/>
        </w:rPr>
        <w:t>A</w:t>
      </w:r>
      <w:r w:rsidR="007279CF" w:rsidRPr="00B73DA4">
        <w:rPr>
          <w:rStyle w:val="CharAmSchText"/>
        </w:rPr>
        <w:t>mendments</w:t>
      </w:r>
      <w:bookmarkEnd w:id="6"/>
    </w:p>
    <w:p w:rsidR="00221D87" w:rsidRPr="00B21E90" w:rsidRDefault="00400FAE" w:rsidP="00B21E90">
      <w:pPr>
        <w:pStyle w:val="ActHead7"/>
      </w:pPr>
      <w:bookmarkStart w:id="9" w:name="_Toc64375727"/>
      <w:bookmarkEnd w:id="7"/>
      <w:bookmarkEnd w:id="8"/>
      <w:r w:rsidRPr="00B73DA4">
        <w:rPr>
          <w:rStyle w:val="CharAmPartNo"/>
        </w:rPr>
        <w:t>Part 1</w:t>
      </w:r>
      <w:r w:rsidR="00221D87" w:rsidRPr="00B21E90">
        <w:t>—</w:t>
      </w:r>
      <w:r w:rsidR="00221D87" w:rsidRPr="00B73DA4">
        <w:rPr>
          <w:rStyle w:val="CharAmPartText"/>
        </w:rPr>
        <w:t>Main amendments</w:t>
      </w:r>
      <w:bookmarkEnd w:id="9"/>
    </w:p>
    <w:p w:rsidR="007279CF" w:rsidRPr="00B21E90" w:rsidRDefault="007279CF" w:rsidP="00B21E90">
      <w:pPr>
        <w:pStyle w:val="ActHead9"/>
        <w:rPr>
          <w:i w:val="0"/>
        </w:rPr>
      </w:pPr>
      <w:bookmarkStart w:id="10" w:name="_Toc64375728"/>
      <w:r w:rsidRPr="00B21E90">
        <w:t>Australian Immunisation Register Act 2015</w:t>
      </w:r>
      <w:bookmarkEnd w:id="10"/>
    </w:p>
    <w:p w:rsidR="00F07293" w:rsidRPr="00B21E90" w:rsidRDefault="00C824DC" w:rsidP="00B21E90">
      <w:pPr>
        <w:pStyle w:val="ItemHead"/>
      </w:pPr>
      <w:r w:rsidRPr="00B21E90">
        <w:t>1</w:t>
      </w:r>
      <w:r w:rsidR="00F07293" w:rsidRPr="00B21E90">
        <w:t xml:space="preserve">  </w:t>
      </w:r>
      <w:r w:rsidR="00400FAE" w:rsidRPr="00B21E90">
        <w:t>Section 4</w:t>
      </w:r>
    </w:p>
    <w:p w:rsidR="00F07293" w:rsidRPr="00B21E90" w:rsidRDefault="00F07293" w:rsidP="00B21E90">
      <w:pPr>
        <w:pStyle w:val="Item"/>
      </w:pPr>
      <w:r w:rsidRPr="00B21E90">
        <w:t>Insert:</w:t>
      </w:r>
    </w:p>
    <w:p w:rsidR="00F07293" w:rsidRPr="00B21E90" w:rsidRDefault="00F07293" w:rsidP="00B21E90">
      <w:pPr>
        <w:pStyle w:val="Definition"/>
      </w:pPr>
      <w:r w:rsidRPr="00B21E90">
        <w:rPr>
          <w:b/>
          <w:i/>
        </w:rPr>
        <w:t>civil penalty provision</w:t>
      </w:r>
      <w:r w:rsidRPr="00B21E90">
        <w:t xml:space="preserve"> has the same meaning as in the Regulatory Powers Act.</w:t>
      </w:r>
    </w:p>
    <w:p w:rsidR="00AE425E" w:rsidRPr="00B21E90" w:rsidRDefault="004B6AF3" w:rsidP="00B21E90">
      <w:pPr>
        <w:pStyle w:val="Definition"/>
      </w:pPr>
      <w:r w:rsidRPr="00B21E90">
        <w:rPr>
          <w:b/>
          <w:i/>
        </w:rPr>
        <w:t>p</w:t>
      </w:r>
      <w:r w:rsidR="00C40A37" w:rsidRPr="00B21E90">
        <w:rPr>
          <w:b/>
          <w:i/>
        </w:rPr>
        <w:t>rovider</w:t>
      </w:r>
      <w:r w:rsidRPr="00B21E90">
        <w:rPr>
          <w:b/>
          <w:i/>
        </w:rPr>
        <w:t xml:space="preserve"> identi</w:t>
      </w:r>
      <w:r w:rsidR="00FA070E" w:rsidRPr="00B21E90">
        <w:rPr>
          <w:b/>
          <w:i/>
        </w:rPr>
        <w:t>fi</w:t>
      </w:r>
      <w:r w:rsidR="00AE425E" w:rsidRPr="00B21E90">
        <w:rPr>
          <w:b/>
          <w:i/>
        </w:rPr>
        <w:t>cation</w:t>
      </w:r>
      <w:r w:rsidR="00C40A37" w:rsidRPr="00B21E90">
        <w:rPr>
          <w:b/>
          <w:i/>
        </w:rPr>
        <w:t xml:space="preserve"> information</w:t>
      </w:r>
      <w:r w:rsidR="00AE425E" w:rsidRPr="00B21E90">
        <w:t xml:space="preserve"> has the meaning given by </w:t>
      </w:r>
      <w:r w:rsidR="00A11023" w:rsidRPr="00B21E90">
        <w:t>section 5</w:t>
      </w:r>
      <w:r w:rsidR="00AE425E" w:rsidRPr="00B21E90">
        <w:t>A.</w:t>
      </w:r>
    </w:p>
    <w:p w:rsidR="008E20E8" w:rsidRPr="00B21E90" w:rsidRDefault="008E20E8" w:rsidP="00B21E90">
      <w:pPr>
        <w:pStyle w:val="Definition"/>
      </w:pPr>
      <w:r w:rsidRPr="00B21E90">
        <w:rPr>
          <w:b/>
          <w:i/>
        </w:rPr>
        <w:t>Regulatory Powers Act</w:t>
      </w:r>
      <w:r w:rsidRPr="00B21E90">
        <w:t xml:space="preserve"> means the </w:t>
      </w:r>
      <w:r w:rsidRPr="00B21E90">
        <w:rPr>
          <w:i/>
        </w:rPr>
        <w:t>Regulatory Powers (Standard Provisions) Act 2014</w:t>
      </w:r>
      <w:r w:rsidRPr="00B21E90">
        <w:t>.</w:t>
      </w:r>
    </w:p>
    <w:p w:rsidR="00F67388" w:rsidRPr="00B21E90" w:rsidRDefault="00F67388" w:rsidP="00B21E90">
      <w:pPr>
        <w:pStyle w:val="Definition"/>
      </w:pPr>
      <w:r w:rsidRPr="00B21E90">
        <w:rPr>
          <w:b/>
          <w:i/>
        </w:rPr>
        <w:t>Secretary</w:t>
      </w:r>
      <w:r w:rsidRPr="00B21E90">
        <w:t xml:space="preserve"> means the Secretary of the Department.</w:t>
      </w:r>
    </w:p>
    <w:p w:rsidR="00AE425E" w:rsidRPr="00B21E90" w:rsidRDefault="00C824DC" w:rsidP="00B21E90">
      <w:pPr>
        <w:pStyle w:val="ItemHead"/>
      </w:pPr>
      <w:r w:rsidRPr="00B21E90">
        <w:t>2</w:t>
      </w:r>
      <w:r w:rsidR="00AE425E" w:rsidRPr="00B21E90">
        <w:t xml:space="preserve">  After </w:t>
      </w:r>
      <w:r w:rsidR="00A11023" w:rsidRPr="00B21E90">
        <w:t>section 5</w:t>
      </w:r>
    </w:p>
    <w:p w:rsidR="00AE425E" w:rsidRPr="00B21E90" w:rsidRDefault="00AE425E" w:rsidP="00B21E90">
      <w:pPr>
        <w:pStyle w:val="Item"/>
      </w:pPr>
      <w:r w:rsidRPr="00B21E90">
        <w:t>Insert:</w:t>
      </w:r>
    </w:p>
    <w:p w:rsidR="00AE425E" w:rsidRPr="00B21E90" w:rsidRDefault="00AE425E" w:rsidP="00B21E90">
      <w:pPr>
        <w:pStyle w:val="ActHead5"/>
      </w:pPr>
      <w:bookmarkStart w:id="11" w:name="_Toc64375729"/>
      <w:r w:rsidRPr="00B73DA4">
        <w:rPr>
          <w:rStyle w:val="CharSectno"/>
        </w:rPr>
        <w:t>5A</w:t>
      </w:r>
      <w:r w:rsidRPr="00B21E90">
        <w:t xml:space="preserve">  Meaning of </w:t>
      </w:r>
      <w:r w:rsidRPr="00B21E90">
        <w:rPr>
          <w:i/>
        </w:rPr>
        <w:t>provider identification information</w:t>
      </w:r>
      <w:bookmarkEnd w:id="11"/>
    </w:p>
    <w:p w:rsidR="00AE425E" w:rsidRPr="00B21E90" w:rsidRDefault="00AE425E" w:rsidP="00B21E90">
      <w:pPr>
        <w:pStyle w:val="subsection"/>
      </w:pPr>
      <w:r w:rsidRPr="00B21E90">
        <w:tab/>
      </w:r>
      <w:r w:rsidRPr="00B21E90">
        <w:tab/>
        <w:t xml:space="preserve">If a recognised vaccination provider administers a vaccine, or is given information about a relevant vaccination, at a place where the provider practices the provider’s profession, then </w:t>
      </w:r>
      <w:r w:rsidR="0056525A" w:rsidRPr="00B21E90">
        <w:t xml:space="preserve">each of </w:t>
      </w:r>
      <w:r w:rsidRPr="00B21E90">
        <w:t xml:space="preserve">the following is </w:t>
      </w:r>
      <w:r w:rsidRPr="00B21E90">
        <w:rPr>
          <w:b/>
          <w:i/>
        </w:rPr>
        <w:t>provider identification information</w:t>
      </w:r>
      <w:r w:rsidRPr="00B21E90">
        <w:t xml:space="preserve"> for the provider:</w:t>
      </w:r>
    </w:p>
    <w:p w:rsidR="00AE425E" w:rsidRPr="00B21E90" w:rsidRDefault="00AE425E" w:rsidP="00B21E90">
      <w:pPr>
        <w:pStyle w:val="paragraph"/>
      </w:pPr>
      <w:r w:rsidRPr="00B21E90">
        <w:tab/>
        <w:t>(a)</w:t>
      </w:r>
      <w:r w:rsidRPr="00B21E90">
        <w:tab/>
        <w:t>the provider’s name and contact details;</w:t>
      </w:r>
    </w:p>
    <w:p w:rsidR="00AE425E" w:rsidRPr="00B21E90" w:rsidRDefault="00AE425E" w:rsidP="00B21E90">
      <w:pPr>
        <w:pStyle w:val="paragraph"/>
      </w:pPr>
      <w:r w:rsidRPr="00B21E90">
        <w:tab/>
        <w:t>(b)</w:t>
      </w:r>
      <w:r w:rsidRPr="00B21E90">
        <w:tab/>
        <w:t>if a number known as a provider number has been allocated by the Chief Executive Medicare to the provider in respect of that place—that number;</w:t>
      </w:r>
    </w:p>
    <w:p w:rsidR="00AE425E" w:rsidRPr="00B21E90" w:rsidRDefault="00AE425E" w:rsidP="00B21E90">
      <w:pPr>
        <w:pStyle w:val="paragraph"/>
      </w:pPr>
      <w:r w:rsidRPr="00B21E90">
        <w:tab/>
        <w:t>(c)</w:t>
      </w:r>
      <w:r w:rsidRPr="00B21E90">
        <w:tab/>
        <w:t>if a number known as the AIR provider number has been allocated to the provider for the purposes of this Act—that number.</w:t>
      </w:r>
    </w:p>
    <w:p w:rsidR="008E20E8" w:rsidRPr="00B21E90" w:rsidRDefault="00C824DC" w:rsidP="00B21E90">
      <w:pPr>
        <w:pStyle w:val="ItemHead"/>
      </w:pPr>
      <w:r w:rsidRPr="00B21E90">
        <w:t>3</w:t>
      </w:r>
      <w:r w:rsidR="008E20E8" w:rsidRPr="00B21E90">
        <w:t xml:space="preserve">  </w:t>
      </w:r>
      <w:r w:rsidR="00400FAE" w:rsidRPr="00B21E90">
        <w:t>Section 6</w:t>
      </w:r>
    </w:p>
    <w:p w:rsidR="008E20E8" w:rsidRPr="00B21E90" w:rsidRDefault="008E20E8" w:rsidP="00B21E90">
      <w:pPr>
        <w:pStyle w:val="Item"/>
      </w:pPr>
      <w:r w:rsidRPr="00B21E90">
        <w:t>After “liable to”, insert “a pecuniary penalty or to”.</w:t>
      </w:r>
    </w:p>
    <w:p w:rsidR="00616B20" w:rsidRPr="00B21E90" w:rsidRDefault="00C824DC" w:rsidP="00B21E90">
      <w:pPr>
        <w:pStyle w:val="ItemHead"/>
      </w:pPr>
      <w:r w:rsidRPr="00B21E90">
        <w:lastRenderedPageBreak/>
        <w:t>4</w:t>
      </w:r>
      <w:r w:rsidR="00616B20" w:rsidRPr="00B21E90">
        <w:t xml:space="preserve">  </w:t>
      </w:r>
      <w:r w:rsidR="00400FAE" w:rsidRPr="00B21E90">
        <w:t>Section 7</w:t>
      </w:r>
    </w:p>
    <w:p w:rsidR="00616B20" w:rsidRPr="00B21E90" w:rsidRDefault="00616B20" w:rsidP="00B21E90">
      <w:pPr>
        <w:pStyle w:val="Item"/>
      </w:pPr>
      <w:r w:rsidRPr="00B21E90">
        <w:t>After:</w:t>
      </w:r>
    </w:p>
    <w:p w:rsidR="00616B20" w:rsidRPr="00B21E90" w:rsidRDefault="00616B20" w:rsidP="00B21E90">
      <w:pPr>
        <w:pStyle w:val="SOText"/>
      </w:pPr>
      <w:r w:rsidRPr="00B21E90">
        <w:t>The purposes of the register relate to supporting Australian vaccination programs, and vaccination matters more broadly.</w:t>
      </w:r>
    </w:p>
    <w:p w:rsidR="00616B20" w:rsidRPr="00B21E90" w:rsidRDefault="00616B20" w:rsidP="00B21E90">
      <w:pPr>
        <w:pStyle w:val="Item"/>
      </w:pPr>
      <w:r w:rsidRPr="00B21E90">
        <w:t>insert:</w:t>
      </w:r>
    </w:p>
    <w:p w:rsidR="00616B20" w:rsidRPr="00B21E90" w:rsidRDefault="00616B20" w:rsidP="00B21E90">
      <w:pPr>
        <w:pStyle w:val="SOText"/>
      </w:pPr>
      <w:r w:rsidRPr="00B21E90">
        <w:t>Recognised vaccination providers</w:t>
      </w:r>
      <w:r w:rsidR="00A10F8E" w:rsidRPr="00B21E90">
        <w:t xml:space="preserve"> are required to </w:t>
      </w:r>
      <w:r w:rsidR="003A48A8" w:rsidRPr="00B21E90">
        <w:t xml:space="preserve">report </w:t>
      </w:r>
      <w:r w:rsidR="00A10F8E" w:rsidRPr="00B21E90">
        <w:t xml:space="preserve">certain </w:t>
      </w:r>
      <w:r w:rsidRPr="00B21E90">
        <w:t xml:space="preserve">information in relation to certain relevant vaccinations that have been administered. </w:t>
      </w:r>
      <w:r w:rsidR="00634661" w:rsidRPr="00B21E90">
        <w:t>This</w:t>
      </w:r>
      <w:r w:rsidRPr="00B21E90">
        <w:t xml:space="preserve"> information will be included in the register.</w:t>
      </w:r>
    </w:p>
    <w:p w:rsidR="00A10F8E" w:rsidRPr="00B21E90" w:rsidRDefault="00A10F8E" w:rsidP="00B21E90">
      <w:pPr>
        <w:pStyle w:val="SOText"/>
      </w:pPr>
      <w:r w:rsidRPr="00B21E90">
        <w:t>A recognised vaccination provider may be required to give information</w:t>
      </w:r>
      <w:r w:rsidR="00C824DC" w:rsidRPr="00B21E90">
        <w:t>,</w:t>
      </w:r>
      <w:r w:rsidRPr="00B21E90">
        <w:t xml:space="preserve"> or be given a formal warning</w:t>
      </w:r>
      <w:r w:rsidR="00C824DC" w:rsidRPr="00B21E90">
        <w:t>,</w:t>
      </w:r>
      <w:r w:rsidRPr="00B21E90">
        <w:t xml:space="preserve"> if the provider is not complying, or has not complied, with the requirement to report.</w:t>
      </w:r>
    </w:p>
    <w:p w:rsidR="00265E2B" w:rsidRPr="00B21E90" w:rsidRDefault="00C824DC" w:rsidP="00B21E90">
      <w:pPr>
        <w:pStyle w:val="ItemHead"/>
      </w:pPr>
      <w:r w:rsidRPr="00B21E90">
        <w:t>5</w:t>
      </w:r>
      <w:r w:rsidR="00AE425E" w:rsidRPr="00B21E90">
        <w:t xml:space="preserve">  </w:t>
      </w:r>
      <w:r w:rsidR="00A11023" w:rsidRPr="00B21E90">
        <w:t>Subparagraphs 9</w:t>
      </w:r>
      <w:r w:rsidR="00AE425E" w:rsidRPr="00B21E90">
        <w:t>(b</w:t>
      </w:r>
      <w:r w:rsidR="00265E2B" w:rsidRPr="00B21E90">
        <w:t>)(iii) and (iv)</w:t>
      </w:r>
    </w:p>
    <w:p w:rsidR="00265E2B" w:rsidRPr="00B21E90" w:rsidRDefault="00265E2B" w:rsidP="00B21E90">
      <w:pPr>
        <w:pStyle w:val="Item"/>
      </w:pPr>
      <w:r w:rsidRPr="00B21E90">
        <w:t>Omit “the name and contact details of”, substitute “provider</w:t>
      </w:r>
      <w:r w:rsidR="004B6AF3" w:rsidRPr="00B21E90">
        <w:t xml:space="preserve"> identif</w:t>
      </w:r>
      <w:r w:rsidR="00AE425E" w:rsidRPr="00B21E90">
        <w:t>ication</w:t>
      </w:r>
      <w:r w:rsidRPr="00B21E90">
        <w:t xml:space="preserve"> information for”.</w:t>
      </w:r>
    </w:p>
    <w:p w:rsidR="00EA3163" w:rsidRPr="00B21E90" w:rsidRDefault="00C824DC" w:rsidP="00B21E90">
      <w:pPr>
        <w:pStyle w:val="ItemHead"/>
      </w:pPr>
      <w:r w:rsidRPr="00B21E90">
        <w:t>6</w:t>
      </w:r>
      <w:r w:rsidR="00EA3163" w:rsidRPr="00B21E90">
        <w:t xml:space="preserve">  At the end of </w:t>
      </w:r>
      <w:r w:rsidR="00A11023" w:rsidRPr="00B21E90">
        <w:t>paragraph 9</w:t>
      </w:r>
      <w:r w:rsidR="00EA3163" w:rsidRPr="00B21E90">
        <w:t>(d)</w:t>
      </w:r>
    </w:p>
    <w:p w:rsidR="00EA3163" w:rsidRPr="00B21E90" w:rsidRDefault="00EA3163" w:rsidP="00B21E90">
      <w:pPr>
        <w:pStyle w:val="Item"/>
      </w:pPr>
      <w:r w:rsidRPr="00B21E90">
        <w:t>Add:</w:t>
      </w:r>
    </w:p>
    <w:p w:rsidR="00EA3163" w:rsidRPr="00B21E90" w:rsidRDefault="00EA3163" w:rsidP="00B21E90">
      <w:pPr>
        <w:pStyle w:val="paragraphsub"/>
      </w:pPr>
      <w:r w:rsidRPr="00B21E90">
        <w:tab/>
      </w:r>
      <w:r w:rsidR="00C824DC" w:rsidRPr="00B21E90">
        <w:t xml:space="preserve">and </w:t>
      </w:r>
      <w:r w:rsidRPr="00B21E90">
        <w:t>(iv)</w:t>
      </w:r>
      <w:r w:rsidRPr="00B21E90">
        <w:tab/>
        <w:t>if a number known as a provider number has been allocated by the</w:t>
      </w:r>
      <w:r w:rsidR="003D46CF" w:rsidRPr="00B21E90">
        <w:t xml:space="preserve"> Chief Executive Medicare to that</w:t>
      </w:r>
      <w:r w:rsidRPr="00B21E90">
        <w:t xml:space="preserve"> general practitioner, paediatrician, public health physician, infectious diseases physician or clinical immunologist in respect of the place at which the assessment was conducted—that number;</w:t>
      </w:r>
    </w:p>
    <w:p w:rsidR="007279CF" w:rsidRPr="00B21E90" w:rsidRDefault="00C824DC" w:rsidP="00B21E90">
      <w:pPr>
        <w:pStyle w:val="ItemHead"/>
      </w:pPr>
      <w:r w:rsidRPr="00B21E90">
        <w:t>7</w:t>
      </w:r>
      <w:r w:rsidR="00D7361B" w:rsidRPr="00B21E90">
        <w:t xml:space="preserve">  After </w:t>
      </w:r>
      <w:r w:rsidR="00400FAE" w:rsidRPr="00B21E90">
        <w:t>Division 2</w:t>
      </w:r>
      <w:r w:rsidR="00D7361B" w:rsidRPr="00B21E90">
        <w:t xml:space="preserve"> of </w:t>
      </w:r>
      <w:r w:rsidR="00400FAE" w:rsidRPr="00B21E90">
        <w:t>Part 2</w:t>
      </w:r>
    </w:p>
    <w:p w:rsidR="00D7361B" w:rsidRPr="00B21E90" w:rsidRDefault="00D7361B" w:rsidP="00B21E90">
      <w:pPr>
        <w:pStyle w:val="Item"/>
      </w:pPr>
      <w:r w:rsidRPr="00B21E90">
        <w:t>Insert:</w:t>
      </w:r>
    </w:p>
    <w:p w:rsidR="007279CF" w:rsidRPr="00B21E90" w:rsidRDefault="00400FAE" w:rsidP="00B21E90">
      <w:pPr>
        <w:pStyle w:val="ActHead3"/>
      </w:pPr>
      <w:bookmarkStart w:id="12" w:name="_Toc64375730"/>
      <w:r w:rsidRPr="00B73DA4">
        <w:rPr>
          <w:rStyle w:val="CharDivNo"/>
        </w:rPr>
        <w:lastRenderedPageBreak/>
        <w:t>Division 2</w:t>
      </w:r>
      <w:r w:rsidR="00D7361B" w:rsidRPr="00B73DA4">
        <w:rPr>
          <w:rStyle w:val="CharDivNo"/>
        </w:rPr>
        <w:t>A</w:t>
      </w:r>
      <w:r w:rsidR="007279CF" w:rsidRPr="00B21E90">
        <w:t>—</w:t>
      </w:r>
      <w:r w:rsidR="00853FB7" w:rsidRPr="00B73DA4">
        <w:rPr>
          <w:rStyle w:val="CharDivText"/>
        </w:rPr>
        <w:t>Reporting obligation etc.</w:t>
      </w:r>
      <w:bookmarkEnd w:id="12"/>
    </w:p>
    <w:p w:rsidR="00D7361B" w:rsidRPr="00B21E90" w:rsidRDefault="00D7361B" w:rsidP="00B21E90">
      <w:pPr>
        <w:pStyle w:val="ActHead5"/>
      </w:pPr>
      <w:bookmarkStart w:id="13" w:name="_Toc64375731"/>
      <w:r w:rsidRPr="00B73DA4">
        <w:rPr>
          <w:rStyle w:val="CharSectno"/>
        </w:rPr>
        <w:t>10A</w:t>
      </w:r>
      <w:r w:rsidR="007279CF" w:rsidRPr="00B21E90">
        <w:t xml:space="preserve">  Requirement to </w:t>
      </w:r>
      <w:r w:rsidR="00853FB7" w:rsidRPr="00B21E90">
        <w:t>report information relating to</w:t>
      </w:r>
      <w:r w:rsidR="00D3229D" w:rsidRPr="00B21E90">
        <w:t xml:space="preserve"> </w:t>
      </w:r>
      <w:r w:rsidR="00616B20" w:rsidRPr="00B21E90">
        <w:t xml:space="preserve">certain </w:t>
      </w:r>
      <w:r w:rsidR="00D3229D" w:rsidRPr="00B21E90">
        <w:t>relevant vaccination</w:t>
      </w:r>
      <w:r w:rsidR="00616B20" w:rsidRPr="00B21E90">
        <w:t>s</w:t>
      </w:r>
      <w:bookmarkEnd w:id="13"/>
    </w:p>
    <w:p w:rsidR="0054453E" w:rsidRPr="00B21E90" w:rsidRDefault="0054453E" w:rsidP="00B21E90">
      <w:pPr>
        <w:pStyle w:val="SubsectionHead"/>
      </w:pPr>
      <w:r w:rsidRPr="00B21E90">
        <w:t>Relevant vaccination administered in Australia</w:t>
      </w:r>
    </w:p>
    <w:p w:rsidR="00AF69E4" w:rsidRPr="00B21E90" w:rsidRDefault="00853FB7" w:rsidP="00B21E90">
      <w:pPr>
        <w:pStyle w:val="subsection"/>
      </w:pPr>
      <w:r w:rsidRPr="00B21E90">
        <w:tab/>
      </w:r>
      <w:r w:rsidR="00D7361B" w:rsidRPr="00B21E90">
        <w:t>(1)</w:t>
      </w:r>
      <w:r w:rsidR="00D7361B" w:rsidRPr="00B21E90">
        <w:tab/>
        <w:t>If</w:t>
      </w:r>
      <w:r w:rsidR="00AF69E4" w:rsidRPr="00B21E90">
        <w:t>:</w:t>
      </w:r>
    </w:p>
    <w:p w:rsidR="00AF69E4" w:rsidRPr="00B21E90" w:rsidRDefault="00AF69E4" w:rsidP="00B21E90">
      <w:pPr>
        <w:pStyle w:val="paragraph"/>
      </w:pPr>
      <w:r w:rsidRPr="00B21E90">
        <w:tab/>
        <w:t>(a)</w:t>
      </w:r>
      <w:r w:rsidRPr="00B21E90">
        <w:tab/>
      </w:r>
      <w:r w:rsidR="00D7361B" w:rsidRPr="00B21E90">
        <w:t>a recognised vaccination provider administers a relevant vaccination</w:t>
      </w:r>
      <w:r w:rsidRPr="00B21E90">
        <w:t xml:space="preserve"> in Australia; and</w:t>
      </w:r>
    </w:p>
    <w:p w:rsidR="00AF69E4" w:rsidRPr="00B21E90" w:rsidRDefault="00AF69E4" w:rsidP="00B21E90">
      <w:pPr>
        <w:pStyle w:val="paragraph"/>
      </w:pPr>
      <w:r w:rsidRPr="00B21E90">
        <w:tab/>
        <w:t>(b)</w:t>
      </w:r>
      <w:r w:rsidRPr="00B21E90">
        <w:tab/>
        <w:t>the relevant vaccination:</w:t>
      </w:r>
    </w:p>
    <w:p w:rsidR="00AF69E4" w:rsidRPr="00B21E90" w:rsidRDefault="00AF69E4" w:rsidP="00B21E90">
      <w:pPr>
        <w:pStyle w:val="paragraphsub"/>
      </w:pPr>
      <w:r w:rsidRPr="00B21E90">
        <w:tab/>
        <w:t>(i)</w:t>
      </w:r>
      <w:r w:rsidRPr="00B21E90">
        <w:tab/>
        <w:t>is of a kind prescribed by the rules; and</w:t>
      </w:r>
    </w:p>
    <w:p w:rsidR="00AF69E4" w:rsidRPr="00B21E90" w:rsidRDefault="00AF69E4" w:rsidP="00B21E90">
      <w:pPr>
        <w:pStyle w:val="paragraphsub"/>
      </w:pPr>
      <w:r w:rsidRPr="00B21E90">
        <w:tab/>
        <w:t>(ii)</w:t>
      </w:r>
      <w:r w:rsidRPr="00B21E90">
        <w:tab/>
        <w:t>is administered in the circumstances prescribed by the rules;</w:t>
      </w:r>
    </w:p>
    <w:p w:rsidR="00D5347C" w:rsidRPr="00B21E90" w:rsidRDefault="00616B20" w:rsidP="00B21E90">
      <w:pPr>
        <w:pStyle w:val="subsection2"/>
      </w:pPr>
      <w:r w:rsidRPr="00B21E90">
        <w:t>the</w:t>
      </w:r>
      <w:r w:rsidR="00AF69E4" w:rsidRPr="00B21E90">
        <w:t xml:space="preserve"> </w:t>
      </w:r>
      <w:r w:rsidR="004547BC" w:rsidRPr="00B21E90">
        <w:t>provider must</w:t>
      </w:r>
      <w:r w:rsidR="00AF69E4" w:rsidRPr="00B21E90">
        <w:t xml:space="preserve"> </w:t>
      </w:r>
      <w:r w:rsidR="00853FB7" w:rsidRPr="00B21E90">
        <w:t>report</w:t>
      </w:r>
      <w:r w:rsidR="004547BC" w:rsidRPr="00B21E90">
        <w:t>,</w:t>
      </w:r>
      <w:r w:rsidR="00853FB7" w:rsidRPr="00B21E90">
        <w:t xml:space="preserve"> </w:t>
      </w:r>
      <w:r w:rsidR="004547BC" w:rsidRPr="00B21E90">
        <w:t xml:space="preserve">within the period prescribed by the rules and </w:t>
      </w:r>
      <w:r w:rsidR="00853FB7" w:rsidRPr="00B21E90">
        <w:t>in the manner prescribed by the rules</w:t>
      </w:r>
      <w:r w:rsidR="004547BC" w:rsidRPr="00B21E90">
        <w:t>,</w:t>
      </w:r>
      <w:r w:rsidR="00853FB7" w:rsidRPr="00B21E90">
        <w:t xml:space="preserve"> </w:t>
      </w:r>
      <w:r w:rsidR="00AF69E4" w:rsidRPr="00B21E90">
        <w:t>the information prescribed by the rules for that vaccination</w:t>
      </w:r>
      <w:r w:rsidR="0037767E" w:rsidRPr="00B21E90">
        <w:t xml:space="preserve"> for inclusion in the AI Register</w:t>
      </w:r>
      <w:r w:rsidR="00AF69E4" w:rsidRPr="00B21E90">
        <w:t>.</w:t>
      </w:r>
    </w:p>
    <w:p w:rsidR="00853FB7" w:rsidRPr="00B21E90" w:rsidRDefault="00853FB7" w:rsidP="00B21E90">
      <w:pPr>
        <w:pStyle w:val="subsection"/>
      </w:pPr>
      <w:r w:rsidRPr="00B21E90">
        <w:tab/>
        <w:t>(2)</w:t>
      </w:r>
      <w:r w:rsidRPr="00B21E90">
        <w:tab/>
      </w:r>
      <w:r w:rsidR="007268F4" w:rsidRPr="00B21E90">
        <w:t>Subsection (</w:t>
      </w:r>
      <w:r w:rsidRPr="00B21E90">
        <w:t>1) does not apply if the recognised vaccination provider reasonably believes that complying with that subsection</w:t>
      </w:r>
      <w:r w:rsidR="005A5A60" w:rsidRPr="00B21E90">
        <w:t xml:space="preserve"> is likely to</w:t>
      </w:r>
      <w:r w:rsidRPr="00B21E90">
        <w:t xml:space="preserve"> pose a risk to the health or safety of an individual.</w:t>
      </w:r>
    </w:p>
    <w:p w:rsidR="00853FB7" w:rsidRPr="00B21E90" w:rsidRDefault="00853FB7" w:rsidP="00B21E90">
      <w:pPr>
        <w:pStyle w:val="notetext"/>
      </w:pPr>
      <w:r w:rsidRPr="00B21E90">
        <w:t>Note:</w:t>
      </w:r>
      <w:r w:rsidRPr="00B21E90">
        <w:tab/>
        <w:t>A defendant bears an evidential burden in relation to the matter in this subsection (see section 96 of the Regulatory Powers Act).</w:t>
      </w:r>
    </w:p>
    <w:p w:rsidR="0054453E" w:rsidRPr="00B21E90" w:rsidRDefault="0054453E" w:rsidP="00B21E90">
      <w:pPr>
        <w:pStyle w:val="SubsectionHead"/>
      </w:pPr>
      <w:r w:rsidRPr="00B21E90">
        <w:t>Relevant vaccination administered outside Australia</w:t>
      </w:r>
    </w:p>
    <w:p w:rsidR="00AF69E4" w:rsidRPr="00B21E90" w:rsidRDefault="0054453E" w:rsidP="00B21E90">
      <w:pPr>
        <w:pStyle w:val="subsection"/>
      </w:pPr>
      <w:r w:rsidRPr="00B21E90">
        <w:tab/>
      </w:r>
      <w:r w:rsidR="00853FB7" w:rsidRPr="00B21E90">
        <w:t>(3</w:t>
      </w:r>
      <w:r w:rsidR="00D3229D" w:rsidRPr="00B21E90">
        <w:t>)</w:t>
      </w:r>
      <w:r w:rsidR="00D3229D" w:rsidRPr="00B21E90">
        <w:tab/>
        <w:t>If:</w:t>
      </w:r>
    </w:p>
    <w:p w:rsidR="00D3229D" w:rsidRPr="00B21E90" w:rsidRDefault="00D3229D" w:rsidP="00B21E90">
      <w:pPr>
        <w:pStyle w:val="paragraph"/>
      </w:pPr>
      <w:r w:rsidRPr="00B21E90">
        <w:tab/>
        <w:t>(a)</w:t>
      </w:r>
      <w:r w:rsidRPr="00B21E90">
        <w:tab/>
        <w:t>a recognised vaccination provider is given information about a relevant vaccination that was administered outside Australia; and</w:t>
      </w:r>
    </w:p>
    <w:p w:rsidR="00D3229D" w:rsidRPr="00B21E90" w:rsidRDefault="00D3229D" w:rsidP="00B21E90">
      <w:pPr>
        <w:pStyle w:val="paragraph"/>
      </w:pPr>
      <w:r w:rsidRPr="00B21E90">
        <w:tab/>
        <w:t>(b)</w:t>
      </w:r>
      <w:r w:rsidRPr="00B21E90">
        <w:tab/>
        <w:t>the relevant vaccination:</w:t>
      </w:r>
    </w:p>
    <w:p w:rsidR="00D3229D" w:rsidRPr="00B21E90" w:rsidRDefault="00D3229D" w:rsidP="00B21E90">
      <w:pPr>
        <w:pStyle w:val="paragraphsub"/>
      </w:pPr>
      <w:r w:rsidRPr="00B21E90">
        <w:tab/>
        <w:t>(i)</w:t>
      </w:r>
      <w:r w:rsidRPr="00B21E90">
        <w:tab/>
        <w:t>is of a kind prescribed by the rules; and</w:t>
      </w:r>
    </w:p>
    <w:p w:rsidR="00D3229D" w:rsidRPr="00B21E90" w:rsidRDefault="00D3229D" w:rsidP="00B21E90">
      <w:pPr>
        <w:pStyle w:val="paragraphsub"/>
      </w:pPr>
      <w:r w:rsidRPr="00B21E90">
        <w:tab/>
        <w:t>(ii)</w:t>
      </w:r>
      <w:r w:rsidRPr="00B21E90">
        <w:tab/>
        <w:t>was administered in the circumstances prescribed by the rules;</w:t>
      </w:r>
    </w:p>
    <w:p w:rsidR="004547BC" w:rsidRPr="00B21E90" w:rsidRDefault="004547BC" w:rsidP="00B21E90">
      <w:pPr>
        <w:pStyle w:val="subsection2"/>
      </w:pPr>
      <w:r w:rsidRPr="00B21E90">
        <w:t>the provider must report, within the period prescribed by the rules and in the manner prescribed by the rules, the information prescribed by the rules for that vaccination</w:t>
      </w:r>
      <w:r w:rsidR="0056525A" w:rsidRPr="00B21E90">
        <w:t xml:space="preserve"> </w:t>
      </w:r>
      <w:r w:rsidR="0037767E" w:rsidRPr="00B21E90">
        <w:t>for inclusion in the AI Register</w:t>
      </w:r>
      <w:r w:rsidRPr="00B21E90">
        <w:t>.</w:t>
      </w:r>
    </w:p>
    <w:p w:rsidR="00B90D3E" w:rsidRPr="00B21E90" w:rsidRDefault="00853FB7" w:rsidP="00B21E90">
      <w:pPr>
        <w:pStyle w:val="subsection"/>
      </w:pPr>
      <w:r w:rsidRPr="00B21E90">
        <w:lastRenderedPageBreak/>
        <w:tab/>
        <w:t>(4</w:t>
      </w:r>
      <w:r w:rsidR="00B90D3E" w:rsidRPr="00B21E90">
        <w:t>)</w:t>
      </w:r>
      <w:r w:rsidR="00B90D3E" w:rsidRPr="00B21E90">
        <w:tab/>
      </w:r>
      <w:r w:rsidR="007268F4" w:rsidRPr="00B21E90">
        <w:t>Subsection (</w:t>
      </w:r>
      <w:r w:rsidRPr="00B21E90">
        <w:t>3</w:t>
      </w:r>
      <w:r w:rsidR="00B90D3E" w:rsidRPr="00B21E90">
        <w:t>) do</w:t>
      </w:r>
      <w:r w:rsidRPr="00B21E90">
        <w:t>es</w:t>
      </w:r>
      <w:r w:rsidR="00B90D3E" w:rsidRPr="00B21E90">
        <w:t xml:space="preserve"> not apply if </w:t>
      </w:r>
      <w:r w:rsidR="000D6335" w:rsidRPr="00B21E90">
        <w:t xml:space="preserve">the recognised vaccination provider reasonably believes that </w:t>
      </w:r>
      <w:r w:rsidRPr="00B21E90">
        <w:t>complying with that</w:t>
      </w:r>
      <w:r w:rsidR="000D6335" w:rsidRPr="00B21E90">
        <w:t xml:space="preserve"> subsection</w:t>
      </w:r>
      <w:r w:rsidR="005A5A60" w:rsidRPr="00B21E90">
        <w:t xml:space="preserve"> is likely to</w:t>
      </w:r>
      <w:r w:rsidR="000D6335" w:rsidRPr="00B21E90">
        <w:t xml:space="preserve"> pose a risk to the health or safety of </w:t>
      </w:r>
      <w:r w:rsidR="00B46EEC" w:rsidRPr="00B21E90">
        <w:t>an individual</w:t>
      </w:r>
      <w:r w:rsidR="000D6335" w:rsidRPr="00B21E90">
        <w:t>.</w:t>
      </w:r>
    </w:p>
    <w:p w:rsidR="00853FB7" w:rsidRPr="00B21E90" w:rsidRDefault="00853FB7" w:rsidP="00B21E90">
      <w:pPr>
        <w:pStyle w:val="notetext"/>
      </w:pPr>
      <w:r w:rsidRPr="00B21E90">
        <w:t>Note:</w:t>
      </w:r>
      <w:r w:rsidRPr="00B21E90">
        <w:tab/>
        <w:t>A defendant bears an evidential burden in relation to the matter in this subsection (see section 96 of the Regulatory Powers Act).</w:t>
      </w:r>
    </w:p>
    <w:p w:rsidR="0054453E" w:rsidRPr="00B21E90" w:rsidRDefault="0054453E" w:rsidP="00B21E90">
      <w:pPr>
        <w:pStyle w:val="SubsectionHead"/>
      </w:pPr>
      <w:r w:rsidRPr="00B21E90">
        <w:t>Civil penalty provision etc.</w:t>
      </w:r>
    </w:p>
    <w:p w:rsidR="00AF69E4" w:rsidRPr="00B21E90" w:rsidRDefault="0054453E" w:rsidP="00B21E90">
      <w:pPr>
        <w:pStyle w:val="subsection"/>
      </w:pPr>
      <w:r w:rsidRPr="00B21E90">
        <w:tab/>
      </w:r>
      <w:r w:rsidR="00AF69E4" w:rsidRPr="00B21E90">
        <w:t>(</w:t>
      </w:r>
      <w:r w:rsidR="00853FB7" w:rsidRPr="00B21E90">
        <w:t>5</w:t>
      </w:r>
      <w:r w:rsidR="00AF69E4" w:rsidRPr="00B21E90">
        <w:t>)</w:t>
      </w:r>
      <w:r w:rsidR="00AF69E4" w:rsidRPr="00B21E90">
        <w:tab/>
      </w:r>
      <w:r w:rsidR="00D3229D" w:rsidRPr="00B21E90">
        <w:t xml:space="preserve">A person is liable to a civil penalty if the person contravenes </w:t>
      </w:r>
      <w:r w:rsidR="00400FAE" w:rsidRPr="00B21E90">
        <w:t>subsection (</w:t>
      </w:r>
      <w:r w:rsidR="00853FB7" w:rsidRPr="00B21E90">
        <w:t>1) or (3)</w:t>
      </w:r>
      <w:r w:rsidR="00D3229D" w:rsidRPr="00B21E90">
        <w:t>.</w:t>
      </w:r>
    </w:p>
    <w:p w:rsidR="0054453E" w:rsidRPr="00B21E90" w:rsidRDefault="007279CF" w:rsidP="00B21E90">
      <w:pPr>
        <w:pStyle w:val="Penalty"/>
      </w:pPr>
      <w:r w:rsidRPr="00B21E90">
        <w:t>Civil penalty:</w:t>
      </w:r>
      <w:r w:rsidRPr="00B21E90">
        <w:tab/>
        <w:t>30 penalty units.</w:t>
      </w:r>
    </w:p>
    <w:p w:rsidR="00CC37EC" w:rsidRPr="00B21E90" w:rsidRDefault="0054453E" w:rsidP="00B21E90">
      <w:pPr>
        <w:pStyle w:val="subsection"/>
      </w:pPr>
      <w:r w:rsidRPr="00B21E90">
        <w:tab/>
        <w:t>(6)</w:t>
      </w:r>
      <w:r w:rsidRPr="00B21E90">
        <w:tab/>
        <w:t>Subsection 93(2) of the Regulatory Powers Act does not apply in relation to a contravention of subsection (5) of this section.</w:t>
      </w:r>
    </w:p>
    <w:p w:rsidR="00853FB7" w:rsidRPr="00B21E90" w:rsidRDefault="008F501A" w:rsidP="00B21E90">
      <w:pPr>
        <w:pStyle w:val="ActHead5"/>
      </w:pPr>
      <w:bookmarkStart w:id="14" w:name="_Toc64375732"/>
      <w:r w:rsidRPr="00B73DA4">
        <w:rPr>
          <w:rStyle w:val="CharSectno"/>
        </w:rPr>
        <w:t>1</w:t>
      </w:r>
      <w:r w:rsidR="00853FB7" w:rsidRPr="00B73DA4">
        <w:rPr>
          <w:rStyle w:val="CharSectno"/>
        </w:rPr>
        <w:t>0B</w:t>
      </w:r>
      <w:r w:rsidR="00853FB7" w:rsidRPr="00B21E90">
        <w:t xml:space="preserve">  Secretary may require</w:t>
      </w:r>
      <w:r w:rsidR="00837718" w:rsidRPr="00B21E90">
        <w:t xml:space="preserve"> recognised vaccination provider to give</w:t>
      </w:r>
      <w:r w:rsidR="00853FB7" w:rsidRPr="00B21E90">
        <w:t xml:space="preserve"> information</w:t>
      </w:r>
      <w:bookmarkEnd w:id="14"/>
    </w:p>
    <w:p w:rsidR="00225728" w:rsidRPr="00B21E90" w:rsidRDefault="00225728" w:rsidP="00B21E90">
      <w:pPr>
        <w:pStyle w:val="subsection"/>
      </w:pPr>
      <w:r w:rsidRPr="00B21E90">
        <w:tab/>
        <w:t>(1)</w:t>
      </w:r>
      <w:r w:rsidRPr="00B21E90">
        <w:tab/>
        <w:t xml:space="preserve">If the Secretary reasonably believes that a recognised vaccination provider is not complying with </w:t>
      </w:r>
      <w:r w:rsidR="007268F4" w:rsidRPr="00B21E90">
        <w:t>subsection 1</w:t>
      </w:r>
      <w:r w:rsidRPr="00B21E90">
        <w:t>0A(1) or (3), the Secretary may, by written notic</w:t>
      </w:r>
      <w:r w:rsidR="004547BC" w:rsidRPr="00B21E90">
        <w:t>e, require the provider to give</w:t>
      </w:r>
      <w:r w:rsidRPr="00B21E90">
        <w:t xml:space="preserve">, within the period specified in the notice and in the manner specified in the notice, information relating </w:t>
      </w:r>
      <w:r w:rsidR="004547BC" w:rsidRPr="00B21E90">
        <w:t xml:space="preserve">to </w:t>
      </w:r>
      <w:r w:rsidRPr="00B21E90">
        <w:t xml:space="preserve">that </w:t>
      </w:r>
      <w:r w:rsidR="004547BC" w:rsidRPr="00B21E90">
        <w:t>non</w:t>
      </w:r>
      <w:r w:rsidR="00B21E90">
        <w:noBreakHyphen/>
      </w:r>
      <w:r w:rsidR="004547BC" w:rsidRPr="00B21E90">
        <w:t>compliance</w:t>
      </w:r>
      <w:r w:rsidRPr="00B21E90">
        <w:t>.</w:t>
      </w:r>
    </w:p>
    <w:p w:rsidR="00837718" w:rsidRPr="00B21E90" w:rsidRDefault="00837718" w:rsidP="00B21E90">
      <w:pPr>
        <w:pStyle w:val="subsection"/>
      </w:pPr>
      <w:r w:rsidRPr="00B21E90">
        <w:tab/>
        <w:t>(2)</w:t>
      </w:r>
      <w:r w:rsidRPr="00B21E90">
        <w:tab/>
        <w:t>The period specified in the notice must not be shorter than</w:t>
      </w:r>
      <w:r w:rsidR="008F501A" w:rsidRPr="00B21E90">
        <w:t xml:space="preserve"> 14</w:t>
      </w:r>
      <w:r w:rsidRPr="00B21E90">
        <w:t xml:space="preserve"> days after the notice is given.</w:t>
      </w:r>
    </w:p>
    <w:p w:rsidR="00837718" w:rsidRPr="00B21E90" w:rsidRDefault="00837718" w:rsidP="00B21E90">
      <w:pPr>
        <w:pStyle w:val="subsection"/>
      </w:pPr>
      <w:r w:rsidRPr="00B21E90">
        <w:tab/>
        <w:t>(3)</w:t>
      </w:r>
      <w:r w:rsidRPr="00B21E90">
        <w:tab/>
        <w:t>A person is liable to a civil penalty if the person fails to comply with a notice given to the person under subsection (1).</w:t>
      </w:r>
    </w:p>
    <w:p w:rsidR="00837718" w:rsidRPr="00B21E90" w:rsidRDefault="00837718" w:rsidP="00B21E90">
      <w:pPr>
        <w:pStyle w:val="Penalty"/>
      </w:pPr>
      <w:r w:rsidRPr="00B21E90">
        <w:t>Civil penalty:</w:t>
      </w:r>
      <w:r w:rsidRPr="00B21E90">
        <w:tab/>
      </w:r>
      <w:r w:rsidR="00FE7B72" w:rsidRPr="00B21E90">
        <w:t>30</w:t>
      </w:r>
      <w:r w:rsidRPr="00B21E90">
        <w:t xml:space="preserve"> penalty units.</w:t>
      </w:r>
    </w:p>
    <w:p w:rsidR="003A48A8" w:rsidRPr="00B21E90" w:rsidRDefault="00F67388" w:rsidP="00B21E90">
      <w:pPr>
        <w:pStyle w:val="ActHead5"/>
      </w:pPr>
      <w:bookmarkStart w:id="15" w:name="_Toc64375733"/>
      <w:r w:rsidRPr="00B73DA4">
        <w:rPr>
          <w:rStyle w:val="CharSectno"/>
        </w:rPr>
        <w:t>10C</w:t>
      </w:r>
      <w:r w:rsidRPr="00B21E90">
        <w:t xml:space="preserve">  Secret</w:t>
      </w:r>
      <w:r w:rsidR="003A48A8" w:rsidRPr="00B21E90">
        <w:t xml:space="preserve">ary may </w:t>
      </w:r>
      <w:r w:rsidR="004547BC" w:rsidRPr="00B21E90">
        <w:t>give formal warning to</w:t>
      </w:r>
      <w:r w:rsidR="003A48A8" w:rsidRPr="00B21E90">
        <w:t xml:space="preserve"> recognised vaccination provider</w:t>
      </w:r>
      <w:bookmarkEnd w:id="15"/>
    </w:p>
    <w:p w:rsidR="00F67388" w:rsidRPr="00B21E90" w:rsidRDefault="00F67388" w:rsidP="00B21E90">
      <w:pPr>
        <w:pStyle w:val="subsection"/>
      </w:pPr>
      <w:r w:rsidRPr="00B21E90">
        <w:tab/>
      </w:r>
      <w:r w:rsidRPr="00B21E90">
        <w:tab/>
        <w:t xml:space="preserve">If the Secretary reasonably believes that a recognised vaccination provider may have contravened </w:t>
      </w:r>
      <w:r w:rsidR="007268F4" w:rsidRPr="00B21E90">
        <w:t>subsection 1</w:t>
      </w:r>
      <w:r w:rsidRPr="00B21E90">
        <w:t>0A(1) or (3), the Secretary may, by written notice given to the provider:</w:t>
      </w:r>
    </w:p>
    <w:p w:rsidR="00F67388" w:rsidRPr="00B21E90" w:rsidRDefault="00F67388" w:rsidP="00B21E90">
      <w:pPr>
        <w:pStyle w:val="paragraph"/>
      </w:pPr>
      <w:r w:rsidRPr="00B21E90">
        <w:tab/>
        <w:t>(a)</w:t>
      </w:r>
      <w:r w:rsidRPr="00B21E90">
        <w:tab/>
        <w:t>inform the provider of that matter; and</w:t>
      </w:r>
    </w:p>
    <w:p w:rsidR="00F67388" w:rsidRPr="00B21E90" w:rsidRDefault="00F67388" w:rsidP="00B21E90">
      <w:pPr>
        <w:pStyle w:val="paragraph"/>
      </w:pPr>
      <w:r w:rsidRPr="00B21E90">
        <w:tab/>
        <w:t>(b)</w:t>
      </w:r>
      <w:r w:rsidRPr="00B21E90">
        <w:tab/>
        <w:t xml:space="preserve">warn the provider that </w:t>
      </w:r>
      <w:r w:rsidR="003A48A8" w:rsidRPr="00B21E90">
        <w:t xml:space="preserve">the provider may be liable to a civil penalty under </w:t>
      </w:r>
      <w:r w:rsidR="007268F4" w:rsidRPr="00B21E90">
        <w:t>subsection 1</w:t>
      </w:r>
      <w:r w:rsidR="003A48A8" w:rsidRPr="00B21E90">
        <w:t>0A(5).</w:t>
      </w:r>
    </w:p>
    <w:p w:rsidR="005945AB" w:rsidRPr="00B21E90" w:rsidRDefault="00C824DC" w:rsidP="00B21E90">
      <w:pPr>
        <w:pStyle w:val="ItemHead"/>
      </w:pPr>
      <w:r w:rsidRPr="00B21E90">
        <w:lastRenderedPageBreak/>
        <w:t>8</w:t>
      </w:r>
      <w:r w:rsidR="005945AB" w:rsidRPr="00B21E90">
        <w:t xml:space="preserve">  </w:t>
      </w:r>
      <w:r w:rsidR="00A11023" w:rsidRPr="00B21E90">
        <w:t>Paragraph 1</w:t>
      </w:r>
      <w:r w:rsidR="005945AB" w:rsidRPr="00B21E90">
        <w:t>2(1)(a)</w:t>
      </w:r>
    </w:p>
    <w:p w:rsidR="005945AB" w:rsidRPr="00B21E90" w:rsidRDefault="005945AB" w:rsidP="00B21E90">
      <w:pPr>
        <w:pStyle w:val="Item"/>
      </w:pPr>
      <w:r w:rsidRPr="00B21E90">
        <w:t>Omit “providing”, substitute “reporting”.</w:t>
      </w:r>
    </w:p>
    <w:p w:rsidR="00CC37EC" w:rsidRPr="00B21E90" w:rsidRDefault="00C824DC" w:rsidP="00B21E90">
      <w:pPr>
        <w:pStyle w:val="ItemHead"/>
      </w:pPr>
      <w:r w:rsidRPr="00B21E90">
        <w:t>9</w:t>
      </w:r>
      <w:r w:rsidR="00CC37EC" w:rsidRPr="00B21E90">
        <w:t xml:space="preserve">  </w:t>
      </w:r>
      <w:r w:rsidR="00A11023" w:rsidRPr="00B21E90">
        <w:t>Subparagraph 1</w:t>
      </w:r>
      <w:r w:rsidR="00CC37EC" w:rsidRPr="00B21E90">
        <w:t>2(1)(b)(iii)</w:t>
      </w:r>
    </w:p>
    <w:p w:rsidR="00CC37EC" w:rsidRPr="00B21E90" w:rsidRDefault="00CC37EC" w:rsidP="00B21E90">
      <w:pPr>
        <w:pStyle w:val="Item"/>
      </w:pPr>
      <w:r w:rsidRPr="00B21E90">
        <w:t>Omit “providing”, substitute “reporting”.</w:t>
      </w:r>
    </w:p>
    <w:p w:rsidR="008E20E8" w:rsidRPr="00B21E90" w:rsidRDefault="00C824DC" w:rsidP="00B21E90">
      <w:pPr>
        <w:pStyle w:val="ItemHead"/>
      </w:pPr>
      <w:r w:rsidRPr="00B21E90">
        <w:t>10</w:t>
      </w:r>
      <w:r w:rsidR="008E20E8" w:rsidRPr="00B21E90">
        <w:t xml:space="preserve">  </w:t>
      </w:r>
      <w:r w:rsidR="00400FAE" w:rsidRPr="00B21E90">
        <w:t>Section 2</w:t>
      </w:r>
      <w:r w:rsidR="008E20E8" w:rsidRPr="00B21E90">
        <w:t>8</w:t>
      </w:r>
    </w:p>
    <w:p w:rsidR="008E20E8" w:rsidRPr="00B21E90" w:rsidRDefault="008E20E8" w:rsidP="00B21E90">
      <w:pPr>
        <w:pStyle w:val="Item"/>
      </w:pPr>
      <w:r w:rsidRPr="00B21E90">
        <w:t>After “such as”, insert “civil penalties,”.</w:t>
      </w:r>
    </w:p>
    <w:p w:rsidR="008E20E8" w:rsidRPr="00B21E90" w:rsidRDefault="00C824DC" w:rsidP="00B21E90">
      <w:pPr>
        <w:pStyle w:val="ItemHead"/>
      </w:pPr>
      <w:r w:rsidRPr="00B21E90">
        <w:t>11</w:t>
      </w:r>
      <w:r w:rsidR="008E20E8" w:rsidRPr="00B21E90">
        <w:t xml:space="preserve">  After </w:t>
      </w:r>
      <w:r w:rsidR="00400FAE" w:rsidRPr="00B21E90">
        <w:t>section 2</w:t>
      </w:r>
      <w:r w:rsidR="008E20E8" w:rsidRPr="00B21E90">
        <w:t>8</w:t>
      </w:r>
    </w:p>
    <w:p w:rsidR="008E20E8" w:rsidRPr="00B21E90" w:rsidRDefault="008E20E8" w:rsidP="00B21E90">
      <w:pPr>
        <w:pStyle w:val="Item"/>
      </w:pPr>
      <w:r w:rsidRPr="00B21E90">
        <w:t>Insert:</w:t>
      </w:r>
    </w:p>
    <w:p w:rsidR="008E20E8" w:rsidRPr="00B21E90" w:rsidRDefault="008E20E8" w:rsidP="00B21E90">
      <w:pPr>
        <w:pStyle w:val="ActHead5"/>
      </w:pPr>
      <w:bookmarkStart w:id="16" w:name="_Toc64375734"/>
      <w:r w:rsidRPr="00B73DA4">
        <w:rPr>
          <w:rStyle w:val="CharSectno"/>
        </w:rPr>
        <w:t>28A</w:t>
      </w:r>
      <w:r w:rsidRPr="00B21E90">
        <w:t xml:space="preserve">  Civil penalty provisions</w:t>
      </w:r>
      <w:bookmarkEnd w:id="16"/>
    </w:p>
    <w:p w:rsidR="008E20E8" w:rsidRPr="00B21E90" w:rsidRDefault="008E20E8" w:rsidP="00B21E90">
      <w:pPr>
        <w:pStyle w:val="SubsectionHead"/>
      </w:pPr>
      <w:r w:rsidRPr="00B21E90">
        <w:t>Enforceable civil penalty provisions</w:t>
      </w:r>
    </w:p>
    <w:p w:rsidR="008E20E8" w:rsidRPr="00B21E90" w:rsidRDefault="008E20E8" w:rsidP="00B21E90">
      <w:pPr>
        <w:pStyle w:val="subsection"/>
      </w:pPr>
      <w:r w:rsidRPr="00B21E90">
        <w:tab/>
        <w:t>(1)</w:t>
      </w:r>
      <w:r w:rsidRPr="00B21E90">
        <w:tab/>
        <w:t>Each civil penalty provision of this Act is enforceable under Part 4 of the Regulatory Powers Act.</w:t>
      </w:r>
    </w:p>
    <w:p w:rsidR="008E20E8" w:rsidRPr="00B21E90" w:rsidRDefault="008E20E8" w:rsidP="00B21E90">
      <w:pPr>
        <w:pStyle w:val="notetext"/>
      </w:pPr>
      <w:r w:rsidRPr="00B21E90">
        <w:t>Note:</w:t>
      </w:r>
      <w:r w:rsidRPr="00B21E90">
        <w:tab/>
        <w:t>Part 4 of the Regulatory Powers Act allows a civil penalty provision to be enforced by obtaining an order for a person to pay a pecuniary penalty for the contravention of the provision.</w:t>
      </w:r>
    </w:p>
    <w:p w:rsidR="008E20E8" w:rsidRPr="00B21E90" w:rsidRDefault="008E20E8" w:rsidP="00B21E90">
      <w:pPr>
        <w:pStyle w:val="SubsectionHead"/>
      </w:pPr>
      <w:r w:rsidRPr="00B21E90">
        <w:t>Authorised applicant</w:t>
      </w:r>
    </w:p>
    <w:p w:rsidR="008E20E8" w:rsidRPr="00B21E90" w:rsidRDefault="008E20E8" w:rsidP="00B21E90">
      <w:pPr>
        <w:pStyle w:val="subsection"/>
      </w:pPr>
      <w:r w:rsidRPr="00B21E90">
        <w:tab/>
        <w:t>(2)</w:t>
      </w:r>
      <w:r w:rsidRPr="00B21E90">
        <w:tab/>
        <w:t>For the purposes of Part 4 of the Regulatory Powers Act, each of the following persons is an authorised applicant in relation to the civil penalty provisions of this Act:</w:t>
      </w:r>
    </w:p>
    <w:p w:rsidR="008E20E8" w:rsidRPr="00B21E90" w:rsidRDefault="008E20E8" w:rsidP="00B21E90">
      <w:pPr>
        <w:pStyle w:val="paragraph"/>
      </w:pPr>
      <w:r w:rsidRPr="00B21E90">
        <w:tab/>
        <w:t>(a)</w:t>
      </w:r>
      <w:r w:rsidRPr="00B21E90">
        <w:tab/>
        <w:t>the Secretary;</w:t>
      </w:r>
    </w:p>
    <w:p w:rsidR="008E20E8" w:rsidRPr="00B21E90" w:rsidRDefault="008E20E8" w:rsidP="00B21E90">
      <w:pPr>
        <w:pStyle w:val="paragraph"/>
      </w:pPr>
      <w:r w:rsidRPr="00B21E90">
        <w:tab/>
        <w:t>(b)</w:t>
      </w:r>
      <w:r w:rsidRPr="00B21E90">
        <w:tab/>
        <w:t>an S</w:t>
      </w:r>
      <w:bookmarkStart w:id="17" w:name="BK_S3P7L21C10"/>
      <w:bookmarkEnd w:id="17"/>
      <w:r w:rsidRPr="00B21E90">
        <w:t>ES employee, or an acting SES employee, in the Department</w:t>
      </w:r>
      <w:r w:rsidR="003A48A8" w:rsidRPr="00B21E90">
        <w:t>.</w:t>
      </w:r>
    </w:p>
    <w:p w:rsidR="008E20E8" w:rsidRPr="00B21E90" w:rsidRDefault="008E20E8" w:rsidP="00B21E90">
      <w:pPr>
        <w:pStyle w:val="SubsectionHead"/>
      </w:pPr>
      <w:r w:rsidRPr="00B21E90">
        <w:t>Relevant court</w:t>
      </w:r>
    </w:p>
    <w:p w:rsidR="008E20E8" w:rsidRPr="00B21E90" w:rsidRDefault="008E20E8" w:rsidP="00B21E90">
      <w:pPr>
        <w:pStyle w:val="subsection"/>
      </w:pPr>
      <w:r w:rsidRPr="00B21E90">
        <w:tab/>
        <w:t>(3)</w:t>
      </w:r>
      <w:r w:rsidRPr="00B21E90">
        <w:tab/>
        <w:t>For the purposes of Part 4 of the Regulatory Powers Act, each of the following courts is a relevant court in relation to the civil penalty provisions of this Act:</w:t>
      </w:r>
    </w:p>
    <w:p w:rsidR="008E20E8" w:rsidRPr="00B21E90" w:rsidRDefault="008E20E8" w:rsidP="00B21E90">
      <w:pPr>
        <w:pStyle w:val="paragraph"/>
      </w:pPr>
      <w:r w:rsidRPr="00B21E90">
        <w:tab/>
        <w:t>(a)</w:t>
      </w:r>
      <w:r w:rsidRPr="00B21E90">
        <w:tab/>
        <w:t>the Federal Court of Australia;</w:t>
      </w:r>
    </w:p>
    <w:p w:rsidR="008E20E8" w:rsidRPr="00B21E90" w:rsidRDefault="008E20E8" w:rsidP="00B21E90">
      <w:pPr>
        <w:pStyle w:val="paragraph"/>
      </w:pPr>
      <w:r w:rsidRPr="00B21E90">
        <w:tab/>
        <w:t>(b)</w:t>
      </w:r>
      <w:r w:rsidRPr="00B21E90">
        <w:tab/>
        <w:t>the Federal Circuit Court of Australia;</w:t>
      </w:r>
    </w:p>
    <w:p w:rsidR="008E20E8" w:rsidRPr="00B21E90" w:rsidRDefault="008E20E8" w:rsidP="00B21E90">
      <w:pPr>
        <w:pStyle w:val="paragraph"/>
      </w:pPr>
      <w:r w:rsidRPr="00B21E90">
        <w:tab/>
        <w:t>(c)</w:t>
      </w:r>
      <w:r w:rsidRPr="00B21E90">
        <w:tab/>
        <w:t>a court of a State or Territory that has jurisdiction in relation to the matter.</w:t>
      </w:r>
    </w:p>
    <w:p w:rsidR="003A48A8" w:rsidRPr="00B21E90" w:rsidRDefault="00C824DC" w:rsidP="00B21E90">
      <w:pPr>
        <w:pStyle w:val="ItemHead"/>
      </w:pPr>
      <w:r w:rsidRPr="00B21E90">
        <w:lastRenderedPageBreak/>
        <w:t>12</w:t>
      </w:r>
      <w:r w:rsidR="003A48A8" w:rsidRPr="00B21E90">
        <w:t xml:space="preserve">  Before </w:t>
      </w:r>
      <w:r w:rsidR="007268F4" w:rsidRPr="00B21E90">
        <w:t>subsection 3</w:t>
      </w:r>
      <w:r w:rsidR="003A48A8" w:rsidRPr="00B21E90">
        <w:t>0(1)</w:t>
      </w:r>
    </w:p>
    <w:p w:rsidR="003A48A8" w:rsidRPr="00B21E90" w:rsidRDefault="003A48A8" w:rsidP="00B21E90">
      <w:pPr>
        <w:pStyle w:val="Item"/>
      </w:pPr>
      <w:r w:rsidRPr="00B21E90">
        <w:t>Insert:</w:t>
      </w:r>
    </w:p>
    <w:p w:rsidR="003A48A8" w:rsidRPr="00B21E90" w:rsidRDefault="003A48A8" w:rsidP="00B21E90">
      <w:pPr>
        <w:pStyle w:val="SubsectionHead"/>
      </w:pPr>
      <w:r w:rsidRPr="00B21E90">
        <w:t>Delegation by the Minister</w:t>
      </w:r>
    </w:p>
    <w:p w:rsidR="003A48A8" w:rsidRPr="00B21E90" w:rsidRDefault="00C824DC" w:rsidP="00B21E90">
      <w:pPr>
        <w:pStyle w:val="ItemHead"/>
      </w:pPr>
      <w:r w:rsidRPr="00B21E90">
        <w:t>13</w:t>
      </w:r>
      <w:r w:rsidR="0067423D" w:rsidRPr="00B21E90">
        <w:t xml:space="preserve">  At the end of </w:t>
      </w:r>
      <w:r w:rsidR="007268F4" w:rsidRPr="00B21E90">
        <w:t>section 3</w:t>
      </w:r>
      <w:r w:rsidR="003A48A8" w:rsidRPr="00B21E90">
        <w:t>0</w:t>
      </w:r>
    </w:p>
    <w:p w:rsidR="003A48A8" w:rsidRPr="00B21E90" w:rsidRDefault="003A48A8" w:rsidP="00B21E90">
      <w:pPr>
        <w:pStyle w:val="Item"/>
      </w:pPr>
      <w:r w:rsidRPr="00B21E90">
        <w:t>Add:</w:t>
      </w:r>
    </w:p>
    <w:p w:rsidR="003A48A8" w:rsidRPr="00B21E90" w:rsidRDefault="003A48A8" w:rsidP="00B21E90">
      <w:pPr>
        <w:pStyle w:val="SubsectionHead"/>
      </w:pPr>
      <w:r w:rsidRPr="00B21E90">
        <w:t>Delegation by the Secretary</w:t>
      </w:r>
    </w:p>
    <w:p w:rsidR="003A48A8" w:rsidRPr="00B21E90" w:rsidRDefault="003A48A8" w:rsidP="00B21E90">
      <w:pPr>
        <w:pStyle w:val="subsection"/>
      </w:pPr>
      <w:r w:rsidRPr="00B21E90">
        <w:tab/>
        <w:t>(4)</w:t>
      </w:r>
      <w:r w:rsidRPr="00B21E90">
        <w:tab/>
        <w:t xml:space="preserve">The Secretary may, in writing, delegate the Secretary’s functions or powers under </w:t>
      </w:r>
      <w:r w:rsidR="007268F4" w:rsidRPr="00B21E90">
        <w:t>section 1</w:t>
      </w:r>
      <w:r w:rsidR="005B058E" w:rsidRPr="00B21E90">
        <w:t xml:space="preserve">0B or 10C of </w:t>
      </w:r>
      <w:r w:rsidRPr="00B21E90">
        <w:t>this Act to an S</w:t>
      </w:r>
      <w:bookmarkStart w:id="18" w:name="BK_S3P8L10C55"/>
      <w:bookmarkEnd w:id="18"/>
      <w:r w:rsidRPr="00B21E90">
        <w:t>ES employee, or an acting SES employee, in the Department.</w:t>
      </w:r>
    </w:p>
    <w:p w:rsidR="003A48A8" w:rsidRPr="00B21E90" w:rsidRDefault="003A48A8" w:rsidP="00B21E90">
      <w:pPr>
        <w:pStyle w:val="subsection"/>
      </w:pPr>
      <w:r w:rsidRPr="00B21E90">
        <w:tab/>
        <w:t>(5)</w:t>
      </w:r>
      <w:r w:rsidRPr="00B21E90">
        <w:tab/>
        <w:t>In performing a function, or exercising a power, under a delegation, the delegate must comply with any directions of the Secretary.</w:t>
      </w:r>
    </w:p>
    <w:p w:rsidR="00F07293" w:rsidRPr="00B21E90" w:rsidRDefault="00400FAE" w:rsidP="00B21E90">
      <w:pPr>
        <w:pStyle w:val="ActHead7"/>
        <w:pageBreakBefore/>
      </w:pPr>
      <w:bookmarkStart w:id="19" w:name="_Toc64375735"/>
      <w:r w:rsidRPr="00B73DA4">
        <w:rPr>
          <w:rStyle w:val="CharAmPartNo"/>
        </w:rPr>
        <w:lastRenderedPageBreak/>
        <w:t>Part 2</w:t>
      </w:r>
      <w:r w:rsidR="00221D87" w:rsidRPr="00B21E90">
        <w:t>—</w:t>
      </w:r>
      <w:r w:rsidR="00221D87" w:rsidRPr="00B73DA4">
        <w:rPr>
          <w:rStyle w:val="CharAmPartText"/>
        </w:rPr>
        <w:t>Contingent amendments</w:t>
      </w:r>
      <w:bookmarkEnd w:id="19"/>
    </w:p>
    <w:p w:rsidR="00221D87" w:rsidRPr="00B21E90" w:rsidRDefault="00221D87" w:rsidP="00B21E90">
      <w:pPr>
        <w:pStyle w:val="ActHead9"/>
        <w:rPr>
          <w:i w:val="0"/>
        </w:rPr>
      </w:pPr>
      <w:bookmarkStart w:id="20" w:name="_Toc64375736"/>
      <w:r w:rsidRPr="00B21E90">
        <w:t>Australian Immunisation Register Act 2015</w:t>
      </w:r>
      <w:bookmarkEnd w:id="20"/>
    </w:p>
    <w:p w:rsidR="00221D87" w:rsidRPr="00B21E90" w:rsidRDefault="00C824DC" w:rsidP="00B21E90">
      <w:pPr>
        <w:pStyle w:val="ItemHead"/>
      </w:pPr>
      <w:r w:rsidRPr="00B21E90">
        <w:t>14</w:t>
      </w:r>
      <w:r w:rsidR="00221D87" w:rsidRPr="00B21E90">
        <w:t xml:space="preserve">  </w:t>
      </w:r>
      <w:r w:rsidR="00400FAE" w:rsidRPr="00B21E90">
        <w:t>Paragraph 2</w:t>
      </w:r>
      <w:r w:rsidR="00221D87" w:rsidRPr="00B21E90">
        <w:t>8A(3)(b)</w:t>
      </w:r>
    </w:p>
    <w:p w:rsidR="00221D87" w:rsidRPr="00B21E90" w:rsidRDefault="00221D87" w:rsidP="00B21E90">
      <w:pPr>
        <w:pStyle w:val="Item"/>
      </w:pPr>
      <w:r w:rsidRPr="00B21E90">
        <w:t>Repeal the paragraph, substitute:</w:t>
      </w:r>
    </w:p>
    <w:p w:rsidR="00221D87" w:rsidRDefault="00221D87" w:rsidP="00B21E90">
      <w:pPr>
        <w:pStyle w:val="paragraph"/>
      </w:pPr>
      <w:r w:rsidRPr="00B21E90">
        <w:tab/>
        <w:t>(b)</w:t>
      </w:r>
      <w:r w:rsidRPr="00B21E90">
        <w:tab/>
        <w:t>the Federal Circuit and Family Court of Australia (</w:t>
      </w:r>
      <w:r w:rsidR="00400FAE" w:rsidRPr="00B21E90">
        <w:t>Division 2</w:t>
      </w:r>
      <w:r w:rsidRPr="00B21E90">
        <w:t>);</w:t>
      </w:r>
    </w:p>
    <w:p w:rsidR="003272C5" w:rsidRPr="00F02B56" w:rsidRDefault="003272C5" w:rsidP="003272C5"/>
    <w:p w:rsidR="003272C5" w:rsidRDefault="003272C5" w:rsidP="003272C5">
      <w:pPr>
        <w:pStyle w:val="AssentBk"/>
        <w:keepNext/>
      </w:pPr>
    </w:p>
    <w:p w:rsidR="003272C5" w:rsidRDefault="003272C5" w:rsidP="003272C5">
      <w:pPr>
        <w:pStyle w:val="AssentBk"/>
        <w:keepNext/>
      </w:pPr>
    </w:p>
    <w:p w:rsidR="003272C5" w:rsidRDefault="003272C5" w:rsidP="003272C5">
      <w:pPr>
        <w:pStyle w:val="2ndRd"/>
        <w:keepNext/>
        <w:pBdr>
          <w:top w:val="single" w:sz="2" w:space="1" w:color="auto"/>
        </w:pBdr>
      </w:pPr>
    </w:p>
    <w:p w:rsidR="003272C5" w:rsidRDefault="003272C5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3272C5" w:rsidRDefault="003272C5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 December 2020</w:t>
      </w:r>
    </w:p>
    <w:p w:rsidR="003272C5" w:rsidRDefault="003272C5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4 February 2021</w:t>
      </w:r>
      <w:r>
        <w:t>]</w:t>
      </w:r>
    </w:p>
    <w:p w:rsidR="003272C5" w:rsidRDefault="003272C5" w:rsidP="000C5962"/>
    <w:p w:rsidR="0000067D" w:rsidRPr="003272C5" w:rsidRDefault="003272C5" w:rsidP="00B059DD">
      <w:pPr>
        <w:framePr w:hSpace="180" w:wrap="around" w:vAnchor="text" w:hAnchor="page" w:x="2371" w:y="5866"/>
      </w:pPr>
      <w:r>
        <w:t>(168/20)</w:t>
      </w:r>
    </w:p>
    <w:p w:rsidR="003272C5" w:rsidRDefault="003272C5"/>
    <w:sectPr w:rsidR="003272C5" w:rsidSect="000006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10" w:bottom="4537" w:left="2410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72" w:rsidRDefault="00BB1772" w:rsidP="0048364F">
      <w:pPr>
        <w:spacing w:line="240" w:lineRule="auto"/>
      </w:pPr>
      <w:r>
        <w:separator/>
      </w:r>
    </w:p>
  </w:endnote>
  <w:endnote w:type="continuationSeparator" w:id="0">
    <w:p w:rsidR="00BB1772" w:rsidRDefault="00BB177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5F1388" w:rsidRDefault="00BB1772" w:rsidP="00B21E9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C5" w:rsidRDefault="003272C5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3272C5" w:rsidRDefault="003272C5" w:rsidP="00CD12A5"/>
  <w:p w:rsidR="00BB1772" w:rsidRDefault="00BB1772" w:rsidP="00B21E90">
    <w:pPr>
      <w:pStyle w:val="Footer"/>
      <w:spacing w:before="120"/>
    </w:pPr>
  </w:p>
  <w:p w:rsidR="00BB1772" w:rsidRPr="005F1388" w:rsidRDefault="00BB1772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ED79B6" w:rsidRDefault="00BB1772" w:rsidP="00B21E9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Default="00BB1772" w:rsidP="00B21E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BB1772" w:rsidTr="007279CF">
      <w:tc>
        <w:tcPr>
          <w:tcW w:w="646" w:type="dxa"/>
        </w:tcPr>
        <w:p w:rsidR="00BB1772" w:rsidRDefault="00BB1772" w:rsidP="007279CF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797D">
            <w:rPr>
              <w:i/>
              <w:noProof/>
              <w:sz w:val="18"/>
            </w:rPr>
            <w:t>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1772" w:rsidRDefault="00BB1772" w:rsidP="007279CF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Australian Immunisation Register Amendment (Reporting)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BB1772" w:rsidRDefault="00BB1772" w:rsidP="007279C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No. 1, 2021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1772" w:rsidRDefault="00BB177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Default="00BB1772" w:rsidP="00B21E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B1772" w:rsidTr="007279CF">
      <w:tc>
        <w:tcPr>
          <w:tcW w:w="1247" w:type="dxa"/>
        </w:tcPr>
        <w:p w:rsidR="00BB1772" w:rsidRDefault="00BB1772" w:rsidP="007279CF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No. 1,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1772" w:rsidRDefault="00BB1772" w:rsidP="007279CF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Australian Immunisation Register Amendment (Reporting)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BB1772" w:rsidRDefault="00BB1772" w:rsidP="007279C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797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1772" w:rsidRPr="00ED79B6" w:rsidRDefault="00BB1772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A961C4" w:rsidRDefault="00BB1772" w:rsidP="00B21E90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BB1772" w:rsidTr="00B73DA4">
      <w:tc>
        <w:tcPr>
          <w:tcW w:w="646" w:type="dxa"/>
        </w:tcPr>
        <w:p w:rsidR="00BB1772" w:rsidRDefault="00BB1772" w:rsidP="007279C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noProof/>
              <w:sz w:val="18"/>
            </w:rPr>
            <w:t>10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1772" w:rsidRDefault="00BB1772" w:rsidP="007279C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Australian Immunisation Register Amendment (Reporting)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BB1772" w:rsidRDefault="00BB1772" w:rsidP="007279C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No. 1, 2021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BB1772" w:rsidRPr="00A961C4" w:rsidRDefault="00BB1772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A961C4" w:rsidRDefault="00BB1772" w:rsidP="00B21E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B1772" w:rsidTr="00B73DA4">
      <w:tc>
        <w:tcPr>
          <w:tcW w:w="1247" w:type="dxa"/>
        </w:tcPr>
        <w:p w:rsidR="00BB1772" w:rsidRDefault="00BB1772" w:rsidP="007279C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No. 1,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1772" w:rsidRDefault="00BB1772" w:rsidP="007279C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Australian Immunisation Register Amendment (Reporting)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BB1772" w:rsidRDefault="00BB1772" w:rsidP="007279C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noProof/>
              <w:sz w:val="18"/>
            </w:rPr>
            <w:t>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BB1772" w:rsidRPr="00055B5C" w:rsidRDefault="00BB1772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A961C4" w:rsidRDefault="00BB1772" w:rsidP="00B21E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"/>
      <w:gridCol w:w="5214"/>
      <w:gridCol w:w="654"/>
    </w:tblGrid>
    <w:tr w:rsidR="00BB1772" w:rsidTr="00B73DA4">
      <w:tc>
        <w:tcPr>
          <w:tcW w:w="1247" w:type="dxa"/>
        </w:tcPr>
        <w:p w:rsidR="00BB1772" w:rsidRDefault="00BB1772" w:rsidP="007279C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No. 1,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1772" w:rsidRDefault="00BB1772" w:rsidP="007279C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sz w:val="18"/>
            </w:rPr>
            <w:t>Australian Immunisation Register Amendment (Reporting)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BB1772" w:rsidRDefault="00BB1772" w:rsidP="007279C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E797D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BB1772" w:rsidRPr="00A961C4" w:rsidRDefault="00BB1772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72" w:rsidRDefault="00BB1772" w:rsidP="0048364F">
      <w:pPr>
        <w:spacing w:line="240" w:lineRule="auto"/>
      </w:pPr>
      <w:r>
        <w:separator/>
      </w:r>
    </w:p>
  </w:footnote>
  <w:footnote w:type="continuationSeparator" w:id="0">
    <w:p w:rsidR="00BB1772" w:rsidRDefault="00BB177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5F1388" w:rsidRDefault="00BB1772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5F1388" w:rsidRDefault="00BB1772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5F1388" w:rsidRDefault="00BB177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ED79B6" w:rsidRDefault="00BB1772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ED79B6" w:rsidRDefault="00BB1772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ED79B6" w:rsidRDefault="00BB177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A961C4" w:rsidRDefault="00BB177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BB1772" w:rsidRPr="00A961C4" w:rsidRDefault="00BB177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B1772" w:rsidRPr="00A961C4" w:rsidRDefault="00BB1772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A961C4" w:rsidRDefault="00BB177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F33846">
      <w:rPr>
        <w:sz w:val="20"/>
      </w:rPr>
      <w:fldChar w:fldCharType="separate"/>
    </w:r>
    <w:r w:rsidR="00F3384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33846">
      <w:rPr>
        <w:b/>
        <w:sz w:val="20"/>
      </w:rPr>
      <w:fldChar w:fldCharType="separate"/>
    </w:r>
    <w:r w:rsidR="00F3384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BB1772" w:rsidRPr="00A961C4" w:rsidRDefault="00BB177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F33846">
      <w:rPr>
        <w:sz w:val="20"/>
      </w:rPr>
      <w:fldChar w:fldCharType="separate"/>
    </w:r>
    <w:r w:rsidR="00F33846">
      <w:rPr>
        <w:noProof/>
        <w:sz w:val="20"/>
      </w:rPr>
      <w:t>Main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F33846">
      <w:rPr>
        <w:b/>
        <w:sz w:val="20"/>
      </w:rPr>
      <w:fldChar w:fldCharType="separate"/>
    </w:r>
    <w:r w:rsidR="00F33846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:rsidR="00BB1772" w:rsidRPr="00A961C4" w:rsidRDefault="00BB1772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2" w:rsidRPr="00A961C4" w:rsidRDefault="00BB177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CF"/>
    <w:rsid w:val="0000067D"/>
    <w:rsid w:val="000113BC"/>
    <w:rsid w:val="000136AF"/>
    <w:rsid w:val="000417C9"/>
    <w:rsid w:val="00055B5C"/>
    <w:rsid w:val="00056391"/>
    <w:rsid w:val="00060FF9"/>
    <w:rsid w:val="000614BF"/>
    <w:rsid w:val="000652B9"/>
    <w:rsid w:val="00094F4A"/>
    <w:rsid w:val="000A2DE5"/>
    <w:rsid w:val="000A7434"/>
    <w:rsid w:val="000B1FD2"/>
    <w:rsid w:val="000D05EF"/>
    <w:rsid w:val="000D6335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633C"/>
    <w:rsid w:val="001B7A5D"/>
    <w:rsid w:val="001C2418"/>
    <w:rsid w:val="001C4BFF"/>
    <w:rsid w:val="001C69C4"/>
    <w:rsid w:val="001E3590"/>
    <w:rsid w:val="001E68F2"/>
    <w:rsid w:val="001E7407"/>
    <w:rsid w:val="00201D27"/>
    <w:rsid w:val="00202618"/>
    <w:rsid w:val="00210995"/>
    <w:rsid w:val="00221D87"/>
    <w:rsid w:val="00225728"/>
    <w:rsid w:val="0022701A"/>
    <w:rsid w:val="00240749"/>
    <w:rsid w:val="00261FD1"/>
    <w:rsid w:val="00263820"/>
    <w:rsid w:val="00263853"/>
    <w:rsid w:val="00265E2B"/>
    <w:rsid w:val="00267635"/>
    <w:rsid w:val="00275197"/>
    <w:rsid w:val="0027551B"/>
    <w:rsid w:val="00293B89"/>
    <w:rsid w:val="00297ECB"/>
    <w:rsid w:val="002B5A30"/>
    <w:rsid w:val="002D043A"/>
    <w:rsid w:val="002D395A"/>
    <w:rsid w:val="002D751C"/>
    <w:rsid w:val="003272C5"/>
    <w:rsid w:val="003415D3"/>
    <w:rsid w:val="00350417"/>
    <w:rsid w:val="00352B0F"/>
    <w:rsid w:val="00366A94"/>
    <w:rsid w:val="00373874"/>
    <w:rsid w:val="00375C6C"/>
    <w:rsid w:val="0037767E"/>
    <w:rsid w:val="0039367D"/>
    <w:rsid w:val="003961DE"/>
    <w:rsid w:val="003A48A8"/>
    <w:rsid w:val="003A7B3C"/>
    <w:rsid w:val="003B0AC6"/>
    <w:rsid w:val="003B4E3D"/>
    <w:rsid w:val="003C5F2B"/>
    <w:rsid w:val="003D0BFE"/>
    <w:rsid w:val="003D2B6D"/>
    <w:rsid w:val="003D2D5A"/>
    <w:rsid w:val="003D46CF"/>
    <w:rsid w:val="003D5700"/>
    <w:rsid w:val="003E797D"/>
    <w:rsid w:val="00400FAE"/>
    <w:rsid w:val="00405579"/>
    <w:rsid w:val="00410B8E"/>
    <w:rsid w:val="004116CD"/>
    <w:rsid w:val="00421FC1"/>
    <w:rsid w:val="004229C7"/>
    <w:rsid w:val="00424CA9"/>
    <w:rsid w:val="0042617D"/>
    <w:rsid w:val="00436785"/>
    <w:rsid w:val="00436BD5"/>
    <w:rsid w:val="00437E4B"/>
    <w:rsid w:val="0044291A"/>
    <w:rsid w:val="004547BC"/>
    <w:rsid w:val="00472E1E"/>
    <w:rsid w:val="0048196B"/>
    <w:rsid w:val="0048364F"/>
    <w:rsid w:val="00486D05"/>
    <w:rsid w:val="004933E0"/>
    <w:rsid w:val="00496F97"/>
    <w:rsid w:val="004B6AF3"/>
    <w:rsid w:val="004C7C8C"/>
    <w:rsid w:val="004C7ECC"/>
    <w:rsid w:val="004E2A4A"/>
    <w:rsid w:val="004E752D"/>
    <w:rsid w:val="004E7A91"/>
    <w:rsid w:val="004F0D23"/>
    <w:rsid w:val="004F1FAC"/>
    <w:rsid w:val="00516B8D"/>
    <w:rsid w:val="00537FBC"/>
    <w:rsid w:val="00543469"/>
    <w:rsid w:val="0054453E"/>
    <w:rsid w:val="00551B54"/>
    <w:rsid w:val="0056525A"/>
    <w:rsid w:val="00567DA0"/>
    <w:rsid w:val="00584811"/>
    <w:rsid w:val="00593AA6"/>
    <w:rsid w:val="00594161"/>
    <w:rsid w:val="005945AB"/>
    <w:rsid w:val="00594749"/>
    <w:rsid w:val="005A0D92"/>
    <w:rsid w:val="005A5A60"/>
    <w:rsid w:val="005A6F96"/>
    <w:rsid w:val="005B058E"/>
    <w:rsid w:val="005B4067"/>
    <w:rsid w:val="005C3F41"/>
    <w:rsid w:val="005C72D5"/>
    <w:rsid w:val="005E152A"/>
    <w:rsid w:val="005E1C89"/>
    <w:rsid w:val="00600219"/>
    <w:rsid w:val="006167FD"/>
    <w:rsid w:val="00616B20"/>
    <w:rsid w:val="00634661"/>
    <w:rsid w:val="00637969"/>
    <w:rsid w:val="00641DE5"/>
    <w:rsid w:val="00656F0C"/>
    <w:rsid w:val="00662284"/>
    <w:rsid w:val="00667801"/>
    <w:rsid w:val="0067423D"/>
    <w:rsid w:val="00677CC2"/>
    <w:rsid w:val="00681F92"/>
    <w:rsid w:val="006842C2"/>
    <w:rsid w:val="0068450A"/>
    <w:rsid w:val="00685F42"/>
    <w:rsid w:val="0069207B"/>
    <w:rsid w:val="006A4B23"/>
    <w:rsid w:val="006B73F0"/>
    <w:rsid w:val="006C0C18"/>
    <w:rsid w:val="006C2874"/>
    <w:rsid w:val="006C7F8C"/>
    <w:rsid w:val="006D380D"/>
    <w:rsid w:val="006E0135"/>
    <w:rsid w:val="006E0F78"/>
    <w:rsid w:val="006E303A"/>
    <w:rsid w:val="006F7E19"/>
    <w:rsid w:val="00700B2C"/>
    <w:rsid w:val="00705357"/>
    <w:rsid w:val="00712D8D"/>
    <w:rsid w:val="00713084"/>
    <w:rsid w:val="00714B26"/>
    <w:rsid w:val="00722AE8"/>
    <w:rsid w:val="007268F4"/>
    <w:rsid w:val="007279CF"/>
    <w:rsid w:val="00731E00"/>
    <w:rsid w:val="007440B7"/>
    <w:rsid w:val="007634AD"/>
    <w:rsid w:val="007715C9"/>
    <w:rsid w:val="00774EDD"/>
    <w:rsid w:val="007757EC"/>
    <w:rsid w:val="007A7EF5"/>
    <w:rsid w:val="007B30AA"/>
    <w:rsid w:val="007E7D4A"/>
    <w:rsid w:val="008006CC"/>
    <w:rsid w:val="00807F18"/>
    <w:rsid w:val="00831E8D"/>
    <w:rsid w:val="00837718"/>
    <w:rsid w:val="00853FB7"/>
    <w:rsid w:val="00856A31"/>
    <w:rsid w:val="00857D6B"/>
    <w:rsid w:val="00874AAF"/>
    <w:rsid w:val="008754D0"/>
    <w:rsid w:val="00877A46"/>
    <w:rsid w:val="00877D48"/>
    <w:rsid w:val="008827E1"/>
    <w:rsid w:val="00883781"/>
    <w:rsid w:val="00885570"/>
    <w:rsid w:val="00893958"/>
    <w:rsid w:val="008A2E77"/>
    <w:rsid w:val="008C6F6F"/>
    <w:rsid w:val="008D0EE0"/>
    <w:rsid w:val="008D2395"/>
    <w:rsid w:val="008D3E94"/>
    <w:rsid w:val="008E1397"/>
    <w:rsid w:val="008E20E8"/>
    <w:rsid w:val="008E3E39"/>
    <w:rsid w:val="008F4F1C"/>
    <w:rsid w:val="008F501A"/>
    <w:rsid w:val="008F77C4"/>
    <w:rsid w:val="00905AF3"/>
    <w:rsid w:val="009103F3"/>
    <w:rsid w:val="00917765"/>
    <w:rsid w:val="00932377"/>
    <w:rsid w:val="009634EA"/>
    <w:rsid w:val="00967042"/>
    <w:rsid w:val="0098255A"/>
    <w:rsid w:val="009845BE"/>
    <w:rsid w:val="00984841"/>
    <w:rsid w:val="009969C9"/>
    <w:rsid w:val="009D02AB"/>
    <w:rsid w:val="009F7BD0"/>
    <w:rsid w:val="00A02FC6"/>
    <w:rsid w:val="00A048FF"/>
    <w:rsid w:val="00A10775"/>
    <w:rsid w:val="00A10F8E"/>
    <w:rsid w:val="00A11023"/>
    <w:rsid w:val="00A1577E"/>
    <w:rsid w:val="00A231E2"/>
    <w:rsid w:val="00A313A5"/>
    <w:rsid w:val="00A36C48"/>
    <w:rsid w:val="00A41E0B"/>
    <w:rsid w:val="00A55631"/>
    <w:rsid w:val="00A626FA"/>
    <w:rsid w:val="00A64912"/>
    <w:rsid w:val="00A70A74"/>
    <w:rsid w:val="00A83AD8"/>
    <w:rsid w:val="00AA3795"/>
    <w:rsid w:val="00AC1E75"/>
    <w:rsid w:val="00AD2621"/>
    <w:rsid w:val="00AD5641"/>
    <w:rsid w:val="00AE1088"/>
    <w:rsid w:val="00AE425E"/>
    <w:rsid w:val="00AF1BA4"/>
    <w:rsid w:val="00AF407B"/>
    <w:rsid w:val="00AF46CA"/>
    <w:rsid w:val="00AF69E4"/>
    <w:rsid w:val="00B032D8"/>
    <w:rsid w:val="00B059DD"/>
    <w:rsid w:val="00B11A10"/>
    <w:rsid w:val="00B21E90"/>
    <w:rsid w:val="00B33B3C"/>
    <w:rsid w:val="00B3465F"/>
    <w:rsid w:val="00B46EEC"/>
    <w:rsid w:val="00B62115"/>
    <w:rsid w:val="00B6382D"/>
    <w:rsid w:val="00B65371"/>
    <w:rsid w:val="00B73DA4"/>
    <w:rsid w:val="00B90D3E"/>
    <w:rsid w:val="00BA5026"/>
    <w:rsid w:val="00BB1772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33A4E"/>
    <w:rsid w:val="00C40A37"/>
    <w:rsid w:val="00C41518"/>
    <w:rsid w:val="00C42BF8"/>
    <w:rsid w:val="00C460AE"/>
    <w:rsid w:val="00C50043"/>
    <w:rsid w:val="00C54E84"/>
    <w:rsid w:val="00C7573B"/>
    <w:rsid w:val="00C76CF3"/>
    <w:rsid w:val="00C824DC"/>
    <w:rsid w:val="00CA0AE9"/>
    <w:rsid w:val="00CA212B"/>
    <w:rsid w:val="00CB4057"/>
    <w:rsid w:val="00CC37EC"/>
    <w:rsid w:val="00CE1E31"/>
    <w:rsid w:val="00CF0BB2"/>
    <w:rsid w:val="00D00EAA"/>
    <w:rsid w:val="00D13441"/>
    <w:rsid w:val="00D154A7"/>
    <w:rsid w:val="00D243A3"/>
    <w:rsid w:val="00D3229D"/>
    <w:rsid w:val="00D477C3"/>
    <w:rsid w:val="00D52EFE"/>
    <w:rsid w:val="00D5347C"/>
    <w:rsid w:val="00D63EF6"/>
    <w:rsid w:val="00D70DFB"/>
    <w:rsid w:val="00D73029"/>
    <w:rsid w:val="00D7361B"/>
    <w:rsid w:val="00D766DF"/>
    <w:rsid w:val="00DA2335"/>
    <w:rsid w:val="00DA3632"/>
    <w:rsid w:val="00DE2002"/>
    <w:rsid w:val="00DE2008"/>
    <w:rsid w:val="00DF7AE9"/>
    <w:rsid w:val="00E05704"/>
    <w:rsid w:val="00E24D66"/>
    <w:rsid w:val="00E54292"/>
    <w:rsid w:val="00E74DC7"/>
    <w:rsid w:val="00E84ECA"/>
    <w:rsid w:val="00E87699"/>
    <w:rsid w:val="00E947C6"/>
    <w:rsid w:val="00EA3163"/>
    <w:rsid w:val="00EA61CB"/>
    <w:rsid w:val="00EB510C"/>
    <w:rsid w:val="00EC056B"/>
    <w:rsid w:val="00ED492F"/>
    <w:rsid w:val="00EE3E36"/>
    <w:rsid w:val="00EF2E3A"/>
    <w:rsid w:val="00EF496A"/>
    <w:rsid w:val="00F047E2"/>
    <w:rsid w:val="00F07293"/>
    <w:rsid w:val="00F078DC"/>
    <w:rsid w:val="00F13E86"/>
    <w:rsid w:val="00F17B00"/>
    <w:rsid w:val="00F33846"/>
    <w:rsid w:val="00F63D27"/>
    <w:rsid w:val="00F67388"/>
    <w:rsid w:val="00F677A9"/>
    <w:rsid w:val="00F84CF5"/>
    <w:rsid w:val="00F92D35"/>
    <w:rsid w:val="00FA070E"/>
    <w:rsid w:val="00FA420B"/>
    <w:rsid w:val="00FD1E13"/>
    <w:rsid w:val="00FD7EB1"/>
    <w:rsid w:val="00FE41C9"/>
    <w:rsid w:val="00FE7B72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1E9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1E90"/>
  </w:style>
  <w:style w:type="paragraph" w:customStyle="1" w:styleId="OPCParaBase">
    <w:name w:val="OPCParaBase"/>
    <w:qFormat/>
    <w:rsid w:val="00B21E9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1E9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1E9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1E9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1E9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1E9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21E9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1E9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1E9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1E9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1E9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1E90"/>
  </w:style>
  <w:style w:type="paragraph" w:customStyle="1" w:styleId="Blocks">
    <w:name w:val="Blocks"/>
    <w:aliases w:val="bb"/>
    <w:basedOn w:val="OPCParaBase"/>
    <w:qFormat/>
    <w:rsid w:val="00B21E9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1E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1E9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1E90"/>
    <w:rPr>
      <w:i/>
    </w:rPr>
  </w:style>
  <w:style w:type="paragraph" w:customStyle="1" w:styleId="BoxList">
    <w:name w:val="BoxList"/>
    <w:aliases w:val="bl"/>
    <w:basedOn w:val="BoxText"/>
    <w:qFormat/>
    <w:rsid w:val="00B21E9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1E9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1E9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1E90"/>
    <w:pPr>
      <w:ind w:left="1985" w:hanging="851"/>
    </w:pPr>
  </w:style>
  <w:style w:type="character" w:customStyle="1" w:styleId="CharAmPartNo">
    <w:name w:val="CharAmPartNo"/>
    <w:basedOn w:val="OPCCharBase"/>
    <w:qFormat/>
    <w:rsid w:val="00B21E90"/>
  </w:style>
  <w:style w:type="character" w:customStyle="1" w:styleId="CharAmPartText">
    <w:name w:val="CharAmPartText"/>
    <w:basedOn w:val="OPCCharBase"/>
    <w:qFormat/>
    <w:rsid w:val="00B21E90"/>
  </w:style>
  <w:style w:type="character" w:customStyle="1" w:styleId="CharAmSchNo">
    <w:name w:val="CharAmSchNo"/>
    <w:basedOn w:val="OPCCharBase"/>
    <w:qFormat/>
    <w:rsid w:val="00B21E90"/>
  </w:style>
  <w:style w:type="character" w:customStyle="1" w:styleId="CharAmSchText">
    <w:name w:val="CharAmSchText"/>
    <w:basedOn w:val="OPCCharBase"/>
    <w:qFormat/>
    <w:rsid w:val="00B21E90"/>
  </w:style>
  <w:style w:type="character" w:customStyle="1" w:styleId="CharBoldItalic">
    <w:name w:val="CharBoldItalic"/>
    <w:basedOn w:val="OPCCharBase"/>
    <w:uiPriority w:val="1"/>
    <w:qFormat/>
    <w:rsid w:val="00B21E9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1E90"/>
  </w:style>
  <w:style w:type="character" w:customStyle="1" w:styleId="CharChapText">
    <w:name w:val="CharChapText"/>
    <w:basedOn w:val="OPCCharBase"/>
    <w:uiPriority w:val="1"/>
    <w:qFormat/>
    <w:rsid w:val="00B21E90"/>
  </w:style>
  <w:style w:type="character" w:customStyle="1" w:styleId="CharDivNo">
    <w:name w:val="CharDivNo"/>
    <w:basedOn w:val="OPCCharBase"/>
    <w:uiPriority w:val="1"/>
    <w:qFormat/>
    <w:rsid w:val="00B21E90"/>
  </w:style>
  <w:style w:type="character" w:customStyle="1" w:styleId="CharDivText">
    <w:name w:val="CharDivText"/>
    <w:basedOn w:val="OPCCharBase"/>
    <w:uiPriority w:val="1"/>
    <w:qFormat/>
    <w:rsid w:val="00B21E90"/>
  </w:style>
  <w:style w:type="character" w:customStyle="1" w:styleId="CharItalic">
    <w:name w:val="CharItalic"/>
    <w:basedOn w:val="OPCCharBase"/>
    <w:uiPriority w:val="1"/>
    <w:qFormat/>
    <w:rsid w:val="00B21E90"/>
    <w:rPr>
      <w:i/>
    </w:rPr>
  </w:style>
  <w:style w:type="character" w:customStyle="1" w:styleId="CharPartNo">
    <w:name w:val="CharPartNo"/>
    <w:basedOn w:val="OPCCharBase"/>
    <w:uiPriority w:val="1"/>
    <w:qFormat/>
    <w:rsid w:val="00B21E90"/>
  </w:style>
  <w:style w:type="character" w:customStyle="1" w:styleId="CharPartText">
    <w:name w:val="CharPartText"/>
    <w:basedOn w:val="OPCCharBase"/>
    <w:uiPriority w:val="1"/>
    <w:qFormat/>
    <w:rsid w:val="00B21E90"/>
  </w:style>
  <w:style w:type="character" w:customStyle="1" w:styleId="CharSectno">
    <w:name w:val="CharSectno"/>
    <w:basedOn w:val="OPCCharBase"/>
    <w:qFormat/>
    <w:rsid w:val="00B21E90"/>
  </w:style>
  <w:style w:type="character" w:customStyle="1" w:styleId="CharSubdNo">
    <w:name w:val="CharSubdNo"/>
    <w:basedOn w:val="OPCCharBase"/>
    <w:uiPriority w:val="1"/>
    <w:qFormat/>
    <w:rsid w:val="00B21E90"/>
  </w:style>
  <w:style w:type="character" w:customStyle="1" w:styleId="CharSubdText">
    <w:name w:val="CharSubdText"/>
    <w:basedOn w:val="OPCCharBase"/>
    <w:uiPriority w:val="1"/>
    <w:qFormat/>
    <w:rsid w:val="00B21E90"/>
  </w:style>
  <w:style w:type="paragraph" w:customStyle="1" w:styleId="CTA--">
    <w:name w:val="CTA --"/>
    <w:basedOn w:val="OPCParaBase"/>
    <w:next w:val="Normal"/>
    <w:rsid w:val="00B21E9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1E9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1E9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1E9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1E9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1E9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1E9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1E9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1E9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1E9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1E9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1E9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1E9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1E9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21E9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1E9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1E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1E9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1E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1E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1E9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1E9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1E9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1E9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B21E9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B21E9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1E9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1E9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1E9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1E9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1E9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1E9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1E9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1E9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1E9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B21E9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1E9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1E9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1E9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1E9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1E9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1E9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1E9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1E9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1E9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1E9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1E9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1E9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1E9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1E9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1E9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1E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1E9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1E9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1E9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21E9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21E9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21E9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21E9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1E9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1E9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21E9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1E9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1E9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1E9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1E9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1E9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1E9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1E9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1E9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1E9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1E9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1E90"/>
    <w:rPr>
      <w:sz w:val="16"/>
    </w:rPr>
  </w:style>
  <w:style w:type="table" w:customStyle="1" w:styleId="CFlag">
    <w:name w:val="CFlag"/>
    <w:basedOn w:val="TableNormal"/>
    <w:uiPriority w:val="99"/>
    <w:rsid w:val="00B21E9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21E9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1E9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21E9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1E9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21E9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21E9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1E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1E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1E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21E90"/>
    <w:pPr>
      <w:spacing w:before="120"/>
    </w:pPr>
  </w:style>
  <w:style w:type="paragraph" w:customStyle="1" w:styleId="TableTextEndNotes">
    <w:name w:val="TableTextEndNotes"/>
    <w:aliases w:val="Tten"/>
    <w:basedOn w:val="Normal"/>
    <w:rsid w:val="00B21E9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21E9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21E9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1E9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1E9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1E9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1E9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1E9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1E9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21E9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1E9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21E9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21E90"/>
  </w:style>
  <w:style w:type="character" w:customStyle="1" w:styleId="CharSubPartNoCASA">
    <w:name w:val="CharSubPartNo(CASA)"/>
    <w:basedOn w:val="OPCCharBase"/>
    <w:uiPriority w:val="1"/>
    <w:rsid w:val="00B21E90"/>
  </w:style>
  <w:style w:type="paragraph" w:customStyle="1" w:styleId="ENoteTTIndentHeadingSub">
    <w:name w:val="ENoteTTIndentHeadingSub"/>
    <w:aliases w:val="enTTHis"/>
    <w:basedOn w:val="OPCParaBase"/>
    <w:rsid w:val="00B21E9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1E9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1E9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1E9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2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B21E9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21E9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1E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1E90"/>
    <w:rPr>
      <w:sz w:val="22"/>
    </w:rPr>
  </w:style>
  <w:style w:type="paragraph" w:customStyle="1" w:styleId="SOTextNote">
    <w:name w:val="SO TextNote"/>
    <w:aliases w:val="sont"/>
    <w:basedOn w:val="SOText"/>
    <w:qFormat/>
    <w:rsid w:val="00B21E9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1E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1E90"/>
    <w:rPr>
      <w:sz w:val="22"/>
    </w:rPr>
  </w:style>
  <w:style w:type="paragraph" w:customStyle="1" w:styleId="FileName">
    <w:name w:val="FileName"/>
    <w:basedOn w:val="Normal"/>
    <w:rsid w:val="00B21E9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1E9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1E9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1E9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1E9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1E9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1E9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1E9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1E9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1E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1E90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B21E90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7279C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279C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2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9C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9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9C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9C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9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9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9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8E20E8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8E20E8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00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1A"/>
    <w:rPr>
      <w:rFonts w:ascii="Tahoma" w:hAnsi="Tahoma" w:cs="Tahoma"/>
      <w:sz w:val="16"/>
      <w:szCs w:val="16"/>
    </w:rPr>
  </w:style>
  <w:style w:type="character" w:customStyle="1" w:styleId="ItemChar">
    <w:name w:val="Item Char"/>
    <w:aliases w:val="i Char"/>
    <w:basedOn w:val="DefaultParagraphFont"/>
    <w:link w:val="Item"/>
    <w:rsid w:val="00265E2B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265E2B"/>
    <w:rPr>
      <w:rFonts w:ascii="Arial" w:eastAsia="Times New Roman" w:hAnsi="Arial" w:cs="Times New Roman"/>
      <w:b/>
      <w:kern w:val="28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2621"/>
    <w:rPr>
      <w:color w:val="0000FF"/>
      <w:u w:val="single"/>
    </w:rPr>
  </w:style>
  <w:style w:type="paragraph" w:customStyle="1" w:styleId="ShortTP1">
    <w:name w:val="ShortTP1"/>
    <w:basedOn w:val="ShortT"/>
    <w:link w:val="ShortTP1Char"/>
    <w:rsid w:val="0000067D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00067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0067D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00067D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00067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272C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272C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272C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738C-DCB3-491A-9B92-D37EFE1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14</Pages>
  <Words>1485</Words>
  <Characters>8467</Characters>
  <Application>Microsoft Office Word</Application>
  <DocSecurity>0</DocSecurity>
  <PresentationFormat/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2020-11-22T23:54:00Z</cp:lastPrinted>
  <dcterms:created xsi:type="dcterms:W3CDTF">2021-09-09T05:29:00Z</dcterms:created>
  <dcterms:modified xsi:type="dcterms:W3CDTF">2021-09-09T05:30:00Z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Australian Immunisation Register Amendment (Reporting) Act 2021</vt:lpwstr>
  </property>
  <property fmtid="{D5CDD505-2E9C-101B-9397-08002B2CF9AE}" pid="3" name="ActNo">
    <vt:lpwstr>No. 1, 2021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OPC7604</vt:lpwstr>
  </property>
</Properties>
</file>