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622F" w14:textId="77777777" w:rsidR="00097971" w:rsidRDefault="00097971" w:rsidP="00097971">
      <w:r>
        <w:object w:dxaOrig="2146" w:dyaOrig="1561" w14:anchorId="62E19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6357146" r:id="rId9"/>
        </w:object>
      </w:r>
    </w:p>
    <w:p w14:paraId="58C175C5" w14:textId="77777777" w:rsidR="00097971" w:rsidRDefault="00097971" w:rsidP="00097971"/>
    <w:p w14:paraId="10CFF876" w14:textId="77777777" w:rsidR="00097971" w:rsidRDefault="00097971" w:rsidP="00097971"/>
    <w:p w14:paraId="157B7DF1" w14:textId="77777777" w:rsidR="00097971" w:rsidRDefault="00097971" w:rsidP="00097971"/>
    <w:p w14:paraId="3D9B4D6F" w14:textId="77777777" w:rsidR="00097971" w:rsidRDefault="00097971" w:rsidP="00097971"/>
    <w:p w14:paraId="09F66EB9" w14:textId="77777777" w:rsidR="00097971" w:rsidRDefault="00097971" w:rsidP="00097971"/>
    <w:p w14:paraId="4E02690D" w14:textId="77777777" w:rsidR="00097971" w:rsidRDefault="00097971" w:rsidP="00097971"/>
    <w:p w14:paraId="4D84FA41" w14:textId="77777777" w:rsidR="004E32EF" w:rsidRDefault="00097971" w:rsidP="004E32EF">
      <w:pPr>
        <w:pStyle w:val="ShortT"/>
      </w:pPr>
      <w:r>
        <w:t>Customs Tariff Amendment (Incorporation of Proposals and Other Measures) Act 2021</w:t>
      </w:r>
    </w:p>
    <w:p w14:paraId="018163FD" w14:textId="77777777" w:rsidR="0048364F" w:rsidRPr="00604CC9" w:rsidRDefault="0048364F" w:rsidP="0048364F">
      <w:bookmarkStart w:id="0" w:name="_GoBack"/>
      <w:bookmarkEnd w:id="0"/>
    </w:p>
    <w:p w14:paraId="5BE58240" w14:textId="77777777" w:rsidR="004E32EF" w:rsidRDefault="004E32EF" w:rsidP="00097971">
      <w:pPr>
        <w:pStyle w:val="Actno"/>
        <w:spacing w:before="400"/>
      </w:pPr>
      <w:r>
        <w:t>No.</w:t>
      </w:r>
      <w:r w:rsidR="00191CC2">
        <w:t xml:space="preserve"> 10</w:t>
      </w:r>
      <w:r>
        <w:t>, 2021</w:t>
      </w:r>
    </w:p>
    <w:p w14:paraId="0EC2CAF0" w14:textId="77777777" w:rsidR="0048364F" w:rsidRPr="00604CC9" w:rsidRDefault="0048364F" w:rsidP="0048364F"/>
    <w:p w14:paraId="61F01787" w14:textId="77777777" w:rsidR="004E32EF" w:rsidRDefault="004E32EF" w:rsidP="004E32EF">
      <w:pPr>
        <w:rPr>
          <w:lang w:eastAsia="en-AU"/>
        </w:rPr>
      </w:pPr>
    </w:p>
    <w:p w14:paraId="52C374AD" w14:textId="77777777" w:rsidR="0048364F" w:rsidRPr="00604CC9" w:rsidRDefault="0048364F" w:rsidP="0048364F"/>
    <w:p w14:paraId="2F5FFA7F" w14:textId="77777777" w:rsidR="0048364F" w:rsidRPr="00604CC9" w:rsidRDefault="0048364F" w:rsidP="0048364F"/>
    <w:p w14:paraId="1019B853" w14:textId="77777777" w:rsidR="0048364F" w:rsidRPr="00604CC9" w:rsidRDefault="0048364F" w:rsidP="0048364F"/>
    <w:p w14:paraId="45C107FE" w14:textId="77777777" w:rsidR="00097971" w:rsidRDefault="00097971" w:rsidP="00097971">
      <w:pPr>
        <w:pStyle w:val="LongT"/>
      </w:pPr>
      <w:r>
        <w:t xml:space="preserve">An Act to amend the </w:t>
      </w:r>
      <w:r w:rsidRPr="00097971">
        <w:rPr>
          <w:i/>
        </w:rPr>
        <w:t>Customs Tariff Act 1995</w:t>
      </w:r>
      <w:r>
        <w:t>, and for related purposes</w:t>
      </w:r>
    </w:p>
    <w:p w14:paraId="195C6BD3" w14:textId="77777777" w:rsidR="0048364F" w:rsidRPr="00832212" w:rsidRDefault="0048364F" w:rsidP="0048364F">
      <w:pPr>
        <w:pStyle w:val="Header"/>
        <w:tabs>
          <w:tab w:val="clear" w:pos="4150"/>
          <w:tab w:val="clear" w:pos="8307"/>
        </w:tabs>
      </w:pPr>
      <w:r w:rsidRPr="00832212">
        <w:rPr>
          <w:rStyle w:val="CharAmSchNo"/>
        </w:rPr>
        <w:t xml:space="preserve"> </w:t>
      </w:r>
      <w:r w:rsidRPr="00832212">
        <w:rPr>
          <w:rStyle w:val="CharAmSchText"/>
        </w:rPr>
        <w:t xml:space="preserve"> </w:t>
      </w:r>
    </w:p>
    <w:p w14:paraId="09A13B3F" w14:textId="77777777" w:rsidR="0048364F" w:rsidRPr="00832212" w:rsidRDefault="0048364F" w:rsidP="0048364F">
      <w:pPr>
        <w:pStyle w:val="Header"/>
        <w:tabs>
          <w:tab w:val="clear" w:pos="4150"/>
          <w:tab w:val="clear" w:pos="8307"/>
        </w:tabs>
      </w:pPr>
      <w:r w:rsidRPr="00832212">
        <w:rPr>
          <w:rStyle w:val="CharAmPartNo"/>
        </w:rPr>
        <w:t xml:space="preserve"> </w:t>
      </w:r>
      <w:r w:rsidRPr="00832212">
        <w:rPr>
          <w:rStyle w:val="CharAmPartText"/>
        </w:rPr>
        <w:t xml:space="preserve"> </w:t>
      </w:r>
    </w:p>
    <w:p w14:paraId="096A9F34" w14:textId="77777777" w:rsidR="0048364F" w:rsidRPr="00604CC9" w:rsidRDefault="0048364F" w:rsidP="0048364F">
      <w:pPr>
        <w:sectPr w:rsidR="0048364F" w:rsidRPr="00604CC9" w:rsidSect="000979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A6A5406" w14:textId="77777777" w:rsidR="0048364F" w:rsidRPr="00604CC9" w:rsidRDefault="0048364F" w:rsidP="0048364F">
      <w:pPr>
        <w:outlineLvl w:val="0"/>
        <w:rPr>
          <w:sz w:val="36"/>
        </w:rPr>
      </w:pPr>
      <w:r w:rsidRPr="00604CC9">
        <w:rPr>
          <w:sz w:val="36"/>
        </w:rPr>
        <w:lastRenderedPageBreak/>
        <w:t>Contents</w:t>
      </w:r>
    </w:p>
    <w:bookmarkStart w:id="1" w:name="BKCheck15B_1"/>
    <w:bookmarkEnd w:id="1"/>
    <w:p w14:paraId="3C26449E" w14:textId="4E60210C" w:rsidR="00287F4F" w:rsidRDefault="00287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87F4F">
        <w:rPr>
          <w:noProof/>
        </w:rPr>
        <w:tab/>
      </w:r>
      <w:r w:rsidRPr="00287F4F">
        <w:rPr>
          <w:noProof/>
        </w:rPr>
        <w:fldChar w:fldCharType="begin"/>
      </w:r>
      <w:r w:rsidRPr="00287F4F">
        <w:rPr>
          <w:noProof/>
        </w:rPr>
        <w:instrText xml:space="preserve"> PAGEREF _Toc65743890 \h </w:instrText>
      </w:r>
      <w:r w:rsidRPr="00287F4F">
        <w:rPr>
          <w:noProof/>
        </w:rPr>
      </w:r>
      <w:r w:rsidRPr="00287F4F">
        <w:rPr>
          <w:noProof/>
        </w:rPr>
        <w:fldChar w:fldCharType="separate"/>
      </w:r>
      <w:r w:rsidR="009D4C09">
        <w:rPr>
          <w:noProof/>
        </w:rPr>
        <w:t>1</w:t>
      </w:r>
      <w:r w:rsidRPr="00287F4F">
        <w:rPr>
          <w:noProof/>
        </w:rPr>
        <w:fldChar w:fldCharType="end"/>
      </w:r>
    </w:p>
    <w:p w14:paraId="23234475" w14:textId="3CF2EC6C" w:rsidR="00287F4F" w:rsidRDefault="00287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7F4F">
        <w:rPr>
          <w:noProof/>
        </w:rPr>
        <w:tab/>
      </w:r>
      <w:r w:rsidRPr="00287F4F">
        <w:rPr>
          <w:noProof/>
        </w:rPr>
        <w:fldChar w:fldCharType="begin"/>
      </w:r>
      <w:r w:rsidRPr="00287F4F">
        <w:rPr>
          <w:noProof/>
        </w:rPr>
        <w:instrText xml:space="preserve"> PAGEREF _Toc65743891 \h </w:instrText>
      </w:r>
      <w:r w:rsidRPr="00287F4F">
        <w:rPr>
          <w:noProof/>
        </w:rPr>
      </w:r>
      <w:r w:rsidRPr="00287F4F">
        <w:rPr>
          <w:noProof/>
        </w:rPr>
        <w:fldChar w:fldCharType="separate"/>
      </w:r>
      <w:r w:rsidR="009D4C09">
        <w:rPr>
          <w:noProof/>
        </w:rPr>
        <w:t>2</w:t>
      </w:r>
      <w:r w:rsidRPr="00287F4F">
        <w:rPr>
          <w:noProof/>
        </w:rPr>
        <w:fldChar w:fldCharType="end"/>
      </w:r>
    </w:p>
    <w:p w14:paraId="1B05F4ED" w14:textId="0CE324D1" w:rsidR="00287F4F" w:rsidRDefault="00287F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87F4F">
        <w:rPr>
          <w:noProof/>
        </w:rPr>
        <w:tab/>
      </w:r>
      <w:r w:rsidRPr="00287F4F">
        <w:rPr>
          <w:noProof/>
        </w:rPr>
        <w:fldChar w:fldCharType="begin"/>
      </w:r>
      <w:r w:rsidRPr="00287F4F">
        <w:rPr>
          <w:noProof/>
        </w:rPr>
        <w:instrText xml:space="preserve"> PAGEREF _Toc65743892 \h </w:instrText>
      </w:r>
      <w:r w:rsidRPr="00287F4F">
        <w:rPr>
          <w:noProof/>
        </w:rPr>
      </w:r>
      <w:r w:rsidRPr="00287F4F">
        <w:rPr>
          <w:noProof/>
        </w:rPr>
        <w:fldChar w:fldCharType="separate"/>
      </w:r>
      <w:r w:rsidR="009D4C09">
        <w:rPr>
          <w:noProof/>
        </w:rPr>
        <w:t>2</w:t>
      </w:r>
      <w:r w:rsidRPr="00287F4F">
        <w:rPr>
          <w:noProof/>
        </w:rPr>
        <w:fldChar w:fldCharType="end"/>
      </w:r>
    </w:p>
    <w:p w14:paraId="4E91F952" w14:textId="2F3C10A9" w:rsidR="00287F4F" w:rsidRDefault="00287F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87F4F">
        <w:rPr>
          <w:b w:val="0"/>
          <w:noProof/>
          <w:sz w:val="18"/>
        </w:rPr>
        <w:tab/>
      </w:r>
      <w:r w:rsidRPr="00287F4F">
        <w:rPr>
          <w:b w:val="0"/>
          <w:noProof/>
          <w:sz w:val="18"/>
        </w:rPr>
        <w:fldChar w:fldCharType="begin"/>
      </w:r>
      <w:r w:rsidRPr="00287F4F">
        <w:rPr>
          <w:b w:val="0"/>
          <w:noProof/>
          <w:sz w:val="18"/>
        </w:rPr>
        <w:instrText xml:space="preserve"> PAGEREF _Toc65743893 \h </w:instrText>
      </w:r>
      <w:r w:rsidRPr="00287F4F">
        <w:rPr>
          <w:b w:val="0"/>
          <w:noProof/>
          <w:sz w:val="18"/>
        </w:rPr>
      </w:r>
      <w:r w:rsidRPr="00287F4F">
        <w:rPr>
          <w:b w:val="0"/>
          <w:noProof/>
          <w:sz w:val="18"/>
        </w:rPr>
        <w:fldChar w:fldCharType="separate"/>
      </w:r>
      <w:r w:rsidR="009D4C09">
        <w:rPr>
          <w:b w:val="0"/>
          <w:noProof/>
          <w:sz w:val="18"/>
        </w:rPr>
        <w:t>3</w:t>
      </w:r>
      <w:r w:rsidRPr="00287F4F">
        <w:rPr>
          <w:b w:val="0"/>
          <w:noProof/>
          <w:sz w:val="18"/>
        </w:rPr>
        <w:fldChar w:fldCharType="end"/>
      </w:r>
    </w:p>
    <w:p w14:paraId="511694BB" w14:textId="7D9866A0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1—Incorporation of proposals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_Toc65743894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3</w:t>
      </w:r>
      <w:r w:rsidRPr="00287F4F">
        <w:rPr>
          <w:noProof/>
          <w:sz w:val="18"/>
        </w:rPr>
        <w:fldChar w:fldCharType="end"/>
      </w:r>
    </w:p>
    <w:p w14:paraId="6A54B0E2" w14:textId="2F8495C3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_Toc65743895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3</w:t>
      </w:r>
      <w:r w:rsidRPr="00287F4F">
        <w:rPr>
          <w:i w:val="0"/>
          <w:noProof/>
          <w:sz w:val="18"/>
        </w:rPr>
        <w:fldChar w:fldCharType="end"/>
      </w:r>
    </w:p>
    <w:p w14:paraId="4E12BDF8" w14:textId="115E2C9B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2—Used or second</w:t>
      </w:r>
      <w:r>
        <w:rPr>
          <w:noProof/>
        </w:rPr>
        <w:noBreakHyphen/>
        <w:t>hand vehicles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_Toc65743896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4</w:t>
      </w:r>
      <w:r w:rsidRPr="00287F4F">
        <w:rPr>
          <w:noProof/>
          <w:sz w:val="18"/>
        </w:rPr>
        <w:fldChar w:fldCharType="end"/>
      </w:r>
    </w:p>
    <w:p w14:paraId="400EB433" w14:textId="4AC6EAB3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_Toc65743897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4</w:t>
      </w:r>
      <w:r w:rsidRPr="00287F4F">
        <w:rPr>
          <w:i w:val="0"/>
          <w:noProof/>
          <w:sz w:val="18"/>
        </w:rPr>
        <w:fldChar w:fldCharType="end"/>
      </w:r>
    </w:p>
    <w:p w14:paraId="0F23F1F4" w14:textId="023D75C4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3—Formulated caffeinated beverages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_Toc65743898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5</w:t>
      </w:r>
      <w:r w:rsidRPr="00287F4F">
        <w:rPr>
          <w:noProof/>
          <w:sz w:val="18"/>
        </w:rPr>
        <w:fldChar w:fldCharType="end"/>
      </w:r>
    </w:p>
    <w:p w14:paraId="7105E6EB" w14:textId="23C33723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_Toc65743899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5</w:t>
      </w:r>
      <w:r w:rsidRPr="00287F4F">
        <w:rPr>
          <w:i w:val="0"/>
          <w:noProof/>
          <w:sz w:val="18"/>
        </w:rPr>
        <w:fldChar w:fldCharType="end"/>
      </w:r>
    </w:p>
    <w:p w14:paraId="0A78B7F1" w14:textId="5CC3E8AE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4—Formulated supplementary food and formulated supplementary sports food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_Toc65743900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6</w:t>
      </w:r>
      <w:r w:rsidRPr="00287F4F">
        <w:rPr>
          <w:noProof/>
          <w:sz w:val="18"/>
        </w:rPr>
        <w:fldChar w:fldCharType="end"/>
      </w:r>
    </w:p>
    <w:p w14:paraId="543541AF" w14:textId="507E29A7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_Toc65743901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6</w:t>
      </w:r>
      <w:r w:rsidRPr="00287F4F">
        <w:rPr>
          <w:i w:val="0"/>
          <w:noProof/>
          <w:sz w:val="18"/>
        </w:rPr>
        <w:fldChar w:fldCharType="end"/>
      </w:r>
    </w:p>
    <w:p w14:paraId="1A25CC10" w14:textId="06789243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5—Vitamins and food supplements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_Toc65743903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8</w:t>
      </w:r>
      <w:r w:rsidRPr="00287F4F">
        <w:rPr>
          <w:noProof/>
          <w:sz w:val="18"/>
        </w:rPr>
        <w:fldChar w:fldCharType="end"/>
      </w:r>
    </w:p>
    <w:p w14:paraId="37125476" w14:textId="5AC8D963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_Toc65743904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8</w:t>
      </w:r>
      <w:r w:rsidRPr="00287F4F">
        <w:rPr>
          <w:i w:val="0"/>
          <w:noProof/>
          <w:sz w:val="18"/>
        </w:rPr>
        <w:fldChar w:fldCharType="end"/>
      </w:r>
    </w:p>
    <w:p w14:paraId="553EF3C1" w14:textId="093DCBF1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6—Wheelie bins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_Toc65743907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10</w:t>
      </w:r>
      <w:r w:rsidRPr="00287F4F">
        <w:rPr>
          <w:noProof/>
          <w:sz w:val="18"/>
        </w:rPr>
        <w:fldChar w:fldCharType="end"/>
      </w:r>
    </w:p>
    <w:p w14:paraId="6B1A187D" w14:textId="0DC64A27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_Toc65743908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10</w:t>
      </w:r>
      <w:r w:rsidRPr="00287F4F">
        <w:rPr>
          <w:i w:val="0"/>
          <w:noProof/>
          <w:sz w:val="18"/>
        </w:rPr>
        <w:fldChar w:fldCharType="end"/>
      </w:r>
    </w:p>
    <w:p w14:paraId="632A6A65" w14:textId="1DEFD7F1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7—Metal profiles and pipes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_Toc65743909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11</w:t>
      </w:r>
      <w:r w:rsidRPr="00287F4F">
        <w:rPr>
          <w:noProof/>
          <w:sz w:val="18"/>
        </w:rPr>
        <w:fldChar w:fldCharType="end"/>
      </w:r>
    </w:p>
    <w:p w14:paraId="6D408F9D" w14:textId="3980FBB2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_Toc65743910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11</w:t>
      </w:r>
      <w:r w:rsidRPr="00287F4F">
        <w:rPr>
          <w:i w:val="0"/>
          <w:noProof/>
          <w:sz w:val="18"/>
        </w:rPr>
        <w:fldChar w:fldCharType="end"/>
      </w:r>
    </w:p>
    <w:p w14:paraId="60D25B97" w14:textId="78DD3F96" w:rsidR="00287F4F" w:rsidRDefault="00287F4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8—Technical amendments</w:t>
      </w:r>
      <w:r w:rsidRPr="00287F4F">
        <w:rPr>
          <w:noProof/>
          <w:sz w:val="18"/>
        </w:rPr>
        <w:tab/>
      </w:r>
      <w:r w:rsidRPr="00287F4F">
        <w:rPr>
          <w:noProof/>
          <w:sz w:val="18"/>
        </w:rPr>
        <w:fldChar w:fldCharType="begin"/>
      </w:r>
      <w:r w:rsidRPr="00287F4F">
        <w:rPr>
          <w:noProof/>
          <w:sz w:val="18"/>
        </w:rPr>
        <w:instrText xml:space="preserve"> PAGEREF _Toc65743915 \h </w:instrText>
      </w:r>
      <w:r w:rsidRPr="00287F4F">
        <w:rPr>
          <w:noProof/>
          <w:sz w:val="18"/>
        </w:rPr>
      </w:r>
      <w:r w:rsidRPr="00287F4F">
        <w:rPr>
          <w:noProof/>
          <w:sz w:val="18"/>
        </w:rPr>
        <w:fldChar w:fldCharType="separate"/>
      </w:r>
      <w:r w:rsidR="009D4C09">
        <w:rPr>
          <w:noProof/>
          <w:sz w:val="18"/>
        </w:rPr>
        <w:t>13</w:t>
      </w:r>
      <w:r w:rsidRPr="00287F4F">
        <w:rPr>
          <w:noProof/>
          <w:sz w:val="18"/>
        </w:rPr>
        <w:fldChar w:fldCharType="end"/>
      </w:r>
    </w:p>
    <w:p w14:paraId="01109CE1" w14:textId="7932497A" w:rsidR="00287F4F" w:rsidRDefault="00287F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287F4F">
        <w:rPr>
          <w:i w:val="0"/>
          <w:noProof/>
          <w:sz w:val="18"/>
        </w:rPr>
        <w:tab/>
      </w:r>
      <w:r w:rsidRPr="00287F4F">
        <w:rPr>
          <w:i w:val="0"/>
          <w:noProof/>
          <w:sz w:val="18"/>
        </w:rPr>
        <w:fldChar w:fldCharType="begin"/>
      </w:r>
      <w:r w:rsidRPr="00287F4F">
        <w:rPr>
          <w:i w:val="0"/>
          <w:noProof/>
          <w:sz w:val="18"/>
        </w:rPr>
        <w:instrText xml:space="preserve"> PAGEREF _Toc65743916 \h </w:instrText>
      </w:r>
      <w:r w:rsidRPr="00287F4F">
        <w:rPr>
          <w:i w:val="0"/>
          <w:noProof/>
          <w:sz w:val="18"/>
        </w:rPr>
      </w:r>
      <w:r w:rsidRPr="00287F4F">
        <w:rPr>
          <w:i w:val="0"/>
          <w:noProof/>
          <w:sz w:val="18"/>
        </w:rPr>
        <w:fldChar w:fldCharType="separate"/>
      </w:r>
      <w:r w:rsidR="009D4C09">
        <w:rPr>
          <w:i w:val="0"/>
          <w:noProof/>
          <w:sz w:val="18"/>
        </w:rPr>
        <w:t>13</w:t>
      </w:r>
      <w:r w:rsidRPr="00287F4F">
        <w:rPr>
          <w:i w:val="0"/>
          <w:noProof/>
          <w:sz w:val="18"/>
        </w:rPr>
        <w:fldChar w:fldCharType="end"/>
      </w:r>
    </w:p>
    <w:p w14:paraId="755F223A" w14:textId="77777777" w:rsidR="00060FF9" w:rsidRPr="00604CC9" w:rsidRDefault="00287F4F" w:rsidP="0048364F">
      <w:r>
        <w:fldChar w:fldCharType="end"/>
      </w:r>
    </w:p>
    <w:p w14:paraId="5DB0F7A4" w14:textId="77777777" w:rsidR="00FE7F93" w:rsidRPr="00604CC9" w:rsidRDefault="00FE7F93" w:rsidP="0048364F">
      <w:pPr>
        <w:sectPr w:rsidR="00FE7F93" w:rsidRPr="00604CC9" w:rsidSect="000979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9193B99" w14:textId="77777777" w:rsidR="00097971" w:rsidRDefault="00097971">
      <w:r>
        <w:object w:dxaOrig="2146" w:dyaOrig="1561" w14:anchorId="030E83B5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6357147" r:id="rId21"/>
        </w:object>
      </w:r>
    </w:p>
    <w:p w14:paraId="08104170" w14:textId="77777777" w:rsidR="00097971" w:rsidRDefault="00097971"/>
    <w:p w14:paraId="72AB2BE4" w14:textId="77777777" w:rsidR="00097971" w:rsidRDefault="00097971" w:rsidP="009D4C09">
      <w:pPr>
        <w:spacing w:line="240" w:lineRule="auto"/>
      </w:pPr>
    </w:p>
    <w:p w14:paraId="2BBFD19A" w14:textId="58EA86DF" w:rsidR="00097971" w:rsidRDefault="009D4C09" w:rsidP="009D4C0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Customs Tariff Amendment (Incorporation of Proposals and Other Measures) Act 2021</w:t>
      </w:r>
      <w:r>
        <w:rPr>
          <w:noProof/>
        </w:rPr>
        <w:fldChar w:fldCharType="end"/>
      </w:r>
    </w:p>
    <w:p w14:paraId="78D8B983" w14:textId="4ADFE771" w:rsidR="00097971" w:rsidRDefault="009D4C09" w:rsidP="009D4C0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10, 2021</w:t>
      </w:r>
      <w:r>
        <w:rPr>
          <w:noProof/>
        </w:rPr>
        <w:fldChar w:fldCharType="end"/>
      </w:r>
    </w:p>
    <w:p w14:paraId="2D51DC1D" w14:textId="77777777" w:rsidR="00097971" w:rsidRPr="009A0728" w:rsidRDefault="00097971" w:rsidP="009D4C09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8761263" w14:textId="77777777" w:rsidR="00097971" w:rsidRPr="009A0728" w:rsidRDefault="00097971" w:rsidP="009D4C09">
      <w:pPr>
        <w:spacing w:line="40" w:lineRule="exact"/>
        <w:rPr>
          <w:rFonts w:eastAsia="Calibri"/>
          <w:b/>
          <w:sz w:val="28"/>
        </w:rPr>
      </w:pPr>
    </w:p>
    <w:p w14:paraId="24AC2F3E" w14:textId="77777777" w:rsidR="00097971" w:rsidRPr="009A0728" w:rsidRDefault="00097971" w:rsidP="009D4C09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C9D17BD" w14:textId="77777777" w:rsidR="00097971" w:rsidRDefault="00097971" w:rsidP="00097971">
      <w:pPr>
        <w:pStyle w:val="Page1"/>
        <w:spacing w:before="400"/>
      </w:pPr>
      <w:r>
        <w:t xml:space="preserve">An Act to amend the </w:t>
      </w:r>
      <w:r w:rsidRPr="00097971">
        <w:rPr>
          <w:i/>
        </w:rPr>
        <w:t>Customs Tariff Act 1995</w:t>
      </w:r>
      <w:r>
        <w:t>, and for related purposes</w:t>
      </w:r>
    </w:p>
    <w:p w14:paraId="31A4B309" w14:textId="77777777" w:rsidR="00191CC2" w:rsidRDefault="00191CC2" w:rsidP="009D4C09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March 2021</w:t>
      </w:r>
      <w:r>
        <w:rPr>
          <w:sz w:val="24"/>
        </w:rPr>
        <w:t>]</w:t>
      </w:r>
    </w:p>
    <w:p w14:paraId="16752009" w14:textId="77777777" w:rsidR="0048364F" w:rsidRPr="00604CC9" w:rsidRDefault="0048364F" w:rsidP="00604CC9">
      <w:pPr>
        <w:spacing w:before="240" w:line="240" w:lineRule="auto"/>
        <w:rPr>
          <w:sz w:val="32"/>
        </w:rPr>
      </w:pPr>
      <w:r w:rsidRPr="00604CC9">
        <w:rPr>
          <w:sz w:val="32"/>
        </w:rPr>
        <w:t>The Parliament of Australia enacts:</w:t>
      </w:r>
    </w:p>
    <w:p w14:paraId="265AC2DA" w14:textId="77777777" w:rsidR="0048364F" w:rsidRPr="00604CC9" w:rsidRDefault="0048364F" w:rsidP="00604CC9">
      <w:pPr>
        <w:pStyle w:val="ActHead5"/>
      </w:pPr>
      <w:bookmarkStart w:id="2" w:name="_Toc65743890"/>
      <w:r w:rsidRPr="00832212">
        <w:rPr>
          <w:rStyle w:val="CharSectno"/>
        </w:rPr>
        <w:t>1</w:t>
      </w:r>
      <w:r w:rsidRPr="00604CC9">
        <w:t xml:space="preserve">  Short title</w:t>
      </w:r>
      <w:bookmarkEnd w:id="2"/>
    </w:p>
    <w:p w14:paraId="02F1E6E9" w14:textId="77777777" w:rsidR="004E32EF" w:rsidRPr="004E32EF" w:rsidRDefault="004E32EF" w:rsidP="004E32EF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4E32EF">
        <w:rPr>
          <w:i/>
        </w:rPr>
        <w:t>Customs Tariff Amendment (Incorporation of Proposals and Other Measures) Act 2021.</w:t>
      </w:r>
    </w:p>
    <w:p w14:paraId="15343796" w14:textId="77777777" w:rsidR="0048364F" w:rsidRPr="00604CC9" w:rsidRDefault="0048364F" w:rsidP="00604CC9">
      <w:pPr>
        <w:pStyle w:val="ActHead5"/>
      </w:pPr>
      <w:bookmarkStart w:id="3" w:name="_Toc65743891"/>
      <w:r w:rsidRPr="00832212">
        <w:rPr>
          <w:rStyle w:val="CharSectno"/>
        </w:rPr>
        <w:t>2</w:t>
      </w:r>
      <w:r w:rsidRPr="00604CC9">
        <w:t xml:space="preserve">  Commencement</w:t>
      </w:r>
      <w:bookmarkEnd w:id="3"/>
    </w:p>
    <w:p w14:paraId="0F453F27" w14:textId="77777777" w:rsidR="0048364F" w:rsidRPr="00604CC9" w:rsidRDefault="0048364F" w:rsidP="00604CC9">
      <w:pPr>
        <w:pStyle w:val="subsection"/>
      </w:pPr>
      <w:r w:rsidRPr="00604CC9">
        <w:tab/>
        <w:t>(1)</w:t>
      </w:r>
      <w:r w:rsidRPr="00604CC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E94747C" w14:textId="77777777" w:rsidR="0048364F" w:rsidRPr="00604CC9" w:rsidRDefault="0048364F" w:rsidP="00604C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04CC9" w14:paraId="1D9E80E6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45B786" w14:textId="77777777" w:rsidR="0048364F" w:rsidRPr="00604CC9" w:rsidRDefault="0048364F" w:rsidP="00604CC9">
            <w:pPr>
              <w:pStyle w:val="TableHeading"/>
            </w:pPr>
            <w:r w:rsidRPr="00604CC9">
              <w:lastRenderedPageBreak/>
              <w:t>Commencement information</w:t>
            </w:r>
          </w:p>
        </w:tc>
      </w:tr>
      <w:tr w:rsidR="0048364F" w:rsidRPr="00604CC9" w14:paraId="0A43726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3BCA3" w14:textId="77777777" w:rsidR="0048364F" w:rsidRPr="00604CC9" w:rsidRDefault="0048364F" w:rsidP="00604CC9">
            <w:pPr>
              <w:pStyle w:val="TableHeading"/>
            </w:pPr>
            <w:r w:rsidRPr="00604CC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8A530" w14:textId="77777777" w:rsidR="0048364F" w:rsidRPr="00604CC9" w:rsidRDefault="0048364F" w:rsidP="00604CC9">
            <w:pPr>
              <w:pStyle w:val="TableHeading"/>
            </w:pPr>
            <w:r w:rsidRPr="00604CC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5F275" w14:textId="77777777" w:rsidR="0048364F" w:rsidRPr="00604CC9" w:rsidRDefault="0048364F" w:rsidP="00604CC9">
            <w:pPr>
              <w:pStyle w:val="TableHeading"/>
            </w:pPr>
            <w:r w:rsidRPr="00604CC9">
              <w:t>Column 3</w:t>
            </w:r>
          </w:p>
        </w:tc>
      </w:tr>
      <w:tr w:rsidR="0048364F" w:rsidRPr="00604CC9" w14:paraId="332869FE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88DBF1" w14:textId="77777777" w:rsidR="0048364F" w:rsidRPr="00604CC9" w:rsidRDefault="0048364F" w:rsidP="00604CC9">
            <w:pPr>
              <w:pStyle w:val="TableHeading"/>
            </w:pPr>
            <w:r w:rsidRPr="00604CC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6A966D" w14:textId="77777777" w:rsidR="0048364F" w:rsidRPr="00604CC9" w:rsidRDefault="0048364F" w:rsidP="00604CC9">
            <w:pPr>
              <w:pStyle w:val="TableHeading"/>
            </w:pPr>
            <w:r w:rsidRPr="00604CC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19A053" w14:textId="77777777" w:rsidR="0048364F" w:rsidRPr="00604CC9" w:rsidRDefault="0048364F" w:rsidP="00604CC9">
            <w:pPr>
              <w:pStyle w:val="TableHeading"/>
            </w:pPr>
            <w:r w:rsidRPr="00604CC9">
              <w:t>Date/Details</w:t>
            </w:r>
          </w:p>
        </w:tc>
      </w:tr>
      <w:tr w:rsidR="0048364F" w:rsidRPr="00604CC9" w14:paraId="35B80911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07706F2" w14:textId="77777777" w:rsidR="0048364F" w:rsidRPr="00604CC9" w:rsidRDefault="0048364F" w:rsidP="00604CC9">
            <w:pPr>
              <w:pStyle w:val="Tabletext"/>
            </w:pPr>
            <w:r w:rsidRPr="00604CC9">
              <w:t xml:space="preserve">1.  </w:t>
            </w:r>
            <w:r w:rsidR="00262F3D" w:rsidRPr="00604CC9">
              <w:t>Sections 1</w:t>
            </w:r>
            <w:r w:rsidRPr="00604CC9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1524B4D" w14:textId="77777777" w:rsidR="0048364F" w:rsidRPr="00604CC9" w:rsidRDefault="0048364F" w:rsidP="00604CC9">
            <w:pPr>
              <w:pStyle w:val="Tabletext"/>
            </w:pPr>
            <w:r w:rsidRPr="00604CC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D1FBD90" w14:textId="77777777" w:rsidR="0048364F" w:rsidRPr="00604CC9" w:rsidRDefault="00287F4F" w:rsidP="00604CC9">
            <w:pPr>
              <w:pStyle w:val="Tabletext"/>
            </w:pPr>
            <w:r>
              <w:t>1 March 2021</w:t>
            </w:r>
          </w:p>
        </w:tc>
      </w:tr>
      <w:tr w:rsidR="0048364F" w:rsidRPr="00604CC9" w14:paraId="4F349D1D" w14:textId="77777777" w:rsidTr="004C7C8C">
        <w:tc>
          <w:tcPr>
            <w:tcW w:w="1701" w:type="dxa"/>
            <w:shd w:val="clear" w:color="auto" w:fill="auto"/>
          </w:tcPr>
          <w:p w14:paraId="70409D27" w14:textId="77777777" w:rsidR="0048364F" w:rsidRPr="00604CC9" w:rsidRDefault="0048364F" w:rsidP="00604CC9">
            <w:pPr>
              <w:pStyle w:val="Tabletext"/>
            </w:pPr>
            <w:r w:rsidRPr="00604CC9">
              <w:t xml:space="preserve">2.  </w:t>
            </w:r>
            <w:r w:rsidR="00D929A5" w:rsidRPr="00604CC9">
              <w:t>Schedule 1</w:t>
            </w:r>
            <w:r w:rsidR="00FA18B6" w:rsidRPr="00604CC9">
              <w:t xml:space="preserve">, </w:t>
            </w:r>
            <w:r w:rsidR="00262F3D" w:rsidRPr="00604CC9">
              <w:t>Part 1</w:t>
            </w:r>
          </w:p>
        </w:tc>
        <w:tc>
          <w:tcPr>
            <w:tcW w:w="3828" w:type="dxa"/>
            <w:shd w:val="clear" w:color="auto" w:fill="auto"/>
          </w:tcPr>
          <w:p w14:paraId="79D9C20C" w14:textId="77777777" w:rsidR="0048364F" w:rsidRPr="00604CC9" w:rsidRDefault="00262F3D" w:rsidP="00604CC9">
            <w:pPr>
              <w:pStyle w:val="Tabletext"/>
            </w:pPr>
            <w:r w:rsidRPr="00604CC9">
              <w:t>1 February</w:t>
            </w:r>
            <w:r w:rsidR="00FA18B6" w:rsidRPr="00604CC9">
              <w:t xml:space="preserve"> 2020.</w:t>
            </w:r>
          </w:p>
        </w:tc>
        <w:tc>
          <w:tcPr>
            <w:tcW w:w="1582" w:type="dxa"/>
            <w:shd w:val="clear" w:color="auto" w:fill="auto"/>
          </w:tcPr>
          <w:p w14:paraId="31F64151" w14:textId="77777777" w:rsidR="0048364F" w:rsidRPr="00604CC9" w:rsidRDefault="00262F3D" w:rsidP="00604CC9">
            <w:pPr>
              <w:pStyle w:val="Tabletext"/>
            </w:pPr>
            <w:r w:rsidRPr="00604CC9">
              <w:t>1 February</w:t>
            </w:r>
            <w:r w:rsidR="00FA18B6" w:rsidRPr="00604CC9">
              <w:t xml:space="preserve"> 2020</w:t>
            </w:r>
          </w:p>
        </w:tc>
      </w:tr>
      <w:tr w:rsidR="0048364F" w:rsidRPr="00604CC9" w14:paraId="3AB7943C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07C2F76" w14:textId="77777777" w:rsidR="0048364F" w:rsidRPr="00604CC9" w:rsidRDefault="002F504F" w:rsidP="00604CC9">
            <w:pPr>
              <w:pStyle w:val="Tabletext"/>
            </w:pPr>
            <w:r w:rsidRPr="00604CC9">
              <w:t>3</w:t>
            </w:r>
            <w:r w:rsidR="0048364F" w:rsidRPr="00604CC9">
              <w:t xml:space="preserve">.  </w:t>
            </w:r>
            <w:r w:rsidR="00D929A5" w:rsidRPr="00604CC9">
              <w:t>Schedule 1</w:t>
            </w:r>
            <w:r w:rsidRPr="00604CC9">
              <w:t xml:space="preserve">, </w:t>
            </w:r>
            <w:r w:rsidR="00D929A5" w:rsidRPr="00604CC9">
              <w:t>Parts 2</w:t>
            </w:r>
            <w:r w:rsidR="00F33DA5" w:rsidRPr="00604CC9">
              <w:t xml:space="preserve"> to 8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735981D" w14:textId="77777777" w:rsidR="0048364F" w:rsidRPr="00604CC9" w:rsidRDefault="00463AD7" w:rsidP="00604CC9">
            <w:pPr>
              <w:pStyle w:val="Tabletext"/>
            </w:pPr>
            <w:r w:rsidRPr="00604CC9">
              <w:t>The 28th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4E1946A2" w14:textId="77777777" w:rsidR="0048364F" w:rsidRPr="00604CC9" w:rsidRDefault="00287F4F" w:rsidP="00604CC9">
            <w:pPr>
              <w:pStyle w:val="Tabletext"/>
            </w:pPr>
            <w:r>
              <w:t>29 March 2021</w:t>
            </w:r>
          </w:p>
        </w:tc>
      </w:tr>
    </w:tbl>
    <w:p w14:paraId="2FBEA467" w14:textId="77777777" w:rsidR="0048364F" w:rsidRPr="00604CC9" w:rsidRDefault="00201D27" w:rsidP="00604CC9">
      <w:pPr>
        <w:pStyle w:val="notetext"/>
      </w:pPr>
      <w:r w:rsidRPr="00604CC9">
        <w:t>Note:</w:t>
      </w:r>
      <w:r w:rsidRPr="00604CC9">
        <w:tab/>
        <w:t>This table relates only to the provisions of this Act as originally enacted. It will not be amended to deal with any later amendments of this Act.</w:t>
      </w:r>
    </w:p>
    <w:p w14:paraId="3FB5DEC2" w14:textId="77777777" w:rsidR="0048364F" w:rsidRPr="00604CC9" w:rsidRDefault="0048364F" w:rsidP="00604CC9">
      <w:pPr>
        <w:pStyle w:val="subsection"/>
      </w:pPr>
      <w:r w:rsidRPr="00604CC9">
        <w:tab/>
        <w:t>(2)</w:t>
      </w:r>
      <w:r w:rsidRPr="00604CC9">
        <w:tab/>
      </w:r>
      <w:r w:rsidR="00201D27" w:rsidRPr="00604CC9">
        <w:t xml:space="preserve">Any information in </w:t>
      </w:r>
      <w:r w:rsidR="00877D48" w:rsidRPr="00604CC9">
        <w:t>c</w:t>
      </w:r>
      <w:r w:rsidR="00201D27" w:rsidRPr="00604CC9">
        <w:t>olumn 3 of the table is not part of this Act. Information may be inserted in this column, or information in it may be edited, in any published version of this Act.</w:t>
      </w:r>
    </w:p>
    <w:p w14:paraId="3F2F7C10" w14:textId="77777777" w:rsidR="0048364F" w:rsidRPr="00604CC9" w:rsidRDefault="0048364F" w:rsidP="00604CC9">
      <w:pPr>
        <w:pStyle w:val="ActHead5"/>
      </w:pPr>
      <w:bookmarkStart w:id="4" w:name="_Toc65743892"/>
      <w:r w:rsidRPr="00832212">
        <w:rPr>
          <w:rStyle w:val="CharSectno"/>
        </w:rPr>
        <w:t>3</w:t>
      </w:r>
      <w:r w:rsidRPr="00604CC9">
        <w:t xml:space="preserve">  Schedules</w:t>
      </w:r>
      <w:bookmarkEnd w:id="4"/>
    </w:p>
    <w:p w14:paraId="1BB74583" w14:textId="77777777" w:rsidR="0048364F" w:rsidRPr="00604CC9" w:rsidRDefault="0048364F" w:rsidP="00604CC9">
      <w:pPr>
        <w:pStyle w:val="subsection"/>
      </w:pPr>
      <w:r w:rsidRPr="00604CC9">
        <w:tab/>
      </w:r>
      <w:r w:rsidRPr="00604CC9">
        <w:tab/>
      </w:r>
      <w:r w:rsidR="00202618" w:rsidRPr="00604CC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0F261F1" w14:textId="77777777" w:rsidR="008D3E94" w:rsidRPr="00604CC9" w:rsidRDefault="00D929A5" w:rsidP="00604CC9">
      <w:pPr>
        <w:pStyle w:val="ActHead6"/>
        <w:pageBreakBefore/>
      </w:pPr>
      <w:bookmarkStart w:id="5" w:name="opcAmSched"/>
      <w:bookmarkStart w:id="6" w:name="opcCurrentFind"/>
      <w:bookmarkStart w:id="7" w:name="_Toc65743893"/>
      <w:r w:rsidRPr="00832212">
        <w:rPr>
          <w:rStyle w:val="CharAmSchNo"/>
        </w:rPr>
        <w:lastRenderedPageBreak/>
        <w:t>Schedule 1</w:t>
      </w:r>
      <w:r w:rsidR="0048364F" w:rsidRPr="00604CC9">
        <w:t>—</w:t>
      </w:r>
      <w:r w:rsidR="000E0AC4" w:rsidRPr="00832212">
        <w:rPr>
          <w:rStyle w:val="CharAmSchText"/>
        </w:rPr>
        <w:t>Amendments</w:t>
      </w:r>
      <w:bookmarkEnd w:id="7"/>
    </w:p>
    <w:p w14:paraId="4DA452F6" w14:textId="77777777" w:rsidR="00B16180" w:rsidRPr="00604CC9" w:rsidRDefault="00262F3D" w:rsidP="00604CC9">
      <w:pPr>
        <w:pStyle w:val="ActHead7"/>
      </w:pPr>
      <w:bookmarkStart w:id="8" w:name="_Toc65743894"/>
      <w:bookmarkEnd w:id="5"/>
      <w:bookmarkEnd w:id="6"/>
      <w:r w:rsidRPr="00832212">
        <w:rPr>
          <w:rStyle w:val="CharAmPartNo"/>
        </w:rPr>
        <w:t>Part 1</w:t>
      </w:r>
      <w:r w:rsidR="00B16180" w:rsidRPr="00604CC9">
        <w:t>—</w:t>
      </w:r>
      <w:r w:rsidR="00BB0C69" w:rsidRPr="00832212">
        <w:rPr>
          <w:rStyle w:val="CharAmPartText"/>
        </w:rPr>
        <w:t>Incorporation of proposals</w:t>
      </w:r>
      <w:bookmarkEnd w:id="8"/>
    </w:p>
    <w:p w14:paraId="340F7D3C" w14:textId="77777777" w:rsidR="00B16180" w:rsidRPr="00604CC9" w:rsidRDefault="00B16180" w:rsidP="00604CC9">
      <w:pPr>
        <w:pStyle w:val="ActHead9"/>
        <w:rPr>
          <w:i w:val="0"/>
        </w:rPr>
      </w:pPr>
      <w:bookmarkStart w:id="9" w:name="_Toc65743895"/>
      <w:r w:rsidRPr="00604CC9">
        <w:t>Customs Tariff Act 1995</w:t>
      </w:r>
      <w:bookmarkStart w:id="10" w:name="BK_S3P3L3C24"/>
      <w:bookmarkEnd w:id="10"/>
      <w:bookmarkEnd w:id="9"/>
    </w:p>
    <w:p w14:paraId="514446C7" w14:textId="77777777" w:rsidR="00BB0C69" w:rsidRPr="00604CC9" w:rsidRDefault="003C2E16" w:rsidP="00604CC9">
      <w:pPr>
        <w:pStyle w:val="ItemHead"/>
      </w:pPr>
      <w:r w:rsidRPr="00604CC9">
        <w:t>1</w:t>
      </w:r>
      <w:r w:rsidR="00FA18B6" w:rsidRPr="00604CC9">
        <w:t xml:space="preserve">  At the end of </w:t>
      </w:r>
      <w:r w:rsidR="00604CC9">
        <w:t>Schedule 4</w:t>
      </w:r>
    </w:p>
    <w:p w14:paraId="435C3448" w14:textId="77777777" w:rsidR="00FA18B6" w:rsidRPr="00604CC9" w:rsidRDefault="00FA18B6" w:rsidP="00604CC9">
      <w:pPr>
        <w:pStyle w:val="Item"/>
      </w:pPr>
      <w:r w:rsidRPr="00604CC9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2555"/>
      </w:tblGrid>
      <w:tr w:rsidR="00FA18B6" w:rsidRPr="00604CC9" w14:paraId="23ED8E83" w14:textId="77777777" w:rsidTr="00FA18B6">
        <w:trPr>
          <w:cantSplit/>
        </w:trPr>
        <w:tc>
          <w:tcPr>
            <w:tcW w:w="704" w:type="dxa"/>
            <w:shd w:val="clear" w:color="auto" w:fill="auto"/>
          </w:tcPr>
          <w:p w14:paraId="434E8EE4" w14:textId="77777777" w:rsidR="00FA18B6" w:rsidRPr="00604CC9" w:rsidRDefault="00FA18B6" w:rsidP="00604CC9">
            <w:pPr>
              <w:pStyle w:val="Tabletext"/>
            </w:pPr>
            <w:r w:rsidRPr="00604CC9">
              <w:t>57</w:t>
            </w:r>
          </w:p>
        </w:tc>
        <w:tc>
          <w:tcPr>
            <w:tcW w:w="3827" w:type="dxa"/>
            <w:shd w:val="clear" w:color="auto" w:fill="auto"/>
          </w:tcPr>
          <w:p w14:paraId="37CC8769" w14:textId="77777777" w:rsidR="00FA18B6" w:rsidRPr="00604CC9" w:rsidRDefault="00FA18B6" w:rsidP="00604CC9">
            <w:pPr>
              <w:pStyle w:val="Tabletext"/>
            </w:pPr>
            <w:r w:rsidRPr="00604CC9">
              <w:t>Goods, as prescribed by by</w:t>
            </w:r>
            <w:r w:rsidR="00604CC9">
              <w:noBreakHyphen/>
            </w:r>
            <w:r w:rsidRPr="00604CC9">
              <w:t>law, if:</w:t>
            </w:r>
          </w:p>
          <w:p w14:paraId="3C73A508" w14:textId="77777777" w:rsidR="00FA18B6" w:rsidRPr="00604CC9" w:rsidRDefault="00FA18B6" w:rsidP="00604CC9">
            <w:pPr>
              <w:pStyle w:val="Tablea"/>
            </w:pPr>
            <w:r w:rsidRPr="00604CC9">
              <w:t>(a) the goods are medical products or hygiene products; and</w:t>
            </w:r>
          </w:p>
          <w:p w14:paraId="3B8EEE3C" w14:textId="77777777" w:rsidR="00FA18B6" w:rsidRPr="00604CC9" w:rsidRDefault="00FA18B6" w:rsidP="00604CC9">
            <w:pPr>
              <w:pStyle w:val="Tablea"/>
            </w:pPr>
            <w:r w:rsidRPr="00604CC9">
              <w:t>(b) the goods are capable of use in combating the novel coronavirus that causes the disease known as COVID</w:t>
            </w:r>
            <w:r w:rsidR="00604CC9">
              <w:noBreakHyphen/>
            </w:r>
            <w:r w:rsidRPr="00604CC9">
              <w:t>19; and</w:t>
            </w:r>
          </w:p>
          <w:p w14:paraId="755654D3" w14:textId="77777777" w:rsidR="00FA18B6" w:rsidRPr="00604CC9" w:rsidRDefault="00FA18B6" w:rsidP="00604CC9">
            <w:pPr>
              <w:pStyle w:val="Tablea"/>
            </w:pPr>
            <w:r w:rsidRPr="00604CC9">
              <w:t xml:space="preserve">(c) the time for working out the rate of duty on the goods is in the period beginning on </w:t>
            </w:r>
            <w:r w:rsidR="00262F3D" w:rsidRPr="00604CC9">
              <w:t>1 February</w:t>
            </w:r>
            <w:r w:rsidRPr="00604CC9">
              <w:t xml:space="preserve"> 2020 and ending at the end of </w:t>
            </w:r>
            <w:r w:rsidR="00262F3D" w:rsidRPr="00604CC9">
              <w:t>31 December</w:t>
            </w:r>
            <w:r w:rsidRPr="00604CC9">
              <w:t xml:space="preserve"> 2020</w:t>
            </w:r>
          </w:p>
        </w:tc>
        <w:tc>
          <w:tcPr>
            <w:tcW w:w="2555" w:type="dxa"/>
            <w:shd w:val="clear" w:color="auto" w:fill="auto"/>
          </w:tcPr>
          <w:p w14:paraId="0C012B7A" w14:textId="77777777" w:rsidR="00FA18B6" w:rsidRPr="00604CC9" w:rsidRDefault="00FA18B6" w:rsidP="00604CC9">
            <w:pPr>
              <w:pStyle w:val="Tabletext"/>
            </w:pPr>
            <w:r w:rsidRPr="00604CC9">
              <w:t>Free</w:t>
            </w:r>
          </w:p>
        </w:tc>
      </w:tr>
    </w:tbl>
    <w:p w14:paraId="6B80EAFD" w14:textId="77777777" w:rsidR="00B16180" w:rsidRPr="00604CC9" w:rsidRDefault="00262F3D" w:rsidP="00604CC9">
      <w:pPr>
        <w:pStyle w:val="ActHead7"/>
        <w:pageBreakBefore/>
      </w:pPr>
      <w:bookmarkStart w:id="11" w:name="_Toc65743896"/>
      <w:r w:rsidRPr="00832212">
        <w:rPr>
          <w:rStyle w:val="CharAmPartNo"/>
        </w:rPr>
        <w:lastRenderedPageBreak/>
        <w:t>Part 2</w:t>
      </w:r>
      <w:r w:rsidR="00B16180" w:rsidRPr="00604CC9">
        <w:t>—</w:t>
      </w:r>
      <w:r w:rsidR="00B16180" w:rsidRPr="00832212">
        <w:rPr>
          <w:rStyle w:val="CharAmPartText"/>
        </w:rPr>
        <w:t>Used or second</w:t>
      </w:r>
      <w:r w:rsidR="00604CC9" w:rsidRPr="00832212">
        <w:rPr>
          <w:rStyle w:val="CharAmPartText"/>
        </w:rPr>
        <w:noBreakHyphen/>
      </w:r>
      <w:r w:rsidR="00B16180" w:rsidRPr="00832212">
        <w:rPr>
          <w:rStyle w:val="CharAmPartText"/>
        </w:rPr>
        <w:t>hand vehicles</w:t>
      </w:r>
      <w:bookmarkEnd w:id="11"/>
    </w:p>
    <w:p w14:paraId="4BC3DCFA" w14:textId="77777777" w:rsidR="00B16180" w:rsidRPr="00604CC9" w:rsidRDefault="00B16180" w:rsidP="00604CC9">
      <w:pPr>
        <w:pStyle w:val="ActHead9"/>
        <w:rPr>
          <w:i w:val="0"/>
        </w:rPr>
      </w:pPr>
      <w:bookmarkStart w:id="12" w:name="_Toc65743897"/>
      <w:r w:rsidRPr="00604CC9">
        <w:t>Customs Tariff Act 1995</w:t>
      </w:r>
      <w:bookmarkStart w:id="13" w:name="BK_S3P4L2C24"/>
      <w:bookmarkEnd w:id="13"/>
      <w:bookmarkEnd w:id="12"/>
    </w:p>
    <w:p w14:paraId="34014068" w14:textId="77777777" w:rsidR="00081863" w:rsidRPr="00604CC9" w:rsidRDefault="003C2E16" w:rsidP="00604CC9">
      <w:pPr>
        <w:pStyle w:val="ItemHead"/>
      </w:pPr>
      <w:r w:rsidRPr="00604CC9">
        <w:t>2</w:t>
      </w:r>
      <w:r w:rsidR="00081863" w:rsidRPr="00604CC9">
        <w:t xml:space="preserve">  </w:t>
      </w:r>
      <w:r w:rsidR="00604CC9">
        <w:t>Schedule 4</w:t>
      </w:r>
      <w:r w:rsidR="00081863" w:rsidRPr="00604CC9">
        <w:t xml:space="preserve"> (table </w:t>
      </w:r>
      <w:r w:rsidR="00604CC9">
        <w:t>item 3</w:t>
      </w:r>
      <w:r w:rsidR="00081863" w:rsidRPr="00604CC9">
        <w:t>7)</w:t>
      </w:r>
    </w:p>
    <w:p w14:paraId="2F10AA9A" w14:textId="77777777" w:rsidR="00081863" w:rsidRPr="00604CC9" w:rsidRDefault="00081863" w:rsidP="00604CC9">
      <w:pPr>
        <w:pStyle w:val="Item"/>
      </w:pPr>
      <w:r w:rsidRPr="00604CC9">
        <w:t>Omit “</w:t>
      </w:r>
      <w:proofErr w:type="spellStart"/>
      <w:r w:rsidRPr="00604CC9">
        <w:t>PE:Free</w:t>
      </w:r>
      <w:proofErr w:type="spellEnd"/>
      <w:r w:rsidRPr="00604CC9">
        <w:t>”.</w:t>
      </w:r>
    </w:p>
    <w:p w14:paraId="2D6DA11A" w14:textId="77777777" w:rsidR="00081863" w:rsidRPr="00604CC9" w:rsidRDefault="003C2E16" w:rsidP="00604CC9">
      <w:pPr>
        <w:pStyle w:val="ItemHead"/>
      </w:pPr>
      <w:r w:rsidRPr="00604CC9">
        <w:t>3</w:t>
      </w:r>
      <w:r w:rsidR="00081863" w:rsidRPr="00604CC9">
        <w:t xml:space="preserve">  </w:t>
      </w:r>
      <w:r w:rsidR="00604CC9">
        <w:t>Schedule 4</w:t>
      </w:r>
      <w:r w:rsidR="00081863" w:rsidRPr="00604CC9">
        <w:t xml:space="preserve"> (table </w:t>
      </w:r>
      <w:r w:rsidR="00604CC9">
        <w:t>item 3</w:t>
      </w:r>
      <w:r w:rsidR="00081863" w:rsidRPr="00604CC9">
        <w:t>7)</w:t>
      </w:r>
    </w:p>
    <w:p w14:paraId="61CA1D0A" w14:textId="77777777" w:rsidR="00081863" w:rsidRPr="00604CC9" w:rsidRDefault="00081863" w:rsidP="00604CC9">
      <w:pPr>
        <w:pStyle w:val="Item"/>
      </w:pPr>
      <w:r w:rsidRPr="00604CC9">
        <w:t>Omit “</w:t>
      </w:r>
      <w:proofErr w:type="spellStart"/>
      <w:r w:rsidRPr="00604CC9">
        <w:t>TPP:Free</w:t>
      </w:r>
      <w:proofErr w:type="spellEnd"/>
      <w:r w:rsidRPr="00604CC9">
        <w:t>”.</w:t>
      </w:r>
    </w:p>
    <w:p w14:paraId="21C8E41F" w14:textId="77777777" w:rsidR="00B16180" w:rsidRPr="00604CC9" w:rsidRDefault="003C2E16" w:rsidP="00604CC9">
      <w:pPr>
        <w:pStyle w:val="ItemHead"/>
      </w:pPr>
      <w:r w:rsidRPr="00604CC9">
        <w:t>4</w:t>
      </w:r>
      <w:r w:rsidR="00370537" w:rsidRPr="00604CC9">
        <w:t xml:space="preserve">  </w:t>
      </w:r>
      <w:r w:rsidR="00262F3D" w:rsidRPr="00604CC9">
        <w:t>Schedule 6</w:t>
      </w:r>
      <w:r w:rsidR="00370537" w:rsidRPr="00604CC9">
        <w:t xml:space="preserve">A (table </w:t>
      </w:r>
      <w:r w:rsidR="00262F3D" w:rsidRPr="00604CC9">
        <w:t>items 3</w:t>
      </w:r>
      <w:r w:rsidR="00370537" w:rsidRPr="00604CC9">
        <w:t>48 to 360)</w:t>
      </w:r>
    </w:p>
    <w:p w14:paraId="32E44AC9" w14:textId="77777777" w:rsidR="00370537" w:rsidRPr="00604CC9" w:rsidRDefault="00370537" w:rsidP="00604CC9">
      <w:pPr>
        <w:pStyle w:val="Item"/>
      </w:pPr>
      <w:r w:rsidRPr="00604CC9">
        <w:t>Repeal the items.</w:t>
      </w:r>
    </w:p>
    <w:p w14:paraId="7B15CC78" w14:textId="77777777" w:rsidR="00370537" w:rsidRPr="00604CC9" w:rsidRDefault="003C2E16" w:rsidP="00604CC9">
      <w:pPr>
        <w:pStyle w:val="ItemHead"/>
      </w:pPr>
      <w:r w:rsidRPr="00604CC9">
        <w:t>5</w:t>
      </w:r>
      <w:r w:rsidR="00370537" w:rsidRPr="00604CC9">
        <w:t xml:space="preserve">  </w:t>
      </w:r>
      <w:r w:rsidR="00262F3D" w:rsidRPr="00604CC9">
        <w:t>Schedule 8</w:t>
      </w:r>
      <w:r w:rsidR="00370537" w:rsidRPr="00604CC9">
        <w:t xml:space="preserve">B (table </w:t>
      </w:r>
      <w:r w:rsidR="00262F3D" w:rsidRPr="00604CC9">
        <w:t>items 5</w:t>
      </w:r>
      <w:r w:rsidR="00370537" w:rsidRPr="00604CC9">
        <w:t>13 to 525)</w:t>
      </w:r>
    </w:p>
    <w:p w14:paraId="0E52146D" w14:textId="77777777" w:rsidR="00370537" w:rsidRPr="00604CC9" w:rsidRDefault="00370537" w:rsidP="00604CC9">
      <w:pPr>
        <w:pStyle w:val="Item"/>
      </w:pPr>
      <w:r w:rsidRPr="00604CC9">
        <w:t>Repeal the items.</w:t>
      </w:r>
    </w:p>
    <w:p w14:paraId="7DE664BF" w14:textId="77777777" w:rsidR="00370537" w:rsidRPr="00604CC9" w:rsidRDefault="003C2E16" w:rsidP="00604CC9">
      <w:pPr>
        <w:pStyle w:val="Transitional"/>
      </w:pPr>
      <w:r w:rsidRPr="00604CC9">
        <w:t>6</w:t>
      </w:r>
      <w:r w:rsidR="00370537" w:rsidRPr="00604CC9">
        <w:t xml:space="preserve">  Application provision</w:t>
      </w:r>
    </w:p>
    <w:p w14:paraId="0AB3FAB6" w14:textId="77777777" w:rsidR="00370537" w:rsidRPr="00604CC9" w:rsidRDefault="00370537" w:rsidP="00604CC9">
      <w:pPr>
        <w:pStyle w:val="Item"/>
      </w:pPr>
      <w:r w:rsidRPr="00604CC9">
        <w:t>The amendments made by this Part apply in relation to:</w:t>
      </w:r>
    </w:p>
    <w:p w14:paraId="35A5CD64" w14:textId="77777777" w:rsidR="00370537" w:rsidRPr="00604CC9" w:rsidRDefault="00370537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34C554CA" w14:textId="77777777" w:rsidR="00370537" w:rsidRPr="00604CC9" w:rsidRDefault="00370537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11528C99" w14:textId="77777777" w:rsidR="00E34C76" w:rsidRPr="00604CC9" w:rsidRDefault="00262F3D" w:rsidP="00604CC9">
      <w:pPr>
        <w:pStyle w:val="ActHead7"/>
        <w:pageBreakBefore/>
      </w:pPr>
      <w:bookmarkStart w:id="14" w:name="_Toc65743898"/>
      <w:r w:rsidRPr="00832212">
        <w:rPr>
          <w:rStyle w:val="CharAmPartNo"/>
        </w:rPr>
        <w:lastRenderedPageBreak/>
        <w:t>Part 3</w:t>
      </w:r>
      <w:r w:rsidR="00E34C76" w:rsidRPr="00604CC9">
        <w:t>—</w:t>
      </w:r>
      <w:r w:rsidR="00D929A5" w:rsidRPr="00832212">
        <w:rPr>
          <w:rStyle w:val="CharAmPartText"/>
        </w:rPr>
        <w:t>Formulated</w:t>
      </w:r>
      <w:r w:rsidR="00B62F7D" w:rsidRPr="00832212">
        <w:rPr>
          <w:rStyle w:val="CharAmPartText"/>
        </w:rPr>
        <w:t xml:space="preserve"> caffeinated beverages</w:t>
      </w:r>
      <w:bookmarkEnd w:id="14"/>
    </w:p>
    <w:p w14:paraId="26E87A70" w14:textId="77777777" w:rsidR="00E34C76" w:rsidRPr="00604CC9" w:rsidRDefault="00E34C76" w:rsidP="00604CC9">
      <w:pPr>
        <w:pStyle w:val="ActHead9"/>
        <w:rPr>
          <w:i w:val="0"/>
        </w:rPr>
      </w:pPr>
      <w:bookmarkStart w:id="15" w:name="_Toc65743899"/>
      <w:r w:rsidRPr="00604CC9">
        <w:t>Customs Tariff Act 1995</w:t>
      </w:r>
      <w:bookmarkStart w:id="16" w:name="BK_S3P5L2C24"/>
      <w:bookmarkEnd w:id="16"/>
      <w:bookmarkEnd w:id="15"/>
    </w:p>
    <w:p w14:paraId="3FADDEA6" w14:textId="77777777" w:rsidR="00E82409" w:rsidRPr="00604CC9" w:rsidRDefault="003C2E16" w:rsidP="00604CC9">
      <w:pPr>
        <w:pStyle w:val="ItemHead"/>
      </w:pPr>
      <w:r w:rsidRPr="00604CC9">
        <w:t>7</w:t>
      </w:r>
      <w:r w:rsidR="00E82409" w:rsidRPr="00604CC9">
        <w:t xml:space="preserve">  Schedule 3 (</w:t>
      </w:r>
      <w:r w:rsidR="00B57072" w:rsidRPr="00604CC9">
        <w:t>Chapter 2</w:t>
      </w:r>
      <w:r w:rsidR="00E82409" w:rsidRPr="00604CC9">
        <w:t>2, at the end of the Additional Notes)</w:t>
      </w:r>
    </w:p>
    <w:p w14:paraId="0C43567B" w14:textId="77777777" w:rsidR="00E82409" w:rsidRPr="00604CC9" w:rsidRDefault="00E82409" w:rsidP="00604CC9">
      <w:pPr>
        <w:pStyle w:val="Item"/>
      </w:pPr>
      <w:r w:rsidRPr="00604CC9">
        <w:t>Add:</w:t>
      </w:r>
    </w:p>
    <w:p w14:paraId="0E596DCD" w14:textId="77777777" w:rsidR="00E82409" w:rsidRPr="00604CC9" w:rsidRDefault="00E82409" w:rsidP="00604CC9">
      <w:pPr>
        <w:pStyle w:val="subsection"/>
      </w:pPr>
      <w:r w:rsidRPr="00604CC9">
        <w:tab/>
        <w:t>12.</w:t>
      </w:r>
      <w:r w:rsidR="00604CC9">
        <w:noBreakHyphen/>
      </w:r>
      <w:r w:rsidRPr="00604CC9">
        <w:tab/>
        <w:t>For the purposes of 2202.10.50, “</w:t>
      </w:r>
      <w:r w:rsidR="00D929A5" w:rsidRPr="00604CC9">
        <w:t>formulated</w:t>
      </w:r>
      <w:r w:rsidRPr="00604CC9">
        <w:t xml:space="preserve"> caffeinated beverage” has the same meaning as in the Australia New Zealand Food Standards Code </w:t>
      </w:r>
      <w:r w:rsidR="007F00E3" w:rsidRPr="00604CC9">
        <w:t xml:space="preserve">(within the meaning of the </w:t>
      </w:r>
      <w:r w:rsidRPr="00604CC9">
        <w:rPr>
          <w:i/>
        </w:rPr>
        <w:t>Food Standards Australia New Zealand Act 1991</w:t>
      </w:r>
      <w:r w:rsidR="007F00E3" w:rsidRPr="00604CC9">
        <w:t xml:space="preserve">) </w:t>
      </w:r>
      <w:r w:rsidR="00B62F7D" w:rsidRPr="00604CC9">
        <w:t>as in force from time to time</w:t>
      </w:r>
      <w:r w:rsidRPr="00604CC9">
        <w:t>.</w:t>
      </w:r>
    </w:p>
    <w:p w14:paraId="17D5FF08" w14:textId="77777777" w:rsidR="00FA5426" w:rsidRPr="00604CC9" w:rsidRDefault="003C2E16" w:rsidP="00604CC9">
      <w:pPr>
        <w:pStyle w:val="ItemHead"/>
      </w:pPr>
      <w:r w:rsidRPr="00604CC9">
        <w:t>8</w:t>
      </w:r>
      <w:r w:rsidR="00FA5426" w:rsidRPr="00604CC9">
        <w:t xml:space="preserve">  Schedule 3 (subheading 2202.10.00)</w:t>
      </w:r>
    </w:p>
    <w:p w14:paraId="07A59A2B" w14:textId="77777777" w:rsidR="00FA5426" w:rsidRPr="00604CC9" w:rsidRDefault="00FA5426" w:rsidP="00604CC9">
      <w:pPr>
        <w:pStyle w:val="Item"/>
      </w:pPr>
      <w:r w:rsidRPr="00604CC9">
        <w:t>Repeal the subheading, substitute:</w:t>
      </w:r>
    </w:p>
    <w:tbl>
      <w:tblPr>
        <w:tblW w:w="7183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4819"/>
        <w:gridCol w:w="1247"/>
      </w:tblGrid>
      <w:tr w:rsidR="00FA5426" w:rsidRPr="00604CC9" w14:paraId="52BF384E" w14:textId="77777777" w:rsidTr="009113BA">
        <w:tc>
          <w:tcPr>
            <w:tcW w:w="1117" w:type="dxa"/>
          </w:tcPr>
          <w:p w14:paraId="7718294D" w14:textId="77777777" w:rsidR="00FA5426" w:rsidRPr="00604CC9" w:rsidRDefault="00FA5426" w:rsidP="00604CC9">
            <w:pPr>
              <w:pStyle w:val="Tabletext"/>
            </w:pPr>
            <w:r w:rsidRPr="00604CC9">
              <w:t>2202.10</w:t>
            </w:r>
          </w:p>
        </w:tc>
        <w:tc>
          <w:tcPr>
            <w:tcW w:w="4819" w:type="dxa"/>
          </w:tcPr>
          <w:p w14:paraId="74F56C53" w14:textId="77777777" w:rsidR="00FA5426" w:rsidRPr="00604CC9" w:rsidRDefault="00604CC9" w:rsidP="00604CC9">
            <w:pPr>
              <w:pStyle w:val="CTA-"/>
            </w:pPr>
            <w:r>
              <w:noBreakHyphen/>
            </w:r>
            <w:r w:rsidR="00FA5426" w:rsidRPr="00604CC9">
              <w:t>Waters, including mineral waters and aerated waters, containing added sugar or other sweetening matter or flavoured:</w:t>
            </w:r>
          </w:p>
        </w:tc>
        <w:tc>
          <w:tcPr>
            <w:tcW w:w="1247" w:type="dxa"/>
          </w:tcPr>
          <w:p w14:paraId="0649A803" w14:textId="77777777" w:rsidR="00FA5426" w:rsidRPr="00604CC9" w:rsidRDefault="00FA5426" w:rsidP="00604CC9">
            <w:pPr>
              <w:pStyle w:val="Tabletext"/>
            </w:pPr>
          </w:p>
        </w:tc>
      </w:tr>
      <w:tr w:rsidR="00FA5426" w:rsidRPr="00604CC9" w14:paraId="2A73080C" w14:textId="77777777" w:rsidTr="009113BA">
        <w:tc>
          <w:tcPr>
            <w:tcW w:w="1117" w:type="dxa"/>
          </w:tcPr>
          <w:p w14:paraId="0CDFF18A" w14:textId="77777777" w:rsidR="00FA5426" w:rsidRPr="00604CC9" w:rsidRDefault="00FA5426" w:rsidP="00604CC9">
            <w:pPr>
              <w:pStyle w:val="Tabletext"/>
            </w:pPr>
            <w:r w:rsidRPr="00604CC9">
              <w:t>2202.10.50</w:t>
            </w:r>
          </w:p>
        </w:tc>
        <w:tc>
          <w:tcPr>
            <w:tcW w:w="4819" w:type="dxa"/>
          </w:tcPr>
          <w:p w14:paraId="0641EF83" w14:textId="77777777" w:rsidR="00FA5426" w:rsidRPr="00604CC9" w:rsidRDefault="00604CC9" w:rsidP="00604CC9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929A5" w:rsidRPr="00604CC9">
              <w:t>Formulated</w:t>
            </w:r>
            <w:r w:rsidR="00E82409" w:rsidRPr="00604CC9">
              <w:t xml:space="preserve"> caffeinated beverages</w:t>
            </w:r>
            <w:r w:rsidR="00B62F7D" w:rsidRPr="00604CC9">
              <w:t>, as defined in Additional Note 12 to this Chapter,</w:t>
            </w:r>
            <w:r w:rsidR="00E82409" w:rsidRPr="00604CC9">
              <w:t xml:space="preserve"> containing at least 145 mg/L of caffeine</w:t>
            </w:r>
          </w:p>
        </w:tc>
        <w:tc>
          <w:tcPr>
            <w:tcW w:w="1247" w:type="dxa"/>
          </w:tcPr>
          <w:p w14:paraId="2A8E26CB" w14:textId="77777777" w:rsidR="00FA5426" w:rsidRPr="00604CC9" w:rsidRDefault="00E82409" w:rsidP="00604CC9">
            <w:pPr>
              <w:pStyle w:val="Tabletext"/>
            </w:pPr>
            <w:r w:rsidRPr="00604CC9">
              <w:t>5%</w:t>
            </w:r>
            <w:r w:rsidRPr="00604CC9">
              <w:br/>
              <w:t>DCS:4%</w:t>
            </w:r>
            <w:r w:rsidRPr="00604CC9">
              <w:br/>
              <w:t>DCT:5%</w:t>
            </w:r>
          </w:p>
        </w:tc>
      </w:tr>
      <w:tr w:rsidR="00FA5426" w:rsidRPr="00604CC9" w14:paraId="66271755" w14:textId="77777777" w:rsidTr="009113BA">
        <w:tc>
          <w:tcPr>
            <w:tcW w:w="1117" w:type="dxa"/>
          </w:tcPr>
          <w:p w14:paraId="1A088715" w14:textId="77777777" w:rsidR="00FA5426" w:rsidRPr="00604CC9" w:rsidRDefault="00FA5426" w:rsidP="00604CC9">
            <w:pPr>
              <w:pStyle w:val="Tabletext"/>
            </w:pPr>
            <w:r w:rsidRPr="00604CC9">
              <w:t>2202.10.90</w:t>
            </w:r>
          </w:p>
        </w:tc>
        <w:tc>
          <w:tcPr>
            <w:tcW w:w="4819" w:type="dxa"/>
          </w:tcPr>
          <w:p w14:paraId="5432F87C" w14:textId="77777777" w:rsidR="00FA5426" w:rsidRPr="00604CC9" w:rsidRDefault="00604CC9" w:rsidP="00604CC9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FA5426" w:rsidRPr="00604CC9">
              <w:t>Other</w:t>
            </w:r>
          </w:p>
        </w:tc>
        <w:tc>
          <w:tcPr>
            <w:tcW w:w="1247" w:type="dxa"/>
          </w:tcPr>
          <w:p w14:paraId="42738E4E" w14:textId="77777777" w:rsidR="00FA5426" w:rsidRPr="00604CC9" w:rsidRDefault="00E82409" w:rsidP="00604CC9">
            <w:pPr>
              <w:pStyle w:val="Tabletext"/>
            </w:pPr>
            <w:r w:rsidRPr="00604CC9">
              <w:t>5%</w:t>
            </w:r>
            <w:r w:rsidRPr="00604CC9">
              <w:br/>
              <w:t>DCS:4%</w:t>
            </w:r>
            <w:r w:rsidRPr="00604CC9">
              <w:br/>
              <w:t>DCT:5%</w:t>
            </w:r>
          </w:p>
        </w:tc>
      </w:tr>
    </w:tbl>
    <w:p w14:paraId="04B6FF49" w14:textId="77777777" w:rsidR="00B62F7D" w:rsidRPr="00604CC9" w:rsidRDefault="003C2E16" w:rsidP="00604CC9">
      <w:pPr>
        <w:pStyle w:val="Transitional"/>
      </w:pPr>
      <w:r w:rsidRPr="00604CC9">
        <w:t>9</w:t>
      </w:r>
      <w:r w:rsidR="00B62F7D" w:rsidRPr="00604CC9">
        <w:t xml:space="preserve">  Application provision</w:t>
      </w:r>
    </w:p>
    <w:p w14:paraId="7B6C3A1B" w14:textId="77777777" w:rsidR="00B62F7D" w:rsidRPr="00604CC9" w:rsidRDefault="00B62F7D" w:rsidP="00604CC9">
      <w:pPr>
        <w:pStyle w:val="Item"/>
      </w:pPr>
      <w:r w:rsidRPr="00604CC9">
        <w:t>The amendments made by this Part apply in relation to:</w:t>
      </w:r>
    </w:p>
    <w:p w14:paraId="01FE0C8F" w14:textId="77777777" w:rsidR="00B62F7D" w:rsidRPr="00604CC9" w:rsidRDefault="00B62F7D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0A34690C" w14:textId="77777777" w:rsidR="00B62F7D" w:rsidRPr="00604CC9" w:rsidRDefault="00B62F7D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17AEB374" w14:textId="77777777" w:rsidR="00B30C82" w:rsidRPr="00604CC9" w:rsidRDefault="00262F3D" w:rsidP="00604CC9">
      <w:pPr>
        <w:pStyle w:val="ActHead7"/>
        <w:pageBreakBefore/>
      </w:pPr>
      <w:bookmarkStart w:id="17" w:name="_Toc65743900"/>
      <w:r w:rsidRPr="00832212">
        <w:rPr>
          <w:rStyle w:val="CharAmPartNo"/>
        </w:rPr>
        <w:lastRenderedPageBreak/>
        <w:t>Part 4</w:t>
      </w:r>
      <w:r w:rsidR="00B30C82" w:rsidRPr="00604CC9">
        <w:t>—</w:t>
      </w:r>
      <w:r w:rsidR="000D1DAC" w:rsidRPr="00832212">
        <w:rPr>
          <w:rStyle w:val="CharAmPartText"/>
        </w:rPr>
        <w:t>Formulated supplementary food and formulated supplementary sports food</w:t>
      </w:r>
      <w:bookmarkEnd w:id="17"/>
    </w:p>
    <w:p w14:paraId="24271531" w14:textId="77777777" w:rsidR="00B30C82" w:rsidRPr="00604CC9" w:rsidRDefault="00B30C82" w:rsidP="00604CC9">
      <w:pPr>
        <w:pStyle w:val="ActHead9"/>
        <w:rPr>
          <w:i w:val="0"/>
        </w:rPr>
      </w:pPr>
      <w:bookmarkStart w:id="18" w:name="_Toc65743901"/>
      <w:r w:rsidRPr="00604CC9">
        <w:t>Customs Tariff Act 1995</w:t>
      </w:r>
      <w:bookmarkStart w:id="19" w:name="BK_S3P6L3C24"/>
      <w:bookmarkEnd w:id="19"/>
      <w:bookmarkEnd w:id="18"/>
    </w:p>
    <w:p w14:paraId="0A64BBE7" w14:textId="77777777" w:rsidR="009113BA" w:rsidRPr="00604CC9" w:rsidRDefault="003C2E16" w:rsidP="00604CC9">
      <w:pPr>
        <w:pStyle w:val="ItemHead"/>
      </w:pPr>
      <w:r w:rsidRPr="00604CC9">
        <w:t>10</w:t>
      </w:r>
      <w:r w:rsidR="009113BA" w:rsidRPr="00604CC9">
        <w:t xml:space="preserve">  Schedule 3 (</w:t>
      </w:r>
      <w:r w:rsidR="00B57072" w:rsidRPr="00604CC9">
        <w:t>Chapter 2</w:t>
      </w:r>
      <w:r w:rsidR="009113BA" w:rsidRPr="00604CC9">
        <w:t>1, the title “Additional Note.”)</w:t>
      </w:r>
    </w:p>
    <w:p w14:paraId="55894680" w14:textId="77777777" w:rsidR="009113BA" w:rsidRPr="00604CC9" w:rsidRDefault="009113BA" w:rsidP="00604CC9">
      <w:pPr>
        <w:pStyle w:val="Item"/>
      </w:pPr>
      <w:r w:rsidRPr="00604CC9">
        <w:t>Repeal the title, substitute:</w:t>
      </w:r>
    </w:p>
    <w:p w14:paraId="0E6279D4" w14:textId="77777777" w:rsidR="009113BA" w:rsidRPr="00604CC9" w:rsidRDefault="009113BA" w:rsidP="00604CC9">
      <w:pPr>
        <w:pStyle w:val="ActHead5"/>
        <w:rPr>
          <w:kern w:val="0"/>
        </w:rPr>
      </w:pPr>
      <w:bookmarkStart w:id="20" w:name="BK_S3P6L6C1"/>
      <w:bookmarkStart w:id="21" w:name="_Toc65743902"/>
      <w:bookmarkEnd w:id="20"/>
      <w:r w:rsidRPr="00604CC9">
        <w:rPr>
          <w:kern w:val="0"/>
        </w:rPr>
        <w:t>Additional Notes.</w:t>
      </w:r>
      <w:bookmarkEnd w:id="21"/>
    </w:p>
    <w:p w14:paraId="72E86339" w14:textId="77777777" w:rsidR="009113BA" w:rsidRPr="00604CC9" w:rsidRDefault="003C2E16" w:rsidP="00604CC9">
      <w:pPr>
        <w:pStyle w:val="ItemHead"/>
      </w:pPr>
      <w:r w:rsidRPr="00604CC9">
        <w:t>11</w:t>
      </w:r>
      <w:r w:rsidR="009113BA" w:rsidRPr="00604CC9">
        <w:t xml:space="preserve">  Schedule 3 (</w:t>
      </w:r>
      <w:r w:rsidR="00B57072" w:rsidRPr="00604CC9">
        <w:t>Chapter 2</w:t>
      </w:r>
      <w:r w:rsidR="009113BA" w:rsidRPr="00604CC9">
        <w:t>1, at the end of the Additional Note)</w:t>
      </w:r>
    </w:p>
    <w:p w14:paraId="58337E29" w14:textId="77777777" w:rsidR="009113BA" w:rsidRPr="00604CC9" w:rsidRDefault="009113BA" w:rsidP="00604CC9">
      <w:pPr>
        <w:pStyle w:val="Item"/>
      </w:pPr>
      <w:r w:rsidRPr="00604CC9">
        <w:t>Add:</w:t>
      </w:r>
    </w:p>
    <w:p w14:paraId="4A7BDFDB" w14:textId="77777777" w:rsidR="009113BA" w:rsidRPr="00604CC9" w:rsidRDefault="009113BA" w:rsidP="00604CC9">
      <w:pPr>
        <w:pStyle w:val="subsection"/>
      </w:pPr>
      <w:r w:rsidRPr="00604CC9">
        <w:tab/>
        <w:t>2.</w:t>
      </w:r>
      <w:r w:rsidR="00604CC9">
        <w:noBreakHyphen/>
      </w:r>
      <w:r w:rsidRPr="00604CC9">
        <w:tab/>
        <w:t xml:space="preserve">For the purposes of </w:t>
      </w:r>
      <w:r w:rsidR="000D1DAC" w:rsidRPr="00604CC9">
        <w:t>2106.90.15 and 2106.90.95</w:t>
      </w:r>
      <w:r w:rsidRPr="00604CC9">
        <w:t xml:space="preserve">, “formulated supplementary food” has the same meaning as in the Australia New Zealand Food Standards Code (within the meaning of the </w:t>
      </w:r>
      <w:r w:rsidRPr="00604CC9">
        <w:rPr>
          <w:i/>
        </w:rPr>
        <w:t>Food Standards Australia New Zealand Act 1991</w:t>
      </w:r>
      <w:r w:rsidRPr="00604CC9">
        <w:t>) as in force from time to time.</w:t>
      </w:r>
    </w:p>
    <w:p w14:paraId="0D47C328" w14:textId="77777777" w:rsidR="009113BA" w:rsidRPr="00604CC9" w:rsidRDefault="009113BA" w:rsidP="00604CC9">
      <w:pPr>
        <w:pStyle w:val="subsection"/>
      </w:pPr>
      <w:r w:rsidRPr="00604CC9">
        <w:tab/>
        <w:t>3.</w:t>
      </w:r>
      <w:r w:rsidR="00604CC9">
        <w:noBreakHyphen/>
      </w:r>
      <w:r w:rsidRPr="00604CC9">
        <w:tab/>
        <w:t xml:space="preserve">For the purposes of </w:t>
      </w:r>
      <w:r w:rsidR="000D1DAC" w:rsidRPr="00604CC9">
        <w:t>2106.90.16 and 2106.90.96</w:t>
      </w:r>
      <w:r w:rsidRPr="00604CC9">
        <w:t>, “</w:t>
      </w:r>
      <w:r w:rsidRPr="00604CC9">
        <w:rPr>
          <w:shd w:val="clear" w:color="auto" w:fill="FFFFFF"/>
        </w:rPr>
        <w:t>formulated supplementary sports food</w:t>
      </w:r>
      <w:r w:rsidRPr="00604CC9">
        <w:t xml:space="preserve">” has the same meaning as in the Australia New Zealand Food Standards Code (within the meaning of the </w:t>
      </w:r>
      <w:r w:rsidRPr="00604CC9">
        <w:rPr>
          <w:i/>
        </w:rPr>
        <w:t>Food Standards Australia New Zealand Act 1991</w:t>
      </w:r>
      <w:r w:rsidRPr="00604CC9">
        <w:t>) as in force from time to time.</w:t>
      </w:r>
    </w:p>
    <w:p w14:paraId="15168CE8" w14:textId="77777777" w:rsidR="00357916" w:rsidRPr="00604CC9" w:rsidRDefault="003C2E16" w:rsidP="00604CC9">
      <w:pPr>
        <w:pStyle w:val="ItemHead"/>
      </w:pPr>
      <w:r w:rsidRPr="00604CC9">
        <w:t>12</w:t>
      </w:r>
      <w:r w:rsidR="00357916" w:rsidRPr="00604CC9">
        <w:t xml:space="preserve">  Schedule 3 (subheading </w:t>
      </w:r>
      <w:r w:rsidR="009113BA" w:rsidRPr="00604CC9">
        <w:t>2106.90.10</w:t>
      </w:r>
      <w:r w:rsidR="00357916" w:rsidRPr="00604CC9">
        <w:t>)</w:t>
      </w:r>
    </w:p>
    <w:p w14:paraId="1D285CAD" w14:textId="77777777" w:rsidR="00357916" w:rsidRPr="00604CC9" w:rsidRDefault="00357916" w:rsidP="00604CC9">
      <w:pPr>
        <w:pStyle w:val="Item"/>
      </w:pPr>
      <w:r w:rsidRPr="00604CC9">
        <w:t>Repeal the subheading, substitute:</w:t>
      </w:r>
    </w:p>
    <w:tbl>
      <w:tblPr>
        <w:tblW w:w="7183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4819"/>
        <w:gridCol w:w="1247"/>
      </w:tblGrid>
      <w:tr w:rsidR="00962E09" w:rsidRPr="00604CC9" w14:paraId="07614C2C" w14:textId="77777777" w:rsidTr="00F700EC">
        <w:tc>
          <w:tcPr>
            <w:tcW w:w="1117" w:type="dxa"/>
          </w:tcPr>
          <w:p w14:paraId="30781BC3" w14:textId="77777777" w:rsidR="00962E09" w:rsidRPr="00604CC9" w:rsidRDefault="00962E09" w:rsidP="00604CC9">
            <w:pPr>
              <w:pStyle w:val="Tabletext"/>
            </w:pPr>
            <w:r w:rsidRPr="00604CC9">
              <w:t>2106.90.1</w:t>
            </w:r>
          </w:p>
        </w:tc>
        <w:tc>
          <w:tcPr>
            <w:tcW w:w="4819" w:type="dxa"/>
          </w:tcPr>
          <w:p w14:paraId="0ACDC330" w14:textId="77777777" w:rsidR="00962E09" w:rsidRPr="00604CC9" w:rsidRDefault="00604CC9" w:rsidP="00604CC9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Goods, as follows:</w:t>
            </w:r>
          </w:p>
          <w:p w14:paraId="12C5B686" w14:textId="77777777" w:rsidR="00962E09" w:rsidRPr="00604CC9" w:rsidRDefault="00962E09" w:rsidP="00604CC9">
            <w:pPr>
              <w:pStyle w:val="CTA3a"/>
              <w:ind w:left="652" w:hanging="588"/>
            </w:pPr>
            <w:r w:rsidRPr="00604CC9">
              <w:tab/>
              <w:t>(a)</w:t>
            </w:r>
            <w:r w:rsidRPr="00604CC9">
              <w:tab/>
              <w:t>compound alcoholic preparations of a kind used for the manufacture of beverages;</w:t>
            </w:r>
          </w:p>
          <w:p w14:paraId="45F7DAFE" w14:textId="77777777" w:rsidR="00962E09" w:rsidRPr="00604CC9" w:rsidRDefault="00962E09" w:rsidP="00604CC9">
            <w:pPr>
              <w:pStyle w:val="CTA3a"/>
              <w:ind w:left="652" w:hanging="588"/>
            </w:pPr>
            <w:r w:rsidRPr="00604CC9">
              <w:tab/>
              <w:t>(b)</w:t>
            </w:r>
            <w:r w:rsidRPr="00604CC9">
              <w:tab/>
              <w:t>food preparations of flour or meal;</w:t>
            </w:r>
          </w:p>
          <w:p w14:paraId="50991179" w14:textId="77777777" w:rsidR="00962E09" w:rsidRPr="00604CC9" w:rsidRDefault="00962E09" w:rsidP="00604CC9">
            <w:pPr>
              <w:pStyle w:val="CTA3a"/>
              <w:ind w:left="652" w:hanging="588"/>
            </w:pPr>
            <w:r w:rsidRPr="00604CC9">
              <w:tab/>
              <w:t>(c)</w:t>
            </w:r>
            <w:r w:rsidRPr="00604CC9">
              <w:tab/>
              <w:t>hydrolysed protein:</w:t>
            </w:r>
          </w:p>
        </w:tc>
        <w:tc>
          <w:tcPr>
            <w:tcW w:w="1247" w:type="dxa"/>
          </w:tcPr>
          <w:p w14:paraId="1B402893" w14:textId="77777777" w:rsidR="00962E09" w:rsidRPr="00604CC9" w:rsidRDefault="00962E09" w:rsidP="00604CC9">
            <w:pPr>
              <w:pStyle w:val="Tabletext"/>
            </w:pPr>
          </w:p>
        </w:tc>
      </w:tr>
      <w:tr w:rsidR="00962E09" w:rsidRPr="00604CC9" w14:paraId="632CC125" w14:textId="77777777" w:rsidTr="00F700EC">
        <w:tc>
          <w:tcPr>
            <w:tcW w:w="1117" w:type="dxa"/>
          </w:tcPr>
          <w:p w14:paraId="3AB3F360" w14:textId="77777777" w:rsidR="00962E09" w:rsidRPr="00604CC9" w:rsidRDefault="00962E09" w:rsidP="00604CC9">
            <w:pPr>
              <w:pStyle w:val="Tabletext"/>
            </w:pPr>
            <w:r w:rsidRPr="00604CC9">
              <w:t>2106.90.15</w:t>
            </w:r>
          </w:p>
        </w:tc>
        <w:tc>
          <w:tcPr>
            <w:tcW w:w="4819" w:type="dxa"/>
          </w:tcPr>
          <w:p w14:paraId="248C76FA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Formulated supplementary food, as defined in Additional Note 2 to this Chapter</w:t>
            </w:r>
          </w:p>
        </w:tc>
        <w:tc>
          <w:tcPr>
            <w:tcW w:w="1247" w:type="dxa"/>
          </w:tcPr>
          <w:p w14:paraId="3BBD2B23" w14:textId="77777777" w:rsidR="00962E09" w:rsidRPr="00604CC9" w:rsidRDefault="00962E09" w:rsidP="00604CC9">
            <w:pPr>
              <w:pStyle w:val="Tabletext"/>
            </w:pPr>
            <w:r w:rsidRPr="00604CC9">
              <w:t>5%</w:t>
            </w:r>
            <w:r w:rsidRPr="00604CC9">
              <w:br/>
            </w:r>
            <w:r w:rsidR="00B24520" w:rsidRPr="00604CC9">
              <w:t>DCS:4%</w:t>
            </w:r>
            <w:r w:rsidRPr="00604CC9">
              <w:br/>
            </w:r>
            <w:r w:rsidR="00D5086A" w:rsidRPr="00604CC9">
              <w:t>DCT:5%</w:t>
            </w:r>
          </w:p>
        </w:tc>
      </w:tr>
      <w:tr w:rsidR="00962E09" w:rsidRPr="00604CC9" w14:paraId="6EDBFADB" w14:textId="77777777" w:rsidTr="00F700EC">
        <w:tc>
          <w:tcPr>
            <w:tcW w:w="1117" w:type="dxa"/>
          </w:tcPr>
          <w:p w14:paraId="46FA83B4" w14:textId="77777777" w:rsidR="00962E09" w:rsidRPr="00604CC9" w:rsidRDefault="00962E09" w:rsidP="00604CC9">
            <w:pPr>
              <w:pStyle w:val="Tabletext"/>
            </w:pPr>
            <w:r w:rsidRPr="00604CC9">
              <w:lastRenderedPageBreak/>
              <w:t>2106.90.16</w:t>
            </w:r>
          </w:p>
        </w:tc>
        <w:tc>
          <w:tcPr>
            <w:tcW w:w="4819" w:type="dxa"/>
          </w:tcPr>
          <w:p w14:paraId="139B7360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F</w:t>
            </w:r>
            <w:r w:rsidR="00962E09" w:rsidRPr="00604CC9">
              <w:rPr>
                <w:shd w:val="clear" w:color="auto" w:fill="FFFFFF"/>
              </w:rPr>
              <w:t>ormulated supplementary sports food</w:t>
            </w:r>
            <w:r w:rsidR="00962E09" w:rsidRPr="00604CC9">
              <w:t>, as defined in Additional Note 3 to this Chapter</w:t>
            </w:r>
          </w:p>
        </w:tc>
        <w:tc>
          <w:tcPr>
            <w:tcW w:w="1247" w:type="dxa"/>
          </w:tcPr>
          <w:p w14:paraId="4DA5DB54" w14:textId="77777777" w:rsidR="00962E09" w:rsidRPr="00604CC9" w:rsidRDefault="00962E09" w:rsidP="00604CC9">
            <w:pPr>
              <w:pStyle w:val="Tabletext"/>
            </w:pPr>
            <w:r w:rsidRPr="00604CC9">
              <w:t>5%</w:t>
            </w:r>
            <w:r w:rsidRPr="00604CC9">
              <w:br/>
            </w:r>
            <w:r w:rsidR="00B24520" w:rsidRPr="00604CC9">
              <w:t>DCS:4%</w:t>
            </w:r>
            <w:r w:rsidRPr="00604CC9">
              <w:br/>
            </w:r>
            <w:r w:rsidR="00D5086A" w:rsidRPr="00604CC9">
              <w:t>DCT:5%</w:t>
            </w:r>
          </w:p>
        </w:tc>
      </w:tr>
      <w:tr w:rsidR="00962E09" w:rsidRPr="00604CC9" w14:paraId="1567BEA3" w14:textId="77777777" w:rsidTr="00F700EC">
        <w:tc>
          <w:tcPr>
            <w:tcW w:w="1117" w:type="dxa"/>
          </w:tcPr>
          <w:p w14:paraId="08339F7E" w14:textId="77777777" w:rsidR="00962E09" w:rsidRPr="00604CC9" w:rsidRDefault="00962E09" w:rsidP="00604CC9">
            <w:pPr>
              <w:pStyle w:val="Tabletext"/>
            </w:pPr>
            <w:r w:rsidRPr="00604CC9">
              <w:t>2106.90.19</w:t>
            </w:r>
          </w:p>
        </w:tc>
        <w:tc>
          <w:tcPr>
            <w:tcW w:w="4819" w:type="dxa"/>
          </w:tcPr>
          <w:p w14:paraId="3F7A6909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Other</w:t>
            </w:r>
          </w:p>
        </w:tc>
        <w:tc>
          <w:tcPr>
            <w:tcW w:w="1247" w:type="dxa"/>
          </w:tcPr>
          <w:p w14:paraId="561C43F4" w14:textId="77777777" w:rsidR="00962E09" w:rsidRPr="00604CC9" w:rsidRDefault="00962E09" w:rsidP="00604CC9">
            <w:pPr>
              <w:pStyle w:val="Tabletext"/>
            </w:pPr>
            <w:r w:rsidRPr="00604CC9">
              <w:t>5%</w:t>
            </w:r>
            <w:r w:rsidRPr="00604CC9">
              <w:br/>
            </w:r>
            <w:r w:rsidR="00B24520" w:rsidRPr="00604CC9">
              <w:t>DCS:4%</w:t>
            </w:r>
            <w:r w:rsidRPr="00604CC9">
              <w:br/>
            </w:r>
            <w:r w:rsidR="00D5086A" w:rsidRPr="00604CC9">
              <w:t>DCT:5%</w:t>
            </w:r>
          </w:p>
        </w:tc>
      </w:tr>
    </w:tbl>
    <w:p w14:paraId="48092245" w14:textId="77777777" w:rsidR="009113BA" w:rsidRPr="00604CC9" w:rsidRDefault="003C2E16" w:rsidP="00604CC9">
      <w:pPr>
        <w:pStyle w:val="ItemHead"/>
      </w:pPr>
      <w:r w:rsidRPr="00604CC9">
        <w:t>13</w:t>
      </w:r>
      <w:r w:rsidR="009113BA" w:rsidRPr="00604CC9">
        <w:t xml:space="preserve">  Schedule 3 (subheading 2106.90.</w:t>
      </w:r>
      <w:r w:rsidR="00962E09" w:rsidRPr="00604CC9">
        <w:t>90</w:t>
      </w:r>
      <w:r w:rsidR="009113BA" w:rsidRPr="00604CC9">
        <w:t>)</w:t>
      </w:r>
    </w:p>
    <w:p w14:paraId="21748D9B" w14:textId="77777777" w:rsidR="009113BA" w:rsidRPr="00604CC9" w:rsidRDefault="009113BA" w:rsidP="00604CC9">
      <w:pPr>
        <w:pStyle w:val="Item"/>
      </w:pPr>
      <w:r w:rsidRPr="00604CC9">
        <w:t>Repeal the subheading, substitute:</w:t>
      </w:r>
    </w:p>
    <w:tbl>
      <w:tblPr>
        <w:tblW w:w="7183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4819"/>
        <w:gridCol w:w="1247"/>
      </w:tblGrid>
      <w:tr w:rsidR="00962E09" w:rsidRPr="00604CC9" w14:paraId="53FB5763" w14:textId="77777777" w:rsidTr="00F700EC">
        <w:tc>
          <w:tcPr>
            <w:tcW w:w="1117" w:type="dxa"/>
          </w:tcPr>
          <w:p w14:paraId="0F69334D" w14:textId="77777777" w:rsidR="00962E09" w:rsidRPr="00604CC9" w:rsidRDefault="00962E09" w:rsidP="00604CC9">
            <w:pPr>
              <w:pStyle w:val="Tabletext"/>
            </w:pPr>
            <w:r w:rsidRPr="00604CC9">
              <w:t>2106.90.</w:t>
            </w:r>
            <w:r w:rsidR="00D5086A" w:rsidRPr="00604CC9">
              <w:t>9</w:t>
            </w:r>
          </w:p>
        </w:tc>
        <w:tc>
          <w:tcPr>
            <w:tcW w:w="4819" w:type="dxa"/>
          </w:tcPr>
          <w:p w14:paraId="51E1C918" w14:textId="77777777" w:rsidR="00962E09" w:rsidRPr="00604CC9" w:rsidRDefault="00604CC9" w:rsidP="00604CC9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Other:</w:t>
            </w:r>
          </w:p>
        </w:tc>
        <w:tc>
          <w:tcPr>
            <w:tcW w:w="1247" w:type="dxa"/>
          </w:tcPr>
          <w:p w14:paraId="5DEC796E" w14:textId="77777777" w:rsidR="00962E09" w:rsidRPr="00604CC9" w:rsidRDefault="00962E09" w:rsidP="00604CC9">
            <w:pPr>
              <w:pStyle w:val="Tabletext"/>
            </w:pPr>
          </w:p>
        </w:tc>
      </w:tr>
      <w:tr w:rsidR="00962E09" w:rsidRPr="00604CC9" w14:paraId="1D451100" w14:textId="77777777" w:rsidTr="00F700EC">
        <w:tc>
          <w:tcPr>
            <w:tcW w:w="1117" w:type="dxa"/>
          </w:tcPr>
          <w:p w14:paraId="6C54566A" w14:textId="77777777" w:rsidR="00962E09" w:rsidRPr="00604CC9" w:rsidRDefault="00D5086A" w:rsidP="00604CC9">
            <w:pPr>
              <w:pStyle w:val="Tabletext"/>
            </w:pPr>
            <w:r w:rsidRPr="00604CC9">
              <w:t>2106.90.9</w:t>
            </w:r>
            <w:r w:rsidR="00962E09" w:rsidRPr="00604CC9">
              <w:t>5</w:t>
            </w:r>
          </w:p>
        </w:tc>
        <w:tc>
          <w:tcPr>
            <w:tcW w:w="4819" w:type="dxa"/>
          </w:tcPr>
          <w:p w14:paraId="7A841E76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Formulated supplementary food, as defined in Additional Note 2 to this Chapter</w:t>
            </w:r>
          </w:p>
        </w:tc>
        <w:tc>
          <w:tcPr>
            <w:tcW w:w="1247" w:type="dxa"/>
          </w:tcPr>
          <w:p w14:paraId="39917BBF" w14:textId="77777777" w:rsidR="00962E09" w:rsidRPr="00604CC9" w:rsidRDefault="00D5086A" w:rsidP="00604CC9">
            <w:pPr>
              <w:pStyle w:val="Tabletext"/>
            </w:pPr>
            <w:r w:rsidRPr="00604CC9">
              <w:t>4%</w:t>
            </w:r>
            <w:r w:rsidRPr="00604CC9">
              <w:br/>
            </w:r>
            <w:proofErr w:type="spellStart"/>
            <w:r w:rsidRPr="00604CC9">
              <w:t>DCS:Free</w:t>
            </w:r>
            <w:proofErr w:type="spellEnd"/>
          </w:p>
        </w:tc>
      </w:tr>
      <w:tr w:rsidR="00962E09" w:rsidRPr="00604CC9" w14:paraId="66778F9B" w14:textId="77777777" w:rsidTr="00F700EC">
        <w:tc>
          <w:tcPr>
            <w:tcW w:w="1117" w:type="dxa"/>
          </w:tcPr>
          <w:p w14:paraId="7DA9F2D4" w14:textId="77777777" w:rsidR="00962E09" w:rsidRPr="00604CC9" w:rsidRDefault="00962E09" w:rsidP="00604CC9">
            <w:pPr>
              <w:pStyle w:val="Tabletext"/>
            </w:pPr>
            <w:r w:rsidRPr="00604CC9">
              <w:t>2106.90.</w:t>
            </w:r>
            <w:r w:rsidR="00D5086A" w:rsidRPr="00604CC9">
              <w:t>9</w:t>
            </w:r>
            <w:r w:rsidRPr="00604CC9">
              <w:t>6</w:t>
            </w:r>
          </w:p>
        </w:tc>
        <w:tc>
          <w:tcPr>
            <w:tcW w:w="4819" w:type="dxa"/>
          </w:tcPr>
          <w:p w14:paraId="7BD5BA4E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F</w:t>
            </w:r>
            <w:r w:rsidR="00962E09" w:rsidRPr="00604CC9">
              <w:rPr>
                <w:shd w:val="clear" w:color="auto" w:fill="FFFFFF"/>
              </w:rPr>
              <w:t>ormulated supplementary sports food</w:t>
            </w:r>
            <w:r w:rsidR="00962E09" w:rsidRPr="00604CC9">
              <w:t>, as defined in Additional Note 3 to this Chapter</w:t>
            </w:r>
          </w:p>
        </w:tc>
        <w:tc>
          <w:tcPr>
            <w:tcW w:w="1247" w:type="dxa"/>
          </w:tcPr>
          <w:p w14:paraId="515935F3" w14:textId="77777777" w:rsidR="00962E09" w:rsidRPr="00604CC9" w:rsidRDefault="00D5086A" w:rsidP="00604CC9">
            <w:pPr>
              <w:pStyle w:val="Tabletext"/>
            </w:pPr>
            <w:r w:rsidRPr="00604CC9">
              <w:t>4%</w:t>
            </w:r>
            <w:r w:rsidRPr="00604CC9">
              <w:br/>
            </w:r>
            <w:proofErr w:type="spellStart"/>
            <w:r w:rsidRPr="00604CC9">
              <w:t>DCS:Free</w:t>
            </w:r>
            <w:proofErr w:type="spellEnd"/>
          </w:p>
        </w:tc>
      </w:tr>
      <w:tr w:rsidR="00962E09" w:rsidRPr="00604CC9" w14:paraId="012CD5DB" w14:textId="77777777" w:rsidTr="00F700EC">
        <w:tc>
          <w:tcPr>
            <w:tcW w:w="1117" w:type="dxa"/>
          </w:tcPr>
          <w:p w14:paraId="13CD0F78" w14:textId="77777777" w:rsidR="00962E09" w:rsidRPr="00604CC9" w:rsidRDefault="00962E09" w:rsidP="00604CC9">
            <w:pPr>
              <w:pStyle w:val="Tabletext"/>
            </w:pPr>
            <w:r w:rsidRPr="00604CC9">
              <w:t>2106.90.</w:t>
            </w:r>
            <w:r w:rsidR="00D5086A" w:rsidRPr="00604CC9">
              <w:t>9</w:t>
            </w:r>
            <w:r w:rsidRPr="00604CC9">
              <w:t>9</w:t>
            </w:r>
          </w:p>
        </w:tc>
        <w:tc>
          <w:tcPr>
            <w:tcW w:w="4819" w:type="dxa"/>
          </w:tcPr>
          <w:p w14:paraId="3CD7201F" w14:textId="77777777" w:rsidR="00962E09" w:rsidRPr="00604CC9" w:rsidRDefault="00604CC9" w:rsidP="00604CC9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962E09" w:rsidRPr="00604CC9">
              <w:t>Other</w:t>
            </w:r>
          </w:p>
        </w:tc>
        <w:tc>
          <w:tcPr>
            <w:tcW w:w="1247" w:type="dxa"/>
          </w:tcPr>
          <w:p w14:paraId="23F82193" w14:textId="77777777" w:rsidR="00962E09" w:rsidRPr="00604CC9" w:rsidRDefault="00D5086A" w:rsidP="00604CC9">
            <w:pPr>
              <w:pStyle w:val="Tabletext"/>
            </w:pPr>
            <w:r w:rsidRPr="00604CC9">
              <w:t>4%</w:t>
            </w:r>
            <w:r w:rsidRPr="00604CC9">
              <w:br/>
            </w:r>
            <w:proofErr w:type="spellStart"/>
            <w:r w:rsidRPr="00604CC9">
              <w:t>DCS:Free</w:t>
            </w:r>
            <w:proofErr w:type="spellEnd"/>
          </w:p>
        </w:tc>
      </w:tr>
    </w:tbl>
    <w:p w14:paraId="3014D0AE" w14:textId="77777777" w:rsidR="009113BA" w:rsidRPr="00604CC9" w:rsidRDefault="003C2E16" w:rsidP="00604CC9">
      <w:pPr>
        <w:pStyle w:val="Transitional"/>
      </w:pPr>
      <w:r w:rsidRPr="00604CC9">
        <w:t>14</w:t>
      </w:r>
      <w:r w:rsidR="009113BA" w:rsidRPr="00604CC9">
        <w:t xml:space="preserve">  Application provision</w:t>
      </w:r>
    </w:p>
    <w:p w14:paraId="29967DCD" w14:textId="77777777" w:rsidR="009113BA" w:rsidRPr="00604CC9" w:rsidRDefault="009113BA" w:rsidP="00604CC9">
      <w:pPr>
        <w:pStyle w:val="Item"/>
      </w:pPr>
      <w:r w:rsidRPr="00604CC9">
        <w:t>The amendments made by this Part apply in relation to:</w:t>
      </w:r>
    </w:p>
    <w:p w14:paraId="0D64F79B" w14:textId="77777777" w:rsidR="009113BA" w:rsidRPr="00604CC9" w:rsidRDefault="009113BA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757BB422" w14:textId="77777777" w:rsidR="009113BA" w:rsidRPr="00604CC9" w:rsidRDefault="009113BA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25BA751A" w14:textId="77777777" w:rsidR="00B30C82" w:rsidRPr="00604CC9" w:rsidRDefault="00262F3D" w:rsidP="00604CC9">
      <w:pPr>
        <w:pStyle w:val="ActHead7"/>
        <w:pageBreakBefore/>
      </w:pPr>
      <w:bookmarkStart w:id="22" w:name="_Toc65743903"/>
      <w:r w:rsidRPr="00832212">
        <w:rPr>
          <w:rStyle w:val="CharAmPartNo"/>
        </w:rPr>
        <w:lastRenderedPageBreak/>
        <w:t>Part 5</w:t>
      </w:r>
      <w:r w:rsidR="00B30C82" w:rsidRPr="00604CC9">
        <w:t>—</w:t>
      </w:r>
      <w:r w:rsidR="009113BA" w:rsidRPr="00832212">
        <w:rPr>
          <w:rStyle w:val="CharAmPartText"/>
        </w:rPr>
        <w:t>Vitamins and food supplements</w:t>
      </w:r>
      <w:bookmarkEnd w:id="22"/>
    </w:p>
    <w:p w14:paraId="7D2B2229" w14:textId="77777777" w:rsidR="00B30C82" w:rsidRPr="00604CC9" w:rsidRDefault="00B30C82" w:rsidP="00604CC9">
      <w:pPr>
        <w:pStyle w:val="ActHead9"/>
        <w:rPr>
          <w:i w:val="0"/>
        </w:rPr>
      </w:pPr>
      <w:bookmarkStart w:id="23" w:name="_Toc65743904"/>
      <w:r w:rsidRPr="00604CC9">
        <w:t>Customs Tariff Act 1995</w:t>
      </w:r>
      <w:bookmarkStart w:id="24" w:name="BK_S3P8L2C24"/>
      <w:bookmarkEnd w:id="24"/>
      <w:bookmarkEnd w:id="23"/>
    </w:p>
    <w:p w14:paraId="7ACA762D" w14:textId="77777777" w:rsidR="0091150D" w:rsidRPr="00604CC9" w:rsidRDefault="003C2E16" w:rsidP="00604CC9">
      <w:pPr>
        <w:pStyle w:val="ItemHead"/>
      </w:pPr>
      <w:r w:rsidRPr="00604CC9">
        <w:t>15</w:t>
      </w:r>
      <w:r w:rsidR="0091150D" w:rsidRPr="00604CC9">
        <w:t xml:space="preserve">  Schedule 3 (Section IV, at the end of the Note)</w:t>
      </w:r>
    </w:p>
    <w:p w14:paraId="4424A325" w14:textId="77777777" w:rsidR="0091150D" w:rsidRPr="00604CC9" w:rsidRDefault="0091150D" w:rsidP="00604CC9">
      <w:pPr>
        <w:pStyle w:val="Item"/>
      </w:pPr>
      <w:r w:rsidRPr="00604CC9">
        <w:t>Add:</w:t>
      </w:r>
    </w:p>
    <w:p w14:paraId="4C939397" w14:textId="77777777" w:rsidR="0091150D" w:rsidRPr="00604CC9" w:rsidRDefault="0091150D" w:rsidP="00604CC9">
      <w:pPr>
        <w:pStyle w:val="ActHead5"/>
      </w:pPr>
      <w:bookmarkStart w:id="25" w:name="BK_S3P8L5C1"/>
      <w:bookmarkStart w:id="26" w:name="_Toc65743905"/>
      <w:bookmarkEnd w:id="25"/>
      <w:r w:rsidRPr="00604CC9">
        <w:t>Additional Note.</w:t>
      </w:r>
      <w:bookmarkEnd w:id="26"/>
    </w:p>
    <w:p w14:paraId="5491D6D4" w14:textId="77777777" w:rsidR="0091150D" w:rsidRPr="00604CC9" w:rsidRDefault="0091150D" w:rsidP="00604CC9">
      <w:pPr>
        <w:pStyle w:val="subsection"/>
      </w:pPr>
      <w:r w:rsidRPr="00604CC9">
        <w:tab/>
        <w:t>1.</w:t>
      </w:r>
      <w:r w:rsidR="00604CC9">
        <w:noBreakHyphen/>
      </w:r>
      <w:r w:rsidRPr="00604CC9">
        <w:tab/>
        <w:t xml:space="preserve">Goods that are excluded from headings 3003 and 3004 by Additional Note 2 or 3 to </w:t>
      </w:r>
      <w:r w:rsidR="00B57072" w:rsidRPr="00604CC9">
        <w:t>Chapter 3</w:t>
      </w:r>
      <w:r w:rsidRPr="00604CC9">
        <w:t>0 must be classified under heading 2106 unless classifiable under another heading.</w:t>
      </w:r>
    </w:p>
    <w:p w14:paraId="79EB6E16" w14:textId="77777777" w:rsidR="00D71D00" w:rsidRPr="00604CC9" w:rsidRDefault="003C2E16" w:rsidP="00604CC9">
      <w:pPr>
        <w:pStyle w:val="ItemHead"/>
      </w:pPr>
      <w:r w:rsidRPr="00604CC9">
        <w:t>16</w:t>
      </w:r>
      <w:r w:rsidR="00D71D00" w:rsidRPr="00604CC9">
        <w:t xml:space="preserve">  Schedule 3 (</w:t>
      </w:r>
      <w:r w:rsidR="00B57072" w:rsidRPr="00604CC9">
        <w:t>Chapter 3</w:t>
      </w:r>
      <w:r w:rsidR="00D71D00" w:rsidRPr="00604CC9">
        <w:t>0, the title “Additional Note.”)</w:t>
      </w:r>
    </w:p>
    <w:p w14:paraId="57EB317C" w14:textId="77777777" w:rsidR="00D71D00" w:rsidRPr="00604CC9" w:rsidRDefault="00D71D00" w:rsidP="00604CC9">
      <w:pPr>
        <w:pStyle w:val="Item"/>
      </w:pPr>
      <w:r w:rsidRPr="00604CC9">
        <w:t>Repeal the title, substitute:</w:t>
      </w:r>
    </w:p>
    <w:p w14:paraId="74D646AC" w14:textId="77777777" w:rsidR="00D71D00" w:rsidRPr="00604CC9" w:rsidRDefault="00D71D00" w:rsidP="00604CC9">
      <w:pPr>
        <w:pStyle w:val="ActHead5"/>
        <w:rPr>
          <w:kern w:val="0"/>
        </w:rPr>
      </w:pPr>
      <w:bookmarkStart w:id="27" w:name="BK_S3P8L11C1"/>
      <w:bookmarkStart w:id="28" w:name="_Toc65743906"/>
      <w:bookmarkEnd w:id="27"/>
      <w:r w:rsidRPr="00604CC9">
        <w:rPr>
          <w:kern w:val="0"/>
        </w:rPr>
        <w:t>Additional Notes.</w:t>
      </w:r>
      <w:bookmarkEnd w:id="28"/>
    </w:p>
    <w:p w14:paraId="5B623283" w14:textId="77777777" w:rsidR="00D71D00" w:rsidRPr="00604CC9" w:rsidRDefault="003C2E16" w:rsidP="00604CC9">
      <w:pPr>
        <w:pStyle w:val="ItemHead"/>
      </w:pPr>
      <w:r w:rsidRPr="00604CC9">
        <w:t>17</w:t>
      </w:r>
      <w:r w:rsidR="00D71D00" w:rsidRPr="00604CC9">
        <w:t xml:space="preserve">  Schedule 3 (</w:t>
      </w:r>
      <w:r w:rsidR="00B57072" w:rsidRPr="00604CC9">
        <w:t>Chapter 3</w:t>
      </w:r>
      <w:r w:rsidR="00D71D00" w:rsidRPr="00604CC9">
        <w:t>0, at the end of the Additional Note)</w:t>
      </w:r>
    </w:p>
    <w:p w14:paraId="6138B982" w14:textId="77777777" w:rsidR="00D71D00" w:rsidRPr="00604CC9" w:rsidRDefault="00D71D00" w:rsidP="00604CC9">
      <w:pPr>
        <w:pStyle w:val="Item"/>
      </w:pPr>
      <w:r w:rsidRPr="00604CC9">
        <w:t>Add:</w:t>
      </w:r>
    </w:p>
    <w:p w14:paraId="58319BF9" w14:textId="77777777" w:rsidR="006C3DF1" w:rsidRPr="00604CC9" w:rsidRDefault="006C3DF1" w:rsidP="00604CC9">
      <w:pPr>
        <w:pStyle w:val="subsection"/>
      </w:pPr>
      <w:r w:rsidRPr="00604CC9">
        <w:tab/>
        <w:t>2.</w:t>
      </w:r>
      <w:r w:rsidR="00604CC9">
        <w:noBreakHyphen/>
      </w:r>
      <w:r w:rsidRPr="00604CC9">
        <w:tab/>
        <w:t xml:space="preserve">Goods that contain vitamins or other products of heading 2936 are excluded from headings 3003 and 3004 unless the goods are goods to which </w:t>
      </w:r>
      <w:r w:rsidR="00B57072" w:rsidRPr="00604CC9">
        <w:t>Schedule 2</w:t>
      </w:r>
      <w:r w:rsidRPr="00604CC9">
        <w:t xml:space="preserve">, 3, 4 or 8 to the current Poisons Standard (within the meaning of the </w:t>
      </w:r>
      <w:r w:rsidRPr="00604CC9">
        <w:rPr>
          <w:i/>
        </w:rPr>
        <w:t>Therapeutic Goods Act 1989</w:t>
      </w:r>
      <w:r w:rsidRPr="00604CC9">
        <w:t xml:space="preserve"> and as in force from time to time) applies. Medicaments prepared for intravenous, sub</w:t>
      </w:r>
      <w:r w:rsidR="00604CC9">
        <w:noBreakHyphen/>
      </w:r>
      <w:r w:rsidRPr="00604CC9">
        <w:t>cutaneous or intramuscular use are excluded from this Note.</w:t>
      </w:r>
    </w:p>
    <w:p w14:paraId="023980F1" w14:textId="77777777" w:rsidR="006C3DF1" w:rsidRPr="00604CC9" w:rsidRDefault="006C3DF1" w:rsidP="00604CC9">
      <w:pPr>
        <w:pStyle w:val="subsection"/>
      </w:pPr>
      <w:r w:rsidRPr="00604CC9">
        <w:tab/>
        <w:t>3.</w:t>
      </w:r>
      <w:r w:rsidR="00604CC9">
        <w:noBreakHyphen/>
      </w:r>
      <w:r w:rsidRPr="00604CC9">
        <w:tab/>
        <w:t>Goods that are dietary or other supplements containing:</w:t>
      </w:r>
    </w:p>
    <w:p w14:paraId="73145D16" w14:textId="77777777" w:rsidR="006C3DF1" w:rsidRPr="00604CC9" w:rsidRDefault="006C3DF1" w:rsidP="00604CC9">
      <w:pPr>
        <w:pStyle w:val="paragraph"/>
      </w:pPr>
      <w:r w:rsidRPr="00604CC9">
        <w:tab/>
        <w:t>(a)</w:t>
      </w:r>
      <w:r w:rsidRPr="00604CC9">
        <w:tab/>
      </w:r>
      <w:r w:rsidR="00E9205B" w:rsidRPr="00604CC9">
        <w:t>chemicals</w:t>
      </w:r>
      <w:r w:rsidRPr="00604CC9">
        <w:t xml:space="preserve"> or compounds of </w:t>
      </w:r>
      <w:r w:rsidR="00B57072" w:rsidRPr="00604CC9">
        <w:t>Chapter 2</w:t>
      </w:r>
      <w:r w:rsidRPr="00604CC9">
        <w:t>8 or 29; or</w:t>
      </w:r>
    </w:p>
    <w:p w14:paraId="6F441665" w14:textId="77777777" w:rsidR="006C3DF1" w:rsidRPr="00604CC9" w:rsidRDefault="006C3DF1" w:rsidP="00604CC9">
      <w:pPr>
        <w:pStyle w:val="paragraph"/>
      </w:pPr>
      <w:r w:rsidRPr="00604CC9">
        <w:tab/>
        <w:t>(b)</w:t>
      </w:r>
      <w:r w:rsidRPr="00604CC9">
        <w:tab/>
        <w:t>plants, or parts of plants, of heading 1211;</w:t>
      </w:r>
    </w:p>
    <w:p w14:paraId="221C05C6" w14:textId="77777777" w:rsidR="006C3DF1" w:rsidRPr="00604CC9" w:rsidRDefault="006C3DF1" w:rsidP="00604CC9">
      <w:pPr>
        <w:pStyle w:val="subsection2"/>
      </w:pPr>
      <w:r w:rsidRPr="00604CC9">
        <w:t xml:space="preserve">are excluded from headings 3003 and 3004 unless the goods are goods to which </w:t>
      </w:r>
      <w:r w:rsidR="00B57072" w:rsidRPr="00604CC9">
        <w:t>Schedule 2</w:t>
      </w:r>
      <w:r w:rsidRPr="00604CC9">
        <w:t xml:space="preserve">, 3, 4 or 8 to the current Poisons Standard (within the meaning of the </w:t>
      </w:r>
      <w:r w:rsidRPr="00604CC9">
        <w:rPr>
          <w:i/>
        </w:rPr>
        <w:t>Therapeutic Goods Act 1989</w:t>
      </w:r>
      <w:r w:rsidRPr="00604CC9">
        <w:t xml:space="preserve"> and as in force from time to time) applies. Medicaments prepared for intravenous, sub</w:t>
      </w:r>
      <w:r w:rsidR="00604CC9">
        <w:noBreakHyphen/>
      </w:r>
      <w:r w:rsidRPr="00604CC9">
        <w:t>cutaneous or intramuscular use are excluded from this Note.</w:t>
      </w:r>
    </w:p>
    <w:p w14:paraId="281631C2" w14:textId="77777777" w:rsidR="00DB5ADC" w:rsidRPr="00604CC9" w:rsidRDefault="003C2E16" w:rsidP="00604CC9">
      <w:pPr>
        <w:pStyle w:val="Transitional"/>
      </w:pPr>
      <w:r w:rsidRPr="00604CC9">
        <w:lastRenderedPageBreak/>
        <w:t>18</w:t>
      </w:r>
      <w:r w:rsidR="00DB5ADC" w:rsidRPr="00604CC9">
        <w:t xml:space="preserve">  Application provision</w:t>
      </w:r>
    </w:p>
    <w:p w14:paraId="767F951F" w14:textId="77777777" w:rsidR="00DB5ADC" w:rsidRPr="00604CC9" w:rsidRDefault="00DB5ADC" w:rsidP="00604CC9">
      <w:pPr>
        <w:pStyle w:val="Item"/>
      </w:pPr>
      <w:r w:rsidRPr="00604CC9">
        <w:t>The amendments made by this Part apply in relation to:</w:t>
      </w:r>
    </w:p>
    <w:p w14:paraId="1788C891" w14:textId="77777777" w:rsidR="00DB5ADC" w:rsidRPr="00604CC9" w:rsidRDefault="00DB5ADC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7583115A" w14:textId="77777777" w:rsidR="00DB5ADC" w:rsidRPr="00604CC9" w:rsidRDefault="00DB5ADC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403DB01E" w14:textId="77777777" w:rsidR="000E0AC4" w:rsidRPr="00604CC9" w:rsidRDefault="00262F3D" w:rsidP="00604CC9">
      <w:pPr>
        <w:pStyle w:val="ActHead7"/>
        <w:pageBreakBefore/>
      </w:pPr>
      <w:bookmarkStart w:id="29" w:name="_Toc65743907"/>
      <w:r w:rsidRPr="00832212">
        <w:rPr>
          <w:rStyle w:val="CharAmPartNo"/>
        </w:rPr>
        <w:lastRenderedPageBreak/>
        <w:t>Part 6</w:t>
      </w:r>
      <w:r w:rsidR="000E0AC4" w:rsidRPr="00604CC9">
        <w:t>—</w:t>
      </w:r>
      <w:r w:rsidR="00B62F7D" w:rsidRPr="00832212">
        <w:rPr>
          <w:rStyle w:val="CharAmPartText"/>
        </w:rPr>
        <w:t>Wheelie bins</w:t>
      </w:r>
      <w:bookmarkEnd w:id="29"/>
    </w:p>
    <w:p w14:paraId="199A43A5" w14:textId="77777777" w:rsidR="008D3E94" w:rsidRPr="00604CC9" w:rsidRDefault="000E0AC4" w:rsidP="00604CC9">
      <w:pPr>
        <w:pStyle w:val="ActHead9"/>
        <w:rPr>
          <w:i w:val="0"/>
        </w:rPr>
      </w:pPr>
      <w:bookmarkStart w:id="30" w:name="_Toc65743908"/>
      <w:r w:rsidRPr="00604CC9">
        <w:t>Customs Tariff Act 1995</w:t>
      </w:r>
      <w:bookmarkStart w:id="31" w:name="BK_S3P10L2C24"/>
      <w:bookmarkEnd w:id="31"/>
      <w:bookmarkEnd w:id="30"/>
    </w:p>
    <w:p w14:paraId="4E21D520" w14:textId="77777777" w:rsidR="00270D22" w:rsidRPr="00604CC9" w:rsidRDefault="003C2E16" w:rsidP="00604CC9">
      <w:pPr>
        <w:pStyle w:val="ItemHead"/>
      </w:pPr>
      <w:r w:rsidRPr="00604CC9">
        <w:t>19</w:t>
      </w:r>
      <w:r w:rsidR="00270D22" w:rsidRPr="00604CC9">
        <w:t xml:space="preserve">  Schedule 3 (Chapter 87, at the end of the Additional Notes)</w:t>
      </w:r>
    </w:p>
    <w:p w14:paraId="02FA11B5" w14:textId="77777777" w:rsidR="00270D22" w:rsidRPr="00604CC9" w:rsidRDefault="00270D22" w:rsidP="00604CC9">
      <w:pPr>
        <w:pStyle w:val="Item"/>
      </w:pPr>
      <w:r w:rsidRPr="00604CC9">
        <w:t>Add:</w:t>
      </w:r>
    </w:p>
    <w:p w14:paraId="4E860181" w14:textId="77777777" w:rsidR="00270D22" w:rsidRPr="00604CC9" w:rsidRDefault="00270D22" w:rsidP="00604CC9">
      <w:pPr>
        <w:pStyle w:val="subsection"/>
      </w:pPr>
      <w:r w:rsidRPr="00604CC9">
        <w:tab/>
        <w:t>8.</w:t>
      </w:r>
      <w:r w:rsidR="00604CC9">
        <w:noBreakHyphen/>
      </w:r>
      <w:r w:rsidRPr="00604CC9">
        <w:tab/>
        <w:t>8716 does not cover mobile garbage bins (including those commonly known as wheelie bins) and the like (</w:t>
      </w:r>
      <w:r w:rsidR="00B57072" w:rsidRPr="00604CC9">
        <w:t>Chapter 3</w:t>
      </w:r>
      <w:r w:rsidRPr="00604CC9">
        <w:t>9 or Section XV).</w:t>
      </w:r>
    </w:p>
    <w:p w14:paraId="05F486EA" w14:textId="77777777" w:rsidR="00B62F7D" w:rsidRPr="00604CC9" w:rsidRDefault="003C2E16" w:rsidP="00604CC9">
      <w:pPr>
        <w:pStyle w:val="Transitional"/>
      </w:pPr>
      <w:r w:rsidRPr="00604CC9">
        <w:t>20</w:t>
      </w:r>
      <w:r w:rsidR="00B62F7D" w:rsidRPr="00604CC9">
        <w:t xml:space="preserve">  Application provision</w:t>
      </w:r>
    </w:p>
    <w:p w14:paraId="10E86958" w14:textId="77777777" w:rsidR="00B62F7D" w:rsidRPr="00604CC9" w:rsidRDefault="00B62F7D" w:rsidP="00604CC9">
      <w:pPr>
        <w:pStyle w:val="Item"/>
      </w:pPr>
      <w:r w:rsidRPr="00604CC9">
        <w:t>The amendment made by this Part appl</w:t>
      </w:r>
      <w:r w:rsidR="005514E7" w:rsidRPr="00604CC9">
        <w:t>ies</w:t>
      </w:r>
      <w:r w:rsidRPr="00604CC9">
        <w:t xml:space="preserve"> in relation to:</w:t>
      </w:r>
    </w:p>
    <w:p w14:paraId="3F1E207F" w14:textId="77777777" w:rsidR="00B62F7D" w:rsidRPr="00604CC9" w:rsidRDefault="00B62F7D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01D18594" w14:textId="77777777" w:rsidR="00B62F7D" w:rsidRPr="00604CC9" w:rsidRDefault="00B62F7D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5DFE1F48" w14:textId="77777777" w:rsidR="00B30C82" w:rsidRPr="00604CC9" w:rsidRDefault="00262F3D" w:rsidP="00604CC9">
      <w:pPr>
        <w:pStyle w:val="ActHead7"/>
        <w:pageBreakBefore/>
      </w:pPr>
      <w:bookmarkStart w:id="32" w:name="_Toc65743909"/>
      <w:r w:rsidRPr="00832212">
        <w:rPr>
          <w:rStyle w:val="CharAmPartNo"/>
        </w:rPr>
        <w:lastRenderedPageBreak/>
        <w:t>Part 7</w:t>
      </w:r>
      <w:r w:rsidR="00B30C82" w:rsidRPr="00604CC9">
        <w:t>—</w:t>
      </w:r>
      <w:r w:rsidR="000D1DAC" w:rsidRPr="00832212">
        <w:rPr>
          <w:rStyle w:val="CharAmPartText"/>
        </w:rPr>
        <w:t>Metal profiles and pipes</w:t>
      </w:r>
      <w:bookmarkEnd w:id="32"/>
    </w:p>
    <w:p w14:paraId="790306EA" w14:textId="77777777" w:rsidR="00B30C82" w:rsidRPr="00604CC9" w:rsidRDefault="00B30C82" w:rsidP="00604CC9">
      <w:pPr>
        <w:pStyle w:val="ActHead9"/>
        <w:rPr>
          <w:i w:val="0"/>
        </w:rPr>
      </w:pPr>
      <w:bookmarkStart w:id="33" w:name="_Toc65743910"/>
      <w:r w:rsidRPr="00604CC9">
        <w:t>Customs Tariff Act 1995</w:t>
      </w:r>
      <w:bookmarkStart w:id="34" w:name="BK_S3P11L2C24"/>
      <w:bookmarkEnd w:id="34"/>
      <w:bookmarkEnd w:id="33"/>
    </w:p>
    <w:p w14:paraId="042D3639" w14:textId="77777777" w:rsidR="00D1567B" w:rsidRPr="00604CC9" w:rsidRDefault="003C2E16" w:rsidP="00604CC9">
      <w:pPr>
        <w:pStyle w:val="ItemHead"/>
      </w:pPr>
      <w:r w:rsidRPr="00604CC9">
        <w:t>21</w:t>
      </w:r>
      <w:r w:rsidR="00D1567B" w:rsidRPr="00604CC9">
        <w:t xml:space="preserve">  Schedule 3 (Chapter 73, the title “Additional Note.”)</w:t>
      </w:r>
    </w:p>
    <w:p w14:paraId="5585DBE2" w14:textId="77777777" w:rsidR="00D1567B" w:rsidRPr="00604CC9" w:rsidRDefault="00EB7DD5" w:rsidP="00604CC9">
      <w:pPr>
        <w:pStyle w:val="Item"/>
      </w:pPr>
      <w:r w:rsidRPr="00604CC9">
        <w:t>Repeal the title, substitute:</w:t>
      </w:r>
    </w:p>
    <w:p w14:paraId="0B514944" w14:textId="77777777" w:rsidR="00D1567B" w:rsidRPr="00604CC9" w:rsidRDefault="00D1567B" w:rsidP="00604CC9">
      <w:pPr>
        <w:pStyle w:val="ActHead5"/>
        <w:rPr>
          <w:kern w:val="0"/>
        </w:rPr>
      </w:pPr>
      <w:bookmarkStart w:id="35" w:name="BK_S3P11L5C1"/>
      <w:bookmarkStart w:id="36" w:name="_Toc65743911"/>
      <w:bookmarkEnd w:id="35"/>
      <w:r w:rsidRPr="00604CC9">
        <w:rPr>
          <w:kern w:val="0"/>
        </w:rPr>
        <w:t>Additional Notes.</w:t>
      </w:r>
      <w:bookmarkEnd w:id="36"/>
    </w:p>
    <w:p w14:paraId="48747937" w14:textId="77777777" w:rsidR="00D1567B" w:rsidRPr="00604CC9" w:rsidRDefault="003C2E16" w:rsidP="00604CC9">
      <w:pPr>
        <w:pStyle w:val="ItemHead"/>
      </w:pPr>
      <w:r w:rsidRPr="00604CC9">
        <w:t>22</w:t>
      </w:r>
      <w:r w:rsidR="00D1567B" w:rsidRPr="00604CC9">
        <w:t xml:space="preserve">  Schedule 3 (Chapter 73, at the end of the Additional Note)</w:t>
      </w:r>
    </w:p>
    <w:p w14:paraId="375AFFB5" w14:textId="77777777" w:rsidR="00D1567B" w:rsidRPr="00604CC9" w:rsidRDefault="00D1567B" w:rsidP="00604CC9">
      <w:pPr>
        <w:pStyle w:val="Item"/>
      </w:pPr>
      <w:r w:rsidRPr="00604CC9">
        <w:t>Add:</w:t>
      </w:r>
    </w:p>
    <w:p w14:paraId="39109C98" w14:textId="77777777" w:rsidR="00554D07" w:rsidRPr="00604CC9" w:rsidRDefault="00D1567B" w:rsidP="00604CC9">
      <w:pPr>
        <w:pStyle w:val="subsection"/>
      </w:pPr>
      <w:r w:rsidRPr="00604CC9">
        <w:tab/>
        <w:t>2.</w:t>
      </w:r>
      <w:r w:rsidR="00604CC9">
        <w:noBreakHyphen/>
      </w:r>
      <w:r w:rsidRPr="00604CC9">
        <w:tab/>
      </w:r>
      <w:r w:rsidR="009A221B" w:rsidRPr="00604CC9">
        <w:t>Heading 7308 does not include</w:t>
      </w:r>
      <w:r w:rsidR="00554D07" w:rsidRPr="00604CC9">
        <w:t>:</w:t>
      </w:r>
    </w:p>
    <w:p w14:paraId="4D5444E4" w14:textId="77777777" w:rsidR="00D1567B" w:rsidRPr="00604CC9" w:rsidRDefault="00554D07" w:rsidP="00604CC9">
      <w:pPr>
        <w:pStyle w:val="paragraph"/>
      </w:pPr>
      <w:r w:rsidRPr="00604CC9">
        <w:tab/>
        <w:t>(a)</w:t>
      </w:r>
      <w:r w:rsidRPr="00604CC9">
        <w:tab/>
      </w:r>
      <w:r w:rsidR="009A221B" w:rsidRPr="00604CC9">
        <w:t>p</w:t>
      </w:r>
      <w:r w:rsidR="00D1567B" w:rsidRPr="00604CC9">
        <w:t>lates, rods, angles, shapes, sections, tubes</w:t>
      </w:r>
      <w:r w:rsidR="00945825" w:rsidRPr="00604CC9">
        <w:t>, pipes</w:t>
      </w:r>
      <w:r w:rsidR="006C3DF1" w:rsidRPr="00604CC9">
        <w:t xml:space="preserve"> and the like</w:t>
      </w:r>
      <w:r w:rsidR="00D1567B" w:rsidRPr="00604CC9">
        <w:t>, requiring further modification before use in structures, including</w:t>
      </w:r>
      <w:r w:rsidR="00337708" w:rsidRPr="00604CC9">
        <w:t>,</w:t>
      </w:r>
      <w:r w:rsidR="00D1567B" w:rsidRPr="00604CC9">
        <w:t xml:space="preserve"> but not limited to</w:t>
      </w:r>
      <w:r w:rsidR="00337708" w:rsidRPr="00604CC9">
        <w:t>,</w:t>
      </w:r>
      <w:r w:rsidR="00D1567B" w:rsidRPr="00604CC9">
        <w:t xml:space="preserve"> cutting, drilling </w:t>
      </w:r>
      <w:r w:rsidR="00337708" w:rsidRPr="00604CC9">
        <w:t>and</w:t>
      </w:r>
      <w:r w:rsidR="00D1567B" w:rsidRPr="00604CC9">
        <w:t xml:space="preserve"> bending</w:t>
      </w:r>
      <w:r w:rsidRPr="00604CC9">
        <w:t xml:space="preserve">; </w:t>
      </w:r>
      <w:r w:rsidR="00794EE4" w:rsidRPr="00604CC9">
        <w:t>or</w:t>
      </w:r>
    </w:p>
    <w:p w14:paraId="34E3B838" w14:textId="77777777" w:rsidR="00554D07" w:rsidRPr="00604CC9" w:rsidRDefault="00554D07" w:rsidP="00604CC9">
      <w:pPr>
        <w:pStyle w:val="paragraph"/>
      </w:pPr>
      <w:r w:rsidRPr="00604CC9">
        <w:tab/>
        <w:t>(b)</w:t>
      </w:r>
      <w:r w:rsidRPr="00604CC9">
        <w:tab/>
        <w:t>tubes, pipes and the like prepared for the conveyance of fluids (including water, oil and gas).</w:t>
      </w:r>
    </w:p>
    <w:p w14:paraId="1F1F0A92" w14:textId="77777777" w:rsidR="00D1567B" w:rsidRPr="00604CC9" w:rsidRDefault="003C2E16" w:rsidP="00604CC9">
      <w:pPr>
        <w:pStyle w:val="ItemHead"/>
      </w:pPr>
      <w:r w:rsidRPr="00604CC9">
        <w:t>23</w:t>
      </w:r>
      <w:r w:rsidR="00D1567B" w:rsidRPr="00604CC9">
        <w:t xml:space="preserve">  Schedule 3 (Chapter 76, at the end of the Subheading Notes)</w:t>
      </w:r>
    </w:p>
    <w:p w14:paraId="04E54ECC" w14:textId="77777777" w:rsidR="00D1567B" w:rsidRPr="00604CC9" w:rsidRDefault="00D1567B" w:rsidP="00604CC9">
      <w:pPr>
        <w:pStyle w:val="Item"/>
      </w:pPr>
      <w:r w:rsidRPr="00604CC9">
        <w:t>Add:</w:t>
      </w:r>
    </w:p>
    <w:p w14:paraId="6C0C8DB9" w14:textId="77777777" w:rsidR="00D1567B" w:rsidRPr="00604CC9" w:rsidRDefault="00D1567B" w:rsidP="00604CC9">
      <w:pPr>
        <w:pStyle w:val="ActHead5"/>
      </w:pPr>
      <w:bookmarkStart w:id="37" w:name="BK_S3P11L17C1"/>
      <w:bookmarkStart w:id="38" w:name="_Toc65743912"/>
      <w:bookmarkEnd w:id="37"/>
      <w:r w:rsidRPr="00604CC9">
        <w:t>Additional Note.</w:t>
      </w:r>
      <w:bookmarkEnd w:id="38"/>
    </w:p>
    <w:p w14:paraId="38A5D317" w14:textId="77777777" w:rsidR="00D1567B" w:rsidRPr="00604CC9" w:rsidRDefault="00D1567B" w:rsidP="00604CC9">
      <w:pPr>
        <w:pStyle w:val="subsection"/>
      </w:pPr>
      <w:r w:rsidRPr="00604CC9">
        <w:tab/>
        <w:t>1.</w:t>
      </w:r>
      <w:r w:rsidR="00604CC9">
        <w:noBreakHyphen/>
      </w:r>
      <w:r w:rsidRPr="00604CC9">
        <w:tab/>
      </w:r>
      <w:r w:rsidR="009A221B" w:rsidRPr="00604CC9">
        <w:t>Heading 7610 does not include p</w:t>
      </w:r>
      <w:r w:rsidRPr="00604CC9">
        <w:t>lates, rods, angles, shapes, sections, tubes</w:t>
      </w:r>
      <w:r w:rsidR="00E765C3" w:rsidRPr="00604CC9">
        <w:t>, pipes</w:t>
      </w:r>
      <w:r w:rsidRPr="00604CC9">
        <w:t xml:space="preserve"> and the like, requiring further modification before use in structures, including</w:t>
      </w:r>
      <w:r w:rsidR="00337708" w:rsidRPr="00604CC9">
        <w:t>,</w:t>
      </w:r>
      <w:r w:rsidRPr="00604CC9">
        <w:t xml:space="preserve"> but not limited to</w:t>
      </w:r>
      <w:r w:rsidR="00337708" w:rsidRPr="00604CC9">
        <w:t>,</w:t>
      </w:r>
      <w:r w:rsidRPr="00604CC9">
        <w:t xml:space="preserve"> cutting, drilling </w:t>
      </w:r>
      <w:r w:rsidR="00337708" w:rsidRPr="00604CC9">
        <w:t>and</w:t>
      </w:r>
      <w:r w:rsidRPr="00604CC9">
        <w:t xml:space="preserve"> bending.</w:t>
      </w:r>
    </w:p>
    <w:p w14:paraId="4C9FEDF3" w14:textId="77777777" w:rsidR="00D1567B" w:rsidRPr="00604CC9" w:rsidRDefault="003C2E16" w:rsidP="00604CC9">
      <w:pPr>
        <w:pStyle w:val="ItemHead"/>
      </w:pPr>
      <w:r w:rsidRPr="00604CC9">
        <w:t>24</w:t>
      </w:r>
      <w:r w:rsidR="00D1567B" w:rsidRPr="00604CC9">
        <w:t xml:space="preserve">  Schedule 3 (Chapter 83, at the end of the Notes)</w:t>
      </w:r>
    </w:p>
    <w:p w14:paraId="2E785FE4" w14:textId="77777777" w:rsidR="00D1567B" w:rsidRPr="00604CC9" w:rsidRDefault="00D1567B" w:rsidP="00604CC9">
      <w:pPr>
        <w:pStyle w:val="Item"/>
      </w:pPr>
      <w:r w:rsidRPr="00604CC9">
        <w:t>Add:</w:t>
      </w:r>
    </w:p>
    <w:p w14:paraId="5B0374C9" w14:textId="77777777" w:rsidR="00D1567B" w:rsidRPr="00604CC9" w:rsidRDefault="00D1567B" w:rsidP="00604CC9">
      <w:pPr>
        <w:pStyle w:val="ActHead5"/>
      </w:pPr>
      <w:bookmarkStart w:id="39" w:name="BK_S3P12L1C1"/>
      <w:bookmarkStart w:id="40" w:name="_Toc65743913"/>
      <w:bookmarkEnd w:id="39"/>
      <w:r w:rsidRPr="00604CC9">
        <w:t>Additional Note.</w:t>
      </w:r>
      <w:bookmarkEnd w:id="40"/>
    </w:p>
    <w:p w14:paraId="2EA41D62" w14:textId="77777777" w:rsidR="00D1567B" w:rsidRPr="00604CC9" w:rsidRDefault="00D1567B" w:rsidP="00604CC9">
      <w:pPr>
        <w:pStyle w:val="subsection"/>
      </w:pPr>
      <w:r w:rsidRPr="00604CC9">
        <w:tab/>
        <w:t>1.</w:t>
      </w:r>
      <w:r w:rsidR="00604CC9">
        <w:noBreakHyphen/>
      </w:r>
      <w:r w:rsidRPr="00604CC9">
        <w:tab/>
        <w:t xml:space="preserve">Heading 8302 </w:t>
      </w:r>
      <w:r w:rsidR="009A221B" w:rsidRPr="00604CC9">
        <w:t>does not include plates, rods, angles, shapes, sections, tubes</w:t>
      </w:r>
      <w:r w:rsidR="00E765C3" w:rsidRPr="00604CC9">
        <w:t>, pipes</w:t>
      </w:r>
      <w:r w:rsidR="009A221B" w:rsidRPr="00604CC9">
        <w:t xml:space="preserve"> and the like, requiring further modification before use, including</w:t>
      </w:r>
      <w:r w:rsidR="00337708" w:rsidRPr="00604CC9">
        <w:t>,</w:t>
      </w:r>
      <w:r w:rsidR="009A221B" w:rsidRPr="00604CC9">
        <w:t xml:space="preserve"> but not limited to</w:t>
      </w:r>
      <w:r w:rsidR="00337708" w:rsidRPr="00604CC9">
        <w:t>,</w:t>
      </w:r>
      <w:r w:rsidR="009A221B" w:rsidRPr="00604CC9">
        <w:t xml:space="preserve"> cutting, drilling </w:t>
      </w:r>
      <w:r w:rsidR="00337708" w:rsidRPr="00604CC9">
        <w:t>and</w:t>
      </w:r>
      <w:r w:rsidR="009A221B" w:rsidRPr="00604CC9">
        <w:t xml:space="preserve"> bending</w:t>
      </w:r>
      <w:r w:rsidRPr="00604CC9">
        <w:t>.</w:t>
      </w:r>
    </w:p>
    <w:p w14:paraId="690814B0" w14:textId="77777777" w:rsidR="00D1567B" w:rsidRPr="00604CC9" w:rsidRDefault="003C2E16" w:rsidP="00604CC9">
      <w:pPr>
        <w:pStyle w:val="ItemHead"/>
      </w:pPr>
      <w:r w:rsidRPr="00604CC9">
        <w:t>25</w:t>
      </w:r>
      <w:r w:rsidR="00D1567B" w:rsidRPr="00604CC9">
        <w:t xml:space="preserve">  Schedule 3 (Chapter 94, at the end of the Notes)</w:t>
      </w:r>
    </w:p>
    <w:p w14:paraId="760E86D7" w14:textId="77777777" w:rsidR="00D1567B" w:rsidRPr="00604CC9" w:rsidRDefault="00D1567B" w:rsidP="00604CC9">
      <w:pPr>
        <w:pStyle w:val="Item"/>
      </w:pPr>
      <w:r w:rsidRPr="00604CC9">
        <w:t>Add:</w:t>
      </w:r>
    </w:p>
    <w:p w14:paraId="2657DD51" w14:textId="77777777" w:rsidR="00D1567B" w:rsidRPr="00604CC9" w:rsidRDefault="00D1567B" w:rsidP="00604CC9">
      <w:pPr>
        <w:pStyle w:val="ActHead5"/>
      </w:pPr>
      <w:bookmarkStart w:id="41" w:name="BK_S3P12L8C1"/>
      <w:bookmarkStart w:id="42" w:name="_Toc65743914"/>
      <w:bookmarkEnd w:id="41"/>
      <w:r w:rsidRPr="00604CC9">
        <w:t>Additional Note.</w:t>
      </w:r>
      <w:bookmarkEnd w:id="42"/>
    </w:p>
    <w:p w14:paraId="13D245F8" w14:textId="77777777" w:rsidR="00D1567B" w:rsidRPr="00604CC9" w:rsidRDefault="00D1567B" w:rsidP="00604CC9">
      <w:pPr>
        <w:pStyle w:val="subsection"/>
      </w:pPr>
      <w:r w:rsidRPr="00604CC9">
        <w:tab/>
        <w:t>1.</w:t>
      </w:r>
      <w:r w:rsidR="00604CC9">
        <w:noBreakHyphen/>
      </w:r>
      <w:r w:rsidRPr="00604CC9">
        <w:tab/>
        <w:t xml:space="preserve">Heading 9403 </w:t>
      </w:r>
      <w:r w:rsidR="007279EE" w:rsidRPr="00604CC9">
        <w:t>does not include plates, rods, angles, shapes, sections, tubes</w:t>
      </w:r>
      <w:r w:rsidR="00E765C3" w:rsidRPr="00604CC9">
        <w:t>, pipes</w:t>
      </w:r>
      <w:r w:rsidR="007279EE" w:rsidRPr="00604CC9">
        <w:t xml:space="preserve"> and the like, requiring further modification before use, including</w:t>
      </w:r>
      <w:r w:rsidR="00337708" w:rsidRPr="00604CC9">
        <w:t>,</w:t>
      </w:r>
      <w:r w:rsidR="007279EE" w:rsidRPr="00604CC9">
        <w:t xml:space="preserve"> but not limited to</w:t>
      </w:r>
      <w:r w:rsidR="00337708" w:rsidRPr="00604CC9">
        <w:t>,</w:t>
      </w:r>
      <w:r w:rsidR="007279EE" w:rsidRPr="00604CC9">
        <w:t xml:space="preserve"> cutting, drilling </w:t>
      </w:r>
      <w:r w:rsidR="00337708" w:rsidRPr="00604CC9">
        <w:t>and</w:t>
      </w:r>
      <w:r w:rsidR="007279EE" w:rsidRPr="00604CC9">
        <w:t xml:space="preserve"> bending (Section XV)</w:t>
      </w:r>
      <w:r w:rsidRPr="00604CC9">
        <w:t>.</w:t>
      </w:r>
    </w:p>
    <w:p w14:paraId="04D2F0E5" w14:textId="77777777" w:rsidR="00056A8A" w:rsidRPr="00604CC9" w:rsidRDefault="003C2E16" w:rsidP="00604CC9">
      <w:pPr>
        <w:pStyle w:val="Transitional"/>
      </w:pPr>
      <w:r w:rsidRPr="00604CC9">
        <w:t>26</w:t>
      </w:r>
      <w:r w:rsidR="00056A8A" w:rsidRPr="00604CC9">
        <w:t xml:space="preserve">  Application provision</w:t>
      </w:r>
    </w:p>
    <w:p w14:paraId="2B7044B4" w14:textId="77777777" w:rsidR="00056A8A" w:rsidRPr="00604CC9" w:rsidRDefault="00056A8A" w:rsidP="00604CC9">
      <w:pPr>
        <w:pStyle w:val="Item"/>
      </w:pPr>
      <w:r w:rsidRPr="00604CC9">
        <w:t>The amendments made by this Part apply in relation to:</w:t>
      </w:r>
    </w:p>
    <w:p w14:paraId="0D087A1F" w14:textId="77777777" w:rsidR="00056A8A" w:rsidRPr="00604CC9" w:rsidRDefault="00056A8A" w:rsidP="00604CC9">
      <w:pPr>
        <w:pStyle w:val="paragraph"/>
      </w:pPr>
      <w:r w:rsidRPr="00604CC9">
        <w:tab/>
        <w:t>(a)</w:t>
      </w:r>
      <w:r w:rsidRPr="00604CC9">
        <w:tab/>
        <w:t>goods imported into Australia on or after the commencement of this item; and</w:t>
      </w:r>
    </w:p>
    <w:p w14:paraId="1941AABD" w14:textId="77777777" w:rsidR="00056A8A" w:rsidRPr="00604CC9" w:rsidRDefault="00056A8A" w:rsidP="00604CC9">
      <w:pPr>
        <w:pStyle w:val="paragraph"/>
      </w:pPr>
      <w:r w:rsidRPr="00604CC9">
        <w:tab/>
        <w:t>(b)</w:t>
      </w:r>
      <w:r w:rsidRPr="00604CC9">
        <w:tab/>
        <w:t>goods imported into Australia before the commencement of this item, where the time for working out the rate of import duty on the goods had not occurred before that commencement.</w:t>
      </w:r>
    </w:p>
    <w:p w14:paraId="073FE656" w14:textId="77777777" w:rsidR="00532E85" w:rsidRPr="00604CC9" w:rsidRDefault="00262F3D" w:rsidP="00604CC9">
      <w:pPr>
        <w:pStyle w:val="ActHead7"/>
        <w:pageBreakBefore/>
      </w:pPr>
      <w:bookmarkStart w:id="43" w:name="_Toc65743915"/>
      <w:r w:rsidRPr="00832212">
        <w:rPr>
          <w:rStyle w:val="CharAmPartNo"/>
        </w:rPr>
        <w:t>Part 8</w:t>
      </w:r>
      <w:r w:rsidR="00532E85" w:rsidRPr="00604CC9">
        <w:t>—</w:t>
      </w:r>
      <w:r w:rsidR="00532E85" w:rsidRPr="00832212">
        <w:rPr>
          <w:rStyle w:val="CharAmPartText"/>
        </w:rPr>
        <w:t>Technical amendments</w:t>
      </w:r>
      <w:bookmarkEnd w:id="43"/>
    </w:p>
    <w:p w14:paraId="39742445" w14:textId="77777777" w:rsidR="00532E85" w:rsidRPr="00604CC9" w:rsidRDefault="00532E85" w:rsidP="00604CC9">
      <w:pPr>
        <w:pStyle w:val="ActHead9"/>
        <w:rPr>
          <w:i w:val="0"/>
        </w:rPr>
      </w:pPr>
      <w:bookmarkStart w:id="44" w:name="_Toc65743916"/>
      <w:r w:rsidRPr="00604CC9">
        <w:t>Customs Tariff Act 1995</w:t>
      </w:r>
      <w:bookmarkStart w:id="45" w:name="BK_S3P13L2C24"/>
      <w:bookmarkEnd w:id="45"/>
      <w:bookmarkEnd w:id="44"/>
    </w:p>
    <w:p w14:paraId="37A0394B" w14:textId="77777777" w:rsidR="00532E85" w:rsidRPr="00604CC9" w:rsidRDefault="003C2E16" w:rsidP="00604CC9">
      <w:pPr>
        <w:pStyle w:val="ItemHead"/>
      </w:pPr>
      <w:r w:rsidRPr="00604CC9">
        <w:t>27</w:t>
      </w:r>
      <w:r w:rsidR="00532E85" w:rsidRPr="00604CC9">
        <w:t xml:space="preserve">  </w:t>
      </w:r>
      <w:r w:rsidR="00262F3D" w:rsidRPr="00604CC9">
        <w:t>Paragraph 1</w:t>
      </w:r>
      <w:r w:rsidR="00532E85" w:rsidRPr="00604CC9">
        <w:t>6(1)(k) (note)</w:t>
      </w:r>
    </w:p>
    <w:p w14:paraId="18C2BE00" w14:textId="77777777" w:rsidR="00532E85" w:rsidRPr="00604CC9" w:rsidRDefault="00532E85" w:rsidP="00604CC9">
      <w:pPr>
        <w:pStyle w:val="Item"/>
      </w:pPr>
      <w:r w:rsidRPr="00604CC9">
        <w:t>Repeal the note.</w:t>
      </w:r>
    </w:p>
    <w:p w14:paraId="01FFD1FB" w14:textId="77777777" w:rsidR="00532E85" w:rsidRPr="00604CC9" w:rsidRDefault="003C2E16" w:rsidP="00604CC9">
      <w:pPr>
        <w:pStyle w:val="ItemHead"/>
      </w:pPr>
      <w:r w:rsidRPr="00604CC9">
        <w:t>28</w:t>
      </w:r>
      <w:r w:rsidR="00532E85" w:rsidRPr="00604CC9">
        <w:t xml:space="preserve">  </w:t>
      </w:r>
      <w:r w:rsidR="00262F3D" w:rsidRPr="00604CC9">
        <w:t>Paragraph 1</w:t>
      </w:r>
      <w:r w:rsidR="00532E85" w:rsidRPr="00604CC9">
        <w:t>6(1)(m) (note)</w:t>
      </w:r>
    </w:p>
    <w:p w14:paraId="4E2744B4" w14:textId="77777777" w:rsidR="00532E85" w:rsidRPr="00604CC9" w:rsidRDefault="00532E85" w:rsidP="00604CC9">
      <w:pPr>
        <w:pStyle w:val="Item"/>
      </w:pPr>
      <w:r w:rsidRPr="00604CC9">
        <w:t>Repeal the note.</w:t>
      </w:r>
    </w:p>
    <w:p w14:paraId="538381E9" w14:textId="77777777" w:rsidR="00532E85" w:rsidRPr="00604CC9" w:rsidRDefault="003C2E16" w:rsidP="00604CC9">
      <w:pPr>
        <w:pStyle w:val="ItemHead"/>
      </w:pPr>
      <w:r w:rsidRPr="00604CC9">
        <w:t>29</w:t>
      </w:r>
      <w:r w:rsidR="00532E85" w:rsidRPr="00604CC9">
        <w:t xml:space="preserve">  </w:t>
      </w:r>
      <w:r w:rsidR="00262F3D" w:rsidRPr="00604CC9">
        <w:t>Paragraph 1</w:t>
      </w:r>
      <w:r w:rsidR="00532E85" w:rsidRPr="00604CC9">
        <w:t>6(1)(n) (note)</w:t>
      </w:r>
    </w:p>
    <w:p w14:paraId="771BB44A" w14:textId="77777777" w:rsidR="00532E85" w:rsidRPr="00604CC9" w:rsidRDefault="00532E85" w:rsidP="00604CC9">
      <w:pPr>
        <w:pStyle w:val="Item"/>
      </w:pPr>
      <w:r w:rsidRPr="00604CC9">
        <w:t>Repeal the note.</w:t>
      </w:r>
    </w:p>
    <w:p w14:paraId="7CE06341" w14:textId="77777777" w:rsidR="00532E85" w:rsidRPr="00604CC9" w:rsidRDefault="003C2E16" w:rsidP="00604CC9">
      <w:pPr>
        <w:pStyle w:val="ItemHead"/>
      </w:pPr>
      <w:r w:rsidRPr="00604CC9">
        <w:t>30</w:t>
      </w:r>
      <w:r w:rsidR="00532E85" w:rsidRPr="00604CC9">
        <w:t xml:space="preserve">  </w:t>
      </w:r>
      <w:r w:rsidR="00262F3D" w:rsidRPr="00604CC9">
        <w:t>Paragraph 1</w:t>
      </w:r>
      <w:r w:rsidR="00532E85" w:rsidRPr="00604CC9">
        <w:t>6(1)(r) (note)</w:t>
      </w:r>
    </w:p>
    <w:p w14:paraId="474CB5DD" w14:textId="77777777" w:rsidR="00532E85" w:rsidRPr="00604CC9" w:rsidRDefault="00532E85" w:rsidP="00604CC9">
      <w:pPr>
        <w:pStyle w:val="Item"/>
      </w:pPr>
      <w:r w:rsidRPr="00604CC9">
        <w:t>Repeal the note.</w:t>
      </w:r>
    </w:p>
    <w:p w14:paraId="64E9C5DC" w14:textId="77777777" w:rsidR="00532E85" w:rsidRPr="00604CC9" w:rsidRDefault="003C2E16" w:rsidP="00604CC9">
      <w:pPr>
        <w:pStyle w:val="ItemHead"/>
      </w:pPr>
      <w:r w:rsidRPr="00604CC9">
        <w:t>31</w:t>
      </w:r>
      <w:r w:rsidR="00532E85" w:rsidRPr="00604CC9">
        <w:t xml:space="preserve">  </w:t>
      </w:r>
      <w:r w:rsidR="00262F3D" w:rsidRPr="00604CC9">
        <w:t>Subsections 1</w:t>
      </w:r>
      <w:r w:rsidR="00532E85" w:rsidRPr="00604CC9">
        <w:t>6(2), (2A), (3), (4) and (4A)</w:t>
      </w:r>
    </w:p>
    <w:p w14:paraId="77587C4F" w14:textId="77777777" w:rsidR="00532E85" w:rsidRPr="00604CC9" w:rsidRDefault="00532E85" w:rsidP="00604CC9">
      <w:pPr>
        <w:pStyle w:val="Item"/>
      </w:pPr>
      <w:r w:rsidRPr="00604CC9">
        <w:t>Repeal the subsections.</w:t>
      </w:r>
    </w:p>
    <w:p w14:paraId="18A5D86A" w14:textId="77777777" w:rsidR="00532E85" w:rsidRPr="00604CC9" w:rsidRDefault="003C2E16" w:rsidP="00604CC9">
      <w:pPr>
        <w:pStyle w:val="ItemHead"/>
      </w:pPr>
      <w:r w:rsidRPr="00604CC9">
        <w:t>32</w:t>
      </w:r>
      <w:r w:rsidR="00532E85" w:rsidRPr="00604CC9">
        <w:t xml:space="preserve">  </w:t>
      </w:r>
      <w:r w:rsidR="00262F3D" w:rsidRPr="00604CC9">
        <w:t>Schedule 5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21 to 121D)</w:t>
      </w:r>
    </w:p>
    <w:p w14:paraId="2D6C1BC6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2772366D" w14:textId="77777777" w:rsidR="00532E85" w:rsidRPr="00604CC9" w:rsidRDefault="003C2E16" w:rsidP="00604CC9">
      <w:pPr>
        <w:pStyle w:val="ItemHead"/>
      </w:pPr>
      <w:r w:rsidRPr="00604CC9">
        <w:t>33</w:t>
      </w:r>
      <w:r w:rsidR="00532E85" w:rsidRPr="00604CC9">
        <w:t xml:space="preserve">  </w:t>
      </w:r>
      <w:r w:rsidR="00262F3D" w:rsidRPr="00604CC9">
        <w:t>Schedule 5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34 to 955)</w:t>
      </w:r>
    </w:p>
    <w:p w14:paraId="639EAF9D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59C406D4" w14:textId="77777777" w:rsidR="00532E85" w:rsidRPr="00604CC9" w:rsidRDefault="003C2E16" w:rsidP="00604CC9">
      <w:pPr>
        <w:pStyle w:val="ItemHead"/>
      </w:pPr>
      <w:r w:rsidRPr="00604CC9">
        <w:t>34</w:t>
      </w:r>
      <w:r w:rsidR="00532E85" w:rsidRPr="00604CC9">
        <w:t xml:space="preserve">  </w:t>
      </w:r>
      <w:r w:rsidR="00262F3D" w:rsidRPr="00604CC9">
        <w:t>Schedule 6</w:t>
      </w:r>
      <w:r w:rsidR="00532E85" w:rsidRPr="00604CC9">
        <w:t xml:space="preserve"> (table </w:t>
      </w:r>
      <w:r w:rsidR="00604CC9">
        <w:t>item 3</w:t>
      </w:r>
      <w:r w:rsidR="00532E85" w:rsidRPr="00604CC9">
        <w:t>)</w:t>
      </w:r>
    </w:p>
    <w:p w14:paraId="5046E954" w14:textId="77777777" w:rsidR="00532E85" w:rsidRPr="00604CC9" w:rsidRDefault="00532E85" w:rsidP="00604CC9">
      <w:pPr>
        <w:pStyle w:val="Item"/>
      </w:pPr>
      <w:r w:rsidRPr="00604CC9">
        <w:t>Repeal the item.</w:t>
      </w:r>
    </w:p>
    <w:p w14:paraId="4B720E16" w14:textId="77777777" w:rsidR="00532E85" w:rsidRPr="00604CC9" w:rsidRDefault="003C2E16" w:rsidP="00604CC9">
      <w:pPr>
        <w:pStyle w:val="ItemHead"/>
      </w:pPr>
      <w:r w:rsidRPr="00604CC9">
        <w:t>35</w:t>
      </w:r>
      <w:r w:rsidR="00532E85" w:rsidRPr="00604CC9">
        <w:t xml:space="preserve">  </w:t>
      </w:r>
      <w:r w:rsidR="00262F3D" w:rsidRPr="00604CC9">
        <w:t>Schedule 6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42 to 158)</w:t>
      </w:r>
    </w:p>
    <w:p w14:paraId="71934246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396260EE" w14:textId="77777777" w:rsidR="00532E85" w:rsidRPr="00604CC9" w:rsidRDefault="003C2E16" w:rsidP="00604CC9">
      <w:pPr>
        <w:pStyle w:val="ItemHead"/>
      </w:pPr>
      <w:r w:rsidRPr="00604CC9">
        <w:t>36</w:t>
      </w:r>
      <w:r w:rsidR="00532E85" w:rsidRPr="00604CC9">
        <w:t xml:space="preserve">  </w:t>
      </w:r>
      <w:r w:rsidR="00262F3D" w:rsidRPr="00604CC9">
        <w:t>Schedule 6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73)</w:t>
      </w:r>
    </w:p>
    <w:p w14:paraId="0E2D5AB6" w14:textId="77777777" w:rsidR="00532E85" w:rsidRPr="00604CC9" w:rsidRDefault="00532E85" w:rsidP="00604CC9">
      <w:pPr>
        <w:pStyle w:val="Item"/>
      </w:pPr>
      <w:r w:rsidRPr="00604CC9">
        <w:t>Repeal the item.</w:t>
      </w:r>
    </w:p>
    <w:p w14:paraId="7CFDC032" w14:textId="77777777" w:rsidR="00532E85" w:rsidRPr="00604CC9" w:rsidRDefault="003C2E16" w:rsidP="00604CC9">
      <w:pPr>
        <w:pStyle w:val="ItemHead"/>
      </w:pPr>
      <w:r w:rsidRPr="00604CC9">
        <w:t>37</w:t>
      </w:r>
      <w:r w:rsidR="00532E85" w:rsidRPr="00604CC9">
        <w:t xml:space="preserve">  </w:t>
      </w:r>
      <w:r w:rsidR="00262F3D" w:rsidRPr="00604CC9">
        <w:t>Schedule 6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74 to 1182)</w:t>
      </w:r>
    </w:p>
    <w:p w14:paraId="2DC33454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34BB3F3A" w14:textId="77777777" w:rsidR="00532E85" w:rsidRPr="00604CC9" w:rsidRDefault="003C2E16" w:rsidP="00604CC9">
      <w:pPr>
        <w:pStyle w:val="ItemHead"/>
      </w:pPr>
      <w:r w:rsidRPr="00604CC9">
        <w:t>38</w:t>
      </w:r>
      <w:r w:rsidR="00532E85" w:rsidRPr="00604CC9">
        <w:t xml:space="preserve">  </w:t>
      </w:r>
      <w:r w:rsidR="00262F3D" w:rsidRPr="00604CC9">
        <w:t>Schedule 7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 xml:space="preserve"> and 2)</w:t>
      </w:r>
    </w:p>
    <w:p w14:paraId="0E755D34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47855228" w14:textId="77777777" w:rsidR="00532E85" w:rsidRPr="00604CC9" w:rsidRDefault="003C2E16" w:rsidP="00604CC9">
      <w:pPr>
        <w:pStyle w:val="ItemHead"/>
      </w:pPr>
      <w:r w:rsidRPr="00604CC9">
        <w:t>39</w:t>
      </w:r>
      <w:r w:rsidR="00532E85" w:rsidRPr="00604CC9">
        <w:t xml:space="preserve">  </w:t>
      </w:r>
      <w:r w:rsidR="00262F3D" w:rsidRPr="00604CC9">
        <w:t>Schedule 7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20 to 674)</w:t>
      </w:r>
    </w:p>
    <w:p w14:paraId="60ADA032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7FE78BEE" w14:textId="77777777" w:rsidR="00532E85" w:rsidRPr="00604CC9" w:rsidRDefault="003C2E16" w:rsidP="00604CC9">
      <w:pPr>
        <w:pStyle w:val="ItemHead"/>
      </w:pPr>
      <w:r w:rsidRPr="00604CC9">
        <w:t>40</w:t>
      </w:r>
      <w:r w:rsidR="00532E85" w:rsidRPr="00604CC9">
        <w:t xml:space="preserve">  </w:t>
      </w:r>
      <w:r w:rsidR="00262F3D" w:rsidRPr="00604CC9">
        <w:t>Schedule 8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 xml:space="preserve"> and 2)</w:t>
      </w:r>
    </w:p>
    <w:p w14:paraId="70F02DA2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49138993" w14:textId="77777777" w:rsidR="00532E85" w:rsidRPr="00604CC9" w:rsidRDefault="003C2E16" w:rsidP="00604CC9">
      <w:pPr>
        <w:pStyle w:val="ItemHead"/>
      </w:pPr>
      <w:r w:rsidRPr="00604CC9">
        <w:t>41</w:t>
      </w:r>
      <w:r w:rsidR="00532E85" w:rsidRPr="00604CC9">
        <w:t xml:space="preserve">  </w:t>
      </w:r>
      <w:r w:rsidR="00262F3D" w:rsidRPr="00604CC9">
        <w:t>Schedule 8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12 to 114)</w:t>
      </w:r>
    </w:p>
    <w:p w14:paraId="0D91B1A2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2958568A" w14:textId="77777777" w:rsidR="00532E85" w:rsidRPr="00604CC9" w:rsidRDefault="003C2E16" w:rsidP="00604CC9">
      <w:pPr>
        <w:pStyle w:val="ItemHead"/>
      </w:pPr>
      <w:r w:rsidRPr="00604CC9">
        <w:t>42</w:t>
      </w:r>
      <w:r w:rsidR="00532E85" w:rsidRPr="00604CC9">
        <w:t xml:space="preserve">  </w:t>
      </w:r>
      <w:r w:rsidR="00262F3D" w:rsidRPr="00604CC9">
        <w:t>Schedule 8</w:t>
      </w:r>
      <w:r w:rsidR="00532E85" w:rsidRPr="00604CC9">
        <w:t xml:space="preserve"> (table </w:t>
      </w:r>
      <w:r w:rsidR="00262F3D" w:rsidRPr="00604CC9">
        <w:t>items 1</w:t>
      </w:r>
      <w:r w:rsidR="00532E85" w:rsidRPr="00604CC9">
        <w:t>32 to 370)</w:t>
      </w:r>
    </w:p>
    <w:p w14:paraId="3CFCB8EF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464F89A2" w14:textId="77777777" w:rsidR="00532E85" w:rsidRPr="00604CC9" w:rsidRDefault="003C2E16" w:rsidP="00604CC9">
      <w:pPr>
        <w:pStyle w:val="ItemHead"/>
      </w:pPr>
      <w:r w:rsidRPr="00604CC9">
        <w:t>43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10)</w:t>
      </w:r>
    </w:p>
    <w:p w14:paraId="745FD966" w14:textId="77777777" w:rsidR="00532E85" w:rsidRPr="00604CC9" w:rsidRDefault="00532E85" w:rsidP="00604CC9">
      <w:pPr>
        <w:pStyle w:val="Item"/>
      </w:pPr>
      <w:r w:rsidRPr="00604CC9">
        <w:t>Omit</w:t>
      </w:r>
      <w:bookmarkStart w:id="46" w:name="BK_S3P14L14C5"/>
      <w:bookmarkEnd w:id="46"/>
      <w:r w:rsidRPr="00604CC9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532E85" w:rsidRPr="00604CC9" w14:paraId="7C2BE677" w14:textId="77777777" w:rsidTr="00F700EC">
        <w:trPr>
          <w:cantSplit/>
        </w:trPr>
        <w:tc>
          <w:tcPr>
            <w:tcW w:w="3630" w:type="dxa"/>
          </w:tcPr>
          <w:p w14:paraId="1C241E2F" w14:textId="77777777" w:rsidR="00532E85" w:rsidRPr="00604CC9" w:rsidRDefault="00532E85" w:rsidP="00604CC9">
            <w:pPr>
              <w:pStyle w:val="Tabletext"/>
            </w:pPr>
            <w:r w:rsidRPr="00604CC9">
              <w:t>$0.1045/kg</w:t>
            </w:r>
          </w:p>
          <w:p w14:paraId="30A6BBEE" w14:textId="77777777" w:rsidR="00532E85" w:rsidRPr="00604CC9" w:rsidRDefault="00532E85" w:rsidP="00604CC9">
            <w:pPr>
              <w:pStyle w:val="Tabletext"/>
            </w:pPr>
            <w:r w:rsidRPr="00604CC9">
              <w:t>From 1 July 2013: $0.1567/kg</w:t>
            </w:r>
          </w:p>
          <w:p w14:paraId="07845E8C" w14:textId="77777777" w:rsidR="00532E85" w:rsidRPr="00604CC9" w:rsidRDefault="00532E85" w:rsidP="00604CC9">
            <w:pPr>
              <w:pStyle w:val="Tabletext"/>
            </w:pPr>
            <w:r w:rsidRPr="00604CC9">
              <w:t>From 1 July 2014: $0.209/kg</w:t>
            </w:r>
          </w:p>
        </w:tc>
      </w:tr>
    </w:tbl>
    <w:p w14:paraId="3B35599E" w14:textId="77777777" w:rsidR="00532E85" w:rsidRPr="00604CC9" w:rsidRDefault="003C2E16" w:rsidP="00604CC9">
      <w:pPr>
        <w:pStyle w:val="ItemHead"/>
      </w:pPr>
      <w:r w:rsidRPr="00604CC9">
        <w:t>44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10)</w:t>
      </w:r>
    </w:p>
    <w:p w14:paraId="08BBDBF1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29F1625A" w14:textId="77777777" w:rsidR="00532E85" w:rsidRPr="00604CC9" w:rsidRDefault="003C2E16" w:rsidP="00604CC9">
      <w:pPr>
        <w:pStyle w:val="ItemHead"/>
      </w:pPr>
      <w:r w:rsidRPr="00604CC9">
        <w:t>45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11)</w:t>
      </w:r>
    </w:p>
    <w:p w14:paraId="2C56DA35" w14:textId="77777777" w:rsidR="00532E85" w:rsidRPr="00604CC9" w:rsidRDefault="00532E85" w:rsidP="00604CC9">
      <w:pPr>
        <w:pStyle w:val="Item"/>
      </w:pPr>
      <w:r w:rsidRPr="00604CC9">
        <w:t>Omit</w:t>
      </w:r>
      <w:bookmarkStart w:id="47" w:name="BK_S3P14L21C5"/>
      <w:bookmarkEnd w:id="47"/>
      <w:r w:rsidRPr="00604CC9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532E85" w:rsidRPr="00604CC9" w14:paraId="447B1996" w14:textId="77777777" w:rsidTr="00F700EC">
        <w:trPr>
          <w:cantSplit/>
        </w:trPr>
        <w:tc>
          <w:tcPr>
            <w:tcW w:w="3630" w:type="dxa"/>
          </w:tcPr>
          <w:p w14:paraId="1AFDEFFC" w14:textId="77777777" w:rsidR="00532E85" w:rsidRPr="00604CC9" w:rsidRDefault="00532E85" w:rsidP="00604CC9">
            <w:pPr>
              <w:pStyle w:val="Tabletext"/>
            </w:pPr>
            <w:r w:rsidRPr="00604CC9">
              <w:t>$0.05/L</w:t>
            </w:r>
          </w:p>
          <w:p w14:paraId="1AEC4A06" w14:textId="77777777" w:rsidR="00532E85" w:rsidRPr="00604CC9" w:rsidRDefault="00532E85" w:rsidP="00604CC9">
            <w:pPr>
              <w:pStyle w:val="Tabletext"/>
            </w:pPr>
            <w:r w:rsidRPr="00604CC9">
              <w:t>From 1 July 2013: $0.075/L</w:t>
            </w:r>
          </w:p>
          <w:p w14:paraId="75E099D9" w14:textId="77777777" w:rsidR="00532E85" w:rsidRPr="00604CC9" w:rsidRDefault="00532E85" w:rsidP="00604CC9">
            <w:pPr>
              <w:pStyle w:val="Tabletext"/>
            </w:pPr>
            <w:r w:rsidRPr="00604CC9">
              <w:t xml:space="preserve">From 1 July 2014: $0.10/L </w:t>
            </w:r>
          </w:p>
        </w:tc>
      </w:tr>
    </w:tbl>
    <w:p w14:paraId="41915DCB" w14:textId="77777777" w:rsidR="00532E85" w:rsidRPr="00604CC9" w:rsidRDefault="003C2E16" w:rsidP="00604CC9">
      <w:pPr>
        <w:pStyle w:val="ItemHead"/>
      </w:pPr>
      <w:r w:rsidRPr="00604CC9">
        <w:t>46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11)</w:t>
      </w:r>
    </w:p>
    <w:p w14:paraId="00C80779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14D34E74" w14:textId="77777777" w:rsidR="00532E85" w:rsidRPr="00604CC9" w:rsidRDefault="003C2E16" w:rsidP="00604CC9">
      <w:pPr>
        <w:pStyle w:val="ItemHead"/>
      </w:pPr>
      <w:r w:rsidRPr="00604CC9">
        <w:t>47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12)</w:t>
      </w:r>
    </w:p>
    <w:p w14:paraId="0975730A" w14:textId="77777777" w:rsidR="00532E85" w:rsidRPr="00604CC9" w:rsidRDefault="00532E85" w:rsidP="00604CC9">
      <w:pPr>
        <w:pStyle w:val="Item"/>
      </w:pPr>
      <w:r w:rsidRPr="00604CC9">
        <w:t>Omit</w:t>
      </w:r>
      <w:bookmarkStart w:id="48" w:name="BK_S3P15L2C5"/>
      <w:bookmarkEnd w:id="48"/>
      <w:r w:rsidRPr="00604CC9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532E85" w:rsidRPr="00604CC9" w14:paraId="74B48D5A" w14:textId="77777777" w:rsidTr="00F700EC">
        <w:trPr>
          <w:cantSplit/>
        </w:trPr>
        <w:tc>
          <w:tcPr>
            <w:tcW w:w="3630" w:type="dxa"/>
          </w:tcPr>
          <w:p w14:paraId="79CAFCC4" w14:textId="77777777" w:rsidR="00532E85" w:rsidRPr="00604CC9" w:rsidRDefault="00532E85" w:rsidP="00604CC9">
            <w:pPr>
              <w:pStyle w:val="Tabletext"/>
            </w:pPr>
            <w:r w:rsidRPr="00604CC9">
              <w:t>$0.05/L</w:t>
            </w:r>
          </w:p>
          <w:p w14:paraId="7B4FE140" w14:textId="77777777" w:rsidR="00532E85" w:rsidRPr="00604CC9" w:rsidRDefault="00532E85" w:rsidP="00604CC9">
            <w:pPr>
              <w:pStyle w:val="Tabletext"/>
            </w:pPr>
            <w:r w:rsidRPr="00604CC9">
              <w:t>From 1 July 2013: $0.075/L</w:t>
            </w:r>
          </w:p>
          <w:p w14:paraId="42814804" w14:textId="77777777" w:rsidR="00532E85" w:rsidRPr="00604CC9" w:rsidRDefault="00532E85" w:rsidP="00604CC9">
            <w:pPr>
              <w:pStyle w:val="Tabletext"/>
            </w:pPr>
            <w:r w:rsidRPr="00604CC9">
              <w:t xml:space="preserve">From 1 July 2014: $0.10/L </w:t>
            </w:r>
          </w:p>
        </w:tc>
      </w:tr>
    </w:tbl>
    <w:p w14:paraId="4D9FB5F9" w14:textId="77777777" w:rsidR="00532E85" w:rsidRPr="00604CC9" w:rsidRDefault="003C2E16" w:rsidP="00604CC9">
      <w:pPr>
        <w:pStyle w:val="ItemHead"/>
      </w:pPr>
      <w:r w:rsidRPr="00604CC9">
        <w:t>48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12)</w:t>
      </w:r>
    </w:p>
    <w:p w14:paraId="0314EA1A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54659659" w14:textId="77777777" w:rsidR="00532E85" w:rsidRPr="00604CC9" w:rsidRDefault="003C2E16" w:rsidP="00604CC9">
      <w:pPr>
        <w:pStyle w:val="ItemHead"/>
      </w:pPr>
      <w:r w:rsidRPr="00604CC9">
        <w:t>49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13)</w:t>
      </w:r>
    </w:p>
    <w:p w14:paraId="5845C94C" w14:textId="77777777" w:rsidR="00532E85" w:rsidRPr="00604CC9" w:rsidRDefault="00532E85" w:rsidP="00604CC9">
      <w:pPr>
        <w:pStyle w:val="Item"/>
      </w:pPr>
      <w:r w:rsidRPr="00604CC9">
        <w:t>Omit</w:t>
      </w:r>
      <w:bookmarkStart w:id="49" w:name="BK_S3P15L9C5"/>
      <w:bookmarkEnd w:id="49"/>
      <w:r w:rsidRPr="00604CC9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30"/>
      </w:tblGrid>
      <w:tr w:rsidR="00532E85" w:rsidRPr="00604CC9" w14:paraId="09BFEE73" w14:textId="77777777" w:rsidTr="00F700EC">
        <w:trPr>
          <w:cantSplit/>
        </w:trPr>
        <w:tc>
          <w:tcPr>
            <w:tcW w:w="3630" w:type="dxa"/>
          </w:tcPr>
          <w:p w14:paraId="084847D9" w14:textId="77777777" w:rsidR="00532E85" w:rsidRPr="00604CC9" w:rsidRDefault="00532E85" w:rsidP="00604CC9">
            <w:pPr>
              <w:pStyle w:val="Tabletext"/>
            </w:pPr>
            <w:r w:rsidRPr="00604CC9">
              <w:t>$0.1045/kg</w:t>
            </w:r>
          </w:p>
          <w:p w14:paraId="57F8FE23" w14:textId="77777777" w:rsidR="00532E85" w:rsidRPr="00604CC9" w:rsidRDefault="00532E85" w:rsidP="00604CC9">
            <w:pPr>
              <w:pStyle w:val="Tabletext"/>
            </w:pPr>
            <w:r w:rsidRPr="00604CC9">
              <w:t>From 1 July 2013: $0.1567/kg</w:t>
            </w:r>
          </w:p>
          <w:p w14:paraId="063A684C" w14:textId="77777777" w:rsidR="00532E85" w:rsidRPr="00604CC9" w:rsidRDefault="00532E85" w:rsidP="00604CC9">
            <w:pPr>
              <w:pStyle w:val="Tabletext"/>
            </w:pPr>
            <w:r w:rsidRPr="00604CC9">
              <w:t>From 1 July 2014: $0.209/kg</w:t>
            </w:r>
          </w:p>
        </w:tc>
      </w:tr>
    </w:tbl>
    <w:p w14:paraId="232B6628" w14:textId="77777777" w:rsidR="00532E85" w:rsidRPr="00604CC9" w:rsidRDefault="003C2E16" w:rsidP="00604CC9">
      <w:pPr>
        <w:pStyle w:val="ItemHead"/>
      </w:pPr>
      <w:r w:rsidRPr="00604CC9">
        <w:t>50</w:t>
      </w:r>
      <w:r w:rsidR="00532E85" w:rsidRPr="00604CC9">
        <w:t xml:space="preserve">  </w:t>
      </w:r>
      <w:r w:rsidR="00262F3D" w:rsidRPr="00604CC9">
        <w:t>Schedule 9</w:t>
      </w:r>
      <w:r w:rsidR="00532E85" w:rsidRPr="00604CC9">
        <w:t xml:space="preserve"> (table </w:t>
      </w:r>
      <w:r w:rsidR="00262F3D" w:rsidRPr="00604CC9">
        <w:t>item 1</w:t>
      </w:r>
      <w:r w:rsidR="00532E85" w:rsidRPr="00604CC9">
        <w:t>13)</w:t>
      </w:r>
    </w:p>
    <w:p w14:paraId="52FABEBB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78740098" w14:textId="77777777" w:rsidR="00532E85" w:rsidRPr="00604CC9" w:rsidRDefault="003C2E16" w:rsidP="00604CC9">
      <w:pPr>
        <w:pStyle w:val="ItemHead"/>
      </w:pPr>
      <w:r w:rsidRPr="00604CC9">
        <w:t>51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10)</w:t>
      </w:r>
    </w:p>
    <w:p w14:paraId="1547C04E" w14:textId="77777777" w:rsidR="00532E85" w:rsidRPr="00604CC9" w:rsidRDefault="00532E85" w:rsidP="00604CC9">
      <w:pPr>
        <w:pStyle w:val="Item"/>
      </w:pPr>
      <w:r w:rsidRPr="00604CC9">
        <w:t>Omit “$0.209/kg”.</w:t>
      </w:r>
    </w:p>
    <w:p w14:paraId="7CA93830" w14:textId="77777777" w:rsidR="00532E85" w:rsidRPr="00604CC9" w:rsidRDefault="003C2E16" w:rsidP="00604CC9">
      <w:pPr>
        <w:pStyle w:val="ItemHead"/>
      </w:pPr>
      <w:r w:rsidRPr="00604CC9">
        <w:t>52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10)</w:t>
      </w:r>
    </w:p>
    <w:p w14:paraId="02DD9110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0912BD9A" w14:textId="77777777" w:rsidR="00532E85" w:rsidRPr="00604CC9" w:rsidRDefault="003C2E16" w:rsidP="00604CC9">
      <w:pPr>
        <w:pStyle w:val="ItemHead"/>
      </w:pPr>
      <w:r w:rsidRPr="00604CC9">
        <w:t>53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11)</w:t>
      </w:r>
    </w:p>
    <w:p w14:paraId="2F00658F" w14:textId="77777777" w:rsidR="00532E85" w:rsidRPr="00604CC9" w:rsidRDefault="00532E85" w:rsidP="00604CC9">
      <w:pPr>
        <w:pStyle w:val="Item"/>
      </w:pPr>
      <w:r w:rsidRPr="00604CC9">
        <w:t>Omit “$0.10/L”.</w:t>
      </w:r>
    </w:p>
    <w:p w14:paraId="3D44FAA7" w14:textId="77777777" w:rsidR="00532E85" w:rsidRPr="00604CC9" w:rsidRDefault="003C2E16" w:rsidP="00604CC9">
      <w:pPr>
        <w:pStyle w:val="ItemHead"/>
      </w:pPr>
      <w:r w:rsidRPr="00604CC9">
        <w:t>54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11)</w:t>
      </w:r>
    </w:p>
    <w:p w14:paraId="1A50AFDA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2476EB74" w14:textId="77777777" w:rsidR="00532E85" w:rsidRPr="00604CC9" w:rsidRDefault="003C2E16" w:rsidP="00604CC9">
      <w:pPr>
        <w:pStyle w:val="ItemHead"/>
      </w:pPr>
      <w:r w:rsidRPr="00604CC9">
        <w:t>55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12)</w:t>
      </w:r>
    </w:p>
    <w:p w14:paraId="01338FE5" w14:textId="77777777" w:rsidR="00532E85" w:rsidRPr="00604CC9" w:rsidRDefault="00532E85" w:rsidP="00604CC9">
      <w:pPr>
        <w:pStyle w:val="Item"/>
      </w:pPr>
      <w:r w:rsidRPr="00604CC9">
        <w:t>Omit “$0.10/L”.</w:t>
      </w:r>
    </w:p>
    <w:p w14:paraId="3223F3FF" w14:textId="77777777" w:rsidR="00532E85" w:rsidRPr="00604CC9" w:rsidRDefault="003C2E16" w:rsidP="00604CC9">
      <w:pPr>
        <w:pStyle w:val="ItemHead"/>
      </w:pPr>
      <w:r w:rsidRPr="00604CC9">
        <w:t>56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12)</w:t>
      </w:r>
    </w:p>
    <w:p w14:paraId="28545322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460607FF" w14:textId="77777777" w:rsidR="00532E85" w:rsidRPr="00604CC9" w:rsidRDefault="003C2E16" w:rsidP="00604CC9">
      <w:pPr>
        <w:pStyle w:val="ItemHead"/>
      </w:pPr>
      <w:r w:rsidRPr="00604CC9">
        <w:t>57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13)</w:t>
      </w:r>
    </w:p>
    <w:p w14:paraId="706D8C26" w14:textId="77777777" w:rsidR="00532E85" w:rsidRPr="00604CC9" w:rsidRDefault="00532E85" w:rsidP="00604CC9">
      <w:pPr>
        <w:pStyle w:val="Item"/>
      </w:pPr>
      <w:r w:rsidRPr="00604CC9">
        <w:t>Omit “$0.209/kg”.</w:t>
      </w:r>
    </w:p>
    <w:p w14:paraId="35A6937A" w14:textId="77777777" w:rsidR="00532E85" w:rsidRPr="00604CC9" w:rsidRDefault="003C2E16" w:rsidP="00604CC9">
      <w:pPr>
        <w:pStyle w:val="ItemHead"/>
      </w:pPr>
      <w:r w:rsidRPr="00604CC9">
        <w:t>58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 1</w:t>
      </w:r>
      <w:r w:rsidR="00532E85" w:rsidRPr="00604CC9">
        <w:t>13)</w:t>
      </w:r>
    </w:p>
    <w:p w14:paraId="52748AF5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5C03B876" w14:textId="77777777" w:rsidR="00532E85" w:rsidRPr="00604CC9" w:rsidRDefault="003C2E16" w:rsidP="00604CC9">
      <w:pPr>
        <w:pStyle w:val="ItemHead"/>
      </w:pPr>
      <w:r w:rsidRPr="00604CC9">
        <w:t>59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items 1</w:t>
      </w:r>
      <w:r w:rsidR="00532E85" w:rsidRPr="00604CC9">
        <w:t>36 to 223)</w:t>
      </w:r>
    </w:p>
    <w:p w14:paraId="15C87072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458E7644" w14:textId="77777777" w:rsidR="00532E85" w:rsidRPr="00604CC9" w:rsidRDefault="003C2E16" w:rsidP="00604CC9">
      <w:pPr>
        <w:pStyle w:val="ItemHead"/>
      </w:pPr>
      <w:r w:rsidRPr="00604CC9">
        <w:t>60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items 2</w:t>
      </w:r>
      <w:r w:rsidR="00532E85" w:rsidRPr="00604CC9">
        <w:t>42 to 361)</w:t>
      </w:r>
    </w:p>
    <w:p w14:paraId="055BF908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346D51B8" w14:textId="77777777" w:rsidR="00532E85" w:rsidRPr="00604CC9" w:rsidRDefault="003C2E16" w:rsidP="00604CC9">
      <w:pPr>
        <w:pStyle w:val="ItemHead"/>
      </w:pPr>
      <w:r w:rsidRPr="00604CC9">
        <w:t>61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0 (table </w:t>
      </w:r>
      <w:r w:rsidR="00262F3D" w:rsidRPr="00604CC9">
        <w:t>items 3</w:t>
      </w:r>
      <w:r w:rsidR="00532E85" w:rsidRPr="00604CC9">
        <w:t>76 to 696)</w:t>
      </w:r>
    </w:p>
    <w:p w14:paraId="60E4C0F4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42CB4AEC" w14:textId="77777777" w:rsidR="00532E85" w:rsidRPr="00604CC9" w:rsidRDefault="003C2E16" w:rsidP="00604CC9">
      <w:pPr>
        <w:pStyle w:val="ItemHead"/>
      </w:pPr>
      <w:r w:rsidRPr="00604CC9">
        <w:t>62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10)</w:t>
      </w:r>
    </w:p>
    <w:p w14:paraId="0C062A5C" w14:textId="77777777" w:rsidR="00532E85" w:rsidRPr="00604CC9" w:rsidRDefault="00532E85" w:rsidP="00604CC9">
      <w:pPr>
        <w:pStyle w:val="Item"/>
      </w:pPr>
      <w:r w:rsidRPr="00604CC9">
        <w:t>Omit “$0.209/kg”.</w:t>
      </w:r>
    </w:p>
    <w:p w14:paraId="6393D11A" w14:textId="77777777" w:rsidR="00532E85" w:rsidRPr="00604CC9" w:rsidRDefault="003C2E16" w:rsidP="00604CC9">
      <w:pPr>
        <w:pStyle w:val="ItemHead"/>
      </w:pPr>
      <w:r w:rsidRPr="00604CC9">
        <w:t>63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10)</w:t>
      </w:r>
    </w:p>
    <w:p w14:paraId="38C9CFCD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3135C0E4" w14:textId="77777777" w:rsidR="00532E85" w:rsidRPr="00604CC9" w:rsidRDefault="003C2E16" w:rsidP="00604CC9">
      <w:pPr>
        <w:pStyle w:val="ItemHead"/>
      </w:pPr>
      <w:r w:rsidRPr="00604CC9">
        <w:t>64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11)</w:t>
      </w:r>
    </w:p>
    <w:p w14:paraId="7635C75D" w14:textId="77777777" w:rsidR="00532E85" w:rsidRPr="00604CC9" w:rsidRDefault="00532E85" w:rsidP="00604CC9">
      <w:pPr>
        <w:pStyle w:val="Item"/>
      </w:pPr>
      <w:r w:rsidRPr="00604CC9">
        <w:t>Omit “$0.10/L”.</w:t>
      </w:r>
    </w:p>
    <w:p w14:paraId="082E2124" w14:textId="77777777" w:rsidR="00532E85" w:rsidRPr="00604CC9" w:rsidRDefault="003C2E16" w:rsidP="00604CC9">
      <w:pPr>
        <w:pStyle w:val="ItemHead"/>
      </w:pPr>
      <w:r w:rsidRPr="00604CC9">
        <w:t>65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11)</w:t>
      </w:r>
    </w:p>
    <w:p w14:paraId="6CBA1A59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3A91B1FB" w14:textId="77777777" w:rsidR="00532E85" w:rsidRPr="00604CC9" w:rsidRDefault="003C2E16" w:rsidP="00604CC9">
      <w:pPr>
        <w:pStyle w:val="ItemHead"/>
      </w:pPr>
      <w:r w:rsidRPr="00604CC9">
        <w:t>66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12)</w:t>
      </w:r>
    </w:p>
    <w:p w14:paraId="0265C886" w14:textId="77777777" w:rsidR="00532E85" w:rsidRPr="00604CC9" w:rsidRDefault="00532E85" w:rsidP="00604CC9">
      <w:pPr>
        <w:pStyle w:val="Item"/>
      </w:pPr>
      <w:r w:rsidRPr="00604CC9">
        <w:t>Omit “$0.10/L”.</w:t>
      </w:r>
    </w:p>
    <w:p w14:paraId="15CA6418" w14:textId="77777777" w:rsidR="00532E85" w:rsidRPr="00604CC9" w:rsidRDefault="003C2E16" w:rsidP="00604CC9">
      <w:pPr>
        <w:pStyle w:val="ItemHead"/>
      </w:pPr>
      <w:r w:rsidRPr="00604CC9">
        <w:t>67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12)</w:t>
      </w:r>
    </w:p>
    <w:p w14:paraId="106EB508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0223A2E4" w14:textId="77777777" w:rsidR="00532E85" w:rsidRPr="00604CC9" w:rsidRDefault="003C2E16" w:rsidP="00604CC9">
      <w:pPr>
        <w:pStyle w:val="ItemHead"/>
      </w:pPr>
      <w:r w:rsidRPr="00604CC9">
        <w:t>68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13)</w:t>
      </w:r>
    </w:p>
    <w:p w14:paraId="2C2CB409" w14:textId="77777777" w:rsidR="00532E85" w:rsidRPr="00604CC9" w:rsidRDefault="00532E85" w:rsidP="00604CC9">
      <w:pPr>
        <w:pStyle w:val="Item"/>
      </w:pPr>
      <w:r w:rsidRPr="00604CC9">
        <w:t>Omit “$0.209/kg”.</w:t>
      </w:r>
    </w:p>
    <w:p w14:paraId="4A038162" w14:textId="77777777" w:rsidR="00532E85" w:rsidRPr="00604CC9" w:rsidRDefault="003C2E16" w:rsidP="00604CC9">
      <w:pPr>
        <w:pStyle w:val="ItemHead"/>
      </w:pPr>
      <w:r w:rsidRPr="00604CC9">
        <w:t>69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 1</w:t>
      </w:r>
      <w:r w:rsidR="00532E85" w:rsidRPr="00604CC9">
        <w:t>13)</w:t>
      </w:r>
    </w:p>
    <w:p w14:paraId="03875B5B" w14:textId="77777777" w:rsidR="00532E85" w:rsidRPr="00604CC9" w:rsidRDefault="00532E85" w:rsidP="00604CC9">
      <w:pPr>
        <w:pStyle w:val="Item"/>
      </w:pPr>
      <w:r w:rsidRPr="00604CC9">
        <w:t>Omit “From 1 July 2015:”.</w:t>
      </w:r>
    </w:p>
    <w:p w14:paraId="7AC861DC" w14:textId="77777777" w:rsidR="00532E85" w:rsidRPr="00604CC9" w:rsidRDefault="003C2E16" w:rsidP="00604CC9">
      <w:pPr>
        <w:pStyle w:val="ItemHead"/>
      </w:pPr>
      <w:r w:rsidRPr="00604CC9">
        <w:t>70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items 1</w:t>
      </w:r>
      <w:r w:rsidR="00532E85" w:rsidRPr="00604CC9">
        <w:t>36 to 217)</w:t>
      </w:r>
    </w:p>
    <w:p w14:paraId="745F30C7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02DF25E0" w14:textId="77777777" w:rsidR="00532E85" w:rsidRPr="00604CC9" w:rsidRDefault="003C2E16" w:rsidP="00604CC9">
      <w:pPr>
        <w:pStyle w:val="ItemHead"/>
      </w:pPr>
      <w:r w:rsidRPr="00604CC9">
        <w:t>71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items 2</w:t>
      </w:r>
      <w:r w:rsidR="00532E85" w:rsidRPr="00604CC9">
        <w:t>38 to 357)</w:t>
      </w:r>
    </w:p>
    <w:p w14:paraId="45BCC549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75E9633A" w14:textId="77777777" w:rsidR="00532E85" w:rsidRPr="00604CC9" w:rsidRDefault="003C2E16" w:rsidP="00604CC9">
      <w:pPr>
        <w:pStyle w:val="ItemHead"/>
      </w:pPr>
      <w:r w:rsidRPr="00604CC9">
        <w:t>72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items 3</w:t>
      </w:r>
      <w:r w:rsidR="00532E85" w:rsidRPr="00604CC9">
        <w:t>72 to 455)</w:t>
      </w:r>
    </w:p>
    <w:p w14:paraId="15909385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66781B13" w14:textId="77777777" w:rsidR="00532E85" w:rsidRPr="00604CC9" w:rsidRDefault="003C2E16" w:rsidP="00604CC9">
      <w:pPr>
        <w:pStyle w:val="ItemHead"/>
      </w:pPr>
      <w:r w:rsidRPr="00604CC9">
        <w:t>73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items 4</w:t>
      </w:r>
      <w:r w:rsidR="00532E85" w:rsidRPr="00604CC9">
        <w:t>76 to 703)</w:t>
      </w:r>
    </w:p>
    <w:p w14:paraId="28B385DD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0A234096" w14:textId="77777777" w:rsidR="00532E85" w:rsidRPr="00604CC9" w:rsidRDefault="003C2E16" w:rsidP="00604CC9">
      <w:pPr>
        <w:pStyle w:val="ItemHead"/>
      </w:pPr>
      <w:r w:rsidRPr="00604CC9">
        <w:t>74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1 (table </w:t>
      </w:r>
      <w:r w:rsidR="00262F3D" w:rsidRPr="00604CC9">
        <w:t>items 7</w:t>
      </w:r>
      <w:r w:rsidR="00532E85" w:rsidRPr="00604CC9">
        <w:t>05 to 718)</w:t>
      </w:r>
    </w:p>
    <w:p w14:paraId="0571710B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6C0A6F76" w14:textId="77777777" w:rsidR="00532E85" w:rsidRPr="00604CC9" w:rsidRDefault="003C2E16" w:rsidP="00604CC9">
      <w:pPr>
        <w:pStyle w:val="ItemHead"/>
      </w:pPr>
      <w:r w:rsidRPr="00604CC9">
        <w:t>75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2 (table </w:t>
      </w:r>
      <w:r w:rsidR="00262F3D" w:rsidRPr="00604CC9">
        <w:t>items 1</w:t>
      </w:r>
      <w:r w:rsidR="00532E85" w:rsidRPr="00604CC9">
        <w:t xml:space="preserve"> to 6)</w:t>
      </w:r>
    </w:p>
    <w:p w14:paraId="6762F21C" w14:textId="77777777" w:rsidR="00532E85" w:rsidRPr="00604CC9" w:rsidRDefault="00532E85" w:rsidP="00604CC9">
      <w:pPr>
        <w:pStyle w:val="Item"/>
      </w:pPr>
      <w:r w:rsidRPr="00604CC9">
        <w:t>Repeal the items.</w:t>
      </w:r>
    </w:p>
    <w:p w14:paraId="59EEF9E8" w14:textId="77777777" w:rsidR="00532E85" w:rsidRPr="00604CC9" w:rsidRDefault="003C2E16" w:rsidP="00604CC9">
      <w:pPr>
        <w:pStyle w:val="ItemHead"/>
      </w:pPr>
      <w:r w:rsidRPr="00604CC9">
        <w:t>76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2 (table </w:t>
      </w:r>
      <w:r w:rsidR="00262F3D" w:rsidRPr="00604CC9">
        <w:t>item 1</w:t>
      </w:r>
      <w:r w:rsidR="00532E85" w:rsidRPr="00604CC9">
        <w:t>26)</w:t>
      </w:r>
    </w:p>
    <w:p w14:paraId="3FF61C09" w14:textId="77777777" w:rsidR="00532E85" w:rsidRPr="00604CC9" w:rsidRDefault="00532E85" w:rsidP="00604CC9">
      <w:pPr>
        <w:pStyle w:val="Item"/>
      </w:pPr>
      <w:r w:rsidRPr="00604CC9">
        <w:t>Repeal the item.</w:t>
      </w:r>
    </w:p>
    <w:p w14:paraId="5F9E6E8B" w14:textId="77777777" w:rsidR="00532E85" w:rsidRPr="00604CC9" w:rsidRDefault="003C2E16" w:rsidP="00604CC9">
      <w:pPr>
        <w:pStyle w:val="ItemHead"/>
      </w:pPr>
      <w:r w:rsidRPr="00604CC9">
        <w:t>77</w:t>
      </w:r>
      <w:r w:rsidR="00532E85" w:rsidRPr="00604CC9">
        <w:t xml:space="preserve">  </w:t>
      </w:r>
      <w:r w:rsidR="00D929A5" w:rsidRPr="00604CC9">
        <w:t>Schedule 1</w:t>
      </w:r>
      <w:r w:rsidR="00532E85" w:rsidRPr="00604CC9">
        <w:t xml:space="preserve">2 (table </w:t>
      </w:r>
      <w:r w:rsidR="00262F3D" w:rsidRPr="00604CC9">
        <w:t>items 1</w:t>
      </w:r>
      <w:r w:rsidR="00532E85" w:rsidRPr="00604CC9">
        <w:t>44 to 657)</w:t>
      </w:r>
    </w:p>
    <w:p w14:paraId="5C03AC34" w14:textId="77777777" w:rsidR="00532E85" w:rsidRDefault="00532E85" w:rsidP="00604CC9">
      <w:pPr>
        <w:pStyle w:val="Item"/>
      </w:pPr>
      <w:r w:rsidRPr="00604CC9">
        <w:t>Repeal the items.</w:t>
      </w:r>
    </w:p>
    <w:p w14:paraId="13F21B56" w14:textId="77777777" w:rsidR="00191CC2" w:rsidRPr="00F02B56" w:rsidRDefault="00191CC2" w:rsidP="00191CC2"/>
    <w:p w14:paraId="4A0F80EB" w14:textId="77777777" w:rsidR="00191CC2" w:rsidRDefault="00191CC2" w:rsidP="00191CC2">
      <w:pPr>
        <w:pStyle w:val="AssentBk"/>
        <w:keepNext/>
      </w:pPr>
    </w:p>
    <w:p w14:paraId="4FD18692" w14:textId="77777777" w:rsidR="00191CC2" w:rsidRDefault="00191CC2" w:rsidP="00191CC2">
      <w:pPr>
        <w:pStyle w:val="AssentBk"/>
        <w:keepNext/>
      </w:pPr>
    </w:p>
    <w:p w14:paraId="342468A8" w14:textId="77777777" w:rsidR="00191CC2" w:rsidRDefault="00191CC2" w:rsidP="00191CC2">
      <w:pPr>
        <w:pStyle w:val="2ndRd"/>
        <w:keepNext/>
        <w:pBdr>
          <w:top w:val="single" w:sz="2" w:space="1" w:color="auto"/>
        </w:pBdr>
      </w:pPr>
    </w:p>
    <w:p w14:paraId="73CFB1CC" w14:textId="77777777" w:rsidR="00191CC2" w:rsidRDefault="00191CC2" w:rsidP="00191CC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1E4C4DE" w14:textId="77777777" w:rsidR="00191CC2" w:rsidRDefault="00191CC2" w:rsidP="00191CC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2020</w:t>
      </w:r>
    </w:p>
    <w:p w14:paraId="40611F89" w14:textId="77777777" w:rsidR="00191CC2" w:rsidRDefault="00191CC2" w:rsidP="00191CC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February 2021</w:t>
      </w:r>
      <w:r>
        <w:t>]</w:t>
      </w:r>
    </w:p>
    <w:p w14:paraId="6903AF06" w14:textId="77777777" w:rsidR="0022158F" w:rsidRDefault="0022158F" w:rsidP="0022158F">
      <w:pPr>
        <w:framePr w:hSpace="180" w:wrap="around" w:vAnchor="text" w:hAnchor="page" w:x="2386" w:y="2113"/>
      </w:pPr>
      <w:r>
        <w:t>(158/20)</w:t>
      </w:r>
    </w:p>
    <w:p w14:paraId="4D5E6B5F" w14:textId="77777777" w:rsidR="004E32EF" w:rsidRPr="004E32EF" w:rsidRDefault="004E32EF" w:rsidP="00097971"/>
    <w:p w14:paraId="3A49EE75" w14:textId="77777777" w:rsidR="0022158F" w:rsidRDefault="0022158F" w:rsidP="00097971">
      <w:pPr>
        <w:pBdr>
          <w:bottom w:val="single" w:sz="4" w:space="1" w:color="auto"/>
        </w:pBdr>
        <w:sectPr w:rsidR="0022158F" w:rsidSect="0009797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14DDB44" w14:textId="77777777" w:rsidR="00191CC2" w:rsidRDefault="00191CC2" w:rsidP="0022158F"/>
    <w:sectPr w:rsidR="00191CC2" w:rsidSect="0022158F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E196" w14:textId="77777777" w:rsidR="009D4C09" w:rsidRDefault="009D4C09" w:rsidP="0048364F">
      <w:pPr>
        <w:spacing w:line="240" w:lineRule="auto"/>
      </w:pPr>
      <w:r>
        <w:separator/>
      </w:r>
    </w:p>
  </w:endnote>
  <w:endnote w:type="continuationSeparator" w:id="0">
    <w:p w14:paraId="1F7D530A" w14:textId="77777777" w:rsidR="009D4C09" w:rsidRDefault="009D4C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96B0" w14:textId="77777777" w:rsidR="009D4C09" w:rsidRPr="005F1388" w:rsidRDefault="009D4C09" w:rsidP="00604C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6668" w14:textId="77777777" w:rsidR="009D4C09" w:rsidRDefault="009D4C09" w:rsidP="009D4C09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B919A8B" w14:textId="77777777" w:rsidR="009D4C09" w:rsidRDefault="009D4C09" w:rsidP="009D4C09"/>
  <w:p w14:paraId="5BE29C96" w14:textId="77777777" w:rsidR="009D4C09" w:rsidRDefault="009D4C09" w:rsidP="00604CC9">
    <w:pPr>
      <w:pStyle w:val="Footer"/>
      <w:spacing w:before="120"/>
    </w:pPr>
  </w:p>
  <w:p w14:paraId="1F9E1B62" w14:textId="77777777" w:rsidR="009D4C09" w:rsidRPr="005F1388" w:rsidRDefault="009D4C0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7B4E" w14:textId="77777777" w:rsidR="009D4C09" w:rsidRPr="00ED79B6" w:rsidRDefault="009D4C09" w:rsidP="00604C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9FEC" w14:textId="77777777" w:rsidR="009D4C09" w:rsidRDefault="009D4C09" w:rsidP="00604C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D4C09" w14:paraId="36DC958F" w14:textId="77777777" w:rsidTr="009113BA">
      <w:tc>
        <w:tcPr>
          <w:tcW w:w="646" w:type="dxa"/>
        </w:tcPr>
        <w:p w14:paraId="78DDCA2B" w14:textId="77777777" w:rsidR="009D4C09" w:rsidRDefault="009D4C09" w:rsidP="009113B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A1BE9E" w14:textId="34E59E1C" w:rsidR="009D4C09" w:rsidRDefault="009D4C09" w:rsidP="009113B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Customs Tariff Amendment (Incorporation of Proposals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B1A9BED" w14:textId="688B2809" w:rsidR="009D4C09" w:rsidRDefault="009D4C09" w:rsidP="009113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10,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626D35" w14:textId="77777777" w:rsidR="009D4C09" w:rsidRDefault="009D4C0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5D07" w14:textId="77777777" w:rsidR="009D4C09" w:rsidRDefault="009D4C09" w:rsidP="00604C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D4C09" w14:paraId="604DAD29" w14:textId="77777777" w:rsidTr="009113BA">
      <w:tc>
        <w:tcPr>
          <w:tcW w:w="1247" w:type="dxa"/>
        </w:tcPr>
        <w:p w14:paraId="360B9382" w14:textId="36E61834" w:rsidR="009D4C09" w:rsidRDefault="009D4C09" w:rsidP="009113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10,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26C461" w14:textId="63924CEA" w:rsidR="009D4C09" w:rsidRDefault="009D4C09" w:rsidP="009113B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Customs Tariff Amendment (Incorporation of Proposals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B48BB7D" w14:textId="77777777" w:rsidR="009D4C09" w:rsidRDefault="009D4C09" w:rsidP="009113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F8D663" w14:textId="77777777" w:rsidR="009D4C09" w:rsidRPr="00ED79B6" w:rsidRDefault="009D4C09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C6B5" w14:textId="77777777" w:rsidR="009D4C09" w:rsidRPr="00A961C4" w:rsidRDefault="009D4C09" w:rsidP="00604CC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D4C09" w14:paraId="7464AC6C" w14:textId="77777777" w:rsidTr="00832212">
      <w:tc>
        <w:tcPr>
          <w:tcW w:w="646" w:type="dxa"/>
        </w:tcPr>
        <w:p w14:paraId="5D87CE0A" w14:textId="77777777" w:rsidR="009D4C09" w:rsidRDefault="009D4C09" w:rsidP="009113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DF84FFE" w14:textId="6E3A37F5" w:rsidR="009D4C09" w:rsidRDefault="009D4C09" w:rsidP="009113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Customs Tariff Amendment (Incorporation of Proposals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A218E80" w14:textId="6879BCCB" w:rsidR="009D4C09" w:rsidRDefault="009D4C09" w:rsidP="009113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10,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37A90A" w14:textId="77777777" w:rsidR="009D4C09" w:rsidRPr="00A961C4" w:rsidRDefault="009D4C09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7B2F" w14:textId="77777777" w:rsidR="009D4C09" w:rsidRPr="00A961C4" w:rsidRDefault="009D4C09" w:rsidP="00604C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D4C09" w14:paraId="708C0438" w14:textId="77777777" w:rsidTr="00832212">
      <w:tc>
        <w:tcPr>
          <w:tcW w:w="1247" w:type="dxa"/>
        </w:tcPr>
        <w:p w14:paraId="103F7831" w14:textId="172B5799" w:rsidR="009D4C09" w:rsidRDefault="009D4C09" w:rsidP="009113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10,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F2B987" w14:textId="5D2E1A55" w:rsidR="009D4C09" w:rsidRDefault="009D4C09" w:rsidP="009113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Customs Tariff Amendment (Incorporation of Proposals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3C4660F" w14:textId="77777777" w:rsidR="009D4C09" w:rsidRDefault="009D4C09" w:rsidP="009113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68AD014" w14:textId="77777777" w:rsidR="009D4C09" w:rsidRPr="00055B5C" w:rsidRDefault="009D4C09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FCB5" w14:textId="77777777" w:rsidR="009D4C09" w:rsidRPr="00A961C4" w:rsidRDefault="009D4C09" w:rsidP="00604C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9D4C09" w14:paraId="03E2BEE8" w14:textId="77777777" w:rsidTr="00832212">
      <w:tc>
        <w:tcPr>
          <w:tcW w:w="1247" w:type="dxa"/>
        </w:tcPr>
        <w:p w14:paraId="763364EC" w14:textId="58A6464F" w:rsidR="009D4C09" w:rsidRDefault="009D4C09" w:rsidP="009113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10,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CB3A247" w14:textId="327D30EE" w:rsidR="009D4C09" w:rsidRDefault="009D4C09" w:rsidP="009113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Customs Tariff Amendment (Incorporation of Proposals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265510B" w14:textId="77777777" w:rsidR="009D4C09" w:rsidRDefault="009D4C09" w:rsidP="009113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C28EB2" w14:textId="77777777" w:rsidR="009D4C09" w:rsidRPr="00A961C4" w:rsidRDefault="009D4C09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47187" w14:textId="77777777" w:rsidR="009D4C09" w:rsidRDefault="009D4C09" w:rsidP="0048364F">
      <w:pPr>
        <w:spacing w:line="240" w:lineRule="auto"/>
      </w:pPr>
      <w:r>
        <w:separator/>
      </w:r>
    </w:p>
  </w:footnote>
  <w:footnote w:type="continuationSeparator" w:id="0">
    <w:p w14:paraId="79BA8D9E" w14:textId="77777777" w:rsidR="009D4C09" w:rsidRDefault="009D4C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CBA1" w14:textId="77777777" w:rsidR="009D4C09" w:rsidRPr="005F1388" w:rsidRDefault="009D4C0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1BCF" w14:textId="77777777" w:rsidR="009D4C09" w:rsidRPr="00A961C4" w:rsidRDefault="009D4C09" w:rsidP="0048364F">
    <w:pPr>
      <w:rPr>
        <w:b/>
        <w:sz w:val="20"/>
      </w:rPr>
    </w:pPr>
  </w:p>
  <w:p w14:paraId="01269970" w14:textId="77777777" w:rsidR="009D4C09" w:rsidRPr="00A961C4" w:rsidRDefault="009D4C09" w:rsidP="0048364F">
    <w:pPr>
      <w:rPr>
        <w:b/>
        <w:sz w:val="20"/>
      </w:rPr>
    </w:pPr>
  </w:p>
  <w:p w14:paraId="40D90ADF" w14:textId="77777777" w:rsidR="009D4C09" w:rsidRPr="00A961C4" w:rsidRDefault="009D4C0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557F" w14:textId="77777777" w:rsidR="009D4C09" w:rsidRPr="00A961C4" w:rsidRDefault="009D4C09" w:rsidP="0048364F">
    <w:pPr>
      <w:jc w:val="right"/>
      <w:rPr>
        <w:sz w:val="20"/>
      </w:rPr>
    </w:pPr>
  </w:p>
  <w:p w14:paraId="3A1EDC9A" w14:textId="77777777" w:rsidR="009D4C09" w:rsidRPr="00A961C4" w:rsidRDefault="009D4C09" w:rsidP="0048364F">
    <w:pPr>
      <w:jc w:val="right"/>
      <w:rPr>
        <w:b/>
        <w:sz w:val="20"/>
      </w:rPr>
    </w:pPr>
  </w:p>
  <w:p w14:paraId="4D01D656" w14:textId="77777777" w:rsidR="009D4C09" w:rsidRPr="00A961C4" w:rsidRDefault="009D4C0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E9B8" w14:textId="77777777" w:rsidR="009D4C09" w:rsidRPr="00A961C4" w:rsidRDefault="009D4C09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9E2A" w14:textId="77777777" w:rsidR="009D4C09" w:rsidRPr="005F1388" w:rsidRDefault="009D4C0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E324" w14:textId="77777777" w:rsidR="009D4C09" w:rsidRPr="005F1388" w:rsidRDefault="009D4C0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184F" w14:textId="77777777" w:rsidR="009D4C09" w:rsidRPr="00ED79B6" w:rsidRDefault="009D4C0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BEE5" w14:textId="77777777" w:rsidR="009D4C09" w:rsidRPr="00ED79B6" w:rsidRDefault="009D4C0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4974" w14:textId="77777777" w:rsidR="009D4C09" w:rsidRPr="00ED79B6" w:rsidRDefault="009D4C0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EE8B" w14:textId="6CF0EB82" w:rsidR="009D4C09" w:rsidRPr="00A961C4" w:rsidRDefault="009D4C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87F41">
      <w:rPr>
        <w:b/>
        <w:sz w:val="20"/>
      </w:rPr>
      <w:fldChar w:fldCharType="separate"/>
    </w:r>
    <w:r w:rsidR="00C87F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87F41">
      <w:rPr>
        <w:sz w:val="20"/>
      </w:rPr>
      <w:fldChar w:fldCharType="separate"/>
    </w:r>
    <w:r w:rsidR="00C87F41">
      <w:rPr>
        <w:noProof/>
        <w:sz w:val="20"/>
      </w:rPr>
      <w:t>Amendments</w:t>
    </w:r>
    <w:r>
      <w:rPr>
        <w:sz w:val="20"/>
      </w:rPr>
      <w:fldChar w:fldCharType="end"/>
    </w:r>
  </w:p>
  <w:p w14:paraId="0EC109BD" w14:textId="4A678F9A" w:rsidR="009D4C09" w:rsidRPr="00A961C4" w:rsidRDefault="009D4C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87F41">
      <w:rPr>
        <w:b/>
        <w:sz w:val="20"/>
      </w:rPr>
      <w:fldChar w:fldCharType="separate"/>
    </w:r>
    <w:r w:rsidR="00C87F41">
      <w:rPr>
        <w:b/>
        <w:noProof/>
        <w:sz w:val="20"/>
      </w:rPr>
      <w:t>Part 8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87F41">
      <w:rPr>
        <w:sz w:val="20"/>
      </w:rPr>
      <w:fldChar w:fldCharType="separate"/>
    </w:r>
    <w:r w:rsidR="00C87F41">
      <w:rPr>
        <w:noProof/>
        <w:sz w:val="20"/>
      </w:rPr>
      <w:t>Technical amendments</w:t>
    </w:r>
    <w:r>
      <w:rPr>
        <w:sz w:val="20"/>
      </w:rPr>
      <w:fldChar w:fldCharType="end"/>
    </w:r>
  </w:p>
  <w:p w14:paraId="1E9F56D4" w14:textId="77777777" w:rsidR="009D4C09" w:rsidRPr="00A961C4" w:rsidRDefault="009D4C0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E94C" w14:textId="2E1C98F1" w:rsidR="009D4C09" w:rsidRPr="00A961C4" w:rsidRDefault="009D4C0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7F4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7F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656EAEA" w14:textId="2F27E5CA" w:rsidR="009D4C09" w:rsidRPr="00A961C4" w:rsidRDefault="009D4C0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87F41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87F41">
      <w:rPr>
        <w:b/>
        <w:noProof/>
        <w:sz w:val="20"/>
      </w:rPr>
      <w:t>Part 8</w:t>
    </w:r>
    <w:r w:rsidRPr="00A961C4">
      <w:rPr>
        <w:b/>
        <w:sz w:val="20"/>
      </w:rPr>
      <w:fldChar w:fldCharType="end"/>
    </w:r>
  </w:p>
  <w:p w14:paraId="7F7EF8D5" w14:textId="77777777" w:rsidR="009D4C09" w:rsidRPr="00A961C4" w:rsidRDefault="009D4C0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F0E4" w14:textId="77777777" w:rsidR="009D4C09" w:rsidRPr="00A961C4" w:rsidRDefault="009D4C0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4F35"/>
    <w:multiLevelType w:val="hybridMultilevel"/>
    <w:tmpl w:val="D84C61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8A2775"/>
    <w:multiLevelType w:val="hybridMultilevel"/>
    <w:tmpl w:val="86DAD188"/>
    <w:lvl w:ilvl="0" w:tplc="0C09000F">
      <w:start w:val="2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08"/>
    <w:rsid w:val="000113BC"/>
    <w:rsid w:val="000136AF"/>
    <w:rsid w:val="00025A40"/>
    <w:rsid w:val="00035ED6"/>
    <w:rsid w:val="000417C9"/>
    <w:rsid w:val="00055B5C"/>
    <w:rsid w:val="00056391"/>
    <w:rsid w:val="00056A8A"/>
    <w:rsid w:val="00060FF9"/>
    <w:rsid w:val="000614BF"/>
    <w:rsid w:val="00081863"/>
    <w:rsid w:val="00082646"/>
    <w:rsid w:val="000866AD"/>
    <w:rsid w:val="00097971"/>
    <w:rsid w:val="000B1FD2"/>
    <w:rsid w:val="000C192C"/>
    <w:rsid w:val="000D05EF"/>
    <w:rsid w:val="000D1DAC"/>
    <w:rsid w:val="000E0AC4"/>
    <w:rsid w:val="000E6931"/>
    <w:rsid w:val="000F21C1"/>
    <w:rsid w:val="00101D90"/>
    <w:rsid w:val="0010745C"/>
    <w:rsid w:val="001113A1"/>
    <w:rsid w:val="00113BD1"/>
    <w:rsid w:val="00122206"/>
    <w:rsid w:val="0015646E"/>
    <w:rsid w:val="00163480"/>
    <w:rsid w:val="001643C9"/>
    <w:rsid w:val="00165568"/>
    <w:rsid w:val="00166C2F"/>
    <w:rsid w:val="001716C9"/>
    <w:rsid w:val="00173363"/>
    <w:rsid w:val="00173B94"/>
    <w:rsid w:val="001854B4"/>
    <w:rsid w:val="00191CC2"/>
    <w:rsid w:val="001939E1"/>
    <w:rsid w:val="00195382"/>
    <w:rsid w:val="001A3658"/>
    <w:rsid w:val="001A759A"/>
    <w:rsid w:val="001B633C"/>
    <w:rsid w:val="001B7A5D"/>
    <w:rsid w:val="001C2418"/>
    <w:rsid w:val="001C3C8C"/>
    <w:rsid w:val="001C69C4"/>
    <w:rsid w:val="001E3590"/>
    <w:rsid w:val="001E7407"/>
    <w:rsid w:val="001F2527"/>
    <w:rsid w:val="00201D27"/>
    <w:rsid w:val="00202618"/>
    <w:rsid w:val="00204040"/>
    <w:rsid w:val="00210F65"/>
    <w:rsid w:val="0022158F"/>
    <w:rsid w:val="00222D92"/>
    <w:rsid w:val="00240749"/>
    <w:rsid w:val="00262F3D"/>
    <w:rsid w:val="00263820"/>
    <w:rsid w:val="00270D22"/>
    <w:rsid w:val="00275197"/>
    <w:rsid w:val="00275E06"/>
    <w:rsid w:val="00287F4F"/>
    <w:rsid w:val="00293B89"/>
    <w:rsid w:val="00297ECB"/>
    <w:rsid w:val="002B5A30"/>
    <w:rsid w:val="002B7E3A"/>
    <w:rsid w:val="002D043A"/>
    <w:rsid w:val="002D395A"/>
    <w:rsid w:val="002F504F"/>
    <w:rsid w:val="002F7037"/>
    <w:rsid w:val="00337708"/>
    <w:rsid w:val="003415D3"/>
    <w:rsid w:val="00350417"/>
    <w:rsid w:val="00352B0F"/>
    <w:rsid w:val="00357916"/>
    <w:rsid w:val="00370537"/>
    <w:rsid w:val="00373874"/>
    <w:rsid w:val="00375C6C"/>
    <w:rsid w:val="003A7B3C"/>
    <w:rsid w:val="003B4E3D"/>
    <w:rsid w:val="003C2E16"/>
    <w:rsid w:val="003C5F2B"/>
    <w:rsid w:val="003D0BFE"/>
    <w:rsid w:val="003D5700"/>
    <w:rsid w:val="003E25C5"/>
    <w:rsid w:val="00405579"/>
    <w:rsid w:val="00410B8E"/>
    <w:rsid w:val="004116CD"/>
    <w:rsid w:val="004158B8"/>
    <w:rsid w:val="00421FC1"/>
    <w:rsid w:val="004229C7"/>
    <w:rsid w:val="00424CA9"/>
    <w:rsid w:val="00436785"/>
    <w:rsid w:val="00436A06"/>
    <w:rsid w:val="00436BD5"/>
    <w:rsid w:val="00437E4B"/>
    <w:rsid w:val="0044291A"/>
    <w:rsid w:val="004464DB"/>
    <w:rsid w:val="00463AD7"/>
    <w:rsid w:val="0048196B"/>
    <w:rsid w:val="0048364F"/>
    <w:rsid w:val="00486D05"/>
    <w:rsid w:val="00496F97"/>
    <w:rsid w:val="004A48B1"/>
    <w:rsid w:val="004A53BC"/>
    <w:rsid w:val="004C7C8C"/>
    <w:rsid w:val="004C7EF6"/>
    <w:rsid w:val="004D0380"/>
    <w:rsid w:val="004E0970"/>
    <w:rsid w:val="004E2A4A"/>
    <w:rsid w:val="004E32EF"/>
    <w:rsid w:val="004F0D23"/>
    <w:rsid w:val="004F1FAC"/>
    <w:rsid w:val="00516B8D"/>
    <w:rsid w:val="00525736"/>
    <w:rsid w:val="00532E85"/>
    <w:rsid w:val="00537FBC"/>
    <w:rsid w:val="00543469"/>
    <w:rsid w:val="00544021"/>
    <w:rsid w:val="005514E7"/>
    <w:rsid w:val="00551B54"/>
    <w:rsid w:val="00554D07"/>
    <w:rsid w:val="00584811"/>
    <w:rsid w:val="00593AA6"/>
    <w:rsid w:val="00594161"/>
    <w:rsid w:val="00594749"/>
    <w:rsid w:val="005A0D92"/>
    <w:rsid w:val="005B0866"/>
    <w:rsid w:val="005B29F8"/>
    <w:rsid w:val="005B4067"/>
    <w:rsid w:val="005C3F41"/>
    <w:rsid w:val="005D6832"/>
    <w:rsid w:val="005E152A"/>
    <w:rsid w:val="005F4B9B"/>
    <w:rsid w:val="00600219"/>
    <w:rsid w:val="00604CC9"/>
    <w:rsid w:val="0061348F"/>
    <w:rsid w:val="006348F1"/>
    <w:rsid w:val="00640038"/>
    <w:rsid w:val="00641DE5"/>
    <w:rsid w:val="006523FA"/>
    <w:rsid w:val="00656F0C"/>
    <w:rsid w:val="00677CC2"/>
    <w:rsid w:val="00680404"/>
    <w:rsid w:val="00681F92"/>
    <w:rsid w:val="00683D61"/>
    <w:rsid w:val="006842C2"/>
    <w:rsid w:val="00685F42"/>
    <w:rsid w:val="0069207B"/>
    <w:rsid w:val="006A3F6F"/>
    <w:rsid w:val="006A4B23"/>
    <w:rsid w:val="006C2874"/>
    <w:rsid w:val="006C3DF1"/>
    <w:rsid w:val="006C7F8C"/>
    <w:rsid w:val="006D380D"/>
    <w:rsid w:val="006E0135"/>
    <w:rsid w:val="006E303A"/>
    <w:rsid w:val="006F71E5"/>
    <w:rsid w:val="006F7E19"/>
    <w:rsid w:val="00700B2C"/>
    <w:rsid w:val="00712D8D"/>
    <w:rsid w:val="00713084"/>
    <w:rsid w:val="00714098"/>
    <w:rsid w:val="00714B26"/>
    <w:rsid w:val="007172BA"/>
    <w:rsid w:val="007279EE"/>
    <w:rsid w:val="00731E00"/>
    <w:rsid w:val="00742C7E"/>
    <w:rsid w:val="007440B7"/>
    <w:rsid w:val="007634AD"/>
    <w:rsid w:val="007715C9"/>
    <w:rsid w:val="00774EDD"/>
    <w:rsid w:val="007757EC"/>
    <w:rsid w:val="00794EE4"/>
    <w:rsid w:val="007A7DFD"/>
    <w:rsid w:val="007B0BE4"/>
    <w:rsid w:val="007B30AA"/>
    <w:rsid w:val="007E7D4A"/>
    <w:rsid w:val="007F00E3"/>
    <w:rsid w:val="007F1B8B"/>
    <w:rsid w:val="008006CC"/>
    <w:rsid w:val="00807F18"/>
    <w:rsid w:val="008171DF"/>
    <w:rsid w:val="00831E8D"/>
    <w:rsid w:val="00832212"/>
    <w:rsid w:val="00837C53"/>
    <w:rsid w:val="00856A31"/>
    <w:rsid w:val="00857D6B"/>
    <w:rsid w:val="008754D0"/>
    <w:rsid w:val="00877D48"/>
    <w:rsid w:val="00881195"/>
    <w:rsid w:val="00883781"/>
    <w:rsid w:val="00885570"/>
    <w:rsid w:val="00893958"/>
    <w:rsid w:val="008A0C33"/>
    <w:rsid w:val="008A2E77"/>
    <w:rsid w:val="008C6F6F"/>
    <w:rsid w:val="008D0EE0"/>
    <w:rsid w:val="008D3E94"/>
    <w:rsid w:val="008E0615"/>
    <w:rsid w:val="008F0EE3"/>
    <w:rsid w:val="008F4F1C"/>
    <w:rsid w:val="008F77C4"/>
    <w:rsid w:val="00904F5A"/>
    <w:rsid w:val="009103F3"/>
    <w:rsid w:val="009113BA"/>
    <w:rsid w:val="0091150D"/>
    <w:rsid w:val="009150A2"/>
    <w:rsid w:val="00923A55"/>
    <w:rsid w:val="00932377"/>
    <w:rsid w:val="00945825"/>
    <w:rsid w:val="00962E09"/>
    <w:rsid w:val="00965BEA"/>
    <w:rsid w:val="00967042"/>
    <w:rsid w:val="0098255A"/>
    <w:rsid w:val="009834C0"/>
    <w:rsid w:val="009845BE"/>
    <w:rsid w:val="009969C9"/>
    <w:rsid w:val="0099786C"/>
    <w:rsid w:val="009A221B"/>
    <w:rsid w:val="009C4B36"/>
    <w:rsid w:val="009C6354"/>
    <w:rsid w:val="009D4C09"/>
    <w:rsid w:val="009F7BD0"/>
    <w:rsid w:val="00A03E0A"/>
    <w:rsid w:val="00A048FF"/>
    <w:rsid w:val="00A10775"/>
    <w:rsid w:val="00A231E2"/>
    <w:rsid w:val="00A236CA"/>
    <w:rsid w:val="00A36C48"/>
    <w:rsid w:val="00A378F6"/>
    <w:rsid w:val="00A41E0B"/>
    <w:rsid w:val="00A441AB"/>
    <w:rsid w:val="00A55631"/>
    <w:rsid w:val="00A64912"/>
    <w:rsid w:val="00A70A74"/>
    <w:rsid w:val="00AA3466"/>
    <w:rsid w:val="00AA3795"/>
    <w:rsid w:val="00AA7426"/>
    <w:rsid w:val="00AB263A"/>
    <w:rsid w:val="00AC1E75"/>
    <w:rsid w:val="00AD16B5"/>
    <w:rsid w:val="00AD5641"/>
    <w:rsid w:val="00AE1088"/>
    <w:rsid w:val="00AF1BA4"/>
    <w:rsid w:val="00B0062A"/>
    <w:rsid w:val="00B00D67"/>
    <w:rsid w:val="00B032D8"/>
    <w:rsid w:val="00B16180"/>
    <w:rsid w:val="00B24520"/>
    <w:rsid w:val="00B30C82"/>
    <w:rsid w:val="00B33B3C"/>
    <w:rsid w:val="00B34D7E"/>
    <w:rsid w:val="00B57072"/>
    <w:rsid w:val="00B62F7D"/>
    <w:rsid w:val="00B6382D"/>
    <w:rsid w:val="00BA5026"/>
    <w:rsid w:val="00BA68E2"/>
    <w:rsid w:val="00BB0C69"/>
    <w:rsid w:val="00BB40BF"/>
    <w:rsid w:val="00BB453C"/>
    <w:rsid w:val="00BC0CD1"/>
    <w:rsid w:val="00BE719A"/>
    <w:rsid w:val="00BE720A"/>
    <w:rsid w:val="00BF0461"/>
    <w:rsid w:val="00BF4944"/>
    <w:rsid w:val="00BF56D4"/>
    <w:rsid w:val="00C04409"/>
    <w:rsid w:val="00C04AFC"/>
    <w:rsid w:val="00C067E5"/>
    <w:rsid w:val="00C164CA"/>
    <w:rsid w:val="00C176CF"/>
    <w:rsid w:val="00C42BF8"/>
    <w:rsid w:val="00C460AE"/>
    <w:rsid w:val="00C50043"/>
    <w:rsid w:val="00C54E84"/>
    <w:rsid w:val="00C56071"/>
    <w:rsid w:val="00C64BF7"/>
    <w:rsid w:val="00C70F07"/>
    <w:rsid w:val="00C7573B"/>
    <w:rsid w:val="00C76CF3"/>
    <w:rsid w:val="00C869D0"/>
    <w:rsid w:val="00C87F41"/>
    <w:rsid w:val="00CE1E31"/>
    <w:rsid w:val="00CF0BB2"/>
    <w:rsid w:val="00D00EAA"/>
    <w:rsid w:val="00D04208"/>
    <w:rsid w:val="00D06FF5"/>
    <w:rsid w:val="00D13441"/>
    <w:rsid w:val="00D1567B"/>
    <w:rsid w:val="00D243A3"/>
    <w:rsid w:val="00D477C3"/>
    <w:rsid w:val="00D5086A"/>
    <w:rsid w:val="00D52EFE"/>
    <w:rsid w:val="00D63EF6"/>
    <w:rsid w:val="00D70DFB"/>
    <w:rsid w:val="00D71D00"/>
    <w:rsid w:val="00D73029"/>
    <w:rsid w:val="00D766DF"/>
    <w:rsid w:val="00D83A29"/>
    <w:rsid w:val="00D92493"/>
    <w:rsid w:val="00D929A5"/>
    <w:rsid w:val="00DB5ADC"/>
    <w:rsid w:val="00DB5D99"/>
    <w:rsid w:val="00DD2391"/>
    <w:rsid w:val="00DE2002"/>
    <w:rsid w:val="00DF7AE9"/>
    <w:rsid w:val="00E033FD"/>
    <w:rsid w:val="00E05704"/>
    <w:rsid w:val="00E24165"/>
    <w:rsid w:val="00E24D66"/>
    <w:rsid w:val="00E24DEB"/>
    <w:rsid w:val="00E30ED9"/>
    <w:rsid w:val="00E34C76"/>
    <w:rsid w:val="00E405CE"/>
    <w:rsid w:val="00E54292"/>
    <w:rsid w:val="00E74DC7"/>
    <w:rsid w:val="00E765C3"/>
    <w:rsid w:val="00E82409"/>
    <w:rsid w:val="00E87699"/>
    <w:rsid w:val="00E9205B"/>
    <w:rsid w:val="00E947C6"/>
    <w:rsid w:val="00EB7DD5"/>
    <w:rsid w:val="00ED1B28"/>
    <w:rsid w:val="00ED492F"/>
    <w:rsid w:val="00EE2C6D"/>
    <w:rsid w:val="00EE3E36"/>
    <w:rsid w:val="00EE71FD"/>
    <w:rsid w:val="00EF2E3A"/>
    <w:rsid w:val="00F047E2"/>
    <w:rsid w:val="00F078DC"/>
    <w:rsid w:val="00F13E86"/>
    <w:rsid w:val="00F17B00"/>
    <w:rsid w:val="00F33DA5"/>
    <w:rsid w:val="00F53E8D"/>
    <w:rsid w:val="00F60292"/>
    <w:rsid w:val="00F677A9"/>
    <w:rsid w:val="00F700EC"/>
    <w:rsid w:val="00F84CF5"/>
    <w:rsid w:val="00F92D35"/>
    <w:rsid w:val="00F97EBA"/>
    <w:rsid w:val="00FA18B6"/>
    <w:rsid w:val="00FA3A5D"/>
    <w:rsid w:val="00FA420B"/>
    <w:rsid w:val="00FA5426"/>
    <w:rsid w:val="00FB48DA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CCED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4C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A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A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A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A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A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A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A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4CC9"/>
  </w:style>
  <w:style w:type="paragraph" w:customStyle="1" w:styleId="OPCParaBase">
    <w:name w:val="OPCParaBase"/>
    <w:qFormat/>
    <w:rsid w:val="00604C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4C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4C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4C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4C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4C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4C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4C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4C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4C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4C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4CC9"/>
  </w:style>
  <w:style w:type="paragraph" w:customStyle="1" w:styleId="Blocks">
    <w:name w:val="Blocks"/>
    <w:aliases w:val="bb"/>
    <w:basedOn w:val="OPCParaBase"/>
    <w:qFormat/>
    <w:rsid w:val="00604C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4C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4CC9"/>
    <w:rPr>
      <w:i/>
    </w:rPr>
  </w:style>
  <w:style w:type="paragraph" w:customStyle="1" w:styleId="BoxList">
    <w:name w:val="BoxList"/>
    <w:aliases w:val="bl"/>
    <w:basedOn w:val="BoxText"/>
    <w:qFormat/>
    <w:rsid w:val="00604C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4C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4C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4CC9"/>
    <w:pPr>
      <w:ind w:left="1985" w:hanging="851"/>
    </w:pPr>
  </w:style>
  <w:style w:type="character" w:customStyle="1" w:styleId="CharAmPartNo">
    <w:name w:val="CharAmPartNo"/>
    <w:basedOn w:val="OPCCharBase"/>
    <w:qFormat/>
    <w:rsid w:val="00604CC9"/>
  </w:style>
  <w:style w:type="character" w:customStyle="1" w:styleId="CharAmPartText">
    <w:name w:val="CharAmPartText"/>
    <w:basedOn w:val="OPCCharBase"/>
    <w:qFormat/>
    <w:rsid w:val="00604CC9"/>
  </w:style>
  <w:style w:type="character" w:customStyle="1" w:styleId="CharAmSchNo">
    <w:name w:val="CharAmSchNo"/>
    <w:basedOn w:val="OPCCharBase"/>
    <w:qFormat/>
    <w:rsid w:val="00604CC9"/>
  </w:style>
  <w:style w:type="character" w:customStyle="1" w:styleId="CharAmSchText">
    <w:name w:val="CharAmSchText"/>
    <w:basedOn w:val="OPCCharBase"/>
    <w:qFormat/>
    <w:rsid w:val="00604CC9"/>
  </w:style>
  <w:style w:type="character" w:customStyle="1" w:styleId="CharBoldItalic">
    <w:name w:val="CharBoldItalic"/>
    <w:basedOn w:val="OPCCharBase"/>
    <w:uiPriority w:val="1"/>
    <w:qFormat/>
    <w:rsid w:val="00604C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4CC9"/>
  </w:style>
  <w:style w:type="character" w:customStyle="1" w:styleId="CharChapText">
    <w:name w:val="CharChapText"/>
    <w:basedOn w:val="OPCCharBase"/>
    <w:uiPriority w:val="1"/>
    <w:qFormat/>
    <w:rsid w:val="00604CC9"/>
  </w:style>
  <w:style w:type="character" w:customStyle="1" w:styleId="CharDivNo">
    <w:name w:val="CharDivNo"/>
    <w:basedOn w:val="OPCCharBase"/>
    <w:uiPriority w:val="1"/>
    <w:qFormat/>
    <w:rsid w:val="00604CC9"/>
  </w:style>
  <w:style w:type="character" w:customStyle="1" w:styleId="CharDivText">
    <w:name w:val="CharDivText"/>
    <w:basedOn w:val="OPCCharBase"/>
    <w:uiPriority w:val="1"/>
    <w:qFormat/>
    <w:rsid w:val="00604CC9"/>
  </w:style>
  <w:style w:type="character" w:customStyle="1" w:styleId="CharItalic">
    <w:name w:val="CharItalic"/>
    <w:basedOn w:val="OPCCharBase"/>
    <w:uiPriority w:val="1"/>
    <w:qFormat/>
    <w:rsid w:val="00604CC9"/>
    <w:rPr>
      <w:i/>
    </w:rPr>
  </w:style>
  <w:style w:type="character" w:customStyle="1" w:styleId="CharPartNo">
    <w:name w:val="CharPartNo"/>
    <w:basedOn w:val="OPCCharBase"/>
    <w:uiPriority w:val="1"/>
    <w:qFormat/>
    <w:rsid w:val="00604CC9"/>
  </w:style>
  <w:style w:type="character" w:customStyle="1" w:styleId="CharPartText">
    <w:name w:val="CharPartText"/>
    <w:basedOn w:val="OPCCharBase"/>
    <w:uiPriority w:val="1"/>
    <w:qFormat/>
    <w:rsid w:val="00604CC9"/>
  </w:style>
  <w:style w:type="character" w:customStyle="1" w:styleId="CharSectno">
    <w:name w:val="CharSectno"/>
    <w:basedOn w:val="OPCCharBase"/>
    <w:qFormat/>
    <w:rsid w:val="00604CC9"/>
  </w:style>
  <w:style w:type="character" w:customStyle="1" w:styleId="CharSubdNo">
    <w:name w:val="CharSubdNo"/>
    <w:basedOn w:val="OPCCharBase"/>
    <w:uiPriority w:val="1"/>
    <w:qFormat/>
    <w:rsid w:val="00604CC9"/>
  </w:style>
  <w:style w:type="character" w:customStyle="1" w:styleId="CharSubdText">
    <w:name w:val="CharSubdText"/>
    <w:basedOn w:val="OPCCharBase"/>
    <w:uiPriority w:val="1"/>
    <w:qFormat/>
    <w:rsid w:val="00604CC9"/>
  </w:style>
  <w:style w:type="paragraph" w:customStyle="1" w:styleId="CTA--">
    <w:name w:val="CTA --"/>
    <w:basedOn w:val="OPCParaBase"/>
    <w:next w:val="Normal"/>
    <w:link w:val="CTA--Char"/>
    <w:rsid w:val="00604C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link w:val="CTA-Char"/>
    <w:rsid w:val="00604C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link w:val="CTA---Char"/>
    <w:rsid w:val="00604C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4C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4C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4C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4C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4C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4C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4C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4C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4C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4C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4C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4C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4C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4C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4C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4C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4C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4C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4C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4C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4C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4C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4C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4C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4C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4C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4C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4C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4C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04C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4C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4C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4C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4C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4C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4C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4C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4C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4C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4C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4C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4C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4C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4C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4C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4C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4C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4C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04CC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04CC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04CC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4CC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4C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4C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04C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4C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4C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4C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4C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4C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4C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4C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4C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4C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4C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4CC9"/>
    <w:rPr>
      <w:sz w:val="16"/>
    </w:rPr>
  </w:style>
  <w:style w:type="table" w:customStyle="1" w:styleId="CFlag">
    <w:name w:val="CFlag"/>
    <w:basedOn w:val="TableNormal"/>
    <w:uiPriority w:val="99"/>
    <w:rsid w:val="00604C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04C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4C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04C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4C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04C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4C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04C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604C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04C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04C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4C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4C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4C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4C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4C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4C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4C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4C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04C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04CC9"/>
  </w:style>
  <w:style w:type="character" w:customStyle="1" w:styleId="CharSubPartNoCASA">
    <w:name w:val="CharSubPartNo(CASA)"/>
    <w:basedOn w:val="OPCCharBase"/>
    <w:uiPriority w:val="1"/>
    <w:rsid w:val="00604CC9"/>
  </w:style>
  <w:style w:type="paragraph" w:customStyle="1" w:styleId="ENoteTTIndentHeadingSub">
    <w:name w:val="ENoteTTIndentHeadingSub"/>
    <w:aliases w:val="enTTHis"/>
    <w:basedOn w:val="OPCParaBase"/>
    <w:rsid w:val="00604C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4C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4C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4C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0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04C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4C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4CC9"/>
    <w:rPr>
      <w:sz w:val="22"/>
    </w:rPr>
  </w:style>
  <w:style w:type="paragraph" w:customStyle="1" w:styleId="SOTextNote">
    <w:name w:val="SO TextNote"/>
    <w:aliases w:val="sont"/>
    <w:basedOn w:val="SOText"/>
    <w:qFormat/>
    <w:rsid w:val="00604C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4C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4CC9"/>
    <w:rPr>
      <w:sz w:val="22"/>
    </w:rPr>
  </w:style>
  <w:style w:type="paragraph" w:customStyle="1" w:styleId="FileName">
    <w:name w:val="FileName"/>
    <w:basedOn w:val="Normal"/>
    <w:rsid w:val="00604C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4C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4C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4C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4C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4C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4C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4C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4C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4CC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04CC9"/>
  </w:style>
  <w:style w:type="character" w:customStyle="1" w:styleId="CTA-Char">
    <w:name w:val="CTA - Char"/>
    <w:basedOn w:val="DefaultParagraphFont"/>
    <w:link w:val="CTA-"/>
    <w:rsid w:val="00FA5426"/>
    <w:rPr>
      <w:rFonts w:eastAsia="Times New Roman" w:cs="Times New Roman"/>
      <w:lang w:eastAsia="en-AU"/>
    </w:rPr>
  </w:style>
  <w:style w:type="character" w:customStyle="1" w:styleId="CTA--Char">
    <w:name w:val="CTA -- Char"/>
    <w:basedOn w:val="DefaultParagraphFont"/>
    <w:link w:val="CTA--"/>
    <w:rsid w:val="00FA5426"/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E8240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62F7D"/>
    <w:rPr>
      <w:rFonts w:eastAsia="Times New Roman" w:cs="Times New Roman"/>
      <w:sz w:val="22"/>
      <w:lang w:eastAsia="en-AU"/>
    </w:rPr>
  </w:style>
  <w:style w:type="character" w:customStyle="1" w:styleId="CTA---Char">
    <w:name w:val="CTA --- Char"/>
    <w:basedOn w:val="DefaultParagraphFont"/>
    <w:link w:val="CTA---"/>
    <w:rsid w:val="00357916"/>
    <w:rPr>
      <w:rFonts w:eastAsia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A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A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A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A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A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A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00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D6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9797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9797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9797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9797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979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91C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1C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1CC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1519-5CF4-4AC8-9234-FC37F7E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21</Pages>
  <Words>2343</Words>
  <Characters>12277</Characters>
  <Application>Microsoft Office Word</Application>
  <DocSecurity>0</DocSecurity>
  <PresentationFormat/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2020-10-29T05:47:00Z</cp:lastPrinted>
  <dcterms:created xsi:type="dcterms:W3CDTF">2021-03-03T05:22:00Z</dcterms:created>
  <dcterms:modified xsi:type="dcterms:W3CDTF">2021-03-03T22:58:00Z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Customs Tariff Amendment (Incorporation of Proposals and Other Measures) Act 2021</vt:lpwstr>
  </property>
  <property fmtid="{D5CDD505-2E9C-101B-9397-08002B2CF9AE}" pid="5" name="ActNo">
    <vt:lpwstr>No. 10,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OPC7373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