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39CC" w14:textId="77777777" w:rsidR="00EA7011" w:rsidRDefault="00EA7011" w:rsidP="00EA7011">
      <w:r>
        <w:object w:dxaOrig="2146" w:dyaOrig="1561" w14:anchorId="5F1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8" o:title=""/>
          </v:shape>
          <o:OLEObject Type="Embed" ProgID="Word.Picture.8" ShapeID="_x0000_i1026" DrawAspect="Content" ObjectID="_1676372457" r:id="rId9"/>
        </w:object>
      </w:r>
    </w:p>
    <w:p w14:paraId="56CA1D5A" w14:textId="77777777" w:rsidR="00EA7011" w:rsidRDefault="00EA7011" w:rsidP="00EA7011"/>
    <w:p w14:paraId="22D4E229" w14:textId="77777777" w:rsidR="00EA7011" w:rsidRDefault="00EA7011" w:rsidP="00EA7011"/>
    <w:p w14:paraId="5BF4F7EA" w14:textId="77777777" w:rsidR="00EA7011" w:rsidRDefault="00EA7011" w:rsidP="00EA7011"/>
    <w:p w14:paraId="5FD7AE9D" w14:textId="77777777" w:rsidR="00EA7011" w:rsidRDefault="00EA7011" w:rsidP="00EA7011"/>
    <w:p w14:paraId="7052985F" w14:textId="77777777" w:rsidR="00EA7011" w:rsidRDefault="00EA7011" w:rsidP="00EA7011"/>
    <w:p w14:paraId="2BAC5E76" w14:textId="77777777" w:rsidR="00EA7011" w:rsidRDefault="00EA7011" w:rsidP="00EA7011"/>
    <w:p w14:paraId="0EB0A8B7" w14:textId="77777777" w:rsidR="00EA7011" w:rsidRDefault="00EA7011" w:rsidP="00EA7011">
      <w:pPr>
        <w:pStyle w:val="ShortT"/>
      </w:pPr>
      <w:r>
        <w:t>VET Student Payment Arrangements (Miscellaneous Amendments) Act 2021</w:t>
      </w:r>
    </w:p>
    <w:p w14:paraId="2A4531C6" w14:textId="77777777" w:rsidR="0048364F" w:rsidRPr="007E1E86" w:rsidRDefault="0048364F" w:rsidP="0048364F">
      <w:bookmarkStart w:id="0" w:name="_GoBack"/>
      <w:bookmarkEnd w:id="0"/>
    </w:p>
    <w:p w14:paraId="3B9342BC" w14:textId="0E4E9F37" w:rsidR="00EA7011" w:rsidRDefault="00EA7011" w:rsidP="00EA7011">
      <w:pPr>
        <w:pStyle w:val="Actno"/>
        <w:spacing w:before="400"/>
      </w:pPr>
      <w:r>
        <w:t>No.</w:t>
      </w:r>
      <w:r w:rsidR="009D33D0">
        <w:t xml:space="preserve"> 17</w:t>
      </w:r>
      <w:r>
        <w:t>, 2021</w:t>
      </w:r>
    </w:p>
    <w:p w14:paraId="1B73FCEB" w14:textId="77777777" w:rsidR="0048364F" w:rsidRPr="007E1E86" w:rsidRDefault="0048364F" w:rsidP="0048364F"/>
    <w:p w14:paraId="4BBA75F3" w14:textId="77777777" w:rsidR="00413A8E" w:rsidRDefault="00413A8E" w:rsidP="00413A8E">
      <w:pPr>
        <w:rPr>
          <w:lang w:eastAsia="en-AU"/>
        </w:rPr>
      </w:pPr>
    </w:p>
    <w:p w14:paraId="4B4BB60E" w14:textId="77777777" w:rsidR="0048364F" w:rsidRPr="007E1E86" w:rsidRDefault="0048364F" w:rsidP="0048364F"/>
    <w:p w14:paraId="32941B91" w14:textId="77777777" w:rsidR="0048364F" w:rsidRPr="007E1E86" w:rsidRDefault="0048364F" w:rsidP="0048364F"/>
    <w:p w14:paraId="76F25367" w14:textId="77777777" w:rsidR="0048364F" w:rsidRPr="007E1E86" w:rsidRDefault="0048364F" w:rsidP="0048364F"/>
    <w:p w14:paraId="49768C6E" w14:textId="77777777" w:rsidR="00EA7011" w:rsidRDefault="00EA7011" w:rsidP="00EA7011">
      <w:pPr>
        <w:pStyle w:val="LongT"/>
      </w:pPr>
      <w:r>
        <w:t>An Act to amend the law relating to vocational education and training, and for related purposes</w:t>
      </w:r>
    </w:p>
    <w:p w14:paraId="63F63518" w14:textId="77777777" w:rsidR="0048364F" w:rsidRPr="007E1E86" w:rsidRDefault="0048364F" w:rsidP="0048364F">
      <w:pPr>
        <w:pStyle w:val="Header"/>
        <w:tabs>
          <w:tab w:val="clear" w:pos="4150"/>
          <w:tab w:val="clear" w:pos="8307"/>
        </w:tabs>
      </w:pPr>
      <w:r w:rsidRPr="007E1E86">
        <w:rPr>
          <w:rStyle w:val="CharAmSchNo"/>
        </w:rPr>
        <w:t xml:space="preserve"> </w:t>
      </w:r>
      <w:r w:rsidRPr="007E1E86">
        <w:rPr>
          <w:rStyle w:val="CharAmSchText"/>
        </w:rPr>
        <w:t xml:space="preserve"> </w:t>
      </w:r>
    </w:p>
    <w:p w14:paraId="775FD173" w14:textId="77777777" w:rsidR="0048364F" w:rsidRPr="007E1E86" w:rsidRDefault="0048364F" w:rsidP="0048364F">
      <w:pPr>
        <w:pStyle w:val="Header"/>
        <w:tabs>
          <w:tab w:val="clear" w:pos="4150"/>
          <w:tab w:val="clear" w:pos="8307"/>
        </w:tabs>
      </w:pPr>
      <w:r w:rsidRPr="007E1E86">
        <w:rPr>
          <w:rStyle w:val="CharAmPartNo"/>
        </w:rPr>
        <w:t xml:space="preserve"> </w:t>
      </w:r>
      <w:r w:rsidRPr="007E1E86">
        <w:rPr>
          <w:rStyle w:val="CharAmPartText"/>
        </w:rPr>
        <w:t xml:space="preserve"> </w:t>
      </w:r>
    </w:p>
    <w:p w14:paraId="31F33305" w14:textId="77777777" w:rsidR="0048364F" w:rsidRPr="007E1E86" w:rsidRDefault="0048364F" w:rsidP="0048364F">
      <w:pPr>
        <w:sectPr w:rsidR="0048364F" w:rsidRPr="007E1E86" w:rsidSect="00EA701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9F92599" w14:textId="77777777" w:rsidR="0048364F" w:rsidRPr="007E1E86" w:rsidRDefault="0048364F" w:rsidP="00494F1B">
      <w:pPr>
        <w:rPr>
          <w:sz w:val="36"/>
        </w:rPr>
      </w:pPr>
      <w:r w:rsidRPr="007E1E86">
        <w:rPr>
          <w:sz w:val="36"/>
        </w:rPr>
        <w:lastRenderedPageBreak/>
        <w:t>Contents</w:t>
      </w:r>
    </w:p>
    <w:p w14:paraId="71A7BC78" w14:textId="32ED49D5" w:rsidR="000A32C8" w:rsidRDefault="000A32C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A32C8">
        <w:rPr>
          <w:noProof/>
        </w:rPr>
        <w:tab/>
      </w:r>
      <w:r w:rsidRPr="000A32C8">
        <w:rPr>
          <w:noProof/>
        </w:rPr>
        <w:fldChar w:fldCharType="begin"/>
      </w:r>
      <w:r w:rsidRPr="000A32C8">
        <w:rPr>
          <w:noProof/>
        </w:rPr>
        <w:instrText xml:space="preserve"> PAGEREF _Toc65759408 \h </w:instrText>
      </w:r>
      <w:r w:rsidRPr="000A32C8">
        <w:rPr>
          <w:noProof/>
        </w:rPr>
      </w:r>
      <w:r w:rsidRPr="000A32C8">
        <w:rPr>
          <w:noProof/>
        </w:rPr>
        <w:fldChar w:fldCharType="separate"/>
      </w:r>
      <w:r w:rsidR="00E8253C">
        <w:rPr>
          <w:noProof/>
        </w:rPr>
        <w:t>1</w:t>
      </w:r>
      <w:r w:rsidRPr="000A32C8">
        <w:rPr>
          <w:noProof/>
        </w:rPr>
        <w:fldChar w:fldCharType="end"/>
      </w:r>
    </w:p>
    <w:p w14:paraId="4AF63A3C" w14:textId="3D54EB5C" w:rsidR="000A32C8" w:rsidRDefault="000A32C8">
      <w:pPr>
        <w:pStyle w:val="TOC5"/>
        <w:rPr>
          <w:rFonts w:asciiTheme="minorHAnsi" w:eastAsiaTheme="minorEastAsia" w:hAnsiTheme="minorHAnsi" w:cstheme="minorBidi"/>
          <w:noProof/>
          <w:kern w:val="0"/>
          <w:sz w:val="22"/>
          <w:szCs w:val="22"/>
        </w:rPr>
      </w:pPr>
      <w:r>
        <w:rPr>
          <w:noProof/>
        </w:rPr>
        <w:t>2</w:t>
      </w:r>
      <w:r>
        <w:rPr>
          <w:noProof/>
        </w:rPr>
        <w:tab/>
        <w:t>Commencement</w:t>
      </w:r>
      <w:r w:rsidRPr="000A32C8">
        <w:rPr>
          <w:noProof/>
        </w:rPr>
        <w:tab/>
      </w:r>
      <w:r w:rsidRPr="000A32C8">
        <w:rPr>
          <w:noProof/>
        </w:rPr>
        <w:fldChar w:fldCharType="begin"/>
      </w:r>
      <w:r w:rsidRPr="000A32C8">
        <w:rPr>
          <w:noProof/>
        </w:rPr>
        <w:instrText xml:space="preserve"> PAGEREF _Toc65759409 \h </w:instrText>
      </w:r>
      <w:r w:rsidRPr="000A32C8">
        <w:rPr>
          <w:noProof/>
        </w:rPr>
      </w:r>
      <w:r w:rsidRPr="000A32C8">
        <w:rPr>
          <w:noProof/>
        </w:rPr>
        <w:fldChar w:fldCharType="separate"/>
      </w:r>
      <w:r w:rsidR="00E8253C">
        <w:rPr>
          <w:noProof/>
        </w:rPr>
        <w:t>2</w:t>
      </w:r>
      <w:r w:rsidRPr="000A32C8">
        <w:rPr>
          <w:noProof/>
        </w:rPr>
        <w:fldChar w:fldCharType="end"/>
      </w:r>
    </w:p>
    <w:p w14:paraId="6324E656" w14:textId="14080E33" w:rsidR="000A32C8" w:rsidRDefault="000A32C8">
      <w:pPr>
        <w:pStyle w:val="TOC5"/>
        <w:rPr>
          <w:rFonts w:asciiTheme="minorHAnsi" w:eastAsiaTheme="minorEastAsia" w:hAnsiTheme="minorHAnsi" w:cstheme="minorBidi"/>
          <w:noProof/>
          <w:kern w:val="0"/>
          <w:sz w:val="22"/>
          <w:szCs w:val="22"/>
        </w:rPr>
      </w:pPr>
      <w:r>
        <w:rPr>
          <w:noProof/>
        </w:rPr>
        <w:t>3</w:t>
      </w:r>
      <w:r>
        <w:rPr>
          <w:noProof/>
        </w:rPr>
        <w:tab/>
        <w:t>Schedules</w:t>
      </w:r>
      <w:r w:rsidRPr="000A32C8">
        <w:rPr>
          <w:noProof/>
        </w:rPr>
        <w:tab/>
      </w:r>
      <w:r w:rsidRPr="000A32C8">
        <w:rPr>
          <w:noProof/>
        </w:rPr>
        <w:fldChar w:fldCharType="begin"/>
      </w:r>
      <w:r w:rsidRPr="000A32C8">
        <w:rPr>
          <w:noProof/>
        </w:rPr>
        <w:instrText xml:space="preserve"> PAGEREF _Toc65759410 \h </w:instrText>
      </w:r>
      <w:r w:rsidRPr="000A32C8">
        <w:rPr>
          <w:noProof/>
        </w:rPr>
      </w:r>
      <w:r w:rsidRPr="000A32C8">
        <w:rPr>
          <w:noProof/>
        </w:rPr>
        <w:fldChar w:fldCharType="separate"/>
      </w:r>
      <w:r w:rsidR="00E8253C">
        <w:rPr>
          <w:noProof/>
        </w:rPr>
        <w:t>2</w:t>
      </w:r>
      <w:r w:rsidRPr="000A32C8">
        <w:rPr>
          <w:noProof/>
        </w:rPr>
        <w:fldChar w:fldCharType="end"/>
      </w:r>
    </w:p>
    <w:p w14:paraId="19A56994" w14:textId="159CE8DD" w:rsidR="000A32C8" w:rsidRDefault="000A32C8">
      <w:pPr>
        <w:pStyle w:val="TOC6"/>
        <w:rPr>
          <w:rFonts w:asciiTheme="minorHAnsi" w:eastAsiaTheme="minorEastAsia" w:hAnsiTheme="minorHAnsi" w:cstheme="minorBidi"/>
          <w:b w:val="0"/>
          <w:noProof/>
          <w:kern w:val="0"/>
          <w:sz w:val="22"/>
          <w:szCs w:val="22"/>
        </w:rPr>
      </w:pPr>
      <w:r>
        <w:rPr>
          <w:noProof/>
        </w:rPr>
        <w:t>Schedule 1—Amendments</w:t>
      </w:r>
      <w:r w:rsidRPr="000A32C8">
        <w:rPr>
          <w:b w:val="0"/>
          <w:noProof/>
          <w:sz w:val="18"/>
        </w:rPr>
        <w:tab/>
      </w:r>
      <w:r w:rsidRPr="000A32C8">
        <w:rPr>
          <w:b w:val="0"/>
          <w:noProof/>
          <w:sz w:val="18"/>
        </w:rPr>
        <w:fldChar w:fldCharType="begin"/>
      </w:r>
      <w:r w:rsidRPr="000A32C8">
        <w:rPr>
          <w:b w:val="0"/>
          <w:noProof/>
          <w:sz w:val="18"/>
        </w:rPr>
        <w:instrText xml:space="preserve"> PAGEREF _Toc65759411 \h </w:instrText>
      </w:r>
      <w:r w:rsidRPr="000A32C8">
        <w:rPr>
          <w:b w:val="0"/>
          <w:noProof/>
          <w:sz w:val="18"/>
        </w:rPr>
      </w:r>
      <w:r w:rsidRPr="000A32C8">
        <w:rPr>
          <w:b w:val="0"/>
          <w:noProof/>
          <w:sz w:val="18"/>
        </w:rPr>
        <w:fldChar w:fldCharType="separate"/>
      </w:r>
      <w:r w:rsidR="00E8253C">
        <w:rPr>
          <w:b w:val="0"/>
          <w:noProof/>
          <w:sz w:val="18"/>
        </w:rPr>
        <w:t>3</w:t>
      </w:r>
      <w:r w:rsidRPr="000A32C8">
        <w:rPr>
          <w:b w:val="0"/>
          <w:noProof/>
          <w:sz w:val="18"/>
        </w:rPr>
        <w:fldChar w:fldCharType="end"/>
      </w:r>
    </w:p>
    <w:p w14:paraId="79D021A9" w14:textId="3348B1BB" w:rsidR="000A32C8" w:rsidRDefault="000A32C8">
      <w:pPr>
        <w:pStyle w:val="TOC7"/>
        <w:rPr>
          <w:rFonts w:asciiTheme="minorHAnsi" w:eastAsiaTheme="minorEastAsia" w:hAnsiTheme="minorHAnsi" w:cstheme="minorBidi"/>
          <w:noProof/>
          <w:kern w:val="0"/>
          <w:sz w:val="22"/>
          <w:szCs w:val="22"/>
        </w:rPr>
      </w:pPr>
      <w:r>
        <w:rPr>
          <w:noProof/>
        </w:rPr>
        <w:t>Part 1—Amendments commencing day after Royal Assent</w:t>
      </w:r>
      <w:r w:rsidRPr="000A32C8">
        <w:rPr>
          <w:noProof/>
          <w:sz w:val="18"/>
        </w:rPr>
        <w:tab/>
      </w:r>
      <w:r w:rsidRPr="000A32C8">
        <w:rPr>
          <w:noProof/>
          <w:sz w:val="18"/>
        </w:rPr>
        <w:fldChar w:fldCharType="begin"/>
      </w:r>
      <w:r w:rsidRPr="000A32C8">
        <w:rPr>
          <w:noProof/>
          <w:sz w:val="18"/>
        </w:rPr>
        <w:instrText xml:space="preserve"> PAGEREF _Toc65759412 \h </w:instrText>
      </w:r>
      <w:r w:rsidRPr="000A32C8">
        <w:rPr>
          <w:noProof/>
          <w:sz w:val="18"/>
        </w:rPr>
      </w:r>
      <w:r w:rsidRPr="000A32C8">
        <w:rPr>
          <w:noProof/>
          <w:sz w:val="18"/>
        </w:rPr>
        <w:fldChar w:fldCharType="separate"/>
      </w:r>
      <w:r w:rsidR="00E8253C">
        <w:rPr>
          <w:noProof/>
          <w:sz w:val="18"/>
        </w:rPr>
        <w:t>3</w:t>
      </w:r>
      <w:r w:rsidRPr="000A32C8">
        <w:rPr>
          <w:noProof/>
          <w:sz w:val="18"/>
        </w:rPr>
        <w:fldChar w:fldCharType="end"/>
      </w:r>
    </w:p>
    <w:p w14:paraId="40A85ADD" w14:textId="07A3FC31" w:rsidR="000A32C8" w:rsidRDefault="000A32C8">
      <w:pPr>
        <w:pStyle w:val="TOC9"/>
        <w:rPr>
          <w:rFonts w:asciiTheme="minorHAnsi" w:eastAsiaTheme="minorEastAsia" w:hAnsiTheme="minorHAnsi" w:cstheme="minorBidi"/>
          <w:i w:val="0"/>
          <w:noProof/>
          <w:kern w:val="0"/>
          <w:sz w:val="22"/>
          <w:szCs w:val="22"/>
        </w:rPr>
      </w:pPr>
      <w:r>
        <w:rPr>
          <w:noProof/>
        </w:rPr>
        <w:t>Higher Education Support Act 2003</w:t>
      </w:r>
      <w:r w:rsidRPr="000A32C8">
        <w:rPr>
          <w:i w:val="0"/>
          <w:noProof/>
          <w:sz w:val="18"/>
        </w:rPr>
        <w:tab/>
      </w:r>
      <w:r w:rsidRPr="000A32C8">
        <w:rPr>
          <w:i w:val="0"/>
          <w:noProof/>
          <w:sz w:val="18"/>
        </w:rPr>
        <w:fldChar w:fldCharType="begin"/>
      </w:r>
      <w:r w:rsidRPr="000A32C8">
        <w:rPr>
          <w:i w:val="0"/>
          <w:noProof/>
          <w:sz w:val="18"/>
        </w:rPr>
        <w:instrText xml:space="preserve"> PAGEREF _Toc65759413 \h </w:instrText>
      </w:r>
      <w:r w:rsidRPr="000A32C8">
        <w:rPr>
          <w:i w:val="0"/>
          <w:noProof/>
          <w:sz w:val="18"/>
        </w:rPr>
      </w:r>
      <w:r w:rsidRPr="000A32C8">
        <w:rPr>
          <w:i w:val="0"/>
          <w:noProof/>
          <w:sz w:val="18"/>
        </w:rPr>
        <w:fldChar w:fldCharType="separate"/>
      </w:r>
      <w:r w:rsidR="00E8253C">
        <w:rPr>
          <w:i w:val="0"/>
          <w:noProof/>
          <w:sz w:val="18"/>
        </w:rPr>
        <w:t>3</w:t>
      </w:r>
      <w:r w:rsidRPr="000A32C8">
        <w:rPr>
          <w:i w:val="0"/>
          <w:noProof/>
          <w:sz w:val="18"/>
        </w:rPr>
        <w:fldChar w:fldCharType="end"/>
      </w:r>
    </w:p>
    <w:p w14:paraId="00527507" w14:textId="0097876B" w:rsidR="000A32C8" w:rsidRDefault="000A32C8">
      <w:pPr>
        <w:pStyle w:val="TOC9"/>
        <w:rPr>
          <w:rFonts w:asciiTheme="minorHAnsi" w:eastAsiaTheme="minorEastAsia" w:hAnsiTheme="minorHAnsi" w:cstheme="minorBidi"/>
          <w:i w:val="0"/>
          <w:noProof/>
          <w:kern w:val="0"/>
          <w:sz w:val="22"/>
          <w:szCs w:val="22"/>
        </w:rPr>
      </w:pPr>
      <w:r>
        <w:rPr>
          <w:noProof/>
        </w:rPr>
        <w:t>VET Student Loans Act 2016</w:t>
      </w:r>
      <w:r w:rsidRPr="000A32C8">
        <w:rPr>
          <w:i w:val="0"/>
          <w:noProof/>
          <w:sz w:val="18"/>
        </w:rPr>
        <w:tab/>
      </w:r>
      <w:r w:rsidRPr="000A32C8">
        <w:rPr>
          <w:i w:val="0"/>
          <w:noProof/>
          <w:sz w:val="18"/>
        </w:rPr>
        <w:fldChar w:fldCharType="begin"/>
      </w:r>
      <w:r w:rsidRPr="000A32C8">
        <w:rPr>
          <w:i w:val="0"/>
          <w:noProof/>
          <w:sz w:val="18"/>
        </w:rPr>
        <w:instrText xml:space="preserve"> PAGEREF _Toc65759415 \h </w:instrText>
      </w:r>
      <w:r w:rsidRPr="000A32C8">
        <w:rPr>
          <w:i w:val="0"/>
          <w:noProof/>
          <w:sz w:val="18"/>
        </w:rPr>
      </w:r>
      <w:r w:rsidRPr="000A32C8">
        <w:rPr>
          <w:i w:val="0"/>
          <w:noProof/>
          <w:sz w:val="18"/>
        </w:rPr>
        <w:fldChar w:fldCharType="separate"/>
      </w:r>
      <w:r w:rsidR="00E8253C">
        <w:rPr>
          <w:i w:val="0"/>
          <w:noProof/>
          <w:sz w:val="18"/>
        </w:rPr>
        <w:t>5</w:t>
      </w:r>
      <w:r w:rsidRPr="000A32C8">
        <w:rPr>
          <w:i w:val="0"/>
          <w:noProof/>
          <w:sz w:val="18"/>
        </w:rPr>
        <w:fldChar w:fldCharType="end"/>
      </w:r>
    </w:p>
    <w:p w14:paraId="697EF384" w14:textId="4408962F" w:rsidR="000A32C8" w:rsidRDefault="000A32C8">
      <w:pPr>
        <w:pStyle w:val="TOC7"/>
        <w:rPr>
          <w:rFonts w:asciiTheme="minorHAnsi" w:eastAsiaTheme="minorEastAsia" w:hAnsiTheme="minorHAnsi" w:cstheme="minorBidi"/>
          <w:noProof/>
          <w:kern w:val="0"/>
          <w:sz w:val="22"/>
          <w:szCs w:val="22"/>
        </w:rPr>
      </w:pPr>
      <w:r>
        <w:rPr>
          <w:noProof/>
        </w:rPr>
        <w:t>Part 2—Amendments commencing 1 July 2021</w:t>
      </w:r>
      <w:r w:rsidRPr="000A32C8">
        <w:rPr>
          <w:noProof/>
          <w:sz w:val="18"/>
        </w:rPr>
        <w:tab/>
      </w:r>
      <w:r w:rsidRPr="000A32C8">
        <w:rPr>
          <w:noProof/>
          <w:sz w:val="18"/>
        </w:rPr>
        <w:fldChar w:fldCharType="begin"/>
      </w:r>
      <w:r w:rsidRPr="000A32C8">
        <w:rPr>
          <w:noProof/>
          <w:sz w:val="18"/>
        </w:rPr>
        <w:instrText xml:space="preserve"> PAGEREF _Toc65759419 \h </w:instrText>
      </w:r>
      <w:r w:rsidRPr="000A32C8">
        <w:rPr>
          <w:noProof/>
          <w:sz w:val="18"/>
        </w:rPr>
      </w:r>
      <w:r w:rsidRPr="000A32C8">
        <w:rPr>
          <w:noProof/>
          <w:sz w:val="18"/>
        </w:rPr>
        <w:fldChar w:fldCharType="separate"/>
      </w:r>
      <w:r w:rsidR="00E8253C">
        <w:rPr>
          <w:noProof/>
          <w:sz w:val="18"/>
        </w:rPr>
        <w:t>7</w:t>
      </w:r>
      <w:r w:rsidRPr="000A32C8">
        <w:rPr>
          <w:noProof/>
          <w:sz w:val="18"/>
        </w:rPr>
        <w:fldChar w:fldCharType="end"/>
      </w:r>
    </w:p>
    <w:p w14:paraId="4650F66E" w14:textId="0DE63D67" w:rsidR="000A32C8" w:rsidRDefault="000A32C8">
      <w:pPr>
        <w:pStyle w:val="TOC9"/>
        <w:rPr>
          <w:rFonts w:asciiTheme="minorHAnsi" w:eastAsiaTheme="minorEastAsia" w:hAnsiTheme="minorHAnsi" w:cstheme="minorBidi"/>
          <w:i w:val="0"/>
          <w:noProof/>
          <w:kern w:val="0"/>
          <w:sz w:val="22"/>
          <w:szCs w:val="22"/>
        </w:rPr>
      </w:pPr>
      <w:r>
        <w:rPr>
          <w:noProof/>
        </w:rPr>
        <w:t>Higher Education Support Act 2003</w:t>
      </w:r>
      <w:r w:rsidRPr="000A32C8">
        <w:rPr>
          <w:i w:val="0"/>
          <w:noProof/>
          <w:sz w:val="18"/>
        </w:rPr>
        <w:tab/>
      </w:r>
      <w:r w:rsidRPr="000A32C8">
        <w:rPr>
          <w:i w:val="0"/>
          <w:noProof/>
          <w:sz w:val="18"/>
        </w:rPr>
        <w:fldChar w:fldCharType="begin"/>
      </w:r>
      <w:r w:rsidRPr="000A32C8">
        <w:rPr>
          <w:i w:val="0"/>
          <w:noProof/>
          <w:sz w:val="18"/>
        </w:rPr>
        <w:instrText xml:space="preserve"> PAGEREF _Toc65759420 \h </w:instrText>
      </w:r>
      <w:r w:rsidRPr="000A32C8">
        <w:rPr>
          <w:i w:val="0"/>
          <w:noProof/>
          <w:sz w:val="18"/>
        </w:rPr>
      </w:r>
      <w:r w:rsidRPr="000A32C8">
        <w:rPr>
          <w:i w:val="0"/>
          <w:noProof/>
          <w:sz w:val="18"/>
        </w:rPr>
        <w:fldChar w:fldCharType="separate"/>
      </w:r>
      <w:r w:rsidR="00E8253C">
        <w:rPr>
          <w:i w:val="0"/>
          <w:noProof/>
          <w:sz w:val="18"/>
        </w:rPr>
        <w:t>7</w:t>
      </w:r>
      <w:r w:rsidRPr="000A32C8">
        <w:rPr>
          <w:i w:val="0"/>
          <w:noProof/>
          <w:sz w:val="18"/>
        </w:rPr>
        <w:fldChar w:fldCharType="end"/>
      </w:r>
    </w:p>
    <w:p w14:paraId="17ED546C" w14:textId="2EDCD74A" w:rsidR="00060FF9" w:rsidRPr="007E1E86" w:rsidRDefault="000A32C8" w:rsidP="0048364F">
      <w:r>
        <w:fldChar w:fldCharType="end"/>
      </w:r>
    </w:p>
    <w:p w14:paraId="06CC6584" w14:textId="77777777" w:rsidR="00FE7F93" w:rsidRPr="007E1E86" w:rsidRDefault="00FE7F93" w:rsidP="0048364F">
      <w:pPr>
        <w:sectPr w:rsidR="00FE7F93" w:rsidRPr="007E1E86" w:rsidSect="00EA701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6A5F27DB" w14:textId="77777777" w:rsidR="00EA7011" w:rsidRDefault="00EA7011">
      <w:r>
        <w:object w:dxaOrig="2146" w:dyaOrig="1561" w14:anchorId="26714628">
          <v:shape id="_x0000_i1027" type="#_x0000_t75" alt="Commonwealth Coat of Arms of Australia" style="width:110.25pt;height:80.25pt" o:ole="" fillcolor="window">
            <v:imagedata r:id="rId8" o:title=""/>
          </v:shape>
          <o:OLEObject Type="Embed" ProgID="Word.Picture.8" ShapeID="_x0000_i1027" DrawAspect="Content" ObjectID="_1676372458" r:id="rId21"/>
        </w:object>
      </w:r>
    </w:p>
    <w:p w14:paraId="5F88F185" w14:textId="77777777" w:rsidR="00EA7011" w:rsidRDefault="00EA7011"/>
    <w:p w14:paraId="23A669EA" w14:textId="77777777" w:rsidR="00EA7011" w:rsidRDefault="00EA7011" w:rsidP="000178F8">
      <w:pPr>
        <w:spacing w:line="240" w:lineRule="auto"/>
      </w:pPr>
    </w:p>
    <w:p w14:paraId="4239ED61" w14:textId="0A36B6E0" w:rsidR="00EA7011" w:rsidRDefault="0034035A" w:rsidP="000178F8">
      <w:pPr>
        <w:pStyle w:val="ShortTP1"/>
      </w:pPr>
      <w:fldSimple w:instr=" STYLEREF ShortT ">
        <w:r w:rsidR="00E8253C">
          <w:rPr>
            <w:noProof/>
          </w:rPr>
          <w:t>VET Student Payment Arrangements (Miscellaneous Amendments) Act 2021</w:t>
        </w:r>
      </w:fldSimple>
    </w:p>
    <w:p w14:paraId="435484FE" w14:textId="0B954050" w:rsidR="00EA7011" w:rsidRDefault="0034035A" w:rsidP="000178F8">
      <w:pPr>
        <w:pStyle w:val="ActNoP1"/>
      </w:pPr>
      <w:fldSimple w:instr=" STYLEREF Actno ">
        <w:r w:rsidR="00E8253C">
          <w:rPr>
            <w:noProof/>
          </w:rPr>
          <w:t>No. 17, 2021</w:t>
        </w:r>
      </w:fldSimple>
    </w:p>
    <w:p w14:paraId="1C7EED8D" w14:textId="77777777" w:rsidR="00EA7011" w:rsidRPr="009A0728" w:rsidRDefault="00EA7011" w:rsidP="009A0728">
      <w:pPr>
        <w:pBdr>
          <w:bottom w:val="single" w:sz="6" w:space="0" w:color="auto"/>
        </w:pBdr>
        <w:spacing w:before="400" w:line="240" w:lineRule="auto"/>
        <w:rPr>
          <w:rFonts w:eastAsia="Times New Roman"/>
          <w:b/>
          <w:sz w:val="28"/>
        </w:rPr>
      </w:pPr>
    </w:p>
    <w:p w14:paraId="4C6BF591" w14:textId="77777777" w:rsidR="00EA7011" w:rsidRPr="009A0728" w:rsidRDefault="00EA7011" w:rsidP="009A0728">
      <w:pPr>
        <w:spacing w:line="40" w:lineRule="exact"/>
        <w:rPr>
          <w:rFonts w:eastAsia="Calibri"/>
          <w:b/>
          <w:sz w:val="28"/>
        </w:rPr>
      </w:pPr>
    </w:p>
    <w:p w14:paraId="64B8901E" w14:textId="77777777" w:rsidR="00EA7011" w:rsidRPr="009A0728" w:rsidRDefault="00EA7011" w:rsidP="009A0728">
      <w:pPr>
        <w:pBdr>
          <w:top w:val="single" w:sz="12" w:space="0" w:color="auto"/>
        </w:pBdr>
        <w:spacing w:line="240" w:lineRule="auto"/>
        <w:rPr>
          <w:rFonts w:eastAsia="Times New Roman"/>
          <w:b/>
          <w:sz w:val="28"/>
        </w:rPr>
      </w:pPr>
    </w:p>
    <w:p w14:paraId="177DC3F0" w14:textId="77777777" w:rsidR="00EA7011" w:rsidRDefault="00EA7011" w:rsidP="00EA7011">
      <w:pPr>
        <w:pStyle w:val="Page1"/>
        <w:spacing w:before="400"/>
      </w:pPr>
      <w:r>
        <w:t>An Act to amend the law relating to vocational education and training, and for related purposes</w:t>
      </w:r>
    </w:p>
    <w:p w14:paraId="44A44C36" w14:textId="09068645" w:rsidR="009D33D0" w:rsidRDefault="009D33D0" w:rsidP="000C5962">
      <w:pPr>
        <w:pStyle w:val="AssentDt"/>
        <w:spacing w:before="240"/>
        <w:rPr>
          <w:sz w:val="24"/>
        </w:rPr>
      </w:pPr>
      <w:r>
        <w:rPr>
          <w:sz w:val="24"/>
        </w:rPr>
        <w:t>[</w:t>
      </w:r>
      <w:r>
        <w:rPr>
          <w:i/>
          <w:sz w:val="24"/>
        </w:rPr>
        <w:t>Assented to 1 March 2021</w:t>
      </w:r>
      <w:r>
        <w:rPr>
          <w:sz w:val="24"/>
        </w:rPr>
        <w:t>]</w:t>
      </w:r>
    </w:p>
    <w:p w14:paraId="4ED29D63" w14:textId="774C4948" w:rsidR="0048364F" w:rsidRPr="007E1E86" w:rsidRDefault="0048364F" w:rsidP="001C31A3">
      <w:pPr>
        <w:spacing w:before="240" w:line="240" w:lineRule="auto"/>
        <w:rPr>
          <w:sz w:val="32"/>
        </w:rPr>
      </w:pPr>
      <w:r w:rsidRPr="007E1E86">
        <w:rPr>
          <w:sz w:val="32"/>
        </w:rPr>
        <w:t>The Parliament of Australia enacts:</w:t>
      </w:r>
    </w:p>
    <w:p w14:paraId="00ECB895" w14:textId="77777777" w:rsidR="0048364F" w:rsidRPr="007E1E86" w:rsidRDefault="0048364F" w:rsidP="001C31A3">
      <w:pPr>
        <w:pStyle w:val="ActHead5"/>
      </w:pPr>
      <w:bookmarkStart w:id="1" w:name="_Toc65759408"/>
      <w:r w:rsidRPr="007E1E86">
        <w:rPr>
          <w:rStyle w:val="CharSectno"/>
        </w:rPr>
        <w:t>1</w:t>
      </w:r>
      <w:r w:rsidRPr="007E1E86">
        <w:t xml:space="preserve">  Short title</w:t>
      </w:r>
      <w:bookmarkEnd w:id="1"/>
    </w:p>
    <w:p w14:paraId="1471E8E6" w14:textId="77777777" w:rsidR="0048364F" w:rsidRPr="007E1E86" w:rsidRDefault="0048364F" w:rsidP="001C31A3">
      <w:pPr>
        <w:pStyle w:val="subsection"/>
      </w:pPr>
      <w:r w:rsidRPr="007E1E86">
        <w:tab/>
      </w:r>
      <w:r w:rsidRPr="007E1E86">
        <w:tab/>
        <w:t xml:space="preserve">This Act </w:t>
      </w:r>
      <w:r w:rsidR="00275197" w:rsidRPr="007E1E86">
        <w:t xml:space="preserve">is </w:t>
      </w:r>
      <w:r w:rsidRPr="007E1E86">
        <w:t xml:space="preserve">the </w:t>
      </w:r>
      <w:r w:rsidR="009E3F29" w:rsidRPr="007E1E86">
        <w:rPr>
          <w:i/>
        </w:rPr>
        <w:t xml:space="preserve">VET Student Payment Arrangements (Miscellaneous Amendments) </w:t>
      </w:r>
      <w:r w:rsidR="00EE3E36" w:rsidRPr="007E1E86">
        <w:rPr>
          <w:i/>
        </w:rPr>
        <w:t>Act 20</w:t>
      </w:r>
      <w:r w:rsidR="001B633C" w:rsidRPr="007E1E86">
        <w:rPr>
          <w:i/>
        </w:rPr>
        <w:t>2</w:t>
      </w:r>
      <w:r w:rsidR="00EA7011">
        <w:rPr>
          <w:i/>
        </w:rPr>
        <w:t>1</w:t>
      </w:r>
      <w:r w:rsidRPr="007E1E86">
        <w:t>.</w:t>
      </w:r>
    </w:p>
    <w:p w14:paraId="71007EF1" w14:textId="77777777" w:rsidR="0048364F" w:rsidRPr="007E1E86" w:rsidRDefault="0048364F" w:rsidP="001C31A3">
      <w:pPr>
        <w:pStyle w:val="ActHead5"/>
      </w:pPr>
      <w:bookmarkStart w:id="2" w:name="_Toc65759409"/>
      <w:r w:rsidRPr="007E1E86">
        <w:rPr>
          <w:rStyle w:val="CharSectno"/>
        </w:rPr>
        <w:t>2</w:t>
      </w:r>
      <w:r w:rsidRPr="007E1E86">
        <w:t xml:space="preserve">  Commencement</w:t>
      </w:r>
      <w:bookmarkEnd w:id="2"/>
    </w:p>
    <w:p w14:paraId="3B12E284" w14:textId="77777777" w:rsidR="0048364F" w:rsidRPr="007E1E86" w:rsidRDefault="0048364F" w:rsidP="001C31A3">
      <w:pPr>
        <w:pStyle w:val="subsection"/>
      </w:pPr>
      <w:r w:rsidRPr="007E1E86">
        <w:tab/>
        <w:t>(1)</w:t>
      </w:r>
      <w:r w:rsidRPr="007E1E86">
        <w:tab/>
        <w:t>Each provision of this Act specified in column 1 of the table commences, or is taken to have commenced, in accordance with column 2 of the table. Any other statement in column 2 has effect according to its terms.</w:t>
      </w:r>
    </w:p>
    <w:p w14:paraId="5E88C708" w14:textId="77777777" w:rsidR="0048364F" w:rsidRPr="007E1E86" w:rsidRDefault="0048364F" w:rsidP="001C31A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E1E86" w14:paraId="328BE9DC" w14:textId="77777777" w:rsidTr="004C7C8C">
        <w:trPr>
          <w:tblHeader/>
        </w:trPr>
        <w:tc>
          <w:tcPr>
            <w:tcW w:w="7111" w:type="dxa"/>
            <w:gridSpan w:val="3"/>
            <w:tcBorders>
              <w:top w:val="single" w:sz="12" w:space="0" w:color="auto"/>
              <w:bottom w:val="single" w:sz="6" w:space="0" w:color="auto"/>
            </w:tcBorders>
            <w:shd w:val="clear" w:color="auto" w:fill="auto"/>
          </w:tcPr>
          <w:p w14:paraId="40485905" w14:textId="77777777" w:rsidR="0048364F" w:rsidRPr="007E1E86" w:rsidRDefault="0048364F" w:rsidP="001C31A3">
            <w:pPr>
              <w:pStyle w:val="TableHeading"/>
            </w:pPr>
            <w:r w:rsidRPr="007E1E86">
              <w:lastRenderedPageBreak/>
              <w:t>Commencement information</w:t>
            </w:r>
          </w:p>
        </w:tc>
      </w:tr>
      <w:tr w:rsidR="0048364F" w:rsidRPr="007E1E86" w14:paraId="7261E63C" w14:textId="77777777" w:rsidTr="004C7C8C">
        <w:trPr>
          <w:tblHeader/>
        </w:trPr>
        <w:tc>
          <w:tcPr>
            <w:tcW w:w="1701" w:type="dxa"/>
            <w:tcBorders>
              <w:top w:val="single" w:sz="6" w:space="0" w:color="auto"/>
              <w:bottom w:val="single" w:sz="6" w:space="0" w:color="auto"/>
            </w:tcBorders>
            <w:shd w:val="clear" w:color="auto" w:fill="auto"/>
          </w:tcPr>
          <w:p w14:paraId="3C977CFB" w14:textId="77777777" w:rsidR="0048364F" w:rsidRPr="007E1E86" w:rsidRDefault="0048364F" w:rsidP="001C31A3">
            <w:pPr>
              <w:pStyle w:val="TableHeading"/>
            </w:pPr>
            <w:r w:rsidRPr="007E1E86">
              <w:t>Column 1</w:t>
            </w:r>
          </w:p>
        </w:tc>
        <w:tc>
          <w:tcPr>
            <w:tcW w:w="3828" w:type="dxa"/>
            <w:tcBorders>
              <w:top w:val="single" w:sz="6" w:space="0" w:color="auto"/>
              <w:bottom w:val="single" w:sz="6" w:space="0" w:color="auto"/>
            </w:tcBorders>
            <w:shd w:val="clear" w:color="auto" w:fill="auto"/>
          </w:tcPr>
          <w:p w14:paraId="1AA27DC8" w14:textId="77777777" w:rsidR="0048364F" w:rsidRPr="007E1E86" w:rsidRDefault="0048364F" w:rsidP="001C31A3">
            <w:pPr>
              <w:pStyle w:val="TableHeading"/>
            </w:pPr>
            <w:r w:rsidRPr="007E1E86">
              <w:t>Column 2</w:t>
            </w:r>
          </w:p>
        </w:tc>
        <w:tc>
          <w:tcPr>
            <w:tcW w:w="1582" w:type="dxa"/>
            <w:tcBorders>
              <w:top w:val="single" w:sz="6" w:space="0" w:color="auto"/>
              <w:bottom w:val="single" w:sz="6" w:space="0" w:color="auto"/>
            </w:tcBorders>
            <w:shd w:val="clear" w:color="auto" w:fill="auto"/>
          </w:tcPr>
          <w:p w14:paraId="66C017E7" w14:textId="77777777" w:rsidR="0048364F" w:rsidRPr="007E1E86" w:rsidRDefault="0048364F" w:rsidP="001C31A3">
            <w:pPr>
              <w:pStyle w:val="TableHeading"/>
            </w:pPr>
            <w:r w:rsidRPr="007E1E86">
              <w:t>Column 3</w:t>
            </w:r>
          </w:p>
        </w:tc>
      </w:tr>
      <w:tr w:rsidR="0048364F" w:rsidRPr="007E1E86" w14:paraId="5F24FCCD" w14:textId="77777777" w:rsidTr="004C7C8C">
        <w:trPr>
          <w:tblHeader/>
        </w:trPr>
        <w:tc>
          <w:tcPr>
            <w:tcW w:w="1701" w:type="dxa"/>
            <w:tcBorders>
              <w:top w:val="single" w:sz="6" w:space="0" w:color="auto"/>
              <w:bottom w:val="single" w:sz="12" w:space="0" w:color="auto"/>
            </w:tcBorders>
            <w:shd w:val="clear" w:color="auto" w:fill="auto"/>
          </w:tcPr>
          <w:p w14:paraId="30CA8C86" w14:textId="77777777" w:rsidR="0048364F" w:rsidRPr="007E1E86" w:rsidRDefault="0048364F" w:rsidP="001C31A3">
            <w:pPr>
              <w:pStyle w:val="TableHeading"/>
            </w:pPr>
            <w:r w:rsidRPr="007E1E86">
              <w:t>Provisions</w:t>
            </w:r>
          </w:p>
        </w:tc>
        <w:tc>
          <w:tcPr>
            <w:tcW w:w="3828" w:type="dxa"/>
            <w:tcBorders>
              <w:top w:val="single" w:sz="6" w:space="0" w:color="auto"/>
              <w:bottom w:val="single" w:sz="12" w:space="0" w:color="auto"/>
            </w:tcBorders>
            <w:shd w:val="clear" w:color="auto" w:fill="auto"/>
          </w:tcPr>
          <w:p w14:paraId="657DCCEA" w14:textId="77777777" w:rsidR="0048364F" w:rsidRPr="007E1E86" w:rsidRDefault="0048364F" w:rsidP="001C31A3">
            <w:pPr>
              <w:pStyle w:val="TableHeading"/>
            </w:pPr>
            <w:r w:rsidRPr="007E1E86">
              <w:t>Commencement</w:t>
            </w:r>
          </w:p>
        </w:tc>
        <w:tc>
          <w:tcPr>
            <w:tcW w:w="1582" w:type="dxa"/>
            <w:tcBorders>
              <w:top w:val="single" w:sz="6" w:space="0" w:color="auto"/>
              <w:bottom w:val="single" w:sz="12" w:space="0" w:color="auto"/>
            </w:tcBorders>
            <w:shd w:val="clear" w:color="auto" w:fill="auto"/>
          </w:tcPr>
          <w:p w14:paraId="262B1DDA" w14:textId="77777777" w:rsidR="0048364F" w:rsidRPr="007E1E86" w:rsidRDefault="0048364F" w:rsidP="001C31A3">
            <w:pPr>
              <w:pStyle w:val="TableHeading"/>
            </w:pPr>
            <w:r w:rsidRPr="007E1E86">
              <w:t>Date/Details</w:t>
            </w:r>
          </w:p>
        </w:tc>
      </w:tr>
      <w:tr w:rsidR="0048364F" w:rsidRPr="007E1E86" w14:paraId="5F58E453" w14:textId="77777777" w:rsidTr="005B790A">
        <w:tc>
          <w:tcPr>
            <w:tcW w:w="1701" w:type="dxa"/>
            <w:tcBorders>
              <w:top w:val="single" w:sz="12" w:space="0" w:color="auto"/>
              <w:bottom w:val="single" w:sz="4" w:space="0" w:color="auto"/>
            </w:tcBorders>
            <w:shd w:val="clear" w:color="auto" w:fill="auto"/>
          </w:tcPr>
          <w:p w14:paraId="29031EB0" w14:textId="77777777" w:rsidR="0048364F" w:rsidRPr="007E1E86" w:rsidRDefault="0048364F" w:rsidP="001C31A3">
            <w:pPr>
              <w:pStyle w:val="Tabletext"/>
            </w:pPr>
            <w:r w:rsidRPr="007E1E86">
              <w:t>1.  Sections</w:t>
            </w:r>
            <w:r w:rsidR="004E71D4" w:rsidRPr="007E1E86">
              <w:t> </w:t>
            </w:r>
            <w:r w:rsidRPr="007E1E86">
              <w:t>1 to 3 and anything in this Act not elsewhere covered by this table</w:t>
            </w:r>
          </w:p>
        </w:tc>
        <w:tc>
          <w:tcPr>
            <w:tcW w:w="3828" w:type="dxa"/>
            <w:tcBorders>
              <w:top w:val="single" w:sz="12" w:space="0" w:color="auto"/>
              <w:bottom w:val="single" w:sz="4" w:space="0" w:color="auto"/>
            </w:tcBorders>
            <w:shd w:val="clear" w:color="auto" w:fill="auto"/>
          </w:tcPr>
          <w:p w14:paraId="77BD1416" w14:textId="77777777" w:rsidR="0048364F" w:rsidRPr="007E1E86" w:rsidRDefault="0048364F" w:rsidP="001C31A3">
            <w:pPr>
              <w:pStyle w:val="Tabletext"/>
            </w:pPr>
            <w:r w:rsidRPr="007E1E86">
              <w:t>The day this Act receives the Royal Assent.</w:t>
            </w:r>
          </w:p>
        </w:tc>
        <w:tc>
          <w:tcPr>
            <w:tcW w:w="1582" w:type="dxa"/>
            <w:tcBorders>
              <w:top w:val="single" w:sz="12" w:space="0" w:color="auto"/>
              <w:bottom w:val="single" w:sz="4" w:space="0" w:color="auto"/>
            </w:tcBorders>
            <w:shd w:val="clear" w:color="auto" w:fill="auto"/>
          </w:tcPr>
          <w:p w14:paraId="2BB87B24" w14:textId="71536F4E" w:rsidR="0048364F" w:rsidRPr="007E1E86" w:rsidRDefault="009D33D0" w:rsidP="001C31A3">
            <w:pPr>
              <w:pStyle w:val="Tabletext"/>
            </w:pPr>
            <w:r>
              <w:t>1 March 2021</w:t>
            </w:r>
          </w:p>
        </w:tc>
      </w:tr>
      <w:tr w:rsidR="005B790A" w:rsidRPr="007E1E86" w14:paraId="2A1F4932" w14:textId="77777777" w:rsidTr="005B790A">
        <w:tc>
          <w:tcPr>
            <w:tcW w:w="1701" w:type="dxa"/>
            <w:tcBorders>
              <w:bottom w:val="single" w:sz="2" w:space="0" w:color="auto"/>
            </w:tcBorders>
            <w:shd w:val="clear" w:color="auto" w:fill="auto"/>
          </w:tcPr>
          <w:p w14:paraId="703C3298" w14:textId="77777777" w:rsidR="005B790A" w:rsidRPr="007E1E86" w:rsidRDefault="005B790A" w:rsidP="001C31A3">
            <w:pPr>
              <w:pStyle w:val="Tabletext"/>
            </w:pPr>
            <w:r w:rsidRPr="007E1E86">
              <w:t xml:space="preserve">2. </w:t>
            </w:r>
            <w:r w:rsidR="007D23A2" w:rsidRPr="007E1E86">
              <w:t xml:space="preserve"> </w:t>
            </w:r>
            <w:r w:rsidR="00480A7E" w:rsidRPr="007E1E86">
              <w:t>Schedule 1</w:t>
            </w:r>
            <w:r w:rsidRPr="007E1E86">
              <w:t xml:space="preserve">, </w:t>
            </w:r>
            <w:r w:rsidR="00BA61E1" w:rsidRPr="007E1E86">
              <w:t>Part 1</w:t>
            </w:r>
          </w:p>
        </w:tc>
        <w:tc>
          <w:tcPr>
            <w:tcW w:w="3828" w:type="dxa"/>
            <w:tcBorders>
              <w:bottom w:val="single" w:sz="2" w:space="0" w:color="auto"/>
            </w:tcBorders>
            <w:shd w:val="clear" w:color="auto" w:fill="auto"/>
          </w:tcPr>
          <w:p w14:paraId="506DE761" w14:textId="77777777" w:rsidR="005B790A" w:rsidRPr="007E1E86" w:rsidRDefault="005B790A" w:rsidP="001C31A3">
            <w:pPr>
              <w:pStyle w:val="Tabletext"/>
            </w:pPr>
            <w:r w:rsidRPr="007E1E86">
              <w:t>The day after this Act receives the Royal Assent.</w:t>
            </w:r>
          </w:p>
        </w:tc>
        <w:tc>
          <w:tcPr>
            <w:tcW w:w="1582" w:type="dxa"/>
            <w:tcBorders>
              <w:bottom w:val="single" w:sz="2" w:space="0" w:color="auto"/>
            </w:tcBorders>
            <w:shd w:val="clear" w:color="auto" w:fill="auto"/>
          </w:tcPr>
          <w:p w14:paraId="23525F50" w14:textId="08FA2AC8" w:rsidR="005B790A" w:rsidRPr="007E1E86" w:rsidRDefault="009D33D0" w:rsidP="001C31A3">
            <w:pPr>
              <w:pStyle w:val="Tabletext"/>
            </w:pPr>
            <w:r>
              <w:t>2 March 2021</w:t>
            </w:r>
          </w:p>
        </w:tc>
      </w:tr>
      <w:tr w:rsidR="00BA61E1" w:rsidRPr="007E1E86" w14:paraId="335D0A01" w14:textId="77777777" w:rsidTr="005B790A">
        <w:tc>
          <w:tcPr>
            <w:tcW w:w="1701" w:type="dxa"/>
            <w:tcBorders>
              <w:top w:val="single" w:sz="2" w:space="0" w:color="auto"/>
              <w:bottom w:val="single" w:sz="12" w:space="0" w:color="auto"/>
            </w:tcBorders>
            <w:shd w:val="clear" w:color="auto" w:fill="auto"/>
          </w:tcPr>
          <w:p w14:paraId="0D47C16F" w14:textId="77777777" w:rsidR="00BA61E1" w:rsidRPr="007E1E86" w:rsidRDefault="00BA61E1" w:rsidP="001C31A3">
            <w:pPr>
              <w:pStyle w:val="Tabletext"/>
            </w:pPr>
            <w:r w:rsidRPr="007E1E86">
              <w:t xml:space="preserve">3.  </w:t>
            </w:r>
            <w:r w:rsidR="00480A7E" w:rsidRPr="007E1E86">
              <w:t>Schedule 1</w:t>
            </w:r>
            <w:r w:rsidRPr="007E1E86">
              <w:t>, Part 2</w:t>
            </w:r>
          </w:p>
        </w:tc>
        <w:tc>
          <w:tcPr>
            <w:tcW w:w="3828" w:type="dxa"/>
            <w:tcBorders>
              <w:top w:val="single" w:sz="2" w:space="0" w:color="auto"/>
              <w:bottom w:val="single" w:sz="12" w:space="0" w:color="auto"/>
            </w:tcBorders>
            <w:shd w:val="clear" w:color="auto" w:fill="auto"/>
          </w:tcPr>
          <w:p w14:paraId="14D470A1" w14:textId="77777777" w:rsidR="00BA61E1" w:rsidRPr="007E1E86" w:rsidRDefault="00480A7E" w:rsidP="001C31A3">
            <w:pPr>
              <w:pStyle w:val="Tabletext"/>
            </w:pPr>
            <w:r w:rsidRPr="007E1E86">
              <w:t>1 July</w:t>
            </w:r>
            <w:r w:rsidR="00200526" w:rsidRPr="007E1E86">
              <w:t xml:space="preserve"> 2021.</w:t>
            </w:r>
          </w:p>
        </w:tc>
        <w:tc>
          <w:tcPr>
            <w:tcW w:w="1582" w:type="dxa"/>
            <w:tcBorders>
              <w:top w:val="single" w:sz="2" w:space="0" w:color="auto"/>
              <w:bottom w:val="single" w:sz="12" w:space="0" w:color="auto"/>
            </w:tcBorders>
            <w:shd w:val="clear" w:color="auto" w:fill="auto"/>
          </w:tcPr>
          <w:p w14:paraId="34F197E5" w14:textId="77777777" w:rsidR="00BA61E1" w:rsidRPr="007E1E86" w:rsidRDefault="00480A7E" w:rsidP="001C31A3">
            <w:pPr>
              <w:pStyle w:val="Tabletext"/>
            </w:pPr>
            <w:r w:rsidRPr="007E1E86">
              <w:t>1 July</w:t>
            </w:r>
            <w:r w:rsidR="00200526" w:rsidRPr="007E1E86">
              <w:t xml:space="preserve"> 2021</w:t>
            </w:r>
          </w:p>
        </w:tc>
      </w:tr>
    </w:tbl>
    <w:p w14:paraId="13558BBA" w14:textId="77777777" w:rsidR="0048364F" w:rsidRPr="007E1E86" w:rsidRDefault="00201D27" w:rsidP="001C31A3">
      <w:pPr>
        <w:pStyle w:val="notetext"/>
      </w:pPr>
      <w:r w:rsidRPr="007E1E86">
        <w:t>Note:</w:t>
      </w:r>
      <w:r w:rsidRPr="007E1E86">
        <w:tab/>
        <w:t>This table relates only to the provisions of this Act as originally enacted. It will not be amended to deal with any later amendments of this Act.</w:t>
      </w:r>
    </w:p>
    <w:p w14:paraId="53DE1D5C" w14:textId="77777777" w:rsidR="0048364F" w:rsidRPr="007E1E86" w:rsidRDefault="0048364F" w:rsidP="001C31A3">
      <w:pPr>
        <w:pStyle w:val="subsection"/>
      </w:pPr>
      <w:r w:rsidRPr="007E1E86">
        <w:tab/>
        <w:t>(2)</w:t>
      </w:r>
      <w:r w:rsidRPr="007E1E86">
        <w:tab/>
      </w:r>
      <w:r w:rsidR="00201D27" w:rsidRPr="007E1E86">
        <w:t xml:space="preserve">Any information in </w:t>
      </w:r>
      <w:r w:rsidR="00877D48" w:rsidRPr="007E1E86">
        <w:t>c</w:t>
      </w:r>
      <w:r w:rsidR="00201D27" w:rsidRPr="007E1E86">
        <w:t>olumn 3 of the table is not part of this Act. Information may be inserted in this column, or information in it may be edited, in any published version of this Act.</w:t>
      </w:r>
    </w:p>
    <w:p w14:paraId="0B193482" w14:textId="77777777" w:rsidR="0048364F" w:rsidRPr="007E1E86" w:rsidRDefault="0048364F" w:rsidP="001C31A3">
      <w:pPr>
        <w:pStyle w:val="ActHead5"/>
      </w:pPr>
      <w:bookmarkStart w:id="3" w:name="_Toc65759410"/>
      <w:r w:rsidRPr="007E1E86">
        <w:rPr>
          <w:rStyle w:val="CharSectno"/>
        </w:rPr>
        <w:t>3</w:t>
      </w:r>
      <w:r w:rsidRPr="007E1E86">
        <w:t xml:space="preserve">  Schedules</w:t>
      </w:r>
      <w:bookmarkEnd w:id="3"/>
    </w:p>
    <w:p w14:paraId="610009C9" w14:textId="77777777" w:rsidR="0048364F" w:rsidRPr="007E1E86" w:rsidRDefault="0048364F" w:rsidP="001C31A3">
      <w:pPr>
        <w:pStyle w:val="subsection"/>
      </w:pPr>
      <w:r w:rsidRPr="007E1E86">
        <w:tab/>
      </w:r>
      <w:r w:rsidRPr="007E1E86">
        <w:tab/>
      </w:r>
      <w:r w:rsidR="00202618" w:rsidRPr="007E1E86">
        <w:t>Legislation that is specified in a Schedule to this Act is amended or repealed as set out in the applicable items in the Schedule concerned, and any other item in a Schedule to this Act has effect according to its terms.</w:t>
      </w:r>
    </w:p>
    <w:p w14:paraId="59844473" w14:textId="77777777" w:rsidR="002A3499" w:rsidRPr="007E1E86" w:rsidRDefault="00480A7E" w:rsidP="001C31A3">
      <w:pPr>
        <w:pStyle w:val="ActHead6"/>
        <w:pageBreakBefore/>
      </w:pPr>
      <w:bookmarkStart w:id="4" w:name="opcAmSched"/>
      <w:bookmarkStart w:id="5" w:name="opcCurrentFind"/>
      <w:bookmarkStart w:id="6" w:name="_Toc65759411"/>
      <w:r w:rsidRPr="007E1E86">
        <w:rPr>
          <w:rStyle w:val="CharAmSchNo"/>
        </w:rPr>
        <w:lastRenderedPageBreak/>
        <w:t>Schedule 1</w:t>
      </w:r>
      <w:r w:rsidR="00813157" w:rsidRPr="007E1E86">
        <w:t>—</w:t>
      </w:r>
      <w:r w:rsidR="002A3499" w:rsidRPr="007E1E86">
        <w:rPr>
          <w:rStyle w:val="CharAmSchText"/>
        </w:rPr>
        <w:t>Amendments</w:t>
      </w:r>
      <w:bookmarkEnd w:id="6"/>
    </w:p>
    <w:p w14:paraId="4242E737" w14:textId="77777777" w:rsidR="005B790A" w:rsidRPr="007E1E86" w:rsidRDefault="00BA61E1" w:rsidP="001C31A3">
      <w:pPr>
        <w:pStyle w:val="ActHead7"/>
      </w:pPr>
      <w:bookmarkStart w:id="7" w:name="_Toc65759412"/>
      <w:bookmarkEnd w:id="4"/>
      <w:bookmarkEnd w:id="5"/>
      <w:r w:rsidRPr="007E1E86">
        <w:rPr>
          <w:rStyle w:val="CharAmPartNo"/>
        </w:rPr>
        <w:t>Part 1</w:t>
      </w:r>
      <w:r w:rsidR="005B790A" w:rsidRPr="007E1E86">
        <w:t>—</w:t>
      </w:r>
      <w:r w:rsidR="005B790A" w:rsidRPr="007E1E86">
        <w:rPr>
          <w:rStyle w:val="CharAmPartText"/>
        </w:rPr>
        <w:t>Amendments commencing day after Royal Assent</w:t>
      </w:r>
      <w:bookmarkEnd w:id="7"/>
    </w:p>
    <w:p w14:paraId="1BACF0FD" w14:textId="77777777" w:rsidR="00BA61E1" w:rsidRPr="007E1E86" w:rsidRDefault="00BA61E1" w:rsidP="001C31A3">
      <w:pPr>
        <w:pStyle w:val="ActHead9"/>
        <w:rPr>
          <w:i w:val="0"/>
        </w:rPr>
      </w:pPr>
      <w:bookmarkStart w:id="8" w:name="_Toc65759413"/>
      <w:r w:rsidRPr="007E1E86">
        <w:t>Higher Education Support Act 2003</w:t>
      </w:r>
      <w:bookmarkEnd w:id="8"/>
    </w:p>
    <w:p w14:paraId="54A5E2BD" w14:textId="77777777" w:rsidR="00BA61E1" w:rsidRPr="007E1E86" w:rsidRDefault="006F4F74" w:rsidP="001C31A3">
      <w:pPr>
        <w:pStyle w:val="ItemHead"/>
      </w:pPr>
      <w:r w:rsidRPr="007E1E86">
        <w:t>1</w:t>
      </w:r>
      <w:r w:rsidR="00BA61E1" w:rsidRPr="007E1E86">
        <w:t xml:space="preserve">  Clause 55 of </w:t>
      </w:r>
      <w:r w:rsidR="00480A7E" w:rsidRPr="007E1E86">
        <w:t>Schedule 1</w:t>
      </w:r>
      <w:r w:rsidR="00BA61E1" w:rsidRPr="007E1E86">
        <w:t>A</w:t>
      </w:r>
    </w:p>
    <w:p w14:paraId="7AF85BC7" w14:textId="77777777" w:rsidR="00BA61E1" w:rsidRPr="007E1E86" w:rsidRDefault="00BA61E1" w:rsidP="001C31A3">
      <w:pPr>
        <w:pStyle w:val="Item"/>
      </w:pPr>
      <w:r w:rsidRPr="007E1E86">
        <w:t>Omit “If”, substitute “(1) If”.</w:t>
      </w:r>
    </w:p>
    <w:p w14:paraId="24E5C972" w14:textId="77777777" w:rsidR="00BA61E1" w:rsidRPr="007E1E86" w:rsidRDefault="006F4F74" w:rsidP="001C31A3">
      <w:pPr>
        <w:pStyle w:val="ItemHead"/>
      </w:pPr>
      <w:r w:rsidRPr="007E1E86">
        <w:t>2</w:t>
      </w:r>
      <w:r w:rsidR="00BA61E1" w:rsidRPr="007E1E86">
        <w:t xml:space="preserve">  At the end of clause 55 of </w:t>
      </w:r>
      <w:r w:rsidR="00480A7E" w:rsidRPr="007E1E86">
        <w:t>Schedule 1</w:t>
      </w:r>
      <w:r w:rsidR="00BA61E1" w:rsidRPr="007E1E86">
        <w:t>A</w:t>
      </w:r>
    </w:p>
    <w:p w14:paraId="1E6DE079" w14:textId="77777777" w:rsidR="00BA61E1" w:rsidRPr="007E1E86" w:rsidRDefault="00BA61E1" w:rsidP="001C31A3">
      <w:pPr>
        <w:pStyle w:val="Item"/>
      </w:pPr>
      <w:r w:rsidRPr="007E1E86">
        <w:t>Add:</w:t>
      </w:r>
    </w:p>
    <w:p w14:paraId="7849556D" w14:textId="77777777" w:rsidR="00467457" w:rsidRPr="007E1E86" w:rsidRDefault="00467457" w:rsidP="001C31A3">
      <w:pPr>
        <w:pStyle w:val="subsection"/>
      </w:pPr>
      <w:r w:rsidRPr="007E1E86">
        <w:tab/>
        <w:t>(2)</w:t>
      </w:r>
      <w:r w:rsidRPr="007E1E86">
        <w:tab/>
        <w:t xml:space="preserve">However, the Commonwealth must not pay an amount to a provider under </w:t>
      </w:r>
      <w:r w:rsidR="00480A7E" w:rsidRPr="007E1E86">
        <w:t>paragraph (</w:t>
      </w:r>
      <w:r w:rsidRPr="007E1E86">
        <w:t xml:space="preserve">1)(b) in respect of a </w:t>
      </w:r>
      <w:r w:rsidR="001C31A3" w:rsidRPr="007E1E86">
        <w:rPr>
          <w:position w:val="6"/>
          <w:sz w:val="16"/>
        </w:rPr>
        <w:t>*</w:t>
      </w:r>
      <w:r w:rsidRPr="007E1E86">
        <w:t xml:space="preserve">VET unit of study unless the provider has given the Minister notice of the student’s liability to pay his or her </w:t>
      </w:r>
      <w:r w:rsidR="001C31A3" w:rsidRPr="007E1E86">
        <w:rPr>
          <w:position w:val="6"/>
          <w:sz w:val="16"/>
        </w:rPr>
        <w:t>*</w:t>
      </w:r>
      <w:r w:rsidRPr="007E1E86">
        <w:t>VET tuition fee for the unit, including the amount of the liability, before the reporting deadline for the unit.</w:t>
      </w:r>
    </w:p>
    <w:p w14:paraId="305F1DC6" w14:textId="77777777" w:rsidR="00467457" w:rsidRPr="007E1E86" w:rsidRDefault="00467457" w:rsidP="001C31A3">
      <w:pPr>
        <w:pStyle w:val="subsection"/>
      </w:pPr>
      <w:r w:rsidRPr="007E1E86">
        <w:tab/>
        <w:t>(3)</w:t>
      </w:r>
      <w:r w:rsidRPr="007E1E86">
        <w:tab/>
        <w:t xml:space="preserve">The amount paid to a provider for a unit under </w:t>
      </w:r>
      <w:r w:rsidR="00480A7E" w:rsidRPr="007E1E86">
        <w:t>paragraph (</w:t>
      </w:r>
      <w:r w:rsidRPr="007E1E86">
        <w:t xml:space="preserve">1)(b) must not exceed the amount notified for the purposes of </w:t>
      </w:r>
      <w:r w:rsidR="00480A7E" w:rsidRPr="007E1E86">
        <w:t>subclause (</w:t>
      </w:r>
      <w:r w:rsidRPr="007E1E86">
        <w:t>2) before the reporting deadline for the unit.</w:t>
      </w:r>
    </w:p>
    <w:p w14:paraId="4C06136A" w14:textId="77777777" w:rsidR="00467457" w:rsidRPr="007E1E86" w:rsidRDefault="00467457" w:rsidP="001C31A3">
      <w:pPr>
        <w:pStyle w:val="subsection"/>
      </w:pPr>
      <w:r w:rsidRPr="007E1E86">
        <w:tab/>
        <w:t>(4)</w:t>
      </w:r>
      <w:r w:rsidRPr="007E1E86">
        <w:tab/>
        <w:t xml:space="preserve">If the Commonwealth does not pay an amount to a provider because of the operation of </w:t>
      </w:r>
      <w:r w:rsidR="00480A7E" w:rsidRPr="007E1E86">
        <w:t>subclause (</w:t>
      </w:r>
      <w:r w:rsidRPr="007E1E86">
        <w:t xml:space="preserve">2), the student is discharged from all liability to pay or account for so much of the student’s </w:t>
      </w:r>
      <w:r w:rsidR="001C31A3" w:rsidRPr="007E1E86">
        <w:rPr>
          <w:position w:val="6"/>
          <w:sz w:val="16"/>
        </w:rPr>
        <w:t>*</w:t>
      </w:r>
      <w:r w:rsidRPr="007E1E86">
        <w:t xml:space="preserve">VET tuition fee for the </w:t>
      </w:r>
      <w:r w:rsidR="001C31A3" w:rsidRPr="007E1E86">
        <w:rPr>
          <w:position w:val="6"/>
          <w:sz w:val="16"/>
        </w:rPr>
        <w:t>*</w:t>
      </w:r>
      <w:r w:rsidRPr="007E1E86">
        <w:t>VET unit of study as is equal to that amount.</w:t>
      </w:r>
    </w:p>
    <w:p w14:paraId="2023A539" w14:textId="77777777" w:rsidR="00467457" w:rsidRPr="007E1E86" w:rsidRDefault="00467457" w:rsidP="001C31A3">
      <w:pPr>
        <w:pStyle w:val="subsection"/>
      </w:pPr>
      <w:r w:rsidRPr="007E1E86">
        <w:tab/>
        <w:t>(5)</w:t>
      </w:r>
      <w:r w:rsidRPr="007E1E86">
        <w:tab/>
        <w:t xml:space="preserve">For the purposes of this clause, the </w:t>
      </w:r>
      <w:r w:rsidRPr="007E1E86">
        <w:rPr>
          <w:b/>
          <w:i/>
        </w:rPr>
        <w:t>reporting deadline</w:t>
      </w:r>
      <w:r w:rsidRPr="007E1E86">
        <w:t xml:space="preserve"> for a unit is:</w:t>
      </w:r>
    </w:p>
    <w:p w14:paraId="12863BC6" w14:textId="77777777" w:rsidR="00467457" w:rsidRPr="007E1E86" w:rsidRDefault="00467457" w:rsidP="001C31A3">
      <w:pPr>
        <w:pStyle w:val="paragraph"/>
      </w:pPr>
      <w:r w:rsidRPr="007E1E86">
        <w:tab/>
        <w:t>(a)</w:t>
      </w:r>
      <w:r w:rsidRPr="007E1E86">
        <w:tab/>
        <w:t xml:space="preserve">for a unit with a </w:t>
      </w:r>
      <w:r w:rsidR="001C31A3" w:rsidRPr="007E1E86">
        <w:rPr>
          <w:position w:val="6"/>
          <w:sz w:val="16"/>
        </w:rPr>
        <w:t>*</w:t>
      </w:r>
      <w:r w:rsidRPr="007E1E86">
        <w:t xml:space="preserve">census date before </w:t>
      </w:r>
      <w:r w:rsidR="00480A7E" w:rsidRPr="007E1E86">
        <w:t>1 January</w:t>
      </w:r>
      <w:r w:rsidRPr="007E1E86">
        <w:t xml:space="preserve"> 2018—before </w:t>
      </w:r>
      <w:r w:rsidR="00480A7E" w:rsidRPr="007E1E86">
        <w:t>1 July</w:t>
      </w:r>
      <w:r w:rsidRPr="007E1E86">
        <w:t xml:space="preserve"> 2021; or</w:t>
      </w:r>
    </w:p>
    <w:p w14:paraId="42AFDA05" w14:textId="77777777" w:rsidR="00467457" w:rsidRPr="007E1E86" w:rsidRDefault="00467457" w:rsidP="001C31A3">
      <w:pPr>
        <w:pStyle w:val="paragraph"/>
      </w:pPr>
      <w:r w:rsidRPr="007E1E86">
        <w:tab/>
        <w:t>(b)</w:t>
      </w:r>
      <w:r w:rsidRPr="007E1E86">
        <w:tab/>
        <w:t xml:space="preserve">for any other unit—before </w:t>
      </w:r>
      <w:r w:rsidR="00480A7E" w:rsidRPr="007E1E86">
        <w:t>1 January</w:t>
      </w:r>
      <w:r w:rsidRPr="007E1E86">
        <w:t xml:space="preserve"> 2022.</w:t>
      </w:r>
    </w:p>
    <w:p w14:paraId="6F4BC968" w14:textId="77777777" w:rsidR="00BA61E1" w:rsidRPr="007E1E86" w:rsidRDefault="006F4F74" w:rsidP="001C31A3">
      <w:pPr>
        <w:pStyle w:val="ItemHead"/>
      </w:pPr>
      <w:r w:rsidRPr="007E1E86">
        <w:t>3</w:t>
      </w:r>
      <w:r w:rsidR="00BA61E1" w:rsidRPr="007E1E86">
        <w:t xml:space="preserve">  After </w:t>
      </w:r>
      <w:r w:rsidR="00A53669" w:rsidRPr="007E1E86">
        <w:t>paragraph 6</w:t>
      </w:r>
      <w:r w:rsidR="00BA61E1" w:rsidRPr="007E1E86">
        <w:t xml:space="preserve">1(2)(a) of </w:t>
      </w:r>
      <w:r w:rsidR="00480A7E" w:rsidRPr="007E1E86">
        <w:t>Schedule 1</w:t>
      </w:r>
      <w:r w:rsidR="00BA61E1" w:rsidRPr="007E1E86">
        <w:t>A</w:t>
      </w:r>
    </w:p>
    <w:p w14:paraId="497A8195" w14:textId="77777777" w:rsidR="00BA61E1" w:rsidRPr="007E1E86" w:rsidRDefault="00BA61E1" w:rsidP="001C31A3">
      <w:pPr>
        <w:pStyle w:val="Item"/>
      </w:pPr>
      <w:r w:rsidRPr="007E1E86">
        <w:t>Insert:</w:t>
      </w:r>
    </w:p>
    <w:p w14:paraId="7BCA130F" w14:textId="77777777" w:rsidR="00BA61E1" w:rsidRPr="007E1E86" w:rsidRDefault="00BA61E1" w:rsidP="001C31A3">
      <w:pPr>
        <w:pStyle w:val="paragraph"/>
      </w:pPr>
      <w:r w:rsidRPr="007E1E86">
        <w:lastRenderedPageBreak/>
        <w:tab/>
        <w:t>(aa)</w:t>
      </w:r>
      <w:r w:rsidRPr="007E1E86">
        <w:tab/>
        <w:t>deducted by the Commonwealth from any amount that is payable, or to be paid, to the provider:</w:t>
      </w:r>
    </w:p>
    <w:p w14:paraId="124A0FCD" w14:textId="77777777" w:rsidR="00BA61E1" w:rsidRPr="007E1E86" w:rsidRDefault="00BA61E1" w:rsidP="001C31A3">
      <w:pPr>
        <w:pStyle w:val="paragraphsub"/>
      </w:pPr>
      <w:r w:rsidRPr="007E1E86">
        <w:tab/>
        <w:t>(</w:t>
      </w:r>
      <w:proofErr w:type="spellStart"/>
      <w:r w:rsidRPr="007E1E86">
        <w:t>i</w:t>
      </w:r>
      <w:proofErr w:type="spellEnd"/>
      <w:r w:rsidRPr="007E1E86">
        <w:t>)</w:t>
      </w:r>
      <w:r w:rsidRPr="007E1E86">
        <w:tab/>
        <w:t>if the provider is a higher education provider—under section 110</w:t>
      </w:r>
      <w:r w:rsidR="007E1E86">
        <w:noBreakHyphen/>
      </w:r>
      <w:r w:rsidRPr="007E1E86">
        <w:t>1 of this Act; or</w:t>
      </w:r>
    </w:p>
    <w:p w14:paraId="3E4CEDEF" w14:textId="77777777" w:rsidR="00BA61E1" w:rsidRPr="007E1E86" w:rsidRDefault="00BA61E1" w:rsidP="001C31A3">
      <w:pPr>
        <w:pStyle w:val="paragraphsub"/>
      </w:pPr>
      <w:r w:rsidRPr="007E1E86">
        <w:tab/>
        <w:t>(ii)</w:t>
      </w:r>
      <w:r w:rsidRPr="007E1E86">
        <w:tab/>
        <w:t xml:space="preserve">if the provider is an approved course provider under the </w:t>
      </w:r>
      <w:r w:rsidRPr="007E1E86">
        <w:rPr>
          <w:i/>
        </w:rPr>
        <w:t>VET Student Loans Act 2016</w:t>
      </w:r>
      <w:r w:rsidRPr="007E1E86">
        <w:t>—under section 19 of that Act; or</w:t>
      </w:r>
    </w:p>
    <w:p w14:paraId="2850C816" w14:textId="77777777" w:rsidR="00BA61E1" w:rsidRPr="007E1E86" w:rsidRDefault="006F4F74" w:rsidP="001C31A3">
      <w:pPr>
        <w:pStyle w:val="ItemHead"/>
      </w:pPr>
      <w:r w:rsidRPr="007E1E86">
        <w:t>4</w:t>
      </w:r>
      <w:r w:rsidR="00BA61E1" w:rsidRPr="007E1E86">
        <w:t xml:space="preserve">  After </w:t>
      </w:r>
      <w:r w:rsidR="00A53669" w:rsidRPr="007E1E86">
        <w:t>paragraph 6</w:t>
      </w:r>
      <w:r w:rsidR="00BA61E1" w:rsidRPr="007E1E86">
        <w:t xml:space="preserve">1(3)(a) of </w:t>
      </w:r>
      <w:r w:rsidR="00480A7E" w:rsidRPr="007E1E86">
        <w:t>Schedule 1</w:t>
      </w:r>
      <w:r w:rsidR="00BA61E1" w:rsidRPr="007E1E86">
        <w:t>A</w:t>
      </w:r>
    </w:p>
    <w:p w14:paraId="3E18BACD" w14:textId="77777777" w:rsidR="00BA61E1" w:rsidRPr="007E1E86" w:rsidRDefault="00BA61E1" w:rsidP="001C31A3">
      <w:pPr>
        <w:pStyle w:val="Item"/>
      </w:pPr>
      <w:r w:rsidRPr="007E1E86">
        <w:t>Insert:</w:t>
      </w:r>
    </w:p>
    <w:p w14:paraId="55C316E6" w14:textId="77777777" w:rsidR="00BA61E1" w:rsidRPr="007E1E86" w:rsidRDefault="00BA61E1" w:rsidP="001C31A3">
      <w:pPr>
        <w:pStyle w:val="paragraph"/>
      </w:pPr>
      <w:r w:rsidRPr="007E1E86">
        <w:tab/>
        <w:t>(aa)</w:t>
      </w:r>
      <w:r w:rsidRPr="007E1E86">
        <w:tab/>
        <w:t>deducted by the Commonwealth from any amount that is payable, or to be paid, to the provider:</w:t>
      </w:r>
    </w:p>
    <w:p w14:paraId="385259E2" w14:textId="77777777" w:rsidR="00BA61E1" w:rsidRPr="007E1E86" w:rsidRDefault="00BA61E1" w:rsidP="001C31A3">
      <w:pPr>
        <w:pStyle w:val="paragraphsub"/>
      </w:pPr>
      <w:r w:rsidRPr="007E1E86">
        <w:tab/>
        <w:t>(</w:t>
      </w:r>
      <w:proofErr w:type="spellStart"/>
      <w:r w:rsidRPr="007E1E86">
        <w:t>i</w:t>
      </w:r>
      <w:proofErr w:type="spellEnd"/>
      <w:r w:rsidRPr="007E1E86">
        <w:t>)</w:t>
      </w:r>
      <w:r w:rsidRPr="007E1E86">
        <w:tab/>
        <w:t>if the provider is a higher education provider—under section 110</w:t>
      </w:r>
      <w:r w:rsidR="007E1E86">
        <w:noBreakHyphen/>
      </w:r>
      <w:r w:rsidRPr="007E1E86">
        <w:t>1 of this Act; or</w:t>
      </w:r>
    </w:p>
    <w:p w14:paraId="4A4F1542" w14:textId="77777777" w:rsidR="00BA61E1" w:rsidRPr="007E1E86" w:rsidRDefault="00BA61E1" w:rsidP="001C31A3">
      <w:pPr>
        <w:pStyle w:val="paragraphsub"/>
      </w:pPr>
      <w:r w:rsidRPr="007E1E86">
        <w:tab/>
        <w:t>(ii)</w:t>
      </w:r>
      <w:r w:rsidRPr="007E1E86">
        <w:tab/>
        <w:t xml:space="preserve">if the provider is an approved course provider under the </w:t>
      </w:r>
      <w:r w:rsidRPr="007E1E86">
        <w:rPr>
          <w:i/>
        </w:rPr>
        <w:t>VET Student Loans Act 2016</w:t>
      </w:r>
      <w:r w:rsidRPr="007E1E86">
        <w:t>—under section 19 of that Act; or</w:t>
      </w:r>
    </w:p>
    <w:p w14:paraId="56EF5CDE" w14:textId="77777777" w:rsidR="00BA61E1" w:rsidRPr="007E1E86" w:rsidRDefault="006F4F74" w:rsidP="001C31A3">
      <w:pPr>
        <w:pStyle w:val="ItemHead"/>
      </w:pPr>
      <w:r w:rsidRPr="007E1E86">
        <w:t>5</w:t>
      </w:r>
      <w:r w:rsidR="00BA61E1" w:rsidRPr="007E1E86">
        <w:t xml:space="preserve">  After clause 61 of </w:t>
      </w:r>
      <w:r w:rsidR="00480A7E" w:rsidRPr="007E1E86">
        <w:t>Schedule 1</w:t>
      </w:r>
      <w:r w:rsidR="00BA61E1" w:rsidRPr="007E1E86">
        <w:t>A</w:t>
      </w:r>
    </w:p>
    <w:p w14:paraId="37CA8CF6" w14:textId="77777777" w:rsidR="00BA61E1" w:rsidRPr="007E1E86" w:rsidRDefault="00BA61E1" w:rsidP="001C31A3">
      <w:pPr>
        <w:pStyle w:val="Item"/>
      </w:pPr>
      <w:r w:rsidRPr="007E1E86">
        <w:t>Insert:</w:t>
      </w:r>
    </w:p>
    <w:p w14:paraId="708E8AD0" w14:textId="77777777" w:rsidR="00BA61E1" w:rsidRPr="007E1E86" w:rsidRDefault="00BA61E1" w:rsidP="001C31A3">
      <w:pPr>
        <w:pStyle w:val="ActHead5"/>
      </w:pPr>
      <w:bookmarkStart w:id="9" w:name="_Toc65759414"/>
      <w:r w:rsidRPr="007E1E86">
        <w:rPr>
          <w:rStyle w:val="CharSectno"/>
        </w:rPr>
        <w:t>61A</w:t>
      </w:r>
      <w:r w:rsidRPr="007E1E86">
        <w:t xml:space="preserve">  Amounts owed by VET providers may be set off against amounts payable under this Act or the </w:t>
      </w:r>
      <w:r w:rsidRPr="007E1E86">
        <w:rPr>
          <w:i/>
        </w:rPr>
        <w:t>VET Student Loans Act 2016</w:t>
      </w:r>
      <w:bookmarkEnd w:id="9"/>
    </w:p>
    <w:p w14:paraId="27703869" w14:textId="77777777" w:rsidR="00BA61E1" w:rsidRPr="007E1E86" w:rsidRDefault="00BA61E1" w:rsidP="001C31A3">
      <w:pPr>
        <w:pStyle w:val="subsection"/>
      </w:pPr>
      <w:r w:rsidRPr="007E1E86">
        <w:tab/>
      </w:r>
      <w:r w:rsidRPr="007E1E86">
        <w:tab/>
        <w:t xml:space="preserve">An amount payable by a </w:t>
      </w:r>
      <w:r w:rsidR="001C31A3" w:rsidRPr="007E1E86">
        <w:rPr>
          <w:position w:val="6"/>
          <w:sz w:val="16"/>
        </w:rPr>
        <w:t>*</w:t>
      </w:r>
      <w:r w:rsidRPr="007E1E86">
        <w:t>VET provider to the Commonwealth under this Schedule may, in whole or in part, be:</w:t>
      </w:r>
    </w:p>
    <w:p w14:paraId="1730EEE3" w14:textId="77777777" w:rsidR="00BA61E1" w:rsidRPr="007E1E86" w:rsidRDefault="00BA61E1" w:rsidP="001C31A3">
      <w:pPr>
        <w:pStyle w:val="paragraph"/>
      </w:pPr>
      <w:r w:rsidRPr="007E1E86">
        <w:tab/>
        <w:t>(a)</w:t>
      </w:r>
      <w:r w:rsidRPr="007E1E86">
        <w:tab/>
        <w:t>deducted by the Commonwealth from any amount that is payable, or to be paid, to the provider:</w:t>
      </w:r>
    </w:p>
    <w:p w14:paraId="4B492CAB" w14:textId="77777777" w:rsidR="00BA61E1" w:rsidRPr="007E1E86" w:rsidRDefault="00BA61E1" w:rsidP="001C31A3">
      <w:pPr>
        <w:pStyle w:val="paragraphsub"/>
      </w:pPr>
      <w:r w:rsidRPr="007E1E86">
        <w:tab/>
        <w:t>(</w:t>
      </w:r>
      <w:proofErr w:type="spellStart"/>
      <w:r w:rsidRPr="007E1E86">
        <w:t>i</w:t>
      </w:r>
      <w:proofErr w:type="spellEnd"/>
      <w:r w:rsidRPr="007E1E86">
        <w:t>)</w:t>
      </w:r>
      <w:r w:rsidRPr="007E1E86">
        <w:tab/>
        <w:t>if the provider is a higher education provider—under section 110</w:t>
      </w:r>
      <w:r w:rsidR="007E1E86">
        <w:noBreakHyphen/>
      </w:r>
      <w:r w:rsidRPr="007E1E86">
        <w:t>1 of this Act; or</w:t>
      </w:r>
    </w:p>
    <w:p w14:paraId="51436A6C" w14:textId="77777777" w:rsidR="00BA61E1" w:rsidRPr="007E1E86" w:rsidRDefault="00BA61E1" w:rsidP="001C31A3">
      <w:pPr>
        <w:pStyle w:val="paragraphsub"/>
      </w:pPr>
      <w:r w:rsidRPr="007E1E86">
        <w:tab/>
        <w:t>(ii)</w:t>
      </w:r>
      <w:r w:rsidRPr="007E1E86">
        <w:tab/>
        <w:t xml:space="preserve">if the provider is an approved course provider under the </w:t>
      </w:r>
      <w:r w:rsidRPr="007E1E86">
        <w:rPr>
          <w:i/>
        </w:rPr>
        <w:t>VET Student Loans Act 2016</w:t>
      </w:r>
      <w:r w:rsidRPr="007E1E86">
        <w:t>—under section 19 of that Act; or</w:t>
      </w:r>
    </w:p>
    <w:p w14:paraId="225683F5" w14:textId="77777777" w:rsidR="00BA61E1" w:rsidRPr="007E1E86" w:rsidRDefault="00BA61E1" w:rsidP="001C31A3">
      <w:pPr>
        <w:pStyle w:val="paragraph"/>
      </w:pPr>
      <w:r w:rsidRPr="007E1E86">
        <w:tab/>
        <w:t>(b)</w:t>
      </w:r>
      <w:r w:rsidRPr="007E1E86">
        <w:tab/>
        <w:t>recovered by the Commonwealth from the provider as a debt due to the Commonwealth.</w:t>
      </w:r>
    </w:p>
    <w:p w14:paraId="6C1115DC" w14:textId="77777777" w:rsidR="00BA61E1" w:rsidRPr="007E1E86" w:rsidRDefault="00BA61E1" w:rsidP="001C31A3">
      <w:pPr>
        <w:pStyle w:val="notetext"/>
      </w:pPr>
      <w:r w:rsidRPr="007E1E86">
        <w:lastRenderedPageBreak/>
        <w:t>Example:</w:t>
      </w:r>
      <w:r w:rsidRPr="007E1E86">
        <w:tab/>
        <w:t xml:space="preserve">If the VET provider is an approved course provider under the </w:t>
      </w:r>
      <w:r w:rsidRPr="007E1E86">
        <w:rPr>
          <w:i/>
        </w:rPr>
        <w:t>VET Student Loans Act 2016</w:t>
      </w:r>
      <w:r w:rsidRPr="007E1E86">
        <w:t>, amounts payable by the provider to the Commonwealth under clause 56 of this Schedule may be set off against loan amounts payable to the provider under that Act.</w:t>
      </w:r>
    </w:p>
    <w:p w14:paraId="66807A2D" w14:textId="77777777" w:rsidR="005B790A" w:rsidRPr="007E1E86" w:rsidRDefault="005B790A" w:rsidP="001C31A3">
      <w:pPr>
        <w:pStyle w:val="ActHead9"/>
        <w:rPr>
          <w:i w:val="0"/>
        </w:rPr>
      </w:pPr>
      <w:bookmarkStart w:id="10" w:name="_Toc65759415"/>
      <w:r w:rsidRPr="007E1E86">
        <w:t>VET Student Loans Act 2016</w:t>
      </w:r>
      <w:bookmarkEnd w:id="10"/>
    </w:p>
    <w:p w14:paraId="69DC07DB" w14:textId="77777777" w:rsidR="00D43ADC" w:rsidRPr="007E1E86" w:rsidRDefault="006F4F74" w:rsidP="001C31A3">
      <w:pPr>
        <w:pStyle w:val="ItemHead"/>
      </w:pPr>
      <w:r w:rsidRPr="007E1E86">
        <w:t>6</w:t>
      </w:r>
      <w:r w:rsidR="00D43ADC" w:rsidRPr="007E1E86">
        <w:t xml:space="preserve">  </w:t>
      </w:r>
      <w:r w:rsidR="00D64A52" w:rsidRPr="007E1E86">
        <w:t xml:space="preserve">After </w:t>
      </w:r>
      <w:r w:rsidR="00A53669" w:rsidRPr="007E1E86">
        <w:t>paragraph 2</w:t>
      </w:r>
      <w:r w:rsidR="00D64A52" w:rsidRPr="007E1E86">
        <w:t>0(g)</w:t>
      </w:r>
    </w:p>
    <w:p w14:paraId="392651E6" w14:textId="77777777" w:rsidR="00D43ADC" w:rsidRPr="007E1E86" w:rsidRDefault="00D64A52" w:rsidP="001C31A3">
      <w:pPr>
        <w:pStyle w:val="Item"/>
      </w:pPr>
      <w:r w:rsidRPr="007E1E86">
        <w:t>Insert</w:t>
      </w:r>
      <w:r w:rsidR="00D43ADC" w:rsidRPr="007E1E86">
        <w:t>:</w:t>
      </w:r>
    </w:p>
    <w:p w14:paraId="0E20A944" w14:textId="77777777" w:rsidR="00D43ADC" w:rsidRPr="007E1E86" w:rsidRDefault="00D43ADC" w:rsidP="001C31A3">
      <w:pPr>
        <w:pStyle w:val="paragraph"/>
      </w:pPr>
      <w:r w:rsidRPr="007E1E86">
        <w:tab/>
      </w:r>
      <w:r w:rsidR="00D64A52" w:rsidRPr="007E1E86">
        <w:t xml:space="preserve">; </w:t>
      </w:r>
      <w:r w:rsidRPr="007E1E86">
        <w:t>(h)</w:t>
      </w:r>
      <w:r w:rsidRPr="007E1E86">
        <w:tab/>
        <w:t>the Secretary is satisfied that special circumstances prevented, or will prevent, the student from completing the requirements for the course, or the part of the course;</w:t>
      </w:r>
    </w:p>
    <w:p w14:paraId="160A5ED6" w14:textId="77777777" w:rsidR="00D43ADC" w:rsidRPr="007E1E86" w:rsidRDefault="00D43ADC" w:rsidP="001C31A3">
      <w:pPr>
        <w:pStyle w:val="paragraph"/>
      </w:pPr>
      <w:r w:rsidRPr="007E1E86">
        <w:tab/>
        <w:t>(</w:t>
      </w:r>
      <w:proofErr w:type="spellStart"/>
      <w:r w:rsidRPr="007E1E86">
        <w:t>i</w:t>
      </w:r>
      <w:proofErr w:type="spellEnd"/>
      <w:r w:rsidRPr="007E1E86">
        <w:t>)</w:t>
      </w:r>
      <w:r w:rsidRPr="007E1E86">
        <w:tab/>
        <w:t>the Secretary is satisfied that the course provider, or a person acting on the provider’s behalf, engaged in unacceptable conduct in relation to the student’s application for the VET student loan;</w:t>
      </w:r>
    </w:p>
    <w:p w14:paraId="26E4F602" w14:textId="77777777" w:rsidR="00D43ADC" w:rsidRPr="007E1E86" w:rsidRDefault="00D43ADC" w:rsidP="001C31A3">
      <w:pPr>
        <w:pStyle w:val="paragraph"/>
      </w:pPr>
      <w:r w:rsidRPr="007E1E86">
        <w:tab/>
        <w:t>(j)</w:t>
      </w:r>
      <w:r w:rsidRPr="007E1E86">
        <w:tab/>
        <w:t>both of the following apply:</w:t>
      </w:r>
    </w:p>
    <w:p w14:paraId="38BE8265" w14:textId="77777777" w:rsidR="00D43ADC" w:rsidRPr="007E1E86" w:rsidRDefault="00D43ADC" w:rsidP="001C31A3">
      <w:pPr>
        <w:pStyle w:val="paragraphsub"/>
      </w:pPr>
      <w:r w:rsidRPr="007E1E86">
        <w:tab/>
        <w:t>(</w:t>
      </w:r>
      <w:proofErr w:type="spellStart"/>
      <w:r w:rsidRPr="007E1E86">
        <w:t>i</w:t>
      </w:r>
      <w:proofErr w:type="spellEnd"/>
      <w:r w:rsidRPr="007E1E86">
        <w:t>)</w:t>
      </w:r>
      <w:r w:rsidRPr="007E1E86">
        <w:tab/>
        <w:t>the student has not completed the requirements for the course, or the part of the course, because the provider defaulted in relation to the student;</w:t>
      </w:r>
    </w:p>
    <w:p w14:paraId="7F9D2418" w14:textId="77777777" w:rsidR="00D43ADC" w:rsidRPr="007E1E86" w:rsidRDefault="00D43ADC" w:rsidP="001C31A3">
      <w:pPr>
        <w:pStyle w:val="paragraphsub"/>
      </w:pPr>
      <w:r w:rsidRPr="007E1E86">
        <w:tab/>
        <w:t>(ii)</w:t>
      </w:r>
      <w:r w:rsidRPr="007E1E86">
        <w:tab/>
        <w:t xml:space="preserve">the VSL Tuition Protection Director decides, under </w:t>
      </w:r>
      <w:r w:rsidR="00A53669" w:rsidRPr="007E1E86">
        <w:t>paragraph 6</w:t>
      </w:r>
      <w:r w:rsidRPr="007E1E86">
        <w:t>6E(1)(b), that the Director is not satisfied that there is a suitable replacement course for the student.</w:t>
      </w:r>
    </w:p>
    <w:p w14:paraId="4A7EB0E4" w14:textId="77777777" w:rsidR="005B790A" w:rsidRPr="007E1E86" w:rsidRDefault="006F4F74" w:rsidP="001C31A3">
      <w:pPr>
        <w:pStyle w:val="ItemHead"/>
      </w:pPr>
      <w:r w:rsidRPr="007E1E86">
        <w:t>7</w:t>
      </w:r>
      <w:r w:rsidR="005B790A" w:rsidRPr="007E1E86">
        <w:t xml:space="preserve">  </w:t>
      </w:r>
      <w:r w:rsidR="005C4DCE" w:rsidRPr="007E1E86">
        <w:t xml:space="preserve">After </w:t>
      </w:r>
      <w:r w:rsidR="00BA61E1" w:rsidRPr="007E1E86">
        <w:t>section 3</w:t>
      </w:r>
      <w:r w:rsidR="005C4DCE" w:rsidRPr="007E1E86">
        <w:t>5</w:t>
      </w:r>
    </w:p>
    <w:p w14:paraId="7955048C" w14:textId="77777777" w:rsidR="005C4DCE" w:rsidRPr="007E1E86" w:rsidRDefault="005C4DCE" w:rsidP="001C31A3">
      <w:pPr>
        <w:pStyle w:val="Item"/>
      </w:pPr>
      <w:r w:rsidRPr="007E1E86">
        <w:t>Insert:</w:t>
      </w:r>
    </w:p>
    <w:p w14:paraId="4D9C7A60" w14:textId="77777777" w:rsidR="005C4DCE" w:rsidRPr="007E1E86" w:rsidRDefault="005C4DCE" w:rsidP="001C31A3">
      <w:pPr>
        <w:pStyle w:val="ActHead5"/>
      </w:pPr>
      <w:bookmarkStart w:id="11" w:name="_Toc65759416"/>
      <w:r w:rsidRPr="007E1E86">
        <w:rPr>
          <w:rStyle w:val="CharSectno"/>
        </w:rPr>
        <w:t>35A</w:t>
      </w:r>
      <w:r w:rsidRPr="007E1E86">
        <w:t xml:space="preserve">  Automatic revocation </w:t>
      </w:r>
      <w:r w:rsidR="00FD76FD" w:rsidRPr="007E1E86">
        <w:t>if</w:t>
      </w:r>
      <w:r w:rsidRPr="007E1E86">
        <w:t xml:space="preserve"> </w:t>
      </w:r>
      <w:r w:rsidR="00FD76FD" w:rsidRPr="007E1E86">
        <w:t xml:space="preserve">body ceases to be a </w:t>
      </w:r>
      <w:r w:rsidRPr="007E1E86">
        <w:t>registered training organisation</w:t>
      </w:r>
      <w:bookmarkEnd w:id="11"/>
    </w:p>
    <w:p w14:paraId="070F971C" w14:textId="77777777" w:rsidR="00325874" w:rsidRPr="007E1E86" w:rsidRDefault="005C4DCE" w:rsidP="001C31A3">
      <w:pPr>
        <w:pStyle w:val="subsection"/>
      </w:pPr>
      <w:r w:rsidRPr="007E1E86">
        <w:tab/>
        <w:t>(1)</w:t>
      </w:r>
      <w:r w:rsidRPr="007E1E86">
        <w:tab/>
      </w:r>
      <w:r w:rsidR="00325874" w:rsidRPr="007E1E86">
        <w:t>The approval of a body as an approved course provider is revoked if:</w:t>
      </w:r>
    </w:p>
    <w:p w14:paraId="7C24C5AA" w14:textId="77777777" w:rsidR="00325874" w:rsidRPr="007E1E86" w:rsidRDefault="00325874" w:rsidP="001C31A3">
      <w:pPr>
        <w:pStyle w:val="paragraph"/>
      </w:pPr>
      <w:r w:rsidRPr="007E1E86">
        <w:tab/>
        <w:t>(a)</w:t>
      </w:r>
      <w:r w:rsidRPr="007E1E86">
        <w:tab/>
        <w:t>the body ceases to be listed as a registered training organisation on the National Register</w:t>
      </w:r>
      <w:r w:rsidR="001267D8" w:rsidRPr="007E1E86">
        <w:t xml:space="preserve"> (within the meaning of the </w:t>
      </w:r>
      <w:r w:rsidR="001267D8" w:rsidRPr="007E1E86">
        <w:rPr>
          <w:i/>
        </w:rPr>
        <w:t>National Vocational Education and Training Regulator Act 2011</w:t>
      </w:r>
      <w:r w:rsidR="001267D8" w:rsidRPr="007E1E86">
        <w:t>)</w:t>
      </w:r>
      <w:r w:rsidRPr="007E1E86">
        <w:t>; and</w:t>
      </w:r>
    </w:p>
    <w:p w14:paraId="29C00950" w14:textId="77777777" w:rsidR="00890FDE" w:rsidRPr="007E1E86" w:rsidRDefault="00325874" w:rsidP="001C31A3">
      <w:pPr>
        <w:pStyle w:val="paragraph"/>
      </w:pPr>
      <w:r w:rsidRPr="007E1E86">
        <w:lastRenderedPageBreak/>
        <w:tab/>
        <w:t>(b)</w:t>
      </w:r>
      <w:r w:rsidRPr="007E1E86">
        <w:tab/>
      </w:r>
      <w:r w:rsidR="00B64BD2" w:rsidRPr="007E1E86">
        <w:t xml:space="preserve">in each case where the relevant VET Regulator has made a decision covered by </w:t>
      </w:r>
      <w:r w:rsidR="00BA61E1" w:rsidRPr="007E1E86">
        <w:t>subsection (</w:t>
      </w:r>
      <w:r w:rsidR="00B64BD2" w:rsidRPr="007E1E86">
        <w:t>2)</w:t>
      </w:r>
      <w:r w:rsidR="00890FDE" w:rsidRPr="007E1E86">
        <w:t>:</w:t>
      </w:r>
    </w:p>
    <w:p w14:paraId="473213F6" w14:textId="77777777" w:rsidR="00325874" w:rsidRPr="007E1E86" w:rsidRDefault="00890FDE" w:rsidP="001C31A3">
      <w:pPr>
        <w:pStyle w:val="paragraphsub"/>
      </w:pPr>
      <w:r w:rsidRPr="007E1E86">
        <w:tab/>
        <w:t>(</w:t>
      </w:r>
      <w:proofErr w:type="spellStart"/>
      <w:r w:rsidRPr="007E1E86">
        <w:t>i</w:t>
      </w:r>
      <w:proofErr w:type="spellEnd"/>
      <w:r w:rsidRPr="007E1E86">
        <w:t>)</w:t>
      </w:r>
      <w:r w:rsidRPr="007E1E86">
        <w:tab/>
      </w:r>
      <w:r w:rsidR="00325874" w:rsidRPr="007E1E86">
        <w:t>the decision ha</w:t>
      </w:r>
      <w:r w:rsidRPr="007E1E86">
        <w:t>s not been set aside or quashed; and</w:t>
      </w:r>
    </w:p>
    <w:p w14:paraId="67348C4C" w14:textId="77777777" w:rsidR="00890FDE" w:rsidRPr="007E1E86" w:rsidRDefault="00890FDE" w:rsidP="001C31A3">
      <w:pPr>
        <w:pStyle w:val="paragraphsub"/>
      </w:pPr>
      <w:r w:rsidRPr="007E1E86">
        <w:tab/>
        <w:t>(ii)</w:t>
      </w:r>
      <w:r w:rsidRPr="007E1E86">
        <w:tab/>
        <w:t>any applicable time limits for applying for a review (however described) or lodging an appeal (however described) of or in relation to the decision have expired; and</w:t>
      </w:r>
    </w:p>
    <w:p w14:paraId="65F727D5" w14:textId="77777777" w:rsidR="00890FDE" w:rsidRPr="007E1E86" w:rsidRDefault="00890FDE" w:rsidP="001C31A3">
      <w:pPr>
        <w:pStyle w:val="paragraphsub"/>
      </w:pPr>
      <w:r w:rsidRPr="007E1E86">
        <w:tab/>
        <w:t>(iii)</w:t>
      </w:r>
      <w:r w:rsidRPr="007E1E86">
        <w:tab/>
        <w:t>if there is such a review or appeal of or in relation to the decision—the review or appeal (and any later reviews or appeals) have been finally disposed of.</w:t>
      </w:r>
    </w:p>
    <w:p w14:paraId="55C0099E" w14:textId="77777777" w:rsidR="00325874" w:rsidRPr="007E1E86" w:rsidRDefault="00325874" w:rsidP="001C31A3">
      <w:pPr>
        <w:pStyle w:val="subsection"/>
      </w:pPr>
      <w:r w:rsidRPr="007E1E86">
        <w:tab/>
        <w:t>(</w:t>
      </w:r>
      <w:r w:rsidR="00890FDE" w:rsidRPr="007E1E86">
        <w:t>2</w:t>
      </w:r>
      <w:r w:rsidRPr="007E1E86">
        <w:t>)</w:t>
      </w:r>
      <w:r w:rsidRPr="007E1E86">
        <w:tab/>
      </w:r>
      <w:r w:rsidR="00B64BD2" w:rsidRPr="007E1E86">
        <w:t>The decisions are</w:t>
      </w:r>
      <w:r w:rsidRPr="007E1E86">
        <w:t>:</w:t>
      </w:r>
    </w:p>
    <w:p w14:paraId="433DDA2D" w14:textId="77777777" w:rsidR="00325874" w:rsidRPr="007E1E86" w:rsidRDefault="00325874" w:rsidP="001C31A3">
      <w:pPr>
        <w:pStyle w:val="paragraph"/>
      </w:pPr>
      <w:r w:rsidRPr="007E1E86">
        <w:tab/>
        <w:t>(a)</w:t>
      </w:r>
      <w:r w:rsidRPr="007E1E86">
        <w:tab/>
        <w:t xml:space="preserve">a decision under </w:t>
      </w:r>
      <w:r w:rsidR="00BA61E1" w:rsidRPr="007E1E86">
        <w:t>section </w:t>
      </w:r>
      <w:r w:rsidR="00620E2E" w:rsidRPr="007E1E86">
        <w:t>17</w:t>
      </w:r>
      <w:r w:rsidRPr="007E1E86">
        <w:t xml:space="preserve"> of the </w:t>
      </w:r>
      <w:r w:rsidRPr="007E1E86">
        <w:rPr>
          <w:i/>
        </w:rPr>
        <w:t>National Vocational Education and Training Regulator Act 2011</w:t>
      </w:r>
      <w:r w:rsidRPr="007E1E86">
        <w:t xml:space="preserve"> to refuse an application to renew the body’s registration as an NVR registered training organisation</w:t>
      </w:r>
      <w:r w:rsidR="001267D8" w:rsidRPr="007E1E86">
        <w:t xml:space="preserve"> (within the meaning of that Act)</w:t>
      </w:r>
      <w:r w:rsidRPr="007E1E86">
        <w:t>;</w:t>
      </w:r>
      <w:r w:rsidR="007A5485" w:rsidRPr="007E1E86">
        <w:t xml:space="preserve"> and</w:t>
      </w:r>
    </w:p>
    <w:p w14:paraId="36E7B9C7" w14:textId="77777777" w:rsidR="00325874" w:rsidRPr="007E1E86" w:rsidRDefault="00325874" w:rsidP="001C31A3">
      <w:pPr>
        <w:pStyle w:val="paragraph"/>
      </w:pPr>
      <w:r w:rsidRPr="007E1E86">
        <w:tab/>
        <w:t>(b)</w:t>
      </w:r>
      <w:r w:rsidRPr="007E1E86">
        <w:tab/>
        <w:t xml:space="preserve">a decision under </w:t>
      </w:r>
      <w:r w:rsidR="00BA61E1" w:rsidRPr="007E1E86">
        <w:t>section 3</w:t>
      </w:r>
      <w:r w:rsidRPr="007E1E86">
        <w:t>9 of that Act to cancel the body’s registration as an NVR registered training organisation;</w:t>
      </w:r>
      <w:r w:rsidR="007A5485" w:rsidRPr="007E1E86">
        <w:t xml:space="preserve"> and</w:t>
      </w:r>
    </w:p>
    <w:p w14:paraId="72CEE16E" w14:textId="77777777" w:rsidR="00325874" w:rsidRPr="007E1E86" w:rsidRDefault="00325874" w:rsidP="001C31A3">
      <w:pPr>
        <w:pStyle w:val="paragraph"/>
      </w:pPr>
      <w:r w:rsidRPr="007E1E86">
        <w:tab/>
        <w:t>(c)</w:t>
      </w:r>
      <w:r w:rsidRPr="007E1E86">
        <w:tab/>
        <w:t xml:space="preserve">a decision under a law of a State that has a similar effect to a decision referred to in </w:t>
      </w:r>
      <w:r w:rsidR="00480A7E" w:rsidRPr="007E1E86">
        <w:t>paragraph (</w:t>
      </w:r>
      <w:r w:rsidR="00D43ADC" w:rsidRPr="007E1E86">
        <w:t>a</w:t>
      </w:r>
      <w:r w:rsidRPr="007E1E86">
        <w:t>) or (</w:t>
      </w:r>
      <w:r w:rsidR="00D43ADC" w:rsidRPr="007E1E86">
        <w:t>b)</w:t>
      </w:r>
      <w:r w:rsidRPr="007E1E86">
        <w:t>.</w:t>
      </w:r>
    </w:p>
    <w:p w14:paraId="05AB2683" w14:textId="77777777" w:rsidR="00B96511" w:rsidRPr="007E1E86" w:rsidRDefault="005C4DCE" w:rsidP="001C31A3">
      <w:pPr>
        <w:pStyle w:val="subsection"/>
      </w:pPr>
      <w:r w:rsidRPr="007E1E86">
        <w:tab/>
        <w:t>(</w:t>
      </w:r>
      <w:r w:rsidR="00890FDE" w:rsidRPr="007E1E86">
        <w:t>3</w:t>
      </w:r>
      <w:r w:rsidRPr="007E1E86">
        <w:t>)</w:t>
      </w:r>
      <w:r w:rsidR="001D1246" w:rsidRPr="007E1E86">
        <w:tab/>
        <w:t>T</w:t>
      </w:r>
      <w:r w:rsidR="00B96511" w:rsidRPr="007E1E86">
        <w:t xml:space="preserve">he revocation </w:t>
      </w:r>
      <w:r w:rsidR="00890FDE" w:rsidRPr="007E1E86">
        <w:t xml:space="preserve">of the body’s approval as an approved course provider </w:t>
      </w:r>
      <w:r w:rsidR="00B96511" w:rsidRPr="007E1E86">
        <w:t>takes effect</w:t>
      </w:r>
      <w:r w:rsidR="00773AD7" w:rsidRPr="007E1E86">
        <w:t xml:space="preserve"> </w:t>
      </w:r>
      <w:r w:rsidR="00890FDE" w:rsidRPr="007E1E86">
        <w:t xml:space="preserve">at the start of the day after the first day on which </w:t>
      </w:r>
      <w:r w:rsidR="00BA61E1" w:rsidRPr="007E1E86">
        <w:t>subsection (</w:t>
      </w:r>
      <w:r w:rsidR="00890FDE" w:rsidRPr="007E1E86">
        <w:t>1) applies to the body</w:t>
      </w:r>
      <w:r w:rsidR="00CE5991" w:rsidRPr="007E1E86">
        <w:t>.</w:t>
      </w:r>
    </w:p>
    <w:p w14:paraId="11F11249" w14:textId="77777777" w:rsidR="00620E2E" w:rsidRPr="007E1E86" w:rsidRDefault="00620E2E" w:rsidP="001C31A3">
      <w:pPr>
        <w:pStyle w:val="subsection"/>
      </w:pPr>
      <w:r w:rsidRPr="007E1E86">
        <w:tab/>
        <w:t>(4)</w:t>
      </w:r>
      <w:r w:rsidRPr="007E1E86">
        <w:tab/>
        <w:t xml:space="preserve">The </w:t>
      </w:r>
      <w:r w:rsidR="00F57A73" w:rsidRPr="007E1E86">
        <w:t>Secretary</w:t>
      </w:r>
      <w:r w:rsidRPr="007E1E86">
        <w:t xml:space="preserve"> must</w:t>
      </w:r>
      <w:r w:rsidR="00A53669" w:rsidRPr="007E1E86">
        <w:t xml:space="preserve"> </w:t>
      </w:r>
      <w:r w:rsidRPr="007E1E86">
        <w:t>notify the body in writing of the revocation.</w:t>
      </w:r>
    </w:p>
    <w:p w14:paraId="685731D1" w14:textId="77777777" w:rsidR="00BC3A52" w:rsidRPr="007E1E86" w:rsidRDefault="006F4F74" w:rsidP="001C31A3">
      <w:pPr>
        <w:pStyle w:val="ItemHead"/>
      </w:pPr>
      <w:r w:rsidRPr="007E1E86">
        <w:t>8</w:t>
      </w:r>
      <w:r w:rsidR="00BC3A52" w:rsidRPr="007E1E86">
        <w:t xml:space="preserve">  </w:t>
      </w:r>
      <w:r w:rsidR="00BA61E1" w:rsidRPr="007E1E86">
        <w:t>Division 1</w:t>
      </w:r>
      <w:r w:rsidR="00E43C22" w:rsidRPr="007E1E86">
        <w:t xml:space="preserve"> of </w:t>
      </w:r>
      <w:r w:rsidR="00BA61E1" w:rsidRPr="007E1E86">
        <w:t>Part 6</w:t>
      </w:r>
    </w:p>
    <w:p w14:paraId="741EFAB6" w14:textId="77777777" w:rsidR="00BC3A52" w:rsidRPr="007E1E86" w:rsidRDefault="00BC3A52" w:rsidP="001C31A3">
      <w:pPr>
        <w:pStyle w:val="Item"/>
      </w:pPr>
      <w:r w:rsidRPr="007E1E86">
        <w:t xml:space="preserve">Repeal the </w:t>
      </w:r>
      <w:r w:rsidR="00E43C22" w:rsidRPr="007E1E86">
        <w:t>Division</w:t>
      </w:r>
      <w:r w:rsidRPr="007E1E86">
        <w:t>, substitute:</w:t>
      </w:r>
    </w:p>
    <w:p w14:paraId="63850583" w14:textId="77777777" w:rsidR="00E43C22" w:rsidRPr="007E1E86" w:rsidRDefault="00BA61E1" w:rsidP="001C31A3">
      <w:pPr>
        <w:pStyle w:val="ActHead3"/>
      </w:pPr>
      <w:bookmarkStart w:id="12" w:name="_Toc65759417"/>
      <w:r w:rsidRPr="007E1E86">
        <w:rPr>
          <w:rStyle w:val="CharDivNo"/>
        </w:rPr>
        <w:t>Division 1</w:t>
      </w:r>
      <w:r w:rsidR="00E43C22" w:rsidRPr="007E1E86">
        <w:t>—</w:t>
      </w:r>
      <w:r w:rsidR="00E43C22" w:rsidRPr="007E1E86">
        <w:rPr>
          <w:rStyle w:val="CharDivText"/>
        </w:rPr>
        <w:t>General</w:t>
      </w:r>
      <w:bookmarkEnd w:id="12"/>
    </w:p>
    <w:p w14:paraId="013153ED" w14:textId="77777777" w:rsidR="00BC3A52" w:rsidRPr="007E1E86" w:rsidRDefault="00BC3A52" w:rsidP="001C31A3">
      <w:pPr>
        <w:pStyle w:val="ActHead5"/>
      </w:pPr>
      <w:bookmarkStart w:id="13" w:name="_Toc65759418"/>
      <w:r w:rsidRPr="007E1E86">
        <w:rPr>
          <w:rStyle w:val="CharSectno"/>
        </w:rPr>
        <w:t>67</w:t>
      </w:r>
      <w:r w:rsidRPr="007E1E86">
        <w:t xml:space="preserve">  </w:t>
      </w:r>
      <w:r w:rsidR="00E43C22" w:rsidRPr="007E1E86">
        <w:t>When HELP balance may be re</w:t>
      </w:r>
      <w:r w:rsidR="007E1E86">
        <w:noBreakHyphen/>
      </w:r>
      <w:r w:rsidR="00E43C22" w:rsidRPr="007E1E86">
        <w:t>credited</w:t>
      </w:r>
      <w:bookmarkEnd w:id="13"/>
    </w:p>
    <w:p w14:paraId="5C6D5CB3" w14:textId="77777777" w:rsidR="00BC3A52" w:rsidRPr="007E1E86" w:rsidRDefault="00BC3A52" w:rsidP="001C31A3">
      <w:pPr>
        <w:pStyle w:val="subsection"/>
      </w:pPr>
      <w:r w:rsidRPr="007E1E86">
        <w:tab/>
      </w:r>
      <w:r w:rsidR="00E43C22" w:rsidRPr="007E1E86">
        <w:tab/>
      </w:r>
      <w:r w:rsidRPr="007E1E86">
        <w:t xml:space="preserve">A student’s HELP balance </w:t>
      </w:r>
      <w:r w:rsidR="00E43C22" w:rsidRPr="007E1E86">
        <w:t xml:space="preserve">may </w:t>
      </w:r>
      <w:r w:rsidRPr="007E1E86">
        <w:t>be re</w:t>
      </w:r>
      <w:r w:rsidR="007E1E86">
        <w:noBreakHyphen/>
      </w:r>
      <w:r w:rsidRPr="007E1E86">
        <w:t xml:space="preserve">credited under this Part </w:t>
      </w:r>
      <w:r w:rsidR="00E43C22" w:rsidRPr="007E1E86">
        <w:t xml:space="preserve">only </w:t>
      </w:r>
      <w:r w:rsidRPr="007E1E86">
        <w:t xml:space="preserve">if an amount of a VET student loan has been used to pay tuition fees for </w:t>
      </w:r>
      <w:r w:rsidR="00DB18BC" w:rsidRPr="007E1E86">
        <w:t>the</w:t>
      </w:r>
      <w:r w:rsidRPr="007E1E86">
        <w:t xml:space="preserve"> student for a course, or a part of a course.</w:t>
      </w:r>
    </w:p>
    <w:p w14:paraId="6A8A224E" w14:textId="77777777" w:rsidR="00233D12" w:rsidRPr="007E1E86" w:rsidRDefault="00BC3A52" w:rsidP="001C31A3">
      <w:pPr>
        <w:pStyle w:val="notetext"/>
      </w:pPr>
      <w:r w:rsidRPr="007E1E86">
        <w:lastRenderedPageBreak/>
        <w:t>Note</w:t>
      </w:r>
      <w:r w:rsidR="00233D12" w:rsidRPr="007E1E86">
        <w:t xml:space="preserve"> 1</w:t>
      </w:r>
      <w:r w:rsidRPr="007E1E86">
        <w:t>:</w:t>
      </w:r>
      <w:r w:rsidRPr="007E1E86">
        <w:tab/>
      </w:r>
      <w:r w:rsidR="00233D12" w:rsidRPr="007E1E86">
        <w:t>If the student’s HELP balance cannot be re</w:t>
      </w:r>
      <w:r w:rsidR="007E1E86">
        <w:noBreakHyphen/>
      </w:r>
      <w:r w:rsidR="00233D12" w:rsidRPr="007E1E86">
        <w:t xml:space="preserve">credited under this Part because of this provision, the Secretary may decide not to pay the loan amount for the student for the course: see </w:t>
      </w:r>
      <w:r w:rsidR="00BA61E1" w:rsidRPr="007E1E86">
        <w:t>section 2</w:t>
      </w:r>
      <w:r w:rsidR="00D64A52" w:rsidRPr="007E1E86">
        <w:t>0</w:t>
      </w:r>
      <w:r w:rsidR="00233D12" w:rsidRPr="007E1E86">
        <w:t>.</w:t>
      </w:r>
    </w:p>
    <w:p w14:paraId="5053097D" w14:textId="77777777" w:rsidR="00BC3A52" w:rsidRPr="007E1E86" w:rsidRDefault="00233D12" w:rsidP="001C31A3">
      <w:pPr>
        <w:pStyle w:val="notetext"/>
      </w:pPr>
      <w:r w:rsidRPr="007E1E86">
        <w:t>Note 2:</w:t>
      </w:r>
      <w:r w:rsidRPr="007E1E86">
        <w:tab/>
      </w:r>
      <w:r w:rsidR="00BC3A52" w:rsidRPr="007E1E86">
        <w:t>If a student’s HELP balance is re</w:t>
      </w:r>
      <w:r w:rsidR="007E1E86">
        <w:noBreakHyphen/>
      </w:r>
      <w:r w:rsidR="00BC3A52" w:rsidRPr="007E1E86">
        <w:t xml:space="preserve">credited under </w:t>
      </w:r>
      <w:r w:rsidR="00BA61E1" w:rsidRPr="007E1E86">
        <w:t>Division 2</w:t>
      </w:r>
      <w:r w:rsidR="00BC3A52" w:rsidRPr="007E1E86">
        <w:t xml:space="preserve"> or 3 of this Part, the student’s VETSL debt is taken to be remitted to the extent to which the debt relates to the loan amount concerned: see </w:t>
      </w:r>
      <w:r w:rsidR="00BA61E1" w:rsidRPr="007E1E86">
        <w:t>section 2</w:t>
      </w:r>
      <w:r w:rsidR="00BC3A52" w:rsidRPr="007E1E86">
        <w:t xml:space="preserve">3BA. (For remission of debts incurred before </w:t>
      </w:r>
      <w:r w:rsidR="00480A7E" w:rsidRPr="007E1E86">
        <w:t>1 July</w:t>
      </w:r>
      <w:r w:rsidR="00BC3A52" w:rsidRPr="007E1E86">
        <w:t xml:space="preserve"> 2019, see section 137</w:t>
      </w:r>
      <w:r w:rsidR="007E1E86">
        <w:noBreakHyphen/>
      </w:r>
      <w:r w:rsidR="00BC3A52" w:rsidRPr="007E1E86">
        <w:t xml:space="preserve">19 of the </w:t>
      </w:r>
      <w:r w:rsidR="00BC3A52" w:rsidRPr="007E1E86">
        <w:rPr>
          <w:i/>
        </w:rPr>
        <w:t>Higher Education Support Act 2003</w:t>
      </w:r>
      <w:r w:rsidR="00BC3A52" w:rsidRPr="007E1E86">
        <w:t>).</w:t>
      </w:r>
    </w:p>
    <w:p w14:paraId="1C9FE39E" w14:textId="77777777" w:rsidR="00BA61E1" w:rsidRPr="007E1E86" w:rsidRDefault="00BA61E1" w:rsidP="001C31A3">
      <w:pPr>
        <w:pStyle w:val="ActHead7"/>
        <w:pageBreakBefore/>
      </w:pPr>
      <w:bookmarkStart w:id="14" w:name="_Toc65759419"/>
      <w:r w:rsidRPr="007E1E86">
        <w:rPr>
          <w:rStyle w:val="CharAmPartNo"/>
        </w:rPr>
        <w:lastRenderedPageBreak/>
        <w:t>Part 2</w:t>
      </w:r>
      <w:r w:rsidRPr="007E1E86">
        <w:t>—</w:t>
      </w:r>
      <w:r w:rsidRPr="007E1E86">
        <w:rPr>
          <w:rStyle w:val="CharAmPartText"/>
        </w:rPr>
        <w:t>Amendments commencing</w:t>
      </w:r>
      <w:r w:rsidR="005A72CD" w:rsidRPr="007E1E86">
        <w:rPr>
          <w:rStyle w:val="CharAmPartText"/>
        </w:rPr>
        <w:t xml:space="preserve"> </w:t>
      </w:r>
      <w:r w:rsidR="00480A7E" w:rsidRPr="007E1E86">
        <w:rPr>
          <w:rStyle w:val="CharAmPartText"/>
        </w:rPr>
        <w:t>1 July</w:t>
      </w:r>
      <w:r w:rsidR="005A72CD" w:rsidRPr="007E1E86">
        <w:rPr>
          <w:rStyle w:val="CharAmPartText"/>
        </w:rPr>
        <w:t xml:space="preserve"> 2021</w:t>
      </w:r>
      <w:bookmarkEnd w:id="14"/>
    </w:p>
    <w:p w14:paraId="3CEBEAC2" w14:textId="77777777" w:rsidR="00BA61E1" w:rsidRPr="007E1E86" w:rsidRDefault="00BA61E1" w:rsidP="001C31A3">
      <w:pPr>
        <w:pStyle w:val="ActHead9"/>
        <w:rPr>
          <w:i w:val="0"/>
        </w:rPr>
      </w:pPr>
      <w:bookmarkStart w:id="15" w:name="_Toc65759420"/>
      <w:r w:rsidRPr="007E1E86">
        <w:t>Higher Education Support Act 2003</w:t>
      </w:r>
      <w:bookmarkEnd w:id="15"/>
    </w:p>
    <w:p w14:paraId="4199DD75" w14:textId="77777777" w:rsidR="00BA61E1" w:rsidRPr="007E1E86" w:rsidRDefault="006F4F74" w:rsidP="001C31A3">
      <w:pPr>
        <w:pStyle w:val="ItemHead"/>
      </w:pPr>
      <w:r w:rsidRPr="007E1E86">
        <w:t>9</w:t>
      </w:r>
      <w:r w:rsidR="00BA61E1" w:rsidRPr="007E1E86">
        <w:t xml:space="preserve">  Clause 2 of </w:t>
      </w:r>
      <w:r w:rsidR="00480A7E" w:rsidRPr="007E1E86">
        <w:t>Schedule 1</w:t>
      </w:r>
      <w:r w:rsidR="00BA61E1" w:rsidRPr="007E1E86">
        <w:t>A</w:t>
      </w:r>
    </w:p>
    <w:p w14:paraId="46D1A832" w14:textId="77777777" w:rsidR="00BA61E1" w:rsidRPr="007E1E86" w:rsidRDefault="00BA61E1" w:rsidP="001C31A3">
      <w:pPr>
        <w:pStyle w:val="Item"/>
      </w:pPr>
      <w:r w:rsidRPr="007E1E86">
        <w:t>Omit:</w:t>
      </w:r>
    </w:p>
    <w:p w14:paraId="742E6612" w14:textId="77777777" w:rsidR="00BA61E1" w:rsidRPr="007E1E86" w:rsidRDefault="00BA61E1" w:rsidP="001C31A3">
      <w:pPr>
        <w:pStyle w:val="SOText"/>
      </w:pPr>
      <w:r w:rsidRPr="007E1E86">
        <w:t>A body’s approval as a VET provider may be revoked in circumstances such as breach of a VET quality and accountability requirement.</w:t>
      </w:r>
    </w:p>
    <w:p w14:paraId="330EAD90" w14:textId="77777777" w:rsidR="00BA61E1" w:rsidRPr="007E1E86" w:rsidRDefault="00BA61E1" w:rsidP="001C31A3">
      <w:pPr>
        <w:pStyle w:val="Item"/>
      </w:pPr>
      <w:r w:rsidRPr="007E1E86">
        <w:t>substitute:</w:t>
      </w:r>
    </w:p>
    <w:p w14:paraId="55252BE0" w14:textId="77777777" w:rsidR="00BA61E1" w:rsidRPr="007E1E86" w:rsidRDefault="00BA61E1" w:rsidP="001C31A3">
      <w:pPr>
        <w:pStyle w:val="SOText"/>
      </w:pPr>
      <w:r w:rsidRPr="007E1E86">
        <w:t>As part of the phasing out of VET FEE</w:t>
      </w:r>
      <w:r w:rsidR="007E1E86">
        <w:noBreakHyphen/>
      </w:r>
      <w:r w:rsidRPr="007E1E86">
        <w:t xml:space="preserve">HELP assistance, VET provider approvals in force immediately before </w:t>
      </w:r>
      <w:r w:rsidR="00480A7E" w:rsidRPr="007E1E86">
        <w:t>1 July</w:t>
      </w:r>
      <w:r w:rsidRPr="007E1E86">
        <w:t xml:space="preserve"> 202</w:t>
      </w:r>
      <w:r w:rsidR="00D64A52" w:rsidRPr="007E1E86">
        <w:t>1</w:t>
      </w:r>
      <w:r w:rsidRPr="007E1E86">
        <w:t xml:space="preserve"> are revoked by clause 29 of this Schedule. However,</w:t>
      </w:r>
      <w:r w:rsidR="003F4F4F" w:rsidRPr="007E1E86">
        <w:t xml:space="preserve"> under that clause, </w:t>
      </w:r>
      <w:r w:rsidRPr="007E1E86">
        <w:t xml:space="preserve">provisions of this Act, the VET Guidelines and conditions on the approvals </w:t>
      </w:r>
      <w:r w:rsidR="003F4F4F" w:rsidRPr="007E1E86">
        <w:t xml:space="preserve">may </w:t>
      </w:r>
      <w:r w:rsidRPr="007E1E86">
        <w:t>continue to apply to a body that had been approved as a VET provider.</w:t>
      </w:r>
    </w:p>
    <w:p w14:paraId="0E1123EB" w14:textId="77777777" w:rsidR="00BA61E1" w:rsidRPr="007E1E86" w:rsidRDefault="006F4F74" w:rsidP="001C31A3">
      <w:pPr>
        <w:pStyle w:val="ItemHead"/>
      </w:pPr>
      <w:r w:rsidRPr="007E1E86">
        <w:t>10</w:t>
      </w:r>
      <w:r w:rsidR="00BA61E1" w:rsidRPr="007E1E86">
        <w:t xml:space="preserve">  At the end of clause 5 of </w:t>
      </w:r>
      <w:r w:rsidR="00480A7E" w:rsidRPr="007E1E86">
        <w:t>Schedule 1</w:t>
      </w:r>
      <w:r w:rsidR="00BA61E1" w:rsidRPr="007E1E86">
        <w:t>A</w:t>
      </w:r>
    </w:p>
    <w:p w14:paraId="429BA54B" w14:textId="77777777" w:rsidR="00BA61E1" w:rsidRPr="007E1E86" w:rsidRDefault="00BA61E1" w:rsidP="001C31A3">
      <w:pPr>
        <w:pStyle w:val="Item"/>
      </w:pPr>
      <w:r w:rsidRPr="007E1E86">
        <w:t>Add:</w:t>
      </w:r>
    </w:p>
    <w:p w14:paraId="68210D8E" w14:textId="77777777" w:rsidR="00BA61E1" w:rsidRPr="007E1E86" w:rsidRDefault="00BA61E1" w:rsidP="001C31A3">
      <w:pPr>
        <w:pStyle w:val="notetext"/>
      </w:pPr>
      <w:r w:rsidRPr="007E1E86">
        <w:t>Note:</w:t>
      </w:r>
      <w:r w:rsidRPr="007E1E86">
        <w:tab/>
        <w:t>As part of the phasing out of VET FEE</w:t>
      </w:r>
      <w:r w:rsidR="007E1E86">
        <w:noBreakHyphen/>
      </w:r>
      <w:r w:rsidRPr="007E1E86">
        <w:t>HELP assistance, VET provider approvals are revoked by clause 29 of this Schedule. However, provisions of this Act, the VET Guidelines and conditions on the approvals, may continue to apply to a body that had been approved as a VET provider: see subclause</w:t>
      </w:r>
      <w:r w:rsidR="00C51C75" w:rsidRPr="007E1E86">
        <w:t>s</w:t>
      </w:r>
      <w:r w:rsidRPr="007E1E86">
        <w:t> 29(2)</w:t>
      </w:r>
      <w:r w:rsidR="00BE647B" w:rsidRPr="007E1E86">
        <w:t xml:space="preserve"> to (4)</w:t>
      </w:r>
      <w:r w:rsidRPr="007E1E86">
        <w:t>.</w:t>
      </w:r>
    </w:p>
    <w:p w14:paraId="5711DC39" w14:textId="77777777" w:rsidR="00BA61E1" w:rsidRPr="007E1E86" w:rsidRDefault="006F4F74" w:rsidP="001C31A3">
      <w:pPr>
        <w:pStyle w:val="ItemHead"/>
      </w:pPr>
      <w:r w:rsidRPr="007E1E86">
        <w:t>11</w:t>
      </w:r>
      <w:r w:rsidR="00BA61E1" w:rsidRPr="007E1E86">
        <w:t xml:space="preserve">  Paragraph 25(2)(aa) of </w:t>
      </w:r>
      <w:r w:rsidR="00480A7E" w:rsidRPr="007E1E86">
        <w:t>Schedule 1</w:t>
      </w:r>
      <w:r w:rsidR="00BA61E1" w:rsidRPr="007E1E86">
        <w:t>A</w:t>
      </w:r>
    </w:p>
    <w:p w14:paraId="633A562A" w14:textId="77777777" w:rsidR="00BA61E1" w:rsidRPr="007E1E86" w:rsidRDefault="00BA61E1" w:rsidP="001C31A3">
      <w:pPr>
        <w:pStyle w:val="Item"/>
      </w:pPr>
      <w:r w:rsidRPr="007E1E86">
        <w:t xml:space="preserve">Omit “event; or”, </w:t>
      </w:r>
      <w:r w:rsidR="007A5485" w:rsidRPr="007E1E86">
        <w:t>substitute “event”</w:t>
      </w:r>
      <w:r w:rsidR="00A53669" w:rsidRPr="007E1E86">
        <w:t>.</w:t>
      </w:r>
    </w:p>
    <w:p w14:paraId="500872D5" w14:textId="77777777" w:rsidR="00BA61E1" w:rsidRPr="007E1E86" w:rsidRDefault="006F4F74" w:rsidP="001C31A3">
      <w:pPr>
        <w:pStyle w:val="ItemHead"/>
      </w:pPr>
      <w:r w:rsidRPr="007E1E86">
        <w:t>12</w:t>
      </w:r>
      <w:r w:rsidR="00BA61E1" w:rsidRPr="007E1E86">
        <w:t xml:space="preserve">  Paragraph 25(2)(b) of </w:t>
      </w:r>
      <w:r w:rsidR="00480A7E" w:rsidRPr="007E1E86">
        <w:t>Schedule 1</w:t>
      </w:r>
      <w:r w:rsidR="00BA61E1" w:rsidRPr="007E1E86">
        <w:t>A</w:t>
      </w:r>
    </w:p>
    <w:p w14:paraId="6F2A2C98" w14:textId="77777777" w:rsidR="00BA61E1" w:rsidRPr="007E1E86" w:rsidRDefault="00BA61E1" w:rsidP="001C31A3">
      <w:pPr>
        <w:pStyle w:val="Item"/>
      </w:pPr>
      <w:r w:rsidRPr="007E1E86">
        <w:t>Repeal the paragraph.</w:t>
      </w:r>
    </w:p>
    <w:p w14:paraId="3FFDAD8B" w14:textId="77777777" w:rsidR="00BA61E1" w:rsidRPr="007E1E86" w:rsidRDefault="006F4F74" w:rsidP="001C31A3">
      <w:pPr>
        <w:pStyle w:val="ItemHead"/>
      </w:pPr>
      <w:r w:rsidRPr="007E1E86">
        <w:t>13</w:t>
      </w:r>
      <w:r w:rsidR="00BA61E1" w:rsidRPr="007E1E86">
        <w:t xml:space="preserve">  Subclause 26A(7) of </w:t>
      </w:r>
      <w:r w:rsidR="00480A7E" w:rsidRPr="007E1E86">
        <w:t>Schedule 1</w:t>
      </w:r>
      <w:r w:rsidR="00BA61E1" w:rsidRPr="007E1E86">
        <w:t>A</w:t>
      </w:r>
    </w:p>
    <w:p w14:paraId="01F77DC0" w14:textId="77777777" w:rsidR="00BA61E1" w:rsidRPr="007E1E86" w:rsidRDefault="00BA61E1" w:rsidP="001C31A3">
      <w:pPr>
        <w:pStyle w:val="Item"/>
      </w:pPr>
      <w:r w:rsidRPr="007E1E86">
        <w:t>Repeal the subclause.</w:t>
      </w:r>
    </w:p>
    <w:p w14:paraId="0E9FD079" w14:textId="77777777" w:rsidR="00BA61E1" w:rsidRPr="007E1E86" w:rsidRDefault="006F4F74" w:rsidP="001C31A3">
      <w:pPr>
        <w:pStyle w:val="ItemHead"/>
      </w:pPr>
      <w:r w:rsidRPr="007E1E86">
        <w:lastRenderedPageBreak/>
        <w:t>14</w:t>
      </w:r>
      <w:r w:rsidR="00BA61E1" w:rsidRPr="007E1E86">
        <w:t xml:space="preserve">  Division 5 of Part 1 of </w:t>
      </w:r>
      <w:r w:rsidR="00480A7E" w:rsidRPr="007E1E86">
        <w:t>Schedule 1</w:t>
      </w:r>
      <w:r w:rsidR="00BA61E1" w:rsidRPr="007E1E86">
        <w:t>A</w:t>
      </w:r>
    </w:p>
    <w:p w14:paraId="240D5B66" w14:textId="77777777" w:rsidR="00BA61E1" w:rsidRPr="007E1E86" w:rsidRDefault="00BA61E1" w:rsidP="001C31A3">
      <w:pPr>
        <w:pStyle w:val="Item"/>
      </w:pPr>
      <w:r w:rsidRPr="007E1E86">
        <w:t>Repeal the Division, substitute:</w:t>
      </w:r>
    </w:p>
    <w:p w14:paraId="2F780D54" w14:textId="77777777" w:rsidR="00BA61E1" w:rsidRPr="007E1E86" w:rsidRDefault="00BA61E1" w:rsidP="001C31A3">
      <w:pPr>
        <w:pStyle w:val="ActHead3"/>
      </w:pPr>
      <w:bookmarkStart w:id="16" w:name="_Toc65759421"/>
      <w:r w:rsidRPr="007E1E86">
        <w:rPr>
          <w:rStyle w:val="CharDivNo"/>
        </w:rPr>
        <w:t>Division 5</w:t>
      </w:r>
      <w:r w:rsidRPr="007E1E86">
        <w:t>—</w:t>
      </w:r>
      <w:r w:rsidRPr="007E1E86">
        <w:rPr>
          <w:rStyle w:val="CharDivText"/>
        </w:rPr>
        <w:t>Revocation of VET provider approvals</w:t>
      </w:r>
      <w:bookmarkEnd w:id="16"/>
    </w:p>
    <w:p w14:paraId="2BA42EFA" w14:textId="77777777" w:rsidR="00BA61E1" w:rsidRPr="007E1E86" w:rsidRDefault="00BA61E1" w:rsidP="001C31A3">
      <w:pPr>
        <w:pStyle w:val="ActHead5"/>
      </w:pPr>
      <w:bookmarkStart w:id="17" w:name="_Toc65759422"/>
      <w:r w:rsidRPr="007E1E86">
        <w:rPr>
          <w:rStyle w:val="CharSectno"/>
        </w:rPr>
        <w:t>29</w:t>
      </w:r>
      <w:r w:rsidRPr="007E1E86">
        <w:t xml:space="preserve">  Revocation of approval</w:t>
      </w:r>
      <w:bookmarkEnd w:id="17"/>
    </w:p>
    <w:p w14:paraId="54AAF008" w14:textId="77777777" w:rsidR="00BA61E1" w:rsidRPr="007E1E86" w:rsidRDefault="00BA61E1" w:rsidP="001C31A3">
      <w:pPr>
        <w:pStyle w:val="SubsectionHead"/>
      </w:pPr>
      <w:r w:rsidRPr="007E1E86">
        <w:t>Revocation of approval</w:t>
      </w:r>
    </w:p>
    <w:p w14:paraId="3CC73A20" w14:textId="77777777" w:rsidR="00BA61E1" w:rsidRPr="007E1E86" w:rsidRDefault="00BA61E1" w:rsidP="001C31A3">
      <w:pPr>
        <w:pStyle w:val="subsection"/>
      </w:pPr>
      <w:r w:rsidRPr="007E1E86">
        <w:tab/>
        <w:t>(1)</w:t>
      </w:r>
      <w:r w:rsidRPr="007E1E86">
        <w:tab/>
        <w:t xml:space="preserve">If an approval of a body as a </w:t>
      </w:r>
      <w:r w:rsidR="001C31A3" w:rsidRPr="007E1E86">
        <w:rPr>
          <w:position w:val="6"/>
          <w:sz w:val="16"/>
        </w:rPr>
        <w:t>*</w:t>
      </w:r>
      <w:r w:rsidRPr="007E1E86">
        <w:t xml:space="preserve">VET provider is in force immediately before </w:t>
      </w:r>
      <w:r w:rsidR="00480A7E" w:rsidRPr="007E1E86">
        <w:t>1 July</w:t>
      </w:r>
      <w:r w:rsidRPr="007E1E86">
        <w:t xml:space="preserve"> 2021, the approval is revoked at the start of that day.</w:t>
      </w:r>
    </w:p>
    <w:p w14:paraId="420DA196" w14:textId="77777777" w:rsidR="00BA61E1" w:rsidRPr="007E1E86" w:rsidRDefault="00BA61E1" w:rsidP="001C31A3">
      <w:pPr>
        <w:pStyle w:val="SubsectionHead"/>
      </w:pPr>
      <w:r w:rsidRPr="007E1E86">
        <w:t>Continuing application of Act etc.</w:t>
      </w:r>
    </w:p>
    <w:p w14:paraId="1FFCC7AB" w14:textId="77777777" w:rsidR="00BA61E1" w:rsidRPr="007E1E86" w:rsidRDefault="00BA61E1" w:rsidP="001C31A3">
      <w:pPr>
        <w:pStyle w:val="subsection"/>
      </w:pPr>
      <w:r w:rsidRPr="007E1E86">
        <w:tab/>
        <w:t>(2)</w:t>
      </w:r>
      <w:r w:rsidRPr="007E1E86">
        <w:tab/>
        <w:t xml:space="preserve">Despite the revocation of a body’s approval as a </w:t>
      </w:r>
      <w:r w:rsidR="001C31A3" w:rsidRPr="007E1E86">
        <w:rPr>
          <w:position w:val="6"/>
          <w:sz w:val="16"/>
        </w:rPr>
        <w:t>*</w:t>
      </w:r>
      <w:r w:rsidRPr="007E1E86">
        <w:t xml:space="preserve">VET provider by </w:t>
      </w:r>
      <w:r w:rsidR="00480A7E" w:rsidRPr="007E1E86">
        <w:t>subclause (</w:t>
      </w:r>
      <w:r w:rsidR="00BE647B" w:rsidRPr="007E1E86">
        <w:t>1)</w:t>
      </w:r>
      <w:r w:rsidRPr="007E1E86">
        <w:t>:</w:t>
      </w:r>
    </w:p>
    <w:p w14:paraId="3F84AC3C" w14:textId="77777777" w:rsidR="00BA61E1" w:rsidRPr="007E1E86" w:rsidRDefault="00BA61E1" w:rsidP="001C31A3">
      <w:pPr>
        <w:pStyle w:val="paragraph"/>
      </w:pPr>
      <w:r w:rsidRPr="007E1E86">
        <w:tab/>
        <w:t>(a)</w:t>
      </w:r>
      <w:r w:rsidRPr="007E1E86">
        <w:tab/>
        <w:t xml:space="preserve">the Act, and the </w:t>
      </w:r>
      <w:r w:rsidR="001C31A3" w:rsidRPr="007E1E86">
        <w:rPr>
          <w:position w:val="6"/>
          <w:sz w:val="16"/>
        </w:rPr>
        <w:t>*</w:t>
      </w:r>
      <w:r w:rsidRPr="007E1E86">
        <w:t>VET Guidelines, continue to apply in relation to the body</w:t>
      </w:r>
      <w:r w:rsidR="00304177" w:rsidRPr="007E1E86">
        <w:t xml:space="preserve"> on and after </w:t>
      </w:r>
      <w:r w:rsidR="00480A7E" w:rsidRPr="007E1E86">
        <w:t>1 July</w:t>
      </w:r>
      <w:r w:rsidR="00304177" w:rsidRPr="007E1E86">
        <w:t xml:space="preserve"> 2021</w:t>
      </w:r>
      <w:r w:rsidRPr="007E1E86">
        <w:t xml:space="preserve"> as if the body were still a VET provider; and</w:t>
      </w:r>
    </w:p>
    <w:p w14:paraId="5FD04DB7" w14:textId="77777777" w:rsidR="00BA61E1" w:rsidRPr="007E1E86" w:rsidRDefault="00BA61E1" w:rsidP="001C31A3">
      <w:pPr>
        <w:pStyle w:val="paragraph"/>
      </w:pPr>
      <w:r w:rsidRPr="007E1E86">
        <w:tab/>
        <w:t>(b)</w:t>
      </w:r>
      <w:r w:rsidRPr="007E1E86">
        <w:tab/>
        <w:t>any conditions:</w:t>
      </w:r>
    </w:p>
    <w:p w14:paraId="5542501A" w14:textId="77777777" w:rsidR="00BA61E1" w:rsidRPr="007E1E86" w:rsidRDefault="00BA61E1" w:rsidP="001C31A3">
      <w:pPr>
        <w:pStyle w:val="paragraphsub"/>
      </w:pPr>
      <w:r w:rsidRPr="007E1E86">
        <w:tab/>
        <w:t>(</w:t>
      </w:r>
      <w:proofErr w:type="spellStart"/>
      <w:r w:rsidRPr="007E1E86">
        <w:t>i</w:t>
      </w:r>
      <w:proofErr w:type="spellEnd"/>
      <w:r w:rsidRPr="007E1E86">
        <w:t>)</w:t>
      </w:r>
      <w:r w:rsidRPr="007E1E86">
        <w:tab/>
        <w:t>imposed on the approval of the body; and</w:t>
      </w:r>
    </w:p>
    <w:p w14:paraId="6C07E17D" w14:textId="77777777" w:rsidR="00BA61E1" w:rsidRPr="007E1E86" w:rsidRDefault="00BA61E1" w:rsidP="001C31A3">
      <w:pPr>
        <w:pStyle w:val="paragraphsub"/>
      </w:pPr>
      <w:r w:rsidRPr="007E1E86">
        <w:tab/>
        <w:t>(ii)</w:t>
      </w:r>
      <w:r w:rsidRPr="007E1E86">
        <w:tab/>
        <w:t xml:space="preserve">in effect immediately before </w:t>
      </w:r>
      <w:r w:rsidR="00480A7E" w:rsidRPr="007E1E86">
        <w:t>1 July</w:t>
      </w:r>
      <w:r w:rsidRPr="007E1E86">
        <w:t xml:space="preserve"> 2021;</w:t>
      </w:r>
    </w:p>
    <w:p w14:paraId="056275C5" w14:textId="77777777" w:rsidR="00BA61E1" w:rsidRPr="007E1E86" w:rsidRDefault="00BA61E1" w:rsidP="001C31A3">
      <w:pPr>
        <w:pStyle w:val="paragraph"/>
      </w:pPr>
      <w:r w:rsidRPr="007E1E86">
        <w:tab/>
      </w:r>
      <w:r w:rsidRPr="007E1E86">
        <w:tab/>
        <w:t>continue to apply to the body</w:t>
      </w:r>
      <w:r w:rsidR="00304177" w:rsidRPr="007E1E86">
        <w:t xml:space="preserve"> on and after </w:t>
      </w:r>
      <w:r w:rsidR="00480A7E" w:rsidRPr="007E1E86">
        <w:t>1 July</w:t>
      </w:r>
      <w:r w:rsidR="00304177" w:rsidRPr="007E1E86">
        <w:t xml:space="preserve"> 2021</w:t>
      </w:r>
      <w:r w:rsidRPr="007E1E86">
        <w:t xml:space="preserve"> as if the body were still a VET provider.</w:t>
      </w:r>
    </w:p>
    <w:p w14:paraId="2D4CB5B3" w14:textId="77777777" w:rsidR="00BA61E1" w:rsidRPr="007E1E86" w:rsidRDefault="00BA61E1" w:rsidP="001C31A3">
      <w:pPr>
        <w:pStyle w:val="subsection"/>
      </w:pPr>
      <w:r w:rsidRPr="007E1E86">
        <w:tab/>
        <w:t>(3)</w:t>
      </w:r>
      <w:r w:rsidRPr="007E1E86">
        <w:tab/>
        <w:t xml:space="preserve">Subclause (2) applies for the purpose of dealing with or resolving any matter that arose under this Act during, or that relates to, the period when the body was approved as a </w:t>
      </w:r>
      <w:r w:rsidR="001C31A3" w:rsidRPr="007E1E86">
        <w:rPr>
          <w:position w:val="6"/>
          <w:sz w:val="16"/>
        </w:rPr>
        <w:t>*</w:t>
      </w:r>
      <w:r w:rsidRPr="007E1E86">
        <w:t>VET provider.</w:t>
      </w:r>
    </w:p>
    <w:p w14:paraId="72E3512B" w14:textId="77777777" w:rsidR="00304177" w:rsidRPr="007E1E86" w:rsidRDefault="00304177" w:rsidP="001C31A3">
      <w:pPr>
        <w:pStyle w:val="subsection"/>
      </w:pPr>
      <w:r w:rsidRPr="007E1E86">
        <w:tab/>
        <w:t>(4)</w:t>
      </w:r>
      <w:r w:rsidRPr="007E1E86">
        <w:tab/>
        <w:t xml:space="preserve">To avoid doubt, if a body that has had its approval revoked by </w:t>
      </w:r>
      <w:r w:rsidR="00480A7E" w:rsidRPr="007E1E86">
        <w:t>subclause (</w:t>
      </w:r>
      <w:r w:rsidR="00BE647B" w:rsidRPr="007E1E86">
        <w:t>1)</w:t>
      </w:r>
      <w:r w:rsidRPr="007E1E86">
        <w:t xml:space="preserve"> would be required or empowered, but for the revocation, to do a thing under, or for the purposes of, Subdivision 7</w:t>
      </w:r>
      <w:r w:rsidR="007E1E86">
        <w:noBreakHyphen/>
      </w:r>
      <w:r w:rsidRPr="007E1E86">
        <w:t>B of Division 7 of Part 2 (which deals with re</w:t>
      </w:r>
      <w:r w:rsidR="007E1E86">
        <w:noBreakHyphen/>
      </w:r>
      <w:r w:rsidRPr="007E1E86">
        <w:t xml:space="preserve">crediting), the body is, on and after </w:t>
      </w:r>
      <w:r w:rsidR="00480A7E" w:rsidRPr="007E1E86">
        <w:t>1 July</w:t>
      </w:r>
      <w:r w:rsidRPr="007E1E86">
        <w:t xml:space="preserve"> 2021, required or empowered to do the thing as if the body were still a </w:t>
      </w:r>
      <w:r w:rsidR="001C31A3" w:rsidRPr="007E1E86">
        <w:rPr>
          <w:position w:val="6"/>
          <w:sz w:val="16"/>
        </w:rPr>
        <w:t>*</w:t>
      </w:r>
      <w:r w:rsidRPr="007E1E86">
        <w:t>VET provider.</w:t>
      </w:r>
    </w:p>
    <w:p w14:paraId="15ADC0DB" w14:textId="77777777" w:rsidR="00304177" w:rsidRPr="007E1E86" w:rsidRDefault="003F4F4F" w:rsidP="001C31A3">
      <w:pPr>
        <w:pStyle w:val="SubsectionHead"/>
        <w:rPr>
          <w:i w:val="0"/>
        </w:rPr>
      </w:pPr>
      <w:r w:rsidRPr="007E1E86">
        <w:lastRenderedPageBreak/>
        <w:t>Interaction with the Acts Interpretation Act 1901</w:t>
      </w:r>
    </w:p>
    <w:p w14:paraId="45CC4A21" w14:textId="77777777" w:rsidR="00BA61E1" w:rsidRPr="007E1E86" w:rsidRDefault="00BA61E1" w:rsidP="001C31A3">
      <w:pPr>
        <w:pStyle w:val="subsection"/>
        <w:rPr>
          <w:i/>
        </w:rPr>
      </w:pPr>
      <w:r w:rsidRPr="007E1E86">
        <w:tab/>
        <w:t>(</w:t>
      </w:r>
      <w:r w:rsidR="00D64A52" w:rsidRPr="007E1E86">
        <w:t>5</w:t>
      </w:r>
      <w:r w:rsidRPr="007E1E86">
        <w:t>)</w:t>
      </w:r>
      <w:r w:rsidRPr="007E1E86">
        <w:tab/>
      </w:r>
      <w:r w:rsidR="00304177" w:rsidRPr="007E1E86">
        <w:t>This clause does</w:t>
      </w:r>
      <w:r w:rsidRPr="007E1E86">
        <w:t xml:space="preserve"> not limit the effect of section 7 of the </w:t>
      </w:r>
      <w:r w:rsidRPr="007E1E86">
        <w:rPr>
          <w:i/>
        </w:rPr>
        <w:t>Acts Interpretation Act 1901.</w:t>
      </w:r>
    </w:p>
    <w:p w14:paraId="4944B326" w14:textId="77777777" w:rsidR="00BA61E1" w:rsidRPr="007E1E86" w:rsidRDefault="006F4F74" w:rsidP="001C31A3">
      <w:pPr>
        <w:pStyle w:val="ItemHead"/>
      </w:pPr>
      <w:r w:rsidRPr="007E1E86">
        <w:t>15</w:t>
      </w:r>
      <w:r w:rsidR="00BA61E1" w:rsidRPr="007E1E86">
        <w:t xml:space="preserve">  Paragraph 39GD(c) of </w:t>
      </w:r>
      <w:r w:rsidR="00480A7E" w:rsidRPr="007E1E86">
        <w:t>Schedule 1</w:t>
      </w:r>
      <w:r w:rsidR="00BA61E1" w:rsidRPr="007E1E86">
        <w:t>A</w:t>
      </w:r>
    </w:p>
    <w:p w14:paraId="6B998681" w14:textId="77777777" w:rsidR="00BA61E1" w:rsidRPr="007E1E86" w:rsidRDefault="00BA61E1" w:rsidP="001C31A3">
      <w:pPr>
        <w:pStyle w:val="Item"/>
      </w:pPr>
      <w:r w:rsidRPr="007E1E86">
        <w:t>Repeal the paragraph.</w:t>
      </w:r>
    </w:p>
    <w:p w14:paraId="7BC9EA90" w14:textId="77777777" w:rsidR="00BA61E1" w:rsidRPr="007E1E86" w:rsidRDefault="006F4F74" w:rsidP="001C31A3">
      <w:pPr>
        <w:pStyle w:val="ItemHead"/>
      </w:pPr>
      <w:r w:rsidRPr="007E1E86">
        <w:t>16</w:t>
      </w:r>
      <w:r w:rsidR="00BA61E1" w:rsidRPr="007E1E86">
        <w:t xml:space="preserve">  Clause 91 of </w:t>
      </w:r>
      <w:r w:rsidR="00480A7E" w:rsidRPr="007E1E86">
        <w:t>Schedule 1</w:t>
      </w:r>
      <w:r w:rsidR="00BA61E1" w:rsidRPr="007E1E86">
        <w:t>A (table items 1C and 1D)</w:t>
      </w:r>
    </w:p>
    <w:p w14:paraId="0C387F24" w14:textId="77777777" w:rsidR="00BA61E1" w:rsidRPr="007E1E86" w:rsidRDefault="00BA61E1" w:rsidP="001C31A3">
      <w:pPr>
        <w:pStyle w:val="Item"/>
      </w:pPr>
      <w:r w:rsidRPr="007E1E86">
        <w:t>Repeal the items.</w:t>
      </w:r>
    </w:p>
    <w:p w14:paraId="6E72400C" w14:textId="77777777" w:rsidR="00243514" w:rsidRPr="007E1E86" w:rsidRDefault="006F4F74" w:rsidP="001C31A3">
      <w:pPr>
        <w:pStyle w:val="Transitional"/>
      </w:pPr>
      <w:r w:rsidRPr="007E1E86">
        <w:t>17</w:t>
      </w:r>
      <w:r w:rsidR="00243514" w:rsidRPr="007E1E86">
        <w:t xml:space="preserve">  Saving of </w:t>
      </w:r>
      <w:r w:rsidRPr="007E1E86">
        <w:t xml:space="preserve">requirements </w:t>
      </w:r>
      <w:r w:rsidR="00243514" w:rsidRPr="007E1E86">
        <w:t>on earlier revocations</w:t>
      </w:r>
    </w:p>
    <w:p w14:paraId="30100080" w14:textId="77777777" w:rsidR="00243514" w:rsidRPr="007E1E86" w:rsidRDefault="00243514" w:rsidP="001C31A3">
      <w:pPr>
        <w:pStyle w:val="Subitem"/>
      </w:pPr>
      <w:r w:rsidRPr="007E1E86">
        <w:t>(1)</w:t>
      </w:r>
      <w:r w:rsidRPr="007E1E86">
        <w:tab/>
        <w:t>This item applies if:</w:t>
      </w:r>
    </w:p>
    <w:p w14:paraId="70EFF6F4" w14:textId="77777777" w:rsidR="00243514" w:rsidRPr="007E1E86" w:rsidRDefault="00243514" w:rsidP="001C31A3">
      <w:pPr>
        <w:pStyle w:val="paragraph"/>
      </w:pPr>
      <w:r w:rsidRPr="007E1E86">
        <w:tab/>
        <w:t>(a)</w:t>
      </w:r>
      <w:r w:rsidRPr="007E1E86">
        <w:tab/>
        <w:t xml:space="preserve">before the commencement </w:t>
      </w:r>
      <w:r w:rsidR="007169D4" w:rsidRPr="007E1E86">
        <w:t>of this item</w:t>
      </w:r>
      <w:r w:rsidRPr="007E1E86">
        <w:t xml:space="preserve">, a body had its approval as a </w:t>
      </w:r>
      <w:r w:rsidR="001C31A3" w:rsidRPr="007E1E86">
        <w:rPr>
          <w:position w:val="6"/>
          <w:sz w:val="16"/>
        </w:rPr>
        <w:t>*</w:t>
      </w:r>
      <w:r w:rsidRPr="007E1E86">
        <w:t>VET provider revoked; and</w:t>
      </w:r>
    </w:p>
    <w:p w14:paraId="40E1E148" w14:textId="77777777" w:rsidR="00243514" w:rsidRPr="007E1E86" w:rsidRDefault="00243514" w:rsidP="001C31A3">
      <w:pPr>
        <w:pStyle w:val="paragraph"/>
      </w:pPr>
      <w:r w:rsidRPr="007E1E86">
        <w:tab/>
        <w:t>(b)</w:t>
      </w:r>
      <w:r w:rsidRPr="007E1E86">
        <w:tab/>
        <w:t xml:space="preserve">immediately before that </w:t>
      </w:r>
      <w:r w:rsidR="003F4F4F" w:rsidRPr="007E1E86">
        <w:t>commencement</w:t>
      </w:r>
      <w:r w:rsidR="007169D4" w:rsidRPr="007E1E86">
        <w:t xml:space="preserve">, </w:t>
      </w:r>
      <w:r w:rsidRPr="007E1E86">
        <w:t>the revocation was subjec</w:t>
      </w:r>
      <w:r w:rsidR="007169D4" w:rsidRPr="007E1E86">
        <w:t xml:space="preserve">t to conditions under </w:t>
      </w:r>
      <w:r w:rsidR="00480A7E" w:rsidRPr="007E1E86">
        <w:t>clause 3</w:t>
      </w:r>
      <w:r w:rsidR="007169D4" w:rsidRPr="007E1E86">
        <w:t xml:space="preserve">9 of </w:t>
      </w:r>
      <w:r w:rsidR="00480A7E" w:rsidRPr="007E1E86">
        <w:t>Schedule 1</w:t>
      </w:r>
      <w:r w:rsidR="007169D4" w:rsidRPr="007E1E86">
        <w:t xml:space="preserve">A to the </w:t>
      </w:r>
      <w:r w:rsidR="007169D4" w:rsidRPr="007E1E86">
        <w:rPr>
          <w:i/>
        </w:rPr>
        <w:t>Higher Education Support Act 2003</w:t>
      </w:r>
      <w:r w:rsidR="007169D4" w:rsidRPr="007E1E86">
        <w:t>.</w:t>
      </w:r>
    </w:p>
    <w:p w14:paraId="400D07D9" w14:textId="77777777" w:rsidR="00062CD6" w:rsidRDefault="00243514" w:rsidP="001C31A3">
      <w:pPr>
        <w:pStyle w:val="Subitem"/>
      </w:pPr>
      <w:r w:rsidRPr="007E1E86">
        <w:t>(2)</w:t>
      </w:r>
      <w:r w:rsidRPr="007E1E86">
        <w:tab/>
        <w:t xml:space="preserve">Despite the repeal of </w:t>
      </w:r>
      <w:r w:rsidR="00480A7E" w:rsidRPr="007E1E86">
        <w:t>clause 3</w:t>
      </w:r>
      <w:r w:rsidR="00D95C5B" w:rsidRPr="007E1E86">
        <w:t>9</w:t>
      </w:r>
      <w:r w:rsidRPr="007E1E86">
        <w:t xml:space="preserve"> of </w:t>
      </w:r>
      <w:r w:rsidR="00480A7E" w:rsidRPr="007E1E86">
        <w:t>Schedule 1</w:t>
      </w:r>
      <w:r w:rsidRPr="007E1E86">
        <w:t xml:space="preserve">A to the </w:t>
      </w:r>
      <w:r w:rsidRPr="007E1E86">
        <w:rPr>
          <w:i/>
        </w:rPr>
        <w:t>Higher Education Support Act 2003</w:t>
      </w:r>
      <w:r w:rsidRPr="007E1E86">
        <w:t xml:space="preserve"> by this Part, </w:t>
      </w:r>
      <w:r w:rsidR="007169D4" w:rsidRPr="007E1E86">
        <w:t>that c</w:t>
      </w:r>
      <w:r w:rsidRPr="007E1E86">
        <w:t>lause continues to apply in relation to the body as if the repeal had not happened.</w:t>
      </w:r>
    </w:p>
    <w:p w14:paraId="4DA9533B" w14:textId="77777777" w:rsidR="009D33D0" w:rsidRPr="00F02B56" w:rsidRDefault="009D33D0" w:rsidP="009D33D0"/>
    <w:p w14:paraId="73EACC0E" w14:textId="77777777" w:rsidR="009D33D0" w:rsidRDefault="009D33D0" w:rsidP="009D33D0">
      <w:pPr>
        <w:pStyle w:val="AssentBk"/>
        <w:keepNext/>
      </w:pPr>
    </w:p>
    <w:p w14:paraId="11A33C2F" w14:textId="77777777" w:rsidR="009D33D0" w:rsidRDefault="009D33D0" w:rsidP="009D33D0">
      <w:pPr>
        <w:pStyle w:val="AssentBk"/>
        <w:keepNext/>
      </w:pPr>
    </w:p>
    <w:p w14:paraId="3E489DBB" w14:textId="17ACE439" w:rsidR="009D33D0" w:rsidRDefault="009D33D0" w:rsidP="009D33D0">
      <w:pPr>
        <w:pStyle w:val="2ndRd"/>
        <w:keepNext/>
        <w:pBdr>
          <w:top w:val="single" w:sz="2" w:space="1" w:color="auto"/>
        </w:pBdr>
      </w:pPr>
    </w:p>
    <w:p w14:paraId="7D7761E9" w14:textId="77777777" w:rsidR="009D33D0" w:rsidRDefault="009D33D0" w:rsidP="009D33D0">
      <w:pPr>
        <w:pStyle w:val="2ndRd"/>
        <w:keepNext/>
        <w:spacing w:line="260" w:lineRule="atLeast"/>
        <w:rPr>
          <w:i/>
        </w:rPr>
      </w:pPr>
      <w:r>
        <w:t>[</w:t>
      </w:r>
      <w:r>
        <w:rPr>
          <w:i/>
        </w:rPr>
        <w:t>Minister’s second reading speech made in—</w:t>
      </w:r>
    </w:p>
    <w:p w14:paraId="67F41D0E" w14:textId="77777777" w:rsidR="009D33D0" w:rsidRDefault="009D33D0" w:rsidP="009D33D0">
      <w:pPr>
        <w:pStyle w:val="2ndRd"/>
        <w:keepNext/>
        <w:spacing w:line="260" w:lineRule="atLeast"/>
      </w:pPr>
      <w:r>
        <w:rPr>
          <w:i/>
        </w:rPr>
        <w:t>Senate on 12 November 2020</w:t>
      </w:r>
    </w:p>
    <w:p w14:paraId="1B0B9434" w14:textId="77777777" w:rsidR="009D33D0" w:rsidRDefault="009D33D0" w:rsidP="009D33D0">
      <w:pPr>
        <w:pStyle w:val="2ndRd"/>
        <w:keepNext/>
        <w:spacing w:line="260" w:lineRule="atLeast"/>
        <w:rPr>
          <w:i/>
        </w:rPr>
      </w:pPr>
      <w:r>
        <w:rPr>
          <w:i/>
        </w:rPr>
        <w:t>House of Representatives on 18 February 2021</w:t>
      </w:r>
      <w:r>
        <w:t>]</w:t>
      </w:r>
    </w:p>
    <w:p w14:paraId="00698D7E" w14:textId="77777777" w:rsidR="009D33D0" w:rsidRDefault="009D33D0" w:rsidP="009D33D0">
      <w:pPr>
        <w:framePr w:hSpace="180" w:wrap="around" w:vAnchor="text" w:hAnchor="page" w:x="2401" w:y="2681"/>
      </w:pPr>
      <w:r>
        <w:t>(147/20)</w:t>
      </w:r>
    </w:p>
    <w:p w14:paraId="66127D6E" w14:textId="77777777" w:rsidR="009D33D0" w:rsidRDefault="009D33D0" w:rsidP="009D33D0"/>
    <w:p w14:paraId="35F2086A" w14:textId="77777777" w:rsidR="009D33D0" w:rsidRDefault="009D33D0" w:rsidP="001C31A3">
      <w:pPr>
        <w:pStyle w:val="Subitem"/>
        <w:sectPr w:rsidR="009D33D0" w:rsidSect="00EA701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322ED553" w14:textId="77777777" w:rsidR="009D33D0" w:rsidRDefault="009D33D0" w:rsidP="009D33D0">
      <w:pPr>
        <w:pStyle w:val="Subitem"/>
      </w:pPr>
    </w:p>
    <w:sectPr w:rsidR="009D33D0" w:rsidSect="009D33D0">
      <w:headerReference w:type="first" r:id="rId28"/>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84AF" w14:textId="77777777" w:rsidR="00BA61E1" w:rsidRDefault="00BA61E1" w:rsidP="0048364F">
      <w:pPr>
        <w:spacing w:line="240" w:lineRule="auto"/>
      </w:pPr>
      <w:r>
        <w:separator/>
      </w:r>
    </w:p>
  </w:endnote>
  <w:endnote w:type="continuationSeparator" w:id="0">
    <w:p w14:paraId="386281B2" w14:textId="77777777" w:rsidR="00BA61E1" w:rsidRDefault="00BA61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A126" w14:textId="77777777" w:rsidR="00BA61E1" w:rsidRPr="005F1388" w:rsidRDefault="00BA61E1" w:rsidP="004E71D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2956" w14:textId="4E82DFF4" w:rsidR="009D33D0" w:rsidRDefault="009D33D0" w:rsidP="00CD12A5">
    <w:pPr>
      <w:pStyle w:val="ScalePlusRef"/>
    </w:pPr>
    <w:r>
      <w:t>Note: An electronic version of this Act is available on the Federal Register of Legislation (</w:t>
    </w:r>
    <w:hyperlink r:id="rId1" w:history="1">
      <w:r>
        <w:t>https://www.legislation.gov.au/</w:t>
      </w:r>
    </w:hyperlink>
    <w:r>
      <w:t>)</w:t>
    </w:r>
  </w:p>
  <w:p w14:paraId="6ACCD135" w14:textId="77777777" w:rsidR="009D33D0" w:rsidRDefault="009D33D0" w:rsidP="00CD12A5"/>
  <w:p w14:paraId="50418840" w14:textId="3F214879" w:rsidR="00BA61E1" w:rsidRDefault="00BA61E1" w:rsidP="004E71D4">
    <w:pPr>
      <w:pStyle w:val="Footer"/>
      <w:spacing w:before="120"/>
    </w:pPr>
  </w:p>
  <w:p w14:paraId="7D14CDEC" w14:textId="77777777" w:rsidR="00BA61E1" w:rsidRPr="005F1388" w:rsidRDefault="00BA61E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DB64" w14:textId="77777777" w:rsidR="00BA61E1" w:rsidRPr="00ED79B6" w:rsidRDefault="00BA61E1" w:rsidP="004E71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4228" w14:textId="77777777" w:rsidR="00BA61E1" w:rsidRDefault="00BA61E1" w:rsidP="004E71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61E1" w14:paraId="513984D1" w14:textId="77777777" w:rsidTr="00E3445B">
      <w:tc>
        <w:tcPr>
          <w:tcW w:w="646" w:type="dxa"/>
        </w:tcPr>
        <w:p w14:paraId="04EDB0E2" w14:textId="77777777" w:rsidR="00BA61E1" w:rsidRDefault="00BA61E1" w:rsidP="00E3445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1CCE">
            <w:rPr>
              <w:i/>
              <w:noProof/>
              <w:sz w:val="18"/>
            </w:rPr>
            <w:t>vii</w:t>
          </w:r>
          <w:r w:rsidRPr="00ED79B6">
            <w:rPr>
              <w:i/>
              <w:sz w:val="18"/>
            </w:rPr>
            <w:fldChar w:fldCharType="end"/>
          </w:r>
        </w:p>
      </w:tc>
      <w:tc>
        <w:tcPr>
          <w:tcW w:w="5387" w:type="dxa"/>
        </w:tcPr>
        <w:p w14:paraId="2DA771FE" w14:textId="68653BA8" w:rsidR="00BA61E1" w:rsidRDefault="00BA61E1" w:rsidP="00E3445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8253C">
            <w:rPr>
              <w:i/>
              <w:sz w:val="18"/>
            </w:rPr>
            <w:t>VET Student Payment Arrangements (Miscellaneous Amendments) Act 2021</w:t>
          </w:r>
          <w:r w:rsidRPr="00ED79B6">
            <w:rPr>
              <w:i/>
              <w:sz w:val="18"/>
            </w:rPr>
            <w:fldChar w:fldCharType="end"/>
          </w:r>
        </w:p>
      </w:tc>
      <w:tc>
        <w:tcPr>
          <w:tcW w:w="1270" w:type="dxa"/>
        </w:tcPr>
        <w:p w14:paraId="0BCCF757" w14:textId="5967D597" w:rsidR="00BA61E1" w:rsidRDefault="00BA61E1" w:rsidP="00E3445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8253C">
            <w:rPr>
              <w:i/>
              <w:sz w:val="18"/>
            </w:rPr>
            <w:t>No. 17, 2021</w:t>
          </w:r>
          <w:r w:rsidRPr="00ED79B6">
            <w:rPr>
              <w:i/>
              <w:sz w:val="18"/>
            </w:rPr>
            <w:fldChar w:fldCharType="end"/>
          </w:r>
        </w:p>
      </w:tc>
    </w:tr>
  </w:tbl>
  <w:p w14:paraId="26A93951" w14:textId="77777777" w:rsidR="00BA61E1" w:rsidRDefault="00BA61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3E7A" w14:textId="77777777" w:rsidR="00BA61E1" w:rsidRDefault="00BA61E1" w:rsidP="004E71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61E1" w14:paraId="6DE7A0D1" w14:textId="77777777" w:rsidTr="00E3445B">
      <w:tc>
        <w:tcPr>
          <w:tcW w:w="1247" w:type="dxa"/>
        </w:tcPr>
        <w:p w14:paraId="7B7ECF91" w14:textId="04E1DFD1" w:rsidR="00BA61E1" w:rsidRDefault="00BA61E1" w:rsidP="00E3445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8253C">
            <w:rPr>
              <w:i/>
              <w:sz w:val="18"/>
            </w:rPr>
            <w:t>No. 17, 2021</w:t>
          </w:r>
          <w:r w:rsidRPr="00ED79B6">
            <w:rPr>
              <w:i/>
              <w:sz w:val="18"/>
            </w:rPr>
            <w:fldChar w:fldCharType="end"/>
          </w:r>
        </w:p>
      </w:tc>
      <w:tc>
        <w:tcPr>
          <w:tcW w:w="5387" w:type="dxa"/>
        </w:tcPr>
        <w:p w14:paraId="4AEDFA9E" w14:textId="7BDB9D30" w:rsidR="00BA61E1" w:rsidRDefault="00BA61E1" w:rsidP="00E3445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8253C">
            <w:rPr>
              <w:i/>
              <w:sz w:val="18"/>
            </w:rPr>
            <w:t>VET Student Payment Arrangements (Miscellaneous Amendments) Act 2021</w:t>
          </w:r>
          <w:r w:rsidRPr="00ED79B6">
            <w:rPr>
              <w:i/>
              <w:sz w:val="18"/>
            </w:rPr>
            <w:fldChar w:fldCharType="end"/>
          </w:r>
        </w:p>
      </w:tc>
      <w:tc>
        <w:tcPr>
          <w:tcW w:w="669" w:type="dxa"/>
        </w:tcPr>
        <w:p w14:paraId="26B44C80" w14:textId="77777777" w:rsidR="00BA61E1" w:rsidRDefault="00BA61E1" w:rsidP="00E3445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1CCE">
            <w:rPr>
              <w:i/>
              <w:noProof/>
              <w:sz w:val="18"/>
            </w:rPr>
            <w:t>i</w:t>
          </w:r>
          <w:r w:rsidRPr="00ED79B6">
            <w:rPr>
              <w:i/>
              <w:sz w:val="18"/>
            </w:rPr>
            <w:fldChar w:fldCharType="end"/>
          </w:r>
        </w:p>
      </w:tc>
    </w:tr>
  </w:tbl>
  <w:p w14:paraId="6A11555A" w14:textId="77777777" w:rsidR="00BA61E1" w:rsidRPr="00ED79B6" w:rsidRDefault="00BA61E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292E" w14:textId="77777777" w:rsidR="00BA61E1" w:rsidRPr="00A961C4" w:rsidRDefault="00BA61E1" w:rsidP="004E71D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61E1" w14:paraId="06A945FC" w14:textId="77777777" w:rsidTr="007E1E86">
      <w:tc>
        <w:tcPr>
          <w:tcW w:w="646" w:type="dxa"/>
        </w:tcPr>
        <w:p w14:paraId="73D99204" w14:textId="77777777" w:rsidR="00BA61E1" w:rsidRDefault="00BA61E1" w:rsidP="00E3445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1CCE">
            <w:rPr>
              <w:i/>
              <w:noProof/>
              <w:sz w:val="18"/>
            </w:rPr>
            <w:t>8</w:t>
          </w:r>
          <w:r w:rsidRPr="007A1328">
            <w:rPr>
              <w:i/>
              <w:sz w:val="18"/>
            </w:rPr>
            <w:fldChar w:fldCharType="end"/>
          </w:r>
        </w:p>
      </w:tc>
      <w:tc>
        <w:tcPr>
          <w:tcW w:w="5387" w:type="dxa"/>
        </w:tcPr>
        <w:p w14:paraId="7CC38827" w14:textId="76960CF5" w:rsidR="00BA61E1" w:rsidRDefault="00BA61E1" w:rsidP="00E344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253C">
            <w:rPr>
              <w:i/>
              <w:sz w:val="18"/>
            </w:rPr>
            <w:t>VET Student Payment Arrangements (Miscellaneous Amendments) Act 2021</w:t>
          </w:r>
          <w:r w:rsidRPr="007A1328">
            <w:rPr>
              <w:i/>
              <w:sz w:val="18"/>
            </w:rPr>
            <w:fldChar w:fldCharType="end"/>
          </w:r>
        </w:p>
      </w:tc>
      <w:tc>
        <w:tcPr>
          <w:tcW w:w="1270" w:type="dxa"/>
        </w:tcPr>
        <w:p w14:paraId="744B452A" w14:textId="35699973" w:rsidR="00BA61E1" w:rsidRDefault="00BA61E1" w:rsidP="00E3445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253C">
            <w:rPr>
              <w:i/>
              <w:sz w:val="18"/>
            </w:rPr>
            <w:t>No. 17, 2021</w:t>
          </w:r>
          <w:r w:rsidRPr="007A1328">
            <w:rPr>
              <w:i/>
              <w:sz w:val="18"/>
            </w:rPr>
            <w:fldChar w:fldCharType="end"/>
          </w:r>
        </w:p>
      </w:tc>
    </w:tr>
  </w:tbl>
  <w:p w14:paraId="26EE936A" w14:textId="77777777" w:rsidR="00BA61E1" w:rsidRPr="00A961C4" w:rsidRDefault="00BA61E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A6F8" w14:textId="77777777" w:rsidR="00BA61E1" w:rsidRPr="00A961C4" w:rsidRDefault="00BA61E1" w:rsidP="004E71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61E1" w14:paraId="4F13484F" w14:textId="77777777" w:rsidTr="007E1E86">
      <w:tc>
        <w:tcPr>
          <w:tcW w:w="1247" w:type="dxa"/>
        </w:tcPr>
        <w:p w14:paraId="4D5C328A" w14:textId="75BB6759" w:rsidR="00BA61E1" w:rsidRDefault="00BA61E1" w:rsidP="00E344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253C">
            <w:rPr>
              <w:i/>
              <w:sz w:val="18"/>
            </w:rPr>
            <w:t>No. 17, 2021</w:t>
          </w:r>
          <w:r w:rsidRPr="007A1328">
            <w:rPr>
              <w:i/>
              <w:sz w:val="18"/>
            </w:rPr>
            <w:fldChar w:fldCharType="end"/>
          </w:r>
        </w:p>
      </w:tc>
      <w:tc>
        <w:tcPr>
          <w:tcW w:w="5387" w:type="dxa"/>
        </w:tcPr>
        <w:p w14:paraId="650BA5AF" w14:textId="7F6944BD" w:rsidR="00BA61E1" w:rsidRDefault="00BA61E1" w:rsidP="00E344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253C">
            <w:rPr>
              <w:i/>
              <w:sz w:val="18"/>
            </w:rPr>
            <w:t>VET Student Payment Arrangements (Miscellaneous Amendments) Act 2021</w:t>
          </w:r>
          <w:r w:rsidRPr="007A1328">
            <w:rPr>
              <w:i/>
              <w:sz w:val="18"/>
            </w:rPr>
            <w:fldChar w:fldCharType="end"/>
          </w:r>
        </w:p>
      </w:tc>
      <w:tc>
        <w:tcPr>
          <w:tcW w:w="669" w:type="dxa"/>
        </w:tcPr>
        <w:p w14:paraId="0AE00458" w14:textId="77777777" w:rsidR="00BA61E1" w:rsidRDefault="00BA61E1" w:rsidP="00E344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1CCE">
            <w:rPr>
              <w:i/>
              <w:noProof/>
              <w:sz w:val="18"/>
            </w:rPr>
            <w:t>9</w:t>
          </w:r>
          <w:r w:rsidRPr="007A1328">
            <w:rPr>
              <w:i/>
              <w:sz w:val="18"/>
            </w:rPr>
            <w:fldChar w:fldCharType="end"/>
          </w:r>
        </w:p>
      </w:tc>
    </w:tr>
  </w:tbl>
  <w:p w14:paraId="31C9DC36" w14:textId="77777777" w:rsidR="00BA61E1" w:rsidRPr="00055B5C" w:rsidRDefault="00BA61E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D672" w14:textId="77777777" w:rsidR="00BA61E1" w:rsidRPr="00A961C4" w:rsidRDefault="00BA61E1" w:rsidP="004E71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BA61E1" w14:paraId="34725F4F" w14:textId="77777777" w:rsidTr="007E1E86">
      <w:tc>
        <w:tcPr>
          <w:tcW w:w="1247" w:type="dxa"/>
        </w:tcPr>
        <w:p w14:paraId="439D932E" w14:textId="1822FEDD" w:rsidR="00BA61E1" w:rsidRDefault="00BA61E1" w:rsidP="00E344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8253C">
            <w:rPr>
              <w:i/>
              <w:sz w:val="18"/>
            </w:rPr>
            <w:t>No. 17, 2021</w:t>
          </w:r>
          <w:r w:rsidRPr="007A1328">
            <w:rPr>
              <w:i/>
              <w:sz w:val="18"/>
            </w:rPr>
            <w:fldChar w:fldCharType="end"/>
          </w:r>
        </w:p>
      </w:tc>
      <w:tc>
        <w:tcPr>
          <w:tcW w:w="5387" w:type="dxa"/>
        </w:tcPr>
        <w:p w14:paraId="0F24154B" w14:textId="1715D480" w:rsidR="00BA61E1" w:rsidRDefault="00BA61E1" w:rsidP="00E344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253C">
            <w:rPr>
              <w:i/>
              <w:sz w:val="18"/>
            </w:rPr>
            <w:t>VET Student Payment Arrangements (Miscellaneous Amendments) Act 2021</w:t>
          </w:r>
          <w:r w:rsidRPr="007A1328">
            <w:rPr>
              <w:i/>
              <w:sz w:val="18"/>
            </w:rPr>
            <w:fldChar w:fldCharType="end"/>
          </w:r>
        </w:p>
      </w:tc>
      <w:tc>
        <w:tcPr>
          <w:tcW w:w="669" w:type="dxa"/>
        </w:tcPr>
        <w:p w14:paraId="76519FF5" w14:textId="77777777" w:rsidR="00BA61E1" w:rsidRDefault="00BA61E1" w:rsidP="00E344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1CCE">
            <w:rPr>
              <w:i/>
              <w:noProof/>
              <w:sz w:val="18"/>
            </w:rPr>
            <w:t>1</w:t>
          </w:r>
          <w:r w:rsidRPr="007A1328">
            <w:rPr>
              <w:i/>
              <w:sz w:val="18"/>
            </w:rPr>
            <w:fldChar w:fldCharType="end"/>
          </w:r>
        </w:p>
      </w:tc>
    </w:tr>
  </w:tbl>
  <w:p w14:paraId="22BF235B" w14:textId="77777777" w:rsidR="00BA61E1" w:rsidRPr="00A961C4" w:rsidRDefault="00BA61E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3702" w14:textId="77777777" w:rsidR="00BA61E1" w:rsidRDefault="00BA61E1" w:rsidP="0048364F">
      <w:pPr>
        <w:spacing w:line="240" w:lineRule="auto"/>
      </w:pPr>
      <w:r>
        <w:separator/>
      </w:r>
    </w:p>
  </w:footnote>
  <w:footnote w:type="continuationSeparator" w:id="0">
    <w:p w14:paraId="6DC324E0" w14:textId="77777777" w:rsidR="00BA61E1" w:rsidRDefault="00BA61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BACF" w14:textId="77777777" w:rsidR="00BA61E1" w:rsidRPr="005F1388" w:rsidRDefault="00BA61E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8DD7" w14:textId="77777777" w:rsidR="00062CD6" w:rsidRPr="00A961C4" w:rsidRDefault="00062CD6" w:rsidP="00062CD6">
    <w:pPr>
      <w:jc w:val="right"/>
      <w:rPr>
        <w:sz w:val="20"/>
      </w:rPr>
    </w:pPr>
  </w:p>
  <w:p w14:paraId="0E876180" w14:textId="77777777" w:rsidR="00062CD6" w:rsidRPr="00A961C4" w:rsidRDefault="00062CD6" w:rsidP="00062CD6">
    <w:pPr>
      <w:jc w:val="right"/>
      <w:rPr>
        <w:b/>
        <w:sz w:val="20"/>
      </w:rPr>
    </w:pPr>
  </w:p>
  <w:p w14:paraId="7AB430A8" w14:textId="77777777" w:rsidR="00062CD6" w:rsidRPr="00A961C4" w:rsidRDefault="00062CD6" w:rsidP="00062CD6">
    <w:pPr>
      <w:pBdr>
        <w:bottom w:val="single" w:sz="6" w:space="1" w:color="auto"/>
      </w:pBdr>
      <w:spacing w:after="120"/>
      <w:jc w:val="right"/>
    </w:pPr>
  </w:p>
  <w:p w14:paraId="6DBB8FF8" w14:textId="77777777" w:rsidR="00062CD6" w:rsidRPr="00062CD6" w:rsidRDefault="00062CD6" w:rsidP="00062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DCB2" w14:textId="77777777" w:rsidR="00BA61E1" w:rsidRPr="005F1388" w:rsidRDefault="00BA61E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594D" w14:textId="77777777" w:rsidR="00BA61E1" w:rsidRPr="005F1388" w:rsidRDefault="00BA61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EBD8" w14:textId="77777777" w:rsidR="00BA61E1" w:rsidRPr="00ED79B6" w:rsidRDefault="00BA61E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B42B" w14:textId="77777777" w:rsidR="00BA61E1" w:rsidRPr="00ED79B6" w:rsidRDefault="00BA61E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8FA3" w14:textId="77777777" w:rsidR="00BA61E1" w:rsidRPr="00ED79B6" w:rsidRDefault="00BA61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0526" w14:textId="060DC71F" w:rsidR="00BA61E1" w:rsidRPr="00A961C4" w:rsidRDefault="00BA61E1" w:rsidP="0048364F">
    <w:pPr>
      <w:rPr>
        <w:b/>
        <w:sz w:val="20"/>
      </w:rPr>
    </w:pPr>
    <w:r>
      <w:rPr>
        <w:b/>
        <w:sz w:val="20"/>
      </w:rPr>
      <w:fldChar w:fldCharType="begin"/>
    </w:r>
    <w:r>
      <w:rPr>
        <w:b/>
        <w:sz w:val="20"/>
      </w:rPr>
      <w:instrText xml:space="preserve"> STYLEREF CharAmSchNo </w:instrText>
    </w:r>
    <w:r w:rsidR="00E8253C">
      <w:rPr>
        <w:b/>
        <w:sz w:val="20"/>
      </w:rPr>
      <w:fldChar w:fldCharType="separate"/>
    </w:r>
    <w:r w:rsidR="00E8253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8253C">
      <w:rPr>
        <w:sz w:val="20"/>
      </w:rPr>
      <w:fldChar w:fldCharType="separate"/>
    </w:r>
    <w:r w:rsidR="00E8253C">
      <w:rPr>
        <w:noProof/>
        <w:sz w:val="20"/>
      </w:rPr>
      <w:t>Amendments</w:t>
    </w:r>
    <w:r>
      <w:rPr>
        <w:sz w:val="20"/>
      </w:rPr>
      <w:fldChar w:fldCharType="end"/>
    </w:r>
  </w:p>
  <w:p w14:paraId="3FFD54DA" w14:textId="5AE4302C" w:rsidR="00BA61E1" w:rsidRPr="00A961C4" w:rsidRDefault="00BA61E1" w:rsidP="0048364F">
    <w:pPr>
      <w:rPr>
        <w:b/>
        <w:sz w:val="20"/>
      </w:rPr>
    </w:pPr>
    <w:r>
      <w:rPr>
        <w:b/>
        <w:sz w:val="20"/>
      </w:rPr>
      <w:fldChar w:fldCharType="begin"/>
    </w:r>
    <w:r>
      <w:rPr>
        <w:b/>
        <w:sz w:val="20"/>
      </w:rPr>
      <w:instrText xml:space="preserve"> STYLEREF CharAmPartNo </w:instrText>
    </w:r>
    <w:r w:rsidR="00E8253C">
      <w:rPr>
        <w:b/>
        <w:sz w:val="20"/>
      </w:rPr>
      <w:fldChar w:fldCharType="separate"/>
    </w:r>
    <w:r w:rsidR="00E8253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8253C">
      <w:rPr>
        <w:sz w:val="20"/>
      </w:rPr>
      <w:fldChar w:fldCharType="separate"/>
    </w:r>
    <w:r w:rsidR="00E8253C">
      <w:rPr>
        <w:noProof/>
        <w:sz w:val="20"/>
      </w:rPr>
      <w:t>Amendments commencing 1 July 2021</w:t>
    </w:r>
    <w:r>
      <w:rPr>
        <w:sz w:val="20"/>
      </w:rPr>
      <w:fldChar w:fldCharType="end"/>
    </w:r>
  </w:p>
  <w:p w14:paraId="74AD050F" w14:textId="77777777" w:rsidR="00BA61E1" w:rsidRPr="00A961C4" w:rsidRDefault="00BA61E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5DCF" w14:textId="20BC2920" w:rsidR="00BA61E1" w:rsidRPr="00A961C4" w:rsidRDefault="00BA61E1" w:rsidP="0048364F">
    <w:pPr>
      <w:jc w:val="right"/>
      <w:rPr>
        <w:sz w:val="20"/>
      </w:rPr>
    </w:pPr>
    <w:r w:rsidRPr="00A961C4">
      <w:rPr>
        <w:sz w:val="20"/>
      </w:rPr>
      <w:fldChar w:fldCharType="begin"/>
    </w:r>
    <w:r w:rsidRPr="00A961C4">
      <w:rPr>
        <w:sz w:val="20"/>
      </w:rPr>
      <w:instrText xml:space="preserve"> STYLEREF CharAmSchText </w:instrText>
    </w:r>
    <w:r w:rsidR="00E8253C">
      <w:rPr>
        <w:sz w:val="20"/>
      </w:rPr>
      <w:fldChar w:fldCharType="separate"/>
    </w:r>
    <w:r w:rsidR="00E8253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8253C">
      <w:rPr>
        <w:b/>
        <w:sz w:val="20"/>
      </w:rPr>
      <w:fldChar w:fldCharType="separate"/>
    </w:r>
    <w:r w:rsidR="00E8253C">
      <w:rPr>
        <w:b/>
        <w:noProof/>
        <w:sz w:val="20"/>
      </w:rPr>
      <w:t>Schedule 1</w:t>
    </w:r>
    <w:r>
      <w:rPr>
        <w:b/>
        <w:sz w:val="20"/>
      </w:rPr>
      <w:fldChar w:fldCharType="end"/>
    </w:r>
  </w:p>
  <w:p w14:paraId="7C3EB5E6" w14:textId="0C090F43" w:rsidR="00BA61E1" w:rsidRPr="00A961C4" w:rsidRDefault="00BA61E1" w:rsidP="0048364F">
    <w:pPr>
      <w:jc w:val="right"/>
      <w:rPr>
        <w:b/>
        <w:sz w:val="20"/>
      </w:rPr>
    </w:pPr>
    <w:r w:rsidRPr="00A961C4">
      <w:rPr>
        <w:sz w:val="20"/>
      </w:rPr>
      <w:fldChar w:fldCharType="begin"/>
    </w:r>
    <w:r w:rsidRPr="00A961C4">
      <w:rPr>
        <w:sz w:val="20"/>
      </w:rPr>
      <w:instrText xml:space="preserve"> STYLEREF CharAmPartText </w:instrText>
    </w:r>
    <w:r w:rsidR="00E8253C">
      <w:rPr>
        <w:sz w:val="20"/>
      </w:rPr>
      <w:fldChar w:fldCharType="separate"/>
    </w:r>
    <w:r w:rsidR="00E8253C">
      <w:rPr>
        <w:noProof/>
        <w:sz w:val="20"/>
      </w:rPr>
      <w:t>Amendments commencing 1 July 2021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8253C">
      <w:rPr>
        <w:b/>
        <w:sz w:val="20"/>
      </w:rPr>
      <w:fldChar w:fldCharType="separate"/>
    </w:r>
    <w:r w:rsidR="00E8253C">
      <w:rPr>
        <w:b/>
        <w:noProof/>
        <w:sz w:val="20"/>
      </w:rPr>
      <w:t>Part 2</w:t>
    </w:r>
    <w:r w:rsidRPr="00A961C4">
      <w:rPr>
        <w:b/>
        <w:sz w:val="20"/>
      </w:rPr>
      <w:fldChar w:fldCharType="end"/>
    </w:r>
  </w:p>
  <w:p w14:paraId="0CD52162" w14:textId="77777777" w:rsidR="00BA61E1" w:rsidRPr="00A961C4" w:rsidRDefault="00BA61E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B7DE" w14:textId="77777777" w:rsidR="00BA61E1" w:rsidRPr="00A961C4" w:rsidRDefault="00BA61E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3CE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8AF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1EE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34A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2C5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C9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BCE1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08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64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60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E463ED3"/>
    <w:multiLevelType w:val="hybridMultilevel"/>
    <w:tmpl w:val="CDB2D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5C"/>
    <w:rsid w:val="000113BC"/>
    <w:rsid w:val="000136AF"/>
    <w:rsid w:val="00034580"/>
    <w:rsid w:val="000417C9"/>
    <w:rsid w:val="00042A09"/>
    <w:rsid w:val="00055B5C"/>
    <w:rsid w:val="00056391"/>
    <w:rsid w:val="00056CA9"/>
    <w:rsid w:val="00060FF9"/>
    <w:rsid w:val="000614BF"/>
    <w:rsid w:val="00061B10"/>
    <w:rsid w:val="00062CD6"/>
    <w:rsid w:val="00070082"/>
    <w:rsid w:val="0008478B"/>
    <w:rsid w:val="00086440"/>
    <w:rsid w:val="00095360"/>
    <w:rsid w:val="000A32C8"/>
    <w:rsid w:val="000A4A32"/>
    <w:rsid w:val="000A69CE"/>
    <w:rsid w:val="000B1FD2"/>
    <w:rsid w:val="000B3A7D"/>
    <w:rsid w:val="000B48CC"/>
    <w:rsid w:val="000D05EF"/>
    <w:rsid w:val="000E0DC9"/>
    <w:rsid w:val="000E197E"/>
    <w:rsid w:val="000F0089"/>
    <w:rsid w:val="000F21C1"/>
    <w:rsid w:val="000F6F7B"/>
    <w:rsid w:val="00101D90"/>
    <w:rsid w:val="00105C73"/>
    <w:rsid w:val="0010745C"/>
    <w:rsid w:val="00112ADA"/>
    <w:rsid w:val="00113BD1"/>
    <w:rsid w:val="00113D51"/>
    <w:rsid w:val="00122206"/>
    <w:rsid w:val="001267D8"/>
    <w:rsid w:val="00142A95"/>
    <w:rsid w:val="00143E83"/>
    <w:rsid w:val="0015646E"/>
    <w:rsid w:val="001643C9"/>
    <w:rsid w:val="00165568"/>
    <w:rsid w:val="00166C2F"/>
    <w:rsid w:val="001716C9"/>
    <w:rsid w:val="00173363"/>
    <w:rsid w:val="00173B94"/>
    <w:rsid w:val="00175DB1"/>
    <w:rsid w:val="001854B4"/>
    <w:rsid w:val="001939E1"/>
    <w:rsid w:val="00193B0F"/>
    <w:rsid w:val="00195382"/>
    <w:rsid w:val="00195ACC"/>
    <w:rsid w:val="001A3658"/>
    <w:rsid w:val="001A74CB"/>
    <w:rsid w:val="001A759A"/>
    <w:rsid w:val="001B1C2D"/>
    <w:rsid w:val="001B2E09"/>
    <w:rsid w:val="001B633C"/>
    <w:rsid w:val="001B7A5D"/>
    <w:rsid w:val="001C2418"/>
    <w:rsid w:val="001C31A3"/>
    <w:rsid w:val="001C69C4"/>
    <w:rsid w:val="001D1246"/>
    <w:rsid w:val="001E2EC6"/>
    <w:rsid w:val="001E3590"/>
    <w:rsid w:val="001E7407"/>
    <w:rsid w:val="001F076B"/>
    <w:rsid w:val="001F1BCF"/>
    <w:rsid w:val="001F223E"/>
    <w:rsid w:val="001F7040"/>
    <w:rsid w:val="00200526"/>
    <w:rsid w:val="00201D27"/>
    <w:rsid w:val="00202618"/>
    <w:rsid w:val="002062D1"/>
    <w:rsid w:val="00215793"/>
    <w:rsid w:val="00216C9B"/>
    <w:rsid w:val="002171C4"/>
    <w:rsid w:val="00223C53"/>
    <w:rsid w:val="00233D12"/>
    <w:rsid w:val="00240749"/>
    <w:rsid w:val="00243514"/>
    <w:rsid w:val="00244744"/>
    <w:rsid w:val="0025425A"/>
    <w:rsid w:val="00263820"/>
    <w:rsid w:val="00270E1D"/>
    <w:rsid w:val="0027282A"/>
    <w:rsid w:val="00275197"/>
    <w:rsid w:val="00293B89"/>
    <w:rsid w:val="00297ECB"/>
    <w:rsid w:val="002A1C55"/>
    <w:rsid w:val="002A3499"/>
    <w:rsid w:val="002A76FC"/>
    <w:rsid w:val="002B0056"/>
    <w:rsid w:val="002B55A7"/>
    <w:rsid w:val="002B5A30"/>
    <w:rsid w:val="002D043A"/>
    <w:rsid w:val="002D395A"/>
    <w:rsid w:val="002F1C51"/>
    <w:rsid w:val="002F42CC"/>
    <w:rsid w:val="002F4555"/>
    <w:rsid w:val="00304177"/>
    <w:rsid w:val="00321139"/>
    <w:rsid w:val="00325874"/>
    <w:rsid w:val="0033109D"/>
    <w:rsid w:val="00336282"/>
    <w:rsid w:val="003379BC"/>
    <w:rsid w:val="0034035A"/>
    <w:rsid w:val="003415D3"/>
    <w:rsid w:val="003431F9"/>
    <w:rsid w:val="00350417"/>
    <w:rsid w:val="00352B0F"/>
    <w:rsid w:val="003636D0"/>
    <w:rsid w:val="00372466"/>
    <w:rsid w:val="00372E57"/>
    <w:rsid w:val="00373874"/>
    <w:rsid w:val="0037564B"/>
    <w:rsid w:val="00375C6C"/>
    <w:rsid w:val="003A0D02"/>
    <w:rsid w:val="003A7B3C"/>
    <w:rsid w:val="003B17B3"/>
    <w:rsid w:val="003B4E3D"/>
    <w:rsid w:val="003C2D6A"/>
    <w:rsid w:val="003C5716"/>
    <w:rsid w:val="003C5F2B"/>
    <w:rsid w:val="003D0BFE"/>
    <w:rsid w:val="003D1D54"/>
    <w:rsid w:val="003D2187"/>
    <w:rsid w:val="003D5700"/>
    <w:rsid w:val="003E2431"/>
    <w:rsid w:val="003E2CF0"/>
    <w:rsid w:val="003F4F4F"/>
    <w:rsid w:val="00405579"/>
    <w:rsid w:val="00410B8E"/>
    <w:rsid w:val="004116CD"/>
    <w:rsid w:val="00413A8E"/>
    <w:rsid w:val="00421FC1"/>
    <w:rsid w:val="004229C7"/>
    <w:rsid w:val="00424CA9"/>
    <w:rsid w:val="004274AE"/>
    <w:rsid w:val="004331A9"/>
    <w:rsid w:val="00436785"/>
    <w:rsid w:val="00436BD5"/>
    <w:rsid w:val="00437E4B"/>
    <w:rsid w:val="0044291A"/>
    <w:rsid w:val="004450EB"/>
    <w:rsid w:val="00467457"/>
    <w:rsid w:val="00480A7E"/>
    <w:rsid w:val="00480DAC"/>
    <w:rsid w:val="0048196B"/>
    <w:rsid w:val="0048364F"/>
    <w:rsid w:val="00486D05"/>
    <w:rsid w:val="00494F1B"/>
    <w:rsid w:val="00496F97"/>
    <w:rsid w:val="004A2090"/>
    <w:rsid w:val="004C6967"/>
    <w:rsid w:val="004C7C8C"/>
    <w:rsid w:val="004D6611"/>
    <w:rsid w:val="004E2A4A"/>
    <w:rsid w:val="004E71D4"/>
    <w:rsid w:val="004F0D23"/>
    <w:rsid w:val="004F1FAC"/>
    <w:rsid w:val="00500362"/>
    <w:rsid w:val="00506499"/>
    <w:rsid w:val="00510207"/>
    <w:rsid w:val="005118A6"/>
    <w:rsid w:val="00513892"/>
    <w:rsid w:val="00516B8D"/>
    <w:rsid w:val="00526656"/>
    <w:rsid w:val="00534F09"/>
    <w:rsid w:val="00537FBC"/>
    <w:rsid w:val="00543469"/>
    <w:rsid w:val="00551B54"/>
    <w:rsid w:val="00567A11"/>
    <w:rsid w:val="005709AD"/>
    <w:rsid w:val="0057134D"/>
    <w:rsid w:val="00584811"/>
    <w:rsid w:val="00593AA6"/>
    <w:rsid w:val="00594161"/>
    <w:rsid w:val="00594749"/>
    <w:rsid w:val="00594DFA"/>
    <w:rsid w:val="005A0D92"/>
    <w:rsid w:val="005A72CD"/>
    <w:rsid w:val="005B4067"/>
    <w:rsid w:val="005B790A"/>
    <w:rsid w:val="005C3F41"/>
    <w:rsid w:val="005C4551"/>
    <w:rsid w:val="005C4DCE"/>
    <w:rsid w:val="005E152A"/>
    <w:rsid w:val="005E356B"/>
    <w:rsid w:val="005F4F95"/>
    <w:rsid w:val="00600219"/>
    <w:rsid w:val="0060391F"/>
    <w:rsid w:val="006209B3"/>
    <w:rsid w:val="00620E2E"/>
    <w:rsid w:val="006237BE"/>
    <w:rsid w:val="00641DE5"/>
    <w:rsid w:val="00656F0C"/>
    <w:rsid w:val="00671544"/>
    <w:rsid w:val="00677CC2"/>
    <w:rsid w:val="00681F92"/>
    <w:rsid w:val="00682DDA"/>
    <w:rsid w:val="006842C2"/>
    <w:rsid w:val="0068560B"/>
    <w:rsid w:val="00685F42"/>
    <w:rsid w:val="0069207B"/>
    <w:rsid w:val="00694F92"/>
    <w:rsid w:val="006A2450"/>
    <w:rsid w:val="006A4B23"/>
    <w:rsid w:val="006A4DF3"/>
    <w:rsid w:val="006C2874"/>
    <w:rsid w:val="006C7F8C"/>
    <w:rsid w:val="006D0BD3"/>
    <w:rsid w:val="006D380D"/>
    <w:rsid w:val="006E0135"/>
    <w:rsid w:val="006E303A"/>
    <w:rsid w:val="006F4F74"/>
    <w:rsid w:val="006F619B"/>
    <w:rsid w:val="006F7E19"/>
    <w:rsid w:val="007005E9"/>
    <w:rsid w:val="00700B2C"/>
    <w:rsid w:val="0070324D"/>
    <w:rsid w:val="00712D8D"/>
    <w:rsid w:val="00713084"/>
    <w:rsid w:val="00714B26"/>
    <w:rsid w:val="00714EFD"/>
    <w:rsid w:val="007169D4"/>
    <w:rsid w:val="00727333"/>
    <w:rsid w:val="00731E00"/>
    <w:rsid w:val="00742DAB"/>
    <w:rsid w:val="007440B7"/>
    <w:rsid w:val="007613FA"/>
    <w:rsid w:val="007634AD"/>
    <w:rsid w:val="007679E6"/>
    <w:rsid w:val="007715C9"/>
    <w:rsid w:val="0077230A"/>
    <w:rsid w:val="00773AD7"/>
    <w:rsid w:val="00774EDD"/>
    <w:rsid w:val="007757EC"/>
    <w:rsid w:val="007768FF"/>
    <w:rsid w:val="00782F9A"/>
    <w:rsid w:val="00793E4A"/>
    <w:rsid w:val="007977D7"/>
    <w:rsid w:val="007A27F7"/>
    <w:rsid w:val="007A318F"/>
    <w:rsid w:val="007A5485"/>
    <w:rsid w:val="007B30AA"/>
    <w:rsid w:val="007D23A2"/>
    <w:rsid w:val="007D4F7D"/>
    <w:rsid w:val="007E1E86"/>
    <w:rsid w:val="007E2C50"/>
    <w:rsid w:val="007E7D4A"/>
    <w:rsid w:val="007E7FB6"/>
    <w:rsid w:val="007F4AE9"/>
    <w:rsid w:val="007F56F1"/>
    <w:rsid w:val="008006CC"/>
    <w:rsid w:val="00801DEC"/>
    <w:rsid w:val="008079E8"/>
    <w:rsid w:val="00807A98"/>
    <w:rsid w:val="00807F18"/>
    <w:rsid w:val="00807F42"/>
    <w:rsid w:val="00813157"/>
    <w:rsid w:val="00816361"/>
    <w:rsid w:val="00831E8D"/>
    <w:rsid w:val="00850FD5"/>
    <w:rsid w:val="00851E55"/>
    <w:rsid w:val="00856A31"/>
    <w:rsid w:val="00857D6B"/>
    <w:rsid w:val="00864FC9"/>
    <w:rsid w:val="00866F66"/>
    <w:rsid w:val="008720C9"/>
    <w:rsid w:val="008754D0"/>
    <w:rsid w:val="00877D48"/>
    <w:rsid w:val="00883781"/>
    <w:rsid w:val="00885570"/>
    <w:rsid w:val="00890FDE"/>
    <w:rsid w:val="00891A6B"/>
    <w:rsid w:val="00893958"/>
    <w:rsid w:val="008A2E77"/>
    <w:rsid w:val="008C1E12"/>
    <w:rsid w:val="008C6F6F"/>
    <w:rsid w:val="008D0EE0"/>
    <w:rsid w:val="008D2C20"/>
    <w:rsid w:val="008D3E94"/>
    <w:rsid w:val="008E2BC3"/>
    <w:rsid w:val="008E31A5"/>
    <w:rsid w:val="008E7151"/>
    <w:rsid w:val="008F1174"/>
    <w:rsid w:val="008F4F1C"/>
    <w:rsid w:val="008F4F8A"/>
    <w:rsid w:val="008F77C4"/>
    <w:rsid w:val="009103F3"/>
    <w:rsid w:val="00914FFA"/>
    <w:rsid w:val="009268EE"/>
    <w:rsid w:val="00931390"/>
    <w:rsid w:val="00932377"/>
    <w:rsid w:val="0093327D"/>
    <w:rsid w:val="0094077C"/>
    <w:rsid w:val="0096067B"/>
    <w:rsid w:val="00967042"/>
    <w:rsid w:val="0098255A"/>
    <w:rsid w:val="00984557"/>
    <w:rsid w:val="009845BE"/>
    <w:rsid w:val="00990A03"/>
    <w:rsid w:val="00991BC9"/>
    <w:rsid w:val="0099580C"/>
    <w:rsid w:val="009969C9"/>
    <w:rsid w:val="009975A4"/>
    <w:rsid w:val="009A3A61"/>
    <w:rsid w:val="009B0A3C"/>
    <w:rsid w:val="009B0BB3"/>
    <w:rsid w:val="009D032B"/>
    <w:rsid w:val="009D2E58"/>
    <w:rsid w:val="009D33D0"/>
    <w:rsid w:val="009D7FAB"/>
    <w:rsid w:val="009E3F29"/>
    <w:rsid w:val="009F7BD0"/>
    <w:rsid w:val="00A010B3"/>
    <w:rsid w:val="00A048FF"/>
    <w:rsid w:val="00A054B0"/>
    <w:rsid w:val="00A10775"/>
    <w:rsid w:val="00A15AAE"/>
    <w:rsid w:val="00A17144"/>
    <w:rsid w:val="00A231E2"/>
    <w:rsid w:val="00A271C6"/>
    <w:rsid w:val="00A302B7"/>
    <w:rsid w:val="00A36C10"/>
    <w:rsid w:val="00A36C48"/>
    <w:rsid w:val="00A41E0B"/>
    <w:rsid w:val="00A46038"/>
    <w:rsid w:val="00A53669"/>
    <w:rsid w:val="00A55631"/>
    <w:rsid w:val="00A60A02"/>
    <w:rsid w:val="00A64912"/>
    <w:rsid w:val="00A70A74"/>
    <w:rsid w:val="00A74367"/>
    <w:rsid w:val="00A827E3"/>
    <w:rsid w:val="00A9293C"/>
    <w:rsid w:val="00A9515C"/>
    <w:rsid w:val="00AA3795"/>
    <w:rsid w:val="00AB4F07"/>
    <w:rsid w:val="00AC1E75"/>
    <w:rsid w:val="00AD2689"/>
    <w:rsid w:val="00AD3F1E"/>
    <w:rsid w:val="00AD5641"/>
    <w:rsid w:val="00AE1088"/>
    <w:rsid w:val="00AF1BA4"/>
    <w:rsid w:val="00AF2E46"/>
    <w:rsid w:val="00B020AA"/>
    <w:rsid w:val="00B032D8"/>
    <w:rsid w:val="00B06BA9"/>
    <w:rsid w:val="00B1758A"/>
    <w:rsid w:val="00B2476F"/>
    <w:rsid w:val="00B33B3C"/>
    <w:rsid w:val="00B463B2"/>
    <w:rsid w:val="00B47F5B"/>
    <w:rsid w:val="00B50ECF"/>
    <w:rsid w:val="00B565CB"/>
    <w:rsid w:val="00B6382D"/>
    <w:rsid w:val="00B64BD2"/>
    <w:rsid w:val="00B83298"/>
    <w:rsid w:val="00B85857"/>
    <w:rsid w:val="00B96511"/>
    <w:rsid w:val="00BA2E35"/>
    <w:rsid w:val="00BA5026"/>
    <w:rsid w:val="00BA61E1"/>
    <w:rsid w:val="00BB40BF"/>
    <w:rsid w:val="00BC0CD1"/>
    <w:rsid w:val="00BC3A52"/>
    <w:rsid w:val="00BD0709"/>
    <w:rsid w:val="00BD1ABF"/>
    <w:rsid w:val="00BD2C48"/>
    <w:rsid w:val="00BE647B"/>
    <w:rsid w:val="00BE719A"/>
    <w:rsid w:val="00BE720A"/>
    <w:rsid w:val="00BF0461"/>
    <w:rsid w:val="00BF4944"/>
    <w:rsid w:val="00BF56D4"/>
    <w:rsid w:val="00BF62EC"/>
    <w:rsid w:val="00BF77BE"/>
    <w:rsid w:val="00C04409"/>
    <w:rsid w:val="00C067E5"/>
    <w:rsid w:val="00C127E7"/>
    <w:rsid w:val="00C164CA"/>
    <w:rsid w:val="00C176CF"/>
    <w:rsid w:val="00C21F1E"/>
    <w:rsid w:val="00C42BF8"/>
    <w:rsid w:val="00C43017"/>
    <w:rsid w:val="00C460AE"/>
    <w:rsid w:val="00C50043"/>
    <w:rsid w:val="00C51C75"/>
    <w:rsid w:val="00C54E84"/>
    <w:rsid w:val="00C74346"/>
    <w:rsid w:val="00C7573B"/>
    <w:rsid w:val="00C76CF3"/>
    <w:rsid w:val="00CA1529"/>
    <w:rsid w:val="00CC070A"/>
    <w:rsid w:val="00CC1E53"/>
    <w:rsid w:val="00CD3C1F"/>
    <w:rsid w:val="00CE1E31"/>
    <w:rsid w:val="00CE42BB"/>
    <w:rsid w:val="00CE5991"/>
    <w:rsid w:val="00CF0BB2"/>
    <w:rsid w:val="00CF63D2"/>
    <w:rsid w:val="00CF7CE6"/>
    <w:rsid w:val="00D00EAA"/>
    <w:rsid w:val="00D01CCE"/>
    <w:rsid w:val="00D021DB"/>
    <w:rsid w:val="00D13441"/>
    <w:rsid w:val="00D243A3"/>
    <w:rsid w:val="00D3178D"/>
    <w:rsid w:val="00D43ADC"/>
    <w:rsid w:val="00D477C3"/>
    <w:rsid w:val="00D52EFE"/>
    <w:rsid w:val="00D63EF6"/>
    <w:rsid w:val="00D64A52"/>
    <w:rsid w:val="00D70DFB"/>
    <w:rsid w:val="00D73029"/>
    <w:rsid w:val="00D766DF"/>
    <w:rsid w:val="00D8251A"/>
    <w:rsid w:val="00D82901"/>
    <w:rsid w:val="00D95C5B"/>
    <w:rsid w:val="00DB18BC"/>
    <w:rsid w:val="00DB7794"/>
    <w:rsid w:val="00DE0B06"/>
    <w:rsid w:val="00DE1827"/>
    <w:rsid w:val="00DE2002"/>
    <w:rsid w:val="00DE353A"/>
    <w:rsid w:val="00DE3E87"/>
    <w:rsid w:val="00DF11E4"/>
    <w:rsid w:val="00DF4FC8"/>
    <w:rsid w:val="00DF7AE9"/>
    <w:rsid w:val="00E03059"/>
    <w:rsid w:val="00E0334D"/>
    <w:rsid w:val="00E05704"/>
    <w:rsid w:val="00E119D8"/>
    <w:rsid w:val="00E23C20"/>
    <w:rsid w:val="00E24D66"/>
    <w:rsid w:val="00E30B17"/>
    <w:rsid w:val="00E32716"/>
    <w:rsid w:val="00E3445B"/>
    <w:rsid w:val="00E34F91"/>
    <w:rsid w:val="00E43C22"/>
    <w:rsid w:val="00E54292"/>
    <w:rsid w:val="00E66B99"/>
    <w:rsid w:val="00E74CEC"/>
    <w:rsid w:val="00E74DC7"/>
    <w:rsid w:val="00E8253C"/>
    <w:rsid w:val="00E8325F"/>
    <w:rsid w:val="00E87699"/>
    <w:rsid w:val="00E947C6"/>
    <w:rsid w:val="00EA66E6"/>
    <w:rsid w:val="00EA7011"/>
    <w:rsid w:val="00EA706E"/>
    <w:rsid w:val="00EB38B7"/>
    <w:rsid w:val="00EB7D8E"/>
    <w:rsid w:val="00EC456B"/>
    <w:rsid w:val="00ED3E99"/>
    <w:rsid w:val="00ED492F"/>
    <w:rsid w:val="00ED5F77"/>
    <w:rsid w:val="00EE3E36"/>
    <w:rsid w:val="00EE717F"/>
    <w:rsid w:val="00EE7FA1"/>
    <w:rsid w:val="00EF2E3A"/>
    <w:rsid w:val="00EF47BA"/>
    <w:rsid w:val="00F047E2"/>
    <w:rsid w:val="00F078DC"/>
    <w:rsid w:val="00F11275"/>
    <w:rsid w:val="00F139D8"/>
    <w:rsid w:val="00F13E86"/>
    <w:rsid w:val="00F169EA"/>
    <w:rsid w:val="00F17B00"/>
    <w:rsid w:val="00F2429B"/>
    <w:rsid w:val="00F33C6B"/>
    <w:rsid w:val="00F45B62"/>
    <w:rsid w:val="00F5699A"/>
    <w:rsid w:val="00F57A73"/>
    <w:rsid w:val="00F67030"/>
    <w:rsid w:val="00F677A9"/>
    <w:rsid w:val="00F67D55"/>
    <w:rsid w:val="00F84CF5"/>
    <w:rsid w:val="00F92D35"/>
    <w:rsid w:val="00FA3209"/>
    <w:rsid w:val="00FA3798"/>
    <w:rsid w:val="00FA420B"/>
    <w:rsid w:val="00FB3BD3"/>
    <w:rsid w:val="00FB4573"/>
    <w:rsid w:val="00FB4CA6"/>
    <w:rsid w:val="00FB5BF8"/>
    <w:rsid w:val="00FC294C"/>
    <w:rsid w:val="00FD1E13"/>
    <w:rsid w:val="00FD76FD"/>
    <w:rsid w:val="00FD7EB1"/>
    <w:rsid w:val="00FE1D95"/>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77E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31A3"/>
    <w:pPr>
      <w:spacing w:line="260" w:lineRule="atLeast"/>
    </w:pPr>
    <w:rPr>
      <w:sz w:val="22"/>
    </w:rPr>
  </w:style>
  <w:style w:type="paragraph" w:styleId="Heading1">
    <w:name w:val="heading 1"/>
    <w:basedOn w:val="Normal"/>
    <w:next w:val="Normal"/>
    <w:link w:val="Heading1Char"/>
    <w:uiPriority w:val="9"/>
    <w:qFormat/>
    <w:rsid w:val="002A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4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4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4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4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4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4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34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31A3"/>
  </w:style>
  <w:style w:type="paragraph" w:customStyle="1" w:styleId="OPCParaBase">
    <w:name w:val="OPCParaBase"/>
    <w:qFormat/>
    <w:rsid w:val="001C31A3"/>
    <w:pPr>
      <w:spacing w:line="260" w:lineRule="atLeast"/>
    </w:pPr>
    <w:rPr>
      <w:rFonts w:eastAsia="Times New Roman" w:cs="Times New Roman"/>
      <w:sz w:val="22"/>
      <w:lang w:eastAsia="en-AU"/>
    </w:rPr>
  </w:style>
  <w:style w:type="paragraph" w:customStyle="1" w:styleId="ShortT">
    <w:name w:val="ShortT"/>
    <w:basedOn w:val="OPCParaBase"/>
    <w:next w:val="Normal"/>
    <w:qFormat/>
    <w:rsid w:val="001C31A3"/>
    <w:pPr>
      <w:spacing w:line="240" w:lineRule="auto"/>
    </w:pPr>
    <w:rPr>
      <w:b/>
      <w:sz w:val="40"/>
    </w:rPr>
  </w:style>
  <w:style w:type="paragraph" w:customStyle="1" w:styleId="ActHead1">
    <w:name w:val="ActHead 1"/>
    <w:aliases w:val="c"/>
    <w:basedOn w:val="OPCParaBase"/>
    <w:next w:val="Normal"/>
    <w:qFormat/>
    <w:rsid w:val="001C31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31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31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31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C31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31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31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31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31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31A3"/>
  </w:style>
  <w:style w:type="paragraph" w:customStyle="1" w:styleId="Blocks">
    <w:name w:val="Blocks"/>
    <w:aliases w:val="bb"/>
    <w:basedOn w:val="OPCParaBase"/>
    <w:qFormat/>
    <w:rsid w:val="001C31A3"/>
    <w:pPr>
      <w:spacing w:line="240" w:lineRule="auto"/>
    </w:pPr>
    <w:rPr>
      <w:sz w:val="24"/>
    </w:rPr>
  </w:style>
  <w:style w:type="paragraph" w:customStyle="1" w:styleId="BoxText">
    <w:name w:val="BoxText"/>
    <w:aliases w:val="bt"/>
    <w:basedOn w:val="OPCParaBase"/>
    <w:qFormat/>
    <w:rsid w:val="001C31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31A3"/>
    <w:rPr>
      <w:b/>
    </w:rPr>
  </w:style>
  <w:style w:type="paragraph" w:customStyle="1" w:styleId="BoxHeadItalic">
    <w:name w:val="BoxHeadItalic"/>
    <w:aliases w:val="bhi"/>
    <w:basedOn w:val="BoxText"/>
    <w:next w:val="BoxStep"/>
    <w:qFormat/>
    <w:rsid w:val="001C31A3"/>
    <w:rPr>
      <w:i/>
    </w:rPr>
  </w:style>
  <w:style w:type="paragraph" w:customStyle="1" w:styleId="BoxList">
    <w:name w:val="BoxList"/>
    <w:aliases w:val="bl"/>
    <w:basedOn w:val="BoxText"/>
    <w:qFormat/>
    <w:rsid w:val="001C31A3"/>
    <w:pPr>
      <w:ind w:left="1559" w:hanging="425"/>
    </w:pPr>
  </w:style>
  <w:style w:type="paragraph" w:customStyle="1" w:styleId="BoxNote">
    <w:name w:val="BoxNote"/>
    <w:aliases w:val="bn"/>
    <w:basedOn w:val="BoxText"/>
    <w:qFormat/>
    <w:rsid w:val="001C31A3"/>
    <w:pPr>
      <w:tabs>
        <w:tab w:val="left" w:pos="1985"/>
      </w:tabs>
      <w:spacing w:before="122" w:line="198" w:lineRule="exact"/>
      <w:ind w:left="2948" w:hanging="1814"/>
    </w:pPr>
    <w:rPr>
      <w:sz w:val="18"/>
    </w:rPr>
  </w:style>
  <w:style w:type="paragraph" w:customStyle="1" w:styleId="BoxPara">
    <w:name w:val="BoxPara"/>
    <w:aliases w:val="bp"/>
    <w:basedOn w:val="BoxText"/>
    <w:qFormat/>
    <w:rsid w:val="001C31A3"/>
    <w:pPr>
      <w:tabs>
        <w:tab w:val="right" w:pos="2268"/>
      </w:tabs>
      <w:ind w:left="2552" w:hanging="1418"/>
    </w:pPr>
  </w:style>
  <w:style w:type="paragraph" w:customStyle="1" w:styleId="BoxStep">
    <w:name w:val="BoxStep"/>
    <w:aliases w:val="bs"/>
    <w:basedOn w:val="BoxText"/>
    <w:qFormat/>
    <w:rsid w:val="001C31A3"/>
    <w:pPr>
      <w:ind w:left="1985" w:hanging="851"/>
    </w:pPr>
  </w:style>
  <w:style w:type="character" w:customStyle="1" w:styleId="CharAmPartNo">
    <w:name w:val="CharAmPartNo"/>
    <w:basedOn w:val="OPCCharBase"/>
    <w:qFormat/>
    <w:rsid w:val="001C31A3"/>
  </w:style>
  <w:style w:type="character" w:customStyle="1" w:styleId="CharAmPartText">
    <w:name w:val="CharAmPartText"/>
    <w:basedOn w:val="OPCCharBase"/>
    <w:qFormat/>
    <w:rsid w:val="001C31A3"/>
  </w:style>
  <w:style w:type="character" w:customStyle="1" w:styleId="CharAmSchNo">
    <w:name w:val="CharAmSchNo"/>
    <w:basedOn w:val="OPCCharBase"/>
    <w:qFormat/>
    <w:rsid w:val="001C31A3"/>
  </w:style>
  <w:style w:type="character" w:customStyle="1" w:styleId="CharAmSchText">
    <w:name w:val="CharAmSchText"/>
    <w:basedOn w:val="OPCCharBase"/>
    <w:qFormat/>
    <w:rsid w:val="001C31A3"/>
  </w:style>
  <w:style w:type="character" w:customStyle="1" w:styleId="CharBoldItalic">
    <w:name w:val="CharBoldItalic"/>
    <w:basedOn w:val="OPCCharBase"/>
    <w:uiPriority w:val="1"/>
    <w:qFormat/>
    <w:rsid w:val="001C31A3"/>
    <w:rPr>
      <w:b/>
      <w:i/>
    </w:rPr>
  </w:style>
  <w:style w:type="character" w:customStyle="1" w:styleId="CharChapNo">
    <w:name w:val="CharChapNo"/>
    <w:basedOn w:val="OPCCharBase"/>
    <w:uiPriority w:val="1"/>
    <w:qFormat/>
    <w:rsid w:val="001C31A3"/>
  </w:style>
  <w:style w:type="character" w:customStyle="1" w:styleId="CharChapText">
    <w:name w:val="CharChapText"/>
    <w:basedOn w:val="OPCCharBase"/>
    <w:uiPriority w:val="1"/>
    <w:qFormat/>
    <w:rsid w:val="001C31A3"/>
  </w:style>
  <w:style w:type="character" w:customStyle="1" w:styleId="CharDivNo">
    <w:name w:val="CharDivNo"/>
    <w:basedOn w:val="OPCCharBase"/>
    <w:uiPriority w:val="1"/>
    <w:qFormat/>
    <w:rsid w:val="001C31A3"/>
  </w:style>
  <w:style w:type="character" w:customStyle="1" w:styleId="CharDivText">
    <w:name w:val="CharDivText"/>
    <w:basedOn w:val="OPCCharBase"/>
    <w:uiPriority w:val="1"/>
    <w:qFormat/>
    <w:rsid w:val="001C31A3"/>
  </w:style>
  <w:style w:type="character" w:customStyle="1" w:styleId="CharItalic">
    <w:name w:val="CharItalic"/>
    <w:basedOn w:val="OPCCharBase"/>
    <w:uiPriority w:val="1"/>
    <w:qFormat/>
    <w:rsid w:val="001C31A3"/>
    <w:rPr>
      <w:i/>
    </w:rPr>
  </w:style>
  <w:style w:type="character" w:customStyle="1" w:styleId="CharPartNo">
    <w:name w:val="CharPartNo"/>
    <w:basedOn w:val="OPCCharBase"/>
    <w:uiPriority w:val="1"/>
    <w:qFormat/>
    <w:rsid w:val="001C31A3"/>
  </w:style>
  <w:style w:type="character" w:customStyle="1" w:styleId="CharPartText">
    <w:name w:val="CharPartText"/>
    <w:basedOn w:val="OPCCharBase"/>
    <w:uiPriority w:val="1"/>
    <w:qFormat/>
    <w:rsid w:val="001C31A3"/>
  </w:style>
  <w:style w:type="character" w:customStyle="1" w:styleId="CharSectno">
    <w:name w:val="CharSectno"/>
    <w:basedOn w:val="OPCCharBase"/>
    <w:qFormat/>
    <w:rsid w:val="001C31A3"/>
  </w:style>
  <w:style w:type="character" w:customStyle="1" w:styleId="CharSubdNo">
    <w:name w:val="CharSubdNo"/>
    <w:basedOn w:val="OPCCharBase"/>
    <w:uiPriority w:val="1"/>
    <w:qFormat/>
    <w:rsid w:val="001C31A3"/>
  </w:style>
  <w:style w:type="character" w:customStyle="1" w:styleId="CharSubdText">
    <w:name w:val="CharSubdText"/>
    <w:basedOn w:val="OPCCharBase"/>
    <w:uiPriority w:val="1"/>
    <w:qFormat/>
    <w:rsid w:val="001C31A3"/>
  </w:style>
  <w:style w:type="paragraph" w:customStyle="1" w:styleId="CTA--">
    <w:name w:val="CTA --"/>
    <w:basedOn w:val="OPCParaBase"/>
    <w:next w:val="Normal"/>
    <w:rsid w:val="001C31A3"/>
    <w:pPr>
      <w:spacing w:before="60" w:line="240" w:lineRule="atLeast"/>
      <w:ind w:left="142" w:hanging="142"/>
    </w:pPr>
    <w:rPr>
      <w:sz w:val="20"/>
    </w:rPr>
  </w:style>
  <w:style w:type="paragraph" w:customStyle="1" w:styleId="CTA-">
    <w:name w:val="CTA -"/>
    <w:basedOn w:val="OPCParaBase"/>
    <w:rsid w:val="001C31A3"/>
    <w:pPr>
      <w:spacing w:before="60" w:line="240" w:lineRule="atLeast"/>
      <w:ind w:left="85" w:hanging="85"/>
    </w:pPr>
    <w:rPr>
      <w:sz w:val="20"/>
    </w:rPr>
  </w:style>
  <w:style w:type="paragraph" w:customStyle="1" w:styleId="CTA---">
    <w:name w:val="CTA ---"/>
    <w:basedOn w:val="OPCParaBase"/>
    <w:next w:val="Normal"/>
    <w:rsid w:val="001C31A3"/>
    <w:pPr>
      <w:spacing w:before="60" w:line="240" w:lineRule="atLeast"/>
      <w:ind w:left="198" w:hanging="198"/>
    </w:pPr>
    <w:rPr>
      <w:sz w:val="20"/>
    </w:rPr>
  </w:style>
  <w:style w:type="paragraph" w:customStyle="1" w:styleId="CTA----">
    <w:name w:val="CTA ----"/>
    <w:basedOn w:val="OPCParaBase"/>
    <w:next w:val="Normal"/>
    <w:rsid w:val="001C31A3"/>
    <w:pPr>
      <w:spacing w:before="60" w:line="240" w:lineRule="atLeast"/>
      <w:ind w:left="255" w:hanging="255"/>
    </w:pPr>
    <w:rPr>
      <w:sz w:val="20"/>
    </w:rPr>
  </w:style>
  <w:style w:type="paragraph" w:customStyle="1" w:styleId="CTA1a">
    <w:name w:val="CTA 1(a)"/>
    <w:basedOn w:val="OPCParaBase"/>
    <w:rsid w:val="001C31A3"/>
    <w:pPr>
      <w:tabs>
        <w:tab w:val="right" w:pos="414"/>
      </w:tabs>
      <w:spacing w:before="40" w:line="240" w:lineRule="atLeast"/>
      <w:ind w:left="675" w:hanging="675"/>
    </w:pPr>
    <w:rPr>
      <w:sz w:val="20"/>
    </w:rPr>
  </w:style>
  <w:style w:type="paragraph" w:customStyle="1" w:styleId="CTA1ai">
    <w:name w:val="CTA 1(a)(i)"/>
    <w:basedOn w:val="OPCParaBase"/>
    <w:rsid w:val="001C31A3"/>
    <w:pPr>
      <w:tabs>
        <w:tab w:val="right" w:pos="1004"/>
      </w:tabs>
      <w:spacing w:before="40" w:line="240" w:lineRule="atLeast"/>
      <w:ind w:left="1253" w:hanging="1253"/>
    </w:pPr>
    <w:rPr>
      <w:sz w:val="20"/>
    </w:rPr>
  </w:style>
  <w:style w:type="paragraph" w:customStyle="1" w:styleId="CTA2a">
    <w:name w:val="CTA 2(a)"/>
    <w:basedOn w:val="OPCParaBase"/>
    <w:rsid w:val="001C31A3"/>
    <w:pPr>
      <w:tabs>
        <w:tab w:val="right" w:pos="482"/>
      </w:tabs>
      <w:spacing w:before="40" w:line="240" w:lineRule="atLeast"/>
      <w:ind w:left="748" w:hanging="748"/>
    </w:pPr>
    <w:rPr>
      <w:sz w:val="20"/>
    </w:rPr>
  </w:style>
  <w:style w:type="paragraph" w:customStyle="1" w:styleId="CTA2ai">
    <w:name w:val="CTA 2(a)(i)"/>
    <w:basedOn w:val="OPCParaBase"/>
    <w:rsid w:val="001C31A3"/>
    <w:pPr>
      <w:tabs>
        <w:tab w:val="right" w:pos="1089"/>
      </w:tabs>
      <w:spacing w:before="40" w:line="240" w:lineRule="atLeast"/>
      <w:ind w:left="1327" w:hanging="1327"/>
    </w:pPr>
    <w:rPr>
      <w:sz w:val="20"/>
    </w:rPr>
  </w:style>
  <w:style w:type="paragraph" w:customStyle="1" w:styleId="CTA3a">
    <w:name w:val="CTA 3(a)"/>
    <w:basedOn w:val="OPCParaBase"/>
    <w:rsid w:val="001C31A3"/>
    <w:pPr>
      <w:tabs>
        <w:tab w:val="right" w:pos="556"/>
      </w:tabs>
      <w:spacing w:before="40" w:line="240" w:lineRule="atLeast"/>
      <w:ind w:left="805" w:hanging="805"/>
    </w:pPr>
    <w:rPr>
      <w:sz w:val="20"/>
    </w:rPr>
  </w:style>
  <w:style w:type="paragraph" w:customStyle="1" w:styleId="CTA3ai">
    <w:name w:val="CTA 3(a)(i)"/>
    <w:basedOn w:val="OPCParaBase"/>
    <w:rsid w:val="001C31A3"/>
    <w:pPr>
      <w:tabs>
        <w:tab w:val="right" w:pos="1140"/>
      </w:tabs>
      <w:spacing w:before="40" w:line="240" w:lineRule="atLeast"/>
      <w:ind w:left="1361" w:hanging="1361"/>
    </w:pPr>
    <w:rPr>
      <w:sz w:val="20"/>
    </w:rPr>
  </w:style>
  <w:style w:type="paragraph" w:customStyle="1" w:styleId="CTA4a">
    <w:name w:val="CTA 4(a)"/>
    <w:basedOn w:val="OPCParaBase"/>
    <w:rsid w:val="001C31A3"/>
    <w:pPr>
      <w:tabs>
        <w:tab w:val="right" w:pos="624"/>
      </w:tabs>
      <w:spacing w:before="40" w:line="240" w:lineRule="atLeast"/>
      <w:ind w:left="873" w:hanging="873"/>
    </w:pPr>
    <w:rPr>
      <w:sz w:val="20"/>
    </w:rPr>
  </w:style>
  <w:style w:type="paragraph" w:customStyle="1" w:styleId="CTA4ai">
    <w:name w:val="CTA 4(a)(i)"/>
    <w:basedOn w:val="OPCParaBase"/>
    <w:rsid w:val="001C31A3"/>
    <w:pPr>
      <w:tabs>
        <w:tab w:val="right" w:pos="1213"/>
      </w:tabs>
      <w:spacing w:before="40" w:line="240" w:lineRule="atLeast"/>
      <w:ind w:left="1452" w:hanging="1452"/>
    </w:pPr>
    <w:rPr>
      <w:sz w:val="20"/>
    </w:rPr>
  </w:style>
  <w:style w:type="paragraph" w:customStyle="1" w:styleId="CTACAPS">
    <w:name w:val="CTA CAPS"/>
    <w:basedOn w:val="OPCParaBase"/>
    <w:rsid w:val="001C31A3"/>
    <w:pPr>
      <w:spacing w:before="60" w:line="240" w:lineRule="atLeast"/>
    </w:pPr>
    <w:rPr>
      <w:sz w:val="20"/>
    </w:rPr>
  </w:style>
  <w:style w:type="paragraph" w:customStyle="1" w:styleId="CTAright">
    <w:name w:val="CTA right"/>
    <w:basedOn w:val="OPCParaBase"/>
    <w:rsid w:val="001C31A3"/>
    <w:pPr>
      <w:spacing w:before="60" w:line="240" w:lineRule="auto"/>
      <w:jc w:val="right"/>
    </w:pPr>
    <w:rPr>
      <w:sz w:val="20"/>
    </w:rPr>
  </w:style>
  <w:style w:type="paragraph" w:customStyle="1" w:styleId="subsection">
    <w:name w:val="subsection"/>
    <w:aliases w:val="ss"/>
    <w:basedOn w:val="OPCParaBase"/>
    <w:link w:val="subsectionChar"/>
    <w:rsid w:val="001C31A3"/>
    <w:pPr>
      <w:tabs>
        <w:tab w:val="right" w:pos="1021"/>
      </w:tabs>
      <w:spacing w:before="180" w:line="240" w:lineRule="auto"/>
      <w:ind w:left="1134" w:hanging="1134"/>
    </w:pPr>
  </w:style>
  <w:style w:type="paragraph" w:customStyle="1" w:styleId="Definition">
    <w:name w:val="Definition"/>
    <w:aliases w:val="dd"/>
    <w:basedOn w:val="OPCParaBase"/>
    <w:rsid w:val="001C31A3"/>
    <w:pPr>
      <w:spacing w:before="180" w:line="240" w:lineRule="auto"/>
      <w:ind w:left="1134"/>
    </w:pPr>
  </w:style>
  <w:style w:type="paragraph" w:customStyle="1" w:styleId="ETAsubitem">
    <w:name w:val="ETA(subitem)"/>
    <w:basedOn w:val="OPCParaBase"/>
    <w:rsid w:val="001C31A3"/>
    <w:pPr>
      <w:tabs>
        <w:tab w:val="right" w:pos="340"/>
      </w:tabs>
      <w:spacing w:before="60" w:line="240" w:lineRule="auto"/>
      <w:ind w:left="454" w:hanging="454"/>
    </w:pPr>
    <w:rPr>
      <w:sz w:val="20"/>
    </w:rPr>
  </w:style>
  <w:style w:type="paragraph" w:customStyle="1" w:styleId="ETApara">
    <w:name w:val="ETA(para)"/>
    <w:basedOn w:val="OPCParaBase"/>
    <w:rsid w:val="001C31A3"/>
    <w:pPr>
      <w:tabs>
        <w:tab w:val="right" w:pos="754"/>
      </w:tabs>
      <w:spacing w:before="60" w:line="240" w:lineRule="auto"/>
      <w:ind w:left="828" w:hanging="828"/>
    </w:pPr>
    <w:rPr>
      <w:sz w:val="20"/>
    </w:rPr>
  </w:style>
  <w:style w:type="paragraph" w:customStyle="1" w:styleId="ETAsubpara">
    <w:name w:val="ETA(subpara)"/>
    <w:basedOn w:val="OPCParaBase"/>
    <w:rsid w:val="001C31A3"/>
    <w:pPr>
      <w:tabs>
        <w:tab w:val="right" w:pos="1083"/>
      </w:tabs>
      <w:spacing w:before="60" w:line="240" w:lineRule="auto"/>
      <w:ind w:left="1191" w:hanging="1191"/>
    </w:pPr>
    <w:rPr>
      <w:sz w:val="20"/>
    </w:rPr>
  </w:style>
  <w:style w:type="paragraph" w:customStyle="1" w:styleId="ETAsub-subpara">
    <w:name w:val="ETA(sub-subpara)"/>
    <w:basedOn w:val="OPCParaBase"/>
    <w:rsid w:val="001C31A3"/>
    <w:pPr>
      <w:tabs>
        <w:tab w:val="right" w:pos="1412"/>
      </w:tabs>
      <w:spacing w:before="60" w:line="240" w:lineRule="auto"/>
      <w:ind w:left="1525" w:hanging="1525"/>
    </w:pPr>
    <w:rPr>
      <w:sz w:val="20"/>
    </w:rPr>
  </w:style>
  <w:style w:type="paragraph" w:customStyle="1" w:styleId="Formula">
    <w:name w:val="Formula"/>
    <w:basedOn w:val="OPCParaBase"/>
    <w:rsid w:val="001C31A3"/>
    <w:pPr>
      <w:spacing w:line="240" w:lineRule="auto"/>
      <w:ind w:left="1134"/>
    </w:pPr>
    <w:rPr>
      <w:sz w:val="20"/>
    </w:rPr>
  </w:style>
  <w:style w:type="paragraph" w:styleId="Header">
    <w:name w:val="header"/>
    <w:basedOn w:val="OPCParaBase"/>
    <w:link w:val="HeaderChar"/>
    <w:unhideWhenUsed/>
    <w:rsid w:val="001C31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31A3"/>
    <w:rPr>
      <w:rFonts w:eastAsia="Times New Roman" w:cs="Times New Roman"/>
      <w:sz w:val="16"/>
      <w:lang w:eastAsia="en-AU"/>
    </w:rPr>
  </w:style>
  <w:style w:type="paragraph" w:customStyle="1" w:styleId="House">
    <w:name w:val="House"/>
    <w:basedOn w:val="OPCParaBase"/>
    <w:rsid w:val="001C31A3"/>
    <w:pPr>
      <w:spacing w:line="240" w:lineRule="auto"/>
    </w:pPr>
    <w:rPr>
      <w:sz w:val="28"/>
    </w:rPr>
  </w:style>
  <w:style w:type="paragraph" w:customStyle="1" w:styleId="Item">
    <w:name w:val="Item"/>
    <w:aliases w:val="i"/>
    <w:basedOn w:val="OPCParaBase"/>
    <w:next w:val="ItemHead"/>
    <w:rsid w:val="001C31A3"/>
    <w:pPr>
      <w:keepLines/>
      <w:spacing w:before="80" w:line="240" w:lineRule="auto"/>
      <w:ind w:left="709"/>
    </w:pPr>
  </w:style>
  <w:style w:type="paragraph" w:customStyle="1" w:styleId="ItemHead">
    <w:name w:val="ItemHead"/>
    <w:aliases w:val="ih"/>
    <w:basedOn w:val="OPCParaBase"/>
    <w:next w:val="Item"/>
    <w:link w:val="ItemHeadChar"/>
    <w:rsid w:val="001C31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31A3"/>
    <w:pPr>
      <w:spacing w:line="240" w:lineRule="auto"/>
    </w:pPr>
    <w:rPr>
      <w:b/>
      <w:sz w:val="32"/>
    </w:rPr>
  </w:style>
  <w:style w:type="paragraph" w:customStyle="1" w:styleId="notedraft">
    <w:name w:val="note(draft)"/>
    <w:aliases w:val="nd"/>
    <w:basedOn w:val="OPCParaBase"/>
    <w:rsid w:val="001C31A3"/>
    <w:pPr>
      <w:spacing w:before="240" w:line="240" w:lineRule="auto"/>
      <w:ind w:left="284" w:hanging="284"/>
    </w:pPr>
    <w:rPr>
      <w:i/>
      <w:sz w:val="24"/>
    </w:rPr>
  </w:style>
  <w:style w:type="paragraph" w:customStyle="1" w:styleId="notemargin">
    <w:name w:val="note(margin)"/>
    <w:aliases w:val="nm"/>
    <w:basedOn w:val="OPCParaBase"/>
    <w:rsid w:val="001C31A3"/>
    <w:pPr>
      <w:tabs>
        <w:tab w:val="left" w:pos="709"/>
      </w:tabs>
      <w:spacing w:before="122" w:line="198" w:lineRule="exact"/>
      <w:ind w:left="709" w:hanging="709"/>
    </w:pPr>
    <w:rPr>
      <w:sz w:val="18"/>
    </w:rPr>
  </w:style>
  <w:style w:type="paragraph" w:customStyle="1" w:styleId="noteToPara">
    <w:name w:val="noteToPara"/>
    <w:aliases w:val="ntp"/>
    <w:basedOn w:val="OPCParaBase"/>
    <w:rsid w:val="001C31A3"/>
    <w:pPr>
      <w:spacing w:before="122" w:line="198" w:lineRule="exact"/>
      <w:ind w:left="2353" w:hanging="709"/>
    </w:pPr>
    <w:rPr>
      <w:sz w:val="18"/>
    </w:rPr>
  </w:style>
  <w:style w:type="paragraph" w:customStyle="1" w:styleId="noteParlAmend">
    <w:name w:val="note(ParlAmend)"/>
    <w:aliases w:val="npp"/>
    <w:basedOn w:val="OPCParaBase"/>
    <w:next w:val="ParlAmend"/>
    <w:rsid w:val="001C31A3"/>
    <w:pPr>
      <w:spacing w:line="240" w:lineRule="auto"/>
      <w:jc w:val="right"/>
    </w:pPr>
    <w:rPr>
      <w:rFonts w:ascii="Arial" w:hAnsi="Arial"/>
      <w:b/>
      <w:i/>
    </w:rPr>
  </w:style>
  <w:style w:type="paragraph" w:customStyle="1" w:styleId="Page1">
    <w:name w:val="Page1"/>
    <w:basedOn w:val="OPCParaBase"/>
    <w:rsid w:val="001C31A3"/>
    <w:pPr>
      <w:spacing w:before="5600" w:line="240" w:lineRule="auto"/>
    </w:pPr>
    <w:rPr>
      <w:b/>
      <w:sz w:val="32"/>
    </w:rPr>
  </w:style>
  <w:style w:type="paragraph" w:customStyle="1" w:styleId="PageBreak">
    <w:name w:val="PageBreak"/>
    <w:aliases w:val="pb"/>
    <w:basedOn w:val="OPCParaBase"/>
    <w:rsid w:val="001C31A3"/>
    <w:pPr>
      <w:spacing w:line="240" w:lineRule="auto"/>
    </w:pPr>
    <w:rPr>
      <w:sz w:val="20"/>
    </w:rPr>
  </w:style>
  <w:style w:type="paragraph" w:customStyle="1" w:styleId="paragraphsub">
    <w:name w:val="paragraph(sub)"/>
    <w:aliases w:val="aa"/>
    <w:basedOn w:val="OPCParaBase"/>
    <w:rsid w:val="001C31A3"/>
    <w:pPr>
      <w:tabs>
        <w:tab w:val="right" w:pos="1985"/>
      </w:tabs>
      <w:spacing w:before="40" w:line="240" w:lineRule="auto"/>
      <w:ind w:left="2098" w:hanging="2098"/>
    </w:pPr>
  </w:style>
  <w:style w:type="paragraph" w:customStyle="1" w:styleId="paragraphsub-sub">
    <w:name w:val="paragraph(sub-sub)"/>
    <w:aliases w:val="aaa"/>
    <w:basedOn w:val="OPCParaBase"/>
    <w:rsid w:val="001C31A3"/>
    <w:pPr>
      <w:tabs>
        <w:tab w:val="right" w:pos="2722"/>
      </w:tabs>
      <w:spacing w:before="40" w:line="240" w:lineRule="auto"/>
      <w:ind w:left="2835" w:hanging="2835"/>
    </w:pPr>
  </w:style>
  <w:style w:type="paragraph" w:customStyle="1" w:styleId="paragraph">
    <w:name w:val="paragraph"/>
    <w:aliases w:val="a"/>
    <w:basedOn w:val="OPCParaBase"/>
    <w:link w:val="paragraphChar"/>
    <w:rsid w:val="001C31A3"/>
    <w:pPr>
      <w:tabs>
        <w:tab w:val="right" w:pos="1531"/>
      </w:tabs>
      <w:spacing w:before="40" w:line="240" w:lineRule="auto"/>
      <w:ind w:left="1644" w:hanging="1644"/>
    </w:pPr>
  </w:style>
  <w:style w:type="paragraph" w:customStyle="1" w:styleId="ParlAmend">
    <w:name w:val="ParlAmend"/>
    <w:aliases w:val="pp"/>
    <w:basedOn w:val="OPCParaBase"/>
    <w:rsid w:val="001C31A3"/>
    <w:pPr>
      <w:spacing w:before="240" w:line="240" w:lineRule="atLeast"/>
      <w:ind w:hanging="567"/>
    </w:pPr>
    <w:rPr>
      <w:sz w:val="24"/>
    </w:rPr>
  </w:style>
  <w:style w:type="paragraph" w:customStyle="1" w:styleId="Penalty">
    <w:name w:val="Penalty"/>
    <w:basedOn w:val="OPCParaBase"/>
    <w:rsid w:val="001C31A3"/>
    <w:pPr>
      <w:tabs>
        <w:tab w:val="left" w:pos="2977"/>
      </w:tabs>
      <w:spacing w:before="180" w:line="240" w:lineRule="auto"/>
      <w:ind w:left="1985" w:hanging="851"/>
    </w:pPr>
  </w:style>
  <w:style w:type="paragraph" w:customStyle="1" w:styleId="Portfolio">
    <w:name w:val="Portfolio"/>
    <w:basedOn w:val="OPCParaBase"/>
    <w:rsid w:val="001C31A3"/>
    <w:pPr>
      <w:spacing w:line="240" w:lineRule="auto"/>
    </w:pPr>
    <w:rPr>
      <w:i/>
      <w:sz w:val="20"/>
    </w:rPr>
  </w:style>
  <w:style w:type="paragraph" w:customStyle="1" w:styleId="Preamble">
    <w:name w:val="Preamble"/>
    <w:basedOn w:val="OPCParaBase"/>
    <w:next w:val="Normal"/>
    <w:rsid w:val="001C31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31A3"/>
    <w:pPr>
      <w:spacing w:line="240" w:lineRule="auto"/>
    </w:pPr>
    <w:rPr>
      <w:i/>
      <w:sz w:val="20"/>
    </w:rPr>
  </w:style>
  <w:style w:type="paragraph" w:customStyle="1" w:styleId="Session">
    <w:name w:val="Session"/>
    <w:basedOn w:val="OPCParaBase"/>
    <w:rsid w:val="001C31A3"/>
    <w:pPr>
      <w:spacing w:line="240" w:lineRule="auto"/>
    </w:pPr>
    <w:rPr>
      <w:sz w:val="28"/>
    </w:rPr>
  </w:style>
  <w:style w:type="paragraph" w:customStyle="1" w:styleId="Sponsor">
    <w:name w:val="Sponsor"/>
    <w:basedOn w:val="OPCParaBase"/>
    <w:rsid w:val="001C31A3"/>
    <w:pPr>
      <w:spacing w:line="240" w:lineRule="auto"/>
    </w:pPr>
    <w:rPr>
      <w:i/>
    </w:rPr>
  </w:style>
  <w:style w:type="paragraph" w:customStyle="1" w:styleId="Subitem">
    <w:name w:val="Subitem"/>
    <w:aliases w:val="iss"/>
    <w:basedOn w:val="OPCParaBase"/>
    <w:rsid w:val="001C31A3"/>
    <w:pPr>
      <w:spacing w:before="180" w:line="240" w:lineRule="auto"/>
      <w:ind w:left="709" w:hanging="709"/>
    </w:pPr>
  </w:style>
  <w:style w:type="paragraph" w:customStyle="1" w:styleId="SubitemHead">
    <w:name w:val="SubitemHead"/>
    <w:aliases w:val="issh"/>
    <w:basedOn w:val="OPCParaBase"/>
    <w:rsid w:val="001C31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31A3"/>
    <w:pPr>
      <w:spacing w:before="40" w:line="240" w:lineRule="auto"/>
      <w:ind w:left="1134"/>
    </w:pPr>
  </w:style>
  <w:style w:type="paragraph" w:customStyle="1" w:styleId="SubsectionHead">
    <w:name w:val="SubsectionHead"/>
    <w:aliases w:val="ssh"/>
    <w:basedOn w:val="OPCParaBase"/>
    <w:next w:val="subsection"/>
    <w:rsid w:val="001C31A3"/>
    <w:pPr>
      <w:keepNext/>
      <w:keepLines/>
      <w:spacing w:before="240" w:line="240" w:lineRule="auto"/>
      <w:ind w:left="1134"/>
    </w:pPr>
    <w:rPr>
      <w:i/>
    </w:rPr>
  </w:style>
  <w:style w:type="paragraph" w:customStyle="1" w:styleId="Tablea">
    <w:name w:val="Table(a)"/>
    <w:aliases w:val="ta"/>
    <w:basedOn w:val="OPCParaBase"/>
    <w:rsid w:val="001C31A3"/>
    <w:pPr>
      <w:spacing w:before="60" w:line="240" w:lineRule="auto"/>
      <w:ind w:left="284" w:hanging="284"/>
    </w:pPr>
    <w:rPr>
      <w:sz w:val="20"/>
    </w:rPr>
  </w:style>
  <w:style w:type="paragraph" w:customStyle="1" w:styleId="TableAA">
    <w:name w:val="Table(AA)"/>
    <w:aliases w:val="taaa"/>
    <w:basedOn w:val="OPCParaBase"/>
    <w:rsid w:val="001C31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31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31A3"/>
    <w:pPr>
      <w:spacing w:before="60" w:line="240" w:lineRule="atLeast"/>
    </w:pPr>
    <w:rPr>
      <w:sz w:val="20"/>
    </w:rPr>
  </w:style>
  <w:style w:type="paragraph" w:customStyle="1" w:styleId="TLPBoxTextnote">
    <w:name w:val="TLPBoxText(note"/>
    <w:aliases w:val="right)"/>
    <w:basedOn w:val="OPCParaBase"/>
    <w:rsid w:val="001C31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31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31A3"/>
    <w:pPr>
      <w:spacing w:before="122" w:line="198" w:lineRule="exact"/>
      <w:ind w:left="1985" w:hanging="851"/>
      <w:jc w:val="right"/>
    </w:pPr>
    <w:rPr>
      <w:sz w:val="18"/>
    </w:rPr>
  </w:style>
  <w:style w:type="paragraph" w:customStyle="1" w:styleId="TLPTableBullet">
    <w:name w:val="TLPTableBullet"/>
    <w:aliases w:val="ttb"/>
    <w:basedOn w:val="OPCParaBase"/>
    <w:rsid w:val="001C31A3"/>
    <w:pPr>
      <w:spacing w:line="240" w:lineRule="exact"/>
      <w:ind w:left="284" w:hanging="284"/>
    </w:pPr>
    <w:rPr>
      <w:sz w:val="20"/>
    </w:rPr>
  </w:style>
  <w:style w:type="paragraph" w:styleId="TOC1">
    <w:name w:val="toc 1"/>
    <w:basedOn w:val="OPCParaBase"/>
    <w:next w:val="Normal"/>
    <w:uiPriority w:val="39"/>
    <w:semiHidden/>
    <w:unhideWhenUsed/>
    <w:rsid w:val="001C31A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C31A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31A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C31A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C31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31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31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31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31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31A3"/>
    <w:pPr>
      <w:keepLines/>
      <w:spacing w:before="240" w:after="120" w:line="240" w:lineRule="auto"/>
      <w:ind w:left="794"/>
    </w:pPr>
    <w:rPr>
      <w:b/>
      <w:kern w:val="28"/>
      <w:sz w:val="20"/>
    </w:rPr>
  </w:style>
  <w:style w:type="paragraph" w:customStyle="1" w:styleId="TofSectsHeading">
    <w:name w:val="TofSects(Heading)"/>
    <w:basedOn w:val="OPCParaBase"/>
    <w:rsid w:val="001C31A3"/>
    <w:pPr>
      <w:spacing w:before="240" w:after="120" w:line="240" w:lineRule="auto"/>
    </w:pPr>
    <w:rPr>
      <w:b/>
      <w:sz w:val="24"/>
    </w:rPr>
  </w:style>
  <w:style w:type="paragraph" w:customStyle="1" w:styleId="TofSectsSection">
    <w:name w:val="TofSects(Section)"/>
    <w:basedOn w:val="OPCParaBase"/>
    <w:rsid w:val="001C31A3"/>
    <w:pPr>
      <w:keepLines/>
      <w:spacing w:before="40" w:line="240" w:lineRule="auto"/>
      <w:ind w:left="1588" w:hanging="794"/>
    </w:pPr>
    <w:rPr>
      <w:kern w:val="28"/>
      <w:sz w:val="18"/>
    </w:rPr>
  </w:style>
  <w:style w:type="paragraph" w:customStyle="1" w:styleId="TofSectsSubdiv">
    <w:name w:val="TofSects(Subdiv)"/>
    <w:basedOn w:val="OPCParaBase"/>
    <w:rsid w:val="001C31A3"/>
    <w:pPr>
      <w:keepLines/>
      <w:spacing w:before="80" w:line="240" w:lineRule="auto"/>
      <w:ind w:left="1588" w:hanging="794"/>
    </w:pPr>
    <w:rPr>
      <w:kern w:val="28"/>
    </w:rPr>
  </w:style>
  <w:style w:type="paragraph" w:customStyle="1" w:styleId="WRStyle">
    <w:name w:val="WR Style"/>
    <w:aliases w:val="WR"/>
    <w:basedOn w:val="OPCParaBase"/>
    <w:rsid w:val="001C31A3"/>
    <w:pPr>
      <w:spacing w:before="240" w:line="240" w:lineRule="auto"/>
      <w:ind w:left="284" w:hanging="284"/>
    </w:pPr>
    <w:rPr>
      <w:b/>
      <w:i/>
      <w:kern w:val="28"/>
      <w:sz w:val="24"/>
    </w:rPr>
  </w:style>
  <w:style w:type="paragraph" w:customStyle="1" w:styleId="notepara">
    <w:name w:val="note(para)"/>
    <w:aliases w:val="na"/>
    <w:basedOn w:val="OPCParaBase"/>
    <w:rsid w:val="001C31A3"/>
    <w:pPr>
      <w:spacing w:before="40" w:line="198" w:lineRule="exact"/>
      <w:ind w:left="2354" w:hanging="369"/>
    </w:pPr>
    <w:rPr>
      <w:sz w:val="18"/>
    </w:rPr>
  </w:style>
  <w:style w:type="paragraph" w:styleId="Footer">
    <w:name w:val="footer"/>
    <w:link w:val="FooterChar"/>
    <w:rsid w:val="001C31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31A3"/>
    <w:rPr>
      <w:rFonts w:eastAsia="Times New Roman" w:cs="Times New Roman"/>
      <w:sz w:val="22"/>
      <w:szCs w:val="24"/>
      <w:lang w:eastAsia="en-AU"/>
    </w:rPr>
  </w:style>
  <w:style w:type="character" w:styleId="LineNumber">
    <w:name w:val="line number"/>
    <w:basedOn w:val="OPCCharBase"/>
    <w:uiPriority w:val="99"/>
    <w:semiHidden/>
    <w:unhideWhenUsed/>
    <w:rsid w:val="001C31A3"/>
    <w:rPr>
      <w:sz w:val="16"/>
    </w:rPr>
  </w:style>
  <w:style w:type="table" w:customStyle="1" w:styleId="CFlag">
    <w:name w:val="CFlag"/>
    <w:basedOn w:val="TableNormal"/>
    <w:uiPriority w:val="99"/>
    <w:rsid w:val="001C31A3"/>
    <w:rPr>
      <w:rFonts w:eastAsia="Times New Roman" w:cs="Times New Roman"/>
      <w:lang w:eastAsia="en-AU"/>
    </w:rPr>
    <w:tblPr/>
  </w:style>
  <w:style w:type="paragraph" w:customStyle="1" w:styleId="NotesHeading1">
    <w:name w:val="NotesHeading 1"/>
    <w:basedOn w:val="OPCParaBase"/>
    <w:next w:val="Normal"/>
    <w:rsid w:val="001C31A3"/>
    <w:rPr>
      <w:b/>
      <w:sz w:val="28"/>
      <w:szCs w:val="28"/>
    </w:rPr>
  </w:style>
  <w:style w:type="paragraph" w:customStyle="1" w:styleId="NotesHeading2">
    <w:name w:val="NotesHeading 2"/>
    <w:basedOn w:val="OPCParaBase"/>
    <w:next w:val="Normal"/>
    <w:rsid w:val="001C31A3"/>
    <w:rPr>
      <w:b/>
      <w:sz w:val="28"/>
      <w:szCs w:val="28"/>
    </w:rPr>
  </w:style>
  <w:style w:type="paragraph" w:customStyle="1" w:styleId="SignCoverPageEnd">
    <w:name w:val="SignCoverPageEnd"/>
    <w:basedOn w:val="OPCParaBase"/>
    <w:next w:val="Normal"/>
    <w:rsid w:val="001C31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31A3"/>
    <w:pPr>
      <w:pBdr>
        <w:top w:val="single" w:sz="4" w:space="1" w:color="auto"/>
      </w:pBdr>
      <w:spacing w:before="360"/>
      <w:ind w:right="397"/>
      <w:jc w:val="both"/>
    </w:pPr>
  </w:style>
  <w:style w:type="paragraph" w:customStyle="1" w:styleId="Paragraphsub-sub-sub">
    <w:name w:val="Paragraph(sub-sub-sub)"/>
    <w:aliases w:val="aaaa"/>
    <w:basedOn w:val="OPCParaBase"/>
    <w:rsid w:val="001C31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31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31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31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31A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C31A3"/>
    <w:pPr>
      <w:spacing w:before="120"/>
    </w:pPr>
  </w:style>
  <w:style w:type="paragraph" w:customStyle="1" w:styleId="TableTextEndNotes">
    <w:name w:val="TableTextEndNotes"/>
    <w:aliases w:val="Tten"/>
    <w:basedOn w:val="Normal"/>
    <w:rsid w:val="001C31A3"/>
    <w:pPr>
      <w:spacing w:before="60" w:line="240" w:lineRule="auto"/>
    </w:pPr>
    <w:rPr>
      <w:rFonts w:cs="Arial"/>
      <w:sz w:val="20"/>
      <w:szCs w:val="22"/>
    </w:rPr>
  </w:style>
  <w:style w:type="paragraph" w:customStyle="1" w:styleId="TableHeading">
    <w:name w:val="TableHeading"/>
    <w:aliases w:val="th"/>
    <w:basedOn w:val="OPCParaBase"/>
    <w:next w:val="Tabletext"/>
    <w:rsid w:val="001C31A3"/>
    <w:pPr>
      <w:keepNext/>
      <w:spacing w:before="60" w:line="240" w:lineRule="atLeast"/>
    </w:pPr>
    <w:rPr>
      <w:b/>
      <w:sz w:val="20"/>
    </w:rPr>
  </w:style>
  <w:style w:type="paragraph" w:customStyle="1" w:styleId="NoteToSubpara">
    <w:name w:val="NoteToSubpara"/>
    <w:aliases w:val="nts"/>
    <w:basedOn w:val="OPCParaBase"/>
    <w:rsid w:val="001C31A3"/>
    <w:pPr>
      <w:spacing w:before="40" w:line="198" w:lineRule="exact"/>
      <w:ind w:left="2835" w:hanging="709"/>
    </w:pPr>
    <w:rPr>
      <w:sz w:val="18"/>
    </w:rPr>
  </w:style>
  <w:style w:type="paragraph" w:customStyle="1" w:styleId="ENoteTableHeading">
    <w:name w:val="ENoteTableHeading"/>
    <w:aliases w:val="enth"/>
    <w:basedOn w:val="OPCParaBase"/>
    <w:rsid w:val="001C31A3"/>
    <w:pPr>
      <w:keepNext/>
      <w:spacing w:before="60" w:line="240" w:lineRule="atLeast"/>
    </w:pPr>
    <w:rPr>
      <w:rFonts w:ascii="Arial" w:hAnsi="Arial"/>
      <w:b/>
      <w:sz w:val="16"/>
    </w:rPr>
  </w:style>
  <w:style w:type="paragraph" w:customStyle="1" w:styleId="ENoteTTi">
    <w:name w:val="ENoteTTi"/>
    <w:aliases w:val="entti"/>
    <w:basedOn w:val="OPCParaBase"/>
    <w:rsid w:val="001C31A3"/>
    <w:pPr>
      <w:keepNext/>
      <w:spacing w:before="60" w:line="240" w:lineRule="atLeast"/>
      <w:ind w:left="170"/>
    </w:pPr>
    <w:rPr>
      <w:sz w:val="16"/>
    </w:rPr>
  </w:style>
  <w:style w:type="paragraph" w:customStyle="1" w:styleId="ENotesHeading1">
    <w:name w:val="ENotesHeading 1"/>
    <w:aliases w:val="Enh1"/>
    <w:basedOn w:val="OPCParaBase"/>
    <w:next w:val="Normal"/>
    <w:rsid w:val="001C31A3"/>
    <w:pPr>
      <w:spacing w:before="120"/>
      <w:outlineLvl w:val="1"/>
    </w:pPr>
    <w:rPr>
      <w:b/>
      <w:sz w:val="28"/>
      <w:szCs w:val="28"/>
    </w:rPr>
  </w:style>
  <w:style w:type="paragraph" w:customStyle="1" w:styleId="ENotesHeading2">
    <w:name w:val="ENotesHeading 2"/>
    <w:aliases w:val="Enh2"/>
    <w:basedOn w:val="OPCParaBase"/>
    <w:next w:val="Normal"/>
    <w:rsid w:val="001C31A3"/>
    <w:pPr>
      <w:spacing w:before="120" w:after="120"/>
      <w:outlineLvl w:val="2"/>
    </w:pPr>
    <w:rPr>
      <w:b/>
      <w:sz w:val="24"/>
      <w:szCs w:val="28"/>
    </w:rPr>
  </w:style>
  <w:style w:type="paragraph" w:customStyle="1" w:styleId="ENoteTTIndentHeading">
    <w:name w:val="ENoteTTIndentHeading"/>
    <w:aliases w:val="enTTHi"/>
    <w:basedOn w:val="OPCParaBase"/>
    <w:rsid w:val="001C31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31A3"/>
    <w:pPr>
      <w:spacing w:before="60" w:line="240" w:lineRule="atLeast"/>
    </w:pPr>
    <w:rPr>
      <w:sz w:val="16"/>
    </w:rPr>
  </w:style>
  <w:style w:type="paragraph" w:customStyle="1" w:styleId="MadeunderText">
    <w:name w:val="MadeunderText"/>
    <w:basedOn w:val="OPCParaBase"/>
    <w:next w:val="Normal"/>
    <w:rsid w:val="001C31A3"/>
    <w:pPr>
      <w:spacing w:before="240"/>
    </w:pPr>
    <w:rPr>
      <w:sz w:val="24"/>
      <w:szCs w:val="24"/>
    </w:rPr>
  </w:style>
  <w:style w:type="paragraph" w:customStyle="1" w:styleId="ENotesHeading3">
    <w:name w:val="ENotesHeading 3"/>
    <w:aliases w:val="Enh3"/>
    <w:basedOn w:val="OPCParaBase"/>
    <w:next w:val="Normal"/>
    <w:rsid w:val="001C31A3"/>
    <w:pPr>
      <w:keepNext/>
      <w:spacing w:before="120" w:line="240" w:lineRule="auto"/>
      <w:outlineLvl w:val="4"/>
    </w:pPr>
    <w:rPr>
      <w:b/>
      <w:szCs w:val="24"/>
    </w:rPr>
  </w:style>
  <w:style w:type="paragraph" w:customStyle="1" w:styleId="SubPartCASA">
    <w:name w:val="SubPart(CASA)"/>
    <w:aliases w:val="csp"/>
    <w:basedOn w:val="OPCParaBase"/>
    <w:next w:val="ActHead3"/>
    <w:rsid w:val="001C31A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31A3"/>
  </w:style>
  <w:style w:type="character" w:customStyle="1" w:styleId="CharSubPartNoCASA">
    <w:name w:val="CharSubPartNo(CASA)"/>
    <w:basedOn w:val="OPCCharBase"/>
    <w:uiPriority w:val="1"/>
    <w:rsid w:val="001C31A3"/>
  </w:style>
  <w:style w:type="paragraph" w:customStyle="1" w:styleId="ENoteTTIndentHeadingSub">
    <w:name w:val="ENoteTTIndentHeadingSub"/>
    <w:aliases w:val="enTTHis"/>
    <w:basedOn w:val="OPCParaBase"/>
    <w:rsid w:val="001C31A3"/>
    <w:pPr>
      <w:keepNext/>
      <w:spacing w:before="60" w:line="240" w:lineRule="atLeast"/>
      <w:ind w:left="340"/>
    </w:pPr>
    <w:rPr>
      <w:b/>
      <w:sz w:val="16"/>
    </w:rPr>
  </w:style>
  <w:style w:type="paragraph" w:customStyle="1" w:styleId="ENoteTTiSub">
    <w:name w:val="ENoteTTiSub"/>
    <w:aliases w:val="enttis"/>
    <w:basedOn w:val="OPCParaBase"/>
    <w:rsid w:val="001C31A3"/>
    <w:pPr>
      <w:keepNext/>
      <w:spacing w:before="60" w:line="240" w:lineRule="atLeast"/>
      <w:ind w:left="340"/>
    </w:pPr>
    <w:rPr>
      <w:sz w:val="16"/>
    </w:rPr>
  </w:style>
  <w:style w:type="paragraph" w:customStyle="1" w:styleId="SubDivisionMigration">
    <w:name w:val="SubDivisionMigration"/>
    <w:aliases w:val="sdm"/>
    <w:basedOn w:val="OPCParaBase"/>
    <w:rsid w:val="001C31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31A3"/>
    <w:pPr>
      <w:keepNext/>
      <w:keepLines/>
      <w:spacing w:before="240" w:line="240" w:lineRule="auto"/>
      <w:ind w:left="1134" w:hanging="1134"/>
    </w:pPr>
    <w:rPr>
      <w:b/>
      <w:sz w:val="28"/>
    </w:rPr>
  </w:style>
  <w:style w:type="table" w:styleId="TableGrid">
    <w:name w:val="Table Grid"/>
    <w:basedOn w:val="TableNormal"/>
    <w:uiPriority w:val="59"/>
    <w:rsid w:val="001C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C31A3"/>
    <w:pPr>
      <w:spacing w:before="122" w:line="240" w:lineRule="auto"/>
      <w:ind w:left="1985" w:hanging="851"/>
    </w:pPr>
    <w:rPr>
      <w:sz w:val="18"/>
    </w:rPr>
  </w:style>
  <w:style w:type="paragraph" w:customStyle="1" w:styleId="FreeForm">
    <w:name w:val="FreeForm"/>
    <w:rsid w:val="001C31A3"/>
    <w:rPr>
      <w:rFonts w:ascii="Arial" w:hAnsi="Arial"/>
      <w:sz w:val="22"/>
    </w:rPr>
  </w:style>
  <w:style w:type="paragraph" w:customStyle="1" w:styleId="SOText">
    <w:name w:val="SO Text"/>
    <w:aliases w:val="sot"/>
    <w:link w:val="SOTextChar"/>
    <w:rsid w:val="001C31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31A3"/>
    <w:rPr>
      <w:sz w:val="22"/>
    </w:rPr>
  </w:style>
  <w:style w:type="paragraph" w:customStyle="1" w:styleId="SOTextNote">
    <w:name w:val="SO TextNote"/>
    <w:aliases w:val="sont"/>
    <w:basedOn w:val="SOText"/>
    <w:qFormat/>
    <w:rsid w:val="001C31A3"/>
    <w:pPr>
      <w:spacing w:before="122" w:line="198" w:lineRule="exact"/>
      <w:ind w:left="1843" w:hanging="709"/>
    </w:pPr>
    <w:rPr>
      <w:sz w:val="18"/>
    </w:rPr>
  </w:style>
  <w:style w:type="paragraph" w:customStyle="1" w:styleId="SOPara">
    <w:name w:val="SO Para"/>
    <w:aliases w:val="soa"/>
    <w:basedOn w:val="SOText"/>
    <w:link w:val="SOParaChar"/>
    <w:qFormat/>
    <w:rsid w:val="001C31A3"/>
    <w:pPr>
      <w:tabs>
        <w:tab w:val="right" w:pos="1786"/>
      </w:tabs>
      <w:spacing w:before="40"/>
      <w:ind w:left="2070" w:hanging="936"/>
    </w:pPr>
  </w:style>
  <w:style w:type="character" w:customStyle="1" w:styleId="SOParaChar">
    <w:name w:val="SO Para Char"/>
    <w:aliases w:val="soa Char"/>
    <w:basedOn w:val="DefaultParagraphFont"/>
    <w:link w:val="SOPara"/>
    <w:rsid w:val="001C31A3"/>
    <w:rPr>
      <w:sz w:val="22"/>
    </w:rPr>
  </w:style>
  <w:style w:type="paragraph" w:customStyle="1" w:styleId="FileName">
    <w:name w:val="FileName"/>
    <w:basedOn w:val="Normal"/>
    <w:rsid w:val="001C31A3"/>
  </w:style>
  <w:style w:type="paragraph" w:customStyle="1" w:styleId="SOHeadBold">
    <w:name w:val="SO HeadBold"/>
    <w:aliases w:val="sohb"/>
    <w:basedOn w:val="SOText"/>
    <w:next w:val="SOText"/>
    <w:link w:val="SOHeadBoldChar"/>
    <w:qFormat/>
    <w:rsid w:val="001C31A3"/>
    <w:rPr>
      <w:b/>
    </w:rPr>
  </w:style>
  <w:style w:type="character" w:customStyle="1" w:styleId="SOHeadBoldChar">
    <w:name w:val="SO HeadBold Char"/>
    <w:aliases w:val="sohb Char"/>
    <w:basedOn w:val="DefaultParagraphFont"/>
    <w:link w:val="SOHeadBold"/>
    <w:rsid w:val="001C31A3"/>
    <w:rPr>
      <w:b/>
      <w:sz w:val="22"/>
    </w:rPr>
  </w:style>
  <w:style w:type="paragraph" w:customStyle="1" w:styleId="SOHeadItalic">
    <w:name w:val="SO HeadItalic"/>
    <w:aliases w:val="sohi"/>
    <w:basedOn w:val="SOText"/>
    <w:next w:val="SOText"/>
    <w:link w:val="SOHeadItalicChar"/>
    <w:qFormat/>
    <w:rsid w:val="001C31A3"/>
    <w:rPr>
      <w:i/>
    </w:rPr>
  </w:style>
  <w:style w:type="character" w:customStyle="1" w:styleId="SOHeadItalicChar">
    <w:name w:val="SO HeadItalic Char"/>
    <w:aliases w:val="sohi Char"/>
    <w:basedOn w:val="DefaultParagraphFont"/>
    <w:link w:val="SOHeadItalic"/>
    <w:rsid w:val="001C31A3"/>
    <w:rPr>
      <w:i/>
      <w:sz w:val="22"/>
    </w:rPr>
  </w:style>
  <w:style w:type="paragraph" w:customStyle="1" w:styleId="SOBullet">
    <w:name w:val="SO Bullet"/>
    <w:aliases w:val="sotb"/>
    <w:basedOn w:val="SOText"/>
    <w:link w:val="SOBulletChar"/>
    <w:qFormat/>
    <w:rsid w:val="001C31A3"/>
    <w:pPr>
      <w:ind w:left="1559" w:hanging="425"/>
    </w:pPr>
  </w:style>
  <w:style w:type="character" w:customStyle="1" w:styleId="SOBulletChar">
    <w:name w:val="SO Bullet Char"/>
    <w:aliases w:val="sotb Char"/>
    <w:basedOn w:val="DefaultParagraphFont"/>
    <w:link w:val="SOBullet"/>
    <w:rsid w:val="001C31A3"/>
    <w:rPr>
      <w:sz w:val="22"/>
    </w:rPr>
  </w:style>
  <w:style w:type="paragraph" w:customStyle="1" w:styleId="SOBulletNote">
    <w:name w:val="SO BulletNote"/>
    <w:aliases w:val="sonb"/>
    <w:basedOn w:val="SOTextNote"/>
    <w:link w:val="SOBulletNoteChar"/>
    <w:qFormat/>
    <w:rsid w:val="001C31A3"/>
    <w:pPr>
      <w:tabs>
        <w:tab w:val="left" w:pos="1560"/>
      </w:tabs>
      <w:ind w:left="2268" w:hanging="1134"/>
    </w:pPr>
  </w:style>
  <w:style w:type="character" w:customStyle="1" w:styleId="SOBulletNoteChar">
    <w:name w:val="SO BulletNote Char"/>
    <w:aliases w:val="sonb Char"/>
    <w:basedOn w:val="DefaultParagraphFont"/>
    <w:link w:val="SOBulletNote"/>
    <w:rsid w:val="001C31A3"/>
    <w:rPr>
      <w:sz w:val="18"/>
    </w:rPr>
  </w:style>
  <w:style w:type="paragraph" w:customStyle="1" w:styleId="SOText2">
    <w:name w:val="SO Text2"/>
    <w:aliases w:val="sot2"/>
    <w:basedOn w:val="Normal"/>
    <w:next w:val="SOText"/>
    <w:link w:val="SOText2Char"/>
    <w:rsid w:val="001C31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31A3"/>
    <w:rPr>
      <w:sz w:val="22"/>
    </w:rPr>
  </w:style>
  <w:style w:type="paragraph" w:customStyle="1" w:styleId="Transitional">
    <w:name w:val="Transitional"/>
    <w:aliases w:val="tr"/>
    <w:basedOn w:val="ItemHead"/>
    <w:next w:val="Item"/>
    <w:link w:val="TransitionalChar"/>
    <w:rsid w:val="001C31A3"/>
  </w:style>
  <w:style w:type="paragraph" w:styleId="BalloonText">
    <w:name w:val="Balloon Text"/>
    <w:basedOn w:val="Normal"/>
    <w:link w:val="BalloonTextChar"/>
    <w:uiPriority w:val="99"/>
    <w:semiHidden/>
    <w:unhideWhenUsed/>
    <w:rsid w:val="003C2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6A"/>
    <w:rPr>
      <w:rFonts w:ascii="Tahoma" w:hAnsi="Tahoma" w:cs="Tahoma"/>
      <w:sz w:val="16"/>
      <w:szCs w:val="16"/>
    </w:rPr>
  </w:style>
  <w:style w:type="character" w:customStyle="1" w:styleId="ItemHeadChar">
    <w:name w:val="ItemHead Char"/>
    <w:aliases w:val="ih Char"/>
    <w:basedOn w:val="DefaultParagraphFont"/>
    <w:link w:val="ItemHead"/>
    <w:rsid w:val="000E197E"/>
    <w:rPr>
      <w:rFonts w:ascii="Arial" w:eastAsia="Times New Roman" w:hAnsi="Arial" w:cs="Times New Roman"/>
      <w:b/>
      <w:kern w:val="28"/>
      <w:sz w:val="24"/>
      <w:lang w:eastAsia="en-AU"/>
    </w:rPr>
  </w:style>
  <w:style w:type="character" w:customStyle="1" w:styleId="paragraphChar">
    <w:name w:val="paragraph Char"/>
    <w:aliases w:val="a Char"/>
    <w:link w:val="paragraph"/>
    <w:rsid w:val="00FB3BD3"/>
    <w:rPr>
      <w:rFonts w:eastAsia="Times New Roman" w:cs="Times New Roman"/>
      <w:sz w:val="22"/>
      <w:lang w:eastAsia="en-AU"/>
    </w:rPr>
  </w:style>
  <w:style w:type="character" w:customStyle="1" w:styleId="TransitionalChar">
    <w:name w:val="Transitional Char"/>
    <w:aliases w:val="tr Char"/>
    <w:basedOn w:val="ItemHeadChar"/>
    <w:link w:val="Transitional"/>
    <w:rsid w:val="00FB3BD3"/>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A3499"/>
    <w:rPr>
      <w:rFonts w:eastAsia="Times New Roman" w:cs="Times New Roman"/>
      <w:sz w:val="22"/>
      <w:lang w:eastAsia="en-AU"/>
    </w:rPr>
  </w:style>
  <w:style w:type="character" w:customStyle="1" w:styleId="notetextChar">
    <w:name w:val="note(text) Char"/>
    <w:aliases w:val="n Char"/>
    <w:basedOn w:val="DefaultParagraphFont"/>
    <w:link w:val="notetext"/>
    <w:rsid w:val="002A3499"/>
    <w:rPr>
      <w:rFonts w:eastAsia="Times New Roman" w:cs="Times New Roman"/>
      <w:sz w:val="18"/>
      <w:lang w:eastAsia="en-AU"/>
    </w:rPr>
  </w:style>
  <w:style w:type="character" w:customStyle="1" w:styleId="Heading1Char">
    <w:name w:val="Heading 1 Char"/>
    <w:basedOn w:val="DefaultParagraphFont"/>
    <w:link w:val="Heading1"/>
    <w:uiPriority w:val="9"/>
    <w:rsid w:val="002A3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4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4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34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34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34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34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34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499"/>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67457"/>
    <w:rPr>
      <w:rFonts w:eastAsia="Times New Roman" w:cs="Times New Roman"/>
      <w:b/>
      <w:kern w:val="28"/>
      <w:sz w:val="24"/>
      <w:lang w:eastAsia="en-AU"/>
    </w:rPr>
  </w:style>
  <w:style w:type="paragraph" w:customStyle="1" w:styleId="ShortTP1">
    <w:name w:val="ShortTP1"/>
    <w:basedOn w:val="ShortT"/>
    <w:link w:val="ShortTP1Char"/>
    <w:rsid w:val="00EA7011"/>
    <w:pPr>
      <w:spacing w:before="800"/>
    </w:pPr>
  </w:style>
  <w:style w:type="character" w:customStyle="1" w:styleId="ShortTP1Char">
    <w:name w:val="ShortTP1 Char"/>
    <w:basedOn w:val="DefaultParagraphFont"/>
    <w:link w:val="ShortTP1"/>
    <w:rsid w:val="00EA7011"/>
    <w:rPr>
      <w:rFonts w:eastAsia="Times New Roman" w:cs="Times New Roman"/>
      <w:b/>
      <w:sz w:val="40"/>
      <w:lang w:eastAsia="en-AU"/>
    </w:rPr>
  </w:style>
  <w:style w:type="paragraph" w:customStyle="1" w:styleId="ActNoP1">
    <w:name w:val="ActNoP1"/>
    <w:basedOn w:val="Actno"/>
    <w:link w:val="ActNoP1Char"/>
    <w:rsid w:val="00EA7011"/>
    <w:pPr>
      <w:spacing w:before="800"/>
    </w:pPr>
    <w:rPr>
      <w:sz w:val="28"/>
    </w:rPr>
  </w:style>
  <w:style w:type="character" w:customStyle="1" w:styleId="ActNoP1Char">
    <w:name w:val="ActNoP1 Char"/>
    <w:basedOn w:val="DefaultParagraphFont"/>
    <w:link w:val="ActNoP1"/>
    <w:rsid w:val="00EA7011"/>
    <w:rPr>
      <w:rFonts w:eastAsia="Times New Roman" w:cs="Times New Roman"/>
      <w:b/>
      <w:sz w:val="28"/>
      <w:lang w:eastAsia="en-AU"/>
    </w:rPr>
  </w:style>
  <w:style w:type="paragraph" w:customStyle="1" w:styleId="AssentBk">
    <w:name w:val="AssentBk"/>
    <w:basedOn w:val="Normal"/>
    <w:rsid w:val="00EA7011"/>
    <w:pPr>
      <w:spacing w:line="240" w:lineRule="auto"/>
    </w:pPr>
    <w:rPr>
      <w:rFonts w:eastAsia="Times New Roman" w:cs="Times New Roman"/>
      <w:sz w:val="20"/>
      <w:lang w:eastAsia="en-AU"/>
    </w:rPr>
  </w:style>
  <w:style w:type="paragraph" w:customStyle="1" w:styleId="AssentDt">
    <w:name w:val="AssentDt"/>
    <w:basedOn w:val="Normal"/>
    <w:rsid w:val="009D33D0"/>
    <w:pPr>
      <w:spacing w:line="240" w:lineRule="auto"/>
    </w:pPr>
    <w:rPr>
      <w:rFonts w:eastAsia="Times New Roman" w:cs="Times New Roman"/>
      <w:sz w:val="20"/>
      <w:lang w:eastAsia="en-AU"/>
    </w:rPr>
  </w:style>
  <w:style w:type="paragraph" w:customStyle="1" w:styleId="2ndRd">
    <w:name w:val="2ndRd"/>
    <w:basedOn w:val="Normal"/>
    <w:rsid w:val="009D33D0"/>
    <w:pPr>
      <w:spacing w:line="240" w:lineRule="auto"/>
    </w:pPr>
    <w:rPr>
      <w:rFonts w:eastAsia="Times New Roman" w:cs="Times New Roman"/>
      <w:sz w:val="20"/>
      <w:lang w:eastAsia="en-AU"/>
    </w:rPr>
  </w:style>
  <w:style w:type="paragraph" w:customStyle="1" w:styleId="ScalePlusRef">
    <w:name w:val="ScalePlusRef"/>
    <w:basedOn w:val="Normal"/>
    <w:rsid w:val="009D33D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1D25-E14A-4B98-ACD4-96CE24F6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Pages>
  <Words>2032</Words>
  <Characters>9928</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2020-09-29T00:22:00Z</cp:lastPrinted>
  <dcterms:created xsi:type="dcterms:W3CDTF">2021-03-03T06:09:00Z</dcterms:created>
  <dcterms:modified xsi:type="dcterms:W3CDTF">2021-03-04T03:13:00Z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VET Student Payment Arrangements (Miscellaneous Amendments) Act 2021</vt:lpwstr>
  </property>
  <property fmtid="{D5CDD505-2E9C-101B-9397-08002B2CF9AE}" pid="5" name="ActNo">
    <vt:lpwstr>No. 17,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OPC7448</vt:lpwstr>
  </property>
</Properties>
</file>