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66352051"/>
    <w:p w14:paraId="12C2101A" w14:textId="71E987CD" w:rsidR="003E024D" w:rsidRDefault="003E024D" w:rsidP="003E024D">
      <w:r>
        <w:object w:dxaOrig="2146" w:dyaOrig="1561" w14:anchorId="075380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679211444" r:id="rId8"/>
        </w:object>
      </w:r>
    </w:p>
    <w:p w14:paraId="2D13BFD1" w14:textId="77777777" w:rsidR="003E024D" w:rsidRDefault="003E024D" w:rsidP="003E024D"/>
    <w:p w14:paraId="2C45BB94" w14:textId="77777777" w:rsidR="003E024D" w:rsidRDefault="003E024D" w:rsidP="003E024D"/>
    <w:p w14:paraId="6F9D606C" w14:textId="77777777" w:rsidR="003E024D" w:rsidRDefault="003E024D" w:rsidP="003E024D"/>
    <w:p w14:paraId="31070F89" w14:textId="77777777" w:rsidR="003E024D" w:rsidRDefault="003E024D" w:rsidP="003E024D">
      <w:bookmarkStart w:id="1" w:name="_GoBack"/>
      <w:bookmarkEnd w:id="1"/>
    </w:p>
    <w:p w14:paraId="1679634E" w14:textId="77777777" w:rsidR="003E024D" w:rsidRDefault="003E024D" w:rsidP="003E024D"/>
    <w:p w14:paraId="24DD4BA8" w14:textId="77777777" w:rsidR="003E024D" w:rsidRDefault="003E024D" w:rsidP="003E024D"/>
    <w:p w14:paraId="412AAF9B" w14:textId="064C7163" w:rsidR="0048364F" w:rsidRPr="00B31500" w:rsidRDefault="003E024D" w:rsidP="0048364F">
      <w:pPr>
        <w:pStyle w:val="ShortT"/>
      </w:pPr>
      <w:r>
        <w:t>Biosecurity Amendment (Clarifying Conditionally Non</w:t>
      </w:r>
      <w:r>
        <w:noBreakHyphen/>
        <w:t>prohibited Goods) Act 2021</w:t>
      </w:r>
    </w:p>
    <w:bookmarkEnd w:id="0"/>
    <w:p w14:paraId="1D9FA1C1" w14:textId="77777777" w:rsidR="0048364F" w:rsidRPr="00B31500" w:rsidRDefault="0048364F" w:rsidP="0048364F"/>
    <w:p w14:paraId="100D37CB" w14:textId="5943A57E" w:rsidR="0048364F" w:rsidRPr="00B31500" w:rsidRDefault="00C164CA" w:rsidP="003E024D">
      <w:pPr>
        <w:pStyle w:val="Actno"/>
        <w:spacing w:before="400"/>
      </w:pPr>
      <w:r w:rsidRPr="00B31500">
        <w:t>No.</w:t>
      </w:r>
      <w:r w:rsidR="00E46645">
        <w:t xml:space="preserve"> 33</w:t>
      </w:r>
      <w:r w:rsidRPr="00B31500">
        <w:t>, 20</w:t>
      </w:r>
      <w:r w:rsidR="009E186E" w:rsidRPr="00B31500">
        <w:t>21</w:t>
      </w:r>
    </w:p>
    <w:p w14:paraId="66220F94" w14:textId="77777777" w:rsidR="0048364F" w:rsidRPr="00B31500" w:rsidRDefault="0048364F" w:rsidP="0048364F"/>
    <w:p w14:paraId="2D5542FC" w14:textId="77777777" w:rsidR="00837262" w:rsidRDefault="00837262" w:rsidP="00837262">
      <w:pPr>
        <w:rPr>
          <w:lang w:eastAsia="en-AU"/>
        </w:rPr>
      </w:pPr>
    </w:p>
    <w:p w14:paraId="366F7C28" w14:textId="652A92F9" w:rsidR="0048364F" w:rsidRPr="00B31500" w:rsidRDefault="0048364F" w:rsidP="0048364F"/>
    <w:p w14:paraId="6DFAC9EB" w14:textId="77777777" w:rsidR="0048364F" w:rsidRPr="00B31500" w:rsidRDefault="0048364F" w:rsidP="0048364F"/>
    <w:p w14:paraId="49212FD6" w14:textId="77777777" w:rsidR="0048364F" w:rsidRPr="00B31500" w:rsidRDefault="0048364F" w:rsidP="0048364F"/>
    <w:p w14:paraId="5FB1689A" w14:textId="77777777" w:rsidR="003E024D" w:rsidRDefault="003E024D" w:rsidP="003E024D">
      <w:pPr>
        <w:pStyle w:val="LongT"/>
      </w:pPr>
      <w:r>
        <w:t xml:space="preserve">An Act to amend the </w:t>
      </w:r>
      <w:r w:rsidRPr="003E024D">
        <w:rPr>
          <w:i/>
        </w:rPr>
        <w:t>Biosecurity Act 2015</w:t>
      </w:r>
      <w:r>
        <w:t>, and for related purposes</w:t>
      </w:r>
    </w:p>
    <w:p w14:paraId="209331C1" w14:textId="378AB794" w:rsidR="0048364F" w:rsidRPr="003302D5" w:rsidRDefault="0048364F" w:rsidP="0048364F">
      <w:pPr>
        <w:pStyle w:val="Header"/>
        <w:tabs>
          <w:tab w:val="clear" w:pos="4150"/>
          <w:tab w:val="clear" w:pos="8307"/>
        </w:tabs>
      </w:pPr>
      <w:r w:rsidRPr="003302D5">
        <w:rPr>
          <w:rStyle w:val="CharAmSchNo"/>
        </w:rPr>
        <w:t xml:space="preserve"> </w:t>
      </w:r>
      <w:r w:rsidRPr="003302D5">
        <w:rPr>
          <w:rStyle w:val="CharAmSchText"/>
        </w:rPr>
        <w:t xml:space="preserve"> </w:t>
      </w:r>
    </w:p>
    <w:p w14:paraId="49E869E4" w14:textId="77777777" w:rsidR="0048364F" w:rsidRPr="003302D5" w:rsidRDefault="0048364F" w:rsidP="0048364F">
      <w:pPr>
        <w:pStyle w:val="Header"/>
        <w:tabs>
          <w:tab w:val="clear" w:pos="4150"/>
          <w:tab w:val="clear" w:pos="8307"/>
        </w:tabs>
      </w:pPr>
      <w:r w:rsidRPr="003302D5">
        <w:rPr>
          <w:rStyle w:val="CharAmPartNo"/>
        </w:rPr>
        <w:t xml:space="preserve"> </w:t>
      </w:r>
      <w:r w:rsidRPr="003302D5">
        <w:rPr>
          <w:rStyle w:val="CharAmPartText"/>
        </w:rPr>
        <w:t xml:space="preserve"> </w:t>
      </w:r>
    </w:p>
    <w:p w14:paraId="7433332E" w14:textId="77777777" w:rsidR="0048364F" w:rsidRPr="00B31500" w:rsidRDefault="0048364F" w:rsidP="0048364F">
      <w:pPr>
        <w:sectPr w:rsidR="0048364F" w:rsidRPr="00B31500" w:rsidSect="003E02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6B3F665E" w14:textId="77777777" w:rsidR="0048364F" w:rsidRPr="00B31500" w:rsidRDefault="0048364F" w:rsidP="0048364F">
      <w:pPr>
        <w:outlineLvl w:val="0"/>
        <w:rPr>
          <w:sz w:val="36"/>
        </w:rPr>
      </w:pPr>
      <w:r w:rsidRPr="00B31500">
        <w:rPr>
          <w:sz w:val="36"/>
        </w:rPr>
        <w:lastRenderedPageBreak/>
        <w:t>Contents</w:t>
      </w:r>
    </w:p>
    <w:bookmarkStart w:id="2" w:name="BKCheck15B_1"/>
    <w:bookmarkEnd w:id="2"/>
    <w:p w14:paraId="2595C595" w14:textId="205FF548" w:rsidR="00362A0A" w:rsidRDefault="00362A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362A0A">
        <w:rPr>
          <w:noProof/>
        </w:rPr>
        <w:tab/>
      </w:r>
      <w:r w:rsidRPr="00362A0A">
        <w:rPr>
          <w:noProof/>
        </w:rPr>
        <w:fldChar w:fldCharType="begin"/>
      </w:r>
      <w:r w:rsidRPr="00362A0A">
        <w:rPr>
          <w:noProof/>
        </w:rPr>
        <w:instrText xml:space="preserve"> PAGEREF _Toc68598340 \h </w:instrText>
      </w:r>
      <w:r w:rsidRPr="00362A0A">
        <w:rPr>
          <w:noProof/>
        </w:rPr>
      </w:r>
      <w:r w:rsidRPr="00362A0A">
        <w:rPr>
          <w:noProof/>
        </w:rPr>
        <w:fldChar w:fldCharType="separate"/>
      </w:r>
      <w:r w:rsidR="001527B7">
        <w:rPr>
          <w:noProof/>
        </w:rPr>
        <w:t>1</w:t>
      </w:r>
      <w:r w:rsidRPr="00362A0A">
        <w:rPr>
          <w:noProof/>
        </w:rPr>
        <w:fldChar w:fldCharType="end"/>
      </w:r>
    </w:p>
    <w:p w14:paraId="7DC9AAF5" w14:textId="00849B39" w:rsidR="00362A0A" w:rsidRDefault="00362A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62A0A">
        <w:rPr>
          <w:noProof/>
        </w:rPr>
        <w:tab/>
      </w:r>
      <w:r w:rsidRPr="00362A0A">
        <w:rPr>
          <w:noProof/>
        </w:rPr>
        <w:fldChar w:fldCharType="begin"/>
      </w:r>
      <w:r w:rsidRPr="00362A0A">
        <w:rPr>
          <w:noProof/>
        </w:rPr>
        <w:instrText xml:space="preserve"> PAGEREF _Toc68598341 \h </w:instrText>
      </w:r>
      <w:r w:rsidRPr="00362A0A">
        <w:rPr>
          <w:noProof/>
        </w:rPr>
      </w:r>
      <w:r w:rsidRPr="00362A0A">
        <w:rPr>
          <w:noProof/>
        </w:rPr>
        <w:fldChar w:fldCharType="separate"/>
      </w:r>
      <w:r w:rsidR="001527B7">
        <w:rPr>
          <w:noProof/>
        </w:rPr>
        <w:t>2</w:t>
      </w:r>
      <w:r w:rsidRPr="00362A0A">
        <w:rPr>
          <w:noProof/>
        </w:rPr>
        <w:fldChar w:fldCharType="end"/>
      </w:r>
    </w:p>
    <w:p w14:paraId="3CB0844C" w14:textId="0A9ACC20" w:rsidR="00362A0A" w:rsidRDefault="00362A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362A0A">
        <w:rPr>
          <w:noProof/>
        </w:rPr>
        <w:tab/>
      </w:r>
      <w:r w:rsidRPr="00362A0A">
        <w:rPr>
          <w:noProof/>
        </w:rPr>
        <w:fldChar w:fldCharType="begin"/>
      </w:r>
      <w:r w:rsidRPr="00362A0A">
        <w:rPr>
          <w:noProof/>
        </w:rPr>
        <w:instrText xml:space="preserve"> PAGEREF _Toc68598342 \h </w:instrText>
      </w:r>
      <w:r w:rsidRPr="00362A0A">
        <w:rPr>
          <w:noProof/>
        </w:rPr>
      </w:r>
      <w:r w:rsidRPr="00362A0A">
        <w:rPr>
          <w:noProof/>
        </w:rPr>
        <w:fldChar w:fldCharType="separate"/>
      </w:r>
      <w:r w:rsidR="001527B7">
        <w:rPr>
          <w:noProof/>
        </w:rPr>
        <w:t>2</w:t>
      </w:r>
      <w:r w:rsidRPr="00362A0A">
        <w:rPr>
          <w:noProof/>
        </w:rPr>
        <w:fldChar w:fldCharType="end"/>
      </w:r>
    </w:p>
    <w:p w14:paraId="5AD024DC" w14:textId="58B40E65" w:rsidR="00362A0A" w:rsidRDefault="00362A0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362A0A">
        <w:rPr>
          <w:b w:val="0"/>
          <w:noProof/>
          <w:sz w:val="18"/>
        </w:rPr>
        <w:tab/>
      </w:r>
      <w:r w:rsidRPr="00362A0A">
        <w:rPr>
          <w:b w:val="0"/>
          <w:noProof/>
          <w:sz w:val="18"/>
        </w:rPr>
        <w:fldChar w:fldCharType="begin"/>
      </w:r>
      <w:r w:rsidRPr="00362A0A">
        <w:rPr>
          <w:b w:val="0"/>
          <w:noProof/>
          <w:sz w:val="18"/>
        </w:rPr>
        <w:instrText xml:space="preserve"> PAGEREF _Toc68598343 \h </w:instrText>
      </w:r>
      <w:r w:rsidRPr="00362A0A">
        <w:rPr>
          <w:b w:val="0"/>
          <w:noProof/>
          <w:sz w:val="18"/>
        </w:rPr>
      </w:r>
      <w:r w:rsidRPr="00362A0A">
        <w:rPr>
          <w:b w:val="0"/>
          <w:noProof/>
          <w:sz w:val="18"/>
        </w:rPr>
        <w:fldChar w:fldCharType="separate"/>
      </w:r>
      <w:r w:rsidR="001527B7">
        <w:rPr>
          <w:b w:val="0"/>
          <w:noProof/>
          <w:sz w:val="18"/>
        </w:rPr>
        <w:t>3</w:t>
      </w:r>
      <w:r w:rsidRPr="00362A0A">
        <w:rPr>
          <w:b w:val="0"/>
          <w:noProof/>
          <w:sz w:val="18"/>
        </w:rPr>
        <w:fldChar w:fldCharType="end"/>
      </w:r>
    </w:p>
    <w:p w14:paraId="7E22F02C" w14:textId="20A545E0" w:rsidR="00362A0A" w:rsidRDefault="00362A0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Act 2015</w:t>
      </w:r>
      <w:r w:rsidRPr="00362A0A">
        <w:rPr>
          <w:i w:val="0"/>
          <w:noProof/>
          <w:sz w:val="18"/>
        </w:rPr>
        <w:tab/>
      </w:r>
      <w:r w:rsidRPr="00362A0A">
        <w:rPr>
          <w:i w:val="0"/>
          <w:noProof/>
          <w:sz w:val="18"/>
        </w:rPr>
        <w:fldChar w:fldCharType="begin"/>
      </w:r>
      <w:r w:rsidRPr="00362A0A">
        <w:rPr>
          <w:i w:val="0"/>
          <w:noProof/>
          <w:sz w:val="18"/>
        </w:rPr>
        <w:instrText xml:space="preserve"> PAGEREF _Toc68598344 \h </w:instrText>
      </w:r>
      <w:r w:rsidRPr="00362A0A">
        <w:rPr>
          <w:i w:val="0"/>
          <w:noProof/>
          <w:sz w:val="18"/>
        </w:rPr>
      </w:r>
      <w:r w:rsidRPr="00362A0A">
        <w:rPr>
          <w:i w:val="0"/>
          <w:noProof/>
          <w:sz w:val="18"/>
        </w:rPr>
        <w:fldChar w:fldCharType="separate"/>
      </w:r>
      <w:r w:rsidR="001527B7">
        <w:rPr>
          <w:i w:val="0"/>
          <w:noProof/>
          <w:sz w:val="18"/>
        </w:rPr>
        <w:t>3</w:t>
      </w:r>
      <w:r w:rsidRPr="00362A0A">
        <w:rPr>
          <w:i w:val="0"/>
          <w:noProof/>
          <w:sz w:val="18"/>
        </w:rPr>
        <w:fldChar w:fldCharType="end"/>
      </w:r>
    </w:p>
    <w:p w14:paraId="3F051BB9" w14:textId="250F48EB" w:rsidR="00060FF9" w:rsidRPr="00B31500" w:rsidRDefault="00362A0A" w:rsidP="0048364F">
      <w:r>
        <w:fldChar w:fldCharType="end"/>
      </w:r>
    </w:p>
    <w:p w14:paraId="4205559C" w14:textId="77777777" w:rsidR="00FE7F93" w:rsidRPr="00B31500" w:rsidRDefault="00FE7F93" w:rsidP="0048364F">
      <w:pPr>
        <w:sectPr w:rsidR="00FE7F93" w:rsidRPr="00B31500" w:rsidSect="003E024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3C96B210" w14:textId="77777777" w:rsidR="003E024D" w:rsidRDefault="003E024D">
      <w:r>
        <w:object w:dxaOrig="2146" w:dyaOrig="1561" w14:anchorId="6DDC6EE1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679211445" r:id="rId20"/>
        </w:object>
      </w:r>
    </w:p>
    <w:p w14:paraId="7C39E142" w14:textId="77777777" w:rsidR="003E024D" w:rsidRDefault="003E024D"/>
    <w:p w14:paraId="53838BD3" w14:textId="77777777" w:rsidR="003E024D" w:rsidRDefault="003E024D" w:rsidP="000178F8">
      <w:pPr>
        <w:spacing w:line="240" w:lineRule="auto"/>
      </w:pPr>
    </w:p>
    <w:p w14:paraId="7897F863" w14:textId="7B778A77" w:rsidR="003E024D" w:rsidRDefault="003A0D85" w:rsidP="000178F8">
      <w:pPr>
        <w:pStyle w:val="ShortTP1"/>
      </w:pPr>
      <w:fldSimple w:instr=" STYLEREF ShortT ">
        <w:r w:rsidR="001527B7">
          <w:rPr>
            <w:noProof/>
          </w:rPr>
          <w:t>Biosecurity Amendment (Clarifying Conditionally Non-prohibited Goods) Act 2021</w:t>
        </w:r>
      </w:fldSimple>
    </w:p>
    <w:p w14:paraId="7920ECE4" w14:textId="2FF43759" w:rsidR="003E024D" w:rsidRDefault="003A0D85" w:rsidP="000178F8">
      <w:pPr>
        <w:pStyle w:val="ActNoP1"/>
      </w:pPr>
      <w:fldSimple w:instr=" STYLEREF Actno ">
        <w:r w:rsidR="001527B7">
          <w:rPr>
            <w:noProof/>
          </w:rPr>
          <w:t>No. 33, 2021</w:t>
        </w:r>
      </w:fldSimple>
    </w:p>
    <w:p w14:paraId="7F2CDBA3" w14:textId="77777777" w:rsidR="003E024D" w:rsidRPr="009A0728" w:rsidRDefault="003E024D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76F3034F" w14:textId="77777777" w:rsidR="003E024D" w:rsidRPr="009A0728" w:rsidRDefault="003E024D" w:rsidP="009A0728">
      <w:pPr>
        <w:spacing w:line="40" w:lineRule="exact"/>
        <w:rPr>
          <w:rFonts w:eastAsia="Calibri"/>
          <w:b/>
          <w:sz w:val="28"/>
        </w:rPr>
      </w:pPr>
    </w:p>
    <w:p w14:paraId="63D2DAB8" w14:textId="77777777" w:rsidR="003E024D" w:rsidRPr="009A0728" w:rsidRDefault="003E024D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51D95847" w14:textId="77777777" w:rsidR="003E024D" w:rsidRDefault="003E024D" w:rsidP="003E024D">
      <w:pPr>
        <w:pStyle w:val="Page1"/>
        <w:spacing w:before="400"/>
      </w:pPr>
      <w:r>
        <w:t xml:space="preserve">An Act to amend the </w:t>
      </w:r>
      <w:r w:rsidRPr="003E024D">
        <w:rPr>
          <w:i/>
        </w:rPr>
        <w:t>Biosecurity Act 2015</w:t>
      </w:r>
      <w:r>
        <w:t>, and for related purposes</w:t>
      </w:r>
    </w:p>
    <w:p w14:paraId="6E9B2337" w14:textId="49666C27" w:rsidR="00E46645" w:rsidRDefault="00E46645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31 March 2021</w:t>
      </w:r>
      <w:r>
        <w:rPr>
          <w:sz w:val="24"/>
        </w:rPr>
        <w:t>]</w:t>
      </w:r>
    </w:p>
    <w:p w14:paraId="06BCBA73" w14:textId="37FC8C32" w:rsidR="0048364F" w:rsidRPr="00B31500" w:rsidRDefault="0048364F" w:rsidP="00B31500">
      <w:pPr>
        <w:spacing w:before="240" w:line="240" w:lineRule="auto"/>
        <w:rPr>
          <w:sz w:val="32"/>
        </w:rPr>
      </w:pPr>
      <w:r w:rsidRPr="00B31500">
        <w:rPr>
          <w:sz w:val="32"/>
        </w:rPr>
        <w:t>The Parliament of Australia enacts:</w:t>
      </w:r>
    </w:p>
    <w:p w14:paraId="1149842E" w14:textId="77777777" w:rsidR="0048364F" w:rsidRPr="00B31500" w:rsidRDefault="0048364F" w:rsidP="00B31500">
      <w:pPr>
        <w:pStyle w:val="ActHead5"/>
      </w:pPr>
      <w:bookmarkStart w:id="3" w:name="_Toc68598340"/>
      <w:r w:rsidRPr="003302D5">
        <w:rPr>
          <w:rStyle w:val="CharSectno"/>
        </w:rPr>
        <w:t>1</w:t>
      </w:r>
      <w:r w:rsidRPr="00B31500">
        <w:t xml:space="preserve">  Short title</w:t>
      </w:r>
      <w:bookmarkEnd w:id="3"/>
    </w:p>
    <w:p w14:paraId="4C60873E" w14:textId="77777777" w:rsidR="0048364F" w:rsidRPr="00B31500" w:rsidRDefault="0048364F" w:rsidP="00B31500">
      <w:pPr>
        <w:pStyle w:val="subsection"/>
      </w:pPr>
      <w:r w:rsidRPr="00B31500">
        <w:tab/>
      </w:r>
      <w:r w:rsidRPr="00B31500">
        <w:tab/>
        <w:t xml:space="preserve">This Act </w:t>
      </w:r>
      <w:r w:rsidR="00275197" w:rsidRPr="00B31500">
        <w:t xml:space="preserve">is </w:t>
      </w:r>
      <w:r w:rsidRPr="00B31500">
        <w:t xml:space="preserve">the </w:t>
      </w:r>
      <w:r w:rsidR="000E08C3" w:rsidRPr="00B31500">
        <w:rPr>
          <w:i/>
        </w:rPr>
        <w:t xml:space="preserve">Biosecurity Amendment (Clarifying </w:t>
      </w:r>
      <w:r w:rsidR="00C624A5" w:rsidRPr="00B31500">
        <w:rPr>
          <w:i/>
        </w:rPr>
        <w:t>Conditionally Non</w:t>
      </w:r>
      <w:r w:rsidR="00B31500">
        <w:rPr>
          <w:i/>
        </w:rPr>
        <w:noBreakHyphen/>
      </w:r>
      <w:r w:rsidR="00C624A5" w:rsidRPr="00B31500">
        <w:rPr>
          <w:i/>
        </w:rPr>
        <w:t>p</w:t>
      </w:r>
      <w:r w:rsidR="000E08C3" w:rsidRPr="00B31500">
        <w:rPr>
          <w:i/>
        </w:rPr>
        <w:t xml:space="preserve">rohibited Goods) </w:t>
      </w:r>
      <w:r w:rsidR="00EE3E36" w:rsidRPr="00B31500">
        <w:rPr>
          <w:i/>
        </w:rPr>
        <w:t>Act 20</w:t>
      </w:r>
      <w:r w:rsidR="009E186E" w:rsidRPr="00B31500">
        <w:rPr>
          <w:i/>
        </w:rPr>
        <w:t>21</w:t>
      </w:r>
      <w:r w:rsidRPr="00B31500">
        <w:t>.</w:t>
      </w:r>
    </w:p>
    <w:p w14:paraId="2E3127A5" w14:textId="77777777" w:rsidR="0048364F" w:rsidRPr="00B31500" w:rsidRDefault="0048364F" w:rsidP="00B31500">
      <w:pPr>
        <w:pStyle w:val="ActHead5"/>
      </w:pPr>
      <w:bookmarkStart w:id="4" w:name="_Toc68598341"/>
      <w:r w:rsidRPr="003302D5">
        <w:rPr>
          <w:rStyle w:val="CharSectno"/>
        </w:rPr>
        <w:t>2</w:t>
      </w:r>
      <w:r w:rsidRPr="00B31500">
        <w:t xml:space="preserve">  Commencement</w:t>
      </w:r>
      <w:bookmarkEnd w:id="4"/>
    </w:p>
    <w:p w14:paraId="2ECAC1C7" w14:textId="77777777" w:rsidR="0048364F" w:rsidRPr="00B31500" w:rsidRDefault="0048364F" w:rsidP="00B31500">
      <w:pPr>
        <w:pStyle w:val="subsection"/>
      </w:pPr>
      <w:r w:rsidRPr="00B31500">
        <w:tab/>
        <w:t>(1)</w:t>
      </w:r>
      <w:r w:rsidRPr="00B31500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3378CB28" w14:textId="77777777" w:rsidR="0048364F" w:rsidRPr="00B31500" w:rsidRDefault="0048364F" w:rsidP="00B31500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B31500" w14:paraId="47F3BD9E" w14:textId="77777777" w:rsidTr="000E08C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C168B88" w14:textId="77777777" w:rsidR="0048364F" w:rsidRPr="00B31500" w:rsidRDefault="0048364F" w:rsidP="00B31500">
            <w:pPr>
              <w:pStyle w:val="TableHeading"/>
            </w:pPr>
            <w:r w:rsidRPr="00B31500">
              <w:lastRenderedPageBreak/>
              <w:t>Commencement information</w:t>
            </w:r>
          </w:p>
        </w:tc>
      </w:tr>
      <w:tr w:rsidR="0048364F" w:rsidRPr="00B31500" w14:paraId="67EA507A" w14:textId="77777777" w:rsidTr="000E08C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BE2EBD" w14:textId="77777777" w:rsidR="0048364F" w:rsidRPr="00B31500" w:rsidRDefault="0048364F" w:rsidP="00B31500">
            <w:pPr>
              <w:pStyle w:val="TableHeading"/>
            </w:pPr>
            <w:r w:rsidRPr="00B31500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13E86B" w14:textId="77777777" w:rsidR="0048364F" w:rsidRPr="00B31500" w:rsidRDefault="0048364F" w:rsidP="00B31500">
            <w:pPr>
              <w:pStyle w:val="TableHeading"/>
            </w:pPr>
            <w:r w:rsidRPr="00B31500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C8301B" w14:textId="77777777" w:rsidR="0048364F" w:rsidRPr="00B31500" w:rsidRDefault="0048364F" w:rsidP="00B31500">
            <w:pPr>
              <w:pStyle w:val="TableHeading"/>
            </w:pPr>
            <w:r w:rsidRPr="00B31500">
              <w:t>Column 3</w:t>
            </w:r>
          </w:p>
        </w:tc>
      </w:tr>
      <w:tr w:rsidR="0048364F" w:rsidRPr="00B31500" w14:paraId="0D7FF8C4" w14:textId="77777777" w:rsidTr="000E08C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31E3BE7" w14:textId="77777777" w:rsidR="0048364F" w:rsidRPr="00B31500" w:rsidRDefault="0048364F" w:rsidP="00B31500">
            <w:pPr>
              <w:pStyle w:val="TableHeading"/>
            </w:pPr>
            <w:r w:rsidRPr="00B31500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9ECCFC1" w14:textId="77777777" w:rsidR="0048364F" w:rsidRPr="00B31500" w:rsidRDefault="0048364F" w:rsidP="00B31500">
            <w:pPr>
              <w:pStyle w:val="TableHeading"/>
            </w:pPr>
            <w:r w:rsidRPr="00B31500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CEAF9D9" w14:textId="77777777" w:rsidR="0048364F" w:rsidRPr="00B31500" w:rsidRDefault="0048364F" w:rsidP="00B31500">
            <w:pPr>
              <w:pStyle w:val="TableHeading"/>
            </w:pPr>
            <w:r w:rsidRPr="00B31500">
              <w:t>Date/Details</w:t>
            </w:r>
          </w:p>
        </w:tc>
      </w:tr>
      <w:tr w:rsidR="0048364F" w:rsidRPr="00B31500" w14:paraId="56F36DA4" w14:textId="77777777" w:rsidTr="000E08C3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771F4B" w14:textId="77777777" w:rsidR="0048364F" w:rsidRPr="00B31500" w:rsidRDefault="0048364F" w:rsidP="00B31500">
            <w:pPr>
              <w:pStyle w:val="Tabletext"/>
            </w:pPr>
            <w:r w:rsidRPr="00B31500">
              <w:t xml:space="preserve">1.  </w:t>
            </w:r>
            <w:r w:rsidR="000E08C3" w:rsidRPr="00B31500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F83A8A" w14:textId="77777777" w:rsidR="0048364F" w:rsidRPr="00B31500" w:rsidRDefault="000E08C3" w:rsidP="00B31500">
            <w:pPr>
              <w:pStyle w:val="Tabletext"/>
            </w:pPr>
            <w:r w:rsidRPr="00B31500">
              <w:t>The day after this Act receives the Royal Assent</w:t>
            </w:r>
            <w:r w:rsidR="0048364F" w:rsidRPr="00B31500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EAA61D" w14:textId="11C2BC4A" w:rsidR="0048364F" w:rsidRPr="00B31500" w:rsidRDefault="00362A0A" w:rsidP="00B31500">
            <w:pPr>
              <w:pStyle w:val="Tabletext"/>
            </w:pPr>
            <w:r>
              <w:t>1 April 2021</w:t>
            </w:r>
          </w:p>
        </w:tc>
      </w:tr>
    </w:tbl>
    <w:p w14:paraId="53C214E1" w14:textId="77777777" w:rsidR="0048364F" w:rsidRPr="00B31500" w:rsidRDefault="00201D27" w:rsidP="00B31500">
      <w:pPr>
        <w:pStyle w:val="notetext"/>
      </w:pPr>
      <w:r w:rsidRPr="00B31500">
        <w:t>Note:</w:t>
      </w:r>
      <w:r w:rsidRPr="00B31500">
        <w:tab/>
        <w:t>This table relates only to the provisions of this Act as originally enacted. It will not be amended to deal with any later amendments of this Act.</w:t>
      </w:r>
    </w:p>
    <w:p w14:paraId="57A7CF95" w14:textId="77777777" w:rsidR="0048364F" w:rsidRPr="00B31500" w:rsidRDefault="0048364F" w:rsidP="00B31500">
      <w:pPr>
        <w:pStyle w:val="subsection"/>
      </w:pPr>
      <w:r w:rsidRPr="00B31500">
        <w:tab/>
        <w:t>(2)</w:t>
      </w:r>
      <w:r w:rsidRPr="00B31500">
        <w:tab/>
      </w:r>
      <w:r w:rsidR="00201D27" w:rsidRPr="00B31500">
        <w:t xml:space="preserve">Any information in </w:t>
      </w:r>
      <w:r w:rsidR="00877D48" w:rsidRPr="00B31500">
        <w:t>c</w:t>
      </w:r>
      <w:r w:rsidR="00201D27" w:rsidRPr="00B31500">
        <w:t>olumn 3 of the table is not part of this Act. Information may be inserted in this column, or information in it may be edited, in any published version of this Act.</w:t>
      </w:r>
    </w:p>
    <w:p w14:paraId="5BD36AC8" w14:textId="77777777" w:rsidR="0048364F" w:rsidRPr="00B31500" w:rsidRDefault="0048364F" w:rsidP="00B31500">
      <w:pPr>
        <w:pStyle w:val="ActHead5"/>
      </w:pPr>
      <w:bookmarkStart w:id="5" w:name="_Toc68598342"/>
      <w:r w:rsidRPr="003302D5">
        <w:rPr>
          <w:rStyle w:val="CharSectno"/>
        </w:rPr>
        <w:t>3</w:t>
      </w:r>
      <w:r w:rsidRPr="00B31500">
        <w:t xml:space="preserve">  Schedules</w:t>
      </w:r>
      <w:bookmarkEnd w:id="5"/>
    </w:p>
    <w:p w14:paraId="58B46AD3" w14:textId="77777777" w:rsidR="0048364F" w:rsidRPr="00B31500" w:rsidRDefault="0048364F" w:rsidP="00B31500">
      <w:pPr>
        <w:pStyle w:val="subsection"/>
      </w:pPr>
      <w:r w:rsidRPr="00B31500">
        <w:tab/>
      </w:r>
      <w:r w:rsidRPr="00B31500">
        <w:tab/>
      </w:r>
      <w:r w:rsidR="00202618" w:rsidRPr="00B31500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1C72F746" w14:textId="77777777" w:rsidR="008D3E94" w:rsidRPr="00B31500" w:rsidRDefault="0048364F" w:rsidP="00B31500">
      <w:pPr>
        <w:pStyle w:val="ActHead6"/>
        <w:pageBreakBefore/>
      </w:pPr>
      <w:bookmarkStart w:id="6" w:name="opcAmSched"/>
      <w:bookmarkStart w:id="7" w:name="opcCurrentFind"/>
      <w:bookmarkStart w:id="8" w:name="_Toc68598343"/>
      <w:r w:rsidRPr="003302D5">
        <w:rPr>
          <w:rStyle w:val="CharAmSchNo"/>
        </w:rPr>
        <w:lastRenderedPageBreak/>
        <w:t>Schedule 1</w:t>
      </w:r>
      <w:r w:rsidRPr="00B31500">
        <w:t>—</w:t>
      </w:r>
      <w:r w:rsidR="000E08C3" w:rsidRPr="003302D5">
        <w:rPr>
          <w:rStyle w:val="CharAmSchText"/>
        </w:rPr>
        <w:t>Amendments</w:t>
      </w:r>
      <w:bookmarkEnd w:id="8"/>
    </w:p>
    <w:bookmarkEnd w:id="6"/>
    <w:bookmarkEnd w:id="7"/>
    <w:p w14:paraId="0184EB03" w14:textId="77777777" w:rsidR="00BA087A" w:rsidRPr="003302D5" w:rsidRDefault="00BA087A" w:rsidP="00B31500">
      <w:pPr>
        <w:pStyle w:val="Header"/>
      </w:pPr>
      <w:r w:rsidRPr="003302D5">
        <w:rPr>
          <w:rStyle w:val="CharAmPartNo"/>
        </w:rPr>
        <w:t xml:space="preserve"> </w:t>
      </w:r>
      <w:r w:rsidRPr="003302D5">
        <w:rPr>
          <w:rStyle w:val="CharAmPartText"/>
        </w:rPr>
        <w:t xml:space="preserve"> </w:t>
      </w:r>
    </w:p>
    <w:p w14:paraId="63387681" w14:textId="77777777" w:rsidR="000E08C3" w:rsidRPr="00B31500" w:rsidRDefault="000E08C3" w:rsidP="00B31500">
      <w:pPr>
        <w:pStyle w:val="ActHead9"/>
        <w:rPr>
          <w:i w:val="0"/>
        </w:rPr>
      </w:pPr>
      <w:bookmarkStart w:id="9" w:name="_Toc68598344"/>
      <w:r w:rsidRPr="00B31500">
        <w:t>Biosecurity Act 2015</w:t>
      </w:r>
      <w:bookmarkEnd w:id="9"/>
    </w:p>
    <w:p w14:paraId="08271759" w14:textId="77777777" w:rsidR="000E08C3" w:rsidRPr="00B31500" w:rsidRDefault="000E08C3" w:rsidP="00B31500">
      <w:pPr>
        <w:pStyle w:val="ItemHead"/>
      </w:pPr>
      <w:r w:rsidRPr="00B31500">
        <w:t xml:space="preserve">1  </w:t>
      </w:r>
      <w:r w:rsidR="00C624A5" w:rsidRPr="00B31500">
        <w:t xml:space="preserve">After </w:t>
      </w:r>
      <w:r w:rsidR="00BA087A" w:rsidRPr="00B31500">
        <w:t>section 6</w:t>
      </w:r>
      <w:r w:rsidR="0074564D" w:rsidRPr="00B31500">
        <w:t>39</w:t>
      </w:r>
    </w:p>
    <w:p w14:paraId="5EB76029" w14:textId="77777777" w:rsidR="00C624A5" w:rsidRPr="00B31500" w:rsidRDefault="00C624A5" w:rsidP="00B31500">
      <w:pPr>
        <w:pStyle w:val="Item"/>
      </w:pPr>
      <w:r w:rsidRPr="00B31500">
        <w:t>Insert:</w:t>
      </w:r>
    </w:p>
    <w:p w14:paraId="3BF0F2E4" w14:textId="77777777" w:rsidR="00C624A5" w:rsidRPr="00B31500" w:rsidRDefault="0074564D" w:rsidP="00B31500">
      <w:pPr>
        <w:pStyle w:val="ActHead5"/>
      </w:pPr>
      <w:bookmarkStart w:id="10" w:name="_Toc68598345"/>
      <w:r w:rsidRPr="003302D5">
        <w:rPr>
          <w:rStyle w:val="CharSectno"/>
        </w:rPr>
        <w:t>639</w:t>
      </w:r>
      <w:r w:rsidR="00C624A5" w:rsidRPr="003302D5">
        <w:rPr>
          <w:rStyle w:val="CharSectno"/>
        </w:rPr>
        <w:t>A</w:t>
      </w:r>
      <w:r w:rsidR="00C624A5" w:rsidRPr="00B31500">
        <w:t xml:space="preserve">  Clarifying conditionally non</w:t>
      </w:r>
      <w:r w:rsidR="00B31500">
        <w:noBreakHyphen/>
      </w:r>
      <w:r w:rsidR="00C624A5" w:rsidRPr="00B31500">
        <w:t>prohibited goods</w:t>
      </w:r>
      <w:bookmarkStart w:id="11" w:name="opcCurrentPosition"/>
      <w:bookmarkEnd w:id="11"/>
      <w:bookmarkEnd w:id="10"/>
    </w:p>
    <w:p w14:paraId="25A2E12F" w14:textId="77777777" w:rsidR="007A3782" w:rsidRPr="00B31500" w:rsidRDefault="007A3782" w:rsidP="00B31500">
      <w:pPr>
        <w:pStyle w:val="subsection"/>
      </w:pPr>
      <w:r w:rsidRPr="00B31500">
        <w:tab/>
        <w:t>(1)</w:t>
      </w:r>
      <w:r w:rsidRPr="00B31500">
        <w:tab/>
        <w:t xml:space="preserve">This section applies if a determination purportedly made under </w:t>
      </w:r>
      <w:r w:rsidR="00BA087A" w:rsidRPr="00B31500">
        <w:t>sub</w:t>
      </w:r>
      <w:r w:rsidR="00B31500" w:rsidRPr="00B31500">
        <w:t>section 1</w:t>
      </w:r>
      <w:r w:rsidRPr="00B31500">
        <w:t xml:space="preserve">74(1) before the commencement of the </w:t>
      </w:r>
      <w:r w:rsidRPr="00B31500">
        <w:rPr>
          <w:i/>
        </w:rPr>
        <w:t>Biosecurity Amendment (Clarifying Conditionally Non</w:t>
      </w:r>
      <w:r w:rsidR="00B31500">
        <w:rPr>
          <w:i/>
        </w:rPr>
        <w:noBreakHyphen/>
      </w:r>
      <w:r w:rsidRPr="00B31500">
        <w:rPr>
          <w:i/>
        </w:rPr>
        <w:t>prohibited Goods) Act 2021</w:t>
      </w:r>
      <w:bookmarkStart w:id="12" w:name="BK_S3P3L10C5"/>
      <w:bookmarkEnd w:id="12"/>
      <w:r w:rsidRPr="00B31500">
        <w:t xml:space="preserve"> would, apart from this section, be </w:t>
      </w:r>
      <w:r w:rsidR="00776A97" w:rsidRPr="00B31500">
        <w:t xml:space="preserve">wholly or partly </w:t>
      </w:r>
      <w:r w:rsidRPr="00B31500">
        <w:t>invalid only because the Director of Biosecurity and the Director of Human Biosecurity</w:t>
      </w:r>
      <w:r w:rsidR="005B6209" w:rsidRPr="00B31500">
        <w:t>, or either of them,</w:t>
      </w:r>
      <w:r w:rsidRPr="00B31500">
        <w:t xml:space="preserve"> did not:</w:t>
      </w:r>
    </w:p>
    <w:p w14:paraId="74A57F12" w14:textId="77777777" w:rsidR="007A3782" w:rsidRPr="00B31500" w:rsidRDefault="007A3782" w:rsidP="00B31500">
      <w:pPr>
        <w:pStyle w:val="paragraph"/>
      </w:pPr>
      <w:r w:rsidRPr="00B31500">
        <w:tab/>
        <w:t>(a)</w:t>
      </w:r>
      <w:r w:rsidRPr="00B31500">
        <w:tab/>
        <w:t>conduct a risk assessment for the purpose of deciding whether to make the determination; or</w:t>
      </w:r>
    </w:p>
    <w:p w14:paraId="0C08BBD2" w14:textId="77777777" w:rsidR="007A3782" w:rsidRPr="00B31500" w:rsidRDefault="007A3782" w:rsidP="00B31500">
      <w:pPr>
        <w:pStyle w:val="paragraph"/>
      </w:pPr>
      <w:r w:rsidRPr="00B31500">
        <w:tab/>
        <w:t>(b)</w:t>
      </w:r>
      <w:r w:rsidRPr="00B31500">
        <w:tab/>
        <w:t>apply, or correctly apply, the ALOP for Australia in conducting a risk assessment for that purpose.</w:t>
      </w:r>
    </w:p>
    <w:p w14:paraId="461A1884" w14:textId="77777777" w:rsidR="00BB777C" w:rsidRPr="00B31500" w:rsidRDefault="005B6209" w:rsidP="00B31500">
      <w:pPr>
        <w:pStyle w:val="subsection"/>
      </w:pPr>
      <w:r w:rsidRPr="00B31500">
        <w:tab/>
        <w:t>(2</w:t>
      </w:r>
      <w:r w:rsidR="00BB777C" w:rsidRPr="00B31500">
        <w:t>)</w:t>
      </w:r>
      <w:r w:rsidR="00BB777C" w:rsidRPr="00B31500">
        <w:tab/>
        <w:t xml:space="preserve">This section also applies if the determination would, apart from this section, be </w:t>
      </w:r>
      <w:r w:rsidR="00776A97" w:rsidRPr="00B31500">
        <w:t xml:space="preserve">wholly or partly </w:t>
      </w:r>
      <w:r w:rsidR="00BB777C" w:rsidRPr="00B31500">
        <w:t xml:space="preserve">invalid for any other failure to comply </w:t>
      </w:r>
      <w:r w:rsidR="00780010" w:rsidRPr="00B31500">
        <w:t xml:space="preserve">with </w:t>
      </w:r>
      <w:r w:rsidR="00B31500" w:rsidRPr="00B31500">
        <w:t>section 1</w:t>
      </w:r>
      <w:r w:rsidR="00780010" w:rsidRPr="00B31500">
        <w:t>74</w:t>
      </w:r>
      <w:r w:rsidR="00F61CBA" w:rsidRPr="00B31500">
        <w:t xml:space="preserve"> or </w:t>
      </w:r>
      <w:r w:rsidR="00B31500" w:rsidRPr="00B31500">
        <w:t>subsection 5</w:t>
      </w:r>
      <w:r w:rsidR="00F61CBA" w:rsidRPr="00B31500">
        <w:t>41(4</w:t>
      </w:r>
      <w:r w:rsidR="00066EAE" w:rsidRPr="00B31500">
        <w:t>)</w:t>
      </w:r>
      <w:r w:rsidR="00780010" w:rsidRPr="00B31500">
        <w:t>.</w:t>
      </w:r>
    </w:p>
    <w:p w14:paraId="722B66C1" w14:textId="77777777" w:rsidR="007A3782" w:rsidRPr="00B31500" w:rsidRDefault="007A3782" w:rsidP="00B31500">
      <w:pPr>
        <w:pStyle w:val="subsection"/>
      </w:pPr>
      <w:r w:rsidRPr="00B31500">
        <w:tab/>
        <w:t>(</w:t>
      </w:r>
      <w:r w:rsidR="005B6209" w:rsidRPr="00B31500">
        <w:t>3</w:t>
      </w:r>
      <w:r w:rsidRPr="00B31500">
        <w:t>)</w:t>
      </w:r>
      <w:r w:rsidRPr="00B31500">
        <w:tab/>
      </w:r>
      <w:r w:rsidR="0031603E" w:rsidRPr="00B31500">
        <w:t>The determination is taken for all purposes</w:t>
      </w:r>
      <w:r w:rsidRPr="00B31500">
        <w:t xml:space="preserve"> to be</w:t>
      </w:r>
      <w:r w:rsidR="0031603E" w:rsidRPr="00B31500">
        <w:t>,</w:t>
      </w:r>
      <w:r w:rsidRPr="00B31500">
        <w:t xml:space="preserve"> and </w:t>
      </w:r>
      <w:r w:rsidR="0031603E" w:rsidRPr="00B31500">
        <w:t xml:space="preserve">always </w:t>
      </w:r>
      <w:r w:rsidRPr="00B31500">
        <w:t>to have been</w:t>
      </w:r>
      <w:r w:rsidR="0031603E" w:rsidRPr="00B31500">
        <w:t>,</w:t>
      </w:r>
      <w:r w:rsidRPr="00B31500">
        <w:t xml:space="preserve"> valid.</w:t>
      </w:r>
    </w:p>
    <w:p w14:paraId="0611DC0C" w14:textId="77777777" w:rsidR="007A3782" w:rsidRPr="00B31500" w:rsidRDefault="00066EAE" w:rsidP="00B31500">
      <w:pPr>
        <w:pStyle w:val="subsection"/>
      </w:pPr>
      <w:r w:rsidRPr="00B31500">
        <w:tab/>
        <w:t>(4</w:t>
      </w:r>
      <w:r w:rsidR="007A3782" w:rsidRPr="00B31500">
        <w:t>)</w:t>
      </w:r>
      <w:r w:rsidR="007A3782" w:rsidRPr="00B31500">
        <w:tab/>
        <w:t>To avoid doubt:</w:t>
      </w:r>
    </w:p>
    <w:p w14:paraId="76337B6B" w14:textId="77777777" w:rsidR="00C624A5" w:rsidRPr="00B31500" w:rsidRDefault="007A3782" w:rsidP="00B31500">
      <w:pPr>
        <w:pStyle w:val="paragraph"/>
      </w:pPr>
      <w:r w:rsidRPr="00B31500">
        <w:tab/>
        <w:t>(a)</w:t>
      </w:r>
      <w:r w:rsidRPr="00B31500">
        <w:tab/>
      </w:r>
      <w:r w:rsidR="00C624A5" w:rsidRPr="00B31500">
        <w:t>anything done or pu</w:t>
      </w:r>
      <w:r w:rsidR="00B228BF" w:rsidRPr="00B31500">
        <w:t>rported to have been done by a</w:t>
      </w:r>
      <w:r w:rsidR="00C624A5" w:rsidRPr="00B31500">
        <w:t xml:space="preserve"> person (including, </w:t>
      </w:r>
      <w:r w:rsidRPr="00B31500">
        <w:t>but not limited to</w:t>
      </w:r>
      <w:r w:rsidR="00C624A5" w:rsidRPr="00B31500">
        <w:t xml:space="preserve">, any action taken or purportedly taken under </w:t>
      </w:r>
      <w:r w:rsidR="00BA087A" w:rsidRPr="00B31500">
        <w:t>section 6</w:t>
      </w:r>
      <w:r w:rsidR="00C624A5" w:rsidRPr="00B31500">
        <w:t>28</w:t>
      </w:r>
      <w:r w:rsidRPr="00B31500">
        <w:t>)</w:t>
      </w:r>
      <w:r w:rsidR="00C624A5" w:rsidRPr="00B31500">
        <w:t xml:space="preserve"> that would have been invalid </w:t>
      </w:r>
      <w:r w:rsidRPr="00B31500">
        <w:t xml:space="preserve">except for </w:t>
      </w:r>
      <w:r w:rsidR="00BA087A" w:rsidRPr="00B31500">
        <w:t>subsection (</w:t>
      </w:r>
      <w:r w:rsidR="005B6209" w:rsidRPr="00B31500">
        <w:t>3</w:t>
      </w:r>
      <w:r w:rsidRPr="00B31500">
        <w:t xml:space="preserve">) </w:t>
      </w:r>
      <w:r w:rsidR="00C624A5" w:rsidRPr="00B31500">
        <w:t>is taken always to have be</w:t>
      </w:r>
      <w:r w:rsidR="00B228BF" w:rsidRPr="00B31500">
        <w:t>en valid</w:t>
      </w:r>
      <w:r w:rsidR="00C624A5" w:rsidRPr="00B31500">
        <w:t xml:space="preserve">, </w:t>
      </w:r>
      <w:r w:rsidRPr="00B31500">
        <w:t>despite</w:t>
      </w:r>
      <w:r w:rsidR="00C624A5" w:rsidRPr="00B31500">
        <w:t xml:space="preserve"> any effect that may have on th</w:t>
      </w:r>
      <w:r w:rsidRPr="00B31500">
        <w:t>e a</w:t>
      </w:r>
      <w:r w:rsidR="0031603E" w:rsidRPr="00B31500">
        <w:t>ccrued rights of any</w:t>
      </w:r>
      <w:r w:rsidRPr="00B31500">
        <w:t xml:space="preserve"> person; and</w:t>
      </w:r>
    </w:p>
    <w:p w14:paraId="3012A784" w14:textId="6169E702" w:rsidR="007A3782" w:rsidRDefault="007A3782" w:rsidP="00B31500">
      <w:pPr>
        <w:pStyle w:val="paragraph"/>
        <w:rPr>
          <w:szCs w:val="22"/>
        </w:rPr>
      </w:pPr>
      <w:r w:rsidRPr="00B31500">
        <w:tab/>
        <w:t>(b)</w:t>
      </w:r>
      <w:r w:rsidRPr="00B31500">
        <w:tab/>
        <w:t xml:space="preserve">this section applies in relation to civil </w:t>
      </w:r>
      <w:r w:rsidR="0031603E" w:rsidRPr="00B31500">
        <w:t>and</w:t>
      </w:r>
      <w:r w:rsidRPr="00B31500">
        <w:t xml:space="preserve"> criminal proceedings, including proceedings that are pe</w:t>
      </w:r>
      <w:r w:rsidRPr="00B31500">
        <w:rPr>
          <w:szCs w:val="22"/>
        </w:rPr>
        <w:t>nding or concluded.</w:t>
      </w:r>
    </w:p>
    <w:p w14:paraId="36D01277" w14:textId="31BFBCD7" w:rsidR="00837262" w:rsidRPr="00B31500" w:rsidRDefault="00837262" w:rsidP="003E024D"/>
    <w:p w14:paraId="47AA2888" w14:textId="77777777" w:rsidR="003E024D" w:rsidRDefault="003E024D" w:rsidP="003E024D">
      <w:pPr>
        <w:pBdr>
          <w:bottom w:val="single" w:sz="4" w:space="1" w:color="auto"/>
        </w:pBdr>
        <w:sectPr w:rsidR="003E024D" w:rsidSect="003E024D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28C48F67" w14:textId="77777777" w:rsidR="00E46645" w:rsidRDefault="00E46645" w:rsidP="000C5962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14:paraId="17BE3930" w14:textId="5251C5D5" w:rsidR="00E46645" w:rsidRDefault="00E46645" w:rsidP="000C5962">
      <w:pPr>
        <w:pStyle w:val="2ndRd"/>
        <w:keepNext/>
        <w:spacing w:line="260" w:lineRule="atLeast"/>
      </w:pPr>
      <w:r>
        <w:rPr>
          <w:i/>
        </w:rPr>
        <w:t>Senate on 18 March 202</w:t>
      </w:r>
      <w:r w:rsidR="002F52C8">
        <w:rPr>
          <w:i/>
        </w:rPr>
        <w:t>1</w:t>
      </w:r>
    </w:p>
    <w:p w14:paraId="77A4A6F3" w14:textId="481BB4C5" w:rsidR="00E46645" w:rsidRDefault="00E46645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25 March 2021</w:t>
      </w:r>
      <w:r>
        <w:t>]</w:t>
      </w:r>
    </w:p>
    <w:p w14:paraId="02A5A12E" w14:textId="158A93FD" w:rsidR="00E46645" w:rsidRDefault="00E46645" w:rsidP="00E46645">
      <w:pPr>
        <w:framePr w:hSpace="180" w:wrap="around" w:vAnchor="text" w:hAnchor="page" w:x="2410" w:y="9441"/>
      </w:pPr>
      <w:r>
        <w:t>(25/21)</w:t>
      </w:r>
    </w:p>
    <w:p w14:paraId="0608AABC" w14:textId="77777777" w:rsidR="00E46645" w:rsidRDefault="00E46645"/>
    <w:sectPr w:rsidR="00E46645" w:rsidSect="003E024D">
      <w:headerReference w:type="even" r:id="rId27"/>
      <w:headerReference w:type="default" r:id="rId28"/>
      <w:headerReference w:type="first" r:id="rId29"/>
      <w:pgSz w:w="11907" w:h="16839"/>
      <w:pgMar w:top="1871" w:right="2410" w:bottom="4537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815C8" w14:textId="77777777" w:rsidR="00C624A5" w:rsidRDefault="00C624A5" w:rsidP="0048364F">
      <w:pPr>
        <w:spacing w:line="240" w:lineRule="auto"/>
      </w:pPr>
      <w:r>
        <w:separator/>
      </w:r>
    </w:p>
  </w:endnote>
  <w:endnote w:type="continuationSeparator" w:id="0">
    <w:p w14:paraId="4EA888E6" w14:textId="77777777" w:rsidR="00C624A5" w:rsidRDefault="00C624A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A71A9" w14:textId="77777777" w:rsidR="00C624A5" w:rsidRPr="005F1388" w:rsidRDefault="00C624A5" w:rsidP="00B3150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C889A" w14:textId="7F178620" w:rsidR="00E46645" w:rsidRDefault="00E46645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52115C87" w14:textId="77777777" w:rsidR="00E46645" w:rsidRDefault="00E46645" w:rsidP="00CD12A5"/>
  <w:p w14:paraId="663D864F" w14:textId="073DE165" w:rsidR="00C624A5" w:rsidRDefault="00C624A5" w:rsidP="00B31500">
    <w:pPr>
      <w:pStyle w:val="Footer"/>
      <w:spacing w:before="120"/>
    </w:pPr>
  </w:p>
  <w:p w14:paraId="61566F05" w14:textId="77777777" w:rsidR="00C624A5" w:rsidRPr="005F1388" w:rsidRDefault="00C624A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A188B" w14:textId="77777777" w:rsidR="00C624A5" w:rsidRPr="00ED79B6" w:rsidRDefault="00C624A5" w:rsidP="00B3150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C701B" w14:textId="77777777" w:rsidR="00C624A5" w:rsidRDefault="00C624A5" w:rsidP="00B3150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C624A5" w14:paraId="5706A71A" w14:textId="77777777" w:rsidTr="00C624A5">
      <w:tc>
        <w:tcPr>
          <w:tcW w:w="646" w:type="dxa"/>
        </w:tcPr>
        <w:p w14:paraId="22C56BFD" w14:textId="77777777" w:rsidR="00C624A5" w:rsidRDefault="00C624A5" w:rsidP="00C624A5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ACC9AE3" w14:textId="17C20C28" w:rsidR="00C624A5" w:rsidRDefault="00C624A5" w:rsidP="00C624A5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527B7">
            <w:rPr>
              <w:i/>
              <w:sz w:val="18"/>
            </w:rPr>
            <w:t>Biosecurity Amendment (Clarifying Conditionally Non-prohibited Goods)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665E9F00" w14:textId="150279D5" w:rsidR="00C624A5" w:rsidRDefault="00C624A5" w:rsidP="00C624A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527B7">
            <w:rPr>
              <w:i/>
              <w:sz w:val="18"/>
            </w:rPr>
            <w:t>No. 33,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5458410" w14:textId="77777777" w:rsidR="00C624A5" w:rsidRDefault="00C624A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22F94" w14:textId="77777777" w:rsidR="00C624A5" w:rsidRDefault="00C624A5" w:rsidP="00B3150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C624A5" w14:paraId="0DC4EE83" w14:textId="77777777" w:rsidTr="00C624A5">
      <w:tc>
        <w:tcPr>
          <w:tcW w:w="1247" w:type="dxa"/>
        </w:tcPr>
        <w:p w14:paraId="10481CC8" w14:textId="35FCE920" w:rsidR="00C624A5" w:rsidRDefault="00C624A5" w:rsidP="00C624A5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527B7">
            <w:rPr>
              <w:i/>
              <w:sz w:val="18"/>
            </w:rPr>
            <w:t>No. 33,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984DA3B" w14:textId="7EAC6AC8" w:rsidR="00C624A5" w:rsidRDefault="00C624A5" w:rsidP="00C624A5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527B7">
            <w:rPr>
              <w:i/>
              <w:sz w:val="18"/>
            </w:rPr>
            <w:t>Biosecurity Amendment (Clarifying Conditionally Non-prohibited Goods)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8B4DE67" w14:textId="77777777" w:rsidR="00C624A5" w:rsidRDefault="00C624A5" w:rsidP="00C624A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53A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FEC9F1" w14:textId="77777777" w:rsidR="00C624A5" w:rsidRPr="00ED79B6" w:rsidRDefault="00C624A5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7A3F5" w14:textId="77777777" w:rsidR="00C624A5" w:rsidRPr="00A961C4" w:rsidRDefault="00C624A5" w:rsidP="00B31500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C624A5" w14:paraId="29725188" w14:textId="77777777" w:rsidTr="003302D5">
      <w:tc>
        <w:tcPr>
          <w:tcW w:w="646" w:type="dxa"/>
        </w:tcPr>
        <w:p w14:paraId="7C39C18C" w14:textId="77777777" w:rsidR="00C624A5" w:rsidRDefault="00C624A5" w:rsidP="00C624A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853A4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EC30601" w14:textId="0CDE9667" w:rsidR="00C624A5" w:rsidRDefault="00C624A5" w:rsidP="00C624A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527B7">
            <w:rPr>
              <w:i/>
              <w:sz w:val="18"/>
            </w:rPr>
            <w:t>Biosecurity Amendment (Clarifying Conditionally Non-prohibited Goods)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ACA2ECE" w14:textId="7B7F3CA7" w:rsidR="00C624A5" w:rsidRDefault="00C624A5" w:rsidP="00C624A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527B7">
            <w:rPr>
              <w:i/>
              <w:sz w:val="18"/>
            </w:rPr>
            <w:t>No. 33,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1AE86D4" w14:textId="77777777" w:rsidR="00C624A5" w:rsidRPr="00A961C4" w:rsidRDefault="00C624A5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1AE1A" w14:textId="77777777" w:rsidR="00C624A5" w:rsidRPr="00A961C4" w:rsidRDefault="00C624A5" w:rsidP="00B3150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C624A5" w14:paraId="0D28E183" w14:textId="77777777" w:rsidTr="003302D5">
      <w:tc>
        <w:tcPr>
          <w:tcW w:w="1247" w:type="dxa"/>
        </w:tcPr>
        <w:p w14:paraId="53010265" w14:textId="461D51E1" w:rsidR="00C624A5" w:rsidRDefault="00C624A5" w:rsidP="00C624A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527B7">
            <w:rPr>
              <w:i/>
              <w:sz w:val="18"/>
            </w:rPr>
            <w:t>No. 33,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8C5CC8F" w14:textId="07BE0A6A" w:rsidR="00C624A5" w:rsidRDefault="00C624A5" w:rsidP="00C624A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527B7">
            <w:rPr>
              <w:i/>
              <w:sz w:val="18"/>
            </w:rPr>
            <w:t>Biosecurity Amendment (Clarifying Conditionally Non-prohibited Goods)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7456B0F" w14:textId="77777777" w:rsidR="00C624A5" w:rsidRDefault="00C624A5" w:rsidP="00C624A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853A4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46027DE" w14:textId="77777777" w:rsidR="00C624A5" w:rsidRPr="00055B5C" w:rsidRDefault="00C624A5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31FD9" w14:textId="77777777" w:rsidR="00C624A5" w:rsidRPr="00A961C4" w:rsidRDefault="00C624A5" w:rsidP="00B31500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C624A5" w14:paraId="314B7071" w14:textId="77777777" w:rsidTr="003302D5">
      <w:tc>
        <w:tcPr>
          <w:tcW w:w="1247" w:type="dxa"/>
        </w:tcPr>
        <w:p w14:paraId="0FA988B9" w14:textId="07A42EBE" w:rsidR="00C624A5" w:rsidRDefault="00C624A5" w:rsidP="00C624A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527B7">
            <w:rPr>
              <w:i/>
              <w:sz w:val="18"/>
            </w:rPr>
            <w:t>No. 33,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5EEE038" w14:textId="1F6F43AC" w:rsidR="00C624A5" w:rsidRDefault="00C624A5" w:rsidP="00C624A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527B7">
            <w:rPr>
              <w:i/>
              <w:sz w:val="18"/>
            </w:rPr>
            <w:t>Biosecurity Amendment (Clarifying Conditionally Non-prohibited Goods)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81CBB54" w14:textId="77777777" w:rsidR="00C624A5" w:rsidRDefault="00C624A5" w:rsidP="00C624A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4853A4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6255A3F" w14:textId="77777777" w:rsidR="00C624A5" w:rsidRPr="00A961C4" w:rsidRDefault="00C624A5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670B2" w14:textId="77777777" w:rsidR="00C624A5" w:rsidRDefault="00C624A5" w:rsidP="0048364F">
      <w:pPr>
        <w:spacing w:line="240" w:lineRule="auto"/>
      </w:pPr>
      <w:r>
        <w:separator/>
      </w:r>
    </w:p>
  </w:footnote>
  <w:footnote w:type="continuationSeparator" w:id="0">
    <w:p w14:paraId="094AEF12" w14:textId="77777777" w:rsidR="00C624A5" w:rsidRDefault="00C624A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6963A" w14:textId="77777777" w:rsidR="00C624A5" w:rsidRPr="005F1388" w:rsidRDefault="00C624A5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6A004" w14:textId="707AF6A7" w:rsidR="003E024D" w:rsidRPr="00A961C4" w:rsidRDefault="003E024D" w:rsidP="0048364F">
    <w:pPr>
      <w:rPr>
        <w:b/>
        <w:sz w:val="20"/>
      </w:rPr>
    </w:pPr>
  </w:p>
  <w:p w14:paraId="5B358342" w14:textId="1A11F034" w:rsidR="003E024D" w:rsidRPr="00A961C4" w:rsidRDefault="003E024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F95198" w14:textId="77777777" w:rsidR="003E024D" w:rsidRPr="00A961C4" w:rsidRDefault="003E024D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24703" w14:textId="5D2BBF44" w:rsidR="003E024D" w:rsidRPr="00A961C4" w:rsidRDefault="003E024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1527B7">
      <w:rPr>
        <w:noProof/>
        <w:sz w:val="20"/>
      </w:rPr>
      <w:t>Amendments</w:t>
    </w:r>
    <w:r w:rsidRPr="00A961C4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527B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ADB118F" w14:textId="1E3E6722" w:rsidR="003E024D" w:rsidRPr="00A961C4" w:rsidRDefault="003E024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13D8221" w14:textId="77777777" w:rsidR="003E024D" w:rsidRPr="00A961C4" w:rsidRDefault="003E024D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03E4B" w14:textId="77777777" w:rsidR="003E024D" w:rsidRPr="00A961C4" w:rsidRDefault="003E024D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096" w14:textId="77777777" w:rsidR="00C624A5" w:rsidRPr="005F1388" w:rsidRDefault="00C624A5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9A92D" w14:textId="77777777" w:rsidR="00C624A5" w:rsidRPr="005F1388" w:rsidRDefault="00C624A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C6593" w14:textId="77777777" w:rsidR="00C624A5" w:rsidRPr="00ED79B6" w:rsidRDefault="00C624A5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234AF" w14:textId="77777777" w:rsidR="00C624A5" w:rsidRPr="00ED79B6" w:rsidRDefault="00C624A5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C55DD" w14:textId="77777777" w:rsidR="00C624A5" w:rsidRPr="00ED79B6" w:rsidRDefault="00C624A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F500B" w14:textId="697D4230" w:rsidR="00C624A5" w:rsidRPr="00A961C4" w:rsidRDefault="00C624A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1CEE8426" w14:textId="15406F73" w:rsidR="00C624A5" w:rsidRPr="00A961C4" w:rsidRDefault="00C624A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5506A98" w14:textId="77777777" w:rsidR="00C624A5" w:rsidRPr="00A961C4" w:rsidRDefault="00C624A5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65B26" w14:textId="61B8F6D4" w:rsidR="00C624A5" w:rsidRPr="00A961C4" w:rsidRDefault="00C624A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527B7">
      <w:rPr>
        <w:sz w:val="20"/>
      </w:rPr>
      <w:fldChar w:fldCharType="separate"/>
    </w:r>
    <w:r w:rsidR="001527B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527B7">
      <w:rPr>
        <w:b/>
        <w:sz w:val="20"/>
      </w:rPr>
      <w:fldChar w:fldCharType="separate"/>
    </w:r>
    <w:r w:rsidR="001527B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6B398D9" w14:textId="423E38B5" w:rsidR="00C624A5" w:rsidRPr="00A961C4" w:rsidRDefault="00C624A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2FB80B7" w14:textId="77777777" w:rsidR="00C624A5" w:rsidRPr="00A961C4" w:rsidRDefault="00C624A5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2A77B" w14:textId="77777777" w:rsidR="00C624A5" w:rsidRPr="00A961C4" w:rsidRDefault="00C624A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8C3"/>
    <w:rsid w:val="000113BC"/>
    <w:rsid w:val="000136AF"/>
    <w:rsid w:val="000417C9"/>
    <w:rsid w:val="00055B5C"/>
    <w:rsid w:val="00056391"/>
    <w:rsid w:val="00060FF9"/>
    <w:rsid w:val="000614BF"/>
    <w:rsid w:val="00066EAE"/>
    <w:rsid w:val="000934EF"/>
    <w:rsid w:val="000B1FD2"/>
    <w:rsid w:val="000D05EF"/>
    <w:rsid w:val="000E08C3"/>
    <w:rsid w:val="000F21C1"/>
    <w:rsid w:val="000F316E"/>
    <w:rsid w:val="00101D90"/>
    <w:rsid w:val="0010745C"/>
    <w:rsid w:val="00113BD1"/>
    <w:rsid w:val="001167CA"/>
    <w:rsid w:val="00122206"/>
    <w:rsid w:val="00137BDF"/>
    <w:rsid w:val="001527B7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633C"/>
    <w:rsid w:val="001B7A5D"/>
    <w:rsid w:val="001C2418"/>
    <w:rsid w:val="001C69C4"/>
    <w:rsid w:val="001E3590"/>
    <w:rsid w:val="001E7407"/>
    <w:rsid w:val="001F325F"/>
    <w:rsid w:val="001F363B"/>
    <w:rsid w:val="00201D27"/>
    <w:rsid w:val="00202618"/>
    <w:rsid w:val="00240749"/>
    <w:rsid w:val="00263820"/>
    <w:rsid w:val="00275197"/>
    <w:rsid w:val="00293B89"/>
    <w:rsid w:val="00297ECB"/>
    <w:rsid w:val="002B5A30"/>
    <w:rsid w:val="002D043A"/>
    <w:rsid w:val="002D395A"/>
    <w:rsid w:val="002F52C8"/>
    <w:rsid w:val="0031603E"/>
    <w:rsid w:val="00326B7E"/>
    <w:rsid w:val="003302D5"/>
    <w:rsid w:val="003415D3"/>
    <w:rsid w:val="00350417"/>
    <w:rsid w:val="00352B0F"/>
    <w:rsid w:val="00362A0A"/>
    <w:rsid w:val="00373874"/>
    <w:rsid w:val="00375C6C"/>
    <w:rsid w:val="003A0D85"/>
    <w:rsid w:val="003A7B3C"/>
    <w:rsid w:val="003B4E3D"/>
    <w:rsid w:val="003C0FD0"/>
    <w:rsid w:val="003C5F2B"/>
    <w:rsid w:val="003D0BFE"/>
    <w:rsid w:val="003D5700"/>
    <w:rsid w:val="003E024D"/>
    <w:rsid w:val="003F1817"/>
    <w:rsid w:val="00405579"/>
    <w:rsid w:val="00410B8E"/>
    <w:rsid w:val="004116CD"/>
    <w:rsid w:val="00421FC1"/>
    <w:rsid w:val="004229C7"/>
    <w:rsid w:val="00423B3C"/>
    <w:rsid w:val="00424CA9"/>
    <w:rsid w:val="00436785"/>
    <w:rsid w:val="00436BD5"/>
    <w:rsid w:val="00437E4B"/>
    <w:rsid w:val="0044291A"/>
    <w:rsid w:val="004512D3"/>
    <w:rsid w:val="0048196B"/>
    <w:rsid w:val="0048364F"/>
    <w:rsid w:val="004853A4"/>
    <w:rsid w:val="00486D05"/>
    <w:rsid w:val="00496F97"/>
    <w:rsid w:val="004A4878"/>
    <w:rsid w:val="004C7C8C"/>
    <w:rsid w:val="004E2A4A"/>
    <w:rsid w:val="004F0D23"/>
    <w:rsid w:val="004F1FAC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B6209"/>
    <w:rsid w:val="005C3F41"/>
    <w:rsid w:val="005E152A"/>
    <w:rsid w:val="00600219"/>
    <w:rsid w:val="006167FD"/>
    <w:rsid w:val="0064150D"/>
    <w:rsid w:val="00641DE5"/>
    <w:rsid w:val="00645354"/>
    <w:rsid w:val="00656F0C"/>
    <w:rsid w:val="00677CC2"/>
    <w:rsid w:val="00681F92"/>
    <w:rsid w:val="006842C2"/>
    <w:rsid w:val="00685F42"/>
    <w:rsid w:val="0069207B"/>
    <w:rsid w:val="006A4B23"/>
    <w:rsid w:val="006C2874"/>
    <w:rsid w:val="006C5C47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246CE"/>
    <w:rsid w:val="00731E00"/>
    <w:rsid w:val="007440B7"/>
    <w:rsid w:val="0074564D"/>
    <w:rsid w:val="007634AD"/>
    <w:rsid w:val="007715C9"/>
    <w:rsid w:val="00774EDD"/>
    <w:rsid w:val="007757EC"/>
    <w:rsid w:val="00776A97"/>
    <w:rsid w:val="00780010"/>
    <w:rsid w:val="00796610"/>
    <w:rsid w:val="007A3782"/>
    <w:rsid w:val="007B30AA"/>
    <w:rsid w:val="007B7E57"/>
    <w:rsid w:val="007C7794"/>
    <w:rsid w:val="007D0F7C"/>
    <w:rsid w:val="007E7D4A"/>
    <w:rsid w:val="008006CC"/>
    <w:rsid w:val="00807F18"/>
    <w:rsid w:val="00814338"/>
    <w:rsid w:val="00831E8D"/>
    <w:rsid w:val="00837262"/>
    <w:rsid w:val="00856A31"/>
    <w:rsid w:val="00857D6B"/>
    <w:rsid w:val="008754D0"/>
    <w:rsid w:val="00877D48"/>
    <w:rsid w:val="00883781"/>
    <w:rsid w:val="00885570"/>
    <w:rsid w:val="00893958"/>
    <w:rsid w:val="008A2E77"/>
    <w:rsid w:val="008B43E3"/>
    <w:rsid w:val="008C6F6F"/>
    <w:rsid w:val="008D0EE0"/>
    <w:rsid w:val="008D3E94"/>
    <w:rsid w:val="008D6BE8"/>
    <w:rsid w:val="008F4F1C"/>
    <w:rsid w:val="008F77C4"/>
    <w:rsid w:val="009103F3"/>
    <w:rsid w:val="00932377"/>
    <w:rsid w:val="00967042"/>
    <w:rsid w:val="0098255A"/>
    <w:rsid w:val="009845BE"/>
    <w:rsid w:val="009967E4"/>
    <w:rsid w:val="009969C9"/>
    <w:rsid w:val="009D4DAC"/>
    <w:rsid w:val="009E186E"/>
    <w:rsid w:val="009F7BD0"/>
    <w:rsid w:val="00A048FF"/>
    <w:rsid w:val="00A10775"/>
    <w:rsid w:val="00A231E2"/>
    <w:rsid w:val="00A353AA"/>
    <w:rsid w:val="00A36C48"/>
    <w:rsid w:val="00A41E0B"/>
    <w:rsid w:val="00A55249"/>
    <w:rsid w:val="00A55631"/>
    <w:rsid w:val="00A64912"/>
    <w:rsid w:val="00A658FA"/>
    <w:rsid w:val="00A70A74"/>
    <w:rsid w:val="00A92291"/>
    <w:rsid w:val="00AA3795"/>
    <w:rsid w:val="00AA7EDD"/>
    <w:rsid w:val="00AA7EFB"/>
    <w:rsid w:val="00AC1E75"/>
    <w:rsid w:val="00AD5641"/>
    <w:rsid w:val="00AE1088"/>
    <w:rsid w:val="00AE646A"/>
    <w:rsid w:val="00AF1BA4"/>
    <w:rsid w:val="00B032D8"/>
    <w:rsid w:val="00B04277"/>
    <w:rsid w:val="00B228BF"/>
    <w:rsid w:val="00B31500"/>
    <w:rsid w:val="00B32BE2"/>
    <w:rsid w:val="00B33B3C"/>
    <w:rsid w:val="00B6382D"/>
    <w:rsid w:val="00B64A3B"/>
    <w:rsid w:val="00B909F4"/>
    <w:rsid w:val="00BA087A"/>
    <w:rsid w:val="00BA5026"/>
    <w:rsid w:val="00BB40BF"/>
    <w:rsid w:val="00BB777C"/>
    <w:rsid w:val="00BC0CD1"/>
    <w:rsid w:val="00BE719A"/>
    <w:rsid w:val="00BE720A"/>
    <w:rsid w:val="00BF0461"/>
    <w:rsid w:val="00BF4944"/>
    <w:rsid w:val="00BF56D4"/>
    <w:rsid w:val="00C00A33"/>
    <w:rsid w:val="00C04409"/>
    <w:rsid w:val="00C067E5"/>
    <w:rsid w:val="00C164CA"/>
    <w:rsid w:val="00C176CF"/>
    <w:rsid w:val="00C42BF8"/>
    <w:rsid w:val="00C460AE"/>
    <w:rsid w:val="00C50043"/>
    <w:rsid w:val="00C54E84"/>
    <w:rsid w:val="00C558C1"/>
    <w:rsid w:val="00C624A5"/>
    <w:rsid w:val="00C7573B"/>
    <w:rsid w:val="00C76CF3"/>
    <w:rsid w:val="00C978B7"/>
    <w:rsid w:val="00CE1E31"/>
    <w:rsid w:val="00CF0BB2"/>
    <w:rsid w:val="00CF4C7F"/>
    <w:rsid w:val="00D00EAA"/>
    <w:rsid w:val="00D13441"/>
    <w:rsid w:val="00D136C7"/>
    <w:rsid w:val="00D243A3"/>
    <w:rsid w:val="00D243E0"/>
    <w:rsid w:val="00D477C3"/>
    <w:rsid w:val="00D47D69"/>
    <w:rsid w:val="00D52EFE"/>
    <w:rsid w:val="00D63EF6"/>
    <w:rsid w:val="00D70DFB"/>
    <w:rsid w:val="00D73029"/>
    <w:rsid w:val="00D766DF"/>
    <w:rsid w:val="00D76996"/>
    <w:rsid w:val="00DA68EE"/>
    <w:rsid w:val="00DE2002"/>
    <w:rsid w:val="00DF7AE9"/>
    <w:rsid w:val="00E05704"/>
    <w:rsid w:val="00E24D66"/>
    <w:rsid w:val="00E45AE1"/>
    <w:rsid w:val="00E46645"/>
    <w:rsid w:val="00E54292"/>
    <w:rsid w:val="00E74DC7"/>
    <w:rsid w:val="00E84ECA"/>
    <w:rsid w:val="00E87699"/>
    <w:rsid w:val="00E947C6"/>
    <w:rsid w:val="00EA3CFD"/>
    <w:rsid w:val="00EB510C"/>
    <w:rsid w:val="00ED492F"/>
    <w:rsid w:val="00EE3E36"/>
    <w:rsid w:val="00EF2E3A"/>
    <w:rsid w:val="00F047E2"/>
    <w:rsid w:val="00F078DC"/>
    <w:rsid w:val="00F13E86"/>
    <w:rsid w:val="00F17B00"/>
    <w:rsid w:val="00F41029"/>
    <w:rsid w:val="00F46399"/>
    <w:rsid w:val="00F61CBA"/>
    <w:rsid w:val="00F677A9"/>
    <w:rsid w:val="00F84CF5"/>
    <w:rsid w:val="00F92D35"/>
    <w:rsid w:val="00FA420B"/>
    <w:rsid w:val="00FC372A"/>
    <w:rsid w:val="00FD1E13"/>
    <w:rsid w:val="00FD7EB1"/>
    <w:rsid w:val="00FE41C9"/>
    <w:rsid w:val="00FE5692"/>
    <w:rsid w:val="00FE7F93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02CC5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3150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02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2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2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2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2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24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24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2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24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31500"/>
  </w:style>
  <w:style w:type="paragraph" w:customStyle="1" w:styleId="OPCParaBase">
    <w:name w:val="OPCParaBase"/>
    <w:qFormat/>
    <w:rsid w:val="00B3150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3150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3150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3150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3150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3150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3150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3150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3150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3150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3150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31500"/>
  </w:style>
  <w:style w:type="paragraph" w:customStyle="1" w:styleId="Blocks">
    <w:name w:val="Blocks"/>
    <w:aliases w:val="bb"/>
    <w:basedOn w:val="OPCParaBase"/>
    <w:qFormat/>
    <w:rsid w:val="00B3150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315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3150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31500"/>
    <w:rPr>
      <w:i/>
    </w:rPr>
  </w:style>
  <w:style w:type="paragraph" w:customStyle="1" w:styleId="BoxList">
    <w:name w:val="BoxList"/>
    <w:aliases w:val="bl"/>
    <w:basedOn w:val="BoxText"/>
    <w:qFormat/>
    <w:rsid w:val="00B3150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3150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3150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31500"/>
    <w:pPr>
      <w:ind w:left="1985" w:hanging="851"/>
    </w:pPr>
  </w:style>
  <w:style w:type="character" w:customStyle="1" w:styleId="CharAmPartNo">
    <w:name w:val="CharAmPartNo"/>
    <w:basedOn w:val="OPCCharBase"/>
    <w:qFormat/>
    <w:rsid w:val="00B31500"/>
  </w:style>
  <w:style w:type="character" w:customStyle="1" w:styleId="CharAmPartText">
    <w:name w:val="CharAmPartText"/>
    <w:basedOn w:val="OPCCharBase"/>
    <w:qFormat/>
    <w:rsid w:val="00B31500"/>
  </w:style>
  <w:style w:type="character" w:customStyle="1" w:styleId="CharAmSchNo">
    <w:name w:val="CharAmSchNo"/>
    <w:basedOn w:val="OPCCharBase"/>
    <w:qFormat/>
    <w:rsid w:val="00B31500"/>
  </w:style>
  <w:style w:type="character" w:customStyle="1" w:styleId="CharAmSchText">
    <w:name w:val="CharAmSchText"/>
    <w:basedOn w:val="OPCCharBase"/>
    <w:qFormat/>
    <w:rsid w:val="00B31500"/>
  </w:style>
  <w:style w:type="character" w:customStyle="1" w:styleId="CharBoldItalic">
    <w:name w:val="CharBoldItalic"/>
    <w:basedOn w:val="OPCCharBase"/>
    <w:uiPriority w:val="1"/>
    <w:qFormat/>
    <w:rsid w:val="00B31500"/>
    <w:rPr>
      <w:b/>
      <w:i/>
    </w:rPr>
  </w:style>
  <w:style w:type="character" w:customStyle="1" w:styleId="CharChapNo">
    <w:name w:val="CharChapNo"/>
    <w:basedOn w:val="OPCCharBase"/>
    <w:uiPriority w:val="1"/>
    <w:qFormat/>
    <w:rsid w:val="00B31500"/>
  </w:style>
  <w:style w:type="character" w:customStyle="1" w:styleId="CharChapText">
    <w:name w:val="CharChapText"/>
    <w:basedOn w:val="OPCCharBase"/>
    <w:uiPriority w:val="1"/>
    <w:qFormat/>
    <w:rsid w:val="00B31500"/>
  </w:style>
  <w:style w:type="character" w:customStyle="1" w:styleId="CharDivNo">
    <w:name w:val="CharDivNo"/>
    <w:basedOn w:val="OPCCharBase"/>
    <w:uiPriority w:val="1"/>
    <w:qFormat/>
    <w:rsid w:val="00B31500"/>
  </w:style>
  <w:style w:type="character" w:customStyle="1" w:styleId="CharDivText">
    <w:name w:val="CharDivText"/>
    <w:basedOn w:val="OPCCharBase"/>
    <w:uiPriority w:val="1"/>
    <w:qFormat/>
    <w:rsid w:val="00B31500"/>
  </w:style>
  <w:style w:type="character" w:customStyle="1" w:styleId="CharItalic">
    <w:name w:val="CharItalic"/>
    <w:basedOn w:val="OPCCharBase"/>
    <w:uiPriority w:val="1"/>
    <w:qFormat/>
    <w:rsid w:val="00B31500"/>
    <w:rPr>
      <w:i/>
    </w:rPr>
  </w:style>
  <w:style w:type="character" w:customStyle="1" w:styleId="CharPartNo">
    <w:name w:val="CharPartNo"/>
    <w:basedOn w:val="OPCCharBase"/>
    <w:uiPriority w:val="1"/>
    <w:qFormat/>
    <w:rsid w:val="00B31500"/>
  </w:style>
  <w:style w:type="character" w:customStyle="1" w:styleId="CharPartText">
    <w:name w:val="CharPartText"/>
    <w:basedOn w:val="OPCCharBase"/>
    <w:uiPriority w:val="1"/>
    <w:qFormat/>
    <w:rsid w:val="00B31500"/>
  </w:style>
  <w:style w:type="character" w:customStyle="1" w:styleId="CharSectno">
    <w:name w:val="CharSectno"/>
    <w:basedOn w:val="OPCCharBase"/>
    <w:qFormat/>
    <w:rsid w:val="00B31500"/>
  </w:style>
  <w:style w:type="character" w:customStyle="1" w:styleId="CharSubdNo">
    <w:name w:val="CharSubdNo"/>
    <w:basedOn w:val="OPCCharBase"/>
    <w:uiPriority w:val="1"/>
    <w:qFormat/>
    <w:rsid w:val="00B31500"/>
  </w:style>
  <w:style w:type="character" w:customStyle="1" w:styleId="CharSubdText">
    <w:name w:val="CharSubdText"/>
    <w:basedOn w:val="OPCCharBase"/>
    <w:uiPriority w:val="1"/>
    <w:qFormat/>
    <w:rsid w:val="00B31500"/>
  </w:style>
  <w:style w:type="paragraph" w:customStyle="1" w:styleId="CTA--">
    <w:name w:val="CTA --"/>
    <w:basedOn w:val="OPCParaBase"/>
    <w:next w:val="Normal"/>
    <w:rsid w:val="00B3150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3150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3150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3150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3150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3150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3150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3150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3150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3150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3150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3150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150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3150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3150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3150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3150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3150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3150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3150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3150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3150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3150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3150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3150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3150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3150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3150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3150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3150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3150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3150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3150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3150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3150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3150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3150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3150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3150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3150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3150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3150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3150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3150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3150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3150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3150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3150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3150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3150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3150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315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3150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3150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3150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31500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31500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31500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31500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3150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3150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3150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3150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3150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3150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3150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3150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3150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3150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3150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3150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3150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31500"/>
    <w:rPr>
      <w:sz w:val="16"/>
    </w:rPr>
  </w:style>
  <w:style w:type="table" w:customStyle="1" w:styleId="CFlag">
    <w:name w:val="CFlag"/>
    <w:basedOn w:val="TableNormal"/>
    <w:uiPriority w:val="99"/>
    <w:rsid w:val="00B31500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B3150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3150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3150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3150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3150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3150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3150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3150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3150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31500"/>
    <w:pPr>
      <w:spacing w:before="120"/>
    </w:pPr>
  </w:style>
  <w:style w:type="paragraph" w:customStyle="1" w:styleId="TableTextEndNotes">
    <w:name w:val="TableTextEndNotes"/>
    <w:aliases w:val="Tten"/>
    <w:basedOn w:val="Normal"/>
    <w:rsid w:val="00B31500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3150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3150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3150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3150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3150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3150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3150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3150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3150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3150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3150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31500"/>
  </w:style>
  <w:style w:type="character" w:customStyle="1" w:styleId="CharSubPartNoCASA">
    <w:name w:val="CharSubPartNo(CASA)"/>
    <w:basedOn w:val="OPCCharBase"/>
    <w:uiPriority w:val="1"/>
    <w:rsid w:val="00B31500"/>
  </w:style>
  <w:style w:type="paragraph" w:customStyle="1" w:styleId="ENoteTTIndentHeadingSub">
    <w:name w:val="ENoteTTIndentHeadingSub"/>
    <w:aliases w:val="enTTHis"/>
    <w:basedOn w:val="OPCParaBase"/>
    <w:rsid w:val="00B3150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3150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3150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31500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3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B3150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3150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315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31500"/>
    <w:rPr>
      <w:sz w:val="22"/>
    </w:rPr>
  </w:style>
  <w:style w:type="paragraph" w:customStyle="1" w:styleId="SOTextNote">
    <w:name w:val="SO TextNote"/>
    <w:aliases w:val="sont"/>
    <w:basedOn w:val="SOText"/>
    <w:qFormat/>
    <w:rsid w:val="00B3150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3150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31500"/>
    <w:rPr>
      <w:sz w:val="22"/>
    </w:rPr>
  </w:style>
  <w:style w:type="paragraph" w:customStyle="1" w:styleId="FileName">
    <w:name w:val="FileName"/>
    <w:basedOn w:val="Normal"/>
    <w:rsid w:val="00B31500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3150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3150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3150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3150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3150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3150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3150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3150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315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31500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B31500"/>
  </w:style>
  <w:style w:type="paragraph" w:styleId="BalloonText">
    <w:name w:val="Balloon Text"/>
    <w:basedOn w:val="Normal"/>
    <w:link w:val="BalloonTextChar"/>
    <w:uiPriority w:val="99"/>
    <w:semiHidden/>
    <w:unhideWhenUsed/>
    <w:rsid w:val="004A48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E02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024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02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2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2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24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24D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24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24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2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2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hortTP1">
    <w:name w:val="ShortTP1"/>
    <w:basedOn w:val="ShortT"/>
    <w:link w:val="ShortTP1Char"/>
    <w:rsid w:val="003E024D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3E024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E024D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3E024D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3E024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4664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4664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4664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511</Words>
  <Characters>2911</Characters>
  <Application>Microsoft Office Word</Application>
  <DocSecurity>0</DocSecurity>
  <PresentationFormat/>
  <Lines>88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2021-03-18T01:25:00Z</dcterms:created>
  <dcterms:modified xsi:type="dcterms:W3CDTF">2021-04-06T00:49:00Z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Biosecurity Amendment (Clarifying Conditionally Non-prohibited Goods) Act 2021</vt:lpwstr>
  </property>
  <property fmtid="{D5CDD505-2E9C-101B-9397-08002B2CF9AE}" pid="3" name="ActNo">
    <vt:lpwstr>No. 33, 2021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OPC7698</vt:lpwstr>
  </property>
</Properties>
</file>