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0AE0502" w14:textId="77777777" w:rsidR="00267992" w:rsidRDefault="00267992" w:rsidP="00267992">
      <w:r>
        <w:object w:dxaOrig="2146" w:dyaOrig="1561" w14:anchorId="3174C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686649202" r:id="rId8"/>
        </w:object>
      </w:r>
    </w:p>
    <w:p w14:paraId="3F030B1F" w14:textId="77777777" w:rsidR="00267992" w:rsidRDefault="00267992" w:rsidP="00267992"/>
    <w:p w14:paraId="72CE8597" w14:textId="77777777" w:rsidR="00267992" w:rsidRDefault="00267992" w:rsidP="00267992"/>
    <w:p w14:paraId="77E7F02E" w14:textId="77777777" w:rsidR="00267992" w:rsidRDefault="00267992" w:rsidP="00267992"/>
    <w:p w14:paraId="17F61E82" w14:textId="77777777" w:rsidR="00267992" w:rsidRDefault="00267992" w:rsidP="00267992"/>
    <w:p w14:paraId="57FD1633" w14:textId="77777777" w:rsidR="00267992" w:rsidRDefault="00267992" w:rsidP="00267992"/>
    <w:p w14:paraId="23498C7A" w14:textId="77777777" w:rsidR="00267992" w:rsidRDefault="00267992" w:rsidP="00267992"/>
    <w:p w14:paraId="579EF804" w14:textId="77777777" w:rsidR="00267992" w:rsidRDefault="00267992" w:rsidP="00267992">
      <w:pPr>
        <w:pStyle w:val="ShortT"/>
      </w:pPr>
      <w:r>
        <w:t>National Radioactive Waste Management Amendment (Site Selection, Community Fund and Other Measures) Act 2021</w:t>
      </w:r>
    </w:p>
    <w:p w14:paraId="089D872D" w14:textId="77777777" w:rsidR="0048364F" w:rsidRPr="00140184" w:rsidRDefault="0048364F" w:rsidP="0048364F"/>
    <w:p w14:paraId="1E577509" w14:textId="77777777" w:rsidR="00267992" w:rsidRDefault="00267992" w:rsidP="00267992">
      <w:pPr>
        <w:pStyle w:val="Actno"/>
        <w:spacing w:before="400"/>
      </w:pPr>
      <w:r>
        <w:t>No.</w:t>
      </w:r>
      <w:r w:rsidR="00A63D4D">
        <w:t xml:space="preserve"> 59</w:t>
      </w:r>
      <w:r>
        <w:t>, 2021</w:t>
      </w:r>
    </w:p>
    <w:p w14:paraId="1C3189C7" w14:textId="77777777" w:rsidR="0048364F" w:rsidRPr="00140184" w:rsidRDefault="0048364F" w:rsidP="0048364F"/>
    <w:p w14:paraId="337F50EA" w14:textId="77777777" w:rsidR="00E071A7" w:rsidRDefault="00E071A7" w:rsidP="00E071A7"/>
    <w:p w14:paraId="364FEEA2" w14:textId="77777777" w:rsidR="00E071A7" w:rsidRDefault="00E071A7" w:rsidP="00E071A7"/>
    <w:p w14:paraId="33829D96" w14:textId="77777777" w:rsidR="00E071A7" w:rsidRDefault="00E071A7" w:rsidP="00E071A7"/>
    <w:p w14:paraId="34E44A13" w14:textId="77777777" w:rsidR="00E071A7" w:rsidRDefault="00E071A7" w:rsidP="00E071A7"/>
    <w:p w14:paraId="34FA98CA" w14:textId="77777777" w:rsidR="00267992" w:rsidRDefault="00267992" w:rsidP="00267992">
      <w:pPr>
        <w:pStyle w:val="LongT"/>
      </w:pPr>
      <w:r>
        <w:t xml:space="preserve">An Act to amend the </w:t>
      </w:r>
      <w:r w:rsidRPr="00267992">
        <w:rPr>
          <w:i/>
        </w:rPr>
        <w:t>National Radioactive Waste Management Act 2012</w:t>
      </w:r>
      <w:r>
        <w:t>, and for related purposes</w:t>
      </w:r>
    </w:p>
    <w:p w14:paraId="0CC447B7" w14:textId="77777777" w:rsidR="0048364F" w:rsidRPr="00DB702F" w:rsidRDefault="0048364F" w:rsidP="0048364F">
      <w:pPr>
        <w:pStyle w:val="Header"/>
        <w:tabs>
          <w:tab w:val="clear" w:pos="4150"/>
          <w:tab w:val="clear" w:pos="8307"/>
        </w:tabs>
      </w:pPr>
      <w:r w:rsidRPr="00DB702F">
        <w:rPr>
          <w:rStyle w:val="CharAmSchNo"/>
        </w:rPr>
        <w:t xml:space="preserve"> </w:t>
      </w:r>
      <w:r w:rsidRPr="00DB702F">
        <w:rPr>
          <w:rStyle w:val="CharAmSchText"/>
        </w:rPr>
        <w:t xml:space="preserve"> </w:t>
      </w:r>
    </w:p>
    <w:p w14:paraId="60FFF226" w14:textId="77777777" w:rsidR="0048364F" w:rsidRPr="00DB702F" w:rsidRDefault="0048364F" w:rsidP="0048364F">
      <w:pPr>
        <w:pStyle w:val="Header"/>
        <w:tabs>
          <w:tab w:val="clear" w:pos="4150"/>
          <w:tab w:val="clear" w:pos="8307"/>
        </w:tabs>
      </w:pPr>
      <w:r w:rsidRPr="00DB702F">
        <w:rPr>
          <w:rStyle w:val="CharAmPartNo"/>
        </w:rPr>
        <w:t xml:space="preserve"> </w:t>
      </w:r>
      <w:r w:rsidRPr="00DB702F">
        <w:rPr>
          <w:rStyle w:val="CharAmPartText"/>
        </w:rPr>
        <w:t xml:space="preserve"> </w:t>
      </w:r>
    </w:p>
    <w:p w14:paraId="55F97E42" w14:textId="77777777" w:rsidR="0048364F" w:rsidRPr="00140184" w:rsidRDefault="0048364F" w:rsidP="0048364F">
      <w:pPr>
        <w:sectPr w:rsidR="0048364F" w:rsidRPr="00140184" w:rsidSect="00267992">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14:paraId="5F6D9DBD" w14:textId="77777777" w:rsidR="0048364F" w:rsidRPr="00140184" w:rsidRDefault="0048364F" w:rsidP="00140184">
      <w:pPr>
        <w:rPr>
          <w:sz w:val="36"/>
        </w:rPr>
      </w:pPr>
      <w:r w:rsidRPr="00140184">
        <w:rPr>
          <w:sz w:val="36"/>
        </w:rPr>
        <w:lastRenderedPageBreak/>
        <w:t>Contents</w:t>
      </w:r>
    </w:p>
    <w:bookmarkStart w:id="1" w:name="BKCheck15B_1"/>
    <w:bookmarkEnd w:id="1"/>
    <w:p w14:paraId="0B494DDB" w14:textId="25DC6138" w:rsidR="00CB1838" w:rsidRDefault="00CB183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B1838">
        <w:rPr>
          <w:noProof/>
        </w:rPr>
        <w:tab/>
      </w:r>
      <w:r w:rsidRPr="00CB1838">
        <w:rPr>
          <w:noProof/>
        </w:rPr>
        <w:fldChar w:fldCharType="begin"/>
      </w:r>
      <w:r w:rsidRPr="00CB1838">
        <w:rPr>
          <w:noProof/>
        </w:rPr>
        <w:instrText xml:space="preserve"> PAGEREF _Toc76036249 \h </w:instrText>
      </w:r>
      <w:r w:rsidRPr="00CB1838">
        <w:rPr>
          <w:noProof/>
        </w:rPr>
      </w:r>
      <w:r w:rsidRPr="00CB1838">
        <w:rPr>
          <w:noProof/>
        </w:rPr>
        <w:fldChar w:fldCharType="separate"/>
      </w:r>
      <w:r w:rsidR="00C229EB">
        <w:rPr>
          <w:noProof/>
        </w:rPr>
        <w:t>2</w:t>
      </w:r>
      <w:r w:rsidRPr="00CB1838">
        <w:rPr>
          <w:noProof/>
        </w:rPr>
        <w:fldChar w:fldCharType="end"/>
      </w:r>
    </w:p>
    <w:p w14:paraId="163C7725" w14:textId="6123DF9B" w:rsidR="00CB1838" w:rsidRDefault="00CB1838">
      <w:pPr>
        <w:pStyle w:val="TOC5"/>
        <w:rPr>
          <w:rFonts w:asciiTheme="minorHAnsi" w:eastAsiaTheme="minorEastAsia" w:hAnsiTheme="minorHAnsi" w:cstheme="minorBidi"/>
          <w:noProof/>
          <w:kern w:val="0"/>
          <w:sz w:val="22"/>
          <w:szCs w:val="22"/>
        </w:rPr>
      </w:pPr>
      <w:r>
        <w:rPr>
          <w:noProof/>
        </w:rPr>
        <w:t>2</w:t>
      </w:r>
      <w:r>
        <w:rPr>
          <w:noProof/>
        </w:rPr>
        <w:tab/>
        <w:t>Commencement</w:t>
      </w:r>
      <w:r w:rsidRPr="00CB1838">
        <w:rPr>
          <w:noProof/>
        </w:rPr>
        <w:tab/>
      </w:r>
      <w:r w:rsidRPr="00CB1838">
        <w:rPr>
          <w:noProof/>
        </w:rPr>
        <w:fldChar w:fldCharType="begin"/>
      </w:r>
      <w:r w:rsidRPr="00CB1838">
        <w:rPr>
          <w:noProof/>
        </w:rPr>
        <w:instrText xml:space="preserve"> PAGEREF _Toc76036250 \h </w:instrText>
      </w:r>
      <w:r w:rsidRPr="00CB1838">
        <w:rPr>
          <w:noProof/>
        </w:rPr>
      </w:r>
      <w:r w:rsidRPr="00CB1838">
        <w:rPr>
          <w:noProof/>
        </w:rPr>
        <w:fldChar w:fldCharType="separate"/>
      </w:r>
      <w:r w:rsidR="00C229EB">
        <w:rPr>
          <w:noProof/>
        </w:rPr>
        <w:t>2</w:t>
      </w:r>
      <w:r w:rsidRPr="00CB1838">
        <w:rPr>
          <w:noProof/>
        </w:rPr>
        <w:fldChar w:fldCharType="end"/>
      </w:r>
    </w:p>
    <w:p w14:paraId="28B37CD7" w14:textId="7451BA35" w:rsidR="00CB1838" w:rsidRDefault="00CB1838">
      <w:pPr>
        <w:pStyle w:val="TOC5"/>
        <w:rPr>
          <w:rFonts w:asciiTheme="minorHAnsi" w:eastAsiaTheme="minorEastAsia" w:hAnsiTheme="minorHAnsi" w:cstheme="minorBidi"/>
          <w:noProof/>
          <w:kern w:val="0"/>
          <w:sz w:val="22"/>
          <w:szCs w:val="22"/>
        </w:rPr>
      </w:pPr>
      <w:r>
        <w:rPr>
          <w:noProof/>
        </w:rPr>
        <w:t>3</w:t>
      </w:r>
      <w:r>
        <w:rPr>
          <w:noProof/>
        </w:rPr>
        <w:tab/>
        <w:t>Schedules</w:t>
      </w:r>
      <w:r w:rsidRPr="00CB1838">
        <w:rPr>
          <w:noProof/>
        </w:rPr>
        <w:tab/>
      </w:r>
      <w:r w:rsidRPr="00CB1838">
        <w:rPr>
          <w:noProof/>
        </w:rPr>
        <w:fldChar w:fldCharType="begin"/>
      </w:r>
      <w:r w:rsidRPr="00CB1838">
        <w:rPr>
          <w:noProof/>
        </w:rPr>
        <w:instrText xml:space="preserve"> PAGEREF _Toc76036251 \h </w:instrText>
      </w:r>
      <w:r w:rsidRPr="00CB1838">
        <w:rPr>
          <w:noProof/>
        </w:rPr>
      </w:r>
      <w:r w:rsidRPr="00CB1838">
        <w:rPr>
          <w:noProof/>
        </w:rPr>
        <w:fldChar w:fldCharType="separate"/>
      </w:r>
      <w:r w:rsidR="00C229EB">
        <w:rPr>
          <w:noProof/>
        </w:rPr>
        <w:t>2</w:t>
      </w:r>
      <w:r w:rsidRPr="00CB1838">
        <w:rPr>
          <w:noProof/>
        </w:rPr>
        <w:fldChar w:fldCharType="end"/>
      </w:r>
    </w:p>
    <w:p w14:paraId="08C91901" w14:textId="7AC9B62E" w:rsidR="00CB1838" w:rsidRDefault="00CB1838">
      <w:pPr>
        <w:pStyle w:val="TOC6"/>
        <w:rPr>
          <w:rFonts w:asciiTheme="minorHAnsi" w:eastAsiaTheme="minorEastAsia" w:hAnsiTheme="minorHAnsi" w:cstheme="minorBidi"/>
          <w:b w:val="0"/>
          <w:noProof/>
          <w:kern w:val="0"/>
          <w:sz w:val="22"/>
          <w:szCs w:val="22"/>
        </w:rPr>
      </w:pPr>
      <w:r>
        <w:rPr>
          <w:noProof/>
        </w:rPr>
        <w:t>Schedule 1—Site selection</w:t>
      </w:r>
      <w:r w:rsidRPr="00CB1838">
        <w:rPr>
          <w:b w:val="0"/>
          <w:noProof/>
          <w:sz w:val="18"/>
        </w:rPr>
        <w:tab/>
      </w:r>
      <w:r w:rsidRPr="00CB1838">
        <w:rPr>
          <w:b w:val="0"/>
          <w:noProof/>
          <w:sz w:val="18"/>
        </w:rPr>
        <w:fldChar w:fldCharType="begin"/>
      </w:r>
      <w:r w:rsidRPr="00CB1838">
        <w:rPr>
          <w:b w:val="0"/>
          <w:noProof/>
          <w:sz w:val="18"/>
        </w:rPr>
        <w:instrText xml:space="preserve"> PAGEREF _Toc76036252 \h </w:instrText>
      </w:r>
      <w:r w:rsidRPr="00CB1838">
        <w:rPr>
          <w:b w:val="0"/>
          <w:noProof/>
          <w:sz w:val="18"/>
        </w:rPr>
      </w:r>
      <w:r w:rsidRPr="00CB1838">
        <w:rPr>
          <w:b w:val="0"/>
          <w:noProof/>
          <w:sz w:val="18"/>
        </w:rPr>
        <w:fldChar w:fldCharType="separate"/>
      </w:r>
      <w:r w:rsidR="00C229EB">
        <w:rPr>
          <w:b w:val="0"/>
          <w:noProof/>
          <w:sz w:val="18"/>
        </w:rPr>
        <w:t>3</w:t>
      </w:r>
      <w:r w:rsidRPr="00CB1838">
        <w:rPr>
          <w:b w:val="0"/>
          <w:noProof/>
          <w:sz w:val="18"/>
        </w:rPr>
        <w:fldChar w:fldCharType="end"/>
      </w:r>
    </w:p>
    <w:p w14:paraId="25D0E720" w14:textId="02D19ED4" w:rsidR="00CB1838" w:rsidRDefault="00CB1838">
      <w:pPr>
        <w:pStyle w:val="TOC6"/>
        <w:rPr>
          <w:rFonts w:asciiTheme="minorHAnsi" w:eastAsiaTheme="minorEastAsia" w:hAnsiTheme="minorHAnsi" w:cstheme="minorBidi"/>
          <w:b w:val="0"/>
          <w:noProof/>
          <w:kern w:val="0"/>
          <w:sz w:val="22"/>
          <w:szCs w:val="22"/>
        </w:rPr>
      </w:pPr>
      <w:r>
        <w:rPr>
          <w:noProof/>
        </w:rPr>
        <w:t>Schedule 2—Establishment of community fund</w:t>
      </w:r>
      <w:r w:rsidRPr="00CB1838">
        <w:rPr>
          <w:b w:val="0"/>
          <w:noProof/>
          <w:sz w:val="18"/>
        </w:rPr>
        <w:tab/>
      </w:r>
      <w:r w:rsidRPr="00CB1838">
        <w:rPr>
          <w:b w:val="0"/>
          <w:noProof/>
          <w:sz w:val="18"/>
        </w:rPr>
        <w:fldChar w:fldCharType="begin"/>
      </w:r>
      <w:r w:rsidRPr="00CB1838">
        <w:rPr>
          <w:b w:val="0"/>
          <w:noProof/>
          <w:sz w:val="18"/>
        </w:rPr>
        <w:instrText xml:space="preserve"> PAGEREF _Toc76036253 \h </w:instrText>
      </w:r>
      <w:r w:rsidRPr="00CB1838">
        <w:rPr>
          <w:b w:val="0"/>
          <w:noProof/>
          <w:sz w:val="18"/>
        </w:rPr>
      </w:r>
      <w:r w:rsidRPr="00CB1838">
        <w:rPr>
          <w:b w:val="0"/>
          <w:noProof/>
          <w:sz w:val="18"/>
        </w:rPr>
        <w:fldChar w:fldCharType="separate"/>
      </w:r>
      <w:r w:rsidR="00C229EB">
        <w:rPr>
          <w:b w:val="0"/>
          <w:noProof/>
          <w:sz w:val="18"/>
        </w:rPr>
        <w:t>6</w:t>
      </w:r>
      <w:r w:rsidRPr="00CB1838">
        <w:rPr>
          <w:b w:val="0"/>
          <w:noProof/>
          <w:sz w:val="18"/>
        </w:rPr>
        <w:fldChar w:fldCharType="end"/>
      </w:r>
    </w:p>
    <w:p w14:paraId="5A3F6D19" w14:textId="6DAE80D1" w:rsidR="00CB1838" w:rsidRDefault="00CB1838">
      <w:pPr>
        <w:pStyle w:val="TOC9"/>
        <w:rPr>
          <w:rFonts w:asciiTheme="minorHAnsi" w:eastAsiaTheme="minorEastAsia" w:hAnsiTheme="minorHAnsi" w:cstheme="minorBidi"/>
          <w:i w:val="0"/>
          <w:noProof/>
          <w:kern w:val="0"/>
          <w:sz w:val="22"/>
          <w:szCs w:val="22"/>
        </w:rPr>
      </w:pPr>
      <w:r>
        <w:rPr>
          <w:noProof/>
        </w:rPr>
        <w:t>National Radioactive Waste Management Act 2012</w:t>
      </w:r>
      <w:r w:rsidRPr="00CB1838">
        <w:rPr>
          <w:i w:val="0"/>
          <w:noProof/>
          <w:sz w:val="18"/>
        </w:rPr>
        <w:tab/>
      </w:r>
      <w:r w:rsidRPr="00CB1838">
        <w:rPr>
          <w:i w:val="0"/>
          <w:noProof/>
          <w:sz w:val="18"/>
        </w:rPr>
        <w:fldChar w:fldCharType="begin"/>
      </w:r>
      <w:r w:rsidRPr="00CB1838">
        <w:rPr>
          <w:i w:val="0"/>
          <w:noProof/>
          <w:sz w:val="18"/>
        </w:rPr>
        <w:instrText xml:space="preserve"> PAGEREF _Toc76036254 \h </w:instrText>
      </w:r>
      <w:r w:rsidRPr="00CB1838">
        <w:rPr>
          <w:i w:val="0"/>
          <w:noProof/>
          <w:sz w:val="18"/>
        </w:rPr>
      </w:r>
      <w:r w:rsidRPr="00CB1838">
        <w:rPr>
          <w:i w:val="0"/>
          <w:noProof/>
          <w:sz w:val="18"/>
        </w:rPr>
        <w:fldChar w:fldCharType="separate"/>
      </w:r>
      <w:r w:rsidR="00C229EB">
        <w:rPr>
          <w:i w:val="0"/>
          <w:noProof/>
          <w:sz w:val="18"/>
        </w:rPr>
        <w:t>6</w:t>
      </w:r>
      <w:r w:rsidRPr="00CB1838">
        <w:rPr>
          <w:i w:val="0"/>
          <w:noProof/>
          <w:sz w:val="18"/>
        </w:rPr>
        <w:fldChar w:fldCharType="end"/>
      </w:r>
    </w:p>
    <w:p w14:paraId="4E4933F2" w14:textId="7F30A0DF" w:rsidR="00CB1838" w:rsidRDefault="00CB1838">
      <w:pPr>
        <w:pStyle w:val="TOC6"/>
        <w:rPr>
          <w:rFonts w:asciiTheme="minorHAnsi" w:eastAsiaTheme="minorEastAsia" w:hAnsiTheme="minorHAnsi" w:cstheme="minorBidi"/>
          <w:b w:val="0"/>
          <w:noProof/>
          <w:kern w:val="0"/>
          <w:sz w:val="22"/>
          <w:szCs w:val="22"/>
        </w:rPr>
      </w:pPr>
      <w:r>
        <w:rPr>
          <w:noProof/>
        </w:rPr>
        <w:t>Schedule 3—Other amendments</w:t>
      </w:r>
      <w:r w:rsidRPr="00CB1838">
        <w:rPr>
          <w:b w:val="0"/>
          <w:noProof/>
          <w:sz w:val="18"/>
        </w:rPr>
        <w:tab/>
      </w:r>
      <w:r w:rsidRPr="00CB1838">
        <w:rPr>
          <w:b w:val="0"/>
          <w:noProof/>
          <w:sz w:val="18"/>
        </w:rPr>
        <w:fldChar w:fldCharType="begin"/>
      </w:r>
      <w:r w:rsidRPr="00CB1838">
        <w:rPr>
          <w:b w:val="0"/>
          <w:noProof/>
          <w:sz w:val="18"/>
        </w:rPr>
        <w:instrText xml:space="preserve"> PAGEREF _Toc76036261 \h </w:instrText>
      </w:r>
      <w:r w:rsidRPr="00CB1838">
        <w:rPr>
          <w:b w:val="0"/>
          <w:noProof/>
          <w:sz w:val="18"/>
        </w:rPr>
      </w:r>
      <w:r w:rsidRPr="00CB1838">
        <w:rPr>
          <w:b w:val="0"/>
          <w:noProof/>
          <w:sz w:val="18"/>
        </w:rPr>
        <w:fldChar w:fldCharType="separate"/>
      </w:r>
      <w:r w:rsidR="00C229EB">
        <w:rPr>
          <w:b w:val="0"/>
          <w:noProof/>
          <w:sz w:val="18"/>
        </w:rPr>
        <w:t>10</w:t>
      </w:r>
      <w:r w:rsidRPr="00CB1838">
        <w:rPr>
          <w:b w:val="0"/>
          <w:noProof/>
          <w:sz w:val="18"/>
        </w:rPr>
        <w:fldChar w:fldCharType="end"/>
      </w:r>
    </w:p>
    <w:p w14:paraId="695A98EA" w14:textId="02862A48" w:rsidR="00CB1838" w:rsidRDefault="00CB1838">
      <w:pPr>
        <w:pStyle w:val="TOC9"/>
        <w:rPr>
          <w:rFonts w:asciiTheme="minorHAnsi" w:eastAsiaTheme="minorEastAsia" w:hAnsiTheme="minorHAnsi" w:cstheme="minorBidi"/>
          <w:i w:val="0"/>
          <w:noProof/>
          <w:kern w:val="0"/>
          <w:sz w:val="22"/>
          <w:szCs w:val="22"/>
        </w:rPr>
      </w:pPr>
      <w:r>
        <w:rPr>
          <w:noProof/>
        </w:rPr>
        <w:t>National Radioactive Waste Management Act 2012</w:t>
      </w:r>
      <w:r w:rsidRPr="00CB1838">
        <w:rPr>
          <w:i w:val="0"/>
          <w:noProof/>
          <w:sz w:val="18"/>
        </w:rPr>
        <w:tab/>
      </w:r>
      <w:r w:rsidRPr="00CB1838">
        <w:rPr>
          <w:i w:val="0"/>
          <w:noProof/>
          <w:sz w:val="18"/>
        </w:rPr>
        <w:fldChar w:fldCharType="begin"/>
      </w:r>
      <w:r w:rsidRPr="00CB1838">
        <w:rPr>
          <w:i w:val="0"/>
          <w:noProof/>
          <w:sz w:val="18"/>
        </w:rPr>
        <w:instrText xml:space="preserve"> PAGEREF _Toc76036262 \h </w:instrText>
      </w:r>
      <w:r w:rsidRPr="00CB1838">
        <w:rPr>
          <w:i w:val="0"/>
          <w:noProof/>
          <w:sz w:val="18"/>
        </w:rPr>
      </w:r>
      <w:r w:rsidRPr="00CB1838">
        <w:rPr>
          <w:i w:val="0"/>
          <w:noProof/>
          <w:sz w:val="18"/>
        </w:rPr>
        <w:fldChar w:fldCharType="separate"/>
      </w:r>
      <w:r w:rsidR="00C229EB">
        <w:rPr>
          <w:i w:val="0"/>
          <w:noProof/>
          <w:sz w:val="18"/>
        </w:rPr>
        <w:t>10</w:t>
      </w:r>
      <w:r w:rsidRPr="00CB1838">
        <w:rPr>
          <w:i w:val="0"/>
          <w:noProof/>
          <w:sz w:val="18"/>
        </w:rPr>
        <w:fldChar w:fldCharType="end"/>
      </w:r>
    </w:p>
    <w:p w14:paraId="53A92638" w14:textId="77777777" w:rsidR="00060FF9" w:rsidRPr="00140184" w:rsidRDefault="00CB1838" w:rsidP="0048364F">
      <w:r>
        <w:fldChar w:fldCharType="end"/>
      </w:r>
    </w:p>
    <w:p w14:paraId="1B2C0AB0" w14:textId="77777777" w:rsidR="00FE7F93" w:rsidRPr="00140184" w:rsidRDefault="00FE7F93" w:rsidP="0048364F">
      <w:pPr>
        <w:sectPr w:rsidR="00FE7F93" w:rsidRPr="00140184" w:rsidSect="00267992">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14:paraId="03A2BB56" w14:textId="77777777" w:rsidR="00267992" w:rsidRDefault="00267992">
      <w:r>
        <w:object w:dxaOrig="2146" w:dyaOrig="1561" w14:anchorId="690AB6F5">
          <v:shape id="_x0000_i1027" type="#_x0000_t75" alt="Commonwealth Coat of Arms of Australia" style="width:110.25pt;height:80.25pt" o:ole="" fillcolor="window">
            <v:imagedata r:id="rId7" o:title=""/>
          </v:shape>
          <o:OLEObject Type="Embed" ProgID="Word.Picture.8" ShapeID="_x0000_i1027" DrawAspect="Content" ObjectID="_1686649203" r:id="rId20"/>
        </w:object>
      </w:r>
    </w:p>
    <w:p w14:paraId="14F98AF7" w14:textId="77777777" w:rsidR="00267992" w:rsidRDefault="00267992"/>
    <w:p w14:paraId="4454EC76" w14:textId="77777777" w:rsidR="00267992" w:rsidRDefault="00267992" w:rsidP="000178F8">
      <w:pPr>
        <w:spacing w:line="240" w:lineRule="auto"/>
      </w:pPr>
    </w:p>
    <w:p w14:paraId="090056B1" w14:textId="4B3BB68E" w:rsidR="00267992" w:rsidRDefault="00C229EB" w:rsidP="000178F8">
      <w:pPr>
        <w:pStyle w:val="ShortTP1"/>
      </w:pPr>
      <w:r>
        <w:fldChar w:fldCharType="begin"/>
      </w:r>
      <w:r>
        <w:instrText xml:space="preserve"> STYLEREF ShortT </w:instrText>
      </w:r>
      <w:r>
        <w:fldChar w:fldCharType="separate"/>
      </w:r>
      <w:r>
        <w:rPr>
          <w:noProof/>
        </w:rPr>
        <w:t>National Radioactive Waste Management Amendment (Site Selection, Community Fund and Other Measures) Act 2021</w:t>
      </w:r>
      <w:r>
        <w:rPr>
          <w:noProof/>
        </w:rPr>
        <w:fldChar w:fldCharType="end"/>
      </w:r>
    </w:p>
    <w:p w14:paraId="6D0A8663" w14:textId="78E287AE" w:rsidR="00267992" w:rsidRDefault="00C229EB" w:rsidP="000178F8">
      <w:pPr>
        <w:pStyle w:val="ActNoP1"/>
      </w:pPr>
      <w:r>
        <w:fldChar w:fldCharType="begin"/>
      </w:r>
      <w:r>
        <w:instrText xml:space="preserve"> STYLEREF Actno </w:instrText>
      </w:r>
      <w:r>
        <w:fldChar w:fldCharType="separate"/>
      </w:r>
      <w:r>
        <w:rPr>
          <w:noProof/>
        </w:rPr>
        <w:t>No. 59, 2021</w:t>
      </w:r>
      <w:r>
        <w:rPr>
          <w:noProof/>
        </w:rPr>
        <w:fldChar w:fldCharType="end"/>
      </w:r>
    </w:p>
    <w:p w14:paraId="47D265BF" w14:textId="77777777" w:rsidR="00267992" w:rsidRPr="009A0728" w:rsidRDefault="00267992" w:rsidP="009A0728">
      <w:pPr>
        <w:pBdr>
          <w:bottom w:val="single" w:sz="6" w:space="0" w:color="auto"/>
        </w:pBdr>
        <w:spacing w:before="400" w:line="240" w:lineRule="auto"/>
        <w:rPr>
          <w:rFonts w:eastAsia="Times New Roman"/>
          <w:b/>
          <w:sz w:val="28"/>
        </w:rPr>
      </w:pPr>
    </w:p>
    <w:p w14:paraId="6D962BDF" w14:textId="77777777" w:rsidR="00267992" w:rsidRPr="009A0728" w:rsidRDefault="00267992" w:rsidP="009A0728">
      <w:pPr>
        <w:spacing w:line="40" w:lineRule="exact"/>
        <w:rPr>
          <w:rFonts w:eastAsia="Calibri"/>
          <w:b/>
          <w:sz w:val="28"/>
        </w:rPr>
      </w:pPr>
    </w:p>
    <w:p w14:paraId="351E01E6" w14:textId="77777777" w:rsidR="00267992" w:rsidRPr="009A0728" w:rsidRDefault="00267992" w:rsidP="009A0728">
      <w:pPr>
        <w:pBdr>
          <w:top w:val="single" w:sz="12" w:space="0" w:color="auto"/>
        </w:pBdr>
        <w:spacing w:line="240" w:lineRule="auto"/>
        <w:rPr>
          <w:rFonts w:eastAsia="Times New Roman"/>
          <w:b/>
          <w:sz w:val="28"/>
        </w:rPr>
      </w:pPr>
    </w:p>
    <w:p w14:paraId="5B3BA002" w14:textId="77777777" w:rsidR="00267992" w:rsidRDefault="00267992" w:rsidP="00267992">
      <w:pPr>
        <w:pStyle w:val="Page1"/>
        <w:spacing w:before="400"/>
      </w:pPr>
      <w:r>
        <w:t xml:space="preserve">An Act to amend the </w:t>
      </w:r>
      <w:r w:rsidRPr="00267992">
        <w:rPr>
          <w:i/>
        </w:rPr>
        <w:t>National Radioactive Waste Management Act 2012</w:t>
      </w:r>
      <w:r>
        <w:t>, and for related purposes</w:t>
      </w:r>
    </w:p>
    <w:p w14:paraId="19764332" w14:textId="77777777" w:rsidR="00A63D4D" w:rsidRDefault="00A63D4D" w:rsidP="000C5962">
      <w:pPr>
        <w:pStyle w:val="AssentDt"/>
        <w:spacing w:before="240"/>
        <w:rPr>
          <w:sz w:val="24"/>
        </w:rPr>
      </w:pPr>
      <w:r>
        <w:rPr>
          <w:sz w:val="24"/>
        </w:rPr>
        <w:t>[</w:t>
      </w:r>
      <w:r>
        <w:rPr>
          <w:i/>
          <w:sz w:val="24"/>
        </w:rPr>
        <w:t>Assented to 29 June 2021</w:t>
      </w:r>
      <w:r>
        <w:rPr>
          <w:sz w:val="24"/>
        </w:rPr>
        <w:t>]</w:t>
      </w:r>
    </w:p>
    <w:p w14:paraId="68FCA02A" w14:textId="77777777" w:rsidR="0048364F" w:rsidRPr="00140184" w:rsidRDefault="0048364F" w:rsidP="00140184">
      <w:pPr>
        <w:spacing w:before="240" w:line="240" w:lineRule="auto"/>
        <w:rPr>
          <w:sz w:val="32"/>
        </w:rPr>
      </w:pPr>
      <w:r w:rsidRPr="00140184">
        <w:rPr>
          <w:sz w:val="32"/>
        </w:rPr>
        <w:t>The Parliament of Australia enacts:</w:t>
      </w:r>
    </w:p>
    <w:p w14:paraId="3E9964A4" w14:textId="77777777" w:rsidR="0048364F" w:rsidRPr="00140184" w:rsidRDefault="0048364F" w:rsidP="00140184">
      <w:pPr>
        <w:pStyle w:val="ActHead5"/>
      </w:pPr>
      <w:bookmarkStart w:id="2" w:name="_Toc76036249"/>
      <w:r w:rsidRPr="00DB702F">
        <w:rPr>
          <w:rStyle w:val="CharSectno"/>
        </w:rPr>
        <w:t>1</w:t>
      </w:r>
      <w:r w:rsidRPr="00140184">
        <w:t xml:space="preserve">  Short title</w:t>
      </w:r>
      <w:bookmarkEnd w:id="2"/>
    </w:p>
    <w:p w14:paraId="1DB6CB4F" w14:textId="77777777" w:rsidR="00267992" w:rsidRDefault="00267992" w:rsidP="00267992">
      <w:pPr>
        <w:pStyle w:val="subsection"/>
      </w:pPr>
      <w:r>
        <w:tab/>
      </w:r>
      <w:r>
        <w:tab/>
        <w:t xml:space="preserve">This Act is the </w:t>
      </w:r>
      <w:r w:rsidRPr="00267992">
        <w:rPr>
          <w:i/>
        </w:rPr>
        <w:t>National Radioactive Waste Management Amendment (Site Selection, Community Fund and Other Measures) Act 202</w:t>
      </w:r>
      <w:r>
        <w:rPr>
          <w:i/>
        </w:rPr>
        <w:t>1</w:t>
      </w:r>
      <w:r>
        <w:t>.</w:t>
      </w:r>
    </w:p>
    <w:p w14:paraId="08A2667A" w14:textId="77777777" w:rsidR="0048364F" w:rsidRPr="00140184" w:rsidRDefault="0048364F" w:rsidP="00140184">
      <w:pPr>
        <w:pStyle w:val="ActHead5"/>
      </w:pPr>
      <w:bookmarkStart w:id="3" w:name="_Toc76036250"/>
      <w:r w:rsidRPr="00DB702F">
        <w:rPr>
          <w:rStyle w:val="CharSectno"/>
        </w:rPr>
        <w:t>2</w:t>
      </w:r>
      <w:r w:rsidRPr="00140184">
        <w:t xml:space="preserve">  Commencement</w:t>
      </w:r>
      <w:bookmarkEnd w:id="3"/>
    </w:p>
    <w:p w14:paraId="59420274" w14:textId="77777777" w:rsidR="0048364F" w:rsidRPr="00140184" w:rsidRDefault="0048364F" w:rsidP="00140184">
      <w:pPr>
        <w:pStyle w:val="subsection"/>
      </w:pPr>
      <w:r w:rsidRPr="00140184">
        <w:tab/>
        <w:t>(1)</w:t>
      </w:r>
      <w:r w:rsidRPr="00140184">
        <w:tab/>
        <w:t>Each provision of this Act specified in column 1 of the table commences, or is taken to have commenced, in accordance with column 2 of the table. Any other statement in column 2 has effect according to its terms.</w:t>
      </w:r>
    </w:p>
    <w:p w14:paraId="5464F574" w14:textId="77777777" w:rsidR="0048364F" w:rsidRPr="00140184" w:rsidRDefault="0048364F" w:rsidP="0014018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40184" w14:paraId="0C0C18B8" w14:textId="77777777" w:rsidTr="00E76C6D">
        <w:trPr>
          <w:tblHeader/>
        </w:trPr>
        <w:tc>
          <w:tcPr>
            <w:tcW w:w="7111" w:type="dxa"/>
            <w:gridSpan w:val="3"/>
            <w:tcBorders>
              <w:top w:val="single" w:sz="12" w:space="0" w:color="auto"/>
              <w:bottom w:val="single" w:sz="6" w:space="0" w:color="auto"/>
            </w:tcBorders>
            <w:shd w:val="clear" w:color="auto" w:fill="auto"/>
          </w:tcPr>
          <w:p w14:paraId="402950C3" w14:textId="77777777" w:rsidR="0048364F" w:rsidRPr="00140184" w:rsidRDefault="0048364F" w:rsidP="00140184">
            <w:pPr>
              <w:pStyle w:val="TableHeading"/>
            </w:pPr>
            <w:r w:rsidRPr="00140184">
              <w:lastRenderedPageBreak/>
              <w:t>Commencement information</w:t>
            </w:r>
          </w:p>
        </w:tc>
      </w:tr>
      <w:tr w:rsidR="0048364F" w:rsidRPr="00140184" w14:paraId="6360BCAD" w14:textId="77777777" w:rsidTr="00E76C6D">
        <w:trPr>
          <w:tblHeader/>
        </w:trPr>
        <w:tc>
          <w:tcPr>
            <w:tcW w:w="1701" w:type="dxa"/>
            <w:tcBorders>
              <w:top w:val="single" w:sz="6" w:space="0" w:color="auto"/>
              <w:bottom w:val="single" w:sz="6" w:space="0" w:color="auto"/>
            </w:tcBorders>
            <w:shd w:val="clear" w:color="auto" w:fill="auto"/>
          </w:tcPr>
          <w:p w14:paraId="471CF015" w14:textId="77777777" w:rsidR="0048364F" w:rsidRPr="00140184" w:rsidRDefault="0048364F" w:rsidP="00140184">
            <w:pPr>
              <w:pStyle w:val="TableHeading"/>
            </w:pPr>
            <w:r w:rsidRPr="00140184">
              <w:t>Column 1</w:t>
            </w:r>
          </w:p>
        </w:tc>
        <w:tc>
          <w:tcPr>
            <w:tcW w:w="3828" w:type="dxa"/>
            <w:tcBorders>
              <w:top w:val="single" w:sz="6" w:space="0" w:color="auto"/>
              <w:bottom w:val="single" w:sz="6" w:space="0" w:color="auto"/>
            </w:tcBorders>
            <w:shd w:val="clear" w:color="auto" w:fill="auto"/>
          </w:tcPr>
          <w:p w14:paraId="3C333A09" w14:textId="77777777" w:rsidR="0048364F" w:rsidRPr="00140184" w:rsidRDefault="0048364F" w:rsidP="00140184">
            <w:pPr>
              <w:pStyle w:val="TableHeading"/>
            </w:pPr>
            <w:r w:rsidRPr="00140184">
              <w:t>Column 2</w:t>
            </w:r>
          </w:p>
        </w:tc>
        <w:tc>
          <w:tcPr>
            <w:tcW w:w="1582" w:type="dxa"/>
            <w:tcBorders>
              <w:top w:val="single" w:sz="6" w:space="0" w:color="auto"/>
              <w:bottom w:val="single" w:sz="6" w:space="0" w:color="auto"/>
            </w:tcBorders>
            <w:shd w:val="clear" w:color="auto" w:fill="auto"/>
          </w:tcPr>
          <w:p w14:paraId="14462E09" w14:textId="77777777" w:rsidR="0048364F" w:rsidRPr="00140184" w:rsidRDefault="0048364F" w:rsidP="00140184">
            <w:pPr>
              <w:pStyle w:val="TableHeading"/>
            </w:pPr>
            <w:r w:rsidRPr="00140184">
              <w:t>Column 3</w:t>
            </w:r>
          </w:p>
        </w:tc>
      </w:tr>
      <w:tr w:rsidR="0048364F" w:rsidRPr="00140184" w14:paraId="372A00D2" w14:textId="77777777" w:rsidTr="00E76C6D">
        <w:trPr>
          <w:tblHeader/>
        </w:trPr>
        <w:tc>
          <w:tcPr>
            <w:tcW w:w="1701" w:type="dxa"/>
            <w:tcBorders>
              <w:top w:val="single" w:sz="6" w:space="0" w:color="auto"/>
              <w:bottom w:val="single" w:sz="12" w:space="0" w:color="auto"/>
            </w:tcBorders>
            <w:shd w:val="clear" w:color="auto" w:fill="auto"/>
          </w:tcPr>
          <w:p w14:paraId="1133158A" w14:textId="77777777" w:rsidR="0048364F" w:rsidRPr="00140184" w:rsidRDefault="0048364F" w:rsidP="00140184">
            <w:pPr>
              <w:pStyle w:val="TableHeading"/>
            </w:pPr>
            <w:r w:rsidRPr="00140184">
              <w:t>Provisions</w:t>
            </w:r>
          </w:p>
        </w:tc>
        <w:tc>
          <w:tcPr>
            <w:tcW w:w="3828" w:type="dxa"/>
            <w:tcBorders>
              <w:top w:val="single" w:sz="6" w:space="0" w:color="auto"/>
              <w:bottom w:val="single" w:sz="12" w:space="0" w:color="auto"/>
            </w:tcBorders>
            <w:shd w:val="clear" w:color="auto" w:fill="auto"/>
          </w:tcPr>
          <w:p w14:paraId="6FCDF6B1" w14:textId="77777777" w:rsidR="0048364F" w:rsidRPr="00140184" w:rsidRDefault="0048364F" w:rsidP="00140184">
            <w:pPr>
              <w:pStyle w:val="TableHeading"/>
            </w:pPr>
            <w:r w:rsidRPr="00140184">
              <w:t>Commencement</w:t>
            </w:r>
          </w:p>
        </w:tc>
        <w:tc>
          <w:tcPr>
            <w:tcW w:w="1582" w:type="dxa"/>
            <w:tcBorders>
              <w:top w:val="single" w:sz="6" w:space="0" w:color="auto"/>
              <w:bottom w:val="single" w:sz="12" w:space="0" w:color="auto"/>
            </w:tcBorders>
            <w:shd w:val="clear" w:color="auto" w:fill="auto"/>
          </w:tcPr>
          <w:p w14:paraId="4B7DE0E8" w14:textId="77777777" w:rsidR="0048364F" w:rsidRPr="00140184" w:rsidRDefault="0048364F" w:rsidP="00140184">
            <w:pPr>
              <w:pStyle w:val="TableHeading"/>
            </w:pPr>
            <w:r w:rsidRPr="00140184">
              <w:t>Date/Details</w:t>
            </w:r>
          </w:p>
        </w:tc>
      </w:tr>
      <w:tr w:rsidR="0048364F" w:rsidRPr="00140184" w14:paraId="38D9884B" w14:textId="77777777" w:rsidTr="00E76C6D">
        <w:tc>
          <w:tcPr>
            <w:tcW w:w="1701" w:type="dxa"/>
            <w:tcBorders>
              <w:top w:val="single" w:sz="12" w:space="0" w:color="auto"/>
              <w:bottom w:val="single" w:sz="12" w:space="0" w:color="auto"/>
            </w:tcBorders>
            <w:shd w:val="clear" w:color="auto" w:fill="auto"/>
          </w:tcPr>
          <w:p w14:paraId="616E3847" w14:textId="77777777" w:rsidR="0048364F" w:rsidRPr="00140184" w:rsidRDefault="00F074C4" w:rsidP="00E76C6D">
            <w:pPr>
              <w:pStyle w:val="Tabletext"/>
            </w:pPr>
            <w:r>
              <w:t>1</w:t>
            </w:r>
            <w:r w:rsidR="0048364F" w:rsidRPr="00140184">
              <w:t xml:space="preserve">.  </w:t>
            </w:r>
            <w:r w:rsidR="00E76C6D">
              <w:t>The whole of this Act</w:t>
            </w:r>
          </w:p>
        </w:tc>
        <w:tc>
          <w:tcPr>
            <w:tcW w:w="3828" w:type="dxa"/>
            <w:tcBorders>
              <w:top w:val="single" w:sz="12" w:space="0" w:color="auto"/>
              <w:bottom w:val="single" w:sz="12" w:space="0" w:color="auto"/>
            </w:tcBorders>
            <w:shd w:val="clear" w:color="auto" w:fill="auto"/>
          </w:tcPr>
          <w:p w14:paraId="5C71DA47" w14:textId="77777777" w:rsidR="0048364F" w:rsidRPr="00140184" w:rsidRDefault="0048364F" w:rsidP="00140184">
            <w:pPr>
              <w:pStyle w:val="Tabletext"/>
            </w:pPr>
            <w:r w:rsidRPr="00140184">
              <w:t xml:space="preserve">The day </w:t>
            </w:r>
            <w:r w:rsidR="00E76C6D">
              <w:t xml:space="preserve">after </w:t>
            </w:r>
            <w:r w:rsidRPr="00140184">
              <w:t>this Act receives the Royal Assent</w:t>
            </w:r>
            <w:bookmarkStart w:id="4" w:name="BK_S3P2L4C43"/>
            <w:bookmarkStart w:id="5" w:name="BK_S3P2L5C7"/>
            <w:bookmarkEnd w:id="4"/>
            <w:bookmarkEnd w:id="5"/>
            <w:r w:rsidRPr="00140184">
              <w:t>.</w:t>
            </w:r>
          </w:p>
        </w:tc>
        <w:tc>
          <w:tcPr>
            <w:tcW w:w="1582" w:type="dxa"/>
            <w:tcBorders>
              <w:top w:val="single" w:sz="12" w:space="0" w:color="auto"/>
              <w:bottom w:val="single" w:sz="12" w:space="0" w:color="auto"/>
            </w:tcBorders>
            <w:shd w:val="clear" w:color="auto" w:fill="auto"/>
          </w:tcPr>
          <w:p w14:paraId="16CFB182" w14:textId="77777777" w:rsidR="0048364F" w:rsidRPr="00140184" w:rsidRDefault="000C319E" w:rsidP="00140184">
            <w:pPr>
              <w:pStyle w:val="Tabletext"/>
            </w:pPr>
            <w:r>
              <w:t>30 June 2021</w:t>
            </w:r>
          </w:p>
        </w:tc>
      </w:tr>
    </w:tbl>
    <w:p w14:paraId="0C4E6457" w14:textId="77777777" w:rsidR="0048364F" w:rsidRPr="00140184" w:rsidRDefault="00201D27" w:rsidP="00140184">
      <w:pPr>
        <w:pStyle w:val="notetext"/>
      </w:pPr>
      <w:r w:rsidRPr="00140184">
        <w:t>Note:</w:t>
      </w:r>
      <w:r w:rsidRPr="00140184">
        <w:tab/>
        <w:t>This table relates only to the provisions of this Act as originally enacted. It will not be amended to deal with any later amendments of this Act.</w:t>
      </w:r>
    </w:p>
    <w:p w14:paraId="366C0ED6" w14:textId="77777777" w:rsidR="0008411A" w:rsidRPr="0008411A" w:rsidRDefault="0048364F" w:rsidP="00F464A4">
      <w:pPr>
        <w:pStyle w:val="subsection"/>
      </w:pPr>
      <w:r w:rsidRPr="00140184">
        <w:tab/>
        <w:t>(2)</w:t>
      </w:r>
      <w:r w:rsidRPr="00140184">
        <w:tab/>
      </w:r>
      <w:r w:rsidR="00201D27" w:rsidRPr="00140184">
        <w:t xml:space="preserve">Any information in </w:t>
      </w:r>
      <w:r w:rsidR="00877D48" w:rsidRPr="00140184">
        <w:t>c</w:t>
      </w:r>
      <w:r w:rsidR="00201D27" w:rsidRPr="00140184">
        <w:t>olumn 3 of the table is not part of this Act. Information may be inserted in this column, or information in it may be edited, in any published version of this Act.</w:t>
      </w:r>
    </w:p>
    <w:p w14:paraId="6A81E82E" w14:textId="77777777" w:rsidR="0048364F" w:rsidRPr="00140184" w:rsidRDefault="0048364F" w:rsidP="00140184">
      <w:pPr>
        <w:pStyle w:val="ActHead5"/>
      </w:pPr>
      <w:bookmarkStart w:id="6" w:name="_Toc76036251"/>
      <w:r w:rsidRPr="00DB702F">
        <w:rPr>
          <w:rStyle w:val="CharSectno"/>
        </w:rPr>
        <w:t>3</w:t>
      </w:r>
      <w:r w:rsidRPr="00140184">
        <w:t xml:space="preserve">  Schedules</w:t>
      </w:r>
      <w:bookmarkEnd w:id="6"/>
    </w:p>
    <w:p w14:paraId="14B50EA5" w14:textId="77777777" w:rsidR="004C63DF" w:rsidRPr="00436126" w:rsidRDefault="0048364F" w:rsidP="004C63DF">
      <w:pPr>
        <w:pStyle w:val="subsection"/>
      </w:pPr>
      <w:r w:rsidRPr="00140184">
        <w:tab/>
      </w:r>
      <w:r w:rsidRPr="00140184">
        <w:tab/>
      </w:r>
      <w:r w:rsidR="00202618" w:rsidRPr="00140184">
        <w:t>Legislation that is specified in a Schedule to this Act is amended or repealed as set out in the applicable items in the Schedule concerned, and any other item in a Schedule to this Act has effect according to its terms.</w:t>
      </w:r>
    </w:p>
    <w:p w14:paraId="00FF92EE" w14:textId="77777777" w:rsidR="00836719" w:rsidRDefault="00836719" w:rsidP="00836719">
      <w:pPr>
        <w:pStyle w:val="ActHead6"/>
        <w:pageBreakBefore/>
      </w:pPr>
      <w:bookmarkStart w:id="7" w:name="opcBkStart"/>
      <w:bookmarkStart w:id="8" w:name="BK_S3P4L1C1"/>
      <w:bookmarkStart w:id="9" w:name="BK_S3P3L1C1"/>
      <w:bookmarkStart w:id="10" w:name="_Toc76036252"/>
      <w:bookmarkEnd w:id="7"/>
      <w:bookmarkEnd w:id="8"/>
      <w:bookmarkEnd w:id="9"/>
      <w:r w:rsidRPr="00836719">
        <w:rPr>
          <w:rStyle w:val="CharAmSchNo"/>
        </w:rPr>
        <w:lastRenderedPageBreak/>
        <w:t>Schedule 1</w:t>
      </w:r>
      <w:r>
        <w:t>—</w:t>
      </w:r>
      <w:r w:rsidRPr="00836719">
        <w:rPr>
          <w:rStyle w:val="CharAmSchText"/>
        </w:rPr>
        <w:t>Site selection</w:t>
      </w:r>
      <w:bookmarkEnd w:id="10"/>
    </w:p>
    <w:p w14:paraId="67B476C5" w14:textId="77777777" w:rsidR="00836719" w:rsidRDefault="00836719" w:rsidP="00836719">
      <w:pPr>
        <w:pStyle w:val="ItemHead"/>
      </w:pPr>
      <w:r>
        <w:t>1  Certain land taken to have been nominated and approved</w:t>
      </w:r>
    </w:p>
    <w:p w14:paraId="113D5A42" w14:textId="77777777" w:rsidR="00836719" w:rsidRDefault="00836719" w:rsidP="00836719">
      <w:pPr>
        <w:pStyle w:val="Subitem"/>
      </w:pPr>
      <w:r>
        <w:t>(1)</w:t>
      </w:r>
      <w:r>
        <w:tab/>
        <w:t xml:space="preserve">For the purposes of the </w:t>
      </w:r>
      <w:r>
        <w:rPr>
          <w:i/>
        </w:rPr>
        <w:t xml:space="preserve">National Radioactive Waste Management Act 2012 </w:t>
      </w:r>
      <w:r>
        <w:t xml:space="preserve">(the </w:t>
      </w:r>
      <w:r>
        <w:rPr>
          <w:b/>
          <w:i/>
        </w:rPr>
        <w:t>Act</w:t>
      </w:r>
      <w:r>
        <w:t>), the following table has effect:</w:t>
      </w:r>
    </w:p>
    <w:p w14:paraId="79BC4A20" w14:textId="77777777" w:rsidR="00836719" w:rsidRDefault="00836719" w:rsidP="00836719">
      <w:pPr>
        <w:pStyle w:val="Tabletext"/>
      </w:pPr>
    </w:p>
    <w:tbl>
      <w:tblPr>
        <w:tblW w:w="7139" w:type="dxa"/>
        <w:tblInd w:w="94"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616"/>
        <w:gridCol w:w="1148"/>
        <w:gridCol w:w="1554"/>
        <w:gridCol w:w="2338"/>
        <w:gridCol w:w="1483"/>
      </w:tblGrid>
      <w:tr w:rsidR="00836719" w14:paraId="5EEA960B" w14:textId="77777777" w:rsidTr="00064200">
        <w:trPr>
          <w:tblHeader/>
        </w:trPr>
        <w:tc>
          <w:tcPr>
            <w:tcW w:w="7139" w:type="dxa"/>
            <w:gridSpan w:val="5"/>
            <w:tcBorders>
              <w:top w:val="single" w:sz="12" w:space="0" w:color="auto"/>
              <w:left w:val="nil"/>
              <w:bottom w:val="single" w:sz="6" w:space="0" w:color="auto"/>
              <w:right w:val="nil"/>
            </w:tcBorders>
            <w:hideMark/>
          </w:tcPr>
          <w:p w14:paraId="477497A6" w14:textId="77777777" w:rsidR="00836719" w:rsidRDefault="00836719" w:rsidP="00855B35">
            <w:pPr>
              <w:pStyle w:val="TableHeading"/>
              <w:rPr>
                <w:lang w:eastAsia="en-US"/>
              </w:rPr>
            </w:pPr>
            <w:r>
              <w:rPr>
                <w:lang w:eastAsia="en-US"/>
              </w:rPr>
              <w:t>Land taken to have been nominated and approved</w:t>
            </w:r>
          </w:p>
        </w:tc>
      </w:tr>
      <w:tr w:rsidR="00064200" w14:paraId="5B0E70D3" w14:textId="77777777" w:rsidTr="00064200">
        <w:trPr>
          <w:tblHeader/>
        </w:trPr>
        <w:tc>
          <w:tcPr>
            <w:tcW w:w="616" w:type="dxa"/>
            <w:tcBorders>
              <w:top w:val="single" w:sz="6" w:space="0" w:color="auto"/>
              <w:left w:val="nil"/>
              <w:bottom w:val="single" w:sz="12" w:space="0" w:color="auto"/>
              <w:right w:val="nil"/>
            </w:tcBorders>
            <w:hideMark/>
          </w:tcPr>
          <w:p w14:paraId="688AFC8F" w14:textId="77777777" w:rsidR="00836719" w:rsidRDefault="00836719" w:rsidP="00855B35">
            <w:pPr>
              <w:pStyle w:val="TableHeading"/>
              <w:rPr>
                <w:lang w:eastAsia="en-US"/>
              </w:rPr>
            </w:pPr>
            <w:r>
              <w:rPr>
                <w:lang w:eastAsia="en-US"/>
              </w:rPr>
              <w:t>Item</w:t>
            </w:r>
          </w:p>
        </w:tc>
        <w:tc>
          <w:tcPr>
            <w:tcW w:w="1148" w:type="dxa"/>
            <w:tcBorders>
              <w:top w:val="single" w:sz="6" w:space="0" w:color="auto"/>
              <w:left w:val="nil"/>
              <w:bottom w:val="single" w:sz="12" w:space="0" w:color="auto"/>
              <w:right w:val="nil"/>
            </w:tcBorders>
            <w:hideMark/>
          </w:tcPr>
          <w:p w14:paraId="3707EE9D" w14:textId="77777777" w:rsidR="00836719" w:rsidRDefault="00836719" w:rsidP="00855B35">
            <w:pPr>
              <w:pStyle w:val="TableHeading"/>
              <w:rPr>
                <w:lang w:eastAsia="en-US"/>
              </w:rPr>
            </w:pPr>
            <w:r>
              <w:rPr>
                <w:lang w:eastAsia="en-US"/>
              </w:rPr>
              <w:t>Column 1</w:t>
            </w:r>
          </w:p>
          <w:p w14:paraId="4659CFC2" w14:textId="77777777" w:rsidR="00836719" w:rsidRDefault="00836719" w:rsidP="00855B35">
            <w:pPr>
              <w:pStyle w:val="TableHeading"/>
              <w:rPr>
                <w:lang w:eastAsia="en-US"/>
              </w:rPr>
            </w:pPr>
            <w:r>
              <w:rPr>
                <w:lang w:eastAsia="en-US"/>
              </w:rPr>
              <w:t>The land specified in...</w:t>
            </w:r>
          </w:p>
        </w:tc>
        <w:tc>
          <w:tcPr>
            <w:tcW w:w="1554" w:type="dxa"/>
            <w:tcBorders>
              <w:top w:val="single" w:sz="6" w:space="0" w:color="auto"/>
              <w:left w:val="nil"/>
              <w:bottom w:val="single" w:sz="12" w:space="0" w:color="auto"/>
              <w:right w:val="nil"/>
            </w:tcBorders>
            <w:hideMark/>
          </w:tcPr>
          <w:p w14:paraId="7E840D54" w14:textId="77777777" w:rsidR="00836719" w:rsidRDefault="00836719" w:rsidP="00855B35">
            <w:pPr>
              <w:pStyle w:val="TableHeading"/>
              <w:rPr>
                <w:lang w:eastAsia="en-US"/>
              </w:rPr>
            </w:pPr>
            <w:r>
              <w:rPr>
                <w:lang w:eastAsia="en-US"/>
              </w:rPr>
              <w:t>Column 2</w:t>
            </w:r>
          </w:p>
          <w:p w14:paraId="2B005723" w14:textId="77777777" w:rsidR="00836719" w:rsidRDefault="00836719" w:rsidP="00855B35">
            <w:pPr>
              <w:pStyle w:val="TableHeading"/>
              <w:rPr>
                <w:lang w:eastAsia="en-US"/>
              </w:rPr>
            </w:pPr>
            <w:r>
              <w:rPr>
                <w:lang w:eastAsia="en-US"/>
              </w:rPr>
              <w:t>is taken to have been nominated as a site under section 7 of the Act on...</w:t>
            </w:r>
          </w:p>
        </w:tc>
        <w:tc>
          <w:tcPr>
            <w:tcW w:w="2338" w:type="dxa"/>
            <w:tcBorders>
              <w:top w:val="single" w:sz="6" w:space="0" w:color="auto"/>
              <w:left w:val="nil"/>
              <w:bottom w:val="single" w:sz="12" w:space="0" w:color="auto"/>
              <w:right w:val="nil"/>
            </w:tcBorders>
            <w:hideMark/>
          </w:tcPr>
          <w:p w14:paraId="471BAADD" w14:textId="77777777" w:rsidR="00836719" w:rsidRDefault="00836719" w:rsidP="00855B35">
            <w:pPr>
              <w:pStyle w:val="TableHeading"/>
              <w:rPr>
                <w:lang w:eastAsia="en-US"/>
              </w:rPr>
            </w:pPr>
            <w:r>
              <w:rPr>
                <w:lang w:eastAsia="en-US"/>
              </w:rPr>
              <w:t>Column 3</w:t>
            </w:r>
          </w:p>
          <w:p w14:paraId="0B76AF43" w14:textId="77777777" w:rsidR="00836719" w:rsidRDefault="00836719" w:rsidP="00855B35">
            <w:pPr>
              <w:pStyle w:val="TableHeading"/>
              <w:rPr>
                <w:lang w:eastAsia="en-US"/>
              </w:rPr>
            </w:pPr>
            <w:r>
              <w:rPr>
                <w:lang w:eastAsia="en-US"/>
              </w:rPr>
              <w:t>and is taken to have been nominated as a site under section 7 of the Act by...</w:t>
            </w:r>
          </w:p>
        </w:tc>
        <w:tc>
          <w:tcPr>
            <w:tcW w:w="1483" w:type="dxa"/>
            <w:tcBorders>
              <w:top w:val="single" w:sz="6" w:space="0" w:color="auto"/>
              <w:left w:val="nil"/>
              <w:bottom w:val="single" w:sz="12" w:space="0" w:color="auto"/>
              <w:right w:val="nil"/>
            </w:tcBorders>
            <w:hideMark/>
          </w:tcPr>
          <w:p w14:paraId="632E620C" w14:textId="77777777" w:rsidR="00836719" w:rsidRDefault="00836719" w:rsidP="00855B35">
            <w:pPr>
              <w:pStyle w:val="TableHeading"/>
              <w:rPr>
                <w:lang w:eastAsia="en-US"/>
              </w:rPr>
            </w:pPr>
            <w:r>
              <w:rPr>
                <w:lang w:eastAsia="en-US"/>
              </w:rPr>
              <w:t>Column 4</w:t>
            </w:r>
          </w:p>
          <w:p w14:paraId="057455DB" w14:textId="77777777" w:rsidR="00836719" w:rsidRDefault="00836719" w:rsidP="00855B35">
            <w:pPr>
              <w:pStyle w:val="TableHeading"/>
              <w:rPr>
                <w:lang w:eastAsia="en-US"/>
              </w:rPr>
            </w:pPr>
            <w:r>
              <w:rPr>
                <w:lang w:eastAsia="en-US"/>
              </w:rPr>
              <w:t>and is taken to have been approved by the Minister as a site under section 9 of the Act on...</w:t>
            </w:r>
          </w:p>
        </w:tc>
      </w:tr>
      <w:tr w:rsidR="00064200" w14:paraId="2D7B655E" w14:textId="77777777" w:rsidTr="00064200">
        <w:tc>
          <w:tcPr>
            <w:tcW w:w="616" w:type="dxa"/>
            <w:tcBorders>
              <w:top w:val="single" w:sz="12" w:space="0" w:color="auto"/>
              <w:left w:val="nil"/>
              <w:bottom w:val="single" w:sz="2" w:space="0" w:color="auto"/>
              <w:right w:val="nil"/>
            </w:tcBorders>
            <w:hideMark/>
          </w:tcPr>
          <w:p w14:paraId="540B2651" w14:textId="77777777" w:rsidR="00836719" w:rsidRDefault="00836719" w:rsidP="00855B35">
            <w:pPr>
              <w:pStyle w:val="Tabletext"/>
              <w:rPr>
                <w:lang w:eastAsia="en-US"/>
              </w:rPr>
            </w:pPr>
            <w:r>
              <w:rPr>
                <w:lang w:eastAsia="en-US"/>
              </w:rPr>
              <w:t>1</w:t>
            </w:r>
          </w:p>
        </w:tc>
        <w:tc>
          <w:tcPr>
            <w:tcW w:w="1148" w:type="dxa"/>
            <w:tcBorders>
              <w:top w:val="single" w:sz="12" w:space="0" w:color="auto"/>
              <w:left w:val="nil"/>
              <w:bottom w:val="single" w:sz="2" w:space="0" w:color="auto"/>
              <w:right w:val="nil"/>
            </w:tcBorders>
            <w:hideMark/>
          </w:tcPr>
          <w:p w14:paraId="4AC9DF32" w14:textId="77777777" w:rsidR="00836719" w:rsidRDefault="00836719" w:rsidP="00855B35">
            <w:pPr>
              <w:pStyle w:val="Tabletext"/>
              <w:rPr>
                <w:lang w:eastAsia="en-US"/>
              </w:rPr>
            </w:pPr>
            <w:r>
              <w:rPr>
                <w:lang w:eastAsia="en-US"/>
              </w:rPr>
              <w:t>subitem (2)</w:t>
            </w:r>
          </w:p>
        </w:tc>
        <w:tc>
          <w:tcPr>
            <w:tcW w:w="1554" w:type="dxa"/>
            <w:tcBorders>
              <w:top w:val="single" w:sz="12" w:space="0" w:color="auto"/>
              <w:left w:val="nil"/>
              <w:bottom w:val="single" w:sz="2" w:space="0" w:color="auto"/>
              <w:right w:val="nil"/>
            </w:tcBorders>
            <w:hideMark/>
          </w:tcPr>
          <w:p w14:paraId="3D845EFA" w14:textId="77777777" w:rsidR="00836719" w:rsidRDefault="00836719" w:rsidP="00855B35">
            <w:pPr>
              <w:pStyle w:val="Tabletext"/>
              <w:rPr>
                <w:lang w:eastAsia="en-US"/>
              </w:rPr>
            </w:pPr>
            <w:r>
              <w:rPr>
                <w:lang w:eastAsia="en-US"/>
              </w:rPr>
              <w:t>27 January 2017</w:t>
            </w:r>
          </w:p>
        </w:tc>
        <w:tc>
          <w:tcPr>
            <w:tcW w:w="2338" w:type="dxa"/>
            <w:tcBorders>
              <w:top w:val="single" w:sz="12" w:space="0" w:color="auto"/>
              <w:left w:val="nil"/>
              <w:bottom w:val="single" w:sz="2" w:space="0" w:color="auto"/>
              <w:right w:val="nil"/>
            </w:tcBorders>
            <w:hideMark/>
          </w:tcPr>
          <w:p w14:paraId="1A3C602F" w14:textId="77777777" w:rsidR="00836719" w:rsidRDefault="00836719" w:rsidP="00855B35">
            <w:pPr>
              <w:pStyle w:val="Tabletext"/>
              <w:rPr>
                <w:lang w:eastAsia="en-US"/>
              </w:rPr>
            </w:pPr>
            <w:r>
              <w:rPr>
                <w:lang w:eastAsia="en-US"/>
              </w:rPr>
              <w:t>each person who, on the date mentioned in column 2 of this item, held an estate in fee simple in the land</w:t>
            </w:r>
          </w:p>
        </w:tc>
        <w:tc>
          <w:tcPr>
            <w:tcW w:w="1483" w:type="dxa"/>
            <w:tcBorders>
              <w:top w:val="single" w:sz="12" w:space="0" w:color="auto"/>
              <w:left w:val="nil"/>
              <w:bottom w:val="single" w:sz="2" w:space="0" w:color="auto"/>
              <w:right w:val="nil"/>
            </w:tcBorders>
            <w:hideMark/>
          </w:tcPr>
          <w:p w14:paraId="1942A9DE" w14:textId="77777777" w:rsidR="00836719" w:rsidRDefault="00836719" w:rsidP="00855B35">
            <w:pPr>
              <w:pStyle w:val="Tabletext"/>
              <w:rPr>
                <w:lang w:eastAsia="en-US"/>
              </w:rPr>
            </w:pPr>
            <w:r>
              <w:rPr>
                <w:lang w:eastAsia="en-US"/>
              </w:rPr>
              <w:t>27 June 2017.</w:t>
            </w:r>
          </w:p>
        </w:tc>
      </w:tr>
      <w:tr w:rsidR="00064200" w14:paraId="206001A4" w14:textId="77777777" w:rsidTr="00064200">
        <w:tc>
          <w:tcPr>
            <w:tcW w:w="616" w:type="dxa"/>
            <w:tcBorders>
              <w:top w:val="single" w:sz="2" w:space="0" w:color="auto"/>
              <w:left w:val="nil"/>
              <w:bottom w:val="single" w:sz="2" w:space="0" w:color="auto"/>
              <w:right w:val="nil"/>
            </w:tcBorders>
            <w:hideMark/>
          </w:tcPr>
          <w:p w14:paraId="71EC9811" w14:textId="77777777" w:rsidR="00836719" w:rsidRDefault="00836719" w:rsidP="00855B35">
            <w:pPr>
              <w:pStyle w:val="Tabletext"/>
              <w:rPr>
                <w:lang w:eastAsia="en-US"/>
              </w:rPr>
            </w:pPr>
            <w:r>
              <w:rPr>
                <w:lang w:eastAsia="en-US"/>
              </w:rPr>
              <w:t>2</w:t>
            </w:r>
          </w:p>
        </w:tc>
        <w:tc>
          <w:tcPr>
            <w:tcW w:w="1148" w:type="dxa"/>
            <w:tcBorders>
              <w:top w:val="single" w:sz="2" w:space="0" w:color="auto"/>
              <w:left w:val="nil"/>
              <w:bottom w:val="single" w:sz="2" w:space="0" w:color="auto"/>
              <w:right w:val="nil"/>
            </w:tcBorders>
            <w:hideMark/>
          </w:tcPr>
          <w:p w14:paraId="1C92CAF9" w14:textId="77777777" w:rsidR="00836719" w:rsidRDefault="00836719" w:rsidP="00855B35">
            <w:pPr>
              <w:pStyle w:val="Tabletext"/>
              <w:rPr>
                <w:lang w:eastAsia="en-US"/>
              </w:rPr>
            </w:pPr>
            <w:r>
              <w:rPr>
                <w:lang w:eastAsia="en-US"/>
              </w:rPr>
              <w:t>subitem (3)</w:t>
            </w:r>
          </w:p>
        </w:tc>
        <w:tc>
          <w:tcPr>
            <w:tcW w:w="1554" w:type="dxa"/>
            <w:tcBorders>
              <w:top w:val="single" w:sz="2" w:space="0" w:color="auto"/>
              <w:left w:val="nil"/>
              <w:bottom w:val="single" w:sz="2" w:space="0" w:color="auto"/>
              <w:right w:val="nil"/>
            </w:tcBorders>
            <w:hideMark/>
          </w:tcPr>
          <w:p w14:paraId="4681839B" w14:textId="77777777" w:rsidR="00836719" w:rsidRDefault="00836719" w:rsidP="00855B35">
            <w:pPr>
              <w:pStyle w:val="Tabletext"/>
              <w:rPr>
                <w:lang w:eastAsia="en-US"/>
              </w:rPr>
            </w:pPr>
            <w:r>
              <w:rPr>
                <w:lang w:eastAsia="en-US"/>
              </w:rPr>
              <w:t>27 January 2017</w:t>
            </w:r>
          </w:p>
        </w:tc>
        <w:tc>
          <w:tcPr>
            <w:tcW w:w="2338" w:type="dxa"/>
            <w:tcBorders>
              <w:top w:val="single" w:sz="2" w:space="0" w:color="auto"/>
              <w:left w:val="nil"/>
              <w:bottom w:val="single" w:sz="2" w:space="0" w:color="auto"/>
              <w:right w:val="nil"/>
            </w:tcBorders>
            <w:hideMark/>
          </w:tcPr>
          <w:p w14:paraId="71A2A048" w14:textId="77777777" w:rsidR="00836719" w:rsidRDefault="00836719" w:rsidP="00855B35">
            <w:pPr>
              <w:pStyle w:val="Tabletext"/>
              <w:rPr>
                <w:lang w:eastAsia="en-US"/>
              </w:rPr>
            </w:pPr>
            <w:r>
              <w:rPr>
                <w:lang w:eastAsia="en-US"/>
              </w:rPr>
              <w:t>each person who, on the date mentioned in column 2 of this item, held an estate in fee simple in the land</w:t>
            </w:r>
          </w:p>
        </w:tc>
        <w:tc>
          <w:tcPr>
            <w:tcW w:w="1483" w:type="dxa"/>
            <w:tcBorders>
              <w:top w:val="single" w:sz="2" w:space="0" w:color="auto"/>
              <w:left w:val="nil"/>
              <w:bottom w:val="single" w:sz="2" w:space="0" w:color="auto"/>
              <w:right w:val="nil"/>
            </w:tcBorders>
            <w:hideMark/>
          </w:tcPr>
          <w:p w14:paraId="06EBD53C" w14:textId="77777777" w:rsidR="00836719" w:rsidRDefault="00836719" w:rsidP="00855B35">
            <w:pPr>
              <w:pStyle w:val="Tabletext"/>
              <w:rPr>
                <w:lang w:eastAsia="en-US"/>
              </w:rPr>
            </w:pPr>
            <w:r>
              <w:rPr>
                <w:lang w:eastAsia="en-US"/>
              </w:rPr>
              <w:t>27 June 2017.</w:t>
            </w:r>
          </w:p>
        </w:tc>
      </w:tr>
      <w:tr w:rsidR="00064200" w14:paraId="6E6D25DE" w14:textId="77777777" w:rsidTr="00064200">
        <w:tc>
          <w:tcPr>
            <w:tcW w:w="616" w:type="dxa"/>
            <w:tcBorders>
              <w:top w:val="single" w:sz="2" w:space="0" w:color="auto"/>
              <w:left w:val="nil"/>
              <w:bottom w:val="single" w:sz="12" w:space="0" w:color="auto"/>
              <w:right w:val="nil"/>
            </w:tcBorders>
            <w:hideMark/>
          </w:tcPr>
          <w:p w14:paraId="1E2BB5D0" w14:textId="77777777" w:rsidR="00836719" w:rsidRDefault="00836719" w:rsidP="00855B35">
            <w:pPr>
              <w:pStyle w:val="Tabletext"/>
              <w:rPr>
                <w:lang w:eastAsia="en-US"/>
              </w:rPr>
            </w:pPr>
            <w:r>
              <w:rPr>
                <w:lang w:eastAsia="en-US"/>
              </w:rPr>
              <w:t>3</w:t>
            </w:r>
          </w:p>
        </w:tc>
        <w:tc>
          <w:tcPr>
            <w:tcW w:w="1148" w:type="dxa"/>
            <w:tcBorders>
              <w:top w:val="single" w:sz="2" w:space="0" w:color="auto"/>
              <w:left w:val="nil"/>
              <w:bottom w:val="single" w:sz="12" w:space="0" w:color="auto"/>
              <w:right w:val="nil"/>
            </w:tcBorders>
            <w:hideMark/>
          </w:tcPr>
          <w:p w14:paraId="0DEAC01C" w14:textId="77777777" w:rsidR="00836719" w:rsidRDefault="00836719" w:rsidP="00855B35">
            <w:pPr>
              <w:pStyle w:val="Tabletext"/>
              <w:rPr>
                <w:lang w:eastAsia="en-US"/>
              </w:rPr>
            </w:pPr>
            <w:r>
              <w:rPr>
                <w:lang w:eastAsia="en-US"/>
              </w:rPr>
              <w:t>subitem (4)</w:t>
            </w:r>
          </w:p>
        </w:tc>
        <w:tc>
          <w:tcPr>
            <w:tcW w:w="1554" w:type="dxa"/>
            <w:tcBorders>
              <w:top w:val="single" w:sz="2" w:space="0" w:color="auto"/>
              <w:left w:val="nil"/>
              <w:bottom w:val="single" w:sz="12" w:space="0" w:color="auto"/>
              <w:right w:val="nil"/>
            </w:tcBorders>
            <w:hideMark/>
          </w:tcPr>
          <w:p w14:paraId="01D8B9F5" w14:textId="77777777" w:rsidR="00836719" w:rsidRDefault="00836719" w:rsidP="00855B35">
            <w:pPr>
              <w:pStyle w:val="Tabletext"/>
              <w:rPr>
                <w:lang w:eastAsia="en-US"/>
              </w:rPr>
            </w:pPr>
            <w:r>
              <w:rPr>
                <w:lang w:eastAsia="en-US"/>
              </w:rPr>
              <w:t>4 May 2015</w:t>
            </w:r>
          </w:p>
        </w:tc>
        <w:tc>
          <w:tcPr>
            <w:tcW w:w="2338" w:type="dxa"/>
            <w:tcBorders>
              <w:top w:val="single" w:sz="2" w:space="0" w:color="auto"/>
              <w:left w:val="nil"/>
              <w:bottom w:val="single" w:sz="12" w:space="0" w:color="auto"/>
              <w:right w:val="nil"/>
            </w:tcBorders>
            <w:hideMark/>
          </w:tcPr>
          <w:p w14:paraId="72629FED" w14:textId="77777777" w:rsidR="00836719" w:rsidRDefault="00836719" w:rsidP="00855B35">
            <w:pPr>
              <w:pStyle w:val="Tabletext"/>
              <w:rPr>
                <w:lang w:eastAsia="en-US"/>
              </w:rPr>
            </w:pPr>
            <w:r>
              <w:rPr>
                <w:lang w:eastAsia="en-US"/>
              </w:rPr>
              <w:t xml:space="preserve">each person who, on the date mentioned in column 2 of this item, held an interest in the land that was a lease of land granted by or on behalf of the Crown, a Minister of the Crown, a statutory authority or any other prescribed person (within the meaning of section 7 of the Act), under a law of </w:t>
            </w:r>
            <w:r>
              <w:rPr>
                <w:lang w:eastAsia="en-US"/>
              </w:rPr>
              <w:lastRenderedPageBreak/>
              <w:t>the Commonwealth, a State or a Territory</w:t>
            </w:r>
          </w:p>
        </w:tc>
        <w:tc>
          <w:tcPr>
            <w:tcW w:w="1483" w:type="dxa"/>
            <w:tcBorders>
              <w:top w:val="single" w:sz="2" w:space="0" w:color="auto"/>
              <w:left w:val="nil"/>
              <w:bottom w:val="single" w:sz="12" w:space="0" w:color="auto"/>
              <w:right w:val="nil"/>
            </w:tcBorders>
            <w:hideMark/>
          </w:tcPr>
          <w:p w14:paraId="4C9E4295" w14:textId="77777777" w:rsidR="00836719" w:rsidRDefault="00836719" w:rsidP="00855B35">
            <w:pPr>
              <w:pStyle w:val="Tabletext"/>
              <w:rPr>
                <w:lang w:eastAsia="en-US"/>
              </w:rPr>
            </w:pPr>
            <w:r>
              <w:rPr>
                <w:lang w:eastAsia="en-US"/>
              </w:rPr>
              <w:lastRenderedPageBreak/>
              <w:t>6 May 2016.</w:t>
            </w:r>
          </w:p>
        </w:tc>
      </w:tr>
    </w:tbl>
    <w:p w14:paraId="6C52AA62" w14:textId="77777777" w:rsidR="00836719" w:rsidRDefault="00836719" w:rsidP="00836719">
      <w:pPr>
        <w:pStyle w:val="Tabletext"/>
      </w:pPr>
    </w:p>
    <w:p w14:paraId="3A5F71CE" w14:textId="77777777" w:rsidR="00836719" w:rsidRDefault="00836719" w:rsidP="00836719">
      <w:pPr>
        <w:pStyle w:val="Subitem"/>
      </w:pPr>
      <w:r>
        <w:t>(2)</w:t>
      </w:r>
      <w:r>
        <w:tab/>
        <w:t>The land specified in this subitem is the area of land that is bounded by the line starting at the point described in item 1 of the following table and running sequentially as described in the table.</w:t>
      </w:r>
    </w:p>
    <w:p w14:paraId="7A9DBD94" w14:textId="77777777" w:rsidR="00836719" w:rsidRDefault="00836719" w:rsidP="00836719">
      <w:pPr>
        <w:pStyle w:val="Tabletext"/>
      </w:pPr>
    </w:p>
    <w:tbl>
      <w:tblPr>
        <w:tblW w:w="7153" w:type="dxa"/>
        <w:tblInd w:w="80"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630"/>
        <w:gridCol w:w="6523"/>
      </w:tblGrid>
      <w:tr w:rsidR="00836719" w14:paraId="6E03CEA9" w14:textId="77777777" w:rsidTr="008D4400">
        <w:trPr>
          <w:tblHeader/>
        </w:trPr>
        <w:tc>
          <w:tcPr>
            <w:tcW w:w="7153" w:type="dxa"/>
            <w:gridSpan w:val="2"/>
            <w:tcBorders>
              <w:top w:val="single" w:sz="12" w:space="0" w:color="auto"/>
              <w:left w:val="nil"/>
              <w:bottom w:val="single" w:sz="6" w:space="0" w:color="auto"/>
              <w:right w:val="nil"/>
            </w:tcBorders>
            <w:hideMark/>
          </w:tcPr>
          <w:p w14:paraId="107EDD7D" w14:textId="77777777" w:rsidR="00836719" w:rsidRDefault="00836719" w:rsidP="00855B35">
            <w:pPr>
              <w:pStyle w:val="TableHeading"/>
              <w:rPr>
                <w:lang w:eastAsia="en-US"/>
              </w:rPr>
            </w:pPr>
            <w:r>
              <w:rPr>
                <w:lang w:eastAsia="en-US"/>
              </w:rPr>
              <w:t>Land specified in subitem (2)</w:t>
            </w:r>
          </w:p>
        </w:tc>
      </w:tr>
      <w:tr w:rsidR="00836719" w14:paraId="02A7286C" w14:textId="77777777" w:rsidTr="008D4400">
        <w:trPr>
          <w:tblHeader/>
        </w:trPr>
        <w:tc>
          <w:tcPr>
            <w:tcW w:w="630" w:type="dxa"/>
            <w:tcBorders>
              <w:top w:val="single" w:sz="6" w:space="0" w:color="auto"/>
              <w:left w:val="nil"/>
              <w:bottom w:val="single" w:sz="12" w:space="0" w:color="auto"/>
              <w:right w:val="nil"/>
            </w:tcBorders>
            <w:hideMark/>
          </w:tcPr>
          <w:p w14:paraId="231C29D3" w14:textId="77777777" w:rsidR="00836719" w:rsidRDefault="00836719" w:rsidP="00855B35">
            <w:pPr>
              <w:pStyle w:val="TableHeading"/>
              <w:rPr>
                <w:lang w:eastAsia="en-US"/>
              </w:rPr>
            </w:pPr>
            <w:r>
              <w:rPr>
                <w:lang w:eastAsia="en-US"/>
              </w:rPr>
              <w:t>Item</w:t>
            </w:r>
          </w:p>
        </w:tc>
        <w:tc>
          <w:tcPr>
            <w:tcW w:w="6523" w:type="dxa"/>
            <w:tcBorders>
              <w:top w:val="single" w:sz="6" w:space="0" w:color="auto"/>
              <w:left w:val="nil"/>
              <w:bottom w:val="single" w:sz="12" w:space="0" w:color="auto"/>
              <w:right w:val="nil"/>
            </w:tcBorders>
            <w:hideMark/>
          </w:tcPr>
          <w:p w14:paraId="0A7D4405" w14:textId="77777777" w:rsidR="00836719" w:rsidRDefault="00836719" w:rsidP="00855B35">
            <w:pPr>
              <w:pStyle w:val="TableHeading"/>
              <w:rPr>
                <w:lang w:eastAsia="en-US"/>
              </w:rPr>
            </w:pPr>
            <w:r>
              <w:rPr>
                <w:lang w:eastAsia="en-US"/>
              </w:rPr>
              <w:t>Description</w:t>
            </w:r>
          </w:p>
        </w:tc>
      </w:tr>
      <w:tr w:rsidR="00836719" w14:paraId="126D621D" w14:textId="77777777" w:rsidTr="008D4400">
        <w:tc>
          <w:tcPr>
            <w:tcW w:w="630" w:type="dxa"/>
            <w:tcBorders>
              <w:top w:val="single" w:sz="12" w:space="0" w:color="auto"/>
              <w:left w:val="nil"/>
              <w:bottom w:val="single" w:sz="2" w:space="0" w:color="auto"/>
              <w:right w:val="nil"/>
            </w:tcBorders>
            <w:hideMark/>
          </w:tcPr>
          <w:p w14:paraId="61C657FA" w14:textId="77777777" w:rsidR="00836719" w:rsidRDefault="00836719" w:rsidP="00855B35">
            <w:pPr>
              <w:pStyle w:val="Tabletext"/>
              <w:rPr>
                <w:lang w:eastAsia="en-US"/>
              </w:rPr>
            </w:pPr>
            <w:r>
              <w:rPr>
                <w:lang w:eastAsia="en-US"/>
              </w:rPr>
              <w:t>1</w:t>
            </w:r>
          </w:p>
        </w:tc>
        <w:tc>
          <w:tcPr>
            <w:tcW w:w="6523" w:type="dxa"/>
            <w:tcBorders>
              <w:top w:val="single" w:sz="12" w:space="0" w:color="auto"/>
              <w:left w:val="nil"/>
              <w:bottom w:val="single" w:sz="2" w:space="0" w:color="auto"/>
              <w:right w:val="nil"/>
            </w:tcBorders>
            <w:hideMark/>
          </w:tcPr>
          <w:p w14:paraId="1129FA20" w14:textId="77777777" w:rsidR="00836719" w:rsidRDefault="00836719" w:rsidP="00855B35">
            <w:pPr>
              <w:pStyle w:val="Tabletext"/>
              <w:rPr>
                <w:lang w:eastAsia="en-US"/>
              </w:rPr>
            </w:pPr>
            <w:r>
              <w:rPr>
                <w:lang w:eastAsia="en-GB"/>
              </w:rPr>
              <w:t>The point that is at a bearing 270°52′40″ along the Tola Road boundary, and 25 metres west from the south</w:t>
            </w:r>
            <w:r>
              <w:rPr>
                <w:lang w:eastAsia="en-GB"/>
              </w:rPr>
              <w:noBreakHyphen/>
              <w:t xml:space="preserve">east corner, of the land described in South Australian Certificate of Title Volume 5937 Folio 542, being Section 94, </w:t>
            </w:r>
            <w:proofErr w:type="spellStart"/>
            <w:r>
              <w:rPr>
                <w:lang w:eastAsia="en-GB"/>
              </w:rPr>
              <w:t>Hundred</w:t>
            </w:r>
            <w:proofErr w:type="spellEnd"/>
            <w:r>
              <w:rPr>
                <w:lang w:eastAsia="en-GB"/>
              </w:rPr>
              <w:t xml:space="preserve"> of </w:t>
            </w:r>
            <w:proofErr w:type="spellStart"/>
            <w:r>
              <w:rPr>
                <w:lang w:eastAsia="en-GB"/>
              </w:rPr>
              <w:t>Pinkawillinie</w:t>
            </w:r>
            <w:proofErr w:type="spellEnd"/>
            <w:r>
              <w:rPr>
                <w:lang w:eastAsia="en-GB"/>
              </w:rPr>
              <w:t xml:space="preserve">, in the area named </w:t>
            </w:r>
            <w:proofErr w:type="spellStart"/>
            <w:r>
              <w:rPr>
                <w:lang w:eastAsia="en-GB"/>
              </w:rPr>
              <w:t>Pinkawillinie</w:t>
            </w:r>
            <w:proofErr w:type="spellEnd"/>
          </w:p>
        </w:tc>
      </w:tr>
      <w:tr w:rsidR="00836719" w14:paraId="16C53F24" w14:textId="77777777" w:rsidTr="008D4400">
        <w:tc>
          <w:tcPr>
            <w:tcW w:w="630" w:type="dxa"/>
            <w:tcBorders>
              <w:top w:val="single" w:sz="2" w:space="0" w:color="auto"/>
              <w:left w:val="nil"/>
              <w:bottom w:val="single" w:sz="2" w:space="0" w:color="auto"/>
              <w:right w:val="nil"/>
            </w:tcBorders>
            <w:hideMark/>
          </w:tcPr>
          <w:p w14:paraId="0959A6C4" w14:textId="77777777" w:rsidR="00836719" w:rsidRDefault="00836719" w:rsidP="00855B35">
            <w:pPr>
              <w:pStyle w:val="Tabletext"/>
              <w:rPr>
                <w:lang w:eastAsia="en-US"/>
              </w:rPr>
            </w:pPr>
            <w:r>
              <w:rPr>
                <w:lang w:eastAsia="en-US"/>
              </w:rPr>
              <w:t>2</w:t>
            </w:r>
          </w:p>
        </w:tc>
        <w:tc>
          <w:tcPr>
            <w:tcW w:w="6523" w:type="dxa"/>
            <w:tcBorders>
              <w:top w:val="single" w:sz="2" w:space="0" w:color="auto"/>
              <w:left w:val="nil"/>
              <w:bottom w:val="single" w:sz="2" w:space="0" w:color="auto"/>
              <w:right w:val="nil"/>
            </w:tcBorders>
            <w:hideMark/>
          </w:tcPr>
          <w:p w14:paraId="4F5F5178" w14:textId="77777777" w:rsidR="00836719" w:rsidRDefault="00836719" w:rsidP="00855B35">
            <w:pPr>
              <w:pStyle w:val="Tabletext"/>
              <w:rPr>
                <w:lang w:eastAsia="en-US"/>
              </w:rPr>
            </w:pPr>
            <w:r>
              <w:rPr>
                <w:lang w:eastAsia="en-GB"/>
              </w:rPr>
              <w:t>Bearing 270°52′40″ for 581.80 metres</w:t>
            </w:r>
          </w:p>
        </w:tc>
      </w:tr>
      <w:tr w:rsidR="00836719" w14:paraId="484D76D9" w14:textId="77777777" w:rsidTr="008D4400">
        <w:tc>
          <w:tcPr>
            <w:tcW w:w="630" w:type="dxa"/>
            <w:tcBorders>
              <w:top w:val="single" w:sz="2" w:space="0" w:color="auto"/>
              <w:left w:val="nil"/>
              <w:bottom w:val="single" w:sz="2" w:space="0" w:color="auto"/>
              <w:right w:val="nil"/>
            </w:tcBorders>
            <w:hideMark/>
          </w:tcPr>
          <w:p w14:paraId="2813F3B0" w14:textId="77777777" w:rsidR="00836719" w:rsidRDefault="00836719" w:rsidP="00855B35">
            <w:pPr>
              <w:pStyle w:val="Tabletext"/>
              <w:rPr>
                <w:lang w:eastAsia="en-US"/>
              </w:rPr>
            </w:pPr>
            <w:r>
              <w:rPr>
                <w:lang w:eastAsia="en-US"/>
              </w:rPr>
              <w:t>3</w:t>
            </w:r>
          </w:p>
        </w:tc>
        <w:tc>
          <w:tcPr>
            <w:tcW w:w="6523" w:type="dxa"/>
            <w:tcBorders>
              <w:top w:val="single" w:sz="2" w:space="0" w:color="auto"/>
              <w:left w:val="nil"/>
              <w:bottom w:val="single" w:sz="2" w:space="0" w:color="auto"/>
              <w:right w:val="nil"/>
            </w:tcBorders>
            <w:hideMark/>
          </w:tcPr>
          <w:p w14:paraId="207875D7" w14:textId="77777777" w:rsidR="00836719" w:rsidRDefault="00836719" w:rsidP="00855B35">
            <w:pPr>
              <w:pStyle w:val="Tabletext"/>
              <w:rPr>
                <w:lang w:eastAsia="en-US"/>
              </w:rPr>
            </w:pPr>
            <w:r>
              <w:rPr>
                <w:lang w:eastAsia="en-GB"/>
              </w:rPr>
              <w:t>Bearing 270°53′10″ for 727.75 metres</w:t>
            </w:r>
          </w:p>
        </w:tc>
      </w:tr>
      <w:tr w:rsidR="00836719" w14:paraId="7B2AAE49" w14:textId="77777777" w:rsidTr="008D4400">
        <w:tc>
          <w:tcPr>
            <w:tcW w:w="630" w:type="dxa"/>
            <w:tcBorders>
              <w:top w:val="single" w:sz="2" w:space="0" w:color="auto"/>
              <w:left w:val="nil"/>
              <w:bottom w:val="single" w:sz="2" w:space="0" w:color="auto"/>
              <w:right w:val="nil"/>
            </w:tcBorders>
            <w:hideMark/>
          </w:tcPr>
          <w:p w14:paraId="5ED53015" w14:textId="77777777" w:rsidR="00836719" w:rsidRDefault="00836719" w:rsidP="00855B35">
            <w:pPr>
              <w:pStyle w:val="Tabletext"/>
              <w:rPr>
                <w:lang w:eastAsia="en-US"/>
              </w:rPr>
            </w:pPr>
            <w:r>
              <w:rPr>
                <w:lang w:eastAsia="en-US"/>
              </w:rPr>
              <w:t>4</w:t>
            </w:r>
          </w:p>
        </w:tc>
        <w:tc>
          <w:tcPr>
            <w:tcW w:w="6523" w:type="dxa"/>
            <w:tcBorders>
              <w:top w:val="single" w:sz="2" w:space="0" w:color="auto"/>
              <w:left w:val="nil"/>
              <w:bottom w:val="single" w:sz="2" w:space="0" w:color="auto"/>
              <w:right w:val="nil"/>
            </w:tcBorders>
            <w:hideMark/>
          </w:tcPr>
          <w:p w14:paraId="33A279E2" w14:textId="77777777" w:rsidR="00836719" w:rsidRDefault="00836719" w:rsidP="00855B35">
            <w:pPr>
              <w:pStyle w:val="Tabletext"/>
              <w:rPr>
                <w:lang w:eastAsia="en-US"/>
              </w:rPr>
            </w:pPr>
            <w:r>
              <w:rPr>
                <w:lang w:eastAsia="en-GB"/>
              </w:rPr>
              <w:t>Bearing 309°36′10″ for 122.73 metres</w:t>
            </w:r>
          </w:p>
        </w:tc>
      </w:tr>
      <w:tr w:rsidR="00836719" w14:paraId="271F87F5" w14:textId="77777777" w:rsidTr="008D4400">
        <w:tc>
          <w:tcPr>
            <w:tcW w:w="630" w:type="dxa"/>
            <w:tcBorders>
              <w:top w:val="single" w:sz="2" w:space="0" w:color="auto"/>
              <w:left w:val="nil"/>
              <w:bottom w:val="single" w:sz="2" w:space="0" w:color="auto"/>
              <w:right w:val="nil"/>
            </w:tcBorders>
            <w:hideMark/>
          </w:tcPr>
          <w:p w14:paraId="2F6D28E5" w14:textId="77777777" w:rsidR="00836719" w:rsidRDefault="00836719" w:rsidP="00855B35">
            <w:pPr>
              <w:pStyle w:val="Tabletext"/>
              <w:rPr>
                <w:lang w:eastAsia="en-US"/>
              </w:rPr>
            </w:pPr>
            <w:r>
              <w:rPr>
                <w:lang w:eastAsia="en-US"/>
              </w:rPr>
              <w:t>5</w:t>
            </w:r>
          </w:p>
        </w:tc>
        <w:tc>
          <w:tcPr>
            <w:tcW w:w="6523" w:type="dxa"/>
            <w:tcBorders>
              <w:top w:val="single" w:sz="2" w:space="0" w:color="auto"/>
              <w:left w:val="nil"/>
              <w:bottom w:val="single" w:sz="2" w:space="0" w:color="auto"/>
              <w:right w:val="nil"/>
            </w:tcBorders>
            <w:hideMark/>
          </w:tcPr>
          <w:p w14:paraId="09C6B522" w14:textId="77777777" w:rsidR="00836719" w:rsidRDefault="00836719" w:rsidP="00855B35">
            <w:pPr>
              <w:pStyle w:val="Tabletext"/>
              <w:rPr>
                <w:lang w:eastAsia="en-US"/>
              </w:rPr>
            </w:pPr>
            <w:r>
              <w:rPr>
                <w:lang w:eastAsia="en-GB"/>
              </w:rPr>
              <w:t>Bearing 0°35′40″ for 1440.36 metres</w:t>
            </w:r>
          </w:p>
        </w:tc>
      </w:tr>
      <w:tr w:rsidR="00836719" w14:paraId="6C2C3E8F" w14:textId="77777777" w:rsidTr="008D4400">
        <w:tc>
          <w:tcPr>
            <w:tcW w:w="630" w:type="dxa"/>
            <w:tcBorders>
              <w:top w:val="single" w:sz="2" w:space="0" w:color="auto"/>
              <w:left w:val="nil"/>
              <w:bottom w:val="single" w:sz="2" w:space="0" w:color="auto"/>
              <w:right w:val="nil"/>
            </w:tcBorders>
            <w:hideMark/>
          </w:tcPr>
          <w:p w14:paraId="7FAF9B17" w14:textId="77777777" w:rsidR="00836719" w:rsidRDefault="00836719" w:rsidP="00855B35">
            <w:pPr>
              <w:pStyle w:val="Tabletext"/>
              <w:rPr>
                <w:lang w:eastAsia="en-US"/>
              </w:rPr>
            </w:pPr>
            <w:r>
              <w:rPr>
                <w:lang w:eastAsia="en-US"/>
              </w:rPr>
              <w:t>6</w:t>
            </w:r>
          </w:p>
        </w:tc>
        <w:tc>
          <w:tcPr>
            <w:tcW w:w="6523" w:type="dxa"/>
            <w:tcBorders>
              <w:top w:val="single" w:sz="2" w:space="0" w:color="auto"/>
              <w:left w:val="nil"/>
              <w:bottom w:val="single" w:sz="2" w:space="0" w:color="auto"/>
              <w:right w:val="nil"/>
            </w:tcBorders>
            <w:hideMark/>
          </w:tcPr>
          <w:p w14:paraId="0EDDC070" w14:textId="77777777" w:rsidR="00836719" w:rsidRDefault="00836719" w:rsidP="00855B35">
            <w:pPr>
              <w:pStyle w:val="Tabletext"/>
              <w:rPr>
                <w:lang w:eastAsia="en-US"/>
              </w:rPr>
            </w:pPr>
            <w:r>
              <w:rPr>
                <w:lang w:eastAsia="en-GB"/>
              </w:rPr>
              <w:t>Bearing 91°53′40″ for 1408.72 metres</w:t>
            </w:r>
          </w:p>
        </w:tc>
      </w:tr>
      <w:tr w:rsidR="00836719" w14:paraId="7A38FEB9" w14:textId="77777777" w:rsidTr="008D4400">
        <w:tc>
          <w:tcPr>
            <w:tcW w:w="630" w:type="dxa"/>
            <w:tcBorders>
              <w:top w:val="single" w:sz="2" w:space="0" w:color="auto"/>
              <w:left w:val="nil"/>
              <w:bottom w:val="single" w:sz="12" w:space="0" w:color="auto"/>
              <w:right w:val="nil"/>
            </w:tcBorders>
            <w:hideMark/>
          </w:tcPr>
          <w:p w14:paraId="7868E4CA" w14:textId="77777777" w:rsidR="00836719" w:rsidRDefault="00836719" w:rsidP="00855B35">
            <w:pPr>
              <w:pStyle w:val="Tabletext"/>
              <w:rPr>
                <w:lang w:eastAsia="en-US"/>
              </w:rPr>
            </w:pPr>
            <w:r>
              <w:rPr>
                <w:lang w:eastAsia="en-US"/>
              </w:rPr>
              <w:t>7</w:t>
            </w:r>
          </w:p>
        </w:tc>
        <w:tc>
          <w:tcPr>
            <w:tcW w:w="6523" w:type="dxa"/>
            <w:tcBorders>
              <w:top w:val="single" w:sz="2" w:space="0" w:color="auto"/>
              <w:left w:val="nil"/>
              <w:bottom w:val="single" w:sz="12" w:space="0" w:color="auto"/>
              <w:right w:val="nil"/>
            </w:tcBorders>
            <w:hideMark/>
          </w:tcPr>
          <w:p w14:paraId="6B1E0880" w14:textId="77777777" w:rsidR="00836719" w:rsidRDefault="00836719" w:rsidP="00855B35">
            <w:pPr>
              <w:pStyle w:val="Tabletext"/>
              <w:rPr>
                <w:lang w:eastAsia="en-GB"/>
              </w:rPr>
            </w:pPr>
            <w:r>
              <w:rPr>
                <w:lang w:eastAsia="en-GB"/>
              </w:rPr>
              <w:t>Bearing 180°44′40″ for 1492.18 metres to the starting point</w:t>
            </w:r>
          </w:p>
        </w:tc>
      </w:tr>
    </w:tbl>
    <w:p w14:paraId="7790F285" w14:textId="77777777" w:rsidR="00836719" w:rsidRDefault="00836719" w:rsidP="00836719">
      <w:pPr>
        <w:pStyle w:val="Tabletext"/>
      </w:pPr>
    </w:p>
    <w:p w14:paraId="0EB4C724" w14:textId="77777777" w:rsidR="00836719" w:rsidRDefault="00836719" w:rsidP="00836719">
      <w:pPr>
        <w:pStyle w:val="Subitem"/>
      </w:pPr>
      <w:r>
        <w:t>(3)</w:t>
      </w:r>
      <w:r>
        <w:tab/>
        <w:t xml:space="preserve">The land specified in this subitem is Section 38, </w:t>
      </w:r>
      <w:proofErr w:type="spellStart"/>
      <w:r>
        <w:t>Hundred</w:t>
      </w:r>
      <w:proofErr w:type="spellEnd"/>
      <w:r>
        <w:t xml:space="preserve"> of Moseley, in the area named Moseley, being part of the land described in South Australian Certificate of Title Volume 5925 Folio 858.</w:t>
      </w:r>
    </w:p>
    <w:p w14:paraId="48485611" w14:textId="77777777" w:rsidR="00836719" w:rsidRDefault="00836719" w:rsidP="00836719">
      <w:pPr>
        <w:pStyle w:val="Subitem"/>
      </w:pPr>
      <w:r>
        <w:lastRenderedPageBreak/>
        <w:t>(4)</w:t>
      </w:r>
      <w:r>
        <w:tab/>
        <w:t>The land specified in this subitem is the whole of the land described in South Australian Crown Lease Volume 6200 Folio 237 (formerly South Australian Crown Lease Volume 1215 Folio 28), being:</w:t>
      </w:r>
    </w:p>
    <w:p w14:paraId="1A1AA78A" w14:textId="77777777" w:rsidR="00836719" w:rsidRDefault="00836719" w:rsidP="00836719">
      <w:pPr>
        <w:pStyle w:val="paragraph"/>
      </w:pPr>
      <w:r>
        <w:tab/>
        <w:t>(a)</w:t>
      </w:r>
      <w:r>
        <w:tab/>
        <w:t xml:space="preserve">the allotment comprising pieces 30, 31, 32 and 33 Deposited Plan 46041 in the area named Flinders Ranges </w:t>
      </w:r>
      <w:proofErr w:type="spellStart"/>
      <w:r>
        <w:t>Hundred</w:t>
      </w:r>
      <w:proofErr w:type="spellEnd"/>
      <w:r>
        <w:t xml:space="preserve"> of </w:t>
      </w:r>
      <w:proofErr w:type="spellStart"/>
      <w:r>
        <w:t>Cotabena</w:t>
      </w:r>
      <w:proofErr w:type="spellEnd"/>
      <w:r>
        <w:t>; and</w:t>
      </w:r>
    </w:p>
    <w:p w14:paraId="0B9A190D" w14:textId="77777777" w:rsidR="00836719" w:rsidRDefault="00836719" w:rsidP="00836719">
      <w:pPr>
        <w:pStyle w:val="paragraph"/>
      </w:pPr>
      <w:r>
        <w:tab/>
        <w:t>(b)</w:t>
      </w:r>
      <w:r>
        <w:tab/>
        <w:t xml:space="preserve">the allotment comprising pieces 40, 41, 42 and 43 Deposited Plan 46041 in the area named Flinders Ranges </w:t>
      </w:r>
      <w:proofErr w:type="spellStart"/>
      <w:r>
        <w:t>Hundred</w:t>
      </w:r>
      <w:proofErr w:type="spellEnd"/>
      <w:r>
        <w:t xml:space="preserve"> of </w:t>
      </w:r>
      <w:proofErr w:type="spellStart"/>
      <w:r>
        <w:t>Cotabena</w:t>
      </w:r>
      <w:proofErr w:type="spellEnd"/>
      <w:r>
        <w:t>.</w:t>
      </w:r>
    </w:p>
    <w:p w14:paraId="31BFB8E0" w14:textId="77777777" w:rsidR="00836719" w:rsidRDefault="00836719" w:rsidP="00836719">
      <w:pPr>
        <w:pStyle w:val="ItemHead"/>
      </w:pPr>
      <w:r>
        <w:t>2  Compensation for acquisition of property</w:t>
      </w:r>
    </w:p>
    <w:p w14:paraId="23244936" w14:textId="77777777" w:rsidR="00836719" w:rsidRDefault="00836719" w:rsidP="00836719">
      <w:pPr>
        <w:pStyle w:val="Subitem"/>
      </w:pPr>
      <w:r>
        <w:t>(1)</w:t>
      </w:r>
      <w:r>
        <w:tab/>
        <w:t>If the operation of this Schedule would result in an acquisition of property (within the meaning of paragraph 51(xxxi) of the Constitution) from a person otherwise than on just terms (within the meaning of that paragraph), the Commonwealth is liable to pay a reasonable amount of compensation to the person.</w:t>
      </w:r>
    </w:p>
    <w:p w14:paraId="42195C4E" w14:textId="77777777" w:rsidR="00A77B5D" w:rsidRDefault="00836719" w:rsidP="008D4400">
      <w:pPr>
        <w:pStyle w:val="Subitem"/>
      </w:pPr>
      <w:r>
        <w:t>(2)</w:t>
      </w:r>
      <w:r>
        <w:tab/>
        <w:t>If the Commonwealth and the person do not agree on the amount of the compensation, the person may institute proceedings in the Federal Court of Australia for the recovery from the Commonwealth of such reasonable amount of compensation as the court determines.</w:t>
      </w:r>
    </w:p>
    <w:p w14:paraId="61F7054F" w14:textId="77777777" w:rsidR="008D3E94" w:rsidRPr="00140184" w:rsidRDefault="0048364F" w:rsidP="00140184">
      <w:pPr>
        <w:pStyle w:val="ActHead6"/>
        <w:pageBreakBefore/>
      </w:pPr>
      <w:bookmarkStart w:id="11" w:name="BK_S3P15L1C1"/>
      <w:bookmarkStart w:id="12" w:name="_Toc76036253"/>
      <w:bookmarkEnd w:id="11"/>
      <w:r w:rsidRPr="00DB702F">
        <w:rPr>
          <w:rStyle w:val="CharAmSchNo"/>
        </w:rPr>
        <w:lastRenderedPageBreak/>
        <w:t>Schedule</w:t>
      </w:r>
      <w:r w:rsidR="00140184" w:rsidRPr="00DB702F">
        <w:rPr>
          <w:rStyle w:val="CharAmSchNo"/>
        </w:rPr>
        <w:t> </w:t>
      </w:r>
      <w:r w:rsidR="007D5F62" w:rsidRPr="00DB702F">
        <w:rPr>
          <w:rStyle w:val="CharAmSchNo"/>
        </w:rPr>
        <w:t>2</w:t>
      </w:r>
      <w:r w:rsidRPr="00140184">
        <w:t>—</w:t>
      </w:r>
      <w:r w:rsidR="007D5F62" w:rsidRPr="00DB702F">
        <w:rPr>
          <w:rStyle w:val="CharAmSchText"/>
        </w:rPr>
        <w:t>E</w:t>
      </w:r>
      <w:r w:rsidR="00140184" w:rsidRPr="00DB702F">
        <w:rPr>
          <w:rStyle w:val="CharAmSchText"/>
        </w:rPr>
        <w:t>stablishment of community fund</w:t>
      </w:r>
      <w:bookmarkEnd w:id="12"/>
    </w:p>
    <w:p w14:paraId="5C9393E5" w14:textId="77777777" w:rsidR="00140184" w:rsidRPr="00DB702F" w:rsidRDefault="00140184" w:rsidP="00140184">
      <w:pPr>
        <w:pStyle w:val="Header"/>
      </w:pPr>
      <w:r w:rsidRPr="00DB702F">
        <w:rPr>
          <w:rStyle w:val="CharAmPartNo"/>
        </w:rPr>
        <w:t xml:space="preserve"> </w:t>
      </w:r>
      <w:r w:rsidRPr="00DB702F">
        <w:rPr>
          <w:rStyle w:val="CharAmPartText"/>
        </w:rPr>
        <w:t xml:space="preserve"> </w:t>
      </w:r>
    </w:p>
    <w:p w14:paraId="249D9D1F" w14:textId="77777777" w:rsidR="00A22726" w:rsidRPr="00DB702F" w:rsidRDefault="00140184" w:rsidP="00521EDD">
      <w:pPr>
        <w:pStyle w:val="ActHead9"/>
        <w:rPr>
          <w:i w:val="0"/>
        </w:rPr>
      </w:pPr>
      <w:bookmarkStart w:id="13" w:name="_Toc76036254"/>
      <w:r w:rsidRPr="00140184">
        <w:t>National Radioactive Waste Management Act 2012</w:t>
      </w:r>
      <w:bookmarkEnd w:id="13"/>
    </w:p>
    <w:p w14:paraId="4DA17B70" w14:textId="77777777" w:rsidR="003F4101" w:rsidRPr="00656C10" w:rsidRDefault="002938B4" w:rsidP="003F4101">
      <w:pPr>
        <w:pStyle w:val="ItemHead"/>
      </w:pPr>
      <w:r>
        <w:t>1</w:t>
      </w:r>
      <w:r w:rsidR="003F4101" w:rsidRPr="00656C10">
        <w:t xml:space="preserve">  Section 4</w:t>
      </w:r>
    </w:p>
    <w:p w14:paraId="470954F9" w14:textId="77777777" w:rsidR="003F4101" w:rsidRPr="00656C10" w:rsidRDefault="003F4101" w:rsidP="003F4101">
      <w:pPr>
        <w:pStyle w:val="Item"/>
      </w:pPr>
      <w:r w:rsidRPr="00656C10">
        <w:t>Insert:</w:t>
      </w:r>
    </w:p>
    <w:p w14:paraId="4C0DB3C4" w14:textId="77777777" w:rsidR="009C1890" w:rsidRDefault="009C1890" w:rsidP="009C1890">
      <w:pPr>
        <w:pStyle w:val="Definition"/>
      </w:pPr>
      <w:r w:rsidRPr="00891F36">
        <w:rPr>
          <w:b/>
          <w:i/>
        </w:rPr>
        <w:t>host community</w:t>
      </w:r>
      <w:r w:rsidR="00891F36">
        <w:t>, for a facility, means</w:t>
      </w:r>
      <w:r>
        <w:t xml:space="preserve"> </w:t>
      </w:r>
      <w:r w:rsidR="0062719A">
        <w:t xml:space="preserve">the community located in </w:t>
      </w:r>
      <w:r w:rsidRPr="00987D7A">
        <w:t xml:space="preserve">the </w:t>
      </w:r>
      <w:r w:rsidR="00891F36" w:rsidRPr="00987D7A">
        <w:t xml:space="preserve">local government </w:t>
      </w:r>
      <w:r w:rsidRPr="00987D7A">
        <w:t>area</w:t>
      </w:r>
      <w:r w:rsidR="00891F36" w:rsidRPr="00987D7A">
        <w:t xml:space="preserve"> in which the facility is situated</w:t>
      </w:r>
      <w:r w:rsidR="00987D7A">
        <w:t>.</w:t>
      </w:r>
    </w:p>
    <w:p w14:paraId="44B641D7" w14:textId="77777777" w:rsidR="00D64F02" w:rsidRDefault="00D64F02" w:rsidP="00D64F02">
      <w:pPr>
        <w:pStyle w:val="Definition"/>
      </w:pPr>
      <w:r>
        <w:rPr>
          <w:b/>
          <w:i/>
        </w:rPr>
        <w:t>local government area</w:t>
      </w:r>
      <w:r>
        <w:t xml:space="preserve"> means an area that, at the time the Minister makes a declaration under subsection 14(2) in relation to a site, is an area for which a local government body is constituted by or under a law of the State or Territory in which the site is situated.</w:t>
      </w:r>
    </w:p>
    <w:p w14:paraId="1F08B491" w14:textId="77777777" w:rsidR="003F4101" w:rsidRDefault="003F4101" w:rsidP="003F4101">
      <w:pPr>
        <w:pStyle w:val="Definition"/>
      </w:pPr>
      <w:r w:rsidRPr="00D25704">
        <w:rPr>
          <w:b/>
          <w:i/>
        </w:rPr>
        <w:t>NRWMF Community Fund entity</w:t>
      </w:r>
      <w:r w:rsidRPr="00D25704">
        <w:t>: see subsection 34AA</w:t>
      </w:r>
      <w:r>
        <w:t>(1)</w:t>
      </w:r>
      <w:r w:rsidRPr="00D25704">
        <w:t>.</w:t>
      </w:r>
    </w:p>
    <w:p w14:paraId="2C03E1E3" w14:textId="77777777" w:rsidR="003F4101" w:rsidRPr="00926AE0" w:rsidRDefault="003F4101" w:rsidP="003F4101">
      <w:pPr>
        <w:pStyle w:val="notetext"/>
      </w:pPr>
      <w:r>
        <w:t>Note:</w:t>
      </w:r>
      <w:r>
        <w:tab/>
        <w:t>NRWMF is short for National Radioactive Waste Management Facility.</w:t>
      </w:r>
    </w:p>
    <w:p w14:paraId="2BFD98AF" w14:textId="77777777" w:rsidR="00D64F02" w:rsidRDefault="00D64F02" w:rsidP="00D64F02">
      <w:pPr>
        <w:pStyle w:val="ItemHead"/>
      </w:pPr>
      <w:r>
        <w:t>1A  Subsection 22(1)</w:t>
      </w:r>
    </w:p>
    <w:p w14:paraId="3AD73589" w14:textId="77777777" w:rsidR="00D64F02" w:rsidRDefault="00D64F02" w:rsidP="00D64F02">
      <w:pPr>
        <w:pStyle w:val="Item"/>
      </w:pPr>
      <w:r>
        <w:t>Omit “Immediately after a declaration under subsection 14(2) takes effect, the”, substitute “The”.</w:t>
      </w:r>
    </w:p>
    <w:p w14:paraId="6D2D98F1" w14:textId="77777777" w:rsidR="003F4101" w:rsidRPr="00656C10" w:rsidRDefault="002938B4" w:rsidP="003F4101">
      <w:pPr>
        <w:pStyle w:val="ItemHead"/>
      </w:pPr>
      <w:r>
        <w:t>2</w:t>
      </w:r>
      <w:r w:rsidR="003F4101" w:rsidRPr="00656C10">
        <w:t xml:space="preserve">  Part 6A (heading)</w:t>
      </w:r>
    </w:p>
    <w:p w14:paraId="09513D08" w14:textId="77777777" w:rsidR="003F4101" w:rsidRPr="00656C10" w:rsidRDefault="003F4101" w:rsidP="003F4101">
      <w:pPr>
        <w:pStyle w:val="Item"/>
      </w:pPr>
      <w:r w:rsidRPr="00656C10">
        <w:t>Repeal the heading, substitute:</w:t>
      </w:r>
    </w:p>
    <w:p w14:paraId="0C9F098B" w14:textId="77777777" w:rsidR="003F4101" w:rsidRPr="009163A0" w:rsidRDefault="003F4101" w:rsidP="003F4101">
      <w:pPr>
        <w:pStyle w:val="ActHead2"/>
      </w:pPr>
      <w:bookmarkStart w:id="14" w:name="f_Check_Lines_above"/>
      <w:bookmarkStart w:id="15" w:name="_Toc76036255"/>
      <w:bookmarkEnd w:id="14"/>
      <w:r w:rsidRPr="00DB702F">
        <w:rPr>
          <w:rStyle w:val="CharPartNo"/>
        </w:rPr>
        <w:t>Part 6A</w:t>
      </w:r>
      <w:r w:rsidRPr="00656C10">
        <w:t>—</w:t>
      </w:r>
      <w:r w:rsidRPr="00DB702F">
        <w:rPr>
          <w:rStyle w:val="CharPartText"/>
        </w:rPr>
        <w:t>Community fund</w:t>
      </w:r>
      <w:bookmarkEnd w:id="15"/>
    </w:p>
    <w:p w14:paraId="4C3DBE5C" w14:textId="77777777" w:rsidR="00D64F02" w:rsidRDefault="00D64F02" w:rsidP="00D64F02">
      <w:pPr>
        <w:pStyle w:val="ItemHead"/>
      </w:pPr>
      <w:r>
        <w:t>2A  Section 34A</w:t>
      </w:r>
    </w:p>
    <w:p w14:paraId="77BCB758" w14:textId="77777777" w:rsidR="00D64F02" w:rsidRDefault="00D64F02" w:rsidP="00D64F02">
      <w:pPr>
        <w:pStyle w:val="Item"/>
      </w:pPr>
      <w:r>
        <w:t>Repeal the section, substitute:</w:t>
      </w:r>
    </w:p>
    <w:p w14:paraId="1DD2A8B3" w14:textId="77777777" w:rsidR="00D64F02" w:rsidRDefault="00D64F02" w:rsidP="00D64F02">
      <w:pPr>
        <w:pStyle w:val="ActHead5"/>
      </w:pPr>
      <w:bookmarkStart w:id="16" w:name="_Toc76036256"/>
      <w:r>
        <w:rPr>
          <w:rStyle w:val="CharSectno"/>
        </w:rPr>
        <w:t>34A</w:t>
      </w:r>
      <w:r>
        <w:t xml:space="preserve">  Application of Part</w:t>
      </w:r>
      <w:bookmarkEnd w:id="16"/>
    </w:p>
    <w:p w14:paraId="359EAD13" w14:textId="77777777" w:rsidR="00D64F02" w:rsidRDefault="00D64F02" w:rsidP="00D64F02">
      <w:pPr>
        <w:pStyle w:val="subsection"/>
      </w:pPr>
      <w:r>
        <w:tab/>
      </w:r>
      <w:r>
        <w:tab/>
        <w:t>This Part applies if:</w:t>
      </w:r>
    </w:p>
    <w:p w14:paraId="236287C6" w14:textId="77777777" w:rsidR="00D64F02" w:rsidRDefault="00D64F02" w:rsidP="00D64F02">
      <w:pPr>
        <w:pStyle w:val="paragraph"/>
      </w:pPr>
      <w:r>
        <w:tab/>
        <w:t>(a)</w:t>
      </w:r>
      <w:r>
        <w:tab/>
        <w:t>the Minister has made a declaration under subsection 14(2) that a site is selected as the site for a facility; and</w:t>
      </w:r>
    </w:p>
    <w:p w14:paraId="15FF708D" w14:textId="77777777" w:rsidR="00D64F02" w:rsidRDefault="00D64F02" w:rsidP="00D64F02">
      <w:pPr>
        <w:pStyle w:val="paragraph"/>
      </w:pPr>
      <w:r>
        <w:lastRenderedPageBreak/>
        <w:tab/>
        <w:t>(b)</w:t>
      </w:r>
      <w:r>
        <w:tab/>
        <w:t>a facility has been constructed at the site; and</w:t>
      </w:r>
    </w:p>
    <w:p w14:paraId="038D9EDA" w14:textId="77777777" w:rsidR="00D64F02" w:rsidRDefault="00D64F02" w:rsidP="00D64F02">
      <w:pPr>
        <w:pStyle w:val="paragraph"/>
      </w:pPr>
      <w:r>
        <w:tab/>
        <w:t>(c)</w:t>
      </w:r>
      <w:r>
        <w:tab/>
        <w:t xml:space="preserve">a facility licence that authorises a person to operate the facility has been issued under the </w:t>
      </w:r>
      <w:r>
        <w:rPr>
          <w:i/>
        </w:rPr>
        <w:t>Australian Radiation Protection and Nuclear Safety Act 1998</w:t>
      </w:r>
      <w:r>
        <w:t>.</w:t>
      </w:r>
    </w:p>
    <w:p w14:paraId="6B13CB90" w14:textId="77777777" w:rsidR="003F4101" w:rsidRPr="00656C10" w:rsidRDefault="002938B4" w:rsidP="003F4101">
      <w:pPr>
        <w:pStyle w:val="ItemHead"/>
      </w:pPr>
      <w:r>
        <w:t>3</w:t>
      </w:r>
      <w:r w:rsidR="003F4101" w:rsidRPr="00656C10">
        <w:t xml:space="preserve">  After section 34A</w:t>
      </w:r>
    </w:p>
    <w:p w14:paraId="71754041" w14:textId="77777777" w:rsidR="003F4101" w:rsidRPr="00656C10" w:rsidRDefault="003F4101" w:rsidP="003F4101">
      <w:pPr>
        <w:pStyle w:val="Item"/>
      </w:pPr>
      <w:r w:rsidRPr="00656C10">
        <w:t>Insert:</w:t>
      </w:r>
    </w:p>
    <w:p w14:paraId="3A2F0203" w14:textId="77777777" w:rsidR="003F4101" w:rsidRPr="006E46AC" w:rsidRDefault="003F4101" w:rsidP="003F4101">
      <w:pPr>
        <w:pStyle w:val="ActHead5"/>
      </w:pPr>
      <w:bookmarkStart w:id="17" w:name="_Toc76036257"/>
      <w:r w:rsidRPr="00DB702F">
        <w:rPr>
          <w:rStyle w:val="CharSectno"/>
        </w:rPr>
        <w:t>34AA</w:t>
      </w:r>
      <w:r w:rsidRPr="006E46AC">
        <w:t xml:space="preserve">  NRWMF Community Fund entity</w:t>
      </w:r>
      <w:bookmarkEnd w:id="17"/>
    </w:p>
    <w:p w14:paraId="386D056E" w14:textId="77777777" w:rsidR="003F4101" w:rsidRPr="006E46AC" w:rsidRDefault="003F4101" w:rsidP="003F4101">
      <w:pPr>
        <w:pStyle w:val="subsection"/>
      </w:pPr>
      <w:r w:rsidRPr="006E46AC">
        <w:tab/>
        <w:t>(1)</w:t>
      </w:r>
      <w:r w:rsidRPr="006E46AC">
        <w:tab/>
        <w:t xml:space="preserve">The </w:t>
      </w:r>
      <w:r w:rsidRPr="006E46AC">
        <w:rPr>
          <w:b/>
          <w:i/>
        </w:rPr>
        <w:t>NRWMF Community Fund entity</w:t>
      </w:r>
      <w:r w:rsidRPr="006E46AC">
        <w:t xml:space="preserve"> is the entity prescribed by the regulation</w:t>
      </w:r>
      <w:bookmarkStart w:id="18" w:name="BK_S1P8L3C15"/>
      <w:bookmarkStart w:id="19" w:name="BK_S1P8L8C15"/>
      <w:bookmarkStart w:id="20" w:name="BK_S1P7L15C15"/>
      <w:bookmarkStart w:id="21" w:name="BK_S1P7L22C15"/>
      <w:bookmarkStart w:id="22" w:name="BK_S3P15L8C15"/>
      <w:bookmarkStart w:id="23" w:name="BK_S3P20L10C15"/>
      <w:bookmarkStart w:id="24" w:name="BK_S3P19L16C15"/>
      <w:bookmarkStart w:id="25" w:name="BK_S3P18L11C15"/>
      <w:bookmarkEnd w:id="18"/>
      <w:bookmarkEnd w:id="19"/>
      <w:bookmarkEnd w:id="20"/>
      <w:bookmarkEnd w:id="21"/>
      <w:bookmarkEnd w:id="22"/>
      <w:bookmarkEnd w:id="23"/>
      <w:bookmarkEnd w:id="24"/>
      <w:bookmarkEnd w:id="25"/>
      <w:r w:rsidRPr="006E46AC">
        <w:t>s for the purposes of this subsection.</w:t>
      </w:r>
    </w:p>
    <w:p w14:paraId="49762CB8" w14:textId="77777777" w:rsidR="003F4101" w:rsidRPr="006E46AC" w:rsidRDefault="003F4101" w:rsidP="003F4101">
      <w:pPr>
        <w:pStyle w:val="subsection"/>
      </w:pPr>
      <w:r w:rsidRPr="006E46AC">
        <w:tab/>
        <w:t>(2)</w:t>
      </w:r>
      <w:r w:rsidRPr="006E46AC">
        <w:tab/>
        <w:t>Before the Governor</w:t>
      </w:r>
      <w:r w:rsidR="00E071A7">
        <w:noBreakHyphen/>
      </w:r>
      <w:r w:rsidRPr="006E46AC">
        <w:t>General makes regulations for the purposes of subsection (1), the Minister must be satisfied that, before the entity was established, the following bodies were consulted on the type of entity to be established and associated governance arrangements:</w:t>
      </w:r>
    </w:p>
    <w:p w14:paraId="559E6DED" w14:textId="77777777" w:rsidR="003F4101" w:rsidRPr="006E46AC" w:rsidRDefault="003F4101" w:rsidP="003F4101">
      <w:pPr>
        <w:pStyle w:val="paragraph"/>
      </w:pPr>
      <w:r w:rsidRPr="006E46AC">
        <w:tab/>
        <w:t>(a)</w:t>
      </w:r>
      <w:r w:rsidRPr="006E46AC">
        <w:tab/>
        <w:t>the regional consultative committee mentioned in section 22;</w:t>
      </w:r>
    </w:p>
    <w:p w14:paraId="39EC0A32" w14:textId="77777777" w:rsidR="00D64F02" w:rsidRDefault="00D64F02" w:rsidP="00D64F02">
      <w:pPr>
        <w:pStyle w:val="paragraph"/>
      </w:pPr>
      <w:r>
        <w:tab/>
        <w:t>(b)</w:t>
      </w:r>
      <w:r>
        <w:tab/>
        <w:t>the local government body that serves the local government area in which the facility is situated;</w:t>
      </w:r>
    </w:p>
    <w:p w14:paraId="2F4FE5A0" w14:textId="77777777" w:rsidR="00D64F02" w:rsidRDefault="00D64F02" w:rsidP="00D64F02">
      <w:pPr>
        <w:pStyle w:val="paragraph"/>
      </w:pPr>
      <w:r>
        <w:tab/>
        <w:t>(c)</w:t>
      </w:r>
      <w:r>
        <w:tab/>
        <w:t>the government of the State or Territory in which the facility is situated.</w:t>
      </w:r>
    </w:p>
    <w:p w14:paraId="2728ED37" w14:textId="77777777" w:rsidR="003F4101" w:rsidRPr="00656C10" w:rsidRDefault="003F4101" w:rsidP="003F4101">
      <w:pPr>
        <w:pStyle w:val="ActHead5"/>
      </w:pPr>
      <w:bookmarkStart w:id="26" w:name="_Toc76036258"/>
      <w:r w:rsidRPr="00DB702F">
        <w:rPr>
          <w:rStyle w:val="CharSectno"/>
        </w:rPr>
        <w:t>34AB</w:t>
      </w:r>
      <w:r w:rsidRPr="00656C10">
        <w:t xml:space="preserve">  </w:t>
      </w:r>
      <w:r>
        <w:t>Payment to NRWMF Community Fund entity</w:t>
      </w:r>
      <w:bookmarkEnd w:id="26"/>
    </w:p>
    <w:p w14:paraId="68211265" w14:textId="77777777" w:rsidR="003F4101" w:rsidRDefault="003F4101" w:rsidP="003F4101">
      <w:pPr>
        <w:pStyle w:val="subsection"/>
      </w:pPr>
      <w:r w:rsidRPr="00656C10">
        <w:tab/>
        <w:t>(1)</w:t>
      </w:r>
      <w:r w:rsidRPr="00656C10">
        <w:tab/>
        <w:t>The Minister must, on behalf of the Commonwealth</w:t>
      </w:r>
      <w:r>
        <w:t xml:space="preserve">, </w:t>
      </w:r>
      <w:r w:rsidRPr="00656C10">
        <w:t>make a payment</w:t>
      </w:r>
      <w:r>
        <w:t xml:space="preserve"> </w:t>
      </w:r>
      <w:r w:rsidRPr="00656C10">
        <w:t xml:space="preserve">to </w:t>
      </w:r>
      <w:r>
        <w:t>the</w:t>
      </w:r>
      <w:r w:rsidRPr="00101598">
        <w:t xml:space="preserve"> NRWMF Community Fund entity </w:t>
      </w:r>
      <w:r w:rsidRPr="00656C10">
        <w:t xml:space="preserve">for </w:t>
      </w:r>
      <w:r>
        <w:t xml:space="preserve">purposes associated with </w:t>
      </w:r>
      <w:r w:rsidRPr="00656C10">
        <w:t xml:space="preserve">the economic and social sustainability of </w:t>
      </w:r>
      <w:r>
        <w:t>the</w:t>
      </w:r>
      <w:r w:rsidRPr="00656C10">
        <w:t xml:space="preserve"> </w:t>
      </w:r>
      <w:r w:rsidRPr="00650EE9">
        <w:t>host community</w:t>
      </w:r>
      <w:r>
        <w:t xml:space="preserve"> for the facility</w:t>
      </w:r>
      <w:r w:rsidRPr="00656C10">
        <w:t xml:space="preserve">, so as to </w:t>
      </w:r>
      <w:r>
        <w:t>support:</w:t>
      </w:r>
    </w:p>
    <w:p w14:paraId="57CBAE77" w14:textId="77777777" w:rsidR="003F4101" w:rsidRDefault="003F4101" w:rsidP="003F4101">
      <w:pPr>
        <w:pStyle w:val="paragraph"/>
      </w:pPr>
      <w:r>
        <w:tab/>
        <w:t>(a)</w:t>
      </w:r>
      <w:r>
        <w:tab/>
        <w:t>the establishment of the facility; and</w:t>
      </w:r>
    </w:p>
    <w:p w14:paraId="3BF0FC26" w14:textId="77777777" w:rsidR="003F4101" w:rsidRPr="00656C10" w:rsidRDefault="003F4101" w:rsidP="003F4101">
      <w:pPr>
        <w:pStyle w:val="paragraph"/>
      </w:pPr>
      <w:r>
        <w:tab/>
        <w:t>(b)</w:t>
      </w:r>
      <w:r>
        <w:tab/>
        <w:t>the</w:t>
      </w:r>
      <w:r w:rsidRPr="00656C10">
        <w:t xml:space="preserve"> operation of the facility in safely and securely managing controlled material.</w:t>
      </w:r>
    </w:p>
    <w:p w14:paraId="27060D61" w14:textId="77777777" w:rsidR="003F4101" w:rsidRPr="00656C10" w:rsidRDefault="003F4101" w:rsidP="003F4101">
      <w:pPr>
        <w:pStyle w:val="subsection"/>
      </w:pPr>
      <w:r w:rsidRPr="00656C10">
        <w:tab/>
        <w:t>(2)</w:t>
      </w:r>
      <w:r w:rsidRPr="00656C10">
        <w:tab/>
        <w:t>The payment must not be made to</w:t>
      </w:r>
      <w:r w:rsidRPr="00101598">
        <w:t xml:space="preserve"> </w:t>
      </w:r>
      <w:r>
        <w:t xml:space="preserve">the </w:t>
      </w:r>
      <w:r w:rsidRPr="00101598">
        <w:t xml:space="preserve">NRWMF Community Fund entity </w:t>
      </w:r>
      <w:r w:rsidRPr="00656C10">
        <w:t>unless</w:t>
      </w:r>
      <w:r>
        <w:t xml:space="preserve"> </w:t>
      </w:r>
      <w:r w:rsidRPr="00656C10">
        <w:t>the entity is party to an agreement with the Commonwealth under section 34AC.</w:t>
      </w:r>
    </w:p>
    <w:p w14:paraId="2E3C1855" w14:textId="77777777" w:rsidR="003F4101" w:rsidRPr="00656C10" w:rsidRDefault="003F4101" w:rsidP="003F4101">
      <w:pPr>
        <w:pStyle w:val="subsection"/>
      </w:pPr>
      <w:r w:rsidRPr="00656C10">
        <w:tab/>
        <w:t>(3)</w:t>
      </w:r>
      <w:r w:rsidRPr="00656C10">
        <w:tab/>
        <w:t>The amount of the payment must be $20 million. The amount is to be paid as a single lump sum.</w:t>
      </w:r>
    </w:p>
    <w:p w14:paraId="527E4367" w14:textId="77777777" w:rsidR="003F4101" w:rsidRPr="00656C10" w:rsidRDefault="003F4101" w:rsidP="003F4101">
      <w:pPr>
        <w:pStyle w:val="subsection"/>
      </w:pPr>
      <w:r w:rsidRPr="00656C10">
        <w:lastRenderedPageBreak/>
        <w:tab/>
        <w:t>(4)</w:t>
      </w:r>
      <w:r w:rsidRPr="00656C10">
        <w:tab/>
        <w:t>A payment under this section is to be made out of money appropriated by the Parliament</w:t>
      </w:r>
      <w:bookmarkStart w:id="27" w:name="BK_S1P9L10C31"/>
      <w:bookmarkStart w:id="28" w:name="BK_S1P9L22C31"/>
      <w:bookmarkStart w:id="29" w:name="BK_S1P8L17C31"/>
      <w:bookmarkStart w:id="30" w:name="BK_S1P8L22C31"/>
      <w:bookmarkStart w:id="31" w:name="BK_S3P16L15C31"/>
      <w:bookmarkStart w:id="32" w:name="BK_S3P21L15C31"/>
      <w:bookmarkStart w:id="33" w:name="BK_S3P20L10C31"/>
      <w:bookmarkStart w:id="34" w:name="BK_S3P19L9C31"/>
      <w:bookmarkStart w:id="35" w:name="BK_S3P17L30C31"/>
      <w:bookmarkStart w:id="36" w:name="BK_S3P16L30C31"/>
      <w:bookmarkStart w:id="37" w:name="BK_S3P17L19C31"/>
      <w:bookmarkStart w:id="38" w:name="BK_S3P16L19C31"/>
      <w:bookmarkEnd w:id="27"/>
      <w:bookmarkEnd w:id="28"/>
      <w:bookmarkEnd w:id="29"/>
      <w:bookmarkEnd w:id="30"/>
      <w:bookmarkEnd w:id="31"/>
      <w:bookmarkEnd w:id="32"/>
      <w:bookmarkEnd w:id="33"/>
      <w:bookmarkEnd w:id="34"/>
      <w:bookmarkEnd w:id="35"/>
      <w:bookmarkEnd w:id="36"/>
      <w:bookmarkEnd w:id="37"/>
      <w:bookmarkEnd w:id="38"/>
      <w:r w:rsidRPr="00656C10">
        <w:t xml:space="preserve"> by another Act.</w:t>
      </w:r>
    </w:p>
    <w:p w14:paraId="50ECAE0B" w14:textId="77777777" w:rsidR="003F4101" w:rsidRPr="00656C10" w:rsidRDefault="003F4101" w:rsidP="003F4101">
      <w:pPr>
        <w:pStyle w:val="notetext"/>
      </w:pPr>
      <w:r w:rsidRPr="00656C10">
        <w:t>Note:</w:t>
      </w:r>
      <w:r w:rsidRPr="00656C10">
        <w:tab/>
        <w:t>The other Act will usually be an Annual Appropriation Act.</w:t>
      </w:r>
    </w:p>
    <w:p w14:paraId="22DDBDDB" w14:textId="77777777" w:rsidR="003F4101" w:rsidRPr="00656C10" w:rsidRDefault="003F4101" w:rsidP="003F4101">
      <w:pPr>
        <w:pStyle w:val="ActHead5"/>
      </w:pPr>
      <w:bookmarkStart w:id="39" w:name="_Toc76036259"/>
      <w:r w:rsidRPr="00DB702F">
        <w:rPr>
          <w:rStyle w:val="CharSectno"/>
        </w:rPr>
        <w:t>34AC</w:t>
      </w:r>
      <w:r w:rsidRPr="00656C10">
        <w:t xml:space="preserve">  Terms and conditions of payment</w:t>
      </w:r>
      <w:bookmarkEnd w:id="39"/>
    </w:p>
    <w:p w14:paraId="2FC93694" w14:textId="77777777" w:rsidR="003F4101" w:rsidRPr="00656C10" w:rsidRDefault="003F4101" w:rsidP="003F4101">
      <w:pPr>
        <w:pStyle w:val="SubsectionHead"/>
      </w:pPr>
      <w:r w:rsidRPr="00656C10">
        <w:t>Scope</w:t>
      </w:r>
    </w:p>
    <w:p w14:paraId="553F9232" w14:textId="77777777" w:rsidR="003F4101" w:rsidRPr="00656C10" w:rsidRDefault="003F4101" w:rsidP="003F4101">
      <w:pPr>
        <w:pStyle w:val="subsection"/>
      </w:pPr>
      <w:r w:rsidRPr="00656C10">
        <w:tab/>
        <w:t>(1)</w:t>
      </w:r>
      <w:r w:rsidRPr="00656C10">
        <w:tab/>
        <w:t>This section applies to a</w:t>
      </w:r>
      <w:r w:rsidRPr="00656C10">
        <w:rPr>
          <w:i/>
        </w:rPr>
        <w:t xml:space="preserve"> </w:t>
      </w:r>
      <w:r>
        <w:t>payment</w:t>
      </w:r>
      <w:r w:rsidRPr="00656C10">
        <w:t xml:space="preserve"> made to</w:t>
      </w:r>
      <w:r w:rsidRPr="00101598">
        <w:t xml:space="preserve"> </w:t>
      </w:r>
      <w:r>
        <w:t xml:space="preserve">the </w:t>
      </w:r>
      <w:r w:rsidRPr="00101598">
        <w:t xml:space="preserve">NRWMF Community Fund entity </w:t>
      </w:r>
      <w:r w:rsidRPr="00656C10">
        <w:t>under section 34AB.</w:t>
      </w:r>
    </w:p>
    <w:p w14:paraId="02D87E7B" w14:textId="77777777" w:rsidR="003F4101" w:rsidRPr="00656C10" w:rsidRDefault="003F4101" w:rsidP="003F4101">
      <w:pPr>
        <w:pStyle w:val="SubsectionHead"/>
      </w:pPr>
      <w:r w:rsidRPr="00656C10">
        <w:t>Terms and conditions</w:t>
      </w:r>
    </w:p>
    <w:p w14:paraId="4678E0E4" w14:textId="77777777" w:rsidR="003F4101" w:rsidRDefault="003F4101" w:rsidP="003F4101">
      <w:pPr>
        <w:pStyle w:val="subsection"/>
      </w:pPr>
      <w:r w:rsidRPr="00656C10">
        <w:tab/>
        <w:t>(2)</w:t>
      </w:r>
      <w:r w:rsidRPr="00656C10">
        <w:tab/>
        <w:t>The terms and conditions on which that payment is made</w:t>
      </w:r>
      <w:r>
        <w:t xml:space="preserve"> </w:t>
      </w:r>
      <w:r w:rsidRPr="00656C10">
        <w:t>are to be set out in a writt</w:t>
      </w:r>
      <w:bookmarkStart w:id="40" w:name="BK_S1P9L27C19"/>
      <w:bookmarkStart w:id="41" w:name="BK_S1P10L7C19"/>
      <w:bookmarkStart w:id="42" w:name="BK_S1P8L25C19"/>
      <w:bookmarkStart w:id="43" w:name="BK_S1P8L30C19"/>
      <w:bookmarkEnd w:id="40"/>
      <w:bookmarkEnd w:id="41"/>
      <w:bookmarkEnd w:id="42"/>
      <w:bookmarkEnd w:id="43"/>
      <w:r w:rsidRPr="00656C10">
        <w:t>en agreement between the Commonwealth and the entity.</w:t>
      </w:r>
    </w:p>
    <w:p w14:paraId="26586B1D" w14:textId="77777777" w:rsidR="003F4101" w:rsidRPr="00656C10" w:rsidRDefault="003F4101" w:rsidP="003F4101">
      <w:pPr>
        <w:pStyle w:val="subsection"/>
      </w:pPr>
      <w:r>
        <w:tab/>
      </w:r>
      <w:r w:rsidRPr="00656C10">
        <w:t>(3)</w:t>
      </w:r>
      <w:r w:rsidRPr="00656C10">
        <w:tab/>
        <w:t>An agreement under subsection (2) may be entered into by the Minister on behalf of the Commonwealth.</w:t>
      </w:r>
    </w:p>
    <w:p w14:paraId="291211AD" w14:textId="77777777" w:rsidR="003F4101" w:rsidRPr="00656C10" w:rsidRDefault="003F4101" w:rsidP="003F4101">
      <w:pPr>
        <w:pStyle w:val="subsection"/>
      </w:pPr>
      <w:r>
        <w:tab/>
        <w:t>(4)</w:t>
      </w:r>
      <w:r>
        <w:tab/>
        <w:t>The entity must comply with the terms and conditions set out in the agreement.</w:t>
      </w:r>
    </w:p>
    <w:p w14:paraId="353CE108" w14:textId="77777777" w:rsidR="003F4101" w:rsidRPr="00656C10" w:rsidRDefault="003F4101" w:rsidP="003F4101">
      <w:pPr>
        <w:pStyle w:val="SubsectionHead"/>
      </w:pPr>
      <w:r w:rsidRPr="00656C10">
        <w:t>Core condition</w:t>
      </w:r>
    </w:p>
    <w:p w14:paraId="7B91B8CF" w14:textId="77777777" w:rsidR="003F4101" w:rsidRDefault="003F4101" w:rsidP="003F4101">
      <w:pPr>
        <w:pStyle w:val="subsection"/>
      </w:pPr>
      <w:r w:rsidRPr="00656C10">
        <w:rPr>
          <w:i/>
        </w:rPr>
        <w:tab/>
      </w:r>
      <w:r>
        <w:t>(5</w:t>
      </w:r>
      <w:r w:rsidRPr="00656C10">
        <w:t>)</w:t>
      </w:r>
      <w:r w:rsidRPr="00656C10">
        <w:tab/>
        <w:t>T</w:t>
      </w:r>
      <w:r>
        <w:t xml:space="preserve">he agreement must include </w:t>
      </w:r>
      <w:r w:rsidRPr="00656C10">
        <w:t>a condition to the effect that</w:t>
      </w:r>
      <w:r>
        <w:t xml:space="preserve"> </w:t>
      </w:r>
      <w:r w:rsidRPr="00656C10">
        <w:t xml:space="preserve">the entity will use the payment for </w:t>
      </w:r>
      <w:r>
        <w:t xml:space="preserve">purposes associated with </w:t>
      </w:r>
      <w:r w:rsidRPr="00656C10">
        <w:t xml:space="preserve">the economic and social sustainability of </w:t>
      </w:r>
      <w:r>
        <w:t>the</w:t>
      </w:r>
      <w:r w:rsidRPr="00656C10">
        <w:t xml:space="preserve"> </w:t>
      </w:r>
      <w:r w:rsidRPr="00650EE9">
        <w:t>host community</w:t>
      </w:r>
      <w:r>
        <w:t xml:space="preserve"> for the facility</w:t>
      </w:r>
      <w:r w:rsidRPr="00656C10">
        <w:t xml:space="preserve">, so as to </w:t>
      </w:r>
      <w:r>
        <w:t>support:</w:t>
      </w:r>
    </w:p>
    <w:p w14:paraId="206BD34A" w14:textId="77777777" w:rsidR="003F4101" w:rsidRDefault="003F4101" w:rsidP="003F4101">
      <w:pPr>
        <w:pStyle w:val="paragraph"/>
      </w:pPr>
      <w:r>
        <w:tab/>
        <w:t>(a)</w:t>
      </w:r>
      <w:r>
        <w:tab/>
        <w:t>the establishment of the facility; and</w:t>
      </w:r>
    </w:p>
    <w:p w14:paraId="63957B8C" w14:textId="77777777" w:rsidR="003F4101" w:rsidRPr="00656C10" w:rsidRDefault="003F4101" w:rsidP="003F4101">
      <w:pPr>
        <w:pStyle w:val="paragraph"/>
        <w:rPr>
          <w:i/>
        </w:rPr>
      </w:pPr>
      <w:r>
        <w:tab/>
        <w:t>(b)</w:t>
      </w:r>
      <w:r>
        <w:tab/>
        <w:t>the</w:t>
      </w:r>
      <w:r w:rsidRPr="00656C10">
        <w:t xml:space="preserve"> operation of the facility in safely and securely managing controlled material.</w:t>
      </w:r>
    </w:p>
    <w:p w14:paraId="78B19681" w14:textId="77777777" w:rsidR="003F4101" w:rsidRPr="00656C10" w:rsidRDefault="003F4101" w:rsidP="003F4101">
      <w:pPr>
        <w:pStyle w:val="SubsectionHead"/>
      </w:pPr>
      <w:r w:rsidRPr="00656C10">
        <w:t>Other terms and conditions</w:t>
      </w:r>
    </w:p>
    <w:p w14:paraId="4FE7BB3D" w14:textId="77777777" w:rsidR="003F4101" w:rsidRDefault="003F4101" w:rsidP="003F4101">
      <w:pPr>
        <w:pStyle w:val="subsection"/>
      </w:pPr>
      <w:r>
        <w:tab/>
        <w:t>(6</w:t>
      </w:r>
      <w:r w:rsidRPr="00656C10">
        <w:t>)</w:t>
      </w:r>
      <w:r w:rsidRPr="00656C10">
        <w:tab/>
      </w:r>
      <w:r>
        <w:t>The terms and conditions set out in the agreement must provide for the circumstances in which the entity must repay amounts to the Commonwealth.</w:t>
      </w:r>
    </w:p>
    <w:p w14:paraId="0806EE0D" w14:textId="77777777" w:rsidR="003F4101" w:rsidRPr="0032049E" w:rsidRDefault="003F4101" w:rsidP="003F4101">
      <w:pPr>
        <w:pStyle w:val="notetext"/>
      </w:pPr>
      <w:r>
        <w:t>Note:</w:t>
      </w:r>
      <w:r>
        <w:tab/>
        <w:t>An amount repayable to the Commonwealth would be a debt due to the Commonwealth.</w:t>
      </w:r>
    </w:p>
    <w:p w14:paraId="0CE728DD" w14:textId="77777777" w:rsidR="003F4101" w:rsidRDefault="003F4101" w:rsidP="003F4101">
      <w:pPr>
        <w:pStyle w:val="subsection"/>
      </w:pPr>
      <w:r>
        <w:lastRenderedPageBreak/>
        <w:tab/>
        <w:t>(7)</w:t>
      </w:r>
      <w:r>
        <w:tab/>
      </w:r>
      <w:r w:rsidRPr="00656C10">
        <w:t>The regulations may</w:t>
      </w:r>
      <w:r w:rsidRPr="00656C10">
        <w:rPr>
          <w:i/>
        </w:rPr>
        <w:t xml:space="preserve"> </w:t>
      </w:r>
      <w:r w:rsidRPr="00656C10">
        <w:t xml:space="preserve">prescribe other terms and conditions </w:t>
      </w:r>
      <w:r>
        <w:t xml:space="preserve">that are </w:t>
      </w:r>
      <w:r w:rsidRPr="00656C10">
        <w:t xml:space="preserve">to be </w:t>
      </w:r>
      <w:r>
        <w:t>set out</w:t>
      </w:r>
      <w:r w:rsidRPr="00656C10">
        <w:t xml:space="preserve"> in the agreement</w:t>
      </w:r>
      <w:r>
        <w:t>.</w:t>
      </w:r>
    </w:p>
    <w:p w14:paraId="1B176C58" w14:textId="77777777" w:rsidR="003F4101" w:rsidRDefault="003F4101" w:rsidP="003F4101">
      <w:pPr>
        <w:pStyle w:val="subsection"/>
      </w:pPr>
      <w:r>
        <w:tab/>
        <w:t>(8</w:t>
      </w:r>
      <w:r w:rsidRPr="00656C10">
        <w:t>)</w:t>
      </w:r>
      <w:r w:rsidRPr="00656C10">
        <w:tab/>
        <w:t>Subsections (</w:t>
      </w:r>
      <w:r>
        <w:t>5</w:t>
      </w:r>
      <w:r w:rsidRPr="00656C10">
        <w:t>)</w:t>
      </w:r>
      <w:r>
        <w:t>, (6) and (7</w:t>
      </w:r>
      <w:r w:rsidRPr="00656C10">
        <w:t>) do not limit subsection (2).</w:t>
      </w:r>
    </w:p>
    <w:p w14:paraId="6CA43F70" w14:textId="77777777" w:rsidR="003F4101" w:rsidRPr="00656C10" w:rsidRDefault="002938B4" w:rsidP="003F4101">
      <w:pPr>
        <w:pStyle w:val="ItemHead"/>
      </w:pPr>
      <w:r>
        <w:t>4</w:t>
      </w:r>
      <w:r w:rsidR="003F4101" w:rsidRPr="00656C10">
        <w:t xml:space="preserve">  Before section 34B</w:t>
      </w:r>
    </w:p>
    <w:p w14:paraId="742292DC" w14:textId="77777777" w:rsidR="003F4101" w:rsidRPr="00656C10" w:rsidRDefault="003F4101" w:rsidP="003F4101">
      <w:pPr>
        <w:pStyle w:val="Item"/>
      </w:pPr>
      <w:r w:rsidRPr="00656C10">
        <w:t>Insert:</w:t>
      </w:r>
    </w:p>
    <w:p w14:paraId="6D6906C4" w14:textId="77777777" w:rsidR="003F4101" w:rsidRPr="00656C10" w:rsidRDefault="003F4101" w:rsidP="003F4101">
      <w:pPr>
        <w:pStyle w:val="ActHead2"/>
      </w:pPr>
      <w:bookmarkStart w:id="44" w:name="BK_S1P11L1C1"/>
      <w:bookmarkStart w:id="45" w:name="BK_S1P11L11C1"/>
      <w:bookmarkStart w:id="46" w:name="BK_S1P9L20C1"/>
      <w:bookmarkStart w:id="47" w:name="BK_S1P9L24C1"/>
      <w:bookmarkStart w:id="48" w:name="BK_S3P17L20C1"/>
      <w:bookmarkStart w:id="49" w:name="BK_S3P22L20C1"/>
      <w:bookmarkStart w:id="50" w:name="BK_S3P21L14C1"/>
      <w:bookmarkStart w:id="51" w:name="BK_S3P20L14C1"/>
      <w:bookmarkStart w:id="52" w:name="BK_S3P20L20C1"/>
      <w:bookmarkStart w:id="53" w:name="BK_S3P19L4C1"/>
      <w:bookmarkStart w:id="54" w:name="BK_S3P18L4C1"/>
      <w:bookmarkStart w:id="55" w:name="BK_S3P18L24C1"/>
      <w:bookmarkStart w:id="56" w:name="BK_S3P17L24C1"/>
      <w:bookmarkStart w:id="57" w:name="_Toc76036260"/>
      <w:bookmarkEnd w:id="44"/>
      <w:bookmarkEnd w:id="45"/>
      <w:bookmarkEnd w:id="46"/>
      <w:bookmarkEnd w:id="47"/>
      <w:bookmarkEnd w:id="48"/>
      <w:bookmarkEnd w:id="49"/>
      <w:bookmarkEnd w:id="50"/>
      <w:bookmarkEnd w:id="51"/>
      <w:bookmarkEnd w:id="52"/>
      <w:bookmarkEnd w:id="53"/>
      <w:bookmarkEnd w:id="54"/>
      <w:bookmarkEnd w:id="55"/>
      <w:bookmarkEnd w:id="56"/>
      <w:r w:rsidRPr="00DB702F">
        <w:rPr>
          <w:rStyle w:val="CharPartNo"/>
        </w:rPr>
        <w:t>Part 6B</w:t>
      </w:r>
      <w:r w:rsidRPr="00656C10">
        <w:t>—</w:t>
      </w:r>
      <w:r w:rsidRPr="00DB702F">
        <w:rPr>
          <w:rStyle w:val="CharPartText"/>
        </w:rPr>
        <w:t>Fee for use of facility</w:t>
      </w:r>
      <w:bookmarkEnd w:id="57"/>
    </w:p>
    <w:p w14:paraId="71358F5A" w14:textId="77777777" w:rsidR="00DB702F" w:rsidRPr="00DB702F" w:rsidRDefault="00DB702F" w:rsidP="00DB702F">
      <w:pPr>
        <w:pStyle w:val="Header"/>
      </w:pPr>
      <w:r w:rsidRPr="00DB702F">
        <w:rPr>
          <w:rStyle w:val="CharDivNo"/>
        </w:rPr>
        <w:t xml:space="preserve"> </w:t>
      </w:r>
      <w:r w:rsidRPr="00DB702F">
        <w:rPr>
          <w:rStyle w:val="CharDivText"/>
        </w:rPr>
        <w:t xml:space="preserve"> </w:t>
      </w:r>
    </w:p>
    <w:p w14:paraId="2EC95D2B" w14:textId="77777777" w:rsidR="003F4101" w:rsidRPr="00656C10" w:rsidRDefault="002938B4" w:rsidP="003F4101">
      <w:pPr>
        <w:pStyle w:val="ItemHead"/>
      </w:pPr>
      <w:r>
        <w:t>5</w:t>
      </w:r>
      <w:r w:rsidR="003F4101" w:rsidRPr="00656C10">
        <w:t xml:space="preserve">  Section 34B (heading)</w:t>
      </w:r>
    </w:p>
    <w:p w14:paraId="7E07FCA1" w14:textId="77777777" w:rsidR="003F4101" w:rsidRPr="00656C10" w:rsidRDefault="003F4101" w:rsidP="003F4101">
      <w:pPr>
        <w:pStyle w:val="Item"/>
      </w:pPr>
      <w:r w:rsidRPr="00656C10">
        <w:t>Omit “</w:t>
      </w:r>
      <w:r w:rsidRPr="00656C10">
        <w:rPr>
          <w:b/>
        </w:rPr>
        <w:t>National Repository</w:t>
      </w:r>
      <w:r w:rsidRPr="00656C10">
        <w:t>”.</w:t>
      </w:r>
    </w:p>
    <w:p w14:paraId="1373ADAB" w14:textId="77777777" w:rsidR="003F4101" w:rsidRPr="00656C10" w:rsidRDefault="002938B4" w:rsidP="003F4101">
      <w:pPr>
        <w:pStyle w:val="ItemHead"/>
      </w:pPr>
      <w:r>
        <w:t>6</w:t>
      </w:r>
      <w:r w:rsidR="003F4101" w:rsidRPr="00656C10">
        <w:t xml:space="preserve">  Subsection 34B(1)</w:t>
      </w:r>
    </w:p>
    <w:p w14:paraId="57DA324A" w14:textId="77777777" w:rsidR="003F4101" w:rsidRDefault="003F4101" w:rsidP="003F4101">
      <w:pPr>
        <w:pStyle w:val="Item"/>
      </w:pPr>
      <w:r w:rsidRPr="00656C10">
        <w:t>After “use the facility”, insert “mentioned in section 34A”.</w:t>
      </w:r>
    </w:p>
    <w:p w14:paraId="68C8316C" w14:textId="77777777" w:rsidR="00D64F02" w:rsidRDefault="00D64F02" w:rsidP="00D64F02">
      <w:pPr>
        <w:pStyle w:val="ItemHead"/>
      </w:pPr>
      <w:r>
        <w:t>6A  Paragraphs 34B(1)(b) and (c)</w:t>
      </w:r>
    </w:p>
    <w:p w14:paraId="631CF5B1" w14:textId="77777777" w:rsidR="00D64F02" w:rsidRDefault="00D64F02" w:rsidP="00D64F02">
      <w:pPr>
        <w:pStyle w:val="Item"/>
      </w:pPr>
      <w:r>
        <w:t>Repeal the paragraphs, substitute:</w:t>
      </w:r>
    </w:p>
    <w:p w14:paraId="690A71FF" w14:textId="77777777" w:rsidR="00D64F02" w:rsidRDefault="00D64F02" w:rsidP="00D64F02">
      <w:pPr>
        <w:pStyle w:val="paragraph"/>
      </w:pPr>
      <w:r>
        <w:tab/>
        <w:t>(b)</w:t>
      </w:r>
      <w:r>
        <w:tab/>
        <w:t>the State or Territory in which the facility is situated;</w:t>
      </w:r>
    </w:p>
    <w:p w14:paraId="50C436A7" w14:textId="77777777" w:rsidR="00D64F02" w:rsidRDefault="00D64F02" w:rsidP="00D64F02">
      <w:pPr>
        <w:pStyle w:val="paragraph"/>
      </w:pPr>
      <w:r>
        <w:tab/>
        <w:t>(c)</w:t>
      </w:r>
      <w:r>
        <w:tab/>
        <w:t>a Commonwealth entity or an authority of the State or Territory in which the facility is situated;</w:t>
      </w:r>
    </w:p>
    <w:p w14:paraId="1271778B" w14:textId="77777777" w:rsidR="003F4101" w:rsidRPr="00656C10" w:rsidRDefault="002938B4" w:rsidP="003F4101">
      <w:pPr>
        <w:pStyle w:val="ItemHead"/>
      </w:pPr>
      <w:r>
        <w:t>7</w:t>
      </w:r>
      <w:r w:rsidR="003F4101" w:rsidRPr="00656C10">
        <w:t xml:space="preserve">  After subsection 34B(2)</w:t>
      </w:r>
    </w:p>
    <w:p w14:paraId="2603BEED" w14:textId="77777777" w:rsidR="003F4101" w:rsidRPr="00656C10" w:rsidRDefault="003F4101" w:rsidP="003F4101">
      <w:pPr>
        <w:pStyle w:val="Item"/>
      </w:pPr>
      <w:r w:rsidRPr="00656C10">
        <w:t>Insert:</w:t>
      </w:r>
    </w:p>
    <w:p w14:paraId="78C0631C" w14:textId="77777777" w:rsidR="003F4101" w:rsidRPr="00AC7ABC" w:rsidRDefault="003F4101" w:rsidP="002C2D8A">
      <w:pPr>
        <w:pStyle w:val="subsection"/>
      </w:pPr>
      <w:r w:rsidRPr="00656C10">
        <w:tab/>
        <w:t>(2A)</w:t>
      </w:r>
      <w:r w:rsidRPr="00656C10">
        <w:tab/>
        <w:t>The fee is payable to the Commonwealth.</w:t>
      </w:r>
    </w:p>
    <w:p w14:paraId="07A72149" w14:textId="77777777" w:rsidR="00D64F02" w:rsidRDefault="00D64F02" w:rsidP="00D64F02">
      <w:pPr>
        <w:pStyle w:val="ItemHead"/>
      </w:pPr>
      <w:r>
        <w:t>7A  Subsection 34B(3)</w:t>
      </w:r>
    </w:p>
    <w:p w14:paraId="31B4A797" w14:textId="77777777" w:rsidR="00D64F02" w:rsidRDefault="00D64F02" w:rsidP="00D64F02">
      <w:pPr>
        <w:pStyle w:val="Item"/>
      </w:pPr>
      <w:r>
        <w:t>Repeal the subsection.</w:t>
      </w:r>
    </w:p>
    <w:p w14:paraId="7A8E1CED" w14:textId="77777777" w:rsidR="003F4101" w:rsidRPr="00656C10" w:rsidRDefault="002938B4" w:rsidP="003F4101">
      <w:pPr>
        <w:pStyle w:val="ItemHead"/>
      </w:pPr>
      <w:r>
        <w:t>8</w:t>
      </w:r>
      <w:r w:rsidR="003F4101" w:rsidRPr="00656C10">
        <w:t xml:space="preserve">  Sections 34C to 34E</w:t>
      </w:r>
    </w:p>
    <w:p w14:paraId="38F89E78" w14:textId="77777777" w:rsidR="003F4101" w:rsidRDefault="003F4101" w:rsidP="003F4101">
      <w:pPr>
        <w:pStyle w:val="Item"/>
      </w:pPr>
      <w:r w:rsidRPr="00656C10">
        <w:t>Repeal the sections.</w:t>
      </w:r>
    </w:p>
    <w:p w14:paraId="34E42A80" w14:textId="77777777" w:rsidR="00140184" w:rsidRDefault="007D5F62" w:rsidP="007D5F62">
      <w:pPr>
        <w:pStyle w:val="ActHead6"/>
        <w:pageBreakBefore/>
      </w:pPr>
      <w:bookmarkStart w:id="58" w:name="opcCurrentFind"/>
      <w:bookmarkStart w:id="59" w:name="_Toc76036261"/>
      <w:r w:rsidRPr="00DB702F">
        <w:rPr>
          <w:rStyle w:val="CharAmSchNo"/>
        </w:rPr>
        <w:lastRenderedPageBreak/>
        <w:t>Schedule 3</w:t>
      </w:r>
      <w:r>
        <w:t>—</w:t>
      </w:r>
      <w:r w:rsidRPr="00DB702F">
        <w:rPr>
          <w:rStyle w:val="CharAmSchText"/>
        </w:rPr>
        <w:t>Other amendments</w:t>
      </w:r>
      <w:bookmarkEnd w:id="59"/>
    </w:p>
    <w:bookmarkEnd w:id="58"/>
    <w:p w14:paraId="303F403A" w14:textId="77777777" w:rsidR="007D5F62" w:rsidRPr="00DB702F" w:rsidRDefault="007D5F62" w:rsidP="007D5F62">
      <w:pPr>
        <w:pStyle w:val="Header"/>
      </w:pPr>
      <w:r w:rsidRPr="00DB702F">
        <w:rPr>
          <w:rStyle w:val="CharAmPartNo"/>
        </w:rPr>
        <w:t xml:space="preserve"> </w:t>
      </w:r>
      <w:r w:rsidRPr="00DB702F">
        <w:rPr>
          <w:rStyle w:val="CharAmPartText"/>
        </w:rPr>
        <w:t xml:space="preserve"> </w:t>
      </w:r>
    </w:p>
    <w:p w14:paraId="058FAEBD" w14:textId="77777777" w:rsidR="007D5F62" w:rsidRPr="00DB702F" w:rsidRDefault="007D5F62" w:rsidP="007D5F62">
      <w:pPr>
        <w:pStyle w:val="ActHead9"/>
        <w:rPr>
          <w:i w:val="0"/>
        </w:rPr>
      </w:pPr>
      <w:bookmarkStart w:id="60" w:name="_Toc76036262"/>
      <w:r w:rsidRPr="00140184">
        <w:t>National Radioactive Waste Management Act 2012</w:t>
      </w:r>
      <w:bookmarkEnd w:id="60"/>
    </w:p>
    <w:p w14:paraId="742F4EF1" w14:textId="77777777" w:rsidR="00D64F02" w:rsidRDefault="00D64F02" w:rsidP="00D64F02">
      <w:pPr>
        <w:pStyle w:val="ItemHead"/>
      </w:pPr>
      <w:r>
        <w:t>1A  Section 3</w:t>
      </w:r>
    </w:p>
    <w:p w14:paraId="55F45BED" w14:textId="77777777" w:rsidR="00D64F02" w:rsidRDefault="00D64F02" w:rsidP="00D64F02">
      <w:pPr>
        <w:pStyle w:val="Item"/>
      </w:pPr>
      <w:r>
        <w:t>Repeal the section, substitute:</w:t>
      </w:r>
    </w:p>
    <w:p w14:paraId="1A776DFD" w14:textId="77777777" w:rsidR="00D64F02" w:rsidRDefault="00D64F02" w:rsidP="00D64F02">
      <w:pPr>
        <w:pStyle w:val="ActHead5"/>
      </w:pPr>
      <w:bookmarkStart w:id="61" w:name="_Toc76036263"/>
      <w:r>
        <w:rPr>
          <w:rStyle w:val="CharSectno"/>
        </w:rPr>
        <w:t>3</w:t>
      </w:r>
      <w:r>
        <w:t xml:space="preserve">  Object of Act</w:t>
      </w:r>
      <w:bookmarkEnd w:id="61"/>
    </w:p>
    <w:p w14:paraId="72C3430C" w14:textId="77777777" w:rsidR="00D64F02" w:rsidRDefault="00D64F02" w:rsidP="00D64F02">
      <w:pPr>
        <w:pStyle w:val="subsection"/>
      </w:pPr>
      <w:r>
        <w:tab/>
        <w:t>(1)</w:t>
      </w:r>
      <w:r>
        <w:tab/>
        <w:t>The object of this Act is to ensure that controlled material is safely and securely managed by providing for:</w:t>
      </w:r>
    </w:p>
    <w:p w14:paraId="47F00FC8" w14:textId="77777777" w:rsidR="00D64F02" w:rsidRDefault="00D64F02" w:rsidP="00D64F02">
      <w:pPr>
        <w:pStyle w:val="paragraph"/>
      </w:pPr>
      <w:r>
        <w:tab/>
        <w:t>(a)</w:t>
      </w:r>
      <w:r>
        <w:tab/>
        <w:t>the selection of a site for a radioactive waste management facility on land in Australia; and</w:t>
      </w:r>
    </w:p>
    <w:p w14:paraId="5F9A3F33" w14:textId="77777777" w:rsidR="00D64F02" w:rsidRDefault="00D64F02" w:rsidP="00D64F02">
      <w:pPr>
        <w:pStyle w:val="paragraph"/>
      </w:pPr>
      <w:r>
        <w:tab/>
        <w:t>(b)</w:t>
      </w:r>
      <w:r>
        <w:tab/>
        <w:t>the establishment and operation of such a facility on the selected site.</w:t>
      </w:r>
    </w:p>
    <w:p w14:paraId="3B7775AC" w14:textId="77777777" w:rsidR="00D64F02" w:rsidRDefault="00D64F02" w:rsidP="00D64F02">
      <w:pPr>
        <w:pStyle w:val="subsection"/>
      </w:pPr>
      <w:r>
        <w:tab/>
        <w:t>(2)</w:t>
      </w:r>
      <w:r>
        <w:tab/>
        <w:t>By ensuring that controlled material is safely and securely managed, this Act, among other things, gives effect to certain obligations that Australia has as a party to the Joint Convention, in particular, Australia’s obligations under Chapters 3 and 4 of the Joint Convention.</w:t>
      </w:r>
    </w:p>
    <w:p w14:paraId="70EA21C5" w14:textId="77777777" w:rsidR="00B42FFF" w:rsidRDefault="004B7760" w:rsidP="00B42FFF">
      <w:pPr>
        <w:pStyle w:val="ItemHead"/>
      </w:pPr>
      <w:r>
        <w:t>1</w:t>
      </w:r>
      <w:r w:rsidR="00B42FFF">
        <w:t xml:space="preserve">  Section 4</w:t>
      </w:r>
    </w:p>
    <w:p w14:paraId="611E7E0C" w14:textId="77777777" w:rsidR="00B42FFF" w:rsidRDefault="00B42FFF" w:rsidP="00B42FFF">
      <w:pPr>
        <w:pStyle w:val="Item"/>
      </w:pPr>
      <w:r>
        <w:t>Insert:</w:t>
      </w:r>
    </w:p>
    <w:p w14:paraId="69D67962" w14:textId="77777777" w:rsidR="00B15F92" w:rsidRDefault="00B15F92" w:rsidP="00B15F92">
      <w:pPr>
        <w:pStyle w:val="Definition"/>
      </w:pPr>
      <w:r w:rsidRPr="00B15F92">
        <w:rPr>
          <w:b/>
          <w:i/>
        </w:rPr>
        <w:t>authority</w:t>
      </w:r>
      <w:r>
        <w:t xml:space="preserve"> means:</w:t>
      </w:r>
    </w:p>
    <w:p w14:paraId="63FB9B70" w14:textId="77777777" w:rsidR="00B15F92" w:rsidRDefault="00B15F92" w:rsidP="00B15F92">
      <w:pPr>
        <w:pStyle w:val="paragraph"/>
      </w:pPr>
      <w:r>
        <w:tab/>
        <w:t>(a)</w:t>
      </w:r>
      <w:r>
        <w:tab/>
        <w:t>in relation to a State:</w:t>
      </w:r>
    </w:p>
    <w:p w14:paraId="4686F4AC" w14:textId="77777777" w:rsidR="00B15F92" w:rsidRPr="00B15F92" w:rsidRDefault="00B15F92" w:rsidP="00B15F92">
      <w:pPr>
        <w:pStyle w:val="paragraphsub"/>
      </w:pPr>
      <w:r>
        <w:tab/>
        <w:t>(i</w:t>
      </w:r>
      <w:r w:rsidRPr="00B15F92">
        <w:t>)</w:t>
      </w:r>
      <w:r w:rsidRPr="00B15F92">
        <w:tab/>
        <w:t>a body corporate established for a public purpose by or under a law of the State; or</w:t>
      </w:r>
    </w:p>
    <w:p w14:paraId="42655449" w14:textId="77777777" w:rsidR="00B15F92" w:rsidRDefault="00B15F92" w:rsidP="00B15F92">
      <w:pPr>
        <w:pStyle w:val="paragraphsub"/>
      </w:pPr>
      <w:r>
        <w:tab/>
        <w:t>(ii</w:t>
      </w:r>
      <w:r w:rsidRPr="00B15F92">
        <w:t>)</w:t>
      </w:r>
      <w:r w:rsidRPr="00B15F92">
        <w:tab/>
        <w:t xml:space="preserve">an incorporated company in which the State, or a body corporate mentioned in </w:t>
      </w:r>
      <w:r w:rsidR="00977189">
        <w:t>sub</w:t>
      </w:r>
      <w:r w:rsidRPr="00B15F92">
        <w:t xml:space="preserve">paragraph </w:t>
      </w:r>
      <w:r>
        <w:t>(a)</w:t>
      </w:r>
      <w:r w:rsidR="00977189">
        <w:t>(i)</w:t>
      </w:r>
      <w:r>
        <w:t>, has a controlling interest; or</w:t>
      </w:r>
    </w:p>
    <w:p w14:paraId="445F3A47" w14:textId="77777777" w:rsidR="00B15F92" w:rsidRDefault="00B15F92" w:rsidP="00B15F92">
      <w:pPr>
        <w:pStyle w:val="paragraph"/>
      </w:pPr>
      <w:r>
        <w:tab/>
        <w:t>(b)</w:t>
      </w:r>
      <w:r>
        <w:tab/>
        <w:t>in relation to a Territory:</w:t>
      </w:r>
    </w:p>
    <w:p w14:paraId="144B93C2" w14:textId="77777777" w:rsidR="00B15F92" w:rsidRPr="00B15F92" w:rsidRDefault="00B15F92" w:rsidP="00B15F92">
      <w:pPr>
        <w:pStyle w:val="paragraphsub"/>
      </w:pPr>
      <w:r>
        <w:tab/>
      </w:r>
      <w:r w:rsidRPr="00B15F92">
        <w:t>(</w:t>
      </w:r>
      <w:r>
        <w:t>i</w:t>
      </w:r>
      <w:r w:rsidRPr="00B15F92">
        <w:t>)</w:t>
      </w:r>
      <w:r w:rsidRPr="00B15F92">
        <w:tab/>
        <w:t>a body corporate established for a public purpose by or under a law of the Territory; or</w:t>
      </w:r>
    </w:p>
    <w:p w14:paraId="32702469" w14:textId="77777777" w:rsidR="00B15F92" w:rsidRPr="00B15F92" w:rsidRDefault="00B15F92" w:rsidP="007F3CB7">
      <w:pPr>
        <w:pStyle w:val="paragraphsub"/>
      </w:pPr>
      <w:r>
        <w:lastRenderedPageBreak/>
        <w:tab/>
        <w:t>(ii</w:t>
      </w:r>
      <w:r w:rsidRPr="00B15F92">
        <w:t>)</w:t>
      </w:r>
      <w:r w:rsidRPr="00B15F92">
        <w:tab/>
        <w:t xml:space="preserve">an incorporated company in which the Territory, or a body corporate mentioned in </w:t>
      </w:r>
      <w:r w:rsidR="00977189">
        <w:t>subparagraph (b</w:t>
      </w:r>
      <w:r w:rsidRPr="00B15F92">
        <w:t>)</w:t>
      </w:r>
      <w:r w:rsidR="00977189">
        <w:t>(i)</w:t>
      </w:r>
      <w:r w:rsidRPr="00B15F92">
        <w:t>, has a controlling interest.</w:t>
      </w:r>
    </w:p>
    <w:p w14:paraId="1331AD0F" w14:textId="77777777" w:rsidR="007D5F62" w:rsidRPr="00656C10" w:rsidRDefault="004B7760" w:rsidP="007D5F62">
      <w:pPr>
        <w:pStyle w:val="ItemHead"/>
      </w:pPr>
      <w:r>
        <w:t>2</w:t>
      </w:r>
      <w:r w:rsidR="007D5F62" w:rsidRPr="00656C10">
        <w:t xml:space="preserve">  Section 4 (definition of </w:t>
      </w:r>
      <w:r w:rsidR="007D5F62" w:rsidRPr="00656C10">
        <w:rPr>
          <w:i/>
        </w:rPr>
        <w:t>controlled material</w:t>
      </w:r>
      <w:r w:rsidR="007D5F62" w:rsidRPr="00656C10">
        <w:t>)</w:t>
      </w:r>
    </w:p>
    <w:p w14:paraId="73C8D4EA" w14:textId="77777777" w:rsidR="007D5F62" w:rsidRPr="00656C10" w:rsidRDefault="007D5F62" w:rsidP="007D5F62">
      <w:pPr>
        <w:pStyle w:val="Item"/>
      </w:pPr>
      <w:r w:rsidRPr="00656C10">
        <w:t>Repeal the definition, substitute:</w:t>
      </w:r>
    </w:p>
    <w:p w14:paraId="7A9D053F" w14:textId="77777777" w:rsidR="007D5F62" w:rsidRPr="00656C10" w:rsidRDefault="007D5F62" w:rsidP="007D5F62">
      <w:pPr>
        <w:pStyle w:val="Definition"/>
      </w:pPr>
      <w:r w:rsidRPr="00656C10">
        <w:rPr>
          <w:b/>
          <w:i/>
        </w:rPr>
        <w:t>controlled material</w:t>
      </w:r>
      <w:r w:rsidRPr="00656C10">
        <w:t>: see section 4A.</w:t>
      </w:r>
    </w:p>
    <w:p w14:paraId="74DF45FB" w14:textId="77777777" w:rsidR="007D5F62" w:rsidRPr="00DA4B74" w:rsidRDefault="004B7760" w:rsidP="007D5F62">
      <w:pPr>
        <w:pStyle w:val="ItemHead"/>
      </w:pPr>
      <w:r>
        <w:t>3</w:t>
      </w:r>
      <w:r w:rsidR="007D5F62" w:rsidRPr="00DA4B74">
        <w:t xml:space="preserve">  Section 4 (definition of </w:t>
      </w:r>
      <w:r w:rsidR="007D5F62" w:rsidRPr="00DA4B74">
        <w:rPr>
          <w:i/>
        </w:rPr>
        <w:t>facility</w:t>
      </w:r>
      <w:r w:rsidR="007D5F62" w:rsidRPr="00DA4B74">
        <w:t>)</w:t>
      </w:r>
    </w:p>
    <w:p w14:paraId="348CB761" w14:textId="77777777" w:rsidR="007D5F62" w:rsidRDefault="007D5F62" w:rsidP="007D5F62">
      <w:pPr>
        <w:pStyle w:val="Item"/>
      </w:pPr>
      <w:r w:rsidRPr="00DA4B74">
        <w:t>Omit all the words after “controlled material”.</w:t>
      </w:r>
    </w:p>
    <w:p w14:paraId="1563CE32" w14:textId="77777777" w:rsidR="00D64F02" w:rsidRDefault="00D64F02" w:rsidP="00D64F02">
      <w:pPr>
        <w:pStyle w:val="ItemHead"/>
      </w:pPr>
      <w:r>
        <w:t>3A  Section 4</w:t>
      </w:r>
    </w:p>
    <w:p w14:paraId="30EA125B" w14:textId="77777777" w:rsidR="00D64F02" w:rsidRDefault="00D64F02" w:rsidP="00D64F02">
      <w:pPr>
        <w:pStyle w:val="Item"/>
      </w:pPr>
      <w:r>
        <w:t>Insert:</w:t>
      </w:r>
    </w:p>
    <w:p w14:paraId="1ECEFDC2" w14:textId="77777777" w:rsidR="00D64F02" w:rsidRDefault="00D64F02" w:rsidP="00D64F02">
      <w:pPr>
        <w:pStyle w:val="Definition"/>
      </w:pPr>
      <w:r>
        <w:rPr>
          <w:b/>
          <w:i/>
        </w:rPr>
        <w:t>Joint Convention</w:t>
      </w:r>
      <w:r>
        <w:t xml:space="preserve"> means the Joint Convention on the Safety of Spent Fuel Management and on the Safety of Radioactive Waste Management, done at Vienna on 5 September 1997, as amended and in force for Australia from time to time.</w:t>
      </w:r>
    </w:p>
    <w:p w14:paraId="05E9C702" w14:textId="77777777" w:rsidR="00D64F02" w:rsidRDefault="00D64F02" w:rsidP="00D64F02">
      <w:pPr>
        <w:pStyle w:val="notetext"/>
      </w:pPr>
      <w:r>
        <w:t>Note:</w:t>
      </w:r>
      <w:r>
        <w:tab/>
        <w:t xml:space="preserve">The Joint Convention is in Australian Treaty Series 2003 No. 21 ([2003] ATS 21)] and could in 2021 be viewed in the Australian Treaties Library on the </w:t>
      </w:r>
      <w:proofErr w:type="spellStart"/>
      <w:r>
        <w:t>AustLII</w:t>
      </w:r>
      <w:proofErr w:type="spellEnd"/>
      <w:r>
        <w:t xml:space="preserve"> website (http://www.austlii.edu.au).</w:t>
      </w:r>
    </w:p>
    <w:p w14:paraId="74844ECC" w14:textId="77777777" w:rsidR="007D5F62" w:rsidRPr="00656C10" w:rsidRDefault="004B7760" w:rsidP="007D5F62">
      <w:pPr>
        <w:pStyle w:val="ItemHead"/>
      </w:pPr>
      <w:r>
        <w:t>4</w:t>
      </w:r>
      <w:r w:rsidR="007D5F62" w:rsidRPr="00656C10">
        <w:t xml:space="preserve">  At the end of Part 1</w:t>
      </w:r>
    </w:p>
    <w:p w14:paraId="12CFD55C" w14:textId="77777777" w:rsidR="007D5F62" w:rsidRPr="00656C10" w:rsidRDefault="007D5F62" w:rsidP="007D5F62">
      <w:pPr>
        <w:pStyle w:val="Item"/>
      </w:pPr>
      <w:r w:rsidRPr="00656C10">
        <w:t>Add:</w:t>
      </w:r>
    </w:p>
    <w:p w14:paraId="4A38D79A" w14:textId="77777777" w:rsidR="007D5F62" w:rsidRPr="00656C10" w:rsidRDefault="007D5F62" w:rsidP="007D5F62">
      <w:pPr>
        <w:pStyle w:val="ActHead5"/>
        <w:rPr>
          <w:i/>
        </w:rPr>
      </w:pPr>
      <w:bookmarkStart w:id="62" w:name="_Toc76036264"/>
      <w:r w:rsidRPr="00DB702F">
        <w:rPr>
          <w:rStyle w:val="CharSectno"/>
        </w:rPr>
        <w:t>4A</w:t>
      </w:r>
      <w:r w:rsidRPr="00656C10">
        <w:t xml:space="preserve">  Meaning of </w:t>
      </w:r>
      <w:r w:rsidRPr="00656C10">
        <w:rPr>
          <w:i/>
        </w:rPr>
        <w:t>controlled material</w:t>
      </w:r>
      <w:bookmarkEnd w:id="62"/>
    </w:p>
    <w:p w14:paraId="01B41D18" w14:textId="77777777" w:rsidR="007D5F62" w:rsidRPr="00656C10" w:rsidRDefault="00BE294B" w:rsidP="00BE294B">
      <w:pPr>
        <w:pStyle w:val="subsection"/>
      </w:pPr>
      <w:r>
        <w:tab/>
        <w:t>(1)</w:t>
      </w:r>
      <w:r>
        <w:tab/>
      </w:r>
      <w:r w:rsidR="007D5F62" w:rsidRPr="00656C10">
        <w:rPr>
          <w:b/>
          <w:i/>
        </w:rPr>
        <w:t>Controlled material</w:t>
      </w:r>
      <w:r w:rsidR="007D5F62" w:rsidRPr="00656C10">
        <w:t xml:space="preserve"> means controlled material within the meaning of the </w:t>
      </w:r>
      <w:r w:rsidR="007D5F62" w:rsidRPr="00656C10">
        <w:rPr>
          <w:i/>
        </w:rPr>
        <w:t>Australian Radiation Protection and Nuclear Safety Act 1998</w:t>
      </w:r>
      <w:r w:rsidR="007D5F62" w:rsidRPr="00656C10">
        <w:t xml:space="preserve"> that</w:t>
      </w:r>
      <w:r>
        <w:t xml:space="preserve"> </w:t>
      </w:r>
      <w:r w:rsidR="007D5F62" w:rsidRPr="00656C10">
        <w:t>is controlled material to which subsections (2) and (3) apply</w:t>
      </w:r>
      <w:r>
        <w:t>.</w:t>
      </w:r>
    </w:p>
    <w:p w14:paraId="75CCD5A4" w14:textId="77777777" w:rsidR="007D5F62" w:rsidRPr="00656C10" w:rsidRDefault="007D5F62" w:rsidP="007D5F62">
      <w:pPr>
        <w:pStyle w:val="subsection"/>
      </w:pPr>
      <w:r w:rsidRPr="00656C10">
        <w:tab/>
        <w:t>(2)</w:t>
      </w:r>
      <w:r w:rsidRPr="00656C10">
        <w:tab/>
        <w:t>This subsection applies to controlled material if:</w:t>
      </w:r>
    </w:p>
    <w:p w14:paraId="4E2CF010" w14:textId="77777777" w:rsidR="007D5F62" w:rsidRPr="00656C10" w:rsidRDefault="007D5F62" w:rsidP="007D5F62">
      <w:pPr>
        <w:pStyle w:val="paragraph"/>
      </w:pPr>
      <w:r w:rsidRPr="00656C10">
        <w:tab/>
        <w:t>(a)</w:t>
      </w:r>
      <w:r w:rsidRPr="00656C10">
        <w:tab/>
        <w:t>it has been used in Australia, generated by activities in Australia, or sent to Australia under contractual arrangements relating to the conditioning or reprocessing of ANSTO spent nuclear fuel (within the meaning of the</w:t>
      </w:r>
      <w:r w:rsidRPr="00656C10">
        <w:rPr>
          <w:i/>
        </w:rPr>
        <w:t xml:space="preserve"> Australian Nuclear Science and Technology Organisation Act 1987</w:t>
      </w:r>
      <w:r w:rsidRPr="00656C10">
        <w:t>); and</w:t>
      </w:r>
    </w:p>
    <w:p w14:paraId="2D026D8E" w14:textId="77777777" w:rsidR="007D5F62" w:rsidRPr="00656C10" w:rsidRDefault="007D5F62" w:rsidP="007D5F62">
      <w:pPr>
        <w:pStyle w:val="paragraph"/>
      </w:pPr>
      <w:r w:rsidRPr="00656C10">
        <w:lastRenderedPageBreak/>
        <w:tab/>
        <w:t>(b)</w:t>
      </w:r>
      <w:r w:rsidRPr="00656C10">
        <w:tab/>
        <w:t>it is not high level radioactive material or spent nuclear fuel.</w:t>
      </w:r>
    </w:p>
    <w:p w14:paraId="5131AEF6" w14:textId="77777777" w:rsidR="007D5F62" w:rsidRPr="00656C10" w:rsidRDefault="007D5F62" w:rsidP="007D5F62">
      <w:pPr>
        <w:pStyle w:val="subsection"/>
      </w:pPr>
      <w:r w:rsidRPr="00656C10">
        <w:tab/>
        <w:t>(3)</w:t>
      </w:r>
      <w:r w:rsidRPr="00656C10">
        <w:tab/>
        <w:t>This subsection applies to controlled material if it is one or more of the following:</w:t>
      </w:r>
    </w:p>
    <w:p w14:paraId="7A11ED0E" w14:textId="77777777" w:rsidR="007D5F62" w:rsidRPr="00AE0E70" w:rsidRDefault="007D5F62" w:rsidP="007D5F62">
      <w:pPr>
        <w:pStyle w:val="paragraph"/>
      </w:pPr>
      <w:r w:rsidRPr="00656C10">
        <w:tab/>
        <w:t>(a)</w:t>
      </w:r>
      <w:r w:rsidRPr="00656C10">
        <w:tab/>
        <w:t>controlled material that is radioactive waste (within the meaning of the Joint Convention);</w:t>
      </w:r>
    </w:p>
    <w:p w14:paraId="1CC01C30" w14:textId="77777777" w:rsidR="007D5F62" w:rsidRPr="00656C10" w:rsidRDefault="007D5F62" w:rsidP="007D5F62">
      <w:pPr>
        <w:pStyle w:val="paragraph"/>
      </w:pPr>
      <w:r w:rsidRPr="00656C10">
        <w:tab/>
        <w:t>(</w:t>
      </w:r>
      <w:r>
        <w:t>b</w:t>
      </w:r>
      <w:r w:rsidRPr="00656C10">
        <w:t>)</w:t>
      </w:r>
      <w:r w:rsidRPr="00656C10">
        <w:tab/>
        <w:t xml:space="preserve">controlled material that </w:t>
      </w:r>
      <w:r>
        <w:t>i</w:t>
      </w:r>
      <w:r w:rsidRPr="00656C10">
        <w:t>s generated as a result of activities that relate to the defence of Australia;</w:t>
      </w:r>
    </w:p>
    <w:p w14:paraId="110618B5" w14:textId="77777777" w:rsidR="007D5F62" w:rsidRPr="00656C10" w:rsidRDefault="007D5F62" w:rsidP="007D5F62">
      <w:pPr>
        <w:pStyle w:val="paragraph"/>
      </w:pPr>
      <w:r w:rsidRPr="00656C10">
        <w:tab/>
        <w:t>(</w:t>
      </w:r>
      <w:r>
        <w:t>c</w:t>
      </w:r>
      <w:r w:rsidRPr="00656C10">
        <w:t>)</w:t>
      </w:r>
      <w:r w:rsidRPr="00656C10">
        <w:tab/>
        <w:t xml:space="preserve">controlled material that needs to be securely managed to prevent its use in the commission of a terrorist act (within the meaning of section 100.1 of the </w:t>
      </w:r>
      <w:r w:rsidRPr="00656C10">
        <w:rPr>
          <w:i/>
        </w:rPr>
        <w:t>Criminal Code</w:t>
      </w:r>
      <w:r w:rsidRPr="00656C10">
        <w:t>);</w:t>
      </w:r>
    </w:p>
    <w:p w14:paraId="31EEA53B" w14:textId="77777777" w:rsidR="007D5F62" w:rsidRPr="00656C10" w:rsidRDefault="007D5F62" w:rsidP="007D5F62">
      <w:pPr>
        <w:pStyle w:val="paragraph"/>
      </w:pPr>
      <w:r w:rsidRPr="00656C10">
        <w:tab/>
      </w:r>
      <w:r w:rsidRPr="00A10CB2">
        <w:t>(d)</w:t>
      </w:r>
      <w:r w:rsidRPr="00A10CB2">
        <w:tab/>
        <w:t xml:space="preserve">controlled material that is generated, possessed or controlled by the Commonwealth or </w:t>
      </w:r>
      <w:r>
        <w:t xml:space="preserve">by </w:t>
      </w:r>
      <w:r w:rsidRPr="00A10CB2">
        <w:t>a Commonwealth entity</w:t>
      </w:r>
      <w:r>
        <w:t xml:space="preserve"> in the performance of its functions</w:t>
      </w:r>
      <w:r w:rsidRPr="00A10CB2">
        <w:t>;</w:t>
      </w:r>
    </w:p>
    <w:p w14:paraId="2B459B3B" w14:textId="77777777" w:rsidR="007D5F62" w:rsidRPr="00656C10" w:rsidRDefault="007D5F62" w:rsidP="007D5F62">
      <w:pPr>
        <w:pStyle w:val="paragraph"/>
      </w:pPr>
      <w:r w:rsidRPr="00656C10">
        <w:tab/>
        <w:t>(</w:t>
      </w:r>
      <w:r>
        <w:t>e</w:t>
      </w:r>
      <w:r w:rsidRPr="00656C10">
        <w:t>)</w:t>
      </w:r>
      <w:r w:rsidRPr="00656C10">
        <w:tab/>
        <w:t xml:space="preserve">controlled material that </w:t>
      </w:r>
      <w:r>
        <w:t>i</w:t>
      </w:r>
      <w:r w:rsidRPr="00656C10">
        <w:t>s generated by a State or an authority of a State;</w:t>
      </w:r>
    </w:p>
    <w:p w14:paraId="2860F543" w14:textId="77777777" w:rsidR="007D5F62" w:rsidRDefault="007D5F62" w:rsidP="00A860D2">
      <w:pPr>
        <w:pStyle w:val="paragraph"/>
      </w:pPr>
      <w:r w:rsidRPr="00656C10">
        <w:tab/>
        <w:t>(</w:t>
      </w:r>
      <w:r>
        <w:t>f</w:t>
      </w:r>
      <w:r w:rsidRPr="00656C10">
        <w:t>)</w:t>
      </w:r>
      <w:r w:rsidRPr="00656C10">
        <w:tab/>
        <w:t xml:space="preserve">controlled material that </w:t>
      </w:r>
      <w:r>
        <w:t>i</w:t>
      </w:r>
      <w:r w:rsidRPr="00656C10">
        <w:t>s generated by a Territory or an authority of a Territory, or within a Territory.</w:t>
      </w:r>
    </w:p>
    <w:p w14:paraId="2AADC21D" w14:textId="77777777" w:rsidR="006B0ACA" w:rsidRDefault="004B7760" w:rsidP="006B0ACA">
      <w:pPr>
        <w:pStyle w:val="ItemHead"/>
      </w:pPr>
      <w:r>
        <w:t>5</w:t>
      </w:r>
      <w:r w:rsidR="006B0ACA">
        <w:t xml:space="preserve">  Subsection 34B(1)</w:t>
      </w:r>
    </w:p>
    <w:p w14:paraId="66FCA3E8" w14:textId="77777777" w:rsidR="006B0ACA" w:rsidRPr="00B5428F" w:rsidRDefault="006B0ACA" w:rsidP="006B0ACA">
      <w:pPr>
        <w:pStyle w:val="Item"/>
      </w:pPr>
      <w:r>
        <w:t>Omit “</w:t>
      </w:r>
      <w:r w:rsidRPr="00B5428F">
        <w:rPr>
          <w:b/>
        </w:rPr>
        <w:t>radioactive waste</w:t>
      </w:r>
      <w:r>
        <w:t>”, substitute “</w:t>
      </w:r>
      <w:bookmarkStart w:id="63" w:name="BK_S1P11L7C39"/>
      <w:bookmarkStart w:id="64" w:name="BK_S1P11L17C39"/>
      <w:bookmarkStart w:id="65" w:name="BK_S1P9L26C39"/>
      <w:bookmarkStart w:id="66" w:name="BK_S1P9L30C39"/>
      <w:bookmarkStart w:id="67" w:name="BK_S3P17L26C39"/>
      <w:bookmarkStart w:id="68" w:name="BK_S3P22L26C39"/>
      <w:bookmarkStart w:id="69" w:name="BK_S3P24L12C39"/>
      <w:bookmarkStart w:id="70" w:name="BK_S3P22L27C39"/>
      <w:bookmarkStart w:id="71" w:name="BK_S3P21L27C39"/>
      <w:bookmarkStart w:id="72" w:name="BK_S3P20L27C39"/>
      <w:bookmarkEnd w:id="63"/>
      <w:bookmarkEnd w:id="64"/>
      <w:bookmarkEnd w:id="65"/>
      <w:bookmarkEnd w:id="66"/>
      <w:bookmarkEnd w:id="67"/>
      <w:bookmarkEnd w:id="68"/>
      <w:bookmarkEnd w:id="69"/>
      <w:bookmarkEnd w:id="70"/>
      <w:bookmarkEnd w:id="71"/>
      <w:bookmarkEnd w:id="72"/>
      <w:r w:rsidRPr="008749D0">
        <w:rPr>
          <w:b/>
        </w:rPr>
        <w:t>controlled material</w:t>
      </w:r>
      <w:r>
        <w:t>”.</w:t>
      </w:r>
    </w:p>
    <w:p w14:paraId="0528DF2A" w14:textId="77777777" w:rsidR="006B0ACA" w:rsidRDefault="004B7760" w:rsidP="006B0ACA">
      <w:pPr>
        <w:pStyle w:val="ItemHead"/>
      </w:pPr>
      <w:r>
        <w:t>6</w:t>
      </w:r>
      <w:r w:rsidR="006B0ACA">
        <w:t xml:space="preserve">  Section 34F (heading)</w:t>
      </w:r>
    </w:p>
    <w:p w14:paraId="0C06069B" w14:textId="77777777" w:rsidR="00493F60" w:rsidRPr="00493F60" w:rsidRDefault="006B0ACA" w:rsidP="00C31176">
      <w:pPr>
        <w:pStyle w:val="Item"/>
      </w:pPr>
      <w:r>
        <w:t>Omit “</w:t>
      </w:r>
      <w:r w:rsidRPr="00EE45DD">
        <w:rPr>
          <w:b/>
        </w:rPr>
        <w:t>waste</w:t>
      </w:r>
      <w:r>
        <w:t>”, substitute “</w:t>
      </w:r>
      <w:r w:rsidRPr="00EE45DD">
        <w:rPr>
          <w:b/>
        </w:rPr>
        <w:t>controlled material</w:t>
      </w:r>
      <w:r w:rsidR="00C31176">
        <w:t>”.</w:t>
      </w:r>
    </w:p>
    <w:p w14:paraId="5E383290" w14:textId="77777777" w:rsidR="006B0ACA" w:rsidRDefault="004B7760" w:rsidP="006B0ACA">
      <w:pPr>
        <w:pStyle w:val="ItemHead"/>
      </w:pPr>
      <w:r>
        <w:t>7</w:t>
      </w:r>
      <w:r w:rsidR="006B0ACA">
        <w:t xml:space="preserve">  Section 34F</w:t>
      </w:r>
    </w:p>
    <w:p w14:paraId="2CF89861" w14:textId="77777777" w:rsidR="006B0ACA" w:rsidRPr="006E3685" w:rsidRDefault="006B0ACA" w:rsidP="006B0ACA">
      <w:pPr>
        <w:pStyle w:val="Item"/>
      </w:pPr>
      <w:r>
        <w:t>Omit “radioactive waste”, substitute “controlled material”.</w:t>
      </w:r>
    </w:p>
    <w:p w14:paraId="57FA8173" w14:textId="77777777" w:rsidR="007D5F62" w:rsidRDefault="004B7760" w:rsidP="007D5F62">
      <w:pPr>
        <w:pStyle w:val="ItemHead"/>
      </w:pPr>
      <w:r>
        <w:t>8</w:t>
      </w:r>
      <w:r w:rsidR="007D5F62">
        <w:t xml:space="preserve">  Section 38</w:t>
      </w:r>
    </w:p>
    <w:p w14:paraId="40450C2B" w14:textId="77777777" w:rsidR="00E071A7" w:rsidRDefault="007D5F62" w:rsidP="007D5F62">
      <w:pPr>
        <w:pStyle w:val="Item"/>
      </w:pPr>
      <w:r>
        <w:t>Repeal the section.</w:t>
      </w:r>
    </w:p>
    <w:p w14:paraId="33F09CF9" w14:textId="77777777" w:rsidR="007D5F62" w:rsidRDefault="007D5F62" w:rsidP="0013312E"/>
    <w:p w14:paraId="30C2BDA5" w14:textId="77777777" w:rsidR="00E071A7" w:rsidRDefault="00E071A7" w:rsidP="00267992"/>
    <w:p w14:paraId="39F23DD5" w14:textId="77777777" w:rsidR="00267992" w:rsidRDefault="00267992" w:rsidP="00267992">
      <w:pPr>
        <w:pBdr>
          <w:bottom w:val="single" w:sz="4" w:space="1" w:color="auto"/>
        </w:pBdr>
        <w:sectPr w:rsidR="00267992" w:rsidSect="00267992">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14:paraId="1D3AD485" w14:textId="77777777" w:rsidR="00A63D4D" w:rsidRDefault="00A63D4D" w:rsidP="000C5962">
      <w:pPr>
        <w:pStyle w:val="2ndRd"/>
        <w:keepNext/>
        <w:spacing w:line="260" w:lineRule="atLeast"/>
        <w:rPr>
          <w:i/>
        </w:rPr>
      </w:pPr>
      <w:r>
        <w:lastRenderedPageBreak/>
        <w:t>[</w:t>
      </w:r>
      <w:r>
        <w:rPr>
          <w:i/>
        </w:rPr>
        <w:t>Minister’s second reading speech made in—</w:t>
      </w:r>
    </w:p>
    <w:p w14:paraId="74F7B85F" w14:textId="77777777" w:rsidR="00A63D4D" w:rsidRDefault="00A63D4D" w:rsidP="000C5962">
      <w:pPr>
        <w:pStyle w:val="2ndRd"/>
        <w:keepNext/>
        <w:spacing w:line="260" w:lineRule="atLeast"/>
        <w:rPr>
          <w:i/>
        </w:rPr>
      </w:pPr>
      <w:r>
        <w:rPr>
          <w:i/>
        </w:rPr>
        <w:t>House of Representatives on 13 February 2020</w:t>
      </w:r>
    </w:p>
    <w:p w14:paraId="5E690E58" w14:textId="77777777" w:rsidR="00A63D4D" w:rsidRDefault="00A63D4D" w:rsidP="000C5962">
      <w:pPr>
        <w:pStyle w:val="2ndRd"/>
        <w:keepNext/>
        <w:spacing w:line="260" w:lineRule="atLeast"/>
        <w:rPr>
          <w:i/>
        </w:rPr>
      </w:pPr>
      <w:r>
        <w:rPr>
          <w:i/>
        </w:rPr>
        <w:t>Senate on 15 June 2020</w:t>
      </w:r>
      <w:r>
        <w:t>]</w:t>
      </w:r>
    </w:p>
    <w:p w14:paraId="7F582D4B" w14:textId="77777777" w:rsidR="00A63D4D" w:rsidRDefault="00A63D4D" w:rsidP="00A63D4D">
      <w:pPr>
        <w:framePr w:hSpace="180" w:wrap="around" w:vAnchor="text" w:hAnchor="page" w:x="2410" w:y="9515"/>
      </w:pPr>
      <w:r>
        <w:t>(15/20)</w:t>
      </w:r>
    </w:p>
    <w:p w14:paraId="74CE8297" w14:textId="77777777" w:rsidR="00A63D4D" w:rsidRDefault="00A63D4D"/>
    <w:sectPr w:rsidR="00A63D4D" w:rsidSect="00267992">
      <w:headerReference w:type="even" r:id="rId27"/>
      <w:headerReference w:type="default" r:id="rId28"/>
      <w:headerReference w:type="first" r:id="rId29"/>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DA479" w14:textId="77777777" w:rsidR="007A2EF8" w:rsidRDefault="007A2EF8" w:rsidP="0048364F">
      <w:pPr>
        <w:spacing w:line="240" w:lineRule="auto"/>
      </w:pPr>
      <w:r>
        <w:separator/>
      </w:r>
    </w:p>
  </w:endnote>
  <w:endnote w:type="continuationSeparator" w:id="0">
    <w:p w14:paraId="0FF058E9" w14:textId="77777777" w:rsidR="007A2EF8" w:rsidRDefault="007A2EF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F661" w14:textId="77777777" w:rsidR="007A2EF8" w:rsidRPr="005F1388" w:rsidRDefault="007A2EF8" w:rsidP="0014018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2D1B" w14:textId="77777777" w:rsidR="00A63D4D" w:rsidRDefault="00A63D4D" w:rsidP="00CD12A5">
    <w:pPr>
      <w:pStyle w:val="ScalePlusRef"/>
    </w:pPr>
    <w:r>
      <w:t>Note: An electronic version of this Act is available on the Federal Register of Legislation (</w:t>
    </w:r>
    <w:hyperlink r:id="rId1" w:history="1">
      <w:r>
        <w:t>https://www.legislation.gov.au/</w:t>
      </w:r>
    </w:hyperlink>
    <w:r>
      <w:t>)</w:t>
    </w:r>
  </w:p>
  <w:p w14:paraId="2B1539EE" w14:textId="77777777" w:rsidR="00A63D4D" w:rsidRDefault="00A63D4D" w:rsidP="00CD12A5"/>
  <w:p w14:paraId="685C201F" w14:textId="77777777" w:rsidR="007A2EF8" w:rsidRDefault="007A2EF8" w:rsidP="00140184">
    <w:pPr>
      <w:pStyle w:val="Footer"/>
      <w:spacing w:before="120"/>
    </w:pPr>
  </w:p>
  <w:p w14:paraId="31493C19" w14:textId="77777777" w:rsidR="007A2EF8" w:rsidRPr="005F1388" w:rsidRDefault="007A2EF8"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BCCD" w14:textId="77777777" w:rsidR="007A2EF8" w:rsidRPr="00ED79B6" w:rsidRDefault="007A2EF8" w:rsidP="0014018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B082E" w14:textId="77777777" w:rsidR="007A2EF8" w:rsidRDefault="007A2EF8" w:rsidP="0014018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A2EF8" w14:paraId="49B64A7E" w14:textId="77777777" w:rsidTr="00BC2F3E">
      <w:tc>
        <w:tcPr>
          <w:tcW w:w="646" w:type="dxa"/>
        </w:tcPr>
        <w:p w14:paraId="2485BA8F" w14:textId="77777777" w:rsidR="007A2EF8" w:rsidRDefault="007A2EF8" w:rsidP="00BC2F3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36A15">
            <w:rPr>
              <w:i/>
              <w:noProof/>
              <w:sz w:val="18"/>
            </w:rPr>
            <w:t>x</w:t>
          </w:r>
          <w:r w:rsidRPr="00ED79B6">
            <w:rPr>
              <w:i/>
              <w:sz w:val="18"/>
            </w:rPr>
            <w:fldChar w:fldCharType="end"/>
          </w:r>
        </w:p>
      </w:tc>
      <w:tc>
        <w:tcPr>
          <w:tcW w:w="5387" w:type="dxa"/>
        </w:tcPr>
        <w:p w14:paraId="3952BE5D" w14:textId="34AFEA5C" w:rsidR="007A2EF8" w:rsidRDefault="007A2EF8" w:rsidP="00BC2F3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229EB">
            <w:rPr>
              <w:i/>
              <w:sz w:val="18"/>
            </w:rPr>
            <w:t>National Radioactive Waste Management Amendment (Site Selection, Community Fund and Other Measures) Act 2021</w:t>
          </w:r>
          <w:r w:rsidRPr="00ED79B6">
            <w:rPr>
              <w:i/>
              <w:sz w:val="18"/>
            </w:rPr>
            <w:fldChar w:fldCharType="end"/>
          </w:r>
        </w:p>
      </w:tc>
      <w:tc>
        <w:tcPr>
          <w:tcW w:w="1270" w:type="dxa"/>
        </w:tcPr>
        <w:p w14:paraId="365DDB64" w14:textId="37BD9C37" w:rsidR="007A2EF8" w:rsidRDefault="007A2EF8" w:rsidP="00BC2F3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229EB">
            <w:rPr>
              <w:i/>
              <w:sz w:val="18"/>
            </w:rPr>
            <w:t>No. 59, 2021</w:t>
          </w:r>
          <w:r w:rsidRPr="00ED79B6">
            <w:rPr>
              <w:i/>
              <w:sz w:val="18"/>
            </w:rPr>
            <w:fldChar w:fldCharType="end"/>
          </w:r>
        </w:p>
      </w:tc>
    </w:tr>
  </w:tbl>
  <w:p w14:paraId="7154A255" w14:textId="77777777" w:rsidR="007A2EF8" w:rsidRDefault="007A2EF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84555" w14:textId="77777777" w:rsidR="007A2EF8" w:rsidRDefault="007A2EF8" w:rsidP="0014018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A2EF8" w14:paraId="4C731DD4" w14:textId="77777777" w:rsidTr="00BC2F3E">
      <w:tc>
        <w:tcPr>
          <w:tcW w:w="1247" w:type="dxa"/>
        </w:tcPr>
        <w:p w14:paraId="3C289450" w14:textId="386D73E6" w:rsidR="007A2EF8" w:rsidRDefault="007A2EF8" w:rsidP="00BC2F3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229EB">
            <w:rPr>
              <w:i/>
              <w:sz w:val="18"/>
            </w:rPr>
            <w:t>No. 59, 2021</w:t>
          </w:r>
          <w:r w:rsidRPr="00ED79B6">
            <w:rPr>
              <w:i/>
              <w:sz w:val="18"/>
            </w:rPr>
            <w:fldChar w:fldCharType="end"/>
          </w:r>
        </w:p>
      </w:tc>
      <w:tc>
        <w:tcPr>
          <w:tcW w:w="5387" w:type="dxa"/>
        </w:tcPr>
        <w:p w14:paraId="7BCE9102" w14:textId="6AF4D191" w:rsidR="007A2EF8" w:rsidRDefault="007A2EF8" w:rsidP="00BC2F3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229EB">
            <w:rPr>
              <w:i/>
              <w:sz w:val="18"/>
            </w:rPr>
            <w:t>National Radioactive Waste Management Amendment (Site Selection, Community Fund and Other Measures) Act 2021</w:t>
          </w:r>
          <w:r w:rsidRPr="00ED79B6">
            <w:rPr>
              <w:i/>
              <w:sz w:val="18"/>
            </w:rPr>
            <w:fldChar w:fldCharType="end"/>
          </w:r>
        </w:p>
      </w:tc>
      <w:tc>
        <w:tcPr>
          <w:tcW w:w="669" w:type="dxa"/>
        </w:tcPr>
        <w:p w14:paraId="3E9DF2A9" w14:textId="77777777" w:rsidR="007A2EF8" w:rsidRDefault="007A2EF8" w:rsidP="00BC2F3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206C">
            <w:rPr>
              <w:i/>
              <w:noProof/>
              <w:sz w:val="18"/>
            </w:rPr>
            <w:t>i</w:t>
          </w:r>
          <w:r w:rsidRPr="00ED79B6">
            <w:rPr>
              <w:i/>
              <w:sz w:val="18"/>
            </w:rPr>
            <w:fldChar w:fldCharType="end"/>
          </w:r>
        </w:p>
      </w:tc>
    </w:tr>
  </w:tbl>
  <w:p w14:paraId="774C1F16" w14:textId="77777777" w:rsidR="007A2EF8" w:rsidRPr="00ED79B6" w:rsidRDefault="007A2EF8"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0C1CC" w14:textId="77777777" w:rsidR="007A2EF8" w:rsidRPr="00A961C4" w:rsidRDefault="007A2EF8" w:rsidP="0014018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A2EF8" w14:paraId="68D7A8BC" w14:textId="77777777" w:rsidTr="00DB702F">
      <w:tc>
        <w:tcPr>
          <w:tcW w:w="646" w:type="dxa"/>
        </w:tcPr>
        <w:p w14:paraId="7027A259" w14:textId="77777777" w:rsidR="007A2EF8" w:rsidRDefault="007A2EF8" w:rsidP="00BC2F3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5206C">
            <w:rPr>
              <w:i/>
              <w:noProof/>
              <w:sz w:val="18"/>
            </w:rPr>
            <w:t>12</w:t>
          </w:r>
          <w:r w:rsidRPr="007A1328">
            <w:rPr>
              <w:i/>
              <w:sz w:val="18"/>
            </w:rPr>
            <w:fldChar w:fldCharType="end"/>
          </w:r>
        </w:p>
      </w:tc>
      <w:tc>
        <w:tcPr>
          <w:tcW w:w="5387" w:type="dxa"/>
        </w:tcPr>
        <w:p w14:paraId="3B8C1842" w14:textId="61038828" w:rsidR="007A2EF8" w:rsidRDefault="007A2EF8" w:rsidP="00BC2F3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229EB">
            <w:rPr>
              <w:i/>
              <w:sz w:val="18"/>
            </w:rPr>
            <w:t>National Radioactive Waste Management Amendment (Site Selection, Community Fund and Other Measures) Act 2021</w:t>
          </w:r>
          <w:r w:rsidRPr="007A1328">
            <w:rPr>
              <w:i/>
              <w:sz w:val="18"/>
            </w:rPr>
            <w:fldChar w:fldCharType="end"/>
          </w:r>
        </w:p>
      </w:tc>
      <w:tc>
        <w:tcPr>
          <w:tcW w:w="1270" w:type="dxa"/>
        </w:tcPr>
        <w:p w14:paraId="088B736C" w14:textId="7EA9B1BA" w:rsidR="007A2EF8" w:rsidRDefault="007A2EF8" w:rsidP="00BC2F3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229EB">
            <w:rPr>
              <w:i/>
              <w:sz w:val="18"/>
            </w:rPr>
            <w:t>No. 59, 2021</w:t>
          </w:r>
          <w:r w:rsidRPr="007A1328">
            <w:rPr>
              <w:i/>
              <w:sz w:val="18"/>
            </w:rPr>
            <w:fldChar w:fldCharType="end"/>
          </w:r>
        </w:p>
      </w:tc>
    </w:tr>
  </w:tbl>
  <w:p w14:paraId="34711E79" w14:textId="77777777" w:rsidR="007A2EF8" w:rsidRPr="00A961C4" w:rsidRDefault="007A2EF8"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BA985" w14:textId="77777777" w:rsidR="007A2EF8" w:rsidRPr="00A961C4" w:rsidRDefault="007A2EF8" w:rsidP="0014018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A2EF8" w14:paraId="3580CB8A" w14:textId="77777777" w:rsidTr="00DB702F">
      <w:tc>
        <w:tcPr>
          <w:tcW w:w="1247" w:type="dxa"/>
        </w:tcPr>
        <w:p w14:paraId="49432690" w14:textId="5611A223" w:rsidR="007A2EF8" w:rsidRDefault="007A2EF8" w:rsidP="00BC2F3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229EB">
            <w:rPr>
              <w:i/>
              <w:sz w:val="18"/>
            </w:rPr>
            <w:t>No. 59, 2021</w:t>
          </w:r>
          <w:r w:rsidRPr="007A1328">
            <w:rPr>
              <w:i/>
              <w:sz w:val="18"/>
            </w:rPr>
            <w:fldChar w:fldCharType="end"/>
          </w:r>
        </w:p>
      </w:tc>
      <w:tc>
        <w:tcPr>
          <w:tcW w:w="5387" w:type="dxa"/>
        </w:tcPr>
        <w:p w14:paraId="302B3496" w14:textId="1A463A44" w:rsidR="007A2EF8" w:rsidRDefault="007A2EF8" w:rsidP="00BC2F3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229EB">
            <w:rPr>
              <w:i/>
              <w:sz w:val="18"/>
            </w:rPr>
            <w:t>National Radioactive Waste Management Amendment (Site Selection, Community Fund and Other Measures) Act 2021</w:t>
          </w:r>
          <w:r w:rsidRPr="007A1328">
            <w:rPr>
              <w:i/>
              <w:sz w:val="18"/>
            </w:rPr>
            <w:fldChar w:fldCharType="end"/>
          </w:r>
        </w:p>
      </w:tc>
      <w:tc>
        <w:tcPr>
          <w:tcW w:w="669" w:type="dxa"/>
        </w:tcPr>
        <w:p w14:paraId="048D22E8" w14:textId="77777777" w:rsidR="007A2EF8" w:rsidRDefault="007A2EF8" w:rsidP="00BC2F3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5206C">
            <w:rPr>
              <w:i/>
              <w:noProof/>
              <w:sz w:val="18"/>
            </w:rPr>
            <w:t>13</w:t>
          </w:r>
          <w:r w:rsidRPr="007A1328">
            <w:rPr>
              <w:i/>
              <w:sz w:val="18"/>
            </w:rPr>
            <w:fldChar w:fldCharType="end"/>
          </w:r>
        </w:p>
      </w:tc>
    </w:tr>
  </w:tbl>
  <w:p w14:paraId="290D3BE2" w14:textId="77777777" w:rsidR="007A2EF8" w:rsidRPr="00055B5C" w:rsidRDefault="007A2EF8"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FCC51" w14:textId="77777777" w:rsidR="007A2EF8" w:rsidRPr="00A961C4" w:rsidRDefault="007A2EF8" w:rsidP="0014018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5"/>
      <w:gridCol w:w="654"/>
    </w:tblGrid>
    <w:tr w:rsidR="007A2EF8" w14:paraId="0029BF39" w14:textId="77777777" w:rsidTr="00DB702F">
      <w:tc>
        <w:tcPr>
          <w:tcW w:w="1247" w:type="dxa"/>
        </w:tcPr>
        <w:p w14:paraId="282E2122" w14:textId="17D61886" w:rsidR="007A2EF8" w:rsidRDefault="007A2EF8" w:rsidP="00BC2F3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229EB">
            <w:rPr>
              <w:i/>
              <w:sz w:val="18"/>
            </w:rPr>
            <w:t>No. 59, 2021</w:t>
          </w:r>
          <w:r w:rsidRPr="007A1328">
            <w:rPr>
              <w:i/>
              <w:sz w:val="18"/>
            </w:rPr>
            <w:fldChar w:fldCharType="end"/>
          </w:r>
        </w:p>
      </w:tc>
      <w:tc>
        <w:tcPr>
          <w:tcW w:w="5387" w:type="dxa"/>
        </w:tcPr>
        <w:p w14:paraId="0CB9E9CD" w14:textId="04EEF404" w:rsidR="007A2EF8" w:rsidRDefault="007A2EF8" w:rsidP="00BC2F3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229EB">
            <w:rPr>
              <w:i/>
              <w:sz w:val="18"/>
            </w:rPr>
            <w:t>National Radioactive Waste Management Amendment (Site Selection, Community Fund and Other Measures) Act 2021</w:t>
          </w:r>
          <w:r w:rsidRPr="007A1328">
            <w:rPr>
              <w:i/>
              <w:sz w:val="18"/>
            </w:rPr>
            <w:fldChar w:fldCharType="end"/>
          </w:r>
        </w:p>
      </w:tc>
      <w:tc>
        <w:tcPr>
          <w:tcW w:w="669" w:type="dxa"/>
        </w:tcPr>
        <w:p w14:paraId="534B05C9" w14:textId="77777777" w:rsidR="007A2EF8" w:rsidRDefault="007A2EF8" w:rsidP="00BC2F3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5206C">
            <w:rPr>
              <w:i/>
              <w:noProof/>
              <w:sz w:val="18"/>
            </w:rPr>
            <w:t>1</w:t>
          </w:r>
          <w:r w:rsidRPr="007A1328">
            <w:rPr>
              <w:i/>
              <w:sz w:val="18"/>
            </w:rPr>
            <w:fldChar w:fldCharType="end"/>
          </w:r>
        </w:p>
      </w:tc>
    </w:tr>
  </w:tbl>
  <w:p w14:paraId="5C99A0F5" w14:textId="77777777" w:rsidR="007A2EF8" w:rsidRPr="00A961C4" w:rsidRDefault="007A2EF8"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5811A" w14:textId="77777777" w:rsidR="007A2EF8" w:rsidRDefault="007A2EF8" w:rsidP="0048364F">
      <w:pPr>
        <w:spacing w:line="240" w:lineRule="auto"/>
      </w:pPr>
      <w:r>
        <w:separator/>
      </w:r>
    </w:p>
  </w:footnote>
  <w:footnote w:type="continuationSeparator" w:id="0">
    <w:p w14:paraId="6AEE9DB9" w14:textId="77777777" w:rsidR="007A2EF8" w:rsidRDefault="007A2EF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EC96D" w14:textId="77777777" w:rsidR="007A2EF8" w:rsidRPr="005F1388" w:rsidRDefault="007A2EF8"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9E7D" w14:textId="77777777" w:rsidR="00267992" w:rsidRPr="00A961C4" w:rsidRDefault="00267992" w:rsidP="0048364F">
    <w:pPr>
      <w:rPr>
        <w:b/>
        <w:sz w:val="20"/>
      </w:rPr>
    </w:pPr>
  </w:p>
  <w:p w14:paraId="311A1015" w14:textId="275FF3A4" w:rsidR="00267992" w:rsidRPr="00A961C4" w:rsidRDefault="00267992"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4FE7B3F8" w14:textId="77777777" w:rsidR="00267992" w:rsidRPr="00A961C4" w:rsidRDefault="00267992"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83C38" w14:textId="77777777" w:rsidR="00267992" w:rsidRPr="00A961C4" w:rsidRDefault="00267992" w:rsidP="0048364F">
    <w:pPr>
      <w:jc w:val="right"/>
      <w:rPr>
        <w:sz w:val="20"/>
      </w:rPr>
    </w:pPr>
  </w:p>
  <w:p w14:paraId="654B0E87" w14:textId="1F02766D" w:rsidR="00267992" w:rsidRPr="00A961C4" w:rsidRDefault="0026799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0B793740" w14:textId="77777777" w:rsidR="00267992" w:rsidRPr="00A961C4" w:rsidRDefault="00267992"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05247" w14:textId="77777777" w:rsidR="00267992" w:rsidRPr="00A961C4" w:rsidRDefault="00267992"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84441" w14:textId="77777777" w:rsidR="007A2EF8" w:rsidRPr="005F1388" w:rsidRDefault="007A2EF8"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C3DF9" w14:textId="77777777" w:rsidR="007A2EF8" w:rsidRPr="005F1388" w:rsidRDefault="007A2EF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31773" w14:textId="77777777" w:rsidR="007A2EF8" w:rsidRPr="00ED79B6" w:rsidRDefault="007A2EF8"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F7EE7" w14:textId="77777777" w:rsidR="007A2EF8" w:rsidRPr="00ED79B6" w:rsidRDefault="007A2EF8"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321B0" w14:textId="77777777" w:rsidR="007A2EF8" w:rsidRPr="00ED79B6" w:rsidRDefault="007A2EF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DF137" w14:textId="182E0ED1" w:rsidR="007A2EF8" w:rsidRPr="00A961C4" w:rsidRDefault="007A2EF8" w:rsidP="0048364F">
    <w:pPr>
      <w:rPr>
        <w:b/>
        <w:sz w:val="20"/>
      </w:rPr>
    </w:pPr>
    <w:r>
      <w:rPr>
        <w:b/>
        <w:sz w:val="20"/>
      </w:rPr>
      <w:fldChar w:fldCharType="begin"/>
    </w:r>
    <w:r>
      <w:rPr>
        <w:b/>
        <w:sz w:val="20"/>
      </w:rPr>
      <w:instrText xml:space="preserve"> STYLEREF CharAmSchNo </w:instrText>
    </w:r>
    <w:r w:rsidR="00C229EB">
      <w:rPr>
        <w:b/>
        <w:sz w:val="20"/>
      </w:rPr>
      <w:fldChar w:fldCharType="separate"/>
    </w:r>
    <w:r w:rsidR="00C229EB">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229EB">
      <w:rPr>
        <w:sz w:val="20"/>
      </w:rPr>
      <w:fldChar w:fldCharType="separate"/>
    </w:r>
    <w:r w:rsidR="00C229EB">
      <w:rPr>
        <w:noProof/>
        <w:sz w:val="20"/>
      </w:rPr>
      <w:t>Other amendments</w:t>
    </w:r>
    <w:r>
      <w:rPr>
        <w:sz w:val="20"/>
      </w:rPr>
      <w:fldChar w:fldCharType="end"/>
    </w:r>
  </w:p>
  <w:p w14:paraId="5A8B6AE6" w14:textId="15CFA46F" w:rsidR="007A2EF8" w:rsidRPr="00A961C4" w:rsidRDefault="007A2EF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190E1EF" w14:textId="77777777" w:rsidR="007A2EF8" w:rsidRPr="00A961C4" w:rsidRDefault="007A2EF8"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B232C" w14:textId="2BB3783B" w:rsidR="007A2EF8" w:rsidRPr="00A961C4" w:rsidRDefault="007A2EF8" w:rsidP="0048364F">
    <w:pPr>
      <w:jc w:val="right"/>
      <w:rPr>
        <w:sz w:val="20"/>
      </w:rPr>
    </w:pPr>
    <w:r w:rsidRPr="00A961C4">
      <w:rPr>
        <w:sz w:val="20"/>
      </w:rPr>
      <w:fldChar w:fldCharType="begin"/>
    </w:r>
    <w:r w:rsidRPr="00A961C4">
      <w:rPr>
        <w:sz w:val="20"/>
      </w:rPr>
      <w:instrText xml:space="preserve"> STYLEREF CharAmSchText </w:instrText>
    </w:r>
    <w:r w:rsidR="00C229EB">
      <w:rPr>
        <w:sz w:val="20"/>
      </w:rPr>
      <w:fldChar w:fldCharType="separate"/>
    </w:r>
    <w:r w:rsidR="00C229EB">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229EB">
      <w:rPr>
        <w:b/>
        <w:sz w:val="20"/>
      </w:rPr>
      <w:fldChar w:fldCharType="separate"/>
    </w:r>
    <w:r w:rsidR="00C229EB">
      <w:rPr>
        <w:b/>
        <w:noProof/>
        <w:sz w:val="20"/>
      </w:rPr>
      <w:t>Schedule 3</w:t>
    </w:r>
    <w:r>
      <w:rPr>
        <w:b/>
        <w:sz w:val="20"/>
      </w:rPr>
      <w:fldChar w:fldCharType="end"/>
    </w:r>
  </w:p>
  <w:p w14:paraId="5351552E" w14:textId="126A620C" w:rsidR="007A2EF8" w:rsidRPr="00A961C4" w:rsidRDefault="007A2EF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23DABD6" w14:textId="77777777" w:rsidR="007A2EF8" w:rsidRPr="00A961C4" w:rsidRDefault="007A2EF8"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8E38F" w14:textId="77777777" w:rsidR="007A2EF8" w:rsidRPr="00A961C4" w:rsidRDefault="007A2EF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2AEE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E0A4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5C09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A85F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06BA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B060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AC6E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469C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943D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2EDA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22BBB"/>
    <w:multiLevelType w:val="hybridMultilevel"/>
    <w:tmpl w:val="D4E02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6CEE2E18"/>
    <w:multiLevelType w:val="hybridMultilevel"/>
    <w:tmpl w:val="0EBA6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63"/>
    <w:rsid w:val="00006541"/>
    <w:rsid w:val="00006757"/>
    <w:rsid w:val="00007696"/>
    <w:rsid w:val="00007769"/>
    <w:rsid w:val="000113BC"/>
    <w:rsid w:val="000136AF"/>
    <w:rsid w:val="000417C9"/>
    <w:rsid w:val="000465D9"/>
    <w:rsid w:val="0005206C"/>
    <w:rsid w:val="00055B5C"/>
    <w:rsid w:val="00055F33"/>
    <w:rsid w:val="00056391"/>
    <w:rsid w:val="00057EFC"/>
    <w:rsid w:val="00060FF9"/>
    <w:rsid w:val="000614BF"/>
    <w:rsid w:val="00064200"/>
    <w:rsid w:val="00065E18"/>
    <w:rsid w:val="000767CD"/>
    <w:rsid w:val="000771F4"/>
    <w:rsid w:val="0008411A"/>
    <w:rsid w:val="000922FE"/>
    <w:rsid w:val="000A0015"/>
    <w:rsid w:val="000A36C5"/>
    <w:rsid w:val="000B1FD2"/>
    <w:rsid w:val="000C319E"/>
    <w:rsid w:val="000D05EF"/>
    <w:rsid w:val="000D1529"/>
    <w:rsid w:val="000D172A"/>
    <w:rsid w:val="000D1E00"/>
    <w:rsid w:val="000D6473"/>
    <w:rsid w:val="000D6BDA"/>
    <w:rsid w:val="000F21C1"/>
    <w:rsid w:val="000F63F4"/>
    <w:rsid w:val="00101D90"/>
    <w:rsid w:val="0010745C"/>
    <w:rsid w:val="00113BD1"/>
    <w:rsid w:val="001217CB"/>
    <w:rsid w:val="00122206"/>
    <w:rsid w:val="00124549"/>
    <w:rsid w:val="00124874"/>
    <w:rsid w:val="0013312E"/>
    <w:rsid w:val="00140184"/>
    <w:rsid w:val="00140B43"/>
    <w:rsid w:val="00143506"/>
    <w:rsid w:val="0015080A"/>
    <w:rsid w:val="00152901"/>
    <w:rsid w:val="0015646E"/>
    <w:rsid w:val="001643C9"/>
    <w:rsid w:val="00165568"/>
    <w:rsid w:val="00166C2F"/>
    <w:rsid w:val="001716C9"/>
    <w:rsid w:val="00173363"/>
    <w:rsid w:val="00173B94"/>
    <w:rsid w:val="001854B4"/>
    <w:rsid w:val="00192159"/>
    <w:rsid w:val="001939E1"/>
    <w:rsid w:val="00195382"/>
    <w:rsid w:val="00195CAB"/>
    <w:rsid w:val="001964AE"/>
    <w:rsid w:val="001A1060"/>
    <w:rsid w:val="001A1DAB"/>
    <w:rsid w:val="001A3658"/>
    <w:rsid w:val="001A759A"/>
    <w:rsid w:val="001A7B48"/>
    <w:rsid w:val="001A7B60"/>
    <w:rsid w:val="001B223E"/>
    <w:rsid w:val="001B5F13"/>
    <w:rsid w:val="001B7A5D"/>
    <w:rsid w:val="001C2418"/>
    <w:rsid w:val="001C69C4"/>
    <w:rsid w:val="001C763C"/>
    <w:rsid w:val="001D2E49"/>
    <w:rsid w:val="001E0597"/>
    <w:rsid w:val="001E32D5"/>
    <w:rsid w:val="001E3590"/>
    <w:rsid w:val="001E454B"/>
    <w:rsid w:val="001E7407"/>
    <w:rsid w:val="001F0A0B"/>
    <w:rsid w:val="001F70AA"/>
    <w:rsid w:val="00200383"/>
    <w:rsid w:val="00201D27"/>
    <w:rsid w:val="00202618"/>
    <w:rsid w:val="00206A60"/>
    <w:rsid w:val="0023111B"/>
    <w:rsid w:val="00240749"/>
    <w:rsid w:val="00243442"/>
    <w:rsid w:val="00260C32"/>
    <w:rsid w:val="00263820"/>
    <w:rsid w:val="00267992"/>
    <w:rsid w:val="00275197"/>
    <w:rsid w:val="00276A52"/>
    <w:rsid w:val="00280980"/>
    <w:rsid w:val="00280CAB"/>
    <w:rsid w:val="0028576A"/>
    <w:rsid w:val="0029104E"/>
    <w:rsid w:val="002938B4"/>
    <w:rsid w:val="00293B89"/>
    <w:rsid w:val="00294A14"/>
    <w:rsid w:val="00297ECB"/>
    <w:rsid w:val="002B567F"/>
    <w:rsid w:val="002B5A30"/>
    <w:rsid w:val="002C2D8A"/>
    <w:rsid w:val="002C5744"/>
    <w:rsid w:val="002D043A"/>
    <w:rsid w:val="002D0589"/>
    <w:rsid w:val="002D34CF"/>
    <w:rsid w:val="002D395A"/>
    <w:rsid w:val="002D4684"/>
    <w:rsid w:val="002D7A28"/>
    <w:rsid w:val="003000B3"/>
    <w:rsid w:val="00300A00"/>
    <w:rsid w:val="00315ED6"/>
    <w:rsid w:val="00321FB0"/>
    <w:rsid w:val="00322F6C"/>
    <w:rsid w:val="00327F04"/>
    <w:rsid w:val="003354E2"/>
    <w:rsid w:val="00340391"/>
    <w:rsid w:val="003415D3"/>
    <w:rsid w:val="00350417"/>
    <w:rsid w:val="00352B0F"/>
    <w:rsid w:val="00353F1E"/>
    <w:rsid w:val="003549AF"/>
    <w:rsid w:val="0035602E"/>
    <w:rsid w:val="00373874"/>
    <w:rsid w:val="00375C6C"/>
    <w:rsid w:val="00391CEF"/>
    <w:rsid w:val="003A7A63"/>
    <w:rsid w:val="003A7B3C"/>
    <w:rsid w:val="003B230E"/>
    <w:rsid w:val="003B4CB6"/>
    <w:rsid w:val="003B4E3D"/>
    <w:rsid w:val="003B549F"/>
    <w:rsid w:val="003C15FD"/>
    <w:rsid w:val="003C5F2B"/>
    <w:rsid w:val="003C6065"/>
    <w:rsid w:val="003C621D"/>
    <w:rsid w:val="003D0BFE"/>
    <w:rsid w:val="003D5700"/>
    <w:rsid w:val="003D74AD"/>
    <w:rsid w:val="003E117B"/>
    <w:rsid w:val="003E636E"/>
    <w:rsid w:val="003E77FB"/>
    <w:rsid w:val="003F0149"/>
    <w:rsid w:val="003F0D8C"/>
    <w:rsid w:val="003F1291"/>
    <w:rsid w:val="003F4101"/>
    <w:rsid w:val="004016F6"/>
    <w:rsid w:val="00404F4A"/>
    <w:rsid w:val="00405579"/>
    <w:rsid w:val="00410B8E"/>
    <w:rsid w:val="004116CD"/>
    <w:rsid w:val="0041477B"/>
    <w:rsid w:val="00421FC1"/>
    <w:rsid w:val="004220D9"/>
    <w:rsid w:val="004229C7"/>
    <w:rsid w:val="00424CA9"/>
    <w:rsid w:val="00426025"/>
    <w:rsid w:val="004323FA"/>
    <w:rsid w:val="00436126"/>
    <w:rsid w:val="00436785"/>
    <w:rsid w:val="00436BD5"/>
    <w:rsid w:val="00437E4B"/>
    <w:rsid w:val="0044291A"/>
    <w:rsid w:val="0044521C"/>
    <w:rsid w:val="004457E5"/>
    <w:rsid w:val="00456458"/>
    <w:rsid w:val="004606E1"/>
    <w:rsid w:val="00466D84"/>
    <w:rsid w:val="00470CAA"/>
    <w:rsid w:val="00472B31"/>
    <w:rsid w:val="00476A7D"/>
    <w:rsid w:val="0048196B"/>
    <w:rsid w:val="0048364F"/>
    <w:rsid w:val="00486D05"/>
    <w:rsid w:val="00492CF0"/>
    <w:rsid w:val="00493F60"/>
    <w:rsid w:val="00495D26"/>
    <w:rsid w:val="00496F97"/>
    <w:rsid w:val="0049785F"/>
    <w:rsid w:val="00497A13"/>
    <w:rsid w:val="004A0A92"/>
    <w:rsid w:val="004B546C"/>
    <w:rsid w:val="004B59EE"/>
    <w:rsid w:val="004B7760"/>
    <w:rsid w:val="004C18D7"/>
    <w:rsid w:val="004C63DF"/>
    <w:rsid w:val="004C7C8C"/>
    <w:rsid w:val="004D02CA"/>
    <w:rsid w:val="004D19E1"/>
    <w:rsid w:val="004D5551"/>
    <w:rsid w:val="004D668A"/>
    <w:rsid w:val="004E2A4A"/>
    <w:rsid w:val="004E4D47"/>
    <w:rsid w:val="004F0B05"/>
    <w:rsid w:val="004F0D23"/>
    <w:rsid w:val="004F1FAC"/>
    <w:rsid w:val="004F65D2"/>
    <w:rsid w:val="00510680"/>
    <w:rsid w:val="00513EDF"/>
    <w:rsid w:val="00515CF4"/>
    <w:rsid w:val="00516A11"/>
    <w:rsid w:val="00516B8D"/>
    <w:rsid w:val="00521EDD"/>
    <w:rsid w:val="00537FBC"/>
    <w:rsid w:val="00542C00"/>
    <w:rsid w:val="00543469"/>
    <w:rsid w:val="005462D2"/>
    <w:rsid w:val="00551443"/>
    <w:rsid w:val="00551B54"/>
    <w:rsid w:val="00553CC0"/>
    <w:rsid w:val="00556C0B"/>
    <w:rsid w:val="00581366"/>
    <w:rsid w:val="00584811"/>
    <w:rsid w:val="00585070"/>
    <w:rsid w:val="00586DCB"/>
    <w:rsid w:val="00593AA6"/>
    <w:rsid w:val="00594161"/>
    <w:rsid w:val="00594749"/>
    <w:rsid w:val="00597667"/>
    <w:rsid w:val="005A0D92"/>
    <w:rsid w:val="005A768C"/>
    <w:rsid w:val="005B176E"/>
    <w:rsid w:val="005B4067"/>
    <w:rsid w:val="005C3F41"/>
    <w:rsid w:val="005C71B5"/>
    <w:rsid w:val="005E152A"/>
    <w:rsid w:val="005E428F"/>
    <w:rsid w:val="005F675A"/>
    <w:rsid w:val="005F75F3"/>
    <w:rsid w:val="00600219"/>
    <w:rsid w:val="006028C1"/>
    <w:rsid w:val="00604050"/>
    <w:rsid w:val="0060615B"/>
    <w:rsid w:val="00613CDB"/>
    <w:rsid w:val="006201DA"/>
    <w:rsid w:val="0062719A"/>
    <w:rsid w:val="00631E75"/>
    <w:rsid w:val="006329C2"/>
    <w:rsid w:val="006364AC"/>
    <w:rsid w:val="00637A6A"/>
    <w:rsid w:val="00641DE5"/>
    <w:rsid w:val="00642001"/>
    <w:rsid w:val="00644B7C"/>
    <w:rsid w:val="00646D10"/>
    <w:rsid w:val="00651753"/>
    <w:rsid w:val="00652785"/>
    <w:rsid w:val="00656F0C"/>
    <w:rsid w:val="00664B67"/>
    <w:rsid w:val="006668F4"/>
    <w:rsid w:val="006721CB"/>
    <w:rsid w:val="00673639"/>
    <w:rsid w:val="006768B9"/>
    <w:rsid w:val="00677CC2"/>
    <w:rsid w:val="00681F92"/>
    <w:rsid w:val="006832C1"/>
    <w:rsid w:val="006842C2"/>
    <w:rsid w:val="00685F42"/>
    <w:rsid w:val="00691DF5"/>
    <w:rsid w:val="0069207B"/>
    <w:rsid w:val="00692820"/>
    <w:rsid w:val="00692C15"/>
    <w:rsid w:val="006A0922"/>
    <w:rsid w:val="006A0F23"/>
    <w:rsid w:val="006A4B23"/>
    <w:rsid w:val="006A7BC4"/>
    <w:rsid w:val="006B00BB"/>
    <w:rsid w:val="006B0ACA"/>
    <w:rsid w:val="006B0AEE"/>
    <w:rsid w:val="006B3CA1"/>
    <w:rsid w:val="006B5CA6"/>
    <w:rsid w:val="006B6F38"/>
    <w:rsid w:val="006C2874"/>
    <w:rsid w:val="006C404B"/>
    <w:rsid w:val="006C4616"/>
    <w:rsid w:val="006C6A89"/>
    <w:rsid w:val="006C7F8C"/>
    <w:rsid w:val="006D2AC2"/>
    <w:rsid w:val="006D380D"/>
    <w:rsid w:val="006E0135"/>
    <w:rsid w:val="006E303A"/>
    <w:rsid w:val="006F7E19"/>
    <w:rsid w:val="00700B2C"/>
    <w:rsid w:val="00703FF9"/>
    <w:rsid w:val="00712D8D"/>
    <w:rsid w:val="00713084"/>
    <w:rsid w:val="00714B26"/>
    <w:rsid w:val="007152C4"/>
    <w:rsid w:val="00715908"/>
    <w:rsid w:val="00720A3D"/>
    <w:rsid w:val="00723084"/>
    <w:rsid w:val="00731E00"/>
    <w:rsid w:val="007349EC"/>
    <w:rsid w:val="00740C38"/>
    <w:rsid w:val="0074152A"/>
    <w:rsid w:val="007440B7"/>
    <w:rsid w:val="007449D8"/>
    <w:rsid w:val="00755E3F"/>
    <w:rsid w:val="007634AD"/>
    <w:rsid w:val="00767E1A"/>
    <w:rsid w:val="00767EEC"/>
    <w:rsid w:val="007715C9"/>
    <w:rsid w:val="00774EDD"/>
    <w:rsid w:val="007757EC"/>
    <w:rsid w:val="0077705E"/>
    <w:rsid w:val="00777F88"/>
    <w:rsid w:val="00780E48"/>
    <w:rsid w:val="0079638E"/>
    <w:rsid w:val="007A2EF8"/>
    <w:rsid w:val="007A35AC"/>
    <w:rsid w:val="007A3666"/>
    <w:rsid w:val="007A4A5A"/>
    <w:rsid w:val="007A5452"/>
    <w:rsid w:val="007B30AA"/>
    <w:rsid w:val="007B3720"/>
    <w:rsid w:val="007B694A"/>
    <w:rsid w:val="007C6BE4"/>
    <w:rsid w:val="007C7F7E"/>
    <w:rsid w:val="007D0A33"/>
    <w:rsid w:val="007D355D"/>
    <w:rsid w:val="007D5F62"/>
    <w:rsid w:val="007E4998"/>
    <w:rsid w:val="007E7D4A"/>
    <w:rsid w:val="007F3CB7"/>
    <w:rsid w:val="007F59EF"/>
    <w:rsid w:val="007F5A20"/>
    <w:rsid w:val="007F6668"/>
    <w:rsid w:val="008006CC"/>
    <w:rsid w:val="00807F18"/>
    <w:rsid w:val="008144F8"/>
    <w:rsid w:val="0082564F"/>
    <w:rsid w:val="00831E8D"/>
    <w:rsid w:val="00834408"/>
    <w:rsid w:val="00835BE1"/>
    <w:rsid w:val="00836719"/>
    <w:rsid w:val="00836A15"/>
    <w:rsid w:val="00837CEC"/>
    <w:rsid w:val="00843277"/>
    <w:rsid w:val="0084691B"/>
    <w:rsid w:val="00851C4A"/>
    <w:rsid w:val="00855FB7"/>
    <w:rsid w:val="00856327"/>
    <w:rsid w:val="00856A31"/>
    <w:rsid w:val="00857D6B"/>
    <w:rsid w:val="008646C5"/>
    <w:rsid w:val="008733AA"/>
    <w:rsid w:val="008749D0"/>
    <w:rsid w:val="00874F24"/>
    <w:rsid w:val="008754D0"/>
    <w:rsid w:val="00877D48"/>
    <w:rsid w:val="00883781"/>
    <w:rsid w:val="00885570"/>
    <w:rsid w:val="0088563C"/>
    <w:rsid w:val="00891265"/>
    <w:rsid w:val="00891350"/>
    <w:rsid w:val="00891DA6"/>
    <w:rsid w:val="00891F36"/>
    <w:rsid w:val="00892197"/>
    <w:rsid w:val="008923BD"/>
    <w:rsid w:val="00892882"/>
    <w:rsid w:val="00893958"/>
    <w:rsid w:val="00896877"/>
    <w:rsid w:val="008A2E77"/>
    <w:rsid w:val="008B5682"/>
    <w:rsid w:val="008C6F6F"/>
    <w:rsid w:val="008D0EE0"/>
    <w:rsid w:val="008D3E94"/>
    <w:rsid w:val="008D4400"/>
    <w:rsid w:val="008F13FE"/>
    <w:rsid w:val="008F143D"/>
    <w:rsid w:val="008F15BE"/>
    <w:rsid w:val="008F2896"/>
    <w:rsid w:val="008F4F1C"/>
    <w:rsid w:val="008F5ACE"/>
    <w:rsid w:val="008F77C4"/>
    <w:rsid w:val="009103F3"/>
    <w:rsid w:val="009163A0"/>
    <w:rsid w:val="00917D3E"/>
    <w:rsid w:val="0092213D"/>
    <w:rsid w:val="009232FE"/>
    <w:rsid w:val="009319F0"/>
    <w:rsid w:val="00932377"/>
    <w:rsid w:val="0095361B"/>
    <w:rsid w:val="009621CA"/>
    <w:rsid w:val="0096445C"/>
    <w:rsid w:val="00967042"/>
    <w:rsid w:val="00967A2F"/>
    <w:rsid w:val="00973DA4"/>
    <w:rsid w:val="0097583F"/>
    <w:rsid w:val="00977189"/>
    <w:rsid w:val="00981EC2"/>
    <w:rsid w:val="0098255A"/>
    <w:rsid w:val="009845BE"/>
    <w:rsid w:val="00987D7A"/>
    <w:rsid w:val="009914A6"/>
    <w:rsid w:val="00993376"/>
    <w:rsid w:val="009934EF"/>
    <w:rsid w:val="00993CAE"/>
    <w:rsid w:val="009969C9"/>
    <w:rsid w:val="009A0774"/>
    <w:rsid w:val="009A722F"/>
    <w:rsid w:val="009B20AC"/>
    <w:rsid w:val="009B55FA"/>
    <w:rsid w:val="009B6D45"/>
    <w:rsid w:val="009C1890"/>
    <w:rsid w:val="009C403C"/>
    <w:rsid w:val="009C49C2"/>
    <w:rsid w:val="009D5C29"/>
    <w:rsid w:val="009D5C45"/>
    <w:rsid w:val="009D6A84"/>
    <w:rsid w:val="009E0E9D"/>
    <w:rsid w:val="009E73E4"/>
    <w:rsid w:val="009E7472"/>
    <w:rsid w:val="009F1468"/>
    <w:rsid w:val="009F7BD0"/>
    <w:rsid w:val="00A048FF"/>
    <w:rsid w:val="00A076A6"/>
    <w:rsid w:val="00A10775"/>
    <w:rsid w:val="00A12188"/>
    <w:rsid w:val="00A2179D"/>
    <w:rsid w:val="00A22726"/>
    <w:rsid w:val="00A231E2"/>
    <w:rsid w:val="00A2396D"/>
    <w:rsid w:val="00A26752"/>
    <w:rsid w:val="00A26969"/>
    <w:rsid w:val="00A26D4B"/>
    <w:rsid w:val="00A30A04"/>
    <w:rsid w:val="00A36C48"/>
    <w:rsid w:val="00A36D0A"/>
    <w:rsid w:val="00A374F7"/>
    <w:rsid w:val="00A41E0B"/>
    <w:rsid w:val="00A477DE"/>
    <w:rsid w:val="00A55631"/>
    <w:rsid w:val="00A56680"/>
    <w:rsid w:val="00A57B67"/>
    <w:rsid w:val="00A63239"/>
    <w:rsid w:val="00A63D4D"/>
    <w:rsid w:val="00A64912"/>
    <w:rsid w:val="00A66592"/>
    <w:rsid w:val="00A70A74"/>
    <w:rsid w:val="00A71129"/>
    <w:rsid w:val="00A77B5D"/>
    <w:rsid w:val="00A8182D"/>
    <w:rsid w:val="00A860D2"/>
    <w:rsid w:val="00A86A44"/>
    <w:rsid w:val="00A86C13"/>
    <w:rsid w:val="00A878DB"/>
    <w:rsid w:val="00A87D8C"/>
    <w:rsid w:val="00A90729"/>
    <w:rsid w:val="00AA3795"/>
    <w:rsid w:val="00AA6AA9"/>
    <w:rsid w:val="00AB615A"/>
    <w:rsid w:val="00AB6A86"/>
    <w:rsid w:val="00AC1E75"/>
    <w:rsid w:val="00AC3D5E"/>
    <w:rsid w:val="00AD3534"/>
    <w:rsid w:val="00AD5641"/>
    <w:rsid w:val="00AE1088"/>
    <w:rsid w:val="00AF1BA4"/>
    <w:rsid w:val="00AF3A60"/>
    <w:rsid w:val="00AF3EFA"/>
    <w:rsid w:val="00AF7ADD"/>
    <w:rsid w:val="00B03193"/>
    <w:rsid w:val="00B032D8"/>
    <w:rsid w:val="00B15F92"/>
    <w:rsid w:val="00B164EC"/>
    <w:rsid w:val="00B209D9"/>
    <w:rsid w:val="00B33B3C"/>
    <w:rsid w:val="00B3575E"/>
    <w:rsid w:val="00B42FFF"/>
    <w:rsid w:val="00B43145"/>
    <w:rsid w:val="00B511AC"/>
    <w:rsid w:val="00B6382D"/>
    <w:rsid w:val="00B67584"/>
    <w:rsid w:val="00BA5026"/>
    <w:rsid w:val="00BB24D7"/>
    <w:rsid w:val="00BB40BF"/>
    <w:rsid w:val="00BC0CD1"/>
    <w:rsid w:val="00BC2F3E"/>
    <w:rsid w:val="00BC3631"/>
    <w:rsid w:val="00BC6FC8"/>
    <w:rsid w:val="00BD60A5"/>
    <w:rsid w:val="00BE0390"/>
    <w:rsid w:val="00BE294B"/>
    <w:rsid w:val="00BE719A"/>
    <w:rsid w:val="00BE720A"/>
    <w:rsid w:val="00BF0382"/>
    <w:rsid w:val="00BF0461"/>
    <w:rsid w:val="00BF0BC0"/>
    <w:rsid w:val="00BF3491"/>
    <w:rsid w:val="00BF38F4"/>
    <w:rsid w:val="00BF4944"/>
    <w:rsid w:val="00BF50E4"/>
    <w:rsid w:val="00BF56D4"/>
    <w:rsid w:val="00C04409"/>
    <w:rsid w:val="00C067E5"/>
    <w:rsid w:val="00C07E78"/>
    <w:rsid w:val="00C11537"/>
    <w:rsid w:val="00C1229A"/>
    <w:rsid w:val="00C14F39"/>
    <w:rsid w:val="00C164CA"/>
    <w:rsid w:val="00C176CF"/>
    <w:rsid w:val="00C229EB"/>
    <w:rsid w:val="00C31176"/>
    <w:rsid w:val="00C40A7B"/>
    <w:rsid w:val="00C41401"/>
    <w:rsid w:val="00C417C2"/>
    <w:rsid w:val="00C42BF8"/>
    <w:rsid w:val="00C460AE"/>
    <w:rsid w:val="00C50043"/>
    <w:rsid w:val="00C50E55"/>
    <w:rsid w:val="00C54E84"/>
    <w:rsid w:val="00C562E2"/>
    <w:rsid w:val="00C61C82"/>
    <w:rsid w:val="00C63EC8"/>
    <w:rsid w:val="00C65844"/>
    <w:rsid w:val="00C721E3"/>
    <w:rsid w:val="00C7573B"/>
    <w:rsid w:val="00C76CF3"/>
    <w:rsid w:val="00C9285F"/>
    <w:rsid w:val="00CA194A"/>
    <w:rsid w:val="00CB1838"/>
    <w:rsid w:val="00CB3F9C"/>
    <w:rsid w:val="00CB4959"/>
    <w:rsid w:val="00CB547E"/>
    <w:rsid w:val="00CC0082"/>
    <w:rsid w:val="00CD5AC4"/>
    <w:rsid w:val="00CE1E31"/>
    <w:rsid w:val="00CE59F9"/>
    <w:rsid w:val="00CF0BB2"/>
    <w:rsid w:val="00CF494C"/>
    <w:rsid w:val="00D00EAA"/>
    <w:rsid w:val="00D13441"/>
    <w:rsid w:val="00D13A64"/>
    <w:rsid w:val="00D170F2"/>
    <w:rsid w:val="00D177BA"/>
    <w:rsid w:val="00D2426E"/>
    <w:rsid w:val="00D243A3"/>
    <w:rsid w:val="00D32AB3"/>
    <w:rsid w:val="00D35409"/>
    <w:rsid w:val="00D477C3"/>
    <w:rsid w:val="00D52EFE"/>
    <w:rsid w:val="00D63EF6"/>
    <w:rsid w:val="00D64F02"/>
    <w:rsid w:val="00D70B73"/>
    <w:rsid w:val="00D70DFB"/>
    <w:rsid w:val="00D73029"/>
    <w:rsid w:val="00D73D68"/>
    <w:rsid w:val="00D75F43"/>
    <w:rsid w:val="00D766DF"/>
    <w:rsid w:val="00D775FA"/>
    <w:rsid w:val="00D81AA2"/>
    <w:rsid w:val="00D85CFA"/>
    <w:rsid w:val="00D9432A"/>
    <w:rsid w:val="00D972D3"/>
    <w:rsid w:val="00DA0D1E"/>
    <w:rsid w:val="00DA4F9E"/>
    <w:rsid w:val="00DB0822"/>
    <w:rsid w:val="00DB702F"/>
    <w:rsid w:val="00DC79E3"/>
    <w:rsid w:val="00DD63E1"/>
    <w:rsid w:val="00DE2002"/>
    <w:rsid w:val="00DE6131"/>
    <w:rsid w:val="00DE71C8"/>
    <w:rsid w:val="00DF15B6"/>
    <w:rsid w:val="00DF3C86"/>
    <w:rsid w:val="00DF3D6D"/>
    <w:rsid w:val="00DF6103"/>
    <w:rsid w:val="00DF7AE9"/>
    <w:rsid w:val="00E02839"/>
    <w:rsid w:val="00E05704"/>
    <w:rsid w:val="00E071A7"/>
    <w:rsid w:val="00E13D6B"/>
    <w:rsid w:val="00E13E46"/>
    <w:rsid w:val="00E157BA"/>
    <w:rsid w:val="00E17BEA"/>
    <w:rsid w:val="00E246B5"/>
    <w:rsid w:val="00E24D66"/>
    <w:rsid w:val="00E41D5E"/>
    <w:rsid w:val="00E525CE"/>
    <w:rsid w:val="00E54292"/>
    <w:rsid w:val="00E55965"/>
    <w:rsid w:val="00E60ADE"/>
    <w:rsid w:val="00E66651"/>
    <w:rsid w:val="00E727A6"/>
    <w:rsid w:val="00E736E3"/>
    <w:rsid w:val="00E74DC7"/>
    <w:rsid w:val="00E76C6D"/>
    <w:rsid w:val="00E77654"/>
    <w:rsid w:val="00E87699"/>
    <w:rsid w:val="00E87DE5"/>
    <w:rsid w:val="00E947C6"/>
    <w:rsid w:val="00E9728F"/>
    <w:rsid w:val="00EA0E52"/>
    <w:rsid w:val="00EA4722"/>
    <w:rsid w:val="00EC0472"/>
    <w:rsid w:val="00ED492F"/>
    <w:rsid w:val="00EE1B1F"/>
    <w:rsid w:val="00EE3E36"/>
    <w:rsid w:val="00EF1529"/>
    <w:rsid w:val="00EF2B3E"/>
    <w:rsid w:val="00EF2E3A"/>
    <w:rsid w:val="00EF3F4D"/>
    <w:rsid w:val="00F047E2"/>
    <w:rsid w:val="00F074C4"/>
    <w:rsid w:val="00F078DC"/>
    <w:rsid w:val="00F07D40"/>
    <w:rsid w:val="00F13E86"/>
    <w:rsid w:val="00F1511F"/>
    <w:rsid w:val="00F15569"/>
    <w:rsid w:val="00F17B00"/>
    <w:rsid w:val="00F2741F"/>
    <w:rsid w:val="00F464A4"/>
    <w:rsid w:val="00F629FF"/>
    <w:rsid w:val="00F677A9"/>
    <w:rsid w:val="00F807A0"/>
    <w:rsid w:val="00F84CF5"/>
    <w:rsid w:val="00F90F71"/>
    <w:rsid w:val="00F91063"/>
    <w:rsid w:val="00F92D35"/>
    <w:rsid w:val="00F93E16"/>
    <w:rsid w:val="00FA3951"/>
    <w:rsid w:val="00FA420B"/>
    <w:rsid w:val="00FA6942"/>
    <w:rsid w:val="00FB6935"/>
    <w:rsid w:val="00FC38C3"/>
    <w:rsid w:val="00FC63B9"/>
    <w:rsid w:val="00FC776A"/>
    <w:rsid w:val="00FD1E13"/>
    <w:rsid w:val="00FD4587"/>
    <w:rsid w:val="00FD7EB1"/>
    <w:rsid w:val="00FE41C9"/>
    <w:rsid w:val="00FE5AF4"/>
    <w:rsid w:val="00FE7F93"/>
    <w:rsid w:val="00FF58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3336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217CB"/>
    <w:pPr>
      <w:spacing w:line="260" w:lineRule="atLeast"/>
    </w:pPr>
    <w:rPr>
      <w:sz w:val="22"/>
    </w:rPr>
  </w:style>
  <w:style w:type="paragraph" w:styleId="Heading1">
    <w:name w:val="heading 1"/>
    <w:basedOn w:val="Normal"/>
    <w:next w:val="Normal"/>
    <w:link w:val="Heading1Char"/>
    <w:uiPriority w:val="9"/>
    <w:qFormat/>
    <w:rsid w:val="001B22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22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223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223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223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223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223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223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B223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217CB"/>
  </w:style>
  <w:style w:type="paragraph" w:customStyle="1" w:styleId="OPCParaBase">
    <w:name w:val="OPCParaBase"/>
    <w:qFormat/>
    <w:rsid w:val="001217CB"/>
    <w:pPr>
      <w:spacing w:line="260" w:lineRule="atLeast"/>
    </w:pPr>
    <w:rPr>
      <w:rFonts w:eastAsia="Times New Roman" w:cs="Times New Roman"/>
      <w:sz w:val="22"/>
      <w:lang w:eastAsia="en-AU"/>
    </w:rPr>
  </w:style>
  <w:style w:type="paragraph" w:customStyle="1" w:styleId="ShortT">
    <w:name w:val="ShortT"/>
    <w:basedOn w:val="OPCParaBase"/>
    <w:next w:val="Normal"/>
    <w:qFormat/>
    <w:rsid w:val="001217CB"/>
    <w:pPr>
      <w:spacing w:line="240" w:lineRule="auto"/>
    </w:pPr>
    <w:rPr>
      <w:b/>
      <w:sz w:val="40"/>
    </w:rPr>
  </w:style>
  <w:style w:type="paragraph" w:customStyle="1" w:styleId="ActHead1">
    <w:name w:val="ActHead 1"/>
    <w:aliases w:val="c"/>
    <w:basedOn w:val="OPCParaBase"/>
    <w:next w:val="Normal"/>
    <w:qFormat/>
    <w:rsid w:val="001217C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217C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217C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217C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217C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217C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217C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217C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217C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217CB"/>
  </w:style>
  <w:style w:type="paragraph" w:customStyle="1" w:styleId="Blocks">
    <w:name w:val="Blocks"/>
    <w:aliases w:val="bb"/>
    <w:basedOn w:val="OPCParaBase"/>
    <w:qFormat/>
    <w:rsid w:val="001217CB"/>
    <w:pPr>
      <w:spacing w:line="240" w:lineRule="auto"/>
    </w:pPr>
    <w:rPr>
      <w:sz w:val="24"/>
    </w:rPr>
  </w:style>
  <w:style w:type="paragraph" w:customStyle="1" w:styleId="BoxText">
    <w:name w:val="BoxText"/>
    <w:aliases w:val="bt"/>
    <w:basedOn w:val="OPCParaBase"/>
    <w:qFormat/>
    <w:rsid w:val="001217C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217CB"/>
    <w:rPr>
      <w:b/>
    </w:rPr>
  </w:style>
  <w:style w:type="paragraph" w:customStyle="1" w:styleId="BoxHeadItalic">
    <w:name w:val="BoxHeadItalic"/>
    <w:aliases w:val="bhi"/>
    <w:basedOn w:val="BoxText"/>
    <w:next w:val="BoxStep"/>
    <w:qFormat/>
    <w:rsid w:val="001217CB"/>
    <w:rPr>
      <w:i/>
    </w:rPr>
  </w:style>
  <w:style w:type="paragraph" w:customStyle="1" w:styleId="BoxList">
    <w:name w:val="BoxList"/>
    <w:aliases w:val="bl"/>
    <w:basedOn w:val="BoxText"/>
    <w:qFormat/>
    <w:rsid w:val="001217CB"/>
    <w:pPr>
      <w:ind w:left="1559" w:hanging="425"/>
    </w:pPr>
  </w:style>
  <w:style w:type="paragraph" w:customStyle="1" w:styleId="BoxNote">
    <w:name w:val="BoxNote"/>
    <w:aliases w:val="bn"/>
    <w:basedOn w:val="BoxText"/>
    <w:qFormat/>
    <w:rsid w:val="001217CB"/>
    <w:pPr>
      <w:tabs>
        <w:tab w:val="left" w:pos="1985"/>
      </w:tabs>
      <w:spacing w:before="122" w:line="198" w:lineRule="exact"/>
      <w:ind w:left="2948" w:hanging="1814"/>
    </w:pPr>
    <w:rPr>
      <w:sz w:val="18"/>
    </w:rPr>
  </w:style>
  <w:style w:type="paragraph" w:customStyle="1" w:styleId="BoxPara">
    <w:name w:val="BoxPara"/>
    <w:aliases w:val="bp"/>
    <w:basedOn w:val="BoxText"/>
    <w:qFormat/>
    <w:rsid w:val="001217CB"/>
    <w:pPr>
      <w:tabs>
        <w:tab w:val="right" w:pos="2268"/>
      </w:tabs>
      <w:ind w:left="2552" w:hanging="1418"/>
    </w:pPr>
  </w:style>
  <w:style w:type="paragraph" w:customStyle="1" w:styleId="BoxStep">
    <w:name w:val="BoxStep"/>
    <w:aliases w:val="bs"/>
    <w:basedOn w:val="BoxText"/>
    <w:qFormat/>
    <w:rsid w:val="001217CB"/>
    <w:pPr>
      <w:ind w:left="1985" w:hanging="851"/>
    </w:pPr>
  </w:style>
  <w:style w:type="character" w:customStyle="1" w:styleId="CharAmPartNo">
    <w:name w:val="CharAmPartNo"/>
    <w:basedOn w:val="OPCCharBase"/>
    <w:qFormat/>
    <w:rsid w:val="001217CB"/>
  </w:style>
  <w:style w:type="character" w:customStyle="1" w:styleId="CharAmPartText">
    <w:name w:val="CharAmPartText"/>
    <w:basedOn w:val="OPCCharBase"/>
    <w:qFormat/>
    <w:rsid w:val="001217CB"/>
  </w:style>
  <w:style w:type="character" w:customStyle="1" w:styleId="CharAmSchNo">
    <w:name w:val="CharAmSchNo"/>
    <w:basedOn w:val="OPCCharBase"/>
    <w:qFormat/>
    <w:rsid w:val="001217CB"/>
  </w:style>
  <w:style w:type="character" w:customStyle="1" w:styleId="CharAmSchText">
    <w:name w:val="CharAmSchText"/>
    <w:basedOn w:val="OPCCharBase"/>
    <w:qFormat/>
    <w:rsid w:val="001217CB"/>
  </w:style>
  <w:style w:type="character" w:customStyle="1" w:styleId="CharBoldItalic">
    <w:name w:val="CharBoldItalic"/>
    <w:basedOn w:val="OPCCharBase"/>
    <w:uiPriority w:val="1"/>
    <w:qFormat/>
    <w:rsid w:val="001217CB"/>
    <w:rPr>
      <w:b/>
      <w:i/>
    </w:rPr>
  </w:style>
  <w:style w:type="character" w:customStyle="1" w:styleId="CharChapNo">
    <w:name w:val="CharChapNo"/>
    <w:basedOn w:val="OPCCharBase"/>
    <w:uiPriority w:val="1"/>
    <w:qFormat/>
    <w:rsid w:val="001217CB"/>
  </w:style>
  <w:style w:type="character" w:customStyle="1" w:styleId="CharChapText">
    <w:name w:val="CharChapText"/>
    <w:basedOn w:val="OPCCharBase"/>
    <w:uiPriority w:val="1"/>
    <w:qFormat/>
    <w:rsid w:val="001217CB"/>
  </w:style>
  <w:style w:type="character" w:customStyle="1" w:styleId="CharDivNo">
    <w:name w:val="CharDivNo"/>
    <w:basedOn w:val="OPCCharBase"/>
    <w:uiPriority w:val="1"/>
    <w:qFormat/>
    <w:rsid w:val="001217CB"/>
  </w:style>
  <w:style w:type="character" w:customStyle="1" w:styleId="CharDivText">
    <w:name w:val="CharDivText"/>
    <w:basedOn w:val="OPCCharBase"/>
    <w:uiPriority w:val="1"/>
    <w:qFormat/>
    <w:rsid w:val="001217CB"/>
  </w:style>
  <w:style w:type="character" w:customStyle="1" w:styleId="CharItalic">
    <w:name w:val="CharItalic"/>
    <w:basedOn w:val="OPCCharBase"/>
    <w:uiPriority w:val="1"/>
    <w:qFormat/>
    <w:rsid w:val="001217CB"/>
    <w:rPr>
      <w:i/>
    </w:rPr>
  </w:style>
  <w:style w:type="character" w:customStyle="1" w:styleId="CharPartNo">
    <w:name w:val="CharPartNo"/>
    <w:basedOn w:val="OPCCharBase"/>
    <w:uiPriority w:val="1"/>
    <w:qFormat/>
    <w:rsid w:val="001217CB"/>
  </w:style>
  <w:style w:type="character" w:customStyle="1" w:styleId="CharPartText">
    <w:name w:val="CharPartText"/>
    <w:basedOn w:val="OPCCharBase"/>
    <w:uiPriority w:val="1"/>
    <w:qFormat/>
    <w:rsid w:val="001217CB"/>
  </w:style>
  <w:style w:type="character" w:customStyle="1" w:styleId="CharSectno">
    <w:name w:val="CharSectno"/>
    <w:basedOn w:val="OPCCharBase"/>
    <w:qFormat/>
    <w:rsid w:val="001217CB"/>
  </w:style>
  <w:style w:type="character" w:customStyle="1" w:styleId="CharSubdNo">
    <w:name w:val="CharSubdNo"/>
    <w:basedOn w:val="OPCCharBase"/>
    <w:uiPriority w:val="1"/>
    <w:qFormat/>
    <w:rsid w:val="001217CB"/>
  </w:style>
  <w:style w:type="character" w:customStyle="1" w:styleId="CharSubdText">
    <w:name w:val="CharSubdText"/>
    <w:basedOn w:val="OPCCharBase"/>
    <w:uiPriority w:val="1"/>
    <w:qFormat/>
    <w:rsid w:val="001217CB"/>
  </w:style>
  <w:style w:type="paragraph" w:customStyle="1" w:styleId="CTA--">
    <w:name w:val="CTA --"/>
    <w:basedOn w:val="OPCParaBase"/>
    <w:next w:val="Normal"/>
    <w:rsid w:val="001217CB"/>
    <w:pPr>
      <w:spacing w:before="60" w:line="240" w:lineRule="atLeast"/>
      <w:ind w:left="142" w:hanging="142"/>
    </w:pPr>
    <w:rPr>
      <w:sz w:val="20"/>
    </w:rPr>
  </w:style>
  <w:style w:type="paragraph" w:customStyle="1" w:styleId="CTA-">
    <w:name w:val="CTA -"/>
    <w:basedOn w:val="OPCParaBase"/>
    <w:rsid w:val="001217CB"/>
    <w:pPr>
      <w:spacing w:before="60" w:line="240" w:lineRule="atLeast"/>
      <w:ind w:left="85" w:hanging="85"/>
    </w:pPr>
    <w:rPr>
      <w:sz w:val="20"/>
    </w:rPr>
  </w:style>
  <w:style w:type="paragraph" w:customStyle="1" w:styleId="CTA---">
    <w:name w:val="CTA ---"/>
    <w:basedOn w:val="OPCParaBase"/>
    <w:next w:val="Normal"/>
    <w:rsid w:val="001217CB"/>
    <w:pPr>
      <w:spacing w:before="60" w:line="240" w:lineRule="atLeast"/>
      <w:ind w:left="198" w:hanging="198"/>
    </w:pPr>
    <w:rPr>
      <w:sz w:val="20"/>
    </w:rPr>
  </w:style>
  <w:style w:type="paragraph" w:customStyle="1" w:styleId="CTA----">
    <w:name w:val="CTA ----"/>
    <w:basedOn w:val="OPCParaBase"/>
    <w:next w:val="Normal"/>
    <w:rsid w:val="001217CB"/>
    <w:pPr>
      <w:spacing w:before="60" w:line="240" w:lineRule="atLeast"/>
      <w:ind w:left="255" w:hanging="255"/>
    </w:pPr>
    <w:rPr>
      <w:sz w:val="20"/>
    </w:rPr>
  </w:style>
  <w:style w:type="paragraph" w:customStyle="1" w:styleId="CTA1a">
    <w:name w:val="CTA 1(a)"/>
    <w:basedOn w:val="OPCParaBase"/>
    <w:rsid w:val="001217CB"/>
    <w:pPr>
      <w:tabs>
        <w:tab w:val="right" w:pos="414"/>
      </w:tabs>
      <w:spacing w:before="40" w:line="240" w:lineRule="atLeast"/>
      <w:ind w:left="675" w:hanging="675"/>
    </w:pPr>
    <w:rPr>
      <w:sz w:val="20"/>
    </w:rPr>
  </w:style>
  <w:style w:type="paragraph" w:customStyle="1" w:styleId="CTA1ai">
    <w:name w:val="CTA 1(a)(i)"/>
    <w:basedOn w:val="OPCParaBase"/>
    <w:rsid w:val="001217CB"/>
    <w:pPr>
      <w:tabs>
        <w:tab w:val="right" w:pos="1004"/>
      </w:tabs>
      <w:spacing w:before="40" w:line="240" w:lineRule="atLeast"/>
      <w:ind w:left="1253" w:hanging="1253"/>
    </w:pPr>
    <w:rPr>
      <w:sz w:val="20"/>
    </w:rPr>
  </w:style>
  <w:style w:type="paragraph" w:customStyle="1" w:styleId="CTA2a">
    <w:name w:val="CTA 2(a)"/>
    <w:basedOn w:val="OPCParaBase"/>
    <w:rsid w:val="001217CB"/>
    <w:pPr>
      <w:tabs>
        <w:tab w:val="right" w:pos="482"/>
      </w:tabs>
      <w:spacing w:before="40" w:line="240" w:lineRule="atLeast"/>
      <w:ind w:left="748" w:hanging="748"/>
    </w:pPr>
    <w:rPr>
      <w:sz w:val="20"/>
    </w:rPr>
  </w:style>
  <w:style w:type="paragraph" w:customStyle="1" w:styleId="CTA2ai">
    <w:name w:val="CTA 2(a)(i)"/>
    <w:basedOn w:val="OPCParaBase"/>
    <w:rsid w:val="001217CB"/>
    <w:pPr>
      <w:tabs>
        <w:tab w:val="right" w:pos="1089"/>
      </w:tabs>
      <w:spacing w:before="40" w:line="240" w:lineRule="atLeast"/>
      <w:ind w:left="1327" w:hanging="1327"/>
    </w:pPr>
    <w:rPr>
      <w:sz w:val="20"/>
    </w:rPr>
  </w:style>
  <w:style w:type="paragraph" w:customStyle="1" w:styleId="CTA3a">
    <w:name w:val="CTA 3(a)"/>
    <w:basedOn w:val="OPCParaBase"/>
    <w:rsid w:val="001217CB"/>
    <w:pPr>
      <w:tabs>
        <w:tab w:val="right" w:pos="556"/>
      </w:tabs>
      <w:spacing w:before="40" w:line="240" w:lineRule="atLeast"/>
      <w:ind w:left="805" w:hanging="805"/>
    </w:pPr>
    <w:rPr>
      <w:sz w:val="20"/>
    </w:rPr>
  </w:style>
  <w:style w:type="paragraph" w:customStyle="1" w:styleId="CTA3ai">
    <w:name w:val="CTA 3(a)(i)"/>
    <w:basedOn w:val="OPCParaBase"/>
    <w:rsid w:val="001217CB"/>
    <w:pPr>
      <w:tabs>
        <w:tab w:val="right" w:pos="1140"/>
      </w:tabs>
      <w:spacing w:before="40" w:line="240" w:lineRule="atLeast"/>
      <w:ind w:left="1361" w:hanging="1361"/>
    </w:pPr>
    <w:rPr>
      <w:sz w:val="20"/>
    </w:rPr>
  </w:style>
  <w:style w:type="paragraph" w:customStyle="1" w:styleId="CTA4a">
    <w:name w:val="CTA 4(a)"/>
    <w:basedOn w:val="OPCParaBase"/>
    <w:rsid w:val="001217CB"/>
    <w:pPr>
      <w:tabs>
        <w:tab w:val="right" w:pos="624"/>
      </w:tabs>
      <w:spacing w:before="40" w:line="240" w:lineRule="atLeast"/>
      <w:ind w:left="873" w:hanging="873"/>
    </w:pPr>
    <w:rPr>
      <w:sz w:val="20"/>
    </w:rPr>
  </w:style>
  <w:style w:type="paragraph" w:customStyle="1" w:styleId="CTA4ai">
    <w:name w:val="CTA 4(a)(i)"/>
    <w:basedOn w:val="OPCParaBase"/>
    <w:rsid w:val="001217CB"/>
    <w:pPr>
      <w:tabs>
        <w:tab w:val="right" w:pos="1213"/>
      </w:tabs>
      <w:spacing w:before="40" w:line="240" w:lineRule="atLeast"/>
      <w:ind w:left="1452" w:hanging="1452"/>
    </w:pPr>
    <w:rPr>
      <w:sz w:val="20"/>
    </w:rPr>
  </w:style>
  <w:style w:type="paragraph" w:customStyle="1" w:styleId="CTACAPS">
    <w:name w:val="CTA CAPS"/>
    <w:basedOn w:val="OPCParaBase"/>
    <w:rsid w:val="001217CB"/>
    <w:pPr>
      <w:spacing w:before="60" w:line="240" w:lineRule="atLeast"/>
    </w:pPr>
    <w:rPr>
      <w:sz w:val="20"/>
    </w:rPr>
  </w:style>
  <w:style w:type="paragraph" w:customStyle="1" w:styleId="CTAright">
    <w:name w:val="CTA right"/>
    <w:basedOn w:val="OPCParaBase"/>
    <w:rsid w:val="001217CB"/>
    <w:pPr>
      <w:spacing w:before="60" w:line="240" w:lineRule="auto"/>
      <w:jc w:val="right"/>
    </w:pPr>
    <w:rPr>
      <w:sz w:val="20"/>
    </w:rPr>
  </w:style>
  <w:style w:type="paragraph" w:customStyle="1" w:styleId="subsection">
    <w:name w:val="subsection"/>
    <w:aliases w:val="ss,Subsection"/>
    <w:basedOn w:val="OPCParaBase"/>
    <w:link w:val="subsectionChar"/>
    <w:rsid w:val="001217CB"/>
    <w:pPr>
      <w:tabs>
        <w:tab w:val="right" w:pos="1021"/>
      </w:tabs>
      <w:spacing w:before="180" w:line="240" w:lineRule="auto"/>
      <w:ind w:left="1134" w:hanging="1134"/>
    </w:pPr>
  </w:style>
  <w:style w:type="paragraph" w:customStyle="1" w:styleId="Definition">
    <w:name w:val="Definition"/>
    <w:aliases w:val="dd"/>
    <w:basedOn w:val="OPCParaBase"/>
    <w:rsid w:val="001217CB"/>
    <w:pPr>
      <w:spacing w:before="180" w:line="240" w:lineRule="auto"/>
      <w:ind w:left="1134"/>
    </w:pPr>
  </w:style>
  <w:style w:type="paragraph" w:customStyle="1" w:styleId="ETAsubitem">
    <w:name w:val="ETA(subitem)"/>
    <w:basedOn w:val="OPCParaBase"/>
    <w:rsid w:val="001217CB"/>
    <w:pPr>
      <w:tabs>
        <w:tab w:val="right" w:pos="340"/>
      </w:tabs>
      <w:spacing w:before="60" w:line="240" w:lineRule="auto"/>
      <w:ind w:left="454" w:hanging="454"/>
    </w:pPr>
    <w:rPr>
      <w:sz w:val="20"/>
    </w:rPr>
  </w:style>
  <w:style w:type="paragraph" w:customStyle="1" w:styleId="ETApara">
    <w:name w:val="ETA(para)"/>
    <w:basedOn w:val="OPCParaBase"/>
    <w:rsid w:val="001217CB"/>
    <w:pPr>
      <w:tabs>
        <w:tab w:val="right" w:pos="754"/>
      </w:tabs>
      <w:spacing w:before="60" w:line="240" w:lineRule="auto"/>
      <w:ind w:left="828" w:hanging="828"/>
    </w:pPr>
    <w:rPr>
      <w:sz w:val="20"/>
    </w:rPr>
  </w:style>
  <w:style w:type="paragraph" w:customStyle="1" w:styleId="ETAsubpara">
    <w:name w:val="ETA(subpara)"/>
    <w:basedOn w:val="OPCParaBase"/>
    <w:rsid w:val="001217CB"/>
    <w:pPr>
      <w:tabs>
        <w:tab w:val="right" w:pos="1083"/>
      </w:tabs>
      <w:spacing w:before="60" w:line="240" w:lineRule="auto"/>
      <w:ind w:left="1191" w:hanging="1191"/>
    </w:pPr>
    <w:rPr>
      <w:sz w:val="20"/>
    </w:rPr>
  </w:style>
  <w:style w:type="paragraph" w:customStyle="1" w:styleId="ETAsub-subpara">
    <w:name w:val="ETA(sub-subpara)"/>
    <w:basedOn w:val="OPCParaBase"/>
    <w:rsid w:val="001217CB"/>
    <w:pPr>
      <w:tabs>
        <w:tab w:val="right" w:pos="1412"/>
      </w:tabs>
      <w:spacing w:before="60" w:line="240" w:lineRule="auto"/>
      <w:ind w:left="1525" w:hanging="1525"/>
    </w:pPr>
    <w:rPr>
      <w:sz w:val="20"/>
    </w:rPr>
  </w:style>
  <w:style w:type="paragraph" w:customStyle="1" w:styleId="Formula">
    <w:name w:val="Formula"/>
    <w:basedOn w:val="OPCParaBase"/>
    <w:rsid w:val="001217CB"/>
    <w:pPr>
      <w:spacing w:line="240" w:lineRule="auto"/>
      <w:ind w:left="1134"/>
    </w:pPr>
    <w:rPr>
      <w:sz w:val="20"/>
    </w:rPr>
  </w:style>
  <w:style w:type="paragraph" w:styleId="Header">
    <w:name w:val="header"/>
    <w:basedOn w:val="OPCParaBase"/>
    <w:link w:val="HeaderChar"/>
    <w:unhideWhenUsed/>
    <w:rsid w:val="001217C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217CB"/>
    <w:rPr>
      <w:rFonts w:eastAsia="Times New Roman" w:cs="Times New Roman"/>
      <w:sz w:val="16"/>
      <w:lang w:eastAsia="en-AU"/>
    </w:rPr>
  </w:style>
  <w:style w:type="paragraph" w:customStyle="1" w:styleId="House">
    <w:name w:val="House"/>
    <w:basedOn w:val="OPCParaBase"/>
    <w:rsid w:val="001217CB"/>
    <w:pPr>
      <w:spacing w:line="240" w:lineRule="auto"/>
    </w:pPr>
    <w:rPr>
      <w:sz w:val="28"/>
    </w:rPr>
  </w:style>
  <w:style w:type="paragraph" w:customStyle="1" w:styleId="Item">
    <w:name w:val="Item"/>
    <w:aliases w:val="i"/>
    <w:basedOn w:val="OPCParaBase"/>
    <w:next w:val="ItemHead"/>
    <w:rsid w:val="001217CB"/>
    <w:pPr>
      <w:keepLines/>
      <w:spacing w:before="80" w:line="240" w:lineRule="auto"/>
      <w:ind w:left="709"/>
    </w:pPr>
  </w:style>
  <w:style w:type="paragraph" w:customStyle="1" w:styleId="ItemHead">
    <w:name w:val="ItemHead"/>
    <w:aliases w:val="ih"/>
    <w:basedOn w:val="OPCParaBase"/>
    <w:next w:val="Item"/>
    <w:rsid w:val="001217C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217CB"/>
    <w:pPr>
      <w:spacing w:line="240" w:lineRule="auto"/>
    </w:pPr>
    <w:rPr>
      <w:b/>
      <w:sz w:val="32"/>
    </w:rPr>
  </w:style>
  <w:style w:type="paragraph" w:customStyle="1" w:styleId="notedraft">
    <w:name w:val="note(draft)"/>
    <w:aliases w:val="nd"/>
    <w:basedOn w:val="OPCParaBase"/>
    <w:rsid w:val="001217CB"/>
    <w:pPr>
      <w:spacing w:before="240" w:line="240" w:lineRule="auto"/>
      <w:ind w:left="284" w:hanging="284"/>
    </w:pPr>
    <w:rPr>
      <w:i/>
      <w:sz w:val="24"/>
    </w:rPr>
  </w:style>
  <w:style w:type="paragraph" w:customStyle="1" w:styleId="notemargin">
    <w:name w:val="note(margin)"/>
    <w:aliases w:val="nm"/>
    <w:basedOn w:val="OPCParaBase"/>
    <w:rsid w:val="001217CB"/>
    <w:pPr>
      <w:tabs>
        <w:tab w:val="left" w:pos="709"/>
      </w:tabs>
      <w:spacing w:before="122" w:line="198" w:lineRule="exact"/>
      <w:ind w:left="709" w:hanging="709"/>
    </w:pPr>
    <w:rPr>
      <w:sz w:val="18"/>
    </w:rPr>
  </w:style>
  <w:style w:type="paragraph" w:customStyle="1" w:styleId="noteToPara">
    <w:name w:val="noteToPara"/>
    <w:aliases w:val="ntp"/>
    <w:basedOn w:val="OPCParaBase"/>
    <w:rsid w:val="001217CB"/>
    <w:pPr>
      <w:spacing w:before="122" w:line="198" w:lineRule="exact"/>
      <w:ind w:left="2353" w:hanging="709"/>
    </w:pPr>
    <w:rPr>
      <w:sz w:val="18"/>
    </w:rPr>
  </w:style>
  <w:style w:type="paragraph" w:customStyle="1" w:styleId="noteParlAmend">
    <w:name w:val="note(ParlAmend)"/>
    <w:aliases w:val="npp"/>
    <w:basedOn w:val="OPCParaBase"/>
    <w:next w:val="ParlAmend"/>
    <w:rsid w:val="001217CB"/>
    <w:pPr>
      <w:spacing w:line="240" w:lineRule="auto"/>
      <w:jc w:val="right"/>
    </w:pPr>
    <w:rPr>
      <w:rFonts w:ascii="Arial" w:hAnsi="Arial"/>
      <w:b/>
      <w:i/>
    </w:rPr>
  </w:style>
  <w:style w:type="paragraph" w:customStyle="1" w:styleId="Page1">
    <w:name w:val="Page1"/>
    <w:basedOn w:val="OPCParaBase"/>
    <w:rsid w:val="001217CB"/>
    <w:pPr>
      <w:spacing w:before="2703" w:line="240" w:lineRule="auto"/>
    </w:pPr>
    <w:rPr>
      <w:b/>
      <w:sz w:val="32"/>
    </w:rPr>
  </w:style>
  <w:style w:type="paragraph" w:customStyle="1" w:styleId="PageBreak">
    <w:name w:val="PageBreak"/>
    <w:aliases w:val="pb"/>
    <w:basedOn w:val="OPCParaBase"/>
    <w:rsid w:val="001217CB"/>
    <w:pPr>
      <w:spacing w:line="240" w:lineRule="auto"/>
    </w:pPr>
    <w:rPr>
      <w:sz w:val="20"/>
    </w:rPr>
  </w:style>
  <w:style w:type="paragraph" w:customStyle="1" w:styleId="paragraphsub">
    <w:name w:val="paragraph(sub)"/>
    <w:aliases w:val="aa"/>
    <w:basedOn w:val="OPCParaBase"/>
    <w:rsid w:val="001217CB"/>
    <w:pPr>
      <w:tabs>
        <w:tab w:val="right" w:pos="1985"/>
      </w:tabs>
      <w:spacing w:before="40" w:line="240" w:lineRule="auto"/>
      <w:ind w:left="2098" w:hanging="2098"/>
    </w:pPr>
  </w:style>
  <w:style w:type="paragraph" w:customStyle="1" w:styleId="paragraphsub-sub">
    <w:name w:val="paragraph(sub-sub)"/>
    <w:aliases w:val="aaa"/>
    <w:basedOn w:val="OPCParaBase"/>
    <w:rsid w:val="001217CB"/>
    <w:pPr>
      <w:tabs>
        <w:tab w:val="right" w:pos="2722"/>
      </w:tabs>
      <w:spacing w:before="40" w:line="240" w:lineRule="auto"/>
      <w:ind w:left="2835" w:hanging="2835"/>
    </w:pPr>
  </w:style>
  <w:style w:type="paragraph" w:customStyle="1" w:styleId="paragraph">
    <w:name w:val="paragraph"/>
    <w:aliases w:val="a"/>
    <w:basedOn w:val="OPCParaBase"/>
    <w:link w:val="paragraphChar"/>
    <w:rsid w:val="001217CB"/>
    <w:pPr>
      <w:tabs>
        <w:tab w:val="right" w:pos="1531"/>
      </w:tabs>
      <w:spacing w:before="40" w:line="240" w:lineRule="auto"/>
      <w:ind w:left="1644" w:hanging="1644"/>
    </w:pPr>
  </w:style>
  <w:style w:type="paragraph" w:customStyle="1" w:styleId="ParlAmend">
    <w:name w:val="ParlAmend"/>
    <w:aliases w:val="pp"/>
    <w:basedOn w:val="OPCParaBase"/>
    <w:rsid w:val="001217CB"/>
    <w:pPr>
      <w:spacing w:before="240" w:line="240" w:lineRule="atLeast"/>
      <w:ind w:hanging="567"/>
    </w:pPr>
    <w:rPr>
      <w:sz w:val="24"/>
    </w:rPr>
  </w:style>
  <w:style w:type="paragraph" w:customStyle="1" w:styleId="Penalty">
    <w:name w:val="Penalty"/>
    <w:basedOn w:val="OPCParaBase"/>
    <w:rsid w:val="001217CB"/>
    <w:pPr>
      <w:tabs>
        <w:tab w:val="left" w:pos="2977"/>
      </w:tabs>
      <w:spacing w:before="180" w:line="240" w:lineRule="auto"/>
      <w:ind w:left="1985" w:hanging="851"/>
    </w:pPr>
  </w:style>
  <w:style w:type="paragraph" w:customStyle="1" w:styleId="Portfolio">
    <w:name w:val="Portfolio"/>
    <w:basedOn w:val="OPCParaBase"/>
    <w:rsid w:val="001217CB"/>
    <w:pPr>
      <w:spacing w:line="240" w:lineRule="auto"/>
    </w:pPr>
    <w:rPr>
      <w:i/>
      <w:sz w:val="20"/>
    </w:rPr>
  </w:style>
  <w:style w:type="paragraph" w:customStyle="1" w:styleId="Preamble">
    <w:name w:val="Preamble"/>
    <w:basedOn w:val="OPCParaBase"/>
    <w:next w:val="Normal"/>
    <w:rsid w:val="001217C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217CB"/>
    <w:pPr>
      <w:spacing w:line="240" w:lineRule="auto"/>
    </w:pPr>
    <w:rPr>
      <w:i/>
      <w:sz w:val="20"/>
    </w:rPr>
  </w:style>
  <w:style w:type="paragraph" w:customStyle="1" w:styleId="Session">
    <w:name w:val="Session"/>
    <w:basedOn w:val="OPCParaBase"/>
    <w:rsid w:val="001217CB"/>
    <w:pPr>
      <w:spacing w:line="240" w:lineRule="auto"/>
    </w:pPr>
    <w:rPr>
      <w:sz w:val="28"/>
    </w:rPr>
  </w:style>
  <w:style w:type="paragraph" w:customStyle="1" w:styleId="Sponsor">
    <w:name w:val="Sponsor"/>
    <w:basedOn w:val="OPCParaBase"/>
    <w:rsid w:val="001217CB"/>
    <w:pPr>
      <w:spacing w:line="240" w:lineRule="auto"/>
    </w:pPr>
    <w:rPr>
      <w:i/>
    </w:rPr>
  </w:style>
  <w:style w:type="paragraph" w:customStyle="1" w:styleId="Subitem">
    <w:name w:val="Subitem"/>
    <w:aliases w:val="iss"/>
    <w:basedOn w:val="OPCParaBase"/>
    <w:rsid w:val="001217CB"/>
    <w:pPr>
      <w:spacing w:before="180" w:line="240" w:lineRule="auto"/>
      <w:ind w:left="709" w:hanging="709"/>
    </w:pPr>
  </w:style>
  <w:style w:type="paragraph" w:customStyle="1" w:styleId="SubitemHead">
    <w:name w:val="SubitemHead"/>
    <w:aliases w:val="issh"/>
    <w:basedOn w:val="OPCParaBase"/>
    <w:rsid w:val="001217C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217CB"/>
    <w:pPr>
      <w:spacing w:before="40" w:line="240" w:lineRule="auto"/>
      <w:ind w:left="1134"/>
    </w:pPr>
  </w:style>
  <w:style w:type="paragraph" w:customStyle="1" w:styleId="SubsectionHead">
    <w:name w:val="SubsectionHead"/>
    <w:aliases w:val="ssh"/>
    <w:basedOn w:val="OPCParaBase"/>
    <w:next w:val="subsection"/>
    <w:rsid w:val="001217CB"/>
    <w:pPr>
      <w:keepNext/>
      <w:keepLines/>
      <w:spacing w:before="240" w:line="240" w:lineRule="auto"/>
      <w:ind w:left="1134"/>
    </w:pPr>
    <w:rPr>
      <w:i/>
    </w:rPr>
  </w:style>
  <w:style w:type="paragraph" w:customStyle="1" w:styleId="Tablea">
    <w:name w:val="Table(a)"/>
    <w:aliases w:val="ta"/>
    <w:basedOn w:val="OPCParaBase"/>
    <w:rsid w:val="001217CB"/>
    <w:pPr>
      <w:spacing w:before="60" w:line="240" w:lineRule="auto"/>
      <w:ind w:left="284" w:hanging="284"/>
    </w:pPr>
    <w:rPr>
      <w:sz w:val="20"/>
    </w:rPr>
  </w:style>
  <w:style w:type="paragraph" w:customStyle="1" w:styleId="TableAA">
    <w:name w:val="Table(AA)"/>
    <w:aliases w:val="taaa"/>
    <w:basedOn w:val="OPCParaBase"/>
    <w:rsid w:val="001217C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217C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217CB"/>
    <w:pPr>
      <w:spacing w:before="60" w:line="240" w:lineRule="atLeast"/>
    </w:pPr>
    <w:rPr>
      <w:sz w:val="20"/>
    </w:rPr>
  </w:style>
  <w:style w:type="paragraph" w:customStyle="1" w:styleId="TLPBoxTextnote">
    <w:name w:val="TLPBoxText(note"/>
    <w:aliases w:val="right)"/>
    <w:basedOn w:val="OPCParaBase"/>
    <w:rsid w:val="001217C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217C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217CB"/>
    <w:pPr>
      <w:spacing w:before="122" w:line="198" w:lineRule="exact"/>
      <w:ind w:left="1985" w:hanging="851"/>
      <w:jc w:val="right"/>
    </w:pPr>
    <w:rPr>
      <w:sz w:val="18"/>
    </w:rPr>
  </w:style>
  <w:style w:type="paragraph" w:customStyle="1" w:styleId="TLPTableBullet">
    <w:name w:val="TLPTableBullet"/>
    <w:aliases w:val="ttb"/>
    <w:basedOn w:val="OPCParaBase"/>
    <w:rsid w:val="001217CB"/>
    <w:pPr>
      <w:spacing w:line="240" w:lineRule="exact"/>
      <w:ind w:left="284" w:hanging="284"/>
    </w:pPr>
    <w:rPr>
      <w:sz w:val="20"/>
    </w:rPr>
  </w:style>
  <w:style w:type="paragraph" w:styleId="TOC1">
    <w:name w:val="toc 1"/>
    <w:basedOn w:val="OPCParaBase"/>
    <w:next w:val="Normal"/>
    <w:uiPriority w:val="39"/>
    <w:semiHidden/>
    <w:unhideWhenUsed/>
    <w:rsid w:val="001217C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217C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217C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217C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217C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217C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217C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217C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217C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217CB"/>
    <w:pPr>
      <w:keepLines/>
      <w:spacing w:before="240" w:after="120" w:line="240" w:lineRule="auto"/>
      <w:ind w:left="794"/>
    </w:pPr>
    <w:rPr>
      <w:b/>
      <w:kern w:val="28"/>
      <w:sz w:val="20"/>
    </w:rPr>
  </w:style>
  <w:style w:type="paragraph" w:customStyle="1" w:styleId="TofSectsHeading">
    <w:name w:val="TofSects(Heading)"/>
    <w:basedOn w:val="OPCParaBase"/>
    <w:rsid w:val="001217CB"/>
    <w:pPr>
      <w:spacing w:before="240" w:after="120" w:line="240" w:lineRule="auto"/>
    </w:pPr>
    <w:rPr>
      <w:b/>
      <w:sz w:val="24"/>
    </w:rPr>
  </w:style>
  <w:style w:type="paragraph" w:customStyle="1" w:styleId="TofSectsSection">
    <w:name w:val="TofSects(Section)"/>
    <w:basedOn w:val="OPCParaBase"/>
    <w:rsid w:val="001217CB"/>
    <w:pPr>
      <w:keepLines/>
      <w:spacing w:before="40" w:line="240" w:lineRule="auto"/>
      <w:ind w:left="1588" w:hanging="794"/>
    </w:pPr>
    <w:rPr>
      <w:kern w:val="28"/>
      <w:sz w:val="18"/>
    </w:rPr>
  </w:style>
  <w:style w:type="paragraph" w:customStyle="1" w:styleId="TofSectsSubdiv">
    <w:name w:val="TofSects(Subdiv)"/>
    <w:basedOn w:val="OPCParaBase"/>
    <w:rsid w:val="001217CB"/>
    <w:pPr>
      <w:keepLines/>
      <w:spacing w:before="80" w:line="240" w:lineRule="auto"/>
      <w:ind w:left="1588" w:hanging="794"/>
    </w:pPr>
    <w:rPr>
      <w:kern w:val="28"/>
    </w:rPr>
  </w:style>
  <w:style w:type="paragraph" w:customStyle="1" w:styleId="WRStyle">
    <w:name w:val="WR Style"/>
    <w:aliases w:val="WR"/>
    <w:basedOn w:val="OPCParaBase"/>
    <w:rsid w:val="001217CB"/>
    <w:pPr>
      <w:spacing w:before="240" w:line="240" w:lineRule="auto"/>
      <w:ind w:left="284" w:hanging="284"/>
    </w:pPr>
    <w:rPr>
      <w:b/>
      <w:i/>
      <w:kern w:val="28"/>
      <w:sz w:val="24"/>
    </w:rPr>
  </w:style>
  <w:style w:type="paragraph" w:customStyle="1" w:styleId="notepara">
    <w:name w:val="note(para)"/>
    <w:aliases w:val="na"/>
    <w:basedOn w:val="OPCParaBase"/>
    <w:rsid w:val="001217CB"/>
    <w:pPr>
      <w:spacing w:before="40" w:line="198" w:lineRule="exact"/>
      <w:ind w:left="2354" w:hanging="369"/>
    </w:pPr>
    <w:rPr>
      <w:sz w:val="18"/>
    </w:rPr>
  </w:style>
  <w:style w:type="paragraph" w:styleId="Footer">
    <w:name w:val="footer"/>
    <w:link w:val="FooterChar"/>
    <w:rsid w:val="001217C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217CB"/>
    <w:rPr>
      <w:rFonts w:eastAsia="Times New Roman" w:cs="Times New Roman"/>
      <w:sz w:val="22"/>
      <w:szCs w:val="24"/>
      <w:lang w:eastAsia="en-AU"/>
    </w:rPr>
  </w:style>
  <w:style w:type="character" w:styleId="LineNumber">
    <w:name w:val="line number"/>
    <w:basedOn w:val="OPCCharBase"/>
    <w:uiPriority w:val="99"/>
    <w:semiHidden/>
    <w:unhideWhenUsed/>
    <w:rsid w:val="001217CB"/>
    <w:rPr>
      <w:sz w:val="16"/>
    </w:rPr>
  </w:style>
  <w:style w:type="table" w:customStyle="1" w:styleId="CFlag">
    <w:name w:val="CFlag"/>
    <w:basedOn w:val="TableNormal"/>
    <w:uiPriority w:val="99"/>
    <w:rsid w:val="001217CB"/>
    <w:rPr>
      <w:rFonts w:eastAsia="Times New Roman" w:cs="Times New Roman"/>
      <w:lang w:eastAsia="en-AU"/>
    </w:rPr>
    <w:tblPr/>
  </w:style>
  <w:style w:type="paragraph" w:customStyle="1" w:styleId="NotesHeading1">
    <w:name w:val="NotesHeading 1"/>
    <w:basedOn w:val="OPCParaBase"/>
    <w:next w:val="Normal"/>
    <w:rsid w:val="001217CB"/>
    <w:rPr>
      <w:b/>
      <w:sz w:val="28"/>
      <w:szCs w:val="28"/>
    </w:rPr>
  </w:style>
  <w:style w:type="paragraph" w:customStyle="1" w:styleId="NotesHeading2">
    <w:name w:val="NotesHeading 2"/>
    <w:basedOn w:val="OPCParaBase"/>
    <w:next w:val="Normal"/>
    <w:rsid w:val="001217CB"/>
    <w:rPr>
      <w:b/>
      <w:sz w:val="28"/>
      <w:szCs w:val="28"/>
    </w:rPr>
  </w:style>
  <w:style w:type="paragraph" w:customStyle="1" w:styleId="SignCoverPageEnd">
    <w:name w:val="SignCoverPageEnd"/>
    <w:basedOn w:val="OPCParaBase"/>
    <w:next w:val="Normal"/>
    <w:rsid w:val="001217C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217CB"/>
    <w:pPr>
      <w:pBdr>
        <w:top w:val="single" w:sz="4" w:space="1" w:color="auto"/>
      </w:pBdr>
      <w:spacing w:before="360"/>
      <w:ind w:right="397"/>
      <w:jc w:val="both"/>
    </w:pPr>
  </w:style>
  <w:style w:type="paragraph" w:customStyle="1" w:styleId="Paragraphsub-sub-sub">
    <w:name w:val="Paragraph(sub-sub-sub)"/>
    <w:aliases w:val="aaaa"/>
    <w:basedOn w:val="OPCParaBase"/>
    <w:rsid w:val="001217C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217C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217C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217C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217C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217CB"/>
    <w:pPr>
      <w:spacing w:before="120"/>
    </w:pPr>
  </w:style>
  <w:style w:type="paragraph" w:customStyle="1" w:styleId="TableTextEndNotes">
    <w:name w:val="TableTextEndNotes"/>
    <w:aliases w:val="Tten"/>
    <w:basedOn w:val="Normal"/>
    <w:rsid w:val="001217CB"/>
    <w:pPr>
      <w:spacing w:before="60" w:line="240" w:lineRule="auto"/>
    </w:pPr>
    <w:rPr>
      <w:rFonts w:cs="Arial"/>
      <w:sz w:val="20"/>
      <w:szCs w:val="22"/>
    </w:rPr>
  </w:style>
  <w:style w:type="paragraph" w:customStyle="1" w:styleId="TableHeading">
    <w:name w:val="TableHeading"/>
    <w:aliases w:val="th"/>
    <w:basedOn w:val="OPCParaBase"/>
    <w:next w:val="Tabletext"/>
    <w:rsid w:val="001217CB"/>
    <w:pPr>
      <w:keepNext/>
      <w:spacing w:before="60" w:line="240" w:lineRule="atLeast"/>
    </w:pPr>
    <w:rPr>
      <w:b/>
      <w:sz w:val="20"/>
    </w:rPr>
  </w:style>
  <w:style w:type="paragraph" w:customStyle="1" w:styleId="NoteToSubpara">
    <w:name w:val="NoteToSubpara"/>
    <w:aliases w:val="nts"/>
    <w:basedOn w:val="OPCParaBase"/>
    <w:rsid w:val="001217CB"/>
    <w:pPr>
      <w:spacing w:before="40" w:line="198" w:lineRule="exact"/>
      <w:ind w:left="2835" w:hanging="709"/>
    </w:pPr>
    <w:rPr>
      <w:sz w:val="18"/>
    </w:rPr>
  </w:style>
  <w:style w:type="paragraph" w:customStyle="1" w:styleId="ENoteTableHeading">
    <w:name w:val="ENoteTableHeading"/>
    <w:aliases w:val="enth"/>
    <w:basedOn w:val="OPCParaBase"/>
    <w:rsid w:val="001217CB"/>
    <w:pPr>
      <w:keepNext/>
      <w:spacing w:before="60" w:line="240" w:lineRule="atLeast"/>
    </w:pPr>
    <w:rPr>
      <w:rFonts w:ascii="Arial" w:hAnsi="Arial"/>
      <w:b/>
      <w:sz w:val="16"/>
    </w:rPr>
  </w:style>
  <w:style w:type="paragraph" w:customStyle="1" w:styleId="ENoteTTi">
    <w:name w:val="ENoteTTi"/>
    <w:aliases w:val="entti"/>
    <w:basedOn w:val="OPCParaBase"/>
    <w:rsid w:val="001217CB"/>
    <w:pPr>
      <w:keepNext/>
      <w:spacing w:before="60" w:line="240" w:lineRule="atLeast"/>
      <w:ind w:left="170"/>
    </w:pPr>
    <w:rPr>
      <w:sz w:val="16"/>
    </w:rPr>
  </w:style>
  <w:style w:type="paragraph" w:customStyle="1" w:styleId="ENotesHeading1">
    <w:name w:val="ENotesHeading 1"/>
    <w:aliases w:val="Enh1"/>
    <w:basedOn w:val="OPCParaBase"/>
    <w:next w:val="Normal"/>
    <w:rsid w:val="001217CB"/>
    <w:pPr>
      <w:spacing w:before="120"/>
      <w:outlineLvl w:val="1"/>
    </w:pPr>
    <w:rPr>
      <w:b/>
      <w:sz w:val="28"/>
      <w:szCs w:val="28"/>
    </w:rPr>
  </w:style>
  <w:style w:type="paragraph" w:customStyle="1" w:styleId="ENotesHeading2">
    <w:name w:val="ENotesHeading 2"/>
    <w:aliases w:val="Enh2"/>
    <w:basedOn w:val="OPCParaBase"/>
    <w:next w:val="Normal"/>
    <w:rsid w:val="001217CB"/>
    <w:pPr>
      <w:spacing w:before="120" w:after="120"/>
      <w:outlineLvl w:val="2"/>
    </w:pPr>
    <w:rPr>
      <w:b/>
      <w:sz w:val="24"/>
      <w:szCs w:val="28"/>
    </w:rPr>
  </w:style>
  <w:style w:type="paragraph" w:customStyle="1" w:styleId="ENoteTTIndentHeading">
    <w:name w:val="ENoteTTIndentHeading"/>
    <w:aliases w:val="enTTHi"/>
    <w:basedOn w:val="OPCParaBase"/>
    <w:rsid w:val="001217C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217CB"/>
    <w:pPr>
      <w:spacing w:before="60" w:line="240" w:lineRule="atLeast"/>
    </w:pPr>
    <w:rPr>
      <w:sz w:val="16"/>
    </w:rPr>
  </w:style>
  <w:style w:type="paragraph" w:customStyle="1" w:styleId="MadeunderText">
    <w:name w:val="MadeunderText"/>
    <w:basedOn w:val="OPCParaBase"/>
    <w:next w:val="Normal"/>
    <w:rsid w:val="001217CB"/>
    <w:pPr>
      <w:spacing w:before="240"/>
    </w:pPr>
    <w:rPr>
      <w:sz w:val="24"/>
      <w:szCs w:val="24"/>
    </w:rPr>
  </w:style>
  <w:style w:type="paragraph" w:customStyle="1" w:styleId="ENotesHeading3">
    <w:name w:val="ENotesHeading 3"/>
    <w:aliases w:val="Enh3"/>
    <w:basedOn w:val="OPCParaBase"/>
    <w:next w:val="Normal"/>
    <w:rsid w:val="001217CB"/>
    <w:pPr>
      <w:keepNext/>
      <w:spacing w:before="120" w:line="240" w:lineRule="auto"/>
      <w:outlineLvl w:val="4"/>
    </w:pPr>
    <w:rPr>
      <w:b/>
      <w:szCs w:val="24"/>
    </w:rPr>
  </w:style>
  <w:style w:type="paragraph" w:customStyle="1" w:styleId="SubPartCASA">
    <w:name w:val="SubPart(CASA)"/>
    <w:aliases w:val="csp"/>
    <w:basedOn w:val="OPCParaBase"/>
    <w:next w:val="ActHead3"/>
    <w:rsid w:val="001217C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217CB"/>
  </w:style>
  <w:style w:type="character" w:customStyle="1" w:styleId="CharSubPartNoCASA">
    <w:name w:val="CharSubPartNo(CASA)"/>
    <w:basedOn w:val="OPCCharBase"/>
    <w:uiPriority w:val="1"/>
    <w:rsid w:val="001217CB"/>
  </w:style>
  <w:style w:type="paragraph" w:customStyle="1" w:styleId="ENoteTTIndentHeadingSub">
    <w:name w:val="ENoteTTIndentHeadingSub"/>
    <w:aliases w:val="enTTHis"/>
    <w:basedOn w:val="OPCParaBase"/>
    <w:rsid w:val="001217CB"/>
    <w:pPr>
      <w:keepNext/>
      <w:spacing w:before="60" w:line="240" w:lineRule="atLeast"/>
      <w:ind w:left="340"/>
    </w:pPr>
    <w:rPr>
      <w:b/>
      <w:sz w:val="16"/>
    </w:rPr>
  </w:style>
  <w:style w:type="paragraph" w:customStyle="1" w:styleId="ENoteTTiSub">
    <w:name w:val="ENoteTTiSub"/>
    <w:aliases w:val="enttis"/>
    <w:basedOn w:val="OPCParaBase"/>
    <w:rsid w:val="001217CB"/>
    <w:pPr>
      <w:keepNext/>
      <w:spacing w:before="60" w:line="240" w:lineRule="atLeast"/>
      <w:ind w:left="340"/>
    </w:pPr>
    <w:rPr>
      <w:sz w:val="16"/>
    </w:rPr>
  </w:style>
  <w:style w:type="paragraph" w:customStyle="1" w:styleId="SubDivisionMigration">
    <w:name w:val="SubDivisionMigration"/>
    <w:aliases w:val="sdm"/>
    <w:basedOn w:val="OPCParaBase"/>
    <w:rsid w:val="001217C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217CB"/>
    <w:pPr>
      <w:keepNext/>
      <w:keepLines/>
      <w:spacing w:before="240" w:line="240" w:lineRule="auto"/>
      <w:ind w:left="1134" w:hanging="1134"/>
    </w:pPr>
    <w:rPr>
      <w:b/>
      <w:sz w:val="28"/>
    </w:rPr>
  </w:style>
  <w:style w:type="table" w:styleId="TableGrid">
    <w:name w:val="Table Grid"/>
    <w:basedOn w:val="TableNormal"/>
    <w:uiPriority w:val="59"/>
    <w:rsid w:val="0012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1217CB"/>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1217C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217CB"/>
    <w:rPr>
      <w:sz w:val="22"/>
    </w:rPr>
  </w:style>
  <w:style w:type="paragraph" w:customStyle="1" w:styleId="SOTextNote">
    <w:name w:val="SO TextNote"/>
    <w:aliases w:val="sont"/>
    <w:basedOn w:val="SOText"/>
    <w:qFormat/>
    <w:rsid w:val="001217CB"/>
    <w:pPr>
      <w:spacing w:before="122" w:line="198" w:lineRule="exact"/>
      <w:ind w:left="1843" w:hanging="709"/>
    </w:pPr>
    <w:rPr>
      <w:sz w:val="18"/>
    </w:rPr>
  </w:style>
  <w:style w:type="paragraph" w:customStyle="1" w:styleId="SOPara">
    <w:name w:val="SO Para"/>
    <w:aliases w:val="soa"/>
    <w:basedOn w:val="SOText"/>
    <w:link w:val="SOParaChar"/>
    <w:qFormat/>
    <w:rsid w:val="001217CB"/>
    <w:pPr>
      <w:tabs>
        <w:tab w:val="right" w:pos="1786"/>
      </w:tabs>
      <w:spacing w:before="40"/>
      <w:ind w:left="2070" w:hanging="936"/>
    </w:pPr>
  </w:style>
  <w:style w:type="character" w:customStyle="1" w:styleId="SOParaChar">
    <w:name w:val="SO Para Char"/>
    <w:aliases w:val="soa Char"/>
    <w:basedOn w:val="DefaultParagraphFont"/>
    <w:link w:val="SOPara"/>
    <w:rsid w:val="001217CB"/>
    <w:rPr>
      <w:sz w:val="22"/>
    </w:rPr>
  </w:style>
  <w:style w:type="paragraph" w:customStyle="1" w:styleId="FileName">
    <w:name w:val="FileName"/>
    <w:basedOn w:val="Normal"/>
    <w:rsid w:val="001217CB"/>
  </w:style>
  <w:style w:type="paragraph" w:customStyle="1" w:styleId="SOHeadBold">
    <w:name w:val="SO HeadBold"/>
    <w:aliases w:val="sohb"/>
    <w:basedOn w:val="SOText"/>
    <w:next w:val="SOText"/>
    <w:link w:val="SOHeadBoldChar"/>
    <w:qFormat/>
    <w:rsid w:val="001217CB"/>
    <w:rPr>
      <w:b/>
    </w:rPr>
  </w:style>
  <w:style w:type="character" w:customStyle="1" w:styleId="SOHeadBoldChar">
    <w:name w:val="SO HeadBold Char"/>
    <w:aliases w:val="sohb Char"/>
    <w:basedOn w:val="DefaultParagraphFont"/>
    <w:link w:val="SOHeadBold"/>
    <w:rsid w:val="001217CB"/>
    <w:rPr>
      <w:b/>
      <w:sz w:val="22"/>
    </w:rPr>
  </w:style>
  <w:style w:type="paragraph" w:customStyle="1" w:styleId="SOHeadItalic">
    <w:name w:val="SO HeadItalic"/>
    <w:aliases w:val="sohi"/>
    <w:basedOn w:val="SOText"/>
    <w:next w:val="SOText"/>
    <w:link w:val="SOHeadItalicChar"/>
    <w:qFormat/>
    <w:rsid w:val="001217CB"/>
    <w:rPr>
      <w:i/>
    </w:rPr>
  </w:style>
  <w:style w:type="character" w:customStyle="1" w:styleId="SOHeadItalicChar">
    <w:name w:val="SO HeadItalic Char"/>
    <w:aliases w:val="sohi Char"/>
    <w:basedOn w:val="DefaultParagraphFont"/>
    <w:link w:val="SOHeadItalic"/>
    <w:rsid w:val="001217CB"/>
    <w:rPr>
      <w:i/>
      <w:sz w:val="22"/>
    </w:rPr>
  </w:style>
  <w:style w:type="paragraph" w:customStyle="1" w:styleId="SOBullet">
    <w:name w:val="SO Bullet"/>
    <w:aliases w:val="sotb"/>
    <w:basedOn w:val="SOText"/>
    <w:link w:val="SOBulletChar"/>
    <w:qFormat/>
    <w:rsid w:val="001217CB"/>
    <w:pPr>
      <w:ind w:left="1559" w:hanging="425"/>
    </w:pPr>
  </w:style>
  <w:style w:type="character" w:customStyle="1" w:styleId="SOBulletChar">
    <w:name w:val="SO Bullet Char"/>
    <w:aliases w:val="sotb Char"/>
    <w:basedOn w:val="DefaultParagraphFont"/>
    <w:link w:val="SOBullet"/>
    <w:rsid w:val="001217CB"/>
    <w:rPr>
      <w:sz w:val="22"/>
    </w:rPr>
  </w:style>
  <w:style w:type="paragraph" w:customStyle="1" w:styleId="SOBulletNote">
    <w:name w:val="SO BulletNote"/>
    <w:aliases w:val="sonb"/>
    <w:basedOn w:val="SOTextNote"/>
    <w:link w:val="SOBulletNoteChar"/>
    <w:qFormat/>
    <w:rsid w:val="001217CB"/>
    <w:pPr>
      <w:tabs>
        <w:tab w:val="left" w:pos="1560"/>
      </w:tabs>
      <w:ind w:left="2268" w:hanging="1134"/>
    </w:pPr>
  </w:style>
  <w:style w:type="character" w:customStyle="1" w:styleId="SOBulletNoteChar">
    <w:name w:val="SO BulletNote Char"/>
    <w:aliases w:val="sonb Char"/>
    <w:basedOn w:val="DefaultParagraphFont"/>
    <w:link w:val="SOBulletNote"/>
    <w:rsid w:val="001217CB"/>
    <w:rPr>
      <w:sz w:val="18"/>
    </w:rPr>
  </w:style>
  <w:style w:type="paragraph" w:customStyle="1" w:styleId="SOText2">
    <w:name w:val="SO Text2"/>
    <w:aliases w:val="sot2"/>
    <w:basedOn w:val="Normal"/>
    <w:next w:val="SOText"/>
    <w:link w:val="SOText2Char"/>
    <w:rsid w:val="001217C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217CB"/>
    <w:rPr>
      <w:sz w:val="22"/>
    </w:rPr>
  </w:style>
  <w:style w:type="paragraph" w:customStyle="1" w:styleId="Transitional">
    <w:name w:val="Transitional"/>
    <w:aliases w:val="tr"/>
    <w:basedOn w:val="ItemHead"/>
    <w:next w:val="Item"/>
    <w:rsid w:val="001217CB"/>
  </w:style>
  <w:style w:type="character" w:customStyle="1" w:styleId="subsectionChar">
    <w:name w:val="subsection Char"/>
    <w:aliases w:val="ss Char"/>
    <w:basedOn w:val="DefaultParagraphFont"/>
    <w:link w:val="subsection"/>
    <w:locked/>
    <w:rsid w:val="001B223E"/>
    <w:rPr>
      <w:rFonts w:eastAsia="Times New Roman" w:cs="Times New Roman"/>
      <w:sz w:val="22"/>
      <w:lang w:eastAsia="en-AU"/>
    </w:rPr>
  </w:style>
  <w:style w:type="character" w:customStyle="1" w:styleId="Heading1Char">
    <w:name w:val="Heading 1 Char"/>
    <w:basedOn w:val="DefaultParagraphFont"/>
    <w:link w:val="Heading1"/>
    <w:uiPriority w:val="9"/>
    <w:rsid w:val="001B22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22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223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B223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B223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B223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B223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B22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B223E"/>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6721CB"/>
    <w:rPr>
      <w:color w:val="0000FF" w:themeColor="hyperlink"/>
      <w:u w:val="single"/>
    </w:rPr>
  </w:style>
  <w:style w:type="character" w:styleId="FollowedHyperlink">
    <w:name w:val="FollowedHyperlink"/>
    <w:basedOn w:val="DefaultParagraphFont"/>
    <w:uiPriority w:val="99"/>
    <w:semiHidden/>
    <w:unhideWhenUsed/>
    <w:rsid w:val="006721CB"/>
    <w:rPr>
      <w:color w:val="0000FF" w:themeColor="hyperlink"/>
      <w:u w:val="single"/>
    </w:rPr>
  </w:style>
  <w:style w:type="paragraph" w:customStyle="1" w:styleId="ClerkBlock">
    <w:name w:val="ClerkBlock"/>
    <w:basedOn w:val="Normal"/>
    <w:rsid w:val="00E071A7"/>
    <w:pPr>
      <w:spacing w:line="200" w:lineRule="atLeast"/>
      <w:ind w:right="3827"/>
    </w:pPr>
    <w:rPr>
      <w:rFonts w:eastAsia="Times New Roman" w:cs="Times New Roman"/>
      <w:sz w:val="20"/>
      <w:lang w:eastAsia="en-AU"/>
    </w:rPr>
  </w:style>
  <w:style w:type="character" w:customStyle="1" w:styleId="paragraphChar">
    <w:name w:val="paragraph Char"/>
    <w:aliases w:val="a Char"/>
    <w:link w:val="paragraph"/>
    <w:locked/>
    <w:rsid w:val="00836719"/>
    <w:rPr>
      <w:rFonts w:eastAsia="Times New Roman" w:cs="Times New Roman"/>
      <w:sz w:val="22"/>
      <w:lang w:eastAsia="en-AU"/>
    </w:rPr>
  </w:style>
  <w:style w:type="paragraph" w:customStyle="1" w:styleId="ShortTP1">
    <w:name w:val="ShortTP1"/>
    <w:basedOn w:val="ShortT"/>
    <w:link w:val="ShortTP1Char"/>
    <w:rsid w:val="00267992"/>
    <w:pPr>
      <w:spacing w:before="800"/>
    </w:pPr>
  </w:style>
  <w:style w:type="character" w:customStyle="1" w:styleId="ShortTP1Char">
    <w:name w:val="ShortTP1 Char"/>
    <w:basedOn w:val="DefaultParagraphFont"/>
    <w:link w:val="ShortTP1"/>
    <w:rsid w:val="00267992"/>
    <w:rPr>
      <w:rFonts w:eastAsia="Times New Roman" w:cs="Times New Roman"/>
      <w:b/>
      <w:sz w:val="40"/>
      <w:lang w:eastAsia="en-AU"/>
    </w:rPr>
  </w:style>
  <w:style w:type="paragraph" w:customStyle="1" w:styleId="ActNoP1">
    <w:name w:val="ActNoP1"/>
    <w:basedOn w:val="Actno"/>
    <w:link w:val="ActNoP1Char"/>
    <w:rsid w:val="00267992"/>
    <w:pPr>
      <w:spacing w:before="800"/>
    </w:pPr>
    <w:rPr>
      <w:sz w:val="28"/>
    </w:rPr>
  </w:style>
  <w:style w:type="character" w:customStyle="1" w:styleId="ActNoP1Char">
    <w:name w:val="ActNoP1 Char"/>
    <w:basedOn w:val="DefaultParagraphFont"/>
    <w:link w:val="ActNoP1"/>
    <w:rsid w:val="00267992"/>
    <w:rPr>
      <w:rFonts w:eastAsia="Times New Roman" w:cs="Times New Roman"/>
      <w:b/>
      <w:sz w:val="28"/>
      <w:lang w:eastAsia="en-AU"/>
    </w:rPr>
  </w:style>
  <w:style w:type="paragraph" w:customStyle="1" w:styleId="AssentBk">
    <w:name w:val="AssentBk"/>
    <w:basedOn w:val="Normal"/>
    <w:rsid w:val="00267992"/>
    <w:pPr>
      <w:spacing w:line="240" w:lineRule="auto"/>
    </w:pPr>
    <w:rPr>
      <w:rFonts w:eastAsia="Times New Roman" w:cs="Times New Roman"/>
      <w:sz w:val="20"/>
      <w:lang w:eastAsia="en-AU"/>
    </w:rPr>
  </w:style>
  <w:style w:type="paragraph" w:customStyle="1" w:styleId="AssentDt">
    <w:name w:val="AssentDt"/>
    <w:basedOn w:val="Normal"/>
    <w:rsid w:val="00A63D4D"/>
    <w:pPr>
      <w:spacing w:line="240" w:lineRule="auto"/>
    </w:pPr>
    <w:rPr>
      <w:rFonts w:eastAsia="Times New Roman" w:cs="Times New Roman"/>
      <w:sz w:val="20"/>
      <w:lang w:eastAsia="en-AU"/>
    </w:rPr>
  </w:style>
  <w:style w:type="paragraph" w:customStyle="1" w:styleId="2ndRd">
    <w:name w:val="2ndRd"/>
    <w:basedOn w:val="Normal"/>
    <w:rsid w:val="00A63D4D"/>
    <w:pPr>
      <w:spacing w:line="240" w:lineRule="auto"/>
    </w:pPr>
    <w:rPr>
      <w:rFonts w:eastAsia="Times New Roman" w:cs="Times New Roman"/>
      <w:sz w:val="20"/>
      <w:lang w:eastAsia="en-AU"/>
    </w:rPr>
  </w:style>
  <w:style w:type="paragraph" w:customStyle="1" w:styleId="ScalePlusRef">
    <w:name w:val="ScalePlusRef"/>
    <w:basedOn w:val="Normal"/>
    <w:rsid w:val="00A63D4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17</Pages>
  <Words>2280</Words>
  <Characters>11830</Characters>
  <Application>Microsoft Office Word</Application>
  <DocSecurity>0</DocSecurity>
  <PresentationFormat/>
  <Lines>369</Lines>
  <Paragraphs>220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2020-01-30T02:18:00Z</cp:lastPrinted>
  <dcterms:created xsi:type="dcterms:W3CDTF">2021-07-01T02:02:00Z</dcterms:created>
  <dcterms:modified xsi:type="dcterms:W3CDTF">2021-07-01T02:52:00Z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National Radioactive Waste Management Amendment (Site Selection, Community Fund and Other Measures) Act 2021</vt:lpwstr>
  </property>
  <property fmtid="{D5CDD505-2E9C-101B-9397-08002B2CF9AE}" pid="5" name="ActNo">
    <vt:lpwstr>No. 59,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OPC7268</vt:lpwstr>
  </property>
  <property fmtid="{D5CDD505-2E9C-101B-9397-08002B2CF9AE}" pid="10" name="DoNotAsk">
    <vt:lpwstr>0</vt:lpwstr>
  </property>
  <property fmtid="{D5CDD505-2E9C-101B-9397-08002B2CF9AE}" pid="11" name="ChangedTitle">
    <vt:lpwstr/>
  </property>
</Properties>
</file>