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2396168"/>
    <w:p w14:paraId="0BBB1C4E" w14:textId="7CEDA2C1" w:rsidR="007B1203" w:rsidRDefault="007B1203" w:rsidP="007B1203">
      <w:r>
        <w:object w:dxaOrig="2146" w:dyaOrig="1561" w14:anchorId="6BA27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75pt" o:ole="" fillcolor="window">
            <v:imagedata r:id="rId8" o:title=""/>
          </v:shape>
          <o:OLEObject Type="Embed" ProgID="Word.Picture.8" ShapeID="_x0000_i1025" DrawAspect="Content" ObjectID="_1692708796" r:id="rId9"/>
        </w:object>
      </w:r>
    </w:p>
    <w:p w14:paraId="298AA8AD" w14:textId="77777777" w:rsidR="007B1203" w:rsidRDefault="007B1203" w:rsidP="007B1203"/>
    <w:p w14:paraId="26945C96" w14:textId="77777777" w:rsidR="007B1203" w:rsidRDefault="007B1203" w:rsidP="007B1203"/>
    <w:p w14:paraId="7DF66EDA" w14:textId="77777777" w:rsidR="007B1203" w:rsidRDefault="007B1203" w:rsidP="007B1203"/>
    <w:p w14:paraId="62475D98" w14:textId="77777777" w:rsidR="007B1203" w:rsidRDefault="007B1203" w:rsidP="007B1203"/>
    <w:p w14:paraId="5E7A29CC" w14:textId="77777777" w:rsidR="007B1203" w:rsidRDefault="007B1203" w:rsidP="007B1203"/>
    <w:p w14:paraId="7E59B866" w14:textId="77777777" w:rsidR="007B1203" w:rsidRDefault="007B1203" w:rsidP="007B1203"/>
    <w:p w14:paraId="31B1DF64" w14:textId="4F5BEB87" w:rsidR="0048364F" w:rsidRPr="00066581" w:rsidRDefault="007B1203" w:rsidP="0048364F">
      <w:pPr>
        <w:pStyle w:val="ShortT"/>
      </w:pPr>
      <w:r>
        <w:t>Fuel Security (Consequential and Transitional Provisions) Act 2021</w:t>
      </w:r>
    </w:p>
    <w:bookmarkEnd w:id="0"/>
    <w:p w14:paraId="0FD3C96F" w14:textId="77777777" w:rsidR="0048364F" w:rsidRPr="00066581" w:rsidRDefault="0048364F" w:rsidP="0048364F"/>
    <w:p w14:paraId="4AE37373" w14:textId="75A9C9F6" w:rsidR="0048364F" w:rsidRPr="00066581" w:rsidRDefault="00C164CA" w:rsidP="007B1203">
      <w:pPr>
        <w:pStyle w:val="Actno"/>
        <w:spacing w:before="400"/>
      </w:pPr>
      <w:r w:rsidRPr="00066581">
        <w:t>No.</w:t>
      </w:r>
      <w:r w:rsidR="00FD2710">
        <w:t xml:space="preserve"> 66</w:t>
      </w:r>
      <w:r w:rsidRPr="00066581">
        <w:t>, 20</w:t>
      </w:r>
      <w:r w:rsidR="009E186E" w:rsidRPr="00066581">
        <w:t>21</w:t>
      </w:r>
    </w:p>
    <w:p w14:paraId="12D0F199" w14:textId="77777777" w:rsidR="0048364F" w:rsidRPr="00066581" w:rsidRDefault="0048364F" w:rsidP="0048364F"/>
    <w:p w14:paraId="6F3561E9" w14:textId="77777777" w:rsidR="00353D4F" w:rsidRDefault="00353D4F" w:rsidP="00353D4F">
      <w:pPr>
        <w:rPr>
          <w:lang w:eastAsia="en-AU"/>
        </w:rPr>
      </w:pPr>
    </w:p>
    <w:p w14:paraId="1B983C51" w14:textId="173F3733" w:rsidR="0048364F" w:rsidRPr="00066581" w:rsidRDefault="0048364F" w:rsidP="0048364F"/>
    <w:p w14:paraId="3A4EB389" w14:textId="77777777" w:rsidR="0048364F" w:rsidRPr="00066581" w:rsidRDefault="0048364F" w:rsidP="0048364F"/>
    <w:p w14:paraId="784A6CE0" w14:textId="77777777" w:rsidR="0048364F" w:rsidRPr="00066581" w:rsidRDefault="0048364F" w:rsidP="0048364F"/>
    <w:p w14:paraId="6062506F" w14:textId="77777777" w:rsidR="007B1203" w:rsidRDefault="007B1203" w:rsidP="007B1203">
      <w:pPr>
        <w:pStyle w:val="LongT"/>
      </w:pPr>
      <w:r>
        <w:t xml:space="preserve">An Act to deal with consequential and transitional matters arising from the enactment of the </w:t>
      </w:r>
      <w:r w:rsidRPr="007B1203">
        <w:rPr>
          <w:i/>
        </w:rPr>
        <w:t>Fuel Security Act 2021</w:t>
      </w:r>
      <w:r>
        <w:t>, and for related purposes</w:t>
      </w:r>
    </w:p>
    <w:p w14:paraId="5D8D6F33" w14:textId="1467778E" w:rsidR="0048364F" w:rsidRPr="00066581" w:rsidRDefault="0048364F" w:rsidP="0048364F">
      <w:pPr>
        <w:pStyle w:val="Header"/>
        <w:tabs>
          <w:tab w:val="clear" w:pos="4150"/>
          <w:tab w:val="clear" w:pos="8307"/>
        </w:tabs>
      </w:pPr>
      <w:r w:rsidRPr="00066581">
        <w:rPr>
          <w:rStyle w:val="CharAmSchNo"/>
        </w:rPr>
        <w:t xml:space="preserve"> </w:t>
      </w:r>
      <w:r w:rsidRPr="00066581">
        <w:rPr>
          <w:rStyle w:val="CharAmSchText"/>
        </w:rPr>
        <w:t xml:space="preserve"> </w:t>
      </w:r>
    </w:p>
    <w:p w14:paraId="15EFE214" w14:textId="77777777" w:rsidR="0048364F" w:rsidRPr="00066581" w:rsidRDefault="0048364F" w:rsidP="0048364F">
      <w:pPr>
        <w:pStyle w:val="Header"/>
        <w:tabs>
          <w:tab w:val="clear" w:pos="4150"/>
          <w:tab w:val="clear" w:pos="8307"/>
        </w:tabs>
      </w:pPr>
      <w:r w:rsidRPr="00066581">
        <w:rPr>
          <w:rStyle w:val="CharAmPartNo"/>
        </w:rPr>
        <w:t xml:space="preserve"> </w:t>
      </w:r>
      <w:r w:rsidRPr="00066581">
        <w:rPr>
          <w:rStyle w:val="CharAmPartText"/>
        </w:rPr>
        <w:t xml:space="preserve"> </w:t>
      </w:r>
    </w:p>
    <w:p w14:paraId="2EC0D7FB" w14:textId="77777777" w:rsidR="0048364F" w:rsidRPr="00066581" w:rsidRDefault="0048364F" w:rsidP="0048364F">
      <w:pPr>
        <w:sectPr w:rsidR="0048364F" w:rsidRPr="00066581" w:rsidSect="007B120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372A934C" w14:textId="77777777" w:rsidR="0048364F" w:rsidRPr="00066581" w:rsidRDefault="0048364F" w:rsidP="0048364F">
      <w:pPr>
        <w:outlineLvl w:val="0"/>
        <w:rPr>
          <w:sz w:val="36"/>
        </w:rPr>
      </w:pPr>
      <w:r w:rsidRPr="00066581">
        <w:rPr>
          <w:sz w:val="36"/>
        </w:rPr>
        <w:lastRenderedPageBreak/>
        <w:t>Contents</w:t>
      </w:r>
    </w:p>
    <w:p w14:paraId="3EEDFB37" w14:textId="1A47CA0B" w:rsidR="006A5C4D" w:rsidRDefault="006A5C4D">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6A5C4D">
        <w:rPr>
          <w:noProof/>
        </w:rPr>
        <w:tab/>
      </w:r>
      <w:r w:rsidRPr="006A5C4D">
        <w:rPr>
          <w:noProof/>
        </w:rPr>
        <w:fldChar w:fldCharType="begin"/>
      </w:r>
      <w:r w:rsidRPr="006A5C4D">
        <w:rPr>
          <w:noProof/>
        </w:rPr>
        <w:instrText xml:space="preserve"> PAGEREF _Toc76034111 \h </w:instrText>
      </w:r>
      <w:r w:rsidRPr="006A5C4D">
        <w:rPr>
          <w:noProof/>
        </w:rPr>
      </w:r>
      <w:r w:rsidRPr="006A5C4D">
        <w:rPr>
          <w:noProof/>
        </w:rPr>
        <w:fldChar w:fldCharType="separate"/>
      </w:r>
      <w:r w:rsidR="00513F63">
        <w:rPr>
          <w:noProof/>
        </w:rPr>
        <w:t>1</w:t>
      </w:r>
      <w:r w:rsidRPr="006A5C4D">
        <w:rPr>
          <w:noProof/>
        </w:rPr>
        <w:fldChar w:fldCharType="end"/>
      </w:r>
    </w:p>
    <w:p w14:paraId="4ACB39EE" w14:textId="6B5B07FC" w:rsidR="006A5C4D" w:rsidRDefault="006A5C4D">
      <w:pPr>
        <w:pStyle w:val="TOC5"/>
        <w:rPr>
          <w:rFonts w:asciiTheme="minorHAnsi" w:eastAsiaTheme="minorEastAsia" w:hAnsiTheme="minorHAnsi" w:cstheme="minorBidi"/>
          <w:noProof/>
          <w:kern w:val="0"/>
          <w:sz w:val="22"/>
          <w:szCs w:val="22"/>
        </w:rPr>
      </w:pPr>
      <w:r>
        <w:rPr>
          <w:noProof/>
        </w:rPr>
        <w:t>2</w:t>
      </w:r>
      <w:r>
        <w:rPr>
          <w:noProof/>
        </w:rPr>
        <w:tab/>
        <w:t>Commencement</w:t>
      </w:r>
      <w:r w:rsidRPr="006A5C4D">
        <w:rPr>
          <w:noProof/>
        </w:rPr>
        <w:tab/>
      </w:r>
      <w:r w:rsidRPr="006A5C4D">
        <w:rPr>
          <w:noProof/>
        </w:rPr>
        <w:fldChar w:fldCharType="begin"/>
      </w:r>
      <w:r w:rsidRPr="006A5C4D">
        <w:rPr>
          <w:noProof/>
        </w:rPr>
        <w:instrText xml:space="preserve"> PAGEREF _Toc76034112 \h </w:instrText>
      </w:r>
      <w:r w:rsidRPr="006A5C4D">
        <w:rPr>
          <w:noProof/>
        </w:rPr>
      </w:r>
      <w:r w:rsidRPr="006A5C4D">
        <w:rPr>
          <w:noProof/>
        </w:rPr>
        <w:fldChar w:fldCharType="separate"/>
      </w:r>
      <w:r w:rsidR="00513F63">
        <w:rPr>
          <w:noProof/>
        </w:rPr>
        <w:t>2</w:t>
      </w:r>
      <w:r w:rsidRPr="006A5C4D">
        <w:rPr>
          <w:noProof/>
        </w:rPr>
        <w:fldChar w:fldCharType="end"/>
      </w:r>
    </w:p>
    <w:p w14:paraId="717A4E34" w14:textId="3C60F6CF" w:rsidR="006A5C4D" w:rsidRDefault="006A5C4D">
      <w:pPr>
        <w:pStyle w:val="TOC5"/>
        <w:rPr>
          <w:rFonts w:asciiTheme="minorHAnsi" w:eastAsiaTheme="minorEastAsia" w:hAnsiTheme="minorHAnsi" w:cstheme="minorBidi"/>
          <w:noProof/>
          <w:kern w:val="0"/>
          <w:sz w:val="22"/>
          <w:szCs w:val="22"/>
        </w:rPr>
      </w:pPr>
      <w:r>
        <w:rPr>
          <w:noProof/>
        </w:rPr>
        <w:t>3</w:t>
      </w:r>
      <w:r>
        <w:rPr>
          <w:noProof/>
        </w:rPr>
        <w:tab/>
        <w:t>Schedules</w:t>
      </w:r>
      <w:r w:rsidRPr="006A5C4D">
        <w:rPr>
          <w:noProof/>
        </w:rPr>
        <w:tab/>
      </w:r>
      <w:r w:rsidRPr="006A5C4D">
        <w:rPr>
          <w:noProof/>
        </w:rPr>
        <w:fldChar w:fldCharType="begin"/>
      </w:r>
      <w:r w:rsidRPr="006A5C4D">
        <w:rPr>
          <w:noProof/>
        </w:rPr>
        <w:instrText xml:space="preserve"> PAGEREF _Toc76034113 \h </w:instrText>
      </w:r>
      <w:r w:rsidRPr="006A5C4D">
        <w:rPr>
          <w:noProof/>
        </w:rPr>
      </w:r>
      <w:r w:rsidRPr="006A5C4D">
        <w:rPr>
          <w:noProof/>
        </w:rPr>
        <w:fldChar w:fldCharType="separate"/>
      </w:r>
      <w:r w:rsidR="00513F63">
        <w:rPr>
          <w:noProof/>
        </w:rPr>
        <w:t>3</w:t>
      </w:r>
      <w:r w:rsidRPr="006A5C4D">
        <w:rPr>
          <w:noProof/>
        </w:rPr>
        <w:fldChar w:fldCharType="end"/>
      </w:r>
    </w:p>
    <w:p w14:paraId="7C170C8F" w14:textId="044AA0A5" w:rsidR="006A5C4D" w:rsidRDefault="006A5C4D">
      <w:pPr>
        <w:pStyle w:val="TOC6"/>
        <w:rPr>
          <w:rFonts w:asciiTheme="minorHAnsi" w:eastAsiaTheme="minorEastAsia" w:hAnsiTheme="minorHAnsi" w:cstheme="minorBidi"/>
          <w:b w:val="0"/>
          <w:noProof/>
          <w:kern w:val="0"/>
          <w:sz w:val="22"/>
          <w:szCs w:val="22"/>
        </w:rPr>
      </w:pPr>
      <w:r>
        <w:rPr>
          <w:noProof/>
        </w:rPr>
        <w:t>Schedule 1—Consequential amendments</w:t>
      </w:r>
      <w:r w:rsidRPr="006A5C4D">
        <w:rPr>
          <w:b w:val="0"/>
          <w:noProof/>
          <w:sz w:val="18"/>
        </w:rPr>
        <w:tab/>
      </w:r>
      <w:r w:rsidRPr="006A5C4D">
        <w:rPr>
          <w:b w:val="0"/>
          <w:noProof/>
          <w:sz w:val="18"/>
        </w:rPr>
        <w:fldChar w:fldCharType="begin"/>
      </w:r>
      <w:r w:rsidRPr="006A5C4D">
        <w:rPr>
          <w:b w:val="0"/>
          <w:noProof/>
          <w:sz w:val="18"/>
        </w:rPr>
        <w:instrText xml:space="preserve"> PAGEREF _Toc76034114 \h </w:instrText>
      </w:r>
      <w:r w:rsidRPr="006A5C4D">
        <w:rPr>
          <w:b w:val="0"/>
          <w:noProof/>
          <w:sz w:val="18"/>
        </w:rPr>
      </w:r>
      <w:r w:rsidRPr="006A5C4D">
        <w:rPr>
          <w:b w:val="0"/>
          <w:noProof/>
          <w:sz w:val="18"/>
        </w:rPr>
        <w:fldChar w:fldCharType="separate"/>
      </w:r>
      <w:r w:rsidR="00513F63">
        <w:rPr>
          <w:b w:val="0"/>
          <w:noProof/>
          <w:sz w:val="18"/>
        </w:rPr>
        <w:t>4</w:t>
      </w:r>
      <w:r w:rsidRPr="006A5C4D">
        <w:rPr>
          <w:b w:val="0"/>
          <w:noProof/>
          <w:sz w:val="18"/>
        </w:rPr>
        <w:fldChar w:fldCharType="end"/>
      </w:r>
    </w:p>
    <w:p w14:paraId="1B49CAE7" w14:textId="5E10C2BB" w:rsidR="006A5C4D" w:rsidRDefault="006A5C4D">
      <w:pPr>
        <w:pStyle w:val="TOC7"/>
        <w:rPr>
          <w:rFonts w:asciiTheme="minorHAnsi" w:eastAsiaTheme="minorEastAsia" w:hAnsiTheme="minorHAnsi" w:cstheme="minorBidi"/>
          <w:noProof/>
          <w:kern w:val="0"/>
          <w:sz w:val="22"/>
          <w:szCs w:val="22"/>
        </w:rPr>
      </w:pPr>
      <w:r>
        <w:rPr>
          <w:noProof/>
        </w:rPr>
        <w:t>Part 1—Main consequential amendments</w:t>
      </w:r>
      <w:r w:rsidRPr="006A5C4D">
        <w:rPr>
          <w:noProof/>
          <w:sz w:val="18"/>
        </w:rPr>
        <w:tab/>
      </w:r>
      <w:r w:rsidRPr="006A5C4D">
        <w:rPr>
          <w:noProof/>
          <w:sz w:val="18"/>
        </w:rPr>
        <w:fldChar w:fldCharType="begin"/>
      </w:r>
      <w:r w:rsidRPr="006A5C4D">
        <w:rPr>
          <w:noProof/>
          <w:sz w:val="18"/>
        </w:rPr>
        <w:instrText xml:space="preserve"> PAGEREF _Toc76034115 \h </w:instrText>
      </w:r>
      <w:r w:rsidRPr="006A5C4D">
        <w:rPr>
          <w:noProof/>
          <w:sz w:val="18"/>
        </w:rPr>
      </w:r>
      <w:r w:rsidRPr="006A5C4D">
        <w:rPr>
          <w:noProof/>
          <w:sz w:val="18"/>
        </w:rPr>
        <w:fldChar w:fldCharType="separate"/>
      </w:r>
      <w:r w:rsidR="00513F63">
        <w:rPr>
          <w:noProof/>
          <w:sz w:val="18"/>
        </w:rPr>
        <w:t>4</w:t>
      </w:r>
      <w:r w:rsidRPr="006A5C4D">
        <w:rPr>
          <w:noProof/>
          <w:sz w:val="18"/>
        </w:rPr>
        <w:fldChar w:fldCharType="end"/>
      </w:r>
    </w:p>
    <w:p w14:paraId="78F9CA9E" w14:textId="02A2510E" w:rsidR="006A5C4D" w:rsidRDefault="006A5C4D">
      <w:pPr>
        <w:pStyle w:val="TOC9"/>
        <w:rPr>
          <w:rFonts w:asciiTheme="minorHAnsi" w:eastAsiaTheme="minorEastAsia" w:hAnsiTheme="minorHAnsi" w:cstheme="minorBidi"/>
          <w:i w:val="0"/>
          <w:noProof/>
          <w:kern w:val="0"/>
          <w:sz w:val="22"/>
          <w:szCs w:val="22"/>
        </w:rPr>
      </w:pPr>
      <w:r>
        <w:rPr>
          <w:noProof/>
        </w:rPr>
        <w:t>Competition and Consumer Act 2010</w:t>
      </w:r>
      <w:r w:rsidRPr="006A5C4D">
        <w:rPr>
          <w:i w:val="0"/>
          <w:noProof/>
          <w:sz w:val="18"/>
        </w:rPr>
        <w:tab/>
      </w:r>
      <w:r w:rsidRPr="006A5C4D">
        <w:rPr>
          <w:i w:val="0"/>
          <w:noProof/>
          <w:sz w:val="18"/>
        </w:rPr>
        <w:fldChar w:fldCharType="begin"/>
      </w:r>
      <w:r w:rsidRPr="006A5C4D">
        <w:rPr>
          <w:i w:val="0"/>
          <w:noProof/>
          <w:sz w:val="18"/>
        </w:rPr>
        <w:instrText xml:space="preserve"> PAGEREF _Toc76034116 \h </w:instrText>
      </w:r>
      <w:r w:rsidRPr="006A5C4D">
        <w:rPr>
          <w:i w:val="0"/>
          <w:noProof/>
          <w:sz w:val="18"/>
        </w:rPr>
      </w:r>
      <w:r w:rsidRPr="006A5C4D">
        <w:rPr>
          <w:i w:val="0"/>
          <w:noProof/>
          <w:sz w:val="18"/>
        </w:rPr>
        <w:fldChar w:fldCharType="separate"/>
      </w:r>
      <w:r w:rsidR="00513F63">
        <w:rPr>
          <w:i w:val="0"/>
          <w:noProof/>
          <w:sz w:val="18"/>
        </w:rPr>
        <w:t>4</w:t>
      </w:r>
      <w:r w:rsidRPr="006A5C4D">
        <w:rPr>
          <w:i w:val="0"/>
          <w:noProof/>
          <w:sz w:val="18"/>
        </w:rPr>
        <w:fldChar w:fldCharType="end"/>
      </w:r>
    </w:p>
    <w:p w14:paraId="21DF1346" w14:textId="764E6EE6" w:rsidR="006A5C4D" w:rsidRDefault="006A5C4D">
      <w:pPr>
        <w:pStyle w:val="TOC9"/>
        <w:rPr>
          <w:rFonts w:asciiTheme="minorHAnsi" w:eastAsiaTheme="minorEastAsia" w:hAnsiTheme="minorHAnsi" w:cstheme="minorBidi"/>
          <w:i w:val="0"/>
          <w:noProof/>
          <w:kern w:val="0"/>
          <w:sz w:val="22"/>
          <w:szCs w:val="22"/>
        </w:rPr>
      </w:pPr>
      <w:r>
        <w:rPr>
          <w:noProof/>
        </w:rPr>
        <w:t>Fuel Quality Standards Act 2000</w:t>
      </w:r>
      <w:r w:rsidRPr="006A5C4D">
        <w:rPr>
          <w:i w:val="0"/>
          <w:noProof/>
          <w:sz w:val="18"/>
        </w:rPr>
        <w:tab/>
      </w:r>
      <w:r w:rsidRPr="006A5C4D">
        <w:rPr>
          <w:i w:val="0"/>
          <w:noProof/>
          <w:sz w:val="18"/>
        </w:rPr>
        <w:fldChar w:fldCharType="begin"/>
      </w:r>
      <w:r w:rsidRPr="006A5C4D">
        <w:rPr>
          <w:i w:val="0"/>
          <w:noProof/>
          <w:sz w:val="18"/>
        </w:rPr>
        <w:instrText xml:space="preserve"> PAGEREF _Toc76034117 \h </w:instrText>
      </w:r>
      <w:r w:rsidRPr="006A5C4D">
        <w:rPr>
          <w:i w:val="0"/>
          <w:noProof/>
          <w:sz w:val="18"/>
        </w:rPr>
      </w:r>
      <w:r w:rsidRPr="006A5C4D">
        <w:rPr>
          <w:i w:val="0"/>
          <w:noProof/>
          <w:sz w:val="18"/>
        </w:rPr>
        <w:fldChar w:fldCharType="separate"/>
      </w:r>
      <w:r w:rsidR="00513F63">
        <w:rPr>
          <w:i w:val="0"/>
          <w:noProof/>
          <w:sz w:val="18"/>
        </w:rPr>
        <w:t>4</w:t>
      </w:r>
      <w:r w:rsidRPr="006A5C4D">
        <w:rPr>
          <w:i w:val="0"/>
          <w:noProof/>
          <w:sz w:val="18"/>
        </w:rPr>
        <w:fldChar w:fldCharType="end"/>
      </w:r>
    </w:p>
    <w:p w14:paraId="05F33249" w14:textId="649D14A2" w:rsidR="006A5C4D" w:rsidRDefault="006A5C4D">
      <w:pPr>
        <w:pStyle w:val="TOC9"/>
        <w:rPr>
          <w:rFonts w:asciiTheme="minorHAnsi" w:eastAsiaTheme="minorEastAsia" w:hAnsiTheme="minorHAnsi" w:cstheme="minorBidi"/>
          <w:i w:val="0"/>
          <w:noProof/>
          <w:kern w:val="0"/>
          <w:sz w:val="22"/>
          <w:szCs w:val="22"/>
        </w:rPr>
      </w:pPr>
      <w:r>
        <w:rPr>
          <w:noProof/>
        </w:rPr>
        <w:t>Petroleum and Other Fuels Reporting Act 2017</w:t>
      </w:r>
      <w:r w:rsidRPr="006A5C4D">
        <w:rPr>
          <w:i w:val="0"/>
          <w:noProof/>
          <w:sz w:val="18"/>
        </w:rPr>
        <w:tab/>
      </w:r>
      <w:r w:rsidRPr="006A5C4D">
        <w:rPr>
          <w:i w:val="0"/>
          <w:noProof/>
          <w:sz w:val="18"/>
        </w:rPr>
        <w:fldChar w:fldCharType="begin"/>
      </w:r>
      <w:r w:rsidRPr="006A5C4D">
        <w:rPr>
          <w:i w:val="0"/>
          <w:noProof/>
          <w:sz w:val="18"/>
        </w:rPr>
        <w:instrText xml:space="preserve"> PAGEREF _Toc76034118 \h </w:instrText>
      </w:r>
      <w:r w:rsidRPr="006A5C4D">
        <w:rPr>
          <w:i w:val="0"/>
          <w:noProof/>
          <w:sz w:val="18"/>
        </w:rPr>
      </w:r>
      <w:r w:rsidRPr="006A5C4D">
        <w:rPr>
          <w:i w:val="0"/>
          <w:noProof/>
          <w:sz w:val="18"/>
        </w:rPr>
        <w:fldChar w:fldCharType="separate"/>
      </w:r>
      <w:r w:rsidR="00513F63">
        <w:rPr>
          <w:i w:val="0"/>
          <w:noProof/>
          <w:sz w:val="18"/>
        </w:rPr>
        <w:t>4</w:t>
      </w:r>
      <w:r w:rsidRPr="006A5C4D">
        <w:rPr>
          <w:i w:val="0"/>
          <w:noProof/>
          <w:sz w:val="18"/>
        </w:rPr>
        <w:fldChar w:fldCharType="end"/>
      </w:r>
    </w:p>
    <w:p w14:paraId="194375EE" w14:textId="5E5FC1C1" w:rsidR="006A5C4D" w:rsidRDefault="006A5C4D">
      <w:pPr>
        <w:pStyle w:val="TOC9"/>
        <w:rPr>
          <w:rFonts w:asciiTheme="minorHAnsi" w:eastAsiaTheme="minorEastAsia" w:hAnsiTheme="minorHAnsi" w:cstheme="minorBidi"/>
          <w:i w:val="0"/>
          <w:noProof/>
          <w:kern w:val="0"/>
          <w:sz w:val="22"/>
          <w:szCs w:val="22"/>
        </w:rPr>
      </w:pPr>
      <w:r>
        <w:rPr>
          <w:noProof/>
        </w:rPr>
        <w:t>Taxation Administration Act 1953</w:t>
      </w:r>
      <w:r w:rsidRPr="006A5C4D">
        <w:rPr>
          <w:i w:val="0"/>
          <w:noProof/>
          <w:sz w:val="18"/>
        </w:rPr>
        <w:tab/>
      </w:r>
      <w:r w:rsidRPr="006A5C4D">
        <w:rPr>
          <w:i w:val="0"/>
          <w:noProof/>
          <w:sz w:val="18"/>
        </w:rPr>
        <w:fldChar w:fldCharType="begin"/>
      </w:r>
      <w:r w:rsidRPr="006A5C4D">
        <w:rPr>
          <w:i w:val="0"/>
          <w:noProof/>
          <w:sz w:val="18"/>
        </w:rPr>
        <w:instrText xml:space="preserve"> PAGEREF _Toc76034123 \h </w:instrText>
      </w:r>
      <w:r w:rsidRPr="006A5C4D">
        <w:rPr>
          <w:i w:val="0"/>
          <w:noProof/>
          <w:sz w:val="18"/>
        </w:rPr>
      </w:r>
      <w:r w:rsidRPr="006A5C4D">
        <w:rPr>
          <w:i w:val="0"/>
          <w:noProof/>
          <w:sz w:val="18"/>
        </w:rPr>
        <w:fldChar w:fldCharType="separate"/>
      </w:r>
      <w:r w:rsidR="00513F63">
        <w:rPr>
          <w:i w:val="0"/>
          <w:noProof/>
          <w:sz w:val="18"/>
        </w:rPr>
        <w:t>9</w:t>
      </w:r>
      <w:r w:rsidRPr="006A5C4D">
        <w:rPr>
          <w:i w:val="0"/>
          <w:noProof/>
          <w:sz w:val="18"/>
        </w:rPr>
        <w:fldChar w:fldCharType="end"/>
      </w:r>
    </w:p>
    <w:p w14:paraId="4C0FF424" w14:textId="792D1AF1" w:rsidR="006A5C4D" w:rsidRDefault="006A5C4D">
      <w:pPr>
        <w:pStyle w:val="TOC7"/>
        <w:rPr>
          <w:rFonts w:asciiTheme="minorHAnsi" w:eastAsiaTheme="minorEastAsia" w:hAnsiTheme="minorHAnsi" w:cstheme="minorBidi"/>
          <w:noProof/>
          <w:kern w:val="0"/>
          <w:sz w:val="22"/>
          <w:szCs w:val="22"/>
        </w:rPr>
      </w:pPr>
      <w:r>
        <w:rPr>
          <w:noProof/>
        </w:rPr>
        <w:t>Part 2—Consequential amendments relating to the Federal Circuit and Family Court of Australia Act 2021</w:t>
      </w:r>
      <w:r w:rsidRPr="006A5C4D">
        <w:rPr>
          <w:noProof/>
          <w:sz w:val="18"/>
        </w:rPr>
        <w:tab/>
      </w:r>
      <w:r w:rsidRPr="006A5C4D">
        <w:rPr>
          <w:noProof/>
          <w:sz w:val="18"/>
        </w:rPr>
        <w:fldChar w:fldCharType="begin"/>
      </w:r>
      <w:r w:rsidRPr="006A5C4D">
        <w:rPr>
          <w:noProof/>
          <w:sz w:val="18"/>
        </w:rPr>
        <w:instrText xml:space="preserve"> PAGEREF _Toc76034124 \h </w:instrText>
      </w:r>
      <w:r w:rsidRPr="006A5C4D">
        <w:rPr>
          <w:noProof/>
          <w:sz w:val="18"/>
        </w:rPr>
      </w:r>
      <w:r w:rsidRPr="006A5C4D">
        <w:rPr>
          <w:noProof/>
          <w:sz w:val="18"/>
        </w:rPr>
        <w:fldChar w:fldCharType="separate"/>
      </w:r>
      <w:r w:rsidR="00513F63">
        <w:rPr>
          <w:noProof/>
          <w:sz w:val="18"/>
        </w:rPr>
        <w:t>10</w:t>
      </w:r>
      <w:r w:rsidRPr="006A5C4D">
        <w:rPr>
          <w:noProof/>
          <w:sz w:val="18"/>
        </w:rPr>
        <w:fldChar w:fldCharType="end"/>
      </w:r>
    </w:p>
    <w:p w14:paraId="1B15EA43" w14:textId="1E7D1EC2" w:rsidR="006A5C4D" w:rsidRDefault="006A5C4D">
      <w:pPr>
        <w:pStyle w:val="TOC9"/>
        <w:rPr>
          <w:rFonts w:asciiTheme="minorHAnsi" w:eastAsiaTheme="minorEastAsia" w:hAnsiTheme="minorHAnsi" w:cstheme="minorBidi"/>
          <w:i w:val="0"/>
          <w:noProof/>
          <w:kern w:val="0"/>
          <w:sz w:val="22"/>
          <w:szCs w:val="22"/>
        </w:rPr>
      </w:pPr>
      <w:r>
        <w:rPr>
          <w:noProof/>
        </w:rPr>
        <w:t>Fuel Security Act 2021</w:t>
      </w:r>
      <w:r w:rsidRPr="006A5C4D">
        <w:rPr>
          <w:i w:val="0"/>
          <w:noProof/>
          <w:sz w:val="18"/>
        </w:rPr>
        <w:tab/>
      </w:r>
      <w:r w:rsidRPr="006A5C4D">
        <w:rPr>
          <w:i w:val="0"/>
          <w:noProof/>
          <w:sz w:val="18"/>
        </w:rPr>
        <w:fldChar w:fldCharType="begin"/>
      </w:r>
      <w:r w:rsidRPr="006A5C4D">
        <w:rPr>
          <w:i w:val="0"/>
          <w:noProof/>
          <w:sz w:val="18"/>
        </w:rPr>
        <w:instrText xml:space="preserve"> PAGEREF _Toc76034125 \h </w:instrText>
      </w:r>
      <w:r w:rsidRPr="006A5C4D">
        <w:rPr>
          <w:i w:val="0"/>
          <w:noProof/>
          <w:sz w:val="18"/>
        </w:rPr>
      </w:r>
      <w:r w:rsidRPr="006A5C4D">
        <w:rPr>
          <w:i w:val="0"/>
          <w:noProof/>
          <w:sz w:val="18"/>
        </w:rPr>
        <w:fldChar w:fldCharType="separate"/>
      </w:r>
      <w:r w:rsidR="00513F63">
        <w:rPr>
          <w:i w:val="0"/>
          <w:noProof/>
          <w:sz w:val="18"/>
        </w:rPr>
        <w:t>10</w:t>
      </w:r>
      <w:r w:rsidRPr="006A5C4D">
        <w:rPr>
          <w:i w:val="0"/>
          <w:noProof/>
          <w:sz w:val="18"/>
        </w:rPr>
        <w:fldChar w:fldCharType="end"/>
      </w:r>
    </w:p>
    <w:p w14:paraId="32C8D65F" w14:textId="5EBF18A5" w:rsidR="006A5C4D" w:rsidRDefault="006A5C4D">
      <w:pPr>
        <w:pStyle w:val="TOC6"/>
        <w:rPr>
          <w:rFonts w:asciiTheme="minorHAnsi" w:eastAsiaTheme="minorEastAsia" w:hAnsiTheme="minorHAnsi" w:cstheme="minorBidi"/>
          <w:b w:val="0"/>
          <w:noProof/>
          <w:kern w:val="0"/>
          <w:sz w:val="22"/>
          <w:szCs w:val="22"/>
        </w:rPr>
      </w:pPr>
      <w:r>
        <w:rPr>
          <w:noProof/>
        </w:rPr>
        <w:t>Schedule 2—Transitional provisions</w:t>
      </w:r>
      <w:r w:rsidRPr="006A5C4D">
        <w:rPr>
          <w:b w:val="0"/>
          <w:noProof/>
          <w:sz w:val="18"/>
        </w:rPr>
        <w:tab/>
      </w:r>
      <w:r w:rsidRPr="006A5C4D">
        <w:rPr>
          <w:b w:val="0"/>
          <w:noProof/>
          <w:sz w:val="18"/>
        </w:rPr>
        <w:fldChar w:fldCharType="begin"/>
      </w:r>
      <w:r w:rsidRPr="006A5C4D">
        <w:rPr>
          <w:b w:val="0"/>
          <w:noProof/>
          <w:sz w:val="18"/>
        </w:rPr>
        <w:instrText xml:space="preserve"> PAGEREF _Toc76034126 \h </w:instrText>
      </w:r>
      <w:r w:rsidRPr="006A5C4D">
        <w:rPr>
          <w:b w:val="0"/>
          <w:noProof/>
          <w:sz w:val="18"/>
        </w:rPr>
      </w:r>
      <w:r w:rsidRPr="006A5C4D">
        <w:rPr>
          <w:b w:val="0"/>
          <w:noProof/>
          <w:sz w:val="18"/>
        </w:rPr>
        <w:fldChar w:fldCharType="separate"/>
      </w:r>
      <w:r w:rsidR="00513F63">
        <w:rPr>
          <w:b w:val="0"/>
          <w:noProof/>
          <w:sz w:val="18"/>
        </w:rPr>
        <w:t>12</w:t>
      </w:r>
      <w:r w:rsidRPr="006A5C4D">
        <w:rPr>
          <w:b w:val="0"/>
          <w:noProof/>
          <w:sz w:val="18"/>
        </w:rPr>
        <w:fldChar w:fldCharType="end"/>
      </w:r>
    </w:p>
    <w:p w14:paraId="4BF732F5" w14:textId="16A7B99D" w:rsidR="00060FF9" w:rsidRPr="00FD2710" w:rsidRDefault="006A5C4D" w:rsidP="0048364F">
      <w:pPr>
        <w:rPr>
          <w:rFonts w:cs="Times New Roman"/>
          <w:sz w:val="18"/>
        </w:rPr>
      </w:pPr>
      <w:r>
        <w:rPr>
          <w:rFonts w:cs="Times New Roman"/>
          <w:sz w:val="18"/>
        </w:rPr>
        <w:fldChar w:fldCharType="end"/>
      </w:r>
    </w:p>
    <w:p w14:paraId="656AC7CE" w14:textId="77777777" w:rsidR="00FE7F93" w:rsidRPr="00066581" w:rsidRDefault="00FE7F93" w:rsidP="0048364F">
      <w:pPr>
        <w:sectPr w:rsidR="00FE7F93" w:rsidRPr="00066581" w:rsidSect="007B120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44A56DE6" w14:textId="77777777" w:rsidR="007B1203" w:rsidRDefault="007B1203">
      <w:r>
        <w:object w:dxaOrig="2146" w:dyaOrig="1561" w14:anchorId="378D593E">
          <v:shape id="_x0000_i1026" type="#_x0000_t75" alt="Commonwealth Coat of Arms of Australia" style="width:109.5pt;height:80.25pt" o:ole="" fillcolor="window">
            <v:imagedata r:id="rId8" o:title=""/>
          </v:shape>
          <o:OLEObject Type="Embed" ProgID="Word.Picture.8" ShapeID="_x0000_i1026" DrawAspect="Content" ObjectID="_1692708797" r:id="rId21"/>
        </w:object>
      </w:r>
    </w:p>
    <w:p w14:paraId="1975EA3F" w14:textId="77777777" w:rsidR="007B1203" w:rsidRDefault="007B1203"/>
    <w:p w14:paraId="5BA8369F" w14:textId="77777777" w:rsidR="007B1203" w:rsidRDefault="007B1203" w:rsidP="000178F8">
      <w:pPr>
        <w:spacing w:line="240" w:lineRule="auto"/>
      </w:pPr>
    </w:p>
    <w:p w14:paraId="5F445364" w14:textId="70F134F3" w:rsidR="007B1203" w:rsidRDefault="00513F63" w:rsidP="000178F8">
      <w:pPr>
        <w:pStyle w:val="ShortTP1"/>
      </w:pPr>
      <w:fldSimple w:instr=" STYLEREF ShortT ">
        <w:r>
          <w:rPr>
            <w:noProof/>
          </w:rPr>
          <w:t>Fuel Security (Consequential and Transitional Provisions) Act 2021</w:t>
        </w:r>
      </w:fldSimple>
    </w:p>
    <w:p w14:paraId="5B40172A" w14:textId="5B9AD8C6" w:rsidR="007B1203" w:rsidRDefault="00513F63" w:rsidP="000178F8">
      <w:pPr>
        <w:pStyle w:val="ActNoP1"/>
      </w:pPr>
      <w:fldSimple w:instr=" STYLEREF Actno ">
        <w:r>
          <w:rPr>
            <w:noProof/>
          </w:rPr>
          <w:t>No. 66, 2021</w:t>
        </w:r>
      </w:fldSimple>
    </w:p>
    <w:p w14:paraId="44C59F6B" w14:textId="77777777" w:rsidR="007B1203" w:rsidRPr="009A0728" w:rsidRDefault="007B1203" w:rsidP="009A0728">
      <w:pPr>
        <w:pBdr>
          <w:bottom w:val="single" w:sz="6" w:space="0" w:color="auto"/>
        </w:pBdr>
        <w:spacing w:before="400" w:line="240" w:lineRule="auto"/>
        <w:rPr>
          <w:rFonts w:eastAsia="Times New Roman"/>
          <w:b/>
          <w:sz w:val="28"/>
        </w:rPr>
      </w:pPr>
    </w:p>
    <w:p w14:paraId="6C819AB1" w14:textId="77777777" w:rsidR="007B1203" w:rsidRPr="009A0728" w:rsidRDefault="007B1203" w:rsidP="009A0728">
      <w:pPr>
        <w:spacing w:line="40" w:lineRule="exact"/>
        <w:rPr>
          <w:rFonts w:eastAsia="Calibri"/>
          <w:b/>
          <w:sz w:val="28"/>
        </w:rPr>
      </w:pPr>
    </w:p>
    <w:p w14:paraId="43187BCD" w14:textId="77777777" w:rsidR="007B1203" w:rsidRPr="009A0728" w:rsidRDefault="007B1203" w:rsidP="009A0728">
      <w:pPr>
        <w:pBdr>
          <w:top w:val="single" w:sz="12" w:space="0" w:color="auto"/>
        </w:pBdr>
        <w:spacing w:line="240" w:lineRule="auto"/>
        <w:rPr>
          <w:rFonts w:eastAsia="Times New Roman"/>
          <w:b/>
          <w:sz w:val="28"/>
        </w:rPr>
      </w:pPr>
    </w:p>
    <w:p w14:paraId="4B9C68F3" w14:textId="77777777" w:rsidR="007B1203" w:rsidRDefault="007B1203" w:rsidP="007B1203">
      <w:pPr>
        <w:pStyle w:val="Page1"/>
        <w:spacing w:before="400"/>
      </w:pPr>
      <w:r>
        <w:t xml:space="preserve">An Act to deal with consequential and transitional matters arising from the enactment of the </w:t>
      </w:r>
      <w:r w:rsidRPr="007B1203">
        <w:rPr>
          <w:i/>
        </w:rPr>
        <w:t>Fuel Security Act 2021</w:t>
      </w:r>
      <w:r>
        <w:t>, and for related purposes</w:t>
      </w:r>
    </w:p>
    <w:p w14:paraId="7ED508E0" w14:textId="2C335BEE" w:rsidR="00FD2710" w:rsidRPr="00FD2710" w:rsidRDefault="00FD2710" w:rsidP="00FD2710">
      <w:pPr>
        <w:pStyle w:val="AssentDt"/>
        <w:spacing w:before="240"/>
        <w:rPr>
          <w:sz w:val="24"/>
        </w:rPr>
      </w:pPr>
      <w:r>
        <w:rPr>
          <w:sz w:val="24"/>
        </w:rPr>
        <w:t>[</w:t>
      </w:r>
      <w:r>
        <w:rPr>
          <w:i/>
          <w:sz w:val="24"/>
        </w:rPr>
        <w:t>Assented to 29 June 2021</w:t>
      </w:r>
      <w:r>
        <w:rPr>
          <w:sz w:val="24"/>
        </w:rPr>
        <w:t>]</w:t>
      </w:r>
    </w:p>
    <w:p w14:paraId="6750478D" w14:textId="74DEF3C7" w:rsidR="0048364F" w:rsidRPr="00066581" w:rsidRDefault="0048364F" w:rsidP="00066581">
      <w:pPr>
        <w:spacing w:before="240" w:line="240" w:lineRule="auto"/>
        <w:rPr>
          <w:sz w:val="32"/>
        </w:rPr>
      </w:pPr>
      <w:r w:rsidRPr="00066581">
        <w:rPr>
          <w:sz w:val="32"/>
        </w:rPr>
        <w:t>The Parliament of Australia enacts:</w:t>
      </w:r>
    </w:p>
    <w:p w14:paraId="0DD5D4E7" w14:textId="77777777" w:rsidR="0048364F" w:rsidRPr="00066581" w:rsidRDefault="0048364F" w:rsidP="00066581">
      <w:pPr>
        <w:pStyle w:val="ActHead5"/>
      </w:pPr>
      <w:bookmarkStart w:id="1" w:name="_Toc76034111"/>
      <w:r w:rsidRPr="00066581">
        <w:rPr>
          <w:rStyle w:val="CharSectno"/>
        </w:rPr>
        <w:t>1</w:t>
      </w:r>
      <w:r w:rsidRPr="00066581">
        <w:t xml:space="preserve">  Short title</w:t>
      </w:r>
      <w:bookmarkEnd w:id="1"/>
    </w:p>
    <w:p w14:paraId="5F554BE0" w14:textId="77777777" w:rsidR="0048364F" w:rsidRPr="00066581" w:rsidRDefault="0048364F" w:rsidP="00066581">
      <w:pPr>
        <w:pStyle w:val="subsection"/>
      </w:pPr>
      <w:r w:rsidRPr="00066581">
        <w:tab/>
      </w:r>
      <w:r w:rsidRPr="00066581">
        <w:tab/>
        <w:t xml:space="preserve">This Act </w:t>
      </w:r>
      <w:r w:rsidR="00275197" w:rsidRPr="00066581">
        <w:t xml:space="preserve">is </w:t>
      </w:r>
      <w:r w:rsidRPr="00066581">
        <w:t xml:space="preserve">the </w:t>
      </w:r>
      <w:r w:rsidR="00A25F4F" w:rsidRPr="00066581">
        <w:rPr>
          <w:i/>
        </w:rPr>
        <w:t>Fuel Security (</w:t>
      </w:r>
      <w:r w:rsidR="00D65E2C" w:rsidRPr="00066581">
        <w:rPr>
          <w:i/>
        </w:rPr>
        <w:t xml:space="preserve">Consequential and </w:t>
      </w:r>
      <w:r w:rsidR="00A25F4F" w:rsidRPr="00066581">
        <w:rPr>
          <w:i/>
        </w:rPr>
        <w:t>Transitional Provisions)</w:t>
      </w:r>
      <w:r w:rsidR="00A25F4F" w:rsidRPr="00066581">
        <w:t xml:space="preserve"> </w:t>
      </w:r>
      <w:r w:rsidR="00EE3E36" w:rsidRPr="00066581">
        <w:rPr>
          <w:i/>
        </w:rPr>
        <w:t>Act 20</w:t>
      </w:r>
      <w:r w:rsidR="009E186E" w:rsidRPr="00066581">
        <w:rPr>
          <w:i/>
        </w:rPr>
        <w:t>21</w:t>
      </w:r>
      <w:r w:rsidRPr="00066581">
        <w:t>.</w:t>
      </w:r>
    </w:p>
    <w:p w14:paraId="664CC5C9" w14:textId="77777777" w:rsidR="0048364F" w:rsidRPr="00066581" w:rsidRDefault="0048364F" w:rsidP="00066581">
      <w:pPr>
        <w:pStyle w:val="ActHead5"/>
      </w:pPr>
      <w:bookmarkStart w:id="2" w:name="_Toc76034112"/>
      <w:r w:rsidRPr="00066581">
        <w:rPr>
          <w:rStyle w:val="CharSectno"/>
        </w:rPr>
        <w:lastRenderedPageBreak/>
        <w:t>2</w:t>
      </w:r>
      <w:r w:rsidRPr="00066581">
        <w:t xml:space="preserve">  Commencement</w:t>
      </w:r>
      <w:bookmarkEnd w:id="2"/>
    </w:p>
    <w:p w14:paraId="2A4CA210" w14:textId="77777777" w:rsidR="00890E12" w:rsidRPr="00066581" w:rsidRDefault="00890E12" w:rsidP="00066581">
      <w:pPr>
        <w:pStyle w:val="subsection"/>
      </w:pPr>
      <w:r w:rsidRPr="00066581">
        <w:tab/>
        <w:t>(1)</w:t>
      </w:r>
      <w:r w:rsidRPr="00066581">
        <w:tab/>
        <w:t>Each provision of this Act specified in column 1 of the table commences, or is taken to have commenced, in accordance with column 2 of the table. Any other statement in column 2 has effect according to its terms.</w:t>
      </w:r>
    </w:p>
    <w:p w14:paraId="58F204D2" w14:textId="77777777" w:rsidR="00890E12" w:rsidRPr="00066581" w:rsidRDefault="00890E12" w:rsidP="00066581">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890E12" w:rsidRPr="00066581" w14:paraId="0EFCFE65" w14:textId="77777777" w:rsidTr="00183B5F">
        <w:trPr>
          <w:cantSplit/>
          <w:tblHeader/>
        </w:trPr>
        <w:tc>
          <w:tcPr>
            <w:tcW w:w="7111" w:type="dxa"/>
            <w:gridSpan w:val="3"/>
            <w:tcBorders>
              <w:top w:val="single" w:sz="12" w:space="0" w:color="auto"/>
              <w:left w:val="nil"/>
              <w:bottom w:val="single" w:sz="6" w:space="0" w:color="auto"/>
              <w:right w:val="nil"/>
            </w:tcBorders>
            <w:hideMark/>
          </w:tcPr>
          <w:p w14:paraId="57AFD14B" w14:textId="77777777" w:rsidR="00890E12" w:rsidRPr="00066581" w:rsidRDefault="00890E12" w:rsidP="00066581">
            <w:pPr>
              <w:pStyle w:val="TableHeading"/>
            </w:pPr>
            <w:r w:rsidRPr="00066581">
              <w:t>Commencement information</w:t>
            </w:r>
          </w:p>
        </w:tc>
      </w:tr>
      <w:tr w:rsidR="00890E12" w:rsidRPr="00066581" w14:paraId="4F898E9D" w14:textId="77777777" w:rsidTr="00183B5F">
        <w:trPr>
          <w:cantSplit/>
          <w:tblHeader/>
        </w:trPr>
        <w:tc>
          <w:tcPr>
            <w:tcW w:w="1701" w:type="dxa"/>
            <w:tcBorders>
              <w:top w:val="single" w:sz="6" w:space="0" w:color="auto"/>
              <w:left w:val="nil"/>
              <w:bottom w:val="single" w:sz="6" w:space="0" w:color="auto"/>
              <w:right w:val="nil"/>
            </w:tcBorders>
            <w:hideMark/>
          </w:tcPr>
          <w:p w14:paraId="1AB81B7F" w14:textId="77777777" w:rsidR="00890E12" w:rsidRPr="00066581" w:rsidRDefault="00890E12" w:rsidP="00066581">
            <w:pPr>
              <w:pStyle w:val="TableHeading"/>
            </w:pPr>
            <w:r w:rsidRPr="00066581">
              <w:t>Column 1</w:t>
            </w:r>
          </w:p>
        </w:tc>
        <w:tc>
          <w:tcPr>
            <w:tcW w:w="3828" w:type="dxa"/>
            <w:tcBorders>
              <w:top w:val="single" w:sz="6" w:space="0" w:color="auto"/>
              <w:left w:val="nil"/>
              <w:bottom w:val="single" w:sz="6" w:space="0" w:color="auto"/>
              <w:right w:val="nil"/>
            </w:tcBorders>
            <w:hideMark/>
          </w:tcPr>
          <w:p w14:paraId="24039075" w14:textId="77777777" w:rsidR="00890E12" w:rsidRPr="00066581" w:rsidRDefault="00890E12" w:rsidP="00066581">
            <w:pPr>
              <w:pStyle w:val="TableHeading"/>
            </w:pPr>
            <w:r w:rsidRPr="00066581">
              <w:t>Column 2</w:t>
            </w:r>
          </w:p>
        </w:tc>
        <w:tc>
          <w:tcPr>
            <w:tcW w:w="1582" w:type="dxa"/>
            <w:tcBorders>
              <w:top w:val="single" w:sz="6" w:space="0" w:color="auto"/>
              <w:left w:val="nil"/>
              <w:bottom w:val="single" w:sz="6" w:space="0" w:color="auto"/>
              <w:right w:val="nil"/>
            </w:tcBorders>
            <w:hideMark/>
          </w:tcPr>
          <w:p w14:paraId="37C9B09F" w14:textId="77777777" w:rsidR="00890E12" w:rsidRPr="00066581" w:rsidRDefault="00890E12" w:rsidP="00066581">
            <w:pPr>
              <w:pStyle w:val="TableHeading"/>
            </w:pPr>
            <w:r w:rsidRPr="00066581">
              <w:t>Column 3</w:t>
            </w:r>
          </w:p>
        </w:tc>
      </w:tr>
      <w:tr w:rsidR="00890E12" w:rsidRPr="00066581" w14:paraId="30B18D7F" w14:textId="77777777" w:rsidTr="00183B5F">
        <w:trPr>
          <w:cantSplit/>
          <w:tblHeader/>
        </w:trPr>
        <w:tc>
          <w:tcPr>
            <w:tcW w:w="1701" w:type="dxa"/>
            <w:tcBorders>
              <w:top w:val="single" w:sz="6" w:space="0" w:color="auto"/>
              <w:left w:val="nil"/>
              <w:bottom w:val="single" w:sz="12" w:space="0" w:color="auto"/>
              <w:right w:val="nil"/>
            </w:tcBorders>
            <w:hideMark/>
          </w:tcPr>
          <w:p w14:paraId="6B31087B" w14:textId="77777777" w:rsidR="00890E12" w:rsidRPr="00066581" w:rsidRDefault="00890E12" w:rsidP="00066581">
            <w:pPr>
              <w:pStyle w:val="TableHeading"/>
            </w:pPr>
            <w:r w:rsidRPr="00066581">
              <w:t>Provisions</w:t>
            </w:r>
          </w:p>
        </w:tc>
        <w:tc>
          <w:tcPr>
            <w:tcW w:w="3828" w:type="dxa"/>
            <w:tcBorders>
              <w:top w:val="single" w:sz="6" w:space="0" w:color="auto"/>
              <w:left w:val="nil"/>
              <w:bottom w:val="single" w:sz="12" w:space="0" w:color="auto"/>
              <w:right w:val="nil"/>
            </w:tcBorders>
            <w:hideMark/>
          </w:tcPr>
          <w:p w14:paraId="531F42A8" w14:textId="77777777" w:rsidR="00890E12" w:rsidRPr="00066581" w:rsidRDefault="00890E12" w:rsidP="00066581">
            <w:pPr>
              <w:pStyle w:val="TableHeading"/>
            </w:pPr>
            <w:r w:rsidRPr="00066581">
              <w:t>Commencement</w:t>
            </w:r>
          </w:p>
        </w:tc>
        <w:tc>
          <w:tcPr>
            <w:tcW w:w="1582" w:type="dxa"/>
            <w:tcBorders>
              <w:top w:val="single" w:sz="6" w:space="0" w:color="auto"/>
              <w:left w:val="nil"/>
              <w:bottom w:val="single" w:sz="12" w:space="0" w:color="auto"/>
              <w:right w:val="nil"/>
            </w:tcBorders>
            <w:hideMark/>
          </w:tcPr>
          <w:p w14:paraId="714CF720" w14:textId="77777777" w:rsidR="00890E12" w:rsidRPr="00066581" w:rsidRDefault="00890E12" w:rsidP="00066581">
            <w:pPr>
              <w:pStyle w:val="TableHeading"/>
            </w:pPr>
            <w:r w:rsidRPr="00066581">
              <w:t>Date/Details</w:t>
            </w:r>
          </w:p>
        </w:tc>
      </w:tr>
      <w:tr w:rsidR="00890E12" w:rsidRPr="00066581" w14:paraId="40ED8D9E" w14:textId="77777777" w:rsidTr="00183B5F">
        <w:trPr>
          <w:cantSplit/>
        </w:trPr>
        <w:tc>
          <w:tcPr>
            <w:tcW w:w="1701" w:type="dxa"/>
            <w:tcBorders>
              <w:top w:val="single" w:sz="12" w:space="0" w:color="auto"/>
              <w:left w:val="nil"/>
              <w:bottom w:val="single" w:sz="2" w:space="0" w:color="auto"/>
              <w:right w:val="nil"/>
            </w:tcBorders>
            <w:hideMark/>
          </w:tcPr>
          <w:p w14:paraId="268E192E" w14:textId="77777777" w:rsidR="00890E12" w:rsidRPr="00066581" w:rsidRDefault="00890E12" w:rsidP="00066581">
            <w:pPr>
              <w:pStyle w:val="Tabletext"/>
            </w:pPr>
            <w:r w:rsidRPr="00066581">
              <w:t>1.  Sections 1 to 3 and anything in this Act not elsewhere covered by this table</w:t>
            </w:r>
          </w:p>
        </w:tc>
        <w:tc>
          <w:tcPr>
            <w:tcW w:w="3828" w:type="dxa"/>
            <w:tcBorders>
              <w:top w:val="single" w:sz="12" w:space="0" w:color="auto"/>
              <w:left w:val="nil"/>
              <w:bottom w:val="single" w:sz="2" w:space="0" w:color="auto"/>
              <w:right w:val="nil"/>
            </w:tcBorders>
            <w:hideMark/>
          </w:tcPr>
          <w:p w14:paraId="3468BD99" w14:textId="77777777" w:rsidR="00890E12" w:rsidRPr="00066581" w:rsidRDefault="003A1566" w:rsidP="00066581">
            <w:pPr>
              <w:pStyle w:val="Tabletext"/>
            </w:pPr>
            <w:r w:rsidRPr="00066581">
              <w:t>The day this Act receives the Royal Assent.</w:t>
            </w:r>
          </w:p>
        </w:tc>
        <w:tc>
          <w:tcPr>
            <w:tcW w:w="1582" w:type="dxa"/>
            <w:tcBorders>
              <w:top w:val="single" w:sz="12" w:space="0" w:color="auto"/>
              <w:left w:val="nil"/>
              <w:bottom w:val="single" w:sz="2" w:space="0" w:color="auto"/>
              <w:right w:val="nil"/>
            </w:tcBorders>
          </w:tcPr>
          <w:p w14:paraId="313E5FCA" w14:textId="45CF55D3" w:rsidR="00890E12" w:rsidRPr="00066581" w:rsidRDefault="00FD2710" w:rsidP="00066581">
            <w:pPr>
              <w:pStyle w:val="Tabletext"/>
            </w:pPr>
            <w:r>
              <w:t>29 June 2021</w:t>
            </w:r>
          </w:p>
        </w:tc>
      </w:tr>
      <w:tr w:rsidR="00890E12" w:rsidRPr="00066581" w14:paraId="4EF0D428" w14:textId="77777777" w:rsidTr="00183B5F">
        <w:trPr>
          <w:cantSplit/>
        </w:trPr>
        <w:tc>
          <w:tcPr>
            <w:tcW w:w="1701" w:type="dxa"/>
            <w:tcBorders>
              <w:top w:val="single" w:sz="2" w:space="0" w:color="auto"/>
              <w:left w:val="nil"/>
              <w:bottom w:val="single" w:sz="2" w:space="0" w:color="auto"/>
              <w:right w:val="nil"/>
            </w:tcBorders>
            <w:hideMark/>
          </w:tcPr>
          <w:p w14:paraId="745EB9F1" w14:textId="77777777" w:rsidR="00890E12" w:rsidRPr="00066581" w:rsidRDefault="00890E12" w:rsidP="00066581">
            <w:pPr>
              <w:pStyle w:val="Tabletext"/>
            </w:pPr>
            <w:r w:rsidRPr="00066581">
              <w:t xml:space="preserve">2.  </w:t>
            </w:r>
            <w:r w:rsidR="00AB1301" w:rsidRPr="00066581">
              <w:t>Schedule 1</w:t>
            </w:r>
            <w:r w:rsidRPr="00066581">
              <w:t xml:space="preserve">, </w:t>
            </w:r>
            <w:r w:rsidR="00AB1301" w:rsidRPr="00066581">
              <w:t>Part 1</w:t>
            </w:r>
          </w:p>
        </w:tc>
        <w:tc>
          <w:tcPr>
            <w:tcW w:w="3828" w:type="dxa"/>
            <w:tcBorders>
              <w:top w:val="single" w:sz="2" w:space="0" w:color="auto"/>
              <w:left w:val="nil"/>
              <w:bottom w:val="single" w:sz="2" w:space="0" w:color="auto"/>
              <w:right w:val="nil"/>
            </w:tcBorders>
          </w:tcPr>
          <w:p w14:paraId="711040B1" w14:textId="77777777" w:rsidR="000874BF" w:rsidRPr="00066581" w:rsidRDefault="00C37E90" w:rsidP="00066581">
            <w:pPr>
              <w:pStyle w:val="Tabletext"/>
            </w:pPr>
            <w:r w:rsidRPr="00066581">
              <w:t xml:space="preserve">At the same time as the </w:t>
            </w:r>
            <w:r w:rsidR="000874BF" w:rsidRPr="00066581">
              <w:rPr>
                <w:i/>
              </w:rPr>
              <w:t>Fuel Security Act 2021</w:t>
            </w:r>
            <w:r w:rsidR="000874BF" w:rsidRPr="00066581">
              <w:t xml:space="preserve"> commences.</w:t>
            </w:r>
          </w:p>
          <w:p w14:paraId="178EC71B" w14:textId="77777777" w:rsidR="00890E12" w:rsidRPr="00066581" w:rsidRDefault="000874BF" w:rsidP="00066581">
            <w:pPr>
              <w:pStyle w:val="Tabletext"/>
            </w:pPr>
            <w:r w:rsidRPr="00066581">
              <w:t xml:space="preserve">However, the provisions do not commence at all if </w:t>
            </w:r>
            <w:r w:rsidR="00C37E90" w:rsidRPr="00066581">
              <w:t>that Act does not commence.</w:t>
            </w:r>
          </w:p>
        </w:tc>
        <w:tc>
          <w:tcPr>
            <w:tcW w:w="1582" w:type="dxa"/>
            <w:tcBorders>
              <w:top w:val="single" w:sz="2" w:space="0" w:color="auto"/>
              <w:left w:val="nil"/>
              <w:bottom w:val="single" w:sz="2" w:space="0" w:color="auto"/>
              <w:right w:val="nil"/>
            </w:tcBorders>
          </w:tcPr>
          <w:p w14:paraId="5B791393" w14:textId="2511C6BE" w:rsidR="00890E12" w:rsidRPr="00066581" w:rsidRDefault="00FD2710" w:rsidP="00066581">
            <w:pPr>
              <w:pStyle w:val="Tabletext"/>
            </w:pPr>
            <w:r>
              <w:t>30 June 2021</w:t>
            </w:r>
          </w:p>
        </w:tc>
      </w:tr>
      <w:tr w:rsidR="00890E12" w:rsidRPr="00066581" w14:paraId="29C4F70C" w14:textId="77777777" w:rsidTr="00183B5F">
        <w:trPr>
          <w:cantSplit/>
        </w:trPr>
        <w:tc>
          <w:tcPr>
            <w:tcW w:w="1701" w:type="dxa"/>
            <w:tcBorders>
              <w:top w:val="single" w:sz="2" w:space="0" w:color="auto"/>
              <w:left w:val="nil"/>
              <w:bottom w:val="single" w:sz="2" w:space="0" w:color="auto"/>
              <w:right w:val="nil"/>
            </w:tcBorders>
            <w:hideMark/>
          </w:tcPr>
          <w:p w14:paraId="0807CFA3" w14:textId="77777777" w:rsidR="00890E12" w:rsidRPr="00066581" w:rsidRDefault="00890E12" w:rsidP="00066581">
            <w:pPr>
              <w:pStyle w:val="Tabletext"/>
            </w:pPr>
            <w:r w:rsidRPr="00066581">
              <w:t xml:space="preserve">3.  </w:t>
            </w:r>
            <w:r w:rsidR="00AB1301" w:rsidRPr="00066581">
              <w:t>Schedule 1</w:t>
            </w:r>
            <w:r w:rsidRPr="00066581">
              <w:t xml:space="preserve">, </w:t>
            </w:r>
            <w:r w:rsidR="00705B65" w:rsidRPr="00066581">
              <w:t>Part 2</w:t>
            </w:r>
          </w:p>
        </w:tc>
        <w:tc>
          <w:tcPr>
            <w:tcW w:w="3828" w:type="dxa"/>
            <w:tcBorders>
              <w:top w:val="single" w:sz="2" w:space="0" w:color="auto"/>
              <w:left w:val="nil"/>
              <w:bottom w:val="single" w:sz="2" w:space="0" w:color="auto"/>
              <w:right w:val="nil"/>
            </w:tcBorders>
          </w:tcPr>
          <w:p w14:paraId="2EB5502C" w14:textId="77777777" w:rsidR="00490A83" w:rsidRPr="00066581" w:rsidRDefault="00490A83" w:rsidP="00066581">
            <w:pPr>
              <w:pStyle w:val="Tabletext"/>
            </w:pPr>
            <w:r w:rsidRPr="00066581">
              <w:t>The later of:</w:t>
            </w:r>
          </w:p>
          <w:p w14:paraId="7CD1650C" w14:textId="77777777" w:rsidR="00490A83" w:rsidRPr="00066581" w:rsidRDefault="00490A83" w:rsidP="00066581">
            <w:pPr>
              <w:pStyle w:val="Tablea"/>
            </w:pPr>
            <w:r w:rsidRPr="00066581">
              <w:t xml:space="preserve">(a) immediately after the commencement of the </w:t>
            </w:r>
            <w:r w:rsidRPr="00066581">
              <w:rPr>
                <w:i/>
              </w:rPr>
              <w:t>Federal Circuit and Family Court of Australia Act 2021</w:t>
            </w:r>
            <w:r w:rsidRPr="00066581">
              <w:t>; and</w:t>
            </w:r>
          </w:p>
          <w:p w14:paraId="081E7EFD" w14:textId="77777777" w:rsidR="00490A83" w:rsidRPr="00066581" w:rsidRDefault="00490A83" w:rsidP="00066581">
            <w:pPr>
              <w:pStyle w:val="Tablea"/>
            </w:pPr>
            <w:r w:rsidRPr="00066581">
              <w:t xml:space="preserve">(b) immediately after the commencement of the </w:t>
            </w:r>
            <w:r w:rsidRPr="00066581">
              <w:rPr>
                <w:i/>
              </w:rPr>
              <w:t>Fuel Security Act 2021</w:t>
            </w:r>
            <w:r w:rsidRPr="00066581">
              <w:t>.</w:t>
            </w:r>
          </w:p>
          <w:p w14:paraId="14FA6CAE" w14:textId="77777777" w:rsidR="00890E12" w:rsidRPr="00066581" w:rsidRDefault="00490A83" w:rsidP="00066581">
            <w:pPr>
              <w:pStyle w:val="Tabletext"/>
            </w:pPr>
            <w:r w:rsidRPr="00066581">
              <w:t xml:space="preserve">However, the provisions do not commence at all if the event mentioned in </w:t>
            </w:r>
            <w:r w:rsidR="00705B65" w:rsidRPr="00066581">
              <w:t>paragraph (</w:t>
            </w:r>
            <w:r w:rsidRPr="00066581">
              <w:t>b) does not occur.</w:t>
            </w:r>
          </w:p>
        </w:tc>
        <w:tc>
          <w:tcPr>
            <w:tcW w:w="1582" w:type="dxa"/>
            <w:tcBorders>
              <w:top w:val="single" w:sz="2" w:space="0" w:color="auto"/>
              <w:left w:val="nil"/>
              <w:bottom w:val="single" w:sz="2" w:space="0" w:color="auto"/>
              <w:right w:val="nil"/>
            </w:tcBorders>
          </w:tcPr>
          <w:p w14:paraId="33C3A47D" w14:textId="77777777" w:rsidR="00E025D3" w:rsidRDefault="00E025D3" w:rsidP="00E025D3">
            <w:pPr>
              <w:pStyle w:val="Tabletext"/>
              <w:rPr>
                <w:lang w:eastAsia="en-US"/>
              </w:rPr>
            </w:pPr>
            <w:r>
              <w:rPr>
                <w:lang w:eastAsia="en-US"/>
              </w:rPr>
              <w:t>1 September 2021</w:t>
            </w:r>
          </w:p>
          <w:p w14:paraId="66280E99" w14:textId="738A134B" w:rsidR="00890E12" w:rsidRPr="00066581" w:rsidRDefault="00E025D3" w:rsidP="00E025D3">
            <w:pPr>
              <w:pStyle w:val="Tabletext"/>
            </w:pPr>
            <w:r>
              <w:rPr>
                <w:lang w:eastAsia="en-US"/>
              </w:rPr>
              <w:t>(paragraph (a) applies)</w:t>
            </w:r>
            <w:bookmarkStart w:id="3" w:name="_GoBack"/>
            <w:bookmarkEnd w:id="3"/>
          </w:p>
        </w:tc>
      </w:tr>
      <w:tr w:rsidR="00890E12" w:rsidRPr="00066581" w14:paraId="3F3DA411" w14:textId="77777777" w:rsidTr="00183B5F">
        <w:trPr>
          <w:cantSplit/>
        </w:trPr>
        <w:tc>
          <w:tcPr>
            <w:tcW w:w="1701" w:type="dxa"/>
            <w:tcBorders>
              <w:top w:val="single" w:sz="2" w:space="0" w:color="auto"/>
              <w:left w:val="nil"/>
              <w:bottom w:val="single" w:sz="12" w:space="0" w:color="auto"/>
              <w:right w:val="nil"/>
            </w:tcBorders>
            <w:hideMark/>
          </w:tcPr>
          <w:p w14:paraId="04465DAE" w14:textId="77777777" w:rsidR="00890E12" w:rsidRPr="00066581" w:rsidRDefault="00890E12" w:rsidP="00066581">
            <w:pPr>
              <w:pStyle w:val="Tabletext"/>
            </w:pPr>
            <w:r w:rsidRPr="00066581">
              <w:t xml:space="preserve">4.  </w:t>
            </w:r>
            <w:r w:rsidR="00AB1301" w:rsidRPr="00066581">
              <w:t>Schedule 2</w:t>
            </w:r>
          </w:p>
        </w:tc>
        <w:tc>
          <w:tcPr>
            <w:tcW w:w="3828" w:type="dxa"/>
            <w:tcBorders>
              <w:top w:val="single" w:sz="2" w:space="0" w:color="auto"/>
              <w:left w:val="nil"/>
              <w:bottom w:val="single" w:sz="12" w:space="0" w:color="auto"/>
              <w:right w:val="nil"/>
            </w:tcBorders>
          </w:tcPr>
          <w:p w14:paraId="1A849948" w14:textId="77777777" w:rsidR="00C37E90" w:rsidRPr="00066581" w:rsidRDefault="00C37E90" w:rsidP="00066581">
            <w:pPr>
              <w:pStyle w:val="Tabletext"/>
            </w:pPr>
            <w:r w:rsidRPr="00066581">
              <w:t xml:space="preserve">At the same time as the </w:t>
            </w:r>
            <w:r w:rsidRPr="00066581">
              <w:rPr>
                <w:i/>
              </w:rPr>
              <w:t>Fuel Security Act 2021</w:t>
            </w:r>
            <w:r w:rsidRPr="00066581">
              <w:t xml:space="preserve"> commences.</w:t>
            </w:r>
          </w:p>
          <w:p w14:paraId="6BF9140E" w14:textId="77777777" w:rsidR="00890E12" w:rsidRPr="00066581" w:rsidRDefault="00C37E90" w:rsidP="00066581">
            <w:pPr>
              <w:pStyle w:val="Tabletext"/>
            </w:pPr>
            <w:r w:rsidRPr="00066581">
              <w:t>However, the provisions do not commence at all if that Act does not commence.</w:t>
            </w:r>
          </w:p>
        </w:tc>
        <w:tc>
          <w:tcPr>
            <w:tcW w:w="1582" w:type="dxa"/>
            <w:tcBorders>
              <w:top w:val="single" w:sz="2" w:space="0" w:color="auto"/>
              <w:left w:val="nil"/>
              <w:bottom w:val="single" w:sz="12" w:space="0" w:color="auto"/>
              <w:right w:val="nil"/>
            </w:tcBorders>
          </w:tcPr>
          <w:p w14:paraId="4D834011" w14:textId="2D43FBAE" w:rsidR="00890E12" w:rsidRPr="00066581" w:rsidRDefault="00FD2710" w:rsidP="00066581">
            <w:pPr>
              <w:pStyle w:val="Tabletext"/>
            </w:pPr>
            <w:r>
              <w:t>30 June 2021</w:t>
            </w:r>
          </w:p>
        </w:tc>
      </w:tr>
    </w:tbl>
    <w:p w14:paraId="3ACBFC7D" w14:textId="77777777" w:rsidR="00890E12" w:rsidRPr="00066581" w:rsidRDefault="00890E12" w:rsidP="00066581">
      <w:pPr>
        <w:pStyle w:val="notetext"/>
      </w:pPr>
      <w:r w:rsidRPr="00066581">
        <w:rPr>
          <w:snapToGrid w:val="0"/>
          <w:lang w:eastAsia="en-US"/>
        </w:rPr>
        <w:t>Note:</w:t>
      </w:r>
      <w:r w:rsidRPr="00066581">
        <w:rPr>
          <w:snapToGrid w:val="0"/>
          <w:lang w:eastAsia="en-US"/>
        </w:rPr>
        <w:tab/>
        <w:t>This table relates only to the provisions of this Act as originally enacted. It will not be amended to deal with any later amendments of this Act.</w:t>
      </w:r>
    </w:p>
    <w:p w14:paraId="3EA218DC" w14:textId="77777777" w:rsidR="00890E12" w:rsidRPr="00066581" w:rsidRDefault="00890E12" w:rsidP="00066581">
      <w:pPr>
        <w:pStyle w:val="subsection"/>
      </w:pPr>
      <w:r w:rsidRPr="00066581">
        <w:tab/>
        <w:t>(2)</w:t>
      </w:r>
      <w:r w:rsidRPr="00066581">
        <w:tab/>
        <w:t>Any information in column 3 of the table is not part of this Act. Information may be inserted in this column, or information in it may be edited, in any published version of this Act.</w:t>
      </w:r>
    </w:p>
    <w:p w14:paraId="6BA07467" w14:textId="77777777" w:rsidR="0048364F" w:rsidRPr="00066581" w:rsidRDefault="0048364F" w:rsidP="00066581">
      <w:pPr>
        <w:pStyle w:val="ActHead5"/>
      </w:pPr>
      <w:bookmarkStart w:id="4" w:name="_Toc76034113"/>
      <w:r w:rsidRPr="00066581">
        <w:rPr>
          <w:rStyle w:val="CharSectno"/>
        </w:rPr>
        <w:lastRenderedPageBreak/>
        <w:t>3</w:t>
      </w:r>
      <w:r w:rsidRPr="00066581">
        <w:t xml:space="preserve">  Schedules</w:t>
      </w:r>
      <w:bookmarkEnd w:id="4"/>
    </w:p>
    <w:p w14:paraId="059E9460" w14:textId="77777777" w:rsidR="0048364F" w:rsidRPr="00066581" w:rsidRDefault="0048364F" w:rsidP="00066581">
      <w:pPr>
        <w:pStyle w:val="subsection"/>
      </w:pPr>
      <w:r w:rsidRPr="00066581">
        <w:tab/>
      </w:r>
      <w:r w:rsidRPr="00066581">
        <w:tab/>
      </w:r>
      <w:r w:rsidR="00202618" w:rsidRPr="00066581">
        <w:t>Legislation that is specified in a Schedule to this Act is amended or repealed as set out in the applicable items in the Schedule concerned, and any other item in a Schedule to this Act has effect according to its terms.</w:t>
      </w:r>
    </w:p>
    <w:p w14:paraId="2FAECB37" w14:textId="77777777" w:rsidR="00F41A29" w:rsidRPr="00066581" w:rsidRDefault="00AB1301" w:rsidP="00066581">
      <w:pPr>
        <w:pStyle w:val="ActHead6"/>
        <w:pageBreakBefore/>
      </w:pPr>
      <w:bookmarkStart w:id="5" w:name="_Toc76034114"/>
      <w:r w:rsidRPr="00066581">
        <w:rPr>
          <w:rStyle w:val="CharAmSchNo"/>
        </w:rPr>
        <w:lastRenderedPageBreak/>
        <w:t>Schedule 1</w:t>
      </w:r>
      <w:r w:rsidR="00EC318E" w:rsidRPr="00066581">
        <w:t>—</w:t>
      </w:r>
      <w:r w:rsidR="00EC318E" w:rsidRPr="00066581">
        <w:rPr>
          <w:rStyle w:val="CharAmSchText"/>
        </w:rPr>
        <w:t>Consequential amendments</w:t>
      </w:r>
      <w:bookmarkEnd w:id="5"/>
    </w:p>
    <w:p w14:paraId="5FB6DA7D" w14:textId="77777777" w:rsidR="00EC318E" w:rsidRPr="00066581" w:rsidRDefault="00AB1301" w:rsidP="00066581">
      <w:pPr>
        <w:pStyle w:val="ActHead7"/>
      </w:pPr>
      <w:bookmarkStart w:id="6" w:name="_Toc76034115"/>
      <w:r w:rsidRPr="00066581">
        <w:rPr>
          <w:rStyle w:val="CharAmPartNo"/>
        </w:rPr>
        <w:t>Part 1</w:t>
      </w:r>
      <w:r w:rsidR="00D24444" w:rsidRPr="00066581">
        <w:t>—</w:t>
      </w:r>
      <w:r w:rsidR="00957BBF" w:rsidRPr="00066581">
        <w:rPr>
          <w:rStyle w:val="CharAmPartText"/>
        </w:rPr>
        <w:t>Main c</w:t>
      </w:r>
      <w:r w:rsidR="00D24444" w:rsidRPr="00066581">
        <w:rPr>
          <w:rStyle w:val="CharAmPartText"/>
        </w:rPr>
        <w:t>onsequential amendments</w:t>
      </w:r>
      <w:bookmarkEnd w:id="6"/>
    </w:p>
    <w:p w14:paraId="04E8E1A1" w14:textId="77777777" w:rsidR="00540F6B" w:rsidRPr="00066581" w:rsidRDefault="00540F6B" w:rsidP="00066581">
      <w:pPr>
        <w:pStyle w:val="ActHead9"/>
      </w:pPr>
      <w:bookmarkStart w:id="7" w:name="_Toc76034116"/>
      <w:r w:rsidRPr="00066581">
        <w:t>Competition and Consumer Act 2010</w:t>
      </w:r>
      <w:bookmarkEnd w:id="7"/>
    </w:p>
    <w:p w14:paraId="75248665" w14:textId="77777777" w:rsidR="00E00BB6" w:rsidRPr="00066581" w:rsidRDefault="00424B2B" w:rsidP="00066581">
      <w:pPr>
        <w:pStyle w:val="ItemHead"/>
      </w:pPr>
      <w:r w:rsidRPr="00066581">
        <w:t>1</w:t>
      </w:r>
      <w:r w:rsidR="00E00BB6" w:rsidRPr="00066581">
        <w:t xml:space="preserve">  At the end of </w:t>
      </w:r>
      <w:r w:rsidR="00AB1301" w:rsidRPr="00066581">
        <w:t>subsection 9</w:t>
      </w:r>
      <w:r w:rsidR="00E00BB6" w:rsidRPr="00066581">
        <w:t>5ZPA(1)</w:t>
      </w:r>
    </w:p>
    <w:p w14:paraId="1544D7A4" w14:textId="77777777" w:rsidR="00E00BB6" w:rsidRPr="00066581" w:rsidRDefault="00E00BB6" w:rsidP="00066581">
      <w:pPr>
        <w:pStyle w:val="Item"/>
      </w:pPr>
      <w:r w:rsidRPr="00066581">
        <w:t xml:space="preserve">Add </w:t>
      </w:r>
      <w:r w:rsidR="008F1D15" w:rsidRPr="00066581">
        <w:t>“</w:t>
      </w:r>
      <w:r w:rsidRPr="00066581">
        <w:t xml:space="preserve">or the </w:t>
      </w:r>
      <w:r w:rsidRPr="00066581">
        <w:rPr>
          <w:i/>
        </w:rPr>
        <w:t>Fuel Security Act 2021</w:t>
      </w:r>
      <w:r w:rsidR="008F1D15" w:rsidRPr="00066581">
        <w:t>”</w:t>
      </w:r>
      <w:r w:rsidRPr="00066581">
        <w:t>.</w:t>
      </w:r>
    </w:p>
    <w:p w14:paraId="0D11674D" w14:textId="77777777" w:rsidR="007550CC" w:rsidRPr="00066581" w:rsidRDefault="007550CC" w:rsidP="00066581">
      <w:pPr>
        <w:pStyle w:val="ActHead9"/>
      </w:pPr>
      <w:bookmarkStart w:id="8" w:name="_Toc76034117"/>
      <w:r w:rsidRPr="00066581">
        <w:t>Fuel Quality Standards Act 2000</w:t>
      </w:r>
      <w:bookmarkEnd w:id="8"/>
    </w:p>
    <w:p w14:paraId="6FB4BBB4" w14:textId="77777777" w:rsidR="007550CC" w:rsidRPr="00066581" w:rsidRDefault="00424B2B" w:rsidP="00066581">
      <w:pPr>
        <w:pStyle w:val="ItemHead"/>
      </w:pPr>
      <w:r w:rsidRPr="00066581">
        <w:t>2</w:t>
      </w:r>
      <w:r w:rsidR="007550CC" w:rsidRPr="00066581">
        <w:t xml:space="preserve">  After </w:t>
      </w:r>
      <w:r w:rsidR="00AB1301" w:rsidRPr="00066581">
        <w:t>subparagraph 6</w:t>
      </w:r>
      <w:r w:rsidR="007550CC" w:rsidRPr="00066581">
        <w:t>7A(b)(ii)</w:t>
      </w:r>
    </w:p>
    <w:p w14:paraId="0391D437" w14:textId="77777777" w:rsidR="007550CC" w:rsidRPr="00066581" w:rsidRDefault="007550CC" w:rsidP="00066581">
      <w:pPr>
        <w:pStyle w:val="Item"/>
      </w:pPr>
      <w:r w:rsidRPr="00066581">
        <w:t>Insert:</w:t>
      </w:r>
    </w:p>
    <w:p w14:paraId="0C870425" w14:textId="77777777" w:rsidR="007550CC" w:rsidRPr="00066581" w:rsidRDefault="007550CC" w:rsidP="00066581">
      <w:pPr>
        <w:pStyle w:val="paragraphsub"/>
      </w:pPr>
      <w:r w:rsidRPr="00066581">
        <w:tab/>
        <w:t>(iia)</w:t>
      </w:r>
      <w:r w:rsidRPr="00066581">
        <w:tab/>
        <w:t xml:space="preserve">the </w:t>
      </w:r>
      <w:r w:rsidRPr="00066581">
        <w:rPr>
          <w:i/>
        </w:rPr>
        <w:t>Fuel Security Act 2021</w:t>
      </w:r>
      <w:r w:rsidRPr="00066581">
        <w:t>; or</w:t>
      </w:r>
    </w:p>
    <w:p w14:paraId="32B6C1D4" w14:textId="77777777" w:rsidR="003C78C1" w:rsidRPr="00066581" w:rsidRDefault="003C78C1" w:rsidP="00066581">
      <w:pPr>
        <w:pStyle w:val="ActHead9"/>
      </w:pPr>
      <w:bookmarkStart w:id="9" w:name="_Toc76034118"/>
      <w:r w:rsidRPr="00066581">
        <w:t>Petroleum and Other Fuels Reporting Act 2017</w:t>
      </w:r>
      <w:bookmarkEnd w:id="9"/>
    </w:p>
    <w:p w14:paraId="2836B94F" w14:textId="77777777" w:rsidR="005D564F" w:rsidRPr="00066581" w:rsidRDefault="00424B2B" w:rsidP="00066581">
      <w:pPr>
        <w:pStyle w:val="ItemHead"/>
      </w:pPr>
      <w:r w:rsidRPr="00066581">
        <w:t>3</w:t>
      </w:r>
      <w:r w:rsidR="005D564F" w:rsidRPr="00066581">
        <w:t xml:space="preserve">  At the end of </w:t>
      </w:r>
      <w:r w:rsidR="0031708F" w:rsidRPr="00066581">
        <w:t>section 3</w:t>
      </w:r>
    </w:p>
    <w:p w14:paraId="566FD6A0" w14:textId="77777777" w:rsidR="005D564F" w:rsidRPr="00066581" w:rsidRDefault="005D564F" w:rsidP="00066581">
      <w:pPr>
        <w:pStyle w:val="Item"/>
      </w:pPr>
      <w:r w:rsidRPr="00066581">
        <w:t>Add:</w:t>
      </w:r>
    </w:p>
    <w:p w14:paraId="1B89AA8B" w14:textId="77777777" w:rsidR="005D564F" w:rsidRPr="00066581" w:rsidRDefault="005D564F" w:rsidP="00066581">
      <w:pPr>
        <w:pStyle w:val="paragraph"/>
      </w:pPr>
      <w:r w:rsidRPr="00066581">
        <w:tab/>
      </w:r>
      <w:r w:rsidR="002F070F" w:rsidRPr="00066581">
        <w:t xml:space="preserve">; </w:t>
      </w:r>
      <w:r w:rsidRPr="00066581">
        <w:t>(d)</w:t>
      </w:r>
      <w:r w:rsidRPr="00066581">
        <w:tab/>
        <w:t xml:space="preserve">to support </w:t>
      </w:r>
      <w:r w:rsidR="002F070F" w:rsidRPr="00066581">
        <w:t xml:space="preserve">the </w:t>
      </w:r>
      <w:r w:rsidRPr="00066581">
        <w:t xml:space="preserve">implementation of the </w:t>
      </w:r>
      <w:r w:rsidRPr="00066581">
        <w:rPr>
          <w:i/>
        </w:rPr>
        <w:t>Fuel Security Act 2021</w:t>
      </w:r>
      <w:r w:rsidRPr="00066581">
        <w:t>.</w:t>
      </w:r>
    </w:p>
    <w:p w14:paraId="0B6057FD" w14:textId="77777777" w:rsidR="008F1D15" w:rsidRPr="00066581" w:rsidRDefault="00424B2B" w:rsidP="00066581">
      <w:pPr>
        <w:pStyle w:val="ItemHead"/>
      </w:pPr>
      <w:r w:rsidRPr="00066581">
        <w:t>4</w:t>
      </w:r>
      <w:r w:rsidR="008F1D15" w:rsidRPr="00066581">
        <w:t xml:space="preserve">  </w:t>
      </w:r>
      <w:r w:rsidR="0031708F" w:rsidRPr="00066581">
        <w:t>Subsection 5</w:t>
      </w:r>
      <w:r w:rsidR="008F1D15" w:rsidRPr="00066581">
        <w:t>(1)</w:t>
      </w:r>
    </w:p>
    <w:p w14:paraId="0A1C2EF3" w14:textId="77777777" w:rsidR="008F1D15" w:rsidRPr="00066581" w:rsidRDefault="008F1D15" w:rsidP="00066581">
      <w:pPr>
        <w:pStyle w:val="Item"/>
      </w:pPr>
      <w:r w:rsidRPr="00066581">
        <w:t>Insert:</w:t>
      </w:r>
    </w:p>
    <w:p w14:paraId="7641CFEE" w14:textId="77777777" w:rsidR="008F1D15" w:rsidRPr="00066581" w:rsidRDefault="008F1D15" w:rsidP="00066581">
      <w:pPr>
        <w:pStyle w:val="Definition"/>
      </w:pPr>
      <w:r w:rsidRPr="00066581">
        <w:rPr>
          <w:b/>
          <w:i/>
        </w:rPr>
        <w:t>affected</w:t>
      </w:r>
      <w:r w:rsidRPr="00066581">
        <w:t xml:space="preserve">: see </w:t>
      </w:r>
      <w:r w:rsidR="0031708F" w:rsidRPr="00066581">
        <w:t>subsection 1</w:t>
      </w:r>
      <w:r w:rsidRPr="00066581">
        <w:t>3C(2).</w:t>
      </w:r>
    </w:p>
    <w:p w14:paraId="55D2CB61" w14:textId="77777777" w:rsidR="00800BF3" w:rsidRPr="00066581" w:rsidRDefault="00424B2B" w:rsidP="00066581">
      <w:pPr>
        <w:pStyle w:val="ItemHead"/>
      </w:pPr>
      <w:r w:rsidRPr="00066581">
        <w:t>5</w:t>
      </w:r>
      <w:r w:rsidR="00800BF3" w:rsidRPr="00066581">
        <w:t xml:space="preserve">  </w:t>
      </w:r>
      <w:r w:rsidR="0031708F" w:rsidRPr="00066581">
        <w:t>Subsection 5</w:t>
      </w:r>
      <w:r w:rsidR="00800BF3" w:rsidRPr="00066581">
        <w:t xml:space="preserve">(1) (at the end of </w:t>
      </w:r>
      <w:r w:rsidR="00705B65" w:rsidRPr="00066581">
        <w:t>paragraph (</w:t>
      </w:r>
      <w:r w:rsidR="00800BF3" w:rsidRPr="00066581">
        <w:t xml:space="preserve">a) of the definition of </w:t>
      </w:r>
      <w:r w:rsidR="00800BF3" w:rsidRPr="00066581">
        <w:rPr>
          <w:i/>
        </w:rPr>
        <w:t>fuel information</w:t>
      </w:r>
      <w:r w:rsidR="00800BF3" w:rsidRPr="00066581">
        <w:t>)</w:t>
      </w:r>
    </w:p>
    <w:p w14:paraId="12D13410" w14:textId="77777777" w:rsidR="00800BF3" w:rsidRPr="00066581" w:rsidRDefault="00800BF3" w:rsidP="00066581">
      <w:pPr>
        <w:pStyle w:val="Item"/>
      </w:pPr>
      <w:r w:rsidRPr="00066581">
        <w:t>Add:</w:t>
      </w:r>
    </w:p>
    <w:p w14:paraId="7EC70BE5" w14:textId="77777777" w:rsidR="00800BF3" w:rsidRPr="00066581" w:rsidRDefault="00800BF3" w:rsidP="00066581">
      <w:pPr>
        <w:pStyle w:val="paragraphsub"/>
      </w:pPr>
      <w:r w:rsidRPr="00066581">
        <w:tab/>
        <w:t>(iii)</w:t>
      </w:r>
      <w:r w:rsidRPr="00066581">
        <w:tab/>
        <w:t>the holding</w:t>
      </w:r>
      <w:r w:rsidR="00AB15AE" w:rsidRPr="00066581">
        <w:t xml:space="preserve"> (within the meaning of </w:t>
      </w:r>
      <w:r w:rsidR="0031708F" w:rsidRPr="00066581">
        <w:t>section 1</w:t>
      </w:r>
      <w:r w:rsidR="00AB15AE" w:rsidRPr="00066581">
        <w:t>9</w:t>
      </w:r>
      <w:r w:rsidR="00360885" w:rsidRPr="00066581">
        <w:t xml:space="preserve"> of</w:t>
      </w:r>
      <w:r w:rsidR="00AB15AE" w:rsidRPr="00066581">
        <w:t xml:space="preserve"> the </w:t>
      </w:r>
      <w:r w:rsidR="00AB15AE" w:rsidRPr="00066581">
        <w:rPr>
          <w:i/>
        </w:rPr>
        <w:t>Fuel Security Act 2021</w:t>
      </w:r>
      <w:r w:rsidR="00AB15AE" w:rsidRPr="00066581">
        <w:t>)</w:t>
      </w:r>
      <w:r w:rsidRPr="00066581">
        <w:t xml:space="preserve"> of stocks of </w:t>
      </w:r>
      <w:r w:rsidR="005B24E8" w:rsidRPr="00066581">
        <w:t xml:space="preserve">covered </w:t>
      </w:r>
      <w:r w:rsidRPr="00066581">
        <w:t>product</w:t>
      </w:r>
      <w:r w:rsidR="003046E4" w:rsidRPr="00066581">
        <w:t>s that are MSO products (within the meaning of that Act)</w:t>
      </w:r>
      <w:r w:rsidRPr="00066581">
        <w:t>; or</w:t>
      </w:r>
    </w:p>
    <w:p w14:paraId="35205856" w14:textId="77777777" w:rsidR="0079288C" w:rsidRPr="00066581" w:rsidRDefault="00424B2B" w:rsidP="00066581">
      <w:pPr>
        <w:pStyle w:val="ItemHead"/>
      </w:pPr>
      <w:r w:rsidRPr="00066581">
        <w:t>6</w:t>
      </w:r>
      <w:r w:rsidR="0079288C" w:rsidRPr="00066581">
        <w:t xml:space="preserve">  </w:t>
      </w:r>
      <w:r w:rsidR="0031708F" w:rsidRPr="00066581">
        <w:t>Subsection 5</w:t>
      </w:r>
      <w:r w:rsidR="0079288C" w:rsidRPr="00066581">
        <w:t xml:space="preserve">(1) (at the end of the definition of </w:t>
      </w:r>
      <w:r w:rsidR="0079288C" w:rsidRPr="00066581">
        <w:rPr>
          <w:i/>
        </w:rPr>
        <w:t>holding stock</w:t>
      </w:r>
      <w:r w:rsidR="0079288C" w:rsidRPr="00066581">
        <w:t>)</w:t>
      </w:r>
    </w:p>
    <w:p w14:paraId="34E9B6BB" w14:textId="77777777" w:rsidR="0079288C" w:rsidRPr="00066581" w:rsidRDefault="0079288C" w:rsidP="00066581">
      <w:pPr>
        <w:pStyle w:val="Item"/>
      </w:pPr>
      <w:r w:rsidRPr="00066581">
        <w:t>Add:</w:t>
      </w:r>
    </w:p>
    <w:p w14:paraId="0513F576" w14:textId="77777777" w:rsidR="0079288C" w:rsidRPr="00066581" w:rsidRDefault="0079288C" w:rsidP="00066581">
      <w:pPr>
        <w:pStyle w:val="notetext"/>
      </w:pPr>
      <w:r w:rsidRPr="00066581">
        <w:lastRenderedPageBreak/>
        <w:t>Note:</w:t>
      </w:r>
      <w:r w:rsidRPr="00066581">
        <w:tab/>
        <w:t xml:space="preserve">See also </w:t>
      </w:r>
      <w:r w:rsidR="0031708F" w:rsidRPr="00066581">
        <w:t>subsection (</w:t>
      </w:r>
      <w:r w:rsidRPr="00066581">
        <w:t>4).</w:t>
      </w:r>
    </w:p>
    <w:p w14:paraId="69BC54F4" w14:textId="77777777" w:rsidR="003C78C1" w:rsidRPr="00066581" w:rsidRDefault="00424B2B" w:rsidP="00066581">
      <w:pPr>
        <w:pStyle w:val="ItemHead"/>
      </w:pPr>
      <w:r w:rsidRPr="00066581">
        <w:t>7</w:t>
      </w:r>
      <w:r w:rsidR="003C78C1" w:rsidRPr="00066581">
        <w:t xml:space="preserve">  </w:t>
      </w:r>
      <w:r w:rsidR="0031708F" w:rsidRPr="00066581">
        <w:t>Subsection 5</w:t>
      </w:r>
      <w:r w:rsidR="00BC3760" w:rsidRPr="00066581">
        <w:t>(1) (</w:t>
      </w:r>
      <w:r w:rsidR="00AB1301" w:rsidRPr="00066581">
        <w:t>paragraphs (</w:t>
      </w:r>
      <w:r w:rsidR="00BC3760" w:rsidRPr="00066581">
        <w:t>a)</w:t>
      </w:r>
      <w:r w:rsidR="00E404A6" w:rsidRPr="00066581">
        <w:t>, (b) and (c)</w:t>
      </w:r>
      <w:r w:rsidR="00BC3760" w:rsidRPr="00066581">
        <w:t xml:space="preserve"> of the definition of </w:t>
      </w:r>
      <w:r w:rsidR="00BC3760" w:rsidRPr="00066581">
        <w:rPr>
          <w:i/>
        </w:rPr>
        <w:t>protected information</w:t>
      </w:r>
      <w:r w:rsidR="00BC3760" w:rsidRPr="00066581">
        <w:t>)</w:t>
      </w:r>
    </w:p>
    <w:p w14:paraId="79141178" w14:textId="77777777" w:rsidR="00BC3760" w:rsidRPr="00066581" w:rsidRDefault="00BC3760" w:rsidP="00066581">
      <w:pPr>
        <w:pStyle w:val="Item"/>
      </w:pPr>
      <w:r w:rsidRPr="00066581">
        <w:t xml:space="preserve">After </w:t>
      </w:r>
      <w:r w:rsidR="008F1D15" w:rsidRPr="00066581">
        <w:t>“</w:t>
      </w:r>
      <w:r w:rsidRPr="00066581">
        <w:t>this Act</w:t>
      </w:r>
      <w:r w:rsidR="008F1D15" w:rsidRPr="00066581">
        <w:t>”</w:t>
      </w:r>
      <w:r w:rsidRPr="00066581">
        <w:t xml:space="preserve">, insert </w:t>
      </w:r>
      <w:r w:rsidR="008F1D15" w:rsidRPr="00066581">
        <w:t>“</w:t>
      </w:r>
      <w:r w:rsidR="00E404A6" w:rsidRPr="00066581">
        <w:t xml:space="preserve">, </w:t>
      </w:r>
      <w:r w:rsidRPr="00066581">
        <w:t xml:space="preserve">the </w:t>
      </w:r>
      <w:r w:rsidRPr="00066581">
        <w:rPr>
          <w:i/>
        </w:rPr>
        <w:t>Fuel Security Act 2021</w:t>
      </w:r>
      <w:r w:rsidR="008F1D15" w:rsidRPr="00066581">
        <w:t>”</w:t>
      </w:r>
      <w:r w:rsidRPr="00066581">
        <w:t>.</w:t>
      </w:r>
    </w:p>
    <w:p w14:paraId="11EF19F7" w14:textId="77777777" w:rsidR="00DA0723" w:rsidRPr="00066581" w:rsidRDefault="00424B2B" w:rsidP="00066581">
      <w:pPr>
        <w:pStyle w:val="ItemHead"/>
      </w:pPr>
      <w:r w:rsidRPr="00066581">
        <w:t>8</w:t>
      </w:r>
      <w:r w:rsidR="00DA0723" w:rsidRPr="00066581">
        <w:t xml:space="preserve">  At the end of </w:t>
      </w:r>
      <w:r w:rsidR="0031708F" w:rsidRPr="00066581">
        <w:t>section 5</w:t>
      </w:r>
    </w:p>
    <w:p w14:paraId="1CC3C577" w14:textId="77777777" w:rsidR="00DA0723" w:rsidRPr="00066581" w:rsidRDefault="00DA0723" w:rsidP="00066581">
      <w:pPr>
        <w:pStyle w:val="Item"/>
      </w:pPr>
      <w:r w:rsidRPr="00066581">
        <w:t>Add:</w:t>
      </w:r>
    </w:p>
    <w:p w14:paraId="1D7B2A91" w14:textId="77777777" w:rsidR="00DA0723" w:rsidRPr="00066581" w:rsidRDefault="00DA0723" w:rsidP="00066581">
      <w:pPr>
        <w:pStyle w:val="subsection"/>
      </w:pPr>
      <w:r w:rsidRPr="00066581">
        <w:tab/>
        <w:t>(4)</w:t>
      </w:r>
      <w:r w:rsidRPr="00066581">
        <w:tab/>
        <w:t xml:space="preserve">A person is taken to be </w:t>
      </w:r>
      <w:r w:rsidRPr="00066581">
        <w:rPr>
          <w:b/>
          <w:i/>
        </w:rPr>
        <w:t>holding stock</w:t>
      </w:r>
      <w:r w:rsidRPr="00066581">
        <w:t xml:space="preserve"> of a covered product that is an MSO product within the meaning of the </w:t>
      </w:r>
      <w:r w:rsidRPr="00066581">
        <w:rPr>
          <w:i/>
        </w:rPr>
        <w:t>Fuel Security Act 2021</w:t>
      </w:r>
      <w:r w:rsidRPr="00066581">
        <w:t xml:space="preserve"> if the person holds stocks of that product within the meaning of </w:t>
      </w:r>
      <w:r w:rsidR="0031708F" w:rsidRPr="00066581">
        <w:t>section 1</w:t>
      </w:r>
      <w:r w:rsidRPr="00066581">
        <w:t>9 of that Act.</w:t>
      </w:r>
    </w:p>
    <w:p w14:paraId="191CC955" w14:textId="77777777" w:rsidR="00DA09EE" w:rsidRPr="00066581" w:rsidRDefault="00424B2B" w:rsidP="00066581">
      <w:pPr>
        <w:pStyle w:val="ItemHead"/>
      </w:pPr>
      <w:r w:rsidRPr="00066581">
        <w:t>9</w:t>
      </w:r>
      <w:r w:rsidR="00DA09EE" w:rsidRPr="00066581">
        <w:t xml:space="preserve">  </w:t>
      </w:r>
      <w:r w:rsidR="00AB1301" w:rsidRPr="00066581">
        <w:t>Sub</w:t>
      </w:r>
      <w:r w:rsidR="0031708F" w:rsidRPr="00066581">
        <w:t>section 1</w:t>
      </w:r>
      <w:r w:rsidR="00674C80" w:rsidRPr="00066581">
        <w:t>1(4) (at the end of note 2)</w:t>
      </w:r>
    </w:p>
    <w:p w14:paraId="00646E64" w14:textId="77777777" w:rsidR="00674C80" w:rsidRPr="00066581" w:rsidRDefault="00674C80" w:rsidP="00066581">
      <w:pPr>
        <w:pStyle w:val="Item"/>
      </w:pPr>
      <w:r w:rsidRPr="00066581">
        <w:t xml:space="preserve">Add </w:t>
      </w:r>
      <w:r w:rsidR="008F1D15" w:rsidRPr="00066581">
        <w:t>“</w:t>
      </w:r>
      <w:r w:rsidRPr="00066581">
        <w:t xml:space="preserve">There is also a civil penalty for persons providing false or misleading information in relation to the </w:t>
      </w:r>
      <w:r w:rsidRPr="00066581">
        <w:rPr>
          <w:i/>
        </w:rPr>
        <w:t>Fuel Security Act 2021</w:t>
      </w:r>
      <w:r w:rsidRPr="00066581">
        <w:t xml:space="preserve"> (see </w:t>
      </w:r>
      <w:r w:rsidR="0031708F" w:rsidRPr="00066581">
        <w:t>section 1</w:t>
      </w:r>
      <w:r w:rsidRPr="00066581">
        <w:t>3A of this Act).</w:t>
      </w:r>
      <w:r w:rsidR="008F1D15" w:rsidRPr="00066581">
        <w:t>”</w:t>
      </w:r>
      <w:r w:rsidR="00AB1301" w:rsidRPr="00066581">
        <w:t>.</w:t>
      </w:r>
    </w:p>
    <w:p w14:paraId="27EBA1C2" w14:textId="77777777" w:rsidR="00E0462B" w:rsidRPr="00066581" w:rsidRDefault="00424B2B" w:rsidP="00066581">
      <w:pPr>
        <w:pStyle w:val="ItemHead"/>
      </w:pPr>
      <w:r w:rsidRPr="00066581">
        <w:t>10</w:t>
      </w:r>
      <w:r w:rsidR="00E0462B" w:rsidRPr="00066581">
        <w:t xml:space="preserve">  At the end of </w:t>
      </w:r>
      <w:r w:rsidR="00705B65" w:rsidRPr="00066581">
        <w:t>Part 2</w:t>
      </w:r>
    </w:p>
    <w:p w14:paraId="15A9687F" w14:textId="77777777" w:rsidR="00E0462B" w:rsidRPr="00066581" w:rsidRDefault="00E0462B" w:rsidP="00066581">
      <w:pPr>
        <w:pStyle w:val="Item"/>
      </w:pPr>
      <w:r w:rsidRPr="00066581">
        <w:t>Add:</w:t>
      </w:r>
    </w:p>
    <w:p w14:paraId="1F1A89E9" w14:textId="77777777" w:rsidR="00E0462B" w:rsidRPr="00066581" w:rsidRDefault="00E0462B" w:rsidP="00066581">
      <w:pPr>
        <w:pStyle w:val="ActHead5"/>
        <w:rPr>
          <w:i/>
        </w:rPr>
      </w:pPr>
      <w:bookmarkStart w:id="10" w:name="_Toc76034119"/>
      <w:r w:rsidRPr="00066581">
        <w:rPr>
          <w:rStyle w:val="CharSectno"/>
        </w:rPr>
        <w:t>13A</w:t>
      </w:r>
      <w:r w:rsidRPr="00066581">
        <w:t xml:space="preserve">  </w:t>
      </w:r>
      <w:r w:rsidR="001528F3" w:rsidRPr="00066581">
        <w:t>Civil penalty for f</w:t>
      </w:r>
      <w:r w:rsidR="004C3E93" w:rsidRPr="00066581">
        <w:t xml:space="preserve">alse or misleading information </w:t>
      </w:r>
      <w:r w:rsidR="003435F3" w:rsidRPr="00066581">
        <w:t>relating</w:t>
      </w:r>
      <w:r w:rsidR="004C3E93" w:rsidRPr="00066581">
        <w:t xml:space="preserve"> to </w:t>
      </w:r>
      <w:r w:rsidR="004C3E93" w:rsidRPr="00066581">
        <w:rPr>
          <w:i/>
        </w:rPr>
        <w:t>Fuel Security Act 2021</w:t>
      </w:r>
      <w:bookmarkEnd w:id="10"/>
    </w:p>
    <w:p w14:paraId="582964D8" w14:textId="77777777" w:rsidR="007B1A0E" w:rsidRPr="00066581" w:rsidRDefault="004C3E93" w:rsidP="00066581">
      <w:pPr>
        <w:pStyle w:val="subsection"/>
      </w:pPr>
      <w:r w:rsidRPr="00066581">
        <w:tab/>
      </w:r>
      <w:r w:rsidRPr="00066581">
        <w:tab/>
        <w:t xml:space="preserve">A person must not, in a report under </w:t>
      </w:r>
      <w:r w:rsidR="0031708F" w:rsidRPr="00066581">
        <w:t>section 1</w:t>
      </w:r>
      <w:r w:rsidRPr="00066581">
        <w:t>1, provide information</w:t>
      </w:r>
      <w:r w:rsidR="007B1A0E" w:rsidRPr="00066581">
        <w:t xml:space="preserve"> that</w:t>
      </w:r>
      <w:r w:rsidRPr="00066581">
        <w:t>:</w:t>
      </w:r>
    </w:p>
    <w:p w14:paraId="470E8AF5" w14:textId="77777777" w:rsidR="001528F3" w:rsidRPr="00066581" w:rsidRDefault="001528F3" w:rsidP="00066581">
      <w:pPr>
        <w:pStyle w:val="paragraph"/>
      </w:pPr>
      <w:r w:rsidRPr="00066581">
        <w:tab/>
        <w:t>(a)</w:t>
      </w:r>
      <w:r w:rsidRPr="00066581">
        <w:tab/>
        <w:t>relates to:</w:t>
      </w:r>
    </w:p>
    <w:p w14:paraId="13F5C6B4" w14:textId="77777777" w:rsidR="001528F3" w:rsidRPr="00066581" w:rsidRDefault="001528F3" w:rsidP="00066581">
      <w:pPr>
        <w:pStyle w:val="paragraphsub"/>
      </w:pPr>
      <w:r w:rsidRPr="00066581">
        <w:tab/>
        <w:t>(i)</w:t>
      </w:r>
      <w:r w:rsidRPr="00066581">
        <w:tab/>
        <w:t xml:space="preserve">whether a regulated entity that is subject to the minimum stockholding obligation under the </w:t>
      </w:r>
      <w:r w:rsidRPr="00066581">
        <w:rPr>
          <w:i/>
        </w:rPr>
        <w:t xml:space="preserve">Fuel Security Act 2021 </w:t>
      </w:r>
      <w:r w:rsidRPr="00066581">
        <w:t xml:space="preserve">is complying with </w:t>
      </w:r>
      <w:r w:rsidR="0031708F" w:rsidRPr="00066581">
        <w:t>section 7</w:t>
      </w:r>
      <w:r w:rsidRPr="00066581">
        <w:t xml:space="preserve"> of that Act;</w:t>
      </w:r>
      <w:r w:rsidR="00EF304E" w:rsidRPr="00066581">
        <w:t xml:space="preserve"> or</w:t>
      </w:r>
    </w:p>
    <w:p w14:paraId="56D497DE" w14:textId="77777777" w:rsidR="001528F3" w:rsidRPr="00066581" w:rsidRDefault="001528F3" w:rsidP="00066581">
      <w:pPr>
        <w:pStyle w:val="paragraphsub"/>
      </w:pPr>
      <w:r w:rsidRPr="00066581">
        <w:tab/>
        <w:t>(ii)</w:t>
      </w:r>
      <w:r w:rsidRPr="00066581">
        <w:tab/>
        <w:t xml:space="preserve">whether fuel security services payment is payable to a constitutional corporation under the </w:t>
      </w:r>
      <w:r w:rsidRPr="00066581">
        <w:rPr>
          <w:i/>
        </w:rPr>
        <w:t>Fuel Security Act 2021</w:t>
      </w:r>
      <w:r w:rsidRPr="00066581">
        <w:t>; and</w:t>
      </w:r>
    </w:p>
    <w:p w14:paraId="34D30D7F" w14:textId="77777777" w:rsidR="007B1A0E" w:rsidRPr="00066581" w:rsidRDefault="007B1A0E" w:rsidP="00066581">
      <w:pPr>
        <w:pStyle w:val="paragraph"/>
      </w:pPr>
      <w:r w:rsidRPr="00066581">
        <w:tab/>
        <w:t>(</w:t>
      </w:r>
      <w:r w:rsidR="001528F3" w:rsidRPr="00066581">
        <w:t>b</w:t>
      </w:r>
      <w:r w:rsidRPr="00066581">
        <w:t>)</w:t>
      </w:r>
      <w:r w:rsidRPr="00066581">
        <w:tab/>
      </w:r>
      <w:r w:rsidR="001528F3" w:rsidRPr="00066581">
        <w:t>i</w:t>
      </w:r>
      <w:r w:rsidRPr="00066581">
        <w:t>s false or misleading in a material particular</w:t>
      </w:r>
      <w:r w:rsidR="001528F3" w:rsidRPr="00066581">
        <w:t>,</w:t>
      </w:r>
      <w:r w:rsidRPr="00066581">
        <w:t xml:space="preserve"> or</w:t>
      </w:r>
      <w:r w:rsidR="001528F3" w:rsidRPr="00066581">
        <w:t xml:space="preserve"> </w:t>
      </w:r>
      <w:r w:rsidRPr="00066581">
        <w:t>omits a matter or thing without which the information is misleading in a material particular</w:t>
      </w:r>
      <w:r w:rsidR="001528F3" w:rsidRPr="00066581">
        <w:t>.</w:t>
      </w:r>
    </w:p>
    <w:p w14:paraId="1FB97F8E" w14:textId="77777777" w:rsidR="003435F3" w:rsidRPr="00066581" w:rsidRDefault="003435F3" w:rsidP="00066581">
      <w:pPr>
        <w:pStyle w:val="Penalty"/>
      </w:pPr>
      <w:r w:rsidRPr="00066581">
        <w:t>Civil penalty:</w:t>
      </w:r>
      <w:r w:rsidRPr="00066581">
        <w:tab/>
        <w:t>300 penalty units.</w:t>
      </w:r>
    </w:p>
    <w:p w14:paraId="2A5F29D4" w14:textId="77777777" w:rsidR="00984CB4" w:rsidRPr="00066581" w:rsidRDefault="00984CB4" w:rsidP="00066581">
      <w:pPr>
        <w:pStyle w:val="ActHead5"/>
        <w:rPr>
          <w:i/>
        </w:rPr>
      </w:pPr>
      <w:bookmarkStart w:id="11" w:name="_Toc76034120"/>
      <w:r w:rsidRPr="00066581">
        <w:rPr>
          <w:rStyle w:val="CharSectno"/>
        </w:rPr>
        <w:lastRenderedPageBreak/>
        <w:t>13B</w:t>
      </w:r>
      <w:r w:rsidRPr="00066581">
        <w:t xml:space="preserve">  Compliance audits relating to</w:t>
      </w:r>
      <w:r w:rsidR="007E64B0" w:rsidRPr="00066581">
        <w:t xml:space="preserve"> the</w:t>
      </w:r>
      <w:r w:rsidRPr="00066581">
        <w:t xml:space="preserve"> </w:t>
      </w:r>
      <w:r w:rsidRPr="00066581">
        <w:rPr>
          <w:i/>
        </w:rPr>
        <w:t>Fuel Security Act 2021</w:t>
      </w:r>
      <w:bookmarkEnd w:id="11"/>
    </w:p>
    <w:p w14:paraId="1FD4692F" w14:textId="77777777" w:rsidR="00402ACA" w:rsidRPr="00066581" w:rsidRDefault="00242F58" w:rsidP="00066581">
      <w:pPr>
        <w:pStyle w:val="subsection"/>
      </w:pPr>
      <w:r w:rsidRPr="00066581">
        <w:tab/>
        <w:t>(1)</w:t>
      </w:r>
      <w:r w:rsidRPr="00066581">
        <w:tab/>
        <w:t>The rules may make provision in relation to</w:t>
      </w:r>
      <w:r w:rsidR="005A09D2" w:rsidRPr="00066581">
        <w:t xml:space="preserve"> </w:t>
      </w:r>
      <w:r w:rsidR="00A666A0" w:rsidRPr="00066581">
        <w:t>the auditing of</w:t>
      </w:r>
      <w:r w:rsidRPr="00066581">
        <w:t xml:space="preserve"> </w:t>
      </w:r>
      <w:r w:rsidR="00342B1A" w:rsidRPr="00066581">
        <w:t xml:space="preserve">compliance with </w:t>
      </w:r>
      <w:r w:rsidR="0031708F" w:rsidRPr="00066581">
        <w:t>section 1</w:t>
      </w:r>
      <w:r w:rsidR="00342B1A" w:rsidRPr="00066581">
        <w:t>1, so far as th</w:t>
      </w:r>
      <w:r w:rsidR="00F846AF" w:rsidRPr="00066581">
        <w:t xml:space="preserve">at section relates to the giving of </w:t>
      </w:r>
      <w:r w:rsidR="00342B1A" w:rsidRPr="00066581">
        <w:t>reports</w:t>
      </w:r>
      <w:r w:rsidR="00F846AF" w:rsidRPr="00066581">
        <w:t xml:space="preserve"> </w:t>
      </w:r>
      <w:r w:rsidR="00A666A0" w:rsidRPr="00066581">
        <w:t>that relate</w:t>
      </w:r>
      <w:r w:rsidR="00F846AF" w:rsidRPr="00066581">
        <w:t xml:space="preserve"> to</w:t>
      </w:r>
      <w:r w:rsidR="00402ACA" w:rsidRPr="00066581">
        <w:t>:</w:t>
      </w:r>
    </w:p>
    <w:p w14:paraId="32D3E846" w14:textId="77777777" w:rsidR="00A71F51" w:rsidRPr="00066581" w:rsidRDefault="00402ACA" w:rsidP="00066581">
      <w:pPr>
        <w:pStyle w:val="paragraph"/>
      </w:pPr>
      <w:r w:rsidRPr="00066581">
        <w:tab/>
        <w:t>(a)</w:t>
      </w:r>
      <w:r w:rsidRPr="00066581">
        <w:tab/>
      </w:r>
      <w:r w:rsidR="0023532F" w:rsidRPr="00066581">
        <w:t>MSO activities undertaken in relation to MSO products by regulated entities</w:t>
      </w:r>
      <w:r w:rsidRPr="00066581">
        <w:t>; or</w:t>
      </w:r>
    </w:p>
    <w:p w14:paraId="068281C0" w14:textId="77777777" w:rsidR="00402ACA" w:rsidRPr="00066581" w:rsidRDefault="00402ACA" w:rsidP="00066581">
      <w:pPr>
        <w:pStyle w:val="paragraph"/>
      </w:pPr>
      <w:r w:rsidRPr="00066581">
        <w:tab/>
        <w:t>(b)</w:t>
      </w:r>
      <w:r w:rsidRPr="00066581">
        <w:tab/>
        <w:t>the refining of FSSP fuels.</w:t>
      </w:r>
    </w:p>
    <w:p w14:paraId="57B85EB1" w14:textId="77777777" w:rsidR="003568FC" w:rsidRPr="00066581" w:rsidRDefault="005A09D2" w:rsidP="00066581">
      <w:pPr>
        <w:pStyle w:val="subsection"/>
      </w:pPr>
      <w:r w:rsidRPr="00066581">
        <w:tab/>
        <w:t>(2)</w:t>
      </w:r>
      <w:r w:rsidRPr="00066581">
        <w:tab/>
      </w:r>
      <w:r w:rsidR="003568FC" w:rsidRPr="00066581">
        <w:t xml:space="preserve">Without limiting </w:t>
      </w:r>
      <w:r w:rsidR="0031708F" w:rsidRPr="00066581">
        <w:t>subsection (</w:t>
      </w:r>
      <w:r w:rsidR="003568FC" w:rsidRPr="00066581">
        <w:t>1), rules made for the purposes of that subsection may</w:t>
      </w:r>
      <w:r w:rsidR="00F65629" w:rsidRPr="00066581">
        <w:t xml:space="preserve"> do any of the following</w:t>
      </w:r>
      <w:r w:rsidR="003568FC" w:rsidRPr="00066581">
        <w:t>:</w:t>
      </w:r>
    </w:p>
    <w:p w14:paraId="57159221" w14:textId="77777777" w:rsidR="003568FC" w:rsidRPr="00066581" w:rsidRDefault="003568FC" w:rsidP="00066581">
      <w:pPr>
        <w:pStyle w:val="paragraph"/>
      </w:pPr>
      <w:r w:rsidRPr="00066581">
        <w:tab/>
        <w:t>(a)</w:t>
      </w:r>
      <w:r w:rsidRPr="00066581">
        <w:tab/>
        <w:t>empower the Secretary to require an audit to be conducted;</w:t>
      </w:r>
    </w:p>
    <w:p w14:paraId="7193D00E" w14:textId="77777777" w:rsidR="003568FC" w:rsidRPr="00066581" w:rsidRDefault="003568FC" w:rsidP="00066581">
      <w:pPr>
        <w:pStyle w:val="paragraph"/>
      </w:pPr>
      <w:r w:rsidRPr="00066581">
        <w:tab/>
        <w:t>(b)</w:t>
      </w:r>
      <w:r w:rsidRPr="00066581">
        <w:tab/>
        <w:t xml:space="preserve">prescribe matters to which an audit </w:t>
      </w:r>
      <w:r w:rsidR="00F65629" w:rsidRPr="00066581">
        <w:t>may</w:t>
      </w:r>
      <w:r w:rsidRPr="00066581">
        <w:t xml:space="preserve"> relate</w:t>
      </w:r>
      <w:r w:rsidR="00F65629" w:rsidRPr="00066581">
        <w:t xml:space="preserve"> or be required by the Secretary to relate;</w:t>
      </w:r>
    </w:p>
    <w:p w14:paraId="4EA1A1A5" w14:textId="77777777" w:rsidR="00F65629" w:rsidRPr="00066581" w:rsidRDefault="00F65629" w:rsidP="00066581">
      <w:pPr>
        <w:pStyle w:val="paragraph"/>
      </w:pPr>
      <w:r w:rsidRPr="00066581">
        <w:tab/>
        <w:t>(c)</w:t>
      </w:r>
      <w:r w:rsidRPr="00066581">
        <w:tab/>
        <w:t>prescribe persons who are authorised to conduct audits;</w:t>
      </w:r>
    </w:p>
    <w:p w14:paraId="29C31AD3" w14:textId="77777777" w:rsidR="00F65629" w:rsidRPr="00066581" w:rsidRDefault="00F65629" w:rsidP="00066581">
      <w:pPr>
        <w:pStyle w:val="paragraph"/>
      </w:pPr>
      <w:r w:rsidRPr="00066581">
        <w:tab/>
        <w:t>(d)</w:t>
      </w:r>
      <w:r w:rsidRPr="00066581">
        <w:tab/>
        <w:t>require reports of audits to</w:t>
      </w:r>
      <w:r w:rsidR="00C33F44" w:rsidRPr="00066581">
        <w:t xml:space="preserve"> accompany reports given under </w:t>
      </w:r>
      <w:r w:rsidR="0031708F" w:rsidRPr="00066581">
        <w:t>section 1</w:t>
      </w:r>
      <w:r w:rsidR="00C33F44" w:rsidRPr="00066581">
        <w:t>1 or otherwise</w:t>
      </w:r>
      <w:r w:rsidR="00B97C43" w:rsidRPr="00066581">
        <w:t xml:space="preserve"> </w:t>
      </w:r>
      <w:r w:rsidR="00C33F44" w:rsidRPr="00066581">
        <w:t>be given to the Secretary</w:t>
      </w:r>
      <w:r w:rsidRPr="00066581">
        <w:t>.</w:t>
      </w:r>
    </w:p>
    <w:p w14:paraId="3CE8C900" w14:textId="77777777" w:rsidR="003A02B4" w:rsidRPr="00066581" w:rsidRDefault="003A02B4" w:rsidP="00066581">
      <w:pPr>
        <w:pStyle w:val="subsection"/>
      </w:pPr>
      <w:r w:rsidRPr="00066581">
        <w:tab/>
        <w:t>(3)</w:t>
      </w:r>
      <w:r w:rsidRPr="00066581">
        <w:tab/>
        <w:t xml:space="preserve">The following expressions used in </w:t>
      </w:r>
      <w:r w:rsidR="0031708F" w:rsidRPr="00066581">
        <w:t>subsection (</w:t>
      </w:r>
      <w:r w:rsidRPr="00066581">
        <w:t>1)</w:t>
      </w:r>
      <w:r w:rsidRPr="00066581">
        <w:rPr>
          <w:i/>
        </w:rPr>
        <w:t xml:space="preserve"> </w:t>
      </w:r>
      <w:r w:rsidRPr="00066581">
        <w:t xml:space="preserve">have the same meaning as in the </w:t>
      </w:r>
      <w:r w:rsidRPr="00066581">
        <w:rPr>
          <w:i/>
        </w:rPr>
        <w:t>Fuel Security Act 2021</w:t>
      </w:r>
      <w:r w:rsidRPr="00066581">
        <w:t>:</w:t>
      </w:r>
    </w:p>
    <w:p w14:paraId="4973CF41" w14:textId="77777777" w:rsidR="003A02B4" w:rsidRPr="00066581" w:rsidRDefault="003A02B4" w:rsidP="00066581">
      <w:pPr>
        <w:pStyle w:val="paragraph"/>
      </w:pPr>
      <w:r w:rsidRPr="00066581">
        <w:tab/>
        <w:t>(a)</w:t>
      </w:r>
      <w:r w:rsidRPr="00066581">
        <w:tab/>
        <w:t>FSSP fuels;</w:t>
      </w:r>
    </w:p>
    <w:p w14:paraId="7AE2CAAC" w14:textId="77777777" w:rsidR="003A02B4" w:rsidRPr="00066581" w:rsidRDefault="003A02B4" w:rsidP="00066581">
      <w:pPr>
        <w:pStyle w:val="paragraph"/>
      </w:pPr>
      <w:r w:rsidRPr="00066581">
        <w:tab/>
        <w:t>(b)</w:t>
      </w:r>
      <w:r w:rsidRPr="00066581">
        <w:tab/>
        <w:t>MSO activity;</w:t>
      </w:r>
    </w:p>
    <w:p w14:paraId="6986356C" w14:textId="77777777" w:rsidR="003A02B4" w:rsidRPr="00066581" w:rsidRDefault="003A02B4" w:rsidP="00066581">
      <w:pPr>
        <w:pStyle w:val="paragraph"/>
      </w:pPr>
      <w:r w:rsidRPr="00066581">
        <w:tab/>
        <w:t>(c)</w:t>
      </w:r>
      <w:r w:rsidRPr="00066581">
        <w:tab/>
        <w:t>MSO product;</w:t>
      </w:r>
    </w:p>
    <w:p w14:paraId="5CBC63B3" w14:textId="77777777" w:rsidR="003A02B4" w:rsidRPr="00066581" w:rsidRDefault="003A02B4" w:rsidP="00066581">
      <w:pPr>
        <w:pStyle w:val="paragraph"/>
      </w:pPr>
      <w:r w:rsidRPr="00066581">
        <w:tab/>
        <w:t>(d)</w:t>
      </w:r>
      <w:r w:rsidRPr="00066581">
        <w:tab/>
        <w:t>regulated entity.</w:t>
      </w:r>
    </w:p>
    <w:p w14:paraId="4249A058" w14:textId="77777777" w:rsidR="00AD64FE" w:rsidRPr="00066581" w:rsidRDefault="00AD64FE" w:rsidP="00066581">
      <w:pPr>
        <w:pStyle w:val="ActHead5"/>
      </w:pPr>
      <w:bookmarkStart w:id="12" w:name="_Toc76034121"/>
      <w:r w:rsidRPr="00066581">
        <w:rPr>
          <w:rStyle w:val="CharSectno"/>
        </w:rPr>
        <w:t>13C</w:t>
      </w:r>
      <w:r w:rsidRPr="00066581">
        <w:t xml:space="preserve">  Duty to provide reasonable facilities and assistance for audit</w:t>
      </w:r>
      <w:bookmarkEnd w:id="12"/>
    </w:p>
    <w:p w14:paraId="1D993367" w14:textId="77777777" w:rsidR="00F12CC8" w:rsidRPr="00066581" w:rsidRDefault="0061387A" w:rsidP="00066581">
      <w:pPr>
        <w:pStyle w:val="subsection"/>
      </w:pPr>
      <w:r w:rsidRPr="00066581">
        <w:tab/>
        <w:t>(1)</w:t>
      </w:r>
      <w:r w:rsidRPr="00066581">
        <w:tab/>
        <w:t xml:space="preserve">A person affected by an audit required to be conducted under rules made for the purposes of </w:t>
      </w:r>
      <w:r w:rsidR="0031708F" w:rsidRPr="00066581">
        <w:t>subsection 1</w:t>
      </w:r>
      <w:r w:rsidRPr="00066581">
        <w:t xml:space="preserve">3B(1) </w:t>
      </w:r>
      <w:r w:rsidR="00A45392" w:rsidRPr="00066581">
        <w:t>must provide</w:t>
      </w:r>
      <w:r w:rsidR="00660151" w:rsidRPr="00066581">
        <w:t xml:space="preserve"> </w:t>
      </w:r>
      <w:r w:rsidR="00A45392" w:rsidRPr="00066581">
        <w:t>the person conducting the audit</w:t>
      </w:r>
      <w:r w:rsidR="00EA3C99" w:rsidRPr="00066581">
        <w:t xml:space="preserve"> (the </w:t>
      </w:r>
      <w:r w:rsidR="00EA3C99" w:rsidRPr="00066581">
        <w:rPr>
          <w:b/>
          <w:i/>
        </w:rPr>
        <w:t>audit team leader</w:t>
      </w:r>
      <w:r w:rsidR="00EA3C99" w:rsidRPr="00066581">
        <w:t>)</w:t>
      </w:r>
      <w:r w:rsidR="003E4CB3" w:rsidRPr="00066581">
        <w:t>,</w:t>
      </w:r>
      <w:r w:rsidR="00A45392" w:rsidRPr="00066581">
        <w:t xml:space="preserve"> and</w:t>
      </w:r>
      <w:r w:rsidR="00660151" w:rsidRPr="00066581">
        <w:t xml:space="preserve"> </w:t>
      </w:r>
      <w:r w:rsidR="00A45392" w:rsidRPr="00066581">
        <w:t xml:space="preserve">any person assisting </w:t>
      </w:r>
      <w:r w:rsidR="00EA3C99" w:rsidRPr="00066581">
        <w:t>the audit team leader</w:t>
      </w:r>
      <w:r w:rsidR="00A45392" w:rsidRPr="00066581">
        <w:t xml:space="preserve"> in the conduct of the audit</w:t>
      </w:r>
      <w:r w:rsidR="00660151" w:rsidRPr="00066581">
        <w:t xml:space="preserve">, </w:t>
      </w:r>
      <w:r w:rsidR="00A45392" w:rsidRPr="00066581">
        <w:t xml:space="preserve">with all reasonable facilities and assistance necessary for the effective exercise of the </w:t>
      </w:r>
      <w:r w:rsidR="00CD55DC" w:rsidRPr="00066581">
        <w:t>audit team leader</w:t>
      </w:r>
      <w:r w:rsidR="008F1D15" w:rsidRPr="00066581">
        <w:t>’</w:t>
      </w:r>
      <w:r w:rsidR="00CD55DC" w:rsidRPr="00066581">
        <w:t xml:space="preserve">s </w:t>
      </w:r>
      <w:r w:rsidR="00A45392" w:rsidRPr="00066581">
        <w:t>duties</w:t>
      </w:r>
      <w:r w:rsidR="00660151" w:rsidRPr="00066581">
        <w:t xml:space="preserve"> in relation to the audit</w:t>
      </w:r>
      <w:r w:rsidR="00A45392" w:rsidRPr="00066581">
        <w:t>.</w:t>
      </w:r>
    </w:p>
    <w:p w14:paraId="1955AB52" w14:textId="77777777" w:rsidR="00A45392" w:rsidRPr="00066581" w:rsidRDefault="00A45392" w:rsidP="00066581">
      <w:pPr>
        <w:pStyle w:val="Penalty"/>
      </w:pPr>
      <w:r w:rsidRPr="00066581">
        <w:t>Civil penalty:</w:t>
      </w:r>
      <w:r w:rsidRPr="00066581">
        <w:tab/>
        <w:t>250 penalty units.</w:t>
      </w:r>
    </w:p>
    <w:p w14:paraId="069A2569" w14:textId="77777777" w:rsidR="00A45392" w:rsidRPr="00066581" w:rsidRDefault="00A45392" w:rsidP="00066581">
      <w:pPr>
        <w:pStyle w:val="subsection"/>
      </w:pPr>
      <w:r w:rsidRPr="00066581">
        <w:tab/>
        <w:t>(</w:t>
      </w:r>
      <w:r w:rsidR="00EB0D2A" w:rsidRPr="00066581">
        <w:t>2</w:t>
      </w:r>
      <w:r w:rsidRPr="00066581">
        <w:t>)</w:t>
      </w:r>
      <w:r w:rsidRPr="00066581">
        <w:tab/>
        <w:t>A</w:t>
      </w:r>
      <w:r w:rsidR="0061387A" w:rsidRPr="00066581">
        <w:t xml:space="preserve"> person is </w:t>
      </w:r>
      <w:r w:rsidRPr="00066581">
        <w:rPr>
          <w:b/>
          <w:i/>
        </w:rPr>
        <w:t>affected</w:t>
      </w:r>
      <w:r w:rsidR="0061387A" w:rsidRPr="00066581">
        <w:t xml:space="preserve"> by </w:t>
      </w:r>
      <w:r w:rsidRPr="00066581">
        <w:t>an audit</w:t>
      </w:r>
      <w:r w:rsidR="0061387A" w:rsidRPr="00066581">
        <w:t xml:space="preserve"> if the person</w:t>
      </w:r>
      <w:r w:rsidRPr="00066581">
        <w:t xml:space="preserve"> is</w:t>
      </w:r>
      <w:r w:rsidR="00660151" w:rsidRPr="00066581">
        <w:t xml:space="preserve"> any of the following</w:t>
      </w:r>
      <w:r w:rsidRPr="00066581">
        <w:t>:</w:t>
      </w:r>
    </w:p>
    <w:p w14:paraId="6299DE98" w14:textId="77777777" w:rsidR="00A45392" w:rsidRPr="00066581" w:rsidRDefault="00A45392" w:rsidP="00066581">
      <w:pPr>
        <w:pStyle w:val="paragraph"/>
      </w:pPr>
      <w:r w:rsidRPr="00066581">
        <w:tab/>
        <w:t>(a)</w:t>
      </w:r>
      <w:r w:rsidRPr="00066581">
        <w:tab/>
        <w:t>the person being audited;</w:t>
      </w:r>
    </w:p>
    <w:p w14:paraId="43FD68ED" w14:textId="77777777" w:rsidR="00AD64FE" w:rsidRPr="00066581" w:rsidRDefault="00A45392" w:rsidP="00066581">
      <w:pPr>
        <w:pStyle w:val="paragraph"/>
      </w:pPr>
      <w:r w:rsidRPr="00066581">
        <w:lastRenderedPageBreak/>
        <w:tab/>
        <w:t>(b)</w:t>
      </w:r>
      <w:r w:rsidRPr="00066581">
        <w:tab/>
        <w:t>if the</w:t>
      </w:r>
      <w:r w:rsidR="00AD64FE" w:rsidRPr="00066581">
        <w:t xml:space="preserve"> audit relates to compliance with </w:t>
      </w:r>
      <w:r w:rsidR="0031708F" w:rsidRPr="00066581">
        <w:t>section 1</w:t>
      </w:r>
      <w:r w:rsidR="00AD64FE" w:rsidRPr="00066581">
        <w:t>1 so far as that section relates to the giving of reports that relate to MSO activities undertaken in relation to MSO products by a regulated entity:</w:t>
      </w:r>
    </w:p>
    <w:p w14:paraId="6BAF21AA" w14:textId="77777777" w:rsidR="00A45392" w:rsidRPr="00066581" w:rsidRDefault="00AD64FE" w:rsidP="00066581">
      <w:pPr>
        <w:pStyle w:val="paragraphsub"/>
      </w:pPr>
      <w:r w:rsidRPr="00066581">
        <w:tab/>
        <w:t>(i)</w:t>
      </w:r>
      <w:r w:rsidRPr="00066581">
        <w:tab/>
        <w:t xml:space="preserve">the regulated entity; </w:t>
      </w:r>
      <w:r w:rsidR="00660151" w:rsidRPr="00066581">
        <w:t>or</w:t>
      </w:r>
    </w:p>
    <w:p w14:paraId="38AB613B" w14:textId="77777777" w:rsidR="00AD64FE" w:rsidRPr="00066581" w:rsidRDefault="00AD64FE" w:rsidP="00066581">
      <w:pPr>
        <w:pStyle w:val="paragraphsub"/>
      </w:pPr>
      <w:r w:rsidRPr="00066581">
        <w:tab/>
        <w:t>(ii)</w:t>
      </w:r>
      <w:r w:rsidRPr="00066581">
        <w:tab/>
        <w:t xml:space="preserve">if the regulated entity has an Australian controlling corporation—the Australian controlling corporation; </w:t>
      </w:r>
      <w:r w:rsidR="00660151" w:rsidRPr="00066581">
        <w:t>or</w:t>
      </w:r>
    </w:p>
    <w:p w14:paraId="21BDF29F" w14:textId="77777777" w:rsidR="00AD64FE" w:rsidRPr="00066581" w:rsidRDefault="00AD64FE" w:rsidP="00066581">
      <w:pPr>
        <w:pStyle w:val="paragraphsub"/>
      </w:pPr>
      <w:r w:rsidRPr="00066581">
        <w:tab/>
        <w:t>(iii)</w:t>
      </w:r>
      <w:r w:rsidRPr="00066581">
        <w:tab/>
        <w:t>any entity in possession of stocks of an MSO product that are held</w:t>
      </w:r>
      <w:r w:rsidR="003A02B4" w:rsidRPr="00066581">
        <w:t xml:space="preserve"> (within the meaning of </w:t>
      </w:r>
      <w:r w:rsidR="0031708F" w:rsidRPr="00066581">
        <w:t>section 1</w:t>
      </w:r>
      <w:r w:rsidR="003A02B4" w:rsidRPr="00066581">
        <w:t xml:space="preserve">9 of the </w:t>
      </w:r>
      <w:r w:rsidR="003A02B4" w:rsidRPr="00066581">
        <w:rPr>
          <w:i/>
        </w:rPr>
        <w:t>Fuel Security Act 2021</w:t>
      </w:r>
      <w:r w:rsidR="003A02B4" w:rsidRPr="00066581">
        <w:t>)</w:t>
      </w:r>
      <w:r w:rsidRPr="00066581">
        <w:t xml:space="preserve"> by the regulated entity;</w:t>
      </w:r>
    </w:p>
    <w:p w14:paraId="0F117D9B" w14:textId="77777777" w:rsidR="00AD64FE" w:rsidRPr="00066581" w:rsidRDefault="00AD64FE" w:rsidP="00066581">
      <w:pPr>
        <w:pStyle w:val="paragraph"/>
      </w:pPr>
      <w:r w:rsidRPr="00066581">
        <w:tab/>
        <w:t>(c)</w:t>
      </w:r>
      <w:r w:rsidRPr="00066581">
        <w:tab/>
        <w:t xml:space="preserve">if the audit relates to compliance with </w:t>
      </w:r>
      <w:r w:rsidR="0031708F" w:rsidRPr="00066581">
        <w:t>section 1</w:t>
      </w:r>
      <w:r w:rsidRPr="00066581">
        <w:t xml:space="preserve">1 so far as that section relates to the giving of reports that relate to </w:t>
      </w:r>
      <w:r w:rsidR="003E4CB3" w:rsidRPr="00066581">
        <w:t>the refining of FSSP fuels by</w:t>
      </w:r>
      <w:r w:rsidRPr="00066581">
        <w:t xml:space="preserve"> a constitutional corporation</w:t>
      </w:r>
      <w:r w:rsidR="000E3BC4" w:rsidRPr="00066581">
        <w:t>—</w:t>
      </w:r>
      <w:r w:rsidRPr="00066581">
        <w:t>the constitutional corporation</w:t>
      </w:r>
      <w:r w:rsidR="000E3BC4" w:rsidRPr="00066581">
        <w:t>.</w:t>
      </w:r>
    </w:p>
    <w:p w14:paraId="2D0C4D7F" w14:textId="77777777" w:rsidR="00F94450" w:rsidRPr="00066581" w:rsidRDefault="00F94450" w:rsidP="00066581">
      <w:pPr>
        <w:pStyle w:val="subsection"/>
      </w:pPr>
      <w:r w:rsidRPr="00066581">
        <w:tab/>
        <w:t>(3)</w:t>
      </w:r>
      <w:r w:rsidRPr="00066581">
        <w:tab/>
        <w:t xml:space="preserve">The following expressions used in </w:t>
      </w:r>
      <w:r w:rsidR="0031708F" w:rsidRPr="00066581">
        <w:t>subsection (</w:t>
      </w:r>
      <w:r w:rsidRPr="00066581">
        <w:t>2)</w:t>
      </w:r>
      <w:r w:rsidRPr="00066581">
        <w:rPr>
          <w:i/>
        </w:rPr>
        <w:t xml:space="preserve"> </w:t>
      </w:r>
      <w:r w:rsidRPr="00066581">
        <w:t xml:space="preserve">have the same meaning as in the </w:t>
      </w:r>
      <w:r w:rsidRPr="00066581">
        <w:rPr>
          <w:i/>
        </w:rPr>
        <w:t>Fuel Security Act 2021</w:t>
      </w:r>
      <w:r w:rsidRPr="00066581">
        <w:t>:</w:t>
      </w:r>
    </w:p>
    <w:p w14:paraId="4C05BEBA" w14:textId="77777777" w:rsidR="00F94450" w:rsidRPr="00066581" w:rsidRDefault="00F94450" w:rsidP="00066581">
      <w:pPr>
        <w:pStyle w:val="paragraph"/>
      </w:pPr>
      <w:r w:rsidRPr="00066581">
        <w:tab/>
        <w:t>(a)</w:t>
      </w:r>
      <w:r w:rsidRPr="00066581">
        <w:tab/>
        <w:t>FSSP fuels;</w:t>
      </w:r>
    </w:p>
    <w:p w14:paraId="1372CB40" w14:textId="77777777" w:rsidR="00F94450" w:rsidRPr="00066581" w:rsidRDefault="00F94450" w:rsidP="00066581">
      <w:pPr>
        <w:pStyle w:val="paragraph"/>
      </w:pPr>
      <w:r w:rsidRPr="00066581">
        <w:tab/>
        <w:t>(b)</w:t>
      </w:r>
      <w:r w:rsidRPr="00066581">
        <w:tab/>
        <w:t>MSO activity;</w:t>
      </w:r>
    </w:p>
    <w:p w14:paraId="35EC1C62" w14:textId="77777777" w:rsidR="00F94450" w:rsidRPr="00066581" w:rsidRDefault="00F94450" w:rsidP="00066581">
      <w:pPr>
        <w:pStyle w:val="paragraph"/>
      </w:pPr>
      <w:r w:rsidRPr="00066581">
        <w:tab/>
        <w:t>(c)</w:t>
      </w:r>
      <w:r w:rsidRPr="00066581">
        <w:tab/>
        <w:t>MSO product;</w:t>
      </w:r>
    </w:p>
    <w:p w14:paraId="3E09B60A" w14:textId="77777777" w:rsidR="00F94450" w:rsidRPr="00066581" w:rsidRDefault="00F94450" w:rsidP="00066581">
      <w:pPr>
        <w:pStyle w:val="paragraph"/>
      </w:pPr>
      <w:r w:rsidRPr="00066581">
        <w:tab/>
        <w:t>(d)</w:t>
      </w:r>
      <w:r w:rsidRPr="00066581">
        <w:tab/>
        <w:t>regulated entity.</w:t>
      </w:r>
    </w:p>
    <w:p w14:paraId="159980B1" w14:textId="77777777" w:rsidR="00EB0D2A" w:rsidRPr="00066581" w:rsidRDefault="00EB0D2A" w:rsidP="00066581">
      <w:pPr>
        <w:pStyle w:val="ActHead5"/>
      </w:pPr>
      <w:bookmarkStart w:id="13" w:name="_Toc76034122"/>
      <w:r w:rsidRPr="00066581">
        <w:rPr>
          <w:rStyle w:val="CharSectno"/>
        </w:rPr>
        <w:t>13D</w:t>
      </w:r>
      <w:r w:rsidRPr="00066581">
        <w:t xml:space="preserve">  Duty to comply with requirement</w:t>
      </w:r>
      <w:r w:rsidR="008F0961" w:rsidRPr="00066581">
        <w:t>s</w:t>
      </w:r>
      <w:r w:rsidRPr="00066581">
        <w:t xml:space="preserve"> in relation to report of audit</w:t>
      </w:r>
      <w:bookmarkEnd w:id="13"/>
    </w:p>
    <w:p w14:paraId="3CEABEB9" w14:textId="77777777" w:rsidR="00EB0D2A" w:rsidRPr="00066581" w:rsidRDefault="00EB0D2A" w:rsidP="00066581">
      <w:pPr>
        <w:pStyle w:val="subsection"/>
      </w:pPr>
      <w:r w:rsidRPr="00066581">
        <w:tab/>
        <w:t>(1)</w:t>
      </w:r>
      <w:r w:rsidRPr="00066581">
        <w:tab/>
        <w:t xml:space="preserve">A person who is required to give the Secretary a report under </w:t>
      </w:r>
      <w:r w:rsidR="0031708F" w:rsidRPr="00066581">
        <w:t>section 1</w:t>
      </w:r>
      <w:r w:rsidRPr="00066581">
        <w:t xml:space="preserve">1 must comply with any rules prescribed for the purposes of </w:t>
      </w:r>
      <w:r w:rsidR="0031708F" w:rsidRPr="00066581">
        <w:t>subsection 1</w:t>
      </w:r>
      <w:r w:rsidRPr="00066581">
        <w:t>3B(1) requi</w:t>
      </w:r>
      <w:r w:rsidR="008F0961" w:rsidRPr="00066581">
        <w:t>ring</w:t>
      </w:r>
      <w:r w:rsidRPr="00066581">
        <w:t xml:space="preserve"> a report of an audit to accompany the report under </w:t>
      </w:r>
      <w:r w:rsidR="0031708F" w:rsidRPr="00066581">
        <w:t>section 1</w:t>
      </w:r>
      <w:r w:rsidRPr="00066581">
        <w:t>1.</w:t>
      </w:r>
    </w:p>
    <w:p w14:paraId="14A3906F" w14:textId="77777777" w:rsidR="00EB0D2A" w:rsidRPr="00066581" w:rsidRDefault="00EB0D2A" w:rsidP="00066581">
      <w:pPr>
        <w:pStyle w:val="Penalty"/>
      </w:pPr>
      <w:r w:rsidRPr="00066581">
        <w:t>Civil penalty:</w:t>
      </w:r>
      <w:r w:rsidRPr="00066581">
        <w:tab/>
        <w:t>250 penalty units.</w:t>
      </w:r>
    </w:p>
    <w:p w14:paraId="61E8A1E7" w14:textId="77777777" w:rsidR="00EB0D2A" w:rsidRPr="00066581" w:rsidRDefault="00EB0D2A" w:rsidP="00066581">
      <w:pPr>
        <w:pStyle w:val="subsection"/>
      </w:pPr>
      <w:r w:rsidRPr="00066581">
        <w:tab/>
        <w:t>(2)</w:t>
      </w:r>
      <w:r w:rsidRPr="00066581">
        <w:tab/>
        <w:t xml:space="preserve">A person who is required by any rules prescribed for the purposes of </w:t>
      </w:r>
      <w:r w:rsidR="0031708F" w:rsidRPr="00066581">
        <w:t>subsection 1</w:t>
      </w:r>
      <w:r w:rsidRPr="00066581">
        <w:t xml:space="preserve">3B(1) to give a report of an audit to the Secretary must </w:t>
      </w:r>
      <w:r w:rsidR="008F0961" w:rsidRPr="00066581">
        <w:t xml:space="preserve">give the report </w:t>
      </w:r>
      <w:r w:rsidR="003E4CB3" w:rsidRPr="00066581">
        <w:t xml:space="preserve">of the audit </w:t>
      </w:r>
      <w:r w:rsidR="008F0961" w:rsidRPr="00066581">
        <w:t>to the Secretary in accordance with the rules</w:t>
      </w:r>
      <w:r w:rsidRPr="00066581">
        <w:t>.</w:t>
      </w:r>
    </w:p>
    <w:p w14:paraId="349801DF" w14:textId="77777777" w:rsidR="00EB0D2A" w:rsidRPr="00066581" w:rsidRDefault="00EB0D2A" w:rsidP="00066581">
      <w:pPr>
        <w:pStyle w:val="Penalty"/>
      </w:pPr>
      <w:r w:rsidRPr="00066581">
        <w:t>Civil penalty:</w:t>
      </w:r>
      <w:r w:rsidRPr="00066581">
        <w:tab/>
        <w:t>250 penalty units.</w:t>
      </w:r>
    </w:p>
    <w:p w14:paraId="468C9184" w14:textId="77777777" w:rsidR="00CA2101" w:rsidRPr="00066581" w:rsidRDefault="00424B2B" w:rsidP="00066581">
      <w:pPr>
        <w:pStyle w:val="ItemHead"/>
      </w:pPr>
      <w:r w:rsidRPr="00066581">
        <w:t>11</w:t>
      </w:r>
      <w:r w:rsidR="00CA2101" w:rsidRPr="00066581">
        <w:t xml:space="preserve">  </w:t>
      </w:r>
      <w:r w:rsidR="00705B65" w:rsidRPr="00066581">
        <w:t>Section 1</w:t>
      </w:r>
      <w:r w:rsidR="00CA2101" w:rsidRPr="00066581">
        <w:t>4</w:t>
      </w:r>
      <w:r w:rsidR="003046E4" w:rsidRPr="00066581">
        <w:t xml:space="preserve"> (paragraph beginning </w:t>
      </w:r>
      <w:r w:rsidR="008F1D15" w:rsidRPr="00066581">
        <w:t>“</w:t>
      </w:r>
      <w:r w:rsidR="003046E4" w:rsidRPr="00066581">
        <w:t>Fuel information</w:t>
      </w:r>
      <w:r w:rsidR="008F1D15" w:rsidRPr="00066581">
        <w:t>”</w:t>
      </w:r>
      <w:r w:rsidR="003046E4" w:rsidRPr="00066581">
        <w:t>)</w:t>
      </w:r>
    </w:p>
    <w:p w14:paraId="19B75610" w14:textId="77777777" w:rsidR="003046E4" w:rsidRPr="00066581" w:rsidRDefault="003046E4" w:rsidP="00066581">
      <w:pPr>
        <w:pStyle w:val="Item"/>
      </w:pPr>
      <w:r w:rsidRPr="00066581">
        <w:t>Repeal the paragraph, substitute:</w:t>
      </w:r>
    </w:p>
    <w:p w14:paraId="296D66E0" w14:textId="77777777" w:rsidR="003046E4" w:rsidRPr="00066581" w:rsidRDefault="003046E4" w:rsidP="00066581">
      <w:pPr>
        <w:pStyle w:val="SOText"/>
      </w:pPr>
      <w:r w:rsidRPr="00066581">
        <w:lastRenderedPageBreak/>
        <w:t xml:space="preserve">Fuel information is raw data or value added information product that relates to covered activities, or to the quantity, quality or characteristics of covered products, or to the holding (within the meaning of the </w:t>
      </w:r>
      <w:r w:rsidRPr="00066581">
        <w:rPr>
          <w:i/>
        </w:rPr>
        <w:t>Fuel Security Act 2021</w:t>
      </w:r>
      <w:r w:rsidRPr="00066581">
        <w:t xml:space="preserve">) of certain covered products. </w:t>
      </w:r>
      <w:r w:rsidR="00F0094C" w:rsidRPr="00066581">
        <w:t>Fuel information</w:t>
      </w:r>
      <w:r w:rsidRPr="00066581">
        <w:t xml:space="preserve"> includes metadata</w:t>
      </w:r>
      <w:r w:rsidR="00AC2C75" w:rsidRPr="00066581">
        <w:t xml:space="preserve"> describing such data</w:t>
      </w:r>
      <w:r w:rsidR="00FD3B48" w:rsidRPr="00066581">
        <w:t>,</w:t>
      </w:r>
      <w:r w:rsidR="00AC2C75" w:rsidRPr="00066581">
        <w:t xml:space="preserve"> and </w:t>
      </w:r>
      <w:r w:rsidRPr="00066581">
        <w:t>contextual information.</w:t>
      </w:r>
    </w:p>
    <w:p w14:paraId="651068A7" w14:textId="77777777" w:rsidR="009444C9" w:rsidRPr="00066581" w:rsidRDefault="00424B2B" w:rsidP="00066581">
      <w:pPr>
        <w:pStyle w:val="ItemHead"/>
      </w:pPr>
      <w:r w:rsidRPr="00066581">
        <w:t>12</w:t>
      </w:r>
      <w:r w:rsidR="009444C9" w:rsidRPr="00066581">
        <w:t xml:space="preserve">  </w:t>
      </w:r>
      <w:r w:rsidR="0013148E" w:rsidRPr="00066581">
        <w:t xml:space="preserve">At the end of </w:t>
      </w:r>
      <w:r w:rsidR="00AB1301" w:rsidRPr="00066581">
        <w:t>section 2</w:t>
      </w:r>
      <w:r w:rsidR="0013148E" w:rsidRPr="00066581">
        <w:t>1</w:t>
      </w:r>
    </w:p>
    <w:p w14:paraId="418BC13C" w14:textId="77777777" w:rsidR="0013148E" w:rsidRPr="00066581" w:rsidRDefault="0013148E" w:rsidP="00066581">
      <w:pPr>
        <w:pStyle w:val="Item"/>
      </w:pPr>
      <w:r w:rsidRPr="00066581">
        <w:t>Add:</w:t>
      </w:r>
    </w:p>
    <w:p w14:paraId="2980EA39" w14:textId="77777777" w:rsidR="0013148E" w:rsidRPr="00066581" w:rsidRDefault="0013148E" w:rsidP="00066581">
      <w:pPr>
        <w:pStyle w:val="notetext"/>
        <w:rPr>
          <w:i/>
        </w:rPr>
      </w:pPr>
      <w:r w:rsidRPr="00066581">
        <w:t>Note:</w:t>
      </w:r>
      <w:r w:rsidRPr="00066581">
        <w:tab/>
      </w:r>
      <w:r w:rsidR="0085383A" w:rsidRPr="00066581">
        <w:t xml:space="preserve">The </w:t>
      </w:r>
      <w:r w:rsidRPr="00066581">
        <w:t xml:space="preserve">powers, functions and duties </w:t>
      </w:r>
      <w:r w:rsidR="0085383A" w:rsidRPr="00066581">
        <w:t xml:space="preserve">of entrusted persons </w:t>
      </w:r>
      <w:r w:rsidR="00274FCE" w:rsidRPr="00066581">
        <w:t xml:space="preserve">are not limited to those conferred or imposed </w:t>
      </w:r>
      <w:r w:rsidR="007151B5" w:rsidRPr="00066581">
        <w:t>by</w:t>
      </w:r>
      <w:r w:rsidR="00274FCE" w:rsidRPr="00066581">
        <w:t xml:space="preserve"> this Act.</w:t>
      </w:r>
    </w:p>
    <w:p w14:paraId="51A654DD" w14:textId="77777777" w:rsidR="002F2CAF" w:rsidRPr="00066581" w:rsidRDefault="00424B2B" w:rsidP="00066581">
      <w:pPr>
        <w:pStyle w:val="ItemHead"/>
      </w:pPr>
      <w:r w:rsidRPr="00066581">
        <w:t>13</w:t>
      </w:r>
      <w:r w:rsidR="002F2CAF" w:rsidRPr="00066581">
        <w:t xml:space="preserve">  </w:t>
      </w:r>
      <w:r w:rsidR="00984CB4" w:rsidRPr="00066581">
        <w:t xml:space="preserve">At the end of </w:t>
      </w:r>
      <w:r w:rsidR="00705B65" w:rsidRPr="00066581">
        <w:t>sub</w:t>
      </w:r>
      <w:r w:rsidR="0031708F" w:rsidRPr="00066581">
        <w:t>section 3</w:t>
      </w:r>
      <w:r w:rsidR="002F2CAF" w:rsidRPr="00066581">
        <w:t>1(1)</w:t>
      </w:r>
    </w:p>
    <w:p w14:paraId="7512790D" w14:textId="77777777" w:rsidR="002F2CAF" w:rsidRPr="00066581" w:rsidRDefault="00984CB4" w:rsidP="00066581">
      <w:pPr>
        <w:pStyle w:val="Item"/>
      </w:pPr>
      <w:r w:rsidRPr="00066581">
        <w:t xml:space="preserve">Add </w:t>
      </w:r>
      <w:r w:rsidR="008F1D15" w:rsidRPr="00066581">
        <w:t>“</w:t>
      </w:r>
      <w:r w:rsidRPr="00066581">
        <w:t xml:space="preserve">or the </w:t>
      </w:r>
      <w:r w:rsidRPr="00066581">
        <w:rPr>
          <w:i/>
        </w:rPr>
        <w:t>Fuel Security Act 2021</w:t>
      </w:r>
      <w:r w:rsidR="008F1D15" w:rsidRPr="00066581">
        <w:t>”</w:t>
      </w:r>
      <w:r w:rsidRPr="00066581">
        <w:t>.</w:t>
      </w:r>
    </w:p>
    <w:p w14:paraId="60BACE99" w14:textId="77777777" w:rsidR="00641FF4" w:rsidRPr="00066581" w:rsidRDefault="00424B2B" w:rsidP="00066581">
      <w:pPr>
        <w:pStyle w:val="ItemHead"/>
      </w:pPr>
      <w:r w:rsidRPr="00066581">
        <w:t>14</w:t>
      </w:r>
      <w:r w:rsidR="00641FF4" w:rsidRPr="00066581">
        <w:t xml:space="preserve">  After </w:t>
      </w:r>
      <w:r w:rsidR="00705B65" w:rsidRPr="00066581">
        <w:t>sub</w:t>
      </w:r>
      <w:r w:rsidR="0031708F" w:rsidRPr="00066581">
        <w:t>section 3</w:t>
      </w:r>
      <w:r w:rsidR="00641FF4" w:rsidRPr="00066581">
        <w:t>3(1)</w:t>
      </w:r>
    </w:p>
    <w:p w14:paraId="7994AC8E" w14:textId="77777777" w:rsidR="00641FF4" w:rsidRPr="00066581" w:rsidRDefault="00641FF4" w:rsidP="00066581">
      <w:pPr>
        <w:pStyle w:val="Item"/>
      </w:pPr>
      <w:r w:rsidRPr="00066581">
        <w:t>Insert:</w:t>
      </w:r>
    </w:p>
    <w:p w14:paraId="57ACAFC8" w14:textId="77777777" w:rsidR="00641FF4" w:rsidRPr="00066581" w:rsidRDefault="00641FF4" w:rsidP="00066581">
      <w:pPr>
        <w:pStyle w:val="SubsectionHead"/>
      </w:pPr>
      <w:r w:rsidRPr="00066581">
        <w:t>Related provisions</w:t>
      </w:r>
    </w:p>
    <w:p w14:paraId="16E07096" w14:textId="77777777" w:rsidR="00641FF4" w:rsidRPr="00066581" w:rsidRDefault="00641FF4" w:rsidP="00066581">
      <w:pPr>
        <w:pStyle w:val="subsection"/>
      </w:pPr>
      <w:r w:rsidRPr="00066581">
        <w:tab/>
        <w:t>(1A)</w:t>
      </w:r>
      <w:r w:rsidRPr="00066581">
        <w:tab/>
        <w:t xml:space="preserve">For the purposes of </w:t>
      </w:r>
      <w:r w:rsidR="00705B65" w:rsidRPr="00066581">
        <w:t>Part 2</w:t>
      </w:r>
      <w:r w:rsidRPr="00066581">
        <w:t xml:space="preserve"> of the Regulatory Powers Act, as that Act applies in relation to the information mentioned in </w:t>
      </w:r>
      <w:r w:rsidR="0031708F" w:rsidRPr="00066581">
        <w:t>subsection (</w:t>
      </w:r>
      <w:r w:rsidRPr="00066581">
        <w:t xml:space="preserve">1), each of the following provisions is related to the provision mentioned in </w:t>
      </w:r>
      <w:r w:rsidR="0031708F" w:rsidRPr="00066581">
        <w:t>subsection (</w:t>
      </w:r>
      <w:r w:rsidRPr="00066581">
        <w:t>1):</w:t>
      </w:r>
    </w:p>
    <w:p w14:paraId="3B4BF7AB" w14:textId="77777777" w:rsidR="00641FF4" w:rsidRPr="00066581" w:rsidRDefault="00641FF4" w:rsidP="00066581">
      <w:pPr>
        <w:pStyle w:val="paragraph"/>
      </w:pPr>
      <w:r w:rsidRPr="00066581">
        <w:tab/>
        <w:t>(a)</w:t>
      </w:r>
      <w:r w:rsidRPr="00066581">
        <w:tab/>
        <w:t xml:space="preserve">a civil penalty provision of the </w:t>
      </w:r>
      <w:r w:rsidRPr="00066581">
        <w:rPr>
          <w:i/>
        </w:rPr>
        <w:t>Fuel Security Act 2021</w:t>
      </w:r>
      <w:r w:rsidRPr="00066581">
        <w:t>;</w:t>
      </w:r>
    </w:p>
    <w:p w14:paraId="6C693868" w14:textId="77777777" w:rsidR="00641FF4" w:rsidRPr="00066581" w:rsidRDefault="00641FF4" w:rsidP="00066581">
      <w:pPr>
        <w:pStyle w:val="paragraph"/>
      </w:pPr>
      <w:r w:rsidRPr="00066581">
        <w:tab/>
        <w:t>(b)</w:t>
      </w:r>
      <w:r w:rsidRPr="00066581">
        <w:tab/>
        <w:t xml:space="preserve">a civil penalty provision of the </w:t>
      </w:r>
      <w:r w:rsidRPr="00066581">
        <w:rPr>
          <w:i/>
        </w:rPr>
        <w:t>Fuel Quality Standards Act 2000</w:t>
      </w:r>
      <w:r w:rsidRPr="00066581">
        <w:t>;</w:t>
      </w:r>
    </w:p>
    <w:p w14:paraId="1BA5CD18" w14:textId="77777777" w:rsidR="00641FF4" w:rsidRPr="00066581" w:rsidRDefault="00641FF4" w:rsidP="00066581">
      <w:pPr>
        <w:pStyle w:val="paragraph"/>
      </w:pPr>
      <w:r w:rsidRPr="00066581">
        <w:tab/>
        <w:t>(c)</w:t>
      </w:r>
      <w:r w:rsidRPr="00066581">
        <w:tab/>
        <w:t xml:space="preserve">an offence provision of the </w:t>
      </w:r>
      <w:r w:rsidRPr="00066581">
        <w:rPr>
          <w:i/>
        </w:rPr>
        <w:t>Fuel Quality Standards Act 2000</w:t>
      </w:r>
      <w:r w:rsidRPr="00066581">
        <w:t>.</w:t>
      </w:r>
    </w:p>
    <w:p w14:paraId="42B9C6FE" w14:textId="77777777" w:rsidR="00641FF4" w:rsidRPr="00066581" w:rsidRDefault="00424B2B" w:rsidP="00066581">
      <w:pPr>
        <w:pStyle w:val="ItemHead"/>
      </w:pPr>
      <w:r w:rsidRPr="00066581">
        <w:t>15</w:t>
      </w:r>
      <w:r w:rsidR="00641FF4" w:rsidRPr="00066581">
        <w:t xml:space="preserve">  </w:t>
      </w:r>
      <w:r w:rsidR="00A243A1" w:rsidRPr="00066581">
        <w:t>Sub</w:t>
      </w:r>
      <w:r w:rsidR="0031708F" w:rsidRPr="00066581">
        <w:t>section 3</w:t>
      </w:r>
      <w:r w:rsidR="00641FF4" w:rsidRPr="00066581">
        <w:t>3(2) (heading)</w:t>
      </w:r>
    </w:p>
    <w:p w14:paraId="6C13DDBB" w14:textId="77777777" w:rsidR="00641FF4" w:rsidRPr="00066581" w:rsidRDefault="00641FF4" w:rsidP="00066581">
      <w:pPr>
        <w:pStyle w:val="Item"/>
      </w:pPr>
      <w:r w:rsidRPr="00066581">
        <w:t xml:space="preserve">Omit </w:t>
      </w:r>
      <w:r w:rsidR="008F1D15" w:rsidRPr="00066581">
        <w:t>“</w:t>
      </w:r>
      <w:r w:rsidRPr="00066581">
        <w:rPr>
          <w:i/>
        </w:rPr>
        <w:t>Related provisions, authorised</w:t>
      </w:r>
      <w:r w:rsidR="008F1D15" w:rsidRPr="00066581">
        <w:t>”</w:t>
      </w:r>
      <w:r w:rsidRPr="00066581">
        <w:t xml:space="preserve">, substitute </w:t>
      </w:r>
      <w:r w:rsidR="008F1D15" w:rsidRPr="00066581">
        <w:t>“</w:t>
      </w:r>
      <w:r w:rsidRPr="00066581">
        <w:rPr>
          <w:i/>
        </w:rPr>
        <w:t>Authorised</w:t>
      </w:r>
      <w:r w:rsidR="008F1D15" w:rsidRPr="00066581">
        <w:t>”</w:t>
      </w:r>
      <w:r w:rsidRPr="00066581">
        <w:t>.</w:t>
      </w:r>
    </w:p>
    <w:p w14:paraId="512E3882" w14:textId="77777777" w:rsidR="00CA2101" w:rsidRPr="00066581" w:rsidRDefault="00424B2B" w:rsidP="00066581">
      <w:pPr>
        <w:pStyle w:val="ItemHead"/>
      </w:pPr>
      <w:r w:rsidRPr="00066581">
        <w:t>16</w:t>
      </w:r>
      <w:r w:rsidR="00CA2101" w:rsidRPr="00066581">
        <w:t xml:space="preserve">  </w:t>
      </w:r>
      <w:r w:rsidR="00705B65" w:rsidRPr="00066581">
        <w:t>Paragraph 3</w:t>
      </w:r>
      <w:r w:rsidR="00CA2101" w:rsidRPr="00066581">
        <w:t>3(2)(a)</w:t>
      </w:r>
    </w:p>
    <w:p w14:paraId="753AAA84" w14:textId="77777777" w:rsidR="00CA2101" w:rsidRPr="00066581" w:rsidRDefault="00CA2101" w:rsidP="00066581">
      <w:pPr>
        <w:pStyle w:val="Item"/>
      </w:pPr>
      <w:r w:rsidRPr="00066581">
        <w:t>Repeal the paragraph</w:t>
      </w:r>
      <w:r w:rsidR="00641FF4" w:rsidRPr="00066581">
        <w:t>.</w:t>
      </w:r>
    </w:p>
    <w:p w14:paraId="66AC7B3E" w14:textId="77777777" w:rsidR="00341315" w:rsidRPr="00066581" w:rsidRDefault="00424B2B" w:rsidP="00066581">
      <w:pPr>
        <w:pStyle w:val="ItemHead"/>
      </w:pPr>
      <w:r w:rsidRPr="00066581">
        <w:t>17</w:t>
      </w:r>
      <w:r w:rsidR="00341315" w:rsidRPr="00066581">
        <w:t xml:space="preserve">  After </w:t>
      </w:r>
      <w:r w:rsidR="00705B65" w:rsidRPr="00066581">
        <w:t>paragraph 3</w:t>
      </w:r>
      <w:r w:rsidR="00341315" w:rsidRPr="00066581">
        <w:t>9(1)(c)</w:t>
      </w:r>
    </w:p>
    <w:p w14:paraId="0200EBF1" w14:textId="77777777" w:rsidR="00341315" w:rsidRPr="00066581" w:rsidRDefault="00341315" w:rsidP="00066581">
      <w:pPr>
        <w:pStyle w:val="Item"/>
      </w:pPr>
      <w:r w:rsidRPr="00066581">
        <w:t>Insert:</w:t>
      </w:r>
    </w:p>
    <w:p w14:paraId="78683E09" w14:textId="77777777" w:rsidR="00341315" w:rsidRPr="00066581" w:rsidRDefault="00341315" w:rsidP="00066581">
      <w:pPr>
        <w:pStyle w:val="paragraph"/>
      </w:pPr>
      <w:r w:rsidRPr="00066581">
        <w:lastRenderedPageBreak/>
        <w:tab/>
        <w:t>(ca)</w:t>
      </w:r>
      <w:r w:rsidRPr="00066581">
        <w:tab/>
        <w:t xml:space="preserve">rules made for the purposes of </w:t>
      </w:r>
      <w:r w:rsidR="0031708F" w:rsidRPr="00066581">
        <w:t>subsection 1</w:t>
      </w:r>
      <w:r w:rsidRPr="00066581">
        <w:t xml:space="preserve">3B(1) (about compliance audits relating to the </w:t>
      </w:r>
      <w:r w:rsidRPr="00066581">
        <w:rPr>
          <w:i/>
        </w:rPr>
        <w:t>Fuel Security Act 2021</w:t>
      </w:r>
      <w:r w:rsidRPr="00066581">
        <w:t>); or</w:t>
      </w:r>
    </w:p>
    <w:p w14:paraId="5220D608" w14:textId="77777777" w:rsidR="00EB2E8B" w:rsidRPr="00066581" w:rsidRDefault="00EB2E8B" w:rsidP="00066581">
      <w:pPr>
        <w:pStyle w:val="ActHead9"/>
      </w:pPr>
      <w:bookmarkStart w:id="14" w:name="_Toc76034123"/>
      <w:r w:rsidRPr="00066581">
        <w:t>Taxation Administration Act 1953</w:t>
      </w:r>
      <w:bookmarkEnd w:id="14"/>
    </w:p>
    <w:p w14:paraId="50BFDDED" w14:textId="77777777" w:rsidR="00EB2E8B" w:rsidRPr="00066581" w:rsidRDefault="00424B2B" w:rsidP="00066581">
      <w:pPr>
        <w:pStyle w:val="ItemHead"/>
      </w:pPr>
      <w:r w:rsidRPr="00066581">
        <w:t>18</w:t>
      </w:r>
      <w:r w:rsidR="00EB2E8B" w:rsidRPr="00066581">
        <w:t xml:space="preserve">  </w:t>
      </w:r>
      <w:r w:rsidR="00AB1301" w:rsidRPr="00066581">
        <w:t>Sub</w:t>
      </w:r>
      <w:r w:rsidR="0031708F" w:rsidRPr="00066581">
        <w:t>section 3</w:t>
      </w:r>
      <w:r w:rsidR="00EB2E8B" w:rsidRPr="00066581">
        <w:t>55</w:t>
      </w:r>
      <w:r w:rsidR="00066581">
        <w:noBreakHyphen/>
      </w:r>
      <w:r w:rsidR="00EB2E8B" w:rsidRPr="00066581">
        <w:t xml:space="preserve">65(8) in </w:t>
      </w:r>
      <w:r w:rsidR="00AB1301" w:rsidRPr="00066581">
        <w:t>Schedule 1</w:t>
      </w:r>
      <w:r w:rsidR="002D7F75" w:rsidRPr="00066581">
        <w:t xml:space="preserve"> (at the end of the cell at table </w:t>
      </w:r>
      <w:r w:rsidR="00AB1301" w:rsidRPr="00066581">
        <w:t>item 6</w:t>
      </w:r>
      <w:r w:rsidR="002D7F75" w:rsidRPr="00066581">
        <w:t xml:space="preserve">A, column headed </w:t>
      </w:r>
      <w:r w:rsidR="008F1D15" w:rsidRPr="00066581">
        <w:t>“</w:t>
      </w:r>
      <w:r w:rsidR="002D7F75" w:rsidRPr="00066581">
        <w:t>and the record or disclosure ...</w:t>
      </w:r>
      <w:r w:rsidR="008F1D15" w:rsidRPr="00066581">
        <w:t>”</w:t>
      </w:r>
      <w:r w:rsidR="002D7F75" w:rsidRPr="00066581">
        <w:t>)</w:t>
      </w:r>
    </w:p>
    <w:p w14:paraId="6BB1B1F3" w14:textId="77777777" w:rsidR="002D7F75" w:rsidRPr="00066581" w:rsidRDefault="002D7F75" w:rsidP="00066581">
      <w:pPr>
        <w:pStyle w:val="Item"/>
      </w:pPr>
      <w:r w:rsidRPr="00066581">
        <w:t xml:space="preserve">Add </w:t>
      </w:r>
      <w:r w:rsidR="008F1D15" w:rsidRPr="00066581">
        <w:t>“</w:t>
      </w:r>
      <w:r w:rsidRPr="00066581">
        <w:t xml:space="preserve">or the </w:t>
      </w:r>
      <w:r w:rsidRPr="00066581">
        <w:rPr>
          <w:i/>
        </w:rPr>
        <w:t>Fuel Security Act 2021</w:t>
      </w:r>
      <w:r w:rsidR="008F1D15" w:rsidRPr="00066581">
        <w:t>”</w:t>
      </w:r>
      <w:r w:rsidRPr="00066581">
        <w:t>.</w:t>
      </w:r>
    </w:p>
    <w:p w14:paraId="1B04A3DA" w14:textId="77777777" w:rsidR="00DC770D" w:rsidRPr="00066581" w:rsidRDefault="00424B2B" w:rsidP="00066581">
      <w:pPr>
        <w:pStyle w:val="Transitional"/>
      </w:pPr>
      <w:r w:rsidRPr="00066581">
        <w:t>19</w:t>
      </w:r>
      <w:r w:rsidR="00CE32C4" w:rsidRPr="00066581">
        <w:t xml:space="preserve">  Application of amendment</w:t>
      </w:r>
      <w:r w:rsidR="005B1075" w:rsidRPr="00066581">
        <w:t>s</w:t>
      </w:r>
    </w:p>
    <w:p w14:paraId="1C0E9D51" w14:textId="77777777" w:rsidR="00391275" w:rsidRPr="00066581" w:rsidRDefault="00391275" w:rsidP="00066581">
      <w:pPr>
        <w:pStyle w:val="SubitemHead"/>
      </w:pPr>
      <w:r w:rsidRPr="00066581">
        <w:t>Disclosure of information etc.</w:t>
      </w:r>
    </w:p>
    <w:p w14:paraId="77B5EBF6" w14:textId="77777777" w:rsidR="005B1075" w:rsidRPr="00066581" w:rsidRDefault="005B1075" w:rsidP="00066581">
      <w:pPr>
        <w:pStyle w:val="Subitem"/>
      </w:pPr>
      <w:r w:rsidRPr="00066581">
        <w:t>(1)</w:t>
      </w:r>
      <w:r w:rsidRPr="00066581">
        <w:tab/>
        <w:t xml:space="preserve">The amendment of the </w:t>
      </w:r>
      <w:r w:rsidRPr="00066581">
        <w:rPr>
          <w:i/>
        </w:rPr>
        <w:t>Competition and Consumer Act 2010</w:t>
      </w:r>
      <w:r w:rsidRPr="00066581">
        <w:t xml:space="preserve"> made by this Schedule applies in relation to disclosures of information made after the commencement of this Schedule, whether the information was obtained before or after that commencement.</w:t>
      </w:r>
    </w:p>
    <w:p w14:paraId="192A3DC5" w14:textId="77777777" w:rsidR="00914965" w:rsidRPr="00066581" w:rsidRDefault="005B1075" w:rsidP="00066581">
      <w:pPr>
        <w:pStyle w:val="Subitem"/>
      </w:pPr>
      <w:r w:rsidRPr="00066581">
        <w:t>(2)</w:t>
      </w:r>
      <w:r w:rsidRPr="00066581">
        <w:tab/>
      </w:r>
      <w:r w:rsidR="00914965" w:rsidRPr="00066581">
        <w:t xml:space="preserve">The amendment of the </w:t>
      </w:r>
      <w:r w:rsidR="00914965" w:rsidRPr="00066581">
        <w:rPr>
          <w:i/>
        </w:rPr>
        <w:t>Fuel Quality Standards Act 2000</w:t>
      </w:r>
      <w:r w:rsidR="00914965" w:rsidRPr="00066581">
        <w:t xml:space="preserve"> made by this Schedule applies in relation to disclosures of information and authorisations of disclosures of information made after the commencement of this Schedule, whether the information was obtained before or after that commencement.</w:t>
      </w:r>
    </w:p>
    <w:p w14:paraId="04907CB8" w14:textId="77777777" w:rsidR="003620D6" w:rsidRPr="00066581" w:rsidRDefault="003620D6" w:rsidP="00066581">
      <w:pPr>
        <w:pStyle w:val="Subitem"/>
      </w:pPr>
      <w:r w:rsidRPr="00066581">
        <w:t>(</w:t>
      </w:r>
      <w:r w:rsidR="00391275" w:rsidRPr="00066581">
        <w:t>3</w:t>
      </w:r>
      <w:r w:rsidRPr="00066581">
        <w:t>)</w:t>
      </w:r>
      <w:r w:rsidRPr="00066581">
        <w:tab/>
      </w:r>
      <w:r w:rsidR="00CE32C4" w:rsidRPr="00066581">
        <w:t xml:space="preserve">The amendment of the </w:t>
      </w:r>
      <w:r w:rsidR="00CE32C4" w:rsidRPr="00066581">
        <w:rPr>
          <w:i/>
        </w:rPr>
        <w:t>Taxation Administration Act 1953</w:t>
      </w:r>
      <w:r w:rsidR="00CE32C4" w:rsidRPr="00066581">
        <w:t xml:space="preserve"> made by this Schedule applies in relation to records and disclosures of information made after the commencement of this Schedule, whether the information was obtained before or after that commencement.</w:t>
      </w:r>
    </w:p>
    <w:p w14:paraId="360D63A1" w14:textId="77777777" w:rsidR="00391275" w:rsidRPr="00066581" w:rsidRDefault="00391275" w:rsidP="00066581">
      <w:pPr>
        <w:pStyle w:val="SubitemHead"/>
      </w:pPr>
      <w:r w:rsidRPr="00066581">
        <w:t>Definition of holding stock</w:t>
      </w:r>
    </w:p>
    <w:p w14:paraId="3AB3E796" w14:textId="77777777" w:rsidR="00391275" w:rsidRPr="00066581" w:rsidRDefault="00391275" w:rsidP="00066581">
      <w:pPr>
        <w:pStyle w:val="Subitem"/>
      </w:pPr>
      <w:r w:rsidRPr="00066581">
        <w:t>(4)</w:t>
      </w:r>
      <w:r w:rsidRPr="00066581">
        <w:tab/>
        <w:t xml:space="preserve">The amendments of the definition of </w:t>
      </w:r>
      <w:r w:rsidRPr="00066581">
        <w:rPr>
          <w:b/>
          <w:i/>
        </w:rPr>
        <w:t>holding stock</w:t>
      </w:r>
      <w:r w:rsidRPr="00066581">
        <w:t xml:space="preserve"> in </w:t>
      </w:r>
      <w:r w:rsidR="0031708F" w:rsidRPr="00066581">
        <w:t>section 5</w:t>
      </w:r>
      <w:r w:rsidRPr="00066581">
        <w:t xml:space="preserve"> of the </w:t>
      </w:r>
      <w:r w:rsidRPr="00066581">
        <w:rPr>
          <w:i/>
        </w:rPr>
        <w:t>Petroleum and Other Fuels Reporting Act 2017</w:t>
      </w:r>
      <w:r w:rsidRPr="00066581">
        <w:t xml:space="preserve"> made by this Schedule apply on and after </w:t>
      </w:r>
      <w:r w:rsidR="0031708F" w:rsidRPr="00066581">
        <w:t>1 July</w:t>
      </w:r>
      <w:r w:rsidRPr="00066581">
        <w:t xml:space="preserve"> 2022.</w:t>
      </w:r>
    </w:p>
    <w:p w14:paraId="22C84600" w14:textId="77777777" w:rsidR="00D24444" w:rsidRPr="00066581" w:rsidRDefault="00705B65" w:rsidP="00066581">
      <w:pPr>
        <w:pStyle w:val="ActHead7"/>
        <w:pageBreakBefore/>
      </w:pPr>
      <w:bookmarkStart w:id="15" w:name="_Toc76034124"/>
      <w:r w:rsidRPr="00066581">
        <w:rPr>
          <w:rStyle w:val="CharAmPartNo"/>
        </w:rPr>
        <w:lastRenderedPageBreak/>
        <w:t>Part 2</w:t>
      </w:r>
      <w:r w:rsidR="00D24444" w:rsidRPr="00066581">
        <w:t>—</w:t>
      </w:r>
      <w:r w:rsidR="00957BBF" w:rsidRPr="00066581">
        <w:rPr>
          <w:rStyle w:val="CharAmPartText"/>
        </w:rPr>
        <w:t>C</w:t>
      </w:r>
      <w:r w:rsidR="00503F36" w:rsidRPr="00066581">
        <w:rPr>
          <w:rStyle w:val="CharAmPartText"/>
        </w:rPr>
        <w:t>onsequential</w:t>
      </w:r>
      <w:r w:rsidR="00D24444" w:rsidRPr="00066581">
        <w:rPr>
          <w:rStyle w:val="CharAmPartText"/>
        </w:rPr>
        <w:t xml:space="preserve"> amendments</w:t>
      </w:r>
      <w:r w:rsidR="00957BBF" w:rsidRPr="00066581">
        <w:rPr>
          <w:rStyle w:val="CharAmPartText"/>
        </w:rPr>
        <w:t xml:space="preserve"> relating to </w:t>
      </w:r>
      <w:r w:rsidR="001F0CF9" w:rsidRPr="00066581">
        <w:rPr>
          <w:rStyle w:val="CharAmPartText"/>
        </w:rPr>
        <w:t xml:space="preserve">the </w:t>
      </w:r>
      <w:r w:rsidR="00957BBF" w:rsidRPr="00066581">
        <w:rPr>
          <w:rStyle w:val="CharAmPartText"/>
        </w:rPr>
        <w:t>Federal Circuit and Family Court of Australia Act 2021</w:t>
      </w:r>
      <w:bookmarkEnd w:id="15"/>
    </w:p>
    <w:p w14:paraId="7832460A" w14:textId="77777777" w:rsidR="00D24444" w:rsidRPr="00066581" w:rsidRDefault="00D24444" w:rsidP="00066581">
      <w:pPr>
        <w:pStyle w:val="ActHead9"/>
      </w:pPr>
      <w:bookmarkStart w:id="16" w:name="_Toc76034125"/>
      <w:r w:rsidRPr="00066581">
        <w:t>Fuel Security Act 2021</w:t>
      </w:r>
      <w:bookmarkEnd w:id="16"/>
    </w:p>
    <w:p w14:paraId="3BB5D7E2" w14:textId="77777777" w:rsidR="00D24444" w:rsidRPr="00066581" w:rsidRDefault="00424B2B" w:rsidP="00066581">
      <w:pPr>
        <w:pStyle w:val="ItemHead"/>
      </w:pPr>
      <w:r w:rsidRPr="00066581">
        <w:t>20</w:t>
      </w:r>
      <w:r w:rsidR="00D24444" w:rsidRPr="00066581">
        <w:t xml:space="preserve">  </w:t>
      </w:r>
      <w:r w:rsidR="00AB1301" w:rsidRPr="00066581">
        <w:t>Paragraph </w:t>
      </w:r>
      <w:r w:rsidR="00A56ED0" w:rsidRPr="00066581">
        <w:t>50</w:t>
      </w:r>
      <w:r w:rsidR="00D24444" w:rsidRPr="00066581">
        <w:t>(5)(b)</w:t>
      </w:r>
    </w:p>
    <w:p w14:paraId="4A27C275" w14:textId="77777777" w:rsidR="00D24444" w:rsidRPr="00066581" w:rsidRDefault="00D24444" w:rsidP="00066581">
      <w:pPr>
        <w:pStyle w:val="Item"/>
      </w:pPr>
      <w:bookmarkStart w:id="17" w:name="_Hlk65850337"/>
      <w:r w:rsidRPr="00066581">
        <w:t>Repeal the paragraph, substitute:</w:t>
      </w:r>
    </w:p>
    <w:p w14:paraId="725BD5AC" w14:textId="77777777" w:rsidR="00D24444" w:rsidRPr="00066581" w:rsidRDefault="00D24444" w:rsidP="00066581">
      <w:pPr>
        <w:pStyle w:val="paragraph"/>
      </w:pPr>
      <w:r w:rsidRPr="00066581">
        <w:tab/>
        <w:t>(b)</w:t>
      </w:r>
      <w:r w:rsidRPr="00066581">
        <w:tab/>
        <w:t>the Federal Circuit and Family Court of Australia (</w:t>
      </w:r>
      <w:r w:rsidR="00AB1301" w:rsidRPr="00066581">
        <w:t>Division 2</w:t>
      </w:r>
      <w:r w:rsidRPr="00066581">
        <w:t>); or</w:t>
      </w:r>
    </w:p>
    <w:bookmarkEnd w:id="17"/>
    <w:p w14:paraId="48211927" w14:textId="77777777" w:rsidR="00D24444" w:rsidRPr="00066581" w:rsidRDefault="00424B2B" w:rsidP="00066581">
      <w:pPr>
        <w:pStyle w:val="ItemHead"/>
      </w:pPr>
      <w:r w:rsidRPr="00066581">
        <w:t>21</w:t>
      </w:r>
      <w:r w:rsidR="00D24444" w:rsidRPr="00066581">
        <w:t xml:space="preserve">  </w:t>
      </w:r>
      <w:r w:rsidR="00AB1301" w:rsidRPr="00066581">
        <w:t>Paragraph 5</w:t>
      </w:r>
      <w:r w:rsidR="00A56ED0" w:rsidRPr="00066581">
        <w:t>4</w:t>
      </w:r>
      <w:r w:rsidR="00D24444" w:rsidRPr="00066581">
        <w:t>(4)(b)</w:t>
      </w:r>
    </w:p>
    <w:p w14:paraId="38CEB5C6" w14:textId="77777777" w:rsidR="00D24444" w:rsidRPr="00066581" w:rsidRDefault="00D24444" w:rsidP="00066581">
      <w:pPr>
        <w:pStyle w:val="Item"/>
      </w:pPr>
      <w:r w:rsidRPr="00066581">
        <w:t>Repeal the paragraph, substitute:</w:t>
      </w:r>
    </w:p>
    <w:p w14:paraId="6D204724" w14:textId="77777777" w:rsidR="00D24444" w:rsidRPr="00066581" w:rsidRDefault="00D24444" w:rsidP="00066581">
      <w:pPr>
        <w:pStyle w:val="paragraph"/>
      </w:pPr>
      <w:r w:rsidRPr="00066581">
        <w:tab/>
        <w:t>(b)</w:t>
      </w:r>
      <w:r w:rsidRPr="00066581">
        <w:tab/>
        <w:t>the Federal Circuit and Family Court of Australia (</w:t>
      </w:r>
      <w:r w:rsidR="00AB1301" w:rsidRPr="00066581">
        <w:t>Division 2</w:t>
      </w:r>
      <w:r w:rsidRPr="00066581">
        <w:t>); or</w:t>
      </w:r>
    </w:p>
    <w:p w14:paraId="0A562498" w14:textId="77777777" w:rsidR="000044F8" w:rsidRPr="00066581" w:rsidRDefault="00424B2B" w:rsidP="00066581">
      <w:pPr>
        <w:pStyle w:val="ItemHead"/>
      </w:pPr>
      <w:r w:rsidRPr="00066581">
        <w:t>22</w:t>
      </w:r>
      <w:r w:rsidR="000044F8" w:rsidRPr="00066581">
        <w:t xml:space="preserve">  </w:t>
      </w:r>
      <w:r w:rsidR="00AB1301" w:rsidRPr="00066581">
        <w:t>Subparagraph </w:t>
      </w:r>
      <w:r w:rsidR="00A56ED0" w:rsidRPr="00066581">
        <w:t>60</w:t>
      </w:r>
      <w:r w:rsidR="000044F8" w:rsidRPr="00066581">
        <w:t>(4)(e)(ii)</w:t>
      </w:r>
    </w:p>
    <w:p w14:paraId="25C6A014" w14:textId="77777777" w:rsidR="000044F8" w:rsidRPr="00066581" w:rsidRDefault="000044F8" w:rsidP="00066581">
      <w:pPr>
        <w:pStyle w:val="Item"/>
      </w:pPr>
      <w:r w:rsidRPr="00066581">
        <w:t>Repeal the subparagraph, substitute:</w:t>
      </w:r>
    </w:p>
    <w:p w14:paraId="4FF7F655" w14:textId="77777777" w:rsidR="000044F8" w:rsidRPr="00066581" w:rsidRDefault="000044F8" w:rsidP="00066581">
      <w:pPr>
        <w:pStyle w:val="paragraphsub"/>
      </w:pPr>
      <w:r w:rsidRPr="00066581">
        <w:tab/>
        <w:t>(ii)</w:t>
      </w:r>
      <w:r w:rsidRPr="00066581">
        <w:tab/>
        <w:t>the Federal Circuit and Family Court of Australia (</w:t>
      </w:r>
      <w:r w:rsidR="00AB1301" w:rsidRPr="00066581">
        <w:t>Division 2</w:t>
      </w:r>
      <w:r w:rsidRPr="00066581">
        <w:t>);</w:t>
      </w:r>
    </w:p>
    <w:p w14:paraId="76B1F743" w14:textId="77777777" w:rsidR="000044F8" w:rsidRPr="00066581" w:rsidRDefault="00424B2B" w:rsidP="00066581">
      <w:pPr>
        <w:pStyle w:val="ItemHead"/>
      </w:pPr>
      <w:r w:rsidRPr="00066581">
        <w:t>23</w:t>
      </w:r>
      <w:r w:rsidR="000044F8" w:rsidRPr="00066581">
        <w:t xml:space="preserve">  </w:t>
      </w:r>
      <w:r w:rsidR="00AB1301" w:rsidRPr="00066581">
        <w:t>Subparagraph </w:t>
      </w:r>
      <w:r w:rsidR="00A56ED0" w:rsidRPr="00066581">
        <w:t>61</w:t>
      </w:r>
      <w:r w:rsidR="000044F8" w:rsidRPr="00066581">
        <w:t>(3)(e)(ii)</w:t>
      </w:r>
    </w:p>
    <w:p w14:paraId="2467C41F" w14:textId="77777777" w:rsidR="000044F8" w:rsidRPr="00066581" w:rsidRDefault="000044F8" w:rsidP="00066581">
      <w:pPr>
        <w:pStyle w:val="Item"/>
      </w:pPr>
      <w:r w:rsidRPr="00066581">
        <w:t>Repeal the subparagraph, substitute:</w:t>
      </w:r>
    </w:p>
    <w:p w14:paraId="3BDB99A0" w14:textId="77777777" w:rsidR="000044F8" w:rsidRPr="00066581" w:rsidRDefault="000044F8" w:rsidP="00066581">
      <w:pPr>
        <w:pStyle w:val="paragraphsub"/>
      </w:pPr>
      <w:r w:rsidRPr="00066581">
        <w:tab/>
        <w:t>(ii)</w:t>
      </w:r>
      <w:r w:rsidRPr="00066581">
        <w:tab/>
        <w:t>the Federal Circuit and Family Court of Australia (</w:t>
      </w:r>
      <w:r w:rsidR="00AB1301" w:rsidRPr="00066581">
        <w:t>Division 2</w:t>
      </w:r>
      <w:r w:rsidRPr="00066581">
        <w:t>);</w:t>
      </w:r>
    </w:p>
    <w:p w14:paraId="72A16A16" w14:textId="77777777" w:rsidR="00373E00" w:rsidRPr="00066581" w:rsidRDefault="00424B2B" w:rsidP="00066581">
      <w:pPr>
        <w:pStyle w:val="ItemHead"/>
      </w:pPr>
      <w:r w:rsidRPr="00066581">
        <w:t>24</w:t>
      </w:r>
      <w:r w:rsidR="00373E00" w:rsidRPr="00066581">
        <w:t xml:space="preserve">  </w:t>
      </w:r>
      <w:r w:rsidR="00AB1301" w:rsidRPr="00066581">
        <w:t>Paragraph </w:t>
      </w:r>
      <w:r w:rsidR="00A56ED0" w:rsidRPr="00066581">
        <w:t>62</w:t>
      </w:r>
      <w:r w:rsidR="00373E00" w:rsidRPr="00066581">
        <w:t>(3)(b)</w:t>
      </w:r>
    </w:p>
    <w:p w14:paraId="356FBB77" w14:textId="77777777" w:rsidR="00373E00" w:rsidRPr="00066581" w:rsidRDefault="00373E00" w:rsidP="00066581">
      <w:pPr>
        <w:pStyle w:val="Item"/>
      </w:pPr>
      <w:r w:rsidRPr="00066581">
        <w:t>Repeal the paragraph, substitute:</w:t>
      </w:r>
    </w:p>
    <w:p w14:paraId="1A77863F" w14:textId="77777777" w:rsidR="00373E00" w:rsidRPr="00066581" w:rsidRDefault="00373E00" w:rsidP="00066581">
      <w:pPr>
        <w:pStyle w:val="paragraph"/>
      </w:pPr>
      <w:r w:rsidRPr="00066581">
        <w:tab/>
        <w:t>(b)</w:t>
      </w:r>
      <w:r w:rsidRPr="00066581">
        <w:tab/>
        <w:t>the Federal Circuit and Family Court of Australia (</w:t>
      </w:r>
      <w:r w:rsidR="00AB1301" w:rsidRPr="00066581">
        <w:t>Division 2</w:t>
      </w:r>
      <w:r w:rsidRPr="00066581">
        <w:t>);</w:t>
      </w:r>
    </w:p>
    <w:p w14:paraId="7665D355" w14:textId="77777777" w:rsidR="00F44E4E" w:rsidRPr="00066581" w:rsidRDefault="00424B2B" w:rsidP="00066581">
      <w:pPr>
        <w:pStyle w:val="ItemHead"/>
      </w:pPr>
      <w:r w:rsidRPr="00066581">
        <w:t>25</w:t>
      </w:r>
      <w:r w:rsidR="00F44E4E" w:rsidRPr="00066581">
        <w:t xml:space="preserve">  </w:t>
      </w:r>
      <w:r w:rsidR="00AB1301" w:rsidRPr="00066581">
        <w:t>Paragraph 6</w:t>
      </w:r>
      <w:r w:rsidR="00A56ED0" w:rsidRPr="00066581">
        <w:t>9</w:t>
      </w:r>
      <w:r w:rsidR="00F44E4E" w:rsidRPr="00066581">
        <w:t>(3)(b)</w:t>
      </w:r>
    </w:p>
    <w:p w14:paraId="3B6969C7" w14:textId="77777777" w:rsidR="00F44E4E" w:rsidRPr="00066581" w:rsidRDefault="00F44E4E" w:rsidP="00066581">
      <w:pPr>
        <w:pStyle w:val="Item"/>
      </w:pPr>
      <w:r w:rsidRPr="00066581">
        <w:t>Repeal the paragraph, substitute:</w:t>
      </w:r>
    </w:p>
    <w:p w14:paraId="560BC18C" w14:textId="77777777" w:rsidR="00F44E4E" w:rsidRPr="00066581" w:rsidRDefault="00F44E4E" w:rsidP="00066581">
      <w:pPr>
        <w:pStyle w:val="paragraph"/>
      </w:pPr>
      <w:r w:rsidRPr="00066581">
        <w:tab/>
        <w:t>(b)</w:t>
      </w:r>
      <w:r w:rsidRPr="00066581">
        <w:tab/>
        <w:t>the Federal Circuit and Family Court of Australia (</w:t>
      </w:r>
      <w:r w:rsidR="00AB1301" w:rsidRPr="00066581">
        <w:t>Division 2</w:t>
      </w:r>
      <w:r w:rsidRPr="00066581">
        <w:t>);</w:t>
      </w:r>
    </w:p>
    <w:p w14:paraId="1C0CF1ED" w14:textId="77777777" w:rsidR="001E091C" w:rsidRPr="00066581" w:rsidRDefault="00424B2B" w:rsidP="00066581">
      <w:pPr>
        <w:pStyle w:val="ItemHead"/>
      </w:pPr>
      <w:r w:rsidRPr="00066581">
        <w:lastRenderedPageBreak/>
        <w:t>26</w:t>
      </w:r>
      <w:r w:rsidR="001E091C" w:rsidRPr="00066581">
        <w:t xml:space="preserve">  </w:t>
      </w:r>
      <w:r w:rsidR="00AB1301" w:rsidRPr="00066581">
        <w:t>Paragraph </w:t>
      </w:r>
      <w:r w:rsidR="00A56ED0" w:rsidRPr="00066581">
        <w:t>70</w:t>
      </w:r>
      <w:r w:rsidR="001E091C" w:rsidRPr="00066581">
        <w:t>(3)(b)</w:t>
      </w:r>
    </w:p>
    <w:p w14:paraId="37A9D150" w14:textId="77777777" w:rsidR="001E091C" w:rsidRPr="00066581" w:rsidRDefault="001E091C" w:rsidP="00066581">
      <w:pPr>
        <w:pStyle w:val="Item"/>
      </w:pPr>
      <w:r w:rsidRPr="00066581">
        <w:t>Repeal the paragraph, substitute:</w:t>
      </w:r>
    </w:p>
    <w:p w14:paraId="08CFB718" w14:textId="77777777" w:rsidR="001E091C" w:rsidRPr="00066581" w:rsidRDefault="001E091C" w:rsidP="00066581">
      <w:pPr>
        <w:pStyle w:val="paragraph"/>
      </w:pPr>
      <w:r w:rsidRPr="00066581">
        <w:tab/>
        <w:t>(b)</w:t>
      </w:r>
      <w:r w:rsidRPr="00066581">
        <w:tab/>
        <w:t>the Federal Circuit and Family Court of Australia (</w:t>
      </w:r>
      <w:r w:rsidR="00AB1301" w:rsidRPr="00066581">
        <w:t>Division 2</w:t>
      </w:r>
      <w:r w:rsidRPr="00066581">
        <w:t>);</w:t>
      </w:r>
    </w:p>
    <w:p w14:paraId="23AFBCB5" w14:textId="77777777" w:rsidR="00D65E2C" w:rsidRPr="00066581" w:rsidRDefault="00AB1301" w:rsidP="00066581">
      <w:pPr>
        <w:pStyle w:val="ActHead6"/>
        <w:pageBreakBefore/>
      </w:pPr>
      <w:bookmarkStart w:id="18" w:name="_Toc76034126"/>
      <w:r w:rsidRPr="00066581">
        <w:rPr>
          <w:rStyle w:val="CharAmSchNo"/>
        </w:rPr>
        <w:lastRenderedPageBreak/>
        <w:t>Schedule 2</w:t>
      </w:r>
      <w:r w:rsidR="00D65E2C" w:rsidRPr="00066581">
        <w:t>—</w:t>
      </w:r>
      <w:r w:rsidR="00D65E2C" w:rsidRPr="00066581">
        <w:rPr>
          <w:rStyle w:val="CharAmSchText"/>
        </w:rPr>
        <w:t>Transitional provisions</w:t>
      </w:r>
      <w:bookmarkEnd w:id="18"/>
    </w:p>
    <w:p w14:paraId="27E72CF1" w14:textId="77777777" w:rsidR="00D65E2C" w:rsidRPr="00066581" w:rsidRDefault="00D65E2C" w:rsidP="00066581">
      <w:pPr>
        <w:pStyle w:val="Header"/>
      </w:pPr>
      <w:r w:rsidRPr="00066581">
        <w:rPr>
          <w:rStyle w:val="CharAmPartNo"/>
        </w:rPr>
        <w:t xml:space="preserve"> </w:t>
      </w:r>
      <w:r w:rsidRPr="00066581">
        <w:rPr>
          <w:rStyle w:val="CharAmPartText"/>
        </w:rPr>
        <w:t xml:space="preserve"> </w:t>
      </w:r>
    </w:p>
    <w:p w14:paraId="6AB3F470" w14:textId="77777777" w:rsidR="00D65E2C" w:rsidRPr="00066581" w:rsidRDefault="00424B2B" w:rsidP="00066581">
      <w:pPr>
        <w:pStyle w:val="Transitional"/>
      </w:pPr>
      <w:r w:rsidRPr="00066581">
        <w:t>1</w:t>
      </w:r>
      <w:r w:rsidR="00D65E2C" w:rsidRPr="00066581">
        <w:t xml:space="preserve">  Definitions</w:t>
      </w:r>
    </w:p>
    <w:p w14:paraId="14B55331" w14:textId="77777777" w:rsidR="00D65E2C" w:rsidRPr="00066581" w:rsidRDefault="00D65E2C" w:rsidP="00066581">
      <w:pPr>
        <w:pStyle w:val="Item"/>
      </w:pPr>
      <w:r w:rsidRPr="00066581">
        <w:t>In this Schedule:</w:t>
      </w:r>
    </w:p>
    <w:p w14:paraId="0B4544DD" w14:textId="77777777" w:rsidR="00D65E2C" w:rsidRPr="00066581" w:rsidRDefault="00D65E2C" w:rsidP="00066581">
      <w:pPr>
        <w:pStyle w:val="Item"/>
      </w:pPr>
      <w:r w:rsidRPr="00066581">
        <w:rPr>
          <w:b/>
          <w:i/>
        </w:rPr>
        <w:t>Act</w:t>
      </w:r>
      <w:r w:rsidRPr="00066581">
        <w:t xml:space="preserve"> means the </w:t>
      </w:r>
      <w:r w:rsidRPr="00066581">
        <w:rPr>
          <w:i/>
        </w:rPr>
        <w:t>Fuel Security Act 2021</w:t>
      </w:r>
      <w:r w:rsidRPr="00066581">
        <w:t>.</w:t>
      </w:r>
    </w:p>
    <w:p w14:paraId="7B6F7F64" w14:textId="77777777" w:rsidR="00D65E2C" w:rsidRPr="00066581" w:rsidRDefault="00D65E2C" w:rsidP="00066581">
      <w:pPr>
        <w:pStyle w:val="Item"/>
      </w:pPr>
      <w:r w:rsidRPr="00066581">
        <w:rPr>
          <w:b/>
          <w:i/>
        </w:rPr>
        <w:t xml:space="preserve">rules </w:t>
      </w:r>
      <w:r w:rsidRPr="00066581">
        <w:t xml:space="preserve">means rules made under </w:t>
      </w:r>
      <w:r w:rsidR="0031708F" w:rsidRPr="00066581">
        <w:t>section 8</w:t>
      </w:r>
      <w:r w:rsidR="00A56ED0" w:rsidRPr="00066581">
        <w:t>4</w:t>
      </w:r>
      <w:r w:rsidRPr="00066581">
        <w:t xml:space="preserve"> of the Act.</w:t>
      </w:r>
    </w:p>
    <w:p w14:paraId="7F770680" w14:textId="77777777" w:rsidR="00D65E2C" w:rsidRPr="00066581" w:rsidRDefault="00424B2B" w:rsidP="00066581">
      <w:pPr>
        <w:pStyle w:val="Transitional"/>
      </w:pPr>
      <w:r w:rsidRPr="00066581">
        <w:t>2</w:t>
      </w:r>
      <w:r w:rsidR="00D65E2C" w:rsidRPr="00066581">
        <w:t xml:space="preserve">  Minimum stockholding obligation</w:t>
      </w:r>
    </w:p>
    <w:p w14:paraId="1441615A" w14:textId="77777777" w:rsidR="00D65E2C" w:rsidRPr="00066581" w:rsidRDefault="00D65E2C" w:rsidP="00066581">
      <w:pPr>
        <w:pStyle w:val="Subitem"/>
      </w:pPr>
      <w:r w:rsidRPr="00066581">
        <w:t>(1)</w:t>
      </w:r>
      <w:r w:rsidRPr="00066581">
        <w:tab/>
        <w:t xml:space="preserve">For the purposes of the definition of </w:t>
      </w:r>
      <w:r w:rsidRPr="00066581">
        <w:rPr>
          <w:b/>
          <w:i/>
        </w:rPr>
        <w:t>obligation day</w:t>
      </w:r>
      <w:r w:rsidRPr="00066581">
        <w:t xml:space="preserve"> in </w:t>
      </w:r>
      <w:r w:rsidR="0031708F" w:rsidRPr="00066581">
        <w:t>section 5</w:t>
      </w:r>
      <w:r w:rsidRPr="00066581">
        <w:t xml:space="preserve"> of the Act, the rules must not prescribe a day that is before </w:t>
      </w:r>
      <w:r w:rsidR="0031708F" w:rsidRPr="00066581">
        <w:t>1 July</w:t>
      </w:r>
      <w:r w:rsidRPr="00066581">
        <w:t xml:space="preserve"> 2022.</w:t>
      </w:r>
    </w:p>
    <w:p w14:paraId="2B406F1F" w14:textId="77777777" w:rsidR="00D65E2C" w:rsidRPr="00066581" w:rsidRDefault="00D65E2C" w:rsidP="00066581">
      <w:pPr>
        <w:pStyle w:val="Subitem"/>
      </w:pPr>
      <w:r w:rsidRPr="00066581">
        <w:t>(2)</w:t>
      </w:r>
      <w:r w:rsidRPr="00066581">
        <w:tab/>
        <w:t xml:space="preserve">For the purposes of </w:t>
      </w:r>
      <w:r w:rsidR="0031708F" w:rsidRPr="00066581">
        <w:t>paragraph 1</w:t>
      </w:r>
      <w:r w:rsidRPr="00066581">
        <w:t>0(1)(b</w:t>
      </w:r>
      <w:r w:rsidR="00A56ED0" w:rsidRPr="00066581">
        <w:t>)</w:t>
      </w:r>
      <w:r w:rsidRPr="00066581">
        <w:t xml:space="preserve"> of the Act, the rules may prescribe a period commencing before the Act commences.</w:t>
      </w:r>
    </w:p>
    <w:p w14:paraId="61F3BF4B" w14:textId="77777777" w:rsidR="00D65E2C" w:rsidRPr="00066581" w:rsidRDefault="00D65E2C" w:rsidP="00066581">
      <w:pPr>
        <w:pStyle w:val="Subitem"/>
      </w:pPr>
      <w:r w:rsidRPr="00066581">
        <w:t>(3)</w:t>
      </w:r>
      <w:r w:rsidRPr="00066581">
        <w:tab/>
      </w:r>
      <w:r w:rsidR="0031708F" w:rsidRPr="00066581">
        <w:t>Section 3</w:t>
      </w:r>
      <w:r w:rsidRPr="00066581">
        <w:t xml:space="preserve">0 of the Act applies to regulated entities after </w:t>
      </w:r>
      <w:r w:rsidR="00AB1301" w:rsidRPr="00066581">
        <w:t>30 June</w:t>
      </w:r>
      <w:r w:rsidRPr="00066581">
        <w:t xml:space="preserve"> 2022.</w:t>
      </w:r>
    </w:p>
    <w:p w14:paraId="5EFE8194" w14:textId="77777777" w:rsidR="0065389A" w:rsidRPr="00066581" w:rsidRDefault="0065389A" w:rsidP="00066581">
      <w:pPr>
        <w:pStyle w:val="Subitem"/>
      </w:pPr>
      <w:r w:rsidRPr="00066581">
        <w:t>(4)</w:t>
      </w:r>
      <w:r w:rsidRPr="00066581">
        <w:tab/>
      </w:r>
      <w:r w:rsidR="00AB1301" w:rsidRPr="00066581">
        <w:t>Section 2</w:t>
      </w:r>
      <w:r w:rsidRPr="00066581">
        <w:t xml:space="preserve">1 of the </w:t>
      </w:r>
      <w:r w:rsidRPr="00066581">
        <w:rPr>
          <w:i/>
        </w:rPr>
        <w:t>Petroleum and Other Fuels Reporting Act 2017</w:t>
      </w:r>
      <w:r w:rsidRPr="00066581">
        <w:t xml:space="preserve">, as it applies in relation to entrusted persons exercising powers, or performing functions or duties, as a result of the enactment of the </w:t>
      </w:r>
      <w:r w:rsidRPr="00066581">
        <w:rPr>
          <w:i/>
        </w:rPr>
        <w:t>Fuel Security Act 2021</w:t>
      </w:r>
      <w:r w:rsidRPr="00066581">
        <w:t>, applies in relation to making records of, and using and disclosing, information after the commencement of this Schedule:</w:t>
      </w:r>
    </w:p>
    <w:p w14:paraId="64BDE2BB" w14:textId="77777777" w:rsidR="0065389A" w:rsidRPr="00066581" w:rsidRDefault="0065389A" w:rsidP="00066581">
      <w:pPr>
        <w:pStyle w:val="paragraph"/>
      </w:pPr>
      <w:r w:rsidRPr="00066581">
        <w:tab/>
        <w:t>(a)</w:t>
      </w:r>
      <w:r w:rsidRPr="00066581">
        <w:tab/>
        <w:t>whether the information was obtained before or after that commencement; and</w:t>
      </w:r>
    </w:p>
    <w:p w14:paraId="63B00336" w14:textId="77777777" w:rsidR="0065389A" w:rsidRPr="00066581" w:rsidRDefault="0065389A" w:rsidP="00066581">
      <w:pPr>
        <w:pStyle w:val="paragraph"/>
      </w:pPr>
      <w:r w:rsidRPr="00066581">
        <w:tab/>
        <w:t>(b)</w:t>
      </w:r>
      <w:r w:rsidRPr="00066581">
        <w:tab/>
        <w:t xml:space="preserve">whether the information is derived from a record made, or a use or disclosure of information, before or after </w:t>
      </w:r>
      <w:r w:rsidR="00A37FD2" w:rsidRPr="00066581">
        <w:t xml:space="preserve">that </w:t>
      </w:r>
      <w:r w:rsidRPr="00066581">
        <w:t>commencement.</w:t>
      </w:r>
    </w:p>
    <w:p w14:paraId="7278224E" w14:textId="77777777" w:rsidR="00D65E2C" w:rsidRPr="00066581" w:rsidRDefault="00424B2B" w:rsidP="00066581">
      <w:pPr>
        <w:pStyle w:val="Transitional"/>
      </w:pPr>
      <w:r w:rsidRPr="00066581">
        <w:t>3</w:t>
      </w:r>
      <w:r w:rsidR="00D65E2C" w:rsidRPr="00066581">
        <w:t xml:space="preserve">  Fuel security services payment</w:t>
      </w:r>
    </w:p>
    <w:p w14:paraId="05C8F590" w14:textId="77777777" w:rsidR="00D65E2C" w:rsidRPr="00066581" w:rsidRDefault="00D65E2C" w:rsidP="00066581">
      <w:pPr>
        <w:pStyle w:val="Subitem"/>
      </w:pPr>
      <w:r w:rsidRPr="00066581">
        <w:t>(1)</w:t>
      </w:r>
      <w:r w:rsidRPr="00066581">
        <w:tab/>
        <w:t xml:space="preserve">Applications for fuel security services payment must not be made under </w:t>
      </w:r>
      <w:r w:rsidR="0031708F" w:rsidRPr="00066581">
        <w:t>section 3</w:t>
      </w:r>
      <w:r w:rsidR="00A56ED0" w:rsidRPr="00066581">
        <w:t>9</w:t>
      </w:r>
      <w:r w:rsidRPr="00066581">
        <w:t xml:space="preserve"> of the Act before rules are made for the purposes of </w:t>
      </w:r>
      <w:r w:rsidR="0031708F" w:rsidRPr="00066581">
        <w:t>subsection (</w:t>
      </w:r>
      <w:r w:rsidR="00897DFB" w:rsidRPr="00066581">
        <w:t>3) of that section</w:t>
      </w:r>
      <w:r w:rsidRPr="00066581">
        <w:t>.</w:t>
      </w:r>
    </w:p>
    <w:p w14:paraId="09814618" w14:textId="77777777" w:rsidR="00D65E2C" w:rsidRDefault="00D65E2C" w:rsidP="00066581">
      <w:pPr>
        <w:pStyle w:val="Subitem"/>
      </w:pPr>
      <w:r w:rsidRPr="00066581">
        <w:t>(2)</w:t>
      </w:r>
      <w:r w:rsidRPr="00066581">
        <w:tab/>
      </w:r>
      <w:r w:rsidR="00AB1301" w:rsidRPr="00066581">
        <w:t>Subitem (</w:t>
      </w:r>
      <w:r w:rsidRPr="00066581">
        <w:t xml:space="preserve">1) does not prevent applications being made under </w:t>
      </w:r>
      <w:r w:rsidR="0031708F" w:rsidRPr="00066581">
        <w:t>section 3</w:t>
      </w:r>
      <w:r w:rsidR="00A56ED0" w:rsidRPr="00066581">
        <w:t>9</w:t>
      </w:r>
      <w:r w:rsidRPr="00066581">
        <w:t xml:space="preserve"> of the Act if rules made for the purposes of </w:t>
      </w:r>
      <w:r w:rsidR="0031708F" w:rsidRPr="00066581">
        <w:t>subsection (</w:t>
      </w:r>
      <w:r w:rsidR="00774FD4" w:rsidRPr="00066581">
        <w:t xml:space="preserve">3) of that section </w:t>
      </w:r>
      <w:r w:rsidRPr="00066581">
        <w:t>are repealed.</w:t>
      </w:r>
    </w:p>
    <w:p w14:paraId="5C643F07" w14:textId="56AA7684" w:rsidR="00353D4F" w:rsidRPr="00066581" w:rsidRDefault="007B1203" w:rsidP="007B1203">
      <w:pPr>
        <w:pStyle w:val="Subitem"/>
      </w:pPr>
      <w:r w:rsidRPr="00066581">
        <w:t>(3)</w:t>
      </w:r>
      <w:r w:rsidRPr="00066581">
        <w:tab/>
        <w:t>For the purposes of a determination under section 44 of the Act, the Minister may have regard to any consultations undertaken whether before or after the Act commenced.</w:t>
      </w:r>
    </w:p>
    <w:p w14:paraId="74771C34" w14:textId="77777777" w:rsidR="007B1203" w:rsidRDefault="007B1203" w:rsidP="007B1203">
      <w:pPr>
        <w:pBdr>
          <w:bottom w:val="single" w:sz="4" w:space="1" w:color="auto"/>
        </w:pBdr>
        <w:sectPr w:rsidR="007B1203" w:rsidSect="007B1203">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pPr>
    </w:p>
    <w:p w14:paraId="17B2D5EF" w14:textId="77777777" w:rsidR="00FD2710" w:rsidRDefault="00FD2710" w:rsidP="000C5962">
      <w:pPr>
        <w:pStyle w:val="2ndRd"/>
        <w:keepNext/>
        <w:spacing w:line="260" w:lineRule="atLeast"/>
        <w:rPr>
          <w:i/>
        </w:rPr>
      </w:pPr>
      <w:r>
        <w:lastRenderedPageBreak/>
        <w:t>[</w:t>
      </w:r>
      <w:r>
        <w:rPr>
          <w:i/>
        </w:rPr>
        <w:t>Minister’s second reading speech made in—</w:t>
      </w:r>
    </w:p>
    <w:p w14:paraId="42C5FC3A" w14:textId="0D1D97E9" w:rsidR="00FD2710" w:rsidRDefault="00FD2710" w:rsidP="000C5962">
      <w:pPr>
        <w:pStyle w:val="2ndRd"/>
        <w:keepNext/>
        <w:spacing w:line="260" w:lineRule="atLeast"/>
        <w:rPr>
          <w:i/>
        </w:rPr>
      </w:pPr>
      <w:r>
        <w:rPr>
          <w:i/>
        </w:rPr>
        <w:t>House of Representatives on 26 May 2021</w:t>
      </w:r>
    </w:p>
    <w:p w14:paraId="406A2512" w14:textId="1F67317F" w:rsidR="00FD2710" w:rsidRDefault="00FD2710" w:rsidP="000C5962">
      <w:pPr>
        <w:pStyle w:val="2ndRd"/>
        <w:keepNext/>
        <w:spacing w:line="260" w:lineRule="atLeast"/>
        <w:rPr>
          <w:i/>
        </w:rPr>
      </w:pPr>
      <w:r>
        <w:rPr>
          <w:i/>
        </w:rPr>
        <w:t>Senate on 16 June 2021</w:t>
      </w:r>
      <w:r>
        <w:t>]</w:t>
      </w:r>
    </w:p>
    <w:p w14:paraId="431D01E0" w14:textId="4FA74A61" w:rsidR="00FD2710" w:rsidRDefault="00FD2710" w:rsidP="00FD2710">
      <w:pPr>
        <w:framePr w:hSpace="180" w:wrap="around" w:vAnchor="text" w:hAnchor="page" w:x="2401" w:y="9680"/>
      </w:pPr>
      <w:r>
        <w:t>(59/21)</w:t>
      </w:r>
    </w:p>
    <w:p w14:paraId="7F2BD56A" w14:textId="77777777" w:rsidR="00FD2710" w:rsidRDefault="00FD2710"/>
    <w:sectPr w:rsidR="00FD2710" w:rsidSect="007B1203">
      <w:headerReference w:type="even" r:id="rId28"/>
      <w:headerReference w:type="default" r:id="rId29"/>
      <w:headerReference w:type="first" r:id="rId30"/>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D2ABF" w14:textId="77777777" w:rsidR="00490D73" w:rsidRDefault="00490D73" w:rsidP="0048364F">
      <w:pPr>
        <w:spacing w:line="240" w:lineRule="auto"/>
      </w:pPr>
      <w:r>
        <w:separator/>
      </w:r>
    </w:p>
  </w:endnote>
  <w:endnote w:type="continuationSeparator" w:id="0">
    <w:p w14:paraId="3CBC0E32" w14:textId="77777777" w:rsidR="00490D73" w:rsidRDefault="00490D7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3DFA" w14:textId="77777777" w:rsidR="00490D73" w:rsidRPr="005F1388" w:rsidRDefault="00490D73" w:rsidP="0006658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2016" w14:textId="028FBCDF" w:rsidR="00FD2710" w:rsidRDefault="00FD2710" w:rsidP="00CD12A5">
    <w:pPr>
      <w:pStyle w:val="ScalePlusRef"/>
    </w:pPr>
    <w:r>
      <w:t>Note: An electronic version of this Act is available on the Federal Register of Legislation (</w:t>
    </w:r>
    <w:hyperlink r:id="rId1" w:history="1">
      <w:r>
        <w:t>https://www.legislation.gov.au/</w:t>
      </w:r>
    </w:hyperlink>
    <w:r>
      <w:t>)</w:t>
    </w:r>
  </w:p>
  <w:p w14:paraId="0AC6AAB6" w14:textId="77777777" w:rsidR="00FD2710" w:rsidRDefault="00FD2710" w:rsidP="00CD12A5"/>
  <w:p w14:paraId="64184EC6" w14:textId="3775811E" w:rsidR="00490D73" w:rsidRDefault="00490D73" w:rsidP="00066581">
    <w:pPr>
      <w:pStyle w:val="Footer"/>
      <w:spacing w:before="120"/>
    </w:pPr>
  </w:p>
  <w:p w14:paraId="13930030" w14:textId="77777777" w:rsidR="00490D73" w:rsidRPr="005F1388" w:rsidRDefault="00490D73"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DADD" w14:textId="77777777" w:rsidR="00490D73" w:rsidRPr="00ED79B6" w:rsidRDefault="00490D73" w:rsidP="0006658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E66A0" w14:textId="77777777" w:rsidR="00490D73" w:rsidRDefault="00490D73" w:rsidP="000665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90D73" w14:paraId="208DC1CB" w14:textId="77777777" w:rsidTr="00F41A29">
      <w:tc>
        <w:tcPr>
          <w:tcW w:w="646" w:type="dxa"/>
        </w:tcPr>
        <w:p w14:paraId="25E3C605" w14:textId="77777777" w:rsidR="00490D73" w:rsidRDefault="00490D73" w:rsidP="00F41A2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203">
            <w:rPr>
              <w:i/>
              <w:noProof/>
              <w:sz w:val="18"/>
            </w:rPr>
            <w:t>xii</w:t>
          </w:r>
          <w:r w:rsidRPr="00ED79B6">
            <w:rPr>
              <w:i/>
              <w:sz w:val="18"/>
            </w:rPr>
            <w:fldChar w:fldCharType="end"/>
          </w:r>
        </w:p>
      </w:tc>
      <w:tc>
        <w:tcPr>
          <w:tcW w:w="5387" w:type="dxa"/>
        </w:tcPr>
        <w:p w14:paraId="2E3062A4" w14:textId="4FF210E2" w:rsidR="00490D73" w:rsidRDefault="00490D73" w:rsidP="00F41A29">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3F63">
            <w:rPr>
              <w:i/>
              <w:sz w:val="18"/>
            </w:rPr>
            <w:t>Fuel Security (Consequential and Transitional Provisions) Act 2021</w:t>
          </w:r>
          <w:r w:rsidRPr="00ED79B6">
            <w:rPr>
              <w:i/>
              <w:sz w:val="18"/>
            </w:rPr>
            <w:fldChar w:fldCharType="end"/>
          </w:r>
        </w:p>
      </w:tc>
      <w:tc>
        <w:tcPr>
          <w:tcW w:w="1270" w:type="dxa"/>
        </w:tcPr>
        <w:p w14:paraId="11450998" w14:textId="5890536C" w:rsidR="00490D73" w:rsidRDefault="00490D73" w:rsidP="00F41A29">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3F63">
            <w:rPr>
              <w:i/>
              <w:sz w:val="18"/>
            </w:rPr>
            <w:t>No. 66, 2021</w:t>
          </w:r>
          <w:r w:rsidRPr="00ED79B6">
            <w:rPr>
              <w:i/>
              <w:sz w:val="18"/>
            </w:rPr>
            <w:fldChar w:fldCharType="end"/>
          </w:r>
        </w:p>
      </w:tc>
    </w:tr>
  </w:tbl>
  <w:p w14:paraId="79505DB6" w14:textId="77777777" w:rsidR="00490D73" w:rsidRDefault="00490D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CFD4" w14:textId="77777777" w:rsidR="00490D73" w:rsidRDefault="00490D73" w:rsidP="000665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90D73" w14:paraId="5B13762B" w14:textId="77777777" w:rsidTr="00F41A29">
      <w:tc>
        <w:tcPr>
          <w:tcW w:w="1247" w:type="dxa"/>
        </w:tcPr>
        <w:p w14:paraId="7508DB38" w14:textId="4BEB2823" w:rsidR="00490D73" w:rsidRDefault="00490D73" w:rsidP="00F41A29">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13F63">
            <w:rPr>
              <w:i/>
              <w:sz w:val="18"/>
            </w:rPr>
            <w:t>No. 66, 2021</w:t>
          </w:r>
          <w:r w:rsidRPr="00ED79B6">
            <w:rPr>
              <w:i/>
              <w:sz w:val="18"/>
            </w:rPr>
            <w:fldChar w:fldCharType="end"/>
          </w:r>
        </w:p>
      </w:tc>
      <w:tc>
        <w:tcPr>
          <w:tcW w:w="5387" w:type="dxa"/>
        </w:tcPr>
        <w:p w14:paraId="6FCEE010" w14:textId="30F9330D" w:rsidR="00490D73" w:rsidRDefault="00490D73" w:rsidP="00F41A29">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13F63">
            <w:rPr>
              <w:i/>
              <w:sz w:val="18"/>
            </w:rPr>
            <w:t>Fuel Security (Consequential and Transitional Provisions) Act 2021</w:t>
          </w:r>
          <w:r w:rsidRPr="00ED79B6">
            <w:rPr>
              <w:i/>
              <w:sz w:val="18"/>
            </w:rPr>
            <w:fldChar w:fldCharType="end"/>
          </w:r>
        </w:p>
      </w:tc>
      <w:tc>
        <w:tcPr>
          <w:tcW w:w="669" w:type="dxa"/>
        </w:tcPr>
        <w:p w14:paraId="6E76B53A" w14:textId="77777777" w:rsidR="00490D73" w:rsidRDefault="00490D73" w:rsidP="00F41A2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203">
            <w:rPr>
              <w:i/>
              <w:noProof/>
              <w:sz w:val="18"/>
            </w:rPr>
            <w:t>i</w:t>
          </w:r>
          <w:r w:rsidRPr="00ED79B6">
            <w:rPr>
              <w:i/>
              <w:sz w:val="18"/>
            </w:rPr>
            <w:fldChar w:fldCharType="end"/>
          </w:r>
        </w:p>
      </w:tc>
    </w:tr>
  </w:tbl>
  <w:p w14:paraId="14A93274" w14:textId="77777777" w:rsidR="00490D73" w:rsidRPr="00ED79B6" w:rsidRDefault="00490D73"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C990E" w14:textId="77777777" w:rsidR="00490D73" w:rsidRPr="00A961C4" w:rsidRDefault="00490D73" w:rsidP="00066581">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90D73" w14:paraId="40BDBAE1" w14:textId="77777777" w:rsidTr="00066581">
      <w:tc>
        <w:tcPr>
          <w:tcW w:w="646" w:type="dxa"/>
        </w:tcPr>
        <w:p w14:paraId="5A58587E" w14:textId="77777777" w:rsidR="00490D73" w:rsidRDefault="00490D73" w:rsidP="00F41A2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1203">
            <w:rPr>
              <w:i/>
              <w:noProof/>
              <w:sz w:val="18"/>
            </w:rPr>
            <w:t>12</w:t>
          </w:r>
          <w:r w:rsidRPr="007A1328">
            <w:rPr>
              <w:i/>
              <w:sz w:val="18"/>
            </w:rPr>
            <w:fldChar w:fldCharType="end"/>
          </w:r>
        </w:p>
      </w:tc>
      <w:tc>
        <w:tcPr>
          <w:tcW w:w="5387" w:type="dxa"/>
        </w:tcPr>
        <w:p w14:paraId="0A47D2A3" w14:textId="1B936649" w:rsidR="00490D73" w:rsidRDefault="00490D73" w:rsidP="00F41A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3F63">
            <w:rPr>
              <w:i/>
              <w:sz w:val="18"/>
            </w:rPr>
            <w:t>Fuel Security (Consequential and Transitional Provisions) Act 2021</w:t>
          </w:r>
          <w:r w:rsidRPr="007A1328">
            <w:rPr>
              <w:i/>
              <w:sz w:val="18"/>
            </w:rPr>
            <w:fldChar w:fldCharType="end"/>
          </w:r>
        </w:p>
      </w:tc>
      <w:tc>
        <w:tcPr>
          <w:tcW w:w="1270" w:type="dxa"/>
        </w:tcPr>
        <w:p w14:paraId="00686A2C" w14:textId="0B852CF6" w:rsidR="00490D73" w:rsidRDefault="00490D73" w:rsidP="00F41A2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3F63">
            <w:rPr>
              <w:i/>
              <w:sz w:val="18"/>
            </w:rPr>
            <w:t>No. 66, 2021</w:t>
          </w:r>
          <w:r w:rsidRPr="007A1328">
            <w:rPr>
              <w:i/>
              <w:sz w:val="18"/>
            </w:rPr>
            <w:fldChar w:fldCharType="end"/>
          </w:r>
        </w:p>
      </w:tc>
    </w:tr>
  </w:tbl>
  <w:p w14:paraId="49B7199D" w14:textId="77777777" w:rsidR="00490D73" w:rsidRPr="00A961C4" w:rsidRDefault="00490D73"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A3CB" w14:textId="77777777" w:rsidR="00490D73" w:rsidRPr="00A961C4" w:rsidRDefault="00490D73" w:rsidP="000665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90D73" w14:paraId="726C1B31" w14:textId="77777777" w:rsidTr="00066581">
      <w:tc>
        <w:tcPr>
          <w:tcW w:w="1247" w:type="dxa"/>
        </w:tcPr>
        <w:p w14:paraId="1BB24D88" w14:textId="0B51B859" w:rsidR="00490D73" w:rsidRDefault="00490D73" w:rsidP="00F41A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3F63">
            <w:rPr>
              <w:i/>
              <w:sz w:val="18"/>
            </w:rPr>
            <w:t>No. 66, 2021</w:t>
          </w:r>
          <w:r w:rsidRPr="007A1328">
            <w:rPr>
              <w:i/>
              <w:sz w:val="18"/>
            </w:rPr>
            <w:fldChar w:fldCharType="end"/>
          </w:r>
        </w:p>
      </w:tc>
      <w:tc>
        <w:tcPr>
          <w:tcW w:w="5387" w:type="dxa"/>
        </w:tcPr>
        <w:p w14:paraId="22552962" w14:textId="531F0B1B" w:rsidR="00490D73" w:rsidRDefault="00490D73" w:rsidP="00F41A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3F63">
            <w:rPr>
              <w:i/>
              <w:sz w:val="18"/>
            </w:rPr>
            <w:t>Fuel Security (Consequential and Transitional Provisions) Act 2021</w:t>
          </w:r>
          <w:r w:rsidRPr="007A1328">
            <w:rPr>
              <w:i/>
              <w:sz w:val="18"/>
            </w:rPr>
            <w:fldChar w:fldCharType="end"/>
          </w:r>
        </w:p>
      </w:tc>
      <w:tc>
        <w:tcPr>
          <w:tcW w:w="669" w:type="dxa"/>
        </w:tcPr>
        <w:p w14:paraId="38215950" w14:textId="77777777" w:rsidR="00490D73" w:rsidRDefault="00490D73" w:rsidP="00F41A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1203">
            <w:rPr>
              <w:i/>
              <w:noProof/>
              <w:sz w:val="18"/>
            </w:rPr>
            <w:t>13</w:t>
          </w:r>
          <w:r w:rsidRPr="007A1328">
            <w:rPr>
              <w:i/>
              <w:sz w:val="18"/>
            </w:rPr>
            <w:fldChar w:fldCharType="end"/>
          </w:r>
        </w:p>
      </w:tc>
    </w:tr>
  </w:tbl>
  <w:p w14:paraId="385C0B6E" w14:textId="77777777" w:rsidR="00490D73" w:rsidRPr="00055B5C" w:rsidRDefault="00490D73"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845EE" w14:textId="77777777" w:rsidR="00490D73" w:rsidRPr="00A961C4" w:rsidRDefault="00490D73" w:rsidP="0006658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5"/>
      <w:gridCol w:w="654"/>
    </w:tblGrid>
    <w:tr w:rsidR="00490D73" w14:paraId="14CC3B32" w14:textId="77777777" w:rsidTr="00066581">
      <w:tc>
        <w:tcPr>
          <w:tcW w:w="1247" w:type="dxa"/>
        </w:tcPr>
        <w:p w14:paraId="6E9F76BA" w14:textId="5549EB89" w:rsidR="00490D73" w:rsidRDefault="00490D73" w:rsidP="00F41A2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13F63">
            <w:rPr>
              <w:i/>
              <w:sz w:val="18"/>
            </w:rPr>
            <w:t>No. 66, 2021</w:t>
          </w:r>
          <w:r w:rsidRPr="007A1328">
            <w:rPr>
              <w:i/>
              <w:sz w:val="18"/>
            </w:rPr>
            <w:fldChar w:fldCharType="end"/>
          </w:r>
        </w:p>
      </w:tc>
      <w:tc>
        <w:tcPr>
          <w:tcW w:w="5387" w:type="dxa"/>
        </w:tcPr>
        <w:p w14:paraId="769AB168" w14:textId="4CB0EA1F" w:rsidR="00490D73" w:rsidRDefault="00490D73" w:rsidP="00F41A2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13F63">
            <w:rPr>
              <w:i/>
              <w:sz w:val="18"/>
            </w:rPr>
            <w:t>Fuel Security (Consequential and Transitional Provisions) Act 2021</w:t>
          </w:r>
          <w:r w:rsidRPr="007A1328">
            <w:rPr>
              <w:i/>
              <w:sz w:val="18"/>
            </w:rPr>
            <w:fldChar w:fldCharType="end"/>
          </w:r>
        </w:p>
      </w:tc>
      <w:tc>
        <w:tcPr>
          <w:tcW w:w="669" w:type="dxa"/>
        </w:tcPr>
        <w:p w14:paraId="2794DC18" w14:textId="77777777" w:rsidR="00490D73" w:rsidRDefault="00490D73" w:rsidP="00F41A2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B1203">
            <w:rPr>
              <w:i/>
              <w:noProof/>
              <w:sz w:val="18"/>
            </w:rPr>
            <w:t>1</w:t>
          </w:r>
          <w:r w:rsidRPr="007A1328">
            <w:rPr>
              <w:i/>
              <w:sz w:val="18"/>
            </w:rPr>
            <w:fldChar w:fldCharType="end"/>
          </w:r>
        </w:p>
      </w:tc>
    </w:tr>
  </w:tbl>
  <w:p w14:paraId="7A07A2A9" w14:textId="77777777" w:rsidR="00490D73" w:rsidRPr="00A961C4" w:rsidRDefault="00490D73"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43040" w14:textId="77777777" w:rsidR="00490D73" w:rsidRDefault="00490D73" w:rsidP="0048364F">
      <w:pPr>
        <w:spacing w:line="240" w:lineRule="auto"/>
      </w:pPr>
      <w:r>
        <w:separator/>
      </w:r>
    </w:p>
  </w:footnote>
  <w:footnote w:type="continuationSeparator" w:id="0">
    <w:p w14:paraId="306B4762" w14:textId="77777777" w:rsidR="00490D73" w:rsidRDefault="00490D7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471F" w14:textId="77777777" w:rsidR="00490D73" w:rsidRPr="005F1388" w:rsidRDefault="00490D73"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773F4" w14:textId="4FC9D3A5" w:rsidR="007B1203" w:rsidRPr="00A961C4" w:rsidRDefault="007B1203" w:rsidP="0048364F">
    <w:pPr>
      <w:rPr>
        <w:b/>
        <w:sz w:val="20"/>
      </w:rPr>
    </w:pPr>
  </w:p>
  <w:p w14:paraId="71D84329" w14:textId="615D1D7A" w:rsidR="007B1203" w:rsidRPr="00A961C4" w:rsidRDefault="007B1203" w:rsidP="0048364F">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14:paraId="10956ED6" w14:textId="77777777" w:rsidR="007B1203" w:rsidRPr="00A961C4" w:rsidRDefault="007B1203"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3C5BA" w14:textId="72BFCAFD" w:rsidR="007B1203" w:rsidRPr="00A961C4" w:rsidRDefault="007B1203" w:rsidP="0048364F">
    <w:pPr>
      <w:jc w:val="right"/>
      <w:rPr>
        <w:sz w:val="20"/>
      </w:rPr>
    </w:pPr>
  </w:p>
  <w:p w14:paraId="4DD57053" w14:textId="711594AA" w:rsidR="007B1203" w:rsidRPr="00A961C4" w:rsidRDefault="007B1203"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b/>
        <w:sz w:val="20"/>
      </w:rPr>
      <w:fldChar w:fldCharType="begin"/>
    </w:r>
    <w:r w:rsidRPr="00A961C4">
      <w:rPr>
        <w:b/>
        <w:sz w:val="20"/>
      </w:rPr>
      <w:instrText xml:space="preserve"> STYLEREF CharAmPartNo </w:instrText>
    </w:r>
    <w:r w:rsidRPr="00A961C4">
      <w:rPr>
        <w:b/>
        <w:sz w:val="20"/>
      </w:rPr>
      <w:fldChar w:fldCharType="end"/>
    </w:r>
  </w:p>
  <w:p w14:paraId="1042EE61" w14:textId="77777777" w:rsidR="007B1203" w:rsidRPr="00A961C4" w:rsidRDefault="007B1203"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D6AA8" w14:textId="77777777" w:rsidR="007B1203" w:rsidRPr="00A961C4" w:rsidRDefault="007B1203"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625B" w14:textId="77777777" w:rsidR="00490D73" w:rsidRPr="005F1388" w:rsidRDefault="00490D73"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9269" w14:textId="77777777" w:rsidR="00490D73" w:rsidRPr="005F1388" w:rsidRDefault="00490D73"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598D" w14:textId="77777777" w:rsidR="00490D73" w:rsidRPr="00ED79B6" w:rsidRDefault="00490D73"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E7511" w14:textId="77777777" w:rsidR="00490D73" w:rsidRPr="00ED79B6" w:rsidRDefault="00490D73"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DDB66" w14:textId="77777777" w:rsidR="00490D73" w:rsidRPr="00ED79B6" w:rsidRDefault="00490D73"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9651" w14:textId="2AE8A6B9" w:rsidR="00490D73" w:rsidRPr="00A961C4" w:rsidRDefault="00490D73"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4C8D5C05" w14:textId="5ABE7310" w:rsidR="00490D73" w:rsidRPr="00A961C4" w:rsidRDefault="00490D73"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610074D" w14:textId="77777777" w:rsidR="00490D73" w:rsidRPr="00A961C4" w:rsidRDefault="00490D73"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1F60" w14:textId="1D1EB12E" w:rsidR="00490D73" w:rsidRPr="00A961C4" w:rsidRDefault="00490D73" w:rsidP="0048364F">
    <w:pPr>
      <w:jc w:val="right"/>
      <w:rPr>
        <w:sz w:val="20"/>
      </w:rPr>
    </w:pPr>
    <w:r w:rsidRPr="00A961C4">
      <w:rPr>
        <w:sz w:val="20"/>
      </w:rPr>
      <w:fldChar w:fldCharType="begin"/>
    </w:r>
    <w:r w:rsidRPr="00A961C4">
      <w:rPr>
        <w:sz w:val="20"/>
      </w:rPr>
      <w:instrText xml:space="preserve"> STYLEREF CharAmSchText </w:instrText>
    </w:r>
    <w:r w:rsidR="00E025D3">
      <w:rPr>
        <w:sz w:val="20"/>
      </w:rPr>
      <w:fldChar w:fldCharType="separate"/>
    </w:r>
    <w:r w:rsidR="00E025D3">
      <w:rPr>
        <w:noProof/>
        <w:sz w:val="20"/>
      </w:rPr>
      <w:t>Consequential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E025D3">
      <w:rPr>
        <w:b/>
        <w:sz w:val="20"/>
      </w:rPr>
      <w:fldChar w:fldCharType="separate"/>
    </w:r>
    <w:r w:rsidR="00E025D3">
      <w:rPr>
        <w:b/>
        <w:noProof/>
        <w:sz w:val="20"/>
      </w:rPr>
      <w:t>Schedule 1</w:t>
    </w:r>
    <w:r>
      <w:rPr>
        <w:b/>
        <w:sz w:val="20"/>
      </w:rPr>
      <w:fldChar w:fldCharType="end"/>
    </w:r>
  </w:p>
  <w:p w14:paraId="2AEF7C58" w14:textId="51EFE0A8" w:rsidR="00490D73" w:rsidRPr="00A961C4" w:rsidRDefault="00490D73" w:rsidP="0048364F">
    <w:pPr>
      <w:jc w:val="right"/>
      <w:rPr>
        <w:b/>
        <w:sz w:val="20"/>
      </w:rPr>
    </w:pPr>
    <w:r w:rsidRPr="00A961C4">
      <w:rPr>
        <w:sz w:val="20"/>
      </w:rPr>
      <w:fldChar w:fldCharType="begin"/>
    </w:r>
    <w:r w:rsidRPr="00A961C4">
      <w:rPr>
        <w:sz w:val="20"/>
      </w:rPr>
      <w:instrText xml:space="preserve"> STYLEREF CharAmPartText </w:instrText>
    </w:r>
    <w:r w:rsidR="00E025D3">
      <w:rPr>
        <w:sz w:val="20"/>
      </w:rPr>
      <w:fldChar w:fldCharType="separate"/>
    </w:r>
    <w:r w:rsidR="00E025D3">
      <w:rPr>
        <w:noProof/>
        <w:sz w:val="20"/>
      </w:rPr>
      <w:t>Consequential amendments relating to the Federal Circuit and Family Court of Australia Act 2021</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E025D3">
      <w:rPr>
        <w:b/>
        <w:sz w:val="20"/>
      </w:rPr>
      <w:fldChar w:fldCharType="separate"/>
    </w:r>
    <w:r w:rsidR="00E025D3">
      <w:rPr>
        <w:b/>
        <w:noProof/>
        <w:sz w:val="20"/>
      </w:rPr>
      <w:t>Part 2</w:t>
    </w:r>
    <w:r w:rsidRPr="00A961C4">
      <w:rPr>
        <w:b/>
        <w:sz w:val="20"/>
      </w:rPr>
      <w:fldChar w:fldCharType="end"/>
    </w:r>
  </w:p>
  <w:p w14:paraId="408206F9" w14:textId="77777777" w:rsidR="00490D73" w:rsidRPr="00A961C4" w:rsidRDefault="00490D73"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491C4" w14:textId="77777777" w:rsidR="00490D73" w:rsidRPr="00A961C4" w:rsidRDefault="00490D73"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913A4B"/>
    <w:multiLevelType w:val="hybridMultilevel"/>
    <w:tmpl w:val="F7808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7D2AA0"/>
    <w:multiLevelType w:val="hybridMultilevel"/>
    <w:tmpl w:val="4D925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206791"/>
    <w:multiLevelType w:val="hybridMultilevel"/>
    <w:tmpl w:val="B1A47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905715"/>
    <w:multiLevelType w:val="hybridMultilevel"/>
    <w:tmpl w:val="DAB28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B971D6"/>
    <w:multiLevelType w:val="hybridMultilevel"/>
    <w:tmpl w:val="01EE5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FB0F8A"/>
    <w:multiLevelType w:val="hybridMultilevel"/>
    <w:tmpl w:val="9EA6D0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AA09D9"/>
    <w:multiLevelType w:val="hybridMultilevel"/>
    <w:tmpl w:val="CDB8A7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544143"/>
    <w:multiLevelType w:val="hybridMultilevel"/>
    <w:tmpl w:val="BF14D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CF4673"/>
    <w:multiLevelType w:val="hybridMultilevel"/>
    <w:tmpl w:val="CC94F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6"/>
  </w:num>
  <w:num w:numId="16">
    <w:abstractNumId w:val="20"/>
  </w:num>
  <w:num w:numId="17">
    <w:abstractNumId w:val="19"/>
  </w:num>
  <w:num w:numId="18">
    <w:abstractNumId w:val="18"/>
  </w:num>
  <w:num w:numId="19">
    <w:abstractNumId w:val="17"/>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FA"/>
    <w:rsid w:val="000044F8"/>
    <w:rsid w:val="000113BC"/>
    <w:rsid w:val="000136AF"/>
    <w:rsid w:val="00020C91"/>
    <w:rsid w:val="000417C9"/>
    <w:rsid w:val="00055B5C"/>
    <w:rsid w:val="00056391"/>
    <w:rsid w:val="00060FF9"/>
    <w:rsid w:val="000614BF"/>
    <w:rsid w:val="00065051"/>
    <w:rsid w:val="00066581"/>
    <w:rsid w:val="00071B64"/>
    <w:rsid w:val="00076C95"/>
    <w:rsid w:val="000874BF"/>
    <w:rsid w:val="00096468"/>
    <w:rsid w:val="000B1FD2"/>
    <w:rsid w:val="000B7E76"/>
    <w:rsid w:val="000C340B"/>
    <w:rsid w:val="000C7931"/>
    <w:rsid w:val="000D00D7"/>
    <w:rsid w:val="000D05EF"/>
    <w:rsid w:val="000E3BC4"/>
    <w:rsid w:val="000E5A5B"/>
    <w:rsid w:val="000F21C1"/>
    <w:rsid w:val="000F316E"/>
    <w:rsid w:val="000F4639"/>
    <w:rsid w:val="00101D90"/>
    <w:rsid w:val="001037FC"/>
    <w:rsid w:val="0010745C"/>
    <w:rsid w:val="00110ADD"/>
    <w:rsid w:val="00113BD1"/>
    <w:rsid w:val="00122206"/>
    <w:rsid w:val="0013148E"/>
    <w:rsid w:val="00137745"/>
    <w:rsid w:val="00144AE5"/>
    <w:rsid w:val="001528F3"/>
    <w:rsid w:val="001542EA"/>
    <w:rsid w:val="0015646E"/>
    <w:rsid w:val="00157F2E"/>
    <w:rsid w:val="00160B66"/>
    <w:rsid w:val="001643C9"/>
    <w:rsid w:val="00165568"/>
    <w:rsid w:val="00166C2F"/>
    <w:rsid w:val="001716C9"/>
    <w:rsid w:val="00173363"/>
    <w:rsid w:val="00173B94"/>
    <w:rsid w:val="00174F52"/>
    <w:rsid w:val="00183B5F"/>
    <w:rsid w:val="001854B4"/>
    <w:rsid w:val="00187097"/>
    <w:rsid w:val="001939E1"/>
    <w:rsid w:val="00195382"/>
    <w:rsid w:val="00196805"/>
    <w:rsid w:val="001A1E1D"/>
    <w:rsid w:val="001A3658"/>
    <w:rsid w:val="001A3BA3"/>
    <w:rsid w:val="001A743D"/>
    <w:rsid w:val="001A759A"/>
    <w:rsid w:val="001B633C"/>
    <w:rsid w:val="001B7A5D"/>
    <w:rsid w:val="001C2418"/>
    <w:rsid w:val="001C69C4"/>
    <w:rsid w:val="001D148E"/>
    <w:rsid w:val="001E091C"/>
    <w:rsid w:val="001E29ED"/>
    <w:rsid w:val="001E3590"/>
    <w:rsid w:val="001E7407"/>
    <w:rsid w:val="001F0CF9"/>
    <w:rsid w:val="001F12F2"/>
    <w:rsid w:val="001F697C"/>
    <w:rsid w:val="00200891"/>
    <w:rsid w:val="00201D27"/>
    <w:rsid w:val="00202618"/>
    <w:rsid w:val="00213159"/>
    <w:rsid w:val="0021654E"/>
    <w:rsid w:val="00225B4E"/>
    <w:rsid w:val="00226084"/>
    <w:rsid w:val="0023532F"/>
    <w:rsid w:val="00240749"/>
    <w:rsid w:val="00242F58"/>
    <w:rsid w:val="00253C1C"/>
    <w:rsid w:val="00263820"/>
    <w:rsid w:val="00266979"/>
    <w:rsid w:val="00273E52"/>
    <w:rsid w:val="00274FCE"/>
    <w:rsid w:val="00275197"/>
    <w:rsid w:val="002778FA"/>
    <w:rsid w:val="00293B89"/>
    <w:rsid w:val="00294569"/>
    <w:rsid w:val="00297ECB"/>
    <w:rsid w:val="002A2EB5"/>
    <w:rsid w:val="002B25B2"/>
    <w:rsid w:val="002B2867"/>
    <w:rsid w:val="002B5A30"/>
    <w:rsid w:val="002C7AA2"/>
    <w:rsid w:val="002D043A"/>
    <w:rsid w:val="002D2CB0"/>
    <w:rsid w:val="002D395A"/>
    <w:rsid w:val="002D7F75"/>
    <w:rsid w:val="002E1E94"/>
    <w:rsid w:val="002E5DB1"/>
    <w:rsid w:val="002F070F"/>
    <w:rsid w:val="002F2CAF"/>
    <w:rsid w:val="002F4663"/>
    <w:rsid w:val="003046E4"/>
    <w:rsid w:val="00307BBB"/>
    <w:rsid w:val="00314377"/>
    <w:rsid w:val="0031708F"/>
    <w:rsid w:val="00334CA8"/>
    <w:rsid w:val="00341315"/>
    <w:rsid w:val="003415D3"/>
    <w:rsid w:val="00341AB4"/>
    <w:rsid w:val="00342B1A"/>
    <w:rsid w:val="003435F3"/>
    <w:rsid w:val="00350417"/>
    <w:rsid w:val="00352B0F"/>
    <w:rsid w:val="00353D4F"/>
    <w:rsid w:val="003568FC"/>
    <w:rsid w:val="00356F46"/>
    <w:rsid w:val="0036076A"/>
    <w:rsid w:val="00360885"/>
    <w:rsid w:val="003620D6"/>
    <w:rsid w:val="00366943"/>
    <w:rsid w:val="00373874"/>
    <w:rsid w:val="00373E00"/>
    <w:rsid w:val="00375C6C"/>
    <w:rsid w:val="00391275"/>
    <w:rsid w:val="00395DA9"/>
    <w:rsid w:val="003A02B4"/>
    <w:rsid w:val="003A1566"/>
    <w:rsid w:val="003A7B3C"/>
    <w:rsid w:val="003B4E3D"/>
    <w:rsid w:val="003C2560"/>
    <w:rsid w:val="003C5F2B"/>
    <w:rsid w:val="003C78C1"/>
    <w:rsid w:val="003D0BFE"/>
    <w:rsid w:val="003D5700"/>
    <w:rsid w:val="003E4CB3"/>
    <w:rsid w:val="003F3241"/>
    <w:rsid w:val="00402ACA"/>
    <w:rsid w:val="00405579"/>
    <w:rsid w:val="00410B8E"/>
    <w:rsid w:val="004116CD"/>
    <w:rsid w:val="00417B95"/>
    <w:rsid w:val="00421FC1"/>
    <w:rsid w:val="004229C7"/>
    <w:rsid w:val="00424B2B"/>
    <w:rsid w:val="00424CA9"/>
    <w:rsid w:val="00426B18"/>
    <w:rsid w:val="00432123"/>
    <w:rsid w:val="00436785"/>
    <w:rsid w:val="00436BD5"/>
    <w:rsid w:val="00437E4B"/>
    <w:rsid w:val="0044291A"/>
    <w:rsid w:val="00450FDA"/>
    <w:rsid w:val="004606EC"/>
    <w:rsid w:val="00472E92"/>
    <w:rsid w:val="0048196B"/>
    <w:rsid w:val="00483246"/>
    <w:rsid w:val="0048364F"/>
    <w:rsid w:val="00483723"/>
    <w:rsid w:val="00486D05"/>
    <w:rsid w:val="00490A83"/>
    <w:rsid w:val="00490D73"/>
    <w:rsid w:val="00496F97"/>
    <w:rsid w:val="004A40AF"/>
    <w:rsid w:val="004A5F95"/>
    <w:rsid w:val="004A6C9E"/>
    <w:rsid w:val="004C3E93"/>
    <w:rsid w:val="004C7C8C"/>
    <w:rsid w:val="004D5485"/>
    <w:rsid w:val="004E2A4A"/>
    <w:rsid w:val="004F0D23"/>
    <w:rsid w:val="004F1FAC"/>
    <w:rsid w:val="0050193E"/>
    <w:rsid w:val="00503F36"/>
    <w:rsid w:val="00506DBA"/>
    <w:rsid w:val="005131BF"/>
    <w:rsid w:val="00513F63"/>
    <w:rsid w:val="00516B8D"/>
    <w:rsid w:val="00537FBC"/>
    <w:rsid w:val="00540F6B"/>
    <w:rsid w:val="00543469"/>
    <w:rsid w:val="00551B54"/>
    <w:rsid w:val="005577C9"/>
    <w:rsid w:val="0056167D"/>
    <w:rsid w:val="00563761"/>
    <w:rsid w:val="005667D4"/>
    <w:rsid w:val="00581686"/>
    <w:rsid w:val="00584811"/>
    <w:rsid w:val="00584A3C"/>
    <w:rsid w:val="00586DB5"/>
    <w:rsid w:val="00586FCB"/>
    <w:rsid w:val="005927C7"/>
    <w:rsid w:val="00593AA6"/>
    <w:rsid w:val="00594161"/>
    <w:rsid w:val="00594749"/>
    <w:rsid w:val="005947DA"/>
    <w:rsid w:val="0059789D"/>
    <w:rsid w:val="005A09D2"/>
    <w:rsid w:val="005A0D92"/>
    <w:rsid w:val="005B1075"/>
    <w:rsid w:val="005B11EE"/>
    <w:rsid w:val="005B24E8"/>
    <w:rsid w:val="005B4067"/>
    <w:rsid w:val="005C3F41"/>
    <w:rsid w:val="005C7339"/>
    <w:rsid w:val="005D2FC7"/>
    <w:rsid w:val="005D392D"/>
    <w:rsid w:val="005D564F"/>
    <w:rsid w:val="005E152A"/>
    <w:rsid w:val="005F3CBC"/>
    <w:rsid w:val="005F5366"/>
    <w:rsid w:val="005F79AA"/>
    <w:rsid w:val="00600219"/>
    <w:rsid w:val="00602C89"/>
    <w:rsid w:val="0061387A"/>
    <w:rsid w:val="006167FD"/>
    <w:rsid w:val="00622BF9"/>
    <w:rsid w:val="00634DDB"/>
    <w:rsid w:val="00641DE5"/>
    <w:rsid w:val="00641FF4"/>
    <w:rsid w:val="0065389A"/>
    <w:rsid w:val="00656F0C"/>
    <w:rsid w:val="00660151"/>
    <w:rsid w:val="00674C80"/>
    <w:rsid w:val="00674EA6"/>
    <w:rsid w:val="00677CC2"/>
    <w:rsid w:val="00681F92"/>
    <w:rsid w:val="006842C2"/>
    <w:rsid w:val="00685F42"/>
    <w:rsid w:val="0069207B"/>
    <w:rsid w:val="00693A71"/>
    <w:rsid w:val="006A32F5"/>
    <w:rsid w:val="006A344F"/>
    <w:rsid w:val="006A4B23"/>
    <w:rsid w:val="006A5C4D"/>
    <w:rsid w:val="006B572E"/>
    <w:rsid w:val="006C2874"/>
    <w:rsid w:val="006C7F8C"/>
    <w:rsid w:val="006D26A3"/>
    <w:rsid w:val="006D380D"/>
    <w:rsid w:val="006E0135"/>
    <w:rsid w:val="006E303A"/>
    <w:rsid w:val="006F7E19"/>
    <w:rsid w:val="00700B2C"/>
    <w:rsid w:val="00703AFC"/>
    <w:rsid w:val="00705B65"/>
    <w:rsid w:val="00711083"/>
    <w:rsid w:val="00712D8D"/>
    <w:rsid w:val="00713084"/>
    <w:rsid w:val="00714B26"/>
    <w:rsid w:val="007151B5"/>
    <w:rsid w:val="00731E00"/>
    <w:rsid w:val="007440B7"/>
    <w:rsid w:val="007550CC"/>
    <w:rsid w:val="007561EF"/>
    <w:rsid w:val="007634AD"/>
    <w:rsid w:val="007658B1"/>
    <w:rsid w:val="007715C9"/>
    <w:rsid w:val="00774EDD"/>
    <w:rsid w:val="00774FD4"/>
    <w:rsid w:val="007757EC"/>
    <w:rsid w:val="00785F34"/>
    <w:rsid w:val="0079288C"/>
    <w:rsid w:val="00796921"/>
    <w:rsid w:val="007B11E5"/>
    <w:rsid w:val="007B1203"/>
    <w:rsid w:val="007B1A0E"/>
    <w:rsid w:val="007B30AA"/>
    <w:rsid w:val="007B64BB"/>
    <w:rsid w:val="007C5152"/>
    <w:rsid w:val="007C531E"/>
    <w:rsid w:val="007D2578"/>
    <w:rsid w:val="007D3CFD"/>
    <w:rsid w:val="007E64B0"/>
    <w:rsid w:val="007E6944"/>
    <w:rsid w:val="007E7D4A"/>
    <w:rsid w:val="007F0C15"/>
    <w:rsid w:val="007F16DC"/>
    <w:rsid w:val="008006CC"/>
    <w:rsid w:val="00800BF3"/>
    <w:rsid w:val="00807F18"/>
    <w:rsid w:val="008152E2"/>
    <w:rsid w:val="008203C9"/>
    <w:rsid w:val="00831E8D"/>
    <w:rsid w:val="00840FE5"/>
    <w:rsid w:val="00851E13"/>
    <w:rsid w:val="0085383A"/>
    <w:rsid w:val="00856A31"/>
    <w:rsid w:val="00857D6B"/>
    <w:rsid w:val="00873B67"/>
    <w:rsid w:val="008754D0"/>
    <w:rsid w:val="00877D48"/>
    <w:rsid w:val="008814B9"/>
    <w:rsid w:val="00883781"/>
    <w:rsid w:val="00885570"/>
    <w:rsid w:val="008856F6"/>
    <w:rsid w:val="00890E12"/>
    <w:rsid w:val="00893958"/>
    <w:rsid w:val="00894531"/>
    <w:rsid w:val="00895BC7"/>
    <w:rsid w:val="00897302"/>
    <w:rsid w:val="00897DFB"/>
    <w:rsid w:val="008A2047"/>
    <w:rsid w:val="008A2E77"/>
    <w:rsid w:val="008B20DC"/>
    <w:rsid w:val="008B4354"/>
    <w:rsid w:val="008B563D"/>
    <w:rsid w:val="008C6F6F"/>
    <w:rsid w:val="008D0E44"/>
    <w:rsid w:val="008D0EE0"/>
    <w:rsid w:val="008D14AA"/>
    <w:rsid w:val="008D3E94"/>
    <w:rsid w:val="008F0961"/>
    <w:rsid w:val="008F1D15"/>
    <w:rsid w:val="008F4F1C"/>
    <w:rsid w:val="008F77C4"/>
    <w:rsid w:val="00903059"/>
    <w:rsid w:val="00904DC0"/>
    <w:rsid w:val="00905F14"/>
    <w:rsid w:val="009103F3"/>
    <w:rsid w:val="00914965"/>
    <w:rsid w:val="0092793D"/>
    <w:rsid w:val="00932377"/>
    <w:rsid w:val="009444C9"/>
    <w:rsid w:val="00956E0A"/>
    <w:rsid w:val="00957BBF"/>
    <w:rsid w:val="00966B24"/>
    <w:rsid w:val="00967042"/>
    <w:rsid w:val="0097146A"/>
    <w:rsid w:val="0098255A"/>
    <w:rsid w:val="009845BE"/>
    <w:rsid w:val="00984CB4"/>
    <w:rsid w:val="00984DE8"/>
    <w:rsid w:val="00986A3B"/>
    <w:rsid w:val="0099120C"/>
    <w:rsid w:val="009969C9"/>
    <w:rsid w:val="009A50A3"/>
    <w:rsid w:val="009C461C"/>
    <w:rsid w:val="009D4837"/>
    <w:rsid w:val="009E186E"/>
    <w:rsid w:val="009E655F"/>
    <w:rsid w:val="009E7247"/>
    <w:rsid w:val="009F7BD0"/>
    <w:rsid w:val="00A048FF"/>
    <w:rsid w:val="00A10775"/>
    <w:rsid w:val="00A11A25"/>
    <w:rsid w:val="00A120CC"/>
    <w:rsid w:val="00A210E9"/>
    <w:rsid w:val="00A231E2"/>
    <w:rsid w:val="00A243A1"/>
    <w:rsid w:val="00A25F4F"/>
    <w:rsid w:val="00A33088"/>
    <w:rsid w:val="00A36C48"/>
    <w:rsid w:val="00A374B4"/>
    <w:rsid w:val="00A37FD2"/>
    <w:rsid w:val="00A41E0B"/>
    <w:rsid w:val="00A45392"/>
    <w:rsid w:val="00A507A4"/>
    <w:rsid w:val="00A51D6A"/>
    <w:rsid w:val="00A53A06"/>
    <w:rsid w:val="00A55631"/>
    <w:rsid w:val="00A56ED0"/>
    <w:rsid w:val="00A64912"/>
    <w:rsid w:val="00A666A0"/>
    <w:rsid w:val="00A70A74"/>
    <w:rsid w:val="00A71F51"/>
    <w:rsid w:val="00A87133"/>
    <w:rsid w:val="00AA3795"/>
    <w:rsid w:val="00AB1301"/>
    <w:rsid w:val="00AB15AE"/>
    <w:rsid w:val="00AC1E75"/>
    <w:rsid w:val="00AC2C75"/>
    <w:rsid w:val="00AD5641"/>
    <w:rsid w:val="00AD622C"/>
    <w:rsid w:val="00AD64FE"/>
    <w:rsid w:val="00AE1088"/>
    <w:rsid w:val="00AF0669"/>
    <w:rsid w:val="00AF1BA4"/>
    <w:rsid w:val="00AF1EF8"/>
    <w:rsid w:val="00B02DC2"/>
    <w:rsid w:val="00B032D8"/>
    <w:rsid w:val="00B104F8"/>
    <w:rsid w:val="00B1223A"/>
    <w:rsid w:val="00B26AD6"/>
    <w:rsid w:val="00B32BE2"/>
    <w:rsid w:val="00B33B3C"/>
    <w:rsid w:val="00B6382D"/>
    <w:rsid w:val="00B82FF4"/>
    <w:rsid w:val="00B85502"/>
    <w:rsid w:val="00B97C43"/>
    <w:rsid w:val="00BA13F6"/>
    <w:rsid w:val="00BA5026"/>
    <w:rsid w:val="00BB40BF"/>
    <w:rsid w:val="00BC0CD1"/>
    <w:rsid w:val="00BC3760"/>
    <w:rsid w:val="00BD1CC7"/>
    <w:rsid w:val="00BD729B"/>
    <w:rsid w:val="00BE098B"/>
    <w:rsid w:val="00BE4922"/>
    <w:rsid w:val="00BE719A"/>
    <w:rsid w:val="00BE720A"/>
    <w:rsid w:val="00BF0461"/>
    <w:rsid w:val="00BF4944"/>
    <w:rsid w:val="00BF55C8"/>
    <w:rsid w:val="00BF56D4"/>
    <w:rsid w:val="00C04409"/>
    <w:rsid w:val="00C067E5"/>
    <w:rsid w:val="00C10FDE"/>
    <w:rsid w:val="00C11438"/>
    <w:rsid w:val="00C1640F"/>
    <w:rsid w:val="00C164CA"/>
    <w:rsid w:val="00C176CF"/>
    <w:rsid w:val="00C239E7"/>
    <w:rsid w:val="00C31E62"/>
    <w:rsid w:val="00C33F44"/>
    <w:rsid w:val="00C37E90"/>
    <w:rsid w:val="00C42BF8"/>
    <w:rsid w:val="00C460AE"/>
    <w:rsid w:val="00C46938"/>
    <w:rsid w:val="00C50043"/>
    <w:rsid w:val="00C50D2E"/>
    <w:rsid w:val="00C54E84"/>
    <w:rsid w:val="00C7573B"/>
    <w:rsid w:val="00C76CF3"/>
    <w:rsid w:val="00C8641D"/>
    <w:rsid w:val="00CA2101"/>
    <w:rsid w:val="00CA3790"/>
    <w:rsid w:val="00CA7B66"/>
    <w:rsid w:val="00CC3B88"/>
    <w:rsid w:val="00CD55DC"/>
    <w:rsid w:val="00CE1E31"/>
    <w:rsid w:val="00CE32C4"/>
    <w:rsid w:val="00CF0BB2"/>
    <w:rsid w:val="00D00CB5"/>
    <w:rsid w:val="00D00EAA"/>
    <w:rsid w:val="00D12251"/>
    <w:rsid w:val="00D13441"/>
    <w:rsid w:val="00D20A6A"/>
    <w:rsid w:val="00D2187D"/>
    <w:rsid w:val="00D2358A"/>
    <w:rsid w:val="00D243A3"/>
    <w:rsid w:val="00D24444"/>
    <w:rsid w:val="00D44AD3"/>
    <w:rsid w:val="00D477C3"/>
    <w:rsid w:val="00D52EFE"/>
    <w:rsid w:val="00D53E3A"/>
    <w:rsid w:val="00D571F6"/>
    <w:rsid w:val="00D63EF6"/>
    <w:rsid w:val="00D64841"/>
    <w:rsid w:val="00D6568C"/>
    <w:rsid w:val="00D65E2C"/>
    <w:rsid w:val="00D70DFB"/>
    <w:rsid w:val="00D72C2A"/>
    <w:rsid w:val="00D73029"/>
    <w:rsid w:val="00D766DF"/>
    <w:rsid w:val="00DA0723"/>
    <w:rsid w:val="00DA09EE"/>
    <w:rsid w:val="00DA322A"/>
    <w:rsid w:val="00DA4833"/>
    <w:rsid w:val="00DA6DEB"/>
    <w:rsid w:val="00DB51AE"/>
    <w:rsid w:val="00DC770D"/>
    <w:rsid w:val="00DC7DB0"/>
    <w:rsid w:val="00DE2002"/>
    <w:rsid w:val="00DF10FE"/>
    <w:rsid w:val="00DF7AE9"/>
    <w:rsid w:val="00E00BB6"/>
    <w:rsid w:val="00E025D3"/>
    <w:rsid w:val="00E0462B"/>
    <w:rsid w:val="00E05704"/>
    <w:rsid w:val="00E062D7"/>
    <w:rsid w:val="00E12176"/>
    <w:rsid w:val="00E21ACA"/>
    <w:rsid w:val="00E22FE8"/>
    <w:rsid w:val="00E24D66"/>
    <w:rsid w:val="00E313FA"/>
    <w:rsid w:val="00E35BA6"/>
    <w:rsid w:val="00E404A6"/>
    <w:rsid w:val="00E4635A"/>
    <w:rsid w:val="00E5054D"/>
    <w:rsid w:val="00E52C25"/>
    <w:rsid w:val="00E54292"/>
    <w:rsid w:val="00E67D77"/>
    <w:rsid w:val="00E74DC7"/>
    <w:rsid w:val="00E7559E"/>
    <w:rsid w:val="00E77AFB"/>
    <w:rsid w:val="00E84ECA"/>
    <w:rsid w:val="00E87699"/>
    <w:rsid w:val="00E947C6"/>
    <w:rsid w:val="00EA3C99"/>
    <w:rsid w:val="00EA5724"/>
    <w:rsid w:val="00EB0D2A"/>
    <w:rsid w:val="00EB26F7"/>
    <w:rsid w:val="00EB2E8B"/>
    <w:rsid w:val="00EB510C"/>
    <w:rsid w:val="00EC318E"/>
    <w:rsid w:val="00ED102B"/>
    <w:rsid w:val="00ED492F"/>
    <w:rsid w:val="00EE3E36"/>
    <w:rsid w:val="00EE437F"/>
    <w:rsid w:val="00EE5052"/>
    <w:rsid w:val="00EE7982"/>
    <w:rsid w:val="00EF2E3A"/>
    <w:rsid w:val="00EF304E"/>
    <w:rsid w:val="00F00707"/>
    <w:rsid w:val="00F0094C"/>
    <w:rsid w:val="00F047E2"/>
    <w:rsid w:val="00F07144"/>
    <w:rsid w:val="00F07722"/>
    <w:rsid w:val="00F078DC"/>
    <w:rsid w:val="00F10DBC"/>
    <w:rsid w:val="00F12CC8"/>
    <w:rsid w:val="00F13E86"/>
    <w:rsid w:val="00F17B00"/>
    <w:rsid w:val="00F25AC9"/>
    <w:rsid w:val="00F31210"/>
    <w:rsid w:val="00F3629A"/>
    <w:rsid w:val="00F41A29"/>
    <w:rsid w:val="00F44E4E"/>
    <w:rsid w:val="00F610E4"/>
    <w:rsid w:val="00F65629"/>
    <w:rsid w:val="00F677A9"/>
    <w:rsid w:val="00F80AAE"/>
    <w:rsid w:val="00F8272D"/>
    <w:rsid w:val="00F846AF"/>
    <w:rsid w:val="00F84CF5"/>
    <w:rsid w:val="00F8570D"/>
    <w:rsid w:val="00F85DF6"/>
    <w:rsid w:val="00F86755"/>
    <w:rsid w:val="00F87949"/>
    <w:rsid w:val="00F92D35"/>
    <w:rsid w:val="00F94450"/>
    <w:rsid w:val="00FA420B"/>
    <w:rsid w:val="00FB3ECE"/>
    <w:rsid w:val="00FB70DD"/>
    <w:rsid w:val="00FC1EAC"/>
    <w:rsid w:val="00FC3A02"/>
    <w:rsid w:val="00FD1E13"/>
    <w:rsid w:val="00FD2710"/>
    <w:rsid w:val="00FD2E92"/>
    <w:rsid w:val="00FD3B48"/>
    <w:rsid w:val="00FD6770"/>
    <w:rsid w:val="00FD7EB1"/>
    <w:rsid w:val="00FE41C9"/>
    <w:rsid w:val="00FE5E88"/>
    <w:rsid w:val="00FE7F93"/>
    <w:rsid w:val="00FF1AE6"/>
    <w:rsid w:val="00FF2C46"/>
    <w:rsid w:val="00FF2E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ecimalSymbol w:val="."/>
  <w:listSeparator w:val=","/>
  <w14:docId w14:val="6A15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66581"/>
    <w:pPr>
      <w:spacing w:line="260" w:lineRule="atLeast"/>
    </w:pPr>
    <w:rPr>
      <w:sz w:val="22"/>
    </w:rPr>
  </w:style>
  <w:style w:type="paragraph" w:styleId="Heading1">
    <w:name w:val="heading 1"/>
    <w:basedOn w:val="Normal"/>
    <w:next w:val="Normal"/>
    <w:link w:val="Heading1Char"/>
    <w:uiPriority w:val="9"/>
    <w:qFormat/>
    <w:rsid w:val="00A25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25F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25F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25F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5F4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25F4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25F4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25F4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25F4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66581"/>
  </w:style>
  <w:style w:type="paragraph" w:customStyle="1" w:styleId="OPCParaBase">
    <w:name w:val="OPCParaBase"/>
    <w:qFormat/>
    <w:rsid w:val="00066581"/>
    <w:pPr>
      <w:spacing w:line="260" w:lineRule="atLeast"/>
    </w:pPr>
    <w:rPr>
      <w:rFonts w:eastAsia="Times New Roman" w:cs="Times New Roman"/>
      <w:sz w:val="22"/>
      <w:lang w:eastAsia="en-AU"/>
    </w:rPr>
  </w:style>
  <w:style w:type="paragraph" w:customStyle="1" w:styleId="ShortT">
    <w:name w:val="ShortT"/>
    <w:basedOn w:val="OPCParaBase"/>
    <w:next w:val="Normal"/>
    <w:qFormat/>
    <w:rsid w:val="00066581"/>
    <w:pPr>
      <w:spacing w:line="240" w:lineRule="auto"/>
    </w:pPr>
    <w:rPr>
      <w:b/>
      <w:sz w:val="40"/>
    </w:rPr>
  </w:style>
  <w:style w:type="paragraph" w:customStyle="1" w:styleId="ActHead1">
    <w:name w:val="ActHead 1"/>
    <w:aliases w:val="c"/>
    <w:basedOn w:val="OPCParaBase"/>
    <w:next w:val="Normal"/>
    <w:qFormat/>
    <w:rsid w:val="000665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665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665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665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665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665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665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665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665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66581"/>
  </w:style>
  <w:style w:type="paragraph" w:customStyle="1" w:styleId="Blocks">
    <w:name w:val="Blocks"/>
    <w:aliases w:val="bb"/>
    <w:basedOn w:val="OPCParaBase"/>
    <w:qFormat/>
    <w:rsid w:val="00066581"/>
    <w:pPr>
      <w:spacing w:line="240" w:lineRule="auto"/>
    </w:pPr>
    <w:rPr>
      <w:sz w:val="24"/>
    </w:rPr>
  </w:style>
  <w:style w:type="paragraph" w:customStyle="1" w:styleId="BoxText">
    <w:name w:val="BoxText"/>
    <w:aliases w:val="bt"/>
    <w:basedOn w:val="OPCParaBase"/>
    <w:qFormat/>
    <w:rsid w:val="000665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66581"/>
    <w:rPr>
      <w:b/>
    </w:rPr>
  </w:style>
  <w:style w:type="paragraph" w:customStyle="1" w:styleId="BoxHeadItalic">
    <w:name w:val="BoxHeadItalic"/>
    <w:aliases w:val="bhi"/>
    <w:basedOn w:val="BoxText"/>
    <w:next w:val="BoxStep"/>
    <w:qFormat/>
    <w:rsid w:val="00066581"/>
    <w:rPr>
      <w:i/>
    </w:rPr>
  </w:style>
  <w:style w:type="paragraph" w:customStyle="1" w:styleId="BoxList">
    <w:name w:val="BoxList"/>
    <w:aliases w:val="bl"/>
    <w:basedOn w:val="BoxText"/>
    <w:qFormat/>
    <w:rsid w:val="00066581"/>
    <w:pPr>
      <w:ind w:left="1559" w:hanging="425"/>
    </w:pPr>
  </w:style>
  <w:style w:type="paragraph" w:customStyle="1" w:styleId="BoxNote">
    <w:name w:val="BoxNote"/>
    <w:aliases w:val="bn"/>
    <w:basedOn w:val="BoxText"/>
    <w:qFormat/>
    <w:rsid w:val="00066581"/>
    <w:pPr>
      <w:tabs>
        <w:tab w:val="left" w:pos="1985"/>
      </w:tabs>
      <w:spacing w:before="122" w:line="198" w:lineRule="exact"/>
      <w:ind w:left="2948" w:hanging="1814"/>
    </w:pPr>
    <w:rPr>
      <w:sz w:val="18"/>
    </w:rPr>
  </w:style>
  <w:style w:type="paragraph" w:customStyle="1" w:styleId="BoxPara">
    <w:name w:val="BoxPara"/>
    <w:aliases w:val="bp"/>
    <w:basedOn w:val="BoxText"/>
    <w:qFormat/>
    <w:rsid w:val="00066581"/>
    <w:pPr>
      <w:tabs>
        <w:tab w:val="right" w:pos="2268"/>
      </w:tabs>
      <w:ind w:left="2552" w:hanging="1418"/>
    </w:pPr>
  </w:style>
  <w:style w:type="paragraph" w:customStyle="1" w:styleId="BoxStep">
    <w:name w:val="BoxStep"/>
    <w:aliases w:val="bs"/>
    <w:basedOn w:val="BoxText"/>
    <w:qFormat/>
    <w:rsid w:val="00066581"/>
    <w:pPr>
      <w:ind w:left="1985" w:hanging="851"/>
    </w:pPr>
  </w:style>
  <w:style w:type="character" w:customStyle="1" w:styleId="CharAmPartNo">
    <w:name w:val="CharAmPartNo"/>
    <w:basedOn w:val="OPCCharBase"/>
    <w:qFormat/>
    <w:rsid w:val="00066581"/>
  </w:style>
  <w:style w:type="character" w:customStyle="1" w:styleId="CharAmPartText">
    <w:name w:val="CharAmPartText"/>
    <w:basedOn w:val="OPCCharBase"/>
    <w:qFormat/>
    <w:rsid w:val="00066581"/>
  </w:style>
  <w:style w:type="character" w:customStyle="1" w:styleId="CharAmSchNo">
    <w:name w:val="CharAmSchNo"/>
    <w:basedOn w:val="OPCCharBase"/>
    <w:qFormat/>
    <w:rsid w:val="00066581"/>
  </w:style>
  <w:style w:type="character" w:customStyle="1" w:styleId="CharAmSchText">
    <w:name w:val="CharAmSchText"/>
    <w:basedOn w:val="OPCCharBase"/>
    <w:qFormat/>
    <w:rsid w:val="00066581"/>
  </w:style>
  <w:style w:type="character" w:customStyle="1" w:styleId="CharBoldItalic">
    <w:name w:val="CharBoldItalic"/>
    <w:basedOn w:val="OPCCharBase"/>
    <w:uiPriority w:val="1"/>
    <w:qFormat/>
    <w:rsid w:val="00066581"/>
    <w:rPr>
      <w:b/>
      <w:i/>
    </w:rPr>
  </w:style>
  <w:style w:type="character" w:customStyle="1" w:styleId="CharChapNo">
    <w:name w:val="CharChapNo"/>
    <w:basedOn w:val="OPCCharBase"/>
    <w:uiPriority w:val="1"/>
    <w:qFormat/>
    <w:rsid w:val="00066581"/>
  </w:style>
  <w:style w:type="character" w:customStyle="1" w:styleId="CharChapText">
    <w:name w:val="CharChapText"/>
    <w:basedOn w:val="OPCCharBase"/>
    <w:uiPriority w:val="1"/>
    <w:qFormat/>
    <w:rsid w:val="00066581"/>
  </w:style>
  <w:style w:type="character" w:customStyle="1" w:styleId="CharDivNo">
    <w:name w:val="CharDivNo"/>
    <w:basedOn w:val="OPCCharBase"/>
    <w:uiPriority w:val="1"/>
    <w:qFormat/>
    <w:rsid w:val="00066581"/>
  </w:style>
  <w:style w:type="character" w:customStyle="1" w:styleId="CharDivText">
    <w:name w:val="CharDivText"/>
    <w:basedOn w:val="OPCCharBase"/>
    <w:uiPriority w:val="1"/>
    <w:qFormat/>
    <w:rsid w:val="00066581"/>
  </w:style>
  <w:style w:type="character" w:customStyle="1" w:styleId="CharItalic">
    <w:name w:val="CharItalic"/>
    <w:basedOn w:val="OPCCharBase"/>
    <w:uiPriority w:val="1"/>
    <w:qFormat/>
    <w:rsid w:val="00066581"/>
    <w:rPr>
      <w:i/>
    </w:rPr>
  </w:style>
  <w:style w:type="character" w:customStyle="1" w:styleId="CharPartNo">
    <w:name w:val="CharPartNo"/>
    <w:basedOn w:val="OPCCharBase"/>
    <w:uiPriority w:val="1"/>
    <w:qFormat/>
    <w:rsid w:val="00066581"/>
  </w:style>
  <w:style w:type="character" w:customStyle="1" w:styleId="CharPartText">
    <w:name w:val="CharPartText"/>
    <w:basedOn w:val="OPCCharBase"/>
    <w:uiPriority w:val="1"/>
    <w:qFormat/>
    <w:rsid w:val="00066581"/>
  </w:style>
  <w:style w:type="character" w:customStyle="1" w:styleId="CharSectno">
    <w:name w:val="CharSectno"/>
    <w:basedOn w:val="OPCCharBase"/>
    <w:qFormat/>
    <w:rsid w:val="00066581"/>
  </w:style>
  <w:style w:type="character" w:customStyle="1" w:styleId="CharSubdNo">
    <w:name w:val="CharSubdNo"/>
    <w:basedOn w:val="OPCCharBase"/>
    <w:uiPriority w:val="1"/>
    <w:qFormat/>
    <w:rsid w:val="00066581"/>
  </w:style>
  <w:style w:type="character" w:customStyle="1" w:styleId="CharSubdText">
    <w:name w:val="CharSubdText"/>
    <w:basedOn w:val="OPCCharBase"/>
    <w:uiPriority w:val="1"/>
    <w:qFormat/>
    <w:rsid w:val="00066581"/>
  </w:style>
  <w:style w:type="paragraph" w:customStyle="1" w:styleId="CTA--">
    <w:name w:val="CTA --"/>
    <w:basedOn w:val="OPCParaBase"/>
    <w:next w:val="Normal"/>
    <w:rsid w:val="00066581"/>
    <w:pPr>
      <w:spacing w:before="60" w:line="240" w:lineRule="atLeast"/>
      <w:ind w:left="142" w:hanging="142"/>
    </w:pPr>
    <w:rPr>
      <w:sz w:val="20"/>
    </w:rPr>
  </w:style>
  <w:style w:type="paragraph" w:customStyle="1" w:styleId="CTA-">
    <w:name w:val="CTA -"/>
    <w:basedOn w:val="OPCParaBase"/>
    <w:rsid w:val="00066581"/>
    <w:pPr>
      <w:spacing w:before="60" w:line="240" w:lineRule="atLeast"/>
      <w:ind w:left="85" w:hanging="85"/>
    </w:pPr>
    <w:rPr>
      <w:sz w:val="20"/>
    </w:rPr>
  </w:style>
  <w:style w:type="paragraph" w:customStyle="1" w:styleId="CTA---">
    <w:name w:val="CTA ---"/>
    <w:basedOn w:val="OPCParaBase"/>
    <w:next w:val="Normal"/>
    <w:rsid w:val="00066581"/>
    <w:pPr>
      <w:spacing w:before="60" w:line="240" w:lineRule="atLeast"/>
      <w:ind w:left="198" w:hanging="198"/>
    </w:pPr>
    <w:rPr>
      <w:sz w:val="20"/>
    </w:rPr>
  </w:style>
  <w:style w:type="paragraph" w:customStyle="1" w:styleId="CTA----">
    <w:name w:val="CTA ----"/>
    <w:basedOn w:val="OPCParaBase"/>
    <w:next w:val="Normal"/>
    <w:rsid w:val="00066581"/>
    <w:pPr>
      <w:spacing w:before="60" w:line="240" w:lineRule="atLeast"/>
      <w:ind w:left="255" w:hanging="255"/>
    </w:pPr>
    <w:rPr>
      <w:sz w:val="20"/>
    </w:rPr>
  </w:style>
  <w:style w:type="paragraph" w:customStyle="1" w:styleId="CTA1a">
    <w:name w:val="CTA 1(a)"/>
    <w:basedOn w:val="OPCParaBase"/>
    <w:rsid w:val="00066581"/>
    <w:pPr>
      <w:tabs>
        <w:tab w:val="right" w:pos="414"/>
      </w:tabs>
      <w:spacing w:before="40" w:line="240" w:lineRule="atLeast"/>
      <w:ind w:left="675" w:hanging="675"/>
    </w:pPr>
    <w:rPr>
      <w:sz w:val="20"/>
    </w:rPr>
  </w:style>
  <w:style w:type="paragraph" w:customStyle="1" w:styleId="CTA1ai">
    <w:name w:val="CTA 1(a)(i)"/>
    <w:basedOn w:val="OPCParaBase"/>
    <w:rsid w:val="00066581"/>
    <w:pPr>
      <w:tabs>
        <w:tab w:val="right" w:pos="1004"/>
      </w:tabs>
      <w:spacing w:before="40" w:line="240" w:lineRule="atLeast"/>
      <w:ind w:left="1253" w:hanging="1253"/>
    </w:pPr>
    <w:rPr>
      <w:sz w:val="20"/>
    </w:rPr>
  </w:style>
  <w:style w:type="paragraph" w:customStyle="1" w:styleId="CTA2a">
    <w:name w:val="CTA 2(a)"/>
    <w:basedOn w:val="OPCParaBase"/>
    <w:rsid w:val="00066581"/>
    <w:pPr>
      <w:tabs>
        <w:tab w:val="right" w:pos="482"/>
      </w:tabs>
      <w:spacing w:before="40" w:line="240" w:lineRule="atLeast"/>
      <w:ind w:left="748" w:hanging="748"/>
    </w:pPr>
    <w:rPr>
      <w:sz w:val="20"/>
    </w:rPr>
  </w:style>
  <w:style w:type="paragraph" w:customStyle="1" w:styleId="CTA2ai">
    <w:name w:val="CTA 2(a)(i)"/>
    <w:basedOn w:val="OPCParaBase"/>
    <w:rsid w:val="00066581"/>
    <w:pPr>
      <w:tabs>
        <w:tab w:val="right" w:pos="1089"/>
      </w:tabs>
      <w:spacing w:before="40" w:line="240" w:lineRule="atLeast"/>
      <w:ind w:left="1327" w:hanging="1327"/>
    </w:pPr>
    <w:rPr>
      <w:sz w:val="20"/>
    </w:rPr>
  </w:style>
  <w:style w:type="paragraph" w:customStyle="1" w:styleId="CTA3a">
    <w:name w:val="CTA 3(a)"/>
    <w:basedOn w:val="OPCParaBase"/>
    <w:rsid w:val="00066581"/>
    <w:pPr>
      <w:tabs>
        <w:tab w:val="right" w:pos="556"/>
      </w:tabs>
      <w:spacing w:before="40" w:line="240" w:lineRule="atLeast"/>
      <w:ind w:left="805" w:hanging="805"/>
    </w:pPr>
    <w:rPr>
      <w:sz w:val="20"/>
    </w:rPr>
  </w:style>
  <w:style w:type="paragraph" w:customStyle="1" w:styleId="CTA3ai">
    <w:name w:val="CTA 3(a)(i)"/>
    <w:basedOn w:val="OPCParaBase"/>
    <w:rsid w:val="00066581"/>
    <w:pPr>
      <w:tabs>
        <w:tab w:val="right" w:pos="1140"/>
      </w:tabs>
      <w:spacing w:before="40" w:line="240" w:lineRule="atLeast"/>
      <w:ind w:left="1361" w:hanging="1361"/>
    </w:pPr>
    <w:rPr>
      <w:sz w:val="20"/>
    </w:rPr>
  </w:style>
  <w:style w:type="paragraph" w:customStyle="1" w:styleId="CTA4a">
    <w:name w:val="CTA 4(a)"/>
    <w:basedOn w:val="OPCParaBase"/>
    <w:rsid w:val="00066581"/>
    <w:pPr>
      <w:tabs>
        <w:tab w:val="right" w:pos="624"/>
      </w:tabs>
      <w:spacing w:before="40" w:line="240" w:lineRule="atLeast"/>
      <w:ind w:left="873" w:hanging="873"/>
    </w:pPr>
    <w:rPr>
      <w:sz w:val="20"/>
    </w:rPr>
  </w:style>
  <w:style w:type="paragraph" w:customStyle="1" w:styleId="CTA4ai">
    <w:name w:val="CTA 4(a)(i)"/>
    <w:basedOn w:val="OPCParaBase"/>
    <w:rsid w:val="00066581"/>
    <w:pPr>
      <w:tabs>
        <w:tab w:val="right" w:pos="1213"/>
      </w:tabs>
      <w:spacing w:before="40" w:line="240" w:lineRule="atLeast"/>
      <w:ind w:left="1452" w:hanging="1452"/>
    </w:pPr>
    <w:rPr>
      <w:sz w:val="20"/>
    </w:rPr>
  </w:style>
  <w:style w:type="paragraph" w:customStyle="1" w:styleId="CTACAPS">
    <w:name w:val="CTA CAPS"/>
    <w:basedOn w:val="OPCParaBase"/>
    <w:rsid w:val="00066581"/>
    <w:pPr>
      <w:spacing w:before="60" w:line="240" w:lineRule="atLeast"/>
    </w:pPr>
    <w:rPr>
      <w:sz w:val="20"/>
    </w:rPr>
  </w:style>
  <w:style w:type="paragraph" w:customStyle="1" w:styleId="CTAright">
    <w:name w:val="CTA right"/>
    <w:basedOn w:val="OPCParaBase"/>
    <w:rsid w:val="00066581"/>
    <w:pPr>
      <w:spacing w:before="60" w:line="240" w:lineRule="auto"/>
      <w:jc w:val="right"/>
    </w:pPr>
    <w:rPr>
      <w:sz w:val="20"/>
    </w:rPr>
  </w:style>
  <w:style w:type="paragraph" w:customStyle="1" w:styleId="subsection">
    <w:name w:val="subsection"/>
    <w:aliases w:val="ss,Subsection"/>
    <w:basedOn w:val="OPCParaBase"/>
    <w:link w:val="subsectionChar"/>
    <w:rsid w:val="00066581"/>
    <w:pPr>
      <w:tabs>
        <w:tab w:val="right" w:pos="1021"/>
      </w:tabs>
      <w:spacing w:before="180" w:line="240" w:lineRule="auto"/>
      <w:ind w:left="1134" w:hanging="1134"/>
    </w:pPr>
  </w:style>
  <w:style w:type="paragraph" w:customStyle="1" w:styleId="Definition">
    <w:name w:val="Definition"/>
    <w:aliases w:val="dd"/>
    <w:basedOn w:val="OPCParaBase"/>
    <w:rsid w:val="00066581"/>
    <w:pPr>
      <w:spacing w:before="180" w:line="240" w:lineRule="auto"/>
      <w:ind w:left="1134"/>
    </w:pPr>
  </w:style>
  <w:style w:type="paragraph" w:customStyle="1" w:styleId="ETAsubitem">
    <w:name w:val="ETA(subitem)"/>
    <w:basedOn w:val="OPCParaBase"/>
    <w:rsid w:val="00066581"/>
    <w:pPr>
      <w:tabs>
        <w:tab w:val="right" w:pos="340"/>
      </w:tabs>
      <w:spacing w:before="60" w:line="240" w:lineRule="auto"/>
      <w:ind w:left="454" w:hanging="454"/>
    </w:pPr>
    <w:rPr>
      <w:sz w:val="20"/>
    </w:rPr>
  </w:style>
  <w:style w:type="paragraph" w:customStyle="1" w:styleId="ETApara">
    <w:name w:val="ETA(para)"/>
    <w:basedOn w:val="OPCParaBase"/>
    <w:rsid w:val="00066581"/>
    <w:pPr>
      <w:tabs>
        <w:tab w:val="right" w:pos="754"/>
      </w:tabs>
      <w:spacing w:before="60" w:line="240" w:lineRule="auto"/>
      <w:ind w:left="828" w:hanging="828"/>
    </w:pPr>
    <w:rPr>
      <w:sz w:val="20"/>
    </w:rPr>
  </w:style>
  <w:style w:type="paragraph" w:customStyle="1" w:styleId="ETAsubpara">
    <w:name w:val="ETA(subpara)"/>
    <w:basedOn w:val="OPCParaBase"/>
    <w:rsid w:val="00066581"/>
    <w:pPr>
      <w:tabs>
        <w:tab w:val="right" w:pos="1083"/>
      </w:tabs>
      <w:spacing w:before="60" w:line="240" w:lineRule="auto"/>
      <w:ind w:left="1191" w:hanging="1191"/>
    </w:pPr>
    <w:rPr>
      <w:sz w:val="20"/>
    </w:rPr>
  </w:style>
  <w:style w:type="paragraph" w:customStyle="1" w:styleId="ETAsub-subpara">
    <w:name w:val="ETA(sub-subpara)"/>
    <w:basedOn w:val="OPCParaBase"/>
    <w:rsid w:val="00066581"/>
    <w:pPr>
      <w:tabs>
        <w:tab w:val="right" w:pos="1412"/>
      </w:tabs>
      <w:spacing w:before="60" w:line="240" w:lineRule="auto"/>
      <w:ind w:left="1525" w:hanging="1525"/>
    </w:pPr>
    <w:rPr>
      <w:sz w:val="20"/>
    </w:rPr>
  </w:style>
  <w:style w:type="paragraph" w:customStyle="1" w:styleId="Formula">
    <w:name w:val="Formula"/>
    <w:basedOn w:val="OPCParaBase"/>
    <w:rsid w:val="00066581"/>
    <w:pPr>
      <w:spacing w:line="240" w:lineRule="auto"/>
      <w:ind w:left="1134"/>
    </w:pPr>
    <w:rPr>
      <w:sz w:val="20"/>
    </w:rPr>
  </w:style>
  <w:style w:type="paragraph" w:styleId="Header">
    <w:name w:val="header"/>
    <w:basedOn w:val="OPCParaBase"/>
    <w:link w:val="HeaderChar"/>
    <w:unhideWhenUsed/>
    <w:rsid w:val="000665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66581"/>
    <w:rPr>
      <w:rFonts w:eastAsia="Times New Roman" w:cs="Times New Roman"/>
      <w:sz w:val="16"/>
      <w:lang w:eastAsia="en-AU"/>
    </w:rPr>
  </w:style>
  <w:style w:type="paragraph" w:customStyle="1" w:styleId="House">
    <w:name w:val="House"/>
    <w:basedOn w:val="OPCParaBase"/>
    <w:rsid w:val="00066581"/>
    <w:pPr>
      <w:spacing w:line="240" w:lineRule="auto"/>
    </w:pPr>
    <w:rPr>
      <w:sz w:val="28"/>
    </w:rPr>
  </w:style>
  <w:style w:type="paragraph" w:customStyle="1" w:styleId="Item">
    <w:name w:val="Item"/>
    <w:aliases w:val="i"/>
    <w:basedOn w:val="OPCParaBase"/>
    <w:next w:val="ItemHead"/>
    <w:rsid w:val="00066581"/>
    <w:pPr>
      <w:keepLines/>
      <w:spacing w:before="80" w:line="240" w:lineRule="auto"/>
      <w:ind w:left="709"/>
    </w:pPr>
  </w:style>
  <w:style w:type="paragraph" w:customStyle="1" w:styleId="ItemHead">
    <w:name w:val="ItemHead"/>
    <w:aliases w:val="ih"/>
    <w:basedOn w:val="OPCParaBase"/>
    <w:next w:val="Item"/>
    <w:rsid w:val="0006658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66581"/>
    <w:pPr>
      <w:spacing w:line="240" w:lineRule="auto"/>
    </w:pPr>
    <w:rPr>
      <w:b/>
      <w:sz w:val="32"/>
    </w:rPr>
  </w:style>
  <w:style w:type="paragraph" w:customStyle="1" w:styleId="notedraft">
    <w:name w:val="note(draft)"/>
    <w:aliases w:val="nd"/>
    <w:basedOn w:val="OPCParaBase"/>
    <w:rsid w:val="00066581"/>
    <w:pPr>
      <w:spacing w:before="240" w:line="240" w:lineRule="auto"/>
      <w:ind w:left="284" w:hanging="284"/>
    </w:pPr>
    <w:rPr>
      <w:i/>
      <w:sz w:val="24"/>
    </w:rPr>
  </w:style>
  <w:style w:type="paragraph" w:customStyle="1" w:styleId="notemargin">
    <w:name w:val="note(margin)"/>
    <w:aliases w:val="nm"/>
    <w:basedOn w:val="OPCParaBase"/>
    <w:rsid w:val="00066581"/>
    <w:pPr>
      <w:tabs>
        <w:tab w:val="left" w:pos="709"/>
      </w:tabs>
      <w:spacing w:before="122" w:line="198" w:lineRule="exact"/>
      <w:ind w:left="709" w:hanging="709"/>
    </w:pPr>
    <w:rPr>
      <w:sz w:val="18"/>
    </w:rPr>
  </w:style>
  <w:style w:type="paragraph" w:customStyle="1" w:styleId="noteToPara">
    <w:name w:val="noteToPara"/>
    <w:aliases w:val="ntp"/>
    <w:basedOn w:val="OPCParaBase"/>
    <w:rsid w:val="00066581"/>
    <w:pPr>
      <w:spacing w:before="122" w:line="198" w:lineRule="exact"/>
      <w:ind w:left="2353" w:hanging="709"/>
    </w:pPr>
    <w:rPr>
      <w:sz w:val="18"/>
    </w:rPr>
  </w:style>
  <w:style w:type="paragraph" w:customStyle="1" w:styleId="noteParlAmend">
    <w:name w:val="note(ParlAmend)"/>
    <w:aliases w:val="npp"/>
    <w:basedOn w:val="OPCParaBase"/>
    <w:next w:val="ParlAmend"/>
    <w:rsid w:val="00066581"/>
    <w:pPr>
      <w:spacing w:line="240" w:lineRule="auto"/>
      <w:jc w:val="right"/>
    </w:pPr>
    <w:rPr>
      <w:rFonts w:ascii="Arial" w:hAnsi="Arial"/>
      <w:b/>
      <w:i/>
    </w:rPr>
  </w:style>
  <w:style w:type="paragraph" w:customStyle="1" w:styleId="Page1">
    <w:name w:val="Page1"/>
    <w:basedOn w:val="OPCParaBase"/>
    <w:rsid w:val="00066581"/>
    <w:pPr>
      <w:spacing w:before="5600" w:line="240" w:lineRule="auto"/>
    </w:pPr>
    <w:rPr>
      <w:b/>
      <w:sz w:val="32"/>
    </w:rPr>
  </w:style>
  <w:style w:type="paragraph" w:customStyle="1" w:styleId="PageBreak">
    <w:name w:val="PageBreak"/>
    <w:aliases w:val="pb"/>
    <w:basedOn w:val="OPCParaBase"/>
    <w:rsid w:val="00066581"/>
    <w:pPr>
      <w:spacing w:line="240" w:lineRule="auto"/>
    </w:pPr>
    <w:rPr>
      <w:sz w:val="20"/>
    </w:rPr>
  </w:style>
  <w:style w:type="paragraph" w:customStyle="1" w:styleId="paragraphsub">
    <w:name w:val="paragraph(sub)"/>
    <w:aliases w:val="aa"/>
    <w:basedOn w:val="OPCParaBase"/>
    <w:rsid w:val="00066581"/>
    <w:pPr>
      <w:tabs>
        <w:tab w:val="right" w:pos="1985"/>
      </w:tabs>
      <w:spacing w:before="40" w:line="240" w:lineRule="auto"/>
      <w:ind w:left="2098" w:hanging="2098"/>
    </w:pPr>
  </w:style>
  <w:style w:type="paragraph" w:customStyle="1" w:styleId="paragraphsub-sub">
    <w:name w:val="paragraph(sub-sub)"/>
    <w:aliases w:val="aaa"/>
    <w:basedOn w:val="OPCParaBase"/>
    <w:rsid w:val="00066581"/>
    <w:pPr>
      <w:tabs>
        <w:tab w:val="right" w:pos="2722"/>
      </w:tabs>
      <w:spacing w:before="40" w:line="240" w:lineRule="auto"/>
      <w:ind w:left="2835" w:hanging="2835"/>
    </w:pPr>
  </w:style>
  <w:style w:type="paragraph" w:customStyle="1" w:styleId="paragraph">
    <w:name w:val="paragraph"/>
    <w:aliases w:val="a"/>
    <w:basedOn w:val="OPCParaBase"/>
    <w:link w:val="paragraphChar"/>
    <w:rsid w:val="00066581"/>
    <w:pPr>
      <w:tabs>
        <w:tab w:val="right" w:pos="1531"/>
      </w:tabs>
      <w:spacing w:before="40" w:line="240" w:lineRule="auto"/>
      <w:ind w:left="1644" w:hanging="1644"/>
    </w:pPr>
  </w:style>
  <w:style w:type="paragraph" w:customStyle="1" w:styleId="ParlAmend">
    <w:name w:val="ParlAmend"/>
    <w:aliases w:val="pp"/>
    <w:basedOn w:val="OPCParaBase"/>
    <w:rsid w:val="00066581"/>
    <w:pPr>
      <w:spacing w:before="240" w:line="240" w:lineRule="atLeast"/>
      <w:ind w:hanging="567"/>
    </w:pPr>
    <w:rPr>
      <w:sz w:val="24"/>
    </w:rPr>
  </w:style>
  <w:style w:type="paragraph" w:customStyle="1" w:styleId="Penalty">
    <w:name w:val="Penalty"/>
    <w:basedOn w:val="OPCParaBase"/>
    <w:rsid w:val="00066581"/>
    <w:pPr>
      <w:tabs>
        <w:tab w:val="left" w:pos="2977"/>
      </w:tabs>
      <w:spacing w:before="180" w:line="240" w:lineRule="auto"/>
      <w:ind w:left="1985" w:hanging="851"/>
    </w:pPr>
  </w:style>
  <w:style w:type="paragraph" w:customStyle="1" w:styleId="Portfolio">
    <w:name w:val="Portfolio"/>
    <w:basedOn w:val="OPCParaBase"/>
    <w:rsid w:val="00066581"/>
    <w:pPr>
      <w:spacing w:line="240" w:lineRule="auto"/>
    </w:pPr>
    <w:rPr>
      <w:i/>
      <w:sz w:val="20"/>
    </w:rPr>
  </w:style>
  <w:style w:type="paragraph" w:customStyle="1" w:styleId="Preamble">
    <w:name w:val="Preamble"/>
    <w:basedOn w:val="OPCParaBase"/>
    <w:next w:val="Normal"/>
    <w:rsid w:val="000665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66581"/>
    <w:pPr>
      <w:spacing w:line="240" w:lineRule="auto"/>
    </w:pPr>
    <w:rPr>
      <w:i/>
      <w:sz w:val="20"/>
    </w:rPr>
  </w:style>
  <w:style w:type="paragraph" w:customStyle="1" w:styleId="Session">
    <w:name w:val="Session"/>
    <w:basedOn w:val="OPCParaBase"/>
    <w:rsid w:val="00066581"/>
    <w:pPr>
      <w:spacing w:line="240" w:lineRule="auto"/>
    </w:pPr>
    <w:rPr>
      <w:sz w:val="28"/>
    </w:rPr>
  </w:style>
  <w:style w:type="paragraph" w:customStyle="1" w:styleId="Sponsor">
    <w:name w:val="Sponsor"/>
    <w:basedOn w:val="OPCParaBase"/>
    <w:rsid w:val="00066581"/>
    <w:pPr>
      <w:spacing w:line="240" w:lineRule="auto"/>
    </w:pPr>
    <w:rPr>
      <w:i/>
    </w:rPr>
  </w:style>
  <w:style w:type="paragraph" w:customStyle="1" w:styleId="Subitem">
    <w:name w:val="Subitem"/>
    <w:aliases w:val="iss"/>
    <w:basedOn w:val="OPCParaBase"/>
    <w:rsid w:val="00066581"/>
    <w:pPr>
      <w:spacing w:before="180" w:line="240" w:lineRule="auto"/>
      <w:ind w:left="709" w:hanging="709"/>
    </w:pPr>
  </w:style>
  <w:style w:type="paragraph" w:customStyle="1" w:styleId="SubitemHead">
    <w:name w:val="SubitemHead"/>
    <w:aliases w:val="issh"/>
    <w:basedOn w:val="OPCParaBase"/>
    <w:rsid w:val="000665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66581"/>
    <w:pPr>
      <w:spacing w:before="40" w:line="240" w:lineRule="auto"/>
      <w:ind w:left="1134"/>
    </w:pPr>
  </w:style>
  <w:style w:type="paragraph" w:customStyle="1" w:styleId="SubsectionHead">
    <w:name w:val="SubsectionHead"/>
    <w:aliases w:val="ssh"/>
    <w:basedOn w:val="OPCParaBase"/>
    <w:next w:val="subsection"/>
    <w:rsid w:val="00066581"/>
    <w:pPr>
      <w:keepNext/>
      <w:keepLines/>
      <w:spacing w:before="240" w:line="240" w:lineRule="auto"/>
      <w:ind w:left="1134"/>
    </w:pPr>
    <w:rPr>
      <w:i/>
    </w:rPr>
  </w:style>
  <w:style w:type="paragraph" w:customStyle="1" w:styleId="Tablea">
    <w:name w:val="Table(a)"/>
    <w:aliases w:val="ta"/>
    <w:basedOn w:val="OPCParaBase"/>
    <w:rsid w:val="00066581"/>
    <w:pPr>
      <w:spacing w:before="60" w:line="240" w:lineRule="auto"/>
      <w:ind w:left="284" w:hanging="284"/>
    </w:pPr>
    <w:rPr>
      <w:sz w:val="20"/>
    </w:rPr>
  </w:style>
  <w:style w:type="paragraph" w:customStyle="1" w:styleId="TableAA">
    <w:name w:val="Table(AA)"/>
    <w:aliases w:val="taaa"/>
    <w:basedOn w:val="OPCParaBase"/>
    <w:rsid w:val="0006658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6658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66581"/>
    <w:pPr>
      <w:spacing w:before="60" w:line="240" w:lineRule="atLeast"/>
    </w:pPr>
    <w:rPr>
      <w:sz w:val="20"/>
    </w:rPr>
  </w:style>
  <w:style w:type="paragraph" w:customStyle="1" w:styleId="TLPBoxTextnote">
    <w:name w:val="TLPBoxText(note"/>
    <w:aliases w:val="right)"/>
    <w:basedOn w:val="OPCParaBase"/>
    <w:rsid w:val="000665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6658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66581"/>
    <w:pPr>
      <w:spacing w:before="122" w:line="198" w:lineRule="exact"/>
      <w:ind w:left="1985" w:hanging="851"/>
      <w:jc w:val="right"/>
    </w:pPr>
    <w:rPr>
      <w:sz w:val="18"/>
    </w:rPr>
  </w:style>
  <w:style w:type="paragraph" w:customStyle="1" w:styleId="TLPTableBullet">
    <w:name w:val="TLPTableBullet"/>
    <w:aliases w:val="ttb"/>
    <w:basedOn w:val="OPCParaBase"/>
    <w:rsid w:val="00066581"/>
    <w:pPr>
      <w:spacing w:line="240" w:lineRule="exact"/>
      <w:ind w:left="284" w:hanging="284"/>
    </w:pPr>
    <w:rPr>
      <w:sz w:val="20"/>
    </w:rPr>
  </w:style>
  <w:style w:type="paragraph" w:styleId="TOC1">
    <w:name w:val="toc 1"/>
    <w:basedOn w:val="OPCParaBase"/>
    <w:next w:val="Normal"/>
    <w:uiPriority w:val="39"/>
    <w:semiHidden/>
    <w:unhideWhenUsed/>
    <w:rsid w:val="000665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665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665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665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6658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665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665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665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665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66581"/>
    <w:pPr>
      <w:keepLines/>
      <w:spacing w:before="240" w:after="120" w:line="240" w:lineRule="auto"/>
      <w:ind w:left="794"/>
    </w:pPr>
    <w:rPr>
      <w:b/>
      <w:kern w:val="28"/>
      <w:sz w:val="20"/>
    </w:rPr>
  </w:style>
  <w:style w:type="paragraph" w:customStyle="1" w:styleId="TofSectsHeading">
    <w:name w:val="TofSects(Heading)"/>
    <w:basedOn w:val="OPCParaBase"/>
    <w:rsid w:val="00066581"/>
    <w:pPr>
      <w:spacing w:before="240" w:after="120" w:line="240" w:lineRule="auto"/>
    </w:pPr>
    <w:rPr>
      <w:b/>
      <w:sz w:val="24"/>
    </w:rPr>
  </w:style>
  <w:style w:type="paragraph" w:customStyle="1" w:styleId="TofSectsSection">
    <w:name w:val="TofSects(Section)"/>
    <w:basedOn w:val="OPCParaBase"/>
    <w:rsid w:val="00066581"/>
    <w:pPr>
      <w:keepLines/>
      <w:spacing w:before="40" w:line="240" w:lineRule="auto"/>
      <w:ind w:left="1588" w:hanging="794"/>
    </w:pPr>
    <w:rPr>
      <w:kern w:val="28"/>
      <w:sz w:val="18"/>
    </w:rPr>
  </w:style>
  <w:style w:type="paragraph" w:customStyle="1" w:styleId="TofSectsSubdiv">
    <w:name w:val="TofSects(Subdiv)"/>
    <w:basedOn w:val="OPCParaBase"/>
    <w:rsid w:val="00066581"/>
    <w:pPr>
      <w:keepLines/>
      <w:spacing w:before="80" w:line="240" w:lineRule="auto"/>
      <w:ind w:left="1588" w:hanging="794"/>
    </w:pPr>
    <w:rPr>
      <w:kern w:val="28"/>
    </w:rPr>
  </w:style>
  <w:style w:type="paragraph" w:customStyle="1" w:styleId="WRStyle">
    <w:name w:val="WR Style"/>
    <w:aliases w:val="WR"/>
    <w:basedOn w:val="OPCParaBase"/>
    <w:rsid w:val="00066581"/>
    <w:pPr>
      <w:spacing w:before="240" w:line="240" w:lineRule="auto"/>
      <w:ind w:left="284" w:hanging="284"/>
    </w:pPr>
    <w:rPr>
      <w:b/>
      <w:i/>
      <w:kern w:val="28"/>
      <w:sz w:val="24"/>
    </w:rPr>
  </w:style>
  <w:style w:type="paragraph" w:customStyle="1" w:styleId="notepara">
    <w:name w:val="note(para)"/>
    <w:aliases w:val="na"/>
    <w:basedOn w:val="OPCParaBase"/>
    <w:rsid w:val="00066581"/>
    <w:pPr>
      <w:spacing w:before="40" w:line="198" w:lineRule="exact"/>
      <w:ind w:left="2354" w:hanging="369"/>
    </w:pPr>
    <w:rPr>
      <w:sz w:val="18"/>
    </w:rPr>
  </w:style>
  <w:style w:type="paragraph" w:styleId="Footer">
    <w:name w:val="footer"/>
    <w:link w:val="FooterChar"/>
    <w:rsid w:val="0006658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66581"/>
    <w:rPr>
      <w:rFonts w:eastAsia="Times New Roman" w:cs="Times New Roman"/>
      <w:sz w:val="22"/>
      <w:szCs w:val="24"/>
      <w:lang w:eastAsia="en-AU"/>
    </w:rPr>
  </w:style>
  <w:style w:type="character" w:styleId="LineNumber">
    <w:name w:val="line number"/>
    <w:basedOn w:val="OPCCharBase"/>
    <w:uiPriority w:val="99"/>
    <w:semiHidden/>
    <w:unhideWhenUsed/>
    <w:rsid w:val="00066581"/>
    <w:rPr>
      <w:sz w:val="16"/>
    </w:rPr>
  </w:style>
  <w:style w:type="table" w:customStyle="1" w:styleId="CFlag">
    <w:name w:val="CFlag"/>
    <w:basedOn w:val="TableNormal"/>
    <w:uiPriority w:val="99"/>
    <w:rsid w:val="00066581"/>
    <w:rPr>
      <w:rFonts w:eastAsia="Times New Roman" w:cs="Times New Roman"/>
      <w:lang w:eastAsia="en-AU"/>
    </w:rPr>
    <w:tblPr/>
  </w:style>
  <w:style w:type="paragraph" w:customStyle="1" w:styleId="NotesHeading1">
    <w:name w:val="NotesHeading 1"/>
    <w:basedOn w:val="OPCParaBase"/>
    <w:next w:val="Normal"/>
    <w:rsid w:val="00066581"/>
    <w:rPr>
      <w:b/>
      <w:sz w:val="28"/>
      <w:szCs w:val="28"/>
    </w:rPr>
  </w:style>
  <w:style w:type="paragraph" w:customStyle="1" w:styleId="NotesHeading2">
    <w:name w:val="NotesHeading 2"/>
    <w:basedOn w:val="OPCParaBase"/>
    <w:next w:val="Normal"/>
    <w:rsid w:val="00066581"/>
    <w:rPr>
      <w:b/>
      <w:sz w:val="28"/>
      <w:szCs w:val="28"/>
    </w:rPr>
  </w:style>
  <w:style w:type="paragraph" w:customStyle="1" w:styleId="SignCoverPageEnd">
    <w:name w:val="SignCoverPageEnd"/>
    <w:basedOn w:val="OPCParaBase"/>
    <w:next w:val="Normal"/>
    <w:rsid w:val="000665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66581"/>
    <w:pPr>
      <w:pBdr>
        <w:top w:val="single" w:sz="4" w:space="1" w:color="auto"/>
      </w:pBdr>
      <w:spacing w:before="360"/>
      <w:ind w:right="397"/>
      <w:jc w:val="both"/>
    </w:pPr>
  </w:style>
  <w:style w:type="paragraph" w:customStyle="1" w:styleId="Paragraphsub-sub-sub">
    <w:name w:val="Paragraph(sub-sub-sub)"/>
    <w:aliases w:val="aaaa"/>
    <w:basedOn w:val="OPCParaBase"/>
    <w:rsid w:val="000665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665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665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665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6658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66581"/>
    <w:pPr>
      <w:spacing w:before="120"/>
    </w:pPr>
  </w:style>
  <w:style w:type="paragraph" w:customStyle="1" w:styleId="TableTextEndNotes">
    <w:name w:val="TableTextEndNotes"/>
    <w:aliases w:val="Tten"/>
    <w:basedOn w:val="Normal"/>
    <w:rsid w:val="00066581"/>
    <w:pPr>
      <w:spacing w:before="60" w:line="240" w:lineRule="auto"/>
    </w:pPr>
    <w:rPr>
      <w:rFonts w:cs="Arial"/>
      <w:sz w:val="20"/>
      <w:szCs w:val="22"/>
    </w:rPr>
  </w:style>
  <w:style w:type="paragraph" w:customStyle="1" w:styleId="TableHeading">
    <w:name w:val="TableHeading"/>
    <w:aliases w:val="th"/>
    <w:basedOn w:val="OPCParaBase"/>
    <w:next w:val="Tabletext"/>
    <w:rsid w:val="00066581"/>
    <w:pPr>
      <w:keepNext/>
      <w:spacing w:before="60" w:line="240" w:lineRule="atLeast"/>
    </w:pPr>
    <w:rPr>
      <w:b/>
      <w:sz w:val="20"/>
    </w:rPr>
  </w:style>
  <w:style w:type="paragraph" w:customStyle="1" w:styleId="NoteToSubpara">
    <w:name w:val="NoteToSubpara"/>
    <w:aliases w:val="nts"/>
    <w:basedOn w:val="OPCParaBase"/>
    <w:rsid w:val="00066581"/>
    <w:pPr>
      <w:spacing w:before="40" w:line="198" w:lineRule="exact"/>
      <w:ind w:left="2835" w:hanging="709"/>
    </w:pPr>
    <w:rPr>
      <w:sz w:val="18"/>
    </w:rPr>
  </w:style>
  <w:style w:type="paragraph" w:customStyle="1" w:styleId="ENoteTableHeading">
    <w:name w:val="ENoteTableHeading"/>
    <w:aliases w:val="enth"/>
    <w:basedOn w:val="OPCParaBase"/>
    <w:rsid w:val="00066581"/>
    <w:pPr>
      <w:keepNext/>
      <w:spacing w:before="60" w:line="240" w:lineRule="atLeast"/>
    </w:pPr>
    <w:rPr>
      <w:rFonts w:ascii="Arial" w:hAnsi="Arial"/>
      <w:b/>
      <w:sz w:val="16"/>
    </w:rPr>
  </w:style>
  <w:style w:type="paragraph" w:customStyle="1" w:styleId="ENoteTTi">
    <w:name w:val="ENoteTTi"/>
    <w:aliases w:val="entti"/>
    <w:basedOn w:val="OPCParaBase"/>
    <w:rsid w:val="00066581"/>
    <w:pPr>
      <w:keepNext/>
      <w:spacing w:before="60" w:line="240" w:lineRule="atLeast"/>
      <w:ind w:left="170"/>
    </w:pPr>
    <w:rPr>
      <w:sz w:val="16"/>
    </w:rPr>
  </w:style>
  <w:style w:type="paragraph" w:customStyle="1" w:styleId="ENotesHeading1">
    <w:name w:val="ENotesHeading 1"/>
    <w:aliases w:val="Enh1"/>
    <w:basedOn w:val="OPCParaBase"/>
    <w:next w:val="Normal"/>
    <w:rsid w:val="00066581"/>
    <w:pPr>
      <w:spacing w:before="120"/>
      <w:outlineLvl w:val="1"/>
    </w:pPr>
    <w:rPr>
      <w:b/>
      <w:sz w:val="28"/>
      <w:szCs w:val="28"/>
    </w:rPr>
  </w:style>
  <w:style w:type="paragraph" w:customStyle="1" w:styleId="ENotesHeading2">
    <w:name w:val="ENotesHeading 2"/>
    <w:aliases w:val="Enh2"/>
    <w:basedOn w:val="OPCParaBase"/>
    <w:next w:val="Normal"/>
    <w:rsid w:val="00066581"/>
    <w:pPr>
      <w:spacing w:before="120" w:after="120"/>
      <w:outlineLvl w:val="2"/>
    </w:pPr>
    <w:rPr>
      <w:b/>
      <w:sz w:val="24"/>
      <w:szCs w:val="28"/>
    </w:rPr>
  </w:style>
  <w:style w:type="paragraph" w:customStyle="1" w:styleId="ENoteTTIndentHeading">
    <w:name w:val="ENoteTTIndentHeading"/>
    <w:aliases w:val="enTTHi"/>
    <w:basedOn w:val="OPCParaBase"/>
    <w:rsid w:val="000665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66581"/>
    <w:pPr>
      <w:spacing w:before="60" w:line="240" w:lineRule="atLeast"/>
    </w:pPr>
    <w:rPr>
      <w:sz w:val="16"/>
    </w:rPr>
  </w:style>
  <w:style w:type="paragraph" w:customStyle="1" w:styleId="MadeunderText">
    <w:name w:val="MadeunderText"/>
    <w:basedOn w:val="OPCParaBase"/>
    <w:next w:val="Normal"/>
    <w:rsid w:val="00066581"/>
    <w:pPr>
      <w:spacing w:before="240"/>
    </w:pPr>
    <w:rPr>
      <w:sz w:val="24"/>
      <w:szCs w:val="24"/>
    </w:rPr>
  </w:style>
  <w:style w:type="paragraph" w:customStyle="1" w:styleId="ENotesHeading3">
    <w:name w:val="ENotesHeading 3"/>
    <w:aliases w:val="Enh3"/>
    <w:basedOn w:val="OPCParaBase"/>
    <w:next w:val="Normal"/>
    <w:rsid w:val="00066581"/>
    <w:pPr>
      <w:keepNext/>
      <w:spacing w:before="120" w:line="240" w:lineRule="auto"/>
      <w:outlineLvl w:val="4"/>
    </w:pPr>
    <w:rPr>
      <w:b/>
      <w:szCs w:val="24"/>
    </w:rPr>
  </w:style>
  <w:style w:type="paragraph" w:customStyle="1" w:styleId="SubPartCASA">
    <w:name w:val="SubPart(CASA)"/>
    <w:aliases w:val="csp"/>
    <w:basedOn w:val="OPCParaBase"/>
    <w:next w:val="ActHead3"/>
    <w:rsid w:val="0006658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66581"/>
  </w:style>
  <w:style w:type="character" w:customStyle="1" w:styleId="CharSubPartNoCASA">
    <w:name w:val="CharSubPartNo(CASA)"/>
    <w:basedOn w:val="OPCCharBase"/>
    <w:uiPriority w:val="1"/>
    <w:rsid w:val="00066581"/>
  </w:style>
  <w:style w:type="paragraph" w:customStyle="1" w:styleId="ENoteTTIndentHeadingSub">
    <w:name w:val="ENoteTTIndentHeadingSub"/>
    <w:aliases w:val="enTTHis"/>
    <w:basedOn w:val="OPCParaBase"/>
    <w:rsid w:val="00066581"/>
    <w:pPr>
      <w:keepNext/>
      <w:spacing w:before="60" w:line="240" w:lineRule="atLeast"/>
      <w:ind w:left="340"/>
    </w:pPr>
    <w:rPr>
      <w:b/>
      <w:sz w:val="16"/>
    </w:rPr>
  </w:style>
  <w:style w:type="paragraph" w:customStyle="1" w:styleId="ENoteTTiSub">
    <w:name w:val="ENoteTTiSub"/>
    <w:aliases w:val="enttis"/>
    <w:basedOn w:val="OPCParaBase"/>
    <w:rsid w:val="00066581"/>
    <w:pPr>
      <w:keepNext/>
      <w:spacing w:before="60" w:line="240" w:lineRule="atLeast"/>
      <w:ind w:left="340"/>
    </w:pPr>
    <w:rPr>
      <w:sz w:val="16"/>
    </w:rPr>
  </w:style>
  <w:style w:type="paragraph" w:customStyle="1" w:styleId="SubDivisionMigration">
    <w:name w:val="SubDivisionMigration"/>
    <w:aliases w:val="sdm"/>
    <w:basedOn w:val="OPCParaBase"/>
    <w:rsid w:val="000665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66581"/>
    <w:pPr>
      <w:keepNext/>
      <w:keepLines/>
      <w:spacing w:before="240" w:line="240" w:lineRule="auto"/>
      <w:ind w:left="1134" w:hanging="1134"/>
    </w:pPr>
    <w:rPr>
      <w:b/>
      <w:sz w:val="28"/>
    </w:rPr>
  </w:style>
  <w:style w:type="table" w:styleId="TableGrid">
    <w:name w:val="Table Grid"/>
    <w:basedOn w:val="TableNormal"/>
    <w:uiPriority w:val="59"/>
    <w:rsid w:val="0006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66581"/>
    <w:pPr>
      <w:spacing w:before="122" w:line="240" w:lineRule="auto"/>
      <w:ind w:left="1985" w:hanging="851"/>
    </w:pPr>
    <w:rPr>
      <w:sz w:val="18"/>
    </w:rPr>
  </w:style>
  <w:style w:type="paragraph" w:customStyle="1" w:styleId="FreeForm">
    <w:name w:val="FreeForm"/>
    <w:rsid w:val="00066581"/>
    <w:rPr>
      <w:rFonts w:ascii="Arial" w:hAnsi="Arial"/>
      <w:sz w:val="22"/>
    </w:rPr>
  </w:style>
  <w:style w:type="paragraph" w:customStyle="1" w:styleId="SOText">
    <w:name w:val="SO Text"/>
    <w:aliases w:val="sot"/>
    <w:link w:val="SOTextChar"/>
    <w:rsid w:val="0006658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66581"/>
    <w:rPr>
      <w:sz w:val="22"/>
    </w:rPr>
  </w:style>
  <w:style w:type="paragraph" w:customStyle="1" w:styleId="SOTextNote">
    <w:name w:val="SO TextNote"/>
    <w:aliases w:val="sont"/>
    <w:basedOn w:val="SOText"/>
    <w:qFormat/>
    <w:rsid w:val="00066581"/>
    <w:pPr>
      <w:spacing w:before="122" w:line="198" w:lineRule="exact"/>
      <w:ind w:left="1843" w:hanging="709"/>
    </w:pPr>
    <w:rPr>
      <w:sz w:val="18"/>
    </w:rPr>
  </w:style>
  <w:style w:type="paragraph" w:customStyle="1" w:styleId="SOPara">
    <w:name w:val="SO Para"/>
    <w:aliases w:val="soa"/>
    <w:basedOn w:val="SOText"/>
    <w:link w:val="SOParaChar"/>
    <w:qFormat/>
    <w:rsid w:val="00066581"/>
    <w:pPr>
      <w:tabs>
        <w:tab w:val="right" w:pos="1786"/>
      </w:tabs>
      <w:spacing w:before="40"/>
      <w:ind w:left="2070" w:hanging="936"/>
    </w:pPr>
  </w:style>
  <w:style w:type="character" w:customStyle="1" w:styleId="SOParaChar">
    <w:name w:val="SO Para Char"/>
    <w:aliases w:val="soa Char"/>
    <w:basedOn w:val="DefaultParagraphFont"/>
    <w:link w:val="SOPara"/>
    <w:rsid w:val="00066581"/>
    <w:rPr>
      <w:sz w:val="22"/>
    </w:rPr>
  </w:style>
  <w:style w:type="paragraph" w:customStyle="1" w:styleId="FileName">
    <w:name w:val="FileName"/>
    <w:basedOn w:val="Normal"/>
    <w:rsid w:val="00066581"/>
  </w:style>
  <w:style w:type="paragraph" w:customStyle="1" w:styleId="SOHeadBold">
    <w:name w:val="SO HeadBold"/>
    <w:aliases w:val="sohb"/>
    <w:basedOn w:val="SOText"/>
    <w:next w:val="SOText"/>
    <w:link w:val="SOHeadBoldChar"/>
    <w:qFormat/>
    <w:rsid w:val="00066581"/>
    <w:rPr>
      <w:b/>
    </w:rPr>
  </w:style>
  <w:style w:type="character" w:customStyle="1" w:styleId="SOHeadBoldChar">
    <w:name w:val="SO HeadBold Char"/>
    <w:aliases w:val="sohb Char"/>
    <w:basedOn w:val="DefaultParagraphFont"/>
    <w:link w:val="SOHeadBold"/>
    <w:rsid w:val="00066581"/>
    <w:rPr>
      <w:b/>
      <w:sz w:val="22"/>
    </w:rPr>
  </w:style>
  <w:style w:type="paragraph" w:customStyle="1" w:styleId="SOHeadItalic">
    <w:name w:val="SO HeadItalic"/>
    <w:aliases w:val="sohi"/>
    <w:basedOn w:val="SOText"/>
    <w:next w:val="SOText"/>
    <w:link w:val="SOHeadItalicChar"/>
    <w:qFormat/>
    <w:rsid w:val="00066581"/>
    <w:rPr>
      <w:i/>
    </w:rPr>
  </w:style>
  <w:style w:type="character" w:customStyle="1" w:styleId="SOHeadItalicChar">
    <w:name w:val="SO HeadItalic Char"/>
    <w:aliases w:val="sohi Char"/>
    <w:basedOn w:val="DefaultParagraphFont"/>
    <w:link w:val="SOHeadItalic"/>
    <w:rsid w:val="00066581"/>
    <w:rPr>
      <w:i/>
      <w:sz w:val="22"/>
    </w:rPr>
  </w:style>
  <w:style w:type="paragraph" w:customStyle="1" w:styleId="SOBullet">
    <w:name w:val="SO Bullet"/>
    <w:aliases w:val="sotb"/>
    <w:basedOn w:val="SOText"/>
    <w:link w:val="SOBulletChar"/>
    <w:qFormat/>
    <w:rsid w:val="00066581"/>
    <w:pPr>
      <w:ind w:left="1559" w:hanging="425"/>
    </w:pPr>
  </w:style>
  <w:style w:type="character" w:customStyle="1" w:styleId="SOBulletChar">
    <w:name w:val="SO Bullet Char"/>
    <w:aliases w:val="sotb Char"/>
    <w:basedOn w:val="DefaultParagraphFont"/>
    <w:link w:val="SOBullet"/>
    <w:rsid w:val="00066581"/>
    <w:rPr>
      <w:sz w:val="22"/>
    </w:rPr>
  </w:style>
  <w:style w:type="paragraph" w:customStyle="1" w:styleId="SOBulletNote">
    <w:name w:val="SO BulletNote"/>
    <w:aliases w:val="sonb"/>
    <w:basedOn w:val="SOTextNote"/>
    <w:link w:val="SOBulletNoteChar"/>
    <w:qFormat/>
    <w:rsid w:val="00066581"/>
    <w:pPr>
      <w:tabs>
        <w:tab w:val="left" w:pos="1560"/>
      </w:tabs>
      <w:ind w:left="2268" w:hanging="1134"/>
    </w:pPr>
  </w:style>
  <w:style w:type="character" w:customStyle="1" w:styleId="SOBulletNoteChar">
    <w:name w:val="SO BulletNote Char"/>
    <w:aliases w:val="sonb Char"/>
    <w:basedOn w:val="DefaultParagraphFont"/>
    <w:link w:val="SOBulletNote"/>
    <w:rsid w:val="00066581"/>
    <w:rPr>
      <w:sz w:val="18"/>
    </w:rPr>
  </w:style>
  <w:style w:type="paragraph" w:customStyle="1" w:styleId="SOText2">
    <w:name w:val="SO Text2"/>
    <w:aliases w:val="sot2"/>
    <w:basedOn w:val="Normal"/>
    <w:next w:val="SOText"/>
    <w:link w:val="SOText2Char"/>
    <w:rsid w:val="000665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66581"/>
    <w:rPr>
      <w:sz w:val="22"/>
    </w:rPr>
  </w:style>
  <w:style w:type="paragraph" w:customStyle="1" w:styleId="Transitional">
    <w:name w:val="Transitional"/>
    <w:aliases w:val="tr"/>
    <w:basedOn w:val="ItemHead"/>
    <w:next w:val="Item"/>
    <w:rsid w:val="00066581"/>
  </w:style>
  <w:style w:type="character" w:customStyle="1" w:styleId="paragraphChar">
    <w:name w:val="paragraph Char"/>
    <w:aliases w:val="a Char"/>
    <w:link w:val="paragraph"/>
    <w:rsid w:val="00F41A29"/>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A25F4F"/>
    <w:rPr>
      <w:rFonts w:eastAsia="Times New Roman" w:cs="Times New Roman"/>
      <w:sz w:val="22"/>
      <w:lang w:eastAsia="en-AU"/>
    </w:rPr>
  </w:style>
  <w:style w:type="character" w:customStyle="1" w:styleId="notetextChar">
    <w:name w:val="note(text) Char"/>
    <w:aliases w:val="n Char"/>
    <w:basedOn w:val="DefaultParagraphFont"/>
    <w:link w:val="notetext"/>
    <w:rsid w:val="00A25F4F"/>
    <w:rPr>
      <w:rFonts w:eastAsia="Times New Roman" w:cs="Times New Roman"/>
      <w:sz w:val="18"/>
      <w:lang w:eastAsia="en-AU"/>
    </w:rPr>
  </w:style>
  <w:style w:type="character" w:customStyle="1" w:styleId="Heading1Char">
    <w:name w:val="Heading 1 Char"/>
    <w:basedOn w:val="DefaultParagraphFont"/>
    <w:link w:val="Heading1"/>
    <w:uiPriority w:val="9"/>
    <w:rsid w:val="00A25F4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25F4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25F4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25F4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25F4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25F4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25F4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25F4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25F4F"/>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24B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B2B"/>
    <w:rPr>
      <w:rFonts w:ascii="Segoe UI" w:hAnsi="Segoe UI" w:cs="Segoe UI"/>
      <w:sz w:val="18"/>
      <w:szCs w:val="18"/>
    </w:rPr>
  </w:style>
  <w:style w:type="character" w:styleId="Hyperlink">
    <w:name w:val="Hyperlink"/>
    <w:basedOn w:val="DefaultParagraphFont"/>
    <w:uiPriority w:val="99"/>
    <w:semiHidden/>
    <w:unhideWhenUsed/>
    <w:rsid w:val="009C461C"/>
    <w:rPr>
      <w:color w:val="0000FF" w:themeColor="hyperlink"/>
      <w:u w:val="single"/>
    </w:rPr>
  </w:style>
  <w:style w:type="character" w:styleId="FollowedHyperlink">
    <w:name w:val="FollowedHyperlink"/>
    <w:basedOn w:val="DefaultParagraphFont"/>
    <w:uiPriority w:val="99"/>
    <w:semiHidden/>
    <w:unhideWhenUsed/>
    <w:rsid w:val="009C461C"/>
    <w:rPr>
      <w:color w:val="0000FF" w:themeColor="hyperlink"/>
      <w:u w:val="single"/>
    </w:rPr>
  </w:style>
  <w:style w:type="paragraph" w:customStyle="1" w:styleId="ShortTP1">
    <w:name w:val="ShortTP1"/>
    <w:basedOn w:val="ShortT"/>
    <w:link w:val="ShortTP1Char"/>
    <w:rsid w:val="007B1203"/>
    <w:pPr>
      <w:spacing w:before="800"/>
    </w:pPr>
  </w:style>
  <w:style w:type="character" w:customStyle="1" w:styleId="ShortTP1Char">
    <w:name w:val="ShortTP1 Char"/>
    <w:basedOn w:val="DefaultParagraphFont"/>
    <w:link w:val="ShortTP1"/>
    <w:rsid w:val="007B1203"/>
    <w:rPr>
      <w:rFonts w:eastAsia="Times New Roman" w:cs="Times New Roman"/>
      <w:b/>
      <w:sz w:val="40"/>
      <w:lang w:eastAsia="en-AU"/>
    </w:rPr>
  </w:style>
  <w:style w:type="paragraph" w:customStyle="1" w:styleId="ActNoP1">
    <w:name w:val="ActNoP1"/>
    <w:basedOn w:val="Actno"/>
    <w:link w:val="ActNoP1Char"/>
    <w:rsid w:val="007B1203"/>
    <w:pPr>
      <w:spacing w:before="800"/>
    </w:pPr>
    <w:rPr>
      <w:sz w:val="28"/>
    </w:rPr>
  </w:style>
  <w:style w:type="character" w:customStyle="1" w:styleId="ActNoP1Char">
    <w:name w:val="ActNoP1 Char"/>
    <w:basedOn w:val="DefaultParagraphFont"/>
    <w:link w:val="ActNoP1"/>
    <w:rsid w:val="007B1203"/>
    <w:rPr>
      <w:rFonts w:eastAsia="Times New Roman" w:cs="Times New Roman"/>
      <w:b/>
      <w:sz w:val="28"/>
      <w:lang w:eastAsia="en-AU"/>
    </w:rPr>
  </w:style>
  <w:style w:type="paragraph" w:customStyle="1" w:styleId="AssentBk">
    <w:name w:val="AssentBk"/>
    <w:basedOn w:val="Normal"/>
    <w:rsid w:val="007B1203"/>
    <w:pPr>
      <w:spacing w:line="240" w:lineRule="auto"/>
    </w:pPr>
    <w:rPr>
      <w:rFonts w:eastAsia="Times New Roman" w:cs="Times New Roman"/>
      <w:sz w:val="20"/>
      <w:lang w:eastAsia="en-AU"/>
    </w:rPr>
  </w:style>
  <w:style w:type="paragraph" w:customStyle="1" w:styleId="AssentDt">
    <w:name w:val="AssentDt"/>
    <w:basedOn w:val="Normal"/>
    <w:rsid w:val="00FD2710"/>
    <w:pPr>
      <w:spacing w:line="240" w:lineRule="auto"/>
    </w:pPr>
    <w:rPr>
      <w:rFonts w:eastAsia="Times New Roman" w:cs="Times New Roman"/>
      <w:sz w:val="20"/>
      <w:lang w:eastAsia="en-AU"/>
    </w:rPr>
  </w:style>
  <w:style w:type="paragraph" w:customStyle="1" w:styleId="2ndRd">
    <w:name w:val="2ndRd"/>
    <w:basedOn w:val="Normal"/>
    <w:rsid w:val="00FD2710"/>
    <w:pPr>
      <w:spacing w:line="240" w:lineRule="auto"/>
    </w:pPr>
    <w:rPr>
      <w:rFonts w:eastAsia="Times New Roman" w:cs="Times New Roman"/>
      <w:sz w:val="20"/>
      <w:lang w:eastAsia="en-AU"/>
    </w:rPr>
  </w:style>
  <w:style w:type="paragraph" w:customStyle="1" w:styleId="ScalePlusRef">
    <w:name w:val="ScalePlusRef"/>
    <w:basedOn w:val="Normal"/>
    <w:rsid w:val="00FD2710"/>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fick\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FAF8D-CE1E-40DE-9C18-D356905B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17</Pages>
  <Words>2246</Words>
  <Characters>11827</Characters>
  <Application>Microsoft Office Word</Application>
  <DocSecurity>0</DocSecurity>
  <PresentationFormat/>
  <Lines>337</Lines>
  <Paragraphs>201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2021-09-09T06:04:00Z</dcterms:created>
  <dcterms:modified xsi:type="dcterms:W3CDTF">2021-09-09T06:05:00Z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Fuel Security (Consequential and Transitional Provisions) Act 2021</vt:lpwstr>
  </property>
  <property fmtid="{D5CDD505-2E9C-101B-9397-08002B2CF9AE}" pid="3" name="ActNo">
    <vt:lpwstr>No. 66,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OPC7690</vt:lpwstr>
  </property>
</Properties>
</file>