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72487251"/>
    <w:p w14:paraId="1AC1CA3F" w14:textId="620D9AED" w:rsidR="00D642FD" w:rsidRDefault="00D642FD" w:rsidP="00D642FD">
      <w:r>
        <w:object w:dxaOrig="2146" w:dyaOrig="1561" w14:anchorId="695DE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686653379" r:id="rId8"/>
        </w:object>
      </w:r>
    </w:p>
    <w:p w14:paraId="5B31BAD0" w14:textId="77777777" w:rsidR="00D642FD" w:rsidRDefault="00D642FD" w:rsidP="00D642FD"/>
    <w:p w14:paraId="13B4DEC4" w14:textId="77777777" w:rsidR="00D642FD" w:rsidRDefault="00D642FD" w:rsidP="00D642FD"/>
    <w:p w14:paraId="1B117646" w14:textId="77777777" w:rsidR="00D642FD" w:rsidRDefault="00D642FD" w:rsidP="00D642FD"/>
    <w:p w14:paraId="14267070" w14:textId="77777777" w:rsidR="00D642FD" w:rsidRDefault="00D642FD" w:rsidP="00D642FD"/>
    <w:p w14:paraId="048120F6" w14:textId="77777777" w:rsidR="00D642FD" w:rsidRDefault="00D642FD" w:rsidP="00D642FD"/>
    <w:p w14:paraId="487E6052" w14:textId="77777777" w:rsidR="00D642FD" w:rsidRDefault="00D642FD" w:rsidP="00D642FD"/>
    <w:p w14:paraId="204A3BA2" w14:textId="6ADCAA69" w:rsidR="0048364F" w:rsidRPr="00DF7BB4" w:rsidRDefault="00D642FD" w:rsidP="0048364F">
      <w:pPr>
        <w:pStyle w:val="ShortT"/>
      </w:pPr>
      <w:r>
        <w:t>Treasury Laws Amendment (2021 Measures No. 4) Act 2021</w:t>
      </w:r>
    </w:p>
    <w:bookmarkEnd w:id="0"/>
    <w:p w14:paraId="5ADE69A0" w14:textId="77777777" w:rsidR="0048364F" w:rsidRPr="00DF7BB4" w:rsidRDefault="0048364F" w:rsidP="0048364F"/>
    <w:p w14:paraId="21870CAC" w14:textId="183264D4" w:rsidR="0048364F" w:rsidRPr="00DF7BB4" w:rsidRDefault="00C164CA" w:rsidP="00D642FD">
      <w:pPr>
        <w:pStyle w:val="Actno"/>
        <w:spacing w:before="400"/>
      </w:pPr>
      <w:r w:rsidRPr="00DF7BB4">
        <w:t>No.</w:t>
      </w:r>
      <w:r w:rsidR="00E66D6D">
        <w:t xml:space="preserve"> 72</w:t>
      </w:r>
      <w:r w:rsidRPr="00DF7BB4">
        <w:t>, 20</w:t>
      </w:r>
      <w:r w:rsidR="009E186E" w:rsidRPr="00DF7BB4">
        <w:t>21</w:t>
      </w:r>
    </w:p>
    <w:p w14:paraId="54FDEB63" w14:textId="77777777" w:rsidR="0048364F" w:rsidRPr="00DF7BB4" w:rsidRDefault="0048364F" w:rsidP="0048364F"/>
    <w:p w14:paraId="06BFAA29" w14:textId="77777777" w:rsidR="00E82A9C" w:rsidRDefault="00E82A9C" w:rsidP="00E82A9C">
      <w:pPr>
        <w:rPr>
          <w:lang w:eastAsia="en-AU"/>
        </w:rPr>
      </w:pPr>
    </w:p>
    <w:p w14:paraId="1B4C75C1" w14:textId="7C81484D" w:rsidR="0048364F" w:rsidRPr="00DF7BB4" w:rsidRDefault="0048364F" w:rsidP="0048364F"/>
    <w:p w14:paraId="5F4E3365" w14:textId="77777777" w:rsidR="0048364F" w:rsidRPr="00DF7BB4" w:rsidRDefault="0048364F" w:rsidP="0048364F"/>
    <w:p w14:paraId="56169211" w14:textId="77777777" w:rsidR="0048364F" w:rsidRPr="00DF7BB4" w:rsidRDefault="0048364F" w:rsidP="0048364F"/>
    <w:p w14:paraId="5A8FE39E" w14:textId="77777777" w:rsidR="00D642FD" w:rsidRDefault="00D642FD" w:rsidP="00D642FD">
      <w:pPr>
        <w:pStyle w:val="LongT"/>
      </w:pPr>
      <w:r>
        <w:t>An Act to amend the law relating to taxation, corporations and consumer credit, and for related purposes</w:t>
      </w:r>
    </w:p>
    <w:p w14:paraId="68717971" w14:textId="2E825F54" w:rsidR="0048364F" w:rsidRPr="008D4F4F" w:rsidRDefault="0048364F" w:rsidP="0048364F">
      <w:pPr>
        <w:pStyle w:val="Header"/>
        <w:tabs>
          <w:tab w:val="clear" w:pos="4150"/>
          <w:tab w:val="clear" w:pos="8307"/>
        </w:tabs>
      </w:pPr>
      <w:r w:rsidRPr="008D4F4F">
        <w:rPr>
          <w:rStyle w:val="CharAmSchNo"/>
        </w:rPr>
        <w:t xml:space="preserve"> </w:t>
      </w:r>
      <w:r w:rsidRPr="008D4F4F">
        <w:rPr>
          <w:rStyle w:val="CharAmSchText"/>
        </w:rPr>
        <w:t xml:space="preserve"> </w:t>
      </w:r>
    </w:p>
    <w:p w14:paraId="644CD497" w14:textId="77777777" w:rsidR="0048364F" w:rsidRPr="008D4F4F" w:rsidRDefault="0048364F" w:rsidP="0048364F">
      <w:pPr>
        <w:pStyle w:val="Header"/>
        <w:tabs>
          <w:tab w:val="clear" w:pos="4150"/>
          <w:tab w:val="clear" w:pos="8307"/>
        </w:tabs>
      </w:pPr>
      <w:r w:rsidRPr="008D4F4F">
        <w:rPr>
          <w:rStyle w:val="CharAmPartNo"/>
        </w:rPr>
        <w:t xml:space="preserve"> </w:t>
      </w:r>
      <w:r w:rsidRPr="008D4F4F">
        <w:rPr>
          <w:rStyle w:val="CharAmPartText"/>
        </w:rPr>
        <w:t xml:space="preserve"> </w:t>
      </w:r>
    </w:p>
    <w:p w14:paraId="72849E50" w14:textId="77777777" w:rsidR="0048364F" w:rsidRPr="00DF7BB4" w:rsidRDefault="0048364F" w:rsidP="0048364F">
      <w:pPr>
        <w:sectPr w:rsidR="0048364F" w:rsidRPr="00DF7BB4" w:rsidSect="00D642FD">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64BA4DC2" w14:textId="77777777" w:rsidR="0048364F" w:rsidRPr="00DF7BB4" w:rsidRDefault="0048364F" w:rsidP="0048364F">
      <w:pPr>
        <w:outlineLvl w:val="0"/>
        <w:rPr>
          <w:sz w:val="36"/>
        </w:rPr>
      </w:pPr>
      <w:r w:rsidRPr="00DF7BB4">
        <w:rPr>
          <w:sz w:val="36"/>
        </w:rPr>
        <w:lastRenderedPageBreak/>
        <w:t>Contents</w:t>
      </w:r>
    </w:p>
    <w:p w14:paraId="1465255E" w14:textId="4321FAE6" w:rsidR="00C304F7" w:rsidRDefault="00C304F7" w:rsidP="00C304F7">
      <w:pPr>
        <w:pStyle w:val="TOC5"/>
        <w:ind w:left="2098" w:hanging="680"/>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C304F7">
        <w:rPr>
          <w:noProof/>
        </w:rPr>
        <w:tab/>
      </w:r>
      <w:r w:rsidRPr="00C304F7">
        <w:rPr>
          <w:noProof/>
        </w:rPr>
        <w:fldChar w:fldCharType="begin"/>
      </w:r>
      <w:r w:rsidRPr="00C304F7">
        <w:rPr>
          <w:noProof/>
        </w:rPr>
        <w:instrText xml:space="preserve"> PAGEREF _Toc76040370 \h </w:instrText>
      </w:r>
      <w:r w:rsidRPr="00C304F7">
        <w:rPr>
          <w:noProof/>
        </w:rPr>
      </w:r>
      <w:r w:rsidRPr="00C304F7">
        <w:rPr>
          <w:noProof/>
        </w:rPr>
        <w:fldChar w:fldCharType="separate"/>
      </w:r>
      <w:r w:rsidR="00B9251A">
        <w:rPr>
          <w:noProof/>
        </w:rPr>
        <w:t>1</w:t>
      </w:r>
      <w:r w:rsidRPr="00C304F7">
        <w:rPr>
          <w:noProof/>
        </w:rPr>
        <w:fldChar w:fldCharType="end"/>
      </w:r>
    </w:p>
    <w:p w14:paraId="07573A7A" w14:textId="5197969D" w:rsidR="00C304F7" w:rsidRDefault="00C304F7" w:rsidP="00C304F7">
      <w:pPr>
        <w:pStyle w:val="TOC5"/>
        <w:ind w:left="2098" w:hanging="680"/>
        <w:rPr>
          <w:rFonts w:asciiTheme="minorHAnsi" w:eastAsiaTheme="minorEastAsia" w:hAnsiTheme="minorHAnsi" w:cstheme="minorBidi"/>
          <w:noProof/>
          <w:kern w:val="0"/>
          <w:sz w:val="22"/>
          <w:szCs w:val="22"/>
        </w:rPr>
      </w:pPr>
      <w:r>
        <w:rPr>
          <w:noProof/>
        </w:rPr>
        <w:t>2</w:t>
      </w:r>
      <w:r>
        <w:rPr>
          <w:noProof/>
        </w:rPr>
        <w:tab/>
        <w:t>Commencement</w:t>
      </w:r>
      <w:r w:rsidRPr="00C304F7">
        <w:rPr>
          <w:noProof/>
        </w:rPr>
        <w:tab/>
      </w:r>
      <w:r w:rsidRPr="00C304F7">
        <w:rPr>
          <w:noProof/>
        </w:rPr>
        <w:fldChar w:fldCharType="begin"/>
      </w:r>
      <w:r w:rsidRPr="00C304F7">
        <w:rPr>
          <w:noProof/>
        </w:rPr>
        <w:instrText xml:space="preserve"> PAGEREF _Toc76040371 \h </w:instrText>
      </w:r>
      <w:r w:rsidRPr="00C304F7">
        <w:rPr>
          <w:noProof/>
        </w:rPr>
      </w:r>
      <w:r w:rsidRPr="00C304F7">
        <w:rPr>
          <w:noProof/>
        </w:rPr>
        <w:fldChar w:fldCharType="separate"/>
      </w:r>
      <w:r w:rsidR="00B9251A">
        <w:rPr>
          <w:noProof/>
        </w:rPr>
        <w:t>2</w:t>
      </w:r>
      <w:r w:rsidRPr="00C304F7">
        <w:rPr>
          <w:noProof/>
        </w:rPr>
        <w:fldChar w:fldCharType="end"/>
      </w:r>
    </w:p>
    <w:p w14:paraId="386B1E0E" w14:textId="435392EF" w:rsidR="00C304F7" w:rsidRDefault="00C304F7" w:rsidP="00C304F7">
      <w:pPr>
        <w:pStyle w:val="TOC5"/>
        <w:ind w:left="2098" w:hanging="680"/>
        <w:rPr>
          <w:rFonts w:asciiTheme="minorHAnsi" w:eastAsiaTheme="minorEastAsia" w:hAnsiTheme="minorHAnsi" w:cstheme="minorBidi"/>
          <w:noProof/>
          <w:kern w:val="0"/>
          <w:sz w:val="22"/>
          <w:szCs w:val="22"/>
        </w:rPr>
      </w:pPr>
      <w:r>
        <w:rPr>
          <w:noProof/>
        </w:rPr>
        <w:t>3</w:t>
      </w:r>
      <w:r>
        <w:rPr>
          <w:noProof/>
        </w:rPr>
        <w:tab/>
        <w:t>Schedules</w:t>
      </w:r>
      <w:r w:rsidRPr="00C304F7">
        <w:rPr>
          <w:noProof/>
        </w:rPr>
        <w:tab/>
      </w:r>
      <w:r w:rsidRPr="00C304F7">
        <w:rPr>
          <w:noProof/>
        </w:rPr>
        <w:fldChar w:fldCharType="begin"/>
      </w:r>
      <w:r w:rsidRPr="00C304F7">
        <w:rPr>
          <w:noProof/>
        </w:rPr>
        <w:instrText xml:space="preserve"> PAGEREF _Toc76040372 \h </w:instrText>
      </w:r>
      <w:r w:rsidRPr="00C304F7">
        <w:rPr>
          <w:noProof/>
        </w:rPr>
      </w:r>
      <w:r w:rsidRPr="00C304F7">
        <w:rPr>
          <w:noProof/>
        </w:rPr>
        <w:fldChar w:fldCharType="separate"/>
      </w:r>
      <w:r w:rsidR="00B9251A">
        <w:rPr>
          <w:noProof/>
        </w:rPr>
        <w:t>3</w:t>
      </w:r>
      <w:r w:rsidRPr="00C304F7">
        <w:rPr>
          <w:noProof/>
        </w:rPr>
        <w:fldChar w:fldCharType="end"/>
      </w:r>
    </w:p>
    <w:p w14:paraId="006CE0B9" w14:textId="304728A6" w:rsidR="00C304F7" w:rsidRDefault="00C304F7">
      <w:pPr>
        <w:pStyle w:val="TOC6"/>
        <w:rPr>
          <w:rFonts w:asciiTheme="minorHAnsi" w:eastAsiaTheme="minorEastAsia" w:hAnsiTheme="minorHAnsi" w:cstheme="minorBidi"/>
          <w:b w:val="0"/>
          <w:noProof/>
          <w:kern w:val="0"/>
          <w:sz w:val="22"/>
          <w:szCs w:val="22"/>
        </w:rPr>
      </w:pPr>
      <w:r>
        <w:rPr>
          <w:noProof/>
        </w:rPr>
        <w:t>Schedule 1—Fringe benefits tax exemption to support retraining and reskilling</w:t>
      </w:r>
      <w:r w:rsidRPr="00C304F7">
        <w:rPr>
          <w:b w:val="0"/>
          <w:noProof/>
          <w:sz w:val="18"/>
        </w:rPr>
        <w:tab/>
      </w:r>
      <w:r w:rsidRPr="00C304F7">
        <w:rPr>
          <w:b w:val="0"/>
          <w:noProof/>
          <w:sz w:val="18"/>
        </w:rPr>
        <w:fldChar w:fldCharType="begin"/>
      </w:r>
      <w:r w:rsidRPr="00C304F7">
        <w:rPr>
          <w:b w:val="0"/>
          <w:noProof/>
          <w:sz w:val="18"/>
        </w:rPr>
        <w:instrText xml:space="preserve"> PAGEREF _Toc76040373 \h </w:instrText>
      </w:r>
      <w:r w:rsidRPr="00C304F7">
        <w:rPr>
          <w:b w:val="0"/>
          <w:noProof/>
          <w:sz w:val="18"/>
        </w:rPr>
      </w:r>
      <w:r w:rsidRPr="00C304F7">
        <w:rPr>
          <w:b w:val="0"/>
          <w:noProof/>
          <w:sz w:val="18"/>
        </w:rPr>
        <w:fldChar w:fldCharType="separate"/>
      </w:r>
      <w:r w:rsidR="00B9251A">
        <w:rPr>
          <w:b w:val="0"/>
          <w:noProof/>
          <w:sz w:val="18"/>
        </w:rPr>
        <w:t>4</w:t>
      </w:r>
      <w:r w:rsidRPr="00C304F7">
        <w:rPr>
          <w:b w:val="0"/>
          <w:noProof/>
          <w:sz w:val="18"/>
        </w:rPr>
        <w:fldChar w:fldCharType="end"/>
      </w:r>
    </w:p>
    <w:p w14:paraId="6BF5C051" w14:textId="596D5B40" w:rsidR="00C304F7" w:rsidRDefault="00C304F7">
      <w:pPr>
        <w:pStyle w:val="TOC9"/>
        <w:rPr>
          <w:rFonts w:asciiTheme="minorHAnsi" w:eastAsiaTheme="minorEastAsia" w:hAnsiTheme="minorHAnsi" w:cstheme="minorBidi"/>
          <w:i w:val="0"/>
          <w:noProof/>
          <w:kern w:val="0"/>
          <w:sz w:val="22"/>
          <w:szCs w:val="22"/>
        </w:rPr>
      </w:pPr>
      <w:r>
        <w:rPr>
          <w:noProof/>
        </w:rPr>
        <w:t>Fringe Benefits Tax Assessment Act 1986</w:t>
      </w:r>
      <w:r w:rsidRPr="00C304F7">
        <w:rPr>
          <w:i w:val="0"/>
          <w:noProof/>
          <w:sz w:val="18"/>
        </w:rPr>
        <w:tab/>
      </w:r>
      <w:r w:rsidRPr="00C304F7">
        <w:rPr>
          <w:i w:val="0"/>
          <w:noProof/>
          <w:sz w:val="18"/>
        </w:rPr>
        <w:fldChar w:fldCharType="begin"/>
      </w:r>
      <w:r w:rsidRPr="00C304F7">
        <w:rPr>
          <w:i w:val="0"/>
          <w:noProof/>
          <w:sz w:val="18"/>
        </w:rPr>
        <w:instrText xml:space="preserve"> PAGEREF _Toc76040374 \h </w:instrText>
      </w:r>
      <w:r w:rsidRPr="00C304F7">
        <w:rPr>
          <w:i w:val="0"/>
          <w:noProof/>
          <w:sz w:val="18"/>
        </w:rPr>
      </w:r>
      <w:r w:rsidRPr="00C304F7">
        <w:rPr>
          <w:i w:val="0"/>
          <w:noProof/>
          <w:sz w:val="18"/>
        </w:rPr>
        <w:fldChar w:fldCharType="separate"/>
      </w:r>
      <w:r w:rsidR="00B9251A">
        <w:rPr>
          <w:i w:val="0"/>
          <w:noProof/>
          <w:sz w:val="18"/>
        </w:rPr>
        <w:t>4</w:t>
      </w:r>
      <w:r w:rsidRPr="00C304F7">
        <w:rPr>
          <w:i w:val="0"/>
          <w:noProof/>
          <w:sz w:val="18"/>
        </w:rPr>
        <w:fldChar w:fldCharType="end"/>
      </w:r>
    </w:p>
    <w:p w14:paraId="201E40EF" w14:textId="217B67D6" w:rsidR="00C304F7" w:rsidRDefault="00C304F7">
      <w:pPr>
        <w:pStyle w:val="TOC6"/>
        <w:rPr>
          <w:rFonts w:asciiTheme="minorHAnsi" w:eastAsiaTheme="minorEastAsia" w:hAnsiTheme="minorHAnsi" w:cstheme="minorBidi"/>
          <w:b w:val="0"/>
          <w:noProof/>
          <w:kern w:val="0"/>
          <w:sz w:val="22"/>
          <w:szCs w:val="22"/>
        </w:rPr>
      </w:pPr>
      <w:r>
        <w:rPr>
          <w:noProof/>
        </w:rPr>
        <w:t>Schedule 2—Junior minerals exploration incentive extension</w:t>
      </w:r>
      <w:r w:rsidRPr="00C304F7">
        <w:rPr>
          <w:b w:val="0"/>
          <w:noProof/>
          <w:sz w:val="18"/>
        </w:rPr>
        <w:tab/>
      </w:r>
      <w:r w:rsidRPr="00C304F7">
        <w:rPr>
          <w:b w:val="0"/>
          <w:noProof/>
          <w:sz w:val="18"/>
        </w:rPr>
        <w:fldChar w:fldCharType="begin"/>
      </w:r>
      <w:r w:rsidRPr="00C304F7">
        <w:rPr>
          <w:b w:val="0"/>
          <w:noProof/>
          <w:sz w:val="18"/>
        </w:rPr>
        <w:instrText xml:space="preserve"> PAGEREF _Toc76040376 \h </w:instrText>
      </w:r>
      <w:r w:rsidRPr="00C304F7">
        <w:rPr>
          <w:b w:val="0"/>
          <w:noProof/>
          <w:sz w:val="18"/>
        </w:rPr>
      </w:r>
      <w:r w:rsidRPr="00C304F7">
        <w:rPr>
          <w:b w:val="0"/>
          <w:noProof/>
          <w:sz w:val="18"/>
        </w:rPr>
        <w:fldChar w:fldCharType="separate"/>
      </w:r>
      <w:r w:rsidR="00B9251A">
        <w:rPr>
          <w:b w:val="0"/>
          <w:noProof/>
          <w:sz w:val="18"/>
        </w:rPr>
        <w:t>6</w:t>
      </w:r>
      <w:r w:rsidRPr="00C304F7">
        <w:rPr>
          <w:b w:val="0"/>
          <w:noProof/>
          <w:sz w:val="18"/>
        </w:rPr>
        <w:fldChar w:fldCharType="end"/>
      </w:r>
    </w:p>
    <w:p w14:paraId="43ADCD84" w14:textId="60CD0040" w:rsidR="00C304F7" w:rsidRDefault="00C304F7">
      <w:pPr>
        <w:pStyle w:val="TOC9"/>
        <w:rPr>
          <w:rFonts w:asciiTheme="minorHAnsi" w:eastAsiaTheme="minorEastAsia" w:hAnsiTheme="minorHAnsi" w:cstheme="minorBidi"/>
          <w:i w:val="0"/>
          <w:noProof/>
          <w:kern w:val="0"/>
          <w:sz w:val="22"/>
          <w:szCs w:val="22"/>
        </w:rPr>
      </w:pPr>
      <w:r>
        <w:rPr>
          <w:noProof/>
        </w:rPr>
        <w:t>Income Tax Assessment Act 1997</w:t>
      </w:r>
      <w:r w:rsidRPr="00C304F7">
        <w:rPr>
          <w:i w:val="0"/>
          <w:noProof/>
          <w:sz w:val="18"/>
        </w:rPr>
        <w:tab/>
      </w:r>
      <w:r w:rsidRPr="00C304F7">
        <w:rPr>
          <w:i w:val="0"/>
          <w:noProof/>
          <w:sz w:val="18"/>
        </w:rPr>
        <w:fldChar w:fldCharType="begin"/>
      </w:r>
      <w:r w:rsidRPr="00C304F7">
        <w:rPr>
          <w:i w:val="0"/>
          <w:noProof/>
          <w:sz w:val="18"/>
        </w:rPr>
        <w:instrText xml:space="preserve"> PAGEREF _Toc76040377 \h </w:instrText>
      </w:r>
      <w:r w:rsidRPr="00C304F7">
        <w:rPr>
          <w:i w:val="0"/>
          <w:noProof/>
          <w:sz w:val="18"/>
        </w:rPr>
      </w:r>
      <w:r w:rsidRPr="00C304F7">
        <w:rPr>
          <w:i w:val="0"/>
          <w:noProof/>
          <w:sz w:val="18"/>
        </w:rPr>
        <w:fldChar w:fldCharType="separate"/>
      </w:r>
      <w:r w:rsidR="00B9251A">
        <w:rPr>
          <w:i w:val="0"/>
          <w:noProof/>
          <w:sz w:val="18"/>
        </w:rPr>
        <w:t>6</w:t>
      </w:r>
      <w:r w:rsidRPr="00C304F7">
        <w:rPr>
          <w:i w:val="0"/>
          <w:noProof/>
          <w:sz w:val="18"/>
        </w:rPr>
        <w:fldChar w:fldCharType="end"/>
      </w:r>
    </w:p>
    <w:p w14:paraId="357866E2" w14:textId="248467E7" w:rsidR="00C304F7" w:rsidRDefault="00C304F7">
      <w:pPr>
        <w:pStyle w:val="TOC9"/>
        <w:rPr>
          <w:rFonts w:asciiTheme="minorHAnsi" w:eastAsiaTheme="minorEastAsia" w:hAnsiTheme="minorHAnsi" w:cstheme="minorBidi"/>
          <w:i w:val="0"/>
          <w:noProof/>
          <w:kern w:val="0"/>
          <w:sz w:val="22"/>
          <w:szCs w:val="22"/>
        </w:rPr>
      </w:pPr>
      <w:r>
        <w:rPr>
          <w:noProof/>
        </w:rPr>
        <w:t xml:space="preserve">Treasury Laws Amendment (Junior Minerals Exploration Incentive) </w:t>
      </w:r>
      <w:bookmarkStart w:id="1" w:name="_GoBack"/>
      <w:bookmarkEnd w:id="1"/>
      <w:r>
        <w:rPr>
          <w:noProof/>
        </w:rPr>
        <w:t>Act 2018</w:t>
      </w:r>
      <w:r w:rsidRPr="00C304F7">
        <w:rPr>
          <w:i w:val="0"/>
          <w:noProof/>
          <w:sz w:val="18"/>
        </w:rPr>
        <w:tab/>
      </w:r>
      <w:r w:rsidRPr="00C304F7">
        <w:rPr>
          <w:i w:val="0"/>
          <w:noProof/>
          <w:sz w:val="18"/>
        </w:rPr>
        <w:fldChar w:fldCharType="begin"/>
      </w:r>
      <w:r w:rsidRPr="00C304F7">
        <w:rPr>
          <w:i w:val="0"/>
          <w:noProof/>
          <w:sz w:val="18"/>
        </w:rPr>
        <w:instrText xml:space="preserve"> PAGEREF _Toc76040379 \h </w:instrText>
      </w:r>
      <w:r w:rsidRPr="00C304F7">
        <w:rPr>
          <w:i w:val="0"/>
          <w:noProof/>
          <w:sz w:val="18"/>
        </w:rPr>
      </w:r>
      <w:r w:rsidRPr="00C304F7">
        <w:rPr>
          <w:i w:val="0"/>
          <w:noProof/>
          <w:sz w:val="18"/>
        </w:rPr>
        <w:fldChar w:fldCharType="separate"/>
      </w:r>
      <w:r w:rsidR="00B9251A">
        <w:rPr>
          <w:i w:val="0"/>
          <w:noProof/>
          <w:sz w:val="18"/>
        </w:rPr>
        <w:t>8</w:t>
      </w:r>
      <w:r w:rsidRPr="00C304F7">
        <w:rPr>
          <w:i w:val="0"/>
          <w:noProof/>
          <w:sz w:val="18"/>
        </w:rPr>
        <w:fldChar w:fldCharType="end"/>
      </w:r>
    </w:p>
    <w:p w14:paraId="670FC20B" w14:textId="4B150987" w:rsidR="00C304F7" w:rsidRDefault="00C304F7">
      <w:pPr>
        <w:pStyle w:val="TOC6"/>
        <w:rPr>
          <w:rFonts w:asciiTheme="minorHAnsi" w:eastAsiaTheme="minorEastAsia" w:hAnsiTheme="minorHAnsi" w:cstheme="minorBidi"/>
          <w:b w:val="0"/>
          <w:noProof/>
          <w:kern w:val="0"/>
          <w:sz w:val="22"/>
          <w:szCs w:val="22"/>
        </w:rPr>
      </w:pPr>
      <w:r>
        <w:rPr>
          <w:noProof/>
        </w:rPr>
        <w:t>Schedule 3—Exempting granny flat arrangements from CGT</w:t>
      </w:r>
      <w:r w:rsidRPr="00C304F7">
        <w:rPr>
          <w:b w:val="0"/>
          <w:noProof/>
          <w:sz w:val="18"/>
        </w:rPr>
        <w:tab/>
      </w:r>
      <w:r w:rsidRPr="00C304F7">
        <w:rPr>
          <w:b w:val="0"/>
          <w:noProof/>
          <w:sz w:val="18"/>
        </w:rPr>
        <w:fldChar w:fldCharType="begin"/>
      </w:r>
      <w:r w:rsidRPr="00C304F7">
        <w:rPr>
          <w:b w:val="0"/>
          <w:noProof/>
          <w:sz w:val="18"/>
        </w:rPr>
        <w:instrText xml:space="preserve"> PAGEREF _Toc76040380 \h </w:instrText>
      </w:r>
      <w:r w:rsidRPr="00C304F7">
        <w:rPr>
          <w:b w:val="0"/>
          <w:noProof/>
          <w:sz w:val="18"/>
        </w:rPr>
      </w:r>
      <w:r w:rsidRPr="00C304F7">
        <w:rPr>
          <w:b w:val="0"/>
          <w:noProof/>
          <w:sz w:val="18"/>
        </w:rPr>
        <w:fldChar w:fldCharType="separate"/>
      </w:r>
      <w:r w:rsidR="00B9251A">
        <w:rPr>
          <w:b w:val="0"/>
          <w:noProof/>
          <w:sz w:val="18"/>
        </w:rPr>
        <w:t>10</w:t>
      </w:r>
      <w:r w:rsidRPr="00C304F7">
        <w:rPr>
          <w:b w:val="0"/>
          <w:noProof/>
          <w:sz w:val="18"/>
        </w:rPr>
        <w:fldChar w:fldCharType="end"/>
      </w:r>
    </w:p>
    <w:p w14:paraId="629406F2" w14:textId="13DDA78C" w:rsidR="00C304F7" w:rsidRDefault="00C304F7">
      <w:pPr>
        <w:pStyle w:val="TOC9"/>
        <w:rPr>
          <w:rFonts w:asciiTheme="minorHAnsi" w:eastAsiaTheme="minorEastAsia" w:hAnsiTheme="minorHAnsi" w:cstheme="minorBidi"/>
          <w:i w:val="0"/>
          <w:noProof/>
          <w:kern w:val="0"/>
          <w:sz w:val="22"/>
          <w:szCs w:val="22"/>
        </w:rPr>
      </w:pPr>
      <w:r>
        <w:rPr>
          <w:noProof/>
        </w:rPr>
        <w:t>Income Tax Assessment Act 1997</w:t>
      </w:r>
      <w:r w:rsidRPr="00C304F7">
        <w:rPr>
          <w:i w:val="0"/>
          <w:noProof/>
          <w:sz w:val="18"/>
        </w:rPr>
        <w:tab/>
      </w:r>
      <w:r w:rsidRPr="00C304F7">
        <w:rPr>
          <w:i w:val="0"/>
          <w:noProof/>
          <w:sz w:val="18"/>
        </w:rPr>
        <w:fldChar w:fldCharType="begin"/>
      </w:r>
      <w:r w:rsidRPr="00C304F7">
        <w:rPr>
          <w:i w:val="0"/>
          <w:noProof/>
          <w:sz w:val="18"/>
        </w:rPr>
        <w:instrText xml:space="preserve"> PAGEREF _Toc76040381 \h </w:instrText>
      </w:r>
      <w:r w:rsidRPr="00C304F7">
        <w:rPr>
          <w:i w:val="0"/>
          <w:noProof/>
          <w:sz w:val="18"/>
        </w:rPr>
      </w:r>
      <w:r w:rsidRPr="00C304F7">
        <w:rPr>
          <w:i w:val="0"/>
          <w:noProof/>
          <w:sz w:val="18"/>
        </w:rPr>
        <w:fldChar w:fldCharType="separate"/>
      </w:r>
      <w:r w:rsidR="00B9251A">
        <w:rPr>
          <w:i w:val="0"/>
          <w:noProof/>
          <w:sz w:val="18"/>
        </w:rPr>
        <w:t>10</w:t>
      </w:r>
      <w:r w:rsidRPr="00C304F7">
        <w:rPr>
          <w:i w:val="0"/>
          <w:noProof/>
          <w:sz w:val="18"/>
        </w:rPr>
        <w:fldChar w:fldCharType="end"/>
      </w:r>
    </w:p>
    <w:p w14:paraId="4B4C37EF" w14:textId="50936657" w:rsidR="00C304F7" w:rsidRDefault="00C304F7">
      <w:pPr>
        <w:pStyle w:val="TOC9"/>
        <w:rPr>
          <w:rFonts w:asciiTheme="minorHAnsi" w:eastAsiaTheme="minorEastAsia" w:hAnsiTheme="minorHAnsi" w:cstheme="minorBidi"/>
          <w:i w:val="0"/>
          <w:noProof/>
          <w:kern w:val="0"/>
          <w:sz w:val="22"/>
          <w:szCs w:val="22"/>
        </w:rPr>
      </w:pPr>
      <w:r>
        <w:rPr>
          <w:noProof/>
        </w:rPr>
        <w:t>Income Tax (Transitional Provisions) Act 1997</w:t>
      </w:r>
      <w:r w:rsidRPr="00C304F7">
        <w:rPr>
          <w:i w:val="0"/>
          <w:noProof/>
          <w:sz w:val="18"/>
        </w:rPr>
        <w:tab/>
      </w:r>
      <w:r w:rsidRPr="00C304F7">
        <w:rPr>
          <w:i w:val="0"/>
          <w:noProof/>
          <w:sz w:val="18"/>
        </w:rPr>
        <w:fldChar w:fldCharType="begin"/>
      </w:r>
      <w:r w:rsidRPr="00C304F7">
        <w:rPr>
          <w:i w:val="0"/>
          <w:noProof/>
          <w:sz w:val="18"/>
        </w:rPr>
        <w:instrText xml:space="preserve"> PAGEREF _Toc76040391 \h </w:instrText>
      </w:r>
      <w:r w:rsidRPr="00C304F7">
        <w:rPr>
          <w:i w:val="0"/>
          <w:noProof/>
          <w:sz w:val="18"/>
        </w:rPr>
      </w:r>
      <w:r w:rsidRPr="00C304F7">
        <w:rPr>
          <w:i w:val="0"/>
          <w:noProof/>
          <w:sz w:val="18"/>
        </w:rPr>
        <w:fldChar w:fldCharType="separate"/>
      </w:r>
      <w:r w:rsidR="00B9251A">
        <w:rPr>
          <w:i w:val="0"/>
          <w:noProof/>
          <w:sz w:val="18"/>
        </w:rPr>
        <w:t>13</w:t>
      </w:r>
      <w:r w:rsidRPr="00C304F7">
        <w:rPr>
          <w:i w:val="0"/>
          <w:noProof/>
          <w:sz w:val="18"/>
        </w:rPr>
        <w:fldChar w:fldCharType="end"/>
      </w:r>
    </w:p>
    <w:p w14:paraId="5563CB5D" w14:textId="7CCA425D" w:rsidR="00C304F7" w:rsidRDefault="00C304F7">
      <w:pPr>
        <w:pStyle w:val="TOC6"/>
        <w:rPr>
          <w:rFonts w:asciiTheme="minorHAnsi" w:eastAsiaTheme="minorEastAsia" w:hAnsiTheme="minorHAnsi" w:cstheme="minorBidi"/>
          <w:b w:val="0"/>
          <w:noProof/>
          <w:kern w:val="0"/>
          <w:sz w:val="22"/>
          <w:szCs w:val="22"/>
        </w:rPr>
      </w:pPr>
      <w:r>
        <w:rPr>
          <w:noProof/>
        </w:rPr>
        <w:t>Schedule 4—Amendments to product intervention regime</w:t>
      </w:r>
      <w:r w:rsidRPr="00C304F7">
        <w:rPr>
          <w:b w:val="0"/>
          <w:noProof/>
          <w:sz w:val="18"/>
        </w:rPr>
        <w:tab/>
      </w:r>
      <w:r w:rsidRPr="00C304F7">
        <w:rPr>
          <w:b w:val="0"/>
          <w:noProof/>
          <w:sz w:val="18"/>
        </w:rPr>
        <w:fldChar w:fldCharType="begin"/>
      </w:r>
      <w:r w:rsidRPr="00C304F7">
        <w:rPr>
          <w:b w:val="0"/>
          <w:noProof/>
          <w:sz w:val="18"/>
        </w:rPr>
        <w:instrText xml:space="preserve"> PAGEREF _Toc76040396 \h </w:instrText>
      </w:r>
      <w:r w:rsidRPr="00C304F7">
        <w:rPr>
          <w:b w:val="0"/>
          <w:noProof/>
          <w:sz w:val="18"/>
        </w:rPr>
      </w:r>
      <w:r w:rsidRPr="00C304F7">
        <w:rPr>
          <w:b w:val="0"/>
          <w:noProof/>
          <w:sz w:val="18"/>
        </w:rPr>
        <w:fldChar w:fldCharType="separate"/>
      </w:r>
      <w:r w:rsidR="00B9251A">
        <w:rPr>
          <w:b w:val="0"/>
          <w:noProof/>
          <w:sz w:val="18"/>
        </w:rPr>
        <w:t>15</w:t>
      </w:r>
      <w:r w:rsidRPr="00C304F7">
        <w:rPr>
          <w:b w:val="0"/>
          <w:noProof/>
          <w:sz w:val="18"/>
        </w:rPr>
        <w:fldChar w:fldCharType="end"/>
      </w:r>
    </w:p>
    <w:p w14:paraId="707D803B" w14:textId="008CEEC2" w:rsidR="00C304F7" w:rsidRDefault="00C304F7">
      <w:pPr>
        <w:pStyle w:val="TOC9"/>
        <w:rPr>
          <w:rFonts w:asciiTheme="minorHAnsi" w:eastAsiaTheme="minorEastAsia" w:hAnsiTheme="minorHAnsi" w:cstheme="minorBidi"/>
          <w:i w:val="0"/>
          <w:noProof/>
          <w:kern w:val="0"/>
          <w:sz w:val="22"/>
          <w:szCs w:val="22"/>
        </w:rPr>
      </w:pPr>
      <w:r>
        <w:rPr>
          <w:noProof/>
        </w:rPr>
        <w:t>Corporations Act 2001</w:t>
      </w:r>
      <w:r w:rsidRPr="00C304F7">
        <w:rPr>
          <w:i w:val="0"/>
          <w:noProof/>
          <w:sz w:val="18"/>
        </w:rPr>
        <w:tab/>
      </w:r>
      <w:r w:rsidRPr="00C304F7">
        <w:rPr>
          <w:i w:val="0"/>
          <w:noProof/>
          <w:sz w:val="18"/>
        </w:rPr>
        <w:fldChar w:fldCharType="begin"/>
      </w:r>
      <w:r w:rsidRPr="00C304F7">
        <w:rPr>
          <w:i w:val="0"/>
          <w:noProof/>
          <w:sz w:val="18"/>
        </w:rPr>
        <w:instrText xml:space="preserve"> PAGEREF _Toc76040397 \h </w:instrText>
      </w:r>
      <w:r w:rsidRPr="00C304F7">
        <w:rPr>
          <w:i w:val="0"/>
          <w:noProof/>
          <w:sz w:val="18"/>
        </w:rPr>
      </w:r>
      <w:r w:rsidRPr="00C304F7">
        <w:rPr>
          <w:i w:val="0"/>
          <w:noProof/>
          <w:sz w:val="18"/>
        </w:rPr>
        <w:fldChar w:fldCharType="separate"/>
      </w:r>
      <w:r w:rsidR="00B9251A">
        <w:rPr>
          <w:i w:val="0"/>
          <w:noProof/>
          <w:sz w:val="18"/>
        </w:rPr>
        <w:t>15</w:t>
      </w:r>
      <w:r w:rsidRPr="00C304F7">
        <w:rPr>
          <w:i w:val="0"/>
          <w:noProof/>
          <w:sz w:val="18"/>
        </w:rPr>
        <w:fldChar w:fldCharType="end"/>
      </w:r>
    </w:p>
    <w:p w14:paraId="19AD4249" w14:textId="3B65B561" w:rsidR="00C304F7" w:rsidRDefault="00C304F7">
      <w:pPr>
        <w:pStyle w:val="TOC9"/>
        <w:rPr>
          <w:rFonts w:asciiTheme="minorHAnsi" w:eastAsiaTheme="minorEastAsia" w:hAnsiTheme="minorHAnsi" w:cstheme="minorBidi"/>
          <w:i w:val="0"/>
          <w:noProof/>
          <w:kern w:val="0"/>
          <w:sz w:val="22"/>
          <w:szCs w:val="22"/>
        </w:rPr>
      </w:pPr>
      <w:r>
        <w:rPr>
          <w:noProof/>
        </w:rPr>
        <w:t>National Consumer Credit Protection Act 2009</w:t>
      </w:r>
      <w:r w:rsidRPr="00C304F7">
        <w:rPr>
          <w:i w:val="0"/>
          <w:noProof/>
          <w:sz w:val="18"/>
        </w:rPr>
        <w:tab/>
      </w:r>
      <w:r w:rsidRPr="00C304F7">
        <w:rPr>
          <w:i w:val="0"/>
          <w:noProof/>
          <w:sz w:val="18"/>
        </w:rPr>
        <w:fldChar w:fldCharType="begin"/>
      </w:r>
      <w:r w:rsidRPr="00C304F7">
        <w:rPr>
          <w:i w:val="0"/>
          <w:noProof/>
          <w:sz w:val="18"/>
        </w:rPr>
        <w:instrText xml:space="preserve"> PAGEREF _Toc76040398 \h </w:instrText>
      </w:r>
      <w:r w:rsidRPr="00C304F7">
        <w:rPr>
          <w:i w:val="0"/>
          <w:noProof/>
          <w:sz w:val="18"/>
        </w:rPr>
      </w:r>
      <w:r w:rsidRPr="00C304F7">
        <w:rPr>
          <w:i w:val="0"/>
          <w:noProof/>
          <w:sz w:val="18"/>
        </w:rPr>
        <w:fldChar w:fldCharType="separate"/>
      </w:r>
      <w:r w:rsidR="00B9251A">
        <w:rPr>
          <w:i w:val="0"/>
          <w:noProof/>
          <w:sz w:val="18"/>
        </w:rPr>
        <w:t>15</w:t>
      </w:r>
      <w:r w:rsidRPr="00C304F7">
        <w:rPr>
          <w:i w:val="0"/>
          <w:noProof/>
          <w:sz w:val="18"/>
        </w:rPr>
        <w:fldChar w:fldCharType="end"/>
      </w:r>
    </w:p>
    <w:p w14:paraId="26D49EE5" w14:textId="49AC7F60" w:rsidR="00C304F7" w:rsidRDefault="00C304F7">
      <w:pPr>
        <w:pStyle w:val="TOC6"/>
        <w:rPr>
          <w:rFonts w:asciiTheme="minorHAnsi" w:eastAsiaTheme="minorEastAsia" w:hAnsiTheme="minorHAnsi" w:cstheme="minorBidi"/>
          <w:b w:val="0"/>
          <w:noProof/>
          <w:kern w:val="0"/>
          <w:sz w:val="22"/>
          <w:szCs w:val="22"/>
        </w:rPr>
      </w:pPr>
      <w:r>
        <w:rPr>
          <w:noProof/>
        </w:rPr>
        <w:t>Schedule 5—New Zealand sports teams members and support staff</w:t>
      </w:r>
      <w:r w:rsidRPr="00C304F7">
        <w:rPr>
          <w:b w:val="0"/>
          <w:noProof/>
          <w:sz w:val="18"/>
        </w:rPr>
        <w:tab/>
      </w:r>
      <w:r w:rsidRPr="00C304F7">
        <w:rPr>
          <w:b w:val="0"/>
          <w:noProof/>
          <w:sz w:val="18"/>
        </w:rPr>
        <w:fldChar w:fldCharType="begin"/>
      </w:r>
      <w:r w:rsidRPr="00C304F7">
        <w:rPr>
          <w:b w:val="0"/>
          <w:noProof/>
          <w:sz w:val="18"/>
        </w:rPr>
        <w:instrText xml:space="preserve"> PAGEREF _Toc76040399 \h </w:instrText>
      </w:r>
      <w:r w:rsidRPr="00C304F7">
        <w:rPr>
          <w:b w:val="0"/>
          <w:noProof/>
          <w:sz w:val="18"/>
        </w:rPr>
      </w:r>
      <w:r w:rsidRPr="00C304F7">
        <w:rPr>
          <w:b w:val="0"/>
          <w:noProof/>
          <w:sz w:val="18"/>
        </w:rPr>
        <w:fldChar w:fldCharType="separate"/>
      </w:r>
      <w:r w:rsidR="00B9251A">
        <w:rPr>
          <w:b w:val="0"/>
          <w:noProof/>
          <w:sz w:val="18"/>
        </w:rPr>
        <w:t>16</w:t>
      </w:r>
      <w:r w:rsidRPr="00C304F7">
        <w:rPr>
          <w:b w:val="0"/>
          <w:noProof/>
          <w:sz w:val="18"/>
        </w:rPr>
        <w:fldChar w:fldCharType="end"/>
      </w:r>
    </w:p>
    <w:p w14:paraId="45E08FC2" w14:textId="744708B5" w:rsidR="00C304F7" w:rsidRDefault="00C304F7">
      <w:pPr>
        <w:pStyle w:val="TOC9"/>
        <w:rPr>
          <w:rFonts w:asciiTheme="minorHAnsi" w:eastAsiaTheme="minorEastAsia" w:hAnsiTheme="minorHAnsi" w:cstheme="minorBidi"/>
          <w:i w:val="0"/>
          <w:noProof/>
          <w:kern w:val="0"/>
          <w:sz w:val="22"/>
          <w:szCs w:val="22"/>
        </w:rPr>
      </w:pPr>
      <w:r>
        <w:rPr>
          <w:noProof/>
        </w:rPr>
        <w:t>International Tax Agreements Act 1953</w:t>
      </w:r>
      <w:r w:rsidRPr="00C304F7">
        <w:rPr>
          <w:i w:val="0"/>
          <w:noProof/>
          <w:sz w:val="18"/>
        </w:rPr>
        <w:tab/>
      </w:r>
      <w:r w:rsidRPr="00C304F7">
        <w:rPr>
          <w:i w:val="0"/>
          <w:noProof/>
          <w:sz w:val="18"/>
        </w:rPr>
        <w:fldChar w:fldCharType="begin"/>
      </w:r>
      <w:r w:rsidRPr="00C304F7">
        <w:rPr>
          <w:i w:val="0"/>
          <w:noProof/>
          <w:sz w:val="18"/>
        </w:rPr>
        <w:instrText xml:space="preserve"> PAGEREF _Toc76040400 \h </w:instrText>
      </w:r>
      <w:r w:rsidRPr="00C304F7">
        <w:rPr>
          <w:i w:val="0"/>
          <w:noProof/>
          <w:sz w:val="18"/>
        </w:rPr>
      </w:r>
      <w:r w:rsidRPr="00C304F7">
        <w:rPr>
          <w:i w:val="0"/>
          <w:noProof/>
          <w:sz w:val="18"/>
        </w:rPr>
        <w:fldChar w:fldCharType="separate"/>
      </w:r>
      <w:r w:rsidR="00B9251A">
        <w:rPr>
          <w:i w:val="0"/>
          <w:noProof/>
          <w:sz w:val="18"/>
        </w:rPr>
        <w:t>16</w:t>
      </w:r>
      <w:r w:rsidRPr="00C304F7">
        <w:rPr>
          <w:i w:val="0"/>
          <w:noProof/>
          <w:sz w:val="18"/>
        </w:rPr>
        <w:fldChar w:fldCharType="end"/>
      </w:r>
    </w:p>
    <w:p w14:paraId="08844C04" w14:textId="20402872" w:rsidR="00C304F7" w:rsidRDefault="00C304F7">
      <w:pPr>
        <w:pStyle w:val="TOC6"/>
        <w:rPr>
          <w:rFonts w:asciiTheme="minorHAnsi" w:eastAsiaTheme="minorEastAsia" w:hAnsiTheme="minorHAnsi" w:cstheme="minorBidi"/>
          <w:b w:val="0"/>
          <w:noProof/>
          <w:kern w:val="0"/>
          <w:sz w:val="22"/>
          <w:szCs w:val="22"/>
        </w:rPr>
      </w:pPr>
      <w:r>
        <w:rPr>
          <w:noProof/>
        </w:rPr>
        <w:t>Schedule 6—Low and Middle Income tax offset</w:t>
      </w:r>
      <w:r w:rsidRPr="00C304F7">
        <w:rPr>
          <w:b w:val="0"/>
          <w:noProof/>
          <w:sz w:val="18"/>
        </w:rPr>
        <w:tab/>
      </w:r>
      <w:r w:rsidRPr="00C304F7">
        <w:rPr>
          <w:b w:val="0"/>
          <w:noProof/>
          <w:sz w:val="18"/>
        </w:rPr>
        <w:fldChar w:fldCharType="begin"/>
      </w:r>
      <w:r w:rsidRPr="00C304F7">
        <w:rPr>
          <w:b w:val="0"/>
          <w:noProof/>
          <w:sz w:val="18"/>
        </w:rPr>
        <w:instrText xml:space="preserve"> PAGEREF _Toc76040402 \h </w:instrText>
      </w:r>
      <w:r w:rsidRPr="00C304F7">
        <w:rPr>
          <w:b w:val="0"/>
          <w:noProof/>
          <w:sz w:val="18"/>
        </w:rPr>
      </w:r>
      <w:r w:rsidRPr="00C304F7">
        <w:rPr>
          <w:b w:val="0"/>
          <w:noProof/>
          <w:sz w:val="18"/>
        </w:rPr>
        <w:fldChar w:fldCharType="separate"/>
      </w:r>
      <w:r w:rsidR="00B9251A">
        <w:rPr>
          <w:b w:val="0"/>
          <w:noProof/>
          <w:sz w:val="18"/>
        </w:rPr>
        <w:t>18</w:t>
      </w:r>
      <w:r w:rsidRPr="00C304F7">
        <w:rPr>
          <w:b w:val="0"/>
          <w:noProof/>
          <w:sz w:val="18"/>
        </w:rPr>
        <w:fldChar w:fldCharType="end"/>
      </w:r>
    </w:p>
    <w:p w14:paraId="5664FD4F" w14:textId="6AA614D5" w:rsidR="00C304F7" w:rsidRDefault="00C304F7">
      <w:pPr>
        <w:pStyle w:val="TOC9"/>
        <w:rPr>
          <w:rFonts w:asciiTheme="minorHAnsi" w:eastAsiaTheme="minorEastAsia" w:hAnsiTheme="minorHAnsi" w:cstheme="minorBidi"/>
          <w:i w:val="0"/>
          <w:noProof/>
          <w:kern w:val="0"/>
          <w:sz w:val="22"/>
          <w:szCs w:val="22"/>
        </w:rPr>
      </w:pPr>
      <w:r>
        <w:rPr>
          <w:noProof/>
        </w:rPr>
        <w:t>Treasury Laws Amendment (A Tax Plan for the COVID</w:t>
      </w:r>
      <w:r>
        <w:rPr>
          <w:noProof/>
        </w:rPr>
        <w:noBreakHyphen/>
        <w:t>19 Economic Recovery) Act 2020</w:t>
      </w:r>
      <w:r w:rsidRPr="00C304F7">
        <w:rPr>
          <w:i w:val="0"/>
          <w:noProof/>
          <w:sz w:val="18"/>
        </w:rPr>
        <w:tab/>
      </w:r>
      <w:r w:rsidRPr="00C304F7">
        <w:rPr>
          <w:i w:val="0"/>
          <w:noProof/>
          <w:sz w:val="18"/>
        </w:rPr>
        <w:fldChar w:fldCharType="begin"/>
      </w:r>
      <w:r w:rsidRPr="00C304F7">
        <w:rPr>
          <w:i w:val="0"/>
          <w:noProof/>
          <w:sz w:val="18"/>
        </w:rPr>
        <w:instrText xml:space="preserve"> PAGEREF _Toc76040403 \h </w:instrText>
      </w:r>
      <w:r w:rsidRPr="00C304F7">
        <w:rPr>
          <w:i w:val="0"/>
          <w:noProof/>
          <w:sz w:val="18"/>
        </w:rPr>
      </w:r>
      <w:r w:rsidRPr="00C304F7">
        <w:rPr>
          <w:i w:val="0"/>
          <w:noProof/>
          <w:sz w:val="18"/>
        </w:rPr>
        <w:fldChar w:fldCharType="separate"/>
      </w:r>
      <w:r w:rsidR="00B9251A">
        <w:rPr>
          <w:i w:val="0"/>
          <w:noProof/>
          <w:sz w:val="18"/>
        </w:rPr>
        <w:t>18</w:t>
      </w:r>
      <w:r w:rsidRPr="00C304F7">
        <w:rPr>
          <w:i w:val="0"/>
          <w:noProof/>
          <w:sz w:val="18"/>
        </w:rPr>
        <w:fldChar w:fldCharType="end"/>
      </w:r>
    </w:p>
    <w:p w14:paraId="647501F4" w14:textId="1B122228" w:rsidR="00060FF9" w:rsidRPr="00DF7BB4" w:rsidRDefault="00C304F7" w:rsidP="0048364F">
      <w:r>
        <w:fldChar w:fldCharType="end"/>
      </w:r>
    </w:p>
    <w:p w14:paraId="77D8D3C4" w14:textId="77777777" w:rsidR="00FE7F93" w:rsidRPr="00DF7BB4" w:rsidRDefault="00FE7F93" w:rsidP="0048364F">
      <w:pPr>
        <w:sectPr w:rsidR="00FE7F93" w:rsidRPr="00DF7BB4" w:rsidSect="00D642FD">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35FED93B" w14:textId="77777777" w:rsidR="00D642FD" w:rsidRDefault="00D642FD">
      <w:r>
        <w:object w:dxaOrig="2146" w:dyaOrig="1561" w14:anchorId="07F3FB5D">
          <v:shape id="_x0000_i1027" type="#_x0000_t75" alt="Commonwealth Coat of Arms of Australia" style="width:110.25pt;height:80.25pt" o:ole="" fillcolor="window">
            <v:imagedata r:id="rId7" o:title=""/>
          </v:shape>
          <o:OLEObject Type="Embed" ProgID="Word.Picture.8" ShapeID="_x0000_i1027" DrawAspect="Content" ObjectID="_1686653380" r:id="rId20"/>
        </w:object>
      </w:r>
    </w:p>
    <w:p w14:paraId="0CE079FD" w14:textId="77777777" w:rsidR="00D642FD" w:rsidRDefault="00D642FD"/>
    <w:p w14:paraId="1AB49250" w14:textId="77777777" w:rsidR="00D642FD" w:rsidRDefault="00D642FD" w:rsidP="00C304F7">
      <w:pPr>
        <w:spacing w:line="240" w:lineRule="auto"/>
      </w:pPr>
    </w:p>
    <w:p w14:paraId="1C5DD1C5" w14:textId="66A64528" w:rsidR="00D642FD" w:rsidRDefault="00775DC8" w:rsidP="00C304F7">
      <w:pPr>
        <w:pStyle w:val="ShortTP1"/>
      </w:pPr>
      <w:fldSimple w:instr=" STYLEREF ShortT ">
        <w:r w:rsidR="00B9251A">
          <w:rPr>
            <w:noProof/>
          </w:rPr>
          <w:t>Treasury Laws Amendment (2021 Measures No. 4) Act 2021</w:t>
        </w:r>
      </w:fldSimple>
    </w:p>
    <w:p w14:paraId="564529B6" w14:textId="164C276E" w:rsidR="00D642FD" w:rsidRDefault="00775DC8" w:rsidP="00C304F7">
      <w:pPr>
        <w:pStyle w:val="ActNoP1"/>
      </w:pPr>
      <w:fldSimple w:instr=" STYLEREF Actno ">
        <w:r w:rsidR="00B9251A">
          <w:rPr>
            <w:noProof/>
          </w:rPr>
          <w:t>No. 72, 2021</w:t>
        </w:r>
      </w:fldSimple>
    </w:p>
    <w:p w14:paraId="365E1F55" w14:textId="77777777" w:rsidR="00D642FD" w:rsidRPr="009A0728" w:rsidRDefault="00D642FD" w:rsidP="00C304F7">
      <w:pPr>
        <w:pBdr>
          <w:bottom w:val="single" w:sz="6" w:space="0" w:color="auto"/>
        </w:pBdr>
        <w:spacing w:before="400" w:line="240" w:lineRule="auto"/>
        <w:rPr>
          <w:rFonts w:eastAsia="Times New Roman"/>
          <w:b/>
          <w:sz w:val="28"/>
        </w:rPr>
      </w:pPr>
    </w:p>
    <w:p w14:paraId="53E4CF27" w14:textId="77777777" w:rsidR="00D642FD" w:rsidRPr="009A0728" w:rsidRDefault="00D642FD" w:rsidP="00C304F7">
      <w:pPr>
        <w:spacing w:line="40" w:lineRule="exact"/>
        <w:rPr>
          <w:rFonts w:eastAsia="Calibri"/>
          <w:b/>
          <w:sz w:val="28"/>
        </w:rPr>
      </w:pPr>
    </w:p>
    <w:p w14:paraId="0BEBEBC1" w14:textId="77777777" w:rsidR="00D642FD" w:rsidRPr="009A0728" w:rsidRDefault="00D642FD" w:rsidP="00C304F7">
      <w:pPr>
        <w:pBdr>
          <w:top w:val="single" w:sz="12" w:space="0" w:color="auto"/>
        </w:pBdr>
        <w:spacing w:line="240" w:lineRule="auto"/>
        <w:rPr>
          <w:rFonts w:eastAsia="Times New Roman"/>
          <w:b/>
          <w:sz w:val="28"/>
        </w:rPr>
      </w:pPr>
    </w:p>
    <w:p w14:paraId="19A6F149" w14:textId="77777777" w:rsidR="00D642FD" w:rsidRDefault="00D642FD" w:rsidP="00D642FD">
      <w:pPr>
        <w:pStyle w:val="Page1"/>
        <w:spacing w:before="400"/>
      </w:pPr>
      <w:r>
        <w:t>An Act to amend the law relating to taxation, corporations and consumer credit, and for related purposes</w:t>
      </w:r>
    </w:p>
    <w:p w14:paraId="3EB4C0E0" w14:textId="13E9027D" w:rsidR="00E66D6D" w:rsidRDefault="00E66D6D" w:rsidP="00E14290">
      <w:pPr>
        <w:pStyle w:val="AssentDt"/>
        <w:spacing w:before="240"/>
      </w:pPr>
      <w:r>
        <w:rPr>
          <w:sz w:val="24"/>
        </w:rPr>
        <w:t>[</w:t>
      </w:r>
      <w:r>
        <w:rPr>
          <w:i/>
          <w:sz w:val="24"/>
        </w:rPr>
        <w:t>Assented to 30 June 2021</w:t>
      </w:r>
      <w:r>
        <w:rPr>
          <w:sz w:val="24"/>
        </w:rPr>
        <w:t>]</w:t>
      </w:r>
    </w:p>
    <w:p w14:paraId="5B2FD1AA" w14:textId="66682D59" w:rsidR="0048364F" w:rsidRPr="00DF7BB4" w:rsidRDefault="0048364F" w:rsidP="00DF7BB4">
      <w:pPr>
        <w:spacing w:before="240" w:line="240" w:lineRule="auto"/>
        <w:rPr>
          <w:sz w:val="32"/>
        </w:rPr>
      </w:pPr>
      <w:r w:rsidRPr="00DF7BB4">
        <w:rPr>
          <w:sz w:val="32"/>
        </w:rPr>
        <w:t>The Parliament of Australia enacts:</w:t>
      </w:r>
    </w:p>
    <w:p w14:paraId="548B59FF" w14:textId="77777777" w:rsidR="0048364F" w:rsidRPr="00DF7BB4" w:rsidRDefault="0048364F" w:rsidP="00DF7BB4">
      <w:pPr>
        <w:pStyle w:val="ActHead5"/>
      </w:pPr>
      <w:bookmarkStart w:id="2" w:name="_Toc76040370"/>
      <w:r w:rsidRPr="008D4F4F">
        <w:rPr>
          <w:rStyle w:val="CharSectno"/>
        </w:rPr>
        <w:t>1</w:t>
      </w:r>
      <w:r w:rsidRPr="00DF7BB4">
        <w:t xml:space="preserve">  Short title</w:t>
      </w:r>
      <w:bookmarkEnd w:id="2"/>
    </w:p>
    <w:p w14:paraId="0108736B" w14:textId="77777777" w:rsidR="0048364F" w:rsidRPr="00DF7BB4" w:rsidRDefault="0048364F" w:rsidP="00DF7BB4">
      <w:pPr>
        <w:pStyle w:val="subsection"/>
      </w:pPr>
      <w:r w:rsidRPr="00DF7BB4">
        <w:tab/>
      </w:r>
      <w:r w:rsidRPr="00DF7BB4">
        <w:tab/>
        <w:t xml:space="preserve">This Act </w:t>
      </w:r>
      <w:r w:rsidR="00275197" w:rsidRPr="00DF7BB4">
        <w:t xml:space="preserve">is </w:t>
      </w:r>
      <w:r w:rsidRPr="00DF7BB4">
        <w:t xml:space="preserve">the </w:t>
      </w:r>
      <w:r w:rsidR="00C06046" w:rsidRPr="00DF7BB4">
        <w:rPr>
          <w:i/>
        </w:rPr>
        <w:t>Treasury Laws Amendment (2021 Measures No. 4)</w:t>
      </w:r>
      <w:r w:rsidR="007F587B" w:rsidRPr="00DF7BB4">
        <w:rPr>
          <w:i/>
        </w:rPr>
        <w:t xml:space="preserve"> </w:t>
      </w:r>
      <w:r w:rsidR="00EE3E36" w:rsidRPr="00DF7BB4">
        <w:rPr>
          <w:i/>
        </w:rPr>
        <w:t>Act 20</w:t>
      </w:r>
      <w:r w:rsidR="009E186E" w:rsidRPr="00DF7BB4">
        <w:rPr>
          <w:i/>
        </w:rPr>
        <w:t>21</w:t>
      </w:r>
      <w:r w:rsidRPr="00DF7BB4">
        <w:t>.</w:t>
      </w:r>
    </w:p>
    <w:p w14:paraId="3C4072F0" w14:textId="77777777" w:rsidR="0048364F" w:rsidRPr="00DF7BB4" w:rsidRDefault="0048364F" w:rsidP="00DF7BB4">
      <w:pPr>
        <w:pStyle w:val="ActHead5"/>
      </w:pPr>
      <w:bookmarkStart w:id="3" w:name="_Toc76040371"/>
      <w:r w:rsidRPr="008D4F4F">
        <w:rPr>
          <w:rStyle w:val="CharSectno"/>
        </w:rPr>
        <w:t>2</w:t>
      </w:r>
      <w:r w:rsidRPr="00DF7BB4">
        <w:t xml:space="preserve">  Commencement</w:t>
      </w:r>
      <w:bookmarkEnd w:id="3"/>
    </w:p>
    <w:p w14:paraId="0F863B55" w14:textId="77777777" w:rsidR="0048364F" w:rsidRPr="00DF7BB4" w:rsidRDefault="0048364F" w:rsidP="00DF7BB4">
      <w:pPr>
        <w:pStyle w:val="subsection"/>
      </w:pPr>
      <w:r w:rsidRPr="00DF7BB4">
        <w:tab/>
        <w:t>(1)</w:t>
      </w:r>
      <w:r w:rsidRPr="00DF7BB4">
        <w:tab/>
        <w:t>Each provision of this Act specified in column 1 of the table commences, or is taken to have commenced, in accordance with column 2 of the table. Any other statement in column 2 has effect according to its terms.</w:t>
      </w:r>
    </w:p>
    <w:p w14:paraId="2B9ED82A" w14:textId="77777777" w:rsidR="0048364F" w:rsidRPr="00DF7BB4" w:rsidRDefault="0048364F" w:rsidP="00DF7BB4">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DF7BB4" w14:paraId="71F564D1" w14:textId="77777777" w:rsidTr="009E1B75">
        <w:trPr>
          <w:tblHeader/>
        </w:trPr>
        <w:tc>
          <w:tcPr>
            <w:tcW w:w="7111" w:type="dxa"/>
            <w:gridSpan w:val="3"/>
            <w:tcBorders>
              <w:top w:val="single" w:sz="12" w:space="0" w:color="auto"/>
              <w:bottom w:val="single" w:sz="6" w:space="0" w:color="auto"/>
            </w:tcBorders>
            <w:shd w:val="clear" w:color="auto" w:fill="auto"/>
          </w:tcPr>
          <w:p w14:paraId="07D78426" w14:textId="77777777" w:rsidR="0048364F" w:rsidRPr="00DF7BB4" w:rsidRDefault="0048364F" w:rsidP="00DF7BB4">
            <w:pPr>
              <w:pStyle w:val="TableHeading"/>
            </w:pPr>
            <w:r w:rsidRPr="00DF7BB4">
              <w:t>Commencement information</w:t>
            </w:r>
          </w:p>
        </w:tc>
      </w:tr>
      <w:tr w:rsidR="0048364F" w:rsidRPr="00DF7BB4" w14:paraId="6A52992C" w14:textId="77777777" w:rsidTr="009E1B75">
        <w:trPr>
          <w:tblHeader/>
        </w:trPr>
        <w:tc>
          <w:tcPr>
            <w:tcW w:w="1701" w:type="dxa"/>
            <w:tcBorders>
              <w:top w:val="single" w:sz="6" w:space="0" w:color="auto"/>
              <w:bottom w:val="single" w:sz="6" w:space="0" w:color="auto"/>
            </w:tcBorders>
            <w:shd w:val="clear" w:color="auto" w:fill="auto"/>
          </w:tcPr>
          <w:p w14:paraId="6E299CE9" w14:textId="77777777" w:rsidR="0048364F" w:rsidRPr="00DF7BB4" w:rsidRDefault="0048364F" w:rsidP="00DF7BB4">
            <w:pPr>
              <w:pStyle w:val="TableHeading"/>
            </w:pPr>
            <w:r w:rsidRPr="00DF7BB4">
              <w:t>Column 1</w:t>
            </w:r>
          </w:p>
        </w:tc>
        <w:tc>
          <w:tcPr>
            <w:tcW w:w="3828" w:type="dxa"/>
            <w:tcBorders>
              <w:top w:val="single" w:sz="6" w:space="0" w:color="auto"/>
              <w:bottom w:val="single" w:sz="6" w:space="0" w:color="auto"/>
            </w:tcBorders>
            <w:shd w:val="clear" w:color="auto" w:fill="auto"/>
          </w:tcPr>
          <w:p w14:paraId="4D758191" w14:textId="77777777" w:rsidR="0048364F" w:rsidRPr="00DF7BB4" w:rsidRDefault="0048364F" w:rsidP="00DF7BB4">
            <w:pPr>
              <w:pStyle w:val="TableHeading"/>
            </w:pPr>
            <w:r w:rsidRPr="00DF7BB4">
              <w:t>Column 2</w:t>
            </w:r>
          </w:p>
        </w:tc>
        <w:tc>
          <w:tcPr>
            <w:tcW w:w="1582" w:type="dxa"/>
            <w:tcBorders>
              <w:top w:val="single" w:sz="6" w:space="0" w:color="auto"/>
              <w:bottom w:val="single" w:sz="6" w:space="0" w:color="auto"/>
            </w:tcBorders>
            <w:shd w:val="clear" w:color="auto" w:fill="auto"/>
          </w:tcPr>
          <w:p w14:paraId="2FF8794F" w14:textId="77777777" w:rsidR="0048364F" w:rsidRPr="00DF7BB4" w:rsidRDefault="0048364F" w:rsidP="00DF7BB4">
            <w:pPr>
              <w:pStyle w:val="TableHeading"/>
            </w:pPr>
            <w:r w:rsidRPr="00DF7BB4">
              <w:t>Column 3</w:t>
            </w:r>
          </w:p>
        </w:tc>
      </w:tr>
      <w:tr w:rsidR="0048364F" w:rsidRPr="00DF7BB4" w14:paraId="4EFD2A8D" w14:textId="77777777" w:rsidTr="009E1B75">
        <w:trPr>
          <w:tblHeader/>
        </w:trPr>
        <w:tc>
          <w:tcPr>
            <w:tcW w:w="1701" w:type="dxa"/>
            <w:tcBorders>
              <w:top w:val="single" w:sz="6" w:space="0" w:color="auto"/>
              <w:bottom w:val="single" w:sz="12" w:space="0" w:color="auto"/>
            </w:tcBorders>
            <w:shd w:val="clear" w:color="auto" w:fill="auto"/>
          </w:tcPr>
          <w:p w14:paraId="7DCB2624" w14:textId="77777777" w:rsidR="0048364F" w:rsidRPr="00DF7BB4" w:rsidRDefault="0048364F" w:rsidP="00DF7BB4">
            <w:pPr>
              <w:pStyle w:val="TableHeading"/>
            </w:pPr>
            <w:r w:rsidRPr="00DF7BB4">
              <w:t>Provisions</w:t>
            </w:r>
          </w:p>
        </w:tc>
        <w:tc>
          <w:tcPr>
            <w:tcW w:w="3828" w:type="dxa"/>
            <w:tcBorders>
              <w:top w:val="single" w:sz="6" w:space="0" w:color="auto"/>
              <w:bottom w:val="single" w:sz="12" w:space="0" w:color="auto"/>
            </w:tcBorders>
            <w:shd w:val="clear" w:color="auto" w:fill="auto"/>
          </w:tcPr>
          <w:p w14:paraId="75832843" w14:textId="77777777" w:rsidR="0048364F" w:rsidRPr="00DF7BB4" w:rsidRDefault="0048364F" w:rsidP="00DF7BB4">
            <w:pPr>
              <w:pStyle w:val="TableHeading"/>
            </w:pPr>
            <w:r w:rsidRPr="00DF7BB4">
              <w:t>Commencement</w:t>
            </w:r>
          </w:p>
        </w:tc>
        <w:tc>
          <w:tcPr>
            <w:tcW w:w="1582" w:type="dxa"/>
            <w:tcBorders>
              <w:top w:val="single" w:sz="6" w:space="0" w:color="auto"/>
              <w:bottom w:val="single" w:sz="12" w:space="0" w:color="auto"/>
            </w:tcBorders>
            <w:shd w:val="clear" w:color="auto" w:fill="auto"/>
          </w:tcPr>
          <w:p w14:paraId="43AC95D7" w14:textId="77777777" w:rsidR="0048364F" w:rsidRPr="00DF7BB4" w:rsidRDefault="0048364F" w:rsidP="00DF7BB4">
            <w:pPr>
              <w:pStyle w:val="TableHeading"/>
            </w:pPr>
            <w:r w:rsidRPr="00DF7BB4">
              <w:t>Date/Details</w:t>
            </w:r>
          </w:p>
        </w:tc>
      </w:tr>
      <w:tr w:rsidR="0048364F" w:rsidRPr="00DF7BB4" w14:paraId="1D6C0AF1" w14:textId="77777777" w:rsidTr="009E1B75">
        <w:tc>
          <w:tcPr>
            <w:tcW w:w="1701" w:type="dxa"/>
            <w:tcBorders>
              <w:top w:val="single" w:sz="12" w:space="0" w:color="auto"/>
            </w:tcBorders>
            <w:shd w:val="clear" w:color="auto" w:fill="auto"/>
          </w:tcPr>
          <w:p w14:paraId="61564E12" w14:textId="77777777" w:rsidR="0048364F" w:rsidRPr="00DF7BB4" w:rsidRDefault="0048364F" w:rsidP="00DF7BB4">
            <w:pPr>
              <w:pStyle w:val="Tabletext"/>
            </w:pPr>
            <w:r w:rsidRPr="00DF7BB4">
              <w:t xml:space="preserve">1.  </w:t>
            </w:r>
            <w:r w:rsidR="00FA66B0" w:rsidRPr="00DF7BB4">
              <w:t>Sections 1</w:t>
            </w:r>
            <w:r w:rsidRPr="00DF7BB4">
              <w:t xml:space="preserve"> to 3 and anything in this Act not elsewhere covered by this table</w:t>
            </w:r>
          </w:p>
        </w:tc>
        <w:tc>
          <w:tcPr>
            <w:tcW w:w="3828" w:type="dxa"/>
            <w:tcBorders>
              <w:top w:val="single" w:sz="12" w:space="0" w:color="auto"/>
            </w:tcBorders>
            <w:shd w:val="clear" w:color="auto" w:fill="auto"/>
          </w:tcPr>
          <w:p w14:paraId="46FDE321" w14:textId="77777777" w:rsidR="0048364F" w:rsidRPr="00DF7BB4" w:rsidRDefault="0048364F" w:rsidP="00DF7BB4">
            <w:pPr>
              <w:pStyle w:val="Tabletext"/>
            </w:pPr>
            <w:r w:rsidRPr="00DF7BB4">
              <w:t>The day this Act receives the Royal Assent.</w:t>
            </w:r>
          </w:p>
        </w:tc>
        <w:tc>
          <w:tcPr>
            <w:tcW w:w="1582" w:type="dxa"/>
            <w:tcBorders>
              <w:top w:val="single" w:sz="12" w:space="0" w:color="auto"/>
            </w:tcBorders>
            <w:shd w:val="clear" w:color="auto" w:fill="auto"/>
          </w:tcPr>
          <w:p w14:paraId="14FF339F" w14:textId="3E8F8522" w:rsidR="0048364F" w:rsidRPr="00DF7BB4" w:rsidRDefault="00E14290" w:rsidP="00DF7BB4">
            <w:pPr>
              <w:pStyle w:val="Tabletext"/>
            </w:pPr>
            <w:r>
              <w:t>30 June 2021</w:t>
            </w:r>
          </w:p>
        </w:tc>
      </w:tr>
      <w:tr w:rsidR="0048364F" w:rsidRPr="00DF7BB4" w14:paraId="19C17544" w14:textId="77777777" w:rsidTr="009E1B75">
        <w:tc>
          <w:tcPr>
            <w:tcW w:w="1701" w:type="dxa"/>
            <w:shd w:val="clear" w:color="auto" w:fill="auto"/>
          </w:tcPr>
          <w:p w14:paraId="54EC9185" w14:textId="77777777" w:rsidR="0048364F" w:rsidRPr="00DF7BB4" w:rsidRDefault="0048364F" w:rsidP="00DF7BB4">
            <w:pPr>
              <w:pStyle w:val="Tabletext"/>
            </w:pPr>
            <w:r w:rsidRPr="00DF7BB4">
              <w:t xml:space="preserve">2.  </w:t>
            </w:r>
            <w:r w:rsidR="00870BBE" w:rsidRPr="00DF7BB4">
              <w:t>Schedule 1</w:t>
            </w:r>
          </w:p>
        </w:tc>
        <w:tc>
          <w:tcPr>
            <w:tcW w:w="3828" w:type="dxa"/>
            <w:shd w:val="clear" w:color="auto" w:fill="auto"/>
          </w:tcPr>
          <w:p w14:paraId="12979095" w14:textId="77777777" w:rsidR="0048364F" w:rsidRPr="00DF7BB4" w:rsidRDefault="005F03E5" w:rsidP="00DF7BB4">
            <w:pPr>
              <w:pStyle w:val="Tabletext"/>
            </w:pPr>
            <w:r w:rsidRPr="00DF7BB4">
              <w:t>The first 1 January, 1 April, 1 July or 1 October to occur after the day this Act receives the Royal Assent.</w:t>
            </w:r>
          </w:p>
        </w:tc>
        <w:tc>
          <w:tcPr>
            <w:tcW w:w="1582" w:type="dxa"/>
            <w:shd w:val="clear" w:color="auto" w:fill="auto"/>
          </w:tcPr>
          <w:p w14:paraId="5B9261DE" w14:textId="0ABB4D68" w:rsidR="0048364F" w:rsidRPr="00DF7BB4" w:rsidRDefault="00E14290" w:rsidP="00DF7BB4">
            <w:pPr>
              <w:pStyle w:val="Tabletext"/>
            </w:pPr>
            <w:r>
              <w:t>1 July 2021</w:t>
            </w:r>
          </w:p>
        </w:tc>
      </w:tr>
      <w:tr w:rsidR="0048364F" w:rsidRPr="00DF7BB4" w14:paraId="51DDBC96" w14:textId="77777777" w:rsidTr="009E1B75">
        <w:tc>
          <w:tcPr>
            <w:tcW w:w="1701" w:type="dxa"/>
            <w:shd w:val="clear" w:color="auto" w:fill="auto"/>
          </w:tcPr>
          <w:p w14:paraId="2DBC6F98" w14:textId="77777777" w:rsidR="0048364F" w:rsidRPr="00DF7BB4" w:rsidRDefault="0048364F" w:rsidP="00DF7BB4">
            <w:pPr>
              <w:pStyle w:val="Tabletext"/>
            </w:pPr>
            <w:r w:rsidRPr="00DF7BB4">
              <w:t xml:space="preserve">3.  </w:t>
            </w:r>
            <w:r w:rsidR="00FA66B0" w:rsidRPr="00DF7BB4">
              <w:t>Schedule 2</w:t>
            </w:r>
          </w:p>
        </w:tc>
        <w:tc>
          <w:tcPr>
            <w:tcW w:w="3828" w:type="dxa"/>
            <w:shd w:val="clear" w:color="auto" w:fill="auto"/>
          </w:tcPr>
          <w:p w14:paraId="3111F568" w14:textId="77777777" w:rsidR="00AF224E" w:rsidRPr="00DF7BB4" w:rsidRDefault="00AF224E" w:rsidP="00DF7BB4">
            <w:pPr>
              <w:pStyle w:val="Tabletext"/>
            </w:pPr>
            <w:r w:rsidRPr="00DF7BB4">
              <w:t>The later of:</w:t>
            </w:r>
          </w:p>
          <w:p w14:paraId="190072CC" w14:textId="77777777" w:rsidR="00AF224E" w:rsidRPr="00DF7BB4" w:rsidRDefault="00AF224E" w:rsidP="00DF7BB4">
            <w:pPr>
              <w:pStyle w:val="Tablea"/>
            </w:pPr>
            <w:r w:rsidRPr="00DF7BB4">
              <w:t>(a) 1 July 2021; and</w:t>
            </w:r>
          </w:p>
          <w:p w14:paraId="4140B1AF" w14:textId="77777777" w:rsidR="0048364F" w:rsidRPr="00DF7BB4" w:rsidRDefault="00AF224E" w:rsidP="00DF7BB4">
            <w:pPr>
              <w:pStyle w:val="Tablea"/>
            </w:pPr>
            <w:r w:rsidRPr="00DF7BB4">
              <w:t>(b) the day after this Act receives the Royal Assent.</w:t>
            </w:r>
          </w:p>
        </w:tc>
        <w:tc>
          <w:tcPr>
            <w:tcW w:w="1582" w:type="dxa"/>
            <w:shd w:val="clear" w:color="auto" w:fill="auto"/>
          </w:tcPr>
          <w:p w14:paraId="69ED5B8A" w14:textId="0CC2DA18" w:rsidR="0048364F" w:rsidRPr="00DF7BB4" w:rsidRDefault="00E14290" w:rsidP="00DF7BB4">
            <w:pPr>
              <w:pStyle w:val="Tabletext"/>
            </w:pPr>
            <w:r>
              <w:t>1 July 2021</w:t>
            </w:r>
          </w:p>
        </w:tc>
      </w:tr>
      <w:tr w:rsidR="0048364F" w:rsidRPr="00DF7BB4" w14:paraId="5101125E" w14:textId="77777777" w:rsidTr="009E1B75">
        <w:tc>
          <w:tcPr>
            <w:tcW w:w="1701" w:type="dxa"/>
            <w:shd w:val="clear" w:color="auto" w:fill="auto"/>
          </w:tcPr>
          <w:p w14:paraId="42989F35" w14:textId="77777777" w:rsidR="0048364F" w:rsidRPr="00DF7BB4" w:rsidRDefault="0048364F" w:rsidP="00DF7BB4">
            <w:pPr>
              <w:pStyle w:val="Tabletext"/>
            </w:pPr>
            <w:r w:rsidRPr="00DF7BB4">
              <w:t xml:space="preserve">4.  </w:t>
            </w:r>
            <w:r w:rsidR="00870BBE" w:rsidRPr="00DF7BB4">
              <w:t>Schedule 3</w:t>
            </w:r>
          </w:p>
        </w:tc>
        <w:tc>
          <w:tcPr>
            <w:tcW w:w="3828" w:type="dxa"/>
            <w:shd w:val="clear" w:color="auto" w:fill="auto"/>
          </w:tcPr>
          <w:p w14:paraId="7420907D" w14:textId="77777777" w:rsidR="0048364F" w:rsidRPr="00DF7BB4" w:rsidRDefault="00B26731" w:rsidP="00DF7BB4">
            <w:pPr>
              <w:pStyle w:val="Tabletext"/>
            </w:pPr>
            <w:r w:rsidRPr="00DF7BB4">
              <w:t>The first 1 July to occur after the day this Act receives the Royal Assent.</w:t>
            </w:r>
          </w:p>
        </w:tc>
        <w:tc>
          <w:tcPr>
            <w:tcW w:w="1582" w:type="dxa"/>
            <w:shd w:val="clear" w:color="auto" w:fill="auto"/>
          </w:tcPr>
          <w:p w14:paraId="2053FC41" w14:textId="0EC34EDE" w:rsidR="0048364F" w:rsidRPr="00DF7BB4" w:rsidRDefault="00E14290" w:rsidP="00DF7BB4">
            <w:pPr>
              <w:pStyle w:val="Tabletext"/>
            </w:pPr>
            <w:r>
              <w:t>1 July 2021</w:t>
            </w:r>
          </w:p>
        </w:tc>
      </w:tr>
      <w:tr w:rsidR="0048364F" w:rsidRPr="00DF7BB4" w14:paraId="58C61C45" w14:textId="77777777" w:rsidTr="009E1B75">
        <w:tc>
          <w:tcPr>
            <w:tcW w:w="1701" w:type="dxa"/>
            <w:tcBorders>
              <w:bottom w:val="single" w:sz="2" w:space="0" w:color="auto"/>
            </w:tcBorders>
            <w:shd w:val="clear" w:color="auto" w:fill="auto"/>
          </w:tcPr>
          <w:p w14:paraId="312A884D" w14:textId="77777777" w:rsidR="0048364F" w:rsidRPr="00DF7BB4" w:rsidRDefault="0048364F" w:rsidP="00DF7BB4">
            <w:pPr>
              <w:pStyle w:val="Tabletext"/>
            </w:pPr>
            <w:r w:rsidRPr="00DF7BB4">
              <w:t xml:space="preserve">5.  </w:t>
            </w:r>
            <w:r w:rsidR="00FA66B0" w:rsidRPr="00DF7BB4">
              <w:t>Schedule</w:t>
            </w:r>
            <w:r w:rsidR="00F70674" w:rsidRPr="00DF7BB4">
              <w:t>s</w:t>
            </w:r>
            <w:r w:rsidR="00FA66B0" w:rsidRPr="00DF7BB4">
              <w:t> 4</w:t>
            </w:r>
            <w:r w:rsidR="00F70674" w:rsidRPr="00DF7BB4">
              <w:t xml:space="preserve"> and 5</w:t>
            </w:r>
          </w:p>
        </w:tc>
        <w:tc>
          <w:tcPr>
            <w:tcW w:w="3828" w:type="dxa"/>
            <w:tcBorders>
              <w:bottom w:val="single" w:sz="2" w:space="0" w:color="auto"/>
            </w:tcBorders>
            <w:shd w:val="clear" w:color="auto" w:fill="auto"/>
          </w:tcPr>
          <w:p w14:paraId="47BBB7E1" w14:textId="77777777" w:rsidR="0048364F" w:rsidRPr="00DF7BB4" w:rsidRDefault="00222759" w:rsidP="00DF7BB4">
            <w:pPr>
              <w:pStyle w:val="Tabletext"/>
            </w:pPr>
            <w:r w:rsidRPr="00DF7BB4">
              <w:t>The day after this Act receives the Royal Assent.</w:t>
            </w:r>
          </w:p>
        </w:tc>
        <w:tc>
          <w:tcPr>
            <w:tcW w:w="1582" w:type="dxa"/>
            <w:tcBorders>
              <w:bottom w:val="single" w:sz="2" w:space="0" w:color="auto"/>
            </w:tcBorders>
            <w:shd w:val="clear" w:color="auto" w:fill="auto"/>
          </w:tcPr>
          <w:p w14:paraId="078A1EA4" w14:textId="2BCEEE52" w:rsidR="0048364F" w:rsidRPr="00DF7BB4" w:rsidRDefault="00E14290" w:rsidP="00DF7BB4">
            <w:pPr>
              <w:pStyle w:val="Tabletext"/>
            </w:pPr>
            <w:r>
              <w:t>1 July 2021</w:t>
            </w:r>
          </w:p>
        </w:tc>
      </w:tr>
      <w:tr w:rsidR="0048364F" w:rsidRPr="00DF7BB4" w14:paraId="0243467A" w14:textId="77777777" w:rsidTr="009E1B75">
        <w:tc>
          <w:tcPr>
            <w:tcW w:w="1701" w:type="dxa"/>
            <w:tcBorders>
              <w:top w:val="single" w:sz="2" w:space="0" w:color="auto"/>
              <w:bottom w:val="single" w:sz="12" w:space="0" w:color="auto"/>
            </w:tcBorders>
            <w:shd w:val="clear" w:color="auto" w:fill="auto"/>
          </w:tcPr>
          <w:p w14:paraId="433760BA" w14:textId="77777777" w:rsidR="0048364F" w:rsidRPr="00DF7BB4" w:rsidRDefault="009E1B75" w:rsidP="00DF7BB4">
            <w:pPr>
              <w:pStyle w:val="Tabletext"/>
            </w:pPr>
            <w:r w:rsidRPr="00DF7BB4">
              <w:t>6</w:t>
            </w:r>
            <w:r w:rsidR="0048364F" w:rsidRPr="00DF7BB4">
              <w:t xml:space="preserve">.  </w:t>
            </w:r>
            <w:r w:rsidR="00870BBE" w:rsidRPr="00DF7BB4">
              <w:t>Schedule 6</w:t>
            </w:r>
          </w:p>
        </w:tc>
        <w:tc>
          <w:tcPr>
            <w:tcW w:w="3828" w:type="dxa"/>
            <w:tcBorders>
              <w:top w:val="single" w:sz="2" w:space="0" w:color="auto"/>
              <w:bottom w:val="single" w:sz="12" w:space="0" w:color="auto"/>
            </w:tcBorders>
            <w:shd w:val="clear" w:color="auto" w:fill="auto"/>
          </w:tcPr>
          <w:p w14:paraId="3E869B5C" w14:textId="77777777" w:rsidR="0048364F" w:rsidRPr="00DF7BB4" w:rsidRDefault="00917C1D" w:rsidP="00DF7BB4">
            <w:pPr>
              <w:pStyle w:val="Tabletext"/>
            </w:pPr>
            <w:r w:rsidRPr="00DF7BB4">
              <w:t xml:space="preserve">Immediately after the commencement of </w:t>
            </w:r>
            <w:r w:rsidR="00FA66B0" w:rsidRPr="00DF7BB4">
              <w:t>section 1</w:t>
            </w:r>
            <w:r w:rsidRPr="00DF7BB4">
              <w:t xml:space="preserve"> of the </w:t>
            </w:r>
            <w:r w:rsidRPr="00DF7BB4">
              <w:rPr>
                <w:i/>
              </w:rPr>
              <w:t>Treasury Laws Amendment (A Tax Plan for the COVID</w:t>
            </w:r>
            <w:r w:rsidR="00DF7BB4">
              <w:rPr>
                <w:i/>
              </w:rPr>
              <w:noBreakHyphen/>
            </w:r>
            <w:r w:rsidRPr="00DF7BB4">
              <w:rPr>
                <w:i/>
              </w:rPr>
              <w:t>19 Economic Recovery) Act 2020</w:t>
            </w:r>
            <w:r w:rsidRPr="00DF7BB4">
              <w:t>.</w:t>
            </w:r>
          </w:p>
        </w:tc>
        <w:tc>
          <w:tcPr>
            <w:tcW w:w="1582" w:type="dxa"/>
            <w:tcBorders>
              <w:top w:val="single" w:sz="2" w:space="0" w:color="auto"/>
              <w:bottom w:val="single" w:sz="12" w:space="0" w:color="auto"/>
            </w:tcBorders>
            <w:shd w:val="clear" w:color="auto" w:fill="auto"/>
          </w:tcPr>
          <w:p w14:paraId="4D02DF74" w14:textId="77777777" w:rsidR="0048364F" w:rsidRPr="00DF7BB4" w:rsidRDefault="00870BBE" w:rsidP="00DF7BB4">
            <w:pPr>
              <w:pStyle w:val="Tabletext"/>
            </w:pPr>
            <w:r w:rsidRPr="00DF7BB4">
              <w:t>14 October</w:t>
            </w:r>
            <w:r w:rsidR="00955752" w:rsidRPr="00DF7BB4">
              <w:t xml:space="preserve"> 2020</w:t>
            </w:r>
          </w:p>
        </w:tc>
      </w:tr>
    </w:tbl>
    <w:p w14:paraId="69F367EC" w14:textId="77777777" w:rsidR="0048364F" w:rsidRPr="00DF7BB4" w:rsidRDefault="00201D27" w:rsidP="00DF7BB4">
      <w:pPr>
        <w:pStyle w:val="notetext"/>
      </w:pPr>
      <w:r w:rsidRPr="00DF7BB4">
        <w:t>Note:</w:t>
      </w:r>
      <w:r w:rsidRPr="00DF7BB4">
        <w:tab/>
        <w:t>This table relates only to the provisions of this Act as originally enacted. It will not be amended to deal with any later amendments of this Act.</w:t>
      </w:r>
    </w:p>
    <w:p w14:paraId="39E6AC04" w14:textId="77777777" w:rsidR="0048364F" w:rsidRPr="00DF7BB4" w:rsidRDefault="0048364F" w:rsidP="00DF7BB4">
      <w:pPr>
        <w:pStyle w:val="subsection"/>
      </w:pPr>
      <w:r w:rsidRPr="00DF7BB4">
        <w:tab/>
        <w:t>(2)</w:t>
      </w:r>
      <w:r w:rsidRPr="00DF7BB4">
        <w:tab/>
      </w:r>
      <w:r w:rsidR="00201D27" w:rsidRPr="00DF7BB4">
        <w:t xml:space="preserve">Any information in </w:t>
      </w:r>
      <w:r w:rsidR="00877D48" w:rsidRPr="00DF7BB4">
        <w:t>c</w:t>
      </w:r>
      <w:r w:rsidR="00201D27" w:rsidRPr="00DF7BB4">
        <w:t>olumn 3 of the table is not part of this Act. Information may be inserted in this column, or information in it may be edited, in any published version of this Act.</w:t>
      </w:r>
    </w:p>
    <w:p w14:paraId="6161F9C8" w14:textId="77777777" w:rsidR="0048364F" w:rsidRPr="00DF7BB4" w:rsidRDefault="0048364F" w:rsidP="00DF7BB4">
      <w:pPr>
        <w:pStyle w:val="ActHead5"/>
      </w:pPr>
      <w:bookmarkStart w:id="4" w:name="_Toc76040372"/>
      <w:r w:rsidRPr="008D4F4F">
        <w:rPr>
          <w:rStyle w:val="CharSectno"/>
        </w:rPr>
        <w:t>3</w:t>
      </w:r>
      <w:r w:rsidRPr="00DF7BB4">
        <w:t xml:space="preserve">  Schedules</w:t>
      </w:r>
      <w:bookmarkEnd w:id="4"/>
    </w:p>
    <w:p w14:paraId="06B84FD1" w14:textId="77777777" w:rsidR="0048364F" w:rsidRPr="00DF7BB4" w:rsidRDefault="0048364F" w:rsidP="00DF7BB4">
      <w:pPr>
        <w:pStyle w:val="subsection"/>
      </w:pPr>
      <w:r w:rsidRPr="00DF7BB4">
        <w:tab/>
      </w:r>
      <w:r w:rsidRPr="00DF7BB4">
        <w:tab/>
      </w:r>
      <w:r w:rsidR="00202618" w:rsidRPr="00DF7BB4">
        <w:t>Legislation that is specified in a Schedule to this Act is amended or repealed as set out in the applicable items in the Schedule concerned, and any other item in a Schedule to this Act has effect according to its terms.</w:t>
      </w:r>
    </w:p>
    <w:p w14:paraId="67DAB674" w14:textId="77777777" w:rsidR="00B663CA" w:rsidRPr="00DF7BB4" w:rsidRDefault="00870BBE" w:rsidP="00DF7BB4">
      <w:pPr>
        <w:pStyle w:val="ActHead6"/>
        <w:pageBreakBefore/>
      </w:pPr>
      <w:bookmarkStart w:id="5" w:name="_Toc76040373"/>
      <w:r w:rsidRPr="008D4F4F">
        <w:rPr>
          <w:rStyle w:val="CharAmSchNo"/>
        </w:rPr>
        <w:lastRenderedPageBreak/>
        <w:t>Schedule 1</w:t>
      </w:r>
      <w:r w:rsidR="00B663CA" w:rsidRPr="00DF7BB4">
        <w:t>—</w:t>
      </w:r>
      <w:r w:rsidR="00B663CA" w:rsidRPr="008D4F4F">
        <w:rPr>
          <w:rStyle w:val="CharAmSchText"/>
        </w:rPr>
        <w:t>Fringe benefits tax exemption to support retraining and reskilling</w:t>
      </w:r>
      <w:bookmarkEnd w:id="5"/>
    </w:p>
    <w:p w14:paraId="4C965C74" w14:textId="77777777" w:rsidR="00B663CA" w:rsidRPr="008D4F4F" w:rsidRDefault="00B663CA" w:rsidP="00DF7BB4">
      <w:pPr>
        <w:pStyle w:val="Header"/>
      </w:pPr>
      <w:r w:rsidRPr="008D4F4F">
        <w:rPr>
          <w:rStyle w:val="CharAmPartNo"/>
        </w:rPr>
        <w:t xml:space="preserve"> </w:t>
      </w:r>
      <w:r w:rsidRPr="008D4F4F">
        <w:rPr>
          <w:rStyle w:val="CharAmPartText"/>
        </w:rPr>
        <w:t xml:space="preserve"> </w:t>
      </w:r>
    </w:p>
    <w:p w14:paraId="3F659F97" w14:textId="77777777" w:rsidR="00B663CA" w:rsidRPr="00DF7BB4" w:rsidRDefault="00B663CA" w:rsidP="00DF7BB4">
      <w:pPr>
        <w:pStyle w:val="ActHead9"/>
      </w:pPr>
      <w:bookmarkStart w:id="6" w:name="_Toc76040374"/>
      <w:r w:rsidRPr="00DF7BB4">
        <w:t>Fringe Benefits Tax Assessment Act 1986</w:t>
      </w:r>
      <w:bookmarkEnd w:id="6"/>
    </w:p>
    <w:p w14:paraId="38A82857" w14:textId="77777777" w:rsidR="00B663CA" w:rsidRPr="00DF7BB4" w:rsidRDefault="00357828" w:rsidP="00DF7BB4">
      <w:pPr>
        <w:pStyle w:val="ItemHead"/>
      </w:pPr>
      <w:r w:rsidRPr="00DF7BB4">
        <w:t>1</w:t>
      </w:r>
      <w:r w:rsidR="00B663CA" w:rsidRPr="00DF7BB4">
        <w:t xml:space="preserve">  At the end of Division 13 of Part III</w:t>
      </w:r>
    </w:p>
    <w:p w14:paraId="26206C32" w14:textId="77777777" w:rsidR="00B663CA" w:rsidRPr="00DF7BB4" w:rsidRDefault="00B663CA" w:rsidP="00DF7BB4">
      <w:pPr>
        <w:pStyle w:val="Item"/>
      </w:pPr>
      <w:r w:rsidRPr="00DF7BB4">
        <w:t>Add:</w:t>
      </w:r>
    </w:p>
    <w:p w14:paraId="44E384CB" w14:textId="77777777" w:rsidR="00B663CA" w:rsidRPr="00DF7BB4" w:rsidRDefault="00B663CA" w:rsidP="00DF7BB4">
      <w:pPr>
        <w:pStyle w:val="ActHead5"/>
      </w:pPr>
      <w:bookmarkStart w:id="7" w:name="_Toc76040375"/>
      <w:r w:rsidRPr="008D4F4F">
        <w:rPr>
          <w:rStyle w:val="CharSectno"/>
        </w:rPr>
        <w:t>58ZE</w:t>
      </w:r>
      <w:r w:rsidRPr="00DF7BB4">
        <w:t xml:space="preserve">  Exempt benefits—provision of certain education or training</w:t>
      </w:r>
      <w:bookmarkEnd w:id="7"/>
    </w:p>
    <w:p w14:paraId="676A3649" w14:textId="77777777" w:rsidR="00B663CA" w:rsidRPr="00DF7BB4" w:rsidRDefault="00B663CA" w:rsidP="00DF7BB4">
      <w:pPr>
        <w:pStyle w:val="subsection"/>
      </w:pPr>
      <w:r w:rsidRPr="00DF7BB4">
        <w:tab/>
        <w:t>(1)</w:t>
      </w:r>
      <w:r w:rsidRPr="00DF7BB4">
        <w:tab/>
        <w:t xml:space="preserve">Subject to </w:t>
      </w:r>
      <w:r w:rsidR="00870BBE" w:rsidRPr="00DF7BB4">
        <w:t>subsection (</w:t>
      </w:r>
      <w:r w:rsidRPr="00DF7BB4">
        <w:t>2), a benefit is an exempt benefit in relation to a year of tax if:</w:t>
      </w:r>
    </w:p>
    <w:p w14:paraId="70B186DA" w14:textId="77777777" w:rsidR="00B663CA" w:rsidRPr="00DF7BB4" w:rsidRDefault="00B663CA" w:rsidP="00DF7BB4">
      <w:pPr>
        <w:pStyle w:val="paragraph"/>
      </w:pPr>
      <w:r w:rsidRPr="00DF7BB4">
        <w:tab/>
        <w:t>(a)</w:t>
      </w:r>
      <w:r w:rsidRPr="00DF7BB4">
        <w:tab/>
        <w:t>the benefit is provided in, or in respect of, the year of tax in respect of education or training undertaken by an employee of an employer; and</w:t>
      </w:r>
    </w:p>
    <w:p w14:paraId="658F4E75" w14:textId="77777777" w:rsidR="00B663CA" w:rsidRPr="00DF7BB4" w:rsidRDefault="00B663CA" w:rsidP="00DF7BB4">
      <w:pPr>
        <w:pStyle w:val="paragraph"/>
      </w:pPr>
      <w:r w:rsidRPr="00DF7BB4">
        <w:tab/>
        <w:t>(b)</w:t>
      </w:r>
      <w:r w:rsidRPr="00DF7BB4">
        <w:tab/>
        <w:t>the employee is redundant; and</w:t>
      </w:r>
    </w:p>
    <w:p w14:paraId="45C1C2AF" w14:textId="77777777" w:rsidR="00B663CA" w:rsidRPr="00DF7BB4" w:rsidRDefault="00B663CA" w:rsidP="00DF7BB4">
      <w:pPr>
        <w:pStyle w:val="paragraph"/>
      </w:pPr>
      <w:r w:rsidRPr="00DF7BB4">
        <w:tab/>
        <w:t>(c)</w:t>
      </w:r>
      <w:r w:rsidRPr="00DF7BB4">
        <w:tab/>
        <w:t xml:space="preserve">the employer has complied with any obligation under the </w:t>
      </w:r>
      <w:r w:rsidRPr="00DF7BB4">
        <w:rPr>
          <w:i/>
        </w:rPr>
        <w:t>Fair Work Act 2009</w:t>
      </w:r>
      <w:r w:rsidRPr="00DF7BB4">
        <w:t xml:space="preserve"> that applies in relation to the redundancy; and</w:t>
      </w:r>
    </w:p>
    <w:p w14:paraId="355687CB" w14:textId="77777777" w:rsidR="00B663CA" w:rsidRPr="00DF7BB4" w:rsidRDefault="00B663CA" w:rsidP="00DF7BB4">
      <w:pPr>
        <w:pStyle w:val="paragraph"/>
      </w:pPr>
      <w:r w:rsidRPr="00DF7BB4">
        <w:tab/>
        <w:t>(d)</w:t>
      </w:r>
      <w:r w:rsidRPr="00DF7BB4">
        <w:tab/>
        <w:t>the education or training is for the primary purpose of enabling the employee to gain or produce salary or wages in respect of any employment to which the education or training relates.</w:t>
      </w:r>
    </w:p>
    <w:p w14:paraId="53A456E1" w14:textId="77777777" w:rsidR="00B663CA" w:rsidRPr="00DF7BB4" w:rsidRDefault="00B663CA" w:rsidP="00DF7BB4">
      <w:pPr>
        <w:pStyle w:val="subsection"/>
      </w:pPr>
      <w:r w:rsidRPr="00DF7BB4">
        <w:tab/>
        <w:t>(2)</w:t>
      </w:r>
      <w:r w:rsidRPr="00DF7BB4">
        <w:tab/>
        <w:t xml:space="preserve">For the purposes of </w:t>
      </w:r>
      <w:r w:rsidR="00870BBE" w:rsidRPr="00DF7BB4">
        <w:t>paragraph (</w:t>
      </w:r>
      <w:r w:rsidRPr="00DF7BB4">
        <w:t xml:space="preserve">1)(b), an employee is </w:t>
      </w:r>
      <w:r w:rsidRPr="00DF7BB4">
        <w:rPr>
          <w:b/>
          <w:i/>
        </w:rPr>
        <w:t>redundant</w:t>
      </w:r>
      <w:r w:rsidRPr="00DF7BB4">
        <w:t xml:space="preserve"> if the employee’s employer no longer requires, or reasonably expects to no longer require, the employee’s job to be performed by anyone because of changes in the operational requirements of the employer’s business or undertaking.</w:t>
      </w:r>
    </w:p>
    <w:p w14:paraId="62A5D14D" w14:textId="77777777" w:rsidR="00B663CA" w:rsidRPr="00DF7BB4" w:rsidRDefault="00B663CA" w:rsidP="00DF7BB4">
      <w:pPr>
        <w:pStyle w:val="subsection"/>
      </w:pPr>
      <w:r w:rsidRPr="00DF7BB4">
        <w:tab/>
        <w:t>(3)</w:t>
      </w:r>
      <w:r w:rsidRPr="00DF7BB4">
        <w:tab/>
        <w:t>This section does not apply to a benefit provided to an employee of an employer if:</w:t>
      </w:r>
    </w:p>
    <w:p w14:paraId="0E5B4F77" w14:textId="77777777" w:rsidR="00B663CA" w:rsidRPr="00DF7BB4" w:rsidRDefault="00B663CA" w:rsidP="00DF7BB4">
      <w:pPr>
        <w:pStyle w:val="paragraph"/>
      </w:pPr>
      <w:r w:rsidRPr="00DF7BB4">
        <w:tab/>
        <w:t>(a)</w:t>
      </w:r>
      <w:r w:rsidRPr="00DF7BB4">
        <w:tab/>
        <w:t>the benefit is provided under a salary packaging arrangement; or</w:t>
      </w:r>
    </w:p>
    <w:p w14:paraId="60044F90" w14:textId="77777777" w:rsidR="00B663CA" w:rsidRPr="00DF7BB4" w:rsidRDefault="00B663CA" w:rsidP="00DF7BB4">
      <w:pPr>
        <w:pStyle w:val="paragraph"/>
      </w:pPr>
      <w:r w:rsidRPr="00DF7BB4">
        <w:tab/>
        <w:t>(b)</w:t>
      </w:r>
      <w:r w:rsidRPr="00DF7BB4">
        <w:tab/>
        <w:t>the benefit is a payment or other amount covered by subsection 26</w:t>
      </w:r>
      <w:r w:rsidR="00DF7BB4">
        <w:noBreakHyphen/>
      </w:r>
      <w:r w:rsidRPr="00DF7BB4">
        <w:t xml:space="preserve">20(1) of the </w:t>
      </w:r>
      <w:r w:rsidRPr="00DF7BB4">
        <w:rPr>
          <w:i/>
        </w:rPr>
        <w:t>Income Tax Assessment Act 1997</w:t>
      </w:r>
      <w:r w:rsidRPr="00DF7BB4">
        <w:t>; or</w:t>
      </w:r>
    </w:p>
    <w:p w14:paraId="206D1E28" w14:textId="77777777" w:rsidR="00B663CA" w:rsidRPr="00DF7BB4" w:rsidRDefault="00B663CA" w:rsidP="00DF7BB4">
      <w:pPr>
        <w:pStyle w:val="paragraph"/>
      </w:pPr>
      <w:r w:rsidRPr="00DF7BB4">
        <w:lastRenderedPageBreak/>
        <w:tab/>
        <w:t>(c)</w:t>
      </w:r>
      <w:r w:rsidRPr="00DF7BB4">
        <w:tab/>
        <w:t xml:space="preserve">the education or training in respect of which the benefit is provided is undertaken as part of a primary course (within the meaning of the </w:t>
      </w:r>
      <w:r w:rsidRPr="00DF7BB4">
        <w:rPr>
          <w:i/>
        </w:rPr>
        <w:t>A New Tax System (Goods and Services Tax) Act 1999</w:t>
      </w:r>
      <w:r w:rsidRPr="00DF7BB4">
        <w:t>) or a secondary course (within the meaning of that Act); or</w:t>
      </w:r>
    </w:p>
    <w:p w14:paraId="152AAC04" w14:textId="77777777" w:rsidR="00B663CA" w:rsidRPr="00DF7BB4" w:rsidRDefault="00B663CA" w:rsidP="00DF7BB4">
      <w:pPr>
        <w:pStyle w:val="paragraph"/>
      </w:pPr>
      <w:r w:rsidRPr="00DF7BB4">
        <w:tab/>
        <w:t>(d)</w:t>
      </w:r>
      <w:r w:rsidRPr="00DF7BB4">
        <w:tab/>
        <w:t>if the employer is an individual—the employee is a relative of the employer; or</w:t>
      </w:r>
    </w:p>
    <w:p w14:paraId="2115D3DF" w14:textId="77777777" w:rsidR="00B663CA" w:rsidRPr="00DF7BB4" w:rsidRDefault="00B663CA" w:rsidP="00DF7BB4">
      <w:pPr>
        <w:pStyle w:val="paragraph"/>
      </w:pPr>
      <w:r w:rsidRPr="00DF7BB4">
        <w:tab/>
        <w:t>(e)</w:t>
      </w:r>
      <w:r w:rsidRPr="00DF7BB4">
        <w:tab/>
        <w:t>if the employer is a partnership—the employee is a relative of a partner in the partnership; or</w:t>
      </w:r>
    </w:p>
    <w:p w14:paraId="5D6DD140" w14:textId="77777777" w:rsidR="00B663CA" w:rsidRPr="00DF7BB4" w:rsidRDefault="00B663CA" w:rsidP="00DF7BB4">
      <w:pPr>
        <w:pStyle w:val="paragraph"/>
        <w:rPr>
          <w:shd w:val="clear" w:color="auto" w:fill="FFFFFF"/>
        </w:rPr>
      </w:pPr>
      <w:r w:rsidRPr="00DF7BB4">
        <w:tab/>
        <w:t>(f)</w:t>
      </w:r>
      <w:r w:rsidRPr="00DF7BB4">
        <w:tab/>
        <w:t xml:space="preserve">if the employer is a company </w:t>
      </w:r>
      <w:r w:rsidRPr="00DF7BB4">
        <w:rPr>
          <w:shd w:val="clear" w:color="auto" w:fill="FFFFFF"/>
        </w:rPr>
        <w:t xml:space="preserve">(other than a widely held company within the meaning of the </w:t>
      </w:r>
      <w:r w:rsidRPr="00DF7BB4">
        <w:rPr>
          <w:i/>
          <w:shd w:val="clear" w:color="auto" w:fill="FFFFFF"/>
        </w:rPr>
        <w:t>Income Tax Assessment Act 1997</w:t>
      </w:r>
      <w:r w:rsidRPr="00DF7BB4">
        <w:rPr>
          <w:shd w:val="clear" w:color="auto" w:fill="FFFFFF"/>
        </w:rPr>
        <w:t>)—the employee is:</w:t>
      </w:r>
    </w:p>
    <w:p w14:paraId="590169C7" w14:textId="77777777" w:rsidR="00B663CA" w:rsidRPr="00DF7BB4" w:rsidRDefault="00B663CA" w:rsidP="00DF7BB4">
      <w:pPr>
        <w:pStyle w:val="paragraphsub"/>
        <w:rPr>
          <w:shd w:val="clear" w:color="auto" w:fill="FFFFFF"/>
        </w:rPr>
      </w:pPr>
      <w:r w:rsidRPr="00DF7BB4">
        <w:rPr>
          <w:shd w:val="clear" w:color="auto" w:fill="FFFFFF"/>
        </w:rPr>
        <w:tab/>
        <w:t>(</w:t>
      </w:r>
      <w:proofErr w:type="spellStart"/>
      <w:r w:rsidRPr="00DF7BB4">
        <w:rPr>
          <w:shd w:val="clear" w:color="auto" w:fill="FFFFFF"/>
        </w:rPr>
        <w:t>i</w:t>
      </w:r>
      <w:proofErr w:type="spellEnd"/>
      <w:r w:rsidRPr="00DF7BB4">
        <w:rPr>
          <w:shd w:val="clear" w:color="auto" w:fill="FFFFFF"/>
        </w:rPr>
        <w:t>)</w:t>
      </w:r>
      <w:r w:rsidRPr="00DF7BB4">
        <w:rPr>
          <w:shd w:val="clear" w:color="auto" w:fill="FFFFFF"/>
        </w:rPr>
        <w:tab/>
        <w:t>a shareholder in, or a relative of a shareholder in, the company; or</w:t>
      </w:r>
    </w:p>
    <w:p w14:paraId="2643D5DB" w14:textId="77777777" w:rsidR="00B663CA" w:rsidRPr="00DF7BB4" w:rsidRDefault="00B663CA" w:rsidP="00DF7BB4">
      <w:pPr>
        <w:pStyle w:val="paragraphsub"/>
      </w:pPr>
      <w:r w:rsidRPr="00DF7BB4">
        <w:rPr>
          <w:shd w:val="clear" w:color="auto" w:fill="FFFFFF"/>
        </w:rPr>
        <w:tab/>
        <w:t>(ii)</w:t>
      </w:r>
      <w:r w:rsidRPr="00DF7BB4">
        <w:rPr>
          <w:shd w:val="clear" w:color="auto" w:fill="FFFFFF"/>
        </w:rPr>
        <w:tab/>
        <w:t>a director of, or a relative of a director of, the company.</w:t>
      </w:r>
    </w:p>
    <w:p w14:paraId="136FEEE1" w14:textId="77777777" w:rsidR="00B663CA" w:rsidRPr="00DF7BB4" w:rsidRDefault="00357828" w:rsidP="00DF7BB4">
      <w:pPr>
        <w:pStyle w:val="Transitional"/>
      </w:pPr>
      <w:r w:rsidRPr="00DF7BB4">
        <w:t>2</w:t>
      </w:r>
      <w:r w:rsidR="00B663CA" w:rsidRPr="00DF7BB4">
        <w:t xml:space="preserve">  Application of amendments</w:t>
      </w:r>
    </w:p>
    <w:p w14:paraId="482BE9AE" w14:textId="77777777" w:rsidR="00B663CA" w:rsidRPr="00DF7BB4" w:rsidRDefault="00B663CA" w:rsidP="00DF7BB4">
      <w:pPr>
        <w:pStyle w:val="Item"/>
      </w:pPr>
      <w:r w:rsidRPr="00DF7BB4">
        <w:t xml:space="preserve">The amendments to the </w:t>
      </w:r>
      <w:r w:rsidRPr="00DF7BB4">
        <w:rPr>
          <w:i/>
        </w:rPr>
        <w:t>Fringe Benefits Tax Assessment Act 1986</w:t>
      </w:r>
      <w:r w:rsidRPr="00DF7BB4">
        <w:t xml:space="preserve"> made by this Schedule apply to benefits provided on or after 2 October 2020.</w:t>
      </w:r>
    </w:p>
    <w:p w14:paraId="57B09E0A" w14:textId="77777777" w:rsidR="00B663CA" w:rsidRPr="00DF7BB4" w:rsidRDefault="00B663CA" w:rsidP="00DF7BB4">
      <w:pPr>
        <w:pStyle w:val="ActHead6"/>
        <w:pageBreakBefore/>
      </w:pPr>
      <w:bookmarkStart w:id="8" w:name="_Toc76040376"/>
      <w:r w:rsidRPr="008D4F4F">
        <w:rPr>
          <w:rStyle w:val="CharAmSchNo"/>
        </w:rPr>
        <w:lastRenderedPageBreak/>
        <w:t>Schedule 2</w:t>
      </w:r>
      <w:r w:rsidRPr="00DF7BB4">
        <w:t>—</w:t>
      </w:r>
      <w:r w:rsidRPr="008D4F4F">
        <w:rPr>
          <w:rStyle w:val="CharAmSchText"/>
        </w:rPr>
        <w:t>Junior minerals exploration incentive extension</w:t>
      </w:r>
      <w:bookmarkEnd w:id="8"/>
    </w:p>
    <w:p w14:paraId="2DABB9B4" w14:textId="77777777" w:rsidR="00B663CA" w:rsidRPr="008D4F4F" w:rsidRDefault="00B663CA" w:rsidP="00DF7BB4">
      <w:pPr>
        <w:pStyle w:val="Header"/>
      </w:pPr>
      <w:r w:rsidRPr="008D4F4F">
        <w:rPr>
          <w:rStyle w:val="CharAmPartNo"/>
        </w:rPr>
        <w:t xml:space="preserve"> </w:t>
      </w:r>
      <w:r w:rsidRPr="008D4F4F">
        <w:rPr>
          <w:rStyle w:val="CharAmPartText"/>
        </w:rPr>
        <w:t xml:space="preserve"> </w:t>
      </w:r>
    </w:p>
    <w:p w14:paraId="30000097" w14:textId="77777777" w:rsidR="00B663CA" w:rsidRPr="00DF7BB4" w:rsidRDefault="00B663CA" w:rsidP="00DF7BB4">
      <w:pPr>
        <w:pStyle w:val="ActHead9"/>
      </w:pPr>
      <w:bookmarkStart w:id="9" w:name="_Toc76040377"/>
      <w:r w:rsidRPr="00DF7BB4">
        <w:t>Income Tax Assessment Act 1997</w:t>
      </w:r>
      <w:bookmarkEnd w:id="9"/>
    </w:p>
    <w:p w14:paraId="0B235E4D" w14:textId="77777777" w:rsidR="00B663CA" w:rsidRPr="00DF7BB4" w:rsidRDefault="00357828" w:rsidP="00DF7BB4">
      <w:pPr>
        <w:pStyle w:val="ItemHead"/>
      </w:pPr>
      <w:r w:rsidRPr="00DF7BB4">
        <w:t>1</w:t>
      </w:r>
      <w:r w:rsidR="00B663CA" w:rsidRPr="00DF7BB4">
        <w:t xml:space="preserve">  Paragraph 130</w:t>
      </w:r>
      <w:r w:rsidR="00DF7BB4">
        <w:noBreakHyphen/>
      </w:r>
      <w:r w:rsidR="00B663CA" w:rsidRPr="00DF7BB4">
        <w:t>110(1)(a)</w:t>
      </w:r>
    </w:p>
    <w:p w14:paraId="66E56159" w14:textId="77777777" w:rsidR="00B663CA" w:rsidRPr="00DF7BB4" w:rsidRDefault="00B663CA" w:rsidP="00DF7BB4">
      <w:pPr>
        <w:pStyle w:val="Item"/>
      </w:pPr>
      <w:r w:rsidRPr="00DF7BB4">
        <w:t>Omit “2019</w:t>
      </w:r>
      <w:r w:rsidR="00DF7BB4">
        <w:noBreakHyphen/>
      </w:r>
      <w:r w:rsidRPr="00DF7BB4">
        <w:t>20 or 2020</w:t>
      </w:r>
      <w:r w:rsidR="00DF7BB4">
        <w:noBreakHyphen/>
      </w:r>
      <w:r w:rsidRPr="00DF7BB4">
        <w:t>21”, substitute “2019</w:t>
      </w:r>
      <w:r w:rsidR="00DF7BB4">
        <w:noBreakHyphen/>
      </w:r>
      <w:r w:rsidRPr="00DF7BB4">
        <w:t>20, 2020</w:t>
      </w:r>
      <w:r w:rsidR="00DF7BB4">
        <w:noBreakHyphen/>
      </w:r>
      <w:r w:rsidRPr="00DF7BB4">
        <w:t>21, 2021</w:t>
      </w:r>
      <w:r w:rsidR="00DF7BB4">
        <w:noBreakHyphen/>
      </w:r>
      <w:r w:rsidRPr="00DF7BB4">
        <w:t>22, 2022</w:t>
      </w:r>
      <w:r w:rsidR="00DF7BB4">
        <w:noBreakHyphen/>
      </w:r>
      <w:r w:rsidRPr="00DF7BB4">
        <w:t>23, 2023</w:t>
      </w:r>
      <w:r w:rsidR="00DF7BB4">
        <w:noBreakHyphen/>
      </w:r>
      <w:r w:rsidRPr="00DF7BB4">
        <w:t>24 or 2024</w:t>
      </w:r>
      <w:r w:rsidR="00DF7BB4">
        <w:noBreakHyphen/>
      </w:r>
      <w:r w:rsidRPr="00DF7BB4">
        <w:t>25”.</w:t>
      </w:r>
    </w:p>
    <w:p w14:paraId="08D48813" w14:textId="77777777" w:rsidR="00B663CA" w:rsidRPr="00DF7BB4" w:rsidRDefault="00357828" w:rsidP="00DF7BB4">
      <w:pPr>
        <w:pStyle w:val="ItemHead"/>
      </w:pPr>
      <w:r w:rsidRPr="00DF7BB4">
        <w:t>2</w:t>
      </w:r>
      <w:r w:rsidR="00B663CA" w:rsidRPr="00DF7BB4">
        <w:t xml:space="preserve">  Section 418</w:t>
      </w:r>
      <w:r w:rsidR="00DF7BB4">
        <w:noBreakHyphen/>
      </w:r>
      <w:r w:rsidR="00B663CA" w:rsidRPr="00DF7BB4">
        <w:t xml:space="preserve">1 (paragraph beginning “A </w:t>
      </w:r>
      <w:proofErr w:type="spellStart"/>
      <w:r w:rsidR="00B663CA" w:rsidRPr="00DF7BB4">
        <w:t>greenfields</w:t>
      </w:r>
      <w:proofErr w:type="spellEnd"/>
      <w:r w:rsidR="00B663CA" w:rsidRPr="00DF7BB4">
        <w:t xml:space="preserve"> minerals explorer”)</w:t>
      </w:r>
    </w:p>
    <w:p w14:paraId="5C74F43A" w14:textId="77777777" w:rsidR="00B663CA" w:rsidRPr="00DF7BB4" w:rsidRDefault="00B663CA" w:rsidP="00DF7BB4">
      <w:pPr>
        <w:pStyle w:val="Item"/>
      </w:pPr>
      <w:r w:rsidRPr="00DF7BB4">
        <w:t>Repeal the paragraph, substitute:</w:t>
      </w:r>
    </w:p>
    <w:p w14:paraId="0DCA3F2C" w14:textId="77777777" w:rsidR="00B663CA" w:rsidRPr="00DF7BB4" w:rsidRDefault="00B663CA" w:rsidP="00DF7BB4">
      <w:pPr>
        <w:pStyle w:val="SOText"/>
      </w:pPr>
      <w:r w:rsidRPr="00DF7BB4">
        <w:t xml:space="preserve">A </w:t>
      </w:r>
      <w:proofErr w:type="spellStart"/>
      <w:r w:rsidRPr="00DF7BB4">
        <w:t>greenfields</w:t>
      </w:r>
      <w:proofErr w:type="spellEnd"/>
      <w:r w:rsidRPr="00DF7BB4">
        <w:t xml:space="preserve"> minerals explorer can create exploration credits for an income year. Before creating exploration credits, the explorer must obtain an allocation of exploration credits from the Commissioner for the year. Exploration credits cannot be created for the 2025</w:t>
      </w:r>
      <w:r w:rsidR="00DF7BB4">
        <w:noBreakHyphen/>
      </w:r>
      <w:r w:rsidRPr="00DF7BB4">
        <w:t>26 income year or later income years.</w:t>
      </w:r>
    </w:p>
    <w:p w14:paraId="22E63641" w14:textId="77777777" w:rsidR="00B663CA" w:rsidRPr="00DF7BB4" w:rsidRDefault="00357828" w:rsidP="00DF7BB4">
      <w:pPr>
        <w:pStyle w:val="ItemHead"/>
      </w:pPr>
      <w:r w:rsidRPr="00DF7BB4">
        <w:t>3</w:t>
      </w:r>
      <w:r w:rsidR="00B663CA" w:rsidRPr="00DF7BB4">
        <w:t xml:space="preserve">  Section 418</w:t>
      </w:r>
      <w:r w:rsidR="00DF7BB4">
        <w:noBreakHyphen/>
      </w:r>
      <w:r w:rsidR="00B663CA" w:rsidRPr="00DF7BB4">
        <w:t>1 (paragraph beginning “The exploration credits created for an income year”)</w:t>
      </w:r>
    </w:p>
    <w:p w14:paraId="74BC2916" w14:textId="77777777" w:rsidR="00B663CA" w:rsidRPr="00DF7BB4" w:rsidRDefault="00B663CA" w:rsidP="00DF7BB4">
      <w:pPr>
        <w:pStyle w:val="Item"/>
      </w:pPr>
      <w:r w:rsidRPr="00DF7BB4">
        <w:t>After “preceding year”, insert “generally”.</w:t>
      </w:r>
    </w:p>
    <w:p w14:paraId="71812A26" w14:textId="77777777" w:rsidR="00B663CA" w:rsidRPr="00DF7BB4" w:rsidRDefault="00357828" w:rsidP="00DF7BB4">
      <w:pPr>
        <w:pStyle w:val="ItemHead"/>
      </w:pPr>
      <w:r w:rsidRPr="00DF7BB4">
        <w:t>4</w:t>
      </w:r>
      <w:r w:rsidR="00B663CA" w:rsidRPr="00DF7BB4">
        <w:t xml:space="preserve">  Section 418</w:t>
      </w:r>
      <w:r w:rsidR="00DF7BB4">
        <w:noBreakHyphen/>
      </w:r>
      <w:r w:rsidR="00B663CA" w:rsidRPr="00DF7BB4">
        <w:t xml:space="preserve">1 (paragraph beginning “An exploration credit created by a </w:t>
      </w:r>
      <w:proofErr w:type="spellStart"/>
      <w:r w:rsidR="00B663CA" w:rsidRPr="00DF7BB4">
        <w:t>greenfields</w:t>
      </w:r>
      <w:proofErr w:type="spellEnd"/>
      <w:r w:rsidR="00B663CA" w:rsidRPr="00DF7BB4">
        <w:t xml:space="preserve"> minerals explorer”)</w:t>
      </w:r>
    </w:p>
    <w:p w14:paraId="033AE912" w14:textId="77777777" w:rsidR="00B663CA" w:rsidRPr="00DF7BB4" w:rsidRDefault="00B663CA" w:rsidP="00DF7BB4">
      <w:pPr>
        <w:pStyle w:val="Item"/>
      </w:pPr>
      <w:r w:rsidRPr="00DF7BB4">
        <w:t>After “that income year,”, insert “generally”.</w:t>
      </w:r>
    </w:p>
    <w:p w14:paraId="060C155C" w14:textId="77777777" w:rsidR="00B663CA" w:rsidRPr="00DF7BB4" w:rsidRDefault="00357828" w:rsidP="00DF7BB4">
      <w:pPr>
        <w:pStyle w:val="ItemHead"/>
      </w:pPr>
      <w:r w:rsidRPr="00DF7BB4">
        <w:t>5</w:t>
      </w:r>
      <w:r w:rsidR="00B663CA" w:rsidRPr="00DF7BB4">
        <w:t xml:space="preserve">  Section 418</w:t>
      </w:r>
      <w:r w:rsidR="00DF7BB4">
        <w:noBreakHyphen/>
      </w:r>
      <w:r w:rsidR="00B663CA" w:rsidRPr="00DF7BB4">
        <w:t>1 (paragraph beginning “There is a cap”)</w:t>
      </w:r>
    </w:p>
    <w:p w14:paraId="189C1848" w14:textId="77777777" w:rsidR="00B663CA" w:rsidRPr="00DF7BB4" w:rsidRDefault="00B663CA" w:rsidP="00DF7BB4">
      <w:pPr>
        <w:pStyle w:val="Item"/>
      </w:pPr>
      <w:r w:rsidRPr="00DF7BB4">
        <w:t>After “unallocated it”, insert “generally”.</w:t>
      </w:r>
    </w:p>
    <w:p w14:paraId="375C52EC" w14:textId="77777777" w:rsidR="00B663CA" w:rsidRPr="00DF7BB4" w:rsidRDefault="00357828" w:rsidP="00DF7BB4">
      <w:pPr>
        <w:pStyle w:val="ItemHead"/>
      </w:pPr>
      <w:r w:rsidRPr="00DF7BB4">
        <w:t>6</w:t>
      </w:r>
      <w:r w:rsidR="00B663CA" w:rsidRPr="00DF7BB4">
        <w:t xml:space="preserve">  At the end of subsection 418</w:t>
      </w:r>
      <w:r w:rsidR="00DF7BB4">
        <w:noBreakHyphen/>
      </w:r>
      <w:r w:rsidR="00B663CA" w:rsidRPr="00DF7BB4">
        <w:t>70(1)</w:t>
      </w:r>
    </w:p>
    <w:p w14:paraId="6BE5EAFB" w14:textId="77777777" w:rsidR="00B663CA" w:rsidRPr="00DF7BB4" w:rsidRDefault="00B663CA" w:rsidP="00DF7BB4">
      <w:pPr>
        <w:pStyle w:val="Item"/>
      </w:pPr>
      <w:r w:rsidRPr="00DF7BB4">
        <w:t>Add:</w:t>
      </w:r>
    </w:p>
    <w:p w14:paraId="6E748D07" w14:textId="77777777" w:rsidR="00B663CA" w:rsidRPr="00DF7BB4" w:rsidRDefault="00B663CA" w:rsidP="00DF7BB4">
      <w:pPr>
        <w:pStyle w:val="notetext"/>
      </w:pPr>
      <w:r w:rsidRPr="00DF7BB4">
        <w:t>Note:</w:t>
      </w:r>
      <w:r w:rsidRPr="00DF7BB4">
        <w:tab/>
        <w:t>The entity cannot have an unused allocation of exploration credits from the 2020</w:t>
      </w:r>
      <w:r w:rsidR="00DF7BB4">
        <w:noBreakHyphen/>
      </w:r>
      <w:r w:rsidRPr="00DF7BB4">
        <w:t>21 income year: see subsection 418</w:t>
      </w:r>
      <w:r w:rsidR="00DF7BB4">
        <w:noBreakHyphen/>
      </w:r>
      <w:r w:rsidRPr="00DF7BB4">
        <w:t>82(3A).</w:t>
      </w:r>
    </w:p>
    <w:p w14:paraId="08532A7A" w14:textId="77777777" w:rsidR="00B663CA" w:rsidRPr="00DF7BB4" w:rsidRDefault="00357828" w:rsidP="00DF7BB4">
      <w:pPr>
        <w:pStyle w:val="ItemHead"/>
      </w:pPr>
      <w:r w:rsidRPr="00DF7BB4">
        <w:lastRenderedPageBreak/>
        <w:t>7</w:t>
      </w:r>
      <w:r w:rsidR="00B663CA" w:rsidRPr="00DF7BB4">
        <w:t xml:space="preserve">  Subsection 418</w:t>
      </w:r>
      <w:r w:rsidR="00DF7BB4">
        <w:noBreakHyphen/>
      </w:r>
      <w:r w:rsidR="00B663CA" w:rsidRPr="00DF7BB4">
        <w:t>70(3)</w:t>
      </w:r>
    </w:p>
    <w:p w14:paraId="79913134" w14:textId="77777777" w:rsidR="00B663CA" w:rsidRPr="00DF7BB4" w:rsidRDefault="00B663CA" w:rsidP="00DF7BB4">
      <w:pPr>
        <w:pStyle w:val="Item"/>
      </w:pPr>
      <w:r w:rsidRPr="00DF7BB4">
        <w:t>Omit “2021</w:t>
      </w:r>
      <w:r w:rsidR="00DF7BB4">
        <w:noBreakHyphen/>
      </w:r>
      <w:r w:rsidRPr="00DF7BB4">
        <w:t>22 income year”, substitute “2025</w:t>
      </w:r>
      <w:r w:rsidR="00DF7BB4">
        <w:noBreakHyphen/>
      </w:r>
      <w:r w:rsidRPr="00DF7BB4">
        <w:t>26 income year”.</w:t>
      </w:r>
    </w:p>
    <w:p w14:paraId="5219A282" w14:textId="77777777" w:rsidR="00B663CA" w:rsidRPr="00DF7BB4" w:rsidRDefault="00357828" w:rsidP="00DF7BB4">
      <w:pPr>
        <w:pStyle w:val="ItemHead"/>
      </w:pPr>
      <w:r w:rsidRPr="00DF7BB4">
        <w:t>8</w:t>
      </w:r>
      <w:r w:rsidR="00B663CA" w:rsidRPr="00DF7BB4">
        <w:t xml:space="preserve">  After subsection 418</w:t>
      </w:r>
      <w:r w:rsidR="00DF7BB4">
        <w:noBreakHyphen/>
      </w:r>
      <w:r w:rsidR="00B663CA" w:rsidRPr="00DF7BB4">
        <w:t>81(2)</w:t>
      </w:r>
    </w:p>
    <w:p w14:paraId="3C7C3091" w14:textId="77777777" w:rsidR="00B663CA" w:rsidRPr="00DF7BB4" w:rsidRDefault="00B663CA" w:rsidP="00DF7BB4">
      <w:pPr>
        <w:pStyle w:val="Item"/>
      </w:pPr>
      <w:r w:rsidRPr="00DF7BB4">
        <w:t>Insert:</w:t>
      </w:r>
    </w:p>
    <w:p w14:paraId="035FEE44" w14:textId="77777777" w:rsidR="00B663CA" w:rsidRPr="00DF7BB4" w:rsidRDefault="00B663CA" w:rsidP="00DF7BB4">
      <w:pPr>
        <w:pStyle w:val="subsection"/>
      </w:pPr>
      <w:r w:rsidRPr="00DF7BB4">
        <w:tab/>
        <w:t>(2A)</w:t>
      </w:r>
      <w:r w:rsidRPr="00DF7BB4">
        <w:tab/>
        <w:t xml:space="preserve">However, if no </w:t>
      </w:r>
      <w:r w:rsidR="00DF7BB4" w:rsidRPr="00DF7BB4">
        <w:rPr>
          <w:position w:val="6"/>
          <w:sz w:val="16"/>
        </w:rPr>
        <w:t>*</w:t>
      </w:r>
      <w:r w:rsidRPr="00DF7BB4">
        <w:t xml:space="preserve">exploration investment is made in the entity in the income year, the amount of the entity’s </w:t>
      </w:r>
      <w:r w:rsidRPr="00DF7BB4">
        <w:rPr>
          <w:b/>
          <w:i/>
        </w:rPr>
        <w:t>exploration credits allocation</w:t>
      </w:r>
      <w:r w:rsidRPr="00DF7BB4">
        <w:t xml:space="preserve"> for the income year is nil.</w:t>
      </w:r>
    </w:p>
    <w:p w14:paraId="1244540A" w14:textId="77777777" w:rsidR="00B663CA" w:rsidRPr="00DF7BB4" w:rsidRDefault="00B663CA" w:rsidP="00DF7BB4">
      <w:pPr>
        <w:pStyle w:val="notetext"/>
      </w:pPr>
      <w:r w:rsidRPr="00DF7BB4">
        <w:t>Note:</w:t>
      </w:r>
      <w:r w:rsidRPr="00DF7BB4">
        <w:tab/>
        <w:t>The entity must notify the Commissioner if no exploration investment is made in the entity in the income year: see section 418</w:t>
      </w:r>
      <w:r w:rsidR="00DF7BB4">
        <w:noBreakHyphen/>
      </w:r>
      <w:r w:rsidRPr="00DF7BB4">
        <w:t>135.</w:t>
      </w:r>
    </w:p>
    <w:p w14:paraId="6258B2FC" w14:textId="77777777" w:rsidR="00B663CA" w:rsidRPr="00DF7BB4" w:rsidRDefault="00357828" w:rsidP="00DF7BB4">
      <w:pPr>
        <w:pStyle w:val="ItemHead"/>
      </w:pPr>
      <w:r w:rsidRPr="00DF7BB4">
        <w:t>9</w:t>
      </w:r>
      <w:r w:rsidR="00B663CA" w:rsidRPr="00DF7BB4">
        <w:t xml:space="preserve">  After subsection 418</w:t>
      </w:r>
      <w:r w:rsidR="00DF7BB4">
        <w:noBreakHyphen/>
      </w:r>
      <w:r w:rsidR="00B663CA" w:rsidRPr="00DF7BB4">
        <w:t>82(3)</w:t>
      </w:r>
    </w:p>
    <w:p w14:paraId="7FD765F4" w14:textId="77777777" w:rsidR="00B663CA" w:rsidRPr="00DF7BB4" w:rsidRDefault="00B663CA" w:rsidP="00DF7BB4">
      <w:pPr>
        <w:pStyle w:val="Item"/>
      </w:pPr>
      <w:r w:rsidRPr="00DF7BB4">
        <w:t>Insert:</w:t>
      </w:r>
    </w:p>
    <w:p w14:paraId="056F3DE0" w14:textId="77777777" w:rsidR="00B663CA" w:rsidRPr="00DF7BB4" w:rsidRDefault="00B663CA" w:rsidP="00DF7BB4">
      <w:pPr>
        <w:pStyle w:val="subsection"/>
      </w:pPr>
      <w:r w:rsidRPr="00DF7BB4">
        <w:tab/>
        <w:t>(3A)</w:t>
      </w:r>
      <w:r w:rsidRPr="00DF7BB4">
        <w:tab/>
        <w:t xml:space="preserve">Despite subsections (1) and (2), the entity cannot have an </w:t>
      </w:r>
      <w:r w:rsidRPr="00DF7BB4">
        <w:rPr>
          <w:b/>
          <w:i/>
        </w:rPr>
        <w:t xml:space="preserve">unused allocation of exploration credits </w:t>
      </w:r>
      <w:r w:rsidRPr="00DF7BB4">
        <w:t>from the 2020</w:t>
      </w:r>
      <w:r w:rsidR="00DF7BB4">
        <w:noBreakHyphen/>
      </w:r>
      <w:r w:rsidRPr="00DF7BB4">
        <w:t>21 income year.</w:t>
      </w:r>
    </w:p>
    <w:p w14:paraId="17A57426" w14:textId="77777777" w:rsidR="00B663CA" w:rsidRPr="00DF7BB4" w:rsidRDefault="00357828" w:rsidP="00DF7BB4">
      <w:pPr>
        <w:pStyle w:val="ItemHead"/>
      </w:pPr>
      <w:r w:rsidRPr="00DF7BB4">
        <w:t>10</w:t>
      </w:r>
      <w:r w:rsidR="00B663CA" w:rsidRPr="00DF7BB4">
        <w:t xml:space="preserve">  At the end of subsection 418</w:t>
      </w:r>
      <w:r w:rsidR="00DF7BB4">
        <w:noBreakHyphen/>
      </w:r>
      <w:r w:rsidR="00B663CA" w:rsidRPr="00DF7BB4">
        <w:t>85(2)</w:t>
      </w:r>
    </w:p>
    <w:p w14:paraId="41658B01" w14:textId="77777777" w:rsidR="00B663CA" w:rsidRPr="00DF7BB4" w:rsidRDefault="00B663CA" w:rsidP="00DF7BB4">
      <w:pPr>
        <w:pStyle w:val="Item"/>
      </w:pPr>
      <w:r w:rsidRPr="00DF7BB4">
        <w:t>Add:</w:t>
      </w:r>
    </w:p>
    <w:p w14:paraId="6F927DDA" w14:textId="77777777" w:rsidR="00B663CA" w:rsidRPr="00DF7BB4" w:rsidRDefault="00B663CA" w:rsidP="00DF7BB4">
      <w:pPr>
        <w:pStyle w:val="notetext"/>
      </w:pPr>
      <w:r w:rsidRPr="00DF7BB4">
        <w:t>Note:</w:t>
      </w:r>
      <w:r w:rsidRPr="00DF7BB4">
        <w:tab/>
        <w:t>The entity cannot have an unused allocation of exploration credits from the 2020</w:t>
      </w:r>
      <w:r w:rsidR="00DF7BB4">
        <w:noBreakHyphen/>
      </w:r>
      <w:r w:rsidRPr="00DF7BB4">
        <w:t>21 income year: see subsection 418</w:t>
      </w:r>
      <w:r w:rsidR="00DF7BB4">
        <w:noBreakHyphen/>
      </w:r>
      <w:r w:rsidRPr="00DF7BB4">
        <w:t>82(3A).</w:t>
      </w:r>
    </w:p>
    <w:p w14:paraId="61F301E3" w14:textId="77777777" w:rsidR="00B663CA" w:rsidRPr="00DF7BB4" w:rsidRDefault="00357828" w:rsidP="00DF7BB4">
      <w:pPr>
        <w:pStyle w:val="ItemHead"/>
      </w:pPr>
      <w:r w:rsidRPr="00DF7BB4">
        <w:t>11</w:t>
      </w:r>
      <w:r w:rsidR="00B663CA" w:rsidRPr="00DF7BB4">
        <w:t xml:space="preserve">  At the end of subsection 418</w:t>
      </w:r>
      <w:r w:rsidR="00DF7BB4">
        <w:noBreakHyphen/>
      </w:r>
      <w:r w:rsidR="00B663CA" w:rsidRPr="00DF7BB4">
        <w:t>103(1)</w:t>
      </w:r>
    </w:p>
    <w:p w14:paraId="429C5EAC" w14:textId="77777777" w:rsidR="00B663CA" w:rsidRPr="00DF7BB4" w:rsidRDefault="00B663CA" w:rsidP="00DF7BB4">
      <w:pPr>
        <w:pStyle w:val="Item"/>
      </w:pPr>
      <w:r w:rsidRPr="00DF7BB4">
        <w:t>Add:</w:t>
      </w:r>
    </w:p>
    <w:p w14:paraId="03E8B3F8" w14:textId="77777777" w:rsidR="00B663CA" w:rsidRPr="00DF7BB4" w:rsidRDefault="00B663CA" w:rsidP="00DF7BB4">
      <w:pPr>
        <w:pStyle w:val="paragraph"/>
      </w:pPr>
      <w:r w:rsidRPr="00DF7BB4">
        <w:tab/>
        <w:t>; (e)</w:t>
      </w:r>
      <w:r w:rsidRPr="00DF7BB4">
        <w:tab/>
        <w:t>for the 2021</w:t>
      </w:r>
      <w:r w:rsidR="00DF7BB4">
        <w:noBreakHyphen/>
      </w:r>
      <w:r w:rsidRPr="00DF7BB4">
        <w:t>22 income year—$25 million;</w:t>
      </w:r>
    </w:p>
    <w:p w14:paraId="114CEF83" w14:textId="77777777" w:rsidR="00B663CA" w:rsidRPr="00DF7BB4" w:rsidRDefault="00B663CA" w:rsidP="00DF7BB4">
      <w:pPr>
        <w:pStyle w:val="paragraph"/>
      </w:pPr>
      <w:r w:rsidRPr="00DF7BB4">
        <w:tab/>
        <w:t>(f)</w:t>
      </w:r>
      <w:r w:rsidRPr="00DF7BB4">
        <w:tab/>
        <w:t>for the 2022</w:t>
      </w:r>
      <w:r w:rsidR="00DF7BB4">
        <w:noBreakHyphen/>
      </w:r>
      <w:r w:rsidRPr="00DF7BB4">
        <w:t>23 income year—$25 million, plus the exploration credits remainder for the immediately preceding income year;</w:t>
      </w:r>
    </w:p>
    <w:p w14:paraId="4F8D33D4" w14:textId="77777777" w:rsidR="00B663CA" w:rsidRPr="00DF7BB4" w:rsidRDefault="00B663CA" w:rsidP="00DF7BB4">
      <w:pPr>
        <w:pStyle w:val="paragraph"/>
      </w:pPr>
      <w:r w:rsidRPr="00DF7BB4">
        <w:tab/>
        <w:t>(g)</w:t>
      </w:r>
      <w:r w:rsidRPr="00DF7BB4">
        <w:tab/>
        <w:t>for the 2023</w:t>
      </w:r>
      <w:r w:rsidR="00DF7BB4">
        <w:noBreakHyphen/>
      </w:r>
      <w:r w:rsidRPr="00DF7BB4">
        <w:t>24 income year—$25 million, plus the exploration credits remainder for the immediately preceding income year and any other amount prescribed for the purposes of this paragraph;</w:t>
      </w:r>
    </w:p>
    <w:p w14:paraId="770A318A" w14:textId="77777777" w:rsidR="00B663CA" w:rsidRPr="00DF7BB4" w:rsidRDefault="00B663CA" w:rsidP="00DF7BB4">
      <w:pPr>
        <w:pStyle w:val="paragraph"/>
      </w:pPr>
      <w:r w:rsidRPr="00DF7BB4">
        <w:tab/>
        <w:t>(h)</w:t>
      </w:r>
      <w:r w:rsidRPr="00DF7BB4">
        <w:tab/>
        <w:t>for the 2024</w:t>
      </w:r>
      <w:r w:rsidR="00DF7BB4">
        <w:noBreakHyphen/>
      </w:r>
      <w:r w:rsidRPr="00DF7BB4">
        <w:t>25 income year—$25 million, plus the exploration credits remainder for the immediately preceding income year and any other amount prescribed for the purposes of this paragraph.</w:t>
      </w:r>
    </w:p>
    <w:p w14:paraId="5D1B800E" w14:textId="77777777" w:rsidR="00B663CA" w:rsidRPr="00DF7BB4" w:rsidRDefault="00357828" w:rsidP="00DF7BB4">
      <w:pPr>
        <w:pStyle w:val="ItemHead"/>
      </w:pPr>
      <w:r w:rsidRPr="00DF7BB4">
        <w:lastRenderedPageBreak/>
        <w:t>12</w:t>
      </w:r>
      <w:r w:rsidR="00B663CA" w:rsidRPr="00DF7BB4">
        <w:t xml:space="preserve">  At the end of Subdivision 418</w:t>
      </w:r>
      <w:r w:rsidR="00DF7BB4">
        <w:noBreakHyphen/>
      </w:r>
      <w:r w:rsidR="00B663CA" w:rsidRPr="00DF7BB4">
        <w:t>E</w:t>
      </w:r>
    </w:p>
    <w:p w14:paraId="030C7BEC" w14:textId="77777777" w:rsidR="00B663CA" w:rsidRPr="00DF7BB4" w:rsidRDefault="00B663CA" w:rsidP="00DF7BB4">
      <w:pPr>
        <w:pStyle w:val="Item"/>
      </w:pPr>
      <w:r w:rsidRPr="00DF7BB4">
        <w:t>Add:</w:t>
      </w:r>
    </w:p>
    <w:p w14:paraId="10FAB041" w14:textId="77777777" w:rsidR="00B663CA" w:rsidRPr="00DF7BB4" w:rsidRDefault="00B663CA" w:rsidP="00DF7BB4">
      <w:pPr>
        <w:pStyle w:val="ActHead5"/>
      </w:pPr>
      <w:bookmarkStart w:id="10" w:name="_Toc76040378"/>
      <w:r w:rsidRPr="008D4F4F">
        <w:rPr>
          <w:rStyle w:val="CharSectno"/>
        </w:rPr>
        <w:t>418</w:t>
      </w:r>
      <w:r w:rsidR="00DF7BB4" w:rsidRPr="008D4F4F">
        <w:rPr>
          <w:rStyle w:val="CharSectno"/>
        </w:rPr>
        <w:noBreakHyphen/>
      </w:r>
      <w:r w:rsidRPr="008D4F4F">
        <w:rPr>
          <w:rStyle w:val="CharSectno"/>
        </w:rPr>
        <w:t>135</w:t>
      </w:r>
      <w:r w:rsidRPr="00DF7BB4">
        <w:t xml:space="preserve">  Notifying the Commissioner if no exploration investment in income year for which credits allocated</w:t>
      </w:r>
      <w:bookmarkEnd w:id="10"/>
    </w:p>
    <w:p w14:paraId="7C4864D6" w14:textId="77777777" w:rsidR="00B663CA" w:rsidRPr="00DF7BB4" w:rsidRDefault="00B663CA" w:rsidP="00DF7BB4">
      <w:pPr>
        <w:pStyle w:val="subsection"/>
      </w:pPr>
      <w:r w:rsidRPr="00DF7BB4">
        <w:tab/>
        <w:t>(1)</w:t>
      </w:r>
      <w:r w:rsidRPr="00DF7BB4">
        <w:tab/>
        <w:t>An entity must notify the Commissioner if:</w:t>
      </w:r>
    </w:p>
    <w:p w14:paraId="00515191" w14:textId="77777777" w:rsidR="00B663CA" w:rsidRPr="00DF7BB4" w:rsidRDefault="00B663CA" w:rsidP="00DF7BB4">
      <w:pPr>
        <w:pStyle w:val="paragraph"/>
      </w:pPr>
      <w:r w:rsidRPr="00DF7BB4">
        <w:tab/>
        <w:t>(a)</w:t>
      </w:r>
      <w:r w:rsidRPr="00DF7BB4">
        <w:tab/>
        <w:t>the Commissioner has made a determination under section 418</w:t>
      </w:r>
      <w:r w:rsidR="00DF7BB4">
        <w:noBreakHyphen/>
      </w:r>
      <w:r w:rsidRPr="00DF7BB4">
        <w:t xml:space="preserve">101 allocating the entity </w:t>
      </w:r>
      <w:r w:rsidR="00DF7BB4" w:rsidRPr="00DF7BB4">
        <w:rPr>
          <w:position w:val="6"/>
          <w:sz w:val="16"/>
        </w:rPr>
        <w:t>*</w:t>
      </w:r>
      <w:r w:rsidRPr="00DF7BB4">
        <w:t>exploration credits for an income year; and</w:t>
      </w:r>
    </w:p>
    <w:p w14:paraId="4AB2E9D6" w14:textId="77777777" w:rsidR="00B663CA" w:rsidRPr="00DF7BB4" w:rsidRDefault="00B663CA" w:rsidP="00DF7BB4">
      <w:pPr>
        <w:pStyle w:val="paragraph"/>
      </w:pPr>
      <w:r w:rsidRPr="00DF7BB4">
        <w:tab/>
        <w:t>(b)</w:t>
      </w:r>
      <w:r w:rsidRPr="00DF7BB4">
        <w:tab/>
        <w:t xml:space="preserve">no </w:t>
      </w:r>
      <w:r w:rsidR="00DF7BB4" w:rsidRPr="00DF7BB4">
        <w:rPr>
          <w:position w:val="6"/>
          <w:sz w:val="16"/>
        </w:rPr>
        <w:t>*</w:t>
      </w:r>
      <w:r w:rsidRPr="00DF7BB4">
        <w:t>exploration investment is made in the entity in the income year.</w:t>
      </w:r>
    </w:p>
    <w:p w14:paraId="4CC19F7E" w14:textId="77777777" w:rsidR="00B663CA" w:rsidRPr="00DF7BB4" w:rsidRDefault="00B663CA" w:rsidP="00DF7BB4">
      <w:pPr>
        <w:pStyle w:val="subsection"/>
      </w:pPr>
      <w:r w:rsidRPr="00DF7BB4">
        <w:tab/>
        <w:t>(2)</w:t>
      </w:r>
      <w:r w:rsidRPr="00DF7BB4">
        <w:tab/>
        <w:t>The notice must:</w:t>
      </w:r>
    </w:p>
    <w:p w14:paraId="3B108A74" w14:textId="77777777" w:rsidR="00B663CA" w:rsidRPr="00DF7BB4" w:rsidRDefault="00B663CA" w:rsidP="00DF7BB4">
      <w:pPr>
        <w:pStyle w:val="paragraph"/>
      </w:pPr>
      <w:r w:rsidRPr="00DF7BB4">
        <w:tab/>
        <w:t>(a)</w:t>
      </w:r>
      <w:r w:rsidRPr="00DF7BB4">
        <w:tab/>
        <w:t xml:space="preserve">be in the </w:t>
      </w:r>
      <w:r w:rsidR="00DF7BB4" w:rsidRPr="00DF7BB4">
        <w:rPr>
          <w:position w:val="6"/>
          <w:sz w:val="16"/>
        </w:rPr>
        <w:t>*</w:t>
      </w:r>
      <w:r w:rsidRPr="00DF7BB4">
        <w:t>approved form; and</w:t>
      </w:r>
    </w:p>
    <w:p w14:paraId="049C4A47" w14:textId="77777777" w:rsidR="00B663CA" w:rsidRPr="00DF7BB4" w:rsidRDefault="00B663CA" w:rsidP="00DF7BB4">
      <w:pPr>
        <w:pStyle w:val="paragraph"/>
      </w:pPr>
      <w:r w:rsidRPr="00DF7BB4">
        <w:tab/>
        <w:t>(b)</w:t>
      </w:r>
      <w:r w:rsidRPr="00DF7BB4">
        <w:tab/>
        <w:t>be given to the Commissioner within 30 days after the end of the income year.</w:t>
      </w:r>
    </w:p>
    <w:p w14:paraId="7ADA39DD" w14:textId="77777777" w:rsidR="00B663CA" w:rsidRPr="00DF7BB4" w:rsidRDefault="00B663CA" w:rsidP="00DF7BB4">
      <w:pPr>
        <w:pStyle w:val="ActHead9"/>
      </w:pPr>
      <w:bookmarkStart w:id="11" w:name="_Toc76040379"/>
      <w:r w:rsidRPr="00DF7BB4">
        <w:t>Treasury Laws Amendment (Junior Minerals Exploration Incentive) Act 2018</w:t>
      </w:r>
      <w:bookmarkEnd w:id="11"/>
    </w:p>
    <w:p w14:paraId="20EADCB5" w14:textId="77777777" w:rsidR="00B663CA" w:rsidRPr="00DF7BB4" w:rsidRDefault="00357828" w:rsidP="00DF7BB4">
      <w:pPr>
        <w:pStyle w:val="ItemHead"/>
      </w:pPr>
      <w:r w:rsidRPr="00DF7BB4">
        <w:t>13</w:t>
      </w:r>
      <w:r w:rsidR="00B663CA" w:rsidRPr="00DF7BB4">
        <w:t xml:space="preserve">  Subsection 2(1) (table items 3 and 5)</w:t>
      </w:r>
    </w:p>
    <w:p w14:paraId="6D21C453" w14:textId="77777777" w:rsidR="00B663CA" w:rsidRPr="00DF7BB4" w:rsidRDefault="00B663CA" w:rsidP="00DF7BB4">
      <w:pPr>
        <w:pStyle w:val="Item"/>
      </w:pPr>
      <w:r w:rsidRPr="00DF7BB4">
        <w:t>Repeal the items.</w:t>
      </w:r>
    </w:p>
    <w:p w14:paraId="43758350" w14:textId="77777777" w:rsidR="00B663CA" w:rsidRPr="00DF7BB4" w:rsidRDefault="00357828" w:rsidP="00DF7BB4">
      <w:pPr>
        <w:pStyle w:val="ItemHead"/>
      </w:pPr>
      <w:r w:rsidRPr="00DF7BB4">
        <w:t>14</w:t>
      </w:r>
      <w:r w:rsidR="00B663CA" w:rsidRPr="00DF7BB4">
        <w:t xml:space="preserve">  Part 3 of </w:t>
      </w:r>
      <w:r w:rsidR="00870BBE" w:rsidRPr="00DF7BB4">
        <w:t>Schedule 1</w:t>
      </w:r>
    </w:p>
    <w:p w14:paraId="0E3B61EB" w14:textId="77777777" w:rsidR="00B663CA" w:rsidRPr="00DF7BB4" w:rsidRDefault="00B663CA" w:rsidP="00DF7BB4">
      <w:pPr>
        <w:pStyle w:val="Item"/>
      </w:pPr>
      <w:r w:rsidRPr="00DF7BB4">
        <w:t>Repeal the Part.</w:t>
      </w:r>
    </w:p>
    <w:p w14:paraId="17281D49" w14:textId="77777777" w:rsidR="00B663CA" w:rsidRPr="00DF7BB4" w:rsidRDefault="00357828" w:rsidP="00DF7BB4">
      <w:pPr>
        <w:pStyle w:val="ItemHead"/>
      </w:pPr>
      <w:r w:rsidRPr="00DF7BB4">
        <w:t>15</w:t>
      </w:r>
      <w:r w:rsidR="00B663CA" w:rsidRPr="00DF7BB4">
        <w:t xml:space="preserve">  </w:t>
      </w:r>
      <w:r w:rsidR="00870BBE" w:rsidRPr="00DF7BB4">
        <w:t>Paragraph 6</w:t>
      </w:r>
      <w:r w:rsidR="00B663CA" w:rsidRPr="00DF7BB4">
        <w:t xml:space="preserve">5(a) of </w:t>
      </w:r>
      <w:r w:rsidR="00870BBE" w:rsidRPr="00DF7BB4">
        <w:t>Schedule 1</w:t>
      </w:r>
    </w:p>
    <w:p w14:paraId="78F833BC" w14:textId="77777777" w:rsidR="00B663CA" w:rsidRPr="00DF7BB4" w:rsidRDefault="00B663CA" w:rsidP="00DF7BB4">
      <w:pPr>
        <w:pStyle w:val="Item"/>
      </w:pPr>
      <w:r w:rsidRPr="00DF7BB4">
        <w:t>Omit “, but not in relation to exploration investment made in the entity in later income years”.</w:t>
      </w:r>
    </w:p>
    <w:p w14:paraId="64E5B8AB" w14:textId="77777777" w:rsidR="00B663CA" w:rsidRPr="00DF7BB4" w:rsidRDefault="00357828" w:rsidP="00DF7BB4">
      <w:pPr>
        <w:pStyle w:val="ItemHead"/>
      </w:pPr>
      <w:r w:rsidRPr="00DF7BB4">
        <w:t>16</w:t>
      </w:r>
      <w:r w:rsidR="00B663CA" w:rsidRPr="00DF7BB4">
        <w:t xml:space="preserve">  Division 2 of Part 4 of </w:t>
      </w:r>
      <w:r w:rsidR="00870BBE" w:rsidRPr="00DF7BB4">
        <w:t>Schedule 1</w:t>
      </w:r>
    </w:p>
    <w:p w14:paraId="5BEA5E3F" w14:textId="77777777" w:rsidR="00B663CA" w:rsidRPr="00DF7BB4" w:rsidRDefault="00B663CA" w:rsidP="00DF7BB4">
      <w:pPr>
        <w:pStyle w:val="Item"/>
      </w:pPr>
      <w:r w:rsidRPr="00DF7BB4">
        <w:t>Repeal the Division.</w:t>
      </w:r>
    </w:p>
    <w:p w14:paraId="492E86D4" w14:textId="77777777" w:rsidR="00B663CA" w:rsidRPr="00DF7BB4" w:rsidRDefault="00357828" w:rsidP="00DF7BB4">
      <w:pPr>
        <w:pStyle w:val="Transitional"/>
      </w:pPr>
      <w:r w:rsidRPr="00DF7BB4">
        <w:lastRenderedPageBreak/>
        <w:t>17</w:t>
      </w:r>
      <w:r w:rsidR="00B663CA" w:rsidRPr="00DF7BB4">
        <w:t xml:space="preserve">  Application of amendments</w:t>
      </w:r>
    </w:p>
    <w:p w14:paraId="18F75B18" w14:textId="77777777" w:rsidR="00B663CA" w:rsidRPr="00DF7BB4" w:rsidRDefault="00B663CA" w:rsidP="00DF7BB4">
      <w:pPr>
        <w:pStyle w:val="Subitem"/>
      </w:pPr>
      <w:r w:rsidRPr="00DF7BB4">
        <w:t>(1)</w:t>
      </w:r>
      <w:r w:rsidRPr="00DF7BB4">
        <w:tab/>
        <w:t xml:space="preserve">The amendments of the </w:t>
      </w:r>
      <w:r w:rsidRPr="00DF7BB4">
        <w:rPr>
          <w:i/>
        </w:rPr>
        <w:t>Income Tax Assessment Act 1997</w:t>
      </w:r>
      <w:r w:rsidRPr="00DF7BB4">
        <w:t xml:space="preserve"> made by this Schedule (other than item 9) apply in relation to exploration credits allocated, or to be allocated, for the 2021</w:t>
      </w:r>
      <w:r w:rsidR="00DF7BB4">
        <w:noBreakHyphen/>
      </w:r>
      <w:r w:rsidRPr="00DF7BB4">
        <w:t>22 income year or a later income year.</w:t>
      </w:r>
    </w:p>
    <w:p w14:paraId="646E66A8" w14:textId="77777777" w:rsidR="00B663CA" w:rsidRPr="00DF7BB4" w:rsidRDefault="00B663CA" w:rsidP="00DF7BB4">
      <w:pPr>
        <w:pStyle w:val="Subitem"/>
      </w:pPr>
      <w:r w:rsidRPr="00DF7BB4">
        <w:t>(2)</w:t>
      </w:r>
      <w:r w:rsidRPr="00DF7BB4">
        <w:tab/>
        <w:t>The amendment made by item 9 applies in relation to exploration credits allocated for the 2020</w:t>
      </w:r>
      <w:r w:rsidR="00DF7BB4">
        <w:noBreakHyphen/>
      </w:r>
      <w:r w:rsidRPr="00DF7BB4">
        <w:t>21 income year.</w:t>
      </w:r>
    </w:p>
    <w:p w14:paraId="7A652B0C" w14:textId="77777777" w:rsidR="00B663CA" w:rsidRPr="00DF7BB4" w:rsidRDefault="00357828" w:rsidP="00DF7BB4">
      <w:pPr>
        <w:pStyle w:val="Transitional"/>
      </w:pPr>
      <w:r w:rsidRPr="00DF7BB4">
        <w:t>18</w:t>
      </w:r>
      <w:r w:rsidR="00B663CA" w:rsidRPr="00DF7BB4">
        <w:t xml:space="preserve">  Transitional provision relating to the 2021</w:t>
      </w:r>
      <w:r w:rsidR="00DF7BB4">
        <w:noBreakHyphen/>
      </w:r>
      <w:r w:rsidR="00B663CA" w:rsidRPr="00DF7BB4">
        <w:t>22 income year</w:t>
      </w:r>
    </w:p>
    <w:p w14:paraId="16315A68" w14:textId="77777777" w:rsidR="00B663CA" w:rsidRPr="00DF7BB4" w:rsidRDefault="00B663CA" w:rsidP="00DF7BB4">
      <w:pPr>
        <w:pStyle w:val="Item"/>
      </w:pPr>
      <w:r w:rsidRPr="00DF7BB4">
        <w:t>Subsection 418</w:t>
      </w:r>
      <w:r w:rsidR="00DF7BB4">
        <w:noBreakHyphen/>
      </w:r>
      <w:r w:rsidRPr="00DF7BB4">
        <w:t xml:space="preserve">100(2) of the </w:t>
      </w:r>
      <w:r w:rsidRPr="00DF7BB4">
        <w:rPr>
          <w:i/>
        </w:rPr>
        <w:t>Income Tax Assessment Act 1997</w:t>
      </w:r>
      <w:r w:rsidRPr="00DF7BB4">
        <w:t xml:space="preserve"> applies to an application for a determination allocating exploration credits for the 2021</w:t>
      </w:r>
      <w:r w:rsidR="00DF7BB4">
        <w:noBreakHyphen/>
      </w:r>
      <w:r w:rsidRPr="00DF7BB4">
        <w:t>22 income year as if the reference in that subsection to 1 month before the start of the financial year corresponding to the income year for which the allocation is sought were a reference to 1 month starting on the 11th business day after the commencement of this item.</w:t>
      </w:r>
    </w:p>
    <w:p w14:paraId="7E6602BF" w14:textId="77777777" w:rsidR="00870BBE" w:rsidRPr="00DF7BB4" w:rsidRDefault="00870BBE" w:rsidP="00DF7BB4">
      <w:pPr>
        <w:pStyle w:val="ActHead6"/>
        <w:pageBreakBefore/>
      </w:pPr>
      <w:bookmarkStart w:id="12" w:name="opcAmSched"/>
      <w:bookmarkStart w:id="13" w:name="opcCurrentFind"/>
      <w:bookmarkStart w:id="14" w:name="_Toc76040380"/>
      <w:r w:rsidRPr="008D4F4F">
        <w:rPr>
          <w:rStyle w:val="CharAmSchNo"/>
        </w:rPr>
        <w:lastRenderedPageBreak/>
        <w:t>Schedule 3</w:t>
      </w:r>
      <w:r w:rsidRPr="00DF7BB4">
        <w:t>—</w:t>
      </w:r>
      <w:r w:rsidRPr="008D4F4F">
        <w:rPr>
          <w:rStyle w:val="CharAmSchText"/>
        </w:rPr>
        <w:t>Exempting granny flat arrangements from CGT</w:t>
      </w:r>
      <w:bookmarkEnd w:id="14"/>
    </w:p>
    <w:bookmarkEnd w:id="12"/>
    <w:bookmarkEnd w:id="13"/>
    <w:p w14:paraId="2A8457B8" w14:textId="77777777" w:rsidR="00870BBE" w:rsidRPr="008D4F4F" w:rsidRDefault="00870BBE" w:rsidP="00DF7BB4">
      <w:pPr>
        <w:pStyle w:val="Header"/>
      </w:pPr>
      <w:r w:rsidRPr="008D4F4F">
        <w:rPr>
          <w:rStyle w:val="CharAmPartNo"/>
        </w:rPr>
        <w:t xml:space="preserve"> </w:t>
      </w:r>
      <w:r w:rsidRPr="008D4F4F">
        <w:rPr>
          <w:rStyle w:val="CharAmPartText"/>
        </w:rPr>
        <w:t xml:space="preserve"> </w:t>
      </w:r>
    </w:p>
    <w:p w14:paraId="3225EAE9" w14:textId="77777777" w:rsidR="00870BBE" w:rsidRPr="00DF7BB4" w:rsidRDefault="00870BBE" w:rsidP="00DF7BB4">
      <w:pPr>
        <w:pStyle w:val="ActHead9"/>
        <w:rPr>
          <w:i w:val="0"/>
        </w:rPr>
      </w:pPr>
      <w:bookmarkStart w:id="15" w:name="_Toc76040381"/>
      <w:r w:rsidRPr="00DF7BB4">
        <w:t>Income Tax Assessment Act 1997</w:t>
      </w:r>
      <w:bookmarkEnd w:id="15"/>
    </w:p>
    <w:p w14:paraId="73B1C7E8" w14:textId="77777777" w:rsidR="00870BBE" w:rsidRPr="00DF7BB4" w:rsidRDefault="00357828" w:rsidP="00DF7BB4">
      <w:pPr>
        <w:pStyle w:val="ItemHead"/>
      </w:pPr>
      <w:r w:rsidRPr="00DF7BB4">
        <w:t>1</w:t>
      </w:r>
      <w:r w:rsidR="00870BBE" w:rsidRPr="00DF7BB4">
        <w:t xml:space="preserve">  After Division 134</w:t>
      </w:r>
    </w:p>
    <w:p w14:paraId="064EF244" w14:textId="77777777" w:rsidR="00870BBE" w:rsidRPr="00DF7BB4" w:rsidRDefault="00870BBE" w:rsidP="00DF7BB4">
      <w:pPr>
        <w:pStyle w:val="Item"/>
      </w:pPr>
      <w:r w:rsidRPr="00DF7BB4">
        <w:t>Insert:</w:t>
      </w:r>
    </w:p>
    <w:p w14:paraId="1DB0CC3C" w14:textId="77777777" w:rsidR="00870BBE" w:rsidRPr="00DF7BB4" w:rsidRDefault="00870BBE" w:rsidP="00DF7BB4">
      <w:pPr>
        <w:pStyle w:val="ActHead3"/>
      </w:pPr>
      <w:bookmarkStart w:id="16" w:name="_Toc76040382"/>
      <w:r w:rsidRPr="008D4F4F">
        <w:rPr>
          <w:rStyle w:val="CharDivNo"/>
        </w:rPr>
        <w:t>Division 137</w:t>
      </w:r>
      <w:r w:rsidRPr="00DF7BB4">
        <w:t>—</w:t>
      </w:r>
      <w:r w:rsidRPr="008D4F4F">
        <w:rPr>
          <w:rStyle w:val="CharDivText"/>
        </w:rPr>
        <w:t>Granny flat arrangements</w:t>
      </w:r>
      <w:bookmarkEnd w:id="16"/>
    </w:p>
    <w:p w14:paraId="2297CFBF" w14:textId="77777777" w:rsidR="00870BBE" w:rsidRPr="00DF7BB4" w:rsidRDefault="00870BBE" w:rsidP="00DF7BB4">
      <w:pPr>
        <w:pStyle w:val="TofSectsHeading"/>
      </w:pPr>
      <w:r w:rsidRPr="00DF7BB4">
        <w:t>Table of Subdivisions</w:t>
      </w:r>
    </w:p>
    <w:p w14:paraId="3509A3D6" w14:textId="77777777" w:rsidR="00870BBE" w:rsidRPr="00DF7BB4" w:rsidRDefault="00870BBE" w:rsidP="00DF7BB4">
      <w:pPr>
        <w:pStyle w:val="TofSectsSubdiv"/>
      </w:pPr>
      <w:r w:rsidRPr="00DF7BB4">
        <w:t>137</w:t>
      </w:r>
      <w:r w:rsidR="00DF7BB4">
        <w:noBreakHyphen/>
      </w:r>
      <w:r w:rsidRPr="00DF7BB4">
        <w:t>A—When CGT events do not happen</w:t>
      </w:r>
    </w:p>
    <w:p w14:paraId="4DDF0D3A" w14:textId="77777777" w:rsidR="00870BBE" w:rsidRPr="00DF7BB4" w:rsidRDefault="00870BBE" w:rsidP="00DF7BB4">
      <w:pPr>
        <w:pStyle w:val="ActHead4"/>
      </w:pPr>
      <w:bookmarkStart w:id="17" w:name="_Toc76040383"/>
      <w:r w:rsidRPr="008D4F4F">
        <w:rPr>
          <w:rStyle w:val="CharSubdNo"/>
        </w:rPr>
        <w:t>Subdivision 137</w:t>
      </w:r>
      <w:r w:rsidR="00DF7BB4" w:rsidRPr="008D4F4F">
        <w:rPr>
          <w:rStyle w:val="CharSubdNo"/>
        </w:rPr>
        <w:noBreakHyphen/>
      </w:r>
      <w:r w:rsidRPr="008D4F4F">
        <w:rPr>
          <w:rStyle w:val="CharSubdNo"/>
        </w:rPr>
        <w:t>A</w:t>
      </w:r>
      <w:r w:rsidRPr="00DF7BB4">
        <w:t>—</w:t>
      </w:r>
      <w:r w:rsidRPr="008D4F4F">
        <w:rPr>
          <w:rStyle w:val="CharSubdText"/>
        </w:rPr>
        <w:t>When CGT events do not happen</w:t>
      </w:r>
      <w:bookmarkEnd w:id="17"/>
    </w:p>
    <w:p w14:paraId="010B44AA" w14:textId="77777777" w:rsidR="00870BBE" w:rsidRPr="00DF7BB4" w:rsidRDefault="00870BBE" w:rsidP="00DF7BB4">
      <w:pPr>
        <w:pStyle w:val="ActHead4"/>
      </w:pPr>
      <w:bookmarkStart w:id="18" w:name="_Toc76040384"/>
      <w:r w:rsidRPr="00DF7BB4">
        <w:t>Guide to Subdivision 137</w:t>
      </w:r>
      <w:r w:rsidR="00DF7BB4">
        <w:noBreakHyphen/>
      </w:r>
      <w:r w:rsidRPr="00DF7BB4">
        <w:t>A</w:t>
      </w:r>
      <w:bookmarkEnd w:id="18"/>
    </w:p>
    <w:p w14:paraId="2855D206" w14:textId="77777777" w:rsidR="00870BBE" w:rsidRPr="00DF7BB4" w:rsidRDefault="00870BBE" w:rsidP="00DF7BB4">
      <w:pPr>
        <w:pStyle w:val="ActHead5"/>
      </w:pPr>
      <w:bookmarkStart w:id="19" w:name="_Toc76040385"/>
      <w:r w:rsidRPr="008D4F4F">
        <w:rPr>
          <w:rStyle w:val="CharSectno"/>
        </w:rPr>
        <w:t>137</w:t>
      </w:r>
      <w:r w:rsidR="00DF7BB4" w:rsidRPr="008D4F4F">
        <w:rPr>
          <w:rStyle w:val="CharSectno"/>
        </w:rPr>
        <w:noBreakHyphen/>
      </w:r>
      <w:r w:rsidRPr="008D4F4F">
        <w:rPr>
          <w:rStyle w:val="CharSectno"/>
        </w:rPr>
        <w:t>1</w:t>
      </w:r>
      <w:r w:rsidRPr="00DF7BB4">
        <w:t xml:space="preserve">  What this Subdivision is about</w:t>
      </w:r>
      <w:bookmarkEnd w:id="19"/>
    </w:p>
    <w:p w14:paraId="7F6706B8" w14:textId="77777777" w:rsidR="00870BBE" w:rsidRPr="00DF7BB4" w:rsidRDefault="00870BBE" w:rsidP="00DF7BB4">
      <w:pPr>
        <w:pStyle w:val="SOText"/>
      </w:pPr>
      <w:r w:rsidRPr="00DF7BB4">
        <w:t>A CGT event does not happen when certain granny flat arrangements are entered into, varied or terminated.</w:t>
      </w:r>
    </w:p>
    <w:p w14:paraId="2E79C4AE" w14:textId="77777777" w:rsidR="00870BBE" w:rsidRPr="00DF7BB4" w:rsidRDefault="00870BBE" w:rsidP="00DF7BB4">
      <w:pPr>
        <w:pStyle w:val="TofSectsHeading"/>
      </w:pPr>
      <w:r w:rsidRPr="00DF7BB4">
        <w:t>Table of sections</w:t>
      </w:r>
    </w:p>
    <w:p w14:paraId="107B24CD" w14:textId="77777777" w:rsidR="00870BBE" w:rsidRPr="00DF7BB4" w:rsidRDefault="00870BBE" w:rsidP="00DF7BB4">
      <w:pPr>
        <w:pStyle w:val="TofSectsGroupHeading"/>
      </w:pPr>
      <w:r w:rsidRPr="00DF7BB4">
        <w:t>Operative provisions</w:t>
      </w:r>
    </w:p>
    <w:p w14:paraId="5F3F7AED" w14:textId="77777777" w:rsidR="00870BBE" w:rsidRPr="00DF7BB4" w:rsidRDefault="00870BBE" w:rsidP="00DF7BB4">
      <w:pPr>
        <w:pStyle w:val="TofSectsSection"/>
      </w:pPr>
      <w:r w:rsidRPr="00DF7BB4">
        <w:t>137</w:t>
      </w:r>
      <w:r w:rsidR="00DF7BB4">
        <w:noBreakHyphen/>
      </w:r>
      <w:r w:rsidRPr="00DF7BB4">
        <w:t>10</w:t>
      </w:r>
      <w:r w:rsidRPr="00DF7BB4">
        <w:tab/>
        <w:t>Meaning of key terms</w:t>
      </w:r>
    </w:p>
    <w:p w14:paraId="215BC79E" w14:textId="77777777" w:rsidR="00870BBE" w:rsidRPr="00DF7BB4" w:rsidRDefault="00870BBE" w:rsidP="00DF7BB4">
      <w:pPr>
        <w:pStyle w:val="TofSectsSection"/>
      </w:pPr>
      <w:r w:rsidRPr="00DF7BB4">
        <w:t>137</w:t>
      </w:r>
      <w:r w:rsidR="00DF7BB4">
        <w:noBreakHyphen/>
      </w:r>
      <w:r w:rsidRPr="00DF7BB4">
        <w:t>15</w:t>
      </w:r>
      <w:r w:rsidRPr="00DF7BB4">
        <w:tab/>
        <w:t>CGT event does not happen when a certain kind of granny flat arrangement is entered into</w:t>
      </w:r>
    </w:p>
    <w:p w14:paraId="5905B2FE" w14:textId="77777777" w:rsidR="00870BBE" w:rsidRPr="00DF7BB4" w:rsidRDefault="00870BBE" w:rsidP="00DF7BB4">
      <w:pPr>
        <w:pStyle w:val="TofSectsSection"/>
      </w:pPr>
      <w:r w:rsidRPr="00DF7BB4">
        <w:t>137</w:t>
      </w:r>
      <w:r w:rsidR="00DF7BB4">
        <w:noBreakHyphen/>
      </w:r>
      <w:r w:rsidRPr="00DF7BB4">
        <w:t>20</w:t>
      </w:r>
      <w:r w:rsidRPr="00DF7BB4">
        <w:tab/>
        <w:t>CGT event does not happen when a certain kind of granny flat arrangement is varied</w:t>
      </w:r>
    </w:p>
    <w:p w14:paraId="4AB095C3" w14:textId="77777777" w:rsidR="00870BBE" w:rsidRPr="00DF7BB4" w:rsidRDefault="00870BBE" w:rsidP="00DF7BB4">
      <w:pPr>
        <w:pStyle w:val="TofSectsSection"/>
      </w:pPr>
      <w:r w:rsidRPr="00DF7BB4">
        <w:t>137</w:t>
      </w:r>
      <w:r w:rsidR="00DF7BB4">
        <w:noBreakHyphen/>
      </w:r>
      <w:r w:rsidRPr="00DF7BB4">
        <w:t>25</w:t>
      </w:r>
      <w:r w:rsidRPr="00DF7BB4">
        <w:tab/>
        <w:t>CGT event does not happen when a certain kind of granny flat arrangement is terminated</w:t>
      </w:r>
    </w:p>
    <w:p w14:paraId="736E2B5C" w14:textId="77777777" w:rsidR="00870BBE" w:rsidRPr="00DF7BB4" w:rsidRDefault="00870BBE" w:rsidP="00DF7BB4">
      <w:pPr>
        <w:pStyle w:val="ActHead4"/>
      </w:pPr>
      <w:bookmarkStart w:id="20" w:name="_Toc76040386"/>
      <w:r w:rsidRPr="00DF7BB4">
        <w:lastRenderedPageBreak/>
        <w:t>Operative provisions</w:t>
      </w:r>
      <w:bookmarkEnd w:id="20"/>
    </w:p>
    <w:p w14:paraId="64825A3C" w14:textId="77777777" w:rsidR="00870BBE" w:rsidRPr="00DF7BB4" w:rsidRDefault="00870BBE" w:rsidP="00DF7BB4">
      <w:pPr>
        <w:pStyle w:val="ActHead5"/>
      </w:pPr>
      <w:bookmarkStart w:id="21" w:name="_Toc76040387"/>
      <w:r w:rsidRPr="008D4F4F">
        <w:rPr>
          <w:rStyle w:val="CharSectno"/>
        </w:rPr>
        <w:t>137</w:t>
      </w:r>
      <w:r w:rsidR="00DF7BB4" w:rsidRPr="008D4F4F">
        <w:rPr>
          <w:rStyle w:val="CharSectno"/>
        </w:rPr>
        <w:noBreakHyphen/>
      </w:r>
      <w:r w:rsidRPr="008D4F4F">
        <w:rPr>
          <w:rStyle w:val="CharSectno"/>
        </w:rPr>
        <w:t>10</w:t>
      </w:r>
      <w:r w:rsidRPr="00DF7BB4">
        <w:t xml:space="preserve">  Meaning of key terms</w:t>
      </w:r>
      <w:bookmarkEnd w:id="21"/>
    </w:p>
    <w:p w14:paraId="77CCACB3" w14:textId="77777777" w:rsidR="00870BBE" w:rsidRPr="00DF7BB4" w:rsidRDefault="00870BBE" w:rsidP="00DF7BB4">
      <w:pPr>
        <w:pStyle w:val="subsection"/>
      </w:pPr>
      <w:r w:rsidRPr="00DF7BB4">
        <w:tab/>
        <w:t>(1)</w:t>
      </w:r>
      <w:r w:rsidRPr="00DF7BB4">
        <w:tab/>
        <w:t xml:space="preserve">An individual holds a </w:t>
      </w:r>
      <w:r w:rsidRPr="00DF7BB4">
        <w:rPr>
          <w:b/>
          <w:i/>
        </w:rPr>
        <w:t>granny flat interest</w:t>
      </w:r>
      <w:r w:rsidRPr="00DF7BB4">
        <w:t xml:space="preserve"> in a </w:t>
      </w:r>
      <w:r w:rsidR="00DF7BB4" w:rsidRPr="00DF7BB4">
        <w:rPr>
          <w:position w:val="6"/>
          <w:sz w:val="16"/>
        </w:rPr>
        <w:t>*</w:t>
      </w:r>
      <w:r w:rsidRPr="00DF7BB4">
        <w:t xml:space="preserve">dwelling under an </w:t>
      </w:r>
      <w:r w:rsidR="00DF7BB4" w:rsidRPr="00DF7BB4">
        <w:rPr>
          <w:position w:val="6"/>
          <w:sz w:val="16"/>
        </w:rPr>
        <w:t>*</w:t>
      </w:r>
      <w:r w:rsidRPr="00DF7BB4">
        <w:t>arrangement if the individual has a right to occupy the dwelling for life that has been conferred by the arrangement.</w:t>
      </w:r>
    </w:p>
    <w:p w14:paraId="020A475E" w14:textId="77777777" w:rsidR="00870BBE" w:rsidRPr="00DF7BB4" w:rsidRDefault="00870BBE" w:rsidP="00DF7BB4">
      <w:pPr>
        <w:pStyle w:val="subsection"/>
      </w:pPr>
      <w:r w:rsidRPr="00DF7BB4">
        <w:tab/>
        <w:t>(2)</w:t>
      </w:r>
      <w:r w:rsidRPr="00DF7BB4">
        <w:tab/>
        <w:t xml:space="preserve">An individual is </w:t>
      </w:r>
      <w:r w:rsidRPr="00DF7BB4">
        <w:rPr>
          <w:b/>
          <w:i/>
        </w:rPr>
        <w:t>eligible for a granny flat interest</w:t>
      </w:r>
      <w:r w:rsidRPr="00DF7BB4">
        <w:t xml:space="preserve"> at a particular time if:</w:t>
      </w:r>
    </w:p>
    <w:p w14:paraId="5F6089D5" w14:textId="77777777" w:rsidR="00870BBE" w:rsidRPr="00DF7BB4" w:rsidRDefault="00870BBE" w:rsidP="00DF7BB4">
      <w:pPr>
        <w:pStyle w:val="paragraph"/>
      </w:pPr>
      <w:r w:rsidRPr="00DF7BB4">
        <w:tab/>
        <w:t>(a)</w:t>
      </w:r>
      <w:r w:rsidRPr="00DF7BB4">
        <w:tab/>
        <w:t xml:space="preserve">the individual reached </w:t>
      </w:r>
      <w:r w:rsidR="00DF7BB4" w:rsidRPr="00DF7BB4">
        <w:rPr>
          <w:position w:val="6"/>
          <w:sz w:val="16"/>
        </w:rPr>
        <w:t>*</w:t>
      </w:r>
      <w:r w:rsidRPr="00DF7BB4">
        <w:t>pension age at or before that time; or</w:t>
      </w:r>
    </w:p>
    <w:p w14:paraId="1594A26D" w14:textId="77777777" w:rsidR="00870BBE" w:rsidRPr="00DF7BB4" w:rsidRDefault="00870BBE" w:rsidP="00DF7BB4">
      <w:pPr>
        <w:pStyle w:val="paragraph"/>
      </w:pPr>
      <w:r w:rsidRPr="00DF7BB4">
        <w:tab/>
        <w:t>(b)</w:t>
      </w:r>
      <w:r w:rsidRPr="00DF7BB4">
        <w:tab/>
        <w:t>the individual:</w:t>
      </w:r>
    </w:p>
    <w:p w14:paraId="0227E540" w14:textId="77777777" w:rsidR="00870BBE" w:rsidRPr="00DF7BB4" w:rsidRDefault="00870BBE" w:rsidP="00DF7BB4">
      <w:pPr>
        <w:pStyle w:val="paragraphsub"/>
      </w:pPr>
      <w:r w:rsidRPr="00DF7BB4">
        <w:tab/>
        <w:t>(</w:t>
      </w:r>
      <w:proofErr w:type="spellStart"/>
      <w:r w:rsidRPr="00DF7BB4">
        <w:t>i</w:t>
      </w:r>
      <w:proofErr w:type="spellEnd"/>
      <w:r w:rsidRPr="00DF7BB4">
        <w:t>)</w:t>
      </w:r>
      <w:r w:rsidRPr="00DF7BB4">
        <w:tab/>
        <w:t>needs, because of a disability, assistance to carry out most day</w:t>
      </w:r>
      <w:r w:rsidR="00DF7BB4">
        <w:noBreakHyphen/>
      </w:r>
      <w:r w:rsidRPr="00DF7BB4">
        <w:t>to</w:t>
      </w:r>
      <w:r w:rsidR="00DF7BB4">
        <w:noBreakHyphen/>
      </w:r>
      <w:r w:rsidRPr="00DF7BB4">
        <w:t>day activities; and</w:t>
      </w:r>
    </w:p>
    <w:p w14:paraId="4F927DD3" w14:textId="77777777" w:rsidR="00870BBE" w:rsidRPr="00DF7BB4" w:rsidRDefault="00870BBE" w:rsidP="00DF7BB4">
      <w:pPr>
        <w:pStyle w:val="paragraphsub"/>
      </w:pPr>
      <w:r w:rsidRPr="00DF7BB4">
        <w:tab/>
        <w:t>(ii)</w:t>
      </w:r>
      <w:r w:rsidRPr="00DF7BB4">
        <w:tab/>
        <w:t>is likely to continue to need that assistance, because of that disability, for at least 12 months after that time.</w:t>
      </w:r>
    </w:p>
    <w:p w14:paraId="41F1DCA0" w14:textId="77777777" w:rsidR="00870BBE" w:rsidRPr="00DF7BB4" w:rsidRDefault="00870BBE" w:rsidP="00DF7BB4">
      <w:pPr>
        <w:pStyle w:val="subsection"/>
      </w:pPr>
      <w:r w:rsidRPr="00DF7BB4">
        <w:tab/>
        <w:t>(3)</w:t>
      </w:r>
      <w:r w:rsidRPr="00DF7BB4">
        <w:tab/>
        <w:t>This Subdivision applies:</w:t>
      </w:r>
    </w:p>
    <w:p w14:paraId="76A9AFDA" w14:textId="77777777" w:rsidR="00870BBE" w:rsidRPr="00DF7BB4" w:rsidRDefault="00870BBE" w:rsidP="00DF7BB4">
      <w:pPr>
        <w:pStyle w:val="paragraph"/>
      </w:pPr>
      <w:r w:rsidRPr="00DF7BB4">
        <w:tab/>
        <w:t>(a)</w:t>
      </w:r>
      <w:r w:rsidRPr="00DF7BB4">
        <w:tab/>
        <w:t xml:space="preserve">to a </w:t>
      </w:r>
      <w:r w:rsidR="00DF7BB4" w:rsidRPr="00DF7BB4">
        <w:rPr>
          <w:position w:val="6"/>
          <w:sz w:val="16"/>
        </w:rPr>
        <w:t>*</w:t>
      </w:r>
      <w:r w:rsidRPr="00DF7BB4">
        <w:t xml:space="preserve">dwelling’s </w:t>
      </w:r>
      <w:r w:rsidR="00DF7BB4" w:rsidRPr="00DF7BB4">
        <w:rPr>
          <w:position w:val="6"/>
          <w:sz w:val="16"/>
        </w:rPr>
        <w:t>*</w:t>
      </w:r>
      <w:r w:rsidRPr="00DF7BB4">
        <w:t>adjacent land in a corresponding way to the way Subdivision 118</w:t>
      </w:r>
      <w:r w:rsidR="00DF7BB4">
        <w:noBreakHyphen/>
      </w:r>
      <w:r w:rsidRPr="00DF7BB4">
        <w:t>B applies to the adjacent land; or</w:t>
      </w:r>
    </w:p>
    <w:p w14:paraId="66CC3435" w14:textId="77777777" w:rsidR="00870BBE" w:rsidRPr="00DF7BB4" w:rsidRDefault="00870BBE" w:rsidP="00DF7BB4">
      <w:pPr>
        <w:pStyle w:val="paragraph"/>
      </w:pPr>
      <w:r w:rsidRPr="00DF7BB4">
        <w:tab/>
        <w:t>(b)</w:t>
      </w:r>
      <w:r w:rsidRPr="00DF7BB4">
        <w:tab/>
        <w:t xml:space="preserve">to an </w:t>
      </w:r>
      <w:r w:rsidR="00DF7BB4" w:rsidRPr="00DF7BB4">
        <w:rPr>
          <w:position w:val="6"/>
          <w:sz w:val="16"/>
        </w:rPr>
        <w:t>*</w:t>
      </w:r>
      <w:r w:rsidRPr="00DF7BB4">
        <w:t>adjacent structure of a flat or home unit in a corresponding way to the way Subdivision 118</w:t>
      </w:r>
      <w:r w:rsidR="00DF7BB4">
        <w:noBreakHyphen/>
      </w:r>
      <w:r w:rsidRPr="00DF7BB4">
        <w:t>B applies to the adjacent structure.</w:t>
      </w:r>
    </w:p>
    <w:p w14:paraId="42FBB264" w14:textId="77777777" w:rsidR="00870BBE" w:rsidRPr="00DF7BB4" w:rsidRDefault="00870BBE" w:rsidP="00DF7BB4">
      <w:pPr>
        <w:pStyle w:val="notetext"/>
      </w:pPr>
      <w:r w:rsidRPr="00DF7BB4">
        <w:t>Note:</w:t>
      </w:r>
      <w:r w:rsidRPr="00DF7BB4">
        <w:tab/>
        <w:t>Subsections 118</w:t>
      </w:r>
      <w:r w:rsidR="00DF7BB4">
        <w:noBreakHyphen/>
      </w:r>
      <w:r w:rsidRPr="00DF7BB4">
        <w:t>120(1) and (5) provide that Subdivision 118</w:t>
      </w:r>
      <w:r w:rsidR="00DF7BB4">
        <w:noBreakHyphen/>
      </w:r>
      <w:r w:rsidRPr="00DF7BB4">
        <w:t>B (about main residences) applies to adjacent land and adjacent structures as if they were a dwelling.</w:t>
      </w:r>
    </w:p>
    <w:p w14:paraId="4CF777B3" w14:textId="77777777" w:rsidR="00870BBE" w:rsidRPr="00DF7BB4" w:rsidRDefault="00870BBE" w:rsidP="00DF7BB4">
      <w:pPr>
        <w:pStyle w:val="ActHead5"/>
      </w:pPr>
      <w:bookmarkStart w:id="22" w:name="_Toc76040388"/>
      <w:r w:rsidRPr="008D4F4F">
        <w:rPr>
          <w:rStyle w:val="CharSectno"/>
        </w:rPr>
        <w:t>137</w:t>
      </w:r>
      <w:r w:rsidR="00DF7BB4" w:rsidRPr="008D4F4F">
        <w:rPr>
          <w:rStyle w:val="CharSectno"/>
        </w:rPr>
        <w:noBreakHyphen/>
      </w:r>
      <w:r w:rsidRPr="008D4F4F">
        <w:rPr>
          <w:rStyle w:val="CharSectno"/>
        </w:rPr>
        <w:t>15</w:t>
      </w:r>
      <w:r w:rsidRPr="00DF7BB4">
        <w:t xml:space="preserve">  CGT event does not happen when a certain kind of granny flat arrangement is entered into</w:t>
      </w:r>
      <w:bookmarkEnd w:id="22"/>
    </w:p>
    <w:p w14:paraId="4CB7F1E8" w14:textId="77777777" w:rsidR="00870BBE" w:rsidRPr="00DF7BB4" w:rsidRDefault="00870BBE" w:rsidP="00DF7BB4">
      <w:pPr>
        <w:pStyle w:val="subsection"/>
      </w:pPr>
      <w:r w:rsidRPr="00DF7BB4">
        <w:tab/>
      </w:r>
      <w:r w:rsidRPr="00DF7BB4">
        <w:tab/>
        <w:t xml:space="preserve">A </w:t>
      </w:r>
      <w:r w:rsidR="00DF7BB4" w:rsidRPr="00DF7BB4">
        <w:rPr>
          <w:position w:val="6"/>
          <w:sz w:val="16"/>
        </w:rPr>
        <w:t>*</w:t>
      </w:r>
      <w:r w:rsidRPr="00DF7BB4">
        <w:t xml:space="preserve">CGT event does not happen, to the extent it relates to creating a </w:t>
      </w:r>
      <w:r w:rsidR="00DF7BB4" w:rsidRPr="00DF7BB4">
        <w:rPr>
          <w:position w:val="6"/>
          <w:sz w:val="16"/>
        </w:rPr>
        <w:t>*</w:t>
      </w:r>
      <w:r w:rsidRPr="00DF7BB4">
        <w:t xml:space="preserve">granny flat interest in a </w:t>
      </w:r>
      <w:r w:rsidR="00DF7BB4" w:rsidRPr="00DF7BB4">
        <w:rPr>
          <w:position w:val="6"/>
          <w:sz w:val="16"/>
        </w:rPr>
        <w:t>*</w:t>
      </w:r>
      <w:r w:rsidRPr="00DF7BB4">
        <w:t xml:space="preserve">dwelling under an </w:t>
      </w:r>
      <w:r w:rsidR="00DF7BB4" w:rsidRPr="00DF7BB4">
        <w:rPr>
          <w:position w:val="6"/>
          <w:sz w:val="16"/>
        </w:rPr>
        <w:t>*</w:t>
      </w:r>
      <w:r w:rsidRPr="00DF7BB4">
        <w:t xml:space="preserve">arrangement by entering into the arrangement at a particular time (the </w:t>
      </w:r>
      <w:r w:rsidRPr="00DF7BB4">
        <w:rPr>
          <w:b/>
          <w:i/>
        </w:rPr>
        <w:t>start time</w:t>
      </w:r>
      <w:r w:rsidRPr="00DF7BB4">
        <w:t>), if:</w:t>
      </w:r>
    </w:p>
    <w:p w14:paraId="47C82FFE" w14:textId="77777777" w:rsidR="00870BBE" w:rsidRPr="00DF7BB4" w:rsidRDefault="00870BBE" w:rsidP="00DF7BB4">
      <w:pPr>
        <w:pStyle w:val="paragraph"/>
      </w:pPr>
      <w:r w:rsidRPr="00DF7BB4">
        <w:tab/>
        <w:t>(a)</w:t>
      </w:r>
      <w:r w:rsidRPr="00DF7BB4">
        <w:tab/>
        <w:t xml:space="preserve">the individual who holds, or who is to hold, the granny flat interest under the arrangement is </w:t>
      </w:r>
      <w:r w:rsidR="00DF7BB4" w:rsidRPr="00DF7BB4">
        <w:rPr>
          <w:position w:val="6"/>
          <w:sz w:val="16"/>
        </w:rPr>
        <w:t>*</w:t>
      </w:r>
      <w:r w:rsidRPr="00DF7BB4">
        <w:t>eligible for a granny flat interest at the start time; and</w:t>
      </w:r>
    </w:p>
    <w:p w14:paraId="65E5ED86" w14:textId="77777777" w:rsidR="00870BBE" w:rsidRPr="00DF7BB4" w:rsidRDefault="00870BBE" w:rsidP="00DF7BB4">
      <w:pPr>
        <w:pStyle w:val="paragraph"/>
      </w:pPr>
      <w:r w:rsidRPr="00DF7BB4">
        <w:tab/>
        <w:t>(b)</w:t>
      </w:r>
      <w:r w:rsidRPr="00DF7BB4">
        <w:tab/>
        <w:t>another individual:</w:t>
      </w:r>
    </w:p>
    <w:p w14:paraId="40D62E1B" w14:textId="77777777" w:rsidR="00870BBE" w:rsidRPr="00DF7BB4" w:rsidRDefault="00870BBE" w:rsidP="00DF7BB4">
      <w:pPr>
        <w:pStyle w:val="paragraphsub"/>
      </w:pPr>
      <w:r w:rsidRPr="00DF7BB4">
        <w:lastRenderedPageBreak/>
        <w:tab/>
        <w:t>(</w:t>
      </w:r>
      <w:proofErr w:type="spellStart"/>
      <w:r w:rsidRPr="00DF7BB4">
        <w:t>i</w:t>
      </w:r>
      <w:proofErr w:type="spellEnd"/>
      <w:r w:rsidRPr="00DF7BB4">
        <w:t>)</w:t>
      </w:r>
      <w:r w:rsidRPr="00DF7BB4">
        <w:tab/>
        <w:t xml:space="preserve">holds an </w:t>
      </w:r>
      <w:r w:rsidR="00DF7BB4" w:rsidRPr="00DF7BB4">
        <w:rPr>
          <w:position w:val="6"/>
          <w:sz w:val="16"/>
        </w:rPr>
        <w:t>*</w:t>
      </w:r>
      <w:r w:rsidRPr="00DF7BB4">
        <w:t>ownership interest in the dwelling at the start time; or</w:t>
      </w:r>
    </w:p>
    <w:p w14:paraId="73B3A862" w14:textId="77777777" w:rsidR="00870BBE" w:rsidRPr="00DF7BB4" w:rsidRDefault="00870BBE" w:rsidP="00DF7BB4">
      <w:pPr>
        <w:pStyle w:val="paragraphsub"/>
      </w:pPr>
      <w:r w:rsidRPr="00DF7BB4">
        <w:tab/>
        <w:t>(ii)</w:t>
      </w:r>
      <w:r w:rsidRPr="00DF7BB4">
        <w:tab/>
        <w:t xml:space="preserve">agrees, under the arrangement, to </w:t>
      </w:r>
      <w:r w:rsidR="00DF7BB4" w:rsidRPr="00DF7BB4">
        <w:rPr>
          <w:position w:val="6"/>
          <w:sz w:val="16"/>
        </w:rPr>
        <w:t>*</w:t>
      </w:r>
      <w:r w:rsidRPr="00DF7BB4">
        <w:t>acquire an ownership interest in a dwelling that is to be the dwelling in which the first</w:t>
      </w:r>
      <w:r w:rsidR="00DF7BB4">
        <w:noBreakHyphen/>
      </w:r>
      <w:r w:rsidRPr="00DF7BB4">
        <w:t>mentioned individual is to hold the granny flat interest; and</w:t>
      </w:r>
    </w:p>
    <w:p w14:paraId="4E4FAAFE" w14:textId="77777777" w:rsidR="00870BBE" w:rsidRPr="00DF7BB4" w:rsidRDefault="00870BBE" w:rsidP="00DF7BB4">
      <w:pPr>
        <w:pStyle w:val="paragraph"/>
      </w:pPr>
      <w:r w:rsidRPr="00DF7BB4">
        <w:tab/>
        <w:t>(c)</w:t>
      </w:r>
      <w:r w:rsidRPr="00DF7BB4">
        <w:tab/>
        <w:t>at the start time, both individuals are parties to the arrangement; and</w:t>
      </w:r>
    </w:p>
    <w:p w14:paraId="615FA19F" w14:textId="77777777" w:rsidR="00870BBE" w:rsidRPr="00DF7BB4" w:rsidRDefault="00870BBE" w:rsidP="00DF7BB4">
      <w:pPr>
        <w:pStyle w:val="paragraph"/>
      </w:pPr>
      <w:r w:rsidRPr="00DF7BB4">
        <w:tab/>
        <w:t>(d)</w:t>
      </w:r>
      <w:r w:rsidRPr="00DF7BB4">
        <w:tab/>
        <w:t>the arrangement:</w:t>
      </w:r>
    </w:p>
    <w:p w14:paraId="2CC83850" w14:textId="77777777" w:rsidR="00870BBE" w:rsidRPr="00DF7BB4" w:rsidRDefault="00870BBE" w:rsidP="00DF7BB4">
      <w:pPr>
        <w:pStyle w:val="paragraphsub"/>
      </w:pPr>
      <w:r w:rsidRPr="00DF7BB4">
        <w:tab/>
        <w:t>(</w:t>
      </w:r>
      <w:proofErr w:type="spellStart"/>
      <w:r w:rsidRPr="00DF7BB4">
        <w:t>i</w:t>
      </w:r>
      <w:proofErr w:type="spellEnd"/>
      <w:r w:rsidRPr="00DF7BB4">
        <w:t>)</w:t>
      </w:r>
      <w:r w:rsidRPr="00DF7BB4">
        <w:tab/>
        <w:t>is in writing; and</w:t>
      </w:r>
    </w:p>
    <w:p w14:paraId="18252FF4" w14:textId="77777777" w:rsidR="00870BBE" w:rsidRPr="00DF7BB4" w:rsidRDefault="00870BBE" w:rsidP="00DF7BB4">
      <w:pPr>
        <w:pStyle w:val="paragraphsub"/>
      </w:pPr>
      <w:r w:rsidRPr="00DF7BB4">
        <w:tab/>
        <w:t>(ii)</w:t>
      </w:r>
      <w:r w:rsidRPr="00DF7BB4">
        <w:tab/>
        <w:t>indicates an intention for the parties to the arrangement to be legally bound by it; and</w:t>
      </w:r>
    </w:p>
    <w:p w14:paraId="65AD63C7" w14:textId="77777777" w:rsidR="00870BBE" w:rsidRPr="00DF7BB4" w:rsidRDefault="00870BBE" w:rsidP="00DF7BB4">
      <w:pPr>
        <w:pStyle w:val="paragraph"/>
      </w:pPr>
      <w:r w:rsidRPr="00DF7BB4">
        <w:tab/>
        <w:t>(e)</w:t>
      </w:r>
      <w:r w:rsidRPr="00DF7BB4">
        <w:tab/>
        <w:t>the arrangement is not of a commercial nature.</w:t>
      </w:r>
    </w:p>
    <w:p w14:paraId="47D9B5B7" w14:textId="77777777" w:rsidR="00870BBE" w:rsidRPr="00DF7BB4" w:rsidRDefault="00870BBE" w:rsidP="00DF7BB4">
      <w:pPr>
        <w:pStyle w:val="ActHead5"/>
      </w:pPr>
      <w:bookmarkStart w:id="23" w:name="_Toc76040389"/>
      <w:r w:rsidRPr="008D4F4F">
        <w:rPr>
          <w:rStyle w:val="CharSectno"/>
        </w:rPr>
        <w:t>137</w:t>
      </w:r>
      <w:r w:rsidR="00DF7BB4" w:rsidRPr="008D4F4F">
        <w:rPr>
          <w:rStyle w:val="CharSectno"/>
        </w:rPr>
        <w:noBreakHyphen/>
      </w:r>
      <w:r w:rsidRPr="008D4F4F">
        <w:rPr>
          <w:rStyle w:val="CharSectno"/>
        </w:rPr>
        <w:t>20</w:t>
      </w:r>
      <w:r w:rsidRPr="00DF7BB4">
        <w:t xml:space="preserve">  CGT event does not happen when a certain kind of granny flat arrangement is varied</w:t>
      </w:r>
      <w:bookmarkEnd w:id="23"/>
    </w:p>
    <w:p w14:paraId="061D00F4" w14:textId="77777777" w:rsidR="00870BBE" w:rsidRPr="00DF7BB4" w:rsidRDefault="00870BBE" w:rsidP="00DF7BB4">
      <w:pPr>
        <w:pStyle w:val="subsection"/>
      </w:pPr>
      <w:r w:rsidRPr="00DF7BB4">
        <w:tab/>
      </w:r>
      <w:r w:rsidRPr="00DF7BB4">
        <w:tab/>
        <w:t xml:space="preserve">A </w:t>
      </w:r>
      <w:r w:rsidR="00DF7BB4" w:rsidRPr="00DF7BB4">
        <w:rPr>
          <w:position w:val="6"/>
          <w:sz w:val="16"/>
        </w:rPr>
        <w:t>*</w:t>
      </w:r>
      <w:r w:rsidRPr="00DF7BB4">
        <w:t xml:space="preserve">CGT event does not happen, to the extent it relates to creating or varying a </w:t>
      </w:r>
      <w:r w:rsidR="00DF7BB4" w:rsidRPr="00DF7BB4">
        <w:rPr>
          <w:position w:val="6"/>
          <w:sz w:val="16"/>
        </w:rPr>
        <w:t>*</w:t>
      </w:r>
      <w:r w:rsidRPr="00DF7BB4">
        <w:t xml:space="preserve">granny flat interest in a </w:t>
      </w:r>
      <w:r w:rsidR="00DF7BB4" w:rsidRPr="00DF7BB4">
        <w:rPr>
          <w:position w:val="6"/>
          <w:sz w:val="16"/>
        </w:rPr>
        <w:t>*</w:t>
      </w:r>
      <w:r w:rsidRPr="00DF7BB4">
        <w:t xml:space="preserve">dwelling under an </w:t>
      </w:r>
      <w:r w:rsidR="00DF7BB4" w:rsidRPr="00DF7BB4">
        <w:rPr>
          <w:position w:val="6"/>
          <w:sz w:val="16"/>
        </w:rPr>
        <w:t>*</w:t>
      </w:r>
      <w:r w:rsidRPr="00DF7BB4">
        <w:t xml:space="preserve">arrangement by varying the arrangement at a particular time (the </w:t>
      </w:r>
      <w:r w:rsidRPr="00DF7BB4">
        <w:rPr>
          <w:b/>
          <w:i/>
        </w:rPr>
        <w:t>variation time</w:t>
      </w:r>
      <w:r w:rsidRPr="00DF7BB4">
        <w:t>), if:</w:t>
      </w:r>
    </w:p>
    <w:p w14:paraId="21BA5175" w14:textId="77777777" w:rsidR="00870BBE" w:rsidRPr="00DF7BB4" w:rsidRDefault="00870BBE" w:rsidP="00DF7BB4">
      <w:pPr>
        <w:pStyle w:val="paragraph"/>
      </w:pPr>
      <w:r w:rsidRPr="00DF7BB4">
        <w:tab/>
        <w:t>(a)</w:t>
      </w:r>
      <w:r w:rsidRPr="00DF7BB4">
        <w:tab/>
        <w:t xml:space="preserve">the individual who holds, or who is to hold, the granny flat interest under the arrangement (as varied) is </w:t>
      </w:r>
      <w:r w:rsidR="00DF7BB4" w:rsidRPr="00DF7BB4">
        <w:rPr>
          <w:position w:val="6"/>
          <w:sz w:val="16"/>
        </w:rPr>
        <w:t>*</w:t>
      </w:r>
      <w:r w:rsidRPr="00DF7BB4">
        <w:t>eligible for a granny flat interest at the variation time; and</w:t>
      </w:r>
    </w:p>
    <w:p w14:paraId="03D3AD8E" w14:textId="77777777" w:rsidR="00870BBE" w:rsidRPr="00DF7BB4" w:rsidRDefault="00870BBE" w:rsidP="00DF7BB4">
      <w:pPr>
        <w:pStyle w:val="paragraph"/>
      </w:pPr>
      <w:r w:rsidRPr="00DF7BB4">
        <w:tab/>
        <w:t>(b)</w:t>
      </w:r>
      <w:r w:rsidRPr="00DF7BB4">
        <w:tab/>
        <w:t>another individual:</w:t>
      </w:r>
    </w:p>
    <w:p w14:paraId="6AB5CEF7" w14:textId="77777777" w:rsidR="00870BBE" w:rsidRPr="00DF7BB4" w:rsidRDefault="00870BBE" w:rsidP="00DF7BB4">
      <w:pPr>
        <w:pStyle w:val="paragraphsub"/>
      </w:pPr>
      <w:r w:rsidRPr="00DF7BB4">
        <w:tab/>
        <w:t>(</w:t>
      </w:r>
      <w:proofErr w:type="spellStart"/>
      <w:r w:rsidRPr="00DF7BB4">
        <w:t>i</w:t>
      </w:r>
      <w:proofErr w:type="spellEnd"/>
      <w:r w:rsidRPr="00DF7BB4">
        <w:t>)</w:t>
      </w:r>
      <w:r w:rsidRPr="00DF7BB4">
        <w:tab/>
        <w:t xml:space="preserve">holds an </w:t>
      </w:r>
      <w:r w:rsidR="00DF7BB4" w:rsidRPr="00DF7BB4">
        <w:rPr>
          <w:position w:val="6"/>
          <w:sz w:val="16"/>
        </w:rPr>
        <w:t>*</w:t>
      </w:r>
      <w:r w:rsidRPr="00DF7BB4">
        <w:t>ownership interest in the dwelling at the variation time; or</w:t>
      </w:r>
    </w:p>
    <w:p w14:paraId="5BD1C447" w14:textId="77777777" w:rsidR="00870BBE" w:rsidRPr="00DF7BB4" w:rsidRDefault="00870BBE" w:rsidP="00DF7BB4">
      <w:pPr>
        <w:pStyle w:val="paragraphsub"/>
      </w:pPr>
      <w:r w:rsidRPr="00DF7BB4">
        <w:tab/>
        <w:t>(ii)</w:t>
      </w:r>
      <w:r w:rsidRPr="00DF7BB4">
        <w:tab/>
        <w:t xml:space="preserve">agrees, under the arrangement (as varied), to </w:t>
      </w:r>
      <w:r w:rsidR="00DF7BB4" w:rsidRPr="00DF7BB4">
        <w:rPr>
          <w:position w:val="6"/>
          <w:sz w:val="16"/>
        </w:rPr>
        <w:t>*</w:t>
      </w:r>
      <w:r w:rsidRPr="00DF7BB4">
        <w:t>acquire an ownership interest in a dwelling that is to be the dwelling in which the first</w:t>
      </w:r>
      <w:r w:rsidR="00DF7BB4">
        <w:noBreakHyphen/>
      </w:r>
      <w:r w:rsidRPr="00DF7BB4">
        <w:t>mentioned individual is to hold the granny flat interest; and</w:t>
      </w:r>
    </w:p>
    <w:p w14:paraId="1963BCE0" w14:textId="77777777" w:rsidR="00870BBE" w:rsidRPr="00DF7BB4" w:rsidRDefault="00870BBE" w:rsidP="00DF7BB4">
      <w:pPr>
        <w:pStyle w:val="paragraph"/>
      </w:pPr>
      <w:r w:rsidRPr="00DF7BB4">
        <w:tab/>
        <w:t>(c)</w:t>
      </w:r>
      <w:r w:rsidRPr="00DF7BB4">
        <w:tab/>
        <w:t>at the variation time, both individuals are parties to the arrangement (as varied); and</w:t>
      </w:r>
    </w:p>
    <w:p w14:paraId="22519220" w14:textId="77777777" w:rsidR="00870BBE" w:rsidRPr="00DF7BB4" w:rsidRDefault="00870BBE" w:rsidP="00DF7BB4">
      <w:pPr>
        <w:pStyle w:val="paragraph"/>
      </w:pPr>
      <w:r w:rsidRPr="00DF7BB4">
        <w:tab/>
        <w:t>(d)</w:t>
      </w:r>
      <w:r w:rsidRPr="00DF7BB4">
        <w:tab/>
        <w:t>the arrangement (as varied):</w:t>
      </w:r>
    </w:p>
    <w:p w14:paraId="2E5FAAAC" w14:textId="77777777" w:rsidR="00870BBE" w:rsidRPr="00DF7BB4" w:rsidRDefault="00870BBE" w:rsidP="00DF7BB4">
      <w:pPr>
        <w:pStyle w:val="paragraphsub"/>
      </w:pPr>
      <w:r w:rsidRPr="00DF7BB4">
        <w:tab/>
        <w:t>(</w:t>
      </w:r>
      <w:proofErr w:type="spellStart"/>
      <w:r w:rsidRPr="00DF7BB4">
        <w:t>i</w:t>
      </w:r>
      <w:proofErr w:type="spellEnd"/>
      <w:r w:rsidRPr="00DF7BB4">
        <w:t>)</w:t>
      </w:r>
      <w:r w:rsidRPr="00DF7BB4">
        <w:tab/>
        <w:t>is in writing; and</w:t>
      </w:r>
    </w:p>
    <w:p w14:paraId="2723422E" w14:textId="77777777" w:rsidR="00870BBE" w:rsidRPr="00DF7BB4" w:rsidRDefault="00870BBE" w:rsidP="00DF7BB4">
      <w:pPr>
        <w:pStyle w:val="paragraphsub"/>
      </w:pPr>
      <w:r w:rsidRPr="00DF7BB4">
        <w:tab/>
        <w:t>(ii)</w:t>
      </w:r>
      <w:r w:rsidRPr="00DF7BB4">
        <w:tab/>
        <w:t>indicates an intention for the parties to the arrangement to be legally bound by it; and</w:t>
      </w:r>
    </w:p>
    <w:p w14:paraId="0EAEB34F" w14:textId="77777777" w:rsidR="00870BBE" w:rsidRPr="00DF7BB4" w:rsidRDefault="00870BBE" w:rsidP="00DF7BB4">
      <w:pPr>
        <w:pStyle w:val="paragraph"/>
      </w:pPr>
      <w:r w:rsidRPr="00DF7BB4">
        <w:tab/>
        <w:t>(e)</w:t>
      </w:r>
      <w:r w:rsidRPr="00DF7BB4">
        <w:tab/>
        <w:t>the arrangement (as varied) is not of a commercial nature.</w:t>
      </w:r>
    </w:p>
    <w:p w14:paraId="5F2193F2" w14:textId="77777777" w:rsidR="00870BBE" w:rsidRPr="00DF7BB4" w:rsidRDefault="00870BBE" w:rsidP="00DF7BB4">
      <w:pPr>
        <w:pStyle w:val="ActHead5"/>
      </w:pPr>
      <w:bookmarkStart w:id="24" w:name="_Toc76040390"/>
      <w:r w:rsidRPr="008D4F4F">
        <w:rPr>
          <w:rStyle w:val="CharSectno"/>
        </w:rPr>
        <w:t>137</w:t>
      </w:r>
      <w:r w:rsidR="00DF7BB4" w:rsidRPr="008D4F4F">
        <w:rPr>
          <w:rStyle w:val="CharSectno"/>
        </w:rPr>
        <w:noBreakHyphen/>
      </w:r>
      <w:r w:rsidRPr="008D4F4F">
        <w:rPr>
          <w:rStyle w:val="CharSectno"/>
        </w:rPr>
        <w:t>25</w:t>
      </w:r>
      <w:r w:rsidRPr="00DF7BB4">
        <w:t xml:space="preserve">  CGT event does not happen when a certain kind of granny flat arrangement is terminated</w:t>
      </w:r>
      <w:bookmarkEnd w:id="24"/>
    </w:p>
    <w:p w14:paraId="2635983D" w14:textId="77777777" w:rsidR="00870BBE" w:rsidRPr="00DF7BB4" w:rsidRDefault="00870BBE" w:rsidP="00DF7BB4">
      <w:pPr>
        <w:pStyle w:val="subsection"/>
      </w:pPr>
      <w:r w:rsidRPr="00DF7BB4">
        <w:tab/>
      </w:r>
      <w:r w:rsidRPr="00DF7BB4">
        <w:tab/>
        <w:t xml:space="preserve">A </w:t>
      </w:r>
      <w:r w:rsidR="00DF7BB4" w:rsidRPr="00DF7BB4">
        <w:rPr>
          <w:position w:val="6"/>
          <w:sz w:val="16"/>
        </w:rPr>
        <w:t>*</w:t>
      </w:r>
      <w:r w:rsidRPr="00DF7BB4">
        <w:t xml:space="preserve">CGT event does not happen, to the extent that it relates to terminating a </w:t>
      </w:r>
      <w:r w:rsidR="00DF7BB4" w:rsidRPr="00DF7BB4">
        <w:rPr>
          <w:position w:val="6"/>
          <w:sz w:val="16"/>
        </w:rPr>
        <w:t>*</w:t>
      </w:r>
      <w:r w:rsidRPr="00DF7BB4">
        <w:t xml:space="preserve">granny flat interest in a </w:t>
      </w:r>
      <w:r w:rsidR="00DF7BB4" w:rsidRPr="00DF7BB4">
        <w:rPr>
          <w:position w:val="6"/>
          <w:sz w:val="16"/>
        </w:rPr>
        <w:t>*</w:t>
      </w:r>
      <w:r w:rsidRPr="00DF7BB4">
        <w:t xml:space="preserve">dwelling under an </w:t>
      </w:r>
      <w:r w:rsidR="00DF7BB4" w:rsidRPr="00DF7BB4">
        <w:rPr>
          <w:position w:val="6"/>
          <w:sz w:val="16"/>
        </w:rPr>
        <w:t>*</w:t>
      </w:r>
      <w:r w:rsidRPr="00DF7BB4">
        <w:t>arrangement by terminating the arrangement, if:</w:t>
      </w:r>
    </w:p>
    <w:p w14:paraId="711E1028" w14:textId="77777777" w:rsidR="00870BBE" w:rsidRPr="00DF7BB4" w:rsidRDefault="00870BBE" w:rsidP="00DF7BB4">
      <w:pPr>
        <w:pStyle w:val="paragraph"/>
      </w:pPr>
      <w:r w:rsidRPr="00DF7BB4">
        <w:tab/>
        <w:t>(a)</w:t>
      </w:r>
      <w:r w:rsidRPr="00DF7BB4">
        <w:tab/>
        <w:t>section 137</w:t>
      </w:r>
      <w:r w:rsidR="00DF7BB4">
        <w:noBreakHyphen/>
      </w:r>
      <w:r w:rsidRPr="00DF7BB4">
        <w:t>15 applied so that a CGT event did not happen when the arrangement was entered into; or</w:t>
      </w:r>
    </w:p>
    <w:p w14:paraId="295ED0FC" w14:textId="77777777" w:rsidR="00870BBE" w:rsidRPr="00DF7BB4" w:rsidRDefault="00870BBE" w:rsidP="00DF7BB4">
      <w:pPr>
        <w:pStyle w:val="paragraph"/>
      </w:pPr>
      <w:r w:rsidRPr="00DF7BB4">
        <w:tab/>
        <w:t>(b)</w:t>
      </w:r>
      <w:r w:rsidRPr="00DF7BB4">
        <w:tab/>
        <w:t>section 137</w:t>
      </w:r>
      <w:r w:rsidR="00DF7BB4">
        <w:noBreakHyphen/>
      </w:r>
      <w:r w:rsidRPr="00DF7BB4">
        <w:t>20 applied so that a CGT event did not happen when the arrangement was varied.</w:t>
      </w:r>
    </w:p>
    <w:p w14:paraId="3584102A" w14:textId="77777777" w:rsidR="00870BBE" w:rsidRPr="00DF7BB4" w:rsidRDefault="00357828" w:rsidP="00DF7BB4">
      <w:pPr>
        <w:pStyle w:val="ItemHead"/>
      </w:pPr>
      <w:r w:rsidRPr="00DF7BB4">
        <w:t>2</w:t>
      </w:r>
      <w:r w:rsidR="00870BBE" w:rsidRPr="00DF7BB4">
        <w:t xml:space="preserve">  Subsection 995</w:t>
      </w:r>
      <w:r w:rsidR="00DF7BB4">
        <w:noBreakHyphen/>
      </w:r>
      <w:r w:rsidR="00870BBE" w:rsidRPr="00DF7BB4">
        <w:t>1(1)</w:t>
      </w:r>
    </w:p>
    <w:p w14:paraId="266CF313" w14:textId="77777777" w:rsidR="00870BBE" w:rsidRPr="00DF7BB4" w:rsidRDefault="00870BBE" w:rsidP="00DF7BB4">
      <w:pPr>
        <w:pStyle w:val="Item"/>
      </w:pPr>
      <w:r w:rsidRPr="00DF7BB4">
        <w:t>Insert:</w:t>
      </w:r>
    </w:p>
    <w:p w14:paraId="3CB5F53F" w14:textId="77777777" w:rsidR="00870BBE" w:rsidRPr="00DF7BB4" w:rsidRDefault="00870BBE" w:rsidP="00DF7BB4">
      <w:pPr>
        <w:pStyle w:val="Definition"/>
      </w:pPr>
      <w:r w:rsidRPr="00DF7BB4">
        <w:rPr>
          <w:b/>
          <w:i/>
        </w:rPr>
        <w:t>eligible for a granny flat interest</w:t>
      </w:r>
      <w:r w:rsidRPr="00DF7BB4">
        <w:t xml:space="preserve"> has the meaning given by subsection 137</w:t>
      </w:r>
      <w:r w:rsidR="00DF7BB4">
        <w:noBreakHyphen/>
      </w:r>
      <w:r w:rsidRPr="00DF7BB4">
        <w:t>10(2).</w:t>
      </w:r>
    </w:p>
    <w:p w14:paraId="2B8E4775" w14:textId="77777777" w:rsidR="00870BBE" w:rsidRPr="00DF7BB4" w:rsidRDefault="00870BBE" w:rsidP="00DF7BB4">
      <w:pPr>
        <w:pStyle w:val="Definition"/>
      </w:pPr>
      <w:r w:rsidRPr="00DF7BB4">
        <w:rPr>
          <w:b/>
          <w:i/>
        </w:rPr>
        <w:t>granny flat interest</w:t>
      </w:r>
      <w:r w:rsidRPr="00DF7BB4">
        <w:t xml:space="preserve"> has the meaning given by subsection 137</w:t>
      </w:r>
      <w:r w:rsidR="00DF7BB4">
        <w:noBreakHyphen/>
      </w:r>
      <w:r w:rsidRPr="00DF7BB4">
        <w:t>10(1).</w:t>
      </w:r>
    </w:p>
    <w:p w14:paraId="0C58179E" w14:textId="77777777" w:rsidR="00870BBE" w:rsidRPr="00DF7BB4" w:rsidRDefault="00870BBE" w:rsidP="00DF7BB4">
      <w:pPr>
        <w:pStyle w:val="ActHead9"/>
        <w:rPr>
          <w:i w:val="0"/>
        </w:rPr>
      </w:pPr>
      <w:bookmarkStart w:id="25" w:name="_Toc76040391"/>
      <w:r w:rsidRPr="00DF7BB4">
        <w:t>Income Tax (Transitional Provisions) Act 1997</w:t>
      </w:r>
      <w:bookmarkEnd w:id="25"/>
    </w:p>
    <w:p w14:paraId="2A8EC026" w14:textId="77777777" w:rsidR="00870BBE" w:rsidRPr="00DF7BB4" w:rsidRDefault="00357828" w:rsidP="00DF7BB4">
      <w:pPr>
        <w:pStyle w:val="ItemHead"/>
      </w:pPr>
      <w:r w:rsidRPr="00DF7BB4">
        <w:t>3</w:t>
      </w:r>
      <w:r w:rsidR="00870BBE" w:rsidRPr="00DF7BB4">
        <w:t xml:space="preserve">  After Division 136</w:t>
      </w:r>
    </w:p>
    <w:p w14:paraId="416E2AAD" w14:textId="77777777" w:rsidR="00870BBE" w:rsidRPr="00DF7BB4" w:rsidRDefault="00870BBE" w:rsidP="00DF7BB4">
      <w:pPr>
        <w:pStyle w:val="Item"/>
      </w:pPr>
      <w:r w:rsidRPr="00DF7BB4">
        <w:t>Insert:</w:t>
      </w:r>
    </w:p>
    <w:p w14:paraId="3A680384" w14:textId="77777777" w:rsidR="00870BBE" w:rsidRPr="00DF7BB4" w:rsidRDefault="00870BBE" w:rsidP="00DF7BB4">
      <w:pPr>
        <w:pStyle w:val="ActHead3"/>
      </w:pPr>
      <w:bookmarkStart w:id="26" w:name="_Toc76040392"/>
      <w:r w:rsidRPr="008D4F4F">
        <w:rPr>
          <w:rStyle w:val="CharDivNo"/>
        </w:rPr>
        <w:t>Division 137</w:t>
      </w:r>
      <w:r w:rsidRPr="00DF7BB4">
        <w:t>—</w:t>
      </w:r>
      <w:r w:rsidRPr="008D4F4F">
        <w:rPr>
          <w:rStyle w:val="CharDivText"/>
        </w:rPr>
        <w:t>Granny flat arrangements</w:t>
      </w:r>
      <w:bookmarkEnd w:id="26"/>
    </w:p>
    <w:p w14:paraId="435BC288" w14:textId="77777777" w:rsidR="00870BBE" w:rsidRPr="00DF7BB4" w:rsidRDefault="00870BBE" w:rsidP="00DF7BB4">
      <w:pPr>
        <w:pStyle w:val="TofSectsHeading"/>
      </w:pPr>
      <w:r w:rsidRPr="00DF7BB4">
        <w:t>Table of Subdivisions</w:t>
      </w:r>
    </w:p>
    <w:p w14:paraId="3242C49B" w14:textId="77777777" w:rsidR="00870BBE" w:rsidRPr="00DF7BB4" w:rsidRDefault="00870BBE" w:rsidP="00DF7BB4">
      <w:pPr>
        <w:pStyle w:val="TofSectsSubdiv"/>
      </w:pPr>
      <w:r w:rsidRPr="00DF7BB4">
        <w:t>137</w:t>
      </w:r>
      <w:r w:rsidR="00DF7BB4">
        <w:noBreakHyphen/>
      </w:r>
      <w:r w:rsidRPr="00DF7BB4">
        <w:t>A—Granny flat arrangements</w:t>
      </w:r>
    </w:p>
    <w:p w14:paraId="467D490C" w14:textId="77777777" w:rsidR="00870BBE" w:rsidRPr="00DF7BB4" w:rsidRDefault="00870BBE" w:rsidP="00DF7BB4">
      <w:pPr>
        <w:pStyle w:val="ActHead4"/>
      </w:pPr>
      <w:bookmarkStart w:id="27" w:name="_Toc76040393"/>
      <w:r w:rsidRPr="008D4F4F">
        <w:rPr>
          <w:rStyle w:val="CharSubdNo"/>
        </w:rPr>
        <w:t>Subdivision 137</w:t>
      </w:r>
      <w:r w:rsidR="00DF7BB4" w:rsidRPr="008D4F4F">
        <w:rPr>
          <w:rStyle w:val="CharSubdNo"/>
        </w:rPr>
        <w:noBreakHyphen/>
      </w:r>
      <w:r w:rsidRPr="008D4F4F">
        <w:rPr>
          <w:rStyle w:val="CharSubdNo"/>
        </w:rPr>
        <w:t>A</w:t>
      </w:r>
      <w:r w:rsidRPr="00DF7BB4">
        <w:t>—</w:t>
      </w:r>
      <w:r w:rsidRPr="008D4F4F">
        <w:rPr>
          <w:rStyle w:val="CharSubdText"/>
        </w:rPr>
        <w:t>Granny flat arrangements</w:t>
      </w:r>
      <w:bookmarkEnd w:id="27"/>
    </w:p>
    <w:p w14:paraId="4F6829ED" w14:textId="77777777" w:rsidR="00870BBE" w:rsidRPr="00DF7BB4" w:rsidRDefault="00870BBE" w:rsidP="00DF7BB4">
      <w:pPr>
        <w:pStyle w:val="TofSectsHeading"/>
      </w:pPr>
      <w:r w:rsidRPr="00DF7BB4">
        <w:t>Table of sections</w:t>
      </w:r>
    </w:p>
    <w:p w14:paraId="6A1D3765" w14:textId="77777777" w:rsidR="00870BBE" w:rsidRPr="00DF7BB4" w:rsidRDefault="00870BBE" w:rsidP="00DF7BB4">
      <w:pPr>
        <w:pStyle w:val="TofSectsGroupHeading"/>
      </w:pPr>
      <w:r w:rsidRPr="00DF7BB4">
        <w:t>Operative provisions</w:t>
      </w:r>
    </w:p>
    <w:p w14:paraId="7DE316C6" w14:textId="77777777" w:rsidR="00870BBE" w:rsidRPr="00DF7BB4" w:rsidRDefault="00870BBE" w:rsidP="00DF7BB4">
      <w:pPr>
        <w:pStyle w:val="TofSectsSection"/>
      </w:pPr>
      <w:r w:rsidRPr="00DF7BB4">
        <w:t>137</w:t>
      </w:r>
      <w:r w:rsidR="00DF7BB4">
        <w:noBreakHyphen/>
      </w:r>
      <w:r w:rsidRPr="00DF7BB4">
        <w:t>10</w:t>
      </w:r>
      <w:r w:rsidRPr="00DF7BB4">
        <w:tab/>
        <w:t>Applicable CGT events</w:t>
      </w:r>
    </w:p>
    <w:p w14:paraId="0BED9827" w14:textId="77777777" w:rsidR="00870BBE" w:rsidRPr="00DF7BB4" w:rsidRDefault="00870BBE" w:rsidP="00DF7BB4">
      <w:pPr>
        <w:pStyle w:val="ActHead4"/>
      </w:pPr>
      <w:bookmarkStart w:id="28" w:name="_Toc76040394"/>
      <w:r w:rsidRPr="00DF7BB4">
        <w:t>Operative provisions</w:t>
      </w:r>
      <w:bookmarkEnd w:id="28"/>
    </w:p>
    <w:p w14:paraId="34F2CB23" w14:textId="77777777" w:rsidR="00870BBE" w:rsidRPr="00DF7BB4" w:rsidRDefault="00870BBE" w:rsidP="00DF7BB4">
      <w:pPr>
        <w:pStyle w:val="ActHead5"/>
      </w:pPr>
      <w:bookmarkStart w:id="29" w:name="_Toc76040395"/>
      <w:r w:rsidRPr="008D4F4F">
        <w:rPr>
          <w:rStyle w:val="CharSectno"/>
        </w:rPr>
        <w:t>137</w:t>
      </w:r>
      <w:r w:rsidR="00DF7BB4" w:rsidRPr="008D4F4F">
        <w:rPr>
          <w:rStyle w:val="CharSectno"/>
        </w:rPr>
        <w:noBreakHyphen/>
      </w:r>
      <w:r w:rsidRPr="008D4F4F">
        <w:rPr>
          <w:rStyle w:val="CharSectno"/>
        </w:rPr>
        <w:t>10</w:t>
      </w:r>
      <w:r w:rsidRPr="00DF7BB4">
        <w:t xml:space="preserve">  Applicable CGT events</w:t>
      </w:r>
      <w:bookmarkEnd w:id="29"/>
    </w:p>
    <w:p w14:paraId="6167D5AE" w14:textId="77777777" w:rsidR="00870BBE" w:rsidRPr="00DF7BB4" w:rsidRDefault="00870BBE" w:rsidP="00DF7BB4">
      <w:pPr>
        <w:pStyle w:val="subsection"/>
      </w:pPr>
      <w:r w:rsidRPr="00DF7BB4">
        <w:tab/>
      </w:r>
      <w:r w:rsidRPr="00DF7BB4">
        <w:tab/>
        <w:t xml:space="preserve">Division 137 of the </w:t>
      </w:r>
      <w:r w:rsidRPr="00DF7BB4">
        <w:rPr>
          <w:i/>
        </w:rPr>
        <w:t>Income Tax Assessment Act 1997</w:t>
      </w:r>
      <w:r w:rsidRPr="00DF7BB4">
        <w:t xml:space="preserve"> applies in relation to events:</w:t>
      </w:r>
    </w:p>
    <w:p w14:paraId="677D577D" w14:textId="77777777" w:rsidR="00870BBE" w:rsidRPr="00DF7BB4" w:rsidRDefault="00870BBE" w:rsidP="00DF7BB4">
      <w:pPr>
        <w:pStyle w:val="paragraph"/>
      </w:pPr>
      <w:r w:rsidRPr="00DF7BB4">
        <w:tab/>
        <w:t>(a)</w:t>
      </w:r>
      <w:r w:rsidRPr="00DF7BB4">
        <w:tab/>
        <w:t>that happen on or after the commencement of that Division; and</w:t>
      </w:r>
    </w:p>
    <w:p w14:paraId="4E924A19" w14:textId="77777777" w:rsidR="00870BBE" w:rsidRPr="00DF7BB4" w:rsidRDefault="00870BBE" w:rsidP="00DF7BB4">
      <w:pPr>
        <w:pStyle w:val="paragraph"/>
      </w:pPr>
      <w:r w:rsidRPr="00DF7BB4">
        <w:tab/>
        <w:t>(b)</w:t>
      </w:r>
      <w:r w:rsidRPr="00DF7BB4">
        <w:tab/>
        <w:t>that, apart from that Division, would be CGT events;</w:t>
      </w:r>
    </w:p>
    <w:p w14:paraId="5D318C4E" w14:textId="77777777" w:rsidR="00870BBE" w:rsidRPr="00DF7BB4" w:rsidRDefault="00870BBE" w:rsidP="00DF7BB4">
      <w:pPr>
        <w:pStyle w:val="subsection2"/>
      </w:pPr>
      <w:r w:rsidRPr="00DF7BB4">
        <w:t>(whether the arrangements to which the events relate were entered into before, on or after that commencement).</w:t>
      </w:r>
    </w:p>
    <w:p w14:paraId="50E06367" w14:textId="77777777" w:rsidR="00870BBE" w:rsidRPr="00DF7BB4" w:rsidRDefault="00870BBE" w:rsidP="00DF7BB4">
      <w:pPr>
        <w:pStyle w:val="ActHead6"/>
        <w:pageBreakBefore/>
      </w:pPr>
      <w:bookmarkStart w:id="30" w:name="_Toc76040396"/>
      <w:r w:rsidRPr="008D4F4F">
        <w:rPr>
          <w:rStyle w:val="CharAmSchNo"/>
        </w:rPr>
        <w:t>Schedule 4</w:t>
      </w:r>
      <w:r w:rsidRPr="00DF7BB4">
        <w:t>—</w:t>
      </w:r>
      <w:r w:rsidRPr="008D4F4F">
        <w:rPr>
          <w:rStyle w:val="CharAmSchText"/>
        </w:rPr>
        <w:t>Amendments to product intervention regime</w:t>
      </w:r>
      <w:bookmarkEnd w:id="30"/>
    </w:p>
    <w:p w14:paraId="4B5242CE" w14:textId="77777777" w:rsidR="00870BBE" w:rsidRPr="008D4F4F" w:rsidRDefault="00870BBE" w:rsidP="00DF7BB4">
      <w:pPr>
        <w:pStyle w:val="Header"/>
      </w:pPr>
      <w:r w:rsidRPr="008D4F4F">
        <w:rPr>
          <w:rStyle w:val="CharAmPartNo"/>
        </w:rPr>
        <w:t xml:space="preserve"> </w:t>
      </w:r>
      <w:r w:rsidRPr="008D4F4F">
        <w:rPr>
          <w:rStyle w:val="CharAmPartText"/>
        </w:rPr>
        <w:t xml:space="preserve"> </w:t>
      </w:r>
    </w:p>
    <w:p w14:paraId="2DD9B141" w14:textId="77777777" w:rsidR="00870BBE" w:rsidRPr="00DF7BB4" w:rsidRDefault="00870BBE" w:rsidP="00DF7BB4">
      <w:pPr>
        <w:pStyle w:val="ActHead9"/>
      </w:pPr>
      <w:bookmarkStart w:id="31" w:name="_Toc76040397"/>
      <w:r w:rsidRPr="00DF7BB4">
        <w:t>Corporations Act 2001</w:t>
      </w:r>
      <w:bookmarkEnd w:id="31"/>
    </w:p>
    <w:p w14:paraId="1371CAFB" w14:textId="77777777" w:rsidR="00870BBE" w:rsidRPr="00DF7BB4" w:rsidRDefault="00357828" w:rsidP="00DF7BB4">
      <w:pPr>
        <w:pStyle w:val="ItemHead"/>
      </w:pPr>
      <w:r w:rsidRPr="00DF7BB4">
        <w:t>1</w:t>
      </w:r>
      <w:r w:rsidR="00870BBE" w:rsidRPr="00DF7BB4">
        <w:t xml:space="preserve">  Paragraph 1023D(4)(c)</w:t>
      </w:r>
    </w:p>
    <w:p w14:paraId="0F84B3C9" w14:textId="77777777" w:rsidR="00870BBE" w:rsidRPr="00DF7BB4" w:rsidRDefault="00870BBE" w:rsidP="00DF7BB4">
      <w:pPr>
        <w:pStyle w:val="Item"/>
      </w:pPr>
      <w:r w:rsidRPr="00DF7BB4">
        <w:t>Repeal the paragraph, substitute:</w:t>
      </w:r>
    </w:p>
    <w:p w14:paraId="70F1ED20" w14:textId="77777777" w:rsidR="00870BBE" w:rsidRPr="00DF7BB4" w:rsidRDefault="00870BBE" w:rsidP="00DF7BB4">
      <w:pPr>
        <w:pStyle w:val="paragraph"/>
      </w:pPr>
      <w:r w:rsidRPr="00DF7BB4">
        <w:tab/>
        <w:t>(c)</w:t>
      </w:r>
      <w:r w:rsidRPr="00DF7BB4">
        <w:tab/>
        <w:t>a condition related to a person’s remuneration, other than a condition related to:</w:t>
      </w:r>
    </w:p>
    <w:p w14:paraId="0C22CCEE" w14:textId="77777777" w:rsidR="00870BBE" w:rsidRPr="00DF7BB4" w:rsidRDefault="00870BBE" w:rsidP="00DF7BB4">
      <w:pPr>
        <w:pStyle w:val="paragraphsub"/>
      </w:pPr>
      <w:r w:rsidRPr="00DF7BB4">
        <w:tab/>
        <w:t>(</w:t>
      </w:r>
      <w:proofErr w:type="spellStart"/>
      <w:r w:rsidRPr="00DF7BB4">
        <w:t>i</w:t>
      </w:r>
      <w:proofErr w:type="spellEnd"/>
      <w:r w:rsidRPr="00DF7BB4">
        <w:t>)</w:t>
      </w:r>
      <w:r w:rsidRPr="00DF7BB4">
        <w:tab/>
        <w:t>so much of the person’s remuneration as is conditional on the achievement of objectives directly related to the financial product; or</w:t>
      </w:r>
    </w:p>
    <w:p w14:paraId="2E1C73F2" w14:textId="77777777" w:rsidR="00870BBE" w:rsidRPr="00DF7BB4" w:rsidRDefault="00870BBE" w:rsidP="00DF7BB4">
      <w:pPr>
        <w:pStyle w:val="paragraphsub"/>
      </w:pPr>
      <w:r w:rsidRPr="00DF7BB4">
        <w:tab/>
        <w:t>(ii)</w:t>
      </w:r>
      <w:r w:rsidRPr="00DF7BB4">
        <w:tab/>
        <w:t>a fee, charge or other consideration paid or payable to the person by a retail client.</w:t>
      </w:r>
    </w:p>
    <w:p w14:paraId="1498C835" w14:textId="77777777" w:rsidR="00870BBE" w:rsidRPr="00DF7BB4" w:rsidRDefault="00870BBE" w:rsidP="00DF7BB4">
      <w:pPr>
        <w:pStyle w:val="ActHead9"/>
      </w:pPr>
      <w:bookmarkStart w:id="32" w:name="_Toc76040398"/>
      <w:r w:rsidRPr="00DF7BB4">
        <w:t>National Consumer Credit Protection Act 2009</w:t>
      </w:r>
      <w:bookmarkEnd w:id="32"/>
    </w:p>
    <w:p w14:paraId="4445630F" w14:textId="77777777" w:rsidR="00870BBE" w:rsidRPr="00DF7BB4" w:rsidRDefault="00357828" w:rsidP="00DF7BB4">
      <w:pPr>
        <w:pStyle w:val="ItemHead"/>
      </w:pPr>
      <w:r w:rsidRPr="00DF7BB4">
        <w:t>2</w:t>
      </w:r>
      <w:r w:rsidR="00870BBE" w:rsidRPr="00DF7BB4">
        <w:t xml:space="preserve">  Paragraph 301D(4)(c)</w:t>
      </w:r>
    </w:p>
    <w:p w14:paraId="34F60D11" w14:textId="77777777" w:rsidR="00870BBE" w:rsidRPr="00DF7BB4" w:rsidRDefault="00870BBE" w:rsidP="00DF7BB4">
      <w:pPr>
        <w:pStyle w:val="Item"/>
      </w:pPr>
      <w:r w:rsidRPr="00DF7BB4">
        <w:t>Repeal the paragraph, substitute:</w:t>
      </w:r>
    </w:p>
    <w:p w14:paraId="5E601E1D" w14:textId="77777777" w:rsidR="00870BBE" w:rsidRPr="00DF7BB4" w:rsidRDefault="00870BBE" w:rsidP="00DF7BB4">
      <w:pPr>
        <w:pStyle w:val="paragraph"/>
      </w:pPr>
      <w:r w:rsidRPr="00DF7BB4">
        <w:tab/>
        <w:t>(c)</w:t>
      </w:r>
      <w:r w:rsidRPr="00DF7BB4">
        <w:tab/>
        <w:t>a condition related to a person’s remuneration, other than a condition related to:</w:t>
      </w:r>
    </w:p>
    <w:p w14:paraId="28702FAE" w14:textId="77777777" w:rsidR="00870BBE" w:rsidRPr="00DF7BB4" w:rsidRDefault="00870BBE" w:rsidP="00DF7BB4">
      <w:pPr>
        <w:pStyle w:val="paragraphsub"/>
      </w:pPr>
      <w:r w:rsidRPr="00DF7BB4">
        <w:tab/>
        <w:t>(</w:t>
      </w:r>
      <w:proofErr w:type="spellStart"/>
      <w:r w:rsidRPr="00DF7BB4">
        <w:t>i</w:t>
      </w:r>
      <w:proofErr w:type="spellEnd"/>
      <w:r w:rsidRPr="00DF7BB4">
        <w:t>)</w:t>
      </w:r>
      <w:r w:rsidRPr="00DF7BB4">
        <w:tab/>
        <w:t>so much of the person’s remuneration as is conditional on the achievement of objectives directly related to the credit product; or</w:t>
      </w:r>
    </w:p>
    <w:p w14:paraId="72E1E453" w14:textId="77777777" w:rsidR="00870BBE" w:rsidRPr="00DF7BB4" w:rsidRDefault="00870BBE" w:rsidP="00DF7BB4">
      <w:pPr>
        <w:pStyle w:val="paragraphsub"/>
      </w:pPr>
      <w:r w:rsidRPr="00DF7BB4">
        <w:tab/>
        <w:t>(ii)</w:t>
      </w:r>
      <w:r w:rsidRPr="00DF7BB4">
        <w:tab/>
        <w:t>a fee, charge or other consideration paid or payable to the person by a consumer.</w:t>
      </w:r>
    </w:p>
    <w:p w14:paraId="5F01343E" w14:textId="77777777" w:rsidR="00870BBE" w:rsidRPr="00DF7BB4" w:rsidRDefault="00870BBE" w:rsidP="00DF7BB4">
      <w:pPr>
        <w:pStyle w:val="ActHead6"/>
        <w:pageBreakBefore/>
      </w:pPr>
      <w:bookmarkStart w:id="33" w:name="_Toc76040399"/>
      <w:r w:rsidRPr="008D4F4F">
        <w:rPr>
          <w:rStyle w:val="CharAmSchNo"/>
        </w:rPr>
        <w:t>Schedule 5</w:t>
      </w:r>
      <w:r w:rsidRPr="00DF7BB4">
        <w:t>—</w:t>
      </w:r>
      <w:r w:rsidRPr="008D4F4F">
        <w:rPr>
          <w:rStyle w:val="CharAmSchText"/>
        </w:rPr>
        <w:t>New Zealand sports teams members and support staff</w:t>
      </w:r>
      <w:bookmarkEnd w:id="33"/>
    </w:p>
    <w:p w14:paraId="4C3E2489" w14:textId="77777777" w:rsidR="00870BBE" w:rsidRPr="008D4F4F" w:rsidRDefault="00870BBE" w:rsidP="00DF7BB4">
      <w:pPr>
        <w:pStyle w:val="Header"/>
      </w:pPr>
      <w:r w:rsidRPr="008D4F4F">
        <w:rPr>
          <w:rStyle w:val="CharAmPartNo"/>
        </w:rPr>
        <w:t xml:space="preserve"> </w:t>
      </w:r>
      <w:r w:rsidRPr="008D4F4F">
        <w:rPr>
          <w:rStyle w:val="CharAmPartText"/>
        </w:rPr>
        <w:t xml:space="preserve"> </w:t>
      </w:r>
    </w:p>
    <w:p w14:paraId="070C78D6" w14:textId="77777777" w:rsidR="00870BBE" w:rsidRPr="00DF7BB4" w:rsidRDefault="00870BBE" w:rsidP="00DF7BB4">
      <w:pPr>
        <w:pStyle w:val="ActHead9"/>
        <w:rPr>
          <w:i w:val="0"/>
        </w:rPr>
      </w:pPr>
      <w:bookmarkStart w:id="34" w:name="_Toc76040400"/>
      <w:r w:rsidRPr="00DF7BB4">
        <w:t>International Tax Agreements Act 1953</w:t>
      </w:r>
      <w:bookmarkEnd w:id="34"/>
    </w:p>
    <w:p w14:paraId="04844DC9" w14:textId="77777777" w:rsidR="00870BBE" w:rsidRPr="00DF7BB4" w:rsidRDefault="00357828" w:rsidP="00DF7BB4">
      <w:pPr>
        <w:pStyle w:val="ItemHead"/>
      </w:pPr>
      <w:r w:rsidRPr="00DF7BB4">
        <w:t>1</w:t>
      </w:r>
      <w:r w:rsidR="00870BBE" w:rsidRPr="00DF7BB4">
        <w:t xml:space="preserve">  Subsection 5(1) (table item dealing with New Zealand convention)</w:t>
      </w:r>
    </w:p>
    <w:p w14:paraId="62A8D9A8" w14:textId="77777777" w:rsidR="00870BBE" w:rsidRPr="00DF7BB4" w:rsidRDefault="00870BBE" w:rsidP="00DF7BB4">
      <w:pPr>
        <w:pStyle w:val="Item"/>
      </w:pPr>
      <w:r w:rsidRPr="00DF7BB4">
        <w:t>Repeal the item, substitute:</w:t>
      </w:r>
    </w:p>
    <w:tbl>
      <w:tblPr>
        <w:tblW w:w="0" w:type="auto"/>
        <w:tblInd w:w="1242" w:type="dxa"/>
        <w:tblLayout w:type="fixed"/>
        <w:tblLook w:val="0000" w:firstRow="0" w:lastRow="0" w:firstColumn="0" w:lastColumn="0" w:noHBand="0" w:noVBand="0"/>
      </w:tblPr>
      <w:tblGrid>
        <w:gridCol w:w="3402"/>
        <w:gridCol w:w="2558"/>
      </w:tblGrid>
      <w:tr w:rsidR="00870BBE" w:rsidRPr="00DF7BB4" w14:paraId="3F78A368" w14:textId="77777777" w:rsidTr="00870BBE">
        <w:tc>
          <w:tcPr>
            <w:tcW w:w="3402" w:type="dxa"/>
            <w:shd w:val="clear" w:color="auto" w:fill="auto"/>
          </w:tcPr>
          <w:p w14:paraId="02B2E05F" w14:textId="77777777" w:rsidR="00870BBE" w:rsidRPr="00DF7BB4" w:rsidRDefault="00870BBE" w:rsidP="00DF7BB4">
            <w:pPr>
              <w:pStyle w:val="Tabletext"/>
            </w:pPr>
            <w:r w:rsidRPr="00DF7BB4">
              <w:t>New Zealand convention</w:t>
            </w:r>
          </w:p>
        </w:tc>
        <w:tc>
          <w:tcPr>
            <w:tcW w:w="2558" w:type="dxa"/>
            <w:shd w:val="clear" w:color="auto" w:fill="auto"/>
          </w:tcPr>
          <w:p w14:paraId="235643ED" w14:textId="77777777" w:rsidR="00870BBE" w:rsidRPr="00DF7BB4" w:rsidRDefault="00870BBE" w:rsidP="00DF7BB4">
            <w:pPr>
              <w:pStyle w:val="Tabletext"/>
            </w:pPr>
            <w:r w:rsidRPr="00DF7BB4">
              <w:t>section 6B</w:t>
            </w:r>
          </w:p>
        </w:tc>
      </w:tr>
    </w:tbl>
    <w:p w14:paraId="1221A221" w14:textId="77777777" w:rsidR="00870BBE" w:rsidRPr="00DF7BB4" w:rsidRDefault="00357828" w:rsidP="00DF7BB4">
      <w:pPr>
        <w:pStyle w:val="ItemHead"/>
      </w:pPr>
      <w:r w:rsidRPr="00DF7BB4">
        <w:t>2</w:t>
      </w:r>
      <w:r w:rsidR="00870BBE" w:rsidRPr="00DF7BB4">
        <w:t xml:space="preserve">  After section 6A</w:t>
      </w:r>
    </w:p>
    <w:p w14:paraId="2F557B32" w14:textId="77777777" w:rsidR="00870BBE" w:rsidRPr="00DF7BB4" w:rsidRDefault="00870BBE" w:rsidP="00DF7BB4">
      <w:pPr>
        <w:pStyle w:val="Item"/>
      </w:pPr>
      <w:r w:rsidRPr="00DF7BB4">
        <w:t>Insert:</w:t>
      </w:r>
    </w:p>
    <w:p w14:paraId="7D63F145" w14:textId="77777777" w:rsidR="00870BBE" w:rsidRPr="00DF7BB4" w:rsidRDefault="00870BBE" w:rsidP="00DF7BB4">
      <w:pPr>
        <w:pStyle w:val="ActHead5"/>
      </w:pPr>
      <w:bookmarkStart w:id="35" w:name="_Hlk71215634"/>
      <w:bookmarkStart w:id="36" w:name="_Toc76040401"/>
      <w:r w:rsidRPr="008D4F4F">
        <w:rPr>
          <w:rStyle w:val="CharSectno"/>
        </w:rPr>
        <w:t>6B</w:t>
      </w:r>
      <w:r w:rsidRPr="00DF7BB4">
        <w:t xml:space="preserve">  Convention with New Zealand</w:t>
      </w:r>
      <w:bookmarkEnd w:id="36"/>
    </w:p>
    <w:p w14:paraId="7E2BE889" w14:textId="77777777" w:rsidR="00870BBE" w:rsidRPr="00DF7BB4" w:rsidRDefault="00870BBE" w:rsidP="00DF7BB4">
      <w:pPr>
        <w:pStyle w:val="subsection"/>
      </w:pPr>
      <w:bookmarkStart w:id="37" w:name="_Hlk71214779"/>
      <w:r w:rsidRPr="00DF7BB4">
        <w:tab/>
        <w:t>(1)</w:t>
      </w:r>
      <w:r w:rsidRPr="00DF7BB4">
        <w:tab/>
        <w:t>This section applies in relation to:</w:t>
      </w:r>
    </w:p>
    <w:p w14:paraId="7584D55D" w14:textId="77777777" w:rsidR="00870BBE" w:rsidRPr="00DF7BB4" w:rsidRDefault="00870BBE" w:rsidP="00DF7BB4">
      <w:pPr>
        <w:pStyle w:val="paragraph"/>
      </w:pPr>
      <w:r w:rsidRPr="00DF7BB4">
        <w:tab/>
        <w:t>(a)</w:t>
      </w:r>
      <w:r w:rsidRPr="00DF7BB4">
        <w:tab/>
        <w:t>income described in paragraph 3 of Article 17 of the New Zealand convention, derived in respect of personal activities exercised by a sportsperson; and</w:t>
      </w:r>
    </w:p>
    <w:p w14:paraId="03FA4BE5" w14:textId="77777777" w:rsidR="00870BBE" w:rsidRPr="00DF7BB4" w:rsidRDefault="00870BBE" w:rsidP="00DF7BB4">
      <w:pPr>
        <w:pStyle w:val="paragraph"/>
      </w:pPr>
      <w:bookmarkStart w:id="38" w:name="_Hlk71215275"/>
      <w:bookmarkStart w:id="39" w:name="_Hlk71214392"/>
      <w:bookmarkEnd w:id="37"/>
      <w:r w:rsidRPr="00DF7BB4">
        <w:tab/>
        <w:t>(b)</w:t>
      </w:r>
      <w:r w:rsidRPr="00DF7BB4">
        <w:tab/>
        <w:t>income derived by an individual covered by subsection (4) in respect of a sportsperson, if that income is derived from providing services mentioned in paragraph (4)(a) to:</w:t>
      </w:r>
    </w:p>
    <w:p w14:paraId="343E5474" w14:textId="77777777" w:rsidR="00870BBE" w:rsidRPr="00DF7BB4" w:rsidRDefault="00870BBE" w:rsidP="00DF7BB4">
      <w:pPr>
        <w:pStyle w:val="paragraphsub"/>
      </w:pPr>
      <w:r w:rsidRPr="00DF7BB4">
        <w:tab/>
        <w:t>(</w:t>
      </w:r>
      <w:proofErr w:type="spellStart"/>
      <w:r w:rsidRPr="00DF7BB4">
        <w:t>i</w:t>
      </w:r>
      <w:proofErr w:type="spellEnd"/>
      <w:r w:rsidRPr="00DF7BB4">
        <w:t>)</w:t>
      </w:r>
      <w:r w:rsidRPr="00DF7BB4">
        <w:tab/>
        <w:t>the sportsperson in deriving income mentioned in paragraph (a); or</w:t>
      </w:r>
    </w:p>
    <w:p w14:paraId="563AABD3" w14:textId="77777777" w:rsidR="00870BBE" w:rsidRPr="00DF7BB4" w:rsidRDefault="00870BBE" w:rsidP="00DF7BB4">
      <w:pPr>
        <w:pStyle w:val="paragraphsub"/>
      </w:pPr>
      <w:r w:rsidRPr="00DF7BB4">
        <w:tab/>
        <w:t>(ii)</w:t>
      </w:r>
      <w:r w:rsidRPr="00DF7BB4">
        <w:tab/>
        <w:t>a recognised team regularly playing in a league competition (as described in paragraph 3 of Article 17 of the New Zealand convention) of which the sportsperson is a member</w:t>
      </w:r>
      <w:r w:rsidRPr="00DF7BB4">
        <w:rPr>
          <w:i/>
        </w:rPr>
        <w:t>.</w:t>
      </w:r>
    </w:p>
    <w:bookmarkEnd w:id="35"/>
    <w:bookmarkEnd w:id="38"/>
    <w:bookmarkEnd w:id="39"/>
    <w:p w14:paraId="23DE94A5" w14:textId="77777777" w:rsidR="00870BBE" w:rsidRPr="00DF7BB4" w:rsidRDefault="00870BBE" w:rsidP="00DF7BB4">
      <w:pPr>
        <w:pStyle w:val="subsection"/>
      </w:pPr>
      <w:r w:rsidRPr="00DF7BB4">
        <w:tab/>
        <w:t>(2)</w:t>
      </w:r>
      <w:r w:rsidRPr="00DF7BB4">
        <w:tab/>
        <w:t>Subsection (3) applies in determining whether an individual was present in Australia on a particular day, for the purposes of determining whether the condition in subparagraph 2(a) of Article 14 of the New Zealand convention was met in relation to:</w:t>
      </w:r>
    </w:p>
    <w:p w14:paraId="2CF9535C" w14:textId="77777777" w:rsidR="00870BBE" w:rsidRPr="00DF7BB4" w:rsidRDefault="00870BBE" w:rsidP="00DF7BB4">
      <w:pPr>
        <w:pStyle w:val="paragraph"/>
      </w:pPr>
      <w:r w:rsidRPr="00DF7BB4">
        <w:tab/>
        <w:t>(a)</w:t>
      </w:r>
      <w:r w:rsidRPr="00DF7BB4">
        <w:tab/>
        <w:t>the 2020</w:t>
      </w:r>
      <w:r w:rsidR="00DF7BB4">
        <w:noBreakHyphen/>
      </w:r>
      <w:r w:rsidRPr="00DF7BB4">
        <w:t>21 year of income; or</w:t>
      </w:r>
    </w:p>
    <w:p w14:paraId="73FFCCF5" w14:textId="77777777" w:rsidR="00870BBE" w:rsidRPr="00DF7BB4" w:rsidRDefault="00870BBE" w:rsidP="00DF7BB4">
      <w:pPr>
        <w:pStyle w:val="paragraph"/>
      </w:pPr>
      <w:r w:rsidRPr="00DF7BB4">
        <w:tab/>
        <w:t>(b)</w:t>
      </w:r>
      <w:r w:rsidRPr="00DF7BB4">
        <w:tab/>
        <w:t>the 2021</w:t>
      </w:r>
      <w:r w:rsidR="00DF7BB4">
        <w:noBreakHyphen/>
      </w:r>
      <w:r w:rsidRPr="00DF7BB4">
        <w:t>22 year of income.</w:t>
      </w:r>
    </w:p>
    <w:p w14:paraId="3766B95B" w14:textId="77777777" w:rsidR="00870BBE" w:rsidRPr="00DF7BB4" w:rsidRDefault="00870BBE" w:rsidP="00DF7BB4">
      <w:pPr>
        <w:pStyle w:val="subsection"/>
      </w:pPr>
      <w:r w:rsidRPr="00DF7BB4">
        <w:tab/>
        <w:t>(3)</w:t>
      </w:r>
      <w:r w:rsidRPr="00DF7BB4">
        <w:tab/>
        <w:t>Treat the individual as not being present in Australia on that day if it was impractical, because of measures or arrangements related to the coronavirus known as COVID</w:t>
      </w:r>
      <w:r w:rsidR="00DF7BB4">
        <w:noBreakHyphen/>
      </w:r>
      <w:r w:rsidRPr="00DF7BB4">
        <w:t>19, for the individual to leave Australia on that day and continue to:</w:t>
      </w:r>
    </w:p>
    <w:p w14:paraId="7AE1B6B1" w14:textId="77777777" w:rsidR="00870BBE" w:rsidRPr="00DF7BB4" w:rsidRDefault="00870BBE" w:rsidP="00DF7BB4">
      <w:pPr>
        <w:pStyle w:val="paragraph"/>
      </w:pPr>
      <w:r w:rsidRPr="00DF7BB4">
        <w:tab/>
        <w:t>(a)</w:t>
      </w:r>
      <w:r w:rsidRPr="00DF7BB4">
        <w:tab/>
        <w:t>exercise the personal activities mentioned in paragraph (1)(a); or</w:t>
      </w:r>
    </w:p>
    <w:p w14:paraId="402A8DF3" w14:textId="77777777" w:rsidR="00870BBE" w:rsidRPr="00DF7BB4" w:rsidRDefault="00870BBE" w:rsidP="00DF7BB4">
      <w:pPr>
        <w:pStyle w:val="paragraph"/>
      </w:pPr>
      <w:r w:rsidRPr="00DF7BB4">
        <w:tab/>
        <w:t>(b)</w:t>
      </w:r>
      <w:r w:rsidRPr="00DF7BB4">
        <w:tab/>
        <w:t>provide the services mentioned in paragraph (1)(b).</w:t>
      </w:r>
    </w:p>
    <w:p w14:paraId="3B94819D" w14:textId="77777777" w:rsidR="00870BBE" w:rsidRPr="00DF7BB4" w:rsidRDefault="00870BBE" w:rsidP="00DF7BB4">
      <w:pPr>
        <w:pStyle w:val="subsection"/>
      </w:pPr>
      <w:r w:rsidRPr="00DF7BB4">
        <w:tab/>
        <w:t>(4)</w:t>
      </w:r>
      <w:r w:rsidRPr="00DF7BB4">
        <w:tab/>
        <w:t>This subsection covers, in respect of a sportsperson, an individual who:</w:t>
      </w:r>
    </w:p>
    <w:p w14:paraId="4B3D31CF" w14:textId="77777777" w:rsidR="00870BBE" w:rsidRPr="00DF7BB4" w:rsidRDefault="00870BBE" w:rsidP="00DF7BB4">
      <w:pPr>
        <w:pStyle w:val="paragraph"/>
      </w:pPr>
      <w:r w:rsidRPr="00DF7BB4">
        <w:tab/>
        <w:t>(a)</w:t>
      </w:r>
      <w:r w:rsidRPr="00DF7BB4">
        <w:tab/>
        <w:t>provides any of the following services to the sportsperson or to a recognised team of which the sportsperson is a member:</w:t>
      </w:r>
    </w:p>
    <w:p w14:paraId="05ACC0DF" w14:textId="77777777" w:rsidR="00870BBE" w:rsidRPr="00DF7BB4" w:rsidRDefault="00870BBE" w:rsidP="00DF7BB4">
      <w:pPr>
        <w:pStyle w:val="paragraphsub"/>
      </w:pPr>
      <w:r w:rsidRPr="00DF7BB4">
        <w:tab/>
        <w:t>(</w:t>
      </w:r>
      <w:proofErr w:type="spellStart"/>
      <w:r w:rsidRPr="00DF7BB4">
        <w:t>i</w:t>
      </w:r>
      <w:proofErr w:type="spellEnd"/>
      <w:r w:rsidRPr="00DF7BB4">
        <w:t>)</w:t>
      </w:r>
      <w:r w:rsidRPr="00DF7BB4">
        <w:tab/>
        <w:t>services as a manager, coach, trainer, runner, physician or physiotherapist;</w:t>
      </w:r>
    </w:p>
    <w:p w14:paraId="4F6FE95A" w14:textId="77777777" w:rsidR="00870BBE" w:rsidRPr="00DF7BB4" w:rsidRDefault="00870BBE" w:rsidP="00DF7BB4">
      <w:pPr>
        <w:pStyle w:val="paragraphsub"/>
      </w:pPr>
      <w:r w:rsidRPr="00DF7BB4">
        <w:tab/>
        <w:t>(ii)</w:t>
      </w:r>
      <w:r w:rsidRPr="00DF7BB4">
        <w:tab/>
        <w:t>advertising or promotional services;</w:t>
      </w:r>
    </w:p>
    <w:p w14:paraId="13580055" w14:textId="77777777" w:rsidR="00870BBE" w:rsidRPr="00DF7BB4" w:rsidRDefault="00870BBE" w:rsidP="00DF7BB4">
      <w:pPr>
        <w:pStyle w:val="paragraphsub"/>
      </w:pPr>
      <w:r w:rsidRPr="00DF7BB4">
        <w:tab/>
        <w:t>(iii)</w:t>
      </w:r>
      <w:r w:rsidRPr="00DF7BB4">
        <w:tab/>
        <w:t>any other similar services; and</w:t>
      </w:r>
    </w:p>
    <w:p w14:paraId="3211802A" w14:textId="77777777" w:rsidR="00870BBE" w:rsidRPr="00DF7BB4" w:rsidRDefault="00870BBE" w:rsidP="00DF7BB4">
      <w:pPr>
        <w:pStyle w:val="paragraph"/>
      </w:pPr>
      <w:r w:rsidRPr="00DF7BB4">
        <w:tab/>
        <w:t>(b)</w:t>
      </w:r>
      <w:r w:rsidRPr="00DF7BB4">
        <w:tab/>
        <w:t>is employed by a person that:</w:t>
      </w:r>
    </w:p>
    <w:p w14:paraId="646EA971" w14:textId="77777777" w:rsidR="00870BBE" w:rsidRPr="00DF7BB4" w:rsidRDefault="00870BBE" w:rsidP="00DF7BB4">
      <w:pPr>
        <w:pStyle w:val="paragraphsub"/>
      </w:pPr>
      <w:r w:rsidRPr="00DF7BB4">
        <w:tab/>
        <w:t>(</w:t>
      </w:r>
      <w:proofErr w:type="spellStart"/>
      <w:r w:rsidRPr="00DF7BB4">
        <w:t>i</w:t>
      </w:r>
      <w:proofErr w:type="spellEnd"/>
      <w:r w:rsidRPr="00DF7BB4">
        <w:t>)</w:t>
      </w:r>
      <w:r w:rsidRPr="00DF7BB4">
        <w:tab/>
        <w:t>employs the sportsperson; or</w:t>
      </w:r>
    </w:p>
    <w:p w14:paraId="04673A42" w14:textId="77777777" w:rsidR="00870BBE" w:rsidRPr="00DF7BB4" w:rsidRDefault="00870BBE" w:rsidP="00DF7BB4">
      <w:pPr>
        <w:pStyle w:val="paragraphsub"/>
      </w:pPr>
      <w:r w:rsidRPr="00DF7BB4">
        <w:tab/>
        <w:t>(ii)</w:t>
      </w:r>
      <w:r w:rsidRPr="00DF7BB4">
        <w:tab/>
        <w:t xml:space="preserve">if a body corporate employs the sportsperson—is a related body corporate (within the meaning of the </w:t>
      </w:r>
      <w:r w:rsidRPr="00DF7BB4">
        <w:rPr>
          <w:i/>
        </w:rPr>
        <w:t>Corporations Act 2001</w:t>
      </w:r>
      <w:r w:rsidRPr="00DF7BB4">
        <w:t>) of that body corporate.</w:t>
      </w:r>
    </w:p>
    <w:p w14:paraId="0732A02A" w14:textId="77777777" w:rsidR="00870BBE" w:rsidRPr="00DF7BB4" w:rsidRDefault="00870BBE" w:rsidP="00DF7BB4">
      <w:pPr>
        <w:pStyle w:val="subsection"/>
      </w:pPr>
      <w:r w:rsidRPr="00DF7BB4">
        <w:tab/>
        <w:t>(5)</w:t>
      </w:r>
      <w:r w:rsidRPr="00DF7BB4">
        <w:tab/>
        <w:t>In this section:</w:t>
      </w:r>
    </w:p>
    <w:p w14:paraId="3C3728D9" w14:textId="77777777" w:rsidR="00870BBE" w:rsidRPr="00DF7BB4" w:rsidRDefault="00870BBE" w:rsidP="00DF7BB4">
      <w:pPr>
        <w:pStyle w:val="Definition"/>
      </w:pPr>
      <w:r w:rsidRPr="00DF7BB4">
        <w:rPr>
          <w:b/>
          <w:i/>
        </w:rPr>
        <w:t>recognised team</w:t>
      </w:r>
      <w:r w:rsidRPr="00DF7BB4">
        <w:t xml:space="preserve"> has the same meaning as in paragraph 3 of Article 17 of the New Zealand convention.</w:t>
      </w:r>
    </w:p>
    <w:p w14:paraId="2B26F283" w14:textId="77777777" w:rsidR="00870BBE" w:rsidRPr="00DF7BB4" w:rsidRDefault="00870BBE" w:rsidP="00DF7BB4">
      <w:pPr>
        <w:pStyle w:val="Definition"/>
      </w:pPr>
      <w:r w:rsidRPr="00DF7BB4">
        <w:rPr>
          <w:b/>
          <w:i/>
        </w:rPr>
        <w:t>sportsperson</w:t>
      </w:r>
      <w:r w:rsidRPr="00DF7BB4">
        <w:t xml:space="preserve"> has the same meaning as in paragraph 3 of Article 17 of the New Zealand convention.</w:t>
      </w:r>
    </w:p>
    <w:p w14:paraId="103251BA" w14:textId="77777777" w:rsidR="00870BBE" w:rsidRPr="00DF7BB4" w:rsidRDefault="00870BBE" w:rsidP="00DF7BB4">
      <w:pPr>
        <w:pStyle w:val="ActHead6"/>
        <w:pageBreakBefore/>
      </w:pPr>
      <w:bookmarkStart w:id="40" w:name="_Toc76040402"/>
      <w:r w:rsidRPr="008D4F4F">
        <w:rPr>
          <w:rStyle w:val="CharAmSchNo"/>
        </w:rPr>
        <w:t>Schedule 6</w:t>
      </w:r>
      <w:r w:rsidRPr="00DF7BB4">
        <w:t>—</w:t>
      </w:r>
      <w:r w:rsidRPr="008D4F4F">
        <w:rPr>
          <w:rStyle w:val="CharAmSchText"/>
        </w:rPr>
        <w:t>Low and Middle Income tax offset</w:t>
      </w:r>
      <w:bookmarkEnd w:id="40"/>
    </w:p>
    <w:p w14:paraId="757600A4" w14:textId="77777777" w:rsidR="00870BBE" w:rsidRPr="008D4F4F" w:rsidRDefault="00870BBE" w:rsidP="00DF7BB4">
      <w:pPr>
        <w:pStyle w:val="Header"/>
      </w:pPr>
      <w:r w:rsidRPr="008D4F4F">
        <w:rPr>
          <w:rStyle w:val="CharAmPartNo"/>
        </w:rPr>
        <w:t xml:space="preserve"> </w:t>
      </w:r>
      <w:r w:rsidRPr="008D4F4F">
        <w:rPr>
          <w:rStyle w:val="CharAmPartText"/>
        </w:rPr>
        <w:t xml:space="preserve"> </w:t>
      </w:r>
    </w:p>
    <w:p w14:paraId="4B039CFF" w14:textId="77777777" w:rsidR="00870BBE" w:rsidRPr="00DF7BB4" w:rsidRDefault="00870BBE" w:rsidP="00DF7BB4">
      <w:pPr>
        <w:pStyle w:val="ActHead9"/>
        <w:rPr>
          <w:i w:val="0"/>
        </w:rPr>
      </w:pPr>
      <w:bookmarkStart w:id="41" w:name="_Toc76040403"/>
      <w:r w:rsidRPr="00DF7BB4">
        <w:t>Treasury Laws Amendment (A Tax Plan for the COVID</w:t>
      </w:r>
      <w:r w:rsidR="00DF7BB4">
        <w:noBreakHyphen/>
      </w:r>
      <w:r w:rsidRPr="00DF7BB4">
        <w:t>19 Economic Recovery) Act 2020</w:t>
      </w:r>
      <w:bookmarkEnd w:id="41"/>
    </w:p>
    <w:p w14:paraId="64AAC192" w14:textId="77777777" w:rsidR="00870BBE" w:rsidRPr="00DF7BB4" w:rsidRDefault="00357828" w:rsidP="00DF7BB4">
      <w:pPr>
        <w:pStyle w:val="ItemHead"/>
      </w:pPr>
      <w:r w:rsidRPr="00DF7BB4">
        <w:t>1</w:t>
      </w:r>
      <w:r w:rsidR="00870BBE" w:rsidRPr="00DF7BB4">
        <w:t xml:space="preserve">  Subsection 2(1) (table item 5, column 2)</w:t>
      </w:r>
    </w:p>
    <w:p w14:paraId="05D0DD34" w14:textId="77777777" w:rsidR="00870BBE" w:rsidRPr="00DF7BB4" w:rsidRDefault="00870BBE" w:rsidP="00DF7BB4">
      <w:pPr>
        <w:pStyle w:val="Item"/>
      </w:pPr>
      <w:r w:rsidRPr="00DF7BB4">
        <w:t>Omit “1 July 2021”, substitute “1 July 2022”.</w:t>
      </w:r>
    </w:p>
    <w:p w14:paraId="38C2BB3B" w14:textId="77777777" w:rsidR="00870BBE" w:rsidRPr="00DF7BB4" w:rsidRDefault="00357828" w:rsidP="00DF7BB4">
      <w:pPr>
        <w:pStyle w:val="ItemHead"/>
      </w:pPr>
      <w:r w:rsidRPr="00DF7BB4">
        <w:t>2</w:t>
      </w:r>
      <w:r w:rsidR="00870BBE" w:rsidRPr="00DF7BB4">
        <w:t xml:space="preserve">  Item 27 of Schedule 1</w:t>
      </w:r>
    </w:p>
    <w:p w14:paraId="219587C6" w14:textId="5586653C" w:rsidR="00870BBE" w:rsidRDefault="00870BBE" w:rsidP="00DF7BB4">
      <w:pPr>
        <w:pStyle w:val="Item"/>
      </w:pPr>
      <w:r w:rsidRPr="00DF7BB4">
        <w:t>Omit “2021</w:t>
      </w:r>
      <w:r w:rsidR="00DF7BB4">
        <w:noBreakHyphen/>
      </w:r>
      <w:r w:rsidRPr="00DF7BB4">
        <w:t>22 income year”, substitute “2022</w:t>
      </w:r>
      <w:r w:rsidR="00DF7BB4">
        <w:noBreakHyphen/>
      </w:r>
      <w:r w:rsidRPr="00DF7BB4">
        <w:t>23 income year”.</w:t>
      </w:r>
    </w:p>
    <w:p w14:paraId="1FE6936E" w14:textId="0C5FE845" w:rsidR="00E82A9C" w:rsidRPr="00E82A9C" w:rsidRDefault="00E82A9C" w:rsidP="00D642FD"/>
    <w:p w14:paraId="5A0BD886" w14:textId="77777777" w:rsidR="00E66D6D" w:rsidRDefault="00E66D6D" w:rsidP="00E66D6D">
      <w:pPr>
        <w:pStyle w:val="AssentBk"/>
        <w:keepNext/>
      </w:pPr>
    </w:p>
    <w:p w14:paraId="137E6480" w14:textId="77777777" w:rsidR="00E66D6D" w:rsidRDefault="00E66D6D" w:rsidP="00E66D6D">
      <w:pPr>
        <w:pStyle w:val="AssentBk"/>
        <w:keepNext/>
      </w:pPr>
    </w:p>
    <w:p w14:paraId="72E2317A" w14:textId="77777777" w:rsidR="00E66D6D" w:rsidRDefault="00E66D6D" w:rsidP="00E66D6D">
      <w:pPr>
        <w:pStyle w:val="2ndRd"/>
        <w:keepNext/>
        <w:pBdr>
          <w:top w:val="single" w:sz="2" w:space="1" w:color="auto"/>
        </w:pBdr>
      </w:pPr>
    </w:p>
    <w:p w14:paraId="743DC133" w14:textId="77777777" w:rsidR="00E66D6D" w:rsidRDefault="00E66D6D" w:rsidP="00C304F7">
      <w:pPr>
        <w:pStyle w:val="2ndRd"/>
        <w:keepNext/>
        <w:spacing w:line="260" w:lineRule="atLeast"/>
        <w:rPr>
          <w:i/>
        </w:rPr>
      </w:pPr>
      <w:r>
        <w:t>[</w:t>
      </w:r>
      <w:r>
        <w:rPr>
          <w:i/>
        </w:rPr>
        <w:t>Minister’s second reading speech made in—</w:t>
      </w:r>
    </w:p>
    <w:p w14:paraId="0029C52E" w14:textId="62900B44" w:rsidR="00E66D6D" w:rsidRDefault="00E66D6D" w:rsidP="00C304F7">
      <w:pPr>
        <w:pStyle w:val="2ndRd"/>
        <w:keepNext/>
        <w:spacing w:line="260" w:lineRule="atLeast"/>
        <w:rPr>
          <w:i/>
        </w:rPr>
      </w:pPr>
      <w:r>
        <w:rPr>
          <w:i/>
        </w:rPr>
        <w:t>House of Representatives on 26 May 2021</w:t>
      </w:r>
    </w:p>
    <w:p w14:paraId="5D7E2EBB" w14:textId="449CA28A" w:rsidR="00E66D6D" w:rsidRDefault="00E66D6D" w:rsidP="00C304F7">
      <w:pPr>
        <w:pStyle w:val="2ndRd"/>
        <w:keepNext/>
        <w:spacing w:line="260" w:lineRule="atLeast"/>
        <w:rPr>
          <w:i/>
        </w:rPr>
      </w:pPr>
      <w:r>
        <w:rPr>
          <w:i/>
        </w:rPr>
        <w:t>Senate on 21 June 2021</w:t>
      </w:r>
      <w:r>
        <w:t>]</w:t>
      </w:r>
    </w:p>
    <w:p w14:paraId="4CD39E8A" w14:textId="77777777" w:rsidR="00E66D6D" w:rsidRDefault="00E66D6D" w:rsidP="00C304F7"/>
    <w:p w14:paraId="565E5577" w14:textId="7D595881" w:rsidR="00D642FD" w:rsidRPr="00E66D6D" w:rsidRDefault="00E66D6D" w:rsidP="00E66D6D">
      <w:pPr>
        <w:framePr w:hSpace="180" w:wrap="around" w:vAnchor="text" w:hAnchor="page" w:x="2410" w:y="4952"/>
      </w:pPr>
      <w:r>
        <w:t>(62/21)</w:t>
      </w:r>
    </w:p>
    <w:p w14:paraId="64D5E905" w14:textId="77777777" w:rsidR="00E66D6D" w:rsidRDefault="00E66D6D"/>
    <w:sectPr w:rsidR="00E66D6D" w:rsidSect="00D642FD">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A65D9" w14:textId="77777777" w:rsidR="00C304F7" w:rsidRDefault="00C304F7" w:rsidP="0048364F">
      <w:pPr>
        <w:spacing w:line="240" w:lineRule="auto"/>
      </w:pPr>
      <w:r>
        <w:separator/>
      </w:r>
    </w:p>
  </w:endnote>
  <w:endnote w:type="continuationSeparator" w:id="0">
    <w:p w14:paraId="599F484F" w14:textId="77777777" w:rsidR="00C304F7" w:rsidRDefault="00C304F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A66D4" w14:textId="77777777" w:rsidR="00C304F7" w:rsidRPr="005F1388" w:rsidRDefault="00C304F7" w:rsidP="00DF7BB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04FB8" w14:textId="023A76B6" w:rsidR="00C304F7" w:rsidRDefault="00C304F7" w:rsidP="00C304F7">
    <w:pPr>
      <w:pStyle w:val="ScalePlusRef"/>
    </w:pPr>
    <w:r>
      <w:t>Note: An electronic version of this Act is available on the Federal Register of Legislation (</w:t>
    </w:r>
    <w:hyperlink r:id="rId1" w:history="1">
      <w:r>
        <w:t>https://www.legislation.gov.au/</w:t>
      </w:r>
    </w:hyperlink>
    <w:r>
      <w:t>)</w:t>
    </w:r>
  </w:p>
  <w:p w14:paraId="35BF2D52" w14:textId="77777777" w:rsidR="00C304F7" w:rsidRDefault="00C304F7" w:rsidP="00C304F7"/>
  <w:p w14:paraId="3168266B" w14:textId="48F0ECFC" w:rsidR="00C304F7" w:rsidRDefault="00C304F7" w:rsidP="00DF7BB4">
    <w:pPr>
      <w:pStyle w:val="Footer"/>
      <w:spacing w:before="120"/>
    </w:pPr>
  </w:p>
  <w:p w14:paraId="03969F08" w14:textId="77777777" w:rsidR="00C304F7" w:rsidRPr="005F1388" w:rsidRDefault="00C304F7"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D4234" w14:textId="77777777" w:rsidR="00C304F7" w:rsidRPr="00ED79B6" w:rsidRDefault="00C304F7" w:rsidP="00DF7BB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4CA3D" w14:textId="77777777" w:rsidR="00C304F7" w:rsidRDefault="00C304F7" w:rsidP="00DF7BB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304F7" w14:paraId="709B5C69" w14:textId="77777777" w:rsidTr="0047329B">
      <w:tc>
        <w:tcPr>
          <w:tcW w:w="646" w:type="dxa"/>
        </w:tcPr>
        <w:p w14:paraId="153F604D" w14:textId="77777777" w:rsidR="00C304F7" w:rsidRDefault="00C304F7" w:rsidP="0047329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xviii</w:t>
          </w:r>
          <w:r w:rsidRPr="00ED79B6">
            <w:rPr>
              <w:i/>
              <w:sz w:val="18"/>
            </w:rPr>
            <w:fldChar w:fldCharType="end"/>
          </w:r>
        </w:p>
      </w:tc>
      <w:tc>
        <w:tcPr>
          <w:tcW w:w="5387" w:type="dxa"/>
        </w:tcPr>
        <w:p w14:paraId="3B5E3128" w14:textId="376BF0D5" w:rsidR="00C304F7" w:rsidRDefault="00C304F7" w:rsidP="0047329B">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9251A">
            <w:rPr>
              <w:i/>
              <w:sz w:val="18"/>
            </w:rPr>
            <w:t>Treasury Laws Amendment (2021 Measures No. 4) Act 2021</w:t>
          </w:r>
          <w:r w:rsidRPr="00ED79B6">
            <w:rPr>
              <w:i/>
              <w:sz w:val="18"/>
            </w:rPr>
            <w:fldChar w:fldCharType="end"/>
          </w:r>
        </w:p>
      </w:tc>
      <w:tc>
        <w:tcPr>
          <w:tcW w:w="1270" w:type="dxa"/>
        </w:tcPr>
        <w:p w14:paraId="27909470" w14:textId="5FB4E2FC" w:rsidR="00C304F7" w:rsidRDefault="00C304F7" w:rsidP="0047329B">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9251A">
            <w:rPr>
              <w:i/>
              <w:sz w:val="18"/>
            </w:rPr>
            <w:t>No. 72, 2021</w:t>
          </w:r>
          <w:r w:rsidRPr="00ED79B6">
            <w:rPr>
              <w:i/>
              <w:sz w:val="18"/>
            </w:rPr>
            <w:fldChar w:fldCharType="end"/>
          </w:r>
        </w:p>
      </w:tc>
    </w:tr>
  </w:tbl>
  <w:p w14:paraId="13350C2D" w14:textId="77777777" w:rsidR="00C304F7" w:rsidRDefault="00C304F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948BD" w14:textId="77777777" w:rsidR="00C304F7" w:rsidRDefault="00C304F7" w:rsidP="00DF7BB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304F7" w14:paraId="278DF22D" w14:textId="77777777" w:rsidTr="0047329B">
      <w:tc>
        <w:tcPr>
          <w:tcW w:w="1247" w:type="dxa"/>
        </w:tcPr>
        <w:p w14:paraId="41482B24" w14:textId="509D40C1" w:rsidR="00C304F7" w:rsidRDefault="00C304F7" w:rsidP="0047329B">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9251A">
            <w:rPr>
              <w:i/>
              <w:sz w:val="18"/>
            </w:rPr>
            <w:t>No. 72, 2021</w:t>
          </w:r>
          <w:r w:rsidRPr="00ED79B6">
            <w:rPr>
              <w:i/>
              <w:sz w:val="18"/>
            </w:rPr>
            <w:fldChar w:fldCharType="end"/>
          </w:r>
        </w:p>
      </w:tc>
      <w:tc>
        <w:tcPr>
          <w:tcW w:w="5387" w:type="dxa"/>
        </w:tcPr>
        <w:p w14:paraId="08ABCB90" w14:textId="4F6D3DA8" w:rsidR="00C304F7" w:rsidRDefault="00C304F7" w:rsidP="0047329B">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9251A">
            <w:rPr>
              <w:i/>
              <w:sz w:val="18"/>
            </w:rPr>
            <w:t>Treasury Laws Amendment (2021 Measures No. 4) Act 2021</w:t>
          </w:r>
          <w:r w:rsidRPr="00ED79B6">
            <w:rPr>
              <w:i/>
              <w:sz w:val="18"/>
            </w:rPr>
            <w:fldChar w:fldCharType="end"/>
          </w:r>
        </w:p>
      </w:tc>
      <w:tc>
        <w:tcPr>
          <w:tcW w:w="669" w:type="dxa"/>
        </w:tcPr>
        <w:p w14:paraId="41AD11BA" w14:textId="77777777" w:rsidR="00C304F7" w:rsidRDefault="00C304F7" w:rsidP="0047329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B906784" w14:textId="77777777" w:rsidR="00C304F7" w:rsidRPr="00ED79B6" w:rsidRDefault="00C304F7"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DB287" w14:textId="77777777" w:rsidR="00C304F7" w:rsidRPr="00A961C4" w:rsidRDefault="00C304F7" w:rsidP="00DF7BB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304F7" w14:paraId="62DA8542" w14:textId="77777777" w:rsidTr="008D4F4F">
      <w:tc>
        <w:tcPr>
          <w:tcW w:w="646" w:type="dxa"/>
        </w:tcPr>
        <w:p w14:paraId="5EF6D057" w14:textId="77777777" w:rsidR="00C304F7" w:rsidRDefault="00C304F7" w:rsidP="0047329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18</w:t>
          </w:r>
          <w:r w:rsidRPr="007A1328">
            <w:rPr>
              <w:i/>
              <w:sz w:val="18"/>
            </w:rPr>
            <w:fldChar w:fldCharType="end"/>
          </w:r>
        </w:p>
      </w:tc>
      <w:tc>
        <w:tcPr>
          <w:tcW w:w="5387" w:type="dxa"/>
        </w:tcPr>
        <w:p w14:paraId="3DA377A4" w14:textId="222480A8" w:rsidR="00C304F7" w:rsidRDefault="00C304F7" w:rsidP="0047329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9251A">
            <w:rPr>
              <w:i/>
              <w:sz w:val="18"/>
            </w:rPr>
            <w:t>Treasury Laws Amendment (2021 Measures No. 4) Act 2021</w:t>
          </w:r>
          <w:r w:rsidRPr="007A1328">
            <w:rPr>
              <w:i/>
              <w:sz w:val="18"/>
            </w:rPr>
            <w:fldChar w:fldCharType="end"/>
          </w:r>
        </w:p>
      </w:tc>
      <w:tc>
        <w:tcPr>
          <w:tcW w:w="1270" w:type="dxa"/>
        </w:tcPr>
        <w:p w14:paraId="4331A6D8" w14:textId="5AB25139" w:rsidR="00C304F7" w:rsidRDefault="00C304F7" w:rsidP="0047329B">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9251A">
            <w:rPr>
              <w:i/>
              <w:sz w:val="18"/>
            </w:rPr>
            <w:t>No. 72, 2021</w:t>
          </w:r>
          <w:r w:rsidRPr="007A1328">
            <w:rPr>
              <w:i/>
              <w:sz w:val="18"/>
            </w:rPr>
            <w:fldChar w:fldCharType="end"/>
          </w:r>
        </w:p>
      </w:tc>
    </w:tr>
  </w:tbl>
  <w:p w14:paraId="7437182E" w14:textId="77777777" w:rsidR="00C304F7" w:rsidRPr="00A961C4" w:rsidRDefault="00C304F7"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03061" w14:textId="77777777" w:rsidR="00C304F7" w:rsidRPr="00A961C4" w:rsidRDefault="00C304F7" w:rsidP="00DF7BB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304F7" w14:paraId="07AA3E9B" w14:textId="77777777" w:rsidTr="008D4F4F">
      <w:tc>
        <w:tcPr>
          <w:tcW w:w="1247" w:type="dxa"/>
        </w:tcPr>
        <w:p w14:paraId="3D5CD6E6" w14:textId="698DB987" w:rsidR="00C304F7" w:rsidRDefault="00C304F7" w:rsidP="0047329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9251A">
            <w:rPr>
              <w:i/>
              <w:sz w:val="18"/>
            </w:rPr>
            <w:t>No. 72, 2021</w:t>
          </w:r>
          <w:r w:rsidRPr="007A1328">
            <w:rPr>
              <w:i/>
              <w:sz w:val="18"/>
            </w:rPr>
            <w:fldChar w:fldCharType="end"/>
          </w:r>
        </w:p>
      </w:tc>
      <w:tc>
        <w:tcPr>
          <w:tcW w:w="5387" w:type="dxa"/>
        </w:tcPr>
        <w:p w14:paraId="2DAD1CCF" w14:textId="6DB4B355" w:rsidR="00C304F7" w:rsidRDefault="00C304F7" w:rsidP="0047329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9251A">
            <w:rPr>
              <w:i/>
              <w:sz w:val="18"/>
            </w:rPr>
            <w:t>Treasury Laws Amendment (2021 Measures No. 4) Act 2021</w:t>
          </w:r>
          <w:r w:rsidRPr="007A1328">
            <w:rPr>
              <w:i/>
              <w:sz w:val="18"/>
            </w:rPr>
            <w:fldChar w:fldCharType="end"/>
          </w:r>
        </w:p>
      </w:tc>
      <w:tc>
        <w:tcPr>
          <w:tcW w:w="669" w:type="dxa"/>
        </w:tcPr>
        <w:p w14:paraId="6536F036" w14:textId="77777777" w:rsidR="00C304F7" w:rsidRDefault="00C304F7" w:rsidP="0047329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17</w:t>
          </w:r>
          <w:r w:rsidRPr="007A1328">
            <w:rPr>
              <w:i/>
              <w:sz w:val="18"/>
            </w:rPr>
            <w:fldChar w:fldCharType="end"/>
          </w:r>
        </w:p>
      </w:tc>
    </w:tr>
  </w:tbl>
  <w:p w14:paraId="293084DF" w14:textId="77777777" w:rsidR="00C304F7" w:rsidRPr="00055B5C" w:rsidRDefault="00C304F7"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884ED" w14:textId="77777777" w:rsidR="00C304F7" w:rsidRPr="00A961C4" w:rsidRDefault="00C304F7" w:rsidP="00DF7BB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C304F7" w14:paraId="01D2D7BF" w14:textId="77777777" w:rsidTr="008D4F4F">
      <w:tc>
        <w:tcPr>
          <w:tcW w:w="1247" w:type="dxa"/>
        </w:tcPr>
        <w:p w14:paraId="4AF058C1" w14:textId="5B62C3B0" w:rsidR="00C304F7" w:rsidRDefault="00C304F7" w:rsidP="0047329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9251A">
            <w:rPr>
              <w:i/>
              <w:sz w:val="18"/>
            </w:rPr>
            <w:t>No. 72, 2021</w:t>
          </w:r>
          <w:r w:rsidRPr="007A1328">
            <w:rPr>
              <w:i/>
              <w:sz w:val="18"/>
            </w:rPr>
            <w:fldChar w:fldCharType="end"/>
          </w:r>
        </w:p>
      </w:tc>
      <w:tc>
        <w:tcPr>
          <w:tcW w:w="5387" w:type="dxa"/>
        </w:tcPr>
        <w:p w14:paraId="0189CA18" w14:textId="747BFBC7" w:rsidR="00C304F7" w:rsidRDefault="00C304F7" w:rsidP="0047329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9251A">
            <w:rPr>
              <w:i/>
              <w:sz w:val="18"/>
            </w:rPr>
            <w:t>Treasury Laws Amendment (2021 Measures No. 4) Act 2021</w:t>
          </w:r>
          <w:r w:rsidRPr="007A1328">
            <w:rPr>
              <w:i/>
              <w:sz w:val="18"/>
            </w:rPr>
            <w:fldChar w:fldCharType="end"/>
          </w:r>
        </w:p>
      </w:tc>
      <w:tc>
        <w:tcPr>
          <w:tcW w:w="669" w:type="dxa"/>
        </w:tcPr>
        <w:p w14:paraId="1E1AB65D" w14:textId="77777777" w:rsidR="00C304F7" w:rsidRDefault="00C304F7" w:rsidP="0047329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10AB5DB8" w14:textId="77777777" w:rsidR="00C304F7" w:rsidRPr="00A961C4" w:rsidRDefault="00C304F7"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BCF97" w14:textId="77777777" w:rsidR="00C304F7" w:rsidRDefault="00C304F7" w:rsidP="0048364F">
      <w:pPr>
        <w:spacing w:line="240" w:lineRule="auto"/>
      </w:pPr>
      <w:r>
        <w:separator/>
      </w:r>
    </w:p>
  </w:footnote>
  <w:footnote w:type="continuationSeparator" w:id="0">
    <w:p w14:paraId="034543A7" w14:textId="77777777" w:rsidR="00C304F7" w:rsidRDefault="00C304F7"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8CE6B" w14:textId="77777777" w:rsidR="00C304F7" w:rsidRPr="005F1388" w:rsidRDefault="00C304F7"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8872F" w14:textId="77777777" w:rsidR="00C304F7" w:rsidRPr="005F1388" w:rsidRDefault="00C304F7"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C0B94" w14:textId="77777777" w:rsidR="00C304F7" w:rsidRPr="005F1388" w:rsidRDefault="00C304F7"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B0591" w14:textId="77777777" w:rsidR="00C304F7" w:rsidRPr="00ED79B6" w:rsidRDefault="00C304F7"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E7E78" w14:textId="77777777" w:rsidR="00C304F7" w:rsidRPr="00ED79B6" w:rsidRDefault="00C304F7"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CF37C" w14:textId="77777777" w:rsidR="00C304F7" w:rsidRPr="00ED79B6" w:rsidRDefault="00C304F7"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46885" w14:textId="22426828" w:rsidR="00C304F7" w:rsidRPr="00A961C4" w:rsidRDefault="00C304F7" w:rsidP="0048364F">
    <w:pPr>
      <w:rPr>
        <w:b/>
        <w:sz w:val="20"/>
      </w:rPr>
    </w:pPr>
    <w:r>
      <w:rPr>
        <w:b/>
        <w:sz w:val="20"/>
      </w:rPr>
      <w:fldChar w:fldCharType="begin"/>
    </w:r>
    <w:r>
      <w:rPr>
        <w:b/>
        <w:sz w:val="20"/>
      </w:rPr>
      <w:instrText xml:space="preserve"> STYLEREF CharAmSchNo </w:instrText>
    </w:r>
    <w:r w:rsidR="00B9251A">
      <w:rPr>
        <w:b/>
        <w:sz w:val="20"/>
      </w:rPr>
      <w:fldChar w:fldCharType="separate"/>
    </w:r>
    <w:r w:rsidR="00B9251A">
      <w:rPr>
        <w:b/>
        <w:noProof/>
        <w:sz w:val="20"/>
      </w:rPr>
      <w:t>Schedule 6</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B9251A">
      <w:rPr>
        <w:sz w:val="20"/>
      </w:rPr>
      <w:fldChar w:fldCharType="separate"/>
    </w:r>
    <w:r w:rsidR="00B9251A">
      <w:rPr>
        <w:noProof/>
        <w:sz w:val="20"/>
      </w:rPr>
      <w:t>Low and Middle Income tax offset</w:t>
    </w:r>
    <w:r>
      <w:rPr>
        <w:sz w:val="20"/>
      </w:rPr>
      <w:fldChar w:fldCharType="end"/>
    </w:r>
  </w:p>
  <w:p w14:paraId="302AB0D3" w14:textId="23D1782F" w:rsidR="00C304F7" w:rsidRPr="00A961C4" w:rsidRDefault="00C304F7"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70CE67D0" w14:textId="77777777" w:rsidR="00C304F7" w:rsidRPr="00A961C4" w:rsidRDefault="00C304F7"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1E4DD" w14:textId="61EF804E" w:rsidR="00C304F7" w:rsidRPr="00A961C4" w:rsidRDefault="00C304F7" w:rsidP="0048364F">
    <w:pPr>
      <w:jc w:val="right"/>
      <w:rPr>
        <w:sz w:val="20"/>
      </w:rPr>
    </w:pPr>
    <w:r w:rsidRPr="00A961C4">
      <w:rPr>
        <w:sz w:val="20"/>
      </w:rPr>
      <w:fldChar w:fldCharType="begin"/>
    </w:r>
    <w:r w:rsidRPr="00A961C4">
      <w:rPr>
        <w:sz w:val="20"/>
      </w:rPr>
      <w:instrText xml:space="preserve"> STYLEREF CharAmSchText </w:instrText>
    </w:r>
    <w:r w:rsidR="00B9251A">
      <w:rPr>
        <w:sz w:val="20"/>
      </w:rPr>
      <w:fldChar w:fldCharType="separate"/>
    </w:r>
    <w:r w:rsidR="00B9251A">
      <w:rPr>
        <w:noProof/>
        <w:sz w:val="20"/>
      </w:rPr>
      <w:t>New Zealand sports teams members and support staff</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B9251A">
      <w:rPr>
        <w:b/>
        <w:sz w:val="20"/>
      </w:rPr>
      <w:fldChar w:fldCharType="separate"/>
    </w:r>
    <w:r w:rsidR="00B9251A">
      <w:rPr>
        <w:b/>
        <w:noProof/>
        <w:sz w:val="20"/>
      </w:rPr>
      <w:t>Schedule 5</w:t>
    </w:r>
    <w:r>
      <w:rPr>
        <w:b/>
        <w:sz w:val="20"/>
      </w:rPr>
      <w:fldChar w:fldCharType="end"/>
    </w:r>
  </w:p>
  <w:p w14:paraId="3605C41C" w14:textId="0EF398F9" w:rsidR="00C304F7" w:rsidRPr="00A961C4" w:rsidRDefault="00C304F7"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6412723" w14:textId="77777777" w:rsidR="00C304F7" w:rsidRPr="00A961C4" w:rsidRDefault="00C304F7"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829C2" w14:textId="77777777" w:rsidR="00C304F7" w:rsidRPr="00A961C4" w:rsidRDefault="00C304F7"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FB7"/>
    <w:rsid w:val="000113BC"/>
    <w:rsid w:val="000136AF"/>
    <w:rsid w:val="000246BC"/>
    <w:rsid w:val="000417C9"/>
    <w:rsid w:val="000534D9"/>
    <w:rsid w:val="00055B5C"/>
    <w:rsid w:val="00056391"/>
    <w:rsid w:val="00060FF9"/>
    <w:rsid w:val="000614BF"/>
    <w:rsid w:val="000B1FD2"/>
    <w:rsid w:val="000D05EF"/>
    <w:rsid w:val="000F21C1"/>
    <w:rsid w:val="000F316E"/>
    <w:rsid w:val="00101D90"/>
    <w:rsid w:val="0010745C"/>
    <w:rsid w:val="00112ACF"/>
    <w:rsid w:val="00113BD1"/>
    <w:rsid w:val="00122206"/>
    <w:rsid w:val="0015646E"/>
    <w:rsid w:val="001643C9"/>
    <w:rsid w:val="00165568"/>
    <w:rsid w:val="00166C2F"/>
    <w:rsid w:val="001716C9"/>
    <w:rsid w:val="00173363"/>
    <w:rsid w:val="00173B94"/>
    <w:rsid w:val="001854B4"/>
    <w:rsid w:val="001939E1"/>
    <w:rsid w:val="00195382"/>
    <w:rsid w:val="001961EA"/>
    <w:rsid w:val="001A3658"/>
    <w:rsid w:val="001A759A"/>
    <w:rsid w:val="001B633C"/>
    <w:rsid w:val="001B7A5D"/>
    <w:rsid w:val="001C2418"/>
    <w:rsid w:val="001C69C4"/>
    <w:rsid w:val="001E1C06"/>
    <w:rsid w:val="001E3590"/>
    <w:rsid w:val="001E7407"/>
    <w:rsid w:val="00201D27"/>
    <w:rsid w:val="00202618"/>
    <w:rsid w:val="00222759"/>
    <w:rsid w:val="00235918"/>
    <w:rsid w:val="00240749"/>
    <w:rsid w:val="002452CC"/>
    <w:rsid w:val="00253966"/>
    <w:rsid w:val="00263820"/>
    <w:rsid w:val="00271A7B"/>
    <w:rsid w:val="00275197"/>
    <w:rsid w:val="00293B89"/>
    <w:rsid w:val="00297ECB"/>
    <w:rsid w:val="002B5A30"/>
    <w:rsid w:val="002C11EC"/>
    <w:rsid w:val="002D043A"/>
    <w:rsid w:val="002D395A"/>
    <w:rsid w:val="00334B54"/>
    <w:rsid w:val="003415D3"/>
    <w:rsid w:val="00350417"/>
    <w:rsid w:val="00352B0F"/>
    <w:rsid w:val="00357828"/>
    <w:rsid w:val="00373874"/>
    <w:rsid w:val="0037499D"/>
    <w:rsid w:val="00375C6C"/>
    <w:rsid w:val="00376394"/>
    <w:rsid w:val="003A7B3C"/>
    <w:rsid w:val="003B4E3D"/>
    <w:rsid w:val="003C5F2B"/>
    <w:rsid w:val="003D0BFE"/>
    <w:rsid w:val="003D5700"/>
    <w:rsid w:val="00405579"/>
    <w:rsid w:val="00410B8E"/>
    <w:rsid w:val="004116CD"/>
    <w:rsid w:val="00421FC1"/>
    <w:rsid w:val="004229C7"/>
    <w:rsid w:val="00424CA9"/>
    <w:rsid w:val="00436785"/>
    <w:rsid w:val="00436BD5"/>
    <w:rsid w:val="00437E4B"/>
    <w:rsid w:val="0044291A"/>
    <w:rsid w:val="00447533"/>
    <w:rsid w:val="00452493"/>
    <w:rsid w:val="0047329B"/>
    <w:rsid w:val="0048196B"/>
    <w:rsid w:val="0048364F"/>
    <w:rsid w:val="00486D05"/>
    <w:rsid w:val="00493EDB"/>
    <w:rsid w:val="00496F97"/>
    <w:rsid w:val="004C7C8C"/>
    <w:rsid w:val="004E2A4A"/>
    <w:rsid w:val="004F0D23"/>
    <w:rsid w:val="004F1FAC"/>
    <w:rsid w:val="004F31A4"/>
    <w:rsid w:val="00516B8D"/>
    <w:rsid w:val="00536289"/>
    <w:rsid w:val="00537FBC"/>
    <w:rsid w:val="00543469"/>
    <w:rsid w:val="00551B54"/>
    <w:rsid w:val="00571BAF"/>
    <w:rsid w:val="00572A36"/>
    <w:rsid w:val="00584811"/>
    <w:rsid w:val="00593AA6"/>
    <w:rsid w:val="00594161"/>
    <w:rsid w:val="00594749"/>
    <w:rsid w:val="005A0D92"/>
    <w:rsid w:val="005A1FB7"/>
    <w:rsid w:val="005B4067"/>
    <w:rsid w:val="005C2142"/>
    <w:rsid w:val="005C3F41"/>
    <w:rsid w:val="005E152A"/>
    <w:rsid w:val="005F03E5"/>
    <w:rsid w:val="00600219"/>
    <w:rsid w:val="006167FD"/>
    <w:rsid w:val="00641DE5"/>
    <w:rsid w:val="00656F0C"/>
    <w:rsid w:val="00677CC2"/>
    <w:rsid w:val="00681F92"/>
    <w:rsid w:val="006842C2"/>
    <w:rsid w:val="00685F42"/>
    <w:rsid w:val="0069207B"/>
    <w:rsid w:val="006A4B23"/>
    <w:rsid w:val="006C2874"/>
    <w:rsid w:val="006C7F8C"/>
    <w:rsid w:val="006D380D"/>
    <w:rsid w:val="006E0135"/>
    <w:rsid w:val="006E303A"/>
    <w:rsid w:val="006F7E19"/>
    <w:rsid w:val="00700B2C"/>
    <w:rsid w:val="00712D8D"/>
    <w:rsid w:val="00713084"/>
    <w:rsid w:val="00714B26"/>
    <w:rsid w:val="00731E00"/>
    <w:rsid w:val="007440B7"/>
    <w:rsid w:val="007506F2"/>
    <w:rsid w:val="007634AD"/>
    <w:rsid w:val="007715C9"/>
    <w:rsid w:val="00774EDD"/>
    <w:rsid w:val="007757EC"/>
    <w:rsid w:val="00775DC8"/>
    <w:rsid w:val="007B30AA"/>
    <w:rsid w:val="007C26B8"/>
    <w:rsid w:val="007E7D4A"/>
    <w:rsid w:val="007F587B"/>
    <w:rsid w:val="008006CC"/>
    <w:rsid w:val="00807F18"/>
    <w:rsid w:val="00810954"/>
    <w:rsid w:val="00831E8D"/>
    <w:rsid w:val="00856A31"/>
    <w:rsid w:val="00857D6B"/>
    <w:rsid w:val="00870BBE"/>
    <w:rsid w:val="008754D0"/>
    <w:rsid w:val="00877D48"/>
    <w:rsid w:val="00883781"/>
    <w:rsid w:val="00885570"/>
    <w:rsid w:val="00893958"/>
    <w:rsid w:val="00895A97"/>
    <w:rsid w:val="008A2E77"/>
    <w:rsid w:val="008A471B"/>
    <w:rsid w:val="008C6F6F"/>
    <w:rsid w:val="008D0EE0"/>
    <w:rsid w:val="008D3E94"/>
    <w:rsid w:val="008D4F4F"/>
    <w:rsid w:val="008F3F41"/>
    <w:rsid w:val="008F4F1C"/>
    <w:rsid w:val="008F77C4"/>
    <w:rsid w:val="009103F3"/>
    <w:rsid w:val="00917C1D"/>
    <w:rsid w:val="00921A9D"/>
    <w:rsid w:val="00930F96"/>
    <w:rsid w:val="00932377"/>
    <w:rsid w:val="00955752"/>
    <w:rsid w:val="00967042"/>
    <w:rsid w:val="0098255A"/>
    <w:rsid w:val="009835E0"/>
    <w:rsid w:val="009845BE"/>
    <w:rsid w:val="009969C9"/>
    <w:rsid w:val="009D2F81"/>
    <w:rsid w:val="009D59E2"/>
    <w:rsid w:val="009E150B"/>
    <w:rsid w:val="009E186E"/>
    <w:rsid w:val="009E1B75"/>
    <w:rsid w:val="009F5E36"/>
    <w:rsid w:val="009F7BD0"/>
    <w:rsid w:val="00A048FF"/>
    <w:rsid w:val="00A10775"/>
    <w:rsid w:val="00A231E2"/>
    <w:rsid w:val="00A36C48"/>
    <w:rsid w:val="00A41E0B"/>
    <w:rsid w:val="00A53A54"/>
    <w:rsid w:val="00A55631"/>
    <w:rsid w:val="00A611FE"/>
    <w:rsid w:val="00A64912"/>
    <w:rsid w:val="00A70A74"/>
    <w:rsid w:val="00A9176D"/>
    <w:rsid w:val="00AA3795"/>
    <w:rsid w:val="00AC1E75"/>
    <w:rsid w:val="00AD5641"/>
    <w:rsid w:val="00AE1088"/>
    <w:rsid w:val="00AF1BA4"/>
    <w:rsid w:val="00AF224E"/>
    <w:rsid w:val="00B032D8"/>
    <w:rsid w:val="00B26731"/>
    <w:rsid w:val="00B32BE2"/>
    <w:rsid w:val="00B33B3C"/>
    <w:rsid w:val="00B6382D"/>
    <w:rsid w:val="00B663CA"/>
    <w:rsid w:val="00B9251A"/>
    <w:rsid w:val="00BA5026"/>
    <w:rsid w:val="00BA5598"/>
    <w:rsid w:val="00BB40BF"/>
    <w:rsid w:val="00BC0CD1"/>
    <w:rsid w:val="00BC2067"/>
    <w:rsid w:val="00BE719A"/>
    <w:rsid w:val="00BE720A"/>
    <w:rsid w:val="00BF0461"/>
    <w:rsid w:val="00BF292F"/>
    <w:rsid w:val="00BF4944"/>
    <w:rsid w:val="00BF56D4"/>
    <w:rsid w:val="00C04409"/>
    <w:rsid w:val="00C06046"/>
    <w:rsid w:val="00C067E5"/>
    <w:rsid w:val="00C141D1"/>
    <w:rsid w:val="00C164CA"/>
    <w:rsid w:val="00C176CF"/>
    <w:rsid w:val="00C304F7"/>
    <w:rsid w:val="00C42BF8"/>
    <w:rsid w:val="00C460AE"/>
    <w:rsid w:val="00C50043"/>
    <w:rsid w:val="00C54E84"/>
    <w:rsid w:val="00C7573B"/>
    <w:rsid w:val="00C76CF3"/>
    <w:rsid w:val="00CA7AAD"/>
    <w:rsid w:val="00CB1CCC"/>
    <w:rsid w:val="00CD62DC"/>
    <w:rsid w:val="00CE1E31"/>
    <w:rsid w:val="00CE773F"/>
    <w:rsid w:val="00CF0BB2"/>
    <w:rsid w:val="00D00EAA"/>
    <w:rsid w:val="00D13441"/>
    <w:rsid w:val="00D243A3"/>
    <w:rsid w:val="00D477C3"/>
    <w:rsid w:val="00D52EFE"/>
    <w:rsid w:val="00D63EF6"/>
    <w:rsid w:val="00D642FD"/>
    <w:rsid w:val="00D70DFB"/>
    <w:rsid w:val="00D73029"/>
    <w:rsid w:val="00D766DF"/>
    <w:rsid w:val="00D84C43"/>
    <w:rsid w:val="00DD71DA"/>
    <w:rsid w:val="00DD727B"/>
    <w:rsid w:val="00DE2002"/>
    <w:rsid w:val="00DF7AE9"/>
    <w:rsid w:val="00DF7BB4"/>
    <w:rsid w:val="00E05704"/>
    <w:rsid w:val="00E14290"/>
    <w:rsid w:val="00E24D66"/>
    <w:rsid w:val="00E54292"/>
    <w:rsid w:val="00E66D6D"/>
    <w:rsid w:val="00E74DC7"/>
    <w:rsid w:val="00E7601D"/>
    <w:rsid w:val="00E82A9C"/>
    <w:rsid w:val="00E84ECA"/>
    <w:rsid w:val="00E87699"/>
    <w:rsid w:val="00E93128"/>
    <w:rsid w:val="00E947C6"/>
    <w:rsid w:val="00EB510C"/>
    <w:rsid w:val="00ED492F"/>
    <w:rsid w:val="00EE22CA"/>
    <w:rsid w:val="00EE3E36"/>
    <w:rsid w:val="00EF2E3A"/>
    <w:rsid w:val="00EF491A"/>
    <w:rsid w:val="00F047E2"/>
    <w:rsid w:val="00F078DC"/>
    <w:rsid w:val="00F13E86"/>
    <w:rsid w:val="00F16DD3"/>
    <w:rsid w:val="00F17B00"/>
    <w:rsid w:val="00F2665C"/>
    <w:rsid w:val="00F677A9"/>
    <w:rsid w:val="00F70674"/>
    <w:rsid w:val="00F84CF5"/>
    <w:rsid w:val="00F92D35"/>
    <w:rsid w:val="00FA420B"/>
    <w:rsid w:val="00FA65DA"/>
    <w:rsid w:val="00FA66B0"/>
    <w:rsid w:val="00FC74E2"/>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47E0E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F7BB4"/>
    <w:pPr>
      <w:spacing w:line="260" w:lineRule="atLeast"/>
    </w:pPr>
    <w:rPr>
      <w:sz w:val="22"/>
    </w:rPr>
  </w:style>
  <w:style w:type="paragraph" w:styleId="Heading1">
    <w:name w:val="heading 1"/>
    <w:basedOn w:val="Normal"/>
    <w:next w:val="Normal"/>
    <w:link w:val="Heading1Char"/>
    <w:uiPriority w:val="9"/>
    <w:qFormat/>
    <w:rsid w:val="00D642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642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642F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642F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42F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642F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642F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642F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642F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F7BB4"/>
  </w:style>
  <w:style w:type="paragraph" w:customStyle="1" w:styleId="OPCParaBase">
    <w:name w:val="OPCParaBase"/>
    <w:qFormat/>
    <w:rsid w:val="00DF7BB4"/>
    <w:pPr>
      <w:spacing w:line="260" w:lineRule="atLeast"/>
    </w:pPr>
    <w:rPr>
      <w:rFonts w:eastAsia="Times New Roman" w:cs="Times New Roman"/>
      <w:sz w:val="22"/>
      <w:lang w:eastAsia="en-AU"/>
    </w:rPr>
  </w:style>
  <w:style w:type="paragraph" w:customStyle="1" w:styleId="ShortT">
    <w:name w:val="ShortT"/>
    <w:basedOn w:val="OPCParaBase"/>
    <w:next w:val="Normal"/>
    <w:qFormat/>
    <w:rsid w:val="00DF7BB4"/>
    <w:pPr>
      <w:spacing w:line="240" w:lineRule="auto"/>
    </w:pPr>
    <w:rPr>
      <w:b/>
      <w:sz w:val="40"/>
    </w:rPr>
  </w:style>
  <w:style w:type="paragraph" w:customStyle="1" w:styleId="ActHead1">
    <w:name w:val="ActHead 1"/>
    <w:aliases w:val="c"/>
    <w:basedOn w:val="OPCParaBase"/>
    <w:next w:val="Normal"/>
    <w:qFormat/>
    <w:rsid w:val="00DF7BB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F7BB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F7BB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F7BB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F7BB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F7BB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F7BB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F7BB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F7BB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F7BB4"/>
  </w:style>
  <w:style w:type="paragraph" w:customStyle="1" w:styleId="Blocks">
    <w:name w:val="Blocks"/>
    <w:aliases w:val="bb"/>
    <w:basedOn w:val="OPCParaBase"/>
    <w:qFormat/>
    <w:rsid w:val="00DF7BB4"/>
    <w:pPr>
      <w:spacing w:line="240" w:lineRule="auto"/>
    </w:pPr>
    <w:rPr>
      <w:sz w:val="24"/>
    </w:rPr>
  </w:style>
  <w:style w:type="paragraph" w:customStyle="1" w:styleId="BoxText">
    <w:name w:val="BoxText"/>
    <w:aliases w:val="bt"/>
    <w:basedOn w:val="OPCParaBase"/>
    <w:qFormat/>
    <w:rsid w:val="00DF7BB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F7BB4"/>
    <w:rPr>
      <w:b/>
    </w:rPr>
  </w:style>
  <w:style w:type="paragraph" w:customStyle="1" w:styleId="BoxHeadItalic">
    <w:name w:val="BoxHeadItalic"/>
    <w:aliases w:val="bhi"/>
    <w:basedOn w:val="BoxText"/>
    <w:next w:val="BoxStep"/>
    <w:qFormat/>
    <w:rsid w:val="00DF7BB4"/>
    <w:rPr>
      <w:i/>
    </w:rPr>
  </w:style>
  <w:style w:type="paragraph" w:customStyle="1" w:styleId="BoxList">
    <w:name w:val="BoxList"/>
    <w:aliases w:val="bl"/>
    <w:basedOn w:val="BoxText"/>
    <w:qFormat/>
    <w:rsid w:val="00DF7BB4"/>
    <w:pPr>
      <w:ind w:left="1559" w:hanging="425"/>
    </w:pPr>
  </w:style>
  <w:style w:type="paragraph" w:customStyle="1" w:styleId="BoxNote">
    <w:name w:val="BoxNote"/>
    <w:aliases w:val="bn"/>
    <w:basedOn w:val="BoxText"/>
    <w:qFormat/>
    <w:rsid w:val="00DF7BB4"/>
    <w:pPr>
      <w:tabs>
        <w:tab w:val="left" w:pos="1985"/>
      </w:tabs>
      <w:spacing w:before="122" w:line="198" w:lineRule="exact"/>
      <w:ind w:left="2948" w:hanging="1814"/>
    </w:pPr>
    <w:rPr>
      <w:sz w:val="18"/>
    </w:rPr>
  </w:style>
  <w:style w:type="paragraph" w:customStyle="1" w:styleId="BoxPara">
    <w:name w:val="BoxPara"/>
    <w:aliases w:val="bp"/>
    <w:basedOn w:val="BoxText"/>
    <w:qFormat/>
    <w:rsid w:val="00DF7BB4"/>
    <w:pPr>
      <w:tabs>
        <w:tab w:val="right" w:pos="2268"/>
      </w:tabs>
      <w:ind w:left="2552" w:hanging="1418"/>
    </w:pPr>
  </w:style>
  <w:style w:type="paragraph" w:customStyle="1" w:styleId="BoxStep">
    <w:name w:val="BoxStep"/>
    <w:aliases w:val="bs"/>
    <w:basedOn w:val="BoxText"/>
    <w:qFormat/>
    <w:rsid w:val="00DF7BB4"/>
    <w:pPr>
      <w:ind w:left="1985" w:hanging="851"/>
    </w:pPr>
  </w:style>
  <w:style w:type="character" w:customStyle="1" w:styleId="CharAmPartNo">
    <w:name w:val="CharAmPartNo"/>
    <w:basedOn w:val="OPCCharBase"/>
    <w:qFormat/>
    <w:rsid w:val="00DF7BB4"/>
  </w:style>
  <w:style w:type="character" w:customStyle="1" w:styleId="CharAmPartText">
    <w:name w:val="CharAmPartText"/>
    <w:basedOn w:val="OPCCharBase"/>
    <w:qFormat/>
    <w:rsid w:val="00DF7BB4"/>
  </w:style>
  <w:style w:type="character" w:customStyle="1" w:styleId="CharAmSchNo">
    <w:name w:val="CharAmSchNo"/>
    <w:basedOn w:val="OPCCharBase"/>
    <w:qFormat/>
    <w:rsid w:val="00DF7BB4"/>
  </w:style>
  <w:style w:type="character" w:customStyle="1" w:styleId="CharAmSchText">
    <w:name w:val="CharAmSchText"/>
    <w:basedOn w:val="OPCCharBase"/>
    <w:qFormat/>
    <w:rsid w:val="00DF7BB4"/>
  </w:style>
  <w:style w:type="character" w:customStyle="1" w:styleId="CharBoldItalic">
    <w:name w:val="CharBoldItalic"/>
    <w:basedOn w:val="OPCCharBase"/>
    <w:uiPriority w:val="1"/>
    <w:qFormat/>
    <w:rsid w:val="00DF7BB4"/>
    <w:rPr>
      <w:b/>
      <w:i/>
    </w:rPr>
  </w:style>
  <w:style w:type="character" w:customStyle="1" w:styleId="CharChapNo">
    <w:name w:val="CharChapNo"/>
    <w:basedOn w:val="OPCCharBase"/>
    <w:uiPriority w:val="1"/>
    <w:qFormat/>
    <w:rsid w:val="00DF7BB4"/>
  </w:style>
  <w:style w:type="character" w:customStyle="1" w:styleId="CharChapText">
    <w:name w:val="CharChapText"/>
    <w:basedOn w:val="OPCCharBase"/>
    <w:uiPriority w:val="1"/>
    <w:qFormat/>
    <w:rsid w:val="00DF7BB4"/>
  </w:style>
  <w:style w:type="character" w:customStyle="1" w:styleId="CharDivNo">
    <w:name w:val="CharDivNo"/>
    <w:basedOn w:val="OPCCharBase"/>
    <w:uiPriority w:val="1"/>
    <w:qFormat/>
    <w:rsid w:val="00DF7BB4"/>
  </w:style>
  <w:style w:type="character" w:customStyle="1" w:styleId="CharDivText">
    <w:name w:val="CharDivText"/>
    <w:basedOn w:val="OPCCharBase"/>
    <w:uiPriority w:val="1"/>
    <w:qFormat/>
    <w:rsid w:val="00DF7BB4"/>
  </w:style>
  <w:style w:type="character" w:customStyle="1" w:styleId="CharItalic">
    <w:name w:val="CharItalic"/>
    <w:basedOn w:val="OPCCharBase"/>
    <w:uiPriority w:val="1"/>
    <w:qFormat/>
    <w:rsid w:val="00DF7BB4"/>
    <w:rPr>
      <w:i/>
    </w:rPr>
  </w:style>
  <w:style w:type="character" w:customStyle="1" w:styleId="CharPartNo">
    <w:name w:val="CharPartNo"/>
    <w:basedOn w:val="OPCCharBase"/>
    <w:uiPriority w:val="1"/>
    <w:qFormat/>
    <w:rsid w:val="00DF7BB4"/>
  </w:style>
  <w:style w:type="character" w:customStyle="1" w:styleId="CharPartText">
    <w:name w:val="CharPartText"/>
    <w:basedOn w:val="OPCCharBase"/>
    <w:uiPriority w:val="1"/>
    <w:qFormat/>
    <w:rsid w:val="00DF7BB4"/>
  </w:style>
  <w:style w:type="character" w:customStyle="1" w:styleId="CharSectno">
    <w:name w:val="CharSectno"/>
    <w:basedOn w:val="OPCCharBase"/>
    <w:qFormat/>
    <w:rsid w:val="00DF7BB4"/>
  </w:style>
  <w:style w:type="character" w:customStyle="1" w:styleId="CharSubdNo">
    <w:name w:val="CharSubdNo"/>
    <w:basedOn w:val="OPCCharBase"/>
    <w:uiPriority w:val="1"/>
    <w:qFormat/>
    <w:rsid w:val="00DF7BB4"/>
  </w:style>
  <w:style w:type="character" w:customStyle="1" w:styleId="CharSubdText">
    <w:name w:val="CharSubdText"/>
    <w:basedOn w:val="OPCCharBase"/>
    <w:uiPriority w:val="1"/>
    <w:qFormat/>
    <w:rsid w:val="00DF7BB4"/>
  </w:style>
  <w:style w:type="paragraph" w:customStyle="1" w:styleId="CTA--">
    <w:name w:val="CTA --"/>
    <w:basedOn w:val="OPCParaBase"/>
    <w:next w:val="Normal"/>
    <w:rsid w:val="00DF7BB4"/>
    <w:pPr>
      <w:spacing w:before="60" w:line="240" w:lineRule="atLeast"/>
      <w:ind w:left="142" w:hanging="142"/>
    </w:pPr>
    <w:rPr>
      <w:sz w:val="20"/>
    </w:rPr>
  </w:style>
  <w:style w:type="paragraph" w:customStyle="1" w:styleId="CTA-">
    <w:name w:val="CTA -"/>
    <w:basedOn w:val="OPCParaBase"/>
    <w:rsid w:val="00DF7BB4"/>
    <w:pPr>
      <w:spacing w:before="60" w:line="240" w:lineRule="atLeast"/>
      <w:ind w:left="85" w:hanging="85"/>
    </w:pPr>
    <w:rPr>
      <w:sz w:val="20"/>
    </w:rPr>
  </w:style>
  <w:style w:type="paragraph" w:customStyle="1" w:styleId="CTA---">
    <w:name w:val="CTA ---"/>
    <w:basedOn w:val="OPCParaBase"/>
    <w:next w:val="Normal"/>
    <w:rsid w:val="00DF7BB4"/>
    <w:pPr>
      <w:spacing w:before="60" w:line="240" w:lineRule="atLeast"/>
      <w:ind w:left="198" w:hanging="198"/>
    </w:pPr>
    <w:rPr>
      <w:sz w:val="20"/>
    </w:rPr>
  </w:style>
  <w:style w:type="paragraph" w:customStyle="1" w:styleId="CTA----">
    <w:name w:val="CTA ----"/>
    <w:basedOn w:val="OPCParaBase"/>
    <w:next w:val="Normal"/>
    <w:rsid w:val="00DF7BB4"/>
    <w:pPr>
      <w:spacing w:before="60" w:line="240" w:lineRule="atLeast"/>
      <w:ind w:left="255" w:hanging="255"/>
    </w:pPr>
    <w:rPr>
      <w:sz w:val="20"/>
    </w:rPr>
  </w:style>
  <w:style w:type="paragraph" w:customStyle="1" w:styleId="CTA1a">
    <w:name w:val="CTA 1(a)"/>
    <w:basedOn w:val="OPCParaBase"/>
    <w:rsid w:val="00DF7BB4"/>
    <w:pPr>
      <w:tabs>
        <w:tab w:val="right" w:pos="414"/>
      </w:tabs>
      <w:spacing w:before="40" w:line="240" w:lineRule="atLeast"/>
      <w:ind w:left="675" w:hanging="675"/>
    </w:pPr>
    <w:rPr>
      <w:sz w:val="20"/>
    </w:rPr>
  </w:style>
  <w:style w:type="paragraph" w:customStyle="1" w:styleId="CTA1ai">
    <w:name w:val="CTA 1(a)(i)"/>
    <w:basedOn w:val="OPCParaBase"/>
    <w:rsid w:val="00DF7BB4"/>
    <w:pPr>
      <w:tabs>
        <w:tab w:val="right" w:pos="1004"/>
      </w:tabs>
      <w:spacing w:before="40" w:line="240" w:lineRule="atLeast"/>
      <w:ind w:left="1253" w:hanging="1253"/>
    </w:pPr>
    <w:rPr>
      <w:sz w:val="20"/>
    </w:rPr>
  </w:style>
  <w:style w:type="paragraph" w:customStyle="1" w:styleId="CTA2a">
    <w:name w:val="CTA 2(a)"/>
    <w:basedOn w:val="OPCParaBase"/>
    <w:rsid w:val="00DF7BB4"/>
    <w:pPr>
      <w:tabs>
        <w:tab w:val="right" w:pos="482"/>
      </w:tabs>
      <w:spacing w:before="40" w:line="240" w:lineRule="atLeast"/>
      <w:ind w:left="748" w:hanging="748"/>
    </w:pPr>
    <w:rPr>
      <w:sz w:val="20"/>
    </w:rPr>
  </w:style>
  <w:style w:type="paragraph" w:customStyle="1" w:styleId="CTA2ai">
    <w:name w:val="CTA 2(a)(i)"/>
    <w:basedOn w:val="OPCParaBase"/>
    <w:rsid w:val="00DF7BB4"/>
    <w:pPr>
      <w:tabs>
        <w:tab w:val="right" w:pos="1089"/>
      </w:tabs>
      <w:spacing w:before="40" w:line="240" w:lineRule="atLeast"/>
      <w:ind w:left="1327" w:hanging="1327"/>
    </w:pPr>
    <w:rPr>
      <w:sz w:val="20"/>
    </w:rPr>
  </w:style>
  <w:style w:type="paragraph" w:customStyle="1" w:styleId="CTA3a">
    <w:name w:val="CTA 3(a)"/>
    <w:basedOn w:val="OPCParaBase"/>
    <w:rsid w:val="00DF7BB4"/>
    <w:pPr>
      <w:tabs>
        <w:tab w:val="right" w:pos="556"/>
      </w:tabs>
      <w:spacing w:before="40" w:line="240" w:lineRule="atLeast"/>
      <w:ind w:left="805" w:hanging="805"/>
    </w:pPr>
    <w:rPr>
      <w:sz w:val="20"/>
    </w:rPr>
  </w:style>
  <w:style w:type="paragraph" w:customStyle="1" w:styleId="CTA3ai">
    <w:name w:val="CTA 3(a)(i)"/>
    <w:basedOn w:val="OPCParaBase"/>
    <w:rsid w:val="00DF7BB4"/>
    <w:pPr>
      <w:tabs>
        <w:tab w:val="right" w:pos="1140"/>
      </w:tabs>
      <w:spacing w:before="40" w:line="240" w:lineRule="atLeast"/>
      <w:ind w:left="1361" w:hanging="1361"/>
    </w:pPr>
    <w:rPr>
      <w:sz w:val="20"/>
    </w:rPr>
  </w:style>
  <w:style w:type="paragraph" w:customStyle="1" w:styleId="CTA4a">
    <w:name w:val="CTA 4(a)"/>
    <w:basedOn w:val="OPCParaBase"/>
    <w:rsid w:val="00DF7BB4"/>
    <w:pPr>
      <w:tabs>
        <w:tab w:val="right" w:pos="624"/>
      </w:tabs>
      <w:spacing w:before="40" w:line="240" w:lineRule="atLeast"/>
      <w:ind w:left="873" w:hanging="873"/>
    </w:pPr>
    <w:rPr>
      <w:sz w:val="20"/>
    </w:rPr>
  </w:style>
  <w:style w:type="paragraph" w:customStyle="1" w:styleId="CTA4ai">
    <w:name w:val="CTA 4(a)(i)"/>
    <w:basedOn w:val="OPCParaBase"/>
    <w:rsid w:val="00DF7BB4"/>
    <w:pPr>
      <w:tabs>
        <w:tab w:val="right" w:pos="1213"/>
      </w:tabs>
      <w:spacing w:before="40" w:line="240" w:lineRule="atLeast"/>
      <w:ind w:left="1452" w:hanging="1452"/>
    </w:pPr>
    <w:rPr>
      <w:sz w:val="20"/>
    </w:rPr>
  </w:style>
  <w:style w:type="paragraph" w:customStyle="1" w:styleId="CTACAPS">
    <w:name w:val="CTA CAPS"/>
    <w:basedOn w:val="OPCParaBase"/>
    <w:rsid w:val="00DF7BB4"/>
    <w:pPr>
      <w:spacing w:before="60" w:line="240" w:lineRule="atLeast"/>
    </w:pPr>
    <w:rPr>
      <w:sz w:val="20"/>
    </w:rPr>
  </w:style>
  <w:style w:type="paragraph" w:customStyle="1" w:styleId="CTAright">
    <w:name w:val="CTA right"/>
    <w:basedOn w:val="OPCParaBase"/>
    <w:rsid w:val="00DF7BB4"/>
    <w:pPr>
      <w:spacing w:before="60" w:line="240" w:lineRule="auto"/>
      <w:jc w:val="right"/>
    </w:pPr>
    <w:rPr>
      <w:sz w:val="20"/>
    </w:rPr>
  </w:style>
  <w:style w:type="paragraph" w:customStyle="1" w:styleId="subsection">
    <w:name w:val="subsection"/>
    <w:aliases w:val="ss"/>
    <w:basedOn w:val="OPCParaBase"/>
    <w:rsid w:val="00DF7BB4"/>
    <w:pPr>
      <w:tabs>
        <w:tab w:val="right" w:pos="1021"/>
      </w:tabs>
      <w:spacing w:before="180" w:line="240" w:lineRule="auto"/>
      <w:ind w:left="1134" w:hanging="1134"/>
    </w:pPr>
  </w:style>
  <w:style w:type="paragraph" w:customStyle="1" w:styleId="Definition">
    <w:name w:val="Definition"/>
    <w:aliases w:val="dd"/>
    <w:basedOn w:val="OPCParaBase"/>
    <w:rsid w:val="00DF7BB4"/>
    <w:pPr>
      <w:spacing w:before="180" w:line="240" w:lineRule="auto"/>
      <w:ind w:left="1134"/>
    </w:pPr>
  </w:style>
  <w:style w:type="paragraph" w:customStyle="1" w:styleId="ETAsubitem">
    <w:name w:val="ETA(subitem)"/>
    <w:basedOn w:val="OPCParaBase"/>
    <w:rsid w:val="00DF7BB4"/>
    <w:pPr>
      <w:tabs>
        <w:tab w:val="right" w:pos="340"/>
      </w:tabs>
      <w:spacing w:before="60" w:line="240" w:lineRule="auto"/>
      <w:ind w:left="454" w:hanging="454"/>
    </w:pPr>
    <w:rPr>
      <w:sz w:val="20"/>
    </w:rPr>
  </w:style>
  <w:style w:type="paragraph" w:customStyle="1" w:styleId="ETApara">
    <w:name w:val="ETA(para)"/>
    <w:basedOn w:val="OPCParaBase"/>
    <w:rsid w:val="00DF7BB4"/>
    <w:pPr>
      <w:tabs>
        <w:tab w:val="right" w:pos="754"/>
      </w:tabs>
      <w:spacing w:before="60" w:line="240" w:lineRule="auto"/>
      <w:ind w:left="828" w:hanging="828"/>
    </w:pPr>
    <w:rPr>
      <w:sz w:val="20"/>
    </w:rPr>
  </w:style>
  <w:style w:type="paragraph" w:customStyle="1" w:styleId="ETAsubpara">
    <w:name w:val="ETA(subpara)"/>
    <w:basedOn w:val="OPCParaBase"/>
    <w:rsid w:val="00DF7BB4"/>
    <w:pPr>
      <w:tabs>
        <w:tab w:val="right" w:pos="1083"/>
      </w:tabs>
      <w:spacing w:before="60" w:line="240" w:lineRule="auto"/>
      <w:ind w:left="1191" w:hanging="1191"/>
    </w:pPr>
    <w:rPr>
      <w:sz w:val="20"/>
    </w:rPr>
  </w:style>
  <w:style w:type="paragraph" w:customStyle="1" w:styleId="ETAsub-subpara">
    <w:name w:val="ETA(sub-subpara)"/>
    <w:basedOn w:val="OPCParaBase"/>
    <w:rsid w:val="00DF7BB4"/>
    <w:pPr>
      <w:tabs>
        <w:tab w:val="right" w:pos="1412"/>
      </w:tabs>
      <w:spacing w:before="60" w:line="240" w:lineRule="auto"/>
      <w:ind w:left="1525" w:hanging="1525"/>
    </w:pPr>
    <w:rPr>
      <w:sz w:val="20"/>
    </w:rPr>
  </w:style>
  <w:style w:type="paragraph" w:customStyle="1" w:styleId="Formula">
    <w:name w:val="Formula"/>
    <w:basedOn w:val="OPCParaBase"/>
    <w:rsid w:val="00DF7BB4"/>
    <w:pPr>
      <w:spacing w:line="240" w:lineRule="auto"/>
      <w:ind w:left="1134"/>
    </w:pPr>
    <w:rPr>
      <w:sz w:val="20"/>
    </w:rPr>
  </w:style>
  <w:style w:type="paragraph" w:styleId="Header">
    <w:name w:val="header"/>
    <w:basedOn w:val="OPCParaBase"/>
    <w:link w:val="HeaderChar"/>
    <w:unhideWhenUsed/>
    <w:rsid w:val="00DF7BB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F7BB4"/>
    <w:rPr>
      <w:rFonts w:eastAsia="Times New Roman" w:cs="Times New Roman"/>
      <w:sz w:val="16"/>
      <w:lang w:eastAsia="en-AU"/>
    </w:rPr>
  </w:style>
  <w:style w:type="paragraph" w:customStyle="1" w:styleId="House">
    <w:name w:val="House"/>
    <w:basedOn w:val="OPCParaBase"/>
    <w:rsid w:val="00DF7BB4"/>
    <w:pPr>
      <w:spacing w:line="240" w:lineRule="auto"/>
    </w:pPr>
    <w:rPr>
      <w:sz w:val="28"/>
    </w:rPr>
  </w:style>
  <w:style w:type="paragraph" w:customStyle="1" w:styleId="Item">
    <w:name w:val="Item"/>
    <w:aliases w:val="i"/>
    <w:basedOn w:val="OPCParaBase"/>
    <w:next w:val="ItemHead"/>
    <w:rsid w:val="00DF7BB4"/>
    <w:pPr>
      <w:keepLines/>
      <w:spacing w:before="80" w:line="240" w:lineRule="auto"/>
      <w:ind w:left="709"/>
    </w:pPr>
  </w:style>
  <w:style w:type="paragraph" w:customStyle="1" w:styleId="ItemHead">
    <w:name w:val="ItemHead"/>
    <w:aliases w:val="ih"/>
    <w:basedOn w:val="OPCParaBase"/>
    <w:next w:val="Item"/>
    <w:link w:val="ItemHeadChar"/>
    <w:rsid w:val="00DF7BB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F7BB4"/>
    <w:pPr>
      <w:spacing w:line="240" w:lineRule="auto"/>
    </w:pPr>
    <w:rPr>
      <w:b/>
      <w:sz w:val="32"/>
    </w:rPr>
  </w:style>
  <w:style w:type="paragraph" w:customStyle="1" w:styleId="notedraft">
    <w:name w:val="note(draft)"/>
    <w:aliases w:val="nd"/>
    <w:basedOn w:val="OPCParaBase"/>
    <w:rsid w:val="00DF7BB4"/>
    <w:pPr>
      <w:spacing w:before="240" w:line="240" w:lineRule="auto"/>
      <w:ind w:left="284" w:hanging="284"/>
    </w:pPr>
    <w:rPr>
      <w:i/>
      <w:sz w:val="24"/>
    </w:rPr>
  </w:style>
  <w:style w:type="paragraph" w:customStyle="1" w:styleId="notemargin">
    <w:name w:val="note(margin)"/>
    <w:aliases w:val="nm"/>
    <w:basedOn w:val="OPCParaBase"/>
    <w:rsid w:val="00DF7BB4"/>
    <w:pPr>
      <w:tabs>
        <w:tab w:val="left" w:pos="709"/>
      </w:tabs>
      <w:spacing w:before="122" w:line="198" w:lineRule="exact"/>
      <w:ind w:left="709" w:hanging="709"/>
    </w:pPr>
    <w:rPr>
      <w:sz w:val="18"/>
    </w:rPr>
  </w:style>
  <w:style w:type="paragraph" w:customStyle="1" w:styleId="noteToPara">
    <w:name w:val="noteToPara"/>
    <w:aliases w:val="ntp"/>
    <w:basedOn w:val="OPCParaBase"/>
    <w:rsid w:val="00DF7BB4"/>
    <w:pPr>
      <w:spacing w:before="122" w:line="198" w:lineRule="exact"/>
      <w:ind w:left="2353" w:hanging="709"/>
    </w:pPr>
    <w:rPr>
      <w:sz w:val="18"/>
    </w:rPr>
  </w:style>
  <w:style w:type="paragraph" w:customStyle="1" w:styleId="noteParlAmend">
    <w:name w:val="note(ParlAmend)"/>
    <w:aliases w:val="npp"/>
    <w:basedOn w:val="OPCParaBase"/>
    <w:next w:val="ParlAmend"/>
    <w:rsid w:val="00DF7BB4"/>
    <w:pPr>
      <w:spacing w:line="240" w:lineRule="auto"/>
      <w:jc w:val="right"/>
    </w:pPr>
    <w:rPr>
      <w:rFonts w:ascii="Arial" w:hAnsi="Arial"/>
      <w:b/>
      <w:i/>
    </w:rPr>
  </w:style>
  <w:style w:type="paragraph" w:customStyle="1" w:styleId="Page1">
    <w:name w:val="Page1"/>
    <w:basedOn w:val="OPCParaBase"/>
    <w:rsid w:val="00DF7BB4"/>
    <w:pPr>
      <w:spacing w:before="5600" w:line="240" w:lineRule="auto"/>
    </w:pPr>
    <w:rPr>
      <w:b/>
      <w:sz w:val="32"/>
    </w:rPr>
  </w:style>
  <w:style w:type="paragraph" w:customStyle="1" w:styleId="PageBreak">
    <w:name w:val="PageBreak"/>
    <w:aliases w:val="pb"/>
    <w:basedOn w:val="OPCParaBase"/>
    <w:rsid w:val="00DF7BB4"/>
    <w:pPr>
      <w:spacing w:line="240" w:lineRule="auto"/>
    </w:pPr>
    <w:rPr>
      <w:sz w:val="20"/>
    </w:rPr>
  </w:style>
  <w:style w:type="paragraph" w:customStyle="1" w:styleId="paragraphsub">
    <w:name w:val="paragraph(sub)"/>
    <w:aliases w:val="aa"/>
    <w:basedOn w:val="OPCParaBase"/>
    <w:rsid w:val="00DF7BB4"/>
    <w:pPr>
      <w:tabs>
        <w:tab w:val="right" w:pos="1985"/>
      </w:tabs>
      <w:spacing w:before="40" w:line="240" w:lineRule="auto"/>
      <w:ind w:left="2098" w:hanging="2098"/>
    </w:pPr>
  </w:style>
  <w:style w:type="paragraph" w:customStyle="1" w:styleId="paragraphsub-sub">
    <w:name w:val="paragraph(sub-sub)"/>
    <w:aliases w:val="aaa"/>
    <w:basedOn w:val="OPCParaBase"/>
    <w:rsid w:val="00DF7BB4"/>
    <w:pPr>
      <w:tabs>
        <w:tab w:val="right" w:pos="2722"/>
      </w:tabs>
      <w:spacing w:before="40" w:line="240" w:lineRule="auto"/>
      <w:ind w:left="2835" w:hanging="2835"/>
    </w:pPr>
  </w:style>
  <w:style w:type="paragraph" w:customStyle="1" w:styleId="paragraph">
    <w:name w:val="paragraph"/>
    <w:aliases w:val="a"/>
    <w:basedOn w:val="OPCParaBase"/>
    <w:link w:val="paragraphChar"/>
    <w:rsid w:val="00DF7BB4"/>
    <w:pPr>
      <w:tabs>
        <w:tab w:val="right" w:pos="1531"/>
      </w:tabs>
      <w:spacing w:before="40" w:line="240" w:lineRule="auto"/>
      <w:ind w:left="1644" w:hanging="1644"/>
    </w:pPr>
  </w:style>
  <w:style w:type="paragraph" w:customStyle="1" w:styleId="ParlAmend">
    <w:name w:val="ParlAmend"/>
    <w:aliases w:val="pp"/>
    <w:basedOn w:val="OPCParaBase"/>
    <w:rsid w:val="00DF7BB4"/>
    <w:pPr>
      <w:spacing w:before="240" w:line="240" w:lineRule="atLeast"/>
      <w:ind w:hanging="567"/>
    </w:pPr>
    <w:rPr>
      <w:sz w:val="24"/>
    </w:rPr>
  </w:style>
  <w:style w:type="paragraph" w:customStyle="1" w:styleId="Penalty">
    <w:name w:val="Penalty"/>
    <w:basedOn w:val="OPCParaBase"/>
    <w:rsid w:val="00DF7BB4"/>
    <w:pPr>
      <w:tabs>
        <w:tab w:val="left" w:pos="2977"/>
      </w:tabs>
      <w:spacing w:before="180" w:line="240" w:lineRule="auto"/>
      <w:ind w:left="1985" w:hanging="851"/>
    </w:pPr>
  </w:style>
  <w:style w:type="paragraph" w:customStyle="1" w:styleId="Portfolio">
    <w:name w:val="Portfolio"/>
    <w:basedOn w:val="OPCParaBase"/>
    <w:rsid w:val="00DF7BB4"/>
    <w:pPr>
      <w:spacing w:line="240" w:lineRule="auto"/>
    </w:pPr>
    <w:rPr>
      <w:i/>
      <w:sz w:val="20"/>
    </w:rPr>
  </w:style>
  <w:style w:type="paragraph" w:customStyle="1" w:styleId="Preamble">
    <w:name w:val="Preamble"/>
    <w:basedOn w:val="OPCParaBase"/>
    <w:next w:val="Normal"/>
    <w:rsid w:val="00DF7BB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F7BB4"/>
    <w:pPr>
      <w:spacing w:line="240" w:lineRule="auto"/>
    </w:pPr>
    <w:rPr>
      <w:i/>
      <w:sz w:val="20"/>
    </w:rPr>
  </w:style>
  <w:style w:type="paragraph" w:customStyle="1" w:styleId="Session">
    <w:name w:val="Session"/>
    <w:basedOn w:val="OPCParaBase"/>
    <w:rsid w:val="00DF7BB4"/>
    <w:pPr>
      <w:spacing w:line="240" w:lineRule="auto"/>
    </w:pPr>
    <w:rPr>
      <w:sz w:val="28"/>
    </w:rPr>
  </w:style>
  <w:style w:type="paragraph" w:customStyle="1" w:styleId="Sponsor">
    <w:name w:val="Sponsor"/>
    <w:basedOn w:val="OPCParaBase"/>
    <w:rsid w:val="00DF7BB4"/>
    <w:pPr>
      <w:spacing w:line="240" w:lineRule="auto"/>
    </w:pPr>
    <w:rPr>
      <w:i/>
    </w:rPr>
  </w:style>
  <w:style w:type="paragraph" w:customStyle="1" w:styleId="Subitem">
    <w:name w:val="Subitem"/>
    <w:aliases w:val="iss"/>
    <w:basedOn w:val="OPCParaBase"/>
    <w:rsid w:val="00DF7BB4"/>
    <w:pPr>
      <w:spacing w:before="180" w:line="240" w:lineRule="auto"/>
      <w:ind w:left="709" w:hanging="709"/>
    </w:pPr>
  </w:style>
  <w:style w:type="paragraph" w:customStyle="1" w:styleId="SubitemHead">
    <w:name w:val="SubitemHead"/>
    <w:aliases w:val="issh"/>
    <w:basedOn w:val="OPCParaBase"/>
    <w:rsid w:val="00DF7BB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F7BB4"/>
    <w:pPr>
      <w:spacing w:before="40" w:line="240" w:lineRule="auto"/>
      <w:ind w:left="1134"/>
    </w:pPr>
  </w:style>
  <w:style w:type="paragraph" w:customStyle="1" w:styleId="SubsectionHead">
    <w:name w:val="SubsectionHead"/>
    <w:aliases w:val="ssh"/>
    <w:basedOn w:val="OPCParaBase"/>
    <w:next w:val="subsection"/>
    <w:rsid w:val="00DF7BB4"/>
    <w:pPr>
      <w:keepNext/>
      <w:keepLines/>
      <w:spacing w:before="240" w:line="240" w:lineRule="auto"/>
      <w:ind w:left="1134"/>
    </w:pPr>
    <w:rPr>
      <w:i/>
    </w:rPr>
  </w:style>
  <w:style w:type="paragraph" w:customStyle="1" w:styleId="Tablea">
    <w:name w:val="Table(a)"/>
    <w:aliases w:val="ta"/>
    <w:basedOn w:val="OPCParaBase"/>
    <w:rsid w:val="00DF7BB4"/>
    <w:pPr>
      <w:spacing w:before="60" w:line="240" w:lineRule="auto"/>
      <w:ind w:left="284" w:hanging="284"/>
    </w:pPr>
    <w:rPr>
      <w:sz w:val="20"/>
    </w:rPr>
  </w:style>
  <w:style w:type="paragraph" w:customStyle="1" w:styleId="TableAA">
    <w:name w:val="Table(AA)"/>
    <w:aliases w:val="taaa"/>
    <w:basedOn w:val="OPCParaBase"/>
    <w:rsid w:val="00DF7BB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F7BB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F7BB4"/>
    <w:pPr>
      <w:spacing w:before="60" w:line="240" w:lineRule="atLeast"/>
    </w:pPr>
    <w:rPr>
      <w:sz w:val="20"/>
    </w:rPr>
  </w:style>
  <w:style w:type="paragraph" w:customStyle="1" w:styleId="TLPBoxTextnote">
    <w:name w:val="TLPBoxText(note"/>
    <w:aliases w:val="right)"/>
    <w:basedOn w:val="OPCParaBase"/>
    <w:rsid w:val="00DF7BB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F7BB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F7BB4"/>
    <w:pPr>
      <w:spacing w:before="122" w:line="198" w:lineRule="exact"/>
      <w:ind w:left="1985" w:hanging="851"/>
      <w:jc w:val="right"/>
    </w:pPr>
    <w:rPr>
      <w:sz w:val="18"/>
    </w:rPr>
  </w:style>
  <w:style w:type="paragraph" w:customStyle="1" w:styleId="TLPTableBullet">
    <w:name w:val="TLPTableBullet"/>
    <w:aliases w:val="ttb"/>
    <w:basedOn w:val="OPCParaBase"/>
    <w:rsid w:val="00DF7BB4"/>
    <w:pPr>
      <w:spacing w:line="240" w:lineRule="exact"/>
      <w:ind w:left="284" w:hanging="284"/>
    </w:pPr>
    <w:rPr>
      <w:sz w:val="20"/>
    </w:rPr>
  </w:style>
  <w:style w:type="paragraph" w:styleId="TOC1">
    <w:name w:val="toc 1"/>
    <w:basedOn w:val="OPCParaBase"/>
    <w:next w:val="Normal"/>
    <w:uiPriority w:val="39"/>
    <w:semiHidden/>
    <w:unhideWhenUsed/>
    <w:rsid w:val="00DF7BB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DF7BB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F7BB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F7BB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F7BB4"/>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DF7BB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F7BB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F7BB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F7BB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F7BB4"/>
    <w:pPr>
      <w:keepLines/>
      <w:spacing w:before="240" w:after="120" w:line="240" w:lineRule="auto"/>
      <w:ind w:left="794"/>
    </w:pPr>
    <w:rPr>
      <w:b/>
      <w:kern w:val="28"/>
      <w:sz w:val="20"/>
    </w:rPr>
  </w:style>
  <w:style w:type="paragraph" w:customStyle="1" w:styleId="TofSectsHeading">
    <w:name w:val="TofSects(Heading)"/>
    <w:basedOn w:val="OPCParaBase"/>
    <w:rsid w:val="00DF7BB4"/>
    <w:pPr>
      <w:spacing w:before="240" w:after="120" w:line="240" w:lineRule="auto"/>
    </w:pPr>
    <w:rPr>
      <w:b/>
      <w:sz w:val="24"/>
    </w:rPr>
  </w:style>
  <w:style w:type="paragraph" w:customStyle="1" w:styleId="TofSectsSection">
    <w:name w:val="TofSects(Section)"/>
    <w:basedOn w:val="OPCParaBase"/>
    <w:rsid w:val="00DF7BB4"/>
    <w:pPr>
      <w:keepLines/>
      <w:spacing w:before="40" w:line="240" w:lineRule="auto"/>
      <w:ind w:left="1588" w:hanging="794"/>
    </w:pPr>
    <w:rPr>
      <w:kern w:val="28"/>
      <w:sz w:val="18"/>
    </w:rPr>
  </w:style>
  <w:style w:type="paragraph" w:customStyle="1" w:styleId="TofSectsSubdiv">
    <w:name w:val="TofSects(Subdiv)"/>
    <w:basedOn w:val="OPCParaBase"/>
    <w:rsid w:val="00DF7BB4"/>
    <w:pPr>
      <w:keepLines/>
      <w:spacing w:before="80" w:line="240" w:lineRule="auto"/>
      <w:ind w:left="1588" w:hanging="794"/>
    </w:pPr>
    <w:rPr>
      <w:kern w:val="28"/>
    </w:rPr>
  </w:style>
  <w:style w:type="paragraph" w:customStyle="1" w:styleId="WRStyle">
    <w:name w:val="WR Style"/>
    <w:aliases w:val="WR"/>
    <w:basedOn w:val="OPCParaBase"/>
    <w:rsid w:val="00DF7BB4"/>
    <w:pPr>
      <w:spacing w:before="240" w:line="240" w:lineRule="auto"/>
      <w:ind w:left="284" w:hanging="284"/>
    </w:pPr>
    <w:rPr>
      <w:b/>
      <w:i/>
      <w:kern w:val="28"/>
      <w:sz w:val="24"/>
    </w:rPr>
  </w:style>
  <w:style w:type="paragraph" w:customStyle="1" w:styleId="notepara">
    <w:name w:val="note(para)"/>
    <w:aliases w:val="na"/>
    <w:basedOn w:val="OPCParaBase"/>
    <w:rsid w:val="00DF7BB4"/>
    <w:pPr>
      <w:spacing w:before="40" w:line="198" w:lineRule="exact"/>
      <w:ind w:left="2354" w:hanging="369"/>
    </w:pPr>
    <w:rPr>
      <w:sz w:val="18"/>
    </w:rPr>
  </w:style>
  <w:style w:type="paragraph" w:styleId="Footer">
    <w:name w:val="footer"/>
    <w:link w:val="FooterChar"/>
    <w:rsid w:val="00DF7BB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F7BB4"/>
    <w:rPr>
      <w:rFonts w:eastAsia="Times New Roman" w:cs="Times New Roman"/>
      <w:sz w:val="22"/>
      <w:szCs w:val="24"/>
      <w:lang w:eastAsia="en-AU"/>
    </w:rPr>
  </w:style>
  <w:style w:type="character" w:styleId="LineNumber">
    <w:name w:val="line number"/>
    <w:basedOn w:val="OPCCharBase"/>
    <w:uiPriority w:val="99"/>
    <w:semiHidden/>
    <w:unhideWhenUsed/>
    <w:rsid w:val="00DF7BB4"/>
    <w:rPr>
      <w:sz w:val="16"/>
    </w:rPr>
  </w:style>
  <w:style w:type="table" w:customStyle="1" w:styleId="CFlag">
    <w:name w:val="CFlag"/>
    <w:basedOn w:val="TableNormal"/>
    <w:uiPriority w:val="99"/>
    <w:rsid w:val="00DF7BB4"/>
    <w:rPr>
      <w:rFonts w:eastAsia="Times New Roman" w:cs="Times New Roman"/>
      <w:lang w:eastAsia="en-AU"/>
    </w:rPr>
    <w:tblPr/>
  </w:style>
  <w:style w:type="paragraph" w:customStyle="1" w:styleId="NotesHeading1">
    <w:name w:val="NotesHeading 1"/>
    <w:basedOn w:val="OPCParaBase"/>
    <w:next w:val="Normal"/>
    <w:rsid w:val="00DF7BB4"/>
    <w:rPr>
      <w:b/>
      <w:sz w:val="28"/>
      <w:szCs w:val="28"/>
    </w:rPr>
  </w:style>
  <w:style w:type="paragraph" w:customStyle="1" w:styleId="NotesHeading2">
    <w:name w:val="NotesHeading 2"/>
    <w:basedOn w:val="OPCParaBase"/>
    <w:next w:val="Normal"/>
    <w:rsid w:val="00DF7BB4"/>
    <w:rPr>
      <w:b/>
      <w:sz w:val="28"/>
      <w:szCs w:val="28"/>
    </w:rPr>
  </w:style>
  <w:style w:type="paragraph" w:customStyle="1" w:styleId="SignCoverPageEnd">
    <w:name w:val="SignCoverPageEnd"/>
    <w:basedOn w:val="OPCParaBase"/>
    <w:next w:val="Normal"/>
    <w:rsid w:val="00DF7BB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F7BB4"/>
    <w:pPr>
      <w:pBdr>
        <w:top w:val="single" w:sz="4" w:space="1" w:color="auto"/>
      </w:pBdr>
      <w:spacing w:before="360"/>
      <w:ind w:right="397"/>
      <w:jc w:val="both"/>
    </w:pPr>
  </w:style>
  <w:style w:type="paragraph" w:customStyle="1" w:styleId="Paragraphsub-sub-sub">
    <w:name w:val="Paragraph(sub-sub-sub)"/>
    <w:aliases w:val="aaaa"/>
    <w:basedOn w:val="OPCParaBase"/>
    <w:rsid w:val="00DF7BB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F7BB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F7BB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F7BB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F7BB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DF7BB4"/>
    <w:pPr>
      <w:spacing w:before="120"/>
    </w:pPr>
  </w:style>
  <w:style w:type="paragraph" w:customStyle="1" w:styleId="TableTextEndNotes">
    <w:name w:val="TableTextEndNotes"/>
    <w:aliases w:val="Tten"/>
    <w:basedOn w:val="Normal"/>
    <w:rsid w:val="00DF7BB4"/>
    <w:pPr>
      <w:spacing w:before="60" w:line="240" w:lineRule="auto"/>
    </w:pPr>
    <w:rPr>
      <w:rFonts w:cs="Arial"/>
      <w:sz w:val="20"/>
      <w:szCs w:val="22"/>
    </w:rPr>
  </w:style>
  <w:style w:type="paragraph" w:customStyle="1" w:styleId="TableHeading">
    <w:name w:val="TableHeading"/>
    <w:aliases w:val="th"/>
    <w:basedOn w:val="OPCParaBase"/>
    <w:next w:val="Tabletext"/>
    <w:rsid w:val="00DF7BB4"/>
    <w:pPr>
      <w:keepNext/>
      <w:spacing w:before="60" w:line="240" w:lineRule="atLeast"/>
    </w:pPr>
    <w:rPr>
      <w:b/>
      <w:sz w:val="20"/>
    </w:rPr>
  </w:style>
  <w:style w:type="paragraph" w:customStyle="1" w:styleId="NoteToSubpara">
    <w:name w:val="NoteToSubpara"/>
    <w:aliases w:val="nts"/>
    <w:basedOn w:val="OPCParaBase"/>
    <w:rsid w:val="00DF7BB4"/>
    <w:pPr>
      <w:spacing w:before="40" w:line="198" w:lineRule="exact"/>
      <w:ind w:left="2835" w:hanging="709"/>
    </w:pPr>
    <w:rPr>
      <w:sz w:val="18"/>
    </w:rPr>
  </w:style>
  <w:style w:type="paragraph" w:customStyle="1" w:styleId="ENoteTableHeading">
    <w:name w:val="ENoteTableHeading"/>
    <w:aliases w:val="enth"/>
    <w:basedOn w:val="OPCParaBase"/>
    <w:rsid w:val="00DF7BB4"/>
    <w:pPr>
      <w:keepNext/>
      <w:spacing w:before="60" w:line="240" w:lineRule="atLeast"/>
    </w:pPr>
    <w:rPr>
      <w:rFonts w:ascii="Arial" w:hAnsi="Arial"/>
      <w:b/>
      <w:sz w:val="16"/>
    </w:rPr>
  </w:style>
  <w:style w:type="paragraph" w:customStyle="1" w:styleId="ENoteTTi">
    <w:name w:val="ENoteTTi"/>
    <w:aliases w:val="entti"/>
    <w:basedOn w:val="OPCParaBase"/>
    <w:rsid w:val="00DF7BB4"/>
    <w:pPr>
      <w:keepNext/>
      <w:spacing w:before="60" w:line="240" w:lineRule="atLeast"/>
      <w:ind w:left="170"/>
    </w:pPr>
    <w:rPr>
      <w:sz w:val="16"/>
    </w:rPr>
  </w:style>
  <w:style w:type="paragraph" w:customStyle="1" w:styleId="ENotesHeading1">
    <w:name w:val="ENotesHeading 1"/>
    <w:aliases w:val="Enh1"/>
    <w:basedOn w:val="OPCParaBase"/>
    <w:next w:val="Normal"/>
    <w:rsid w:val="00DF7BB4"/>
    <w:pPr>
      <w:spacing w:before="120"/>
      <w:outlineLvl w:val="1"/>
    </w:pPr>
    <w:rPr>
      <w:b/>
      <w:sz w:val="28"/>
      <w:szCs w:val="28"/>
    </w:rPr>
  </w:style>
  <w:style w:type="paragraph" w:customStyle="1" w:styleId="ENotesHeading2">
    <w:name w:val="ENotesHeading 2"/>
    <w:aliases w:val="Enh2"/>
    <w:basedOn w:val="OPCParaBase"/>
    <w:next w:val="Normal"/>
    <w:rsid w:val="00DF7BB4"/>
    <w:pPr>
      <w:spacing w:before="120" w:after="120"/>
      <w:outlineLvl w:val="2"/>
    </w:pPr>
    <w:rPr>
      <w:b/>
      <w:sz w:val="24"/>
      <w:szCs w:val="28"/>
    </w:rPr>
  </w:style>
  <w:style w:type="paragraph" w:customStyle="1" w:styleId="ENoteTTIndentHeading">
    <w:name w:val="ENoteTTIndentHeading"/>
    <w:aliases w:val="enTTHi"/>
    <w:basedOn w:val="OPCParaBase"/>
    <w:rsid w:val="00DF7BB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F7BB4"/>
    <w:pPr>
      <w:spacing w:before="60" w:line="240" w:lineRule="atLeast"/>
    </w:pPr>
    <w:rPr>
      <w:sz w:val="16"/>
    </w:rPr>
  </w:style>
  <w:style w:type="paragraph" w:customStyle="1" w:styleId="MadeunderText">
    <w:name w:val="MadeunderText"/>
    <w:basedOn w:val="OPCParaBase"/>
    <w:next w:val="Normal"/>
    <w:rsid w:val="00DF7BB4"/>
    <w:pPr>
      <w:spacing w:before="240"/>
    </w:pPr>
    <w:rPr>
      <w:sz w:val="24"/>
      <w:szCs w:val="24"/>
    </w:rPr>
  </w:style>
  <w:style w:type="paragraph" w:customStyle="1" w:styleId="ENotesHeading3">
    <w:name w:val="ENotesHeading 3"/>
    <w:aliases w:val="Enh3"/>
    <w:basedOn w:val="OPCParaBase"/>
    <w:next w:val="Normal"/>
    <w:rsid w:val="00DF7BB4"/>
    <w:pPr>
      <w:keepNext/>
      <w:spacing w:before="120" w:line="240" w:lineRule="auto"/>
      <w:outlineLvl w:val="4"/>
    </w:pPr>
    <w:rPr>
      <w:b/>
      <w:szCs w:val="24"/>
    </w:rPr>
  </w:style>
  <w:style w:type="paragraph" w:customStyle="1" w:styleId="SubPartCASA">
    <w:name w:val="SubPart(CASA)"/>
    <w:aliases w:val="csp"/>
    <w:basedOn w:val="OPCParaBase"/>
    <w:next w:val="ActHead3"/>
    <w:rsid w:val="00DF7BB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DF7BB4"/>
  </w:style>
  <w:style w:type="character" w:customStyle="1" w:styleId="CharSubPartNoCASA">
    <w:name w:val="CharSubPartNo(CASA)"/>
    <w:basedOn w:val="OPCCharBase"/>
    <w:uiPriority w:val="1"/>
    <w:rsid w:val="00DF7BB4"/>
  </w:style>
  <w:style w:type="paragraph" w:customStyle="1" w:styleId="ENoteTTIndentHeadingSub">
    <w:name w:val="ENoteTTIndentHeadingSub"/>
    <w:aliases w:val="enTTHis"/>
    <w:basedOn w:val="OPCParaBase"/>
    <w:rsid w:val="00DF7BB4"/>
    <w:pPr>
      <w:keepNext/>
      <w:spacing w:before="60" w:line="240" w:lineRule="atLeast"/>
      <w:ind w:left="340"/>
    </w:pPr>
    <w:rPr>
      <w:b/>
      <w:sz w:val="16"/>
    </w:rPr>
  </w:style>
  <w:style w:type="paragraph" w:customStyle="1" w:styleId="ENoteTTiSub">
    <w:name w:val="ENoteTTiSub"/>
    <w:aliases w:val="enttis"/>
    <w:basedOn w:val="OPCParaBase"/>
    <w:rsid w:val="00DF7BB4"/>
    <w:pPr>
      <w:keepNext/>
      <w:spacing w:before="60" w:line="240" w:lineRule="atLeast"/>
      <w:ind w:left="340"/>
    </w:pPr>
    <w:rPr>
      <w:sz w:val="16"/>
    </w:rPr>
  </w:style>
  <w:style w:type="paragraph" w:customStyle="1" w:styleId="SubDivisionMigration">
    <w:name w:val="SubDivisionMigration"/>
    <w:aliases w:val="sdm"/>
    <w:basedOn w:val="OPCParaBase"/>
    <w:rsid w:val="00DF7BB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F7BB4"/>
    <w:pPr>
      <w:keepNext/>
      <w:keepLines/>
      <w:spacing w:before="240" w:line="240" w:lineRule="auto"/>
      <w:ind w:left="1134" w:hanging="1134"/>
    </w:pPr>
    <w:rPr>
      <w:b/>
      <w:sz w:val="28"/>
    </w:rPr>
  </w:style>
  <w:style w:type="table" w:styleId="TableGrid">
    <w:name w:val="Table Grid"/>
    <w:basedOn w:val="TableNormal"/>
    <w:uiPriority w:val="59"/>
    <w:rsid w:val="00DF7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DF7BB4"/>
    <w:pPr>
      <w:spacing w:before="122" w:line="240" w:lineRule="auto"/>
      <w:ind w:left="1985" w:hanging="851"/>
    </w:pPr>
    <w:rPr>
      <w:sz w:val="18"/>
    </w:rPr>
  </w:style>
  <w:style w:type="paragraph" w:customStyle="1" w:styleId="FreeForm">
    <w:name w:val="FreeForm"/>
    <w:rsid w:val="00DF7BB4"/>
    <w:rPr>
      <w:rFonts w:ascii="Arial" w:hAnsi="Arial"/>
      <w:sz w:val="22"/>
    </w:rPr>
  </w:style>
  <w:style w:type="paragraph" w:customStyle="1" w:styleId="SOText">
    <w:name w:val="SO Text"/>
    <w:aliases w:val="sot"/>
    <w:link w:val="SOTextChar"/>
    <w:rsid w:val="00DF7BB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F7BB4"/>
    <w:rPr>
      <w:sz w:val="22"/>
    </w:rPr>
  </w:style>
  <w:style w:type="paragraph" w:customStyle="1" w:styleId="SOTextNote">
    <w:name w:val="SO TextNote"/>
    <w:aliases w:val="sont"/>
    <w:basedOn w:val="SOText"/>
    <w:qFormat/>
    <w:rsid w:val="00DF7BB4"/>
    <w:pPr>
      <w:spacing w:before="122" w:line="198" w:lineRule="exact"/>
      <w:ind w:left="1843" w:hanging="709"/>
    </w:pPr>
    <w:rPr>
      <w:sz w:val="18"/>
    </w:rPr>
  </w:style>
  <w:style w:type="paragraph" w:customStyle="1" w:styleId="SOPara">
    <w:name w:val="SO Para"/>
    <w:aliases w:val="soa"/>
    <w:basedOn w:val="SOText"/>
    <w:link w:val="SOParaChar"/>
    <w:qFormat/>
    <w:rsid w:val="00DF7BB4"/>
    <w:pPr>
      <w:tabs>
        <w:tab w:val="right" w:pos="1786"/>
      </w:tabs>
      <w:spacing w:before="40"/>
      <w:ind w:left="2070" w:hanging="936"/>
    </w:pPr>
  </w:style>
  <w:style w:type="character" w:customStyle="1" w:styleId="SOParaChar">
    <w:name w:val="SO Para Char"/>
    <w:aliases w:val="soa Char"/>
    <w:basedOn w:val="DefaultParagraphFont"/>
    <w:link w:val="SOPara"/>
    <w:rsid w:val="00DF7BB4"/>
    <w:rPr>
      <w:sz w:val="22"/>
    </w:rPr>
  </w:style>
  <w:style w:type="paragraph" w:customStyle="1" w:styleId="FileName">
    <w:name w:val="FileName"/>
    <w:basedOn w:val="Normal"/>
    <w:rsid w:val="00DF7BB4"/>
  </w:style>
  <w:style w:type="paragraph" w:customStyle="1" w:styleId="SOHeadBold">
    <w:name w:val="SO HeadBold"/>
    <w:aliases w:val="sohb"/>
    <w:basedOn w:val="SOText"/>
    <w:next w:val="SOText"/>
    <w:link w:val="SOHeadBoldChar"/>
    <w:qFormat/>
    <w:rsid w:val="00DF7BB4"/>
    <w:rPr>
      <w:b/>
    </w:rPr>
  </w:style>
  <w:style w:type="character" w:customStyle="1" w:styleId="SOHeadBoldChar">
    <w:name w:val="SO HeadBold Char"/>
    <w:aliases w:val="sohb Char"/>
    <w:basedOn w:val="DefaultParagraphFont"/>
    <w:link w:val="SOHeadBold"/>
    <w:rsid w:val="00DF7BB4"/>
    <w:rPr>
      <w:b/>
      <w:sz w:val="22"/>
    </w:rPr>
  </w:style>
  <w:style w:type="paragraph" w:customStyle="1" w:styleId="SOHeadItalic">
    <w:name w:val="SO HeadItalic"/>
    <w:aliases w:val="sohi"/>
    <w:basedOn w:val="SOText"/>
    <w:next w:val="SOText"/>
    <w:link w:val="SOHeadItalicChar"/>
    <w:qFormat/>
    <w:rsid w:val="00DF7BB4"/>
    <w:rPr>
      <w:i/>
    </w:rPr>
  </w:style>
  <w:style w:type="character" w:customStyle="1" w:styleId="SOHeadItalicChar">
    <w:name w:val="SO HeadItalic Char"/>
    <w:aliases w:val="sohi Char"/>
    <w:basedOn w:val="DefaultParagraphFont"/>
    <w:link w:val="SOHeadItalic"/>
    <w:rsid w:val="00DF7BB4"/>
    <w:rPr>
      <w:i/>
      <w:sz w:val="22"/>
    </w:rPr>
  </w:style>
  <w:style w:type="paragraph" w:customStyle="1" w:styleId="SOBullet">
    <w:name w:val="SO Bullet"/>
    <w:aliases w:val="sotb"/>
    <w:basedOn w:val="SOText"/>
    <w:link w:val="SOBulletChar"/>
    <w:qFormat/>
    <w:rsid w:val="00DF7BB4"/>
    <w:pPr>
      <w:ind w:left="1559" w:hanging="425"/>
    </w:pPr>
  </w:style>
  <w:style w:type="character" w:customStyle="1" w:styleId="SOBulletChar">
    <w:name w:val="SO Bullet Char"/>
    <w:aliases w:val="sotb Char"/>
    <w:basedOn w:val="DefaultParagraphFont"/>
    <w:link w:val="SOBullet"/>
    <w:rsid w:val="00DF7BB4"/>
    <w:rPr>
      <w:sz w:val="22"/>
    </w:rPr>
  </w:style>
  <w:style w:type="paragraph" w:customStyle="1" w:styleId="SOBulletNote">
    <w:name w:val="SO BulletNote"/>
    <w:aliases w:val="sonb"/>
    <w:basedOn w:val="SOTextNote"/>
    <w:link w:val="SOBulletNoteChar"/>
    <w:qFormat/>
    <w:rsid w:val="00DF7BB4"/>
    <w:pPr>
      <w:tabs>
        <w:tab w:val="left" w:pos="1560"/>
      </w:tabs>
      <w:ind w:left="2268" w:hanging="1134"/>
    </w:pPr>
  </w:style>
  <w:style w:type="character" w:customStyle="1" w:styleId="SOBulletNoteChar">
    <w:name w:val="SO BulletNote Char"/>
    <w:aliases w:val="sonb Char"/>
    <w:basedOn w:val="DefaultParagraphFont"/>
    <w:link w:val="SOBulletNote"/>
    <w:rsid w:val="00DF7BB4"/>
    <w:rPr>
      <w:sz w:val="18"/>
    </w:rPr>
  </w:style>
  <w:style w:type="paragraph" w:customStyle="1" w:styleId="SOText2">
    <w:name w:val="SO Text2"/>
    <w:aliases w:val="sot2"/>
    <w:basedOn w:val="Normal"/>
    <w:next w:val="SOText"/>
    <w:link w:val="SOText2Char"/>
    <w:rsid w:val="00DF7BB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F7BB4"/>
    <w:rPr>
      <w:sz w:val="22"/>
    </w:rPr>
  </w:style>
  <w:style w:type="paragraph" w:customStyle="1" w:styleId="Transitional">
    <w:name w:val="Transitional"/>
    <w:aliases w:val="tr"/>
    <w:basedOn w:val="ItemHead"/>
    <w:next w:val="Item"/>
    <w:rsid w:val="00DF7BB4"/>
  </w:style>
  <w:style w:type="character" w:customStyle="1" w:styleId="paragraphChar">
    <w:name w:val="paragraph Char"/>
    <w:aliases w:val="a Char"/>
    <w:basedOn w:val="DefaultParagraphFont"/>
    <w:link w:val="paragraph"/>
    <w:rsid w:val="00870BBE"/>
    <w:rPr>
      <w:rFonts w:eastAsia="Times New Roman" w:cs="Times New Roman"/>
      <w:sz w:val="22"/>
      <w:lang w:eastAsia="en-AU"/>
    </w:rPr>
  </w:style>
  <w:style w:type="character" w:customStyle="1" w:styleId="ItemHeadChar">
    <w:name w:val="ItemHead Char"/>
    <w:aliases w:val="ih Char"/>
    <w:basedOn w:val="DefaultParagraphFont"/>
    <w:link w:val="ItemHead"/>
    <w:rsid w:val="00870BBE"/>
    <w:rPr>
      <w:rFonts w:ascii="Arial" w:eastAsia="Times New Roman" w:hAnsi="Arial" w:cs="Times New Roman"/>
      <w:b/>
      <w:kern w:val="28"/>
      <w:sz w:val="24"/>
      <w:lang w:eastAsia="en-AU"/>
    </w:rPr>
  </w:style>
  <w:style w:type="character" w:styleId="Hyperlink">
    <w:name w:val="Hyperlink"/>
    <w:basedOn w:val="DefaultParagraphFont"/>
    <w:uiPriority w:val="99"/>
    <w:semiHidden/>
    <w:unhideWhenUsed/>
    <w:rsid w:val="007C26B8"/>
    <w:rPr>
      <w:color w:val="0000FF" w:themeColor="hyperlink"/>
      <w:u w:val="single"/>
    </w:rPr>
  </w:style>
  <w:style w:type="character" w:styleId="FollowedHyperlink">
    <w:name w:val="FollowedHyperlink"/>
    <w:basedOn w:val="DefaultParagraphFont"/>
    <w:uiPriority w:val="99"/>
    <w:semiHidden/>
    <w:unhideWhenUsed/>
    <w:rsid w:val="007C26B8"/>
    <w:rPr>
      <w:color w:val="0000FF" w:themeColor="hyperlink"/>
      <w:u w:val="single"/>
    </w:rPr>
  </w:style>
  <w:style w:type="character" w:customStyle="1" w:styleId="Heading1Char">
    <w:name w:val="Heading 1 Char"/>
    <w:basedOn w:val="DefaultParagraphFont"/>
    <w:link w:val="Heading1"/>
    <w:uiPriority w:val="9"/>
    <w:rsid w:val="00D642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642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642F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642F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642F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642F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642F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642F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642FD"/>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D642FD"/>
    <w:pPr>
      <w:spacing w:before="800"/>
    </w:pPr>
  </w:style>
  <w:style w:type="character" w:customStyle="1" w:styleId="ShortTP1Char">
    <w:name w:val="ShortTP1 Char"/>
    <w:basedOn w:val="DefaultParagraphFont"/>
    <w:link w:val="ShortTP1"/>
    <w:rsid w:val="00D642FD"/>
    <w:rPr>
      <w:rFonts w:eastAsia="Times New Roman" w:cs="Times New Roman"/>
      <w:b/>
      <w:sz w:val="40"/>
      <w:lang w:eastAsia="en-AU"/>
    </w:rPr>
  </w:style>
  <w:style w:type="paragraph" w:customStyle="1" w:styleId="ActNoP1">
    <w:name w:val="ActNoP1"/>
    <w:basedOn w:val="Actno"/>
    <w:link w:val="ActNoP1Char"/>
    <w:rsid w:val="00D642FD"/>
    <w:pPr>
      <w:spacing w:before="800"/>
    </w:pPr>
    <w:rPr>
      <w:sz w:val="28"/>
    </w:rPr>
  </w:style>
  <w:style w:type="character" w:customStyle="1" w:styleId="ActNoP1Char">
    <w:name w:val="ActNoP1 Char"/>
    <w:basedOn w:val="DefaultParagraphFont"/>
    <w:link w:val="ActNoP1"/>
    <w:rsid w:val="00D642FD"/>
    <w:rPr>
      <w:rFonts w:eastAsia="Times New Roman" w:cs="Times New Roman"/>
      <w:b/>
      <w:sz w:val="28"/>
      <w:lang w:eastAsia="en-AU"/>
    </w:rPr>
  </w:style>
  <w:style w:type="paragraph" w:customStyle="1" w:styleId="AssentBk">
    <w:name w:val="AssentBk"/>
    <w:basedOn w:val="Normal"/>
    <w:rsid w:val="00D642FD"/>
    <w:pPr>
      <w:spacing w:line="240" w:lineRule="auto"/>
    </w:pPr>
    <w:rPr>
      <w:rFonts w:eastAsia="Times New Roman" w:cs="Times New Roman"/>
      <w:sz w:val="20"/>
      <w:lang w:eastAsia="en-AU"/>
    </w:rPr>
  </w:style>
  <w:style w:type="paragraph" w:customStyle="1" w:styleId="AssentDt">
    <w:name w:val="AssentDt"/>
    <w:basedOn w:val="Normal"/>
    <w:rsid w:val="00E66D6D"/>
    <w:pPr>
      <w:spacing w:line="240" w:lineRule="auto"/>
    </w:pPr>
    <w:rPr>
      <w:rFonts w:eastAsia="Times New Roman" w:cs="Times New Roman"/>
      <w:sz w:val="20"/>
      <w:lang w:eastAsia="en-AU"/>
    </w:rPr>
  </w:style>
  <w:style w:type="paragraph" w:customStyle="1" w:styleId="2ndRd">
    <w:name w:val="2ndRd"/>
    <w:basedOn w:val="Normal"/>
    <w:rsid w:val="00E66D6D"/>
    <w:pPr>
      <w:spacing w:line="240" w:lineRule="auto"/>
    </w:pPr>
    <w:rPr>
      <w:rFonts w:eastAsia="Times New Roman" w:cs="Times New Roman"/>
      <w:sz w:val="20"/>
      <w:lang w:eastAsia="en-AU"/>
    </w:rPr>
  </w:style>
  <w:style w:type="paragraph" w:customStyle="1" w:styleId="ScalePlusRef">
    <w:name w:val="ScalePlusRef"/>
    <w:basedOn w:val="Normal"/>
    <w:rsid w:val="00E66D6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22</Pages>
  <Words>3074</Words>
  <Characters>16263</Characters>
  <Application>Microsoft Office Word</Application>
  <DocSecurity>0</DocSecurity>
  <PresentationFormat/>
  <Lines>135</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2021-07-01T03:51:00Z</dcterms:created>
  <dcterms:modified xsi:type="dcterms:W3CDTF">2021-07-01T04:02:00Z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(2021 Measures No. 4) Act 2021</vt:lpwstr>
  </property>
  <property fmtid="{D5CDD505-2E9C-101B-9397-08002B2CF9AE}" pid="3" name="ActNo">
    <vt:lpwstr>No. 72, 2021</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OPC7738</vt:lpwstr>
  </property>
</Properties>
</file>