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F7C9" w14:textId="1563DA1A" w:rsidR="0092794C" w:rsidRDefault="0092794C" w:rsidP="0092794C">
      <w:r>
        <w:object w:dxaOrig="2146" w:dyaOrig="1561" w14:anchorId="78851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97015054" r:id="rId8"/>
        </w:object>
      </w:r>
    </w:p>
    <w:p w14:paraId="6EA7D73F" w14:textId="77777777" w:rsidR="0092794C" w:rsidRDefault="0092794C" w:rsidP="0092794C"/>
    <w:p w14:paraId="3026D810" w14:textId="77777777" w:rsidR="0092794C" w:rsidRDefault="0092794C" w:rsidP="0092794C"/>
    <w:p w14:paraId="2779B7E8" w14:textId="77777777" w:rsidR="0092794C" w:rsidRDefault="0092794C" w:rsidP="0092794C"/>
    <w:p w14:paraId="61CF3E62" w14:textId="77777777" w:rsidR="0092794C" w:rsidRDefault="0092794C" w:rsidP="0092794C"/>
    <w:p w14:paraId="2F2738AA" w14:textId="77777777" w:rsidR="0092794C" w:rsidRDefault="0092794C" w:rsidP="0092794C"/>
    <w:p w14:paraId="38B3E7EB" w14:textId="77777777" w:rsidR="0092794C" w:rsidRDefault="0092794C" w:rsidP="0092794C"/>
    <w:p w14:paraId="2F1CC639" w14:textId="59324FDE" w:rsidR="0048364F" w:rsidRPr="000269ED" w:rsidRDefault="0092794C" w:rsidP="0048364F">
      <w:pPr>
        <w:pStyle w:val="ShortT"/>
      </w:pPr>
      <w:r>
        <w:t>Australian Organ and Tissue Donation and Transplantation Authority Amendment (Governance and Other Measures) Act 2021</w:t>
      </w:r>
    </w:p>
    <w:p w14:paraId="7DED3F23" w14:textId="77777777" w:rsidR="0048364F" w:rsidRPr="000269ED" w:rsidRDefault="0048364F" w:rsidP="0048364F"/>
    <w:p w14:paraId="119C1808" w14:textId="7B9BB97D" w:rsidR="0048364F" w:rsidRPr="000269ED" w:rsidRDefault="00C164CA" w:rsidP="0092794C">
      <w:pPr>
        <w:pStyle w:val="Actno"/>
        <w:spacing w:before="400"/>
      </w:pPr>
      <w:r w:rsidRPr="000269ED">
        <w:t>No.</w:t>
      </w:r>
      <w:r w:rsidR="00361143">
        <w:t xml:space="preserve"> 89</w:t>
      </w:r>
      <w:r w:rsidRPr="000269ED">
        <w:t>, 20</w:t>
      </w:r>
      <w:r w:rsidR="009E186E" w:rsidRPr="000269ED">
        <w:t>21</w:t>
      </w:r>
    </w:p>
    <w:p w14:paraId="2C529731" w14:textId="77777777" w:rsidR="0048364F" w:rsidRPr="000269ED" w:rsidRDefault="0048364F" w:rsidP="0048364F"/>
    <w:p w14:paraId="62158652" w14:textId="77777777" w:rsidR="00645F2D" w:rsidRDefault="00645F2D" w:rsidP="00645F2D">
      <w:pPr>
        <w:rPr>
          <w:lang w:eastAsia="en-AU"/>
        </w:rPr>
      </w:pPr>
    </w:p>
    <w:p w14:paraId="5C578C50" w14:textId="27B83D54" w:rsidR="0048364F" w:rsidRPr="000269ED" w:rsidRDefault="0048364F" w:rsidP="0048364F"/>
    <w:p w14:paraId="25AED020" w14:textId="77777777" w:rsidR="0048364F" w:rsidRPr="000269ED" w:rsidRDefault="0048364F" w:rsidP="0048364F"/>
    <w:p w14:paraId="3E732727" w14:textId="77777777" w:rsidR="0048364F" w:rsidRPr="000269ED" w:rsidRDefault="0048364F" w:rsidP="0048364F"/>
    <w:p w14:paraId="6927FD3A" w14:textId="77777777" w:rsidR="0092794C" w:rsidRDefault="0092794C" w:rsidP="0092794C">
      <w:pPr>
        <w:pStyle w:val="LongT"/>
      </w:pPr>
      <w:r>
        <w:t xml:space="preserve">An Act to amend the </w:t>
      </w:r>
      <w:r w:rsidRPr="0092794C">
        <w:rPr>
          <w:i/>
        </w:rPr>
        <w:t>Australian Organ and Tissue Donation and Transplantation Authority Act 2008</w:t>
      </w:r>
      <w:r>
        <w:t>, and for related purposes</w:t>
      </w:r>
    </w:p>
    <w:p w14:paraId="5D026130" w14:textId="0FCDE71D" w:rsidR="0048364F" w:rsidRPr="000269ED" w:rsidRDefault="0048364F" w:rsidP="0048364F">
      <w:pPr>
        <w:pStyle w:val="Header"/>
        <w:tabs>
          <w:tab w:val="clear" w:pos="4150"/>
          <w:tab w:val="clear" w:pos="8307"/>
        </w:tabs>
      </w:pPr>
      <w:r w:rsidRPr="000269ED">
        <w:rPr>
          <w:rStyle w:val="CharAmSchNo"/>
        </w:rPr>
        <w:t xml:space="preserve"> </w:t>
      </w:r>
      <w:r w:rsidRPr="000269ED">
        <w:rPr>
          <w:rStyle w:val="CharAmSchText"/>
        </w:rPr>
        <w:t xml:space="preserve"> </w:t>
      </w:r>
    </w:p>
    <w:p w14:paraId="3F576832" w14:textId="77777777" w:rsidR="0048364F" w:rsidRPr="000269ED" w:rsidRDefault="0048364F" w:rsidP="0048364F">
      <w:pPr>
        <w:pStyle w:val="Header"/>
        <w:tabs>
          <w:tab w:val="clear" w:pos="4150"/>
          <w:tab w:val="clear" w:pos="8307"/>
        </w:tabs>
      </w:pPr>
      <w:r w:rsidRPr="000269ED">
        <w:rPr>
          <w:rStyle w:val="CharAmPartNo"/>
        </w:rPr>
        <w:t xml:space="preserve"> </w:t>
      </w:r>
      <w:r w:rsidRPr="000269ED">
        <w:rPr>
          <w:rStyle w:val="CharAmPartText"/>
        </w:rPr>
        <w:t xml:space="preserve"> </w:t>
      </w:r>
    </w:p>
    <w:p w14:paraId="17452660" w14:textId="77777777" w:rsidR="0048364F" w:rsidRPr="000269ED" w:rsidRDefault="0048364F" w:rsidP="0048364F">
      <w:pPr>
        <w:sectPr w:rsidR="0048364F" w:rsidRPr="000269ED" w:rsidSect="009279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2DDED0B" w14:textId="77777777" w:rsidR="0048364F" w:rsidRPr="000269ED" w:rsidRDefault="0048364F" w:rsidP="0048364F">
      <w:pPr>
        <w:outlineLvl w:val="0"/>
        <w:rPr>
          <w:sz w:val="36"/>
        </w:rPr>
      </w:pPr>
      <w:r w:rsidRPr="000269ED">
        <w:rPr>
          <w:sz w:val="36"/>
        </w:rPr>
        <w:lastRenderedPageBreak/>
        <w:t>Contents</w:t>
      </w:r>
    </w:p>
    <w:p w14:paraId="7273DD52" w14:textId="3A6122D5" w:rsidR="001E4840" w:rsidRDefault="001E4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E4840">
        <w:rPr>
          <w:noProof/>
        </w:rPr>
        <w:tab/>
      </w:r>
      <w:r w:rsidRPr="001E4840">
        <w:rPr>
          <w:noProof/>
        </w:rPr>
        <w:fldChar w:fldCharType="begin"/>
      </w:r>
      <w:r w:rsidRPr="001E4840">
        <w:rPr>
          <w:noProof/>
        </w:rPr>
        <w:instrText xml:space="preserve"> PAGEREF _Toc81897122 \h </w:instrText>
      </w:r>
      <w:r w:rsidRPr="001E4840">
        <w:rPr>
          <w:noProof/>
        </w:rPr>
      </w:r>
      <w:r w:rsidRPr="001E4840">
        <w:rPr>
          <w:noProof/>
        </w:rPr>
        <w:fldChar w:fldCharType="separate"/>
      </w:r>
      <w:r w:rsidR="003C29C8">
        <w:rPr>
          <w:noProof/>
        </w:rPr>
        <w:t>2</w:t>
      </w:r>
      <w:r w:rsidRPr="001E4840">
        <w:rPr>
          <w:noProof/>
        </w:rPr>
        <w:fldChar w:fldCharType="end"/>
      </w:r>
    </w:p>
    <w:p w14:paraId="61FE7BC3" w14:textId="08FD4424" w:rsidR="001E4840" w:rsidRDefault="001E4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4840">
        <w:rPr>
          <w:noProof/>
        </w:rPr>
        <w:tab/>
      </w:r>
      <w:r w:rsidRPr="001E4840">
        <w:rPr>
          <w:noProof/>
        </w:rPr>
        <w:fldChar w:fldCharType="begin"/>
      </w:r>
      <w:r w:rsidRPr="001E4840">
        <w:rPr>
          <w:noProof/>
        </w:rPr>
        <w:instrText xml:space="preserve"> PAGEREF _Toc81897123 \h </w:instrText>
      </w:r>
      <w:r w:rsidRPr="001E4840">
        <w:rPr>
          <w:noProof/>
        </w:rPr>
      </w:r>
      <w:r w:rsidRPr="001E4840">
        <w:rPr>
          <w:noProof/>
        </w:rPr>
        <w:fldChar w:fldCharType="separate"/>
      </w:r>
      <w:r w:rsidR="003C29C8">
        <w:rPr>
          <w:noProof/>
        </w:rPr>
        <w:t>2</w:t>
      </w:r>
      <w:r w:rsidRPr="001E4840">
        <w:rPr>
          <w:noProof/>
        </w:rPr>
        <w:fldChar w:fldCharType="end"/>
      </w:r>
    </w:p>
    <w:p w14:paraId="7ADED41C" w14:textId="67A0A641" w:rsidR="001E4840" w:rsidRDefault="001E48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E4840">
        <w:rPr>
          <w:noProof/>
        </w:rPr>
        <w:tab/>
      </w:r>
      <w:r w:rsidRPr="001E4840">
        <w:rPr>
          <w:noProof/>
        </w:rPr>
        <w:fldChar w:fldCharType="begin"/>
      </w:r>
      <w:r w:rsidRPr="001E4840">
        <w:rPr>
          <w:noProof/>
        </w:rPr>
        <w:instrText xml:space="preserve"> PAGEREF _Toc81897124 \h </w:instrText>
      </w:r>
      <w:r w:rsidRPr="001E4840">
        <w:rPr>
          <w:noProof/>
        </w:rPr>
      </w:r>
      <w:r w:rsidRPr="001E4840">
        <w:rPr>
          <w:noProof/>
        </w:rPr>
        <w:fldChar w:fldCharType="separate"/>
      </w:r>
      <w:r w:rsidR="003C29C8">
        <w:rPr>
          <w:noProof/>
        </w:rPr>
        <w:t>2</w:t>
      </w:r>
      <w:r w:rsidRPr="001E4840">
        <w:rPr>
          <w:noProof/>
        </w:rPr>
        <w:fldChar w:fldCharType="end"/>
      </w:r>
    </w:p>
    <w:p w14:paraId="517C2211" w14:textId="217B41A3" w:rsidR="001E4840" w:rsidRDefault="001E48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E4840">
        <w:rPr>
          <w:b w:val="0"/>
          <w:noProof/>
          <w:sz w:val="18"/>
        </w:rPr>
        <w:tab/>
      </w:r>
      <w:r w:rsidRPr="001E4840">
        <w:rPr>
          <w:b w:val="0"/>
          <w:noProof/>
          <w:sz w:val="18"/>
        </w:rPr>
        <w:fldChar w:fldCharType="begin"/>
      </w:r>
      <w:r w:rsidRPr="001E4840">
        <w:rPr>
          <w:b w:val="0"/>
          <w:noProof/>
          <w:sz w:val="18"/>
        </w:rPr>
        <w:instrText xml:space="preserve"> PAGEREF _Toc81897125 \h </w:instrText>
      </w:r>
      <w:r w:rsidRPr="001E4840">
        <w:rPr>
          <w:b w:val="0"/>
          <w:noProof/>
          <w:sz w:val="18"/>
        </w:rPr>
      </w:r>
      <w:r w:rsidRPr="001E4840">
        <w:rPr>
          <w:b w:val="0"/>
          <w:noProof/>
          <w:sz w:val="18"/>
        </w:rPr>
        <w:fldChar w:fldCharType="separate"/>
      </w:r>
      <w:r w:rsidR="003C29C8">
        <w:rPr>
          <w:b w:val="0"/>
          <w:noProof/>
          <w:sz w:val="18"/>
        </w:rPr>
        <w:t>4</w:t>
      </w:r>
      <w:r w:rsidRPr="001E4840">
        <w:rPr>
          <w:b w:val="0"/>
          <w:noProof/>
          <w:sz w:val="18"/>
        </w:rPr>
        <w:fldChar w:fldCharType="end"/>
      </w:r>
    </w:p>
    <w:p w14:paraId="2233D599" w14:textId="46938E05" w:rsidR="001E4840" w:rsidRDefault="001E48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Organ and Tissue Donation and Transplantation Authority Act 2008</w:t>
      </w:r>
      <w:r w:rsidRPr="001E4840">
        <w:rPr>
          <w:i w:val="0"/>
          <w:noProof/>
          <w:sz w:val="18"/>
        </w:rPr>
        <w:tab/>
      </w:r>
      <w:r w:rsidRPr="001E4840">
        <w:rPr>
          <w:i w:val="0"/>
          <w:noProof/>
          <w:sz w:val="18"/>
        </w:rPr>
        <w:fldChar w:fldCharType="begin"/>
      </w:r>
      <w:r w:rsidRPr="001E4840">
        <w:rPr>
          <w:i w:val="0"/>
          <w:noProof/>
          <w:sz w:val="18"/>
        </w:rPr>
        <w:instrText xml:space="preserve"> PAGEREF _Toc81897126 \h </w:instrText>
      </w:r>
      <w:r w:rsidRPr="001E4840">
        <w:rPr>
          <w:i w:val="0"/>
          <w:noProof/>
          <w:sz w:val="18"/>
        </w:rPr>
      </w:r>
      <w:r w:rsidRPr="001E4840">
        <w:rPr>
          <w:i w:val="0"/>
          <w:noProof/>
          <w:sz w:val="18"/>
        </w:rPr>
        <w:fldChar w:fldCharType="separate"/>
      </w:r>
      <w:r w:rsidR="003C29C8">
        <w:rPr>
          <w:i w:val="0"/>
          <w:noProof/>
          <w:sz w:val="18"/>
        </w:rPr>
        <w:t>4</w:t>
      </w:r>
      <w:r w:rsidRPr="001E4840">
        <w:rPr>
          <w:i w:val="0"/>
          <w:noProof/>
          <w:sz w:val="18"/>
        </w:rPr>
        <w:fldChar w:fldCharType="end"/>
      </w:r>
    </w:p>
    <w:p w14:paraId="450720B5" w14:textId="3D8EA7F3" w:rsidR="001E4840" w:rsidRDefault="001E48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2—Application, transitional and saving provisions</w:t>
      </w:r>
      <w:r w:rsidRPr="001E4840">
        <w:rPr>
          <w:b w:val="0"/>
          <w:noProof/>
          <w:sz w:val="18"/>
        </w:rPr>
        <w:tab/>
      </w:r>
      <w:r w:rsidRPr="001E4840">
        <w:rPr>
          <w:b w:val="0"/>
          <w:noProof/>
          <w:sz w:val="18"/>
        </w:rPr>
        <w:fldChar w:fldCharType="begin"/>
      </w:r>
      <w:r w:rsidRPr="001E4840">
        <w:rPr>
          <w:b w:val="0"/>
          <w:noProof/>
          <w:sz w:val="18"/>
        </w:rPr>
        <w:instrText xml:space="preserve"> PAGEREF _Toc81897148 \h </w:instrText>
      </w:r>
      <w:r w:rsidRPr="001E4840">
        <w:rPr>
          <w:b w:val="0"/>
          <w:noProof/>
          <w:sz w:val="18"/>
        </w:rPr>
      </w:r>
      <w:r w:rsidRPr="001E4840">
        <w:rPr>
          <w:b w:val="0"/>
          <w:noProof/>
          <w:sz w:val="18"/>
        </w:rPr>
        <w:fldChar w:fldCharType="separate"/>
      </w:r>
      <w:r w:rsidR="003C29C8">
        <w:rPr>
          <w:b w:val="0"/>
          <w:noProof/>
          <w:sz w:val="18"/>
        </w:rPr>
        <w:t>17</w:t>
      </w:r>
      <w:r w:rsidRPr="001E4840">
        <w:rPr>
          <w:b w:val="0"/>
          <w:noProof/>
          <w:sz w:val="18"/>
        </w:rPr>
        <w:fldChar w:fldCharType="end"/>
      </w:r>
    </w:p>
    <w:p w14:paraId="17A57194" w14:textId="58A985F2" w:rsidR="00060FF9" w:rsidRPr="000269ED" w:rsidRDefault="001E4840" w:rsidP="0048364F">
      <w:r>
        <w:fldChar w:fldCharType="end"/>
      </w:r>
    </w:p>
    <w:p w14:paraId="4102EBC5" w14:textId="77777777" w:rsidR="00FE7F93" w:rsidRPr="000269ED" w:rsidRDefault="00FE7F93" w:rsidP="0048364F">
      <w:pPr>
        <w:sectPr w:rsidR="00FE7F93" w:rsidRPr="000269ED" w:rsidSect="009279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6D3E21F" w14:textId="77777777" w:rsidR="0092794C" w:rsidRDefault="0092794C">
      <w:r>
        <w:object w:dxaOrig="2146" w:dyaOrig="1561" w14:anchorId="06E914E9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97015055" r:id="rId20"/>
        </w:object>
      </w:r>
    </w:p>
    <w:p w14:paraId="799690EE" w14:textId="77777777" w:rsidR="0092794C" w:rsidRDefault="0092794C"/>
    <w:p w14:paraId="2042FA37" w14:textId="77777777" w:rsidR="0092794C" w:rsidRDefault="0092794C" w:rsidP="000178F8">
      <w:pPr>
        <w:spacing w:line="240" w:lineRule="auto"/>
      </w:pPr>
    </w:p>
    <w:p w14:paraId="4485DE48" w14:textId="3B131B63" w:rsidR="0092794C" w:rsidRDefault="00AF234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C29C8">
        <w:rPr>
          <w:noProof/>
        </w:rPr>
        <w:t>Australian Organ and Tissue Donation and Transplantation Authority Amendment (Governance and Other Measures) Act 2021</w:t>
      </w:r>
      <w:r>
        <w:rPr>
          <w:noProof/>
        </w:rPr>
        <w:fldChar w:fldCharType="end"/>
      </w:r>
    </w:p>
    <w:p w14:paraId="5EAD42E0" w14:textId="32431516" w:rsidR="0092794C" w:rsidRDefault="00AF234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C29C8">
        <w:rPr>
          <w:noProof/>
        </w:rPr>
        <w:t>No. 89, 2021</w:t>
      </w:r>
      <w:r>
        <w:rPr>
          <w:noProof/>
        </w:rPr>
        <w:fldChar w:fldCharType="end"/>
      </w:r>
    </w:p>
    <w:p w14:paraId="37EB7998" w14:textId="77777777" w:rsidR="0092794C" w:rsidRPr="009A0728" w:rsidRDefault="0092794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FA49D79" w14:textId="77777777" w:rsidR="0092794C" w:rsidRPr="009A0728" w:rsidRDefault="0092794C" w:rsidP="009A0728">
      <w:pPr>
        <w:spacing w:line="40" w:lineRule="exact"/>
        <w:rPr>
          <w:rFonts w:eastAsia="Calibri"/>
          <w:b/>
          <w:sz w:val="28"/>
        </w:rPr>
      </w:pPr>
    </w:p>
    <w:p w14:paraId="493A2251" w14:textId="77777777" w:rsidR="0092794C" w:rsidRPr="009A0728" w:rsidRDefault="0092794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4B46489" w14:textId="77777777" w:rsidR="0092794C" w:rsidRDefault="0092794C" w:rsidP="0092794C">
      <w:pPr>
        <w:pStyle w:val="Page1"/>
        <w:spacing w:before="400"/>
      </w:pPr>
      <w:r>
        <w:t xml:space="preserve">An Act to amend the </w:t>
      </w:r>
      <w:r w:rsidRPr="0092794C">
        <w:rPr>
          <w:i/>
        </w:rPr>
        <w:t>Australian Organ and Tissue Donation and Transplantation Authority Act 2008</w:t>
      </w:r>
      <w:r>
        <w:t>, and for related purposes</w:t>
      </w:r>
    </w:p>
    <w:p w14:paraId="1A71395F" w14:textId="43400CEF" w:rsidR="00361143" w:rsidRDefault="0036114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September 2021</w:t>
      </w:r>
      <w:r>
        <w:rPr>
          <w:sz w:val="24"/>
        </w:rPr>
        <w:t>]</w:t>
      </w:r>
    </w:p>
    <w:p w14:paraId="4A33BB29" w14:textId="1EFAE6B4" w:rsidR="0048364F" w:rsidRPr="000269ED" w:rsidRDefault="0048364F" w:rsidP="003203E3">
      <w:pPr>
        <w:spacing w:before="240" w:line="240" w:lineRule="auto"/>
        <w:rPr>
          <w:sz w:val="32"/>
        </w:rPr>
      </w:pPr>
      <w:r w:rsidRPr="000269ED">
        <w:rPr>
          <w:sz w:val="32"/>
        </w:rPr>
        <w:t>The Parliament of Australia enacts:</w:t>
      </w:r>
    </w:p>
    <w:p w14:paraId="3D9FFC1F" w14:textId="77777777" w:rsidR="0048364F" w:rsidRPr="000269ED" w:rsidRDefault="0048364F" w:rsidP="003203E3">
      <w:pPr>
        <w:pStyle w:val="ActHead5"/>
      </w:pPr>
      <w:bookmarkStart w:id="0" w:name="_Toc81897122"/>
      <w:r w:rsidRPr="000269ED">
        <w:rPr>
          <w:rStyle w:val="CharSectno"/>
        </w:rPr>
        <w:lastRenderedPageBreak/>
        <w:t>1</w:t>
      </w:r>
      <w:r w:rsidRPr="000269ED">
        <w:t xml:space="preserve">  Short title</w:t>
      </w:r>
      <w:bookmarkEnd w:id="0"/>
    </w:p>
    <w:p w14:paraId="3D97FE23" w14:textId="77777777" w:rsidR="0048364F" w:rsidRPr="000269ED" w:rsidRDefault="0048364F" w:rsidP="003203E3">
      <w:pPr>
        <w:pStyle w:val="subsection"/>
      </w:pPr>
      <w:r w:rsidRPr="000269ED">
        <w:tab/>
      </w:r>
      <w:r w:rsidRPr="000269ED">
        <w:tab/>
        <w:t xml:space="preserve">This Act </w:t>
      </w:r>
      <w:r w:rsidR="00275197" w:rsidRPr="000269ED">
        <w:t xml:space="preserve">is </w:t>
      </w:r>
      <w:r w:rsidRPr="000269ED">
        <w:t xml:space="preserve">the </w:t>
      </w:r>
      <w:r w:rsidR="00D102D0" w:rsidRPr="000269ED">
        <w:rPr>
          <w:i/>
        </w:rPr>
        <w:t>Australian Organ and Tissue Donation and Transplantation Authority Amendment</w:t>
      </w:r>
      <w:r w:rsidR="00EE3E36" w:rsidRPr="000269ED">
        <w:rPr>
          <w:i/>
        </w:rPr>
        <w:t xml:space="preserve"> </w:t>
      </w:r>
      <w:r w:rsidR="00071CF6" w:rsidRPr="000269ED">
        <w:rPr>
          <w:i/>
        </w:rPr>
        <w:t>(Governance</w:t>
      </w:r>
      <w:r w:rsidR="00AC060A" w:rsidRPr="000269ED">
        <w:rPr>
          <w:i/>
        </w:rPr>
        <w:t xml:space="preserve"> and Other Measures</w:t>
      </w:r>
      <w:r w:rsidR="00071CF6" w:rsidRPr="000269ED">
        <w:rPr>
          <w:i/>
        </w:rPr>
        <w:t xml:space="preserve">) </w:t>
      </w:r>
      <w:r w:rsidR="00EE3E36" w:rsidRPr="000269ED">
        <w:rPr>
          <w:i/>
        </w:rPr>
        <w:t>Act 20</w:t>
      </w:r>
      <w:r w:rsidR="009E186E" w:rsidRPr="000269ED">
        <w:rPr>
          <w:i/>
        </w:rPr>
        <w:t>21</w:t>
      </w:r>
      <w:r w:rsidRPr="000269ED">
        <w:t>.</w:t>
      </w:r>
    </w:p>
    <w:p w14:paraId="0AFD6C7E" w14:textId="77777777" w:rsidR="0048364F" w:rsidRPr="000269ED" w:rsidRDefault="0048364F" w:rsidP="003203E3">
      <w:pPr>
        <w:pStyle w:val="ActHead5"/>
      </w:pPr>
      <w:bookmarkStart w:id="1" w:name="_Toc81897123"/>
      <w:r w:rsidRPr="000269ED">
        <w:rPr>
          <w:rStyle w:val="CharSectno"/>
        </w:rPr>
        <w:t>2</w:t>
      </w:r>
      <w:r w:rsidRPr="000269ED">
        <w:t xml:space="preserve">  Commencement</w:t>
      </w:r>
      <w:bookmarkEnd w:id="1"/>
    </w:p>
    <w:p w14:paraId="3737E734" w14:textId="77777777" w:rsidR="0048364F" w:rsidRPr="000269ED" w:rsidRDefault="0048364F" w:rsidP="003203E3">
      <w:pPr>
        <w:pStyle w:val="subsection"/>
      </w:pPr>
      <w:r w:rsidRPr="000269ED">
        <w:tab/>
        <w:t>(1)</w:t>
      </w:r>
      <w:r w:rsidRPr="000269ED">
        <w:tab/>
        <w:t>Each provision of t</w:t>
      </w:r>
      <w:bookmarkStart w:id="2" w:name="_GoBack"/>
      <w:bookmarkEnd w:id="2"/>
      <w:r w:rsidRPr="000269ED">
        <w:t>his Act specified in column 1 of the table commences, or is taken to have commenced, in accordance with column 2 of the table. Any other statement in column 2 has effect according to its terms.</w:t>
      </w:r>
    </w:p>
    <w:p w14:paraId="76AD9007" w14:textId="77777777" w:rsidR="0048364F" w:rsidRPr="000269ED" w:rsidRDefault="0048364F" w:rsidP="003203E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269ED" w14:paraId="43D61D69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7B4A16" w14:textId="77777777" w:rsidR="0048364F" w:rsidRPr="000269ED" w:rsidRDefault="0048364F" w:rsidP="003203E3">
            <w:pPr>
              <w:pStyle w:val="TableHeading"/>
            </w:pPr>
            <w:r w:rsidRPr="000269ED">
              <w:t>Commencement information</w:t>
            </w:r>
          </w:p>
        </w:tc>
      </w:tr>
      <w:tr w:rsidR="0048364F" w:rsidRPr="000269ED" w14:paraId="7496011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322E2" w14:textId="77777777" w:rsidR="0048364F" w:rsidRPr="000269ED" w:rsidRDefault="0048364F" w:rsidP="003203E3">
            <w:pPr>
              <w:pStyle w:val="TableHeading"/>
            </w:pPr>
            <w:r w:rsidRPr="000269E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DF47F" w14:textId="77777777" w:rsidR="0048364F" w:rsidRPr="000269ED" w:rsidRDefault="0048364F" w:rsidP="003203E3">
            <w:pPr>
              <w:pStyle w:val="TableHeading"/>
            </w:pPr>
            <w:r w:rsidRPr="000269E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96F0B" w14:textId="77777777" w:rsidR="0048364F" w:rsidRPr="000269ED" w:rsidRDefault="0048364F" w:rsidP="003203E3">
            <w:pPr>
              <w:pStyle w:val="TableHeading"/>
            </w:pPr>
            <w:r w:rsidRPr="000269ED">
              <w:t>Column 3</w:t>
            </w:r>
          </w:p>
        </w:tc>
      </w:tr>
      <w:tr w:rsidR="0048364F" w:rsidRPr="000269ED" w14:paraId="542705F8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B3BD9F" w14:textId="77777777" w:rsidR="0048364F" w:rsidRPr="000269ED" w:rsidRDefault="0048364F" w:rsidP="003203E3">
            <w:pPr>
              <w:pStyle w:val="TableHeading"/>
            </w:pPr>
            <w:r w:rsidRPr="000269E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7E4B83" w14:textId="77777777" w:rsidR="0048364F" w:rsidRPr="000269ED" w:rsidRDefault="0048364F" w:rsidP="003203E3">
            <w:pPr>
              <w:pStyle w:val="TableHeading"/>
            </w:pPr>
            <w:r w:rsidRPr="000269E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3B6C1" w14:textId="77777777" w:rsidR="0048364F" w:rsidRPr="000269ED" w:rsidRDefault="0048364F" w:rsidP="003203E3">
            <w:pPr>
              <w:pStyle w:val="TableHeading"/>
            </w:pPr>
            <w:r w:rsidRPr="000269ED">
              <w:t>Date/Details</w:t>
            </w:r>
          </w:p>
        </w:tc>
      </w:tr>
      <w:tr w:rsidR="0048364F" w:rsidRPr="000269ED" w14:paraId="16D5D6A1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81CDEAC" w14:textId="77777777" w:rsidR="0048364F" w:rsidRPr="000269ED" w:rsidRDefault="0048364F" w:rsidP="003203E3">
            <w:pPr>
              <w:pStyle w:val="Tabletext"/>
            </w:pPr>
            <w:r w:rsidRPr="000269ED">
              <w:t xml:space="preserve">1.  </w:t>
            </w:r>
            <w:r w:rsidR="007E1EA3" w:rsidRPr="000269ED">
              <w:t>Sections 1</w:t>
            </w:r>
            <w:r w:rsidRPr="000269ED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69755B0" w14:textId="77777777" w:rsidR="0048364F" w:rsidRPr="000269ED" w:rsidRDefault="0048364F" w:rsidP="003203E3">
            <w:pPr>
              <w:pStyle w:val="Tabletext"/>
            </w:pPr>
            <w:r w:rsidRPr="000269ED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6BEF54F" w14:textId="7533AAED" w:rsidR="0048364F" w:rsidRPr="000269ED" w:rsidRDefault="002C561C" w:rsidP="003203E3">
            <w:pPr>
              <w:pStyle w:val="Tabletext"/>
            </w:pPr>
            <w:r>
              <w:t>2 September 2021</w:t>
            </w:r>
          </w:p>
        </w:tc>
      </w:tr>
      <w:tr w:rsidR="00B45712" w:rsidRPr="000269ED" w14:paraId="305BB731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497ACF1" w14:textId="77777777" w:rsidR="00B45712" w:rsidRPr="000269ED" w:rsidRDefault="00B45712" w:rsidP="003203E3">
            <w:pPr>
              <w:pStyle w:val="Tabletext"/>
            </w:pPr>
            <w:r w:rsidRPr="000269ED">
              <w:t>2.  Schedules 1 and 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9D253D8" w14:textId="77777777" w:rsidR="009E6011" w:rsidRPr="000269ED" w:rsidRDefault="009E6011" w:rsidP="003203E3">
            <w:pPr>
              <w:pStyle w:val="Tabletext"/>
            </w:pPr>
            <w:r w:rsidRPr="000269ED">
              <w:t>A single day to be fixed by Proclamation.</w:t>
            </w:r>
          </w:p>
          <w:p w14:paraId="44E76B72" w14:textId="77777777" w:rsidR="00B45712" w:rsidRPr="000269ED" w:rsidRDefault="009E6011" w:rsidP="003203E3">
            <w:pPr>
              <w:pStyle w:val="Tabletext"/>
            </w:pPr>
            <w:r w:rsidRPr="000269ED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92AF38A" w14:textId="77777777" w:rsidR="00B45712" w:rsidRDefault="00AF234E" w:rsidP="003203E3">
            <w:pPr>
              <w:pStyle w:val="Tabletext"/>
            </w:pPr>
            <w:r>
              <w:t>1 November 2021</w:t>
            </w:r>
          </w:p>
          <w:p w14:paraId="7D11D66B" w14:textId="278EEFCF" w:rsidR="00AF234E" w:rsidRPr="000269ED" w:rsidRDefault="00AF234E" w:rsidP="003203E3">
            <w:pPr>
              <w:pStyle w:val="Tabletext"/>
            </w:pPr>
            <w:r>
              <w:t>(</w:t>
            </w:r>
            <w:r w:rsidRPr="00AF234E">
              <w:t>F2021N00272</w:t>
            </w:r>
            <w:r>
              <w:t>)</w:t>
            </w:r>
          </w:p>
        </w:tc>
      </w:tr>
    </w:tbl>
    <w:p w14:paraId="498F9111" w14:textId="77777777" w:rsidR="0048364F" w:rsidRPr="000269ED" w:rsidRDefault="00201D27" w:rsidP="003203E3">
      <w:pPr>
        <w:pStyle w:val="notetext"/>
      </w:pPr>
      <w:r w:rsidRPr="000269ED">
        <w:t>Note:</w:t>
      </w:r>
      <w:r w:rsidRPr="000269ED">
        <w:tab/>
        <w:t>This table relates only to the provisions of this Act as originally enacted. It will not be amended to deal with any later amendments of this Act.</w:t>
      </w:r>
    </w:p>
    <w:p w14:paraId="23BD10D8" w14:textId="77777777" w:rsidR="0048364F" w:rsidRPr="000269ED" w:rsidRDefault="0048364F" w:rsidP="003203E3">
      <w:pPr>
        <w:pStyle w:val="subsection"/>
      </w:pPr>
      <w:r w:rsidRPr="000269ED">
        <w:tab/>
        <w:t>(2)</w:t>
      </w:r>
      <w:r w:rsidRPr="000269ED">
        <w:tab/>
      </w:r>
      <w:r w:rsidR="00201D27" w:rsidRPr="000269ED">
        <w:t xml:space="preserve">Any information in </w:t>
      </w:r>
      <w:r w:rsidR="00877D48" w:rsidRPr="000269ED">
        <w:t>c</w:t>
      </w:r>
      <w:r w:rsidR="00201D27" w:rsidRPr="000269ED">
        <w:t>olumn 3 of the table is not part of this Act. Information may be inserted in this column, or information in it may be edited, in any published version of this Act.</w:t>
      </w:r>
    </w:p>
    <w:p w14:paraId="273BF5E1" w14:textId="77777777" w:rsidR="0048364F" w:rsidRPr="000269ED" w:rsidRDefault="0048364F" w:rsidP="003203E3">
      <w:pPr>
        <w:pStyle w:val="ActHead5"/>
      </w:pPr>
      <w:bookmarkStart w:id="3" w:name="_Toc81897124"/>
      <w:r w:rsidRPr="000269ED">
        <w:rPr>
          <w:rStyle w:val="CharSectno"/>
        </w:rPr>
        <w:t>3</w:t>
      </w:r>
      <w:r w:rsidRPr="000269ED">
        <w:t xml:space="preserve">  Schedules</w:t>
      </w:r>
      <w:bookmarkEnd w:id="3"/>
    </w:p>
    <w:p w14:paraId="4254702F" w14:textId="77777777" w:rsidR="0048364F" w:rsidRPr="000269ED" w:rsidRDefault="0048364F" w:rsidP="003203E3">
      <w:pPr>
        <w:pStyle w:val="subsection"/>
      </w:pPr>
      <w:r w:rsidRPr="000269ED">
        <w:tab/>
      </w:r>
      <w:r w:rsidRPr="000269ED">
        <w:tab/>
      </w:r>
      <w:r w:rsidR="00202618" w:rsidRPr="000269ED">
        <w:t xml:space="preserve">Legislation that is specified in a Schedule to this Act is amended or repealed as set out in the applicable items in the Schedule </w:t>
      </w:r>
      <w:r w:rsidR="00202618" w:rsidRPr="000269ED">
        <w:lastRenderedPageBreak/>
        <w:t>concerned, and any other item in a Schedule to this Act has effect according to its terms.</w:t>
      </w:r>
    </w:p>
    <w:p w14:paraId="3C60A4CC" w14:textId="77777777" w:rsidR="008D3E94" w:rsidRPr="000269ED" w:rsidRDefault="008C31E2" w:rsidP="003203E3">
      <w:pPr>
        <w:pStyle w:val="ActHead6"/>
        <w:pageBreakBefore/>
      </w:pPr>
      <w:bookmarkStart w:id="4" w:name="_Toc81897125"/>
      <w:r w:rsidRPr="000269ED">
        <w:rPr>
          <w:rStyle w:val="CharAmSchNo"/>
        </w:rPr>
        <w:lastRenderedPageBreak/>
        <w:t>Schedule 1</w:t>
      </w:r>
      <w:r w:rsidR="0048364F" w:rsidRPr="000269ED">
        <w:t>—</w:t>
      </w:r>
      <w:r w:rsidR="00D102D0" w:rsidRPr="000269ED">
        <w:rPr>
          <w:rStyle w:val="CharAmSchText"/>
        </w:rPr>
        <w:t>Amendments</w:t>
      </w:r>
      <w:bookmarkEnd w:id="4"/>
    </w:p>
    <w:p w14:paraId="629F0B43" w14:textId="77777777" w:rsidR="00D102D0" w:rsidRPr="000269ED" w:rsidRDefault="00D102D0" w:rsidP="003203E3">
      <w:pPr>
        <w:pStyle w:val="Header"/>
      </w:pPr>
      <w:r w:rsidRPr="000269ED">
        <w:rPr>
          <w:rStyle w:val="CharAmPartNo"/>
        </w:rPr>
        <w:t xml:space="preserve"> </w:t>
      </w:r>
      <w:r w:rsidRPr="000269ED">
        <w:rPr>
          <w:rStyle w:val="CharAmPartText"/>
        </w:rPr>
        <w:t xml:space="preserve"> </w:t>
      </w:r>
    </w:p>
    <w:p w14:paraId="0A7FEB6D" w14:textId="77777777" w:rsidR="008D3E94" w:rsidRPr="000269ED" w:rsidRDefault="00D102D0" w:rsidP="003203E3">
      <w:pPr>
        <w:pStyle w:val="ActHead9"/>
      </w:pPr>
      <w:bookmarkStart w:id="5" w:name="_Toc81897126"/>
      <w:r w:rsidRPr="000269ED">
        <w:t>Australian Organ and Tissue Donation and Transplantation Authority Act 2008</w:t>
      </w:r>
      <w:bookmarkEnd w:id="5"/>
    </w:p>
    <w:p w14:paraId="68775F28" w14:textId="77777777" w:rsidR="00D56565" w:rsidRPr="000269ED" w:rsidRDefault="002A52E6" w:rsidP="003203E3">
      <w:pPr>
        <w:pStyle w:val="ItemHead"/>
      </w:pPr>
      <w:r w:rsidRPr="000269ED">
        <w:t>1</w:t>
      </w:r>
      <w:r w:rsidR="00D56565" w:rsidRPr="000269ED">
        <w:t xml:space="preserve">  </w:t>
      </w:r>
      <w:r w:rsidR="00586C66" w:rsidRPr="000269ED">
        <w:t>Section 3</w:t>
      </w:r>
    </w:p>
    <w:p w14:paraId="468A61F7" w14:textId="77777777" w:rsidR="00585173" w:rsidRPr="000269ED" w:rsidRDefault="00585173" w:rsidP="003203E3">
      <w:pPr>
        <w:pStyle w:val="Item"/>
      </w:pPr>
      <w:r w:rsidRPr="000269ED">
        <w:t>Repeal the section, substitute:</w:t>
      </w:r>
    </w:p>
    <w:p w14:paraId="45DD11CE" w14:textId="77777777" w:rsidR="00DE41BC" w:rsidRPr="000269ED" w:rsidRDefault="00DE41BC" w:rsidP="003203E3">
      <w:pPr>
        <w:pStyle w:val="ActHead5"/>
      </w:pPr>
      <w:bookmarkStart w:id="6" w:name="_Toc81897127"/>
      <w:r w:rsidRPr="000269ED">
        <w:rPr>
          <w:rStyle w:val="CharSectno"/>
        </w:rPr>
        <w:t>3</w:t>
      </w:r>
      <w:r w:rsidRPr="000269ED">
        <w:t xml:space="preserve">  Simplified outline</w:t>
      </w:r>
      <w:bookmarkEnd w:id="6"/>
    </w:p>
    <w:p w14:paraId="4D00D3D7" w14:textId="77777777" w:rsidR="00DE41BC" w:rsidRPr="000269ED" w:rsidRDefault="00DE41BC" w:rsidP="003203E3">
      <w:pPr>
        <w:pStyle w:val="subsection"/>
      </w:pPr>
      <w:r w:rsidRPr="000269ED">
        <w:tab/>
      </w:r>
      <w:r w:rsidR="00E05D1D" w:rsidRPr="000269ED">
        <w:tab/>
      </w:r>
      <w:r w:rsidRPr="000269ED">
        <w:t>The following is a simplified outline of this Act:</w:t>
      </w:r>
    </w:p>
    <w:p w14:paraId="33CBCE4D" w14:textId="77777777" w:rsidR="00585173" w:rsidRPr="000269ED" w:rsidRDefault="00DE41BC" w:rsidP="003203E3">
      <w:pPr>
        <w:pStyle w:val="SOText"/>
      </w:pPr>
      <w:r w:rsidRPr="000269ED">
        <w:t>This Act establishes the Australian Organ and Tissue Donation and Transplantation Authority. The Authority has a number of functions relating to organ or tissue donation and transplantation matters.</w:t>
      </w:r>
    </w:p>
    <w:p w14:paraId="2CB628BB" w14:textId="77777777" w:rsidR="00157824" w:rsidRPr="000269ED" w:rsidRDefault="00585173" w:rsidP="003203E3">
      <w:pPr>
        <w:pStyle w:val="SOText"/>
      </w:pPr>
      <w:r w:rsidRPr="000269ED">
        <w:t xml:space="preserve">The Authority consists of the </w:t>
      </w:r>
      <w:r w:rsidR="00157824" w:rsidRPr="000269ED">
        <w:t>Chief Executive Officer</w:t>
      </w:r>
      <w:r w:rsidRPr="000269ED">
        <w:t xml:space="preserve"> and the staff of the </w:t>
      </w:r>
      <w:r w:rsidR="00157824" w:rsidRPr="000269ED">
        <w:t xml:space="preserve">Authority. </w:t>
      </w:r>
      <w:r w:rsidRPr="000269ED">
        <w:t>The functions of the CEO include</w:t>
      </w:r>
      <w:r w:rsidR="00157824" w:rsidRPr="000269ED">
        <w:t>:</w:t>
      </w:r>
    </w:p>
    <w:p w14:paraId="63454FB8" w14:textId="77777777" w:rsidR="00585173" w:rsidRPr="000269ED" w:rsidRDefault="00585173" w:rsidP="003203E3">
      <w:pPr>
        <w:pStyle w:val="SOPara"/>
      </w:pPr>
      <w:r w:rsidRPr="000269ED">
        <w:tab/>
        <w:t>(a)</w:t>
      </w:r>
      <w:r w:rsidRPr="000269ED">
        <w:tab/>
      </w:r>
      <w:r w:rsidR="00D07EAC" w:rsidRPr="000269ED">
        <w:t xml:space="preserve">determining </w:t>
      </w:r>
      <w:r w:rsidRPr="000269ED">
        <w:t>objectives, strategies and policies to be followed by the Authority in the performance of its functions; and</w:t>
      </w:r>
    </w:p>
    <w:p w14:paraId="7510321D" w14:textId="77777777" w:rsidR="00157824" w:rsidRPr="000269ED" w:rsidRDefault="00157824" w:rsidP="003203E3">
      <w:pPr>
        <w:pStyle w:val="SOPara"/>
      </w:pPr>
      <w:r w:rsidRPr="000269ED">
        <w:tab/>
        <w:t>(</w:t>
      </w:r>
      <w:r w:rsidR="00585173" w:rsidRPr="000269ED">
        <w:t>b</w:t>
      </w:r>
      <w:r w:rsidRPr="000269ED">
        <w:t>)</w:t>
      </w:r>
      <w:r w:rsidRPr="000269ED">
        <w:tab/>
      </w:r>
      <w:r w:rsidR="00D07EAC" w:rsidRPr="000269ED">
        <w:t>ensuring</w:t>
      </w:r>
      <w:r w:rsidRPr="000269ED">
        <w:t xml:space="preserve"> the proper, efficient and effective performance of the Authority</w:t>
      </w:r>
      <w:r w:rsidR="00D021FD" w:rsidRPr="000269ED">
        <w:t>’</w:t>
      </w:r>
      <w:r w:rsidRPr="000269ED">
        <w:t>s functions; and</w:t>
      </w:r>
    </w:p>
    <w:p w14:paraId="095F6E70" w14:textId="77777777" w:rsidR="00157824" w:rsidRPr="000269ED" w:rsidRDefault="00157824" w:rsidP="003203E3">
      <w:pPr>
        <w:pStyle w:val="SOPara"/>
      </w:pPr>
      <w:r w:rsidRPr="000269ED">
        <w:tab/>
        <w:t>(</w:t>
      </w:r>
      <w:r w:rsidR="00585173" w:rsidRPr="000269ED">
        <w:t>c</w:t>
      </w:r>
      <w:r w:rsidRPr="000269ED">
        <w:t>)</w:t>
      </w:r>
      <w:r w:rsidRPr="000269ED">
        <w:tab/>
      </w:r>
      <w:r w:rsidR="00D07EAC" w:rsidRPr="000269ED">
        <w:t>managing</w:t>
      </w:r>
      <w:r w:rsidR="00585173" w:rsidRPr="000269ED">
        <w:t xml:space="preserve"> the administration of the </w:t>
      </w:r>
      <w:r w:rsidRPr="000269ED">
        <w:t>Authority.</w:t>
      </w:r>
    </w:p>
    <w:p w14:paraId="2D1C6161" w14:textId="77777777" w:rsidR="00DE41BC" w:rsidRPr="000269ED" w:rsidRDefault="00DE41BC" w:rsidP="003203E3">
      <w:pPr>
        <w:pStyle w:val="SOText"/>
      </w:pPr>
      <w:r w:rsidRPr="000269ED">
        <w:t xml:space="preserve">The Australian Organ and Tissue Donation and Transplantation </w:t>
      </w:r>
      <w:r w:rsidR="00157824" w:rsidRPr="000269ED">
        <w:t xml:space="preserve">Advisory </w:t>
      </w:r>
      <w:r w:rsidRPr="000269ED">
        <w:t xml:space="preserve">Board is also established by this Act. The </w:t>
      </w:r>
      <w:r w:rsidR="00585173" w:rsidRPr="000269ED">
        <w:t xml:space="preserve">Advisory </w:t>
      </w:r>
      <w:r w:rsidR="00157824" w:rsidRPr="000269ED">
        <w:t>Boar</w:t>
      </w:r>
      <w:r w:rsidR="00AB4053" w:rsidRPr="000269ED">
        <w:t>d’s main</w:t>
      </w:r>
      <w:r w:rsidR="00585173" w:rsidRPr="000269ED">
        <w:t xml:space="preserve"> function </w:t>
      </w:r>
      <w:r w:rsidR="00AB4053" w:rsidRPr="000269ED">
        <w:t xml:space="preserve">is </w:t>
      </w:r>
      <w:r w:rsidR="00585173" w:rsidRPr="000269ED">
        <w:t>advis</w:t>
      </w:r>
      <w:r w:rsidR="00AB4053" w:rsidRPr="000269ED">
        <w:t>ing</w:t>
      </w:r>
      <w:r w:rsidR="00585173" w:rsidRPr="000269ED">
        <w:t xml:space="preserve"> the CEO about a number of matters including </w:t>
      </w:r>
      <w:r w:rsidR="00157824" w:rsidRPr="000269ED">
        <w:t>organ or tissue donation and transplantation</w:t>
      </w:r>
      <w:r w:rsidR="00585173" w:rsidRPr="000269ED">
        <w:t xml:space="preserve"> matters</w:t>
      </w:r>
      <w:r w:rsidR="00157824" w:rsidRPr="000269ED">
        <w:t>.</w:t>
      </w:r>
    </w:p>
    <w:p w14:paraId="34D0A3E6" w14:textId="77777777" w:rsidR="00585173" w:rsidRPr="000269ED" w:rsidRDefault="00585173" w:rsidP="003203E3">
      <w:pPr>
        <w:pStyle w:val="SOText"/>
      </w:pPr>
      <w:r w:rsidRPr="000269ED">
        <w:t>The Act also provides for the CEO to establish expert advisory committees</w:t>
      </w:r>
      <w:r w:rsidR="00D80C06" w:rsidRPr="000269ED">
        <w:t xml:space="preserve"> and for the Authority to make grants relating to organ or tissue donation and transplantation matters.</w:t>
      </w:r>
    </w:p>
    <w:p w14:paraId="432C8A58" w14:textId="77777777" w:rsidR="00F53278" w:rsidRPr="000269ED" w:rsidRDefault="002A52E6" w:rsidP="003203E3">
      <w:pPr>
        <w:pStyle w:val="ItemHead"/>
      </w:pPr>
      <w:r w:rsidRPr="000269ED">
        <w:lastRenderedPageBreak/>
        <w:t>2</w:t>
      </w:r>
      <w:r w:rsidR="00F53278" w:rsidRPr="000269ED">
        <w:t xml:space="preserve">  </w:t>
      </w:r>
      <w:r w:rsidR="00586C66" w:rsidRPr="000269ED">
        <w:t>Section 4</w:t>
      </w:r>
    </w:p>
    <w:p w14:paraId="1EC41901" w14:textId="77777777" w:rsidR="00F53278" w:rsidRPr="000269ED" w:rsidRDefault="00F53278" w:rsidP="003203E3">
      <w:pPr>
        <w:pStyle w:val="Item"/>
      </w:pPr>
      <w:r w:rsidRPr="000269ED">
        <w:t>Insert:</w:t>
      </w:r>
    </w:p>
    <w:p w14:paraId="63FFF654" w14:textId="77777777" w:rsidR="00F53278" w:rsidRPr="000269ED" w:rsidRDefault="00F53278" w:rsidP="003203E3">
      <w:pPr>
        <w:pStyle w:val="Definition"/>
      </w:pPr>
      <w:r w:rsidRPr="000269ED">
        <w:rPr>
          <w:b/>
          <w:i/>
        </w:rPr>
        <w:t>Advisory Board member</w:t>
      </w:r>
      <w:r w:rsidRPr="000269ED">
        <w:t xml:space="preserve"> means a member of the Advisory Board (and inclu</w:t>
      </w:r>
      <w:r w:rsidR="00F47850" w:rsidRPr="000269ED">
        <w:t xml:space="preserve">des the Chair </w:t>
      </w:r>
      <w:r w:rsidRPr="000269ED">
        <w:t>and Deputy Chair).</w:t>
      </w:r>
    </w:p>
    <w:p w14:paraId="6D99F2D8" w14:textId="77777777" w:rsidR="00D56565" w:rsidRPr="000269ED" w:rsidRDefault="002A52E6" w:rsidP="003203E3">
      <w:pPr>
        <w:pStyle w:val="ItemHead"/>
      </w:pPr>
      <w:r w:rsidRPr="000269ED">
        <w:t>3</w:t>
      </w:r>
      <w:r w:rsidR="00D56565" w:rsidRPr="000269ED">
        <w:t xml:space="preserve">  </w:t>
      </w:r>
      <w:r w:rsidR="00586C66" w:rsidRPr="000269ED">
        <w:t>Section 4</w:t>
      </w:r>
      <w:r w:rsidR="00F53278" w:rsidRPr="000269ED">
        <w:t xml:space="preserve"> (definition of </w:t>
      </w:r>
      <w:r w:rsidR="00F53278" w:rsidRPr="000269ED">
        <w:rPr>
          <w:i/>
        </w:rPr>
        <w:t>appointed member</w:t>
      </w:r>
      <w:r w:rsidR="00F53278" w:rsidRPr="000269ED">
        <w:t>)</w:t>
      </w:r>
    </w:p>
    <w:p w14:paraId="46062BC0" w14:textId="77777777" w:rsidR="00F53278" w:rsidRPr="000269ED" w:rsidRDefault="00F53278" w:rsidP="003203E3">
      <w:pPr>
        <w:pStyle w:val="Item"/>
      </w:pPr>
      <w:r w:rsidRPr="000269ED">
        <w:t>Repeal the definition.</w:t>
      </w:r>
    </w:p>
    <w:p w14:paraId="75C93226" w14:textId="77777777" w:rsidR="00D56565" w:rsidRPr="000269ED" w:rsidRDefault="002A52E6" w:rsidP="003203E3">
      <w:pPr>
        <w:pStyle w:val="ItemHead"/>
      </w:pPr>
      <w:r w:rsidRPr="000269ED">
        <w:t>4</w:t>
      </w:r>
      <w:r w:rsidR="00D56565" w:rsidRPr="000269ED">
        <w:t xml:space="preserve">  </w:t>
      </w:r>
      <w:r w:rsidR="00586C66" w:rsidRPr="000269ED">
        <w:t>Section 4</w:t>
      </w:r>
      <w:r w:rsidR="00D56565" w:rsidRPr="000269ED">
        <w:t xml:space="preserve"> (definition of </w:t>
      </w:r>
      <w:r w:rsidR="00D56565" w:rsidRPr="000269ED">
        <w:rPr>
          <w:i/>
        </w:rPr>
        <w:t>Board</w:t>
      </w:r>
      <w:r w:rsidR="00D56565" w:rsidRPr="000269ED">
        <w:t>)</w:t>
      </w:r>
    </w:p>
    <w:p w14:paraId="4295CDFF" w14:textId="77777777" w:rsidR="00D56565" w:rsidRPr="000269ED" w:rsidRDefault="00D56565" w:rsidP="003203E3">
      <w:pPr>
        <w:pStyle w:val="Item"/>
      </w:pPr>
      <w:r w:rsidRPr="000269ED">
        <w:t xml:space="preserve">After </w:t>
      </w:r>
      <w:r w:rsidR="00D021FD" w:rsidRPr="000269ED">
        <w:t>“</w:t>
      </w:r>
      <w:r w:rsidRPr="000269ED">
        <w:t>Transplantation</w:t>
      </w:r>
      <w:r w:rsidR="00D021FD" w:rsidRPr="000269ED">
        <w:t>”</w:t>
      </w:r>
      <w:r w:rsidRPr="000269ED">
        <w:t xml:space="preserve">, insert </w:t>
      </w:r>
      <w:r w:rsidR="00D021FD" w:rsidRPr="000269ED">
        <w:t>“</w:t>
      </w:r>
      <w:r w:rsidRPr="000269ED">
        <w:t>Advisory</w:t>
      </w:r>
      <w:r w:rsidR="00D021FD" w:rsidRPr="000269ED">
        <w:t>”</w:t>
      </w:r>
      <w:r w:rsidRPr="000269ED">
        <w:t>.</w:t>
      </w:r>
    </w:p>
    <w:p w14:paraId="080C8296" w14:textId="77777777" w:rsidR="00D56565" w:rsidRPr="000269ED" w:rsidRDefault="002A52E6" w:rsidP="003203E3">
      <w:pPr>
        <w:pStyle w:val="ItemHead"/>
      </w:pPr>
      <w:r w:rsidRPr="000269ED">
        <w:t>5</w:t>
      </w:r>
      <w:r w:rsidR="00D56565" w:rsidRPr="000269ED">
        <w:t xml:space="preserve">  </w:t>
      </w:r>
      <w:r w:rsidR="00586C66" w:rsidRPr="000269ED">
        <w:t>Section 4</w:t>
      </w:r>
      <w:r w:rsidR="00D56565" w:rsidRPr="000269ED">
        <w:t xml:space="preserve"> (definition of </w:t>
      </w:r>
      <w:r w:rsidR="00D56565" w:rsidRPr="000269ED">
        <w:rPr>
          <w:i/>
        </w:rPr>
        <w:t>Board member</w:t>
      </w:r>
      <w:r w:rsidR="00D56565" w:rsidRPr="000269ED">
        <w:t>)</w:t>
      </w:r>
    </w:p>
    <w:p w14:paraId="62FA6AE3" w14:textId="77777777" w:rsidR="00D56565" w:rsidRPr="000269ED" w:rsidRDefault="00D56565" w:rsidP="003203E3">
      <w:pPr>
        <w:pStyle w:val="Item"/>
      </w:pPr>
      <w:r w:rsidRPr="000269ED">
        <w:t>Repeal the definition.</w:t>
      </w:r>
    </w:p>
    <w:p w14:paraId="3BE381B9" w14:textId="77777777" w:rsidR="00F53278" w:rsidRPr="000269ED" w:rsidRDefault="002A52E6" w:rsidP="003203E3">
      <w:pPr>
        <w:pStyle w:val="ItemHead"/>
      </w:pPr>
      <w:r w:rsidRPr="000269ED">
        <w:t>6</w:t>
      </w:r>
      <w:r w:rsidR="00F53278" w:rsidRPr="000269ED">
        <w:t xml:space="preserve">  </w:t>
      </w:r>
      <w:r w:rsidR="00586C66" w:rsidRPr="000269ED">
        <w:t>Section 4</w:t>
      </w:r>
      <w:r w:rsidR="00F53278" w:rsidRPr="000269ED">
        <w:t xml:space="preserve"> (definition of </w:t>
      </w:r>
      <w:r w:rsidR="00F53278" w:rsidRPr="000269ED">
        <w:rPr>
          <w:i/>
        </w:rPr>
        <w:t>Chair</w:t>
      </w:r>
      <w:r w:rsidR="00F53278" w:rsidRPr="000269ED">
        <w:t>)</w:t>
      </w:r>
    </w:p>
    <w:p w14:paraId="21F46855" w14:textId="77777777" w:rsidR="00F53278" w:rsidRPr="000269ED" w:rsidRDefault="00F53278" w:rsidP="003203E3">
      <w:pPr>
        <w:pStyle w:val="Item"/>
      </w:pPr>
      <w:r w:rsidRPr="000269ED">
        <w:t xml:space="preserve">After </w:t>
      </w:r>
      <w:r w:rsidR="00D021FD" w:rsidRPr="000269ED">
        <w:t>“</w:t>
      </w:r>
      <w:r w:rsidRPr="000269ED">
        <w:t>Chair of the</w:t>
      </w:r>
      <w:r w:rsidR="00D021FD" w:rsidRPr="000269ED">
        <w:t>”</w:t>
      </w:r>
      <w:r w:rsidRPr="000269ED">
        <w:t xml:space="preserve">, insert </w:t>
      </w:r>
      <w:r w:rsidR="00D021FD" w:rsidRPr="000269ED">
        <w:t>“</w:t>
      </w:r>
      <w:r w:rsidRPr="000269ED">
        <w:t>Advisory</w:t>
      </w:r>
      <w:r w:rsidR="00D021FD" w:rsidRPr="000269ED">
        <w:t>”</w:t>
      </w:r>
      <w:r w:rsidRPr="000269ED">
        <w:t>.</w:t>
      </w:r>
    </w:p>
    <w:p w14:paraId="38533B5A" w14:textId="77777777" w:rsidR="00F22672" w:rsidRPr="000269ED" w:rsidRDefault="002A52E6" w:rsidP="003203E3">
      <w:pPr>
        <w:pStyle w:val="ItemHead"/>
      </w:pPr>
      <w:r w:rsidRPr="000269ED">
        <w:t>7</w:t>
      </w:r>
      <w:r w:rsidR="00F22672" w:rsidRPr="000269ED">
        <w:t xml:space="preserve">  </w:t>
      </w:r>
      <w:r w:rsidR="00586C66" w:rsidRPr="000269ED">
        <w:t>Section 4</w:t>
      </w:r>
      <w:r w:rsidR="00D170B8" w:rsidRPr="000269ED">
        <w:t xml:space="preserve"> (definition of </w:t>
      </w:r>
      <w:r w:rsidR="00D170B8" w:rsidRPr="000269ED">
        <w:rPr>
          <w:i/>
        </w:rPr>
        <w:t>COAG Health Council</w:t>
      </w:r>
      <w:r w:rsidR="00D170B8" w:rsidRPr="000269ED">
        <w:t>)</w:t>
      </w:r>
    </w:p>
    <w:p w14:paraId="6C18C78E" w14:textId="77777777" w:rsidR="00D170B8" w:rsidRPr="000269ED" w:rsidRDefault="00D170B8" w:rsidP="003203E3">
      <w:pPr>
        <w:pStyle w:val="Item"/>
      </w:pPr>
      <w:r w:rsidRPr="000269ED">
        <w:t>Repeal the definition.</w:t>
      </w:r>
    </w:p>
    <w:p w14:paraId="0DAC86F4" w14:textId="77777777" w:rsidR="00F53278" w:rsidRPr="000269ED" w:rsidRDefault="002A52E6" w:rsidP="003203E3">
      <w:pPr>
        <w:pStyle w:val="ItemHead"/>
      </w:pPr>
      <w:r w:rsidRPr="000269ED">
        <w:t>8</w:t>
      </w:r>
      <w:r w:rsidR="00F53278" w:rsidRPr="000269ED">
        <w:t xml:space="preserve">  </w:t>
      </w:r>
      <w:r w:rsidR="00586C66" w:rsidRPr="000269ED">
        <w:t>Section 4</w:t>
      </w:r>
      <w:r w:rsidR="00F53278" w:rsidRPr="000269ED">
        <w:t xml:space="preserve"> (definition of </w:t>
      </w:r>
      <w:r w:rsidR="00F53278" w:rsidRPr="000269ED">
        <w:rPr>
          <w:i/>
        </w:rPr>
        <w:t>Deputy Chair</w:t>
      </w:r>
      <w:r w:rsidR="00F53278" w:rsidRPr="000269ED">
        <w:t>)</w:t>
      </w:r>
    </w:p>
    <w:p w14:paraId="2EC1F590" w14:textId="77777777" w:rsidR="00F53278" w:rsidRPr="000269ED" w:rsidRDefault="00F53278" w:rsidP="003203E3">
      <w:pPr>
        <w:pStyle w:val="Item"/>
      </w:pPr>
      <w:r w:rsidRPr="000269ED">
        <w:t xml:space="preserve">After </w:t>
      </w:r>
      <w:r w:rsidR="00D021FD" w:rsidRPr="000269ED">
        <w:t>“</w:t>
      </w:r>
      <w:r w:rsidRPr="000269ED">
        <w:t>Chair of the</w:t>
      </w:r>
      <w:r w:rsidR="00D021FD" w:rsidRPr="000269ED">
        <w:t>”</w:t>
      </w:r>
      <w:r w:rsidRPr="000269ED">
        <w:t xml:space="preserve">, insert </w:t>
      </w:r>
      <w:r w:rsidR="00D021FD" w:rsidRPr="000269ED">
        <w:t>“</w:t>
      </w:r>
      <w:r w:rsidRPr="000269ED">
        <w:t>Advisory</w:t>
      </w:r>
      <w:r w:rsidR="00D021FD" w:rsidRPr="000269ED">
        <w:t>”</w:t>
      </w:r>
      <w:r w:rsidRPr="000269ED">
        <w:t>.</w:t>
      </w:r>
    </w:p>
    <w:p w14:paraId="61F6749F" w14:textId="77777777" w:rsidR="001B4D28" w:rsidRPr="000269ED" w:rsidRDefault="002A52E6" w:rsidP="003203E3">
      <w:pPr>
        <w:pStyle w:val="ItemHead"/>
      </w:pPr>
      <w:r w:rsidRPr="000269ED">
        <w:t>9</w:t>
      </w:r>
      <w:r w:rsidR="001B4D28" w:rsidRPr="000269ED">
        <w:t xml:space="preserve">  </w:t>
      </w:r>
      <w:r w:rsidR="00586C66" w:rsidRPr="000269ED">
        <w:t>Section 4</w:t>
      </w:r>
      <w:r w:rsidR="00AF1E0B" w:rsidRPr="000269ED">
        <w:t xml:space="preserve"> (</w:t>
      </w:r>
      <w:r w:rsidR="00586C66" w:rsidRPr="000269ED">
        <w:t>paragraphs (</w:t>
      </w:r>
      <w:r w:rsidR="00AF1E0B" w:rsidRPr="000269ED">
        <w:t xml:space="preserve">a) and (b) of the definition of </w:t>
      </w:r>
      <w:r w:rsidR="00AF1E0B" w:rsidRPr="000269ED">
        <w:rPr>
          <w:i/>
        </w:rPr>
        <w:t>organ or tissue donation and transplantation</w:t>
      </w:r>
      <w:r w:rsidR="00AF1E0B" w:rsidRPr="000269ED">
        <w:t>)</w:t>
      </w:r>
    </w:p>
    <w:p w14:paraId="46E4D366" w14:textId="77777777" w:rsidR="00AF1E0B" w:rsidRPr="000269ED" w:rsidRDefault="00AF1E0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dead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deceased</w:t>
      </w:r>
      <w:r w:rsidR="00D021FD" w:rsidRPr="000269ED">
        <w:t>”</w:t>
      </w:r>
      <w:r w:rsidRPr="000269ED">
        <w:t>.</w:t>
      </w:r>
    </w:p>
    <w:p w14:paraId="538ECF83" w14:textId="77777777" w:rsidR="00FA1AEA" w:rsidRPr="000269ED" w:rsidRDefault="002A52E6" w:rsidP="003203E3">
      <w:pPr>
        <w:pStyle w:val="ItemHead"/>
      </w:pPr>
      <w:r w:rsidRPr="000269ED">
        <w:t>10</w:t>
      </w:r>
      <w:r w:rsidR="00FA1AEA" w:rsidRPr="000269ED">
        <w:t xml:space="preserve">  </w:t>
      </w:r>
      <w:r w:rsidR="00586C66" w:rsidRPr="000269ED">
        <w:t>Paragraph 8</w:t>
      </w:r>
      <w:r w:rsidR="00FA1AEA" w:rsidRPr="000269ED">
        <w:t>(3)(a)</w:t>
      </w:r>
    </w:p>
    <w:p w14:paraId="28BBBE2A" w14:textId="77777777" w:rsidR="00FA1AEA" w:rsidRPr="000269ED" w:rsidRDefault="00FA1AEA" w:rsidP="003203E3">
      <w:pPr>
        <w:pStyle w:val="Item"/>
      </w:pPr>
      <w:r w:rsidRPr="000269ED">
        <w:t>Repeal the paragraph.</w:t>
      </w:r>
    </w:p>
    <w:p w14:paraId="457B2879" w14:textId="77777777" w:rsidR="004F4D5B" w:rsidRPr="000269ED" w:rsidRDefault="002A52E6" w:rsidP="003203E3">
      <w:pPr>
        <w:pStyle w:val="ItemHead"/>
      </w:pPr>
      <w:r w:rsidRPr="000269ED">
        <w:t>11</w:t>
      </w:r>
      <w:r w:rsidR="004F4D5B" w:rsidRPr="000269ED">
        <w:t xml:space="preserve">  </w:t>
      </w:r>
      <w:r w:rsidR="00586C66" w:rsidRPr="000269ED">
        <w:t>Paragraph 8</w:t>
      </w:r>
      <w:r w:rsidR="004F4D5B" w:rsidRPr="000269ED">
        <w:t>(4)(a)</w:t>
      </w:r>
    </w:p>
    <w:p w14:paraId="20CC9448" w14:textId="77777777" w:rsidR="004F4D5B" w:rsidRPr="000269ED" w:rsidRDefault="004F4D5B" w:rsidP="003203E3">
      <w:pPr>
        <w:pStyle w:val="Item"/>
      </w:pPr>
      <w:r w:rsidRPr="000269ED">
        <w:t>Repeal the paragraph, substitute:</w:t>
      </w:r>
    </w:p>
    <w:p w14:paraId="63615E54" w14:textId="77777777" w:rsidR="004F4D5B" w:rsidRPr="000269ED" w:rsidRDefault="004F4D5B" w:rsidP="003203E3">
      <w:pPr>
        <w:pStyle w:val="paragraph"/>
      </w:pPr>
      <w:r w:rsidRPr="000269ED">
        <w:tab/>
        <w:t>(a)</w:t>
      </w:r>
      <w:r w:rsidRPr="000269ED">
        <w:tab/>
        <w:t>the following combination of bodies is a listed entity:</w:t>
      </w:r>
    </w:p>
    <w:p w14:paraId="296CA3FE" w14:textId="77777777" w:rsidR="004F4D5B" w:rsidRPr="000269ED" w:rsidRDefault="004F4D5B" w:rsidP="003203E3">
      <w:pPr>
        <w:pStyle w:val="paragraphsub"/>
      </w:pPr>
      <w:r w:rsidRPr="000269ED">
        <w:tab/>
        <w:t>(i)</w:t>
      </w:r>
      <w:r w:rsidRPr="000269ED">
        <w:tab/>
        <w:t>the Authority;</w:t>
      </w:r>
    </w:p>
    <w:p w14:paraId="47DC1B31" w14:textId="77777777" w:rsidR="004F4D5B" w:rsidRPr="000269ED" w:rsidRDefault="004F4D5B" w:rsidP="003203E3">
      <w:pPr>
        <w:pStyle w:val="paragraphsub"/>
      </w:pPr>
      <w:r w:rsidRPr="000269ED">
        <w:tab/>
        <w:t>(ii)</w:t>
      </w:r>
      <w:r w:rsidRPr="000269ED">
        <w:tab/>
        <w:t>the Advisory Board; and</w:t>
      </w:r>
    </w:p>
    <w:p w14:paraId="620C116C" w14:textId="77777777" w:rsidR="004F4D5B" w:rsidRPr="000269ED" w:rsidRDefault="004F4D5B" w:rsidP="003203E3">
      <w:pPr>
        <w:pStyle w:val="paragraph"/>
      </w:pPr>
      <w:r w:rsidRPr="000269ED">
        <w:lastRenderedPageBreak/>
        <w:tab/>
        <w:t>(aa)</w:t>
      </w:r>
      <w:r w:rsidRPr="000269ED">
        <w:tab/>
        <w:t>the listed entity is to be known as the Australian Organ and Tissue Donation and Transplantation Authority; and</w:t>
      </w:r>
    </w:p>
    <w:p w14:paraId="04054849" w14:textId="77777777" w:rsidR="00895121" w:rsidRPr="000269ED" w:rsidRDefault="002A52E6" w:rsidP="003203E3">
      <w:pPr>
        <w:pStyle w:val="ItemHead"/>
      </w:pPr>
      <w:r w:rsidRPr="000269ED">
        <w:t>12</w:t>
      </w:r>
      <w:r w:rsidR="00895121" w:rsidRPr="000269ED">
        <w:t xml:space="preserve">  </w:t>
      </w:r>
      <w:r w:rsidR="00586C66" w:rsidRPr="000269ED">
        <w:t>Paragraph 8</w:t>
      </w:r>
      <w:r w:rsidR="00895121" w:rsidRPr="000269ED">
        <w:t>(4)(b)</w:t>
      </w:r>
    </w:p>
    <w:p w14:paraId="59B2C926" w14:textId="77777777" w:rsidR="00895121" w:rsidRPr="000269ED" w:rsidRDefault="00895121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3ADB8C39" w14:textId="77777777" w:rsidR="00895121" w:rsidRPr="000269ED" w:rsidRDefault="002A52E6" w:rsidP="003203E3">
      <w:pPr>
        <w:pStyle w:val="ItemHead"/>
      </w:pPr>
      <w:r w:rsidRPr="000269ED">
        <w:t>13</w:t>
      </w:r>
      <w:r w:rsidR="00895121" w:rsidRPr="000269ED">
        <w:t xml:space="preserve">  </w:t>
      </w:r>
      <w:r w:rsidR="00586C66" w:rsidRPr="000269ED">
        <w:t>Subparagraphs 8</w:t>
      </w:r>
      <w:r w:rsidR="004F4D5B" w:rsidRPr="000269ED">
        <w:t>(</w:t>
      </w:r>
      <w:r w:rsidR="00895121" w:rsidRPr="000269ED">
        <w:t>4</w:t>
      </w:r>
      <w:r w:rsidR="004F4D5B" w:rsidRPr="000269ED">
        <w:t>)</w:t>
      </w:r>
      <w:r w:rsidR="005D41B6" w:rsidRPr="000269ED">
        <w:t>(c)(i</w:t>
      </w:r>
      <w:r w:rsidR="00895121" w:rsidRPr="000269ED">
        <w:t>) and (</w:t>
      </w:r>
      <w:r w:rsidR="005D41B6" w:rsidRPr="000269ED">
        <w:t>i</w:t>
      </w:r>
      <w:r w:rsidR="00895121" w:rsidRPr="000269ED">
        <w:t>i)</w:t>
      </w:r>
    </w:p>
    <w:p w14:paraId="139F433F" w14:textId="77777777" w:rsidR="00895121" w:rsidRPr="000269ED" w:rsidRDefault="00895121" w:rsidP="003203E3">
      <w:pPr>
        <w:pStyle w:val="Item"/>
      </w:pPr>
      <w:r w:rsidRPr="000269ED">
        <w:t>Repeal the subparagraphs, substitute:</w:t>
      </w:r>
    </w:p>
    <w:p w14:paraId="5FE387E0" w14:textId="77777777" w:rsidR="00895121" w:rsidRPr="000269ED" w:rsidRDefault="005D41B6" w:rsidP="003203E3">
      <w:pPr>
        <w:pStyle w:val="paragraphsub"/>
      </w:pPr>
      <w:r w:rsidRPr="000269ED">
        <w:tab/>
        <w:t>(i</w:t>
      </w:r>
      <w:r w:rsidR="00895121" w:rsidRPr="000269ED">
        <w:t>)</w:t>
      </w:r>
      <w:r w:rsidR="00895121" w:rsidRPr="000269ED">
        <w:tab/>
        <w:t>the CEO;</w:t>
      </w:r>
    </w:p>
    <w:p w14:paraId="36E07ADC" w14:textId="77777777" w:rsidR="00895121" w:rsidRPr="000269ED" w:rsidRDefault="00895121" w:rsidP="003203E3">
      <w:pPr>
        <w:pStyle w:val="paragraphsub"/>
      </w:pPr>
      <w:r w:rsidRPr="000269ED">
        <w:tab/>
        <w:t>(ii)</w:t>
      </w:r>
      <w:r w:rsidRPr="000269ED">
        <w:tab/>
        <w:t>the Advisory Board members;</w:t>
      </w:r>
    </w:p>
    <w:p w14:paraId="5CD625A2" w14:textId="77777777" w:rsidR="00895121" w:rsidRPr="000269ED" w:rsidRDefault="002A52E6" w:rsidP="003203E3">
      <w:pPr>
        <w:pStyle w:val="ItemHead"/>
      </w:pPr>
      <w:r w:rsidRPr="000269ED">
        <w:t>14</w:t>
      </w:r>
      <w:r w:rsidR="00895121" w:rsidRPr="000269ED">
        <w:t xml:space="preserve">  </w:t>
      </w:r>
      <w:r w:rsidR="00586C66" w:rsidRPr="000269ED">
        <w:t>Subparagraphs 8</w:t>
      </w:r>
      <w:r w:rsidR="00895121" w:rsidRPr="000269ED">
        <w:t>(4)(d)</w:t>
      </w:r>
      <w:r w:rsidR="007F1FEC" w:rsidRPr="000269ED">
        <w:t>(i</w:t>
      </w:r>
      <w:r w:rsidR="00B1192F" w:rsidRPr="000269ED">
        <w:t>i</w:t>
      </w:r>
      <w:r w:rsidR="007F1FEC" w:rsidRPr="000269ED">
        <w:t xml:space="preserve">) and </w:t>
      </w:r>
      <w:r w:rsidR="00895121" w:rsidRPr="000269ED">
        <w:t>(i</w:t>
      </w:r>
      <w:r w:rsidR="00B1192F" w:rsidRPr="000269ED">
        <w:t>i</w:t>
      </w:r>
      <w:r w:rsidR="00895121" w:rsidRPr="000269ED">
        <w:t>i)</w:t>
      </w:r>
    </w:p>
    <w:p w14:paraId="1E6E9E48" w14:textId="77777777" w:rsidR="007F1FEC" w:rsidRPr="000269ED" w:rsidRDefault="007F1FEC" w:rsidP="003203E3">
      <w:pPr>
        <w:pStyle w:val="Item"/>
      </w:pPr>
      <w:r w:rsidRPr="000269ED">
        <w:t>Repeal the subparagraphs, substitute:</w:t>
      </w:r>
    </w:p>
    <w:p w14:paraId="14BAEF40" w14:textId="77777777" w:rsidR="007F1FEC" w:rsidRPr="000269ED" w:rsidRDefault="007F1FEC" w:rsidP="003203E3">
      <w:pPr>
        <w:pStyle w:val="paragraphsub"/>
      </w:pPr>
      <w:r w:rsidRPr="000269ED">
        <w:tab/>
        <w:t>(</w:t>
      </w:r>
      <w:r w:rsidR="00B1192F" w:rsidRPr="000269ED">
        <w:t>i</w:t>
      </w:r>
      <w:r w:rsidRPr="000269ED">
        <w:t>i)</w:t>
      </w:r>
      <w:r w:rsidRPr="000269ED">
        <w:tab/>
        <w:t xml:space="preserve">the functions of the CEO referred to in </w:t>
      </w:r>
      <w:r w:rsidR="00586C66" w:rsidRPr="000269ED">
        <w:t>section 1</w:t>
      </w:r>
      <w:r w:rsidRPr="000269ED">
        <w:t>4B;</w:t>
      </w:r>
      <w:r w:rsidR="00365D63" w:rsidRPr="000269ED">
        <w:t xml:space="preserve"> and</w:t>
      </w:r>
    </w:p>
    <w:p w14:paraId="62791B7A" w14:textId="77777777" w:rsidR="00895121" w:rsidRPr="000269ED" w:rsidRDefault="007F1FEC" w:rsidP="003203E3">
      <w:pPr>
        <w:pStyle w:val="paragraphsub"/>
      </w:pPr>
      <w:r w:rsidRPr="000269ED">
        <w:tab/>
        <w:t>(i</w:t>
      </w:r>
      <w:r w:rsidR="00B1192F" w:rsidRPr="000269ED">
        <w:t>i</w:t>
      </w:r>
      <w:r w:rsidRPr="000269ED">
        <w:t>i)</w:t>
      </w:r>
      <w:r w:rsidRPr="000269ED">
        <w:tab/>
        <w:t>the functions of the Advisory</w:t>
      </w:r>
      <w:r w:rsidR="005D41B6" w:rsidRPr="000269ED">
        <w:t xml:space="preserve"> Board referred to in </w:t>
      </w:r>
      <w:r w:rsidR="00586C66" w:rsidRPr="000269ED">
        <w:t>section 2</w:t>
      </w:r>
      <w:r w:rsidR="005D41B6" w:rsidRPr="000269ED">
        <w:t>9</w:t>
      </w:r>
      <w:r w:rsidRPr="000269ED">
        <w:t>;</w:t>
      </w:r>
      <w:r w:rsidR="00365D63" w:rsidRPr="000269ED">
        <w:t xml:space="preserve"> and</w:t>
      </w:r>
    </w:p>
    <w:p w14:paraId="5B1FFE1F" w14:textId="77777777" w:rsidR="00DE23E8" w:rsidRPr="000269ED" w:rsidRDefault="002A52E6" w:rsidP="003203E3">
      <w:pPr>
        <w:pStyle w:val="ItemHead"/>
      </w:pPr>
      <w:r w:rsidRPr="000269ED">
        <w:t>15</w:t>
      </w:r>
      <w:r w:rsidR="00015DC1" w:rsidRPr="000269ED">
        <w:t xml:space="preserve">  </w:t>
      </w:r>
      <w:r w:rsidR="008C31E2" w:rsidRPr="000269ED">
        <w:t>Subsection 1</w:t>
      </w:r>
      <w:r w:rsidR="00015DC1" w:rsidRPr="000269ED">
        <w:t>1(2)</w:t>
      </w:r>
    </w:p>
    <w:p w14:paraId="7564CD31" w14:textId="77777777" w:rsidR="00015DC1" w:rsidRPr="000269ED" w:rsidRDefault="00015DC1" w:rsidP="003203E3">
      <w:pPr>
        <w:pStyle w:val="Item"/>
      </w:pPr>
      <w:r w:rsidRPr="000269ED">
        <w:t>Repeal the subsection, substitute:</w:t>
      </w:r>
    </w:p>
    <w:p w14:paraId="3720BA27" w14:textId="77777777" w:rsidR="00C6701A" w:rsidRPr="000269ED" w:rsidRDefault="00C6701A" w:rsidP="003203E3">
      <w:pPr>
        <w:pStyle w:val="SubsectionHead"/>
      </w:pPr>
      <w:r w:rsidRPr="000269ED">
        <w:t>Constitutional limits</w:t>
      </w:r>
    </w:p>
    <w:p w14:paraId="7D922CA0" w14:textId="77777777" w:rsidR="00C6701A" w:rsidRPr="000269ED" w:rsidRDefault="00C6701A" w:rsidP="003203E3">
      <w:pPr>
        <w:pStyle w:val="subsection"/>
      </w:pPr>
      <w:r w:rsidRPr="000269ED">
        <w:tab/>
        <w:t>(2)</w:t>
      </w:r>
      <w:r w:rsidRPr="000269ED">
        <w:tab/>
        <w:t xml:space="preserve">The Authority may perform </w:t>
      </w:r>
      <w:r w:rsidR="0042739F" w:rsidRPr="000269ED">
        <w:t>its</w:t>
      </w:r>
      <w:r w:rsidRPr="000269ED">
        <w:t xml:space="preserve"> functions only:</w:t>
      </w:r>
    </w:p>
    <w:p w14:paraId="6BC6FABF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915A4D" w:rsidRPr="000269ED">
        <w:t>a</w:t>
      </w:r>
      <w:r w:rsidRPr="000269ED">
        <w:t>)</w:t>
      </w:r>
      <w:r w:rsidRPr="000269ED">
        <w:tab/>
        <w:t>with respect to the granting of financial assistance to a State on such terms and conditions as the Parliament thinks fit; or</w:t>
      </w:r>
    </w:p>
    <w:p w14:paraId="4B8E5EB5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915A4D" w:rsidRPr="000269ED">
        <w:t>b</w:t>
      </w:r>
      <w:r w:rsidRPr="000269ED">
        <w:t>)</w:t>
      </w:r>
      <w:r w:rsidRPr="000269ED">
        <w:tab/>
        <w:t>with respect to the executive power of the Commonwealth; or</w:t>
      </w:r>
    </w:p>
    <w:p w14:paraId="2FD42032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915A4D" w:rsidRPr="000269ED">
        <w:t>c</w:t>
      </w:r>
      <w:r w:rsidRPr="000269ED">
        <w:t>)</w:t>
      </w:r>
      <w:r w:rsidRPr="000269ED">
        <w:tab/>
        <w:t>with respect to statistics; or</w:t>
      </w:r>
    </w:p>
    <w:p w14:paraId="77E3DADA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915A4D" w:rsidRPr="000269ED">
        <w:t>d</w:t>
      </w:r>
      <w:r w:rsidRPr="000269ED">
        <w:t>)</w:t>
      </w:r>
      <w:r w:rsidRPr="000269ED">
        <w:tab/>
        <w:t>with respect to</w:t>
      </w:r>
      <w:r w:rsidR="005407B3" w:rsidRPr="000269ED">
        <w:t>,</w:t>
      </w:r>
      <w:r w:rsidR="0042739F" w:rsidRPr="000269ED">
        <w:t xml:space="preserve"> or in</w:t>
      </w:r>
      <w:r w:rsidR="005407B3" w:rsidRPr="000269ED">
        <w:t>,</w:t>
      </w:r>
      <w:r w:rsidRPr="000269ED">
        <w:t xml:space="preserve"> a Territory; or</w:t>
      </w:r>
    </w:p>
    <w:p w14:paraId="7B4FE257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915A4D" w:rsidRPr="000269ED">
        <w:t>e</w:t>
      </w:r>
      <w:r w:rsidRPr="000269ED">
        <w:t>)</w:t>
      </w:r>
      <w:r w:rsidRPr="000269ED">
        <w:tab/>
        <w:t>with respect to</w:t>
      </w:r>
      <w:r w:rsidR="005407B3" w:rsidRPr="000269ED">
        <w:t>,</w:t>
      </w:r>
      <w:r w:rsidR="0042739F" w:rsidRPr="000269ED">
        <w:t xml:space="preserve"> or in</w:t>
      </w:r>
      <w:r w:rsidR="005407B3" w:rsidRPr="000269ED">
        <w:t>,</w:t>
      </w:r>
      <w:r w:rsidRPr="000269ED">
        <w:t xml:space="preserve"> a Commonwealth place (within the meaning of the </w:t>
      </w:r>
      <w:r w:rsidRPr="000269ED">
        <w:rPr>
          <w:i/>
        </w:rPr>
        <w:t>Commonwealth Places (Application of Laws) Act 1970</w:t>
      </w:r>
      <w:r w:rsidRPr="000269ED">
        <w:t>); or</w:t>
      </w:r>
    </w:p>
    <w:p w14:paraId="42AB1B44" w14:textId="77777777" w:rsidR="00C6701A" w:rsidRPr="000269ED" w:rsidRDefault="00C6701A" w:rsidP="003203E3">
      <w:pPr>
        <w:pStyle w:val="paragraph"/>
        <w:keepNext/>
        <w:keepLines/>
      </w:pPr>
      <w:r w:rsidRPr="000269ED">
        <w:tab/>
        <w:t>(</w:t>
      </w:r>
      <w:r w:rsidR="00915A4D" w:rsidRPr="000269ED">
        <w:t>f</w:t>
      </w:r>
      <w:r w:rsidRPr="000269ED">
        <w:t>)</w:t>
      </w:r>
      <w:r w:rsidRPr="000269ED">
        <w:tab/>
        <w:t>with respect to trade and commerce:</w:t>
      </w:r>
    </w:p>
    <w:p w14:paraId="3941DCB1" w14:textId="77777777" w:rsidR="00C6701A" w:rsidRPr="000269ED" w:rsidRDefault="00C6701A" w:rsidP="003203E3">
      <w:pPr>
        <w:pStyle w:val="paragraphsub"/>
      </w:pPr>
      <w:r w:rsidRPr="000269ED">
        <w:tab/>
        <w:t>(i)</w:t>
      </w:r>
      <w:r w:rsidRPr="000269ED">
        <w:tab/>
        <w:t>between Australia and places outside Australia; or</w:t>
      </w:r>
    </w:p>
    <w:p w14:paraId="2EBC35BD" w14:textId="77777777" w:rsidR="00C6701A" w:rsidRPr="000269ED" w:rsidRDefault="00C6701A" w:rsidP="003203E3">
      <w:pPr>
        <w:pStyle w:val="paragraphsub"/>
      </w:pPr>
      <w:r w:rsidRPr="000269ED">
        <w:tab/>
        <w:t>(ii)</w:t>
      </w:r>
      <w:r w:rsidRPr="000269ED">
        <w:tab/>
        <w:t>among the States; or</w:t>
      </w:r>
    </w:p>
    <w:p w14:paraId="0566596C" w14:textId="77777777" w:rsidR="00C6701A" w:rsidRPr="000269ED" w:rsidRDefault="00C6701A" w:rsidP="003203E3">
      <w:pPr>
        <w:pStyle w:val="paragraphsub"/>
      </w:pPr>
      <w:r w:rsidRPr="000269ED">
        <w:tab/>
        <w:t>(iii)</w:t>
      </w:r>
      <w:r w:rsidRPr="000269ED">
        <w:tab/>
        <w:t>within a Territory, between a State and a Territory or between 2 Territories; or</w:t>
      </w:r>
    </w:p>
    <w:p w14:paraId="42813BD5" w14:textId="77777777" w:rsidR="00C6701A" w:rsidRPr="000269ED" w:rsidRDefault="00C6701A" w:rsidP="003203E3">
      <w:pPr>
        <w:pStyle w:val="paragraph"/>
      </w:pPr>
      <w:r w:rsidRPr="000269ED">
        <w:lastRenderedPageBreak/>
        <w:tab/>
        <w:t>(</w:t>
      </w:r>
      <w:r w:rsidR="00915A4D" w:rsidRPr="000269ED">
        <w:t>g</w:t>
      </w:r>
      <w:r w:rsidRPr="000269ED">
        <w:t>)</w:t>
      </w:r>
      <w:r w:rsidRPr="000269ED">
        <w:tab/>
      </w:r>
      <w:r w:rsidR="009060FD" w:rsidRPr="000269ED">
        <w:t>with respect to the granting of financial assistance to a constitutional corporation for the purposes of carrying out the corporation’s activities</w:t>
      </w:r>
      <w:r w:rsidRPr="000269ED">
        <w:t>; or</w:t>
      </w:r>
    </w:p>
    <w:p w14:paraId="72E12BAC" w14:textId="77777777" w:rsidR="00E8499C" w:rsidRPr="000269ED" w:rsidRDefault="00E8499C" w:rsidP="003203E3">
      <w:pPr>
        <w:pStyle w:val="paragraph"/>
      </w:pPr>
      <w:r w:rsidRPr="000269ED">
        <w:tab/>
        <w:t>(h)</w:t>
      </w:r>
      <w:r w:rsidRPr="000269ED">
        <w:tab/>
        <w:t>with respect to the provision of medical services; or</w:t>
      </w:r>
    </w:p>
    <w:p w14:paraId="435568C2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83148C" w:rsidRPr="000269ED">
        <w:t>i</w:t>
      </w:r>
      <w:r w:rsidRPr="000269ED">
        <w:t>)</w:t>
      </w:r>
      <w:r w:rsidRPr="000269ED">
        <w:tab/>
      </w:r>
      <w:r w:rsidR="0042739F" w:rsidRPr="000269ED">
        <w:t>with respect to</w:t>
      </w:r>
      <w:r w:rsidR="000D3210" w:rsidRPr="000269ED">
        <w:t xml:space="preserve"> </w:t>
      </w:r>
      <w:r w:rsidRPr="000269ED">
        <w:t>a postal, telegraphic, telephonic or other like service; or</w:t>
      </w:r>
    </w:p>
    <w:p w14:paraId="3EA0BD4F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83148C" w:rsidRPr="000269ED">
        <w:t>j</w:t>
      </w:r>
      <w:r w:rsidRPr="000269ED">
        <w:t>)</w:t>
      </w:r>
      <w:r w:rsidRPr="000269ED">
        <w:tab/>
      </w:r>
      <w:r w:rsidR="0042739F" w:rsidRPr="000269ED">
        <w:t>with respect to</w:t>
      </w:r>
      <w:r w:rsidR="00A23566" w:rsidRPr="000269ED">
        <w:t xml:space="preserve"> </w:t>
      </w:r>
      <w:r w:rsidRPr="000269ED">
        <w:t>the provision of a service to:</w:t>
      </w:r>
    </w:p>
    <w:p w14:paraId="378B4994" w14:textId="77777777" w:rsidR="00C6701A" w:rsidRPr="000269ED" w:rsidRDefault="00C6701A" w:rsidP="003203E3">
      <w:pPr>
        <w:pStyle w:val="paragraphsub"/>
      </w:pPr>
      <w:r w:rsidRPr="000269ED">
        <w:tab/>
        <w:t>(i)</w:t>
      </w:r>
      <w:r w:rsidRPr="000269ED">
        <w:tab/>
        <w:t>the Commonwealth; or</w:t>
      </w:r>
    </w:p>
    <w:p w14:paraId="75929059" w14:textId="77777777" w:rsidR="00C6701A" w:rsidRPr="000269ED" w:rsidRDefault="00C6701A" w:rsidP="003203E3">
      <w:pPr>
        <w:pStyle w:val="paragraphsub"/>
      </w:pPr>
      <w:r w:rsidRPr="000269ED">
        <w:tab/>
        <w:t>(ii)</w:t>
      </w:r>
      <w:r w:rsidRPr="000269ED">
        <w:tab/>
        <w:t>an authority of the Commonwealth;</w:t>
      </w:r>
    </w:p>
    <w:p w14:paraId="12B8A184" w14:textId="77777777" w:rsidR="00C6701A" w:rsidRPr="000269ED" w:rsidRDefault="00C6701A" w:rsidP="003203E3">
      <w:pPr>
        <w:pStyle w:val="paragraph"/>
      </w:pPr>
      <w:r w:rsidRPr="000269ED">
        <w:tab/>
      </w:r>
      <w:r w:rsidRPr="000269ED">
        <w:tab/>
        <w:t>for a purpose of the Commonwealth; or</w:t>
      </w:r>
    </w:p>
    <w:p w14:paraId="5019101B" w14:textId="77777777" w:rsidR="00200F46" w:rsidRPr="000269ED" w:rsidRDefault="00C6701A" w:rsidP="003203E3">
      <w:pPr>
        <w:pStyle w:val="paragraph"/>
      </w:pPr>
      <w:r w:rsidRPr="000269ED">
        <w:tab/>
        <w:t>(</w:t>
      </w:r>
      <w:r w:rsidR="0083148C" w:rsidRPr="000269ED">
        <w:t>k</w:t>
      </w:r>
      <w:r w:rsidRPr="000269ED">
        <w:t>)</w:t>
      </w:r>
      <w:r w:rsidRPr="000269ED">
        <w:tab/>
      </w:r>
      <w:r w:rsidR="00FF73A6" w:rsidRPr="000269ED">
        <w:t>with respect</w:t>
      </w:r>
      <w:r w:rsidRPr="000269ED">
        <w:t xml:space="preserve"> to the implied power of the Parliament to make laws with respect to nationhood; or</w:t>
      </w:r>
    </w:p>
    <w:p w14:paraId="6C8BBCC3" w14:textId="77777777" w:rsidR="00C6701A" w:rsidRPr="000269ED" w:rsidRDefault="00C6701A" w:rsidP="003203E3">
      <w:pPr>
        <w:pStyle w:val="paragraph"/>
      </w:pPr>
      <w:r w:rsidRPr="000269ED">
        <w:tab/>
        <w:t>(</w:t>
      </w:r>
      <w:r w:rsidR="0083148C" w:rsidRPr="000269ED">
        <w:t>l</w:t>
      </w:r>
      <w:r w:rsidRPr="000269ED">
        <w:t>)</w:t>
      </w:r>
      <w:r w:rsidRPr="000269ED">
        <w:tab/>
      </w:r>
      <w:r w:rsidR="00FF73A6" w:rsidRPr="000269ED">
        <w:t>with respect</w:t>
      </w:r>
      <w:r w:rsidRPr="000269ED">
        <w:t xml:space="preserve"> to matters incidental to the execution of any of the legislative powers of the Parliament or the executive power of the Commonwealth.</w:t>
      </w:r>
    </w:p>
    <w:p w14:paraId="47D586B1" w14:textId="77777777" w:rsidR="00AE544D" w:rsidRPr="000269ED" w:rsidRDefault="00AE544D" w:rsidP="003203E3">
      <w:pPr>
        <w:pStyle w:val="subsection"/>
      </w:pPr>
      <w:r w:rsidRPr="000269ED">
        <w:tab/>
        <w:t>(2A)</w:t>
      </w:r>
      <w:r w:rsidRPr="000269ED">
        <w:tab/>
        <w:t xml:space="preserve">A term used in </w:t>
      </w:r>
      <w:r w:rsidR="008C31E2" w:rsidRPr="000269ED">
        <w:t>subsection (</w:t>
      </w:r>
      <w:r w:rsidR="003624FA" w:rsidRPr="000269ED">
        <w:t>2)</w:t>
      </w:r>
      <w:r w:rsidRPr="000269ED">
        <w:t xml:space="preserve"> and the Constitution has the same meaning in th</w:t>
      </w:r>
      <w:r w:rsidR="005407B3" w:rsidRPr="000269ED">
        <w:t>at sub</w:t>
      </w:r>
      <w:r w:rsidRPr="000269ED">
        <w:t>section as it has in the Constitution.</w:t>
      </w:r>
    </w:p>
    <w:p w14:paraId="659D05E5" w14:textId="77777777" w:rsidR="00134DAD" w:rsidRPr="000269ED" w:rsidRDefault="002A52E6" w:rsidP="003203E3">
      <w:pPr>
        <w:pStyle w:val="ItemHead"/>
      </w:pPr>
      <w:r w:rsidRPr="000269ED">
        <w:t>16</w:t>
      </w:r>
      <w:r w:rsidR="00134DAD" w:rsidRPr="000269ED">
        <w:t xml:space="preserve">  </w:t>
      </w:r>
      <w:r w:rsidR="00586C66" w:rsidRPr="000269ED">
        <w:t>Part 2</w:t>
      </w:r>
      <w:r w:rsidR="00134DAD" w:rsidRPr="000269ED">
        <w:t>A</w:t>
      </w:r>
    </w:p>
    <w:p w14:paraId="53F81AFA" w14:textId="77777777" w:rsidR="00134DAD" w:rsidRPr="000269ED" w:rsidRDefault="00134DAD" w:rsidP="003203E3">
      <w:pPr>
        <w:pStyle w:val="Item"/>
      </w:pPr>
      <w:r w:rsidRPr="000269ED">
        <w:t>Repeal the Part.</w:t>
      </w:r>
    </w:p>
    <w:p w14:paraId="702FBB2A" w14:textId="77777777" w:rsidR="007F1FEC" w:rsidRPr="000269ED" w:rsidRDefault="002A52E6" w:rsidP="003203E3">
      <w:pPr>
        <w:pStyle w:val="ItemHead"/>
      </w:pPr>
      <w:r w:rsidRPr="000269ED">
        <w:t>17</w:t>
      </w:r>
      <w:r w:rsidR="007F1FEC" w:rsidRPr="000269ED">
        <w:t xml:space="preserve">  </w:t>
      </w:r>
      <w:r w:rsidR="00586C66" w:rsidRPr="000269ED">
        <w:t>Part 4</w:t>
      </w:r>
      <w:r w:rsidR="007F1FEC" w:rsidRPr="000269ED">
        <w:t xml:space="preserve"> (heading)</w:t>
      </w:r>
    </w:p>
    <w:p w14:paraId="722C2BFF" w14:textId="77777777" w:rsidR="007F1FEC" w:rsidRPr="000269ED" w:rsidRDefault="007F1FEC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rPr>
          <w:b/>
        </w:rPr>
        <w:t>4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rPr>
          <w:b/>
        </w:rPr>
        <w:t>3</w:t>
      </w:r>
      <w:r w:rsidR="00D021FD" w:rsidRPr="000269ED">
        <w:t>”</w:t>
      </w:r>
      <w:r w:rsidRPr="000269ED">
        <w:t>.</w:t>
      </w:r>
    </w:p>
    <w:p w14:paraId="23A0CBA7" w14:textId="77777777" w:rsidR="00895121" w:rsidRPr="000269ED" w:rsidRDefault="002A52E6" w:rsidP="003203E3">
      <w:pPr>
        <w:pStyle w:val="ItemHead"/>
      </w:pPr>
      <w:r w:rsidRPr="000269ED">
        <w:t>18</w:t>
      </w:r>
      <w:r w:rsidR="00895121" w:rsidRPr="000269ED">
        <w:t xml:space="preserve">  </w:t>
      </w:r>
      <w:r w:rsidR="008C31E2" w:rsidRPr="000269ED">
        <w:t>Section 1</w:t>
      </w:r>
      <w:r w:rsidR="00693E25" w:rsidRPr="000269ED">
        <w:t>4B</w:t>
      </w:r>
    </w:p>
    <w:p w14:paraId="6AB17C70" w14:textId="77777777" w:rsidR="00693E25" w:rsidRPr="000269ED" w:rsidRDefault="00693E25" w:rsidP="003203E3">
      <w:pPr>
        <w:pStyle w:val="Item"/>
      </w:pPr>
      <w:r w:rsidRPr="000269ED">
        <w:t>Repeal the section, substitute:</w:t>
      </w:r>
    </w:p>
    <w:p w14:paraId="35FFCC6D" w14:textId="77777777" w:rsidR="00693E25" w:rsidRPr="000269ED" w:rsidRDefault="00693E25" w:rsidP="003203E3">
      <w:pPr>
        <w:pStyle w:val="ActHead5"/>
      </w:pPr>
      <w:bookmarkStart w:id="7" w:name="_Toc81897128"/>
      <w:r w:rsidRPr="000269ED">
        <w:rPr>
          <w:rStyle w:val="CharSectno"/>
        </w:rPr>
        <w:t>14B</w:t>
      </w:r>
      <w:r w:rsidRPr="000269ED">
        <w:t xml:space="preserve">  Functions of the CEO</w:t>
      </w:r>
      <w:bookmarkEnd w:id="7"/>
    </w:p>
    <w:p w14:paraId="31522F1D" w14:textId="77777777" w:rsidR="00693E25" w:rsidRPr="000269ED" w:rsidRDefault="00693E25" w:rsidP="003203E3">
      <w:pPr>
        <w:pStyle w:val="subsection"/>
      </w:pPr>
      <w:r w:rsidRPr="000269ED">
        <w:tab/>
        <w:t>(1)</w:t>
      </w:r>
      <w:r w:rsidRPr="000269ED">
        <w:tab/>
        <w:t>The functions of the CEO are:</w:t>
      </w:r>
    </w:p>
    <w:p w14:paraId="38E64A3F" w14:textId="77777777" w:rsidR="001D209D" w:rsidRPr="000269ED" w:rsidRDefault="001D209D" w:rsidP="003203E3">
      <w:pPr>
        <w:pStyle w:val="paragraph"/>
      </w:pPr>
      <w:r w:rsidRPr="000269ED">
        <w:tab/>
        <w:t>(a)</w:t>
      </w:r>
      <w:r w:rsidRPr="000269ED">
        <w:tab/>
        <w:t>to determine objectives, strategies and policies to be followed by the Authority in the performance of its functions; and</w:t>
      </w:r>
    </w:p>
    <w:p w14:paraId="75BB1D23" w14:textId="77777777" w:rsidR="001D209D" w:rsidRPr="000269ED" w:rsidRDefault="001D209D" w:rsidP="003203E3">
      <w:pPr>
        <w:pStyle w:val="paragraph"/>
      </w:pPr>
      <w:r w:rsidRPr="000269ED">
        <w:tab/>
        <w:t>(b)</w:t>
      </w:r>
      <w:r w:rsidRPr="000269ED">
        <w:tab/>
        <w:t>to ensure the proper, efficient and effective performance of the Authority</w:t>
      </w:r>
      <w:r w:rsidR="00D021FD" w:rsidRPr="000269ED">
        <w:t>’</w:t>
      </w:r>
      <w:r w:rsidRPr="000269ED">
        <w:t>s functions; and</w:t>
      </w:r>
    </w:p>
    <w:p w14:paraId="2659C825" w14:textId="77777777" w:rsidR="00693E25" w:rsidRPr="000269ED" w:rsidRDefault="001D209D" w:rsidP="003203E3">
      <w:pPr>
        <w:pStyle w:val="paragraph"/>
      </w:pPr>
      <w:r w:rsidRPr="000269ED">
        <w:tab/>
        <w:t>(c</w:t>
      </w:r>
      <w:r w:rsidR="00693E25" w:rsidRPr="000269ED">
        <w:t>)</w:t>
      </w:r>
      <w:r w:rsidR="00693E25" w:rsidRPr="000269ED">
        <w:tab/>
        <w:t>to manage the administration of the Authority; and</w:t>
      </w:r>
    </w:p>
    <w:p w14:paraId="5D5FF3CE" w14:textId="77777777" w:rsidR="00693E25" w:rsidRPr="000269ED" w:rsidRDefault="00693E25" w:rsidP="003203E3">
      <w:pPr>
        <w:pStyle w:val="paragraph"/>
      </w:pPr>
      <w:r w:rsidRPr="000269ED">
        <w:tab/>
      </w:r>
      <w:r w:rsidR="001D209D" w:rsidRPr="000269ED">
        <w:t>(d</w:t>
      </w:r>
      <w:r w:rsidRPr="000269ED">
        <w:t>)</w:t>
      </w:r>
      <w:r w:rsidRPr="000269ED">
        <w:tab/>
        <w:t>such other functions as are conferred on the CEO by this Act or any other law; and</w:t>
      </w:r>
    </w:p>
    <w:p w14:paraId="451900CD" w14:textId="77777777" w:rsidR="00693E25" w:rsidRPr="000269ED" w:rsidRDefault="00693E25" w:rsidP="003203E3">
      <w:pPr>
        <w:pStyle w:val="paragraph"/>
      </w:pPr>
      <w:r w:rsidRPr="000269ED">
        <w:lastRenderedPageBreak/>
        <w:tab/>
        <w:t>(</w:t>
      </w:r>
      <w:r w:rsidR="001D209D" w:rsidRPr="000269ED">
        <w:t>e</w:t>
      </w:r>
      <w:r w:rsidRPr="000269ED">
        <w:t>)</w:t>
      </w:r>
      <w:r w:rsidRPr="000269ED">
        <w:tab/>
        <w:t>to do anything incidental or conducive to the performance of any of the above functions.</w:t>
      </w:r>
    </w:p>
    <w:p w14:paraId="6B407F94" w14:textId="77777777" w:rsidR="00693E25" w:rsidRPr="000269ED" w:rsidRDefault="00693E25" w:rsidP="003203E3">
      <w:pPr>
        <w:pStyle w:val="subsection"/>
      </w:pPr>
      <w:r w:rsidRPr="000269ED">
        <w:tab/>
        <w:t>(</w:t>
      </w:r>
      <w:r w:rsidR="007A4795" w:rsidRPr="000269ED">
        <w:t>2</w:t>
      </w:r>
      <w:r w:rsidRPr="000269ED">
        <w:t>)</w:t>
      </w:r>
      <w:r w:rsidRPr="000269ED">
        <w:tab/>
        <w:t>The CEO has power to do all things necessary or convenient to be done for</w:t>
      </w:r>
      <w:r w:rsidR="00365D63" w:rsidRPr="000269ED">
        <w:t>,</w:t>
      </w:r>
      <w:r w:rsidRPr="000269ED">
        <w:t xml:space="preserve"> or in connec</w:t>
      </w:r>
      <w:r w:rsidR="007C18EF" w:rsidRPr="000269ED">
        <w:t>tion with</w:t>
      </w:r>
      <w:r w:rsidR="00365D63" w:rsidRPr="000269ED">
        <w:t>,</w:t>
      </w:r>
      <w:r w:rsidR="007C18EF" w:rsidRPr="000269ED">
        <w:t xml:space="preserve"> the performance of the CEO</w:t>
      </w:r>
      <w:r w:rsidR="00D021FD" w:rsidRPr="000269ED">
        <w:t>’</w:t>
      </w:r>
      <w:r w:rsidR="007C18EF" w:rsidRPr="000269ED">
        <w:t>s</w:t>
      </w:r>
      <w:r w:rsidRPr="000269ED">
        <w:t xml:space="preserve"> functions.</w:t>
      </w:r>
    </w:p>
    <w:p w14:paraId="246B3911" w14:textId="77777777" w:rsidR="00AB268F" w:rsidRPr="000269ED" w:rsidRDefault="002A52E6" w:rsidP="003203E3">
      <w:pPr>
        <w:pStyle w:val="ItemHead"/>
      </w:pPr>
      <w:r w:rsidRPr="000269ED">
        <w:t>19</w:t>
      </w:r>
      <w:r w:rsidR="00AB268F" w:rsidRPr="000269ED">
        <w:t xml:space="preserve">  </w:t>
      </w:r>
      <w:r w:rsidR="008C31E2" w:rsidRPr="000269ED">
        <w:t>Subsection 1</w:t>
      </w:r>
      <w:r w:rsidR="00960F00" w:rsidRPr="000269ED">
        <w:t>4(1A)</w:t>
      </w:r>
    </w:p>
    <w:p w14:paraId="40791505" w14:textId="77777777" w:rsidR="00960F00" w:rsidRPr="000269ED" w:rsidRDefault="00960F00" w:rsidP="003203E3">
      <w:pPr>
        <w:pStyle w:val="Item"/>
      </w:pPr>
      <w:r w:rsidRPr="000269ED">
        <w:t>Repeal the subsection.</w:t>
      </w:r>
    </w:p>
    <w:p w14:paraId="0028447A" w14:textId="77777777" w:rsidR="00960F00" w:rsidRPr="000269ED" w:rsidRDefault="002A52E6" w:rsidP="003203E3">
      <w:pPr>
        <w:pStyle w:val="ItemHead"/>
      </w:pPr>
      <w:r w:rsidRPr="000269ED">
        <w:t>20</w:t>
      </w:r>
      <w:r w:rsidR="00960F00" w:rsidRPr="000269ED">
        <w:t xml:space="preserve">  </w:t>
      </w:r>
      <w:r w:rsidR="008C31E2" w:rsidRPr="000269ED">
        <w:t>Section 1</w:t>
      </w:r>
      <w:r w:rsidR="00960F00" w:rsidRPr="000269ED">
        <w:t>5</w:t>
      </w:r>
    </w:p>
    <w:p w14:paraId="23D79FC3" w14:textId="77777777" w:rsidR="00960F00" w:rsidRPr="000269ED" w:rsidRDefault="00960F00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4 years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5 years</w:t>
      </w:r>
      <w:r w:rsidR="00D021FD" w:rsidRPr="000269ED">
        <w:t>”</w:t>
      </w:r>
      <w:r w:rsidRPr="000269ED">
        <w:t>.</w:t>
      </w:r>
    </w:p>
    <w:p w14:paraId="2218D276" w14:textId="77777777" w:rsidR="00517A64" w:rsidRPr="000269ED" w:rsidRDefault="002A52E6" w:rsidP="003203E3">
      <w:pPr>
        <w:pStyle w:val="ItemHead"/>
      </w:pPr>
      <w:r w:rsidRPr="000269ED">
        <w:t>21</w:t>
      </w:r>
      <w:r w:rsidR="00517A64" w:rsidRPr="000269ED">
        <w:t xml:space="preserve">  </w:t>
      </w:r>
      <w:r w:rsidR="008C31E2" w:rsidRPr="000269ED">
        <w:t>Subsection 2</w:t>
      </w:r>
      <w:r w:rsidR="00517A64" w:rsidRPr="000269ED">
        <w:t>2(1)</w:t>
      </w:r>
    </w:p>
    <w:p w14:paraId="2D4EB9D5" w14:textId="77777777" w:rsidR="00517A64" w:rsidRPr="000269ED" w:rsidRDefault="00517A64" w:rsidP="003203E3">
      <w:pPr>
        <w:pStyle w:val="Item"/>
      </w:pPr>
      <w:r w:rsidRPr="000269ED">
        <w:t>Repeal the subsection, substitute:</w:t>
      </w:r>
    </w:p>
    <w:p w14:paraId="403BE65D" w14:textId="77777777" w:rsidR="00517A64" w:rsidRPr="000269ED" w:rsidRDefault="00517A64" w:rsidP="003203E3">
      <w:pPr>
        <w:pStyle w:val="subsection"/>
      </w:pPr>
      <w:r w:rsidRPr="000269ED">
        <w:tab/>
        <w:t>(1)</w:t>
      </w:r>
      <w:r w:rsidRPr="000269ED">
        <w:tab/>
        <w:t>The Minister may terminate the appointment of the CEO:</w:t>
      </w:r>
    </w:p>
    <w:p w14:paraId="55014A49" w14:textId="77777777" w:rsidR="00517A64" w:rsidRPr="000269ED" w:rsidRDefault="00517A64" w:rsidP="003203E3">
      <w:pPr>
        <w:pStyle w:val="paragraph"/>
      </w:pPr>
      <w:r w:rsidRPr="000269ED">
        <w:tab/>
        <w:t>(a)</w:t>
      </w:r>
      <w:r w:rsidRPr="000269ED">
        <w:tab/>
        <w:t>for misbehaviour; or</w:t>
      </w:r>
    </w:p>
    <w:p w14:paraId="2D8BBDD1" w14:textId="77777777" w:rsidR="00517A64" w:rsidRPr="000269ED" w:rsidRDefault="00517A64" w:rsidP="003203E3">
      <w:pPr>
        <w:pStyle w:val="paragraph"/>
      </w:pPr>
      <w:r w:rsidRPr="000269ED">
        <w:tab/>
        <w:t>(b)</w:t>
      </w:r>
      <w:r w:rsidRPr="000269ED">
        <w:tab/>
        <w:t>if the CEO is unable to perform the duties of the CEO</w:t>
      </w:r>
      <w:r w:rsidR="00D021FD" w:rsidRPr="000269ED">
        <w:t>’</w:t>
      </w:r>
      <w:r w:rsidRPr="000269ED">
        <w:t>s office because of physical or mental incapacity.</w:t>
      </w:r>
    </w:p>
    <w:p w14:paraId="64FDD8F5" w14:textId="77777777" w:rsidR="0066729C" w:rsidRPr="000269ED" w:rsidRDefault="002A52E6" w:rsidP="003203E3">
      <w:pPr>
        <w:pStyle w:val="ItemHead"/>
      </w:pPr>
      <w:r w:rsidRPr="000269ED">
        <w:t>22</w:t>
      </w:r>
      <w:r w:rsidR="0066729C" w:rsidRPr="000269ED">
        <w:t xml:space="preserve">  </w:t>
      </w:r>
      <w:r w:rsidR="00586C66" w:rsidRPr="000269ED">
        <w:t>Paragraph 2</w:t>
      </w:r>
      <w:r w:rsidR="0066729C" w:rsidRPr="000269ED">
        <w:t>2(2)(c)</w:t>
      </w:r>
    </w:p>
    <w:p w14:paraId="79792DA1" w14:textId="77777777" w:rsidR="0066729C" w:rsidRPr="000269ED" w:rsidRDefault="0066729C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employment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work</w:t>
      </w:r>
      <w:r w:rsidR="00D021FD" w:rsidRPr="000269ED">
        <w:t>”</w:t>
      </w:r>
      <w:r w:rsidRPr="000269ED">
        <w:t>.</w:t>
      </w:r>
    </w:p>
    <w:p w14:paraId="38D878A4" w14:textId="77777777" w:rsidR="00D91B69" w:rsidRPr="000269ED" w:rsidRDefault="002A52E6" w:rsidP="003203E3">
      <w:pPr>
        <w:pStyle w:val="ItemHead"/>
      </w:pPr>
      <w:r w:rsidRPr="000269ED">
        <w:t>23</w:t>
      </w:r>
      <w:r w:rsidR="00D91B69" w:rsidRPr="000269ED">
        <w:t xml:space="preserve">  </w:t>
      </w:r>
      <w:r w:rsidR="00586C66" w:rsidRPr="000269ED">
        <w:t>Subsections 2</w:t>
      </w:r>
      <w:r w:rsidR="00D91B69" w:rsidRPr="000269ED">
        <w:t>6(1) and (2)</w:t>
      </w:r>
    </w:p>
    <w:p w14:paraId="63990EDB" w14:textId="77777777" w:rsidR="00D91B69" w:rsidRPr="000269ED" w:rsidRDefault="00D91B6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01DBDB41" w14:textId="77777777" w:rsidR="00134DAD" w:rsidRPr="000269ED" w:rsidRDefault="002A52E6" w:rsidP="003203E3">
      <w:pPr>
        <w:pStyle w:val="ItemHead"/>
      </w:pPr>
      <w:r w:rsidRPr="000269ED">
        <w:t>24</w:t>
      </w:r>
      <w:r w:rsidR="00134DAD" w:rsidRPr="000269ED">
        <w:t xml:space="preserve">  </w:t>
      </w:r>
      <w:r w:rsidR="007F1FEC" w:rsidRPr="000269ED">
        <w:t>Before</w:t>
      </w:r>
      <w:r w:rsidR="00134DAD" w:rsidRPr="000269ED">
        <w:t xml:space="preserve"> </w:t>
      </w:r>
      <w:r w:rsidR="00586C66" w:rsidRPr="000269ED">
        <w:t>Part 5</w:t>
      </w:r>
    </w:p>
    <w:p w14:paraId="6A76EB1B" w14:textId="77777777" w:rsidR="00134DAD" w:rsidRPr="000269ED" w:rsidRDefault="00134DAD" w:rsidP="003203E3">
      <w:pPr>
        <w:pStyle w:val="Item"/>
      </w:pPr>
      <w:r w:rsidRPr="000269ED">
        <w:t>Insert:</w:t>
      </w:r>
    </w:p>
    <w:p w14:paraId="6F26683D" w14:textId="77777777" w:rsidR="00134DAD" w:rsidRPr="000269ED" w:rsidRDefault="00586C66" w:rsidP="003203E3">
      <w:pPr>
        <w:pStyle w:val="ActHead2"/>
      </w:pPr>
      <w:bookmarkStart w:id="8" w:name="_Toc81897129"/>
      <w:r w:rsidRPr="000269ED">
        <w:rPr>
          <w:rStyle w:val="CharPartNo"/>
        </w:rPr>
        <w:lastRenderedPageBreak/>
        <w:t>Part 4</w:t>
      </w:r>
      <w:r w:rsidR="00134DAD" w:rsidRPr="000269ED">
        <w:t>—</w:t>
      </w:r>
      <w:r w:rsidR="00134DAD" w:rsidRPr="000269ED">
        <w:rPr>
          <w:rStyle w:val="CharPartText"/>
        </w:rPr>
        <w:t>Australian Organ and Tissue Donation and Transplantation Advisory Board</w:t>
      </w:r>
      <w:bookmarkEnd w:id="8"/>
    </w:p>
    <w:p w14:paraId="2F79DF8D" w14:textId="77777777" w:rsidR="00134DAD" w:rsidRPr="000269ED" w:rsidRDefault="00586C66" w:rsidP="003203E3">
      <w:pPr>
        <w:pStyle w:val="ActHead3"/>
      </w:pPr>
      <w:bookmarkStart w:id="9" w:name="_Toc81897130"/>
      <w:r w:rsidRPr="000269ED">
        <w:rPr>
          <w:rStyle w:val="CharDivNo"/>
        </w:rPr>
        <w:t>Division 1</w:t>
      </w:r>
      <w:r w:rsidR="00134DAD" w:rsidRPr="000269ED">
        <w:t>—</w:t>
      </w:r>
      <w:r w:rsidR="00134DAD" w:rsidRPr="000269ED">
        <w:rPr>
          <w:rStyle w:val="CharDivText"/>
        </w:rPr>
        <w:t xml:space="preserve">Establishment and functions of the </w:t>
      </w:r>
      <w:r w:rsidR="00624ECE" w:rsidRPr="000269ED">
        <w:rPr>
          <w:rStyle w:val="CharDivText"/>
        </w:rPr>
        <w:t xml:space="preserve">Advisory </w:t>
      </w:r>
      <w:r w:rsidR="00134DAD" w:rsidRPr="000269ED">
        <w:rPr>
          <w:rStyle w:val="CharDivText"/>
        </w:rPr>
        <w:t>Board</w:t>
      </w:r>
      <w:bookmarkEnd w:id="9"/>
    </w:p>
    <w:p w14:paraId="7181F392" w14:textId="77777777" w:rsidR="00134DAD" w:rsidRPr="000269ED" w:rsidRDefault="00624ECE" w:rsidP="003203E3">
      <w:pPr>
        <w:pStyle w:val="ActHead5"/>
      </w:pPr>
      <w:bookmarkStart w:id="10" w:name="_Toc81897131"/>
      <w:r w:rsidRPr="000269ED">
        <w:rPr>
          <w:rStyle w:val="CharSectno"/>
        </w:rPr>
        <w:t>28</w:t>
      </w:r>
      <w:r w:rsidR="00134DAD" w:rsidRPr="000269ED">
        <w:t xml:space="preserve">  Establishment of the </w:t>
      </w:r>
      <w:r w:rsidRPr="000269ED">
        <w:t xml:space="preserve">Advisory </w:t>
      </w:r>
      <w:r w:rsidR="00134DAD" w:rsidRPr="000269ED">
        <w:t>Board</w:t>
      </w:r>
      <w:bookmarkEnd w:id="10"/>
    </w:p>
    <w:p w14:paraId="216A0F98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>The Australian Organ and Tissue Donation and Transplantation Advisory Board is established by this section.</w:t>
      </w:r>
    </w:p>
    <w:p w14:paraId="7CE4EEE4" w14:textId="77777777" w:rsidR="00134DAD" w:rsidRPr="000269ED" w:rsidRDefault="00624ECE" w:rsidP="003203E3">
      <w:pPr>
        <w:pStyle w:val="ActHead5"/>
      </w:pPr>
      <w:bookmarkStart w:id="11" w:name="_Toc81897132"/>
      <w:r w:rsidRPr="000269ED">
        <w:rPr>
          <w:rStyle w:val="CharSectno"/>
        </w:rPr>
        <w:t>29</w:t>
      </w:r>
      <w:r w:rsidR="00134DAD" w:rsidRPr="000269ED">
        <w:t xml:space="preserve">  Functions of the</w:t>
      </w:r>
      <w:r w:rsidRPr="000269ED">
        <w:t xml:space="preserve"> Advisory</w:t>
      </w:r>
      <w:r w:rsidR="00134DAD" w:rsidRPr="000269ED">
        <w:t xml:space="preserve"> Board</w:t>
      </w:r>
      <w:bookmarkEnd w:id="11"/>
    </w:p>
    <w:p w14:paraId="75AD9544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The functions of the </w:t>
      </w:r>
      <w:r w:rsidR="00624ECE" w:rsidRPr="000269ED">
        <w:t xml:space="preserve">Advisory </w:t>
      </w:r>
      <w:r w:rsidRPr="000269ED">
        <w:t>Board are:</w:t>
      </w:r>
    </w:p>
    <w:p w14:paraId="1F443609" w14:textId="77777777" w:rsidR="00623499" w:rsidRPr="000269ED" w:rsidRDefault="00F35F43" w:rsidP="003203E3">
      <w:pPr>
        <w:pStyle w:val="paragraph"/>
      </w:pPr>
      <w:r w:rsidRPr="000269ED">
        <w:tab/>
        <w:t>(a)</w:t>
      </w:r>
      <w:r w:rsidRPr="000269ED">
        <w:tab/>
      </w:r>
      <w:r w:rsidR="00623499" w:rsidRPr="000269ED">
        <w:t>to advi</w:t>
      </w:r>
      <w:r w:rsidR="00372FB0" w:rsidRPr="000269ED">
        <w:t>s</w:t>
      </w:r>
      <w:r w:rsidR="00623499" w:rsidRPr="000269ED">
        <w:t>e the CEO</w:t>
      </w:r>
      <w:r w:rsidR="00372FB0" w:rsidRPr="000269ED">
        <w:t xml:space="preserve">, either on its own initiative or at the request of the CEO, </w:t>
      </w:r>
      <w:r w:rsidR="00623499" w:rsidRPr="000269ED">
        <w:t>about the following matters:</w:t>
      </w:r>
    </w:p>
    <w:p w14:paraId="16D9B324" w14:textId="77777777" w:rsidR="00F35F43" w:rsidRPr="000269ED" w:rsidRDefault="00623499" w:rsidP="003203E3">
      <w:pPr>
        <w:pStyle w:val="paragraphsub"/>
      </w:pPr>
      <w:r w:rsidRPr="000269ED">
        <w:tab/>
        <w:t>(i)</w:t>
      </w:r>
      <w:r w:rsidRPr="000269ED">
        <w:tab/>
      </w:r>
      <w:r w:rsidR="008B6882" w:rsidRPr="000269ED">
        <w:t xml:space="preserve">the objectives, strategies and policies </w:t>
      </w:r>
      <w:r w:rsidR="00C16E98" w:rsidRPr="000269ED">
        <w:t>to be followed by</w:t>
      </w:r>
      <w:r w:rsidR="008B6882" w:rsidRPr="000269ED">
        <w:t xml:space="preserve"> the Authority</w:t>
      </w:r>
      <w:r w:rsidR="00A86BE7" w:rsidRPr="000269ED">
        <w:t xml:space="preserve"> in the performance of its functions</w:t>
      </w:r>
      <w:r w:rsidR="00585173" w:rsidRPr="000269ED">
        <w:t>;</w:t>
      </w:r>
    </w:p>
    <w:p w14:paraId="38BA2493" w14:textId="77777777" w:rsidR="00C16E98" w:rsidRPr="000269ED" w:rsidRDefault="00C16E98" w:rsidP="003203E3">
      <w:pPr>
        <w:pStyle w:val="paragraphsub"/>
      </w:pPr>
      <w:r w:rsidRPr="000269ED">
        <w:tab/>
      </w:r>
      <w:r w:rsidR="00623499" w:rsidRPr="000269ED">
        <w:t>(ii</w:t>
      </w:r>
      <w:r w:rsidR="005411CB" w:rsidRPr="000269ED">
        <w:t>)</w:t>
      </w:r>
      <w:r w:rsidR="005411CB" w:rsidRPr="000269ED">
        <w:tab/>
        <w:t xml:space="preserve">the </w:t>
      </w:r>
      <w:r w:rsidRPr="000269ED">
        <w:t>performance of the Authority</w:t>
      </w:r>
      <w:r w:rsidR="00D021FD" w:rsidRPr="000269ED">
        <w:t>’</w:t>
      </w:r>
      <w:r w:rsidRPr="000269ED">
        <w:t xml:space="preserve">s </w:t>
      </w:r>
      <w:r w:rsidR="00585173" w:rsidRPr="000269ED">
        <w:t>functions;</w:t>
      </w:r>
    </w:p>
    <w:p w14:paraId="5819F398" w14:textId="77777777" w:rsidR="009D7411" w:rsidRPr="000269ED" w:rsidRDefault="00C16E98" w:rsidP="003203E3">
      <w:pPr>
        <w:pStyle w:val="paragraphsub"/>
      </w:pPr>
      <w:r w:rsidRPr="000269ED">
        <w:tab/>
        <w:t>(</w:t>
      </w:r>
      <w:r w:rsidR="00623499" w:rsidRPr="000269ED">
        <w:t>iii</w:t>
      </w:r>
      <w:r w:rsidR="00F35F43" w:rsidRPr="000269ED">
        <w:t>)</w:t>
      </w:r>
      <w:r w:rsidR="00F35F43" w:rsidRPr="000269ED">
        <w:tab/>
        <w:t xml:space="preserve">organ </w:t>
      </w:r>
      <w:r w:rsidR="005411CB" w:rsidRPr="000269ED">
        <w:t>or</w:t>
      </w:r>
      <w:r w:rsidR="00F35F43" w:rsidRPr="000269ED">
        <w:t xml:space="preserve"> tissue donation</w:t>
      </w:r>
      <w:r w:rsidR="005411CB" w:rsidRPr="000269ED">
        <w:t xml:space="preserve"> </w:t>
      </w:r>
      <w:r w:rsidR="00F35F43" w:rsidRPr="000269ED">
        <w:t>and transplantation</w:t>
      </w:r>
      <w:r w:rsidR="004F59F1" w:rsidRPr="000269ED">
        <w:t xml:space="preserve"> </w:t>
      </w:r>
      <w:r w:rsidRPr="000269ED">
        <w:t>matters</w:t>
      </w:r>
      <w:r w:rsidR="00F35F43" w:rsidRPr="000269ED">
        <w:t>; and</w:t>
      </w:r>
    </w:p>
    <w:p w14:paraId="76A2E00A" w14:textId="77777777" w:rsidR="00814CED" w:rsidRPr="000269ED" w:rsidRDefault="00814CED" w:rsidP="003203E3">
      <w:pPr>
        <w:pStyle w:val="paragraph"/>
      </w:pPr>
      <w:r w:rsidRPr="000269ED">
        <w:tab/>
        <w:t>(b)</w:t>
      </w:r>
      <w:r w:rsidRPr="000269ED">
        <w:tab/>
        <w:t>to provide strategic advice to the Minister about the performance of the Authority’s functions</w:t>
      </w:r>
      <w:r w:rsidR="0002125C" w:rsidRPr="000269ED">
        <w:t xml:space="preserve"> if requested</w:t>
      </w:r>
      <w:r w:rsidR="005407B3" w:rsidRPr="000269ED">
        <w:t xml:space="preserve"> to do so</w:t>
      </w:r>
      <w:r w:rsidR="0002125C" w:rsidRPr="000269ED">
        <w:t xml:space="preserve"> by the Minister</w:t>
      </w:r>
      <w:r w:rsidRPr="000269ED">
        <w:t>; and</w:t>
      </w:r>
    </w:p>
    <w:p w14:paraId="6179C6F5" w14:textId="77777777" w:rsidR="007864CB" w:rsidRPr="000269ED" w:rsidRDefault="00134DAD" w:rsidP="003203E3">
      <w:pPr>
        <w:pStyle w:val="paragraph"/>
      </w:pPr>
      <w:r w:rsidRPr="000269ED">
        <w:tab/>
        <w:t>(</w:t>
      </w:r>
      <w:r w:rsidR="00814CED" w:rsidRPr="000269ED">
        <w:t>c</w:t>
      </w:r>
      <w:r w:rsidRPr="000269ED">
        <w:t>)</w:t>
      </w:r>
      <w:r w:rsidRPr="000269ED">
        <w:tab/>
        <w:t>to do anything incidental or conducive to the performance of any of the above functions.</w:t>
      </w:r>
    </w:p>
    <w:p w14:paraId="17D2916E" w14:textId="77777777" w:rsidR="00134DAD" w:rsidRPr="000269ED" w:rsidRDefault="00134DAD" w:rsidP="003203E3">
      <w:pPr>
        <w:pStyle w:val="subsection"/>
      </w:pPr>
      <w:r w:rsidRPr="000269ED">
        <w:tab/>
        <w:t>(</w:t>
      </w:r>
      <w:r w:rsidR="00623499" w:rsidRPr="000269ED">
        <w:t>2</w:t>
      </w:r>
      <w:r w:rsidRPr="000269ED">
        <w:t>)</w:t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has power to do all things necessary or convenient to be done for</w:t>
      </w:r>
      <w:r w:rsidR="00365D63" w:rsidRPr="000269ED">
        <w:t>,</w:t>
      </w:r>
      <w:r w:rsidRPr="000269ED">
        <w:t xml:space="preserve"> or in connection with</w:t>
      </w:r>
      <w:r w:rsidR="00365D63" w:rsidRPr="000269ED">
        <w:t>,</w:t>
      </w:r>
      <w:r w:rsidRPr="000269ED">
        <w:t xml:space="preserve"> the performance of its functions.</w:t>
      </w:r>
    </w:p>
    <w:p w14:paraId="0421D612" w14:textId="77777777" w:rsidR="00134DAD" w:rsidRPr="000269ED" w:rsidRDefault="00134DAD" w:rsidP="003203E3">
      <w:pPr>
        <w:pStyle w:val="ActHead3"/>
      </w:pPr>
      <w:bookmarkStart w:id="12" w:name="_Toc81897133"/>
      <w:r w:rsidRPr="000269ED">
        <w:rPr>
          <w:rStyle w:val="CharDivNo"/>
        </w:rPr>
        <w:t>Division 2</w:t>
      </w:r>
      <w:r w:rsidRPr="000269ED">
        <w:t>—</w:t>
      </w:r>
      <w:r w:rsidRPr="000269ED">
        <w:rPr>
          <w:rStyle w:val="CharDivText"/>
        </w:rPr>
        <w:t xml:space="preserve">Members of the </w:t>
      </w:r>
      <w:r w:rsidR="00624ECE" w:rsidRPr="000269ED">
        <w:rPr>
          <w:rStyle w:val="CharDivText"/>
        </w:rPr>
        <w:t xml:space="preserve">Advisory </w:t>
      </w:r>
      <w:r w:rsidRPr="000269ED">
        <w:rPr>
          <w:rStyle w:val="CharDivText"/>
        </w:rPr>
        <w:t>Board</w:t>
      </w:r>
      <w:bookmarkEnd w:id="12"/>
    </w:p>
    <w:p w14:paraId="211E315B" w14:textId="77777777" w:rsidR="00134DAD" w:rsidRPr="000269ED" w:rsidRDefault="00624ECE" w:rsidP="003203E3">
      <w:pPr>
        <w:pStyle w:val="ActHead5"/>
      </w:pPr>
      <w:bookmarkStart w:id="13" w:name="_Toc81897134"/>
      <w:r w:rsidRPr="000269ED">
        <w:rPr>
          <w:rStyle w:val="CharSectno"/>
        </w:rPr>
        <w:t>30</w:t>
      </w:r>
      <w:r w:rsidR="00134DAD" w:rsidRPr="000269ED">
        <w:t xml:space="preserve">  Membership</w:t>
      </w:r>
      <w:bookmarkEnd w:id="13"/>
    </w:p>
    <w:p w14:paraId="1E58281B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consists of:</w:t>
      </w:r>
    </w:p>
    <w:p w14:paraId="3707688E" w14:textId="77777777" w:rsidR="00134DAD" w:rsidRPr="000269ED" w:rsidRDefault="00134DAD" w:rsidP="003203E3">
      <w:pPr>
        <w:pStyle w:val="paragraph"/>
      </w:pPr>
      <w:r w:rsidRPr="000269ED">
        <w:tab/>
        <w:t>(a)</w:t>
      </w:r>
      <w:r w:rsidRPr="000269ED">
        <w:tab/>
        <w:t>the Chair; and</w:t>
      </w:r>
    </w:p>
    <w:p w14:paraId="3242D3C6" w14:textId="77777777" w:rsidR="00134DAD" w:rsidRPr="000269ED" w:rsidRDefault="00134DAD" w:rsidP="003203E3">
      <w:pPr>
        <w:pStyle w:val="paragraph"/>
      </w:pPr>
      <w:r w:rsidRPr="000269ED">
        <w:tab/>
        <w:t>(b)</w:t>
      </w:r>
      <w:r w:rsidRPr="000269ED">
        <w:tab/>
        <w:t>the Deputy Chair; and</w:t>
      </w:r>
    </w:p>
    <w:p w14:paraId="48C311A5" w14:textId="77777777" w:rsidR="00134DAD" w:rsidRPr="000269ED" w:rsidRDefault="00134DAD" w:rsidP="003203E3">
      <w:pPr>
        <w:pStyle w:val="paragraph"/>
      </w:pPr>
      <w:r w:rsidRPr="000269ED">
        <w:lastRenderedPageBreak/>
        <w:tab/>
        <w:t>(c)</w:t>
      </w:r>
      <w:r w:rsidRPr="000269ED">
        <w:tab/>
      </w:r>
      <w:r w:rsidR="00624ECE" w:rsidRPr="000269ED">
        <w:t xml:space="preserve">at least 3, </w:t>
      </w:r>
      <w:r w:rsidR="00AA1501" w:rsidRPr="000269ED">
        <w:t>but</w:t>
      </w:r>
      <w:r w:rsidR="00624ECE" w:rsidRPr="000269ED">
        <w:t xml:space="preserve"> not more than </w:t>
      </w:r>
      <w:r w:rsidR="00C325B8" w:rsidRPr="000269ED">
        <w:t>5</w:t>
      </w:r>
      <w:r w:rsidR="00D56565" w:rsidRPr="000269ED">
        <w:t>,</w:t>
      </w:r>
      <w:r w:rsidRPr="000269ED">
        <w:t xml:space="preserve"> other members.</w:t>
      </w:r>
    </w:p>
    <w:p w14:paraId="7E88C20D" w14:textId="77777777" w:rsidR="00134DAD" w:rsidRPr="000269ED" w:rsidRDefault="00624ECE" w:rsidP="003203E3">
      <w:pPr>
        <w:pStyle w:val="ActHead5"/>
      </w:pPr>
      <w:bookmarkStart w:id="14" w:name="_Toc81897135"/>
      <w:r w:rsidRPr="000269ED">
        <w:rPr>
          <w:rStyle w:val="CharSectno"/>
        </w:rPr>
        <w:t>31</w:t>
      </w:r>
      <w:r w:rsidR="00134DAD" w:rsidRPr="000269ED">
        <w:t xml:space="preserve">  Appointment of </w:t>
      </w:r>
      <w:r w:rsidRPr="000269ED">
        <w:t xml:space="preserve">Advisory </w:t>
      </w:r>
      <w:r w:rsidR="00134DAD" w:rsidRPr="000269ED">
        <w:t>Board members</w:t>
      </w:r>
      <w:bookmarkEnd w:id="14"/>
    </w:p>
    <w:p w14:paraId="5F896821" w14:textId="77777777" w:rsidR="00134DAD" w:rsidRPr="000269ED" w:rsidRDefault="00585617" w:rsidP="003203E3">
      <w:pPr>
        <w:pStyle w:val="subsection"/>
      </w:pPr>
      <w:r w:rsidRPr="000269ED">
        <w:tab/>
        <w:t>(1)</w:t>
      </w:r>
      <w:r w:rsidRPr="000269ED">
        <w:tab/>
        <w:t>Subject to this section</w:t>
      </w:r>
      <w:r w:rsidR="00134DAD" w:rsidRPr="000269ED">
        <w:t xml:space="preserve">, the </w:t>
      </w:r>
      <w:r w:rsidR="00624ECE" w:rsidRPr="000269ED">
        <w:t xml:space="preserve">Advisory </w:t>
      </w:r>
      <w:r w:rsidR="00134DAD" w:rsidRPr="000269ED">
        <w:t>Board members are to be appointed by the Minister by written instrument, on a part</w:t>
      </w:r>
      <w:r w:rsidR="000269ED">
        <w:noBreakHyphen/>
      </w:r>
      <w:r w:rsidR="00134DAD" w:rsidRPr="000269ED">
        <w:t>time basis.</w:t>
      </w:r>
    </w:p>
    <w:p w14:paraId="356C9A1F" w14:textId="77777777" w:rsidR="00134DAD" w:rsidRPr="000269ED" w:rsidRDefault="00134DAD" w:rsidP="003203E3">
      <w:pPr>
        <w:pStyle w:val="notetext"/>
      </w:pPr>
      <w:r w:rsidRPr="000269ED">
        <w:t>Note:</w:t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>Board member may be reappointed</w:t>
      </w:r>
      <w:r w:rsidR="00D5591B" w:rsidRPr="000269ED">
        <w:t>:</w:t>
      </w:r>
      <w:r w:rsidRPr="000269ED">
        <w:t xml:space="preserve"> see </w:t>
      </w:r>
      <w:r w:rsidR="00F57242" w:rsidRPr="000269ED">
        <w:t>section 3</w:t>
      </w:r>
      <w:r w:rsidRPr="000269ED">
        <w:t xml:space="preserve">3AA of the </w:t>
      </w:r>
      <w:r w:rsidRPr="000269ED">
        <w:rPr>
          <w:i/>
        </w:rPr>
        <w:t>Acts Interpretation Act 1901</w:t>
      </w:r>
      <w:r w:rsidRPr="000269ED">
        <w:t>.</w:t>
      </w:r>
    </w:p>
    <w:p w14:paraId="226172D4" w14:textId="77777777" w:rsidR="002701D2" w:rsidRPr="000269ED" w:rsidRDefault="00134DAD" w:rsidP="003203E3">
      <w:pPr>
        <w:pStyle w:val="SubsectionHead"/>
      </w:pPr>
      <w:r w:rsidRPr="000269ED">
        <w:t>Eligibility for appointment</w:t>
      </w:r>
    </w:p>
    <w:p w14:paraId="0F7EE125" w14:textId="77777777" w:rsidR="0086396F" w:rsidRPr="000269ED" w:rsidRDefault="002701D2" w:rsidP="003203E3">
      <w:pPr>
        <w:pStyle w:val="subsection"/>
      </w:pPr>
      <w:r w:rsidRPr="000269ED">
        <w:tab/>
        <w:t>(2</w:t>
      </w:r>
      <w:r w:rsidR="00134DAD" w:rsidRPr="000269ED">
        <w:t>)</w:t>
      </w:r>
      <w:r w:rsidR="00134DAD" w:rsidRPr="000269ED">
        <w:tab/>
        <w:t xml:space="preserve">A person is not eligible for appointment as an </w:t>
      </w:r>
      <w:r w:rsidR="00624ECE" w:rsidRPr="000269ED">
        <w:t xml:space="preserve">Advisory </w:t>
      </w:r>
      <w:r w:rsidR="00134DAD" w:rsidRPr="000269ED">
        <w:t>Board member unless</w:t>
      </w:r>
      <w:r w:rsidRPr="000269ED">
        <w:t xml:space="preserve"> the Minister is satisfied that</w:t>
      </w:r>
      <w:r w:rsidR="00882368" w:rsidRPr="000269ED">
        <w:t xml:space="preserve"> </w:t>
      </w:r>
      <w:r w:rsidR="00B45F3B" w:rsidRPr="000269ED">
        <w:t xml:space="preserve">the person has </w:t>
      </w:r>
      <w:r w:rsidR="0086396F" w:rsidRPr="000269ED">
        <w:t>experience in</w:t>
      </w:r>
      <w:r w:rsidR="00B45F3B" w:rsidRPr="000269ED">
        <w:t xml:space="preserve">, or </w:t>
      </w:r>
      <w:r w:rsidR="0086396F" w:rsidRPr="000269ED">
        <w:t>knowledge of, at least one of the following fields:</w:t>
      </w:r>
    </w:p>
    <w:p w14:paraId="11900FC7" w14:textId="77777777" w:rsidR="0086396F" w:rsidRPr="000269ED" w:rsidRDefault="0086396F" w:rsidP="003203E3">
      <w:pPr>
        <w:pStyle w:val="paragraph"/>
      </w:pPr>
      <w:r w:rsidRPr="000269ED">
        <w:tab/>
        <w:t>(</w:t>
      </w:r>
      <w:r w:rsidR="00882368" w:rsidRPr="000269ED">
        <w:t>a</w:t>
      </w:r>
      <w:r w:rsidRPr="000269ED">
        <w:t>)</w:t>
      </w:r>
      <w:r w:rsidRPr="000269ED">
        <w:tab/>
        <w:t xml:space="preserve">public </w:t>
      </w:r>
      <w:r w:rsidR="00C54474" w:rsidRPr="000269ED">
        <w:t>or health leadership</w:t>
      </w:r>
      <w:r w:rsidR="00931AA0" w:rsidRPr="000269ED">
        <w:t xml:space="preserve"> or </w:t>
      </w:r>
      <w:r w:rsidRPr="000269ED">
        <w:t>administration;</w:t>
      </w:r>
    </w:p>
    <w:p w14:paraId="5EB9F5C5" w14:textId="77777777" w:rsidR="00882368" w:rsidRPr="000269ED" w:rsidRDefault="00882368" w:rsidP="003203E3">
      <w:pPr>
        <w:pStyle w:val="paragraph"/>
      </w:pPr>
      <w:r w:rsidRPr="000269ED">
        <w:tab/>
        <w:t>(b)</w:t>
      </w:r>
      <w:r w:rsidRPr="000269ED">
        <w:tab/>
        <w:t>clinical expertise in organ or tissue donation and transplantation;</w:t>
      </w:r>
    </w:p>
    <w:p w14:paraId="1F16746A" w14:textId="77777777" w:rsidR="0086396F" w:rsidRPr="000269ED" w:rsidRDefault="0086396F" w:rsidP="003203E3">
      <w:pPr>
        <w:pStyle w:val="paragraph"/>
      </w:pPr>
      <w:r w:rsidRPr="000269ED">
        <w:tab/>
        <w:t>(</w:t>
      </w:r>
      <w:r w:rsidR="00882368" w:rsidRPr="000269ED">
        <w:t>c</w:t>
      </w:r>
      <w:r w:rsidRPr="000269ED">
        <w:t>)</w:t>
      </w:r>
      <w:r w:rsidRPr="000269ED">
        <w:tab/>
        <w:t>business</w:t>
      </w:r>
      <w:r w:rsidR="00C54474" w:rsidRPr="000269ED">
        <w:t xml:space="preserve"> </w:t>
      </w:r>
      <w:r w:rsidRPr="000269ED">
        <w:t>management;</w:t>
      </w:r>
    </w:p>
    <w:p w14:paraId="3B7CC4EC" w14:textId="77777777" w:rsidR="0086396F" w:rsidRPr="000269ED" w:rsidRDefault="0086396F" w:rsidP="003203E3">
      <w:pPr>
        <w:pStyle w:val="paragraph"/>
      </w:pPr>
      <w:r w:rsidRPr="000269ED">
        <w:tab/>
        <w:t>(</w:t>
      </w:r>
      <w:r w:rsidR="00882368" w:rsidRPr="000269ED">
        <w:t>d</w:t>
      </w:r>
      <w:r w:rsidRPr="000269ED">
        <w:t>)</w:t>
      </w:r>
      <w:r w:rsidRPr="000269ED">
        <w:tab/>
        <w:t xml:space="preserve">community leadership </w:t>
      </w:r>
      <w:r w:rsidR="00B45F3B" w:rsidRPr="000269ED">
        <w:t>and</w:t>
      </w:r>
      <w:r w:rsidRPr="000269ED">
        <w:t xml:space="preserve"> engagement in relation to organ or tissue donation and transplantation matters;</w:t>
      </w:r>
    </w:p>
    <w:p w14:paraId="3C9B7756" w14:textId="77777777" w:rsidR="00EE5F59" w:rsidRPr="000269ED" w:rsidRDefault="00EE5F59" w:rsidP="003203E3">
      <w:pPr>
        <w:pStyle w:val="paragraph"/>
      </w:pPr>
      <w:r w:rsidRPr="000269ED">
        <w:tab/>
        <w:t>(</w:t>
      </w:r>
      <w:r w:rsidR="00882368" w:rsidRPr="000269ED">
        <w:t>e</w:t>
      </w:r>
      <w:r w:rsidRPr="000269ED">
        <w:t>)</w:t>
      </w:r>
      <w:r w:rsidRPr="000269ED">
        <w:tab/>
        <w:t>promotion of organ or tissue donation and transplantation</w:t>
      </w:r>
      <w:r w:rsidR="003E70D0" w:rsidRPr="000269ED">
        <w:t xml:space="preserve"> </w:t>
      </w:r>
      <w:r w:rsidR="00B45F3B" w:rsidRPr="000269ED">
        <w:t>matters</w:t>
      </w:r>
      <w:r w:rsidR="00EF0110" w:rsidRPr="000269ED">
        <w:t>;</w:t>
      </w:r>
    </w:p>
    <w:p w14:paraId="333E03C5" w14:textId="77777777" w:rsidR="007864CB" w:rsidRPr="000269ED" w:rsidRDefault="00EF0110" w:rsidP="003203E3">
      <w:pPr>
        <w:pStyle w:val="paragraph"/>
      </w:pPr>
      <w:r w:rsidRPr="000269ED">
        <w:tab/>
        <w:t>(</w:t>
      </w:r>
      <w:r w:rsidR="00882368" w:rsidRPr="000269ED">
        <w:t>f</w:t>
      </w:r>
      <w:r w:rsidRPr="000269ED">
        <w:t>)</w:t>
      </w:r>
      <w:r w:rsidRPr="000269ED">
        <w:tab/>
        <w:t xml:space="preserve">health consumer </w:t>
      </w:r>
      <w:r w:rsidR="00C54474" w:rsidRPr="000269ED">
        <w:t>advocacy</w:t>
      </w:r>
      <w:r w:rsidRPr="000269ED">
        <w:t>;</w:t>
      </w:r>
    </w:p>
    <w:p w14:paraId="6D237B20" w14:textId="77777777" w:rsidR="00B45F3B" w:rsidRPr="000269ED" w:rsidRDefault="00B45F3B" w:rsidP="003203E3">
      <w:pPr>
        <w:pStyle w:val="paragraph"/>
      </w:pPr>
      <w:r w:rsidRPr="000269ED">
        <w:tab/>
        <w:t>(</w:t>
      </w:r>
      <w:r w:rsidR="00882368" w:rsidRPr="000269ED">
        <w:t>g</w:t>
      </w:r>
      <w:r w:rsidRPr="000269ED">
        <w:t>)</w:t>
      </w:r>
      <w:r w:rsidRPr="000269ED">
        <w:tab/>
      </w:r>
      <w:r w:rsidR="00C14E9E" w:rsidRPr="000269ED">
        <w:t>any</w:t>
      </w:r>
      <w:r w:rsidRPr="000269ED">
        <w:t xml:space="preserve"> other </w:t>
      </w:r>
      <w:r w:rsidR="00D0463C" w:rsidRPr="000269ED">
        <w:t>field</w:t>
      </w:r>
      <w:r w:rsidR="007864CB" w:rsidRPr="000269ED">
        <w:t xml:space="preserve"> that the Minister considers appropriate</w:t>
      </w:r>
      <w:r w:rsidR="00882368" w:rsidRPr="000269ED">
        <w:t>.</w:t>
      </w:r>
    </w:p>
    <w:p w14:paraId="05375D4F" w14:textId="77777777" w:rsidR="00134DAD" w:rsidRPr="000269ED" w:rsidRDefault="00134DAD" w:rsidP="003203E3">
      <w:pPr>
        <w:pStyle w:val="SubsectionHead"/>
      </w:pPr>
      <w:r w:rsidRPr="000269ED">
        <w:t xml:space="preserve">Mix of </w:t>
      </w:r>
      <w:r w:rsidR="00624ECE" w:rsidRPr="000269ED">
        <w:t xml:space="preserve">Advisory </w:t>
      </w:r>
      <w:r w:rsidR="002701D2" w:rsidRPr="000269ED">
        <w:t>Board members</w:t>
      </w:r>
    </w:p>
    <w:p w14:paraId="38035BB8" w14:textId="77777777" w:rsidR="00134DAD" w:rsidRPr="000269ED" w:rsidRDefault="002701D2" w:rsidP="003203E3">
      <w:pPr>
        <w:pStyle w:val="subsection"/>
      </w:pPr>
      <w:r w:rsidRPr="000269ED">
        <w:tab/>
        <w:t>(3</w:t>
      </w:r>
      <w:r w:rsidR="00134DAD" w:rsidRPr="000269ED">
        <w:t>)</w:t>
      </w:r>
      <w:r w:rsidR="00134DAD" w:rsidRPr="000269ED">
        <w:tab/>
        <w:t xml:space="preserve">In appointing the </w:t>
      </w:r>
      <w:r w:rsidR="00D56565" w:rsidRPr="000269ED">
        <w:t xml:space="preserve">Advisory </w:t>
      </w:r>
      <w:r w:rsidR="00134DAD" w:rsidRPr="000269ED">
        <w:t xml:space="preserve">Board members, the Minister must ensure, to the extent practicable, that those </w:t>
      </w:r>
      <w:r w:rsidR="00624ECE" w:rsidRPr="000269ED">
        <w:t xml:space="preserve">Advisory </w:t>
      </w:r>
      <w:r w:rsidR="00134DAD" w:rsidRPr="000269ED">
        <w:t xml:space="preserve">Board members are an appropriate mix of persons meeting the requirements of </w:t>
      </w:r>
      <w:r w:rsidR="008C31E2" w:rsidRPr="000269ED">
        <w:t>subsection (</w:t>
      </w:r>
      <w:r w:rsidRPr="000269ED">
        <w:t>2</w:t>
      </w:r>
      <w:r w:rsidR="00134DAD" w:rsidRPr="000269ED">
        <w:t>).</w:t>
      </w:r>
    </w:p>
    <w:p w14:paraId="73E26846" w14:textId="77777777" w:rsidR="002701D2" w:rsidRPr="000269ED" w:rsidRDefault="002701D2" w:rsidP="003203E3">
      <w:pPr>
        <w:pStyle w:val="SubsectionHead"/>
      </w:pPr>
      <w:r w:rsidRPr="000269ED">
        <w:t>Consultation</w:t>
      </w:r>
    </w:p>
    <w:p w14:paraId="4FC73BBE" w14:textId="77777777" w:rsidR="002701D2" w:rsidRPr="000269ED" w:rsidRDefault="00585617" w:rsidP="003203E3">
      <w:pPr>
        <w:pStyle w:val="subsection"/>
      </w:pPr>
      <w:r w:rsidRPr="000269ED">
        <w:tab/>
        <w:t>(4)</w:t>
      </w:r>
      <w:r w:rsidRPr="000269ED">
        <w:tab/>
        <w:t>Before the Minister appoints a person as an Advisory Board member</w:t>
      </w:r>
      <w:r w:rsidR="00F0080A" w:rsidRPr="000269ED">
        <w:t xml:space="preserve"> (other than the Chair)</w:t>
      </w:r>
      <w:r w:rsidRPr="000269ED">
        <w:t>, the Minister must consult:</w:t>
      </w:r>
    </w:p>
    <w:p w14:paraId="294BBAAC" w14:textId="77777777" w:rsidR="00585617" w:rsidRPr="000269ED" w:rsidRDefault="00585617" w:rsidP="003203E3">
      <w:pPr>
        <w:pStyle w:val="paragraph"/>
      </w:pPr>
      <w:r w:rsidRPr="000269ED">
        <w:tab/>
        <w:t>(a)</w:t>
      </w:r>
      <w:r w:rsidRPr="000269ED">
        <w:tab/>
        <w:t>the Minister of each State who is responsible, or principally responsible, for the administration of matters relating to health in the State; and</w:t>
      </w:r>
    </w:p>
    <w:p w14:paraId="5945195F" w14:textId="77777777" w:rsidR="00585617" w:rsidRPr="000269ED" w:rsidRDefault="00585617" w:rsidP="003203E3">
      <w:pPr>
        <w:pStyle w:val="paragraph"/>
      </w:pPr>
      <w:r w:rsidRPr="000269ED">
        <w:lastRenderedPageBreak/>
        <w:tab/>
        <w:t>(b)</w:t>
      </w:r>
      <w:r w:rsidRPr="000269ED">
        <w:tab/>
        <w:t xml:space="preserve">the Minister of </w:t>
      </w:r>
      <w:r w:rsidR="00A534DF" w:rsidRPr="000269ED">
        <w:t>the Northern Territory</w:t>
      </w:r>
      <w:r w:rsidR="005E1FA6" w:rsidRPr="000269ED">
        <w:t xml:space="preserve"> who is responsible, or principally responsible, for the administration of matters relating to health in that Territory; and</w:t>
      </w:r>
    </w:p>
    <w:p w14:paraId="4AEB36E4" w14:textId="77777777" w:rsidR="00767D29" w:rsidRPr="000269ED" w:rsidRDefault="005E1FA6" w:rsidP="003203E3">
      <w:pPr>
        <w:pStyle w:val="paragraph"/>
      </w:pPr>
      <w:r w:rsidRPr="000269ED">
        <w:tab/>
        <w:t>(c)</w:t>
      </w:r>
      <w:r w:rsidRPr="000269ED">
        <w:tab/>
        <w:t>the Minister of the Australian Capital Territory who is responsible, or principally responsible, for the administration of matters relating to health in that Territory</w:t>
      </w:r>
      <w:r w:rsidR="00C72A8A" w:rsidRPr="000269ED">
        <w:t>; and</w:t>
      </w:r>
    </w:p>
    <w:p w14:paraId="3CA59974" w14:textId="77777777" w:rsidR="00767D29" w:rsidRPr="000269ED" w:rsidRDefault="003E70D0" w:rsidP="003203E3">
      <w:pPr>
        <w:pStyle w:val="paragraph"/>
      </w:pPr>
      <w:r w:rsidRPr="000269ED">
        <w:tab/>
      </w:r>
      <w:r w:rsidR="00767D29" w:rsidRPr="000269ED">
        <w:t>(d)</w:t>
      </w:r>
      <w:r w:rsidR="00767D29" w:rsidRPr="000269ED">
        <w:tab/>
        <w:t>such other persons (if any) as the Minister considers appropriate.</w:t>
      </w:r>
    </w:p>
    <w:p w14:paraId="37FCBBB3" w14:textId="77777777" w:rsidR="00134DAD" w:rsidRPr="000269ED" w:rsidRDefault="00D170B8" w:rsidP="003203E3">
      <w:pPr>
        <w:pStyle w:val="ActHead5"/>
      </w:pPr>
      <w:bookmarkStart w:id="15" w:name="_Toc81897136"/>
      <w:r w:rsidRPr="000269ED">
        <w:rPr>
          <w:rStyle w:val="CharSectno"/>
        </w:rPr>
        <w:t>3</w:t>
      </w:r>
      <w:r w:rsidR="00A534DF" w:rsidRPr="000269ED">
        <w:rPr>
          <w:rStyle w:val="CharSectno"/>
        </w:rPr>
        <w:t>2</w:t>
      </w:r>
      <w:r w:rsidR="00134DAD" w:rsidRPr="000269ED">
        <w:t xml:space="preserve">  Term of appointment</w:t>
      </w:r>
      <w:bookmarkEnd w:id="15"/>
    </w:p>
    <w:p w14:paraId="75B9A395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>Board member holds office for the period specified in the instrument of appointment. The period must not exceed 4 years.</w:t>
      </w:r>
    </w:p>
    <w:p w14:paraId="6DC577FF" w14:textId="77777777" w:rsidR="00134DAD" w:rsidRPr="000269ED" w:rsidRDefault="00D170B8" w:rsidP="003203E3">
      <w:pPr>
        <w:pStyle w:val="ActHead5"/>
      </w:pPr>
      <w:bookmarkStart w:id="16" w:name="_Toc81897137"/>
      <w:r w:rsidRPr="000269ED">
        <w:rPr>
          <w:rStyle w:val="CharSectno"/>
        </w:rPr>
        <w:t>3</w:t>
      </w:r>
      <w:r w:rsidR="00A534DF" w:rsidRPr="000269ED">
        <w:rPr>
          <w:rStyle w:val="CharSectno"/>
        </w:rPr>
        <w:t>3</w:t>
      </w:r>
      <w:r w:rsidR="00134DAD" w:rsidRPr="000269ED">
        <w:t xml:space="preserve">  Acting appointment</w:t>
      </w:r>
      <w:bookmarkEnd w:id="16"/>
    </w:p>
    <w:p w14:paraId="4B996EFE" w14:textId="77777777" w:rsidR="00993BEB" w:rsidRPr="000269ED" w:rsidRDefault="00993BEB" w:rsidP="003203E3">
      <w:pPr>
        <w:pStyle w:val="SubsectionHead"/>
      </w:pPr>
      <w:r w:rsidRPr="000269ED">
        <w:t>Acting as the Chair</w:t>
      </w:r>
    </w:p>
    <w:p w14:paraId="5843DBC4" w14:textId="77777777" w:rsidR="00993BEB" w:rsidRPr="000269ED" w:rsidRDefault="00993BEB" w:rsidP="003203E3">
      <w:pPr>
        <w:pStyle w:val="subsection"/>
      </w:pPr>
      <w:r w:rsidRPr="000269ED">
        <w:tab/>
        <w:t>(1)</w:t>
      </w:r>
      <w:r w:rsidRPr="000269ED">
        <w:tab/>
        <w:t>The Minister may, by written instrument, appoint an Advisory Board member to act as the Chair:</w:t>
      </w:r>
    </w:p>
    <w:p w14:paraId="3E52D1B5" w14:textId="77777777" w:rsidR="00993BEB" w:rsidRPr="000269ED" w:rsidRDefault="00993BEB" w:rsidP="003203E3">
      <w:pPr>
        <w:pStyle w:val="paragraph"/>
      </w:pPr>
      <w:r w:rsidRPr="000269ED">
        <w:tab/>
        <w:t>(a)</w:t>
      </w:r>
      <w:r w:rsidRPr="000269ED">
        <w:tab/>
        <w:t>during a vacancy in the office of Chair, whether or not an appointment has previously been made to the office; or</w:t>
      </w:r>
    </w:p>
    <w:p w14:paraId="0A43EEFD" w14:textId="77777777" w:rsidR="00993BEB" w:rsidRPr="000269ED" w:rsidRDefault="00993BEB" w:rsidP="003203E3">
      <w:pPr>
        <w:pStyle w:val="paragraph"/>
      </w:pPr>
      <w:r w:rsidRPr="000269ED">
        <w:tab/>
        <w:t>(b)</w:t>
      </w:r>
      <w:r w:rsidRPr="000269ED">
        <w:tab/>
        <w:t>during any period, or during all periods, when the Chair:</w:t>
      </w:r>
    </w:p>
    <w:p w14:paraId="6B341867" w14:textId="77777777" w:rsidR="00993BEB" w:rsidRPr="000269ED" w:rsidRDefault="00993BEB" w:rsidP="003203E3">
      <w:pPr>
        <w:pStyle w:val="paragraphsub"/>
      </w:pPr>
      <w:r w:rsidRPr="000269ED">
        <w:tab/>
        <w:t>(i)</w:t>
      </w:r>
      <w:r w:rsidRPr="000269ED">
        <w:tab/>
        <w:t>is absent from duty or from Australia; or</w:t>
      </w:r>
    </w:p>
    <w:p w14:paraId="489925F9" w14:textId="77777777" w:rsidR="00993BEB" w:rsidRPr="000269ED" w:rsidRDefault="00993BEB" w:rsidP="003203E3">
      <w:pPr>
        <w:pStyle w:val="paragraphsub"/>
      </w:pPr>
      <w:r w:rsidRPr="000269ED">
        <w:tab/>
        <w:t>(ii)</w:t>
      </w:r>
      <w:r w:rsidRPr="000269ED">
        <w:tab/>
        <w:t>is, for any reason, unable to perform the duties of the office.</w:t>
      </w:r>
    </w:p>
    <w:p w14:paraId="3652935B" w14:textId="77777777" w:rsidR="00993BEB" w:rsidRPr="000269ED" w:rsidRDefault="00993BEB" w:rsidP="003203E3">
      <w:pPr>
        <w:pStyle w:val="notetext"/>
      </w:pPr>
      <w:r w:rsidRPr="000269ED">
        <w:t>Note:</w:t>
      </w:r>
      <w:r w:rsidRPr="000269ED">
        <w:tab/>
        <w:t xml:space="preserve">For rules that apply to acting appointments, see </w:t>
      </w:r>
      <w:r w:rsidR="008C31E2" w:rsidRPr="000269ED">
        <w:t>sections 3</w:t>
      </w:r>
      <w:r w:rsidRPr="000269ED">
        <w:t xml:space="preserve">3AB and 33A of the </w:t>
      </w:r>
      <w:r w:rsidRPr="000269ED">
        <w:rPr>
          <w:i/>
        </w:rPr>
        <w:t>Acts Interpretation Act 1901</w:t>
      </w:r>
      <w:r w:rsidRPr="000269ED">
        <w:t>.</w:t>
      </w:r>
    </w:p>
    <w:p w14:paraId="18EBD1FE" w14:textId="77777777" w:rsidR="00993BEB" w:rsidRPr="000269ED" w:rsidRDefault="00993BEB" w:rsidP="003203E3">
      <w:pPr>
        <w:pStyle w:val="SubsectionHead"/>
      </w:pPr>
      <w:r w:rsidRPr="000269ED">
        <w:t>Acting as an appointed Board member (other than the Chair)</w:t>
      </w:r>
    </w:p>
    <w:p w14:paraId="29E3BF23" w14:textId="77777777" w:rsidR="00993BEB" w:rsidRPr="000269ED" w:rsidRDefault="00993BEB" w:rsidP="003203E3">
      <w:pPr>
        <w:pStyle w:val="subsection"/>
      </w:pPr>
      <w:r w:rsidRPr="000269ED">
        <w:tab/>
        <w:t>(2)</w:t>
      </w:r>
      <w:r w:rsidRPr="000269ED">
        <w:tab/>
        <w:t>The Minister may, by written instrument, appoint a person to act as an Advisory Board member (other than the Chair):</w:t>
      </w:r>
    </w:p>
    <w:p w14:paraId="21286E98" w14:textId="77777777" w:rsidR="00993BEB" w:rsidRPr="000269ED" w:rsidRDefault="00993BEB" w:rsidP="003203E3">
      <w:pPr>
        <w:pStyle w:val="paragraph"/>
      </w:pPr>
      <w:r w:rsidRPr="000269ED">
        <w:tab/>
        <w:t>(a)</w:t>
      </w:r>
      <w:r w:rsidRPr="000269ED">
        <w:tab/>
        <w:t>during a vacancy in the office of an Advisory Board member (other than the Chair), whether or not an appointment has previously been made to the office; or</w:t>
      </w:r>
    </w:p>
    <w:p w14:paraId="27277EA2" w14:textId="77777777" w:rsidR="00993BEB" w:rsidRPr="000269ED" w:rsidRDefault="00993BEB" w:rsidP="003203E3">
      <w:pPr>
        <w:pStyle w:val="paragraph"/>
      </w:pPr>
      <w:r w:rsidRPr="000269ED">
        <w:tab/>
        <w:t>(b)</w:t>
      </w:r>
      <w:r w:rsidRPr="000269ED">
        <w:tab/>
        <w:t>during any period, or during all periods, when an Advisory Board member (other than the Chair):</w:t>
      </w:r>
    </w:p>
    <w:p w14:paraId="3131D648" w14:textId="77777777" w:rsidR="00993BEB" w:rsidRPr="000269ED" w:rsidRDefault="00993BEB" w:rsidP="003203E3">
      <w:pPr>
        <w:pStyle w:val="paragraphsub"/>
      </w:pPr>
      <w:r w:rsidRPr="000269ED">
        <w:tab/>
        <w:t>(i)</w:t>
      </w:r>
      <w:r w:rsidRPr="000269ED">
        <w:tab/>
        <w:t>is absent from duty or from Australia; or</w:t>
      </w:r>
    </w:p>
    <w:p w14:paraId="5FF6624B" w14:textId="77777777" w:rsidR="00993BEB" w:rsidRPr="000269ED" w:rsidRDefault="00993BEB" w:rsidP="003203E3">
      <w:pPr>
        <w:pStyle w:val="paragraphsub"/>
      </w:pPr>
      <w:r w:rsidRPr="000269ED">
        <w:lastRenderedPageBreak/>
        <w:tab/>
        <w:t>(ii)</w:t>
      </w:r>
      <w:r w:rsidRPr="000269ED">
        <w:tab/>
        <w:t>is, for any reason, unable to perform the duties of the office.</w:t>
      </w:r>
    </w:p>
    <w:p w14:paraId="0A25C4CB" w14:textId="77777777" w:rsidR="00993BEB" w:rsidRPr="000269ED" w:rsidRDefault="00993BEB" w:rsidP="003203E3">
      <w:pPr>
        <w:pStyle w:val="notetext"/>
      </w:pPr>
      <w:r w:rsidRPr="000269ED">
        <w:t>Note:</w:t>
      </w:r>
      <w:r w:rsidRPr="000269ED">
        <w:tab/>
        <w:t xml:space="preserve">For rules that apply to acting appointments, see </w:t>
      </w:r>
      <w:r w:rsidR="008C31E2" w:rsidRPr="000269ED">
        <w:t>sections 3</w:t>
      </w:r>
      <w:r w:rsidRPr="000269ED">
        <w:t xml:space="preserve">3AB and 33A of the </w:t>
      </w:r>
      <w:r w:rsidRPr="000269ED">
        <w:rPr>
          <w:i/>
        </w:rPr>
        <w:t>Acts Interpretation Act 1901</w:t>
      </w:r>
      <w:r w:rsidRPr="000269ED">
        <w:t>.</w:t>
      </w:r>
    </w:p>
    <w:p w14:paraId="65FB68A6" w14:textId="77777777" w:rsidR="00993BEB" w:rsidRPr="000269ED" w:rsidRDefault="00993BEB" w:rsidP="003203E3">
      <w:pPr>
        <w:pStyle w:val="subsection"/>
      </w:pPr>
      <w:r w:rsidRPr="000269ED">
        <w:tab/>
        <w:t>(3)</w:t>
      </w:r>
      <w:r w:rsidRPr="000269ED">
        <w:tab/>
        <w:t xml:space="preserve">A person is not eligible for appointment under </w:t>
      </w:r>
      <w:r w:rsidR="008C31E2" w:rsidRPr="000269ED">
        <w:t>subsection (</w:t>
      </w:r>
      <w:r w:rsidRPr="000269ED">
        <w:t>2) unless the Minister is satisfied that the person meets the requirements of sub</w:t>
      </w:r>
      <w:r w:rsidR="00F57242" w:rsidRPr="000269ED">
        <w:t>section 3</w:t>
      </w:r>
      <w:r w:rsidRPr="000269ED">
        <w:t>1(2).</w:t>
      </w:r>
    </w:p>
    <w:p w14:paraId="78EA9E63" w14:textId="77777777" w:rsidR="00134DAD" w:rsidRPr="000269ED" w:rsidRDefault="00D170B8" w:rsidP="003203E3">
      <w:pPr>
        <w:pStyle w:val="ActHead5"/>
      </w:pPr>
      <w:bookmarkStart w:id="17" w:name="_Toc81897138"/>
      <w:r w:rsidRPr="000269ED">
        <w:rPr>
          <w:rStyle w:val="CharSectno"/>
        </w:rPr>
        <w:t>3</w:t>
      </w:r>
      <w:r w:rsidR="00A534DF" w:rsidRPr="000269ED">
        <w:rPr>
          <w:rStyle w:val="CharSectno"/>
        </w:rPr>
        <w:t>4</w:t>
      </w:r>
      <w:r w:rsidR="00134DAD" w:rsidRPr="000269ED">
        <w:t xml:space="preserve">  Remuneration</w:t>
      </w:r>
      <w:bookmarkEnd w:id="17"/>
    </w:p>
    <w:p w14:paraId="5BCB465B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 xml:space="preserve">Board member is to be paid the remuneration that is determined by the Remuneration Tribunal. If no determination of that remuneration by the Tribunal is in operation, the </w:t>
      </w:r>
      <w:r w:rsidR="00624ECE" w:rsidRPr="000269ED">
        <w:t xml:space="preserve">Advisory </w:t>
      </w:r>
      <w:r w:rsidRPr="000269ED">
        <w:t>Board member is to be paid the remuneration that is prescribed by the regulations.</w:t>
      </w:r>
    </w:p>
    <w:p w14:paraId="2056FDC8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>Board member is to be paid the allowances that are prescribed by the regulations.</w:t>
      </w:r>
    </w:p>
    <w:p w14:paraId="4452AAA3" w14:textId="77777777" w:rsidR="00134DAD" w:rsidRPr="000269ED" w:rsidRDefault="00134DAD" w:rsidP="003203E3">
      <w:pPr>
        <w:pStyle w:val="subsection"/>
      </w:pPr>
      <w:r w:rsidRPr="000269ED">
        <w:tab/>
        <w:t>(3)</w:t>
      </w:r>
      <w:r w:rsidRPr="000269ED">
        <w:tab/>
        <w:t xml:space="preserve">This section has effect subject to the </w:t>
      </w:r>
      <w:r w:rsidRPr="000269ED">
        <w:rPr>
          <w:i/>
          <w:iCs/>
        </w:rPr>
        <w:t>Remuneration Tribunal Act 1973</w:t>
      </w:r>
      <w:r w:rsidRPr="000269ED">
        <w:t>.</w:t>
      </w:r>
    </w:p>
    <w:p w14:paraId="326905E8" w14:textId="77777777" w:rsidR="00134DAD" w:rsidRPr="000269ED" w:rsidRDefault="00A534DF" w:rsidP="003203E3">
      <w:pPr>
        <w:pStyle w:val="ActHead5"/>
      </w:pPr>
      <w:bookmarkStart w:id="18" w:name="_Toc81897139"/>
      <w:r w:rsidRPr="000269ED">
        <w:rPr>
          <w:rStyle w:val="CharSectno"/>
        </w:rPr>
        <w:t>35</w:t>
      </w:r>
      <w:r w:rsidR="00134DAD" w:rsidRPr="000269ED">
        <w:t xml:space="preserve">  Leave of absence</w:t>
      </w:r>
      <w:bookmarkEnd w:id="18"/>
    </w:p>
    <w:p w14:paraId="02147532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>The Minister may grant leave of absence to the Chair on the terms and conditions that the Minister determines.</w:t>
      </w:r>
    </w:p>
    <w:p w14:paraId="65E09F75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 xml:space="preserve">The Chair may grant leave of absence to any other </w:t>
      </w:r>
      <w:r w:rsidR="00624ECE" w:rsidRPr="000269ED">
        <w:t xml:space="preserve">Advisory </w:t>
      </w:r>
      <w:r w:rsidRPr="000269ED">
        <w:t>Board member on the terms and conditions that the Chair determines.</w:t>
      </w:r>
    </w:p>
    <w:p w14:paraId="7552305B" w14:textId="77777777" w:rsidR="00134DAD" w:rsidRPr="000269ED" w:rsidRDefault="00134DAD" w:rsidP="003203E3">
      <w:pPr>
        <w:pStyle w:val="subsection"/>
      </w:pPr>
      <w:r w:rsidRPr="000269ED">
        <w:tab/>
        <w:t>(3)</w:t>
      </w:r>
      <w:r w:rsidRPr="000269ED">
        <w:tab/>
        <w:t xml:space="preserve">The Chair must notify the Minister if the Chair grants an </w:t>
      </w:r>
      <w:r w:rsidR="00624ECE" w:rsidRPr="000269ED">
        <w:t xml:space="preserve">Advisory </w:t>
      </w:r>
      <w:r w:rsidRPr="000269ED">
        <w:t>Board member leave of absence for a period that exceeds 3 months.</w:t>
      </w:r>
    </w:p>
    <w:p w14:paraId="6D1616A1" w14:textId="77777777" w:rsidR="00134DAD" w:rsidRPr="000269ED" w:rsidRDefault="00A534DF" w:rsidP="003203E3">
      <w:pPr>
        <w:pStyle w:val="ActHead5"/>
      </w:pPr>
      <w:bookmarkStart w:id="19" w:name="_Toc81897140"/>
      <w:r w:rsidRPr="000269ED">
        <w:rPr>
          <w:rStyle w:val="CharSectno"/>
        </w:rPr>
        <w:t>36</w:t>
      </w:r>
      <w:r w:rsidR="00134DAD" w:rsidRPr="000269ED">
        <w:t xml:space="preserve">  Other terms and conditions</w:t>
      </w:r>
      <w:bookmarkEnd w:id="19"/>
    </w:p>
    <w:p w14:paraId="036F1D32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>Board member holds office on the terms and conditions (if any) in relation to matters not covered by this Act that are determined by the Minister.</w:t>
      </w:r>
    </w:p>
    <w:p w14:paraId="58BFC0A2" w14:textId="77777777" w:rsidR="00134DAD" w:rsidRPr="000269ED" w:rsidRDefault="00A534DF" w:rsidP="003203E3">
      <w:pPr>
        <w:pStyle w:val="ActHead5"/>
      </w:pPr>
      <w:bookmarkStart w:id="20" w:name="_Toc81897141"/>
      <w:r w:rsidRPr="000269ED">
        <w:rPr>
          <w:rStyle w:val="CharSectno"/>
        </w:rPr>
        <w:lastRenderedPageBreak/>
        <w:t>37</w:t>
      </w:r>
      <w:r w:rsidR="00134DAD" w:rsidRPr="000269ED">
        <w:t xml:space="preserve">  Resignation</w:t>
      </w:r>
      <w:bookmarkEnd w:id="20"/>
    </w:p>
    <w:p w14:paraId="4F4DECE7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An </w:t>
      </w:r>
      <w:r w:rsidR="00624ECE" w:rsidRPr="000269ED">
        <w:t xml:space="preserve">Advisory </w:t>
      </w:r>
      <w:r w:rsidRPr="000269ED">
        <w:t xml:space="preserve">Board member may resign </w:t>
      </w:r>
      <w:r w:rsidR="00EB47AD" w:rsidRPr="000269ED">
        <w:t>th</w:t>
      </w:r>
      <w:r w:rsidR="00365D63" w:rsidRPr="000269ED">
        <w:t>e</w:t>
      </w:r>
      <w:r w:rsidR="00EB47AD" w:rsidRPr="000269ED">
        <w:t xml:space="preserve"> member</w:t>
      </w:r>
      <w:r w:rsidR="00D021FD" w:rsidRPr="000269ED">
        <w:t>’</w:t>
      </w:r>
      <w:r w:rsidR="00EB47AD" w:rsidRPr="000269ED">
        <w:t>s</w:t>
      </w:r>
      <w:r w:rsidRPr="000269ED">
        <w:t xml:space="preserve"> appointment by giving the Minister a written resignation.</w:t>
      </w:r>
    </w:p>
    <w:p w14:paraId="7B8642E4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>The resignation takes effect on the day it is received by the Minister or, if a later day is specified in the resignation, on that later day.</w:t>
      </w:r>
    </w:p>
    <w:p w14:paraId="68C11106" w14:textId="77777777" w:rsidR="00134DAD" w:rsidRPr="000269ED" w:rsidRDefault="00EB47AD" w:rsidP="003203E3">
      <w:pPr>
        <w:pStyle w:val="ActHead5"/>
      </w:pPr>
      <w:bookmarkStart w:id="21" w:name="_Toc81897142"/>
      <w:r w:rsidRPr="000269ED">
        <w:rPr>
          <w:rStyle w:val="CharSectno"/>
        </w:rPr>
        <w:t>3</w:t>
      </w:r>
      <w:r w:rsidR="00A534DF" w:rsidRPr="000269ED">
        <w:rPr>
          <w:rStyle w:val="CharSectno"/>
        </w:rPr>
        <w:t>8</w:t>
      </w:r>
      <w:r w:rsidR="00134DAD" w:rsidRPr="000269ED">
        <w:t xml:space="preserve">  Termination of appointment</w:t>
      </w:r>
      <w:bookmarkEnd w:id="21"/>
    </w:p>
    <w:p w14:paraId="51B6F81B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The Minister may terminate the appointment of an </w:t>
      </w:r>
      <w:r w:rsidR="00624ECE" w:rsidRPr="000269ED">
        <w:t xml:space="preserve">Advisory </w:t>
      </w:r>
      <w:r w:rsidRPr="000269ED">
        <w:t>Board member:</w:t>
      </w:r>
    </w:p>
    <w:p w14:paraId="73591758" w14:textId="77777777" w:rsidR="00134DAD" w:rsidRPr="000269ED" w:rsidRDefault="00134DAD" w:rsidP="003203E3">
      <w:pPr>
        <w:pStyle w:val="paragraph"/>
      </w:pPr>
      <w:r w:rsidRPr="000269ED">
        <w:tab/>
        <w:t>(a)</w:t>
      </w:r>
      <w:r w:rsidRPr="000269ED">
        <w:tab/>
        <w:t>for misbehaviour; or</w:t>
      </w:r>
    </w:p>
    <w:p w14:paraId="3BE18E9E" w14:textId="77777777" w:rsidR="00134DAD" w:rsidRPr="000269ED" w:rsidRDefault="00134DAD" w:rsidP="003203E3">
      <w:pPr>
        <w:pStyle w:val="paragraph"/>
      </w:pPr>
      <w:r w:rsidRPr="000269ED">
        <w:tab/>
        <w:t>(b)</w:t>
      </w:r>
      <w:r w:rsidRPr="000269ED">
        <w:tab/>
        <w:t xml:space="preserve">if the </w:t>
      </w:r>
      <w:r w:rsidR="00624ECE" w:rsidRPr="000269ED">
        <w:t xml:space="preserve">Advisory </w:t>
      </w:r>
      <w:r w:rsidRPr="000269ED">
        <w:t xml:space="preserve">Board member is unable to perform the duties of </w:t>
      </w:r>
      <w:r w:rsidR="00EB47AD" w:rsidRPr="000269ED">
        <w:t>that member</w:t>
      </w:r>
      <w:r w:rsidR="00D021FD" w:rsidRPr="000269ED">
        <w:t>’</w:t>
      </w:r>
      <w:r w:rsidR="00EB47AD" w:rsidRPr="000269ED">
        <w:t>s</w:t>
      </w:r>
      <w:r w:rsidRPr="000269ED">
        <w:t xml:space="preserve"> office because of physical or mental incapacity.</w:t>
      </w:r>
    </w:p>
    <w:p w14:paraId="572922C8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 xml:space="preserve">The Minister may terminate the appointment of an </w:t>
      </w:r>
      <w:r w:rsidR="00624ECE" w:rsidRPr="000269ED">
        <w:t xml:space="preserve">Advisory </w:t>
      </w:r>
      <w:r w:rsidRPr="000269ED">
        <w:t>Board member if:</w:t>
      </w:r>
    </w:p>
    <w:p w14:paraId="60283543" w14:textId="77777777" w:rsidR="00134DAD" w:rsidRPr="000269ED" w:rsidRDefault="00134DAD" w:rsidP="003203E3">
      <w:pPr>
        <w:pStyle w:val="paragraph"/>
      </w:pPr>
      <w:r w:rsidRPr="000269ED">
        <w:tab/>
        <w:t>(a)</w:t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member:</w:t>
      </w:r>
    </w:p>
    <w:p w14:paraId="019026AE" w14:textId="77777777" w:rsidR="00134DAD" w:rsidRPr="000269ED" w:rsidRDefault="00134DAD" w:rsidP="003203E3">
      <w:pPr>
        <w:pStyle w:val="paragraphsub"/>
      </w:pPr>
      <w:r w:rsidRPr="000269ED">
        <w:tab/>
        <w:t>(i)</w:t>
      </w:r>
      <w:r w:rsidRPr="000269ED">
        <w:tab/>
        <w:t>becomes bankrupt; or</w:t>
      </w:r>
    </w:p>
    <w:p w14:paraId="1228A4CD" w14:textId="77777777" w:rsidR="00134DAD" w:rsidRPr="000269ED" w:rsidRDefault="00134DAD" w:rsidP="003203E3">
      <w:pPr>
        <w:pStyle w:val="paragraphsub"/>
      </w:pPr>
      <w:r w:rsidRPr="000269ED">
        <w:tab/>
        <w:t>(ii)</w:t>
      </w:r>
      <w:r w:rsidRPr="000269ED">
        <w:tab/>
        <w:t>applies to take the benefit of any law for the relief of bankrupt or insolvent debtors; or</w:t>
      </w:r>
    </w:p>
    <w:p w14:paraId="3C46F9CE" w14:textId="77777777" w:rsidR="00134DAD" w:rsidRPr="000269ED" w:rsidRDefault="00134DAD" w:rsidP="003203E3">
      <w:pPr>
        <w:pStyle w:val="paragraphsub"/>
      </w:pPr>
      <w:r w:rsidRPr="000269ED">
        <w:tab/>
        <w:t>(iii)</w:t>
      </w:r>
      <w:r w:rsidRPr="000269ED">
        <w:tab/>
        <w:t xml:space="preserve">compounds with </w:t>
      </w:r>
      <w:r w:rsidR="00EB47AD" w:rsidRPr="000269ED">
        <w:t>that member</w:t>
      </w:r>
      <w:r w:rsidR="00D021FD" w:rsidRPr="000269ED">
        <w:t>’</w:t>
      </w:r>
      <w:r w:rsidR="00EB47AD" w:rsidRPr="000269ED">
        <w:t>s</w:t>
      </w:r>
      <w:r w:rsidRPr="000269ED">
        <w:t xml:space="preserve"> creditors; or</w:t>
      </w:r>
    </w:p>
    <w:p w14:paraId="09EA350F" w14:textId="77777777" w:rsidR="00134DAD" w:rsidRPr="000269ED" w:rsidRDefault="00134DAD" w:rsidP="003203E3">
      <w:pPr>
        <w:pStyle w:val="paragraphsub"/>
      </w:pPr>
      <w:r w:rsidRPr="000269ED">
        <w:tab/>
        <w:t>(iv)</w:t>
      </w:r>
      <w:r w:rsidRPr="000269ED">
        <w:tab/>
        <w:t xml:space="preserve">makes an assignment of </w:t>
      </w:r>
      <w:r w:rsidR="00EB47AD" w:rsidRPr="000269ED">
        <w:t>that member</w:t>
      </w:r>
      <w:r w:rsidR="00D021FD" w:rsidRPr="000269ED">
        <w:t>’</w:t>
      </w:r>
      <w:r w:rsidR="00EB47AD" w:rsidRPr="000269ED">
        <w:t>s</w:t>
      </w:r>
      <w:r w:rsidRPr="000269ED">
        <w:t xml:space="preserve"> remuneration for the benefit of </w:t>
      </w:r>
      <w:r w:rsidR="00EB47AD" w:rsidRPr="000269ED">
        <w:t>that member</w:t>
      </w:r>
      <w:r w:rsidR="00D021FD" w:rsidRPr="000269ED">
        <w:t>’</w:t>
      </w:r>
      <w:r w:rsidR="00EB47AD" w:rsidRPr="000269ED">
        <w:t>s</w:t>
      </w:r>
      <w:r w:rsidRPr="000269ED">
        <w:t xml:space="preserve"> creditors; or</w:t>
      </w:r>
    </w:p>
    <w:p w14:paraId="79023ABE" w14:textId="77777777" w:rsidR="00134DAD" w:rsidRPr="000269ED" w:rsidRDefault="00134DAD" w:rsidP="003203E3">
      <w:pPr>
        <w:pStyle w:val="paragraph"/>
      </w:pPr>
      <w:r w:rsidRPr="000269ED">
        <w:tab/>
        <w:t>(b)</w:t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 xml:space="preserve">Board member is absent, except on leave of absence, from 3 consecutive meetings of the </w:t>
      </w:r>
      <w:r w:rsidR="00624ECE" w:rsidRPr="000269ED">
        <w:t xml:space="preserve">Advisory </w:t>
      </w:r>
      <w:r w:rsidRPr="000269ED">
        <w:t>Board; or</w:t>
      </w:r>
    </w:p>
    <w:p w14:paraId="65947100" w14:textId="77777777" w:rsidR="00134DAD" w:rsidRPr="000269ED" w:rsidRDefault="00134DAD" w:rsidP="003203E3">
      <w:pPr>
        <w:pStyle w:val="paragraph"/>
      </w:pPr>
      <w:r w:rsidRPr="000269ED">
        <w:tab/>
        <w:t>(c)</w:t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 xml:space="preserve">Board member fails, without reasonable excuse, to comply with </w:t>
      </w:r>
      <w:r w:rsidR="00586C66" w:rsidRPr="000269ED">
        <w:t>section 2</w:t>
      </w:r>
      <w:r w:rsidRPr="000269ED">
        <w:t xml:space="preserve">9 of the </w:t>
      </w:r>
      <w:r w:rsidRPr="000269ED">
        <w:rPr>
          <w:i/>
        </w:rPr>
        <w:t>Public Governance, Performance and Accountability Act 2013</w:t>
      </w:r>
      <w:r w:rsidRPr="000269ED">
        <w:t xml:space="preserve"> (which deals with the duty to disclose interests) or rules made for the purposes of that section.</w:t>
      </w:r>
    </w:p>
    <w:p w14:paraId="0ABFEF16" w14:textId="77777777" w:rsidR="00134DAD" w:rsidRPr="000269ED" w:rsidRDefault="00134DAD" w:rsidP="003203E3">
      <w:pPr>
        <w:pStyle w:val="ActHead3"/>
      </w:pPr>
      <w:bookmarkStart w:id="22" w:name="_Toc81897143"/>
      <w:r w:rsidRPr="000269ED">
        <w:rPr>
          <w:rStyle w:val="CharDivNo"/>
        </w:rPr>
        <w:lastRenderedPageBreak/>
        <w:t>Division 3</w:t>
      </w:r>
      <w:r w:rsidRPr="000269ED">
        <w:t>—</w:t>
      </w:r>
      <w:r w:rsidRPr="000269ED">
        <w:rPr>
          <w:rStyle w:val="CharDivText"/>
        </w:rPr>
        <w:t xml:space="preserve">Meetings of the </w:t>
      </w:r>
      <w:r w:rsidR="00624ECE" w:rsidRPr="000269ED">
        <w:rPr>
          <w:rStyle w:val="CharDivText"/>
        </w:rPr>
        <w:t xml:space="preserve">Advisory </w:t>
      </w:r>
      <w:r w:rsidRPr="000269ED">
        <w:rPr>
          <w:rStyle w:val="CharDivText"/>
        </w:rPr>
        <w:t>Board</w:t>
      </w:r>
      <w:bookmarkEnd w:id="22"/>
    </w:p>
    <w:p w14:paraId="0043C98E" w14:textId="77777777" w:rsidR="00134DAD" w:rsidRPr="000269ED" w:rsidRDefault="00A534DF" w:rsidP="003203E3">
      <w:pPr>
        <w:pStyle w:val="ActHead5"/>
      </w:pPr>
      <w:bookmarkStart w:id="23" w:name="_Toc81897144"/>
      <w:r w:rsidRPr="000269ED">
        <w:rPr>
          <w:rStyle w:val="CharSectno"/>
        </w:rPr>
        <w:t>39</w:t>
      </w:r>
      <w:r w:rsidR="00134DAD" w:rsidRPr="000269ED">
        <w:t xml:space="preserve">  Convening meetings</w:t>
      </w:r>
      <w:bookmarkEnd w:id="23"/>
    </w:p>
    <w:p w14:paraId="439806A8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must hold such meetings as are necessary for the efficient performance of its functions.</w:t>
      </w:r>
    </w:p>
    <w:p w14:paraId="3A442C1B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 xml:space="preserve">The Chair must convene at least 4 meetings of the </w:t>
      </w:r>
      <w:r w:rsidR="00624ECE" w:rsidRPr="000269ED">
        <w:t xml:space="preserve">Advisory </w:t>
      </w:r>
      <w:r w:rsidRPr="000269ED">
        <w:t>Board each financial year.</w:t>
      </w:r>
    </w:p>
    <w:p w14:paraId="645CDE33" w14:textId="77777777" w:rsidR="00134DAD" w:rsidRPr="000269ED" w:rsidRDefault="00EB720B" w:rsidP="003203E3">
      <w:pPr>
        <w:pStyle w:val="ActHead5"/>
      </w:pPr>
      <w:bookmarkStart w:id="24" w:name="_Toc81897145"/>
      <w:r w:rsidRPr="000269ED">
        <w:rPr>
          <w:rStyle w:val="CharSectno"/>
        </w:rPr>
        <w:t>4</w:t>
      </w:r>
      <w:r w:rsidR="00A534DF" w:rsidRPr="000269ED">
        <w:rPr>
          <w:rStyle w:val="CharSectno"/>
        </w:rPr>
        <w:t>0</w:t>
      </w:r>
      <w:r w:rsidRPr="000269ED">
        <w:t xml:space="preserve">  </w:t>
      </w:r>
      <w:r w:rsidR="00134DAD" w:rsidRPr="000269ED">
        <w:t>Presiding at meetings</w:t>
      </w:r>
      <w:bookmarkEnd w:id="24"/>
    </w:p>
    <w:p w14:paraId="59C534ED" w14:textId="77777777" w:rsidR="00134DAD" w:rsidRPr="000269ED" w:rsidRDefault="00134DAD" w:rsidP="003203E3">
      <w:pPr>
        <w:pStyle w:val="subsection"/>
      </w:pPr>
      <w:r w:rsidRPr="000269ED">
        <w:tab/>
        <w:t>(1)</w:t>
      </w:r>
      <w:r w:rsidRPr="000269ED">
        <w:tab/>
        <w:t xml:space="preserve">The Chair must preside at all meetings of the </w:t>
      </w:r>
      <w:r w:rsidR="00624ECE" w:rsidRPr="000269ED">
        <w:t xml:space="preserve">Advisory </w:t>
      </w:r>
      <w:r w:rsidRPr="000269ED">
        <w:t xml:space="preserve">Board at which </w:t>
      </w:r>
      <w:r w:rsidR="00CD5FA2" w:rsidRPr="000269ED">
        <w:t>the Chair</w:t>
      </w:r>
      <w:r w:rsidRPr="000269ED">
        <w:t xml:space="preserve"> is present.</w:t>
      </w:r>
    </w:p>
    <w:p w14:paraId="7D8C3F3C" w14:textId="77777777" w:rsidR="00134DAD" w:rsidRPr="000269ED" w:rsidRDefault="00134DAD" w:rsidP="003203E3">
      <w:pPr>
        <w:pStyle w:val="subsection"/>
      </w:pPr>
      <w:r w:rsidRPr="000269ED">
        <w:tab/>
        <w:t>(2)</w:t>
      </w:r>
      <w:r w:rsidRPr="000269ED">
        <w:tab/>
        <w:t xml:space="preserve">If the Chair is not present at a meeting of the </w:t>
      </w:r>
      <w:r w:rsidR="00624ECE" w:rsidRPr="000269ED">
        <w:t xml:space="preserve">Advisory </w:t>
      </w:r>
      <w:r w:rsidRPr="000269ED">
        <w:t>Board:</w:t>
      </w:r>
    </w:p>
    <w:p w14:paraId="0862EA85" w14:textId="77777777" w:rsidR="00134DAD" w:rsidRPr="000269ED" w:rsidRDefault="00134DAD" w:rsidP="003203E3">
      <w:pPr>
        <w:pStyle w:val="paragraph"/>
      </w:pPr>
      <w:r w:rsidRPr="000269ED">
        <w:tab/>
        <w:t>(a)</w:t>
      </w:r>
      <w:r w:rsidRPr="000269ED">
        <w:tab/>
        <w:t>the Deputy Chair is to preside; or</w:t>
      </w:r>
    </w:p>
    <w:p w14:paraId="55CB9E65" w14:textId="77777777" w:rsidR="00134DAD" w:rsidRPr="000269ED" w:rsidRDefault="00134DAD" w:rsidP="003203E3">
      <w:pPr>
        <w:pStyle w:val="paragraph"/>
      </w:pPr>
      <w:r w:rsidRPr="000269ED">
        <w:tab/>
        <w:t>(b)</w:t>
      </w:r>
      <w:r w:rsidRPr="000269ED">
        <w:tab/>
        <w:t xml:space="preserve">if the Deputy Chair is not present—the other </w:t>
      </w:r>
      <w:r w:rsidR="00624ECE" w:rsidRPr="000269ED">
        <w:t xml:space="preserve">Advisory </w:t>
      </w:r>
      <w:r w:rsidRPr="000269ED">
        <w:t>Board members present must appoint one of themselves to preside.</w:t>
      </w:r>
    </w:p>
    <w:p w14:paraId="7F887DBA" w14:textId="77777777" w:rsidR="00134DAD" w:rsidRPr="000269ED" w:rsidRDefault="00CD5FA2" w:rsidP="003203E3">
      <w:pPr>
        <w:pStyle w:val="ActHead5"/>
      </w:pPr>
      <w:bookmarkStart w:id="25" w:name="_Toc81897146"/>
      <w:r w:rsidRPr="000269ED">
        <w:rPr>
          <w:rStyle w:val="CharSectno"/>
        </w:rPr>
        <w:t>4</w:t>
      </w:r>
      <w:r w:rsidR="003E70D0" w:rsidRPr="000269ED">
        <w:rPr>
          <w:rStyle w:val="CharSectno"/>
        </w:rPr>
        <w:t>1</w:t>
      </w:r>
      <w:r w:rsidR="00134DAD" w:rsidRPr="000269ED">
        <w:t xml:space="preserve">  Conduct of meetings</w:t>
      </w:r>
      <w:bookmarkEnd w:id="25"/>
    </w:p>
    <w:p w14:paraId="324C3E22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may, subject to this Division, regulate proceedings at its meetings as it considers appropriate.</w:t>
      </w:r>
    </w:p>
    <w:p w14:paraId="31F8780B" w14:textId="77777777" w:rsidR="00134DAD" w:rsidRPr="000269ED" w:rsidRDefault="00CD5FA2" w:rsidP="003203E3">
      <w:pPr>
        <w:pStyle w:val="ActHead5"/>
      </w:pPr>
      <w:bookmarkStart w:id="26" w:name="_Toc81897147"/>
      <w:r w:rsidRPr="000269ED">
        <w:rPr>
          <w:rStyle w:val="CharSectno"/>
        </w:rPr>
        <w:t>4</w:t>
      </w:r>
      <w:r w:rsidR="003E70D0" w:rsidRPr="000269ED">
        <w:rPr>
          <w:rStyle w:val="CharSectno"/>
        </w:rPr>
        <w:t>2</w:t>
      </w:r>
      <w:r w:rsidR="00134DAD" w:rsidRPr="000269ED">
        <w:t xml:space="preserve">  Minutes</w:t>
      </w:r>
      <w:bookmarkEnd w:id="26"/>
    </w:p>
    <w:p w14:paraId="242201BC" w14:textId="77777777" w:rsidR="00134DAD" w:rsidRPr="000269ED" w:rsidRDefault="00134DAD" w:rsidP="003203E3">
      <w:pPr>
        <w:pStyle w:val="subsection"/>
      </w:pPr>
      <w:r w:rsidRPr="000269ED">
        <w:tab/>
      </w:r>
      <w:r w:rsidRPr="000269ED">
        <w:tab/>
        <w:t xml:space="preserve">The </w:t>
      </w:r>
      <w:r w:rsidR="00624ECE" w:rsidRPr="000269ED">
        <w:t xml:space="preserve">Advisory </w:t>
      </w:r>
      <w:r w:rsidRPr="000269ED">
        <w:t>Board must keep minutes of its meetings.</w:t>
      </w:r>
    </w:p>
    <w:p w14:paraId="47A94491" w14:textId="77777777" w:rsidR="00D91B69" w:rsidRPr="000269ED" w:rsidRDefault="002A52E6" w:rsidP="003203E3">
      <w:pPr>
        <w:pStyle w:val="ItemHead"/>
      </w:pPr>
      <w:r w:rsidRPr="000269ED">
        <w:t>25</w:t>
      </w:r>
      <w:r w:rsidR="00D91B69" w:rsidRPr="000269ED">
        <w:t xml:space="preserve">  </w:t>
      </w:r>
      <w:r w:rsidR="00586C66" w:rsidRPr="000269ED">
        <w:t>Sub</w:t>
      </w:r>
      <w:r w:rsidR="008C31E2" w:rsidRPr="000269ED">
        <w:t>section 4</w:t>
      </w:r>
      <w:r w:rsidR="00D91B69" w:rsidRPr="000269ED">
        <w:t>4(1)</w:t>
      </w:r>
    </w:p>
    <w:p w14:paraId="43B83C27" w14:textId="77777777" w:rsidR="00D91B69" w:rsidRPr="000269ED" w:rsidRDefault="00D91B6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0DE876F8" w14:textId="77777777" w:rsidR="00963DD9" w:rsidRPr="000269ED" w:rsidRDefault="002A52E6" w:rsidP="003203E3">
      <w:pPr>
        <w:pStyle w:val="ItemHead"/>
      </w:pPr>
      <w:r w:rsidRPr="000269ED">
        <w:t>26</w:t>
      </w:r>
      <w:r w:rsidR="00D91B69" w:rsidRPr="000269ED">
        <w:t xml:space="preserve">  </w:t>
      </w:r>
      <w:r w:rsidR="00586C66" w:rsidRPr="000269ED">
        <w:t>Section 4</w:t>
      </w:r>
      <w:r w:rsidR="00963DD9" w:rsidRPr="000269ED">
        <w:t>5</w:t>
      </w:r>
    </w:p>
    <w:p w14:paraId="2A28B08F" w14:textId="77777777" w:rsidR="00963DD9" w:rsidRPr="000269ED" w:rsidRDefault="00963DD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 (wherever occurring),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760A14B8" w14:textId="77777777" w:rsidR="00963DD9" w:rsidRPr="000269ED" w:rsidRDefault="002A52E6" w:rsidP="003203E3">
      <w:pPr>
        <w:pStyle w:val="ItemHead"/>
      </w:pPr>
      <w:r w:rsidRPr="000269ED">
        <w:t>27</w:t>
      </w:r>
      <w:r w:rsidR="00963DD9" w:rsidRPr="000269ED">
        <w:t xml:space="preserve">  </w:t>
      </w:r>
      <w:r w:rsidR="00586C66" w:rsidRPr="000269ED">
        <w:t>Subsections 4</w:t>
      </w:r>
      <w:r w:rsidR="00963DD9" w:rsidRPr="000269ED">
        <w:t>6(1) and (4)</w:t>
      </w:r>
      <w:r w:rsidR="00CB7BEF" w:rsidRPr="000269ED">
        <w:t xml:space="preserve"> and 47(1)</w:t>
      </w:r>
    </w:p>
    <w:p w14:paraId="7BC9CE93" w14:textId="77777777" w:rsidR="00963DD9" w:rsidRPr="000269ED" w:rsidRDefault="00963DD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0806E7CC" w14:textId="77777777" w:rsidR="00963DD9" w:rsidRPr="000269ED" w:rsidRDefault="002A52E6" w:rsidP="003203E3">
      <w:pPr>
        <w:pStyle w:val="ItemHead"/>
      </w:pPr>
      <w:r w:rsidRPr="000269ED">
        <w:t>28</w:t>
      </w:r>
      <w:r w:rsidR="00963DD9" w:rsidRPr="000269ED">
        <w:t xml:space="preserve">  </w:t>
      </w:r>
      <w:r w:rsidR="00586C66" w:rsidRPr="000269ED">
        <w:t>Section 4</w:t>
      </w:r>
      <w:r w:rsidR="00963DD9" w:rsidRPr="000269ED">
        <w:t>9</w:t>
      </w:r>
    </w:p>
    <w:p w14:paraId="0BF74378" w14:textId="77777777" w:rsidR="00963DD9" w:rsidRPr="000269ED" w:rsidRDefault="00963DD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 (wherever occurring),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27E41B93" w14:textId="77777777" w:rsidR="00963DD9" w:rsidRPr="000269ED" w:rsidRDefault="002A52E6" w:rsidP="003203E3">
      <w:pPr>
        <w:pStyle w:val="ItemHead"/>
      </w:pPr>
      <w:r w:rsidRPr="000269ED">
        <w:lastRenderedPageBreak/>
        <w:t>29</w:t>
      </w:r>
      <w:r w:rsidR="00963DD9" w:rsidRPr="000269ED">
        <w:t xml:space="preserve">  </w:t>
      </w:r>
      <w:r w:rsidR="00586C66" w:rsidRPr="000269ED">
        <w:t>Subsections 5</w:t>
      </w:r>
      <w:r w:rsidR="00963DD9" w:rsidRPr="000269ED">
        <w:t>0(1) and (2)</w:t>
      </w:r>
    </w:p>
    <w:p w14:paraId="7502AD17" w14:textId="77777777" w:rsidR="00963DD9" w:rsidRPr="000269ED" w:rsidRDefault="00963DD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02B751A2" w14:textId="77777777" w:rsidR="00963DD9" w:rsidRPr="000269ED" w:rsidRDefault="002A52E6" w:rsidP="003203E3">
      <w:pPr>
        <w:pStyle w:val="ItemHead"/>
      </w:pPr>
      <w:r w:rsidRPr="000269ED">
        <w:t>30</w:t>
      </w:r>
      <w:r w:rsidR="00963DD9" w:rsidRPr="000269ED">
        <w:t xml:space="preserve">  </w:t>
      </w:r>
      <w:r w:rsidR="008C31E2" w:rsidRPr="000269ED">
        <w:t>Section 5</w:t>
      </w:r>
      <w:r w:rsidR="00963DD9" w:rsidRPr="000269ED">
        <w:t>1 (heading)</w:t>
      </w:r>
    </w:p>
    <w:p w14:paraId="4DC35425" w14:textId="77777777" w:rsidR="00963DD9" w:rsidRPr="000269ED" w:rsidRDefault="00963DD9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rPr>
          <w:b/>
        </w:rPr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rPr>
          <w:b/>
        </w:rPr>
        <w:t>CEO</w:t>
      </w:r>
      <w:r w:rsidR="00D021FD" w:rsidRPr="000269ED">
        <w:t>”</w:t>
      </w:r>
      <w:r w:rsidRPr="000269ED">
        <w:t>.</w:t>
      </w:r>
    </w:p>
    <w:p w14:paraId="597FF44C" w14:textId="77777777" w:rsidR="00963DD9" w:rsidRPr="000269ED" w:rsidRDefault="002A52E6" w:rsidP="003203E3">
      <w:pPr>
        <w:pStyle w:val="ItemHead"/>
      </w:pPr>
      <w:r w:rsidRPr="000269ED">
        <w:t>31</w:t>
      </w:r>
      <w:r w:rsidR="001C44BB" w:rsidRPr="000269ED">
        <w:t xml:space="preserve">  </w:t>
      </w:r>
      <w:r w:rsidR="00586C66" w:rsidRPr="000269ED">
        <w:t>Subsections 5</w:t>
      </w:r>
      <w:r w:rsidR="001C44BB" w:rsidRPr="000269ED">
        <w:t>1(1) and (4)</w:t>
      </w:r>
    </w:p>
    <w:p w14:paraId="1CCBE4D3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551624A1" w14:textId="77777777" w:rsidR="001C44BB" w:rsidRPr="000269ED" w:rsidRDefault="002A52E6" w:rsidP="003203E3">
      <w:pPr>
        <w:pStyle w:val="ItemHead"/>
      </w:pPr>
      <w:r w:rsidRPr="000269ED">
        <w:t>32</w:t>
      </w:r>
      <w:r w:rsidR="001C44BB" w:rsidRPr="000269ED">
        <w:t xml:space="preserve">  </w:t>
      </w:r>
      <w:r w:rsidR="008C31E2" w:rsidRPr="000269ED">
        <w:t>Section 5</w:t>
      </w:r>
      <w:r w:rsidR="001C44BB" w:rsidRPr="000269ED">
        <w:t>3</w:t>
      </w:r>
    </w:p>
    <w:p w14:paraId="4D88143F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CEO</w:t>
      </w:r>
      <w:r w:rsidR="00D021FD" w:rsidRPr="000269ED">
        <w:t>”</w:t>
      </w:r>
      <w:r w:rsidRPr="000269ED">
        <w:t>.</w:t>
      </w:r>
    </w:p>
    <w:p w14:paraId="787D93F8" w14:textId="77777777" w:rsidR="001C44BB" w:rsidRPr="000269ED" w:rsidRDefault="002A52E6" w:rsidP="003203E3">
      <w:pPr>
        <w:pStyle w:val="ItemHead"/>
      </w:pPr>
      <w:r w:rsidRPr="000269ED">
        <w:t>33</w:t>
      </w:r>
      <w:r w:rsidR="001C44BB" w:rsidRPr="000269ED">
        <w:t xml:space="preserve">  </w:t>
      </w:r>
      <w:r w:rsidR="00586C66" w:rsidRPr="000269ED">
        <w:t>Paragraph 5</w:t>
      </w:r>
      <w:r w:rsidR="001C44BB" w:rsidRPr="000269ED">
        <w:t>4(1)(a)</w:t>
      </w:r>
    </w:p>
    <w:p w14:paraId="04A27E31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68CFE342" w14:textId="77777777" w:rsidR="001C44BB" w:rsidRPr="000269ED" w:rsidRDefault="002A52E6" w:rsidP="003203E3">
      <w:pPr>
        <w:pStyle w:val="ItemHead"/>
      </w:pPr>
      <w:r w:rsidRPr="000269ED">
        <w:t>34</w:t>
      </w:r>
      <w:r w:rsidR="001C44BB" w:rsidRPr="000269ED">
        <w:t xml:space="preserve">  </w:t>
      </w:r>
      <w:r w:rsidR="008C31E2" w:rsidRPr="000269ED">
        <w:t>Subsection 5</w:t>
      </w:r>
      <w:r w:rsidR="001C44BB" w:rsidRPr="000269ED">
        <w:t>4(3)</w:t>
      </w:r>
    </w:p>
    <w:p w14:paraId="0A4E436E" w14:textId="77777777" w:rsidR="00623499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777D8E60" w14:textId="77777777" w:rsidR="001C44BB" w:rsidRPr="000269ED" w:rsidRDefault="002A52E6" w:rsidP="003203E3">
      <w:pPr>
        <w:pStyle w:val="ItemHead"/>
      </w:pPr>
      <w:r w:rsidRPr="000269ED">
        <w:t>35</w:t>
      </w:r>
      <w:r w:rsidR="001C44BB" w:rsidRPr="000269ED">
        <w:t xml:space="preserve">  </w:t>
      </w:r>
      <w:r w:rsidR="00586C66" w:rsidRPr="000269ED">
        <w:t>Paragraph 5</w:t>
      </w:r>
      <w:r w:rsidR="001C44BB" w:rsidRPr="000269ED">
        <w:t>5(1)(a)</w:t>
      </w:r>
    </w:p>
    <w:p w14:paraId="26CBFAA7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7A5BA338" w14:textId="77777777" w:rsidR="001C44BB" w:rsidRPr="000269ED" w:rsidRDefault="002A52E6" w:rsidP="003203E3">
      <w:pPr>
        <w:pStyle w:val="ItemHead"/>
      </w:pPr>
      <w:r w:rsidRPr="000269ED">
        <w:t>36</w:t>
      </w:r>
      <w:r w:rsidR="001C44BB" w:rsidRPr="000269ED">
        <w:t xml:space="preserve">  </w:t>
      </w:r>
      <w:r w:rsidR="008C31E2" w:rsidRPr="000269ED">
        <w:t>Subsection 5</w:t>
      </w:r>
      <w:r w:rsidR="001C44BB" w:rsidRPr="000269ED">
        <w:t>5(3)</w:t>
      </w:r>
    </w:p>
    <w:p w14:paraId="28919148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737F4D65" w14:textId="77777777" w:rsidR="001C44BB" w:rsidRPr="000269ED" w:rsidRDefault="002A52E6" w:rsidP="003203E3">
      <w:pPr>
        <w:pStyle w:val="ItemHead"/>
      </w:pPr>
      <w:r w:rsidRPr="000269ED">
        <w:t>37</w:t>
      </w:r>
      <w:r w:rsidR="001C44BB" w:rsidRPr="000269ED">
        <w:t xml:space="preserve">  </w:t>
      </w:r>
      <w:r w:rsidR="00586C66" w:rsidRPr="000269ED">
        <w:t>Paragraph 5</w:t>
      </w:r>
      <w:r w:rsidR="001C44BB" w:rsidRPr="000269ED">
        <w:t>6(1)(a)</w:t>
      </w:r>
    </w:p>
    <w:p w14:paraId="75C91E83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3FA48D7D" w14:textId="77777777" w:rsidR="00AC0A48" w:rsidRPr="000269ED" w:rsidRDefault="002A52E6" w:rsidP="003203E3">
      <w:pPr>
        <w:pStyle w:val="ItemHead"/>
      </w:pPr>
      <w:r w:rsidRPr="000269ED">
        <w:t>38</w:t>
      </w:r>
      <w:r w:rsidR="00AC0A48" w:rsidRPr="000269ED">
        <w:t xml:space="preserve">  After </w:t>
      </w:r>
      <w:r w:rsidR="00C22FF5" w:rsidRPr="000269ED">
        <w:t>subsection 5</w:t>
      </w:r>
      <w:r w:rsidR="00AC0A48" w:rsidRPr="000269ED">
        <w:t>6(2)</w:t>
      </w:r>
    </w:p>
    <w:p w14:paraId="26D4BEAA" w14:textId="77777777" w:rsidR="00AC0A48" w:rsidRPr="000269ED" w:rsidRDefault="00AC0A48" w:rsidP="003203E3">
      <w:pPr>
        <w:pStyle w:val="Item"/>
      </w:pPr>
      <w:r w:rsidRPr="000269ED">
        <w:t>Insert:</w:t>
      </w:r>
    </w:p>
    <w:p w14:paraId="4AA359D2" w14:textId="77777777" w:rsidR="00AC0A48" w:rsidRPr="000269ED" w:rsidRDefault="00AC0A48" w:rsidP="003203E3">
      <w:pPr>
        <w:pStyle w:val="subsection"/>
      </w:pPr>
      <w:r w:rsidRPr="000269ED">
        <w:tab/>
        <w:t>(2A)</w:t>
      </w:r>
      <w:r w:rsidRPr="000269ED">
        <w:tab/>
      </w:r>
      <w:r w:rsidR="00EE5294" w:rsidRPr="000269ED">
        <w:t>If the grant</w:t>
      </w:r>
      <w:r w:rsidR="004675E7" w:rsidRPr="000269ED">
        <w:t xml:space="preserve"> of financial assistance</w:t>
      </w:r>
      <w:r w:rsidR="00EE5294" w:rsidRPr="000269ED">
        <w:t xml:space="preserve"> is made to a constitutional corporation, t</w:t>
      </w:r>
      <w:r w:rsidRPr="000269ED">
        <w:t xml:space="preserve">he </w:t>
      </w:r>
      <w:r w:rsidR="00EE5294" w:rsidRPr="000269ED">
        <w:t>corporation</w:t>
      </w:r>
      <w:r w:rsidRPr="000269ED">
        <w:t xml:space="preserve"> must comply with the terms and conditions.</w:t>
      </w:r>
    </w:p>
    <w:p w14:paraId="77B9B3DD" w14:textId="77777777" w:rsidR="001C44BB" w:rsidRPr="000269ED" w:rsidRDefault="002A52E6" w:rsidP="003203E3">
      <w:pPr>
        <w:pStyle w:val="ItemHead"/>
      </w:pPr>
      <w:r w:rsidRPr="000269ED">
        <w:t>39</w:t>
      </w:r>
      <w:r w:rsidR="001C44BB" w:rsidRPr="000269ED">
        <w:t xml:space="preserve">  </w:t>
      </w:r>
      <w:r w:rsidR="008C31E2" w:rsidRPr="000269ED">
        <w:t>Subsection 5</w:t>
      </w:r>
      <w:r w:rsidR="001C44BB" w:rsidRPr="000269ED">
        <w:t>6(3)</w:t>
      </w:r>
    </w:p>
    <w:p w14:paraId="2A3618AD" w14:textId="77777777" w:rsidR="001C44BB" w:rsidRPr="000269ED" w:rsidRDefault="001C44BB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Board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C85686" w:rsidRPr="000269ED">
        <w:t>Authority</w:t>
      </w:r>
      <w:r w:rsidR="00D021FD" w:rsidRPr="000269ED">
        <w:t>”</w:t>
      </w:r>
      <w:r w:rsidRPr="000269ED">
        <w:t>.</w:t>
      </w:r>
    </w:p>
    <w:p w14:paraId="785D7432" w14:textId="77777777" w:rsidR="004E6085" w:rsidRPr="000269ED" w:rsidRDefault="002A52E6" w:rsidP="003203E3">
      <w:pPr>
        <w:pStyle w:val="ItemHead"/>
      </w:pPr>
      <w:r w:rsidRPr="000269ED">
        <w:lastRenderedPageBreak/>
        <w:t>40</w:t>
      </w:r>
      <w:r w:rsidR="004E6085" w:rsidRPr="000269ED">
        <w:t xml:space="preserve">  </w:t>
      </w:r>
      <w:r w:rsidR="00EF0110" w:rsidRPr="000269ED">
        <w:t>Before</w:t>
      </w:r>
      <w:r w:rsidR="004E6085" w:rsidRPr="000269ED">
        <w:t xml:space="preserve"> </w:t>
      </w:r>
      <w:r w:rsidR="00C22FF5" w:rsidRPr="000269ED">
        <w:t>subsection 5</w:t>
      </w:r>
      <w:r w:rsidR="004E6085" w:rsidRPr="000269ED">
        <w:t>8(1)</w:t>
      </w:r>
    </w:p>
    <w:p w14:paraId="343F89B7" w14:textId="77777777" w:rsidR="004E6085" w:rsidRPr="000269ED" w:rsidRDefault="004E6085" w:rsidP="003203E3">
      <w:pPr>
        <w:pStyle w:val="Item"/>
      </w:pPr>
      <w:r w:rsidRPr="000269ED">
        <w:t>Insert:</w:t>
      </w:r>
    </w:p>
    <w:p w14:paraId="04930C86" w14:textId="77777777" w:rsidR="004E6085" w:rsidRPr="000269ED" w:rsidRDefault="004E6085" w:rsidP="003203E3">
      <w:pPr>
        <w:pStyle w:val="subsection"/>
      </w:pPr>
      <w:r w:rsidRPr="000269ED">
        <w:tab/>
        <w:t>(1A)</w:t>
      </w:r>
      <w:r w:rsidRPr="000269ED">
        <w:tab/>
        <w:t>In the performance of the Authority</w:t>
      </w:r>
      <w:r w:rsidR="00D021FD" w:rsidRPr="000269ED">
        <w:t>’</w:t>
      </w:r>
      <w:r w:rsidRPr="000269ED">
        <w:t>s functions, the Authority must not publish or disseminate information that is likely to enable the identification of a particular organ or tissue donor or recipient.</w:t>
      </w:r>
    </w:p>
    <w:p w14:paraId="18541865" w14:textId="77777777" w:rsidR="004E6085" w:rsidRPr="000269ED" w:rsidRDefault="002A52E6" w:rsidP="003203E3">
      <w:pPr>
        <w:pStyle w:val="ItemHead"/>
      </w:pPr>
      <w:r w:rsidRPr="000269ED">
        <w:t>41</w:t>
      </w:r>
      <w:r w:rsidR="004E6085" w:rsidRPr="000269ED">
        <w:t xml:space="preserve">  </w:t>
      </w:r>
      <w:r w:rsidR="008C31E2" w:rsidRPr="000269ED">
        <w:t>Subsection 5</w:t>
      </w:r>
      <w:r w:rsidR="00B33278" w:rsidRPr="000269ED">
        <w:t>8(2)</w:t>
      </w:r>
    </w:p>
    <w:p w14:paraId="6D389881" w14:textId="77777777" w:rsidR="00B33278" w:rsidRPr="000269ED" w:rsidRDefault="00B33278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Subsection (1) does not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="008C31E2" w:rsidRPr="000269ED">
        <w:t>Subsections (</w:t>
      </w:r>
      <w:r w:rsidRPr="000269ED">
        <w:t>1</w:t>
      </w:r>
      <w:r w:rsidR="00EF0110" w:rsidRPr="000269ED">
        <w:t>A</w:t>
      </w:r>
      <w:r w:rsidRPr="000269ED">
        <w:t xml:space="preserve">) </w:t>
      </w:r>
      <w:r w:rsidR="00EF0110" w:rsidRPr="000269ED">
        <w:t>and</w:t>
      </w:r>
      <w:r w:rsidRPr="000269ED">
        <w:t xml:space="preserve"> (1)</w:t>
      </w:r>
      <w:r w:rsidR="00EF0110" w:rsidRPr="000269ED">
        <w:t xml:space="preserve"> do not</w:t>
      </w:r>
      <w:r w:rsidR="00D021FD" w:rsidRPr="000269ED">
        <w:t>”</w:t>
      </w:r>
      <w:r w:rsidRPr="000269ED">
        <w:t>.</w:t>
      </w:r>
    </w:p>
    <w:p w14:paraId="2F3F8773" w14:textId="77777777" w:rsidR="00D33717" w:rsidRPr="000269ED" w:rsidRDefault="002A52E6" w:rsidP="003203E3">
      <w:pPr>
        <w:pStyle w:val="ItemHead"/>
      </w:pPr>
      <w:r w:rsidRPr="000269ED">
        <w:t>42</w:t>
      </w:r>
      <w:r w:rsidR="00D33717" w:rsidRPr="000269ED">
        <w:t xml:space="preserve">  </w:t>
      </w:r>
      <w:r w:rsidR="008C31E2" w:rsidRPr="000269ED">
        <w:t>Subsection 5</w:t>
      </w:r>
      <w:r w:rsidR="00D33717" w:rsidRPr="000269ED">
        <w:t>9(2)</w:t>
      </w:r>
    </w:p>
    <w:p w14:paraId="333C008C" w14:textId="77777777" w:rsidR="00D33717" w:rsidRPr="000269ED" w:rsidRDefault="00D33717" w:rsidP="003203E3">
      <w:pPr>
        <w:pStyle w:val="Item"/>
      </w:pPr>
      <w:r w:rsidRPr="000269ED">
        <w:t xml:space="preserve">Omit </w:t>
      </w:r>
      <w:r w:rsidR="00D021FD" w:rsidRPr="000269ED">
        <w:t>“</w:t>
      </w:r>
      <w:r w:rsidRPr="000269ED">
        <w:t>dead</w:t>
      </w:r>
      <w:r w:rsidR="00D021FD" w:rsidRPr="000269ED">
        <w:t>”</w:t>
      </w:r>
      <w:r w:rsidRPr="000269ED">
        <w:t xml:space="preserve">, substitute </w:t>
      </w:r>
      <w:r w:rsidR="00D021FD" w:rsidRPr="000269ED">
        <w:t>“</w:t>
      </w:r>
      <w:r w:rsidRPr="000269ED">
        <w:t>deceased</w:t>
      </w:r>
      <w:r w:rsidR="00D021FD" w:rsidRPr="000269ED">
        <w:t>”</w:t>
      </w:r>
      <w:r w:rsidRPr="000269ED">
        <w:t>.</w:t>
      </w:r>
    </w:p>
    <w:p w14:paraId="1FEDD66D" w14:textId="77777777" w:rsidR="0049510B" w:rsidRPr="000269ED" w:rsidRDefault="00586C66" w:rsidP="003203E3">
      <w:pPr>
        <w:pStyle w:val="ActHead6"/>
        <w:pageBreakBefore/>
      </w:pPr>
      <w:bookmarkStart w:id="27" w:name="_Toc81897148"/>
      <w:r w:rsidRPr="000269ED">
        <w:rPr>
          <w:rStyle w:val="CharAmSchNo"/>
        </w:rPr>
        <w:lastRenderedPageBreak/>
        <w:t>Schedule 2</w:t>
      </w:r>
      <w:r w:rsidR="00BA725A" w:rsidRPr="000269ED">
        <w:t>—</w:t>
      </w:r>
      <w:r w:rsidR="00BA725A" w:rsidRPr="000269ED">
        <w:rPr>
          <w:rStyle w:val="CharAmSchText"/>
        </w:rPr>
        <w:t>Application, transitional and saving provisions</w:t>
      </w:r>
      <w:bookmarkEnd w:id="27"/>
    </w:p>
    <w:p w14:paraId="0247C5BB" w14:textId="77777777" w:rsidR="008F3353" w:rsidRPr="000269ED" w:rsidRDefault="008F3353" w:rsidP="003203E3">
      <w:pPr>
        <w:pStyle w:val="Header"/>
      </w:pPr>
      <w:r w:rsidRPr="000269ED">
        <w:rPr>
          <w:rStyle w:val="CharAmPartNo"/>
        </w:rPr>
        <w:t xml:space="preserve"> </w:t>
      </w:r>
      <w:r w:rsidRPr="000269ED">
        <w:rPr>
          <w:rStyle w:val="CharAmPartText"/>
        </w:rPr>
        <w:t xml:space="preserve"> </w:t>
      </w:r>
    </w:p>
    <w:p w14:paraId="167937E8" w14:textId="77777777" w:rsidR="008F3353" w:rsidRPr="000269ED" w:rsidRDefault="002A52E6" w:rsidP="003203E3">
      <w:pPr>
        <w:pStyle w:val="Transitional"/>
      </w:pPr>
      <w:r w:rsidRPr="000269ED">
        <w:t>1</w:t>
      </w:r>
      <w:r w:rsidR="008F3353" w:rsidRPr="000269ED">
        <w:t xml:space="preserve"> </w:t>
      </w:r>
      <w:r w:rsidR="00C25985" w:rsidRPr="000269ED">
        <w:t xml:space="preserve"> </w:t>
      </w:r>
      <w:r w:rsidR="008F3353" w:rsidRPr="000269ED">
        <w:t>Definitions</w:t>
      </w:r>
    </w:p>
    <w:p w14:paraId="43626FC3" w14:textId="77777777" w:rsidR="008F3353" w:rsidRPr="000269ED" w:rsidRDefault="008F3353" w:rsidP="003203E3">
      <w:pPr>
        <w:pStyle w:val="Item"/>
      </w:pPr>
      <w:r w:rsidRPr="000269ED">
        <w:t>In this Schedule:</w:t>
      </w:r>
    </w:p>
    <w:p w14:paraId="32666A53" w14:textId="77777777" w:rsidR="008F3353" w:rsidRPr="000269ED" w:rsidRDefault="008F3353" w:rsidP="003203E3">
      <w:pPr>
        <w:pStyle w:val="Item"/>
      </w:pPr>
      <w:r w:rsidRPr="000269ED">
        <w:rPr>
          <w:b/>
          <w:i/>
        </w:rPr>
        <w:t>commencement time</w:t>
      </w:r>
      <w:r w:rsidRPr="000269ED">
        <w:t xml:space="preserve"> means the commencement of this Schedule.</w:t>
      </w:r>
    </w:p>
    <w:p w14:paraId="1E09CDDE" w14:textId="77777777" w:rsidR="008F3353" w:rsidRPr="000269ED" w:rsidRDefault="008F3353" w:rsidP="003203E3">
      <w:pPr>
        <w:pStyle w:val="Item"/>
      </w:pPr>
      <w:r w:rsidRPr="000269ED">
        <w:rPr>
          <w:b/>
          <w:i/>
        </w:rPr>
        <w:t>OTA Act</w:t>
      </w:r>
      <w:r w:rsidRPr="000269ED">
        <w:t xml:space="preserve"> means the </w:t>
      </w:r>
      <w:r w:rsidRPr="000269ED">
        <w:rPr>
          <w:i/>
        </w:rPr>
        <w:t>Australian Organ and Tissue Donation and Transplantation Authority Act 2008</w:t>
      </w:r>
      <w:r w:rsidRPr="000269ED">
        <w:t>.</w:t>
      </w:r>
    </w:p>
    <w:p w14:paraId="792B7DB5" w14:textId="77777777" w:rsidR="00193270" w:rsidRPr="000269ED" w:rsidRDefault="00193270" w:rsidP="003203E3">
      <w:pPr>
        <w:pStyle w:val="Item"/>
      </w:pPr>
      <w:r w:rsidRPr="000269ED">
        <w:rPr>
          <w:b/>
          <w:i/>
        </w:rPr>
        <w:t>reporting period</w:t>
      </w:r>
      <w:r w:rsidRPr="000269ED">
        <w:t xml:space="preserve"> has the same meaning as in the </w:t>
      </w:r>
      <w:r w:rsidRPr="000269ED">
        <w:rPr>
          <w:i/>
        </w:rPr>
        <w:t>Public Governance, Performance and Accountability Act 2013</w:t>
      </w:r>
      <w:r w:rsidRPr="000269ED">
        <w:t>.</w:t>
      </w:r>
    </w:p>
    <w:p w14:paraId="14829493" w14:textId="77777777" w:rsidR="00E05D1D" w:rsidRPr="000269ED" w:rsidRDefault="002A52E6" w:rsidP="003203E3">
      <w:pPr>
        <w:pStyle w:val="Transitional"/>
      </w:pPr>
      <w:r w:rsidRPr="000269ED">
        <w:t>2</w:t>
      </w:r>
      <w:r w:rsidR="008F3353" w:rsidRPr="000269ED">
        <w:t xml:space="preserve">  </w:t>
      </w:r>
      <w:r w:rsidR="002F7ABD" w:rsidRPr="000269ED">
        <w:t>Functions of the CEO</w:t>
      </w:r>
    </w:p>
    <w:p w14:paraId="708A7CC7" w14:textId="77777777" w:rsidR="00E05D1D" w:rsidRPr="000269ED" w:rsidRDefault="008C31E2" w:rsidP="003203E3">
      <w:pPr>
        <w:pStyle w:val="Item"/>
      </w:pPr>
      <w:r w:rsidRPr="000269ED">
        <w:t>Section 1</w:t>
      </w:r>
      <w:r w:rsidR="00AD4C84" w:rsidRPr="000269ED">
        <w:t xml:space="preserve">4B </w:t>
      </w:r>
      <w:r w:rsidR="008F3353" w:rsidRPr="000269ED">
        <w:t>of the OTA Act</w:t>
      </w:r>
      <w:r w:rsidR="00AD4C84" w:rsidRPr="000269ED">
        <w:t xml:space="preserve">, as </w:t>
      </w:r>
      <w:r w:rsidR="008F3353" w:rsidRPr="000269ED">
        <w:t xml:space="preserve">amended by </w:t>
      </w:r>
      <w:r w:rsidRPr="000269ED">
        <w:t>Schedule 1</w:t>
      </w:r>
      <w:r w:rsidR="00AD4C84" w:rsidRPr="000269ED">
        <w:t xml:space="preserve"> </w:t>
      </w:r>
      <w:r w:rsidR="00FC7B47" w:rsidRPr="000269ED">
        <w:t>to</w:t>
      </w:r>
      <w:r w:rsidR="00AD4C84" w:rsidRPr="000269ED">
        <w:t xml:space="preserve"> this Act, applies</w:t>
      </w:r>
      <w:r w:rsidR="008F3353" w:rsidRPr="000269ED">
        <w:t xml:space="preserve"> in relation</w:t>
      </w:r>
      <w:r w:rsidR="003945B4" w:rsidRPr="000269ED">
        <w:t xml:space="preserve"> to </w:t>
      </w:r>
      <w:r w:rsidR="00AD4C84" w:rsidRPr="000269ED">
        <w:t>th</w:t>
      </w:r>
      <w:r w:rsidR="008F3353" w:rsidRPr="000269ED">
        <w:t>e CEO whether appointed before or after the commencement time.</w:t>
      </w:r>
    </w:p>
    <w:p w14:paraId="0BE1D309" w14:textId="77777777" w:rsidR="00E05D1D" w:rsidRPr="000269ED" w:rsidRDefault="002A52E6" w:rsidP="003203E3">
      <w:pPr>
        <w:pStyle w:val="Transitional"/>
      </w:pPr>
      <w:r w:rsidRPr="000269ED">
        <w:t>3</w:t>
      </w:r>
      <w:r w:rsidR="00E05D1D" w:rsidRPr="000269ED">
        <w:t xml:space="preserve">  Board members</w:t>
      </w:r>
    </w:p>
    <w:p w14:paraId="7169B3BE" w14:textId="77777777" w:rsidR="00FC2EF4" w:rsidRPr="000269ED" w:rsidRDefault="00FC2EF4" w:rsidP="003203E3">
      <w:pPr>
        <w:pStyle w:val="Subitem"/>
      </w:pPr>
      <w:r w:rsidRPr="000269ED">
        <w:t>(1)</w:t>
      </w:r>
      <w:r w:rsidRPr="000269ED">
        <w:tab/>
        <w:t xml:space="preserve">This item applies to a person who, immediately before the </w:t>
      </w:r>
      <w:r w:rsidR="00845813" w:rsidRPr="000269ED">
        <w:t>commencement</w:t>
      </w:r>
      <w:r w:rsidRPr="000269ED">
        <w:t xml:space="preserve"> time, was an appointed member within the meaning of the </w:t>
      </w:r>
      <w:r w:rsidR="00845813" w:rsidRPr="000269ED">
        <w:t>OTA Act, as in force immediately before that time</w:t>
      </w:r>
      <w:r w:rsidRPr="000269ED">
        <w:t>.</w:t>
      </w:r>
    </w:p>
    <w:p w14:paraId="7F21780E" w14:textId="77777777" w:rsidR="00FC2EF4" w:rsidRPr="000269ED" w:rsidRDefault="00FC2EF4" w:rsidP="003203E3">
      <w:pPr>
        <w:pStyle w:val="Subitem"/>
      </w:pPr>
      <w:r w:rsidRPr="000269ED">
        <w:t>(2)</w:t>
      </w:r>
      <w:r w:rsidRPr="000269ED">
        <w:tab/>
        <w:t xml:space="preserve">The person is taken, after the </w:t>
      </w:r>
      <w:r w:rsidR="00845813" w:rsidRPr="000269ED">
        <w:t>commencement</w:t>
      </w:r>
      <w:r w:rsidRPr="000269ED">
        <w:t xml:space="preserve"> time, to have been ap</w:t>
      </w:r>
      <w:r w:rsidR="00845813" w:rsidRPr="000269ED">
        <w:t xml:space="preserve">pointed under </w:t>
      </w:r>
      <w:r w:rsidR="00F57242" w:rsidRPr="000269ED">
        <w:t>section 3</w:t>
      </w:r>
      <w:r w:rsidR="00845813" w:rsidRPr="000269ED">
        <w:t xml:space="preserve">1 of the OTA Act, as amended by </w:t>
      </w:r>
      <w:r w:rsidR="008C31E2" w:rsidRPr="000269ED">
        <w:t>Schedule 1</w:t>
      </w:r>
      <w:r w:rsidR="00845813" w:rsidRPr="000269ED">
        <w:t xml:space="preserve"> to this Act, as an Advisory Board member</w:t>
      </w:r>
      <w:r w:rsidRPr="000269ED">
        <w:t>:</w:t>
      </w:r>
    </w:p>
    <w:p w14:paraId="4207B0FD" w14:textId="77777777" w:rsidR="00FC2EF4" w:rsidRPr="000269ED" w:rsidRDefault="00FC2EF4" w:rsidP="003203E3">
      <w:pPr>
        <w:pStyle w:val="paragraph"/>
      </w:pPr>
      <w:r w:rsidRPr="000269ED">
        <w:tab/>
        <w:t>(a)</w:t>
      </w:r>
      <w:r w:rsidRPr="000269ED">
        <w:tab/>
        <w:t>for the balance of the person</w:t>
      </w:r>
      <w:r w:rsidR="00D021FD" w:rsidRPr="000269ED">
        <w:t>’</w:t>
      </w:r>
      <w:r w:rsidRPr="000269ED">
        <w:t>s term of appointment that remained immediately before that time; and</w:t>
      </w:r>
    </w:p>
    <w:p w14:paraId="3C1DB626" w14:textId="77777777" w:rsidR="00FC2EF4" w:rsidRPr="000269ED" w:rsidRDefault="00FC2EF4" w:rsidP="003203E3">
      <w:pPr>
        <w:pStyle w:val="paragraph"/>
      </w:pPr>
      <w:r w:rsidRPr="000269ED">
        <w:tab/>
        <w:t>(b)</w:t>
      </w:r>
      <w:r w:rsidRPr="000269ED">
        <w:tab/>
        <w:t>on the same terms and conditions as applied to the person immediately before that time.</w:t>
      </w:r>
    </w:p>
    <w:p w14:paraId="5AE19A48" w14:textId="77777777" w:rsidR="00845813" w:rsidRPr="000269ED" w:rsidRDefault="00845813" w:rsidP="003203E3">
      <w:pPr>
        <w:pStyle w:val="Subitem"/>
      </w:pPr>
      <w:r w:rsidRPr="000269ED">
        <w:t>(3)</w:t>
      </w:r>
      <w:r w:rsidRPr="000269ED">
        <w:tab/>
        <w:t>This item does not prevent those terms and conditions being varied after the commencement time.</w:t>
      </w:r>
    </w:p>
    <w:p w14:paraId="1BE8AB21" w14:textId="77777777" w:rsidR="00E05D1D" w:rsidRPr="000269ED" w:rsidRDefault="002A52E6" w:rsidP="003203E3">
      <w:pPr>
        <w:pStyle w:val="Transitional"/>
      </w:pPr>
      <w:r w:rsidRPr="000269ED">
        <w:t>4</w:t>
      </w:r>
      <w:r w:rsidR="00E05D1D" w:rsidRPr="000269ED">
        <w:t xml:space="preserve">  Consultants</w:t>
      </w:r>
    </w:p>
    <w:p w14:paraId="47F9C4D7" w14:textId="77777777" w:rsidR="006A084C" w:rsidRPr="000269ED" w:rsidRDefault="006A084C" w:rsidP="003203E3">
      <w:pPr>
        <w:pStyle w:val="Subitem"/>
      </w:pPr>
      <w:r w:rsidRPr="000269ED">
        <w:t>(1)</w:t>
      </w:r>
      <w:r w:rsidRPr="000269ED">
        <w:tab/>
        <w:t>This item applies to a person if:</w:t>
      </w:r>
    </w:p>
    <w:p w14:paraId="54013A41" w14:textId="77777777" w:rsidR="006A084C" w:rsidRPr="000269ED" w:rsidRDefault="006A084C" w:rsidP="003203E3">
      <w:pPr>
        <w:pStyle w:val="paragraph"/>
      </w:pPr>
      <w:r w:rsidRPr="000269ED">
        <w:lastRenderedPageBreak/>
        <w:tab/>
        <w:t>(a)</w:t>
      </w:r>
      <w:r w:rsidRPr="000269ED">
        <w:tab/>
        <w:t xml:space="preserve">the person was engaged </w:t>
      </w:r>
      <w:r w:rsidR="00236074" w:rsidRPr="000269ED">
        <w:t xml:space="preserve">by the Board </w:t>
      </w:r>
      <w:r w:rsidRPr="000269ED">
        <w:t xml:space="preserve">as a consultant under section 26 of </w:t>
      </w:r>
      <w:r w:rsidR="00236074" w:rsidRPr="000269ED">
        <w:t xml:space="preserve">the </w:t>
      </w:r>
      <w:r w:rsidR="005D285A" w:rsidRPr="000269ED">
        <w:t>OTA Act</w:t>
      </w:r>
      <w:r w:rsidR="00236074" w:rsidRPr="000269ED">
        <w:t xml:space="preserve"> before the commencement time</w:t>
      </w:r>
      <w:r w:rsidRPr="000269ED">
        <w:t>; and</w:t>
      </w:r>
    </w:p>
    <w:p w14:paraId="4E24BAC3" w14:textId="77777777" w:rsidR="006A084C" w:rsidRPr="000269ED" w:rsidRDefault="006A084C" w:rsidP="003203E3">
      <w:pPr>
        <w:pStyle w:val="paragraph"/>
      </w:pPr>
      <w:r w:rsidRPr="000269ED">
        <w:tab/>
        <w:t>(b)</w:t>
      </w:r>
      <w:r w:rsidRPr="000269ED">
        <w:tab/>
        <w:t>the engagement was in effect immediately before that time.</w:t>
      </w:r>
    </w:p>
    <w:p w14:paraId="721D9AEF" w14:textId="77777777" w:rsidR="006A084C" w:rsidRPr="000269ED" w:rsidRDefault="006A084C" w:rsidP="003203E3">
      <w:pPr>
        <w:pStyle w:val="Subitem"/>
      </w:pPr>
      <w:r w:rsidRPr="000269ED">
        <w:t>(2)</w:t>
      </w:r>
      <w:r w:rsidRPr="000269ED">
        <w:tab/>
        <w:t xml:space="preserve">The person is taken, after the </w:t>
      </w:r>
      <w:r w:rsidR="005D285A" w:rsidRPr="000269ED">
        <w:t>commencement</w:t>
      </w:r>
      <w:r w:rsidRPr="000269ED">
        <w:t xml:space="preserve"> time, to be engaged</w:t>
      </w:r>
      <w:r w:rsidR="00236074" w:rsidRPr="000269ED">
        <w:t xml:space="preserve"> by the CEO</w:t>
      </w:r>
      <w:r w:rsidRPr="000269ED">
        <w:t xml:space="preserve"> as a consultant under section 26 of </w:t>
      </w:r>
      <w:r w:rsidR="005D285A" w:rsidRPr="000269ED">
        <w:t xml:space="preserve">the OTA Act, as amended by </w:t>
      </w:r>
      <w:r w:rsidR="008C31E2" w:rsidRPr="000269ED">
        <w:t>Schedule 1</w:t>
      </w:r>
      <w:r w:rsidR="005D285A" w:rsidRPr="000269ED">
        <w:t xml:space="preserve"> to this Act,</w:t>
      </w:r>
      <w:r w:rsidRPr="000269ED">
        <w:t xml:space="preserve"> on the same terms and conditions that applied to the person</w:t>
      </w:r>
      <w:r w:rsidR="00D021FD" w:rsidRPr="000269ED">
        <w:t>’</w:t>
      </w:r>
      <w:r w:rsidRPr="000269ED">
        <w:t>s engageme</w:t>
      </w:r>
      <w:r w:rsidR="005D285A" w:rsidRPr="000269ED">
        <w:t>nt immediately before that time.</w:t>
      </w:r>
    </w:p>
    <w:p w14:paraId="74CDC9B1" w14:textId="77777777" w:rsidR="00845813" w:rsidRPr="000269ED" w:rsidRDefault="00845813" w:rsidP="003203E3">
      <w:pPr>
        <w:pStyle w:val="Subitem"/>
      </w:pPr>
      <w:r w:rsidRPr="000269ED">
        <w:t>(3)</w:t>
      </w:r>
      <w:r w:rsidRPr="000269ED">
        <w:tab/>
        <w:t>This item does not prevent those terms and conditions being varied after the commencement time.</w:t>
      </w:r>
    </w:p>
    <w:p w14:paraId="15BF89B5" w14:textId="77777777" w:rsidR="00F6457F" w:rsidRPr="000269ED" w:rsidRDefault="002A52E6" w:rsidP="003203E3">
      <w:pPr>
        <w:pStyle w:val="Transitional"/>
      </w:pPr>
      <w:r w:rsidRPr="000269ED">
        <w:t>5</w:t>
      </w:r>
      <w:r w:rsidR="00F6457F" w:rsidRPr="000269ED">
        <w:t xml:space="preserve">  Expert advisor</w:t>
      </w:r>
      <w:r w:rsidR="008D1118" w:rsidRPr="000269ED">
        <w:t>y committee</w:t>
      </w:r>
    </w:p>
    <w:p w14:paraId="7012A8B6" w14:textId="77777777" w:rsidR="00F6457F" w:rsidRPr="000269ED" w:rsidRDefault="009F78BF" w:rsidP="003203E3">
      <w:pPr>
        <w:pStyle w:val="Subitem"/>
      </w:pPr>
      <w:r w:rsidRPr="000269ED">
        <w:t>(1)</w:t>
      </w:r>
      <w:r w:rsidRPr="000269ED">
        <w:tab/>
        <w:t>This item applies</w:t>
      </w:r>
      <w:r w:rsidR="008D1118" w:rsidRPr="000269ED">
        <w:t xml:space="preserve"> to an expert advisory committee if</w:t>
      </w:r>
      <w:r w:rsidR="00F6457F" w:rsidRPr="000269ED">
        <w:t>:</w:t>
      </w:r>
    </w:p>
    <w:p w14:paraId="16DF44A8" w14:textId="77777777" w:rsidR="00F6457F" w:rsidRPr="000269ED" w:rsidRDefault="00F6457F" w:rsidP="003203E3">
      <w:pPr>
        <w:pStyle w:val="paragraph"/>
      </w:pPr>
      <w:r w:rsidRPr="000269ED">
        <w:tab/>
        <w:t>(a)</w:t>
      </w:r>
      <w:r w:rsidRPr="000269ED">
        <w:tab/>
      </w:r>
      <w:r w:rsidR="008D1118" w:rsidRPr="000269ED">
        <w:t>the</w:t>
      </w:r>
      <w:r w:rsidRPr="000269ED">
        <w:t xml:space="preserve"> </w:t>
      </w:r>
      <w:r w:rsidR="008D1118" w:rsidRPr="000269ED">
        <w:t>committee</w:t>
      </w:r>
      <w:r w:rsidRPr="000269ED">
        <w:t xml:space="preserve"> was established </w:t>
      </w:r>
      <w:r w:rsidR="007903E6" w:rsidRPr="000269ED">
        <w:t xml:space="preserve">by the Board </w:t>
      </w:r>
      <w:r w:rsidRPr="000269ED">
        <w:t xml:space="preserve">under </w:t>
      </w:r>
      <w:r w:rsidR="008C31E2" w:rsidRPr="000269ED">
        <w:t>section 4</w:t>
      </w:r>
      <w:r w:rsidRPr="000269ED">
        <w:t>4 of the OTA Act</w:t>
      </w:r>
      <w:r w:rsidR="007903E6" w:rsidRPr="000269ED">
        <w:t xml:space="preserve"> before the commencement time</w:t>
      </w:r>
      <w:r w:rsidRPr="000269ED">
        <w:t>; and</w:t>
      </w:r>
    </w:p>
    <w:p w14:paraId="0E59A24C" w14:textId="77777777" w:rsidR="00F6457F" w:rsidRPr="000269ED" w:rsidRDefault="00F6457F" w:rsidP="003203E3">
      <w:pPr>
        <w:pStyle w:val="paragraph"/>
      </w:pPr>
      <w:r w:rsidRPr="000269ED">
        <w:tab/>
      </w:r>
      <w:r w:rsidR="008D1118" w:rsidRPr="000269ED">
        <w:t>(b)</w:t>
      </w:r>
      <w:r w:rsidR="008D1118" w:rsidRPr="000269ED">
        <w:tab/>
        <w:t xml:space="preserve">the </w:t>
      </w:r>
      <w:r w:rsidR="007903E6" w:rsidRPr="000269ED">
        <w:t xml:space="preserve">committee existed </w:t>
      </w:r>
      <w:r w:rsidR="008D1118" w:rsidRPr="000269ED">
        <w:t>immediately before that time.</w:t>
      </w:r>
    </w:p>
    <w:p w14:paraId="1FB3F91B" w14:textId="77777777" w:rsidR="008D1118" w:rsidRPr="000269ED" w:rsidRDefault="008D1118" w:rsidP="003203E3">
      <w:pPr>
        <w:pStyle w:val="Subitem"/>
      </w:pPr>
      <w:r w:rsidRPr="000269ED">
        <w:t>(2)</w:t>
      </w:r>
      <w:r w:rsidRPr="000269ED">
        <w:tab/>
      </w:r>
      <w:r w:rsidR="007903E6" w:rsidRPr="000269ED">
        <w:t xml:space="preserve">The expert advisory committee is continued in existence and may be dealt with, after the commencement time, as if it were an expert advisory committee established by the CEO under </w:t>
      </w:r>
      <w:r w:rsidR="008C31E2" w:rsidRPr="000269ED">
        <w:t>section 4</w:t>
      </w:r>
      <w:r w:rsidR="007903E6" w:rsidRPr="000269ED">
        <w:t xml:space="preserve">4 of the OTA Act, as amended by </w:t>
      </w:r>
      <w:r w:rsidR="008C31E2" w:rsidRPr="000269ED">
        <w:t>Schedule 1</w:t>
      </w:r>
      <w:r w:rsidR="007903E6" w:rsidRPr="000269ED">
        <w:t xml:space="preserve"> to this Act.</w:t>
      </w:r>
    </w:p>
    <w:p w14:paraId="56683CD3" w14:textId="77777777" w:rsidR="008D1118" w:rsidRPr="000269ED" w:rsidRDefault="002A52E6" w:rsidP="003203E3">
      <w:pPr>
        <w:pStyle w:val="Transitional"/>
      </w:pPr>
      <w:r w:rsidRPr="000269ED">
        <w:t>6</w:t>
      </w:r>
      <w:r w:rsidR="008D1118" w:rsidRPr="000269ED">
        <w:t xml:space="preserve">  Expert advisory committee members</w:t>
      </w:r>
    </w:p>
    <w:p w14:paraId="77F25772" w14:textId="77777777" w:rsidR="00255F52" w:rsidRPr="000269ED" w:rsidRDefault="00255F52" w:rsidP="003203E3">
      <w:pPr>
        <w:pStyle w:val="Subitem"/>
      </w:pPr>
      <w:r w:rsidRPr="000269ED">
        <w:t>(1)</w:t>
      </w:r>
      <w:r w:rsidRPr="000269ED">
        <w:tab/>
        <w:t>This item applies to a person if</w:t>
      </w:r>
      <w:r w:rsidR="000A6CF9" w:rsidRPr="000269ED">
        <w:t>:</w:t>
      </w:r>
    </w:p>
    <w:p w14:paraId="2711A6BA" w14:textId="77777777" w:rsidR="00255F52" w:rsidRPr="000269ED" w:rsidRDefault="00255F52" w:rsidP="003203E3">
      <w:pPr>
        <w:pStyle w:val="paragraph"/>
      </w:pPr>
      <w:r w:rsidRPr="000269ED">
        <w:tab/>
        <w:t>(a)</w:t>
      </w:r>
      <w:r w:rsidRPr="000269ED">
        <w:tab/>
        <w:t xml:space="preserve">the person was appointed by the Board as an expert advisory committee member under </w:t>
      </w:r>
      <w:r w:rsidR="008C31E2" w:rsidRPr="000269ED">
        <w:t>section 4</w:t>
      </w:r>
      <w:r w:rsidRPr="000269ED">
        <w:t>6 of the OTA Act before the commencement time; and</w:t>
      </w:r>
    </w:p>
    <w:p w14:paraId="6B360037" w14:textId="77777777" w:rsidR="00255F52" w:rsidRPr="000269ED" w:rsidRDefault="00255F52" w:rsidP="003203E3">
      <w:pPr>
        <w:pStyle w:val="paragraph"/>
      </w:pPr>
      <w:r w:rsidRPr="000269ED">
        <w:tab/>
        <w:t>(b)</w:t>
      </w:r>
      <w:r w:rsidRPr="000269ED">
        <w:tab/>
        <w:t>the appointment was in effect immediately before that time.</w:t>
      </w:r>
    </w:p>
    <w:p w14:paraId="11B3253C" w14:textId="77777777" w:rsidR="00255F52" w:rsidRPr="000269ED" w:rsidRDefault="00255F52" w:rsidP="003203E3">
      <w:pPr>
        <w:pStyle w:val="Subitem"/>
      </w:pPr>
      <w:r w:rsidRPr="000269ED">
        <w:t>(2)</w:t>
      </w:r>
      <w:r w:rsidRPr="000269ED">
        <w:tab/>
        <w:t xml:space="preserve">The person is taken, after the commencement time, to have been appointed </w:t>
      </w:r>
      <w:r w:rsidR="007A61DC" w:rsidRPr="000269ED">
        <w:t xml:space="preserve">by the CEO </w:t>
      </w:r>
      <w:r w:rsidRPr="000269ED">
        <w:t xml:space="preserve">under </w:t>
      </w:r>
      <w:r w:rsidR="008C31E2" w:rsidRPr="000269ED">
        <w:t>section 4</w:t>
      </w:r>
      <w:r w:rsidRPr="000269ED">
        <w:t xml:space="preserve">6 of the OTA Act, as amended by </w:t>
      </w:r>
      <w:r w:rsidR="008C31E2" w:rsidRPr="000269ED">
        <w:t>Schedule 1</w:t>
      </w:r>
      <w:r w:rsidRPr="000269ED">
        <w:t xml:space="preserve"> to this Act, as an </w:t>
      </w:r>
      <w:r w:rsidR="000A6CF9" w:rsidRPr="000269ED">
        <w:t>expert advisory committee member</w:t>
      </w:r>
      <w:r w:rsidRPr="000269ED">
        <w:t>:</w:t>
      </w:r>
    </w:p>
    <w:p w14:paraId="20A82DF7" w14:textId="77777777" w:rsidR="00255F52" w:rsidRPr="000269ED" w:rsidRDefault="00255F52" w:rsidP="003203E3">
      <w:pPr>
        <w:pStyle w:val="paragraph"/>
      </w:pPr>
      <w:r w:rsidRPr="000269ED">
        <w:tab/>
        <w:t>(a)</w:t>
      </w:r>
      <w:r w:rsidRPr="000269ED">
        <w:tab/>
        <w:t>for the balance of the person’s term of appointment that remained immediately before that time; and</w:t>
      </w:r>
    </w:p>
    <w:p w14:paraId="6EF814ED" w14:textId="77777777" w:rsidR="00255F52" w:rsidRPr="000269ED" w:rsidRDefault="00255F52" w:rsidP="003203E3">
      <w:pPr>
        <w:pStyle w:val="paragraph"/>
      </w:pPr>
      <w:r w:rsidRPr="000269ED">
        <w:tab/>
        <w:t>(b)</w:t>
      </w:r>
      <w:r w:rsidRPr="000269ED">
        <w:tab/>
        <w:t>on the same terms and conditions as applied to the person immediately before that time.</w:t>
      </w:r>
    </w:p>
    <w:p w14:paraId="3E47AAC7" w14:textId="77777777" w:rsidR="00255F52" w:rsidRPr="000269ED" w:rsidRDefault="00255F52" w:rsidP="003203E3">
      <w:pPr>
        <w:pStyle w:val="Subitem"/>
      </w:pPr>
      <w:r w:rsidRPr="000269ED">
        <w:lastRenderedPageBreak/>
        <w:t>(3)</w:t>
      </w:r>
      <w:r w:rsidRPr="000269ED">
        <w:tab/>
        <w:t>This item does not prevent those terms and conditions being varied after the commencement time.</w:t>
      </w:r>
    </w:p>
    <w:p w14:paraId="5E6F76AC" w14:textId="77777777" w:rsidR="0047297C" w:rsidRPr="000269ED" w:rsidRDefault="002A52E6" w:rsidP="003203E3">
      <w:pPr>
        <w:pStyle w:val="Transitional"/>
      </w:pPr>
      <w:r w:rsidRPr="000269ED">
        <w:t>7</w:t>
      </w:r>
      <w:r w:rsidR="0047297C" w:rsidRPr="000269ED">
        <w:t xml:space="preserve">  </w:t>
      </w:r>
      <w:r w:rsidR="008169EF" w:rsidRPr="000269ED">
        <w:t>Agreements regarding g</w:t>
      </w:r>
      <w:r w:rsidR="0047297C" w:rsidRPr="000269ED">
        <w:t>rants of financial assistance</w:t>
      </w:r>
    </w:p>
    <w:p w14:paraId="75289147" w14:textId="77777777" w:rsidR="00C677A2" w:rsidRPr="000269ED" w:rsidRDefault="00C677A2" w:rsidP="003203E3">
      <w:pPr>
        <w:pStyle w:val="Subitem"/>
      </w:pPr>
      <w:r w:rsidRPr="000269ED">
        <w:t>(1)</w:t>
      </w:r>
      <w:r w:rsidR="00EB1E62" w:rsidRPr="000269ED">
        <w:tab/>
      </w:r>
      <w:r w:rsidRPr="000269ED">
        <w:t>This item applies if:</w:t>
      </w:r>
    </w:p>
    <w:p w14:paraId="305A471B" w14:textId="77777777" w:rsidR="00C677A2" w:rsidRPr="000269ED" w:rsidRDefault="00EB1E62" w:rsidP="003203E3">
      <w:pPr>
        <w:pStyle w:val="paragraph"/>
      </w:pPr>
      <w:r w:rsidRPr="000269ED">
        <w:tab/>
      </w:r>
      <w:r w:rsidR="00C677A2" w:rsidRPr="000269ED">
        <w:t>(a)</w:t>
      </w:r>
      <w:r w:rsidRPr="000269ED">
        <w:tab/>
      </w:r>
      <w:r w:rsidR="00C677A2" w:rsidRPr="000269ED">
        <w:t xml:space="preserve">a grant of financial assistance of a kind referred to in </w:t>
      </w:r>
      <w:r w:rsidR="00C22FF5" w:rsidRPr="000269ED">
        <w:t>subsection 5</w:t>
      </w:r>
      <w:r w:rsidR="00C677A2" w:rsidRPr="000269ED">
        <w:t>4(1), 55(1) or 56(1) of the OTA Act was made by the Board to a person before the commencement time; and</w:t>
      </w:r>
    </w:p>
    <w:p w14:paraId="1266A975" w14:textId="77777777" w:rsidR="00C677A2" w:rsidRPr="000269ED" w:rsidRDefault="00EB1E62" w:rsidP="003203E3">
      <w:pPr>
        <w:pStyle w:val="paragraph"/>
      </w:pPr>
      <w:r w:rsidRPr="000269ED">
        <w:tab/>
      </w:r>
      <w:r w:rsidR="00C677A2" w:rsidRPr="000269ED">
        <w:t>(b)</w:t>
      </w:r>
      <w:r w:rsidRPr="000269ED">
        <w:tab/>
      </w:r>
      <w:r w:rsidR="00C677A2" w:rsidRPr="000269ED">
        <w:t>immediately before that time, an agreement setting out the terms and conditions on which the financial assistance was granted has not been entered into between the Commonwealth and the person.</w:t>
      </w:r>
    </w:p>
    <w:p w14:paraId="077FAE65" w14:textId="77777777" w:rsidR="00C677A2" w:rsidRPr="000269ED" w:rsidRDefault="00C677A2" w:rsidP="003203E3">
      <w:pPr>
        <w:pStyle w:val="Subitem"/>
      </w:pPr>
      <w:r w:rsidRPr="000269ED">
        <w:t>(2)</w:t>
      </w:r>
      <w:r w:rsidR="00EB1E62" w:rsidRPr="000269ED">
        <w:tab/>
      </w:r>
      <w:r w:rsidRPr="000269ED">
        <w:t>The Authority may, after the commencement time, enter into such an agreement on behalf of the Commonwealth.</w:t>
      </w:r>
    </w:p>
    <w:p w14:paraId="485217B5" w14:textId="77777777" w:rsidR="00E17E8F" w:rsidRPr="000269ED" w:rsidRDefault="002A52E6" w:rsidP="003203E3">
      <w:pPr>
        <w:pStyle w:val="Transitional"/>
      </w:pPr>
      <w:r w:rsidRPr="000269ED">
        <w:t>8</w:t>
      </w:r>
      <w:r w:rsidR="00E17E8F" w:rsidRPr="000269ED">
        <w:t xml:space="preserve">  </w:t>
      </w:r>
      <w:r w:rsidR="00A014D6" w:rsidRPr="000269ED">
        <w:t>Compliance with terms and conditions of grants of financial assistance</w:t>
      </w:r>
    </w:p>
    <w:p w14:paraId="10644B61" w14:textId="77777777" w:rsidR="00E17E8F" w:rsidRPr="000269ED" w:rsidRDefault="008C31E2" w:rsidP="003203E3">
      <w:pPr>
        <w:pStyle w:val="Item"/>
      </w:pPr>
      <w:r w:rsidRPr="000269ED">
        <w:t>Subsection 5</w:t>
      </w:r>
      <w:r w:rsidR="00E17E8F" w:rsidRPr="000269ED">
        <w:t>6</w:t>
      </w:r>
      <w:r w:rsidR="00592E1B" w:rsidRPr="000269ED">
        <w:t>(2A)</w:t>
      </w:r>
      <w:r w:rsidR="00E17E8F" w:rsidRPr="000269ED">
        <w:t xml:space="preserve"> of the OTA Act, as </w:t>
      </w:r>
      <w:r w:rsidR="00592E1B" w:rsidRPr="000269ED">
        <w:t>inserted</w:t>
      </w:r>
      <w:r w:rsidR="00E17E8F" w:rsidRPr="000269ED">
        <w:t xml:space="preserve"> by </w:t>
      </w:r>
      <w:r w:rsidRPr="000269ED">
        <w:t>Schedule 1</w:t>
      </w:r>
      <w:r w:rsidR="00E17E8F" w:rsidRPr="000269ED">
        <w:t xml:space="preserve"> to this Act, applies in relation to</w:t>
      </w:r>
      <w:r w:rsidR="0047297C" w:rsidRPr="000269ED">
        <w:t xml:space="preserve"> the terms and conditions </w:t>
      </w:r>
      <w:r w:rsidR="005174A6" w:rsidRPr="000269ED">
        <w:t xml:space="preserve">set out in </w:t>
      </w:r>
      <w:r w:rsidR="0047297C" w:rsidRPr="000269ED">
        <w:t xml:space="preserve">an agreement </w:t>
      </w:r>
      <w:r w:rsidR="00435D4A" w:rsidRPr="000269ED">
        <w:t xml:space="preserve">that is </w:t>
      </w:r>
      <w:r w:rsidR="0047297C" w:rsidRPr="000269ED">
        <w:t>entered into</w:t>
      </w:r>
      <w:r w:rsidR="00E17E8F" w:rsidRPr="000269ED">
        <w:t xml:space="preserve"> after the commencement time.</w:t>
      </w:r>
    </w:p>
    <w:p w14:paraId="72AC8CCB" w14:textId="77777777" w:rsidR="008D1118" w:rsidRPr="000269ED" w:rsidRDefault="002A52E6" w:rsidP="003203E3">
      <w:pPr>
        <w:pStyle w:val="Transitional"/>
      </w:pPr>
      <w:r w:rsidRPr="000269ED">
        <w:t>9</w:t>
      </w:r>
      <w:r w:rsidR="00C3582E" w:rsidRPr="000269ED">
        <w:t xml:space="preserve">  </w:t>
      </w:r>
      <w:r w:rsidR="00236074" w:rsidRPr="000269ED">
        <w:t>Protection</w:t>
      </w:r>
      <w:r w:rsidR="00C3582E" w:rsidRPr="000269ED">
        <w:t xml:space="preserve"> of </w:t>
      </w:r>
      <w:r w:rsidR="00236074" w:rsidRPr="000269ED">
        <w:t>patient confidentiality</w:t>
      </w:r>
    </w:p>
    <w:p w14:paraId="60A24FAA" w14:textId="77777777" w:rsidR="00E57BCC" w:rsidRPr="000269ED" w:rsidRDefault="008C31E2" w:rsidP="003203E3">
      <w:pPr>
        <w:pStyle w:val="Item"/>
      </w:pPr>
      <w:r w:rsidRPr="000269ED">
        <w:t>Section 5</w:t>
      </w:r>
      <w:r w:rsidR="00C325B8" w:rsidRPr="000269ED">
        <w:t>8</w:t>
      </w:r>
      <w:r w:rsidR="00E57BCC" w:rsidRPr="000269ED">
        <w:t xml:space="preserve"> of the OTA Act, as amended by </w:t>
      </w:r>
      <w:r w:rsidRPr="000269ED">
        <w:t>Schedule 1</w:t>
      </w:r>
      <w:r w:rsidR="00E57BCC" w:rsidRPr="000269ED">
        <w:t xml:space="preserve"> </w:t>
      </w:r>
      <w:r w:rsidR="00FC7B47" w:rsidRPr="000269ED">
        <w:t>to</w:t>
      </w:r>
      <w:r w:rsidR="00E57BCC" w:rsidRPr="000269ED">
        <w:t xml:space="preserve"> this Act, applies in relation</w:t>
      </w:r>
      <w:r w:rsidR="00236074" w:rsidRPr="000269ED">
        <w:t xml:space="preserve"> to</w:t>
      </w:r>
      <w:r w:rsidR="00453CE2" w:rsidRPr="000269ED">
        <w:t xml:space="preserve"> information </w:t>
      </w:r>
      <w:r w:rsidR="00236074" w:rsidRPr="000269ED">
        <w:t xml:space="preserve">that </w:t>
      </w:r>
      <w:r w:rsidR="00453CE2" w:rsidRPr="000269ED">
        <w:t>was obtained</w:t>
      </w:r>
      <w:r w:rsidR="00E57BCC" w:rsidRPr="000269ED">
        <w:t xml:space="preserve"> before or after th</w:t>
      </w:r>
      <w:r w:rsidR="00236074" w:rsidRPr="000269ED">
        <w:t>e</w:t>
      </w:r>
      <w:r w:rsidR="00453CE2" w:rsidRPr="000269ED">
        <w:t xml:space="preserve"> commencement</w:t>
      </w:r>
      <w:r w:rsidR="00236074" w:rsidRPr="000269ED">
        <w:t xml:space="preserve"> </w:t>
      </w:r>
      <w:r w:rsidR="00CD481D" w:rsidRPr="000269ED">
        <w:t>time</w:t>
      </w:r>
      <w:r w:rsidR="00E57BCC" w:rsidRPr="000269ED">
        <w:t>.</w:t>
      </w:r>
    </w:p>
    <w:p w14:paraId="4DD719C7" w14:textId="77777777" w:rsidR="00255F52" w:rsidRPr="000269ED" w:rsidRDefault="002A52E6" w:rsidP="003203E3">
      <w:pPr>
        <w:pStyle w:val="Transitional"/>
      </w:pPr>
      <w:r w:rsidRPr="000269ED">
        <w:t>10</w:t>
      </w:r>
      <w:r w:rsidR="00255F52" w:rsidRPr="000269ED">
        <w:t xml:space="preserve">  Annual report</w:t>
      </w:r>
      <w:r w:rsidR="00CD481D" w:rsidRPr="000269ED">
        <w:t xml:space="preserve"> etc.</w:t>
      </w:r>
    </w:p>
    <w:p w14:paraId="5004CC25" w14:textId="77777777" w:rsidR="00193270" w:rsidRPr="000269ED" w:rsidRDefault="009C3BF7" w:rsidP="003203E3">
      <w:pPr>
        <w:pStyle w:val="Item"/>
      </w:pPr>
      <w:r w:rsidRPr="000269ED">
        <w:t xml:space="preserve">For the purposes of </w:t>
      </w:r>
      <w:r w:rsidR="008C31E2" w:rsidRPr="000269ED">
        <w:t>sections 3</w:t>
      </w:r>
      <w:r w:rsidR="000A6CF9" w:rsidRPr="000269ED">
        <w:t xml:space="preserve">9, </w:t>
      </w:r>
      <w:r w:rsidR="00A16A9D" w:rsidRPr="000269ED">
        <w:t>42</w:t>
      </w:r>
      <w:r w:rsidR="000A6CF9" w:rsidRPr="000269ED">
        <w:t xml:space="preserve"> </w:t>
      </w:r>
      <w:r w:rsidRPr="000269ED">
        <w:t xml:space="preserve">and 46 </w:t>
      </w:r>
      <w:r w:rsidR="000A6CF9" w:rsidRPr="000269ED">
        <w:t xml:space="preserve">of the </w:t>
      </w:r>
      <w:r w:rsidR="000A6CF9" w:rsidRPr="000269ED">
        <w:rPr>
          <w:i/>
        </w:rPr>
        <w:t>Public Governance, Performance and Accountability Act 2013</w:t>
      </w:r>
      <w:r w:rsidR="000A6CF9" w:rsidRPr="000269ED">
        <w:t>, and rules made for the purposes of those sections, the CEO is the accountable authority in relation to</w:t>
      </w:r>
      <w:r w:rsidR="00193270" w:rsidRPr="000269ED">
        <w:t xml:space="preserve"> the following reporting periods for the Authority:</w:t>
      </w:r>
    </w:p>
    <w:p w14:paraId="63189403" w14:textId="77777777" w:rsidR="00193270" w:rsidRPr="000269ED" w:rsidRDefault="00193270" w:rsidP="003203E3">
      <w:pPr>
        <w:pStyle w:val="paragraph"/>
      </w:pPr>
      <w:r w:rsidRPr="000269ED">
        <w:tab/>
        <w:t>(a)</w:t>
      </w:r>
      <w:r w:rsidRPr="000269ED">
        <w:tab/>
        <w:t xml:space="preserve">the reporting period commencing on </w:t>
      </w:r>
      <w:r w:rsidR="008C31E2" w:rsidRPr="000269ED">
        <w:t>1 July</w:t>
      </w:r>
      <w:r w:rsidRPr="000269ED">
        <w:t xml:space="preserve"> 2021;</w:t>
      </w:r>
    </w:p>
    <w:p w14:paraId="40F3187F" w14:textId="77777777" w:rsidR="00193270" w:rsidRPr="000269ED" w:rsidRDefault="00193270" w:rsidP="003203E3">
      <w:pPr>
        <w:pStyle w:val="paragraph"/>
      </w:pPr>
      <w:r w:rsidRPr="000269ED">
        <w:tab/>
        <w:t>(b)</w:t>
      </w:r>
      <w:r w:rsidRPr="000269ED">
        <w:tab/>
        <w:t>each later reporting period.</w:t>
      </w:r>
    </w:p>
    <w:p w14:paraId="48FF9F12" w14:textId="77777777" w:rsidR="00B923DF" w:rsidRPr="000269ED" w:rsidRDefault="002A52E6" w:rsidP="003203E3">
      <w:pPr>
        <w:pStyle w:val="Transitional"/>
      </w:pPr>
      <w:r w:rsidRPr="000269ED">
        <w:t>11</w:t>
      </w:r>
      <w:r w:rsidR="00B923DF" w:rsidRPr="000269ED">
        <w:t xml:space="preserve">  Transitional </w:t>
      </w:r>
      <w:r w:rsidR="00B323EE" w:rsidRPr="000269ED">
        <w:t>rules</w:t>
      </w:r>
    </w:p>
    <w:p w14:paraId="118654B3" w14:textId="77777777" w:rsidR="00B923DF" w:rsidRPr="000269ED" w:rsidRDefault="00B323EE" w:rsidP="003203E3">
      <w:pPr>
        <w:pStyle w:val="Subitem"/>
      </w:pPr>
      <w:r w:rsidRPr="000269ED">
        <w:t>(1)</w:t>
      </w:r>
      <w:r w:rsidRPr="000269ED">
        <w:tab/>
        <w:t xml:space="preserve">The Minister may, by legislative instrument, make rules prescribing matters of a transitional nature (including prescribing any saving or </w:t>
      </w:r>
      <w:r w:rsidRPr="000269ED">
        <w:lastRenderedPageBreak/>
        <w:t>application provisions) relating to the amendments or repeals made by this Act.</w:t>
      </w:r>
    </w:p>
    <w:p w14:paraId="696C24BA" w14:textId="77777777" w:rsidR="00B923DF" w:rsidRPr="000269ED" w:rsidRDefault="00B923DF" w:rsidP="003203E3">
      <w:pPr>
        <w:pStyle w:val="Subitem"/>
      </w:pPr>
      <w:r w:rsidRPr="000269ED">
        <w:t>(2)</w:t>
      </w:r>
      <w:r w:rsidRPr="000269ED">
        <w:tab/>
        <w:t>To avoid doubt, the rules may not do the following:</w:t>
      </w:r>
    </w:p>
    <w:p w14:paraId="74C9DB45" w14:textId="77777777" w:rsidR="00B923DF" w:rsidRPr="000269ED" w:rsidRDefault="00B923DF" w:rsidP="003203E3">
      <w:pPr>
        <w:pStyle w:val="paragraph"/>
      </w:pPr>
      <w:r w:rsidRPr="000269ED">
        <w:tab/>
        <w:t>(a)</w:t>
      </w:r>
      <w:r w:rsidRPr="000269ED">
        <w:tab/>
        <w:t>create an offence or civil penalty;</w:t>
      </w:r>
    </w:p>
    <w:p w14:paraId="7EEDCEE3" w14:textId="77777777" w:rsidR="00B923DF" w:rsidRPr="000269ED" w:rsidRDefault="00B923DF" w:rsidP="003203E3">
      <w:pPr>
        <w:pStyle w:val="paragraph"/>
      </w:pPr>
      <w:r w:rsidRPr="000269ED">
        <w:tab/>
        <w:t>(b)</w:t>
      </w:r>
      <w:r w:rsidRPr="000269ED">
        <w:tab/>
        <w:t>provide powers of:</w:t>
      </w:r>
    </w:p>
    <w:p w14:paraId="0426DF2B" w14:textId="77777777" w:rsidR="00B923DF" w:rsidRPr="000269ED" w:rsidRDefault="00B923DF" w:rsidP="003203E3">
      <w:pPr>
        <w:pStyle w:val="paragraphsub"/>
      </w:pPr>
      <w:r w:rsidRPr="000269ED">
        <w:tab/>
        <w:t>(i)</w:t>
      </w:r>
      <w:r w:rsidRPr="000269ED">
        <w:tab/>
        <w:t>arrest or detention; or</w:t>
      </w:r>
    </w:p>
    <w:p w14:paraId="624C1C1B" w14:textId="77777777" w:rsidR="00B923DF" w:rsidRPr="000269ED" w:rsidRDefault="00B923DF" w:rsidP="003203E3">
      <w:pPr>
        <w:pStyle w:val="paragraphsub"/>
      </w:pPr>
      <w:r w:rsidRPr="000269ED">
        <w:tab/>
        <w:t>(ii)</w:t>
      </w:r>
      <w:r w:rsidRPr="000269ED">
        <w:tab/>
        <w:t>entry, search or seizure;</w:t>
      </w:r>
    </w:p>
    <w:p w14:paraId="1CDF2D73" w14:textId="77777777" w:rsidR="00B923DF" w:rsidRPr="000269ED" w:rsidRDefault="00B923DF" w:rsidP="003203E3">
      <w:pPr>
        <w:pStyle w:val="paragraph"/>
      </w:pPr>
      <w:r w:rsidRPr="000269ED">
        <w:tab/>
        <w:t>(c)</w:t>
      </w:r>
      <w:r w:rsidRPr="000269ED">
        <w:tab/>
        <w:t>impose a tax;</w:t>
      </w:r>
    </w:p>
    <w:p w14:paraId="38DF4EFF" w14:textId="77777777" w:rsidR="00B923DF" w:rsidRPr="000269ED" w:rsidRDefault="00B923DF" w:rsidP="003203E3">
      <w:pPr>
        <w:pStyle w:val="paragraph"/>
      </w:pPr>
      <w:r w:rsidRPr="000269ED">
        <w:tab/>
        <w:t>(d)</w:t>
      </w:r>
      <w:r w:rsidRPr="000269ED">
        <w:tab/>
        <w:t>set an amount to be appropriated from the Consolidated Revenue Fund under an appropriation in this Act;</w:t>
      </w:r>
    </w:p>
    <w:p w14:paraId="69E66BA5" w14:textId="77777777" w:rsidR="00B923DF" w:rsidRPr="000269ED" w:rsidRDefault="00B923DF" w:rsidP="003203E3">
      <w:pPr>
        <w:pStyle w:val="paragraph"/>
      </w:pPr>
      <w:r w:rsidRPr="000269ED">
        <w:tab/>
        <w:t>(e)</w:t>
      </w:r>
      <w:r w:rsidRPr="000269ED">
        <w:tab/>
        <w:t>direc</w:t>
      </w:r>
      <w:r w:rsidR="00B323EE" w:rsidRPr="000269ED">
        <w:t>tly amend the text of this Act.</w:t>
      </w:r>
    </w:p>
    <w:p w14:paraId="47BC7F12" w14:textId="4C95ECED" w:rsidR="00900874" w:rsidRDefault="00B323EE" w:rsidP="003203E3">
      <w:pPr>
        <w:pStyle w:val="Subitem"/>
      </w:pPr>
      <w:r w:rsidRPr="000269ED">
        <w:t>(3)</w:t>
      </w:r>
      <w:r w:rsidRPr="000269ED">
        <w:tab/>
        <w:t>This Schedule (other than subitem (2)) does not limit the rules that may be made for the purposes of subitem (1).</w:t>
      </w:r>
    </w:p>
    <w:p w14:paraId="353A062A" w14:textId="77777777" w:rsidR="00361143" w:rsidRPr="00956D4E" w:rsidRDefault="00361143" w:rsidP="00361143"/>
    <w:p w14:paraId="0E0B5B44" w14:textId="77777777" w:rsidR="00361143" w:rsidRDefault="00361143" w:rsidP="00361143">
      <w:pPr>
        <w:pStyle w:val="AssentBk"/>
        <w:keepNext/>
      </w:pPr>
    </w:p>
    <w:p w14:paraId="64B909A8" w14:textId="77777777" w:rsidR="00361143" w:rsidRDefault="00361143" w:rsidP="00361143">
      <w:pPr>
        <w:pStyle w:val="AssentBk"/>
        <w:keepNext/>
      </w:pPr>
    </w:p>
    <w:p w14:paraId="29B45696" w14:textId="77777777" w:rsidR="00361143" w:rsidRDefault="00361143" w:rsidP="00361143">
      <w:pPr>
        <w:pStyle w:val="2ndRd"/>
        <w:keepNext/>
        <w:pBdr>
          <w:top w:val="single" w:sz="2" w:space="1" w:color="auto"/>
        </w:pBdr>
      </w:pPr>
    </w:p>
    <w:p w14:paraId="72D14341" w14:textId="77777777" w:rsidR="00361143" w:rsidRDefault="0036114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10E14D0" w14:textId="3EC70F8F" w:rsidR="00361143" w:rsidRDefault="003611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June 2021</w:t>
      </w:r>
    </w:p>
    <w:p w14:paraId="744167AB" w14:textId="5EE32BA6" w:rsidR="00361143" w:rsidRDefault="003611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August 2021</w:t>
      </w:r>
      <w:r>
        <w:t>]</w:t>
      </w:r>
    </w:p>
    <w:p w14:paraId="0C3311D8" w14:textId="77777777" w:rsidR="00361143" w:rsidRDefault="00361143" w:rsidP="000C5962"/>
    <w:p w14:paraId="4CCDFD2C" w14:textId="37565149" w:rsidR="0092794C" w:rsidRPr="00361143" w:rsidRDefault="00361143" w:rsidP="00361143">
      <w:pPr>
        <w:framePr w:hSpace="180" w:wrap="around" w:vAnchor="text" w:hAnchor="page" w:x="2410" w:y="4276"/>
      </w:pPr>
      <w:r>
        <w:t>(72/21)</w:t>
      </w:r>
    </w:p>
    <w:p w14:paraId="58EDD6CD" w14:textId="77777777" w:rsidR="00361143" w:rsidRDefault="00361143"/>
    <w:sectPr w:rsidR="00361143" w:rsidSect="009279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D71C" w14:textId="77777777" w:rsidR="00AB4053" w:rsidRDefault="00AB4053" w:rsidP="0048364F">
      <w:pPr>
        <w:spacing w:line="240" w:lineRule="auto"/>
      </w:pPr>
      <w:r>
        <w:separator/>
      </w:r>
    </w:p>
  </w:endnote>
  <w:endnote w:type="continuationSeparator" w:id="0">
    <w:p w14:paraId="4772EB0D" w14:textId="77777777" w:rsidR="00AB4053" w:rsidRDefault="00AB40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C707" w14:textId="77777777" w:rsidR="00AB4053" w:rsidRPr="005F1388" w:rsidRDefault="00AB4053" w:rsidP="00320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0678" w14:textId="43306DD0" w:rsidR="00361143" w:rsidRDefault="0036114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75BFDD1" w14:textId="77777777" w:rsidR="00361143" w:rsidRDefault="00361143" w:rsidP="00CD12A5"/>
  <w:p w14:paraId="0A8B749D" w14:textId="2272B2D3" w:rsidR="00AB4053" w:rsidRDefault="00AB4053" w:rsidP="003203E3">
    <w:pPr>
      <w:pStyle w:val="Footer"/>
      <w:spacing w:before="120"/>
    </w:pPr>
  </w:p>
  <w:p w14:paraId="2305682E" w14:textId="77777777" w:rsidR="00AB4053" w:rsidRPr="005F1388" w:rsidRDefault="00AB405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B353" w14:textId="77777777" w:rsidR="00AB4053" w:rsidRPr="00ED79B6" w:rsidRDefault="00AB4053" w:rsidP="003203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E163" w14:textId="77777777" w:rsidR="00AB4053" w:rsidRDefault="00AB4053" w:rsidP="00320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B4053" w14:paraId="09568C70" w14:textId="77777777" w:rsidTr="00D102D0">
      <w:tc>
        <w:tcPr>
          <w:tcW w:w="646" w:type="dxa"/>
        </w:tcPr>
        <w:p w14:paraId="0D6F6D1B" w14:textId="77777777" w:rsidR="00AB4053" w:rsidRDefault="00AB4053" w:rsidP="00D102D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6B96BFF" w14:textId="56D54CE9" w:rsidR="00AB4053" w:rsidRDefault="00AB4053" w:rsidP="00D102D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Australian Organ and Tissue Donation and Transplantation Authority Amendment (Governance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270B82F" w14:textId="6C20B27C" w:rsidR="00AB4053" w:rsidRDefault="00AB4053" w:rsidP="00D102D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No. 89,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56625A" w14:textId="77777777" w:rsidR="00AB4053" w:rsidRDefault="00AB40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08FC" w14:textId="77777777" w:rsidR="00AB4053" w:rsidRDefault="00AB4053" w:rsidP="00320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4053" w14:paraId="1CBBD95B" w14:textId="77777777" w:rsidTr="00D102D0">
      <w:tc>
        <w:tcPr>
          <w:tcW w:w="1247" w:type="dxa"/>
        </w:tcPr>
        <w:p w14:paraId="67E65FFF" w14:textId="7B677BB8" w:rsidR="00AB4053" w:rsidRDefault="00AB4053" w:rsidP="00D102D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No. 89,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FD992C" w14:textId="09EF6340" w:rsidR="00AB4053" w:rsidRDefault="00AB4053" w:rsidP="00D102D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Australian Organ and Tissue Donation and Transplantation Authority Amendment (Governance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AE9F72A" w14:textId="77777777" w:rsidR="00AB4053" w:rsidRDefault="00AB4053" w:rsidP="00D102D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6F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8E3C64" w14:textId="77777777" w:rsidR="00AB4053" w:rsidRPr="00ED79B6" w:rsidRDefault="00AB405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B80C" w14:textId="77777777" w:rsidR="00AB4053" w:rsidRPr="00A961C4" w:rsidRDefault="00AB4053" w:rsidP="003203E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B4053" w14:paraId="049A6BBE" w14:textId="77777777" w:rsidTr="000269ED">
      <w:tc>
        <w:tcPr>
          <w:tcW w:w="646" w:type="dxa"/>
        </w:tcPr>
        <w:p w14:paraId="2ED766F9" w14:textId="77777777" w:rsidR="00AB4053" w:rsidRDefault="00AB4053" w:rsidP="00D102D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FB7">
            <w:rPr>
              <w:i/>
              <w:noProof/>
              <w:sz w:val="18"/>
            </w:rPr>
            <w:t>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896244B" w14:textId="31AB7CC7" w:rsidR="00AB4053" w:rsidRDefault="00AB4053" w:rsidP="00D102D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Australian Organ and Tissue Donation and Transplantation Authority Amendment (Governance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2FB0FCF" w14:textId="6BEC11CC" w:rsidR="00AB4053" w:rsidRDefault="00AB4053" w:rsidP="00D102D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No. 89,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3240EF2" w14:textId="77777777" w:rsidR="00AB4053" w:rsidRPr="00A961C4" w:rsidRDefault="00AB405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1B57" w14:textId="77777777" w:rsidR="00AB4053" w:rsidRPr="00A961C4" w:rsidRDefault="00AB4053" w:rsidP="00320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B4053" w14:paraId="677782A1" w14:textId="77777777" w:rsidTr="000269ED">
      <w:tc>
        <w:tcPr>
          <w:tcW w:w="1247" w:type="dxa"/>
        </w:tcPr>
        <w:p w14:paraId="1113DE6E" w14:textId="26092B9B" w:rsidR="00AB4053" w:rsidRDefault="00AB4053" w:rsidP="00D102D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No. 89,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248E552" w14:textId="036BEBCA" w:rsidR="00AB4053" w:rsidRDefault="00AB4053" w:rsidP="00D102D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Australian Organ and Tissue Donation and Transplantation Authority Amendment (Governance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1925FF2" w14:textId="77777777" w:rsidR="00AB4053" w:rsidRDefault="00AB4053" w:rsidP="00D102D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FB7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EDB51C6" w14:textId="77777777" w:rsidR="00AB4053" w:rsidRPr="00055B5C" w:rsidRDefault="00AB405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4230" w14:textId="77777777" w:rsidR="00AB4053" w:rsidRPr="00A961C4" w:rsidRDefault="00AB4053" w:rsidP="003203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5"/>
      <w:gridCol w:w="653"/>
    </w:tblGrid>
    <w:tr w:rsidR="00AB4053" w14:paraId="02A2F005" w14:textId="77777777" w:rsidTr="000269ED">
      <w:tc>
        <w:tcPr>
          <w:tcW w:w="1247" w:type="dxa"/>
        </w:tcPr>
        <w:p w14:paraId="6734EE59" w14:textId="0D3034F3" w:rsidR="00AB4053" w:rsidRDefault="00AB4053" w:rsidP="00D102D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No. 89,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A8AE09" w14:textId="037DBB70" w:rsidR="00AB4053" w:rsidRDefault="00AB4053" w:rsidP="00D102D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C29C8">
            <w:rPr>
              <w:i/>
              <w:sz w:val="18"/>
            </w:rPr>
            <w:t>Australian Organ and Tissue Donation and Transplantation Authority Amendment (Governance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6298A15" w14:textId="77777777" w:rsidR="00AB4053" w:rsidRDefault="00AB4053" w:rsidP="00D102D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46FB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DE9F9F" w14:textId="77777777" w:rsidR="00AB4053" w:rsidRPr="00A961C4" w:rsidRDefault="00AB405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C29F8" w14:textId="77777777" w:rsidR="00AB4053" w:rsidRDefault="00AB4053" w:rsidP="0048364F">
      <w:pPr>
        <w:spacing w:line="240" w:lineRule="auto"/>
      </w:pPr>
      <w:r>
        <w:separator/>
      </w:r>
    </w:p>
  </w:footnote>
  <w:footnote w:type="continuationSeparator" w:id="0">
    <w:p w14:paraId="3F66747F" w14:textId="77777777" w:rsidR="00AB4053" w:rsidRDefault="00AB40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3BE0" w14:textId="77777777" w:rsidR="00AB4053" w:rsidRPr="005F1388" w:rsidRDefault="00AB405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2185" w14:textId="77777777" w:rsidR="00AB4053" w:rsidRPr="005F1388" w:rsidRDefault="00AB405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D49F" w14:textId="77777777" w:rsidR="00AB4053" w:rsidRPr="005F1388" w:rsidRDefault="00AB405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F0DA" w14:textId="77777777" w:rsidR="00AB4053" w:rsidRPr="00ED79B6" w:rsidRDefault="00AB405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601B" w14:textId="77777777" w:rsidR="00AB4053" w:rsidRPr="00ED79B6" w:rsidRDefault="00AB405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F1EA" w14:textId="77777777" w:rsidR="00AB4053" w:rsidRPr="00ED79B6" w:rsidRDefault="00AB405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C77" w14:textId="7D974544" w:rsidR="00AB4053" w:rsidRPr="00A961C4" w:rsidRDefault="00AB40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234E">
      <w:rPr>
        <w:b/>
        <w:sz w:val="20"/>
      </w:rPr>
      <w:fldChar w:fldCharType="separate"/>
    </w:r>
    <w:r w:rsidR="00AF23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F234E">
      <w:rPr>
        <w:sz w:val="20"/>
      </w:rPr>
      <w:fldChar w:fldCharType="separate"/>
    </w:r>
    <w:r w:rsidR="00AF234E">
      <w:rPr>
        <w:noProof/>
        <w:sz w:val="20"/>
      </w:rPr>
      <w:t>Amendments</w:t>
    </w:r>
    <w:r>
      <w:rPr>
        <w:sz w:val="20"/>
      </w:rPr>
      <w:fldChar w:fldCharType="end"/>
    </w:r>
  </w:p>
  <w:p w14:paraId="373DFCFD" w14:textId="7316E47A" w:rsidR="00AB4053" w:rsidRPr="00A961C4" w:rsidRDefault="00AB405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1F52BF" w14:textId="77777777" w:rsidR="00AB4053" w:rsidRPr="00A961C4" w:rsidRDefault="00AB405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7640" w14:textId="137298FA" w:rsidR="00AB4053" w:rsidRPr="00A961C4" w:rsidRDefault="00AB405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445275" w14:textId="4EB954D6" w:rsidR="00AB4053" w:rsidRPr="00A961C4" w:rsidRDefault="00AB405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1C5136" w14:textId="77777777" w:rsidR="00AB4053" w:rsidRPr="00A961C4" w:rsidRDefault="00AB405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0212" w14:textId="77777777" w:rsidR="00AB4053" w:rsidRPr="00A961C4" w:rsidRDefault="00AB405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1D239EB"/>
    <w:multiLevelType w:val="hybridMultilevel"/>
    <w:tmpl w:val="675A6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74"/>
    <w:rsid w:val="000113BC"/>
    <w:rsid w:val="000136AF"/>
    <w:rsid w:val="00014C88"/>
    <w:rsid w:val="00015DC1"/>
    <w:rsid w:val="0002125C"/>
    <w:rsid w:val="0002222A"/>
    <w:rsid w:val="000269ED"/>
    <w:rsid w:val="000358B0"/>
    <w:rsid w:val="000417C9"/>
    <w:rsid w:val="00055B5C"/>
    <w:rsid w:val="00056391"/>
    <w:rsid w:val="00060FF9"/>
    <w:rsid w:val="000614BF"/>
    <w:rsid w:val="00071CF6"/>
    <w:rsid w:val="00072FA9"/>
    <w:rsid w:val="00086D63"/>
    <w:rsid w:val="00090D6A"/>
    <w:rsid w:val="00092B32"/>
    <w:rsid w:val="000A2701"/>
    <w:rsid w:val="000A6CF9"/>
    <w:rsid w:val="000B1FD2"/>
    <w:rsid w:val="000B44CF"/>
    <w:rsid w:val="000B5C47"/>
    <w:rsid w:val="000D05EF"/>
    <w:rsid w:val="000D3210"/>
    <w:rsid w:val="000F21C1"/>
    <w:rsid w:val="000F316E"/>
    <w:rsid w:val="000F75EC"/>
    <w:rsid w:val="00101D90"/>
    <w:rsid w:val="00104915"/>
    <w:rsid w:val="0010745C"/>
    <w:rsid w:val="001101B4"/>
    <w:rsid w:val="00113B05"/>
    <w:rsid w:val="00113BD1"/>
    <w:rsid w:val="00122206"/>
    <w:rsid w:val="001345BD"/>
    <w:rsid w:val="00134DAD"/>
    <w:rsid w:val="00135231"/>
    <w:rsid w:val="0014784A"/>
    <w:rsid w:val="0015646E"/>
    <w:rsid w:val="00157824"/>
    <w:rsid w:val="001637D4"/>
    <w:rsid w:val="001643C9"/>
    <w:rsid w:val="00165568"/>
    <w:rsid w:val="00166C2F"/>
    <w:rsid w:val="001716C9"/>
    <w:rsid w:val="00173363"/>
    <w:rsid w:val="00173B94"/>
    <w:rsid w:val="00182C10"/>
    <w:rsid w:val="001854B4"/>
    <w:rsid w:val="00187CA2"/>
    <w:rsid w:val="00193270"/>
    <w:rsid w:val="001939E1"/>
    <w:rsid w:val="00195382"/>
    <w:rsid w:val="001A2664"/>
    <w:rsid w:val="001A3658"/>
    <w:rsid w:val="001A6E00"/>
    <w:rsid w:val="001A759A"/>
    <w:rsid w:val="001B2190"/>
    <w:rsid w:val="001B25D5"/>
    <w:rsid w:val="001B4D28"/>
    <w:rsid w:val="001B633C"/>
    <w:rsid w:val="001B7A5D"/>
    <w:rsid w:val="001C2418"/>
    <w:rsid w:val="001C44BB"/>
    <w:rsid w:val="001C69C4"/>
    <w:rsid w:val="001D1EFD"/>
    <w:rsid w:val="001D209D"/>
    <w:rsid w:val="001E3590"/>
    <w:rsid w:val="001E4840"/>
    <w:rsid w:val="001E5723"/>
    <w:rsid w:val="001E7407"/>
    <w:rsid w:val="001F1430"/>
    <w:rsid w:val="001F6CB2"/>
    <w:rsid w:val="001F6D69"/>
    <w:rsid w:val="001F6DC8"/>
    <w:rsid w:val="00200F46"/>
    <w:rsid w:val="00201D27"/>
    <w:rsid w:val="00202618"/>
    <w:rsid w:val="00203C8E"/>
    <w:rsid w:val="00216FDE"/>
    <w:rsid w:val="00236074"/>
    <w:rsid w:val="00240749"/>
    <w:rsid w:val="00241E5A"/>
    <w:rsid w:val="00246169"/>
    <w:rsid w:val="00255F52"/>
    <w:rsid w:val="00263820"/>
    <w:rsid w:val="002701D2"/>
    <w:rsid w:val="0027175D"/>
    <w:rsid w:val="0027241E"/>
    <w:rsid w:val="00273432"/>
    <w:rsid w:val="00275197"/>
    <w:rsid w:val="002814CB"/>
    <w:rsid w:val="002871FF"/>
    <w:rsid w:val="0029110D"/>
    <w:rsid w:val="00293B89"/>
    <w:rsid w:val="00297ECB"/>
    <w:rsid w:val="002A52E6"/>
    <w:rsid w:val="002B5A30"/>
    <w:rsid w:val="002C561C"/>
    <w:rsid w:val="002D043A"/>
    <w:rsid w:val="002D395A"/>
    <w:rsid w:val="002F7ABD"/>
    <w:rsid w:val="003203E3"/>
    <w:rsid w:val="00321E85"/>
    <w:rsid w:val="003415D3"/>
    <w:rsid w:val="00345A1D"/>
    <w:rsid w:val="00350417"/>
    <w:rsid w:val="00352B0F"/>
    <w:rsid w:val="00353F90"/>
    <w:rsid w:val="00361143"/>
    <w:rsid w:val="003620E5"/>
    <w:rsid w:val="003624FA"/>
    <w:rsid w:val="00365D63"/>
    <w:rsid w:val="00371C76"/>
    <w:rsid w:val="00372FB0"/>
    <w:rsid w:val="00373874"/>
    <w:rsid w:val="0037388C"/>
    <w:rsid w:val="00375C6C"/>
    <w:rsid w:val="00377BAA"/>
    <w:rsid w:val="003847A8"/>
    <w:rsid w:val="003945B4"/>
    <w:rsid w:val="003A7B3C"/>
    <w:rsid w:val="003B39CF"/>
    <w:rsid w:val="003B4E3D"/>
    <w:rsid w:val="003C29C8"/>
    <w:rsid w:val="003C5F2B"/>
    <w:rsid w:val="003C6843"/>
    <w:rsid w:val="003D0857"/>
    <w:rsid w:val="003D0BFE"/>
    <w:rsid w:val="003D40CC"/>
    <w:rsid w:val="003D5700"/>
    <w:rsid w:val="003E049B"/>
    <w:rsid w:val="003E70D0"/>
    <w:rsid w:val="003E7404"/>
    <w:rsid w:val="003F34C4"/>
    <w:rsid w:val="00402008"/>
    <w:rsid w:val="00405579"/>
    <w:rsid w:val="00410A45"/>
    <w:rsid w:val="00410B8E"/>
    <w:rsid w:val="004116CD"/>
    <w:rsid w:val="004149FB"/>
    <w:rsid w:val="00421FC1"/>
    <w:rsid w:val="004229C7"/>
    <w:rsid w:val="00424CA9"/>
    <w:rsid w:val="0042739F"/>
    <w:rsid w:val="00435460"/>
    <w:rsid w:val="00435D4A"/>
    <w:rsid w:val="00436785"/>
    <w:rsid w:val="00436BD5"/>
    <w:rsid w:val="00437E4B"/>
    <w:rsid w:val="0044291A"/>
    <w:rsid w:val="00445361"/>
    <w:rsid w:val="00445B4E"/>
    <w:rsid w:val="00453CE2"/>
    <w:rsid w:val="00455454"/>
    <w:rsid w:val="00456F82"/>
    <w:rsid w:val="004675E7"/>
    <w:rsid w:val="00467952"/>
    <w:rsid w:val="0047297C"/>
    <w:rsid w:val="0048196B"/>
    <w:rsid w:val="0048364F"/>
    <w:rsid w:val="00486D05"/>
    <w:rsid w:val="0049510B"/>
    <w:rsid w:val="00496F97"/>
    <w:rsid w:val="004A3C92"/>
    <w:rsid w:val="004B3EE5"/>
    <w:rsid w:val="004B6769"/>
    <w:rsid w:val="004C7C8C"/>
    <w:rsid w:val="004D37CE"/>
    <w:rsid w:val="004E2A4A"/>
    <w:rsid w:val="004E2BB9"/>
    <w:rsid w:val="004E50DF"/>
    <w:rsid w:val="004E6085"/>
    <w:rsid w:val="004F0D23"/>
    <w:rsid w:val="004F1FAC"/>
    <w:rsid w:val="004F4D5B"/>
    <w:rsid w:val="004F59F1"/>
    <w:rsid w:val="00502241"/>
    <w:rsid w:val="00505C6F"/>
    <w:rsid w:val="0051492A"/>
    <w:rsid w:val="00515054"/>
    <w:rsid w:val="00516B8D"/>
    <w:rsid w:val="005174A6"/>
    <w:rsid w:val="00517A64"/>
    <w:rsid w:val="00520110"/>
    <w:rsid w:val="00537FBC"/>
    <w:rsid w:val="005407B3"/>
    <w:rsid w:val="005411CB"/>
    <w:rsid w:val="00543469"/>
    <w:rsid w:val="00551B54"/>
    <w:rsid w:val="00570F7E"/>
    <w:rsid w:val="00584811"/>
    <w:rsid w:val="00585173"/>
    <w:rsid w:val="00585617"/>
    <w:rsid w:val="00586C66"/>
    <w:rsid w:val="00592E1B"/>
    <w:rsid w:val="00593AA6"/>
    <w:rsid w:val="00594161"/>
    <w:rsid w:val="00594749"/>
    <w:rsid w:val="005958E5"/>
    <w:rsid w:val="005A0D92"/>
    <w:rsid w:val="005A29E4"/>
    <w:rsid w:val="005A2AB8"/>
    <w:rsid w:val="005B12FE"/>
    <w:rsid w:val="005B4067"/>
    <w:rsid w:val="005C1AEB"/>
    <w:rsid w:val="005C3F41"/>
    <w:rsid w:val="005D285A"/>
    <w:rsid w:val="005D2BB9"/>
    <w:rsid w:val="005D378E"/>
    <w:rsid w:val="005D41B6"/>
    <w:rsid w:val="005D45E6"/>
    <w:rsid w:val="005E152A"/>
    <w:rsid w:val="005E1FA6"/>
    <w:rsid w:val="005E2C12"/>
    <w:rsid w:val="00600219"/>
    <w:rsid w:val="0060504E"/>
    <w:rsid w:val="00614674"/>
    <w:rsid w:val="006167FD"/>
    <w:rsid w:val="00623499"/>
    <w:rsid w:val="00624ECE"/>
    <w:rsid w:val="00626215"/>
    <w:rsid w:val="00626AC9"/>
    <w:rsid w:val="00632CB7"/>
    <w:rsid w:val="00641DE5"/>
    <w:rsid w:val="00642E01"/>
    <w:rsid w:val="006431A7"/>
    <w:rsid w:val="00645F2D"/>
    <w:rsid w:val="00646234"/>
    <w:rsid w:val="00653EFB"/>
    <w:rsid w:val="00656F0C"/>
    <w:rsid w:val="0066729C"/>
    <w:rsid w:val="00672630"/>
    <w:rsid w:val="00677CC2"/>
    <w:rsid w:val="00680054"/>
    <w:rsid w:val="00681F92"/>
    <w:rsid w:val="006832D3"/>
    <w:rsid w:val="006842C2"/>
    <w:rsid w:val="006849F3"/>
    <w:rsid w:val="00685F42"/>
    <w:rsid w:val="0069207B"/>
    <w:rsid w:val="00693E25"/>
    <w:rsid w:val="0069736B"/>
    <w:rsid w:val="006A084C"/>
    <w:rsid w:val="006A4B23"/>
    <w:rsid w:val="006C2874"/>
    <w:rsid w:val="006C39D0"/>
    <w:rsid w:val="006C7F8C"/>
    <w:rsid w:val="006D380D"/>
    <w:rsid w:val="006D5ACC"/>
    <w:rsid w:val="006D62D1"/>
    <w:rsid w:val="006E0135"/>
    <w:rsid w:val="006E27D7"/>
    <w:rsid w:val="006E2C59"/>
    <w:rsid w:val="006E303A"/>
    <w:rsid w:val="006F081F"/>
    <w:rsid w:val="006F14E8"/>
    <w:rsid w:val="006F3ABC"/>
    <w:rsid w:val="006F7E19"/>
    <w:rsid w:val="00700B2C"/>
    <w:rsid w:val="007070C1"/>
    <w:rsid w:val="00710710"/>
    <w:rsid w:val="00712D8D"/>
    <w:rsid w:val="00713084"/>
    <w:rsid w:val="00714B26"/>
    <w:rsid w:val="007215E0"/>
    <w:rsid w:val="007259B4"/>
    <w:rsid w:val="00731E00"/>
    <w:rsid w:val="00735843"/>
    <w:rsid w:val="007371D9"/>
    <w:rsid w:val="007440B7"/>
    <w:rsid w:val="00750143"/>
    <w:rsid w:val="00752C68"/>
    <w:rsid w:val="007634AD"/>
    <w:rsid w:val="00767D29"/>
    <w:rsid w:val="00771030"/>
    <w:rsid w:val="00771198"/>
    <w:rsid w:val="007715C9"/>
    <w:rsid w:val="007731DF"/>
    <w:rsid w:val="007737A6"/>
    <w:rsid w:val="00773B68"/>
    <w:rsid w:val="00774EDD"/>
    <w:rsid w:val="007757EC"/>
    <w:rsid w:val="007864CB"/>
    <w:rsid w:val="00787D93"/>
    <w:rsid w:val="007903E6"/>
    <w:rsid w:val="007972C8"/>
    <w:rsid w:val="007A4795"/>
    <w:rsid w:val="007A6042"/>
    <w:rsid w:val="007A61DC"/>
    <w:rsid w:val="007B30AA"/>
    <w:rsid w:val="007B6A0E"/>
    <w:rsid w:val="007C18EF"/>
    <w:rsid w:val="007E18F6"/>
    <w:rsid w:val="007E1EA3"/>
    <w:rsid w:val="007E3CA8"/>
    <w:rsid w:val="007E7D4A"/>
    <w:rsid w:val="007F1FEC"/>
    <w:rsid w:val="008006CC"/>
    <w:rsid w:val="00801B33"/>
    <w:rsid w:val="0080283D"/>
    <w:rsid w:val="00804D3C"/>
    <w:rsid w:val="00807F18"/>
    <w:rsid w:val="008130C1"/>
    <w:rsid w:val="00814C4F"/>
    <w:rsid w:val="00814CED"/>
    <w:rsid w:val="008169EF"/>
    <w:rsid w:val="0083148C"/>
    <w:rsid w:val="00831E8D"/>
    <w:rsid w:val="008358D6"/>
    <w:rsid w:val="00844A83"/>
    <w:rsid w:val="00845813"/>
    <w:rsid w:val="00846FF0"/>
    <w:rsid w:val="00856A31"/>
    <w:rsid w:val="00857C34"/>
    <w:rsid w:val="00857D6B"/>
    <w:rsid w:val="0086396F"/>
    <w:rsid w:val="00866F8D"/>
    <w:rsid w:val="008754D0"/>
    <w:rsid w:val="00877D48"/>
    <w:rsid w:val="00881E21"/>
    <w:rsid w:val="00882368"/>
    <w:rsid w:val="00883781"/>
    <w:rsid w:val="008850C5"/>
    <w:rsid w:val="00885570"/>
    <w:rsid w:val="00893958"/>
    <w:rsid w:val="00895121"/>
    <w:rsid w:val="008A2E77"/>
    <w:rsid w:val="008A4544"/>
    <w:rsid w:val="008A709E"/>
    <w:rsid w:val="008B6882"/>
    <w:rsid w:val="008C0175"/>
    <w:rsid w:val="008C31E2"/>
    <w:rsid w:val="008C6F6F"/>
    <w:rsid w:val="008D0EE0"/>
    <w:rsid w:val="008D1118"/>
    <w:rsid w:val="008D1DB7"/>
    <w:rsid w:val="008D3E94"/>
    <w:rsid w:val="008E3D02"/>
    <w:rsid w:val="008E46E4"/>
    <w:rsid w:val="008F3353"/>
    <w:rsid w:val="008F4F1C"/>
    <w:rsid w:val="008F77C4"/>
    <w:rsid w:val="00900874"/>
    <w:rsid w:val="009060FD"/>
    <w:rsid w:val="009103F3"/>
    <w:rsid w:val="00914D39"/>
    <w:rsid w:val="00915A4D"/>
    <w:rsid w:val="00921816"/>
    <w:rsid w:val="0092794C"/>
    <w:rsid w:val="00931AA0"/>
    <w:rsid w:val="00932377"/>
    <w:rsid w:val="00941DD7"/>
    <w:rsid w:val="00951779"/>
    <w:rsid w:val="00960F00"/>
    <w:rsid w:val="00963DD9"/>
    <w:rsid w:val="009663BE"/>
    <w:rsid w:val="00967042"/>
    <w:rsid w:val="00967AD9"/>
    <w:rsid w:val="0097787E"/>
    <w:rsid w:val="00982374"/>
    <w:rsid w:val="0098255A"/>
    <w:rsid w:val="009845BE"/>
    <w:rsid w:val="00985753"/>
    <w:rsid w:val="00986FA9"/>
    <w:rsid w:val="00987974"/>
    <w:rsid w:val="00993515"/>
    <w:rsid w:val="00993BEB"/>
    <w:rsid w:val="009969C9"/>
    <w:rsid w:val="009A1F98"/>
    <w:rsid w:val="009C1A2D"/>
    <w:rsid w:val="009C3BF7"/>
    <w:rsid w:val="009D30EA"/>
    <w:rsid w:val="009D7411"/>
    <w:rsid w:val="009E186E"/>
    <w:rsid w:val="009E54E9"/>
    <w:rsid w:val="009E6011"/>
    <w:rsid w:val="009E7553"/>
    <w:rsid w:val="009F574A"/>
    <w:rsid w:val="009F78BF"/>
    <w:rsid w:val="009F7BD0"/>
    <w:rsid w:val="00A014D6"/>
    <w:rsid w:val="00A048FF"/>
    <w:rsid w:val="00A10775"/>
    <w:rsid w:val="00A16A9D"/>
    <w:rsid w:val="00A21754"/>
    <w:rsid w:val="00A218FD"/>
    <w:rsid w:val="00A2242E"/>
    <w:rsid w:val="00A231E2"/>
    <w:rsid w:val="00A23566"/>
    <w:rsid w:val="00A36C48"/>
    <w:rsid w:val="00A41E0B"/>
    <w:rsid w:val="00A43874"/>
    <w:rsid w:val="00A4794B"/>
    <w:rsid w:val="00A534DF"/>
    <w:rsid w:val="00A55631"/>
    <w:rsid w:val="00A64912"/>
    <w:rsid w:val="00A665BE"/>
    <w:rsid w:val="00A70A74"/>
    <w:rsid w:val="00A86BE7"/>
    <w:rsid w:val="00A86D03"/>
    <w:rsid w:val="00A87225"/>
    <w:rsid w:val="00A90450"/>
    <w:rsid w:val="00A91588"/>
    <w:rsid w:val="00A97A94"/>
    <w:rsid w:val="00AA1501"/>
    <w:rsid w:val="00AA3795"/>
    <w:rsid w:val="00AA5B42"/>
    <w:rsid w:val="00AB268F"/>
    <w:rsid w:val="00AB3D0A"/>
    <w:rsid w:val="00AB4053"/>
    <w:rsid w:val="00AB6BFA"/>
    <w:rsid w:val="00AC060A"/>
    <w:rsid w:val="00AC0A48"/>
    <w:rsid w:val="00AC1E75"/>
    <w:rsid w:val="00AC535F"/>
    <w:rsid w:val="00AC614D"/>
    <w:rsid w:val="00AD4C84"/>
    <w:rsid w:val="00AD5641"/>
    <w:rsid w:val="00AD5A29"/>
    <w:rsid w:val="00AE1088"/>
    <w:rsid w:val="00AE544D"/>
    <w:rsid w:val="00AF1BA4"/>
    <w:rsid w:val="00AF1E0B"/>
    <w:rsid w:val="00AF234E"/>
    <w:rsid w:val="00B032D8"/>
    <w:rsid w:val="00B1192F"/>
    <w:rsid w:val="00B20069"/>
    <w:rsid w:val="00B23039"/>
    <w:rsid w:val="00B323EE"/>
    <w:rsid w:val="00B32BE2"/>
    <w:rsid w:val="00B33278"/>
    <w:rsid w:val="00B33980"/>
    <w:rsid w:val="00B33B3C"/>
    <w:rsid w:val="00B45712"/>
    <w:rsid w:val="00B45F3B"/>
    <w:rsid w:val="00B54664"/>
    <w:rsid w:val="00B60D02"/>
    <w:rsid w:val="00B624E6"/>
    <w:rsid w:val="00B6382D"/>
    <w:rsid w:val="00B8000C"/>
    <w:rsid w:val="00B923DF"/>
    <w:rsid w:val="00B94313"/>
    <w:rsid w:val="00BA5026"/>
    <w:rsid w:val="00BA725A"/>
    <w:rsid w:val="00BB000D"/>
    <w:rsid w:val="00BB40BF"/>
    <w:rsid w:val="00BC0CD1"/>
    <w:rsid w:val="00BD7824"/>
    <w:rsid w:val="00BE6CE2"/>
    <w:rsid w:val="00BE719A"/>
    <w:rsid w:val="00BE720A"/>
    <w:rsid w:val="00BF0461"/>
    <w:rsid w:val="00BF183E"/>
    <w:rsid w:val="00BF463C"/>
    <w:rsid w:val="00BF4944"/>
    <w:rsid w:val="00BF56D4"/>
    <w:rsid w:val="00C02F9B"/>
    <w:rsid w:val="00C04409"/>
    <w:rsid w:val="00C067E5"/>
    <w:rsid w:val="00C073C1"/>
    <w:rsid w:val="00C0751D"/>
    <w:rsid w:val="00C1112C"/>
    <w:rsid w:val="00C14E9E"/>
    <w:rsid w:val="00C164CA"/>
    <w:rsid w:val="00C16E98"/>
    <w:rsid w:val="00C176CF"/>
    <w:rsid w:val="00C22FF5"/>
    <w:rsid w:val="00C25985"/>
    <w:rsid w:val="00C275A1"/>
    <w:rsid w:val="00C325B8"/>
    <w:rsid w:val="00C3582E"/>
    <w:rsid w:val="00C42BF8"/>
    <w:rsid w:val="00C460AE"/>
    <w:rsid w:val="00C50043"/>
    <w:rsid w:val="00C54474"/>
    <w:rsid w:val="00C54E84"/>
    <w:rsid w:val="00C6384B"/>
    <w:rsid w:val="00C6701A"/>
    <w:rsid w:val="00C677A2"/>
    <w:rsid w:val="00C72A8A"/>
    <w:rsid w:val="00C7573B"/>
    <w:rsid w:val="00C76CF3"/>
    <w:rsid w:val="00C85686"/>
    <w:rsid w:val="00C8667A"/>
    <w:rsid w:val="00CA15E3"/>
    <w:rsid w:val="00CB0B8C"/>
    <w:rsid w:val="00CB7BEF"/>
    <w:rsid w:val="00CD481D"/>
    <w:rsid w:val="00CD5FA2"/>
    <w:rsid w:val="00CE1E31"/>
    <w:rsid w:val="00CF0BB2"/>
    <w:rsid w:val="00CF57A6"/>
    <w:rsid w:val="00D00EAA"/>
    <w:rsid w:val="00D021FD"/>
    <w:rsid w:val="00D0463C"/>
    <w:rsid w:val="00D07EAC"/>
    <w:rsid w:val="00D102D0"/>
    <w:rsid w:val="00D13441"/>
    <w:rsid w:val="00D150AC"/>
    <w:rsid w:val="00D170B8"/>
    <w:rsid w:val="00D243A3"/>
    <w:rsid w:val="00D33717"/>
    <w:rsid w:val="00D33E99"/>
    <w:rsid w:val="00D34A26"/>
    <w:rsid w:val="00D4219A"/>
    <w:rsid w:val="00D46FB7"/>
    <w:rsid w:val="00D477C3"/>
    <w:rsid w:val="00D52EFE"/>
    <w:rsid w:val="00D5591B"/>
    <w:rsid w:val="00D55E7B"/>
    <w:rsid w:val="00D56565"/>
    <w:rsid w:val="00D575C6"/>
    <w:rsid w:val="00D63EF6"/>
    <w:rsid w:val="00D65018"/>
    <w:rsid w:val="00D70DFB"/>
    <w:rsid w:val="00D73029"/>
    <w:rsid w:val="00D731B5"/>
    <w:rsid w:val="00D766DF"/>
    <w:rsid w:val="00D80C06"/>
    <w:rsid w:val="00D80D14"/>
    <w:rsid w:val="00D8595B"/>
    <w:rsid w:val="00D91B69"/>
    <w:rsid w:val="00D92480"/>
    <w:rsid w:val="00D92B9C"/>
    <w:rsid w:val="00DB2E59"/>
    <w:rsid w:val="00DC3AEE"/>
    <w:rsid w:val="00DC5A56"/>
    <w:rsid w:val="00DC6EE1"/>
    <w:rsid w:val="00DC7095"/>
    <w:rsid w:val="00DC77A0"/>
    <w:rsid w:val="00DD7A67"/>
    <w:rsid w:val="00DE2002"/>
    <w:rsid w:val="00DE23E8"/>
    <w:rsid w:val="00DE41BC"/>
    <w:rsid w:val="00DF238B"/>
    <w:rsid w:val="00DF7AE9"/>
    <w:rsid w:val="00E01361"/>
    <w:rsid w:val="00E0192A"/>
    <w:rsid w:val="00E027F9"/>
    <w:rsid w:val="00E05704"/>
    <w:rsid w:val="00E0571C"/>
    <w:rsid w:val="00E05D1D"/>
    <w:rsid w:val="00E107E9"/>
    <w:rsid w:val="00E135C6"/>
    <w:rsid w:val="00E17E8F"/>
    <w:rsid w:val="00E24D66"/>
    <w:rsid w:val="00E330B7"/>
    <w:rsid w:val="00E54292"/>
    <w:rsid w:val="00E57BCC"/>
    <w:rsid w:val="00E72ABC"/>
    <w:rsid w:val="00E74DC7"/>
    <w:rsid w:val="00E8499C"/>
    <w:rsid w:val="00E84ECA"/>
    <w:rsid w:val="00E87699"/>
    <w:rsid w:val="00E93B86"/>
    <w:rsid w:val="00E947C6"/>
    <w:rsid w:val="00E9615B"/>
    <w:rsid w:val="00EB0D6A"/>
    <w:rsid w:val="00EB1E62"/>
    <w:rsid w:val="00EB47AD"/>
    <w:rsid w:val="00EB510C"/>
    <w:rsid w:val="00EB593C"/>
    <w:rsid w:val="00EB720B"/>
    <w:rsid w:val="00EC5853"/>
    <w:rsid w:val="00EC7393"/>
    <w:rsid w:val="00ED426C"/>
    <w:rsid w:val="00ED492F"/>
    <w:rsid w:val="00EE2CAB"/>
    <w:rsid w:val="00EE3E36"/>
    <w:rsid w:val="00EE3ECA"/>
    <w:rsid w:val="00EE5294"/>
    <w:rsid w:val="00EE5F59"/>
    <w:rsid w:val="00EF0110"/>
    <w:rsid w:val="00EF2E3A"/>
    <w:rsid w:val="00F006D0"/>
    <w:rsid w:val="00F0080A"/>
    <w:rsid w:val="00F047E2"/>
    <w:rsid w:val="00F078DC"/>
    <w:rsid w:val="00F11A6F"/>
    <w:rsid w:val="00F13E86"/>
    <w:rsid w:val="00F17B00"/>
    <w:rsid w:val="00F22672"/>
    <w:rsid w:val="00F2412C"/>
    <w:rsid w:val="00F2454C"/>
    <w:rsid w:val="00F24E25"/>
    <w:rsid w:val="00F2773C"/>
    <w:rsid w:val="00F35F43"/>
    <w:rsid w:val="00F4149D"/>
    <w:rsid w:val="00F47151"/>
    <w:rsid w:val="00F47850"/>
    <w:rsid w:val="00F53278"/>
    <w:rsid w:val="00F57242"/>
    <w:rsid w:val="00F6457F"/>
    <w:rsid w:val="00F677A9"/>
    <w:rsid w:val="00F677EC"/>
    <w:rsid w:val="00F84CF5"/>
    <w:rsid w:val="00F92D35"/>
    <w:rsid w:val="00F95C82"/>
    <w:rsid w:val="00FA1AEA"/>
    <w:rsid w:val="00FA3863"/>
    <w:rsid w:val="00FA420B"/>
    <w:rsid w:val="00FA6230"/>
    <w:rsid w:val="00FB055C"/>
    <w:rsid w:val="00FB4745"/>
    <w:rsid w:val="00FC1AEC"/>
    <w:rsid w:val="00FC2EF4"/>
    <w:rsid w:val="00FC63A4"/>
    <w:rsid w:val="00FC7B47"/>
    <w:rsid w:val="00FD1E13"/>
    <w:rsid w:val="00FD7EB1"/>
    <w:rsid w:val="00FE38EF"/>
    <w:rsid w:val="00FE41C9"/>
    <w:rsid w:val="00FE7F93"/>
    <w:rsid w:val="00FF21DD"/>
    <w:rsid w:val="00FF73A6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  <w14:docId w14:val="23AA0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203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0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0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0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03E3"/>
  </w:style>
  <w:style w:type="paragraph" w:customStyle="1" w:styleId="OPCParaBase">
    <w:name w:val="OPCParaBase"/>
    <w:qFormat/>
    <w:rsid w:val="003203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03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03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3203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03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03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03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03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03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03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03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03E3"/>
  </w:style>
  <w:style w:type="paragraph" w:customStyle="1" w:styleId="Blocks">
    <w:name w:val="Blocks"/>
    <w:aliases w:val="bb"/>
    <w:basedOn w:val="OPCParaBase"/>
    <w:qFormat/>
    <w:rsid w:val="003203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03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03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03E3"/>
    <w:rPr>
      <w:i/>
    </w:rPr>
  </w:style>
  <w:style w:type="paragraph" w:customStyle="1" w:styleId="BoxList">
    <w:name w:val="BoxList"/>
    <w:aliases w:val="bl"/>
    <w:basedOn w:val="BoxText"/>
    <w:qFormat/>
    <w:rsid w:val="003203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03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03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03E3"/>
    <w:pPr>
      <w:ind w:left="1985" w:hanging="851"/>
    </w:pPr>
  </w:style>
  <w:style w:type="character" w:customStyle="1" w:styleId="CharAmPartNo">
    <w:name w:val="CharAmPartNo"/>
    <w:basedOn w:val="OPCCharBase"/>
    <w:qFormat/>
    <w:rsid w:val="003203E3"/>
  </w:style>
  <w:style w:type="character" w:customStyle="1" w:styleId="CharAmPartText">
    <w:name w:val="CharAmPartText"/>
    <w:basedOn w:val="OPCCharBase"/>
    <w:qFormat/>
    <w:rsid w:val="003203E3"/>
  </w:style>
  <w:style w:type="character" w:customStyle="1" w:styleId="CharAmSchNo">
    <w:name w:val="CharAmSchNo"/>
    <w:basedOn w:val="OPCCharBase"/>
    <w:qFormat/>
    <w:rsid w:val="003203E3"/>
  </w:style>
  <w:style w:type="character" w:customStyle="1" w:styleId="CharAmSchText">
    <w:name w:val="CharAmSchText"/>
    <w:basedOn w:val="OPCCharBase"/>
    <w:qFormat/>
    <w:rsid w:val="003203E3"/>
  </w:style>
  <w:style w:type="character" w:customStyle="1" w:styleId="CharBoldItalic">
    <w:name w:val="CharBoldItalic"/>
    <w:basedOn w:val="OPCCharBase"/>
    <w:uiPriority w:val="1"/>
    <w:qFormat/>
    <w:rsid w:val="003203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03E3"/>
  </w:style>
  <w:style w:type="character" w:customStyle="1" w:styleId="CharChapText">
    <w:name w:val="CharChapText"/>
    <w:basedOn w:val="OPCCharBase"/>
    <w:uiPriority w:val="1"/>
    <w:qFormat/>
    <w:rsid w:val="003203E3"/>
  </w:style>
  <w:style w:type="character" w:customStyle="1" w:styleId="CharDivNo">
    <w:name w:val="CharDivNo"/>
    <w:basedOn w:val="OPCCharBase"/>
    <w:uiPriority w:val="1"/>
    <w:qFormat/>
    <w:rsid w:val="003203E3"/>
  </w:style>
  <w:style w:type="character" w:customStyle="1" w:styleId="CharDivText">
    <w:name w:val="CharDivText"/>
    <w:basedOn w:val="OPCCharBase"/>
    <w:uiPriority w:val="1"/>
    <w:qFormat/>
    <w:rsid w:val="003203E3"/>
  </w:style>
  <w:style w:type="character" w:customStyle="1" w:styleId="CharItalic">
    <w:name w:val="CharItalic"/>
    <w:basedOn w:val="OPCCharBase"/>
    <w:uiPriority w:val="1"/>
    <w:qFormat/>
    <w:rsid w:val="003203E3"/>
    <w:rPr>
      <w:i/>
    </w:rPr>
  </w:style>
  <w:style w:type="character" w:customStyle="1" w:styleId="CharPartNo">
    <w:name w:val="CharPartNo"/>
    <w:basedOn w:val="OPCCharBase"/>
    <w:uiPriority w:val="1"/>
    <w:qFormat/>
    <w:rsid w:val="003203E3"/>
  </w:style>
  <w:style w:type="character" w:customStyle="1" w:styleId="CharPartText">
    <w:name w:val="CharPartText"/>
    <w:basedOn w:val="OPCCharBase"/>
    <w:uiPriority w:val="1"/>
    <w:qFormat/>
    <w:rsid w:val="003203E3"/>
  </w:style>
  <w:style w:type="character" w:customStyle="1" w:styleId="CharSectno">
    <w:name w:val="CharSectno"/>
    <w:basedOn w:val="OPCCharBase"/>
    <w:qFormat/>
    <w:rsid w:val="003203E3"/>
  </w:style>
  <w:style w:type="character" w:customStyle="1" w:styleId="CharSubdNo">
    <w:name w:val="CharSubdNo"/>
    <w:basedOn w:val="OPCCharBase"/>
    <w:uiPriority w:val="1"/>
    <w:qFormat/>
    <w:rsid w:val="003203E3"/>
  </w:style>
  <w:style w:type="character" w:customStyle="1" w:styleId="CharSubdText">
    <w:name w:val="CharSubdText"/>
    <w:basedOn w:val="OPCCharBase"/>
    <w:uiPriority w:val="1"/>
    <w:qFormat/>
    <w:rsid w:val="003203E3"/>
  </w:style>
  <w:style w:type="paragraph" w:customStyle="1" w:styleId="CTA--">
    <w:name w:val="CTA --"/>
    <w:basedOn w:val="OPCParaBase"/>
    <w:next w:val="Normal"/>
    <w:rsid w:val="003203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03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03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03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03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03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03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03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03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03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03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03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03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03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203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03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03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03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03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03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03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03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03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03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03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03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03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03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03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03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03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03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03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03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03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203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03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03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03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03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03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03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03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03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03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03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03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03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03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03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03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03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03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03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03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03E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203E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203E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03E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03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03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03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03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03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03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03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03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03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03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03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03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03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03E3"/>
    <w:rPr>
      <w:sz w:val="16"/>
    </w:rPr>
  </w:style>
  <w:style w:type="table" w:customStyle="1" w:styleId="CFlag">
    <w:name w:val="CFlag"/>
    <w:basedOn w:val="TableNormal"/>
    <w:uiPriority w:val="99"/>
    <w:rsid w:val="003203E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03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03E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03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03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03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03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03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03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03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03E3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03E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03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03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03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03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03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03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03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03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03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03E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03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03E3"/>
  </w:style>
  <w:style w:type="character" w:customStyle="1" w:styleId="CharSubPartNoCASA">
    <w:name w:val="CharSubPartNo(CASA)"/>
    <w:basedOn w:val="OPCCharBase"/>
    <w:uiPriority w:val="1"/>
    <w:rsid w:val="003203E3"/>
  </w:style>
  <w:style w:type="paragraph" w:customStyle="1" w:styleId="ENoteTTIndentHeadingSub">
    <w:name w:val="ENoteTTIndentHeadingSub"/>
    <w:aliases w:val="enTTHis"/>
    <w:basedOn w:val="OPCParaBase"/>
    <w:rsid w:val="003203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03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03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03E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203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203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03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03E3"/>
    <w:rPr>
      <w:sz w:val="22"/>
    </w:rPr>
  </w:style>
  <w:style w:type="paragraph" w:customStyle="1" w:styleId="SOTextNote">
    <w:name w:val="SO TextNote"/>
    <w:aliases w:val="sont"/>
    <w:basedOn w:val="SOText"/>
    <w:qFormat/>
    <w:rsid w:val="003203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03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03E3"/>
    <w:rPr>
      <w:sz w:val="22"/>
    </w:rPr>
  </w:style>
  <w:style w:type="paragraph" w:customStyle="1" w:styleId="FileName">
    <w:name w:val="FileName"/>
    <w:basedOn w:val="Normal"/>
    <w:rsid w:val="003203E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03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03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03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03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03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03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03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03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03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03E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3203E3"/>
  </w:style>
  <w:style w:type="paragraph" w:styleId="BalloonText">
    <w:name w:val="Balloon Text"/>
    <w:basedOn w:val="Normal"/>
    <w:link w:val="BalloonTextChar"/>
    <w:uiPriority w:val="99"/>
    <w:semiHidden/>
    <w:unhideWhenUsed/>
    <w:rsid w:val="00D10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D0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134DA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134DAD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rsid w:val="00134DAD"/>
    <w:rPr>
      <w:rFonts w:eastAsia="Times New Roman" w:cs="Times New Roman"/>
      <w:b/>
      <w:kern w:val="28"/>
      <w:sz w:val="32"/>
      <w:lang w:eastAsia="en-AU"/>
    </w:rPr>
  </w:style>
  <w:style w:type="character" w:customStyle="1" w:styleId="ActHead5Char">
    <w:name w:val="ActHead 5 Char"/>
    <w:aliases w:val="s Char"/>
    <w:link w:val="ActHead5"/>
    <w:locked/>
    <w:rsid w:val="00134DA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134D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0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0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0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0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0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0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45F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F2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92794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2794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2794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2794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279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611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611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6114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24</Pages>
  <Words>3651</Words>
  <Characters>19202</Characters>
  <Application>Microsoft Office Word</Application>
  <DocSecurity>0</DocSecurity>
  <PresentationFormat/>
  <Lines>548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2021-02-25T03:15:00Z</cp:lastPrinted>
  <dcterms:created xsi:type="dcterms:W3CDTF">2021-10-29T01:15:00Z</dcterms:created>
  <dcterms:modified xsi:type="dcterms:W3CDTF">2021-10-29T01:16:00Z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Organ and Tissue Donation and Transplantation Authority Amendment (Governance and Other Measures) Act 2021</vt:lpwstr>
  </property>
  <property fmtid="{D5CDD505-2E9C-101B-9397-08002B2CF9AE}" pid="3" name="ActNo">
    <vt:lpwstr>No. 89,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OPC7630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