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470A" w14:textId="37208623" w:rsidR="00BB5BDD" w:rsidRDefault="00BB5BDD" w:rsidP="00BB5BDD">
      <w:r>
        <w:object w:dxaOrig="2146" w:dyaOrig="1561" w14:anchorId="7FA07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92506815" r:id="rId8"/>
        </w:object>
      </w:r>
    </w:p>
    <w:p w14:paraId="14987598" w14:textId="77777777" w:rsidR="00BB5BDD" w:rsidRDefault="00BB5BDD" w:rsidP="00BB5BDD"/>
    <w:p w14:paraId="02233B2D" w14:textId="77777777" w:rsidR="00BB5BDD" w:rsidRDefault="00BB5BDD" w:rsidP="00BB5BDD"/>
    <w:p w14:paraId="7F23C219" w14:textId="77777777" w:rsidR="00BB5BDD" w:rsidRDefault="00BB5BDD" w:rsidP="00BB5BDD"/>
    <w:p w14:paraId="6D8C58F5" w14:textId="77777777" w:rsidR="00BB5BDD" w:rsidRDefault="00BB5BDD" w:rsidP="00BB5BDD"/>
    <w:p w14:paraId="015F48CB" w14:textId="77777777" w:rsidR="00BB5BDD" w:rsidRDefault="00BB5BDD" w:rsidP="00BB5BDD"/>
    <w:p w14:paraId="06CF8B0D" w14:textId="77777777" w:rsidR="00BB5BDD" w:rsidRDefault="00BB5BDD" w:rsidP="00BB5BDD"/>
    <w:p w14:paraId="4CFDF6F2" w14:textId="7CB001D8" w:rsidR="0048364F" w:rsidRPr="00F24EB4" w:rsidRDefault="00BB5BDD" w:rsidP="0048364F">
      <w:pPr>
        <w:pStyle w:val="ShortT"/>
      </w:pPr>
      <w:r>
        <w:t>Electoral Legislation Amendment (Electoral Offences and Preventing Multiple Voting) Act 2021</w:t>
      </w:r>
    </w:p>
    <w:p w14:paraId="45F76E44" w14:textId="77777777" w:rsidR="0048364F" w:rsidRPr="00F24EB4" w:rsidRDefault="0048364F" w:rsidP="0048364F"/>
    <w:p w14:paraId="404E0410" w14:textId="7BF9DA69" w:rsidR="0048364F" w:rsidRPr="00F24EB4" w:rsidRDefault="00C164CA" w:rsidP="00BB5BDD">
      <w:pPr>
        <w:pStyle w:val="Actno"/>
        <w:spacing w:before="400"/>
      </w:pPr>
      <w:r w:rsidRPr="00F24EB4">
        <w:t>No</w:t>
      </w:r>
      <w:r w:rsidR="000569DC" w:rsidRPr="00F24EB4">
        <w:t>.</w:t>
      </w:r>
      <w:r w:rsidR="00B93425">
        <w:t xml:space="preserve"> 93</w:t>
      </w:r>
      <w:r w:rsidRPr="00F24EB4">
        <w:t>, 20</w:t>
      </w:r>
      <w:r w:rsidR="009E186E" w:rsidRPr="00F24EB4">
        <w:t>21</w:t>
      </w:r>
    </w:p>
    <w:p w14:paraId="0BFEC018" w14:textId="77777777" w:rsidR="0048364F" w:rsidRPr="00F24EB4" w:rsidRDefault="0048364F" w:rsidP="0048364F"/>
    <w:p w14:paraId="2F03CB4D" w14:textId="77777777" w:rsidR="006329FF" w:rsidRDefault="006329FF" w:rsidP="006329FF">
      <w:pPr>
        <w:rPr>
          <w:lang w:eastAsia="en-AU"/>
        </w:rPr>
      </w:pPr>
    </w:p>
    <w:p w14:paraId="19B38FD9" w14:textId="5CA131E3" w:rsidR="0048364F" w:rsidRPr="00F24EB4" w:rsidRDefault="0048364F" w:rsidP="0048364F"/>
    <w:p w14:paraId="18A23786" w14:textId="77777777" w:rsidR="0048364F" w:rsidRPr="00F24EB4" w:rsidRDefault="0048364F" w:rsidP="0048364F"/>
    <w:p w14:paraId="2238D24B" w14:textId="77777777" w:rsidR="0048364F" w:rsidRPr="00F24EB4" w:rsidRDefault="0048364F" w:rsidP="0048364F"/>
    <w:p w14:paraId="17158754" w14:textId="77777777" w:rsidR="00BB5BDD" w:rsidRDefault="00BB5BDD" w:rsidP="00BB5BDD">
      <w:pPr>
        <w:pStyle w:val="LongT"/>
      </w:pPr>
      <w:r>
        <w:t>An Act to amend the law relating to elections in respect of suspected multiple voting and interference with political liberty and to provide for application of the amendments</w:t>
      </w:r>
    </w:p>
    <w:p w14:paraId="02E1DD33" w14:textId="05EE03D4" w:rsidR="0048364F" w:rsidRPr="00F24EB4" w:rsidRDefault="0048364F" w:rsidP="0048364F">
      <w:pPr>
        <w:pStyle w:val="Header"/>
        <w:tabs>
          <w:tab w:val="clear" w:pos="4150"/>
          <w:tab w:val="clear" w:pos="8307"/>
        </w:tabs>
      </w:pPr>
      <w:r w:rsidRPr="00F24EB4">
        <w:rPr>
          <w:rStyle w:val="CharAmSchNo"/>
        </w:rPr>
        <w:t xml:space="preserve"> </w:t>
      </w:r>
      <w:r w:rsidRPr="00F24EB4">
        <w:rPr>
          <w:rStyle w:val="CharAmSchText"/>
        </w:rPr>
        <w:t xml:space="preserve"> </w:t>
      </w:r>
    </w:p>
    <w:p w14:paraId="2DEF946B" w14:textId="77777777" w:rsidR="0048364F" w:rsidRPr="00F24EB4" w:rsidRDefault="0048364F" w:rsidP="0048364F">
      <w:pPr>
        <w:pStyle w:val="Header"/>
        <w:tabs>
          <w:tab w:val="clear" w:pos="4150"/>
          <w:tab w:val="clear" w:pos="8307"/>
        </w:tabs>
      </w:pPr>
      <w:r w:rsidRPr="00F24EB4">
        <w:rPr>
          <w:rStyle w:val="CharAmPartNo"/>
        </w:rPr>
        <w:t xml:space="preserve"> </w:t>
      </w:r>
      <w:r w:rsidRPr="00F24EB4">
        <w:rPr>
          <w:rStyle w:val="CharAmPartText"/>
        </w:rPr>
        <w:t xml:space="preserve"> </w:t>
      </w:r>
    </w:p>
    <w:p w14:paraId="5B1D8AC3" w14:textId="77777777" w:rsidR="0048364F" w:rsidRPr="00F24EB4" w:rsidRDefault="0048364F" w:rsidP="0048364F">
      <w:pPr>
        <w:sectPr w:rsidR="0048364F" w:rsidRPr="00F24EB4" w:rsidSect="00BB5B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7614D09" w14:textId="77777777" w:rsidR="0048364F" w:rsidRPr="00F24EB4" w:rsidRDefault="0048364F" w:rsidP="0048364F">
      <w:pPr>
        <w:outlineLvl w:val="0"/>
        <w:rPr>
          <w:sz w:val="36"/>
        </w:rPr>
      </w:pPr>
      <w:r w:rsidRPr="00F24EB4">
        <w:rPr>
          <w:sz w:val="36"/>
        </w:rPr>
        <w:lastRenderedPageBreak/>
        <w:t>Contents</w:t>
      </w:r>
    </w:p>
    <w:p w14:paraId="32214A58" w14:textId="228E568C" w:rsidR="00C316A6" w:rsidRDefault="00C316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316A6">
        <w:rPr>
          <w:noProof/>
        </w:rPr>
        <w:tab/>
      </w:r>
      <w:r w:rsidRPr="00C316A6">
        <w:rPr>
          <w:noProof/>
        </w:rPr>
        <w:fldChar w:fldCharType="begin"/>
      </w:r>
      <w:r w:rsidRPr="00C316A6">
        <w:rPr>
          <w:noProof/>
        </w:rPr>
        <w:instrText xml:space="preserve"> PAGEREF _Toc81893737 \h </w:instrText>
      </w:r>
      <w:r w:rsidRPr="00C316A6">
        <w:rPr>
          <w:noProof/>
        </w:rPr>
      </w:r>
      <w:r w:rsidRPr="00C316A6">
        <w:rPr>
          <w:noProof/>
        </w:rPr>
        <w:fldChar w:fldCharType="separate"/>
      </w:r>
      <w:r w:rsidR="00447AA0">
        <w:rPr>
          <w:noProof/>
        </w:rPr>
        <w:t>2</w:t>
      </w:r>
      <w:r w:rsidRPr="00C316A6">
        <w:rPr>
          <w:noProof/>
        </w:rPr>
        <w:fldChar w:fldCharType="end"/>
      </w:r>
    </w:p>
    <w:p w14:paraId="422DE4EA" w14:textId="5AFE67A8" w:rsidR="00C316A6" w:rsidRDefault="00C316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316A6">
        <w:rPr>
          <w:noProof/>
        </w:rPr>
        <w:tab/>
      </w:r>
      <w:r w:rsidRPr="00C316A6">
        <w:rPr>
          <w:noProof/>
        </w:rPr>
        <w:fldChar w:fldCharType="begin"/>
      </w:r>
      <w:r w:rsidRPr="00C316A6">
        <w:rPr>
          <w:noProof/>
        </w:rPr>
        <w:instrText xml:space="preserve"> PAGEREF _Toc81893738 \h </w:instrText>
      </w:r>
      <w:r w:rsidRPr="00C316A6">
        <w:rPr>
          <w:noProof/>
        </w:rPr>
      </w:r>
      <w:r w:rsidRPr="00C316A6">
        <w:rPr>
          <w:noProof/>
        </w:rPr>
        <w:fldChar w:fldCharType="separate"/>
      </w:r>
      <w:r w:rsidR="00447AA0">
        <w:rPr>
          <w:noProof/>
        </w:rPr>
        <w:t>2</w:t>
      </w:r>
      <w:r w:rsidRPr="00C316A6">
        <w:rPr>
          <w:noProof/>
        </w:rPr>
        <w:fldChar w:fldCharType="end"/>
      </w:r>
    </w:p>
    <w:p w14:paraId="75B3C1C4" w14:textId="3DD0F9F6" w:rsidR="00C316A6" w:rsidRDefault="00C316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316A6">
        <w:rPr>
          <w:noProof/>
        </w:rPr>
        <w:tab/>
      </w:r>
      <w:r w:rsidRPr="00C316A6">
        <w:rPr>
          <w:noProof/>
        </w:rPr>
        <w:fldChar w:fldCharType="begin"/>
      </w:r>
      <w:r w:rsidRPr="00C316A6">
        <w:rPr>
          <w:noProof/>
        </w:rPr>
        <w:instrText xml:space="preserve"> PAGEREF _Toc81893739 \h </w:instrText>
      </w:r>
      <w:r w:rsidRPr="00C316A6">
        <w:rPr>
          <w:noProof/>
        </w:rPr>
      </w:r>
      <w:r w:rsidRPr="00C316A6">
        <w:rPr>
          <w:noProof/>
        </w:rPr>
        <w:fldChar w:fldCharType="separate"/>
      </w:r>
      <w:r w:rsidR="00447AA0">
        <w:rPr>
          <w:noProof/>
        </w:rPr>
        <w:t>3</w:t>
      </w:r>
      <w:r w:rsidRPr="00C316A6">
        <w:rPr>
          <w:noProof/>
        </w:rPr>
        <w:fldChar w:fldCharType="end"/>
      </w:r>
    </w:p>
    <w:p w14:paraId="0C1D7777" w14:textId="773C27A5" w:rsidR="00C316A6" w:rsidRDefault="00C316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1—Designated electors</w:t>
      </w:r>
      <w:r w:rsidRPr="00C316A6">
        <w:rPr>
          <w:b w:val="0"/>
          <w:noProof/>
          <w:sz w:val="18"/>
        </w:rPr>
        <w:tab/>
      </w:r>
      <w:r w:rsidRPr="00C316A6">
        <w:rPr>
          <w:b w:val="0"/>
          <w:noProof/>
          <w:sz w:val="18"/>
        </w:rPr>
        <w:fldChar w:fldCharType="begin"/>
      </w:r>
      <w:r w:rsidRPr="00C316A6">
        <w:rPr>
          <w:b w:val="0"/>
          <w:noProof/>
          <w:sz w:val="18"/>
        </w:rPr>
        <w:instrText xml:space="preserve"> PAGEREF _Toc81893740 \h </w:instrText>
      </w:r>
      <w:r w:rsidRPr="00C316A6">
        <w:rPr>
          <w:b w:val="0"/>
          <w:noProof/>
          <w:sz w:val="18"/>
        </w:rPr>
      </w:r>
      <w:r w:rsidRPr="00C316A6">
        <w:rPr>
          <w:b w:val="0"/>
          <w:noProof/>
          <w:sz w:val="18"/>
        </w:rPr>
        <w:fldChar w:fldCharType="separate"/>
      </w:r>
      <w:r w:rsidR="00447AA0">
        <w:rPr>
          <w:b w:val="0"/>
          <w:noProof/>
          <w:sz w:val="18"/>
        </w:rPr>
        <w:t>4</w:t>
      </w:r>
      <w:r w:rsidRPr="00C316A6">
        <w:rPr>
          <w:b w:val="0"/>
          <w:noProof/>
          <w:sz w:val="18"/>
        </w:rPr>
        <w:fldChar w:fldCharType="end"/>
      </w:r>
    </w:p>
    <w:p w14:paraId="617CBC10" w14:textId="2F68E536" w:rsidR="00C316A6" w:rsidRDefault="00C316A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C316A6">
        <w:rPr>
          <w:noProof/>
          <w:sz w:val="18"/>
        </w:rPr>
        <w:tab/>
      </w:r>
      <w:r w:rsidRPr="00C316A6">
        <w:rPr>
          <w:noProof/>
          <w:sz w:val="18"/>
        </w:rPr>
        <w:fldChar w:fldCharType="begin"/>
      </w:r>
      <w:r w:rsidRPr="00C316A6">
        <w:rPr>
          <w:noProof/>
          <w:sz w:val="18"/>
        </w:rPr>
        <w:instrText xml:space="preserve"> PAGEREF _Toc81893741 \h </w:instrText>
      </w:r>
      <w:r w:rsidRPr="00C316A6">
        <w:rPr>
          <w:noProof/>
          <w:sz w:val="18"/>
        </w:rPr>
      </w:r>
      <w:r w:rsidRPr="00C316A6">
        <w:rPr>
          <w:noProof/>
          <w:sz w:val="18"/>
        </w:rPr>
        <w:fldChar w:fldCharType="separate"/>
      </w:r>
      <w:r w:rsidR="00447AA0">
        <w:rPr>
          <w:noProof/>
          <w:sz w:val="18"/>
        </w:rPr>
        <w:t>4</w:t>
      </w:r>
      <w:r w:rsidRPr="00C316A6">
        <w:rPr>
          <w:noProof/>
          <w:sz w:val="18"/>
        </w:rPr>
        <w:fldChar w:fldCharType="end"/>
      </w:r>
    </w:p>
    <w:p w14:paraId="0947959F" w14:textId="0ED94320" w:rsidR="00C316A6" w:rsidRDefault="00C316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C316A6">
        <w:rPr>
          <w:i w:val="0"/>
          <w:noProof/>
          <w:sz w:val="18"/>
        </w:rPr>
        <w:tab/>
      </w:r>
      <w:r w:rsidRPr="00C316A6">
        <w:rPr>
          <w:i w:val="0"/>
          <w:noProof/>
          <w:sz w:val="18"/>
        </w:rPr>
        <w:fldChar w:fldCharType="begin"/>
      </w:r>
      <w:r w:rsidRPr="00C316A6">
        <w:rPr>
          <w:i w:val="0"/>
          <w:noProof/>
          <w:sz w:val="18"/>
        </w:rPr>
        <w:instrText xml:space="preserve"> PAGEREF _Toc81893742 \h </w:instrText>
      </w:r>
      <w:r w:rsidRPr="00C316A6">
        <w:rPr>
          <w:i w:val="0"/>
          <w:noProof/>
          <w:sz w:val="18"/>
        </w:rPr>
      </w:r>
      <w:r w:rsidRPr="00C316A6">
        <w:rPr>
          <w:i w:val="0"/>
          <w:noProof/>
          <w:sz w:val="18"/>
        </w:rPr>
        <w:fldChar w:fldCharType="separate"/>
      </w:r>
      <w:r w:rsidR="00447AA0">
        <w:rPr>
          <w:i w:val="0"/>
          <w:noProof/>
          <w:sz w:val="18"/>
        </w:rPr>
        <w:t>4</w:t>
      </w:r>
      <w:r w:rsidRPr="00C316A6">
        <w:rPr>
          <w:i w:val="0"/>
          <w:noProof/>
          <w:sz w:val="18"/>
        </w:rPr>
        <w:fldChar w:fldCharType="end"/>
      </w:r>
    </w:p>
    <w:p w14:paraId="428C0207" w14:textId="15389649" w:rsidR="00C316A6" w:rsidRDefault="00C316A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2—Contingent amendments</w:t>
      </w:r>
      <w:r w:rsidRPr="00C316A6">
        <w:rPr>
          <w:noProof/>
          <w:sz w:val="18"/>
        </w:rPr>
        <w:tab/>
      </w:r>
      <w:r w:rsidRPr="00C316A6">
        <w:rPr>
          <w:noProof/>
          <w:sz w:val="18"/>
        </w:rPr>
        <w:fldChar w:fldCharType="begin"/>
      </w:r>
      <w:r w:rsidRPr="00C316A6">
        <w:rPr>
          <w:noProof/>
          <w:sz w:val="18"/>
        </w:rPr>
        <w:instrText xml:space="preserve"> PAGEREF _Toc81893749 \h </w:instrText>
      </w:r>
      <w:r w:rsidRPr="00C316A6">
        <w:rPr>
          <w:noProof/>
          <w:sz w:val="18"/>
        </w:rPr>
      </w:r>
      <w:r w:rsidRPr="00C316A6">
        <w:rPr>
          <w:noProof/>
          <w:sz w:val="18"/>
        </w:rPr>
        <w:fldChar w:fldCharType="separate"/>
      </w:r>
      <w:r w:rsidR="00447AA0">
        <w:rPr>
          <w:noProof/>
          <w:sz w:val="18"/>
        </w:rPr>
        <w:t>9</w:t>
      </w:r>
      <w:r w:rsidRPr="00C316A6">
        <w:rPr>
          <w:noProof/>
          <w:sz w:val="18"/>
        </w:rPr>
        <w:fldChar w:fldCharType="end"/>
      </w:r>
    </w:p>
    <w:p w14:paraId="1036A34F" w14:textId="4EE4E848" w:rsidR="00C316A6" w:rsidRDefault="00C316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C316A6">
        <w:rPr>
          <w:i w:val="0"/>
          <w:noProof/>
          <w:sz w:val="18"/>
        </w:rPr>
        <w:tab/>
      </w:r>
      <w:r w:rsidRPr="00C316A6">
        <w:rPr>
          <w:i w:val="0"/>
          <w:noProof/>
          <w:sz w:val="18"/>
        </w:rPr>
        <w:fldChar w:fldCharType="begin"/>
      </w:r>
      <w:r w:rsidRPr="00C316A6">
        <w:rPr>
          <w:i w:val="0"/>
          <w:noProof/>
          <w:sz w:val="18"/>
        </w:rPr>
        <w:instrText xml:space="preserve"> PAGEREF _Toc81893750 \h </w:instrText>
      </w:r>
      <w:r w:rsidRPr="00C316A6">
        <w:rPr>
          <w:i w:val="0"/>
          <w:noProof/>
          <w:sz w:val="18"/>
        </w:rPr>
      </w:r>
      <w:r w:rsidRPr="00C316A6">
        <w:rPr>
          <w:i w:val="0"/>
          <w:noProof/>
          <w:sz w:val="18"/>
        </w:rPr>
        <w:fldChar w:fldCharType="separate"/>
      </w:r>
      <w:r w:rsidR="00447AA0">
        <w:rPr>
          <w:i w:val="0"/>
          <w:noProof/>
          <w:sz w:val="18"/>
        </w:rPr>
        <w:t>9</w:t>
      </w:r>
      <w:r w:rsidRPr="00C316A6">
        <w:rPr>
          <w:i w:val="0"/>
          <w:noProof/>
          <w:sz w:val="18"/>
        </w:rPr>
        <w:fldChar w:fldCharType="end"/>
      </w:r>
    </w:p>
    <w:p w14:paraId="1B23BC3B" w14:textId="00A0E8EC" w:rsidR="00C316A6" w:rsidRDefault="00C316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2—Offence relating to interference with political liberty</w:t>
      </w:r>
      <w:r w:rsidRPr="00C316A6">
        <w:rPr>
          <w:b w:val="0"/>
          <w:noProof/>
          <w:sz w:val="18"/>
        </w:rPr>
        <w:tab/>
      </w:r>
      <w:r w:rsidRPr="00C316A6">
        <w:rPr>
          <w:b w:val="0"/>
          <w:noProof/>
          <w:sz w:val="18"/>
        </w:rPr>
        <w:fldChar w:fldCharType="begin"/>
      </w:r>
      <w:r w:rsidRPr="00C316A6">
        <w:rPr>
          <w:b w:val="0"/>
          <w:noProof/>
          <w:sz w:val="18"/>
        </w:rPr>
        <w:instrText xml:space="preserve"> PAGEREF _Toc81893751 \h </w:instrText>
      </w:r>
      <w:r w:rsidRPr="00C316A6">
        <w:rPr>
          <w:b w:val="0"/>
          <w:noProof/>
          <w:sz w:val="18"/>
        </w:rPr>
      </w:r>
      <w:r w:rsidRPr="00C316A6">
        <w:rPr>
          <w:b w:val="0"/>
          <w:noProof/>
          <w:sz w:val="18"/>
        </w:rPr>
        <w:fldChar w:fldCharType="separate"/>
      </w:r>
      <w:r w:rsidR="00447AA0">
        <w:rPr>
          <w:b w:val="0"/>
          <w:noProof/>
          <w:sz w:val="18"/>
        </w:rPr>
        <w:t>10</w:t>
      </w:r>
      <w:r w:rsidRPr="00C316A6">
        <w:rPr>
          <w:b w:val="0"/>
          <w:noProof/>
          <w:sz w:val="18"/>
        </w:rPr>
        <w:fldChar w:fldCharType="end"/>
      </w:r>
    </w:p>
    <w:p w14:paraId="44F8F58E" w14:textId="7E36AF3A" w:rsidR="00C316A6" w:rsidRDefault="00C316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C316A6">
        <w:rPr>
          <w:i w:val="0"/>
          <w:noProof/>
          <w:sz w:val="18"/>
        </w:rPr>
        <w:tab/>
      </w:r>
      <w:r w:rsidRPr="00C316A6">
        <w:rPr>
          <w:i w:val="0"/>
          <w:noProof/>
          <w:sz w:val="18"/>
        </w:rPr>
        <w:fldChar w:fldCharType="begin"/>
      </w:r>
      <w:r w:rsidRPr="00C316A6">
        <w:rPr>
          <w:i w:val="0"/>
          <w:noProof/>
          <w:sz w:val="18"/>
        </w:rPr>
        <w:instrText xml:space="preserve"> PAGEREF _Toc81893752 \h </w:instrText>
      </w:r>
      <w:r w:rsidRPr="00C316A6">
        <w:rPr>
          <w:i w:val="0"/>
          <w:noProof/>
          <w:sz w:val="18"/>
        </w:rPr>
      </w:r>
      <w:r w:rsidRPr="00C316A6">
        <w:rPr>
          <w:i w:val="0"/>
          <w:noProof/>
          <w:sz w:val="18"/>
        </w:rPr>
        <w:fldChar w:fldCharType="separate"/>
      </w:r>
      <w:r w:rsidR="00447AA0">
        <w:rPr>
          <w:i w:val="0"/>
          <w:noProof/>
          <w:sz w:val="18"/>
        </w:rPr>
        <w:t>10</w:t>
      </w:r>
      <w:r w:rsidRPr="00C316A6">
        <w:rPr>
          <w:i w:val="0"/>
          <w:noProof/>
          <w:sz w:val="18"/>
        </w:rPr>
        <w:fldChar w:fldCharType="end"/>
      </w:r>
    </w:p>
    <w:p w14:paraId="43986BEC" w14:textId="14DD9C43" w:rsidR="00060FF9" w:rsidRPr="00F24EB4" w:rsidRDefault="00C316A6" w:rsidP="0048364F">
      <w:r>
        <w:fldChar w:fldCharType="end"/>
      </w:r>
    </w:p>
    <w:p w14:paraId="497116F3" w14:textId="77777777" w:rsidR="00FE7F93" w:rsidRPr="00F24EB4" w:rsidRDefault="00FE7F93" w:rsidP="0048364F">
      <w:pPr>
        <w:sectPr w:rsidR="00FE7F93" w:rsidRPr="00F24EB4" w:rsidSect="00BB5B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F9EC63C" w14:textId="77777777" w:rsidR="00BB5BDD" w:rsidRDefault="00BB5BDD">
      <w:r>
        <w:object w:dxaOrig="2146" w:dyaOrig="1561" w14:anchorId="3DC23CAE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92506816" r:id="rId20"/>
        </w:object>
      </w:r>
    </w:p>
    <w:p w14:paraId="6927E2A2" w14:textId="77777777" w:rsidR="00BB5BDD" w:rsidRDefault="00BB5BDD"/>
    <w:p w14:paraId="3A2E3DD7" w14:textId="77777777" w:rsidR="00BB5BDD" w:rsidRDefault="00BB5BDD" w:rsidP="000178F8">
      <w:pPr>
        <w:spacing w:line="240" w:lineRule="auto"/>
      </w:pPr>
    </w:p>
    <w:p w14:paraId="1B07248B" w14:textId="3571EB62" w:rsidR="00BB5BDD" w:rsidRDefault="008D0BE2" w:rsidP="000178F8">
      <w:pPr>
        <w:pStyle w:val="ShortTP1"/>
      </w:pPr>
      <w:fldSimple w:instr=" STYLEREF ShortT ">
        <w:r w:rsidR="00447AA0">
          <w:rPr>
            <w:noProof/>
          </w:rPr>
          <w:t>Electoral Legislation Amendment (Electoral Offences and Preventing Multiple Voting) Act 2021</w:t>
        </w:r>
      </w:fldSimple>
    </w:p>
    <w:p w14:paraId="7C11AE40" w14:textId="6CF8502A" w:rsidR="00BB5BDD" w:rsidRDefault="008D0BE2" w:rsidP="000178F8">
      <w:pPr>
        <w:pStyle w:val="ActNoP1"/>
      </w:pPr>
      <w:fldSimple w:instr=" STYLEREF Actno ">
        <w:r w:rsidR="00447AA0">
          <w:rPr>
            <w:noProof/>
          </w:rPr>
          <w:t>No. 93, 2021</w:t>
        </w:r>
      </w:fldSimple>
    </w:p>
    <w:p w14:paraId="4D56D193" w14:textId="77777777" w:rsidR="00BB5BDD" w:rsidRPr="009A0728" w:rsidRDefault="00BB5BD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  <w:bookmarkStart w:id="0" w:name="_GoBack"/>
      <w:bookmarkEnd w:id="0"/>
    </w:p>
    <w:p w14:paraId="16B2C5DA" w14:textId="77777777" w:rsidR="00BB5BDD" w:rsidRPr="009A0728" w:rsidRDefault="00BB5BDD" w:rsidP="009A0728">
      <w:pPr>
        <w:spacing w:line="40" w:lineRule="exact"/>
        <w:rPr>
          <w:rFonts w:eastAsia="Calibri"/>
          <w:b/>
          <w:sz w:val="28"/>
        </w:rPr>
      </w:pPr>
    </w:p>
    <w:p w14:paraId="635D00AE" w14:textId="77777777" w:rsidR="00BB5BDD" w:rsidRPr="009A0728" w:rsidRDefault="00BB5BD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3AA7C736" w14:textId="77777777" w:rsidR="00BB5BDD" w:rsidRDefault="00BB5BDD" w:rsidP="00BB5BDD">
      <w:pPr>
        <w:pStyle w:val="Page1"/>
        <w:spacing w:before="400"/>
      </w:pPr>
      <w:r>
        <w:t>An Act to amend the law relating to elections in respect of suspected multiple voting and interference with political liberty and to provide for application of the amendments</w:t>
      </w:r>
    </w:p>
    <w:p w14:paraId="2C21B27E" w14:textId="4DCBD46C" w:rsidR="00B93425" w:rsidRDefault="00B93425" w:rsidP="006228BE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2 September 2021</w:t>
      </w:r>
      <w:r>
        <w:rPr>
          <w:sz w:val="24"/>
        </w:rPr>
        <w:t>]</w:t>
      </w:r>
    </w:p>
    <w:p w14:paraId="5B56DEBE" w14:textId="3EF72ACC" w:rsidR="0048364F" w:rsidRPr="00F24EB4" w:rsidRDefault="0048364F" w:rsidP="004B6002">
      <w:pPr>
        <w:spacing w:before="240" w:line="240" w:lineRule="auto"/>
        <w:rPr>
          <w:sz w:val="32"/>
        </w:rPr>
      </w:pPr>
      <w:r w:rsidRPr="00F24EB4">
        <w:rPr>
          <w:sz w:val="32"/>
        </w:rPr>
        <w:t>The Parliament of Australia enacts:</w:t>
      </w:r>
    </w:p>
    <w:p w14:paraId="2EAC157D" w14:textId="77777777" w:rsidR="0048364F" w:rsidRPr="00F24EB4" w:rsidRDefault="0048364F" w:rsidP="004B6002">
      <w:pPr>
        <w:pStyle w:val="ActHead5"/>
      </w:pPr>
      <w:bookmarkStart w:id="1" w:name="_Toc81893737"/>
      <w:r w:rsidRPr="00F24EB4">
        <w:rPr>
          <w:rStyle w:val="CharSectno"/>
        </w:rPr>
        <w:t>1</w:t>
      </w:r>
      <w:r w:rsidRPr="00F24EB4">
        <w:t xml:space="preserve">  Short title</w:t>
      </w:r>
      <w:bookmarkEnd w:id="1"/>
    </w:p>
    <w:p w14:paraId="1AC1168F" w14:textId="77777777" w:rsidR="0048364F" w:rsidRPr="00F24EB4" w:rsidRDefault="0048364F" w:rsidP="004B6002">
      <w:pPr>
        <w:pStyle w:val="subsection"/>
      </w:pPr>
      <w:r w:rsidRPr="00F24EB4">
        <w:tab/>
      </w:r>
      <w:r w:rsidRPr="00F24EB4">
        <w:tab/>
        <w:t xml:space="preserve">This Act </w:t>
      </w:r>
      <w:r w:rsidR="00275197" w:rsidRPr="00F24EB4">
        <w:t xml:space="preserve">is </w:t>
      </w:r>
      <w:r w:rsidRPr="00F24EB4">
        <w:t xml:space="preserve">the </w:t>
      </w:r>
      <w:r w:rsidR="00EB4797" w:rsidRPr="00F24EB4">
        <w:rPr>
          <w:i/>
        </w:rPr>
        <w:t>Electoral Legislation Amendment (Electoral Offences</w:t>
      </w:r>
      <w:r w:rsidR="009A671A" w:rsidRPr="00F24EB4">
        <w:rPr>
          <w:i/>
        </w:rPr>
        <w:t xml:space="preserve"> and Preventing Multiple Voting</w:t>
      </w:r>
      <w:r w:rsidR="00EB4797" w:rsidRPr="00F24EB4">
        <w:rPr>
          <w:i/>
        </w:rPr>
        <w:t>)</w:t>
      </w:r>
      <w:r w:rsidR="00EB4797" w:rsidRPr="00F24EB4">
        <w:t xml:space="preserve"> </w:t>
      </w:r>
      <w:r w:rsidR="00EE3E36" w:rsidRPr="00F24EB4">
        <w:rPr>
          <w:i/>
        </w:rPr>
        <w:t>Act 20</w:t>
      </w:r>
      <w:r w:rsidR="009E186E" w:rsidRPr="00F24EB4">
        <w:rPr>
          <w:i/>
        </w:rPr>
        <w:t>21</w:t>
      </w:r>
      <w:r w:rsidR="000569DC" w:rsidRPr="00F24EB4">
        <w:t>.</w:t>
      </w:r>
    </w:p>
    <w:p w14:paraId="7C8B1DA0" w14:textId="77777777" w:rsidR="0048364F" w:rsidRPr="00F24EB4" w:rsidRDefault="0048364F" w:rsidP="004B6002">
      <w:pPr>
        <w:pStyle w:val="ActHead5"/>
      </w:pPr>
      <w:bookmarkStart w:id="2" w:name="_Toc81893738"/>
      <w:r w:rsidRPr="00F24EB4">
        <w:rPr>
          <w:rStyle w:val="CharSectno"/>
        </w:rPr>
        <w:t>2</w:t>
      </w:r>
      <w:r w:rsidRPr="00F24EB4">
        <w:t xml:space="preserve">  Commencement</w:t>
      </w:r>
      <w:bookmarkEnd w:id="2"/>
    </w:p>
    <w:p w14:paraId="7FFC6D5F" w14:textId="77777777" w:rsidR="0048364F" w:rsidRPr="00F24EB4" w:rsidRDefault="0048364F" w:rsidP="004B6002">
      <w:pPr>
        <w:pStyle w:val="subsection"/>
      </w:pPr>
      <w:r w:rsidRPr="00F24EB4">
        <w:tab/>
        <w:t>(1)</w:t>
      </w:r>
      <w:r w:rsidRPr="00F24EB4">
        <w:tab/>
        <w:t xml:space="preserve">Each provision of this Act specified in column 1 of the table commences, or is taken to have commenced, in accordance with </w:t>
      </w:r>
      <w:r w:rsidRPr="00F24EB4">
        <w:lastRenderedPageBreak/>
        <w:t>column 2 of the table</w:t>
      </w:r>
      <w:r w:rsidR="000569DC" w:rsidRPr="00F24EB4">
        <w:t>.</w:t>
      </w:r>
      <w:r w:rsidRPr="00F24EB4">
        <w:t xml:space="preserve"> Any other statement in column 2 has effect according to its terms</w:t>
      </w:r>
      <w:r w:rsidR="000569DC" w:rsidRPr="00F24EB4">
        <w:t>.</w:t>
      </w:r>
    </w:p>
    <w:p w14:paraId="11FCC53C" w14:textId="77777777" w:rsidR="0048364F" w:rsidRPr="00F24EB4" w:rsidRDefault="0048364F" w:rsidP="004B600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24EB4" w14:paraId="6129547B" w14:textId="7777777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273BAE" w14:textId="77777777" w:rsidR="0048364F" w:rsidRPr="00F24EB4" w:rsidRDefault="0048364F" w:rsidP="004B6002">
            <w:pPr>
              <w:pStyle w:val="TableHeading"/>
            </w:pPr>
            <w:r w:rsidRPr="00F24EB4">
              <w:t>Commencement information</w:t>
            </w:r>
          </w:p>
        </w:tc>
      </w:tr>
      <w:tr w:rsidR="0048364F" w:rsidRPr="00F24EB4" w14:paraId="39CCB80B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ADD76" w14:textId="77777777" w:rsidR="0048364F" w:rsidRPr="00F24EB4" w:rsidRDefault="0048364F" w:rsidP="004B6002">
            <w:pPr>
              <w:pStyle w:val="TableHeading"/>
            </w:pPr>
            <w:r w:rsidRPr="00F24EB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EA520" w14:textId="77777777" w:rsidR="0048364F" w:rsidRPr="00F24EB4" w:rsidRDefault="0048364F" w:rsidP="004B6002">
            <w:pPr>
              <w:pStyle w:val="TableHeading"/>
            </w:pPr>
            <w:r w:rsidRPr="00F24EB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18B60" w14:textId="77777777" w:rsidR="0048364F" w:rsidRPr="00F24EB4" w:rsidRDefault="0048364F" w:rsidP="004B6002">
            <w:pPr>
              <w:pStyle w:val="TableHeading"/>
            </w:pPr>
            <w:r w:rsidRPr="00F24EB4">
              <w:t>Column 3</w:t>
            </w:r>
          </w:p>
        </w:tc>
      </w:tr>
      <w:tr w:rsidR="0048364F" w:rsidRPr="00F24EB4" w14:paraId="6596F704" w14:textId="7777777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BD537C" w14:textId="77777777" w:rsidR="0048364F" w:rsidRPr="00F24EB4" w:rsidRDefault="0048364F" w:rsidP="004B6002">
            <w:pPr>
              <w:pStyle w:val="TableHeading"/>
            </w:pPr>
            <w:r w:rsidRPr="00F24EB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338C5EA" w14:textId="77777777" w:rsidR="0048364F" w:rsidRPr="00F24EB4" w:rsidRDefault="0048364F" w:rsidP="004B6002">
            <w:pPr>
              <w:pStyle w:val="TableHeading"/>
            </w:pPr>
            <w:r w:rsidRPr="00F24EB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0D843E" w14:textId="77777777" w:rsidR="0048364F" w:rsidRPr="00F24EB4" w:rsidRDefault="0048364F" w:rsidP="004B6002">
            <w:pPr>
              <w:pStyle w:val="TableHeading"/>
            </w:pPr>
            <w:r w:rsidRPr="00F24EB4">
              <w:t>Date/Details</w:t>
            </w:r>
          </w:p>
        </w:tc>
      </w:tr>
      <w:tr w:rsidR="0048364F" w:rsidRPr="00F24EB4" w14:paraId="48063E7F" w14:textId="77777777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B8F5301" w14:textId="77777777" w:rsidR="0048364F" w:rsidRPr="00F24EB4" w:rsidRDefault="0048364F" w:rsidP="004B6002">
            <w:pPr>
              <w:pStyle w:val="Tabletext"/>
            </w:pPr>
            <w:r w:rsidRPr="00F24EB4">
              <w:t>1</w:t>
            </w:r>
            <w:r w:rsidR="000569DC" w:rsidRPr="00F24EB4">
              <w:t>.</w:t>
            </w:r>
            <w:r w:rsidRPr="00F24EB4">
              <w:t xml:space="preserve">  </w:t>
            </w:r>
            <w:r w:rsidR="00EA787C" w:rsidRPr="00F24EB4">
              <w:t>Sections 1</w:t>
            </w:r>
            <w:r w:rsidRPr="00F24EB4">
              <w:t xml:space="preserve">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470458C" w14:textId="77777777" w:rsidR="0048364F" w:rsidRPr="00F24EB4" w:rsidRDefault="0048364F" w:rsidP="004B6002">
            <w:pPr>
              <w:pStyle w:val="Tabletext"/>
            </w:pPr>
            <w:r w:rsidRPr="00F24EB4">
              <w:t>The day this Act receives the Royal Assent</w:t>
            </w:r>
            <w:r w:rsidR="000569DC" w:rsidRPr="00F24EB4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1228F330" w14:textId="0C3FA0C6" w:rsidR="0048364F" w:rsidRPr="00F24EB4" w:rsidRDefault="006228BE" w:rsidP="004B6002">
            <w:pPr>
              <w:pStyle w:val="Tabletext"/>
            </w:pPr>
            <w:r>
              <w:t>2 September 2021</w:t>
            </w:r>
          </w:p>
        </w:tc>
      </w:tr>
      <w:tr w:rsidR="0048364F" w:rsidRPr="00F24EB4" w14:paraId="3719F240" w14:textId="77777777" w:rsidTr="004C7C8C">
        <w:tc>
          <w:tcPr>
            <w:tcW w:w="1701" w:type="dxa"/>
            <w:shd w:val="clear" w:color="auto" w:fill="auto"/>
          </w:tcPr>
          <w:p w14:paraId="3298619C" w14:textId="77777777" w:rsidR="0048364F" w:rsidRPr="00F24EB4" w:rsidRDefault="0048364F" w:rsidP="004B6002">
            <w:pPr>
              <w:pStyle w:val="Tabletext"/>
            </w:pPr>
            <w:r w:rsidRPr="00F24EB4">
              <w:t>2</w:t>
            </w:r>
            <w:r w:rsidR="000569DC" w:rsidRPr="00F24EB4">
              <w:t>.</w:t>
            </w:r>
            <w:r w:rsidRPr="00F24EB4">
              <w:t xml:space="preserve">  </w:t>
            </w:r>
            <w:r w:rsidR="00EA787C" w:rsidRPr="00F24EB4">
              <w:t>Schedule 1</w:t>
            </w:r>
            <w:r w:rsidR="00CC00D4" w:rsidRPr="00F24EB4">
              <w:t xml:space="preserve">, </w:t>
            </w:r>
            <w:r w:rsidR="00EA787C" w:rsidRPr="00F24EB4">
              <w:t>Part 1</w:t>
            </w:r>
          </w:p>
        </w:tc>
        <w:tc>
          <w:tcPr>
            <w:tcW w:w="3828" w:type="dxa"/>
            <w:shd w:val="clear" w:color="auto" w:fill="auto"/>
          </w:tcPr>
          <w:p w14:paraId="1AE55E7D" w14:textId="77777777" w:rsidR="0048364F" w:rsidRPr="00F24EB4" w:rsidRDefault="00CC00D4" w:rsidP="004B6002">
            <w:pPr>
              <w:pStyle w:val="Tabletext"/>
            </w:pPr>
            <w:r w:rsidRPr="00F24EB4">
              <w:t>The day after this Act receives the Royal Assent</w:t>
            </w:r>
            <w:r w:rsidR="000569DC" w:rsidRPr="00F24EB4">
              <w:t>.</w:t>
            </w:r>
          </w:p>
        </w:tc>
        <w:tc>
          <w:tcPr>
            <w:tcW w:w="1582" w:type="dxa"/>
            <w:shd w:val="clear" w:color="auto" w:fill="auto"/>
          </w:tcPr>
          <w:p w14:paraId="6C669974" w14:textId="5017C948" w:rsidR="0048364F" w:rsidRPr="00F24EB4" w:rsidRDefault="006228BE" w:rsidP="004B6002">
            <w:pPr>
              <w:pStyle w:val="Tabletext"/>
            </w:pPr>
            <w:r>
              <w:t>3 September 2021</w:t>
            </w:r>
          </w:p>
        </w:tc>
      </w:tr>
      <w:tr w:rsidR="0048364F" w:rsidRPr="00F24EB4" w14:paraId="3E921FBF" w14:textId="77777777" w:rsidTr="004C7C8C">
        <w:tc>
          <w:tcPr>
            <w:tcW w:w="1701" w:type="dxa"/>
            <w:shd w:val="clear" w:color="auto" w:fill="auto"/>
          </w:tcPr>
          <w:p w14:paraId="796F4582" w14:textId="77777777" w:rsidR="0048364F" w:rsidRPr="00F24EB4" w:rsidRDefault="0048364F" w:rsidP="004B6002">
            <w:pPr>
              <w:pStyle w:val="Tabletext"/>
            </w:pPr>
            <w:r w:rsidRPr="00F24EB4">
              <w:t>3</w:t>
            </w:r>
            <w:r w:rsidR="000569DC" w:rsidRPr="00F24EB4">
              <w:t>.</w:t>
            </w:r>
            <w:r w:rsidRPr="00F24EB4">
              <w:t xml:space="preserve">  </w:t>
            </w:r>
            <w:r w:rsidR="00EA787C" w:rsidRPr="00F24EB4">
              <w:t>Schedule 1</w:t>
            </w:r>
            <w:r w:rsidR="00CC00D4" w:rsidRPr="00F24EB4">
              <w:t xml:space="preserve">, </w:t>
            </w:r>
            <w:r w:rsidR="00EA787C" w:rsidRPr="00F24EB4">
              <w:t>Part 2</w:t>
            </w:r>
          </w:p>
        </w:tc>
        <w:tc>
          <w:tcPr>
            <w:tcW w:w="3828" w:type="dxa"/>
            <w:shd w:val="clear" w:color="auto" w:fill="auto"/>
          </w:tcPr>
          <w:p w14:paraId="3CCA7846" w14:textId="77777777" w:rsidR="00CC00D4" w:rsidRPr="00F24EB4" w:rsidRDefault="00CC00D4" w:rsidP="004B6002">
            <w:pPr>
              <w:pStyle w:val="Tabletext"/>
            </w:pPr>
            <w:r w:rsidRPr="00F24EB4">
              <w:t>The later of:</w:t>
            </w:r>
          </w:p>
          <w:p w14:paraId="3E74EC92" w14:textId="77777777" w:rsidR="00CC00D4" w:rsidRPr="00F24EB4" w:rsidRDefault="00CC00D4" w:rsidP="004B6002">
            <w:pPr>
              <w:pStyle w:val="Tablea"/>
            </w:pPr>
            <w:r w:rsidRPr="00F24EB4">
              <w:t>(a) the start of the day</w:t>
            </w:r>
            <w:r w:rsidR="00435F7E" w:rsidRPr="00F24EB4">
              <w:t xml:space="preserve"> after</w:t>
            </w:r>
            <w:r w:rsidRPr="00F24EB4">
              <w:t xml:space="preserve"> this Act receives the Royal Assent; and</w:t>
            </w:r>
          </w:p>
          <w:p w14:paraId="26A48065" w14:textId="77777777" w:rsidR="00CC00D4" w:rsidRPr="00F24EB4" w:rsidRDefault="00CC00D4" w:rsidP="004B6002">
            <w:pPr>
              <w:pStyle w:val="Tablea"/>
            </w:pPr>
            <w:r w:rsidRPr="00F24EB4">
              <w:t xml:space="preserve">(b) immediately after the commencement of </w:t>
            </w:r>
            <w:r w:rsidR="00EA787C" w:rsidRPr="00F24EB4">
              <w:t>Schedule 1</w:t>
            </w:r>
            <w:r w:rsidRPr="00F24EB4">
              <w:t xml:space="preserve"> to the </w:t>
            </w:r>
            <w:r w:rsidRPr="00F24EB4">
              <w:rPr>
                <w:i/>
              </w:rPr>
              <w:t>Electoral Legislation Amendment (Counting, Scrutiny and Operational Efficiencies) Act 2021</w:t>
            </w:r>
            <w:r w:rsidR="000569DC" w:rsidRPr="00F24EB4">
              <w:t>.</w:t>
            </w:r>
          </w:p>
          <w:p w14:paraId="0FDE76FD" w14:textId="77777777" w:rsidR="0048364F" w:rsidRPr="00F24EB4" w:rsidRDefault="00CC00D4" w:rsidP="004B6002">
            <w:pPr>
              <w:pStyle w:val="Tabletext"/>
            </w:pPr>
            <w:r w:rsidRPr="00F24EB4">
              <w:t>However, the provision does not commence at all if the event mentioned in paragraph (b) does not occur</w:t>
            </w:r>
            <w:r w:rsidR="000569DC" w:rsidRPr="00F24EB4">
              <w:t>.</w:t>
            </w:r>
          </w:p>
        </w:tc>
        <w:tc>
          <w:tcPr>
            <w:tcW w:w="1582" w:type="dxa"/>
            <w:shd w:val="clear" w:color="auto" w:fill="auto"/>
          </w:tcPr>
          <w:p w14:paraId="648788A5" w14:textId="1D1C407F" w:rsidR="0048364F" w:rsidRPr="00F24EB4" w:rsidRDefault="006228BE" w:rsidP="004B6002">
            <w:pPr>
              <w:pStyle w:val="Tabletext"/>
            </w:pPr>
            <w:r>
              <w:t>3 September 2021</w:t>
            </w:r>
          </w:p>
        </w:tc>
      </w:tr>
      <w:tr w:rsidR="0048364F" w:rsidRPr="00F24EB4" w14:paraId="7C642618" w14:textId="77777777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6D8BB41" w14:textId="77777777" w:rsidR="0048364F" w:rsidRPr="00F24EB4" w:rsidRDefault="00837B8D" w:rsidP="004B6002">
            <w:pPr>
              <w:pStyle w:val="Tabletext"/>
            </w:pPr>
            <w:r w:rsidRPr="00F24EB4">
              <w:t>4</w:t>
            </w:r>
            <w:r w:rsidR="000569DC" w:rsidRPr="00F24EB4">
              <w:t>.</w:t>
            </w:r>
            <w:r w:rsidR="0048364F" w:rsidRPr="00F24EB4">
              <w:t xml:space="preserve">  </w:t>
            </w:r>
            <w:r w:rsidR="00EA787C" w:rsidRPr="00F24EB4">
              <w:t>Schedule 2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4394706C" w14:textId="77777777" w:rsidR="0048364F" w:rsidRPr="00F24EB4" w:rsidRDefault="0042144A" w:rsidP="004B6002">
            <w:pPr>
              <w:pStyle w:val="Tabletext"/>
            </w:pPr>
            <w:r w:rsidRPr="00F24EB4">
              <w:t>The day after this Act receives the Royal Assent</w:t>
            </w:r>
            <w:r w:rsidR="000569DC" w:rsidRPr="00F24EB4">
              <w:t>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30A9C7D6" w14:textId="55B78F4A" w:rsidR="0048364F" w:rsidRPr="00F24EB4" w:rsidRDefault="006228BE" w:rsidP="004B6002">
            <w:pPr>
              <w:pStyle w:val="Tabletext"/>
            </w:pPr>
            <w:r>
              <w:t>3 September 2021</w:t>
            </w:r>
          </w:p>
        </w:tc>
      </w:tr>
    </w:tbl>
    <w:p w14:paraId="29166041" w14:textId="77777777" w:rsidR="0048364F" w:rsidRPr="00F24EB4" w:rsidRDefault="00201D27" w:rsidP="004B6002">
      <w:pPr>
        <w:pStyle w:val="notetext"/>
      </w:pPr>
      <w:r w:rsidRPr="00F24EB4">
        <w:t>Note:</w:t>
      </w:r>
      <w:r w:rsidRPr="00F24EB4">
        <w:tab/>
        <w:t>This table relates only to the provisions of this Act as originally enacted</w:t>
      </w:r>
      <w:r w:rsidR="000569DC" w:rsidRPr="00F24EB4">
        <w:t>.</w:t>
      </w:r>
      <w:r w:rsidRPr="00F24EB4">
        <w:t xml:space="preserve"> It will not be amended to deal with any later amendments of this Act</w:t>
      </w:r>
      <w:r w:rsidR="000569DC" w:rsidRPr="00F24EB4">
        <w:t>.</w:t>
      </w:r>
    </w:p>
    <w:p w14:paraId="5A776911" w14:textId="77777777" w:rsidR="0048364F" w:rsidRPr="00F24EB4" w:rsidRDefault="0048364F" w:rsidP="004B6002">
      <w:pPr>
        <w:pStyle w:val="subsection"/>
      </w:pPr>
      <w:r w:rsidRPr="00F24EB4">
        <w:tab/>
        <w:t>(2)</w:t>
      </w:r>
      <w:r w:rsidRPr="00F24EB4">
        <w:tab/>
      </w:r>
      <w:r w:rsidR="00201D27" w:rsidRPr="00F24EB4">
        <w:t xml:space="preserve">Any information in </w:t>
      </w:r>
      <w:r w:rsidR="00877D48" w:rsidRPr="00F24EB4">
        <w:t>c</w:t>
      </w:r>
      <w:r w:rsidR="00201D27" w:rsidRPr="00F24EB4">
        <w:t>olumn 3 of the table is not part of this Act</w:t>
      </w:r>
      <w:r w:rsidR="000569DC" w:rsidRPr="00F24EB4">
        <w:t>.</w:t>
      </w:r>
      <w:r w:rsidR="00201D27" w:rsidRPr="00F24EB4">
        <w:t xml:space="preserve"> Information may be inserted in this column, or information in it may be edited, in any published version of this Act</w:t>
      </w:r>
      <w:r w:rsidR="000569DC" w:rsidRPr="00F24EB4">
        <w:t>.</w:t>
      </w:r>
    </w:p>
    <w:p w14:paraId="320687A5" w14:textId="77777777" w:rsidR="0048364F" w:rsidRPr="00F24EB4" w:rsidRDefault="0048364F" w:rsidP="004B6002">
      <w:pPr>
        <w:pStyle w:val="ActHead5"/>
      </w:pPr>
      <w:bookmarkStart w:id="3" w:name="_Toc81893739"/>
      <w:r w:rsidRPr="00F24EB4">
        <w:rPr>
          <w:rStyle w:val="CharSectno"/>
        </w:rPr>
        <w:t>3</w:t>
      </w:r>
      <w:r w:rsidRPr="00F24EB4">
        <w:t xml:space="preserve">  Schedules</w:t>
      </w:r>
      <w:bookmarkEnd w:id="3"/>
    </w:p>
    <w:p w14:paraId="3F8E8FF2" w14:textId="77777777" w:rsidR="0048364F" w:rsidRPr="00F24EB4" w:rsidRDefault="0048364F" w:rsidP="004B6002">
      <w:pPr>
        <w:pStyle w:val="subsection"/>
      </w:pPr>
      <w:r w:rsidRPr="00F24EB4">
        <w:tab/>
      </w:r>
      <w:r w:rsidRPr="00F24EB4">
        <w:tab/>
      </w:r>
      <w:r w:rsidR="00202618" w:rsidRPr="00F24EB4">
        <w:t xml:space="preserve">Legislation that is specified in a Schedule to this Act is amended or repealed as set out in the applicable items in the Schedule </w:t>
      </w:r>
      <w:r w:rsidR="00202618" w:rsidRPr="00F24EB4">
        <w:lastRenderedPageBreak/>
        <w:t>concerned, and any other item in a Schedule to this Act has effect according to its terms</w:t>
      </w:r>
      <w:r w:rsidR="000569DC" w:rsidRPr="00F24EB4">
        <w:t>.</w:t>
      </w:r>
    </w:p>
    <w:p w14:paraId="5B3509EF" w14:textId="77777777" w:rsidR="001F281E" w:rsidRPr="00F24EB4" w:rsidRDefault="00EA787C" w:rsidP="004B6002">
      <w:pPr>
        <w:pStyle w:val="ActHead6"/>
        <w:pageBreakBefore/>
      </w:pPr>
      <w:bookmarkStart w:id="4" w:name="_Toc81893740"/>
      <w:r w:rsidRPr="00F24EB4">
        <w:rPr>
          <w:rStyle w:val="CharAmSchNo"/>
        </w:rPr>
        <w:lastRenderedPageBreak/>
        <w:t>Schedule 1</w:t>
      </w:r>
      <w:r w:rsidR="001F281E" w:rsidRPr="00F24EB4">
        <w:t>—</w:t>
      </w:r>
      <w:r w:rsidR="001F281E" w:rsidRPr="00F24EB4">
        <w:rPr>
          <w:rStyle w:val="CharAmSchText"/>
        </w:rPr>
        <w:t>Designated electors</w:t>
      </w:r>
      <w:bookmarkEnd w:id="4"/>
    </w:p>
    <w:p w14:paraId="1CCAF98E" w14:textId="77777777" w:rsidR="001F281E" w:rsidRPr="00F24EB4" w:rsidRDefault="00EA787C" w:rsidP="004B6002">
      <w:pPr>
        <w:pStyle w:val="ActHead7"/>
      </w:pPr>
      <w:bookmarkStart w:id="5" w:name="_Toc81893741"/>
      <w:r w:rsidRPr="00F24EB4">
        <w:rPr>
          <w:rStyle w:val="CharAmPartNo"/>
        </w:rPr>
        <w:t>Part 1</w:t>
      </w:r>
      <w:r w:rsidR="001F281E" w:rsidRPr="00F24EB4">
        <w:t>—</w:t>
      </w:r>
      <w:r w:rsidR="001F281E" w:rsidRPr="00F24EB4">
        <w:rPr>
          <w:rStyle w:val="CharAmPartText"/>
        </w:rPr>
        <w:t>Main amendments</w:t>
      </w:r>
      <w:bookmarkEnd w:id="5"/>
    </w:p>
    <w:p w14:paraId="31D48D5C" w14:textId="77777777" w:rsidR="001F281E" w:rsidRPr="00F24EB4" w:rsidRDefault="001F281E" w:rsidP="004B6002">
      <w:pPr>
        <w:pStyle w:val="ActHead9"/>
      </w:pPr>
      <w:bookmarkStart w:id="6" w:name="_Toc81893742"/>
      <w:r w:rsidRPr="00F24EB4">
        <w:t>Commonwealth Electoral Act 1918</w:t>
      </w:r>
      <w:bookmarkEnd w:id="6"/>
    </w:p>
    <w:p w14:paraId="423FD4EB" w14:textId="77777777" w:rsidR="001F281E" w:rsidRPr="00F24EB4" w:rsidRDefault="00C919C9" w:rsidP="004B6002">
      <w:pPr>
        <w:pStyle w:val="ItemHead"/>
      </w:pPr>
      <w:r w:rsidRPr="00F24EB4">
        <w:t>1</w:t>
      </w:r>
      <w:r w:rsidR="001F281E" w:rsidRPr="00F24EB4">
        <w:t xml:space="preserve">  Subsection 4(1)</w:t>
      </w:r>
    </w:p>
    <w:p w14:paraId="25D814B0" w14:textId="77777777" w:rsidR="001F281E" w:rsidRPr="00F24EB4" w:rsidRDefault="001F281E" w:rsidP="004B6002">
      <w:pPr>
        <w:pStyle w:val="Item"/>
      </w:pPr>
      <w:r w:rsidRPr="00F24EB4">
        <w:t>Insert:</w:t>
      </w:r>
    </w:p>
    <w:p w14:paraId="6D9E6B31" w14:textId="77777777" w:rsidR="001F281E" w:rsidRPr="00F24EB4" w:rsidRDefault="001F281E" w:rsidP="004B6002">
      <w:pPr>
        <w:pStyle w:val="Definition"/>
      </w:pPr>
      <w:r w:rsidRPr="00F24EB4">
        <w:rPr>
          <w:b/>
          <w:i/>
        </w:rPr>
        <w:t>designated elector</w:t>
      </w:r>
      <w:r w:rsidRPr="00F24EB4">
        <w:t xml:space="preserve">: see </w:t>
      </w:r>
      <w:r w:rsidR="00BF478A" w:rsidRPr="00F24EB4">
        <w:t>subsection 2</w:t>
      </w:r>
      <w:r w:rsidR="000569DC" w:rsidRPr="00F24EB4">
        <w:t>02AH</w:t>
      </w:r>
      <w:r w:rsidRPr="00F24EB4">
        <w:t>(1)</w:t>
      </w:r>
      <w:r w:rsidR="000569DC" w:rsidRPr="00F24EB4">
        <w:t>.</w:t>
      </w:r>
    </w:p>
    <w:p w14:paraId="71832D09" w14:textId="77777777" w:rsidR="001F281E" w:rsidRPr="00F24EB4" w:rsidRDefault="00C919C9" w:rsidP="004B6002">
      <w:pPr>
        <w:pStyle w:val="ItemHead"/>
      </w:pPr>
      <w:r w:rsidRPr="00F24EB4">
        <w:t>2</w:t>
      </w:r>
      <w:r w:rsidR="001F281E" w:rsidRPr="00F24EB4">
        <w:t xml:space="preserve">  At the end of section 84</w:t>
      </w:r>
    </w:p>
    <w:p w14:paraId="5063A462" w14:textId="77777777" w:rsidR="001F281E" w:rsidRPr="00F24EB4" w:rsidRDefault="001F281E" w:rsidP="004B6002">
      <w:pPr>
        <w:pStyle w:val="Item"/>
      </w:pPr>
      <w:r w:rsidRPr="00F24EB4">
        <w:t>Add:</w:t>
      </w:r>
    </w:p>
    <w:p w14:paraId="19A63605" w14:textId="77777777" w:rsidR="001F281E" w:rsidRPr="00F24EB4" w:rsidRDefault="001F281E" w:rsidP="004B6002">
      <w:pPr>
        <w:pStyle w:val="subsection"/>
      </w:pPr>
      <w:r w:rsidRPr="00F24EB4">
        <w:tab/>
        <w:t>(3)</w:t>
      </w:r>
      <w:r w:rsidRPr="00F24EB4">
        <w:tab/>
        <w:t>However, particulars contained in the Rolls in accordance with paragraph (2)(c) must not relate to whether a person is a designated elector</w:t>
      </w:r>
      <w:r w:rsidR="000569DC" w:rsidRPr="00F24EB4">
        <w:t>.</w:t>
      </w:r>
    </w:p>
    <w:p w14:paraId="18731F4E" w14:textId="77777777" w:rsidR="001F281E" w:rsidRPr="00F24EB4" w:rsidRDefault="00C919C9" w:rsidP="004B6002">
      <w:pPr>
        <w:pStyle w:val="ItemHead"/>
      </w:pPr>
      <w:r w:rsidRPr="00F24EB4">
        <w:t>3</w:t>
      </w:r>
      <w:r w:rsidR="001F281E" w:rsidRPr="00F24EB4">
        <w:t xml:space="preserve">  After subsection 90B(6)</w:t>
      </w:r>
    </w:p>
    <w:p w14:paraId="1384C3BD" w14:textId="77777777" w:rsidR="001F281E" w:rsidRPr="00F24EB4" w:rsidRDefault="001F281E" w:rsidP="004B6002">
      <w:pPr>
        <w:pStyle w:val="Item"/>
      </w:pPr>
      <w:r w:rsidRPr="00F24EB4">
        <w:t>Insert:</w:t>
      </w:r>
    </w:p>
    <w:p w14:paraId="6755D950" w14:textId="77777777" w:rsidR="001F281E" w:rsidRPr="00F24EB4" w:rsidRDefault="001F281E" w:rsidP="004B6002">
      <w:pPr>
        <w:pStyle w:val="SubsectionHead"/>
      </w:pPr>
      <w:r w:rsidRPr="00F24EB4">
        <w:t>Information about designated electors</w:t>
      </w:r>
    </w:p>
    <w:p w14:paraId="637EBFFB" w14:textId="77777777" w:rsidR="001F281E" w:rsidRPr="00F24EB4" w:rsidRDefault="001F281E" w:rsidP="004B6002">
      <w:pPr>
        <w:pStyle w:val="subsection"/>
      </w:pPr>
      <w:r w:rsidRPr="00F24EB4">
        <w:tab/>
        <w:t>(6A)</w:t>
      </w:r>
      <w:r w:rsidRPr="00F24EB4">
        <w:tab/>
        <w:t>The Electoral Commission must not include in information given under subsection (1) or (4) information about whether a person is a designated elector</w:t>
      </w:r>
      <w:r w:rsidR="000569DC" w:rsidRPr="00F24EB4">
        <w:t>.</w:t>
      </w:r>
    </w:p>
    <w:p w14:paraId="1097EBEF" w14:textId="77777777" w:rsidR="001F281E" w:rsidRPr="00F24EB4" w:rsidRDefault="00C919C9" w:rsidP="004B6002">
      <w:pPr>
        <w:pStyle w:val="ItemHead"/>
      </w:pPr>
      <w:r w:rsidRPr="00F24EB4">
        <w:t>4</w:t>
      </w:r>
      <w:r w:rsidR="001F281E" w:rsidRPr="00F24EB4">
        <w:t xml:space="preserve">  Paragraph 185(4)(c)</w:t>
      </w:r>
    </w:p>
    <w:p w14:paraId="2F42EAF2" w14:textId="77777777" w:rsidR="001F281E" w:rsidRPr="00F24EB4" w:rsidRDefault="001F281E" w:rsidP="004B6002">
      <w:pPr>
        <w:pStyle w:val="Item"/>
      </w:pPr>
      <w:r w:rsidRPr="00F24EB4">
        <w:t>Omit “Commission”, substitute “Commissioner”</w:t>
      </w:r>
      <w:r w:rsidR="000569DC" w:rsidRPr="00F24EB4">
        <w:t>.</w:t>
      </w:r>
    </w:p>
    <w:p w14:paraId="353C0574" w14:textId="77777777" w:rsidR="001F281E" w:rsidRPr="00F24EB4" w:rsidRDefault="00C919C9" w:rsidP="004B6002">
      <w:pPr>
        <w:pStyle w:val="ItemHead"/>
      </w:pPr>
      <w:r w:rsidRPr="00F24EB4">
        <w:t>5</w:t>
      </w:r>
      <w:r w:rsidR="001F281E" w:rsidRPr="00F24EB4">
        <w:t xml:space="preserve">  After subsection 185(4)</w:t>
      </w:r>
    </w:p>
    <w:p w14:paraId="5AAA0E2D" w14:textId="77777777" w:rsidR="001F281E" w:rsidRPr="00F24EB4" w:rsidRDefault="001F281E" w:rsidP="004B6002">
      <w:pPr>
        <w:pStyle w:val="Item"/>
      </w:pPr>
      <w:r w:rsidRPr="00F24EB4">
        <w:t>Insert:</w:t>
      </w:r>
    </w:p>
    <w:p w14:paraId="48EEC8C9" w14:textId="77777777" w:rsidR="001F281E" w:rsidRPr="00F24EB4" w:rsidRDefault="001F281E" w:rsidP="004B6002">
      <w:pPr>
        <w:pStyle w:val="subsection"/>
      </w:pPr>
      <w:r w:rsidRPr="00F24EB4">
        <w:tab/>
        <w:t>(4AA)</w:t>
      </w:r>
      <w:r w:rsidRPr="00F24EB4">
        <w:tab/>
        <w:t>The Electoral Commissioner must not, for the purposes of paragraph (4)(c), determine any particulars relating to whether an elector is a designated elector</w:t>
      </w:r>
      <w:r w:rsidR="000569DC" w:rsidRPr="00F24EB4">
        <w:t>.</w:t>
      </w:r>
    </w:p>
    <w:p w14:paraId="0B99AB34" w14:textId="77777777" w:rsidR="001F281E" w:rsidRPr="00F24EB4" w:rsidRDefault="00C919C9" w:rsidP="004B6002">
      <w:pPr>
        <w:pStyle w:val="ItemHead"/>
      </w:pPr>
      <w:r w:rsidRPr="00F24EB4">
        <w:lastRenderedPageBreak/>
        <w:t>6</w:t>
      </w:r>
      <w:r w:rsidR="001F281E" w:rsidRPr="00F24EB4">
        <w:t xml:space="preserve">  After subsection 189(2)</w:t>
      </w:r>
    </w:p>
    <w:p w14:paraId="214997C0" w14:textId="77777777" w:rsidR="001F281E" w:rsidRPr="00F24EB4" w:rsidRDefault="001F281E" w:rsidP="004B6002">
      <w:pPr>
        <w:pStyle w:val="Item"/>
      </w:pPr>
      <w:r w:rsidRPr="00F24EB4">
        <w:t>Insert:</w:t>
      </w:r>
    </w:p>
    <w:p w14:paraId="1F4F5A86" w14:textId="77777777" w:rsidR="001F281E" w:rsidRPr="00F24EB4" w:rsidRDefault="001F281E" w:rsidP="004B6002">
      <w:pPr>
        <w:pStyle w:val="subsection"/>
      </w:pPr>
      <w:r w:rsidRPr="00F24EB4">
        <w:tab/>
        <w:t>(2A)</w:t>
      </w:r>
      <w:r w:rsidRPr="00F24EB4">
        <w:tab/>
        <w:t>The Electoral Commissioner must not, for the purposes of subparagraph (2)(b)(iii), determine any particulars relating to whether an applicant is a designated elector</w:t>
      </w:r>
      <w:r w:rsidR="000569DC" w:rsidRPr="00F24EB4">
        <w:t>.</w:t>
      </w:r>
    </w:p>
    <w:p w14:paraId="42507BE1" w14:textId="77777777" w:rsidR="001F281E" w:rsidRPr="00F24EB4" w:rsidRDefault="00C919C9" w:rsidP="004B6002">
      <w:pPr>
        <w:pStyle w:val="ItemHead"/>
      </w:pPr>
      <w:r w:rsidRPr="00F24EB4">
        <w:t>7</w:t>
      </w:r>
      <w:r w:rsidR="001F281E" w:rsidRPr="00F24EB4">
        <w:t xml:space="preserve">  Sub</w:t>
      </w:r>
      <w:r w:rsidR="00BF478A" w:rsidRPr="00F24EB4">
        <w:t>section 2</w:t>
      </w:r>
      <w:r w:rsidR="001F281E" w:rsidRPr="00F24EB4">
        <w:t>00A(2) (before the note)</w:t>
      </w:r>
    </w:p>
    <w:p w14:paraId="24AD3F3B" w14:textId="77777777" w:rsidR="001F281E" w:rsidRPr="00F24EB4" w:rsidRDefault="001F281E" w:rsidP="004B6002">
      <w:pPr>
        <w:pStyle w:val="Item"/>
      </w:pPr>
      <w:r w:rsidRPr="00F24EB4">
        <w:t>Insert:</w:t>
      </w:r>
    </w:p>
    <w:p w14:paraId="255F81C4" w14:textId="77777777" w:rsidR="001F281E" w:rsidRPr="00F24EB4" w:rsidRDefault="001F281E" w:rsidP="004B6002">
      <w:pPr>
        <w:pStyle w:val="notetext"/>
      </w:pPr>
      <w:r w:rsidRPr="00F24EB4">
        <w:t>Note 1:</w:t>
      </w:r>
      <w:r w:rsidRPr="00F24EB4">
        <w:tab/>
        <w:t>A person who is a designated elector is not entitled to vote by pre</w:t>
      </w:r>
      <w:r w:rsidR="00F24EB4">
        <w:noBreakHyphen/>
      </w:r>
      <w:r w:rsidRPr="00F24EB4">
        <w:t xml:space="preserve">poll ordinary vote: see </w:t>
      </w:r>
      <w:r w:rsidR="00BF478A" w:rsidRPr="00F24EB4">
        <w:t>paragraph 2</w:t>
      </w:r>
      <w:r w:rsidRPr="00F24EB4">
        <w:t>00DG(2)(ea)</w:t>
      </w:r>
      <w:r w:rsidR="000569DC" w:rsidRPr="00F24EB4">
        <w:t>.</w:t>
      </w:r>
    </w:p>
    <w:p w14:paraId="5C02130B" w14:textId="77777777" w:rsidR="001F281E" w:rsidRPr="00F24EB4" w:rsidRDefault="00C919C9" w:rsidP="004B6002">
      <w:pPr>
        <w:pStyle w:val="ItemHead"/>
      </w:pPr>
      <w:r w:rsidRPr="00F24EB4">
        <w:t>8</w:t>
      </w:r>
      <w:r w:rsidR="001F281E" w:rsidRPr="00F24EB4">
        <w:t xml:space="preserve">  Sub</w:t>
      </w:r>
      <w:r w:rsidR="00BF478A" w:rsidRPr="00F24EB4">
        <w:t>section 2</w:t>
      </w:r>
      <w:r w:rsidR="001F281E" w:rsidRPr="00F24EB4">
        <w:t>00A(2) (note)</w:t>
      </w:r>
    </w:p>
    <w:p w14:paraId="56A17AD7" w14:textId="77777777" w:rsidR="001F281E" w:rsidRPr="00F24EB4" w:rsidRDefault="001F281E" w:rsidP="004B6002">
      <w:pPr>
        <w:pStyle w:val="Item"/>
      </w:pPr>
      <w:r w:rsidRPr="00F24EB4">
        <w:t>Omit “Note”, substitute “Note 2”</w:t>
      </w:r>
      <w:r w:rsidR="000569DC" w:rsidRPr="00F24EB4">
        <w:t>.</w:t>
      </w:r>
    </w:p>
    <w:p w14:paraId="0BF26EE3" w14:textId="77777777" w:rsidR="001F281E" w:rsidRPr="00F24EB4" w:rsidRDefault="00C919C9" w:rsidP="004B6002">
      <w:pPr>
        <w:pStyle w:val="ItemHead"/>
      </w:pPr>
      <w:r w:rsidRPr="00F24EB4">
        <w:t>9</w:t>
      </w:r>
      <w:r w:rsidR="001F281E" w:rsidRPr="00F24EB4">
        <w:t xml:space="preserve">  After </w:t>
      </w:r>
      <w:r w:rsidR="00BF478A" w:rsidRPr="00F24EB4">
        <w:t>paragraph 2</w:t>
      </w:r>
      <w:r w:rsidR="001F281E" w:rsidRPr="00F24EB4">
        <w:t>00DG(2)(e)</w:t>
      </w:r>
    </w:p>
    <w:p w14:paraId="6E94B9B4" w14:textId="77777777" w:rsidR="001F281E" w:rsidRPr="00F24EB4" w:rsidRDefault="001F281E" w:rsidP="004B6002">
      <w:pPr>
        <w:pStyle w:val="Item"/>
      </w:pPr>
      <w:r w:rsidRPr="00F24EB4">
        <w:t>Insert:</w:t>
      </w:r>
    </w:p>
    <w:p w14:paraId="5AA513EB" w14:textId="77777777" w:rsidR="001F281E" w:rsidRPr="00F24EB4" w:rsidRDefault="001F281E" w:rsidP="004B6002">
      <w:pPr>
        <w:pStyle w:val="paragraph"/>
      </w:pPr>
      <w:r w:rsidRPr="00F24EB4">
        <w:tab/>
        <w:t>(ea)</w:t>
      </w:r>
      <w:r w:rsidRPr="00F24EB4">
        <w:tab/>
      </w:r>
      <w:r w:rsidR="009C54AA" w:rsidRPr="00F24EB4">
        <w:t>the voter is a designated elector</w:t>
      </w:r>
      <w:r w:rsidRPr="00F24EB4">
        <w:t>; or</w:t>
      </w:r>
    </w:p>
    <w:p w14:paraId="09F9FD02" w14:textId="77777777" w:rsidR="001F281E" w:rsidRPr="00F24EB4" w:rsidRDefault="00C919C9" w:rsidP="004B6002">
      <w:pPr>
        <w:pStyle w:val="ItemHead"/>
      </w:pPr>
      <w:r w:rsidRPr="00F24EB4">
        <w:t>10</w:t>
      </w:r>
      <w:r w:rsidR="001F281E" w:rsidRPr="00F24EB4">
        <w:t xml:space="preserve">  After Part XVB</w:t>
      </w:r>
    </w:p>
    <w:p w14:paraId="566BF903" w14:textId="77777777" w:rsidR="001F281E" w:rsidRPr="00F24EB4" w:rsidRDefault="001F281E" w:rsidP="004B6002">
      <w:pPr>
        <w:pStyle w:val="Item"/>
      </w:pPr>
      <w:r w:rsidRPr="00F24EB4">
        <w:t>Insert:</w:t>
      </w:r>
    </w:p>
    <w:p w14:paraId="073CC647" w14:textId="77777777" w:rsidR="001F281E" w:rsidRPr="00F24EB4" w:rsidRDefault="001F281E" w:rsidP="004B6002">
      <w:pPr>
        <w:pStyle w:val="ActHead2"/>
      </w:pPr>
      <w:bookmarkStart w:id="7" w:name="_Toc81893743"/>
      <w:r w:rsidRPr="00F24EB4">
        <w:rPr>
          <w:rStyle w:val="CharPartNo"/>
        </w:rPr>
        <w:t>Part XVC</w:t>
      </w:r>
      <w:r w:rsidRPr="00F24EB4">
        <w:t>—</w:t>
      </w:r>
      <w:r w:rsidRPr="00F24EB4">
        <w:rPr>
          <w:rStyle w:val="CharPartText"/>
        </w:rPr>
        <w:t>Designated electors</w:t>
      </w:r>
      <w:bookmarkEnd w:id="7"/>
    </w:p>
    <w:p w14:paraId="418F51A2" w14:textId="77777777" w:rsidR="005F46A3" w:rsidRPr="00F24EB4" w:rsidRDefault="005F46A3" w:rsidP="004B6002">
      <w:pPr>
        <w:pStyle w:val="Header"/>
      </w:pPr>
      <w:r w:rsidRPr="00F24EB4">
        <w:rPr>
          <w:rStyle w:val="CharDivNo"/>
        </w:rPr>
        <w:t xml:space="preserve"> </w:t>
      </w:r>
      <w:r w:rsidRPr="00F24EB4">
        <w:rPr>
          <w:rStyle w:val="CharDivText"/>
        </w:rPr>
        <w:t xml:space="preserve"> </w:t>
      </w:r>
    </w:p>
    <w:p w14:paraId="323B8467" w14:textId="77777777" w:rsidR="001F281E" w:rsidRPr="00F24EB4" w:rsidRDefault="000569DC" w:rsidP="004B6002">
      <w:pPr>
        <w:pStyle w:val="ActHead5"/>
      </w:pPr>
      <w:bookmarkStart w:id="8" w:name="_Toc81893744"/>
      <w:r w:rsidRPr="00F24EB4">
        <w:rPr>
          <w:rStyle w:val="CharSectno"/>
        </w:rPr>
        <w:t>202AG</w:t>
      </w:r>
      <w:r w:rsidR="001F281E" w:rsidRPr="00F24EB4">
        <w:t xml:space="preserve">  Simplified outline of this Part</w:t>
      </w:r>
      <w:bookmarkEnd w:id="8"/>
    </w:p>
    <w:p w14:paraId="30532103" w14:textId="77777777" w:rsidR="00334108" w:rsidRPr="00F24EB4" w:rsidRDefault="001F281E" w:rsidP="004B6002">
      <w:pPr>
        <w:pStyle w:val="SOText"/>
      </w:pPr>
      <w:r w:rsidRPr="00F24EB4">
        <w:t>The Electoral Commissioner may declare an elector to be a designated elector on the basis of a reasonable suspicion that the elector has voted more than once in an election</w:t>
      </w:r>
      <w:r w:rsidR="000569DC" w:rsidRPr="00F24EB4">
        <w:t>.</w:t>
      </w:r>
    </w:p>
    <w:p w14:paraId="00262F69" w14:textId="77777777" w:rsidR="001F281E" w:rsidRPr="00F24EB4" w:rsidRDefault="001F281E" w:rsidP="004B6002">
      <w:pPr>
        <w:pStyle w:val="SOText"/>
      </w:pPr>
      <w:r w:rsidRPr="00F24EB4">
        <w:t>A designated elector may only vote by declaration vote</w:t>
      </w:r>
      <w:r w:rsidR="000569DC" w:rsidRPr="00F24EB4">
        <w:t>.</w:t>
      </w:r>
    </w:p>
    <w:p w14:paraId="53F56EEA" w14:textId="77777777" w:rsidR="001F281E" w:rsidRPr="00F24EB4" w:rsidRDefault="00DD0FA7" w:rsidP="004B6002">
      <w:pPr>
        <w:pStyle w:val="SOText"/>
      </w:pPr>
      <w:r w:rsidRPr="00F24EB4">
        <w:t>I</w:t>
      </w:r>
      <w:r w:rsidR="001F281E" w:rsidRPr="00F24EB4">
        <w:t>nformation about whether a person is a designated elector is excluded from information relating to Rolls that may be disclosed under the Act</w:t>
      </w:r>
      <w:r w:rsidR="000569DC" w:rsidRPr="00F24EB4">
        <w:t>.</w:t>
      </w:r>
    </w:p>
    <w:p w14:paraId="09ACE174" w14:textId="77777777" w:rsidR="001F281E" w:rsidRPr="00F24EB4" w:rsidRDefault="000569DC" w:rsidP="004B6002">
      <w:pPr>
        <w:pStyle w:val="ActHead5"/>
      </w:pPr>
      <w:bookmarkStart w:id="9" w:name="_Toc81893745"/>
      <w:r w:rsidRPr="00F24EB4">
        <w:rPr>
          <w:rStyle w:val="CharSectno"/>
        </w:rPr>
        <w:lastRenderedPageBreak/>
        <w:t>202AH</w:t>
      </w:r>
      <w:r w:rsidR="001F281E" w:rsidRPr="00F24EB4">
        <w:t xml:space="preserve">  Electoral Commissioner may declare designated electors</w:t>
      </w:r>
      <w:bookmarkEnd w:id="9"/>
    </w:p>
    <w:p w14:paraId="4851C3DB" w14:textId="77777777" w:rsidR="001F281E" w:rsidRPr="00F24EB4" w:rsidRDefault="001F281E" w:rsidP="004B6002">
      <w:pPr>
        <w:pStyle w:val="subsection"/>
      </w:pPr>
      <w:r w:rsidRPr="00F24EB4">
        <w:tab/>
        <w:t>(1)</w:t>
      </w:r>
      <w:r w:rsidRPr="00F24EB4">
        <w:tab/>
        <w:t xml:space="preserve">The Electoral Commissioner may, in writing, declare that an elector is a </w:t>
      </w:r>
      <w:r w:rsidRPr="00F24EB4">
        <w:rPr>
          <w:b/>
          <w:i/>
        </w:rPr>
        <w:t>designated elector</w:t>
      </w:r>
      <w:r w:rsidRPr="00F24EB4">
        <w:t xml:space="preserve"> if the Electoral Commissioner reasonably suspects that the elector has </w:t>
      </w:r>
      <w:r w:rsidR="007C50C0" w:rsidRPr="00F24EB4">
        <w:t>voted more than once in an election</w:t>
      </w:r>
      <w:r w:rsidR="00EC0562" w:rsidRPr="00F24EB4">
        <w:t xml:space="preserve"> </w:t>
      </w:r>
      <w:r w:rsidR="004F68C5" w:rsidRPr="00F24EB4">
        <w:t xml:space="preserve">(whether or not the elector has been convicted of an offence against </w:t>
      </w:r>
      <w:r w:rsidR="007C7A3B" w:rsidRPr="00F24EB4">
        <w:t>subsection 3</w:t>
      </w:r>
      <w:r w:rsidR="004F68C5" w:rsidRPr="00F24EB4">
        <w:t>39(1A) or (1C))</w:t>
      </w:r>
      <w:r w:rsidR="000569DC" w:rsidRPr="00F24EB4">
        <w:t>.</w:t>
      </w:r>
    </w:p>
    <w:p w14:paraId="03D3828D" w14:textId="77777777" w:rsidR="001F281E" w:rsidRPr="00F24EB4" w:rsidRDefault="001F281E" w:rsidP="004B6002">
      <w:pPr>
        <w:pStyle w:val="subsection"/>
      </w:pPr>
      <w:r w:rsidRPr="00F24EB4">
        <w:tab/>
        <w:t>(2)</w:t>
      </w:r>
      <w:r w:rsidRPr="00F24EB4">
        <w:tab/>
        <w:t>The Electoral Commissioner must give the elector written notice of the declaration</w:t>
      </w:r>
      <w:r w:rsidR="000569DC" w:rsidRPr="00F24EB4">
        <w:t>.</w:t>
      </w:r>
      <w:r w:rsidRPr="00F24EB4">
        <w:t xml:space="preserve"> The notice must set out the elector’s right </w:t>
      </w:r>
      <w:r w:rsidR="004B6729" w:rsidRPr="00F24EB4">
        <w:t>to have the decision to make the declaration reviewed</w:t>
      </w:r>
      <w:r w:rsidR="000569DC" w:rsidRPr="00F24EB4">
        <w:t>.</w:t>
      </w:r>
    </w:p>
    <w:p w14:paraId="64441477" w14:textId="77777777" w:rsidR="001F281E" w:rsidRPr="00F24EB4" w:rsidRDefault="001F281E" w:rsidP="004B6002">
      <w:pPr>
        <w:pStyle w:val="subsection"/>
      </w:pPr>
      <w:r w:rsidRPr="00F24EB4">
        <w:tab/>
        <w:t>(3)</w:t>
      </w:r>
      <w:r w:rsidRPr="00F24EB4">
        <w:tab/>
        <w:t>A declaration under subsection (1) ceases to have effect if:</w:t>
      </w:r>
    </w:p>
    <w:p w14:paraId="22D210BE" w14:textId="77777777" w:rsidR="001F281E" w:rsidRPr="00F24EB4" w:rsidRDefault="001F281E" w:rsidP="004B6002">
      <w:pPr>
        <w:pStyle w:val="paragraph"/>
      </w:pPr>
      <w:r w:rsidRPr="00F24EB4">
        <w:tab/>
        <w:t>(a)</w:t>
      </w:r>
      <w:r w:rsidRPr="00F24EB4">
        <w:tab/>
        <w:t xml:space="preserve">the declaration relates to an elector who has been convicted of an offence against </w:t>
      </w:r>
      <w:r w:rsidR="007C7A3B" w:rsidRPr="00F24EB4">
        <w:t>subsection 3</w:t>
      </w:r>
      <w:r w:rsidRPr="00F24EB4">
        <w:t>39(1A) or (1C); and</w:t>
      </w:r>
    </w:p>
    <w:p w14:paraId="6FD917FF" w14:textId="77777777" w:rsidR="001F281E" w:rsidRPr="00F24EB4" w:rsidRDefault="001F281E" w:rsidP="004B6002">
      <w:pPr>
        <w:pStyle w:val="paragraph"/>
      </w:pPr>
      <w:r w:rsidRPr="00F24EB4">
        <w:tab/>
        <w:t>(b)</w:t>
      </w:r>
      <w:r w:rsidRPr="00F24EB4">
        <w:tab/>
        <w:t>the elector’s conviction is quashed on appeal</w:t>
      </w:r>
      <w:r w:rsidR="000569DC" w:rsidRPr="00F24EB4">
        <w:t>.</w:t>
      </w:r>
    </w:p>
    <w:p w14:paraId="767A7CB5" w14:textId="77777777" w:rsidR="001F281E" w:rsidRPr="00F24EB4" w:rsidRDefault="001F281E" w:rsidP="004B6002">
      <w:pPr>
        <w:pStyle w:val="subsection"/>
      </w:pPr>
      <w:r w:rsidRPr="00F24EB4">
        <w:tab/>
        <w:t>(4)</w:t>
      </w:r>
      <w:r w:rsidRPr="00F24EB4">
        <w:tab/>
        <w:t>A declaration made under subsection (1) is not a legislative instrument</w:t>
      </w:r>
      <w:r w:rsidR="000569DC" w:rsidRPr="00F24EB4">
        <w:t>.</w:t>
      </w:r>
    </w:p>
    <w:p w14:paraId="540F1B52" w14:textId="77777777" w:rsidR="001F281E" w:rsidRPr="00F24EB4" w:rsidRDefault="000569DC" w:rsidP="004B6002">
      <w:pPr>
        <w:pStyle w:val="ActHead5"/>
      </w:pPr>
      <w:bookmarkStart w:id="10" w:name="_Toc81893746"/>
      <w:r w:rsidRPr="00F24EB4">
        <w:rPr>
          <w:rStyle w:val="CharSectno"/>
        </w:rPr>
        <w:t>202AJ</w:t>
      </w:r>
      <w:r w:rsidR="001F281E" w:rsidRPr="00F24EB4">
        <w:t xml:space="preserve">  Review by Electoral Commissioner</w:t>
      </w:r>
      <w:bookmarkEnd w:id="10"/>
    </w:p>
    <w:p w14:paraId="62980476" w14:textId="77777777" w:rsidR="001F281E" w:rsidRPr="00F24EB4" w:rsidRDefault="001F281E" w:rsidP="004B6002">
      <w:pPr>
        <w:pStyle w:val="subsection"/>
      </w:pPr>
      <w:r w:rsidRPr="00F24EB4">
        <w:tab/>
        <w:t>(1)</w:t>
      </w:r>
      <w:r w:rsidRPr="00F24EB4">
        <w:tab/>
        <w:t xml:space="preserve">An elector may apply to the Electoral Commissioner for review of a decision under </w:t>
      </w:r>
      <w:r w:rsidR="00BF478A" w:rsidRPr="00F24EB4">
        <w:t>subsection 2</w:t>
      </w:r>
      <w:r w:rsidR="000569DC" w:rsidRPr="00F24EB4">
        <w:t>02AH</w:t>
      </w:r>
      <w:r w:rsidRPr="00F24EB4">
        <w:t xml:space="preserve">(1) (the </w:t>
      </w:r>
      <w:r w:rsidRPr="00F24EB4">
        <w:rPr>
          <w:b/>
          <w:i/>
        </w:rPr>
        <w:t>original decision</w:t>
      </w:r>
      <w:r w:rsidRPr="00F24EB4">
        <w:t>) to declare that the elector is a designated elector</w:t>
      </w:r>
      <w:r w:rsidR="000569DC" w:rsidRPr="00F24EB4">
        <w:t>.</w:t>
      </w:r>
    </w:p>
    <w:p w14:paraId="7CEFFD61" w14:textId="77777777" w:rsidR="001F281E" w:rsidRPr="00F24EB4" w:rsidRDefault="001F281E" w:rsidP="004B6002">
      <w:pPr>
        <w:pStyle w:val="subsection"/>
      </w:pPr>
      <w:r w:rsidRPr="00F24EB4">
        <w:tab/>
        <w:t>(2)</w:t>
      </w:r>
      <w:r w:rsidRPr="00F24EB4">
        <w:tab/>
        <w:t>An application under subsection (1) must:</w:t>
      </w:r>
    </w:p>
    <w:p w14:paraId="1DD85C44" w14:textId="77777777" w:rsidR="001F281E" w:rsidRPr="00F24EB4" w:rsidRDefault="001F281E" w:rsidP="004B6002">
      <w:pPr>
        <w:pStyle w:val="paragraph"/>
      </w:pPr>
      <w:r w:rsidRPr="00F24EB4">
        <w:tab/>
        <w:t>(a)</w:t>
      </w:r>
      <w:r w:rsidRPr="00F24EB4">
        <w:tab/>
        <w:t>be in writing; and</w:t>
      </w:r>
    </w:p>
    <w:p w14:paraId="10585115" w14:textId="77777777" w:rsidR="001F281E" w:rsidRPr="00F24EB4" w:rsidRDefault="001F281E" w:rsidP="004B6002">
      <w:pPr>
        <w:pStyle w:val="paragraph"/>
      </w:pPr>
      <w:r w:rsidRPr="00F24EB4">
        <w:tab/>
        <w:t>(b)</w:t>
      </w:r>
      <w:r w:rsidRPr="00F24EB4">
        <w:tab/>
        <w:t>include the elector’s name and address and a statement of the elector’s reasons for making the application; and</w:t>
      </w:r>
    </w:p>
    <w:p w14:paraId="272B44D5" w14:textId="77777777" w:rsidR="001F281E" w:rsidRPr="00F24EB4" w:rsidRDefault="001F281E" w:rsidP="004B6002">
      <w:pPr>
        <w:pStyle w:val="paragraph"/>
      </w:pPr>
      <w:r w:rsidRPr="00F24EB4">
        <w:tab/>
        <w:t>(c)</w:t>
      </w:r>
      <w:r w:rsidRPr="00F24EB4">
        <w:tab/>
        <w:t xml:space="preserve">be made within 28 days of the day on which the elector is notified under </w:t>
      </w:r>
      <w:r w:rsidR="00BF478A" w:rsidRPr="00F24EB4">
        <w:t>subsection 2</w:t>
      </w:r>
      <w:r w:rsidR="000569DC" w:rsidRPr="00F24EB4">
        <w:t>02AH</w:t>
      </w:r>
      <w:r w:rsidRPr="00F24EB4">
        <w:t>(2) of the original decision</w:t>
      </w:r>
      <w:r w:rsidR="000569DC" w:rsidRPr="00F24EB4">
        <w:t>.</w:t>
      </w:r>
    </w:p>
    <w:p w14:paraId="41FC6DAE" w14:textId="77777777" w:rsidR="001F281E" w:rsidRPr="00F24EB4" w:rsidRDefault="001F281E" w:rsidP="004B6002">
      <w:pPr>
        <w:pStyle w:val="subsection"/>
      </w:pPr>
      <w:r w:rsidRPr="00F24EB4">
        <w:tab/>
        <w:t>(3)</w:t>
      </w:r>
      <w:r w:rsidRPr="00F24EB4">
        <w:tab/>
        <w:t>After receiving an application under subsection (1), the Electoral Commissioner must:</w:t>
      </w:r>
    </w:p>
    <w:p w14:paraId="0C087EEF" w14:textId="77777777" w:rsidR="001F281E" w:rsidRPr="00F24EB4" w:rsidRDefault="001F281E" w:rsidP="004B6002">
      <w:pPr>
        <w:pStyle w:val="paragraph"/>
      </w:pPr>
      <w:r w:rsidRPr="00F24EB4">
        <w:tab/>
        <w:t>(a)</w:t>
      </w:r>
      <w:r w:rsidRPr="00F24EB4">
        <w:tab/>
        <w:t>personally review the original decision; or</w:t>
      </w:r>
    </w:p>
    <w:p w14:paraId="3CFA5EAE" w14:textId="77777777" w:rsidR="001F281E" w:rsidRPr="00F24EB4" w:rsidRDefault="001F281E" w:rsidP="004B6002">
      <w:pPr>
        <w:pStyle w:val="paragraph"/>
      </w:pPr>
      <w:r w:rsidRPr="00F24EB4">
        <w:tab/>
        <w:t>(b)</w:t>
      </w:r>
      <w:r w:rsidRPr="00F24EB4">
        <w:tab/>
        <w:t>cause the original decision to be reviewed by a person to whom the Commissioner’s powers and functions under this section are delegated and who was not involved in making the original decision</w:t>
      </w:r>
      <w:r w:rsidR="000569DC" w:rsidRPr="00F24EB4">
        <w:t>.</w:t>
      </w:r>
    </w:p>
    <w:p w14:paraId="6C0F1A77" w14:textId="77777777" w:rsidR="001F281E" w:rsidRPr="00F24EB4" w:rsidRDefault="001F281E" w:rsidP="004B6002">
      <w:pPr>
        <w:pStyle w:val="subsection"/>
      </w:pPr>
      <w:r w:rsidRPr="00F24EB4">
        <w:lastRenderedPageBreak/>
        <w:tab/>
        <w:t>(4)</w:t>
      </w:r>
      <w:r w:rsidRPr="00F24EB4">
        <w:tab/>
        <w:t xml:space="preserve">The person who reviews the original decision under subsection (3) (the </w:t>
      </w:r>
      <w:r w:rsidRPr="00F24EB4">
        <w:rPr>
          <w:b/>
          <w:i/>
        </w:rPr>
        <w:t>reviewer</w:t>
      </w:r>
      <w:r w:rsidRPr="00F24EB4">
        <w:t>) must make a decision to either:</w:t>
      </w:r>
    </w:p>
    <w:p w14:paraId="1A773E98" w14:textId="77777777" w:rsidR="001F281E" w:rsidRPr="00F24EB4" w:rsidRDefault="001F281E" w:rsidP="004B6002">
      <w:pPr>
        <w:pStyle w:val="paragraph"/>
      </w:pPr>
      <w:r w:rsidRPr="00F24EB4">
        <w:tab/>
        <w:t>(a)</w:t>
      </w:r>
      <w:r w:rsidRPr="00F24EB4">
        <w:tab/>
        <w:t>confirm the original decision; or</w:t>
      </w:r>
    </w:p>
    <w:p w14:paraId="6BA90E54" w14:textId="77777777" w:rsidR="001F281E" w:rsidRPr="00F24EB4" w:rsidRDefault="001F281E" w:rsidP="004B6002">
      <w:pPr>
        <w:pStyle w:val="paragraph"/>
      </w:pPr>
      <w:r w:rsidRPr="00F24EB4">
        <w:tab/>
        <w:t>(b)</w:t>
      </w:r>
      <w:r w:rsidRPr="00F24EB4">
        <w:tab/>
        <w:t>set aside the original decision and substitute a new decision</w:t>
      </w:r>
      <w:r w:rsidR="000569DC" w:rsidRPr="00F24EB4">
        <w:t>.</w:t>
      </w:r>
    </w:p>
    <w:p w14:paraId="4F97A6CC" w14:textId="77777777" w:rsidR="00D34FA2" w:rsidRPr="00F24EB4" w:rsidRDefault="001F281E" w:rsidP="004B6002">
      <w:pPr>
        <w:pStyle w:val="subsection"/>
      </w:pPr>
      <w:r w:rsidRPr="00F24EB4">
        <w:tab/>
        <w:t>(5)</w:t>
      </w:r>
      <w:r w:rsidRPr="00F24EB4">
        <w:tab/>
        <w:t>The reviewer must give the elector written notice of the reviewer’s decision under subsection (4), including the reasons for the decision</w:t>
      </w:r>
      <w:r w:rsidR="000569DC" w:rsidRPr="00F24EB4">
        <w:t>.</w:t>
      </w:r>
      <w:r w:rsidRPr="00F24EB4">
        <w:t xml:space="preserve"> The notice must set out the elector’s </w:t>
      </w:r>
      <w:r w:rsidR="00D34FA2" w:rsidRPr="00F24EB4">
        <w:t>right to have the decision reviewed</w:t>
      </w:r>
      <w:r w:rsidR="000569DC" w:rsidRPr="00F24EB4">
        <w:t>.</w:t>
      </w:r>
    </w:p>
    <w:p w14:paraId="07E6CABC" w14:textId="77777777" w:rsidR="001F281E" w:rsidRPr="00F24EB4" w:rsidRDefault="001F281E" w:rsidP="004B6002">
      <w:pPr>
        <w:pStyle w:val="subsection"/>
      </w:pPr>
      <w:r w:rsidRPr="00F24EB4">
        <w:tab/>
        <w:t>(6)</w:t>
      </w:r>
      <w:r w:rsidRPr="00F24EB4">
        <w:tab/>
        <w:t>This section does not apply if the original decision was made by the Electoral Commissioner personally</w:t>
      </w:r>
      <w:r w:rsidR="000569DC" w:rsidRPr="00F24EB4">
        <w:t>.</w:t>
      </w:r>
    </w:p>
    <w:p w14:paraId="3BFC53FB" w14:textId="77777777" w:rsidR="001F281E" w:rsidRPr="00F24EB4" w:rsidRDefault="000569DC" w:rsidP="004B6002">
      <w:pPr>
        <w:pStyle w:val="ActHead5"/>
      </w:pPr>
      <w:bookmarkStart w:id="11" w:name="_Toc81893747"/>
      <w:r w:rsidRPr="00F24EB4">
        <w:rPr>
          <w:rStyle w:val="CharSectno"/>
        </w:rPr>
        <w:t>202AK</w:t>
      </w:r>
      <w:r w:rsidR="001F281E" w:rsidRPr="00F24EB4">
        <w:t xml:space="preserve">  Review by Administrative Appeals Tribunal</w:t>
      </w:r>
      <w:bookmarkEnd w:id="11"/>
    </w:p>
    <w:p w14:paraId="5A2E9B2D" w14:textId="77777777" w:rsidR="001F281E" w:rsidRPr="00F24EB4" w:rsidRDefault="001F281E" w:rsidP="004B6002">
      <w:pPr>
        <w:pStyle w:val="subsection"/>
      </w:pPr>
      <w:r w:rsidRPr="00F24EB4">
        <w:tab/>
      </w:r>
      <w:r w:rsidRPr="00F24EB4">
        <w:tab/>
        <w:t>Applications may be made to the Administrative Appeals Tribunal for review of:</w:t>
      </w:r>
    </w:p>
    <w:p w14:paraId="4903E2C4" w14:textId="77777777" w:rsidR="001F281E" w:rsidRPr="00F24EB4" w:rsidRDefault="001F281E" w:rsidP="004B6002">
      <w:pPr>
        <w:pStyle w:val="paragraph"/>
      </w:pPr>
      <w:r w:rsidRPr="00F24EB4">
        <w:tab/>
        <w:t>(a)</w:t>
      </w:r>
      <w:r w:rsidRPr="00F24EB4">
        <w:tab/>
        <w:t xml:space="preserve">a decision under </w:t>
      </w:r>
      <w:r w:rsidR="00BF478A" w:rsidRPr="00F24EB4">
        <w:t>subsection 2</w:t>
      </w:r>
      <w:r w:rsidR="000569DC" w:rsidRPr="00F24EB4">
        <w:t>02AH</w:t>
      </w:r>
      <w:r w:rsidRPr="00F24EB4">
        <w:t>(1) made by the Electoral Commissioner personally; or</w:t>
      </w:r>
    </w:p>
    <w:p w14:paraId="351F55BE" w14:textId="77777777" w:rsidR="001F281E" w:rsidRPr="00F24EB4" w:rsidRDefault="001F281E" w:rsidP="004B6002">
      <w:pPr>
        <w:pStyle w:val="paragraph"/>
      </w:pPr>
      <w:r w:rsidRPr="00F24EB4">
        <w:tab/>
        <w:t>(b)</w:t>
      </w:r>
      <w:r w:rsidRPr="00F24EB4">
        <w:tab/>
        <w:t xml:space="preserve">a decision under </w:t>
      </w:r>
      <w:r w:rsidR="00BF478A" w:rsidRPr="00F24EB4">
        <w:t>paragraph 2</w:t>
      </w:r>
      <w:r w:rsidR="000569DC" w:rsidRPr="00F24EB4">
        <w:t>02AJ</w:t>
      </w:r>
      <w:r w:rsidRPr="00F24EB4">
        <w:t xml:space="preserve">(4)(a) by the reviewer (within the meaning of </w:t>
      </w:r>
      <w:r w:rsidR="00BF478A" w:rsidRPr="00F24EB4">
        <w:t>subsection 2</w:t>
      </w:r>
      <w:r w:rsidR="000569DC" w:rsidRPr="00F24EB4">
        <w:t>02AJ</w:t>
      </w:r>
      <w:r w:rsidRPr="00F24EB4">
        <w:t>(4))</w:t>
      </w:r>
      <w:r w:rsidR="000569DC" w:rsidRPr="00F24EB4">
        <w:t>.</w:t>
      </w:r>
    </w:p>
    <w:p w14:paraId="0E291A04" w14:textId="77777777" w:rsidR="001F281E" w:rsidRPr="00F24EB4" w:rsidRDefault="000569DC" w:rsidP="004B6002">
      <w:pPr>
        <w:pStyle w:val="ActHead5"/>
      </w:pPr>
      <w:bookmarkStart w:id="12" w:name="_Toc81893748"/>
      <w:r w:rsidRPr="00F24EB4">
        <w:rPr>
          <w:rStyle w:val="CharSectno"/>
        </w:rPr>
        <w:t>202AL</w:t>
      </w:r>
      <w:r w:rsidR="001F281E" w:rsidRPr="00F24EB4">
        <w:t xml:space="preserve">  Voting by designated electors at elections</w:t>
      </w:r>
      <w:bookmarkEnd w:id="12"/>
    </w:p>
    <w:p w14:paraId="59D7C393" w14:textId="77777777" w:rsidR="001F281E" w:rsidRPr="00F24EB4" w:rsidRDefault="001F281E" w:rsidP="004B6002">
      <w:pPr>
        <w:pStyle w:val="subsection"/>
      </w:pPr>
      <w:r w:rsidRPr="00F24EB4">
        <w:tab/>
        <w:t>(1)</w:t>
      </w:r>
      <w:r w:rsidRPr="00F24EB4">
        <w:tab/>
        <w:t>A designated elector is not permitted to vote in an election except in accordance with this section</w:t>
      </w:r>
      <w:r w:rsidR="000569DC" w:rsidRPr="00F24EB4">
        <w:t>.</w:t>
      </w:r>
    </w:p>
    <w:p w14:paraId="4576BA1D" w14:textId="77777777" w:rsidR="001F281E" w:rsidRPr="00F24EB4" w:rsidRDefault="001F281E" w:rsidP="004B6002">
      <w:pPr>
        <w:pStyle w:val="subsection"/>
      </w:pPr>
      <w:r w:rsidRPr="00F24EB4">
        <w:tab/>
        <w:t>(2)</w:t>
      </w:r>
      <w:r w:rsidRPr="00F24EB4">
        <w:tab/>
        <w:t>A designated elector may only vote by declaration vote</w:t>
      </w:r>
      <w:r w:rsidR="000569DC" w:rsidRPr="00F24EB4">
        <w:t>.</w:t>
      </w:r>
    </w:p>
    <w:p w14:paraId="76CED0F6" w14:textId="77777777" w:rsidR="001F281E" w:rsidRPr="00F24EB4" w:rsidRDefault="001F281E" w:rsidP="004B6002">
      <w:pPr>
        <w:pStyle w:val="notetext"/>
      </w:pPr>
      <w:r w:rsidRPr="00F24EB4">
        <w:t>Note:</w:t>
      </w:r>
      <w:r w:rsidRPr="00F24EB4">
        <w:tab/>
        <w:t>The effect of subsection (2) is that designated electors are able to cast declaration votes in accordance with the rules relating to postal voting (see Part XV), pre</w:t>
      </w:r>
      <w:r w:rsidR="00F24EB4">
        <w:noBreakHyphen/>
      </w:r>
      <w:r w:rsidRPr="00F24EB4">
        <w:t>poll declaration voting (see Part XVA) and absent and provisional voting (see Part XVI)</w:t>
      </w:r>
      <w:r w:rsidR="000569DC" w:rsidRPr="00F24EB4">
        <w:t>.</w:t>
      </w:r>
    </w:p>
    <w:p w14:paraId="773352D1" w14:textId="77777777" w:rsidR="00CF7ED5" w:rsidRPr="00F24EB4" w:rsidRDefault="00C919C9" w:rsidP="004B6002">
      <w:pPr>
        <w:pStyle w:val="ItemHead"/>
      </w:pPr>
      <w:r w:rsidRPr="00F24EB4">
        <w:t>11</w:t>
      </w:r>
      <w:r w:rsidR="00CF7ED5" w:rsidRPr="00F24EB4">
        <w:t xml:space="preserve">  After </w:t>
      </w:r>
      <w:r w:rsidR="00BF478A" w:rsidRPr="00F24EB4">
        <w:t>subsection 2</w:t>
      </w:r>
      <w:r w:rsidR="00CF7ED5" w:rsidRPr="00F24EB4">
        <w:t>08(2A)</w:t>
      </w:r>
    </w:p>
    <w:p w14:paraId="06FD1A09" w14:textId="77777777" w:rsidR="00CF7ED5" w:rsidRPr="00F24EB4" w:rsidRDefault="00CF7ED5" w:rsidP="004B6002">
      <w:pPr>
        <w:pStyle w:val="Item"/>
      </w:pPr>
      <w:r w:rsidRPr="00F24EB4">
        <w:t>Insert:</w:t>
      </w:r>
    </w:p>
    <w:p w14:paraId="36DC735B" w14:textId="77777777" w:rsidR="00CF7ED5" w:rsidRPr="00F24EB4" w:rsidRDefault="00CF7ED5" w:rsidP="004B6002">
      <w:pPr>
        <w:pStyle w:val="subsection"/>
      </w:pPr>
      <w:r w:rsidRPr="00F24EB4">
        <w:tab/>
        <w:t>(2B)</w:t>
      </w:r>
      <w:r w:rsidRPr="00F24EB4">
        <w:tab/>
        <w:t>The list must not include the address of a person who</w:t>
      </w:r>
      <w:r w:rsidR="001C10AE" w:rsidRPr="00F24EB4">
        <w:t xml:space="preserve"> </w:t>
      </w:r>
      <w:r w:rsidRPr="00F24EB4">
        <w:t>is on the Roll for the Division</w:t>
      </w:r>
      <w:r w:rsidR="001C10AE" w:rsidRPr="00F24EB4">
        <w:t xml:space="preserve"> if the person </w:t>
      </w:r>
      <w:r w:rsidRPr="00F24EB4">
        <w:t>is a designated elector</w:t>
      </w:r>
      <w:r w:rsidR="000569DC" w:rsidRPr="00F24EB4">
        <w:t>.</w:t>
      </w:r>
    </w:p>
    <w:p w14:paraId="42424AB7" w14:textId="77777777" w:rsidR="001F281E" w:rsidRPr="00F24EB4" w:rsidRDefault="00C919C9" w:rsidP="004B6002">
      <w:pPr>
        <w:pStyle w:val="ItemHead"/>
      </w:pPr>
      <w:r w:rsidRPr="00F24EB4">
        <w:lastRenderedPageBreak/>
        <w:t>12</w:t>
      </w:r>
      <w:r w:rsidR="001F281E" w:rsidRPr="00F24EB4">
        <w:t xml:space="preserve">  At the end of </w:t>
      </w:r>
      <w:r w:rsidR="00BF478A" w:rsidRPr="00F24EB4">
        <w:t>subsection 2</w:t>
      </w:r>
      <w:r w:rsidR="001F281E" w:rsidRPr="00F24EB4">
        <w:t>22(1)</w:t>
      </w:r>
    </w:p>
    <w:p w14:paraId="04393476" w14:textId="77777777" w:rsidR="001F281E" w:rsidRPr="00F24EB4" w:rsidRDefault="001F281E" w:rsidP="004B6002">
      <w:pPr>
        <w:pStyle w:val="Item"/>
      </w:pPr>
      <w:r w:rsidRPr="00F24EB4">
        <w:t>Add:</w:t>
      </w:r>
    </w:p>
    <w:p w14:paraId="219E4E83" w14:textId="77777777" w:rsidR="001F281E" w:rsidRPr="00F24EB4" w:rsidRDefault="001F281E" w:rsidP="004B6002">
      <w:pPr>
        <w:pStyle w:val="notetext"/>
      </w:pPr>
      <w:r w:rsidRPr="00F24EB4">
        <w:t>Note:</w:t>
      </w:r>
      <w:r w:rsidRPr="00F24EB4">
        <w:tab/>
        <w:t xml:space="preserve">See </w:t>
      </w:r>
      <w:r w:rsidR="00BF478A" w:rsidRPr="00F24EB4">
        <w:t>section 2</w:t>
      </w:r>
      <w:r w:rsidR="000569DC" w:rsidRPr="00F24EB4">
        <w:t>02AL</w:t>
      </w:r>
      <w:r w:rsidRPr="00F24EB4">
        <w:t xml:space="preserve"> for rules about voting by designated electors</w:t>
      </w:r>
      <w:r w:rsidR="000569DC" w:rsidRPr="00F24EB4">
        <w:t>.</w:t>
      </w:r>
    </w:p>
    <w:p w14:paraId="5136C18B" w14:textId="77777777" w:rsidR="001F281E" w:rsidRPr="00F24EB4" w:rsidRDefault="00C919C9" w:rsidP="004B6002">
      <w:pPr>
        <w:pStyle w:val="ItemHead"/>
      </w:pPr>
      <w:r w:rsidRPr="00F24EB4">
        <w:t>13</w:t>
      </w:r>
      <w:r w:rsidR="001F281E" w:rsidRPr="00F24EB4">
        <w:t xml:space="preserve">  After </w:t>
      </w:r>
      <w:r w:rsidR="007C7A3B" w:rsidRPr="00F24EB4">
        <w:t>subsection 3</w:t>
      </w:r>
      <w:r w:rsidR="001F281E" w:rsidRPr="00F24EB4">
        <w:t>39(1A) (before the penalty)</w:t>
      </w:r>
    </w:p>
    <w:p w14:paraId="3CABD60D" w14:textId="77777777" w:rsidR="001F281E" w:rsidRPr="00F24EB4" w:rsidRDefault="001F281E" w:rsidP="004B6002">
      <w:pPr>
        <w:pStyle w:val="Item"/>
      </w:pPr>
      <w:r w:rsidRPr="00F24EB4">
        <w:t>Insert:</w:t>
      </w:r>
    </w:p>
    <w:p w14:paraId="273F816C" w14:textId="77777777" w:rsidR="001F281E" w:rsidRPr="00F24EB4" w:rsidRDefault="001F281E" w:rsidP="004B6002">
      <w:pPr>
        <w:pStyle w:val="notetext"/>
      </w:pPr>
      <w:r w:rsidRPr="00F24EB4">
        <w:t>Note:</w:t>
      </w:r>
      <w:r w:rsidRPr="00F24EB4">
        <w:tab/>
        <w:t xml:space="preserve">The Electoral Commissioner may declare that a person convicted of an offence against this subsection is a designated elector (see </w:t>
      </w:r>
      <w:r w:rsidR="00BF478A" w:rsidRPr="00F24EB4">
        <w:t>subsection 2</w:t>
      </w:r>
      <w:r w:rsidR="000569DC" w:rsidRPr="00F24EB4">
        <w:t>02AH</w:t>
      </w:r>
      <w:r w:rsidRPr="00F24EB4">
        <w:t>(1))</w:t>
      </w:r>
      <w:r w:rsidR="000569DC" w:rsidRPr="00F24EB4">
        <w:t>.</w:t>
      </w:r>
    </w:p>
    <w:p w14:paraId="4A54D7C3" w14:textId="77777777" w:rsidR="001F281E" w:rsidRPr="00F24EB4" w:rsidRDefault="00C919C9" w:rsidP="004B6002">
      <w:pPr>
        <w:pStyle w:val="ItemHead"/>
      </w:pPr>
      <w:r w:rsidRPr="00F24EB4">
        <w:t>14</w:t>
      </w:r>
      <w:r w:rsidR="001F281E" w:rsidRPr="00F24EB4">
        <w:t xml:space="preserve">  After </w:t>
      </w:r>
      <w:r w:rsidR="007C7A3B" w:rsidRPr="00F24EB4">
        <w:t>subsection 3</w:t>
      </w:r>
      <w:r w:rsidR="001F281E" w:rsidRPr="00F24EB4">
        <w:t>39(1C) (before the penalty)</w:t>
      </w:r>
    </w:p>
    <w:p w14:paraId="33E63147" w14:textId="77777777" w:rsidR="001F281E" w:rsidRPr="00F24EB4" w:rsidRDefault="001F281E" w:rsidP="004B6002">
      <w:pPr>
        <w:pStyle w:val="Item"/>
      </w:pPr>
      <w:r w:rsidRPr="00F24EB4">
        <w:t>Insert:</w:t>
      </w:r>
    </w:p>
    <w:p w14:paraId="20FD37AD" w14:textId="77777777" w:rsidR="001F281E" w:rsidRPr="00F24EB4" w:rsidRDefault="001F281E" w:rsidP="004B6002">
      <w:pPr>
        <w:pStyle w:val="notetext"/>
      </w:pPr>
      <w:r w:rsidRPr="00F24EB4">
        <w:t>Note:</w:t>
      </w:r>
      <w:r w:rsidRPr="00F24EB4">
        <w:tab/>
        <w:t xml:space="preserve">The Electoral Commissioner may declare that a person convicted of an offence against this subsection is a designated elector (see </w:t>
      </w:r>
      <w:r w:rsidR="00BF478A" w:rsidRPr="00F24EB4">
        <w:t>subsection 2</w:t>
      </w:r>
      <w:r w:rsidR="000569DC" w:rsidRPr="00F24EB4">
        <w:t>02AH</w:t>
      </w:r>
      <w:r w:rsidRPr="00F24EB4">
        <w:t>(1))</w:t>
      </w:r>
      <w:r w:rsidR="000569DC" w:rsidRPr="00F24EB4">
        <w:t>.</w:t>
      </w:r>
    </w:p>
    <w:p w14:paraId="2D4DBB3F" w14:textId="77777777" w:rsidR="001F281E" w:rsidRPr="00F24EB4" w:rsidRDefault="00C919C9" w:rsidP="004B6002">
      <w:pPr>
        <w:pStyle w:val="Transitional"/>
      </w:pPr>
      <w:r w:rsidRPr="00F24EB4">
        <w:t>15</w:t>
      </w:r>
      <w:r w:rsidR="001F281E" w:rsidRPr="00F24EB4">
        <w:t xml:space="preserve">  Application of amendment</w:t>
      </w:r>
    </w:p>
    <w:p w14:paraId="1A1519BC" w14:textId="77777777" w:rsidR="001F281E" w:rsidRPr="00F24EB4" w:rsidRDefault="001F281E" w:rsidP="004B6002">
      <w:pPr>
        <w:pStyle w:val="subsection"/>
      </w:pPr>
      <w:r w:rsidRPr="00F24EB4">
        <w:tab/>
      </w:r>
      <w:r w:rsidRPr="00F24EB4">
        <w:tab/>
      </w:r>
      <w:r w:rsidR="00BF478A" w:rsidRPr="00F24EB4">
        <w:t>Section 2</w:t>
      </w:r>
      <w:r w:rsidR="000569DC" w:rsidRPr="00F24EB4">
        <w:t>02AH</w:t>
      </w:r>
      <w:r w:rsidRPr="00F24EB4">
        <w:t xml:space="preserve"> of the </w:t>
      </w:r>
      <w:r w:rsidRPr="00F24EB4">
        <w:rPr>
          <w:i/>
        </w:rPr>
        <w:t>Commonwealth Electoral Act 1918</w:t>
      </w:r>
      <w:r w:rsidRPr="00F24EB4">
        <w:t xml:space="preserve">, as inserted by this Schedule, applies in relation to a </w:t>
      </w:r>
      <w:r w:rsidR="00827984" w:rsidRPr="00F24EB4">
        <w:t xml:space="preserve">reasonable suspicion </w:t>
      </w:r>
      <w:r w:rsidR="00E244EA" w:rsidRPr="00F24EB4">
        <w:t xml:space="preserve">that a person has voted more than once in an election, whether or not the election occurred </w:t>
      </w:r>
      <w:r w:rsidR="00827984" w:rsidRPr="00F24EB4">
        <w:t>b</w:t>
      </w:r>
      <w:r w:rsidRPr="00F24EB4">
        <w:t>efore or after the commencement of this item</w:t>
      </w:r>
      <w:r w:rsidR="000569DC" w:rsidRPr="00F24EB4">
        <w:t>.</w:t>
      </w:r>
    </w:p>
    <w:p w14:paraId="3688FD77" w14:textId="77777777" w:rsidR="001F281E" w:rsidRPr="00F24EB4" w:rsidRDefault="00EA787C" w:rsidP="004B6002">
      <w:pPr>
        <w:pStyle w:val="ActHead7"/>
        <w:pageBreakBefore/>
      </w:pPr>
      <w:bookmarkStart w:id="13" w:name="_Toc81893749"/>
      <w:r w:rsidRPr="00F24EB4">
        <w:rPr>
          <w:rStyle w:val="CharAmPartNo"/>
        </w:rPr>
        <w:lastRenderedPageBreak/>
        <w:t>Part 2</w:t>
      </w:r>
      <w:r w:rsidR="001F281E" w:rsidRPr="00F24EB4">
        <w:t>—</w:t>
      </w:r>
      <w:r w:rsidR="001F281E" w:rsidRPr="00F24EB4">
        <w:rPr>
          <w:rStyle w:val="CharAmPartText"/>
        </w:rPr>
        <w:t>Contingent amendments</w:t>
      </w:r>
      <w:bookmarkEnd w:id="13"/>
    </w:p>
    <w:p w14:paraId="4070929A" w14:textId="77777777" w:rsidR="001F281E" w:rsidRPr="00F24EB4" w:rsidRDefault="001F281E" w:rsidP="004B6002">
      <w:pPr>
        <w:pStyle w:val="ActHead9"/>
      </w:pPr>
      <w:bookmarkStart w:id="14" w:name="_Toc81893750"/>
      <w:r w:rsidRPr="00F24EB4">
        <w:t>Commonwealth Electoral Act 1918</w:t>
      </w:r>
      <w:bookmarkEnd w:id="14"/>
    </w:p>
    <w:p w14:paraId="39B4E5A7" w14:textId="77777777" w:rsidR="001F281E" w:rsidRPr="00F24EB4" w:rsidRDefault="00C919C9" w:rsidP="004B6002">
      <w:pPr>
        <w:pStyle w:val="ItemHead"/>
        <w:shd w:val="clear" w:color="auto" w:fill="FFFFFF" w:themeFill="background1"/>
      </w:pPr>
      <w:r w:rsidRPr="00F24EB4">
        <w:t>16</w:t>
      </w:r>
      <w:r w:rsidR="001F281E" w:rsidRPr="00F24EB4">
        <w:t xml:space="preserve">  Paragraph 17A(a) of Schedule 3</w:t>
      </w:r>
    </w:p>
    <w:p w14:paraId="6BDB0AFC" w14:textId="77777777" w:rsidR="001F281E" w:rsidRPr="00F24EB4" w:rsidRDefault="001F281E" w:rsidP="004B6002">
      <w:pPr>
        <w:pStyle w:val="Item"/>
      </w:pPr>
      <w:r w:rsidRPr="00F24EB4">
        <w:t>Repeal the paragraph, substitute:</w:t>
      </w:r>
    </w:p>
    <w:p w14:paraId="4D416526" w14:textId="77777777" w:rsidR="001F281E" w:rsidRPr="00F24EB4" w:rsidRDefault="001F281E" w:rsidP="004B6002">
      <w:pPr>
        <w:pStyle w:val="paragraph"/>
      </w:pPr>
      <w:r w:rsidRPr="00F24EB4">
        <w:tab/>
        <w:t>(a)</w:t>
      </w:r>
      <w:r w:rsidRPr="00F24EB4">
        <w:tab/>
        <w:t>may withdraw the ballot papers in accordance with paragraph 17:</w:t>
      </w:r>
    </w:p>
    <w:p w14:paraId="60D24988" w14:textId="77777777" w:rsidR="001F281E" w:rsidRPr="00F24EB4" w:rsidRDefault="001F281E" w:rsidP="004B6002">
      <w:pPr>
        <w:pStyle w:val="paragraphsub"/>
      </w:pPr>
      <w:r w:rsidRPr="00F24EB4">
        <w:tab/>
        <w:t>(i)</w:t>
      </w:r>
      <w:r w:rsidRPr="00F24EB4">
        <w:tab/>
        <w:t>for ballot papers of electors other than designated electors—at any time on or after the day that is 5 days before polling day; or</w:t>
      </w:r>
    </w:p>
    <w:p w14:paraId="7E5BC15E" w14:textId="77777777" w:rsidR="001F281E" w:rsidRPr="00F24EB4" w:rsidRDefault="001F281E" w:rsidP="004B6002">
      <w:pPr>
        <w:pStyle w:val="paragraphsub"/>
      </w:pPr>
      <w:r w:rsidRPr="00F24EB4">
        <w:tab/>
        <w:t>(ii)</w:t>
      </w:r>
      <w:r w:rsidRPr="00F24EB4">
        <w:tab/>
        <w:t>for ballot papers of designated electors—after the close of the poll; and</w:t>
      </w:r>
    </w:p>
    <w:p w14:paraId="2116209F" w14:textId="77777777" w:rsidR="001F281E" w:rsidRPr="00F24EB4" w:rsidRDefault="00EA787C" w:rsidP="004B6002">
      <w:pPr>
        <w:pStyle w:val="ActHead6"/>
        <w:pageBreakBefore/>
      </w:pPr>
      <w:bookmarkStart w:id="15" w:name="_Toc81893751"/>
      <w:r w:rsidRPr="00F24EB4">
        <w:rPr>
          <w:rStyle w:val="CharAmSchNo"/>
        </w:rPr>
        <w:lastRenderedPageBreak/>
        <w:t>Schedule 2</w:t>
      </w:r>
      <w:r w:rsidR="001F281E" w:rsidRPr="00F24EB4">
        <w:t>—</w:t>
      </w:r>
      <w:r w:rsidR="006B78C0" w:rsidRPr="00F24EB4">
        <w:rPr>
          <w:rStyle w:val="CharAmSchText"/>
        </w:rPr>
        <w:t xml:space="preserve">Offence </w:t>
      </w:r>
      <w:r w:rsidR="00770966" w:rsidRPr="00F24EB4">
        <w:rPr>
          <w:rStyle w:val="CharAmSchText"/>
        </w:rPr>
        <w:t>relating to</w:t>
      </w:r>
      <w:r w:rsidR="00B14C56" w:rsidRPr="00F24EB4">
        <w:rPr>
          <w:rStyle w:val="CharAmSchText"/>
        </w:rPr>
        <w:t xml:space="preserve"> interference with political liberty</w:t>
      </w:r>
      <w:bookmarkEnd w:id="15"/>
    </w:p>
    <w:p w14:paraId="68EE35C5" w14:textId="77777777" w:rsidR="001F281E" w:rsidRPr="00F24EB4" w:rsidRDefault="001F281E" w:rsidP="004B6002">
      <w:pPr>
        <w:pStyle w:val="Header"/>
      </w:pPr>
      <w:r w:rsidRPr="00F24EB4">
        <w:rPr>
          <w:rStyle w:val="CharAmPartNo"/>
        </w:rPr>
        <w:t xml:space="preserve"> </w:t>
      </w:r>
      <w:r w:rsidRPr="00F24EB4">
        <w:rPr>
          <w:rStyle w:val="CharAmPartText"/>
        </w:rPr>
        <w:t xml:space="preserve"> </w:t>
      </w:r>
    </w:p>
    <w:p w14:paraId="1591C7BF" w14:textId="77777777" w:rsidR="001F281E" w:rsidRPr="00F24EB4" w:rsidRDefault="001F281E" w:rsidP="004B6002">
      <w:pPr>
        <w:pStyle w:val="ActHead9"/>
      </w:pPr>
      <w:bookmarkStart w:id="16" w:name="_Toc81893752"/>
      <w:r w:rsidRPr="00F24EB4">
        <w:t>Commonwealth Electoral Act 1918</w:t>
      </w:r>
      <w:bookmarkEnd w:id="16"/>
    </w:p>
    <w:p w14:paraId="14A8A38F" w14:textId="77777777" w:rsidR="001F281E" w:rsidRPr="00F24EB4" w:rsidRDefault="001F281E" w:rsidP="004B6002">
      <w:pPr>
        <w:pStyle w:val="ItemHead"/>
        <w:shd w:val="clear" w:color="auto" w:fill="FFFFFF" w:themeFill="background1"/>
      </w:pPr>
      <w:r w:rsidRPr="00F24EB4">
        <w:t xml:space="preserve">1  </w:t>
      </w:r>
      <w:r w:rsidR="006B78C0" w:rsidRPr="00F24EB4">
        <w:t>Su</w:t>
      </w:r>
      <w:r w:rsidRPr="00F24EB4">
        <w:t>bsection 327(1) (penalty)</w:t>
      </w:r>
    </w:p>
    <w:p w14:paraId="24976F21" w14:textId="77777777" w:rsidR="001F281E" w:rsidRPr="00F24EB4" w:rsidRDefault="006B78C0" w:rsidP="004B6002">
      <w:pPr>
        <w:pStyle w:val="Item"/>
        <w:shd w:val="clear" w:color="auto" w:fill="FFFFFF" w:themeFill="background1"/>
      </w:pPr>
      <w:r w:rsidRPr="00F24EB4">
        <w:t>Repeal the penalty, substitute</w:t>
      </w:r>
      <w:r w:rsidR="001F281E" w:rsidRPr="00F24EB4">
        <w:t>:</w:t>
      </w:r>
    </w:p>
    <w:p w14:paraId="608F1815" w14:textId="77777777" w:rsidR="00583A9A" w:rsidRPr="00F24EB4" w:rsidRDefault="001F281E" w:rsidP="004B6002">
      <w:pPr>
        <w:pStyle w:val="notetext"/>
        <w:shd w:val="clear" w:color="auto" w:fill="FFFFFF" w:themeFill="background1"/>
      </w:pPr>
      <w:r w:rsidRPr="00F24EB4">
        <w:t>Note:</w:t>
      </w:r>
      <w:r w:rsidRPr="00F24EB4">
        <w:tab/>
        <w:t>Violence, obscene or discriminatory abuse, property damage and harassment or stalking are examples of conduct that may be an offence under this subsection</w:t>
      </w:r>
      <w:r w:rsidR="000569DC" w:rsidRPr="00F24EB4">
        <w:t>.</w:t>
      </w:r>
    </w:p>
    <w:p w14:paraId="6C9BC853" w14:textId="4450E7A6" w:rsidR="0097487F" w:rsidRDefault="0097487F" w:rsidP="004B6002">
      <w:pPr>
        <w:pStyle w:val="Penalty"/>
      </w:pPr>
      <w:r w:rsidRPr="00F24EB4">
        <w:t>Penalty:</w:t>
      </w:r>
      <w:r w:rsidRPr="00F24EB4">
        <w:tab/>
        <w:t>Imprisonment for 3 years or 1</w:t>
      </w:r>
      <w:r w:rsidR="00511A9A" w:rsidRPr="00F24EB4">
        <w:t>0</w:t>
      </w:r>
      <w:r w:rsidRPr="00F24EB4">
        <w:t>0 penalty units, or both.</w:t>
      </w:r>
    </w:p>
    <w:p w14:paraId="187E7C64" w14:textId="7B3F287E" w:rsidR="006329FF" w:rsidRDefault="006329FF"/>
    <w:p w14:paraId="7496A883" w14:textId="77777777" w:rsidR="00B93425" w:rsidRDefault="00B93425" w:rsidP="00B93425">
      <w:pPr>
        <w:pStyle w:val="AssentBk"/>
        <w:keepNext/>
      </w:pPr>
    </w:p>
    <w:p w14:paraId="52CBA96B" w14:textId="77777777" w:rsidR="00B93425" w:rsidRDefault="00B93425" w:rsidP="00B93425">
      <w:pPr>
        <w:pStyle w:val="AssentBk"/>
        <w:keepNext/>
      </w:pPr>
    </w:p>
    <w:p w14:paraId="6A2F4336" w14:textId="77777777" w:rsidR="00B93425" w:rsidRDefault="00B93425" w:rsidP="00B93425">
      <w:pPr>
        <w:pStyle w:val="2ndRd"/>
        <w:keepNext/>
        <w:pBdr>
          <w:top w:val="single" w:sz="2" w:space="1" w:color="auto"/>
        </w:pBdr>
      </w:pPr>
    </w:p>
    <w:p w14:paraId="1C1E319E" w14:textId="77777777" w:rsidR="00B93425" w:rsidRDefault="00B9342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D6241F4" w14:textId="38D9EAA0" w:rsidR="00B93425" w:rsidRDefault="00B9342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August 2021</w:t>
      </w:r>
    </w:p>
    <w:p w14:paraId="4D891963" w14:textId="37345A56" w:rsidR="00B93425" w:rsidRDefault="00B9342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August 2021</w:t>
      </w:r>
      <w:r>
        <w:t>]</w:t>
      </w:r>
    </w:p>
    <w:p w14:paraId="1F9FCC73" w14:textId="77777777" w:rsidR="00B93425" w:rsidRDefault="00B93425" w:rsidP="000C5962"/>
    <w:p w14:paraId="693DDDF0" w14:textId="66A8C43A" w:rsidR="00BB5BDD" w:rsidRPr="00B93425" w:rsidRDefault="00B93425" w:rsidP="00B93425">
      <w:pPr>
        <w:framePr w:hSpace="180" w:wrap="around" w:vAnchor="text" w:hAnchor="page" w:x="2386" w:y="4747"/>
      </w:pPr>
      <w:r>
        <w:t>(102/21)</w:t>
      </w:r>
    </w:p>
    <w:p w14:paraId="70617A96" w14:textId="77777777" w:rsidR="00B93425" w:rsidRDefault="00B93425"/>
    <w:sectPr w:rsidR="00B93425" w:rsidSect="00BB5B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2D15" w14:textId="77777777" w:rsidR="00D05318" w:rsidRDefault="00D05318" w:rsidP="0048364F">
      <w:pPr>
        <w:spacing w:line="240" w:lineRule="auto"/>
      </w:pPr>
      <w:r>
        <w:separator/>
      </w:r>
    </w:p>
  </w:endnote>
  <w:endnote w:type="continuationSeparator" w:id="0">
    <w:p w14:paraId="54391FB5" w14:textId="77777777" w:rsidR="00D05318" w:rsidRDefault="00D053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40D1D" w14:textId="77777777" w:rsidR="00D05318" w:rsidRPr="005F1388" w:rsidRDefault="00D05318" w:rsidP="004B60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B98E" w14:textId="10FB07EF" w:rsidR="00B93425" w:rsidRDefault="00B9342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42214258" w14:textId="77777777" w:rsidR="00B93425" w:rsidRDefault="00B93425" w:rsidP="00CD12A5"/>
  <w:p w14:paraId="3A77171D" w14:textId="1F6670B6" w:rsidR="00D05318" w:rsidRDefault="00D05318" w:rsidP="004B6002">
    <w:pPr>
      <w:pStyle w:val="Footer"/>
      <w:spacing w:before="120"/>
    </w:pPr>
  </w:p>
  <w:p w14:paraId="05BE7B52" w14:textId="77777777" w:rsidR="00D05318" w:rsidRPr="005F1388" w:rsidRDefault="00D0531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9A26" w14:textId="77777777" w:rsidR="00D05318" w:rsidRPr="00ED79B6" w:rsidRDefault="00D05318" w:rsidP="004B60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9CBB" w14:textId="77777777" w:rsidR="00D05318" w:rsidRDefault="00D05318" w:rsidP="004B60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5318" w14:paraId="328D3EE0" w14:textId="77777777" w:rsidTr="00837B8D">
      <w:tc>
        <w:tcPr>
          <w:tcW w:w="646" w:type="dxa"/>
        </w:tcPr>
        <w:p w14:paraId="2FD794C4" w14:textId="77777777" w:rsidR="00D05318" w:rsidRDefault="00D05318" w:rsidP="00837B8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C72ED14" w14:textId="3C2EED90" w:rsidR="00D05318" w:rsidRDefault="00D05318" w:rsidP="00837B8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Electoral Legislation Amendment (Electoral Offences and Preventing Multiple Voting)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FFE1C36" w14:textId="4D23E48B" w:rsidR="00D05318" w:rsidRDefault="00D05318" w:rsidP="00837B8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No. 93,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B1E97E" w14:textId="77777777" w:rsidR="00D05318" w:rsidRDefault="00D0531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F166" w14:textId="77777777" w:rsidR="00D05318" w:rsidRDefault="00D05318" w:rsidP="004B60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5318" w14:paraId="4F0ACE13" w14:textId="77777777" w:rsidTr="00837B8D">
      <w:tc>
        <w:tcPr>
          <w:tcW w:w="1247" w:type="dxa"/>
        </w:tcPr>
        <w:p w14:paraId="19BD84AA" w14:textId="2546D0EA" w:rsidR="00D05318" w:rsidRDefault="00D05318" w:rsidP="00837B8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No. 93,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697207D" w14:textId="4F226610" w:rsidR="00D05318" w:rsidRDefault="00D05318" w:rsidP="00837B8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Electoral Legislation Amendment (Electoral Offences and Preventing Multiple Voting)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EC60DC3" w14:textId="77777777" w:rsidR="00D05318" w:rsidRDefault="00D05318" w:rsidP="00837B8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909FBE" w14:textId="77777777" w:rsidR="00D05318" w:rsidRPr="00ED79B6" w:rsidRDefault="00D0531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6ED8C" w14:textId="77777777" w:rsidR="00D05318" w:rsidRPr="00A961C4" w:rsidRDefault="00D05318" w:rsidP="004B600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05318" w14:paraId="47E80934" w14:textId="77777777" w:rsidTr="00F24EB4">
      <w:tc>
        <w:tcPr>
          <w:tcW w:w="646" w:type="dxa"/>
        </w:tcPr>
        <w:p w14:paraId="18E3F3FF" w14:textId="77777777" w:rsidR="00D05318" w:rsidRDefault="00D05318" w:rsidP="00837B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C1432D5" w14:textId="25912188" w:rsidR="00D05318" w:rsidRDefault="00D05318" w:rsidP="00837B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Electoral Legislation Amendment (Electoral Offences and Preventing Multiple Voting)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DEF143C" w14:textId="2668EF83" w:rsidR="00D05318" w:rsidRDefault="00D05318" w:rsidP="00837B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No. 93,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BB5EDB4" w14:textId="77777777" w:rsidR="00D05318" w:rsidRPr="00A961C4" w:rsidRDefault="00D0531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10BE7" w14:textId="77777777" w:rsidR="00D05318" w:rsidRPr="00A961C4" w:rsidRDefault="00D05318" w:rsidP="004B60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05318" w14:paraId="328A342D" w14:textId="77777777" w:rsidTr="00F24EB4">
      <w:tc>
        <w:tcPr>
          <w:tcW w:w="1247" w:type="dxa"/>
        </w:tcPr>
        <w:p w14:paraId="67427F26" w14:textId="3681CBFC" w:rsidR="00D05318" w:rsidRDefault="00D05318" w:rsidP="00837B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No. 93,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D14B3A9" w14:textId="10B9F47D" w:rsidR="00D05318" w:rsidRDefault="00D05318" w:rsidP="00837B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Electoral Legislation Amendment (Electoral Offences and Preventing Multiple Voting)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E3D58F3" w14:textId="77777777" w:rsidR="00D05318" w:rsidRDefault="00D05318" w:rsidP="00837B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B006A47" w14:textId="77777777" w:rsidR="00D05318" w:rsidRPr="00055B5C" w:rsidRDefault="00D05318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5A97" w14:textId="77777777" w:rsidR="00D05318" w:rsidRPr="00A961C4" w:rsidRDefault="00D05318" w:rsidP="004B600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D05318" w14:paraId="6B2B953C" w14:textId="77777777" w:rsidTr="00F24EB4">
      <w:tc>
        <w:tcPr>
          <w:tcW w:w="1247" w:type="dxa"/>
        </w:tcPr>
        <w:p w14:paraId="1C760702" w14:textId="18A4CE09" w:rsidR="00D05318" w:rsidRDefault="00D05318" w:rsidP="00837B8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No. 93,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6F79B62" w14:textId="3C3CCE6C" w:rsidR="00D05318" w:rsidRDefault="00D05318" w:rsidP="00837B8D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47AA0">
            <w:rPr>
              <w:i/>
              <w:sz w:val="18"/>
            </w:rPr>
            <w:t>Electoral Legislation Amendment (Electoral Offences and Preventing Multiple Voting)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410FFA2" w14:textId="77777777" w:rsidR="00D05318" w:rsidRDefault="00D05318" w:rsidP="00837B8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208FF29" w14:textId="77777777" w:rsidR="00D05318" w:rsidRPr="00A961C4" w:rsidRDefault="00D0531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64391" w14:textId="77777777" w:rsidR="00D05318" w:rsidRDefault="00D05318" w:rsidP="0048364F">
      <w:pPr>
        <w:spacing w:line="240" w:lineRule="auto"/>
      </w:pPr>
      <w:r>
        <w:separator/>
      </w:r>
    </w:p>
  </w:footnote>
  <w:footnote w:type="continuationSeparator" w:id="0">
    <w:p w14:paraId="1EEA1395" w14:textId="77777777" w:rsidR="00D05318" w:rsidRDefault="00D053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6704" w14:textId="77777777" w:rsidR="00D05318" w:rsidRPr="005F1388" w:rsidRDefault="00D0531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8969" w14:textId="77777777" w:rsidR="00D05318" w:rsidRPr="005F1388" w:rsidRDefault="00D0531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BD9A" w14:textId="77777777" w:rsidR="00D05318" w:rsidRPr="005F1388" w:rsidRDefault="00D0531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F166" w14:textId="77777777" w:rsidR="00D05318" w:rsidRPr="00ED79B6" w:rsidRDefault="00D0531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5886" w14:textId="77777777" w:rsidR="00D05318" w:rsidRPr="00ED79B6" w:rsidRDefault="00D0531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2C90" w14:textId="77777777" w:rsidR="00D05318" w:rsidRPr="00ED79B6" w:rsidRDefault="00D0531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2AFE" w14:textId="050BCAB1" w:rsidR="00D05318" w:rsidRPr="00A961C4" w:rsidRDefault="00D053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C1B19D5" w14:textId="58171A15" w:rsidR="00D05318" w:rsidRPr="00A961C4" w:rsidRDefault="00D0531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6BAC5C4" w14:textId="77777777" w:rsidR="00D05318" w:rsidRPr="00A961C4" w:rsidRDefault="00D0531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4EB1" w14:textId="333D8883" w:rsidR="00D05318" w:rsidRPr="00A961C4" w:rsidRDefault="00D0531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47AA0">
      <w:rPr>
        <w:sz w:val="20"/>
      </w:rPr>
      <w:fldChar w:fldCharType="separate"/>
    </w:r>
    <w:r w:rsidR="00447AA0">
      <w:rPr>
        <w:noProof/>
        <w:sz w:val="20"/>
      </w:rPr>
      <w:t>Designated electors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7AA0">
      <w:rPr>
        <w:b/>
        <w:sz w:val="20"/>
      </w:rPr>
      <w:fldChar w:fldCharType="separate"/>
    </w:r>
    <w:r w:rsidR="00447AA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A15B756" w14:textId="00554A10" w:rsidR="00D05318" w:rsidRPr="00A961C4" w:rsidRDefault="00D0531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447AA0">
      <w:rPr>
        <w:sz w:val="20"/>
      </w:rPr>
      <w:fldChar w:fldCharType="separate"/>
    </w:r>
    <w:r w:rsidR="00447AA0">
      <w:rPr>
        <w:noProof/>
        <w:sz w:val="20"/>
      </w:rPr>
      <w:t>Contingent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447AA0">
      <w:rPr>
        <w:b/>
        <w:sz w:val="20"/>
      </w:rPr>
      <w:fldChar w:fldCharType="separate"/>
    </w:r>
    <w:r w:rsidR="00447AA0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5E2752AE" w14:textId="77777777" w:rsidR="00D05318" w:rsidRPr="00A961C4" w:rsidRDefault="00D0531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A2C4" w14:textId="77777777" w:rsidR="00D05318" w:rsidRPr="00A961C4" w:rsidRDefault="00D0531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84B16"/>
    <w:multiLevelType w:val="hybridMultilevel"/>
    <w:tmpl w:val="521C69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1975B8E"/>
    <w:multiLevelType w:val="hybridMultilevel"/>
    <w:tmpl w:val="CF8844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FDFF4B-D90B-40A5-ADBA-767BD2BB581D}"/>
    <w:docVar w:name="dgnword-eventsink" w:val="857207712"/>
  </w:docVars>
  <w:rsids>
    <w:rsidRoot w:val="00534267"/>
    <w:rsid w:val="000113BC"/>
    <w:rsid w:val="000136AF"/>
    <w:rsid w:val="00022690"/>
    <w:rsid w:val="00032A3A"/>
    <w:rsid w:val="000361DD"/>
    <w:rsid w:val="000417C9"/>
    <w:rsid w:val="000458A5"/>
    <w:rsid w:val="00055B5C"/>
    <w:rsid w:val="00056391"/>
    <w:rsid w:val="000569DC"/>
    <w:rsid w:val="00060FF9"/>
    <w:rsid w:val="000614BF"/>
    <w:rsid w:val="000B068A"/>
    <w:rsid w:val="000B1FD2"/>
    <w:rsid w:val="000D05EF"/>
    <w:rsid w:val="000D0674"/>
    <w:rsid w:val="000D717B"/>
    <w:rsid w:val="000F21C1"/>
    <w:rsid w:val="000F316E"/>
    <w:rsid w:val="00101D90"/>
    <w:rsid w:val="0010745C"/>
    <w:rsid w:val="00113BD1"/>
    <w:rsid w:val="00117C65"/>
    <w:rsid w:val="00122206"/>
    <w:rsid w:val="001308B6"/>
    <w:rsid w:val="00136D89"/>
    <w:rsid w:val="0015646E"/>
    <w:rsid w:val="001643C9"/>
    <w:rsid w:val="00165568"/>
    <w:rsid w:val="00166C2F"/>
    <w:rsid w:val="001716C9"/>
    <w:rsid w:val="00173363"/>
    <w:rsid w:val="00173B94"/>
    <w:rsid w:val="001830A0"/>
    <w:rsid w:val="001854B4"/>
    <w:rsid w:val="0018696B"/>
    <w:rsid w:val="001939E1"/>
    <w:rsid w:val="00195382"/>
    <w:rsid w:val="001A3658"/>
    <w:rsid w:val="001A759A"/>
    <w:rsid w:val="001B633C"/>
    <w:rsid w:val="001B7A5D"/>
    <w:rsid w:val="001C10AE"/>
    <w:rsid w:val="001C2418"/>
    <w:rsid w:val="001C69C4"/>
    <w:rsid w:val="001E015D"/>
    <w:rsid w:val="001E3590"/>
    <w:rsid w:val="001E4093"/>
    <w:rsid w:val="001E7407"/>
    <w:rsid w:val="001F281E"/>
    <w:rsid w:val="00201D27"/>
    <w:rsid w:val="00202618"/>
    <w:rsid w:val="00204EF7"/>
    <w:rsid w:val="00240749"/>
    <w:rsid w:val="00262FF8"/>
    <w:rsid w:val="00263820"/>
    <w:rsid w:val="00270CA5"/>
    <w:rsid w:val="00275197"/>
    <w:rsid w:val="00293B89"/>
    <w:rsid w:val="00297ECB"/>
    <w:rsid w:val="002B5A30"/>
    <w:rsid w:val="002D043A"/>
    <w:rsid w:val="002D395A"/>
    <w:rsid w:val="002F66E0"/>
    <w:rsid w:val="00317C3E"/>
    <w:rsid w:val="00334108"/>
    <w:rsid w:val="003415D3"/>
    <w:rsid w:val="00350417"/>
    <w:rsid w:val="00352B0F"/>
    <w:rsid w:val="00363371"/>
    <w:rsid w:val="00367444"/>
    <w:rsid w:val="00373874"/>
    <w:rsid w:val="00375C6C"/>
    <w:rsid w:val="003873B8"/>
    <w:rsid w:val="00391831"/>
    <w:rsid w:val="0039468B"/>
    <w:rsid w:val="003A7B3C"/>
    <w:rsid w:val="003B4E3D"/>
    <w:rsid w:val="003C5F2B"/>
    <w:rsid w:val="003D0BFE"/>
    <w:rsid w:val="003D5700"/>
    <w:rsid w:val="00405579"/>
    <w:rsid w:val="00410B8E"/>
    <w:rsid w:val="004116CD"/>
    <w:rsid w:val="0042144A"/>
    <w:rsid w:val="00421FC1"/>
    <w:rsid w:val="004229C7"/>
    <w:rsid w:val="004246CA"/>
    <w:rsid w:val="00424CA9"/>
    <w:rsid w:val="00435F7E"/>
    <w:rsid w:val="004365D9"/>
    <w:rsid w:val="00436785"/>
    <w:rsid w:val="00436BD5"/>
    <w:rsid w:val="00437E4B"/>
    <w:rsid w:val="0044291A"/>
    <w:rsid w:val="00447AA0"/>
    <w:rsid w:val="00450D76"/>
    <w:rsid w:val="004756C0"/>
    <w:rsid w:val="00476D91"/>
    <w:rsid w:val="00480EB2"/>
    <w:rsid w:val="0048196B"/>
    <w:rsid w:val="0048364F"/>
    <w:rsid w:val="00486D05"/>
    <w:rsid w:val="00496F97"/>
    <w:rsid w:val="004B6002"/>
    <w:rsid w:val="004B6729"/>
    <w:rsid w:val="004C7C8C"/>
    <w:rsid w:val="004E2A4A"/>
    <w:rsid w:val="004F0D23"/>
    <w:rsid w:val="004F0D9F"/>
    <w:rsid w:val="004F1FAC"/>
    <w:rsid w:val="004F4E16"/>
    <w:rsid w:val="004F68C5"/>
    <w:rsid w:val="00511A9A"/>
    <w:rsid w:val="00516B8D"/>
    <w:rsid w:val="00534267"/>
    <w:rsid w:val="00537FBC"/>
    <w:rsid w:val="00543469"/>
    <w:rsid w:val="00551B54"/>
    <w:rsid w:val="0055212C"/>
    <w:rsid w:val="00555420"/>
    <w:rsid w:val="00562645"/>
    <w:rsid w:val="00567D80"/>
    <w:rsid w:val="005828B2"/>
    <w:rsid w:val="00583A9A"/>
    <w:rsid w:val="00584811"/>
    <w:rsid w:val="0059140A"/>
    <w:rsid w:val="00593AA6"/>
    <w:rsid w:val="00594161"/>
    <w:rsid w:val="00594749"/>
    <w:rsid w:val="005A0D92"/>
    <w:rsid w:val="005B4067"/>
    <w:rsid w:val="005C3F41"/>
    <w:rsid w:val="005C4CC8"/>
    <w:rsid w:val="005C6D73"/>
    <w:rsid w:val="005E152A"/>
    <w:rsid w:val="005F46A3"/>
    <w:rsid w:val="00600219"/>
    <w:rsid w:val="006167FD"/>
    <w:rsid w:val="006208AE"/>
    <w:rsid w:val="006228BE"/>
    <w:rsid w:val="00627B0E"/>
    <w:rsid w:val="006329FF"/>
    <w:rsid w:val="00641DE5"/>
    <w:rsid w:val="00651A42"/>
    <w:rsid w:val="00656F0C"/>
    <w:rsid w:val="006704C8"/>
    <w:rsid w:val="00675AD7"/>
    <w:rsid w:val="00677CC2"/>
    <w:rsid w:val="00681F92"/>
    <w:rsid w:val="006842C2"/>
    <w:rsid w:val="00685F42"/>
    <w:rsid w:val="0069207B"/>
    <w:rsid w:val="006A4B23"/>
    <w:rsid w:val="006B78C0"/>
    <w:rsid w:val="006C2874"/>
    <w:rsid w:val="006C7F8C"/>
    <w:rsid w:val="006D380D"/>
    <w:rsid w:val="006D4B4D"/>
    <w:rsid w:val="006E0135"/>
    <w:rsid w:val="006E303A"/>
    <w:rsid w:val="006E752C"/>
    <w:rsid w:val="006F7E19"/>
    <w:rsid w:val="00700B2C"/>
    <w:rsid w:val="00712D8D"/>
    <w:rsid w:val="00713084"/>
    <w:rsid w:val="00714B26"/>
    <w:rsid w:val="00731E00"/>
    <w:rsid w:val="007440B7"/>
    <w:rsid w:val="00750462"/>
    <w:rsid w:val="007634AD"/>
    <w:rsid w:val="00770966"/>
    <w:rsid w:val="007715C9"/>
    <w:rsid w:val="00774EDD"/>
    <w:rsid w:val="007757EC"/>
    <w:rsid w:val="00776997"/>
    <w:rsid w:val="00793505"/>
    <w:rsid w:val="007B30AA"/>
    <w:rsid w:val="007C50C0"/>
    <w:rsid w:val="007C7A3B"/>
    <w:rsid w:val="007E194F"/>
    <w:rsid w:val="007E7D4A"/>
    <w:rsid w:val="008006CC"/>
    <w:rsid w:val="00807F18"/>
    <w:rsid w:val="00827984"/>
    <w:rsid w:val="00831E8D"/>
    <w:rsid w:val="00837B8D"/>
    <w:rsid w:val="00853D86"/>
    <w:rsid w:val="00856A31"/>
    <w:rsid w:val="00857D6B"/>
    <w:rsid w:val="008754D0"/>
    <w:rsid w:val="00877D48"/>
    <w:rsid w:val="00883781"/>
    <w:rsid w:val="00885570"/>
    <w:rsid w:val="00893958"/>
    <w:rsid w:val="0089722E"/>
    <w:rsid w:val="008A2E77"/>
    <w:rsid w:val="008C6F6F"/>
    <w:rsid w:val="008D0BE2"/>
    <w:rsid w:val="008D0EE0"/>
    <w:rsid w:val="008D3E94"/>
    <w:rsid w:val="008E55E5"/>
    <w:rsid w:val="008F4F1C"/>
    <w:rsid w:val="008F77C4"/>
    <w:rsid w:val="009103F3"/>
    <w:rsid w:val="00932377"/>
    <w:rsid w:val="00943C5E"/>
    <w:rsid w:val="00955007"/>
    <w:rsid w:val="00967042"/>
    <w:rsid w:val="00967918"/>
    <w:rsid w:val="0097487F"/>
    <w:rsid w:val="0098255A"/>
    <w:rsid w:val="009845BE"/>
    <w:rsid w:val="009956EA"/>
    <w:rsid w:val="009969C9"/>
    <w:rsid w:val="009A671A"/>
    <w:rsid w:val="009B3ACB"/>
    <w:rsid w:val="009C54AA"/>
    <w:rsid w:val="009C58FB"/>
    <w:rsid w:val="009E186E"/>
    <w:rsid w:val="009F5F6C"/>
    <w:rsid w:val="009F7BD0"/>
    <w:rsid w:val="00A048FF"/>
    <w:rsid w:val="00A10775"/>
    <w:rsid w:val="00A12255"/>
    <w:rsid w:val="00A231E2"/>
    <w:rsid w:val="00A256D5"/>
    <w:rsid w:val="00A36C48"/>
    <w:rsid w:val="00A41E0B"/>
    <w:rsid w:val="00A55631"/>
    <w:rsid w:val="00A647ED"/>
    <w:rsid w:val="00A64912"/>
    <w:rsid w:val="00A70A74"/>
    <w:rsid w:val="00A775EF"/>
    <w:rsid w:val="00AA3795"/>
    <w:rsid w:val="00AC1E75"/>
    <w:rsid w:val="00AC2FD9"/>
    <w:rsid w:val="00AD5641"/>
    <w:rsid w:val="00AE1088"/>
    <w:rsid w:val="00AF1BA4"/>
    <w:rsid w:val="00AF548D"/>
    <w:rsid w:val="00B032D8"/>
    <w:rsid w:val="00B0437C"/>
    <w:rsid w:val="00B14C56"/>
    <w:rsid w:val="00B32BE2"/>
    <w:rsid w:val="00B33B3C"/>
    <w:rsid w:val="00B4185D"/>
    <w:rsid w:val="00B6382D"/>
    <w:rsid w:val="00B767A6"/>
    <w:rsid w:val="00B767B8"/>
    <w:rsid w:val="00B87A6C"/>
    <w:rsid w:val="00B93425"/>
    <w:rsid w:val="00BA5026"/>
    <w:rsid w:val="00BB40BF"/>
    <w:rsid w:val="00BB598A"/>
    <w:rsid w:val="00BB5BDD"/>
    <w:rsid w:val="00BC0CD1"/>
    <w:rsid w:val="00BC76A3"/>
    <w:rsid w:val="00BD42AC"/>
    <w:rsid w:val="00BE54C7"/>
    <w:rsid w:val="00BE719A"/>
    <w:rsid w:val="00BE720A"/>
    <w:rsid w:val="00BF0461"/>
    <w:rsid w:val="00BF478A"/>
    <w:rsid w:val="00BF4944"/>
    <w:rsid w:val="00BF56D4"/>
    <w:rsid w:val="00C04409"/>
    <w:rsid w:val="00C067E5"/>
    <w:rsid w:val="00C164CA"/>
    <w:rsid w:val="00C176CF"/>
    <w:rsid w:val="00C217D9"/>
    <w:rsid w:val="00C22DAE"/>
    <w:rsid w:val="00C23DF8"/>
    <w:rsid w:val="00C26FF5"/>
    <w:rsid w:val="00C316A6"/>
    <w:rsid w:val="00C42BF8"/>
    <w:rsid w:val="00C460AE"/>
    <w:rsid w:val="00C50043"/>
    <w:rsid w:val="00C54E84"/>
    <w:rsid w:val="00C55BFC"/>
    <w:rsid w:val="00C7573B"/>
    <w:rsid w:val="00C76CF3"/>
    <w:rsid w:val="00C919C9"/>
    <w:rsid w:val="00CB4990"/>
    <w:rsid w:val="00CC00D4"/>
    <w:rsid w:val="00CD272E"/>
    <w:rsid w:val="00CD3622"/>
    <w:rsid w:val="00CD6ED4"/>
    <w:rsid w:val="00CE1E31"/>
    <w:rsid w:val="00CF0BB2"/>
    <w:rsid w:val="00CF7ED5"/>
    <w:rsid w:val="00D00EAA"/>
    <w:rsid w:val="00D05318"/>
    <w:rsid w:val="00D13441"/>
    <w:rsid w:val="00D243A3"/>
    <w:rsid w:val="00D34FA2"/>
    <w:rsid w:val="00D439DE"/>
    <w:rsid w:val="00D477C3"/>
    <w:rsid w:val="00D52EFE"/>
    <w:rsid w:val="00D57E6E"/>
    <w:rsid w:val="00D63EF6"/>
    <w:rsid w:val="00D70DFB"/>
    <w:rsid w:val="00D73029"/>
    <w:rsid w:val="00D766DF"/>
    <w:rsid w:val="00DA465B"/>
    <w:rsid w:val="00DD0FA7"/>
    <w:rsid w:val="00DE2002"/>
    <w:rsid w:val="00DF7AE9"/>
    <w:rsid w:val="00E021B2"/>
    <w:rsid w:val="00E0220B"/>
    <w:rsid w:val="00E05704"/>
    <w:rsid w:val="00E244EA"/>
    <w:rsid w:val="00E24D66"/>
    <w:rsid w:val="00E331AD"/>
    <w:rsid w:val="00E54292"/>
    <w:rsid w:val="00E74DC7"/>
    <w:rsid w:val="00E84ECA"/>
    <w:rsid w:val="00E87699"/>
    <w:rsid w:val="00E947C6"/>
    <w:rsid w:val="00EA787C"/>
    <w:rsid w:val="00EB4797"/>
    <w:rsid w:val="00EB510C"/>
    <w:rsid w:val="00EC0562"/>
    <w:rsid w:val="00ED492F"/>
    <w:rsid w:val="00EE3E36"/>
    <w:rsid w:val="00EF1841"/>
    <w:rsid w:val="00EF2E3A"/>
    <w:rsid w:val="00F047E2"/>
    <w:rsid w:val="00F078DC"/>
    <w:rsid w:val="00F13E86"/>
    <w:rsid w:val="00F17B00"/>
    <w:rsid w:val="00F24EB4"/>
    <w:rsid w:val="00F307A6"/>
    <w:rsid w:val="00F45199"/>
    <w:rsid w:val="00F60830"/>
    <w:rsid w:val="00F677A9"/>
    <w:rsid w:val="00F82E19"/>
    <w:rsid w:val="00F84CF5"/>
    <w:rsid w:val="00F92B1A"/>
    <w:rsid w:val="00F92D35"/>
    <w:rsid w:val="00FA2EB8"/>
    <w:rsid w:val="00FA420B"/>
    <w:rsid w:val="00FC68B2"/>
    <w:rsid w:val="00FD1E13"/>
    <w:rsid w:val="00FD7EB1"/>
    <w:rsid w:val="00FE41C9"/>
    <w:rsid w:val="00FE7F93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7D449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B60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B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B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B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B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B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B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B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B6002"/>
  </w:style>
  <w:style w:type="paragraph" w:customStyle="1" w:styleId="OPCParaBase">
    <w:name w:val="OPCParaBase"/>
    <w:qFormat/>
    <w:rsid w:val="004B60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B60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B60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B60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B60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B60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B60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B60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B60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B60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B60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B6002"/>
  </w:style>
  <w:style w:type="paragraph" w:customStyle="1" w:styleId="Blocks">
    <w:name w:val="Blocks"/>
    <w:aliases w:val="bb"/>
    <w:basedOn w:val="OPCParaBase"/>
    <w:qFormat/>
    <w:rsid w:val="004B60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B60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B60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B6002"/>
    <w:rPr>
      <w:i/>
    </w:rPr>
  </w:style>
  <w:style w:type="paragraph" w:customStyle="1" w:styleId="BoxList">
    <w:name w:val="BoxList"/>
    <w:aliases w:val="bl"/>
    <w:basedOn w:val="BoxText"/>
    <w:qFormat/>
    <w:rsid w:val="004B60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B60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B60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B6002"/>
    <w:pPr>
      <w:ind w:left="1985" w:hanging="851"/>
    </w:pPr>
  </w:style>
  <w:style w:type="character" w:customStyle="1" w:styleId="CharAmPartNo">
    <w:name w:val="CharAmPartNo"/>
    <w:basedOn w:val="OPCCharBase"/>
    <w:qFormat/>
    <w:rsid w:val="004B6002"/>
  </w:style>
  <w:style w:type="character" w:customStyle="1" w:styleId="CharAmPartText">
    <w:name w:val="CharAmPartText"/>
    <w:basedOn w:val="OPCCharBase"/>
    <w:qFormat/>
    <w:rsid w:val="004B6002"/>
  </w:style>
  <w:style w:type="character" w:customStyle="1" w:styleId="CharAmSchNo">
    <w:name w:val="CharAmSchNo"/>
    <w:basedOn w:val="OPCCharBase"/>
    <w:qFormat/>
    <w:rsid w:val="004B6002"/>
  </w:style>
  <w:style w:type="character" w:customStyle="1" w:styleId="CharAmSchText">
    <w:name w:val="CharAmSchText"/>
    <w:basedOn w:val="OPCCharBase"/>
    <w:qFormat/>
    <w:rsid w:val="004B6002"/>
  </w:style>
  <w:style w:type="character" w:customStyle="1" w:styleId="CharBoldItalic">
    <w:name w:val="CharBoldItalic"/>
    <w:basedOn w:val="OPCCharBase"/>
    <w:uiPriority w:val="1"/>
    <w:qFormat/>
    <w:rsid w:val="004B60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4B6002"/>
  </w:style>
  <w:style w:type="character" w:customStyle="1" w:styleId="CharChapText">
    <w:name w:val="CharChapText"/>
    <w:basedOn w:val="OPCCharBase"/>
    <w:uiPriority w:val="1"/>
    <w:qFormat/>
    <w:rsid w:val="004B6002"/>
  </w:style>
  <w:style w:type="character" w:customStyle="1" w:styleId="CharDivNo">
    <w:name w:val="CharDivNo"/>
    <w:basedOn w:val="OPCCharBase"/>
    <w:uiPriority w:val="1"/>
    <w:qFormat/>
    <w:rsid w:val="004B6002"/>
  </w:style>
  <w:style w:type="character" w:customStyle="1" w:styleId="CharDivText">
    <w:name w:val="CharDivText"/>
    <w:basedOn w:val="OPCCharBase"/>
    <w:uiPriority w:val="1"/>
    <w:qFormat/>
    <w:rsid w:val="004B6002"/>
  </w:style>
  <w:style w:type="character" w:customStyle="1" w:styleId="CharItalic">
    <w:name w:val="CharItalic"/>
    <w:basedOn w:val="OPCCharBase"/>
    <w:uiPriority w:val="1"/>
    <w:qFormat/>
    <w:rsid w:val="004B6002"/>
    <w:rPr>
      <w:i/>
    </w:rPr>
  </w:style>
  <w:style w:type="character" w:customStyle="1" w:styleId="CharPartNo">
    <w:name w:val="CharPartNo"/>
    <w:basedOn w:val="OPCCharBase"/>
    <w:uiPriority w:val="1"/>
    <w:qFormat/>
    <w:rsid w:val="004B6002"/>
  </w:style>
  <w:style w:type="character" w:customStyle="1" w:styleId="CharPartText">
    <w:name w:val="CharPartText"/>
    <w:basedOn w:val="OPCCharBase"/>
    <w:uiPriority w:val="1"/>
    <w:qFormat/>
    <w:rsid w:val="004B6002"/>
  </w:style>
  <w:style w:type="character" w:customStyle="1" w:styleId="CharSectno">
    <w:name w:val="CharSectno"/>
    <w:basedOn w:val="OPCCharBase"/>
    <w:qFormat/>
    <w:rsid w:val="004B6002"/>
  </w:style>
  <w:style w:type="character" w:customStyle="1" w:styleId="CharSubdNo">
    <w:name w:val="CharSubdNo"/>
    <w:basedOn w:val="OPCCharBase"/>
    <w:uiPriority w:val="1"/>
    <w:qFormat/>
    <w:rsid w:val="004B6002"/>
  </w:style>
  <w:style w:type="character" w:customStyle="1" w:styleId="CharSubdText">
    <w:name w:val="CharSubdText"/>
    <w:basedOn w:val="OPCCharBase"/>
    <w:uiPriority w:val="1"/>
    <w:qFormat/>
    <w:rsid w:val="004B6002"/>
  </w:style>
  <w:style w:type="paragraph" w:customStyle="1" w:styleId="CTA--">
    <w:name w:val="CTA --"/>
    <w:basedOn w:val="OPCParaBase"/>
    <w:next w:val="Normal"/>
    <w:rsid w:val="004B60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B60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B60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B60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B60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B60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B60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B60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B60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B60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B60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B60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B60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B60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B60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B60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B60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B60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B60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B60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B60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B60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B60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B60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B60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B60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B60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B60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B60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B60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B60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B60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B60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B60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B60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B60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B60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B60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B60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B60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B60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B60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B60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B60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B60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B60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B60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B60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B60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B60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B60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B60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B60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B60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B60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B600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B600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B600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B600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B600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B600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B600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B600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B600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B60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B60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B60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B60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B60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B60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B60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B60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B6002"/>
    <w:rPr>
      <w:sz w:val="16"/>
    </w:rPr>
  </w:style>
  <w:style w:type="table" w:customStyle="1" w:styleId="CFlag">
    <w:name w:val="CFlag"/>
    <w:basedOn w:val="TableNormal"/>
    <w:uiPriority w:val="99"/>
    <w:rsid w:val="004B600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B60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B600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B60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B60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B60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B60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B60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B60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B60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B6002"/>
    <w:pPr>
      <w:spacing w:before="120"/>
    </w:pPr>
  </w:style>
  <w:style w:type="paragraph" w:customStyle="1" w:styleId="TableTextEndNotes">
    <w:name w:val="TableTextEndNotes"/>
    <w:aliases w:val="Tten"/>
    <w:basedOn w:val="Normal"/>
    <w:rsid w:val="004B600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B600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B60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B60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B60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B60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B60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B60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B60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B60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B600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B60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B6002"/>
  </w:style>
  <w:style w:type="character" w:customStyle="1" w:styleId="CharSubPartNoCASA">
    <w:name w:val="CharSubPartNo(CASA)"/>
    <w:basedOn w:val="OPCCharBase"/>
    <w:uiPriority w:val="1"/>
    <w:rsid w:val="004B6002"/>
  </w:style>
  <w:style w:type="paragraph" w:customStyle="1" w:styleId="ENoteTTIndentHeadingSub">
    <w:name w:val="ENoteTTIndentHeadingSub"/>
    <w:aliases w:val="enTTHis"/>
    <w:basedOn w:val="OPCParaBase"/>
    <w:rsid w:val="004B60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B60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B60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B600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B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B60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B600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B60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B6002"/>
    <w:rPr>
      <w:sz w:val="22"/>
    </w:rPr>
  </w:style>
  <w:style w:type="paragraph" w:customStyle="1" w:styleId="SOTextNote">
    <w:name w:val="SO TextNote"/>
    <w:aliases w:val="sont"/>
    <w:basedOn w:val="SOText"/>
    <w:qFormat/>
    <w:rsid w:val="004B60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B60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B6002"/>
    <w:rPr>
      <w:sz w:val="22"/>
    </w:rPr>
  </w:style>
  <w:style w:type="paragraph" w:customStyle="1" w:styleId="FileName">
    <w:name w:val="FileName"/>
    <w:basedOn w:val="Normal"/>
    <w:rsid w:val="004B600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B60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B60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B60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B60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B60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B60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B60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B60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B60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B600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B6002"/>
  </w:style>
  <w:style w:type="character" w:customStyle="1" w:styleId="subsectionChar">
    <w:name w:val="subsection Char"/>
    <w:aliases w:val="ss Char"/>
    <w:link w:val="subsection"/>
    <w:rsid w:val="000361DD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0361D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0361DD"/>
    <w:rPr>
      <w:rFonts w:eastAsia="Times New Roman" w:cs="Times New Roman"/>
      <w:b/>
      <w:kern w:val="28"/>
      <w:sz w:val="24"/>
      <w:lang w:eastAsia="en-AU"/>
    </w:rPr>
  </w:style>
  <w:style w:type="character" w:customStyle="1" w:styleId="notetextChar">
    <w:name w:val="note(text) Char"/>
    <w:aliases w:val="n Char"/>
    <w:link w:val="notetext"/>
    <w:rsid w:val="000361DD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329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29F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B5B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BD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BD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B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B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B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B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BB5BDD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B5BD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B5BDD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B5BDD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B5BD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9342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9342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9342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g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14</Pages>
  <Words>1513</Words>
  <Characters>8470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2021-09-06T21:49:00Z</dcterms:created>
  <dcterms:modified xsi:type="dcterms:W3CDTF">2021-09-06T21:59:00Z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Electoral Legislation Amendment (Electoral Offences and Preventing Multiple Voting) Act 2021</vt:lpwstr>
  </property>
  <property fmtid="{D5CDD505-2E9C-101B-9397-08002B2CF9AE}" pid="3" name="ActNo">
    <vt:lpwstr>No. 93,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OPC7829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