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D3A3" w14:textId="0C13CA8E" w:rsidR="00DD3950" w:rsidRDefault="00DD3950" w:rsidP="00DD3950">
      <w:r>
        <w:object w:dxaOrig="2146" w:dyaOrig="1561" w14:anchorId="2015AC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07.25pt;height:78pt" o:ole="" fillcolor="window">
            <v:imagedata r:id="rId8" o:title=""/>
          </v:shape>
          <o:OLEObject Type="Embed" ProgID="Word.Picture.8" ShapeID="_x0000_i1025" DrawAspect="Content" ObjectID="_1701495769" r:id="rId9"/>
        </w:object>
      </w:r>
    </w:p>
    <w:p w14:paraId="7FFBD4F8" w14:textId="77777777" w:rsidR="00DD3950" w:rsidRDefault="00DD3950" w:rsidP="00DD3950"/>
    <w:p w14:paraId="5C15CBDC" w14:textId="77777777" w:rsidR="00DD3950" w:rsidRDefault="00DD3950" w:rsidP="00DD3950"/>
    <w:p w14:paraId="6BEF6BE8" w14:textId="77777777" w:rsidR="00DD3950" w:rsidRDefault="00DD3950" w:rsidP="00DD3950"/>
    <w:p w14:paraId="58AF63FF" w14:textId="77777777" w:rsidR="00DD3950" w:rsidRDefault="00DD3950" w:rsidP="00DD3950"/>
    <w:p w14:paraId="02387A38" w14:textId="77777777" w:rsidR="00DD3950" w:rsidRDefault="00DD3950" w:rsidP="00DD3950"/>
    <w:p w14:paraId="423EE2EF" w14:textId="77777777" w:rsidR="00DD3950" w:rsidRDefault="00DD3950" w:rsidP="00DD3950"/>
    <w:p w14:paraId="535443FB" w14:textId="38FF7F88" w:rsidR="0048364F" w:rsidRPr="002E78C6" w:rsidRDefault="00DD3950" w:rsidP="0048364F">
      <w:pPr>
        <w:pStyle w:val="ShortT"/>
      </w:pPr>
      <w:r>
        <w:t>Foreign Intelligence Legislation Amendment Act 2021</w:t>
      </w:r>
    </w:p>
    <w:p w14:paraId="62C0CE05" w14:textId="77777777" w:rsidR="0048364F" w:rsidRPr="002E78C6" w:rsidRDefault="0048364F" w:rsidP="0048364F"/>
    <w:p w14:paraId="19AC8DDB" w14:textId="042130B3" w:rsidR="0048364F" w:rsidRPr="002E78C6" w:rsidRDefault="00C164CA" w:rsidP="00DD3950">
      <w:pPr>
        <w:pStyle w:val="Actno"/>
        <w:spacing w:before="400"/>
      </w:pPr>
      <w:r w:rsidRPr="002E78C6">
        <w:t>No.</w:t>
      </w:r>
      <w:r w:rsidR="000258BB">
        <w:t xml:space="preserve"> 95</w:t>
      </w:r>
      <w:r w:rsidRPr="002E78C6">
        <w:t>, 20</w:t>
      </w:r>
      <w:r w:rsidR="001B633C" w:rsidRPr="002E78C6">
        <w:t>2</w:t>
      </w:r>
      <w:r w:rsidR="003947E4" w:rsidRPr="002E78C6">
        <w:t>1</w:t>
      </w:r>
    </w:p>
    <w:p w14:paraId="0BCABD97" w14:textId="77777777" w:rsidR="0048364F" w:rsidRPr="002E78C6" w:rsidRDefault="0048364F" w:rsidP="0048364F"/>
    <w:p w14:paraId="67D75A29" w14:textId="77777777" w:rsidR="007D1680" w:rsidRDefault="007D1680" w:rsidP="007D1680">
      <w:pPr>
        <w:rPr>
          <w:lang w:eastAsia="en-AU"/>
        </w:rPr>
      </w:pPr>
    </w:p>
    <w:p w14:paraId="2660EB99" w14:textId="2ABE7691" w:rsidR="0048364F" w:rsidRPr="002E78C6" w:rsidRDefault="0048364F" w:rsidP="0048364F"/>
    <w:p w14:paraId="6F3B18A2" w14:textId="77777777" w:rsidR="0048364F" w:rsidRPr="002E78C6" w:rsidRDefault="0048364F" w:rsidP="0048364F"/>
    <w:p w14:paraId="492CE6B4" w14:textId="77777777" w:rsidR="0048364F" w:rsidRPr="002E78C6" w:rsidRDefault="0048364F" w:rsidP="0048364F"/>
    <w:p w14:paraId="08F42C2A" w14:textId="77777777" w:rsidR="00DD3950" w:rsidRDefault="00DD3950" w:rsidP="00DD3950">
      <w:pPr>
        <w:pStyle w:val="LongT"/>
      </w:pPr>
      <w:r>
        <w:t>An Act to amend the law relating to foreign intelligence, and for related purposes</w:t>
      </w:r>
    </w:p>
    <w:p w14:paraId="14897625" w14:textId="44F1BD33" w:rsidR="0048364F" w:rsidRPr="00FC7BDF" w:rsidRDefault="0048364F" w:rsidP="0048364F">
      <w:pPr>
        <w:pStyle w:val="Header"/>
        <w:tabs>
          <w:tab w:val="clear" w:pos="4150"/>
          <w:tab w:val="clear" w:pos="8307"/>
        </w:tabs>
      </w:pPr>
      <w:r w:rsidRPr="00FC7BDF">
        <w:rPr>
          <w:rStyle w:val="CharAmSchNo"/>
        </w:rPr>
        <w:t xml:space="preserve"> </w:t>
      </w:r>
      <w:r w:rsidRPr="00FC7BDF">
        <w:rPr>
          <w:rStyle w:val="CharAmSchText"/>
        </w:rPr>
        <w:t xml:space="preserve"> </w:t>
      </w:r>
    </w:p>
    <w:p w14:paraId="788628C1" w14:textId="77777777" w:rsidR="0048364F" w:rsidRPr="00FC7BDF" w:rsidRDefault="0048364F" w:rsidP="0048364F">
      <w:pPr>
        <w:pStyle w:val="Header"/>
        <w:tabs>
          <w:tab w:val="clear" w:pos="4150"/>
          <w:tab w:val="clear" w:pos="8307"/>
        </w:tabs>
      </w:pPr>
      <w:r w:rsidRPr="00FC7BDF">
        <w:rPr>
          <w:rStyle w:val="CharAmPartNo"/>
        </w:rPr>
        <w:t xml:space="preserve"> </w:t>
      </w:r>
      <w:r w:rsidRPr="00FC7BDF">
        <w:rPr>
          <w:rStyle w:val="CharAmPartText"/>
        </w:rPr>
        <w:t xml:space="preserve"> </w:t>
      </w:r>
    </w:p>
    <w:p w14:paraId="4DD6609C" w14:textId="77777777" w:rsidR="0048364F" w:rsidRPr="002E78C6" w:rsidRDefault="0048364F" w:rsidP="0048364F">
      <w:pPr>
        <w:sectPr w:rsidR="0048364F" w:rsidRPr="002E78C6" w:rsidSect="00DD3950">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14:paraId="34451B1D" w14:textId="77777777" w:rsidR="0048364F" w:rsidRPr="002E78C6" w:rsidRDefault="0048364F" w:rsidP="00093602">
      <w:pPr>
        <w:rPr>
          <w:sz w:val="36"/>
        </w:rPr>
      </w:pPr>
      <w:r w:rsidRPr="002E78C6">
        <w:rPr>
          <w:sz w:val="36"/>
        </w:rPr>
        <w:lastRenderedPageBreak/>
        <w:t>Contents</w:t>
      </w:r>
    </w:p>
    <w:p w14:paraId="05189270" w14:textId="7FA99AE0" w:rsidR="00FF5560" w:rsidRDefault="00FF5560">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FF5560">
        <w:rPr>
          <w:noProof/>
        </w:rPr>
        <w:tab/>
      </w:r>
      <w:r w:rsidRPr="00FF5560">
        <w:rPr>
          <w:noProof/>
        </w:rPr>
        <w:fldChar w:fldCharType="begin"/>
      </w:r>
      <w:r w:rsidRPr="00FF5560">
        <w:rPr>
          <w:noProof/>
        </w:rPr>
        <w:instrText xml:space="preserve"> PAGEREF _Toc81895499 \h </w:instrText>
      </w:r>
      <w:r w:rsidRPr="00FF5560">
        <w:rPr>
          <w:noProof/>
        </w:rPr>
      </w:r>
      <w:r w:rsidRPr="00FF5560">
        <w:rPr>
          <w:noProof/>
        </w:rPr>
        <w:fldChar w:fldCharType="separate"/>
      </w:r>
      <w:r w:rsidRPr="00FF5560">
        <w:rPr>
          <w:noProof/>
        </w:rPr>
        <w:t>1</w:t>
      </w:r>
      <w:r w:rsidRPr="00FF5560">
        <w:rPr>
          <w:noProof/>
        </w:rPr>
        <w:fldChar w:fldCharType="end"/>
      </w:r>
    </w:p>
    <w:p w14:paraId="1AB672E9" w14:textId="3A563A35" w:rsidR="00FF5560" w:rsidRDefault="00FF5560">
      <w:pPr>
        <w:pStyle w:val="TOC5"/>
        <w:rPr>
          <w:rFonts w:asciiTheme="minorHAnsi" w:eastAsiaTheme="minorEastAsia" w:hAnsiTheme="minorHAnsi" w:cstheme="minorBidi"/>
          <w:noProof/>
          <w:kern w:val="0"/>
          <w:sz w:val="22"/>
          <w:szCs w:val="22"/>
        </w:rPr>
      </w:pPr>
      <w:r>
        <w:rPr>
          <w:noProof/>
        </w:rPr>
        <w:t>2</w:t>
      </w:r>
      <w:r>
        <w:rPr>
          <w:noProof/>
        </w:rPr>
        <w:tab/>
        <w:t>Commencement</w:t>
      </w:r>
      <w:r w:rsidRPr="00FF5560">
        <w:rPr>
          <w:noProof/>
        </w:rPr>
        <w:tab/>
      </w:r>
      <w:r w:rsidRPr="00FF5560">
        <w:rPr>
          <w:noProof/>
        </w:rPr>
        <w:fldChar w:fldCharType="begin"/>
      </w:r>
      <w:r w:rsidRPr="00FF5560">
        <w:rPr>
          <w:noProof/>
        </w:rPr>
        <w:instrText xml:space="preserve"> PAGEREF _Toc81895500 \h </w:instrText>
      </w:r>
      <w:r w:rsidRPr="00FF5560">
        <w:rPr>
          <w:noProof/>
        </w:rPr>
      </w:r>
      <w:r w:rsidRPr="00FF5560">
        <w:rPr>
          <w:noProof/>
        </w:rPr>
        <w:fldChar w:fldCharType="separate"/>
      </w:r>
      <w:r w:rsidRPr="00FF5560">
        <w:rPr>
          <w:noProof/>
        </w:rPr>
        <w:t>2</w:t>
      </w:r>
      <w:r w:rsidRPr="00FF5560">
        <w:rPr>
          <w:noProof/>
        </w:rPr>
        <w:fldChar w:fldCharType="end"/>
      </w:r>
    </w:p>
    <w:p w14:paraId="64630C2A" w14:textId="433A5F6B" w:rsidR="00FF5560" w:rsidRDefault="00FF5560">
      <w:pPr>
        <w:pStyle w:val="TOC5"/>
        <w:rPr>
          <w:rFonts w:asciiTheme="minorHAnsi" w:eastAsiaTheme="minorEastAsia" w:hAnsiTheme="minorHAnsi" w:cstheme="minorBidi"/>
          <w:noProof/>
          <w:kern w:val="0"/>
          <w:sz w:val="22"/>
          <w:szCs w:val="22"/>
        </w:rPr>
      </w:pPr>
      <w:r>
        <w:rPr>
          <w:noProof/>
        </w:rPr>
        <w:t>3</w:t>
      </w:r>
      <w:r>
        <w:rPr>
          <w:noProof/>
        </w:rPr>
        <w:tab/>
        <w:t>Schedules</w:t>
      </w:r>
      <w:r w:rsidRPr="00FF5560">
        <w:rPr>
          <w:noProof/>
        </w:rPr>
        <w:tab/>
      </w:r>
      <w:r w:rsidRPr="00FF5560">
        <w:rPr>
          <w:noProof/>
        </w:rPr>
        <w:fldChar w:fldCharType="begin"/>
      </w:r>
      <w:r w:rsidRPr="00FF5560">
        <w:rPr>
          <w:noProof/>
        </w:rPr>
        <w:instrText xml:space="preserve"> PAGEREF _Toc81895501 \h </w:instrText>
      </w:r>
      <w:r w:rsidRPr="00FF5560">
        <w:rPr>
          <w:noProof/>
        </w:rPr>
      </w:r>
      <w:r w:rsidRPr="00FF5560">
        <w:rPr>
          <w:noProof/>
        </w:rPr>
        <w:fldChar w:fldCharType="separate"/>
      </w:r>
      <w:r w:rsidRPr="00FF5560">
        <w:rPr>
          <w:noProof/>
        </w:rPr>
        <w:t>2</w:t>
      </w:r>
      <w:r w:rsidRPr="00FF5560">
        <w:rPr>
          <w:noProof/>
        </w:rPr>
        <w:fldChar w:fldCharType="end"/>
      </w:r>
    </w:p>
    <w:p w14:paraId="46D697F3" w14:textId="000A2A37" w:rsidR="00FF5560" w:rsidRDefault="00FF5560">
      <w:pPr>
        <w:pStyle w:val="TOC5"/>
        <w:rPr>
          <w:rFonts w:asciiTheme="minorHAnsi" w:eastAsiaTheme="minorEastAsia" w:hAnsiTheme="minorHAnsi" w:cstheme="minorBidi"/>
          <w:noProof/>
          <w:kern w:val="0"/>
          <w:sz w:val="22"/>
          <w:szCs w:val="22"/>
        </w:rPr>
      </w:pPr>
      <w:r>
        <w:rPr>
          <w:noProof/>
        </w:rPr>
        <w:t>4</w:t>
      </w:r>
      <w:r>
        <w:rPr>
          <w:noProof/>
        </w:rPr>
        <w:tab/>
        <w:t>Review</w:t>
      </w:r>
      <w:r w:rsidRPr="00FF5560">
        <w:rPr>
          <w:noProof/>
        </w:rPr>
        <w:tab/>
      </w:r>
      <w:r w:rsidRPr="00FF5560">
        <w:rPr>
          <w:noProof/>
        </w:rPr>
        <w:fldChar w:fldCharType="begin"/>
      </w:r>
      <w:r w:rsidRPr="00FF5560">
        <w:rPr>
          <w:noProof/>
        </w:rPr>
        <w:instrText xml:space="preserve"> PAGEREF _Toc81895502 \h </w:instrText>
      </w:r>
      <w:r w:rsidRPr="00FF5560">
        <w:rPr>
          <w:noProof/>
        </w:rPr>
      </w:r>
      <w:r w:rsidRPr="00FF5560">
        <w:rPr>
          <w:noProof/>
        </w:rPr>
        <w:fldChar w:fldCharType="separate"/>
      </w:r>
      <w:r w:rsidRPr="00FF5560">
        <w:rPr>
          <w:noProof/>
        </w:rPr>
        <w:t>2</w:t>
      </w:r>
      <w:r w:rsidRPr="00FF5560">
        <w:rPr>
          <w:noProof/>
        </w:rPr>
        <w:fldChar w:fldCharType="end"/>
      </w:r>
    </w:p>
    <w:p w14:paraId="31902650" w14:textId="68E0D486" w:rsidR="00FF5560" w:rsidRDefault="00FF5560">
      <w:pPr>
        <w:pStyle w:val="TOC6"/>
        <w:rPr>
          <w:rFonts w:asciiTheme="minorHAnsi" w:eastAsiaTheme="minorEastAsia" w:hAnsiTheme="minorHAnsi" w:cstheme="minorBidi"/>
          <w:b w:val="0"/>
          <w:noProof/>
          <w:kern w:val="0"/>
          <w:sz w:val="22"/>
          <w:szCs w:val="22"/>
        </w:rPr>
      </w:pPr>
      <w:r>
        <w:rPr>
          <w:noProof/>
        </w:rPr>
        <w:t>Schedule 1—Section 11C foreign intelligence warrants</w:t>
      </w:r>
      <w:r w:rsidRPr="00FF5560">
        <w:rPr>
          <w:b w:val="0"/>
          <w:noProof/>
          <w:sz w:val="18"/>
        </w:rPr>
        <w:tab/>
      </w:r>
      <w:r w:rsidRPr="00FF5560">
        <w:rPr>
          <w:b w:val="0"/>
          <w:noProof/>
          <w:sz w:val="18"/>
        </w:rPr>
        <w:fldChar w:fldCharType="begin"/>
      </w:r>
      <w:r w:rsidRPr="00FF5560">
        <w:rPr>
          <w:b w:val="0"/>
          <w:noProof/>
          <w:sz w:val="18"/>
        </w:rPr>
        <w:instrText xml:space="preserve"> PAGEREF _Toc81895503 \h </w:instrText>
      </w:r>
      <w:r w:rsidRPr="00FF5560">
        <w:rPr>
          <w:b w:val="0"/>
          <w:noProof/>
          <w:sz w:val="18"/>
        </w:rPr>
      </w:r>
      <w:r w:rsidRPr="00FF5560">
        <w:rPr>
          <w:b w:val="0"/>
          <w:noProof/>
          <w:sz w:val="18"/>
        </w:rPr>
        <w:fldChar w:fldCharType="separate"/>
      </w:r>
      <w:r w:rsidRPr="00FF5560">
        <w:rPr>
          <w:b w:val="0"/>
          <w:noProof/>
          <w:sz w:val="18"/>
        </w:rPr>
        <w:t>3</w:t>
      </w:r>
      <w:r w:rsidRPr="00FF5560">
        <w:rPr>
          <w:b w:val="0"/>
          <w:noProof/>
          <w:sz w:val="18"/>
        </w:rPr>
        <w:fldChar w:fldCharType="end"/>
      </w:r>
    </w:p>
    <w:p w14:paraId="021A8729" w14:textId="5AABFF7C" w:rsidR="00FF5560" w:rsidRDefault="00FF5560">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F5560">
        <w:rPr>
          <w:i w:val="0"/>
          <w:noProof/>
          <w:sz w:val="18"/>
        </w:rPr>
        <w:tab/>
      </w:r>
      <w:r w:rsidRPr="00FF5560">
        <w:rPr>
          <w:i w:val="0"/>
          <w:noProof/>
          <w:sz w:val="18"/>
        </w:rPr>
        <w:fldChar w:fldCharType="begin"/>
      </w:r>
      <w:r w:rsidRPr="00FF5560">
        <w:rPr>
          <w:i w:val="0"/>
          <w:noProof/>
          <w:sz w:val="18"/>
        </w:rPr>
        <w:instrText xml:space="preserve"> PAGEREF _Toc81895504 \h </w:instrText>
      </w:r>
      <w:r w:rsidRPr="00FF5560">
        <w:rPr>
          <w:i w:val="0"/>
          <w:noProof/>
          <w:sz w:val="18"/>
        </w:rPr>
      </w:r>
      <w:r w:rsidRPr="00FF5560">
        <w:rPr>
          <w:i w:val="0"/>
          <w:noProof/>
          <w:sz w:val="18"/>
        </w:rPr>
        <w:fldChar w:fldCharType="separate"/>
      </w:r>
      <w:r w:rsidRPr="00FF5560">
        <w:rPr>
          <w:i w:val="0"/>
          <w:noProof/>
          <w:sz w:val="18"/>
        </w:rPr>
        <w:t>3</w:t>
      </w:r>
      <w:r w:rsidRPr="00FF5560">
        <w:rPr>
          <w:i w:val="0"/>
          <w:noProof/>
          <w:sz w:val="18"/>
        </w:rPr>
        <w:fldChar w:fldCharType="end"/>
      </w:r>
    </w:p>
    <w:p w14:paraId="4EBFD6EE" w14:textId="016BEDED" w:rsidR="00FF5560" w:rsidRDefault="00FF5560">
      <w:pPr>
        <w:pStyle w:val="TOC6"/>
        <w:rPr>
          <w:rFonts w:asciiTheme="minorHAnsi" w:eastAsiaTheme="minorEastAsia" w:hAnsiTheme="minorHAnsi" w:cstheme="minorBidi"/>
          <w:b w:val="0"/>
          <w:noProof/>
          <w:kern w:val="0"/>
          <w:sz w:val="22"/>
          <w:szCs w:val="22"/>
        </w:rPr>
      </w:pPr>
      <w:r>
        <w:rPr>
          <w:noProof/>
        </w:rPr>
        <w:t>Schedule 2—Australians or permanent residents acting for, or on behalf of, a foreign power</w:t>
      </w:r>
      <w:r w:rsidRPr="00FF5560">
        <w:rPr>
          <w:b w:val="0"/>
          <w:noProof/>
          <w:sz w:val="18"/>
        </w:rPr>
        <w:tab/>
      </w:r>
      <w:r w:rsidRPr="00FF5560">
        <w:rPr>
          <w:b w:val="0"/>
          <w:noProof/>
          <w:sz w:val="18"/>
        </w:rPr>
        <w:fldChar w:fldCharType="begin"/>
      </w:r>
      <w:r w:rsidRPr="00FF5560">
        <w:rPr>
          <w:b w:val="0"/>
          <w:noProof/>
          <w:sz w:val="18"/>
        </w:rPr>
        <w:instrText xml:space="preserve"> PAGEREF _Toc81895505 \h </w:instrText>
      </w:r>
      <w:r w:rsidRPr="00FF5560">
        <w:rPr>
          <w:b w:val="0"/>
          <w:noProof/>
          <w:sz w:val="18"/>
        </w:rPr>
      </w:r>
      <w:r w:rsidRPr="00FF5560">
        <w:rPr>
          <w:b w:val="0"/>
          <w:noProof/>
          <w:sz w:val="18"/>
        </w:rPr>
        <w:fldChar w:fldCharType="separate"/>
      </w:r>
      <w:r w:rsidRPr="00FF5560">
        <w:rPr>
          <w:b w:val="0"/>
          <w:noProof/>
          <w:sz w:val="18"/>
        </w:rPr>
        <w:t>7</w:t>
      </w:r>
      <w:r w:rsidRPr="00FF5560">
        <w:rPr>
          <w:b w:val="0"/>
          <w:noProof/>
          <w:sz w:val="18"/>
        </w:rPr>
        <w:fldChar w:fldCharType="end"/>
      </w:r>
    </w:p>
    <w:p w14:paraId="30A55AA8" w14:textId="66B837CC" w:rsidR="00FF5560" w:rsidRDefault="00FF5560">
      <w:pPr>
        <w:pStyle w:val="TOC9"/>
        <w:rPr>
          <w:rFonts w:asciiTheme="minorHAnsi" w:eastAsiaTheme="minorEastAsia" w:hAnsiTheme="minorHAnsi" w:cstheme="minorBidi"/>
          <w:i w:val="0"/>
          <w:noProof/>
          <w:kern w:val="0"/>
          <w:sz w:val="22"/>
          <w:szCs w:val="22"/>
        </w:rPr>
      </w:pPr>
      <w:r>
        <w:rPr>
          <w:noProof/>
        </w:rPr>
        <w:t>Australian Security Intelligence Organisation Act 1979</w:t>
      </w:r>
      <w:r w:rsidRPr="00FF5560">
        <w:rPr>
          <w:i w:val="0"/>
          <w:noProof/>
          <w:sz w:val="18"/>
        </w:rPr>
        <w:tab/>
      </w:r>
      <w:r w:rsidRPr="00FF5560">
        <w:rPr>
          <w:i w:val="0"/>
          <w:noProof/>
          <w:sz w:val="18"/>
        </w:rPr>
        <w:fldChar w:fldCharType="begin"/>
      </w:r>
      <w:r w:rsidRPr="00FF5560">
        <w:rPr>
          <w:i w:val="0"/>
          <w:noProof/>
          <w:sz w:val="18"/>
        </w:rPr>
        <w:instrText xml:space="preserve"> PAGEREF _Toc81895506 \h </w:instrText>
      </w:r>
      <w:r w:rsidRPr="00FF5560">
        <w:rPr>
          <w:i w:val="0"/>
          <w:noProof/>
          <w:sz w:val="18"/>
        </w:rPr>
      </w:r>
      <w:r w:rsidRPr="00FF5560">
        <w:rPr>
          <w:i w:val="0"/>
          <w:noProof/>
          <w:sz w:val="18"/>
        </w:rPr>
        <w:fldChar w:fldCharType="separate"/>
      </w:r>
      <w:r w:rsidRPr="00FF5560">
        <w:rPr>
          <w:i w:val="0"/>
          <w:noProof/>
          <w:sz w:val="18"/>
        </w:rPr>
        <w:t>7</w:t>
      </w:r>
      <w:r w:rsidRPr="00FF5560">
        <w:rPr>
          <w:i w:val="0"/>
          <w:noProof/>
          <w:sz w:val="18"/>
        </w:rPr>
        <w:fldChar w:fldCharType="end"/>
      </w:r>
    </w:p>
    <w:p w14:paraId="5293A29E" w14:textId="2847D562" w:rsidR="00FF5560" w:rsidRDefault="00FF5560">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F5560">
        <w:rPr>
          <w:i w:val="0"/>
          <w:noProof/>
          <w:sz w:val="18"/>
        </w:rPr>
        <w:tab/>
      </w:r>
      <w:r w:rsidRPr="00FF5560">
        <w:rPr>
          <w:i w:val="0"/>
          <w:noProof/>
          <w:sz w:val="18"/>
        </w:rPr>
        <w:fldChar w:fldCharType="begin"/>
      </w:r>
      <w:r w:rsidRPr="00FF5560">
        <w:rPr>
          <w:i w:val="0"/>
          <w:noProof/>
          <w:sz w:val="18"/>
        </w:rPr>
        <w:instrText xml:space="preserve"> PAGEREF _Toc81895507 \h </w:instrText>
      </w:r>
      <w:r w:rsidRPr="00FF5560">
        <w:rPr>
          <w:i w:val="0"/>
          <w:noProof/>
          <w:sz w:val="18"/>
        </w:rPr>
      </w:r>
      <w:r w:rsidRPr="00FF5560">
        <w:rPr>
          <w:i w:val="0"/>
          <w:noProof/>
          <w:sz w:val="18"/>
        </w:rPr>
        <w:fldChar w:fldCharType="separate"/>
      </w:r>
      <w:r w:rsidRPr="00FF5560">
        <w:rPr>
          <w:i w:val="0"/>
          <w:noProof/>
          <w:sz w:val="18"/>
        </w:rPr>
        <w:t>7</w:t>
      </w:r>
      <w:r w:rsidRPr="00FF5560">
        <w:rPr>
          <w:i w:val="0"/>
          <w:noProof/>
          <w:sz w:val="18"/>
        </w:rPr>
        <w:fldChar w:fldCharType="end"/>
      </w:r>
    </w:p>
    <w:p w14:paraId="04D25B19" w14:textId="31E3D711" w:rsidR="00FF5560" w:rsidRDefault="00FF5560">
      <w:pPr>
        <w:pStyle w:val="TOC6"/>
        <w:rPr>
          <w:rFonts w:asciiTheme="minorHAnsi" w:eastAsiaTheme="minorEastAsia" w:hAnsiTheme="minorHAnsi" w:cstheme="minorBidi"/>
          <w:b w:val="0"/>
          <w:noProof/>
          <w:kern w:val="0"/>
          <w:sz w:val="22"/>
          <w:szCs w:val="22"/>
        </w:rPr>
      </w:pPr>
      <w:r>
        <w:rPr>
          <w:noProof/>
        </w:rPr>
        <w:t>Schedule 3—Other amendments</w:t>
      </w:r>
      <w:r w:rsidRPr="00FF5560">
        <w:rPr>
          <w:b w:val="0"/>
          <w:noProof/>
          <w:sz w:val="18"/>
        </w:rPr>
        <w:tab/>
      </w:r>
      <w:r w:rsidRPr="00FF5560">
        <w:rPr>
          <w:b w:val="0"/>
          <w:noProof/>
          <w:sz w:val="18"/>
        </w:rPr>
        <w:fldChar w:fldCharType="begin"/>
      </w:r>
      <w:r w:rsidRPr="00FF5560">
        <w:rPr>
          <w:b w:val="0"/>
          <w:noProof/>
          <w:sz w:val="18"/>
        </w:rPr>
        <w:instrText xml:space="preserve"> PAGEREF _Toc81895508 \h </w:instrText>
      </w:r>
      <w:r w:rsidRPr="00FF5560">
        <w:rPr>
          <w:b w:val="0"/>
          <w:noProof/>
          <w:sz w:val="18"/>
        </w:rPr>
      </w:r>
      <w:r w:rsidRPr="00FF5560">
        <w:rPr>
          <w:b w:val="0"/>
          <w:noProof/>
          <w:sz w:val="18"/>
        </w:rPr>
        <w:fldChar w:fldCharType="separate"/>
      </w:r>
      <w:r w:rsidRPr="00FF5560">
        <w:rPr>
          <w:b w:val="0"/>
          <w:noProof/>
          <w:sz w:val="18"/>
        </w:rPr>
        <w:t>10</w:t>
      </w:r>
      <w:r w:rsidRPr="00FF5560">
        <w:rPr>
          <w:b w:val="0"/>
          <w:noProof/>
          <w:sz w:val="18"/>
        </w:rPr>
        <w:fldChar w:fldCharType="end"/>
      </w:r>
    </w:p>
    <w:p w14:paraId="14FD7D71" w14:textId="3542A44F" w:rsidR="00FF5560" w:rsidRDefault="00FF5560">
      <w:pPr>
        <w:pStyle w:val="TOC9"/>
        <w:rPr>
          <w:rFonts w:asciiTheme="minorHAnsi" w:eastAsiaTheme="minorEastAsia" w:hAnsiTheme="minorHAnsi" w:cstheme="minorBidi"/>
          <w:i w:val="0"/>
          <w:noProof/>
          <w:kern w:val="0"/>
          <w:sz w:val="22"/>
          <w:szCs w:val="22"/>
        </w:rPr>
      </w:pPr>
      <w:r>
        <w:rPr>
          <w:noProof/>
        </w:rPr>
        <w:t>Telecommunications (Interception and Access) Act 1979</w:t>
      </w:r>
      <w:r w:rsidRPr="00FF5560">
        <w:rPr>
          <w:i w:val="0"/>
          <w:noProof/>
          <w:sz w:val="18"/>
        </w:rPr>
        <w:tab/>
      </w:r>
      <w:r w:rsidRPr="00FF5560">
        <w:rPr>
          <w:i w:val="0"/>
          <w:noProof/>
          <w:sz w:val="18"/>
        </w:rPr>
        <w:fldChar w:fldCharType="begin"/>
      </w:r>
      <w:r w:rsidRPr="00FF5560">
        <w:rPr>
          <w:i w:val="0"/>
          <w:noProof/>
          <w:sz w:val="18"/>
        </w:rPr>
        <w:instrText xml:space="preserve"> PAGEREF _Toc81895509 \h </w:instrText>
      </w:r>
      <w:r w:rsidRPr="00FF5560">
        <w:rPr>
          <w:i w:val="0"/>
          <w:noProof/>
          <w:sz w:val="18"/>
        </w:rPr>
      </w:r>
      <w:r w:rsidRPr="00FF5560">
        <w:rPr>
          <w:i w:val="0"/>
          <w:noProof/>
          <w:sz w:val="18"/>
        </w:rPr>
        <w:fldChar w:fldCharType="separate"/>
      </w:r>
      <w:r w:rsidRPr="00FF5560">
        <w:rPr>
          <w:i w:val="0"/>
          <w:noProof/>
          <w:sz w:val="18"/>
        </w:rPr>
        <w:t>10</w:t>
      </w:r>
      <w:r w:rsidRPr="00FF5560">
        <w:rPr>
          <w:i w:val="0"/>
          <w:noProof/>
          <w:sz w:val="18"/>
        </w:rPr>
        <w:fldChar w:fldCharType="end"/>
      </w:r>
    </w:p>
    <w:p w14:paraId="6D7A9431" w14:textId="3F344CCB" w:rsidR="00060FF9" w:rsidRPr="002E78C6" w:rsidRDefault="00FF5560" w:rsidP="0048364F">
      <w:r>
        <w:fldChar w:fldCharType="end"/>
      </w:r>
    </w:p>
    <w:p w14:paraId="12940D3F" w14:textId="77777777" w:rsidR="00FE7F93" w:rsidRPr="002E78C6" w:rsidRDefault="00FE7F93" w:rsidP="0048364F">
      <w:pPr>
        <w:sectPr w:rsidR="00FE7F93" w:rsidRPr="002E78C6" w:rsidSect="00DD3950">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14:paraId="2804E570" w14:textId="77777777" w:rsidR="00DD3950" w:rsidRDefault="00DD3950">
      <w:r>
        <w:object w:dxaOrig="2146" w:dyaOrig="1561" w14:anchorId="76F82087">
          <v:shape id="_x0000_i1026" type="#_x0000_t75" alt="Commonwealth Coat of Arms of Australia" style="width:110.25pt;height:80.25pt" o:ole="" fillcolor="window">
            <v:imagedata r:id="rId8" o:title=""/>
          </v:shape>
          <o:OLEObject Type="Embed" ProgID="Word.Picture.8" ShapeID="_x0000_i1026" DrawAspect="Content" ObjectID="_1701495770" r:id="rId21"/>
        </w:object>
      </w:r>
    </w:p>
    <w:p w14:paraId="5EE2C00B" w14:textId="77777777" w:rsidR="00DD3950" w:rsidRDefault="00DD3950"/>
    <w:p w14:paraId="3BEE5557" w14:textId="77777777" w:rsidR="00DD3950" w:rsidRDefault="00DD3950" w:rsidP="000178F8">
      <w:pPr>
        <w:spacing w:line="240" w:lineRule="auto"/>
      </w:pPr>
    </w:p>
    <w:p w14:paraId="414CC14C" w14:textId="323A4504" w:rsidR="00DD3950" w:rsidRDefault="000F4EA5" w:rsidP="000178F8">
      <w:pPr>
        <w:pStyle w:val="ShortTP1"/>
      </w:pPr>
      <w:r>
        <w:fldChar w:fldCharType="begin"/>
      </w:r>
      <w:r>
        <w:instrText xml:space="preserve"> STYLEREF ShortT </w:instrText>
      </w:r>
      <w:r>
        <w:fldChar w:fldCharType="separate"/>
      </w:r>
      <w:r w:rsidR="00FF5560">
        <w:rPr>
          <w:noProof/>
        </w:rPr>
        <w:t>Foreign Intelligence Legislation Amendment Act 2021</w:t>
      </w:r>
      <w:r>
        <w:rPr>
          <w:noProof/>
        </w:rPr>
        <w:fldChar w:fldCharType="end"/>
      </w:r>
    </w:p>
    <w:p w14:paraId="38A06085" w14:textId="5C8D50A0" w:rsidR="00DD3950" w:rsidRDefault="000F4EA5" w:rsidP="000178F8">
      <w:pPr>
        <w:pStyle w:val="ActNoP1"/>
      </w:pPr>
      <w:r>
        <w:fldChar w:fldCharType="begin"/>
      </w:r>
      <w:r>
        <w:instrText xml:space="preserve"> STYLEREF Actno </w:instrText>
      </w:r>
      <w:r>
        <w:fldChar w:fldCharType="separate"/>
      </w:r>
      <w:r w:rsidR="00FF5560">
        <w:rPr>
          <w:noProof/>
        </w:rPr>
        <w:t>No. 95, 2021</w:t>
      </w:r>
      <w:r>
        <w:rPr>
          <w:noProof/>
        </w:rPr>
        <w:fldChar w:fldCharType="end"/>
      </w:r>
    </w:p>
    <w:p w14:paraId="7BA394F8" w14:textId="77777777" w:rsidR="00DD3950" w:rsidRPr="009A0728" w:rsidRDefault="00DD3950" w:rsidP="009A0728">
      <w:pPr>
        <w:pBdr>
          <w:bottom w:val="single" w:sz="6" w:space="0" w:color="auto"/>
        </w:pBdr>
        <w:spacing w:before="400" w:line="240" w:lineRule="auto"/>
        <w:rPr>
          <w:rFonts w:eastAsia="Times New Roman"/>
          <w:b/>
          <w:sz w:val="28"/>
        </w:rPr>
      </w:pPr>
    </w:p>
    <w:p w14:paraId="4D96F94F" w14:textId="77777777" w:rsidR="00DD3950" w:rsidRPr="009A0728" w:rsidRDefault="00DD3950" w:rsidP="009A0728">
      <w:pPr>
        <w:spacing w:line="40" w:lineRule="exact"/>
        <w:rPr>
          <w:rFonts w:eastAsia="Calibri"/>
          <w:b/>
          <w:sz w:val="28"/>
        </w:rPr>
      </w:pPr>
    </w:p>
    <w:p w14:paraId="33E7386C" w14:textId="77777777" w:rsidR="00DD3950" w:rsidRPr="009A0728" w:rsidRDefault="00DD3950" w:rsidP="009A0728">
      <w:pPr>
        <w:pBdr>
          <w:top w:val="single" w:sz="12" w:space="0" w:color="auto"/>
        </w:pBdr>
        <w:spacing w:line="240" w:lineRule="auto"/>
        <w:rPr>
          <w:rFonts w:eastAsia="Times New Roman"/>
          <w:b/>
          <w:sz w:val="28"/>
        </w:rPr>
      </w:pPr>
    </w:p>
    <w:p w14:paraId="500D0BDC" w14:textId="77777777" w:rsidR="00DD3950" w:rsidRDefault="00DD3950" w:rsidP="00DD3950">
      <w:pPr>
        <w:pStyle w:val="Page1"/>
        <w:spacing w:before="400"/>
      </w:pPr>
      <w:r>
        <w:t>An Act to amend the law relating to foreign intelligence, and for related purposes</w:t>
      </w:r>
    </w:p>
    <w:p w14:paraId="2ADAC9D6" w14:textId="75867C92" w:rsidR="000258BB" w:rsidRDefault="000258BB" w:rsidP="00FF5560">
      <w:pPr>
        <w:pStyle w:val="AssentDt"/>
        <w:spacing w:before="240"/>
      </w:pPr>
      <w:r>
        <w:rPr>
          <w:sz w:val="24"/>
        </w:rPr>
        <w:t>[</w:t>
      </w:r>
      <w:r>
        <w:rPr>
          <w:i/>
          <w:sz w:val="24"/>
        </w:rPr>
        <w:t>Assented to 2 September 2021</w:t>
      </w:r>
      <w:r>
        <w:rPr>
          <w:sz w:val="24"/>
        </w:rPr>
        <w:t>]</w:t>
      </w:r>
    </w:p>
    <w:p w14:paraId="526089F0" w14:textId="43E845B4" w:rsidR="0048364F" w:rsidRPr="002E78C6" w:rsidRDefault="0048364F" w:rsidP="002E78C6">
      <w:pPr>
        <w:spacing w:before="240" w:line="240" w:lineRule="auto"/>
        <w:rPr>
          <w:sz w:val="32"/>
        </w:rPr>
      </w:pPr>
      <w:r w:rsidRPr="002E78C6">
        <w:rPr>
          <w:sz w:val="32"/>
        </w:rPr>
        <w:t>The Parliament of Australia enacts:</w:t>
      </w:r>
    </w:p>
    <w:p w14:paraId="5C98AB74" w14:textId="77777777" w:rsidR="0048364F" w:rsidRPr="002E78C6" w:rsidRDefault="0048364F" w:rsidP="002E78C6">
      <w:pPr>
        <w:pStyle w:val="ActHead5"/>
      </w:pPr>
      <w:bookmarkStart w:id="0" w:name="_Toc81895499"/>
      <w:r w:rsidRPr="00FC7BDF">
        <w:rPr>
          <w:rStyle w:val="CharSectno"/>
        </w:rPr>
        <w:t>1</w:t>
      </w:r>
      <w:r w:rsidRPr="002E78C6">
        <w:t xml:space="preserve">  Short title</w:t>
      </w:r>
      <w:bookmarkEnd w:id="0"/>
    </w:p>
    <w:p w14:paraId="67F6773A" w14:textId="77777777" w:rsidR="0048364F" w:rsidRPr="002E78C6" w:rsidRDefault="0048364F" w:rsidP="002E78C6">
      <w:pPr>
        <w:pStyle w:val="subsection"/>
      </w:pPr>
      <w:r w:rsidRPr="002E78C6">
        <w:tab/>
      </w:r>
      <w:r w:rsidRPr="002E78C6">
        <w:tab/>
        <w:t xml:space="preserve">This Act </w:t>
      </w:r>
      <w:r w:rsidR="00275197" w:rsidRPr="002E78C6">
        <w:t xml:space="preserve">is </w:t>
      </w:r>
      <w:r w:rsidRPr="002E78C6">
        <w:t xml:space="preserve">the </w:t>
      </w:r>
      <w:r w:rsidR="00365059" w:rsidRPr="002E78C6">
        <w:rPr>
          <w:i/>
        </w:rPr>
        <w:t xml:space="preserve">Foreign </w:t>
      </w:r>
      <w:r w:rsidR="005379D2" w:rsidRPr="002E78C6">
        <w:rPr>
          <w:i/>
        </w:rPr>
        <w:t xml:space="preserve">Intelligence </w:t>
      </w:r>
      <w:r w:rsidR="00365059" w:rsidRPr="002E78C6">
        <w:rPr>
          <w:i/>
        </w:rPr>
        <w:t>Legislation Amendment Act 2021</w:t>
      </w:r>
      <w:r w:rsidRPr="002E78C6">
        <w:t>.</w:t>
      </w:r>
    </w:p>
    <w:p w14:paraId="7548D019" w14:textId="77777777" w:rsidR="0048364F" w:rsidRPr="002E78C6" w:rsidRDefault="0048364F" w:rsidP="002E78C6">
      <w:pPr>
        <w:pStyle w:val="ActHead5"/>
      </w:pPr>
      <w:bookmarkStart w:id="1" w:name="_Toc81895500"/>
      <w:r w:rsidRPr="00FC7BDF">
        <w:rPr>
          <w:rStyle w:val="CharSectno"/>
        </w:rPr>
        <w:lastRenderedPageBreak/>
        <w:t>2</w:t>
      </w:r>
      <w:r w:rsidRPr="002E78C6">
        <w:t xml:space="preserve">  Commencement</w:t>
      </w:r>
      <w:bookmarkEnd w:id="1"/>
    </w:p>
    <w:p w14:paraId="05643BBB" w14:textId="77777777" w:rsidR="00663413" w:rsidRPr="002E78C6" w:rsidRDefault="00663413" w:rsidP="002E78C6">
      <w:pPr>
        <w:pStyle w:val="subsection"/>
      </w:pPr>
      <w:r w:rsidRPr="002E78C6">
        <w:tab/>
        <w:t>(1)</w:t>
      </w:r>
      <w:r w:rsidRPr="002E78C6">
        <w:tab/>
        <w:t>Each provision of this Act specified in column 1 of the table commences, or is taken to have commenced, in accordance with column 2 of the table. Any other statement in column 2 has effect according to its terms.</w:t>
      </w:r>
    </w:p>
    <w:p w14:paraId="71543718" w14:textId="77777777" w:rsidR="00663413" w:rsidRPr="002E78C6" w:rsidRDefault="00663413" w:rsidP="002E78C6">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663413" w:rsidRPr="002E78C6" w14:paraId="13FDDF0A" w14:textId="77777777" w:rsidTr="00E963E6">
        <w:trPr>
          <w:tblHeader/>
        </w:trPr>
        <w:tc>
          <w:tcPr>
            <w:tcW w:w="7111" w:type="dxa"/>
            <w:gridSpan w:val="3"/>
            <w:tcBorders>
              <w:top w:val="single" w:sz="12" w:space="0" w:color="auto"/>
              <w:bottom w:val="single" w:sz="6" w:space="0" w:color="auto"/>
            </w:tcBorders>
            <w:shd w:val="clear" w:color="auto" w:fill="auto"/>
            <w:hideMark/>
          </w:tcPr>
          <w:p w14:paraId="46D27C78" w14:textId="77777777" w:rsidR="00663413" w:rsidRPr="002E78C6" w:rsidRDefault="00663413" w:rsidP="002E78C6">
            <w:pPr>
              <w:pStyle w:val="TableHeading"/>
            </w:pPr>
            <w:r w:rsidRPr="002E78C6">
              <w:t>Commencement information</w:t>
            </w:r>
          </w:p>
        </w:tc>
      </w:tr>
      <w:tr w:rsidR="00663413" w:rsidRPr="002E78C6" w14:paraId="11921784" w14:textId="77777777" w:rsidTr="00E963E6">
        <w:trPr>
          <w:tblHeader/>
        </w:trPr>
        <w:tc>
          <w:tcPr>
            <w:tcW w:w="1701" w:type="dxa"/>
            <w:tcBorders>
              <w:top w:val="single" w:sz="6" w:space="0" w:color="auto"/>
              <w:bottom w:val="single" w:sz="6" w:space="0" w:color="auto"/>
            </w:tcBorders>
            <w:shd w:val="clear" w:color="auto" w:fill="auto"/>
            <w:hideMark/>
          </w:tcPr>
          <w:p w14:paraId="0D623523" w14:textId="77777777" w:rsidR="00663413" w:rsidRPr="002E78C6" w:rsidRDefault="00663413" w:rsidP="002E78C6">
            <w:pPr>
              <w:pStyle w:val="TableHeading"/>
            </w:pPr>
            <w:r w:rsidRPr="002E78C6">
              <w:t>Column 1</w:t>
            </w:r>
          </w:p>
        </w:tc>
        <w:tc>
          <w:tcPr>
            <w:tcW w:w="3828" w:type="dxa"/>
            <w:tcBorders>
              <w:top w:val="single" w:sz="6" w:space="0" w:color="auto"/>
              <w:bottom w:val="single" w:sz="6" w:space="0" w:color="auto"/>
            </w:tcBorders>
            <w:shd w:val="clear" w:color="auto" w:fill="auto"/>
            <w:hideMark/>
          </w:tcPr>
          <w:p w14:paraId="0B9D4387" w14:textId="77777777" w:rsidR="00663413" w:rsidRPr="002E78C6" w:rsidRDefault="00663413" w:rsidP="002E78C6">
            <w:pPr>
              <w:pStyle w:val="TableHeading"/>
            </w:pPr>
            <w:r w:rsidRPr="002E78C6">
              <w:t>Column 2</w:t>
            </w:r>
          </w:p>
        </w:tc>
        <w:tc>
          <w:tcPr>
            <w:tcW w:w="1582" w:type="dxa"/>
            <w:tcBorders>
              <w:top w:val="single" w:sz="6" w:space="0" w:color="auto"/>
              <w:bottom w:val="single" w:sz="6" w:space="0" w:color="auto"/>
            </w:tcBorders>
            <w:shd w:val="clear" w:color="auto" w:fill="auto"/>
            <w:hideMark/>
          </w:tcPr>
          <w:p w14:paraId="2B345448" w14:textId="77777777" w:rsidR="00663413" w:rsidRPr="002E78C6" w:rsidRDefault="00663413" w:rsidP="002E78C6">
            <w:pPr>
              <w:pStyle w:val="TableHeading"/>
            </w:pPr>
            <w:r w:rsidRPr="002E78C6">
              <w:t>Column 3</w:t>
            </w:r>
          </w:p>
        </w:tc>
      </w:tr>
      <w:tr w:rsidR="00663413" w:rsidRPr="002E78C6" w14:paraId="7BE579B3" w14:textId="77777777" w:rsidTr="00E963E6">
        <w:trPr>
          <w:tblHeader/>
        </w:trPr>
        <w:tc>
          <w:tcPr>
            <w:tcW w:w="1701" w:type="dxa"/>
            <w:tcBorders>
              <w:top w:val="single" w:sz="6" w:space="0" w:color="auto"/>
              <w:bottom w:val="single" w:sz="12" w:space="0" w:color="auto"/>
            </w:tcBorders>
            <w:shd w:val="clear" w:color="auto" w:fill="auto"/>
            <w:hideMark/>
          </w:tcPr>
          <w:p w14:paraId="2C9CCFC3" w14:textId="77777777" w:rsidR="00663413" w:rsidRPr="002E78C6" w:rsidRDefault="00663413" w:rsidP="002E78C6">
            <w:pPr>
              <w:pStyle w:val="TableHeading"/>
            </w:pPr>
            <w:r w:rsidRPr="002E78C6">
              <w:t>Provisions</w:t>
            </w:r>
          </w:p>
        </w:tc>
        <w:tc>
          <w:tcPr>
            <w:tcW w:w="3828" w:type="dxa"/>
            <w:tcBorders>
              <w:top w:val="single" w:sz="6" w:space="0" w:color="auto"/>
              <w:bottom w:val="single" w:sz="12" w:space="0" w:color="auto"/>
            </w:tcBorders>
            <w:shd w:val="clear" w:color="auto" w:fill="auto"/>
            <w:hideMark/>
          </w:tcPr>
          <w:p w14:paraId="16DB3725" w14:textId="77777777" w:rsidR="00663413" w:rsidRPr="002E78C6" w:rsidRDefault="00663413" w:rsidP="002E78C6">
            <w:pPr>
              <w:pStyle w:val="TableHeading"/>
            </w:pPr>
            <w:r w:rsidRPr="002E78C6">
              <w:t>Commencement</w:t>
            </w:r>
          </w:p>
        </w:tc>
        <w:tc>
          <w:tcPr>
            <w:tcW w:w="1582" w:type="dxa"/>
            <w:tcBorders>
              <w:top w:val="single" w:sz="6" w:space="0" w:color="auto"/>
              <w:bottom w:val="single" w:sz="12" w:space="0" w:color="auto"/>
            </w:tcBorders>
            <w:shd w:val="clear" w:color="auto" w:fill="auto"/>
            <w:hideMark/>
          </w:tcPr>
          <w:p w14:paraId="72DF4EF8" w14:textId="77777777" w:rsidR="00663413" w:rsidRPr="002E78C6" w:rsidRDefault="00663413" w:rsidP="002E78C6">
            <w:pPr>
              <w:pStyle w:val="TableHeading"/>
            </w:pPr>
            <w:r w:rsidRPr="002E78C6">
              <w:t>Date/Details</w:t>
            </w:r>
          </w:p>
        </w:tc>
      </w:tr>
      <w:tr w:rsidR="00663413" w:rsidRPr="002E78C6" w14:paraId="4179B32B" w14:textId="77777777" w:rsidTr="00E963E6">
        <w:tc>
          <w:tcPr>
            <w:tcW w:w="1701" w:type="dxa"/>
            <w:tcBorders>
              <w:top w:val="single" w:sz="12" w:space="0" w:color="auto"/>
              <w:bottom w:val="single" w:sz="12" w:space="0" w:color="auto"/>
            </w:tcBorders>
            <w:shd w:val="clear" w:color="auto" w:fill="auto"/>
            <w:hideMark/>
          </w:tcPr>
          <w:p w14:paraId="2D7AC0BD" w14:textId="77777777" w:rsidR="00663413" w:rsidRPr="002E78C6" w:rsidRDefault="005A61E1" w:rsidP="002E78C6">
            <w:pPr>
              <w:pStyle w:val="Tabletext"/>
            </w:pPr>
            <w:r w:rsidRPr="002E78C6">
              <w:t>1</w:t>
            </w:r>
            <w:r w:rsidR="00663413" w:rsidRPr="002E78C6">
              <w:t xml:space="preserve">.  </w:t>
            </w:r>
            <w:r w:rsidR="00E963E6" w:rsidRPr="002E78C6">
              <w:t>The whole of th</w:t>
            </w:r>
            <w:r w:rsidR="00203CBF" w:rsidRPr="002E78C6">
              <w:t>is</w:t>
            </w:r>
            <w:r w:rsidR="00E963E6" w:rsidRPr="002E78C6">
              <w:t xml:space="preserve"> Act</w:t>
            </w:r>
          </w:p>
        </w:tc>
        <w:tc>
          <w:tcPr>
            <w:tcW w:w="3828" w:type="dxa"/>
            <w:tcBorders>
              <w:top w:val="single" w:sz="12" w:space="0" w:color="auto"/>
              <w:bottom w:val="single" w:sz="12" w:space="0" w:color="auto"/>
            </w:tcBorders>
            <w:shd w:val="clear" w:color="auto" w:fill="auto"/>
          </w:tcPr>
          <w:p w14:paraId="5940DE1D" w14:textId="77777777" w:rsidR="00663413" w:rsidRPr="002E78C6" w:rsidRDefault="00663413" w:rsidP="002E78C6">
            <w:pPr>
              <w:pStyle w:val="Tabletext"/>
            </w:pPr>
            <w:r w:rsidRPr="002E78C6">
              <w:t>A single day to be fixed by Proclamation.</w:t>
            </w:r>
          </w:p>
          <w:p w14:paraId="2895D501" w14:textId="77777777" w:rsidR="00663413" w:rsidRPr="002E78C6" w:rsidRDefault="00663413" w:rsidP="002E78C6">
            <w:pPr>
              <w:pStyle w:val="Tabletext"/>
            </w:pPr>
            <w:r w:rsidRPr="002E78C6">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14:paraId="13C5BF3A" w14:textId="77777777" w:rsidR="00663413" w:rsidRDefault="000F4EA5" w:rsidP="002E78C6">
            <w:pPr>
              <w:pStyle w:val="Tabletext"/>
            </w:pPr>
            <w:r>
              <w:t>21 December 2021</w:t>
            </w:r>
          </w:p>
          <w:p w14:paraId="1719525F" w14:textId="0E7510F7" w:rsidR="000F4EA5" w:rsidRPr="002E78C6" w:rsidRDefault="000F4EA5" w:rsidP="002E78C6">
            <w:pPr>
              <w:pStyle w:val="Tabletext"/>
            </w:pPr>
            <w:r>
              <w:t>(</w:t>
            </w:r>
            <w:r w:rsidRPr="000F4EA5">
              <w:t>F2021N00321</w:t>
            </w:r>
            <w:r>
              <w:t>)</w:t>
            </w:r>
            <w:bookmarkStart w:id="2" w:name="_GoBack"/>
            <w:bookmarkEnd w:id="2"/>
          </w:p>
        </w:tc>
      </w:tr>
    </w:tbl>
    <w:p w14:paraId="74DB5C59" w14:textId="77777777" w:rsidR="00663413" w:rsidRPr="002E78C6" w:rsidRDefault="00663413" w:rsidP="002E78C6">
      <w:pPr>
        <w:pStyle w:val="notetext"/>
      </w:pPr>
      <w:r w:rsidRPr="002E78C6">
        <w:rPr>
          <w:snapToGrid w:val="0"/>
          <w:lang w:eastAsia="en-US"/>
        </w:rPr>
        <w:t>Note:</w:t>
      </w:r>
      <w:r w:rsidRPr="002E78C6">
        <w:rPr>
          <w:snapToGrid w:val="0"/>
          <w:lang w:eastAsia="en-US"/>
        </w:rPr>
        <w:tab/>
        <w:t>This table relates only to the provisions of this Act as originally enacted. It will not be amended to deal with any later amendments of this Act.</w:t>
      </w:r>
    </w:p>
    <w:p w14:paraId="1E72B978" w14:textId="77777777" w:rsidR="00663413" w:rsidRPr="002E78C6" w:rsidRDefault="00663413" w:rsidP="002E78C6">
      <w:pPr>
        <w:pStyle w:val="subsection"/>
      </w:pPr>
      <w:r w:rsidRPr="002E78C6">
        <w:tab/>
        <w:t>(2)</w:t>
      </w:r>
      <w:r w:rsidRPr="002E78C6">
        <w:tab/>
        <w:t>Any information in column 3 of the table is not part of this Act. Information may be inserted in this column, or information in it may be edited, in any published version of this Act.</w:t>
      </w:r>
    </w:p>
    <w:p w14:paraId="3242033E" w14:textId="77777777" w:rsidR="0048364F" w:rsidRPr="002E78C6" w:rsidRDefault="0048364F" w:rsidP="002E78C6">
      <w:pPr>
        <w:pStyle w:val="ActHead5"/>
      </w:pPr>
      <w:bookmarkStart w:id="3" w:name="_Toc81895501"/>
      <w:r w:rsidRPr="00FC7BDF">
        <w:rPr>
          <w:rStyle w:val="CharSectno"/>
        </w:rPr>
        <w:t>3</w:t>
      </w:r>
      <w:r w:rsidRPr="002E78C6">
        <w:t xml:space="preserve">  Schedules</w:t>
      </w:r>
      <w:bookmarkEnd w:id="3"/>
    </w:p>
    <w:p w14:paraId="2983226A" w14:textId="77777777" w:rsidR="0048364F" w:rsidRPr="002E78C6" w:rsidRDefault="0048364F" w:rsidP="002E78C6">
      <w:pPr>
        <w:pStyle w:val="subsection"/>
      </w:pPr>
      <w:r w:rsidRPr="002E78C6">
        <w:tab/>
      </w:r>
      <w:r w:rsidRPr="002E78C6">
        <w:tab/>
      </w:r>
      <w:r w:rsidR="00202618" w:rsidRPr="002E78C6">
        <w:t>Legislation that is specified in a Schedule to this Act is amended or repealed as set out in the applicable items in the Schedule concerned, and any other item in a Schedule to this Act has effect according to its terms.</w:t>
      </w:r>
    </w:p>
    <w:p w14:paraId="242B1C63" w14:textId="77777777" w:rsidR="00C63A57" w:rsidRDefault="00C63A57" w:rsidP="00C63A57">
      <w:pPr>
        <w:pStyle w:val="ActHead5"/>
      </w:pPr>
      <w:bookmarkStart w:id="4" w:name="_Toc81895502"/>
      <w:bookmarkStart w:id="5" w:name="opcAmSched"/>
      <w:r w:rsidRPr="0035445B">
        <w:rPr>
          <w:rStyle w:val="CharSectno"/>
        </w:rPr>
        <w:t>4</w:t>
      </w:r>
      <w:r w:rsidRPr="00077553">
        <w:t xml:space="preserve">  </w:t>
      </w:r>
      <w:r>
        <w:t>Review</w:t>
      </w:r>
      <w:bookmarkEnd w:id="4"/>
    </w:p>
    <w:p w14:paraId="24ECBA03" w14:textId="77777777" w:rsidR="00C63A57" w:rsidRPr="00077553" w:rsidRDefault="00C63A57" w:rsidP="00C63A57">
      <w:pPr>
        <w:pStyle w:val="subsection"/>
      </w:pPr>
      <w:r>
        <w:tab/>
      </w:r>
      <w:r>
        <w:tab/>
        <w:t>The Parliamentary Joint Committee on Intelligence and Security may, after the fifth</w:t>
      </w:r>
      <w:r w:rsidRPr="00077553">
        <w:t xml:space="preserve"> anniversary of the </w:t>
      </w:r>
      <w:r>
        <w:t>day this Act receives the Royal Assent,</w:t>
      </w:r>
      <w:r w:rsidRPr="00077553">
        <w:t xml:space="preserve"> </w:t>
      </w:r>
      <w:r>
        <w:t xml:space="preserve">commence </w:t>
      </w:r>
      <w:r w:rsidRPr="00077553">
        <w:t>a review of the operation, effectiveness and implications of the amendments made by</w:t>
      </w:r>
      <w:r>
        <w:t xml:space="preserve"> this Act.</w:t>
      </w:r>
    </w:p>
    <w:p w14:paraId="26CBFB86" w14:textId="77777777" w:rsidR="00FD66DC" w:rsidRPr="002E78C6" w:rsidRDefault="00FD66DC" w:rsidP="002E78C6">
      <w:pPr>
        <w:pStyle w:val="ActHead6"/>
        <w:pageBreakBefore/>
      </w:pPr>
      <w:bookmarkStart w:id="6" w:name="_Toc81895503"/>
      <w:r w:rsidRPr="00FC7BDF">
        <w:rPr>
          <w:rStyle w:val="CharAmSchNo"/>
        </w:rPr>
        <w:lastRenderedPageBreak/>
        <w:t>Schedule 1</w:t>
      </w:r>
      <w:r w:rsidRPr="002E78C6">
        <w:t>—</w:t>
      </w:r>
      <w:r w:rsidR="001E709A" w:rsidRPr="00FC7BDF">
        <w:rPr>
          <w:rStyle w:val="CharAmSchText"/>
        </w:rPr>
        <w:t>Section 1</w:t>
      </w:r>
      <w:r w:rsidRPr="00FC7BDF">
        <w:rPr>
          <w:rStyle w:val="CharAmSchText"/>
        </w:rPr>
        <w:t>1C foreign intelligence warrants</w:t>
      </w:r>
      <w:bookmarkEnd w:id="6"/>
    </w:p>
    <w:bookmarkEnd w:id="5"/>
    <w:p w14:paraId="7A7D144D" w14:textId="77777777" w:rsidR="00FD66DC" w:rsidRPr="00FC7BDF" w:rsidRDefault="00FD66DC" w:rsidP="002E78C6">
      <w:pPr>
        <w:pStyle w:val="Header"/>
      </w:pPr>
      <w:r w:rsidRPr="00FC7BDF">
        <w:rPr>
          <w:rStyle w:val="CharAmPartNo"/>
        </w:rPr>
        <w:t xml:space="preserve"> </w:t>
      </w:r>
      <w:r w:rsidRPr="00FC7BDF">
        <w:rPr>
          <w:rStyle w:val="CharAmPartText"/>
        </w:rPr>
        <w:t xml:space="preserve"> </w:t>
      </w:r>
    </w:p>
    <w:p w14:paraId="2B80B8E6" w14:textId="77777777" w:rsidR="00FD66DC" w:rsidRPr="002E78C6" w:rsidRDefault="00FD66DC" w:rsidP="002E78C6">
      <w:pPr>
        <w:pStyle w:val="ActHead9"/>
        <w:rPr>
          <w:i w:val="0"/>
        </w:rPr>
      </w:pPr>
      <w:bookmarkStart w:id="7" w:name="_Toc81895504"/>
      <w:r w:rsidRPr="002E78C6">
        <w:t>Telecommunications (Interception and Access) Act 1979</w:t>
      </w:r>
      <w:bookmarkEnd w:id="7"/>
    </w:p>
    <w:p w14:paraId="04420AD4" w14:textId="77777777" w:rsidR="00FB67E2" w:rsidRPr="002E78C6" w:rsidRDefault="00444F6F" w:rsidP="002E78C6">
      <w:pPr>
        <w:pStyle w:val="ItemHead"/>
      </w:pPr>
      <w:r w:rsidRPr="002E78C6">
        <w:t>1</w:t>
      </w:r>
      <w:r w:rsidR="00FB67E2" w:rsidRPr="002E78C6">
        <w:t xml:space="preserve">  Before </w:t>
      </w:r>
      <w:r w:rsidR="00813E0A" w:rsidRPr="002E78C6">
        <w:t>subsection 1</w:t>
      </w:r>
      <w:r w:rsidR="00FB67E2" w:rsidRPr="002E78C6">
        <w:t>1C(1)</w:t>
      </w:r>
    </w:p>
    <w:p w14:paraId="74A60E20" w14:textId="77777777" w:rsidR="00FB67E2" w:rsidRPr="002E78C6" w:rsidRDefault="00FB67E2" w:rsidP="002E78C6">
      <w:pPr>
        <w:pStyle w:val="Item"/>
      </w:pPr>
      <w:r w:rsidRPr="002E78C6">
        <w:t>Insert:</w:t>
      </w:r>
    </w:p>
    <w:p w14:paraId="2178DAC9" w14:textId="77777777" w:rsidR="00FB67E2" w:rsidRPr="002E78C6" w:rsidRDefault="00FB67E2" w:rsidP="002E78C6">
      <w:pPr>
        <w:pStyle w:val="SubsectionHead"/>
      </w:pPr>
      <w:r w:rsidRPr="002E78C6">
        <w:t>Issue of warrant</w:t>
      </w:r>
    </w:p>
    <w:p w14:paraId="346E1FEC" w14:textId="77777777" w:rsidR="00FB67E2" w:rsidRPr="002E78C6" w:rsidRDefault="00444F6F" w:rsidP="002E78C6">
      <w:pPr>
        <w:pStyle w:val="ItemHead"/>
      </w:pPr>
      <w:r w:rsidRPr="002E78C6">
        <w:t>2</w:t>
      </w:r>
      <w:r w:rsidR="00FB67E2" w:rsidRPr="002E78C6">
        <w:t xml:space="preserve">  Paragraph 11C(1)(a)</w:t>
      </w:r>
    </w:p>
    <w:p w14:paraId="7FCB5E79" w14:textId="77777777" w:rsidR="00FB67E2" w:rsidRPr="002E78C6" w:rsidRDefault="00FB67E2" w:rsidP="002E78C6">
      <w:pPr>
        <w:pStyle w:val="Item"/>
      </w:pPr>
      <w:r w:rsidRPr="002E78C6">
        <w:t>Omit “foreign communications for the purpose of obtaining foreign intelligence relating to a matter specified in the notice”, substitute “communications for the purpose of obtaining foreign intelligence relating to a matter specified in the notice from foreign communications intercepted under the warrant”.</w:t>
      </w:r>
    </w:p>
    <w:p w14:paraId="37F43B92" w14:textId="77777777" w:rsidR="00FB67E2" w:rsidRPr="002E78C6" w:rsidRDefault="00444F6F" w:rsidP="002E78C6">
      <w:pPr>
        <w:pStyle w:val="ItemHead"/>
      </w:pPr>
      <w:r w:rsidRPr="002E78C6">
        <w:t>3</w:t>
      </w:r>
      <w:r w:rsidR="00FB67E2" w:rsidRPr="002E78C6">
        <w:t xml:space="preserve">  Sub</w:t>
      </w:r>
      <w:r w:rsidR="00813E0A" w:rsidRPr="002E78C6">
        <w:t>paragraph 1</w:t>
      </w:r>
      <w:r w:rsidR="00FB67E2" w:rsidRPr="002E78C6">
        <w:t>1C(1)(b)(ii)</w:t>
      </w:r>
    </w:p>
    <w:p w14:paraId="2F9E345F" w14:textId="77777777" w:rsidR="00FB67E2" w:rsidRPr="002E78C6" w:rsidRDefault="00FB67E2" w:rsidP="002E78C6">
      <w:pPr>
        <w:pStyle w:val="Item"/>
      </w:pPr>
      <w:r w:rsidRPr="002E78C6">
        <w:t xml:space="preserve">Omit “foreign communications in order to collect the intelligence referred to in </w:t>
      </w:r>
      <w:r w:rsidR="007C1928" w:rsidRPr="002E78C6">
        <w:t>paragraph (</w:t>
      </w:r>
      <w:r w:rsidRPr="002E78C6">
        <w:t>a)”, substitute “communications in order to obtain that foreign intelligence from foreign communications intercepted under the warrant”.</w:t>
      </w:r>
    </w:p>
    <w:p w14:paraId="634BDC4D" w14:textId="77777777" w:rsidR="00FB67E2" w:rsidRPr="002E78C6" w:rsidRDefault="00444F6F" w:rsidP="002E78C6">
      <w:pPr>
        <w:pStyle w:val="ItemHead"/>
      </w:pPr>
      <w:r w:rsidRPr="002E78C6">
        <w:t>4</w:t>
      </w:r>
      <w:r w:rsidR="00FB67E2" w:rsidRPr="002E78C6">
        <w:t xml:space="preserve">  Sub</w:t>
      </w:r>
      <w:r w:rsidR="00813E0A" w:rsidRPr="002E78C6">
        <w:t>section 1</w:t>
      </w:r>
      <w:r w:rsidR="00FB67E2" w:rsidRPr="002E78C6">
        <w:t>1C(1)</w:t>
      </w:r>
    </w:p>
    <w:p w14:paraId="704F7439" w14:textId="77777777" w:rsidR="00FB67E2" w:rsidRPr="002E78C6" w:rsidRDefault="00FB67E2" w:rsidP="002E78C6">
      <w:pPr>
        <w:pStyle w:val="Item"/>
      </w:pPr>
      <w:r w:rsidRPr="002E78C6">
        <w:t>Omit “foreign communications for the purpose of obtaining that intelligence”, substitute “communications for the purpose of obtaining that foreign intelligence from foreign communications intercepted under the warrant”.</w:t>
      </w:r>
    </w:p>
    <w:p w14:paraId="332AB162" w14:textId="77777777" w:rsidR="00FB67E2" w:rsidRPr="002E78C6" w:rsidRDefault="00444F6F" w:rsidP="002E78C6">
      <w:pPr>
        <w:pStyle w:val="ItemHead"/>
      </w:pPr>
      <w:r w:rsidRPr="002E78C6">
        <w:t>5</w:t>
      </w:r>
      <w:r w:rsidR="00FB67E2" w:rsidRPr="002E78C6">
        <w:t xml:space="preserve">  Sub</w:t>
      </w:r>
      <w:r w:rsidR="00813E0A" w:rsidRPr="002E78C6">
        <w:t>section 1</w:t>
      </w:r>
      <w:r w:rsidR="00FB67E2" w:rsidRPr="002E78C6">
        <w:t>1C(2)</w:t>
      </w:r>
    </w:p>
    <w:p w14:paraId="07E3CE0D" w14:textId="77777777" w:rsidR="00FB67E2" w:rsidRPr="002E78C6" w:rsidRDefault="00FB67E2" w:rsidP="002E78C6">
      <w:pPr>
        <w:pStyle w:val="Item"/>
      </w:pPr>
      <w:r w:rsidRPr="002E78C6">
        <w:t xml:space="preserve">Omit “except foreign communications”, substitute “except for the purpose of obtaining foreign intelligence relating to a matter specified in the notice referred to in </w:t>
      </w:r>
      <w:r w:rsidR="00813E0A" w:rsidRPr="002E78C6">
        <w:t>subsection (</w:t>
      </w:r>
      <w:r w:rsidRPr="002E78C6">
        <w:t>1) from foreign communications intercepted under the warrant”.</w:t>
      </w:r>
    </w:p>
    <w:p w14:paraId="49648D35" w14:textId="77777777" w:rsidR="00FB67E2" w:rsidRPr="002E78C6" w:rsidRDefault="00444F6F" w:rsidP="002E78C6">
      <w:pPr>
        <w:pStyle w:val="ItemHead"/>
      </w:pPr>
      <w:r w:rsidRPr="002E78C6">
        <w:t>6</w:t>
      </w:r>
      <w:r w:rsidR="00FB67E2" w:rsidRPr="002E78C6">
        <w:t xml:space="preserve">  Paragraph 11C(3)(a)</w:t>
      </w:r>
    </w:p>
    <w:p w14:paraId="318A04D8" w14:textId="77777777" w:rsidR="00FB67E2" w:rsidRPr="002E78C6" w:rsidRDefault="00FB67E2" w:rsidP="002E78C6">
      <w:pPr>
        <w:pStyle w:val="Item"/>
      </w:pPr>
      <w:r w:rsidRPr="002E78C6">
        <w:t>Repeal the paragraph, substitute:</w:t>
      </w:r>
    </w:p>
    <w:p w14:paraId="16E89D1A" w14:textId="77777777" w:rsidR="00FB67E2" w:rsidRPr="002E78C6" w:rsidRDefault="00FB67E2" w:rsidP="002E78C6">
      <w:pPr>
        <w:pStyle w:val="paragraph"/>
      </w:pPr>
      <w:r w:rsidRPr="002E78C6">
        <w:lastRenderedPageBreak/>
        <w:tab/>
        <w:t>(a)</w:t>
      </w:r>
      <w:r w:rsidRPr="002E78C6">
        <w:tab/>
        <w:t>specify how the interception of communications is proposed to be conducted under the warrant</w:t>
      </w:r>
      <w:r w:rsidR="00DA7340" w:rsidRPr="002E78C6">
        <w:t xml:space="preserve">, including how the </w:t>
      </w:r>
      <w:r w:rsidR="001E0125" w:rsidRPr="002E78C6">
        <w:t xml:space="preserve">risk of </w:t>
      </w:r>
      <w:r w:rsidR="00DA7340" w:rsidRPr="002E78C6">
        <w:t>intercepti</w:t>
      </w:r>
      <w:r w:rsidR="001E0125" w:rsidRPr="002E78C6">
        <w:t>ng</w:t>
      </w:r>
      <w:r w:rsidR="00DA7340" w:rsidRPr="002E78C6">
        <w:t xml:space="preserve"> domestic communications will be minimised</w:t>
      </w:r>
      <w:r w:rsidRPr="002E78C6">
        <w:t>; and</w:t>
      </w:r>
    </w:p>
    <w:p w14:paraId="74DF9E9F" w14:textId="77777777" w:rsidR="00FB67E2" w:rsidRPr="002E78C6" w:rsidRDefault="00444F6F" w:rsidP="002E78C6">
      <w:pPr>
        <w:pStyle w:val="ItemHead"/>
      </w:pPr>
      <w:r w:rsidRPr="002E78C6">
        <w:t>7</w:t>
      </w:r>
      <w:r w:rsidR="00FB67E2" w:rsidRPr="002E78C6">
        <w:t xml:space="preserve">  Sub</w:t>
      </w:r>
      <w:r w:rsidR="00813E0A" w:rsidRPr="002E78C6">
        <w:t>section 1</w:t>
      </w:r>
      <w:r w:rsidR="00FB67E2" w:rsidRPr="002E78C6">
        <w:t>1C(4)</w:t>
      </w:r>
    </w:p>
    <w:p w14:paraId="41D53219" w14:textId="77777777" w:rsidR="00FB67E2" w:rsidRPr="002E78C6" w:rsidRDefault="00FB67E2" w:rsidP="002E78C6">
      <w:pPr>
        <w:pStyle w:val="Item"/>
      </w:pPr>
      <w:r w:rsidRPr="002E78C6">
        <w:t>Repeal the subsection, substitute:</w:t>
      </w:r>
    </w:p>
    <w:p w14:paraId="2AEFB822" w14:textId="77777777" w:rsidR="002D25EC" w:rsidRPr="002E78C6" w:rsidRDefault="002D25EC" w:rsidP="002E78C6">
      <w:pPr>
        <w:pStyle w:val="subsection"/>
      </w:pPr>
      <w:r w:rsidRPr="002E78C6">
        <w:tab/>
        <w:t>(</w:t>
      </w:r>
      <w:r w:rsidR="008D117D" w:rsidRPr="002E78C6">
        <w:t>4</w:t>
      </w:r>
      <w:r w:rsidRPr="002E78C6">
        <w:t>)</w:t>
      </w:r>
      <w:r w:rsidRPr="002E78C6">
        <w:tab/>
        <w:t>The Attorney</w:t>
      </w:r>
      <w:r w:rsidR="002E78C6">
        <w:noBreakHyphen/>
      </w:r>
      <w:r w:rsidRPr="002E78C6">
        <w:t xml:space="preserve">General must not issue a warrant under this section if the mandatory procedure under </w:t>
      </w:r>
      <w:r w:rsidR="00813E0A" w:rsidRPr="002E78C6">
        <w:t>subsection (</w:t>
      </w:r>
      <w:r w:rsidRPr="002E78C6">
        <w:t>6) is not in force.</w:t>
      </w:r>
    </w:p>
    <w:p w14:paraId="4977BC07" w14:textId="77777777" w:rsidR="00FB67E2" w:rsidRPr="002E78C6" w:rsidRDefault="00FB67E2" w:rsidP="002E78C6">
      <w:pPr>
        <w:pStyle w:val="subsection"/>
      </w:pPr>
      <w:r w:rsidRPr="002E78C6">
        <w:tab/>
        <w:t>(</w:t>
      </w:r>
      <w:r w:rsidR="008D117D" w:rsidRPr="002E78C6">
        <w:t>4A</w:t>
      </w:r>
      <w:r w:rsidRPr="002E78C6">
        <w:t>)</w:t>
      </w:r>
      <w:r w:rsidRPr="002E78C6">
        <w:tab/>
        <w:t>If a warrant is issued under this section, then the Director</w:t>
      </w:r>
      <w:r w:rsidR="002E78C6">
        <w:noBreakHyphen/>
      </w:r>
      <w:r w:rsidRPr="002E78C6">
        <w:t xml:space="preserve">General </w:t>
      </w:r>
      <w:r w:rsidR="00590FE4" w:rsidRPr="002E78C6">
        <w:t xml:space="preserve">of Security </w:t>
      </w:r>
      <w:r w:rsidRPr="002E78C6">
        <w:t>must prepare a notice that:</w:t>
      </w:r>
    </w:p>
    <w:p w14:paraId="117543EB" w14:textId="77777777" w:rsidR="00FB67E2" w:rsidRPr="002E78C6" w:rsidRDefault="00FB67E2" w:rsidP="002E78C6">
      <w:pPr>
        <w:pStyle w:val="paragraph"/>
      </w:pPr>
      <w:r w:rsidRPr="002E78C6">
        <w:tab/>
        <w:t>(a)</w:t>
      </w:r>
      <w:r w:rsidRPr="002E78C6">
        <w:tab/>
        <w:t>is addressed to a</w:t>
      </w:r>
      <w:r w:rsidR="00432AFB" w:rsidRPr="002E78C6">
        <w:t>ny</w:t>
      </w:r>
      <w:r w:rsidRPr="002E78C6">
        <w:t xml:space="preserve"> carrier who operates a</w:t>
      </w:r>
      <w:r w:rsidR="00432AFB" w:rsidRPr="002E78C6">
        <w:t>ny</w:t>
      </w:r>
      <w:r w:rsidRPr="002E78C6">
        <w:t xml:space="preserve"> part of the telecommunications system that is covered by the warrant; and</w:t>
      </w:r>
    </w:p>
    <w:p w14:paraId="5ABB4D03" w14:textId="77777777" w:rsidR="00FB67E2" w:rsidRPr="002E78C6" w:rsidRDefault="00FB67E2" w:rsidP="002E78C6">
      <w:pPr>
        <w:pStyle w:val="paragraph"/>
      </w:pPr>
      <w:r w:rsidRPr="002E78C6">
        <w:tab/>
        <w:t>(b)</w:t>
      </w:r>
      <w:r w:rsidRPr="002E78C6">
        <w:tab/>
        <w:t>gives a description that is sufficient to identify that part of the telecommunications system covered by the warrant;</w:t>
      </w:r>
    </w:p>
    <w:p w14:paraId="5E86403C" w14:textId="77777777" w:rsidR="00FB67E2" w:rsidRPr="002E78C6" w:rsidRDefault="00FB67E2" w:rsidP="002E78C6">
      <w:pPr>
        <w:pStyle w:val="subsection2"/>
      </w:pPr>
      <w:r w:rsidRPr="002E78C6">
        <w:t>unless the Attorney</w:t>
      </w:r>
      <w:r w:rsidR="002E78C6">
        <w:noBreakHyphen/>
      </w:r>
      <w:r w:rsidRPr="002E78C6">
        <w:t>General is satisfied that the giving of such a notice would not be in the interests of national security or reasonable in the circumstances.</w:t>
      </w:r>
    </w:p>
    <w:p w14:paraId="5F5B16F6" w14:textId="77777777" w:rsidR="00432AFB" w:rsidRPr="002E78C6" w:rsidRDefault="00444F6F" w:rsidP="002E78C6">
      <w:pPr>
        <w:pStyle w:val="ItemHead"/>
      </w:pPr>
      <w:r w:rsidRPr="002E78C6">
        <w:t>8</w:t>
      </w:r>
      <w:r w:rsidR="00432AFB" w:rsidRPr="002E78C6">
        <w:t xml:space="preserve">  Before </w:t>
      </w:r>
      <w:r w:rsidR="00813E0A" w:rsidRPr="002E78C6">
        <w:t>subsection 1</w:t>
      </w:r>
      <w:r w:rsidR="00432AFB" w:rsidRPr="002E78C6">
        <w:t>1C(5)</w:t>
      </w:r>
    </w:p>
    <w:p w14:paraId="448CBB0D" w14:textId="77777777" w:rsidR="00432AFB" w:rsidRPr="002E78C6" w:rsidRDefault="00432AFB" w:rsidP="002E78C6">
      <w:pPr>
        <w:pStyle w:val="Item"/>
      </w:pPr>
      <w:r w:rsidRPr="002E78C6">
        <w:t>Insert:</w:t>
      </w:r>
    </w:p>
    <w:p w14:paraId="65F0B9D6" w14:textId="77777777" w:rsidR="00FB67E2" w:rsidRPr="002E78C6" w:rsidRDefault="00CD3967" w:rsidP="002E78C6">
      <w:pPr>
        <w:pStyle w:val="SubsectionHead"/>
      </w:pPr>
      <w:r w:rsidRPr="002E78C6">
        <w:t>Destruction of irrelevant</w:t>
      </w:r>
      <w:r w:rsidR="00FB67E2" w:rsidRPr="002E78C6">
        <w:t xml:space="preserve"> intercepted communications</w:t>
      </w:r>
    </w:p>
    <w:p w14:paraId="5F1637F5" w14:textId="77777777" w:rsidR="00EB504C" w:rsidRPr="002E78C6" w:rsidRDefault="00444F6F" w:rsidP="002E78C6">
      <w:pPr>
        <w:pStyle w:val="ItemHead"/>
      </w:pPr>
      <w:r w:rsidRPr="002E78C6">
        <w:t>9</w:t>
      </w:r>
      <w:r w:rsidR="00EB504C" w:rsidRPr="002E78C6">
        <w:t xml:space="preserve">  Subsection 11C(5)</w:t>
      </w:r>
    </w:p>
    <w:p w14:paraId="726D9D73" w14:textId="77777777" w:rsidR="00EB504C" w:rsidRPr="002E78C6" w:rsidRDefault="00EB504C" w:rsidP="002E78C6">
      <w:pPr>
        <w:pStyle w:val="Item"/>
      </w:pPr>
      <w:r w:rsidRPr="002E78C6">
        <w:t>Omit all the words after “Director</w:t>
      </w:r>
      <w:r w:rsidR="002E78C6">
        <w:noBreakHyphen/>
      </w:r>
      <w:r w:rsidRPr="002E78C6">
        <w:t>General of Security” (last occurring), substitute:</w:t>
      </w:r>
    </w:p>
    <w:p w14:paraId="723E30BF" w14:textId="77777777" w:rsidR="00EB504C" w:rsidRPr="002E78C6" w:rsidRDefault="00EB504C" w:rsidP="002E78C6">
      <w:pPr>
        <w:pStyle w:val="subsection2"/>
      </w:pPr>
      <w:r w:rsidRPr="002E78C6">
        <w:t>must:</w:t>
      </w:r>
    </w:p>
    <w:p w14:paraId="56E105D9" w14:textId="77777777" w:rsidR="00EB504C" w:rsidRPr="002E78C6" w:rsidRDefault="00EB504C" w:rsidP="002E78C6">
      <w:pPr>
        <w:pStyle w:val="paragraph"/>
      </w:pPr>
      <w:r w:rsidRPr="002E78C6">
        <w:tab/>
        <w:t>(</w:t>
      </w:r>
      <w:r w:rsidR="00CE024E" w:rsidRPr="002E78C6">
        <w:t>c</w:t>
      </w:r>
      <w:r w:rsidRPr="002E78C6">
        <w:t>)</w:t>
      </w:r>
      <w:r w:rsidRPr="002E78C6">
        <w:tab/>
      </w:r>
      <w:r w:rsidR="004157CF" w:rsidRPr="002E78C6">
        <w:t xml:space="preserve">cause </w:t>
      </w:r>
      <w:r w:rsidRPr="002E78C6">
        <w:t>all records of the communication to be destroyed (</w:t>
      </w:r>
      <w:r w:rsidR="007A7852" w:rsidRPr="002E78C6">
        <w:t>unless</w:t>
      </w:r>
      <w:r w:rsidR="004157CF" w:rsidRPr="002E78C6">
        <w:t xml:space="preserve"> the</w:t>
      </w:r>
      <w:r w:rsidRPr="002E78C6">
        <w:t xml:space="preserve"> communication relates, or appears to relate, to activities that present a significant risk to a person’s life); and</w:t>
      </w:r>
    </w:p>
    <w:p w14:paraId="11AA366B" w14:textId="77777777" w:rsidR="007A7852" w:rsidRPr="002E78C6" w:rsidRDefault="007A7852" w:rsidP="002E78C6">
      <w:pPr>
        <w:pStyle w:val="paragraph"/>
      </w:pPr>
      <w:r w:rsidRPr="002E78C6">
        <w:tab/>
        <w:t>(d)</w:t>
      </w:r>
      <w:r w:rsidRPr="002E78C6">
        <w:tab/>
        <w:t>cause the Inspector</w:t>
      </w:r>
      <w:r w:rsidR="002E78C6">
        <w:noBreakHyphen/>
      </w:r>
      <w:r w:rsidRPr="002E78C6">
        <w:t>General of Intelligence and Security to be notified of the communication if all records of the communication are not caused to be destroyed because the communication relates, or appears to relate, to activities that present a significant risk to a person’s life.</w:t>
      </w:r>
    </w:p>
    <w:p w14:paraId="49F65F84" w14:textId="77777777" w:rsidR="00432AFB" w:rsidRPr="002E78C6" w:rsidRDefault="00444F6F" w:rsidP="002E78C6">
      <w:pPr>
        <w:pStyle w:val="ItemHead"/>
      </w:pPr>
      <w:bookmarkStart w:id="8" w:name="_Hlk74126361"/>
      <w:r w:rsidRPr="002E78C6">
        <w:lastRenderedPageBreak/>
        <w:t>10</w:t>
      </w:r>
      <w:r w:rsidR="00432AFB" w:rsidRPr="002E78C6">
        <w:t xml:space="preserve">  After </w:t>
      </w:r>
      <w:r w:rsidR="00813E0A" w:rsidRPr="002E78C6">
        <w:t>subsection 1</w:t>
      </w:r>
      <w:r w:rsidR="00432AFB" w:rsidRPr="002E78C6">
        <w:t>1C(5) (before the note)</w:t>
      </w:r>
    </w:p>
    <w:p w14:paraId="0BBB3115" w14:textId="77777777" w:rsidR="00432AFB" w:rsidRPr="002E78C6" w:rsidRDefault="00432AFB" w:rsidP="002E78C6">
      <w:pPr>
        <w:pStyle w:val="Item"/>
      </w:pPr>
      <w:r w:rsidRPr="002E78C6">
        <w:t>Insert:</w:t>
      </w:r>
    </w:p>
    <w:p w14:paraId="2756BC36" w14:textId="77777777" w:rsidR="00CD3967" w:rsidRPr="002E78C6" w:rsidRDefault="00CD3967" w:rsidP="002E78C6">
      <w:pPr>
        <w:pStyle w:val="SubsectionHead"/>
      </w:pPr>
      <w:r w:rsidRPr="002E78C6">
        <w:t>Mandatory procedure for all intercepted communications</w:t>
      </w:r>
    </w:p>
    <w:p w14:paraId="457F2554" w14:textId="77777777" w:rsidR="00FA4B31" w:rsidRPr="002E78C6" w:rsidRDefault="00432AFB" w:rsidP="002E78C6">
      <w:pPr>
        <w:pStyle w:val="subsection"/>
      </w:pPr>
      <w:r w:rsidRPr="002E78C6">
        <w:tab/>
        <w:t>(6)</w:t>
      </w:r>
      <w:r w:rsidRPr="002E78C6">
        <w:tab/>
        <w:t>The Attorney</w:t>
      </w:r>
      <w:r w:rsidR="002E78C6">
        <w:noBreakHyphen/>
      </w:r>
      <w:r w:rsidRPr="002E78C6">
        <w:t>General must</w:t>
      </w:r>
      <w:r w:rsidR="00B0042E" w:rsidRPr="002E78C6">
        <w:t>, in writing,</w:t>
      </w:r>
      <w:r w:rsidR="00FA4B31" w:rsidRPr="002E78C6">
        <w:t xml:space="preserve"> </w:t>
      </w:r>
      <w:r w:rsidRPr="002E78C6">
        <w:t xml:space="preserve">issue </w:t>
      </w:r>
      <w:r w:rsidR="00FA4B31" w:rsidRPr="002E78C6">
        <w:t xml:space="preserve">a </w:t>
      </w:r>
      <w:r w:rsidR="002B4209" w:rsidRPr="002E78C6">
        <w:t>mandatory</w:t>
      </w:r>
      <w:r w:rsidR="00FA4B31" w:rsidRPr="002E78C6">
        <w:t xml:space="preserve"> procedure (the </w:t>
      </w:r>
      <w:r w:rsidR="00FA4B31" w:rsidRPr="002E78C6">
        <w:rPr>
          <w:b/>
          <w:i/>
        </w:rPr>
        <w:t>mandatory procedure</w:t>
      </w:r>
      <w:r w:rsidR="00FA4B31" w:rsidRPr="002E78C6">
        <w:t>)</w:t>
      </w:r>
      <w:r w:rsidR="00012AE1" w:rsidRPr="002E78C6">
        <w:t>:</w:t>
      </w:r>
    </w:p>
    <w:p w14:paraId="39C7ECD2" w14:textId="77777777" w:rsidR="00FA4B31" w:rsidRPr="002E78C6" w:rsidRDefault="00FA4B31" w:rsidP="002E78C6">
      <w:pPr>
        <w:pStyle w:val="paragraph"/>
      </w:pPr>
      <w:r w:rsidRPr="002E78C6">
        <w:tab/>
        <w:t>(a)</w:t>
      </w:r>
      <w:r w:rsidRPr="002E78C6">
        <w:tab/>
        <w:t>for screening communications intercepted under a warrant under this section for the purpose of identifying any domestic communications that may have been intercepted; and</w:t>
      </w:r>
    </w:p>
    <w:p w14:paraId="45D4FDF2" w14:textId="77777777" w:rsidR="00FA4B31" w:rsidRPr="002E78C6" w:rsidRDefault="00FA4B31" w:rsidP="002E78C6">
      <w:pPr>
        <w:pStyle w:val="paragraph"/>
      </w:pPr>
      <w:r w:rsidRPr="002E78C6">
        <w:tab/>
        <w:t>(b)</w:t>
      </w:r>
      <w:r w:rsidRPr="002E78C6">
        <w:tab/>
        <w:t>for destroying all records of any domestic communication so identified from that screening (other than a domestic communication that relates, or appears to relate, to activities that present a significant risk to a person’s life); and</w:t>
      </w:r>
    </w:p>
    <w:p w14:paraId="171EF599" w14:textId="77777777" w:rsidR="007A7852" w:rsidRPr="002E78C6" w:rsidRDefault="007A7852" w:rsidP="002E78C6">
      <w:pPr>
        <w:pStyle w:val="paragraph"/>
      </w:pPr>
      <w:r w:rsidRPr="002E78C6">
        <w:tab/>
        <w:t>(c)</w:t>
      </w:r>
      <w:r w:rsidRPr="002E78C6">
        <w:tab/>
        <w:t>for notifying the Inspector</w:t>
      </w:r>
      <w:r w:rsidR="002E78C6">
        <w:noBreakHyphen/>
      </w:r>
      <w:r w:rsidRPr="002E78C6">
        <w:t>General of Intelligence and Security of any identified domestic communication if all records of the communication are not destroyed because the communication relates, or appears to relate, to activities that present a significant risk to a person’s life</w:t>
      </w:r>
      <w:r w:rsidR="00386DEF" w:rsidRPr="002E78C6">
        <w:t>.</w:t>
      </w:r>
    </w:p>
    <w:p w14:paraId="19C0A967" w14:textId="77777777" w:rsidR="00A912F4" w:rsidRPr="002E78C6" w:rsidRDefault="00386DEF" w:rsidP="002E78C6">
      <w:pPr>
        <w:pStyle w:val="subsection"/>
      </w:pPr>
      <w:r w:rsidRPr="002E78C6">
        <w:tab/>
        <w:t>(7)</w:t>
      </w:r>
      <w:r w:rsidRPr="002E78C6">
        <w:tab/>
        <w:t xml:space="preserve">The mandatory procedure may also </w:t>
      </w:r>
      <w:r w:rsidR="00A912F4" w:rsidRPr="002E78C6">
        <w:t xml:space="preserve">deal with </w:t>
      </w:r>
      <w:r w:rsidRPr="002E78C6">
        <w:t xml:space="preserve">other </w:t>
      </w:r>
      <w:r w:rsidR="00A912F4" w:rsidRPr="002E78C6">
        <w:t>matters relat</w:t>
      </w:r>
      <w:r w:rsidRPr="002E78C6">
        <w:t>ing</w:t>
      </w:r>
      <w:r w:rsidR="00A912F4" w:rsidRPr="002E78C6">
        <w:t xml:space="preserve"> to </w:t>
      </w:r>
      <w:r w:rsidRPr="002E78C6">
        <w:t>communications intercepted under a warrant under this section</w:t>
      </w:r>
      <w:r w:rsidR="00A912F4" w:rsidRPr="002E78C6">
        <w:t>.</w:t>
      </w:r>
    </w:p>
    <w:p w14:paraId="0F2F9E73" w14:textId="77777777" w:rsidR="00CD3967" w:rsidRPr="002E78C6" w:rsidRDefault="002B4209" w:rsidP="002E78C6">
      <w:pPr>
        <w:pStyle w:val="subsection"/>
      </w:pPr>
      <w:r w:rsidRPr="002E78C6">
        <w:tab/>
        <w:t>(</w:t>
      </w:r>
      <w:r w:rsidR="00386DEF" w:rsidRPr="002E78C6">
        <w:t>8</w:t>
      </w:r>
      <w:r w:rsidRPr="002E78C6">
        <w:t>)</w:t>
      </w:r>
      <w:r w:rsidRPr="002E78C6">
        <w:tab/>
      </w:r>
      <w:r w:rsidR="007F2E96" w:rsidRPr="002E78C6">
        <w:t xml:space="preserve">A </w:t>
      </w:r>
      <w:r w:rsidR="00012AE1" w:rsidRPr="002E78C6">
        <w:t>person must</w:t>
      </w:r>
      <w:r w:rsidRPr="002E78C6">
        <w:t xml:space="preserve"> comply with the</w:t>
      </w:r>
      <w:r w:rsidR="00012AE1" w:rsidRPr="002E78C6">
        <w:t xml:space="preserve"> </w:t>
      </w:r>
      <w:r w:rsidR="007F2E96" w:rsidRPr="002E78C6">
        <w:t>mandatory procedure to the extent that it applies to the person.</w:t>
      </w:r>
    </w:p>
    <w:p w14:paraId="30DE66F0" w14:textId="77777777" w:rsidR="00FA4B31" w:rsidRPr="002E78C6" w:rsidRDefault="00FA4B31" w:rsidP="002E78C6">
      <w:pPr>
        <w:pStyle w:val="subsection"/>
      </w:pPr>
      <w:r w:rsidRPr="002E78C6">
        <w:tab/>
        <w:t>(</w:t>
      </w:r>
      <w:r w:rsidR="00386DEF" w:rsidRPr="002E78C6">
        <w:t>9</w:t>
      </w:r>
      <w:r w:rsidRPr="002E78C6">
        <w:t>)</w:t>
      </w:r>
      <w:r w:rsidRPr="002E78C6">
        <w:tab/>
        <w:t>Before issuing or varying the mandatory procedure, the Attorney</w:t>
      </w:r>
      <w:r w:rsidR="002E78C6">
        <w:noBreakHyphen/>
      </w:r>
      <w:r w:rsidRPr="002E78C6">
        <w:t>General must</w:t>
      </w:r>
      <w:r w:rsidR="00432AFB" w:rsidRPr="002E78C6">
        <w:t xml:space="preserve"> consult</w:t>
      </w:r>
      <w:r w:rsidRPr="002E78C6">
        <w:t>:</w:t>
      </w:r>
    </w:p>
    <w:p w14:paraId="5F1FD1C3" w14:textId="77777777" w:rsidR="00FA4B31" w:rsidRPr="002E78C6" w:rsidRDefault="00FA4B31" w:rsidP="002E78C6">
      <w:pPr>
        <w:pStyle w:val="paragraph"/>
      </w:pPr>
      <w:r w:rsidRPr="002E78C6">
        <w:tab/>
        <w:t>(a)</w:t>
      </w:r>
      <w:r w:rsidRPr="002E78C6">
        <w:tab/>
      </w:r>
      <w:r w:rsidR="00432AFB" w:rsidRPr="002E78C6">
        <w:t>the Minister for Defence</w:t>
      </w:r>
      <w:r w:rsidRPr="002E78C6">
        <w:t>; and</w:t>
      </w:r>
    </w:p>
    <w:p w14:paraId="62BF181B" w14:textId="77777777" w:rsidR="00FA4B31" w:rsidRPr="002E78C6" w:rsidRDefault="00FA4B31" w:rsidP="002E78C6">
      <w:pPr>
        <w:pStyle w:val="paragraph"/>
      </w:pPr>
      <w:r w:rsidRPr="002E78C6">
        <w:tab/>
        <w:t>(b)</w:t>
      </w:r>
      <w:r w:rsidRPr="002E78C6">
        <w:tab/>
      </w:r>
      <w:r w:rsidR="00432AFB" w:rsidRPr="002E78C6">
        <w:t>the Minister for Foreign Affairs</w:t>
      </w:r>
      <w:r w:rsidRPr="002E78C6">
        <w:t>; and</w:t>
      </w:r>
    </w:p>
    <w:p w14:paraId="580C9DB9" w14:textId="77777777" w:rsidR="00FA4B31" w:rsidRPr="002E78C6" w:rsidRDefault="00FA4B31" w:rsidP="002E78C6">
      <w:pPr>
        <w:pStyle w:val="paragraph"/>
      </w:pPr>
      <w:r w:rsidRPr="002E78C6">
        <w:tab/>
        <w:t>(c)</w:t>
      </w:r>
      <w:r w:rsidRPr="002E78C6">
        <w:tab/>
        <w:t>the</w:t>
      </w:r>
      <w:r w:rsidR="00432AFB" w:rsidRPr="002E78C6">
        <w:t xml:space="preserve"> Inspector</w:t>
      </w:r>
      <w:r w:rsidR="002E78C6">
        <w:noBreakHyphen/>
      </w:r>
      <w:r w:rsidR="00432AFB" w:rsidRPr="002E78C6">
        <w:t>General of Intelligence and Security</w:t>
      </w:r>
      <w:r w:rsidRPr="002E78C6">
        <w:t>; and</w:t>
      </w:r>
    </w:p>
    <w:p w14:paraId="770B9AD8" w14:textId="77777777" w:rsidR="00432AFB" w:rsidRPr="002E78C6" w:rsidRDefault="00FA4B31" w:rsidP="002E78C6">
      <w:pPr>
        <w:pStyle w:val="paragraph"/>
      </w:pPr>
      <w:r w:rsidRPr="002E78C6">
        <w:tab/>
        <w:t>(d)</w:t>
      </w:r>
      <w:r w:rsidRPr="002E78C6">
        <w:tab/>
        <w:t>the Director</w:t>
      </w:r>
      <w:r w:rsidR="002E78C6">
        <w:noBreakHyphen/>
      </w:r>
      <w:r w:rsidRPr="002E78C6">
        <w:t>General of Security</w:t>
      </w:r>
      <w:r w:rsidR="00B977DA" w:rsidRPr="002E78C6">
        <w:t>.</w:t>
      </w:r>
    </w:p>
    <w:p w14:paraId="13404C1A" w14:textId="77777777" w:rsidR="00314FFD" w:rsidRPr="002E78C6" w:rsidRDefault="00314FFD" w:rsidP="002E78C6">
      <w:pPr>
        <w:pStyle w:val="subsection"/>
      </w:pPr>
      <w:r w:rsidRPr="002E78C6">
        <w:tab/>
        <w:t>(</w:t>
      </w:r>
      <w:r w:rsidR="00386DEF" w:rsidRPr="002E78C6">
        <w:t>10</w:t>
      </w:r>
      <w:r w:rsidRPr="002E78C6">
        <w:t>)</w:t>
      </w:r>
      <w:r w:rsidRPr="002E78C6">
        <w:tab/>
        <w:t>The Attorney</w:t>
      </w:r>
      <w:r w:rsidR="002E78C6">
        <w:noBreakHyphen/>
      </w:r>
      <w:r w:rsidRPr="002E78C6">
        <w:t>General must review the mandatory procedure as soon as practicable after:</w:t>
      </w:r>
    </w:p>
    <w:p w14:paraId="24B45032" w14:textId="77777777" w:rsidR="00314FFD" w:rsidRPr="002E78C6" w:rsidRDefault="00314FFD" w:rsidP="002E78C6">
      <w:pPr>
        <w:pStyle w:val="paragraph"/>
      </w:pPr>
      <w:r w:rsidRPr="002E78C6">
        <w:tab/>
        <w:t>(a)</w:t>
      </w:r>
      <w:r w:rsidRPr="002E78C6">
        <w:tab/>
        <w:t>the end of the first anniversary of the mandatory procedure being issued; and</w:t>
      </w:r>
    </w:p>
    <w:p w14:paraId="34756455" w14:textId="77777777" w:rsidR="00314FFD" w:rsidRPr="002E78C6" w:rsidRDefault="00314FFD" w:rsidP="002E78C6">
      <w:pPr>
        <w:pStyle w:val="paragraph"/>
      </w:pPr>
      <w:r w:rsidRPr="002E78C6">
        <w:tab/>
        <w:t>(b)</w:t>
      </w:r>
      <w:r w:rsidRPr="002E78C6">
        <w:tab/>
        <w:t>every 3</w:t>
      </w:r>
      <w:r w:rsidR="002E78C6">
        <w:noBreakHyphen/>
      </w:r>
      <w:r w:rsidRPr="002E78C6">
        <w:t>year period after that;</w:t>
      </w:r>
    </w:p>
    <w:p w14:paraId="1696E660" w14:textId="77777777" w:rsidR="00314FFD" w:rsidRPr="002E78C6" w:rsidRDefault="00314FFD" w:rsidP="002E78C6">
      <w:pPr>
        <w:pStyle w:val="subsection2"/>
      </w:pPr>
      <w:r w:rsidRPr="002E78C6">
        <w:t>but the Attorney</w:t>
      </w:r>
      <w:r w:rsidR="002E78C6">
        <w:noBreakHyphen/>
      </w:r>
      <w:r w:rsidRPr="002E78C6">
        <w:t>General may review the mandatory procedure at any other time as well.</w:t>
      </w:r>
    </w:p>
    <w:p w14:paraId="33608283" w14:textId="77777777" w:rsidR="00C63A57" w:rsidRDefault="00C63A57" w:rsidP="00C63A57">
      <w:pPr>
        <w:pStyle w:val="subsection"/>
      </w:pPr>
      <w:r>
        <w:lastRenderedPageBreak/>
        <w:tab/>
        <w:t>(10A)</w:t>
      </w:r>
      <w:r>
        <w:tab/>
        <w:t xml:space="preserve">The Attorney-General must, as soon as practicable, cause the Parliamentary Joint Committee on Intelligence and Security to be notified about the issuing </w:t>
      </w:r>
      <w:r w:rsidRPr="009677E2">
        <w:t>or varying</w:t>
      </w:r>
      <w:r>
        <w:t xml:space="preserve"> of the mandatory procedure.</w:t>
      </w:r>
    </w:p>
    <w:p w14:paraId="187BA5C6" w14:textId="77777777" w:rsidR="00C63A57" w:rsidRPr="00275075" w:rsidRDefault="00C63A57" w:rsidP="00C63A57">
      <w:pPr>
        <w:pStyle w:val="subsection"/>
      </w:pPr>
      <w:r>
        <w:tab/>
        <w:t>(10B)</w:t>
      </w:r>
      <w:r>
        <w:tab/>
        <w:t>The Parliamentary Joint Committee on Intelligence and Security may request a briefing on the mandatory procedure and</w:t>
      </w:r>
      <w:r w:rsidRPr="009677E2">
        <w:t xml:space="preserve"> on any variations to it</w:t>
      </w:r>
      <w:r>
        <w:t>.</w:t>
      </w:r>
    </w:p>
    <w:p w14:paraId="3610AE04" w14:textId="77777777" w:rsidR="00CD3967" w:rsidRPr="002E78C6" w:rsidRDefault="00CD3967" w:rsidP="002E78C6">
      <w:pPr>
        <w:pStyle w:val="subsection"/>
      </w:pPr>
      <w:r w:rsidRPr="002E78C6">
        <w:tab/>
        <w:t>(</w:t>
      </w:r>
      <w:r w:rsidR="00314FFD" w:rsidRPr="002E78C6">
        <w:t>1</w:t>
      </w:r>
      <w:r w:rsidR="00386DEF" w:rsidRPr="002E78C6">
        <w:t>1</w:t>
      </w:r>
      <w:r w:rsidRPr="002E78C6">
        <w:t>)</w:t>
      </w:r>
      <w:r w:rsidRPr="002E78C6">
        <w:tab/>
        <w:t>The mandatory procedure, or any variation of the mandatory procedure, is not a legislative instrument.</w:t>
      </w:r>
    </w:p>
    <w:p w14:paraId="38F0B1AF" w14:textId="77777777" w:rsidR="00FB67E2" w:rsidRPr="002E78C6" w:rsidRDefault="00FB67E2" w:rsidP="002E78C6">
      <w:pPr>
        <w:pStyle w:val="subsection"/>
      </w:pPr>
      <w:r w:rsidRPr="002E78C6">
        <w:tab/>
        <w:t>(</w:t>
      </w:r>
      <w:r w:rsidR="00CD3967" w:rsidRPr="002E78C6">
        <w:t>1</w:t>
      </w:r>
      <w:r w:rsidR="00386DEF" w:rsidRPr="002E78C6">
        <w:t>2</w:t>
      </w:r>
      <w:r w:rsidRPr="002E78C6">
        <w:t>)</w:t>
      </w:r>
      <w:r w:rsidRPr="002E78C6">
        <w:tab/>
        <w:t xml:space="preserve">For the purposes of this section, a </w:t>
      </w:r>
      <w:r w:rsidRPr="002E78C6">
        <w:rPr>
          <w:b/>
          <w:i/>
        </w:rPr>
        <w:t>domestic communication</w:t>
      </w:r>
      <w:r w:rsidRPr="002E78C6">
        <w:t xml:space="preserve"> is a communication that is not a foreign communication.</w:t>
      </w:r>
    </w:p>
    <w:bookmarkEnd w:id="8"/>
    <w:p w14:paraId="04DD6570" w14:textId="77777777" w:rsidR="001E0125" w:rsidRPr="002E78C6" w:rsidRDefault="00444F6F" w:rsidP="002E78C6">
      <w:pPr>
        <w:pStyle w:val="ItemHead"/>
      </w:pPr>
      <w:r w:rsidRPr="002E78C6">
        <w:t>11</w:t>
      </w:r>
      <w:r w:rsidR="001E0125" w:rsidRPr="002E78C6">
        <w:t xml:space="preserve">  </w:t>
      </w:r>
      <w:r w:rsidR="001E709A" w:rsidRPr="002E78C6">
        <w:t>Section 1</w:t>
      </w:r>
      <w:r w:rsidR="001E0125" w:rsidRPr="002E78C6">
        <w:t>4 (note)</w:t>
      </w:r>
    </w:p>
    <w:p w14:paraId="3C892B84" w14:textId="77777777" w:rsidR="001E0125" w:rsidRPr="002E78C6" w:rsidRDefault="00813E0A" w:rsidP="002E78C6">
      <w:pPr>
        <w:pStyle w:val="Item"/>
      </w:pPr>
      <w:r w:rsidRPr="002E78C6">
        <w:t>After</w:t>
      </w:r>
      <w:r w:rsidR="001E0125" w:rsidRPr="002E78C6">
        <w:t xml:space="preserve"> “</w:t>
      </w:r>
      <w:r w:rsidRPr="002E78C6">
        <w:t>subsection 1</w:t>
      </w:r>
      <w:r w:rsidR="001E0125" w:rsidRPr="002E78C6">
        <w:t xml:space="preserve">1C(5)”, </w:t>
      </w:r>
      <w:r w:rsidRPr="002E78C6">
        <w:t>insert</w:t>
      </w:r>
      <w:r w:rsidR="001E0125" w:rsidRPr="002E78C6">
        <w:t xml:space="preserve"> “</w:t>
      </w:r>
      <w:r w:rsidRPr="002E78C6">
        <w:t>and paragraph 1</w:t>
      </w:r>
      <w:r w:rsidR="001E0125" w:rsidRPr="002E78C6">
        <w:t>1C(6)</w:t>
      </w:r>
      <w:r w:rsidRPr="002E78C6">
        <w:t>(b)”.</w:t>
      </w:r>
    </w:p>
    <w:p w14:paraId="755738C6" w14:textId="77777777" w:rsidR="00FB67E2" w:rsidRPr="002E78C6" w:rsidRDefault="00444F6F" w:rsidP="002E78C6">
      <w:pPr>
        <w:pStyle w:val="ItemHead"/>
      </w:pPr>
      <w:r w:rsidRPr="002E78C6">
        <w:t>12</w:t>
      </w:r>
      <w:r w:rsidR="00FB67E2" w:rsidRPr="002E78C6">
        <w:t xml:space="preserve">  After </w:t>
      </w:r>
      <w:r w:rsidR="00813E0A" w:rsidRPr="002E78C6">
        <w:t>paragraph 1</w:t>
      </w:r>
      <w:r w:rsidR="00FB67E2" w:rsidRPr="002E78C6">
        <w:t>5(7)(b)</w:t>
      </w:r>
    </w:p>
    <w:p w14:paraId="2E29EB42" w14:textId="77777777" w:rsidR="00FB67E2" w:rsidRPr="002E78C6" w:rsidRDefault="00FB67E2" w:rsidP="002E78C6">
      <w:pPr>
        <w:pStyle w:val="Item"/>
      </w:pPr>
      <w:r w:rsidRPr="002E78C6">
        <w:t>Insert:</w:t>
      </w:r>
    </w:p>
    <w:p w14:paraId="1933090A" w14:textId="77777777" w:rsidR="00FB67E2" w:rsidRPr="002E78C6" w:rsidRDefault="00FB67E2" w:rsidP="002E78C6">
      <w:pPr>
        <w:pStyle w:val="paragraph"/>
      </w:pPr>
      <w:r w:rsidRPr="002E78C6">
        <w:tab/>
        <w:t>and (</w:t>
      </w:r>
      <w:proofErr w:type="spellStart"/>
      <w:r w:rsidRPr="002E78C6">
        <w:t>ba</w:t>
      </w:r>
      <w:proofErr w:type="spellEnd"/>
      <w:r w:rsidRPr="002E78C6">
        <w:t>)</w:t>
      </w:r>
      <w:r w:rsidRPr="002E78C6">
        <w:tab/>
        <w:t xml:space="preserve">the carrier is required to be given a notice under </w:t>
      </w:r>
      <w:r w:rsidR="00813E0A" w:rsidRPr="002E78C6">
        <w:t>subsection 1</w:t>
      </w:r>
      <w:r w:rsidRPr="002E78C6">
        <w:t>1C(4</w:t>
      </w:r>
      <w:r w:rsidR="001E0125" w:rsidRPr="002E78C6">
        <w:t>A</w:t>
      </w:r>
      <w:r w:rsidRPr="002E78C6">
        <w:t>)</w:t>
      </w:r>
      <w:r w:rsidR="001E0125" w:rsidRPr="002E78C6">
        <w:t xml:space="preserve"> in relation to the warrant</w:t>
      </w:r>
      <w:r w:rsidRPr="002E78C6">
        <w:t>;</w:t>
      </w:r>
    </w:p>
    <w:p w14:paraId="55EE71BD" w14:textId="77777777" w:rsidR="00FB67E2" w:rsidRPr="002E78C6" w:rsidRDefault="00444F6F" w:rsidP="002E78C6">
      <w:pPr>
        <w:pStyle w:val="ItemHead"/>
      </w:pPr>
      <w:r w:rsidRPr="002E78C6">
        <w:t>13</w:t>
      </w:r>
      <w:r w:rsidR="00FB67E2" w:rsidRPr="002E78C6">
        <w:t xml:space="preserve">  Paragraph 15(7)(d)</w:t>
      </w:r>
    </w:p>
    <w:p w14:paraId="378E46D6" w14:textId="77777777" w:rsidR="001E0125" w:rsidRPr="002E78C6" w:rsidRDefault="001E0125" w:rsidP="002E78C6">
      <w:pPr>
        <w:pStyle w:val="Item"/>
      </w:pPr>
      <w:r w:rsidRPr="002E78C6">
        <w:t>Repeal the paragraph, substitute:</w:t>
      </w:r>
    </w:p>
    <w:p w14:paraId="68405E26" w14:textId="77777777" w:rsidR="001E0125" w:rsidRPr="002E78C6" w:rsidRDefault="001E0125" w:rsidP="002E78C6">
      <w:pPr>
        <w:pStyle w:val="paragraph"/>
      </w:pPr>
      <w:r w:rsidRPr="002E78C6">
        <w:tab/>
        <w:t>(d)</w:t>
      </w:r>
      <w:r w:rsidRPr="002E78C6">
        <w:tab/>
        <w:t xml:space="preserve">that authorised representative to be given the notice under </w:t>
      </w:r>
      <w:r w:rsidR="00813E0A" w:rsidRPr="002E78C6">
        <w:t>subsection 1</w:t>
      </w:r>
      <w:r w:rsidRPr="002E78C6">
        <w:t>1C(4A)</w:t>
      </w:r>
      <w:r w:rsidR="00A912F4" w:rsidRPr="002E78C6">
        <w:t xml:space="preserve"> as soon as reasonably practicable</w:t>
      </w:r>
      <w:r w:rsidRPr="002E78C6">
        <w:t>.</w:t>
      </w:r>
    </w:p>
    <w:p w14:paraId="0868D2EA" w14:textId="77777777" w:rsidR="00FB67E2" w:rsidRPr="002E78C6" w:rsidRDefault="00444F6F" w:rsidP="002E78C6">
      <w:pPr>
        <w:pStyle w:val="Transitional"/>
      </w:pPr>
      <w:r w:rsidRPr="002E78C6">
        <w:t>14</w:t>
      </w:r>
      <w:r w:rsidR="00FB67E2" w:rsidRPr="002E78C6">
        <w:t xml:space="preserve">  Application of amendments</w:t>
      </w:r>
    </w:p>
    <w:p w14:paraId="38701F31" w14:textId="77777777" w:rsidR="00FB67E2" w:rsidRPr="002E78C6" w:rsidRDefault="00FB67E2" w:rsidP="002E78C6">
      <w:pPr>
        <w:pStyle w:val="Item"/>
      </w:pPr>
      <w:r w:rsidRPr="002E78C6">
        <w:t xml:space="preserve">The amendments made by this </w:t>
      </w:r>
      <w:r w:rsidR="00127E76" w:rsidRPr="002E78C6">
        <w:t>Schedule</w:t>
      </w:r>
      <w:r w:rsidRPr="002E78C6">
        <w:t xml:space="preserve"> apply in relation to applications made after the commencement of this Schedule for the issue of a warrant.</w:t>
      </w:r>
    </w:p>
    <w:p w14:paraId="40697FE1" w14:textId="77777777" w:rsidR="00A16754" w:rsidRPr="002E78C6" w:rsidRDefault="00A16754" w:rsidP="002E78C6">
      <w:pPr>
        <w:pStyle w:val="ActHead6"/>
        <w:pageBreakBefore/>
      </w:pPr>
      <w:bookmarkStart w:id="9" w:name="_Toc81895505"/>
      <w:r w:rsidRPr="00FC7BDF">
        <w:rPr>
          <w:rStyle w:val="CharAmSchNo"/>
        </w:rPr>
        <w:lastRenderedPageBreak/>
        <w:t>Schedule 2</w:t>
      </w:r>
      <w:r w:rsidRPr="002E78C6">
        <w:t>—</w:t>
      </w:r>
      <w:r w:rsidR="006D7B7D" w:rsidRPr="00FC7BDF">
        <w:rPr>
          <w:rStyle w:val="CharAmSchText"/>
        </w:rPr>
        <w:t xml:space="preserve">Australians </w:t>
      </w:r>
      <w:r w:rsidR="0069244D" w:rsidRPr="00FC7BDF">
        <w:rPr>
          <w:rStyle w:val="CharAmSchText"/>
        </w:rPr>
        <w:t>or</w:t>
      </w:r>
      <w:r w:rsidR="006D7B7D" w:rsidRPr="00FC7BDF">
        <w:rPr>
          <w:rStyle w:val="CharAmSchText"/>
        </w:rPr>
        <w:t xml:space="preserve"> permanent residents </w:t>
      </w:r>
      <w:r w:rsidRPr="00FC7BDF">
        <w:rPr>
          <w:rStyle w:val="CharAmSchText"/>
        </w:rPr>
        <w:t>acting for, or on behalf of, a foreign power</w:t>
      </w:r>
      <w:bookmarkEnd w:id="9"/>
    </w:p>
    <w:p w14:paraId="2A5BB5DA" w14:textId="77777777" w:rsidR="00A16754" w:rsidRPr="00FC7BDF" w:rsidRDefault="00A16754" w:rsidP="002E78C6">
      <w:pPr>
        <w:pStyle w:val="Header"/>
      </w:pPr>
      <w:r w:rsidRPr="00FC7BDF">
        <w:rPr>
          <w:rStyle w:val="CharAmPartNo"/>
        </w:rPr>
        <w:t xml:space="preserve"> </w:t>
      </w:r>
      <w:r w:rsidRPr="00FC7BDF">
        <w:rPr>
          <w:rStyle w:val="CharAmPartText"/>
        </w:rPr>
        <w:t xml:space="preserve"> </w:t>
      </w:r>
    </w:p>
    <w:p w14:paraId="1B5C413E" w14:textId="77777777" w:rsidR="00A16754" w:rsidRPr="002E78C6" w:rsidRDefault="00A16754" w:rsidP="002E78C6">
      <w:pPr>
        <w:pStyle w:val="ActHead9"/>
        <w:rPr>
          <w:i w:val="0"/>
        </w:rPr>
      </w:pPr>
      <w:bookmarkStart w:id="10" w:name="_Toc81895506"/>
      <w:r w:rsidRPr="002E78C6">
        <w:t>Australian Security Intelligence Organisation Act 1979</w:t>
      </w:r>
      <w:bookmarkEnd w:id="10"/>
    </w:p>
    <w:p w14:paraId="3D3FA138" w14:textId="77777777" w:rsidR="00A16754" w:rsidRPr="002E78C6" w:rsidRDefault="00444F6F" w:rsidP="002E78C6">
      <w:pPr>
        <w:pStyle w:val="ItemHead"/>
      </w:pPr>
      <w:r w:rsidRPr="002E78C6">
        <w:t>1</w:t>
      </w:r>
      <w:r w:rsidR="00A16754" w:rsidRPr="002E78C6">
        <w:t xml:space="preserve">  At the end of </w:t>
      </w:r>
      <w:r w:rsidR="0069244D" w:rsidRPr="002E78C6">
        <w:t>subsection 2</w:t>
      </w:r>
      <w:r w:rsidR="00A16754" w:rsidRPr="002E78C6">
        <w:t>7A(9)</w:t>
      </w:r>
    </w:p>
    <w:p w14:paraId="4D18B5F0" w14:textId="77777777" w:rsidR="00A16754" w:rsidRPr="002E78C6" w:rsidRDefault="00A16754" w:rsidP="002E78C6">
      <w:pPr>
        <w:pStyle w:val="Item"/>
      </w:pPr>
      <w:r w:rsidRPr="002E78C6">
        <w:t>Add “, unless the Director</w:t>
      </w:r>
      <w:r w:rsidR="002E78C6">
        <w:noBreakHyphen/>
      </w:r>
      <w:r w:rsidRPr="002E78C6">
        <w:t xml:space="preserve">General </w:t>
      </w:r>
      <w:r w:rsidR="00BF2FED" w:rsidRPr="002E78C6">
        <w:t xml:space="preserve">reasonably </w:t>
      </w:r>
      <w:r w:rsidRPr="002E78C6">
        <w:t>suspects that the person is acting for, or on behalf of, a foreign power”.</w:t>
      </w:r>
    </w:p>
    <w:p w14:paraId="480894CC" w14:textId="77777777" w:rsidR="00B0641B" w:rsidRPr="002E78C6" w:rsidRDefault="00444F6F" w:rsidP="002E78C6">
      <w:pPr>
        <w:pStyle w:val="ItemHead"/>
      </w:pPr>
      <w:r w:rsidRPr="002E78C6">
        <w:t>2</w:t>
      </w:r>
      <w:r w:rsidR="00B0641B" w:rsidRPr="002E78C6">
        <w:t xml:space="preserve">  After </w:t>
      </w:r>
      <w:r w:rsidR="0069244D" w:rsidRPr="002E78C6">
        <w:t>subsection 2</w:t>
      </w:r>
      <w:r w:rsidR="00B0641B" w:rsidRPr="002E78C6">
        <w:t>7A(9)</w:t>
      </w:r>
    </w:p>
    <w:p w14:paraId="0C41436F" w14:textId="77777777" w:rsidR="00B0641B" w:rsidRPr="002E78C6" w:rsidRDefault="00B0641B" w:rsidP="002E78C6">
      <w:pPr>
        <w:pStyle w:val="Item"/>
      </w:pPr>
      <w:r w:rsidRPr="002E78C6">
        <w:t>Insert:</w:t>
      </w:r>
    </w:p>
    <w:p w14:paraId="3EC4AD53" w14:textId="77777777" w:rsidR="008D2E5A" w:rsidRPr="002E78C6" w:rsidRDefault="00B0641B" w:rsidP="002E78C6">
      <w:pPr>
        <w:pStyle w:val="subsection"/>
      </w:pPr>
      <w:r w:rsidRPr="002E78C6">
        <w:tab/>
        <w:t>(9A)</w:t>
      </w:r>
      <w:r w:rsidRPr="002E78C6">
        <w:tab/>
        <w:t>If</w:t>
      </w:r>
      <w:r w:rsidR="008D2E5A" w:rsidRPr="002E78C6">
        <w:t xml:space="preserve"> </w:t>
      </w:r>
      <w:r w:rsidR="00DE29C6" w:rsidRPr="002E78C6">
        <w:t>the D</w:t>
      </w:r>
      <w:r w:rsidRPr="002E78C6">
        <w:t>irector</w:t>
      </w:r>
      <w:r w:rsidR="002E78C6">
        <w:noBreakHyphen/>
      </w:r>
      <w:r w:rsidRPr="002E78C6">
        <w:t xml:space="preserve">General of Security </w:t>
      </w:r>
      <w:r w:rsidR="00DE29C6" w:rsidRPr="002E78C6">
        <w:t xml:space="preserve">requests </w:t>
      </w:r>
      <w:r w:rsidRPr="002E78C6">
        <w:t>the issue of a warrant under this section</w:t>
      </w:r>
      <w:r w:rsidR="00CE36A6" w:rsidRPr="002E78C6">
        <w:t xml:space="preserve"> </w:t>
      </w:r>
      <w:r w:rsidR="00CE36A6" w:rsidRPr="002E78C6">
        <w:rPr>
          <w:lang w:eastAsia="en-US"/>
        </w:rPr>
        <w:t>for the purpose of collecting information concerning a person who is an Australian citizen or perm</w:t>
      </w:r>
      <w:r w:rsidR="00CE36A6" w:rsidRPr="002E78C6">
        <w:t>anent resident</w:t>
      </w:r>
      <w:r w:rsidR="00127E76" w:rsidRPr="002E78C6">
        <w:t xml:space="preserve"> (see </w:t>
      </w:r>
      <w:r w:rsidR="00813E0A" w:rsidRPr="002E78C6">
        <w:t>subsection (</w:t>
      </w:r>
      <w:r w:rsidR="00127E76" w:rsidRPr="002E78C6">
        <w:t>9))</w:t>
      </w:r>
      <w:r w:rsidR="008D2E5A" w:rsidRPr="002E78C6">
        <w:t xml:space="preserve">, </w:t>
      </w:r>
      <w:r w:rsidR="00DE29C6" w:rsidRPr="002E78C6">
        <w:t>then</w:t>
      </w:r>
      <w:r w:rsidR="008D2E5A" w:rsidRPr="002E78C6">
        <w:t>:</w:t>
      </w:r>
    </w:p>
    <w:p w14:paraId="1A3A253E" w14:textId="77777777" w:rsidR="00B0641B" w:rsidRPr="002E78C6" w:rsidRDefault="008D2E5A" w:rsidP="002E78C6">
      <w:pPr>
        <w:pStyle w:val="paragraph"/>
      </w:pPr>
      <w:r w:rsidRPr="002E78C6">
        <w:tab/>
        <w:t>(a)</w:t>
      </w:r>
      <w:r w:rsidRPr="002E78C6">
        <w:tab/>
      </w:r>
      <w:r w:rsidR="00DE29C6" w:rsidRPr="002E78C6">
        <w:t>the Director</w:t>
      </w:r>
      <w:r w:rsidR="002E78C6">
        <w:noBreakHyphen/>
      </w:r>
      <w:r w:rsidR="00DE29C6" w:rsidRPr="002E78C6">
        <w:t xml:space="preserve">General </w:t>
      </w:r>
      <w:r w:rsidR="00B0641B" w:rsidRPr="002E78C6">
        <w:t xml:space="preserve">must include details </w:t>
      </w:r>
      <w:r w:rsidR="00DE29C6" w:rsidRPr="002E78C6">
        <w:t xml:space="preserve">in the request about </w:t>
      </w:r>
      <w:r w:rsidR="00B0641B" w:rsidRPr="002E78C6">
        <w:t>the grounds on which the Director</w:t>
      </w:r>
      <w:r w:rsidR="002E78C6">
        <w:noBreakHyphen/>
      </w:r>
      <w:r w:rsidR="00B0641B" w:rsidRPr="002E78C6">
        <w:t>General suspects that the person is acting for, or on behalf of, a foreign power</w:t>
      </w:r>
      <w:r w:rsidRPr="002E78C6">
        <w:t>; and</w:t>
      </w:r>
    </w:p>
    <w:p w14:paraId="43B37811" w14:textId="77777777" w:rsidR="003818EC" w:rsidRPr="002E78C6" w:rsidRDefault="003818EC" w:rsidP="002E78C6">
      <w:pPr>
        <w:pStyle w:val="paragraph"/>
      </w:pPr>
      <w:r w:rsidRPr="002E78C6">
        <w:tab/>
        <w:t>(b)</w:t>
      </w:r>
      <w:r w:rsidRPr="002E78C6">
        <w:tab/>
        <w:t>the Attorney</w:t>
      </w:r>
      <w:r w:rsidR="002E78C6">
        <w:noBreakHyphen/>
      </w:r>
      <w:r w:rsidRPr="002E78C6">
        <w:t>General must not issue the warrant unless the Attorney</w:t>
      </w:r>
      <w:r w:rsidR="002E78C6">
        <w:noBreakHyphen/>
      </w:r>
      <w:r w:rsidRPr="002E78C6">
        <w:t>General is satisfied that the person is, or is reasonably suspected by the Director</w:t>
      </w:r>
      <w:r w:rsidR="002E78C6">
        <w:noBreakHyphen/>
      </w:r>
      <w:r w:rsidRPr="002E78C6">
        <w:t>General of, acting for, or on behalf of, a foreign power.</w:t>
      </w:r>
    </w:p>
    <w:p w14:paraId="5711F506" w14:textId="77777777" w:rsidR="00A16754" w:rsidRPr="002E78C6" w:rsidRDefault="00A16754" w:rsidP="002E78C6">
      <w:pPr>
        <w:pStyle w:val="ActHead9"/>
        <w:rPr>
          <w:i w:val="0"/>
        </w:rPr>
      </w:pPr>
      <w:bookmarkStart w:id="11" w:name="_Toc81895507"/>
      <w:r w:rsidRPr="002E78C6">
        <w:t>Telecommunications (Interception and Access) Act 1979</w:t>
      </w:r>
      <w:bookmarkEnd w:id="11"/>
    </w:p>
    <w:p w14:paraId="66F1C0A4" w14:textId="77777777" w:rsidR="00590FE4" w:rsidRPr="002E78C6" w:rsidRDefault="00444F6F" w:rsidP="002E78C6">
      <w:pPr>
        <w:pStyle w:val="ItemHead"/>
      </w:pPr>
      <w:r w:rsidRPr="002E78C6">
        <w:t>3</w:t>
      </w:r>
      <w:r w:rsidR="00590FE4" w:rsidRPr="002E78C6">
        <w:t xml:space="preserve">  </w:t>
      </w:r>
      <w:r w:rsidRPr="002E78C6">
        <w:t>Subsection 5</w:t>
      </w:r>
      <w:r w:rsidR="00590FE4" w:rsidRPr="002E78C6">
        <w:t>(1)</w:t>
      </w:r>
    </w:p>
    <w:p w14:paraId="63784F22" w14:textId="77777777" w:rsidR="00590FE4" w:rsidRPr="002E78C6" w:rsidRDefault="00590FE4" w:rsidP="002E78C6">
      <w:pPr>
        <w:pStyle w:val="Item"/>
      </w:pPr>
      <w:r w:rsidRPr="002E78C6">
        <w:t>Insert:</w:t>
      </w:r>
    </w:p>
    <w:p w14:paraId="1980B959" w14:textId="77777777" w:rsidR="00590FE4" w:rsidRPr="002E78C6" w:rsidRDefault="00590FE4" w:rsidP="002E78C6">
      <w:pPr>
        <w:pStyle w:val="Definition"/>
      </w:pPr>
      <w:r w:rsidRPr="002E78C6">
        <w:rPr>
          <w:b/>
          <w:i/>
        </w:rPr>
        <w:t>foreign power</w:t>
      </w:r>
      <w:r w:rsidRPr="002E78C6">
        <w:t xml:space="preserve"> has the same meaning as in the </w:t>
      </w:r>
      <w:r w:rsidRPr="002E78C6">
        <w:rPr>
          <w:i/>
        </w:rPr>
        <w:t>Australian Security Intelligence Organisation Act 1979</w:t>
      </w:r>
      <w:r w:rsidRPr="002E78C6">
        <w:t>.</w:t>
      </w:r>
    </w:p>
    <w:p w14:paraId="7A5357AE" w14:textId="77777777" w:rsidR="00F55144" w:rsidRPr="002E78C6" w:rsidRDefault="00444F6F" w:rsidP="002E78C6">
      <w:pPr>
        <w:pStyle w:val="ItemHead"/>
      </w:pPr>
      <w:r w:rsidRPr="002E78C6">
        <w:t>4</w:t>
      </w:r>
      <w:r w:rsidR="00F55144" w:rsidRPr="002E78C6">
        <w:t xml:space="preserve">  A</w:t>
      </w:r>
      <w:r w:rsidR="00566B39" w:rsidRPr="002E78C6">
        <w:t xml:space="preserve">fter </w:t>
      </w:r>
      <w:r w:rsidR="00813E0A" w:rsidRPr="002E78C6">
        <w:t>subsection 1</w:t>
      </w:r>
      <w:r w:rsidR="00F55144" w:rsidRPr="002E78C6">
        <w:t>1A(2)</w:t>
      </w:r>
      <w:r w:rsidR="003818EC" w:rsidRPr="002E78C6">
        <w:t xml:space="preserve"> (before the note)</w:t>
      </w:r>
    </w:p>
    <w:p w14:paraId="6A57B1EF" w14:textId="77777777" w:rsidR="00566B39" w:rsidRPr="002E78C6" w:rsidRDefault="00566B39" w:rsidP="002E78C6">
      <w:pPr>
        <w:pStyle w:val="Item"/>
      </w:pPr>
      <w:r w:rsidRPr="002E78C6">
        <w:t>Insert:</w:t>
      </w:r>
    </w:p>
    <w:p w14:paraId="41520440" w14:textId="77777777" w:rsidR="00566B39" w:rsidRPr="002E78C6" w:rsidRDefault="00566B39" w:rsidP="002E78C6">
      <w:pPr>
        <w:pStyle w:val="subsection"/>
      </w:pPr>
      <w:r w:rsidRPr="002E78C6">
        <w:tab/>
        <w:t>(3)</w:t>
      </w:r>
      <w:r w:rsidRPr="002E78C6">
        <w:tab/>
        <w:t>If the Director</w:t>
      </w:r>
      <w:r w:rsidR="002E78C6">
        <w:noBreakHyphen/>
      </w:r>
      <w:r w:rsidRPr="002E78C6">
        <w:t xml:space="preserve">General of Security requests the issue of a warrant under this section </w:t>
      </w:r>
      <w:r w:rsidRPr="002E78C6">
        <w:rPr>
          <w:lang w:eastAsia="en-US"/>
        </w:rPr>
        <w:t xml:space="preserve">for the purpose of collecting information </w:t>
      </w:r>
      <w:r w:rsidRPr="002E78C6">
        <w:rPr>
          <w:lang w:eastAsia="en-US"/>
        </w:rPr>
        <w:lastRenderedPageBreak/>
        <w:t>concerning a person who is an Australian citizen or perm</w:t>
      </w:r>
      <w:r w:rsidRPr="002E78C6">
        <w:t xml:space="preserve">anent resident (see </w:t>
      </w:r>
      <w:r w:rsidR="00813E0A" w:rsidRPr="002E78C6">
        <w:t>subsection 1</w:t>
      </w:r>
      <w:r w:rsidRPr="002E78C6">
        <w:t>1D(5)), then:</w:t>
      </w:r>
    </w:p>
    <w:p w14:paraId="0279F0B5" w14:textId="77777777" w:rsidR="00566B39" w:rsidRPr="002E78C6" w:rsidRDefault="00566B39" w:rsidP="002E78C6">
      <w:pPr>
        <w:pStyle w:val="paragraph"/>
      </w:pPr>
      <w:r w:rsidRPr="002E78C6">
        <w:tab/>
        <w:t>(a)</w:t>
      </w:r>
      <w:r w:rsidRPr="002E78C6">
        <w:tab/>
        <w:t>the Director</w:t>
      </w:r>
      <w:r w:rsidR="002E78C6">
        <w:noBreakHyphen/>
      </w:r>
      <w:r w:rsidRPr="002E78C6">
        <w:t>General must include details in the request about the grounds on which the Director</w:t>
      </w:r>
      <w:r w:rsidR="002E78C6">
        <w:noBreakHyphen/>
      </w:r>
      <w:r w:rsidRPr="002E78C6">
        <w:t>General suspects that the person is acting for, or on behalf of, a foreign power; and</w:t>
      </w:r>
    </w:p>
    <w:p w14:paraId="1B1400FC" w14:textId="77777777" w:rsidR="00127E76" w:rsidRPr="002E78C6" w:rsidRDefault="00127E76" w:rsidP="002E78C6">
      <w:pPr>
        <w:pStyle w:val="paragraph"/>
      </w:pPr>
      <w:r w:rsidRPr="002E78C6">
        <w:tab/>
        <w:t>(b)</w:t>
      </w:r>
      <w:r w:rsidRPr="002E78C6">
        <w:tab/>
        <w:t>the Attorney</w:t>
      </w:r>
      <w:r w:rsidR="002E78C6">
        <w:noBreakHyphen/>
      </w:r>
      <w:r w:rsidRPr="002E78C6">
        <w:t>General must not issue the warrant unless the Attorney</w:t>
      </w:r>
      <w:r w:rsidR="002E78C6">
        <w:noBreakHyphen/>
      </w:r>
      <w:r w:rsidRPr="002E78C6">
        <w:t>General is satisfied that the person is, or is reasonably suspected by the Director</w:t>
      </w:r>
      <w:r w:rsidR="002E78C6">
        <w:noBreakHyphen/>
      </w:r>
      <w:r w:rsidRPr="002E78C6">
        <w:t>General of, acting for, or on behalf of, a foreign power.</w:t>
      </w:r>
    </w:p>
    <w:p w14:paraId="697683FC" w14:textId="77777777" w:rsidR="00566B39" w:rsidRPr="002E78C6" w:rsidRDefault="00444F6F" w:rsidP="002E78C6">
      <w:pPr>
        <w:pStyle w:val="ItemHead"/>
      </w:pPr>
      <w:r w:rsidRPr="002E78C6">
        <w:t>5</w:t>
      </w:r>
      <w:r w:rsidR="00566B39" w:rsidRPr="002E78C6">
        <w:t xml:space="preserve">  After </w:t>
      </w:r>
      <w:r w:rsidR="00813E0A" w:rsidRPr="002E78C6">
        <w:t>subsection 1</w:t>
      </w:r>
      <w:r w:rsidR="00566B39" w:rsidRPr="002E78C6">
        <w:t>1B(3)</w:t>
      </w:r>
      <w:r w:rsidR="003818EC" w:rsidRPr="002E78C6">
        <w:t xml:space="preserve"> (before the note)</w:t>
      </w:r>
    </w:p>
    <w:p w14:paraId="02B2537C" w14:textId="77777777" w:rsidR="00566B39" w:rsidRPr="002E78C6" w:rsidRDefault="00566B39" w:rsidP="002E78C6">
      <w:pPr>
        <w:pStyle w:val="Item"/>
      </w:pPr>
      <w:r w:rsidRPr="002E78C6">
        <w:t>Insert:</w:t>
      </w:r>
    </w:p>
    <w:p w14:paraId="0E3975F8" w14:textId="77777777" w:rsidR="00566B39" w:rsidRPr="002E78C6" w:rsidRDefault="00566B39" w:rsidP="002E78C6">
      <w:pPr>
        <w:pStyle w:val="subsection"/>
      </w:pPr>
      <w:r w:rsidRPr="002E78C6">
        <w:tab/>
        <w:t>(4)</w:t>
      </w:r>
      <w:r w:rsidRPr="002E78C6">
        <w:tab/>
        <w:t>If the Director</w:t>
      </w:r>
      <w:r w:rsidR="002E78C6">
        <w:noBreakHyphen/>
      </w:r>
      <w:r w:rsidRPr="002E78C6">
        <w:t xml:space="preserve">General of Security requests the issue of a warrant under this section </w:t>
      </w:r>
      <w:r w:rsidRPr="002E78C6">
        <w:rPr>
          <w:lang w:eastAsia="en-US"/>
        </w:rPr>
        <w:t>for the purpose of collecting information concerning a person who is an Australian citizen or perm</w:t>
      </w:r>
      <w:r w:rsidRPr="002E78C6">
        <w:t xml:space="preserve">anent resident (see </w:t>
      </w:r>
      <w:r w:rsidR="00813E0A" w:rsidRPr="002E78C6">
        <w:t>subsection 1</w:t>
      </w:r>
      <w:r w:rsidRPr="002E78C6">
        <w:t>1D(5)), then:</w:t>
      </w:r>
    </w:p>
    <w:p w14:paraId="4D6F6E3B" w14:textId="77777777" w:rsidR="00566B39" w:rsidRPr="002E78C6" w:rsidRDefault="00566B39" w:rsidP="002E78C6">
      <w:pPr>
        <w:pStyle w:val="paragraph"/>
      </w:pPr>
      <w:r w:rsidRPr="002E78C6">
        <w:tab/>
        <w:t>(a)</w:t>
      </w:r>
      <w:r w:rsidRPr="002E78C6">
        <w:tab/>
        <w:t>the Director</w:t>
      </w:r>
      <w:r w:rsidR="002E78C6">
        <w:noBreakHyphen/>
      </w:r>
      <w:r w:rsidRPr="002E78C6">
        <w:t>General must include details in the request about the grounds on which the Director</w:t>
      </w:r>
      <w:r w:rsidR="002E78C6">
        <w:noBreakHyphen/>
      </w:r>
      <w:r w:rsidRPr="002E78C6">
        <w:t>General suspects that the person is acting for, or on behalf of, a foreign power; and</w:t>
      </w:r>
    </w:p>
    <w:p w14:paraId="46E4B4AF" w14:textId="77777777" w:rsidR="00127E76" w:rsidRPr="002E78C6" w:rsidRDefault="00127E76" w:rsidP="002E78C6">
      <w:pPr>
        <w:pStyle w:val="paragraph"/>
      </w:pPr>
      <w:r w:rsidRPr="002E78C6">
        <w:tab/>
        <w:t>(b)</w:t>
      </w:r>
      <w:r w:rsidRPr="002E78C6">
        <w:tab/>
        <w:t>the Attorney</w:t>
      </w:r>
      <w:r w:rsidR="002E78C6">
        <w:noBreakHyphen/>
      </w:r>
      <w:r w:rsidRPr="002E78C6">
        <w:t>General must not issue the warrant unless the Attorney</w:t>
      </w:r>
      <w:r w:rsidR="002E78C6">
        <w:noBreakHyphen/>
      </w:r>
      <w:r w:rsidRPr="002E78C6">
        <w:t>General is satisfied that the person is, or is reasonably suspected by the Director</w:t>
      </w:r>
      <w:r w:rsidR="002E78C6">
        <w:noBreakHyphen/>
      </w:r>
      <w:r w:rsidRPr="002E78C6">
        <w:t>General of, acting for, or on behalf of, a foreign power.</w:t>
      </w:r>
    </w:p>
    <w:p w14:paraId="4EF482F4" w14:textId="77777777" w:rsidR="00D032AC" w:rsidRPr="002E78C6" w:rsidRDefault="00444F6F" w:rsidP="002E78C6">
      <w:pPr>
        <w:pStyle w:val="ItemHead"/>
      </w:pPr>
      <w:r w:rsidRPr="002E78C6">
        <w:t>6</w:t>
      </w:r>
      <w:r w:rsidR="00D032AC" w:rsidRPr="002E78C6">
        <w:t xml:space="preserve">  After </w:t>
      </w:r>
      <w:r w:rsidR="00813E0A" w:rsidRPr="002E78C6">
        <w:t>subsection 1</w:t>
      </w:r>
      <w:r w:rsidR="00D032AC" w:rsidRPr="002E78C6">
        <w:t>1</w:t>
      </w:r>
      <w:r w:rsidR="00E963E6" w:rsidRPr="002E78C6">
        <w:t>C</w:t>
      </w:r>
      <w:r w:rsidR="00D032AC" w:rsidRPr="002E78C6">
        <w:t>(3)</w:t>
      </w:r>
    </w:p>
    <w:p w14:paraId="15509B44" w14:textId="77777777" w:rsidR="00D032AC" w:rsidRPr="002E78C6" w:rsidRDefault="00D032AC" w:rsidP="002E78C6">
      <w:pPr>
        <w:pStyle w:val="Item"/>
      </w:pPr>
      <w:r w:rsidRPr="002E78C6">
        <w:t>Insert:</w:t>
      </w:r>
    </w:p>
    <w:p w14:paraId="50614443" w14:textId="77777777" w:rsidR="00566B39" w:rsidRPr="002E78C6" w:rsidRDefault="00566B39" w:rsidP="002E78C6">
      <w:pPr>
        <w:pStyle w:val="subsection"/>
      </w:pPr>
      <w:r w:rsidRPr="002E78C6">
        <w:tab/>
        <w:t>(3A)</w:t>
      </w:r>
      <w:r w:rsidRPr="002E78C6">
        <w:tab/>
        <w:t>If the Director</w:t>
      </w:r>
      <w:r w:rsidR="002E78C6">
        <w:noBreakHyphen/>
      </w:r>
      <w:r w:rsidRPr="002E78C6">
        <w:t xml:space="preserve">General of Security requests the issue of a warrant under this section </w:t>
      </w:r>
      <w:r w:rsidRPr="002E78C6">
        <w:rPr>
          <w:lang w:eastAsia="en-US"/>
        </w:rPr>
        <w:t>for the purpose of collecting information concerning a person who is an Australian citizen or perm</w:t>
      </w:r>
      <w:r w:rsidRPr="002E78C6">
        <w:t xml:space="preserve">anent resident (see </w:t>
      </w:r>
      <w:r w:rsidR="00813E0A" w:rsidRPr="002E78C6">
        <w:t>subsection 1</w:t>
      </w:r>
      <w:r w:rsidRPr="002E78C6">
        <w:t>1D(5)), then:</w:t>
      </w:r>
    </w:p>
    <w:p w14:paraId="3E849FE6" w14:textId="77777777" w:rsidR="00566B39" w:rsidRPr="002E78C6" w:rsidRDefault="00566B39" w:rsidP="002E78C6">
      <w:pPr>
        <w:pStyle w:val="paragraph"/>
      </w:pPr>
      <w:r w:rsidRPr="002E78C6">
        <w:tab/>
        <w:t>(a)</w:t>
      </w:r>
      <w:r w:rsidRPr="002E78C6">
        <w:tab/>
        <w:t>the Director</w:t>
      </w:r>
      <w:r w:rsidR="002E78C6">
        <w:noBreakHyphen/>
      </w:r>
      <w:r w:rsidRPr="002E78C6">
        <w:t>General must include details in the request about the grounds on which the Director</w:t>
      </w:r>
      <w:r w:rsidR="002E78C6">
        <w:noBreakHyphen/>
      </w:r>
      <w:r w:rsidRPr="002E78C6">
        <w:t>General suspects that the person is acting for, or on behalf of, a foreign power; and</w:t>
      </w:r>
    </w:p>
    <w:p w14:paraId="00F70111" w14:textId="77777777" w:rsidR="00127E76" w:rsidRPr="002E78C6" w:rsidRDefault="00127E76" w:rsidP="002E78C6">
      <w:pPr>
        <w:pStyle w:val="paragraph"/>
      </w:pPr>
      <w:r w:rsidRPr="002E78C6">
        <w:tab/>
        <w:t>(b)</w:t>
      </w:r>
      <w:r w:rsidRPr="002E78C6">
        <w:tab/>
        <w:t>the Attorney</w:t>
      </w:r>
      <w:r w:rsidR="002E78C6">
        <w:noBreakHyphen/>
      </w:r>
      <w:r w:rsidRPr="002E78C6">
        <w:t>General must not issue the warrant unless the Attorney</w:t>
      </w:r>
      <w:r w:rsidR="002E78C6">
        <w:noBreakHyphen/>
      </w:r>
      <w:r w:rsidRPr="002E78C6">
        <w:t>General is satisfied that the person is, or is reasonably suspected by the Director</w:t>
      </w:r>
      <w:r w:rsidR="002E78C6">
        <w:noBreakHyphen/>
      </w:r>
      <w:r w:rsidRPr="002E78C6">
        <w:t>General of, acting for, or on behalf of, a foreign power.</w:t>
      </w:r>
    </w:p>
    <w:p w14:paraId="1EF099BB" w14:textId="77777777" w:rsidR="00A16754" w:rsidRPr="002E78C6" w:rsidRDefault="00444F6F" w:rsidP="002E78C6">
      <w:pPr>
        <w:pStyle w:val="ItemHead"/>
      </w:pPr>
      <w:r w:rsidRPr="002E78C6">
        <w:lastRenderedPageBreak/>
        <w:t>7</w:t>
      </w:r>
      <w:r w:rsidR="00A16754" w:rsidRPr="002E78C6">
        <w:t xml:space="preserve">  At the end of </w:t>
      </w:r>
      <w:r w:rsidR="00813E0A" w:rsidRPr="002E78C6">
        <w:t>subsection 1</w:t>
      </w:r>
      <w:r w:rsidR="00A16754" w:rsidRPr="002E78C6">
        <w:t>1D(5)</w:t>
      </w:r>
    </w:p>
    <w:p w14:paraId="0F466963" w14:textId="77777777" w:rsidR="00A16754" w:rsidRPr="002E78C6" w:rsidRDefault="00A16754" w:rsidP="002E78C6">
      <w:pPr>
        <w:pStyle w:val="Item"/>
      </w:pPr>
      <w:r w:rsidRPr="002E78C6">
        <w:t>Add “, unless the Director</w:t>
      </w:r>
      <w:r w:rsidR="002E78C6">
        <w:noBreakHyphen/>
      </w:r>
      <w:r w:rsidRPr="002E78C6">
        <w:t xml:space="preserve">General </w:t>
      </w:r>
      <w:r w:rsidR="000E4950" w:rsidRPr="002E78C6">
        <w:t xml:space="preserve">reasonably </w:t>
      </w:r>
      <w:r w:rsidRPr="002E78C6">
        <w:t>suspects that the person is acting for, or on behalf of, a foreign power”.</w:t>
      </w:r>
    </w:p>
    <w:p w14:paraId="1B45C0C3" w14:textId="77777777" w:rsidR="00590FE4" w:rsidRPr="002E78C6" w:rsidRDefault="00444F6F" w:rsidP="002E78C6">
      <w:pPr>
        <w:pStyle w:val="ItemHead"/>
      </w:pPr>
      <w:r w:rsidRPr="002E78C6">
        <w:t>8</w:t>
      </w:r>
      <w:r w:rsidR="00590FE4" w:rsidRPr="002E78C6">
        <w:t xml:space="preserve">  Paragraphs 63AB(2)(e) and 63AC(2)(e)</w:t>
      </w:r>
    </w:p>
    <w:p w14:paraId="5E00C71A" w14:textId="77777777" w:rsidR="00590FE4" w:rsidRPr="002E78C6" w:rsidRDefault="00590FE4" w:rsidP="002E78C6">
      <w:pPr>
        <w:pStyle w:val="Item"/>
      </w:pPr>
      <w:r w:rsidRPr="002E78C6">
        <w:t xml:space="preserve">Omit “(within the meaning of the </w:t>
      </w:r>
      <w:r w:rsidRPr="002E78C6">
        <w:rPr>
          <w:i/>
        </w:rPr>
        <w:t>Australian Security Intelligence Organisation Act 1979</w:t>
      </w:r>
      <w:r w:rsidRPr="002E78C6">
        <w:t>)”.</w:t>
      </w:r>
    </w:p>
    <w:p w14:paraId="5EE312DD" w14:textId="77777777" w:rsidR="00A16754" w:rsidRPr="002E78C6" w:rsidRDefault="00444F6F" w:rsidP="002E78C6">
      <w:pPr>
        <w:pStyle w:val="Transitional"/>
      </w:pPr>
      <w:r w:rsidRPr="002E78C6">
        <w:t>9</w:t>
      </w:r>
      <w:r w:rsidR="00A16754" w:rsidRPr="002E78C6">
        <w:t xml:space="preserve">  Application of amendments</w:t>
      </w:r>
    </w:p>
    <w:p w14:paraId="48578559" w14:textId="77777777" w:rsidR="00A16754" w:rsidRPr="002E78C6" w:rsidRDefault="00A16754" w:rsidP="002E78C6">
      <w:pPr>
        <w:pStyle w:val="Item"/>
      </w:pPr>
      <w:r w:rsidRPr="002E78C6">
        <w:t xml:space="preserve">The amendments made by this </w:t>
      </w:r>
      <w:r w:rsidR="00127E76" w:rsidRPr="002E78C6">
        <w:t>Schedule</w:t>
      </w:r>
      <w:r w:rsidRPr="002E78C6">
        <w:t xml:space="preserve"> apply in relation to applications made after the commencement of this Schedule for the issue of a warrant.</w:t>
      </w:r>
    </w:p>
    <w:p w14:paraId="60A371BC" w14:textId="77777777" w:rsidR="00A16754" w:rsidRPr="002E78C6" w:rsidRDefault="00A16754" w:rsidP="002E78C6">
      <w:pPr>
        <w:pStyle w:val="ActHead6"/>
        <w:pageBreakBefore/>
      </w:pPr>
      <w:bookmarkStart w:id="12" w:name="_Toc81895508"/>
      <w:bookmarkStart w:id="13" w:name="opcCurrentFind"/>
      <w:r w:rsidRPr="00FC7BDF">
        <w:rPr>
          <w:rStyle w:val="CharAmSchNo"/>
        </w:rPr>
        <w:lastRenderedPageBreak/>
        <w:t>Schedule 3</w:t>
      </w:r>
      <w:r w:rsidRPr="002E78C6">
        <w:t>—</w:t>
      </w:r>
      <w:r w:rsidRPr="00FC7BDF">
        <w:rPr>
          <w:rStyle w:val="CharAmSchText"/>
        </w:rPr>
        <w:t>Other amendments</w:t>
      </w:r>
      <w:bookmarkEnd w:id="12"/>
    </w:p>
    <w:bookmarkEnd w:id="13"/>
    <w:p w14:paraId="794F214B" w14:textId="77777777" w:rsidR="00A16754" w:rsidRPr="00FC7BDF" w:rsidRDefault="00A16754" w:rsidP="002E78C6">
      <w:pPr>
        <w:pStyle w:val="Header"/>
      </w:pPr>
      <w:r w:rsidRPr="00FC7BDF">
        <w:rPr>
          <w:rStyle w:val="CharAmPartNo"/>
        </w:rPr>
        <w:t xml:space="preserve"> </w:t>
      </w:r>
      <w:r w:rsidRPr="00FC7BDF">
        <w:rPr>
          <w:rStyle w:val="CharAmPartText"/>
        </w:rPr>
        <w:t xml:space="preserve"> </w:t>
      </w:r>
    </w:p>
    <w:p w14:paraId="6BBD3EF1" w14:textId="77777777" w:rsidR="00A16754" w:rsidRPr="002E78C6" w:rsidRDefault="00A16754" w:rsidP="002E78C6">
      <w:pPr>
        <w:pStyle w:val="ActHead9"/>
        <w:rPr>
          <w:i w:val="0"/>
        </w:rPr>
      </w:pPr>
      <w:bookmarkStart w:id="14" w:name="_Toc81895509"/>
      <w:r w:rsidRPr="002E78C6">
        <w:t>Telecommunications (Interception and Access) Act 1979</w:t>
      </w:r>
      <w:bookmarkEnd w:id="14"/>
    </w:p>
    <w:p w14:paraId="562497C3" w14:textId="77777777" w:rsidR="0045020F" w:rsidRPr="002E78C6" w:rsidRDefault="0045020F" w:rsidP="002E78C6">
      <w:pPr>
        <w:pStyle w:val="ItemHead"/>
      </w:pPr>
      <w:r w:rsidRPr="002E78C6">
        <w:t xml:space="preserve">1  </w:t>
      </w:r>
      <w:r w:rsidR="001E709A" w:rsidRPr="002E78C6">
        <w:t>Section 6</w:t>
      </w:r>
      <w:r w:rsidRPr="002E78C6">
        <w:t>5 (heading)</w:t>
      </w:r>
    </w:p>
    <w:p w14:paraId="54DF098D" w14:textId="77777777" w:rsidR="0045020F" w:rsidRPr="002E78C6" w:rsidRDefault="0045020F" w:rsidP="002E78C6">
      <w:pPr>
        <w:pStyle w:val="Item"/>
      </w:pPr>
      <w:r w:rsidRPr="002E78C6">
        <w:t>Omit “</w:t>
      </w:r>
      <w:r w:rsidRPr="002E78C6">
        <w:rPr>
          <w:b/>
        </w:rPr>
        <w:t>Communicating</w:t>
      </w:r>
      <w:r w:rsidRPr="002E78C6">
        <w:t>”, substitute “</w:t>
      </w:r>
      <w:r w:rsidRPr="002E78C6">
        <w:rPr>
          <w:b/>
        </w:rPr>
        <w:t>Dealing in</w:t>
      </w:r>
      <w:r w:rsidRPr="002E78C6">
        <w:t>”.</w:t>
      </w:r>
    </w:p>
    <w:p w14:paraId="0B7E4DC7" w14:textId="77777777" w:rsidR="00CE36A6" w:rsidRPr="002E78C6" w:rsidRDefault="0045020F" w:rsidP="002E78C6">
      <w:pPr>
        <w:pStyle w:val="ItemHead"/>
      </w:pPr>
      <w:r w:rsidRPr="002E78C6">
        <w:t>2</w:t>
      </w:r>
      <w:r w:rsidR="00CE36A6" w:rsidRPr="002E78C6">
        <w:t xml:space="preserve">  Subsection 65(2)</w:t>
      </w:r>
    </w:p>
    <w:p w14:paraId="077A7FD2" w14:textId="77777777" w:rsidR="00CE36A6" w:rsidRPr="002E78C6" w:rsidRDefault="00CE36A6" w:rsidP="002E78C6">
      <w:pPr>
        <w:pStyle w:val="Item"/>
      </w:pPr>
      <w:r w:rsidRPr="002E78C6">
        <w:t>Omit all the words after “this subsection,”, substitute:</w:t>
      </w:r>
    </w:p>
    <w:p w14:paraId="01865B6F" w14:textId="77777777" w:rsidR="00CE36A6" w:rsidRPr="002E78C6" w:rsidRDefault="00CE36A6" w:rsidP="002E78C6">
      <w:pPr>
        <w:pStyle w:val="subsection"/>
      </w:pPr>
      <w:r w:rsidRPr="002E78C6">
        <w:tab/>
      </w:r>
      <w:r w:rsidRPr="002E78C6">
        <w:tab/>
        <w:t>may:</w:t>
      </w:r>
    </w:p>
    <w:p w14:paraId="1A6E5106" w14:textId="77777777" w:rsidR="00CE36A6" w:rsidRPr="002E78C6" w:rsidRDefault="00CE36A6" w:rsidP="002E78C6">
      <w:pPr>
        <w:pStyle w:val="paragraph"/>
      </w:pPr>
      <w:r w:rsidRPr="002E78C6">
        <w:tab/>
        <w:t>(a)</w:t>
      </w:r>
      <w:r w:rsidRPr="002E78C6">
        <w:tab/>
        <w:t>communicate that information to such persons, and in such manner, as are approved in writing by the Attorney</w:t>
      </w:r>
      <w:r w:rsidR="002E78C6">
        <w:noBreakHyphen/>
      </w:r>
      <w:r w:rsidRPr="002E78C6">
        <w:t>General; and</w:t>
      </w:r>
    </w:p>
    <w:p w14:paraId="1527004A" w14:textId="77777777" w:rsidR="00CE36A6" w:rsidRPr="002E78C6" w:rsidRDefault="00CE36A6" w:rsidP="002E78C6">
      <w:pPr>
        <w:pStyle w:val="paragraph"/>
      </w:pPr>
      <w:r w:rsidRPr="002E78C6">
        <w:tab/>
        <w:t>(b)</w:t>
      </w:r>
      <w:r w:rsidRPr="002E78C6">
        <w:tab/>
        <w:t>use that information for such purposes as are approved in writing by the Attorney</w:t>
      </w:r>
      <w:r w:rsidR="002E78C6">
        <w:noBreakHyphen/>
      </w:r>
      <w:r w:rsidRPr="002E78C6">
        <w:t>General; and</w:t>
      </w:r>
    </w:p>
    <w:p w14:paraId="1442E333" w14:textId="77777777" w:rsidR="00CE36A6" w:rsidRPr="002E78C6" w:rsidRDefault="00CE36A6" w:rsidP="002E78C6">
      <w:pPr>
        <w:pStyle w:val="paragraph"/>
      </w:pPr>
      <w:r w:rsidRPr="002E78C6">
        <w:tab/>
        <w:t>(c)</w:t>
      </w:r>
      <w:r w:rsidRPr="002E78C6">
        <w:tab/>
        <w:t>make a record of that information.</w:t>
      </w:r>
    </w:p>
    <w:p w14:paraId="6512E238" w14:textId="77777777" w:rsidR="00CE36A6" w:rsidRPr="002E78C6" w:rsidRDefault="0045020F" w:rsidP="002E78C6">
      <w:pPr>
        <w:pStyle w:val="ItemHead"/>
      </w:pPr>
      <w:r w:rsidRPr="002E78C6">
        <w:t>3</w:t>
      </w:r>
      <w:r w:rsidR="00CE36A6" w:rsidRPr="002E78C6">
        <w:t xml:space="preserve">  After subsection 65(6)</w:t>
      </w:r>
    </w:p>
    <w:p w14:paraId="207D79DE" w14:textId="77777777" w:rsidR="00CE36A6" w:rsidRPr="002E78C6" w:rsidRDefault="00CE36A6" w:rsidP="002E78C6">
      <w:pPr>
        <w:pStyle w:val="Item"/>
      </w:pPr>
      <w:r w:rsidRPr="002E78C6">
        <w:t>Insert:</w:t>
      </w:r>
    </w:p>
    <w:p w14:paraId="08B8EAA8" w14:textId="77777777" w:rsidR="00CE36A6" w:rsidRPr="002E78C6" w:rsidRDefault="00CE36A6" w:rsidP="002E78C6">
      <w:pPr>
        <w:pStyle w:val="subsection"/>
      </w:pPr>
      <w:r w:rsidRPr="002E78C6">
        <w:tab/>
        <w:t>(6A)</w:t>
      </w:r>
      <w:r w:rsidRPr="002E78C6">
        <w:tab/>
        <w:t xml:space="preserve">An approval under </w:t>
      </w:r>
      <w:r w:rsidR="00813E0A" w:rsidRPr="002E78C6">
        <w:t>subsection (</w:t>
      </w:r>
      <w:r w:rsidRPr="002E78C6">
        <w:t>2) is not a legislative instrument.</w:t>
      </w:r>
    </w:p>
    <w:p w14:paraId="390EDA91" w14:textId="77777777" w:rsidR="0045020F" w:rsidRPr="002E78C6" w:rsidRDefault="0045020F" w:rsidP="002E78C6">
      <w:pPr>
        <w:pStyle w:val="ItemHead"/>
      </w:pPr>
      <w:r w:rsidRPr="002E78C6">
        <w:t xml:space="preserve">4  </w:t>
      </w:r>
      <w:r w:rsidR="001E709A" w:rsidRPr="002E78C6">
        <w:t>Section 1</w:t>
      </w:r>
      <w:r w:rsidRPr="002E78C6">
        <w:t>37 (heading)</w:t>
      </w:r>
    </w:p>
    <w:p w14:paraId="09E3B49C" w14:textId="77777777" w:rsidR="0045020F" w:rsidRPr="002E78C6" w:rsidRDefault="0045020F" w:rsidP="002E78C6">
      <w:pPr>
        <w:pStyle w:val="Item"/>
      </w:pPr>
      <w:r w:rsidRPr="002E78C6">
        <w:t>Omit “</w:t>
      </w:r>
      <w:r w:rsidRPr="002E78C6">
        <w:rPr>
          <w:b/>
        </w:rPr>
        <w:t>Communicating</w:t>
      </w:r>
      <w:r w:rsidRPr="002E78C6">
        <w:t>”, substitute “</w:t>
      </w:r>
      <w:r w:rsidRPr="002E78C6">
        <w:rPr>
          <w:b/>
        </w:rPr>
        <w:t>Dealing in</w:t>
      </w:r>
      <w:r w:rsidRPr="002E78C6">
        <w:t>”.</w:t>
      </w:r>
    </w:p>
    <w:p w14:paraId="7F948688" w14:textId="77777777" w:rsidR="00C63887" w:rsidRPr="002E78C6" w:rsidRDefault="0045020F" w:rsidP="002E78C6">
      <w:pPr>
        <w:pStyle w:val="ItemHead"/>
      </w:pPr>
      <w:r w:rsidRPr="002E78C6">
        <w:t>5</w:t>
      </w:r>
      <w:r w:rsidR="00C63887" w:rsidRPr="002E78C6">
        <w:t xml:space="preserve">  Sub</w:t>
      </w:r>
      <w:r w:rsidR="00813E0A" w:rsidRPr="002E78C6">
        <w:t>section 1</w:t>
      </w:r>
      <w:r w:rsidR="00C63887" w:rsidRPr="002E78C6">
        <w:t>37(</w:t>
      </w:r>
      <w:r w:rsidR="00590FE4" w:rsidRPr="002E78C6">
        <w:t>3</w:t>
      </w:r>
      <w:r w:rsidR="00C63887" w:rsidRPr="002E78C6">
        <w:t>)</w:t>
      </w:r>
    </w:p>
    <w:p w14:paraId="7FFA02A4" w14:textId="77777777" w:rsidR="00C63887" w:rsidRPr="002E78C6" w:rsidRDefault="00C63887" w:rsidP="002E78C6">
      <w:pPr>
        <w:pStyle w:val="Item"/>
      </w:pPr>
      <w:r w:rsidRPr="002E78C6">
        <w:t>Omit all the words after “this subsection;”, substitute:</w:t>
      </w:r>
    </w:p>
    <w:p w14:paraId="35445BDE" w14:textId="77777777" w:rsidR="00C63887" w:rsidRPr="002E78C6" w:rsidRDefault="00C63887" w:rsidP="002E78C6">
      <w:pPr>
        <w:pStyle w:val="subsection2"/>
      </w:pPr>
      <w:r w:rsidRPr="002E78C6">
        <w:t>may:</w:t>
      </w:r>
    </w:p>
    <w:p w14:paraId="1A852B18" w14:textId="77777777" w:rsidR="00C63887" w:rsidRPr="002E78C6" w:rsidRDefault="00C63887" w:rsidP="002E78C6">
      <w:pPr>
        <w:pStyle w:val="paragraph"/>
      </w:pPr>
      <w:r w:rsidRPr="002E78C6">
        <w:tab/>
        <w:t>(c)</w:t>
      </w:r>
      <w:r w:rsidRPr="002E78C6">
        <w:tab/>
        <w:t>communicate that information to such persons, and in such manner, as are approved in writing by the Attorney</w:t>
      </w:r>
      <w:r w:rsidR="002E78C6">
        <w:noBreakHyphen/>
      </w:r>
      <w:r w:rsidRPr="002E78C6">
        <w:t>General; and</w:t>
      </w:r>
    </w:p>
    <w:p w14:paraId="01D2EA39" w14:textId="77777777" w:rsidR="00C63887" w:rsidRPr="002E78C6" w:rsidRDefault="00C63887" w:rsidP="002E78C6">
      <w:pPr>
        <w:pStyle w:val="paragraph"/>
      </w:pPr>
      <w:r w:rsidRPr="002E78C6">
        <w:tab/>
        <w:t>(d)</w:t>
      </w:r>
      <w:r w:rsidRPr="002E78C6">
        <w:tab/>
        <w:t>use that information for such purposes as are approved in writing by the Attorney</w:t>
      </w:r>
      <w:r w:rsidR="002E78C6">
        <w:noBreakHyphen/>
      </w:r>
      <w:r w:rsidRPr="002E78C6">
        <w:t>General; and</w:t>
      </w:r>
    </w:p>
    <w:p w14:paraId="13705085" w14:textId="77777777" w:rsidR="00C63887" w:rsidRPr="002E78C6" w:rsidRDefault="00C63887" w:rsidP="002E78C6">
      <w:pPr>
        <w:pStyle w:val="paragraph"/>
      </w:pPr>
      <w:r w:rsidRPr="002E78C6">
        <w:tab/>
        <w:t>(e)</w:t>
      </w:r>
      <w:r w:rsidRPr="002E78C6">
        <w:tab/>
        <w:t>make a record of that information.</w:t>
      </w:r>
    </w:p>
    <w:p w14:paraId="56CDC08E" w14:textId="77777777" w:rsidR="00C63887" w:rsidRPr="002E78C6" w:rsidRDefault="0045020F" w:rsidP="002E78C6">
      <w:pPr>
        <w:pStyle w:val="ItemHead"/>
      </w:pPr>
      <w:r w:rsidRPr="002E78C6">
        <w:t>6</w:t>
      </w:r>
      <w:r w:rsidR="00C63887" w:rsidRPr="002E78C6">
        <w:t xml:space="preserve">  At the end of </w:t>
      </w:r>
      <w:r w:rsidR="00813E0A" w:rsidRPr="002E78C6">
        <w:t>section 1</w:t>
      </w:r>
      <w:r w:rsidR="00C63887" w:rsidRPr="002E78C6">
        <w:t>37</w:t>
      </w:r>
    </w:p>
    <w:p w14:paraId="2E60E7F2" w14:textId="77777777" w:rsidR="00C63887" w:rsidRPr="002E78C6" w:rsidRDefault="00C63887" w:rsidP="002E78C6">
      <w:pPr>
        <w:pStyle w:val="Item"/>
      </w:pPr>
      <w:r w:rsidRPr="002E78C6">
        <w:t>Add:</w:t>
      </w:r>
    </w:p>
    <w:p w14:paraId="56AEF904" w14:textId="77777777" w:rsidR="00C63887" w:rsidRPr="002E78C6" w:rsidRDefault="00C63887" w:rsidP="002E78C6">
      <w:pPr>
        <w:pStyle w:val="subsection"/>
      </w:pPr>
      <w:r w:rsidRPr="002E78C6">
        <w:lastRenderedPageBreak/>
        <w:tab/>
        <w:t>(</w:t>
      </w:r>
      <w:r w:rsidR="00590FE4" w:rsidRPr="002E78C6">
        <w:t>4</w:t>
      </w:r>
      <w:r w:rsidRPr="002E78C6">
        <w:t>)</w:t>
      </w:r>
      <w:r w:rsidRPr="002E78C6">
        <w:tab/>
        <w:t xml:space="preserve">An approval under </w:t>
      </w:r>
      <w:r w:rsidR="00813E0A" w:rsidRPr="002E78C6">
        <w:t>subsection (</w:t>
      </w:r>
      <w:r w:rsidR="00590FE4" w:rsidRPr="002E78C6">
        <w:t>3</w:t>
      </w:r>
      <w:r w:rsidRPr="002E78C6">
        <w:t>) is not a legislative instrument.</w:t>
      </w:r>
    </w:p>
    <w:p w14:paraId="119400F2" w14:textId="77777777" w:rsidR="00CE36A6" w:rsidRPr="002E78C6" w:rsidRDefault="0045020F" w:rsidP="002E78C6">
      <w:pPr>
        <w:pStyle w:val="Transitional"/>
      </w:pPr>
      <w:r w:rsidRPr="002E78C6">
        <w:t>7</w:t>
      </w:r>
      <w:r w:rsidR="00CE36A6" w:rsidRPr="002E78C6">
        <w:t xml:space="preserve">  Application of amendments and savings</w:t>
      </w:r>
    </w:p>
    <w:p w14:paraId="75F50C5E" w14:textId="77777777" w:rsidR="00CE36A6" w:rsidRPr="002E78C6" w:rsidRDefault="00CE36A6" w:rsidP="002E78C6">
      <w:pPr>
        <w:pStyle w:val="Subitem"/>
      </w:pPr>
      <w:r w:rsidRPr="002E78C6">
        <w:t>(1)</w:t>
      </w:r>
      <w:r w:rsidRPr="002E78C6">
        <w:tab/>
        <w:t xml:space="preserve">The amendments made by this </w:t>
      </w:r>
      <w:r w:rsidR="00127E76" w:rsidRPr="002E78C6">
        <w:t>Schedule</w:t>
      </w:r>
      <w:r w:rsidRPr="002E78C6">
        <w:t xml:space="preserve"> apply in relation to the communication, use or making of records of</w:t>
      </w:r>
      <w:r w:rsidR="00682608" w:rsidRPr="002E78C6">
        <w:t xml:space="preserve"> foreign intelligence information </w:t>
      </w:r>
      <w:r w:rsidRPr="002E78C6">
        <w:t xml:space="preserve">that occurs after the commencement of this Schedule, whether the </w:t>
      </w:r>
      <w:r w:rsidR="008D117D" w:rsidRPr="002E78C6">
        <w:t>foreign intelligence information was obtained from</w:t>
      </w:r>
      <w:r w:rsidRPr="002E78C6">
        <w:t xml:space="preserve"> intercept</w:t>
      </w:r>
      <w:r w:rsidR="008D117D" w:rsidRPr="002E78C6">
        <w:t>ions</w:t>
      </w:r>
      <w:r w:rsidRPr="002E78C6">
        <w:t xml:space="preserve"> </w:t>
      </w:r>
      <w:r w:rsidR="008D117D" w:rsidRPr="002E78C6">
        <w:t xml:space="preserve">made </w:t>
      </w:r>
      <w:r w:rsidRPr="002E78C6">
        <w:t>before or after that commencement.</w:t>
      </w:r>
    </w:p>
    <w:p w14:paraId="54E864CA" w14:textId="46C1D7BE" w:rsidR="00CE36A6" w:rsidRDefault="00CE36A6" w:rsidP="002E78C6">
      <w:pPr>
        <w:pStyle w:val="Subitem"/>
      </w:pPr>
      <w:r w:rsidRPr="002E78C6">
        <w:t>(2)</w:t>
      </w:r>
      <w:r w:rsidRPr="002E78C6">
        <w:tab/>
        <w:t>Despite the amendment</w:t>
      </w:r>
      <w:r w:rsidR="00813E0A" w:rsidRPr="002E78C6">
        <w:t>s</w:t>
      </w:r>
      <w:r w:rsidRPr="002E78C6">
        <w:t xml:space="preserve"> made to subsection</w:t>
      </w:r>
      <w:r w:rsidR="00682608" w:rsidRPr="002E78C6">
        <w:t>s</w:t>
      </w:r>
      <w:r w:rsidRPr="002E78C6">
        <w:t xml:space="preserve"> 65(2) </w:t>
      </w:r>
      <w:r w:rsidR="00682608" w:rsidRPr="002E78C6">
        <w:t>and 137(</w:t>
      </w:r>
      <w:r w:rsidR="0042011E" w:rsidRPr="002E78C6">
        <w:t>3</w:t>
      </w:r>
      <w:r w:rsidR="00682608" w:rsidRPr="002E78C6">
        <w:t xml:space="preserve">) </w:t>
      </w:r>
      <w:r w:rsidRPr="002E78C6">
        <w:t xml:space="preserve">of the </w:t>
      </w:r>
      <w:r w:rsidRPr="002E78C6">
        <w:rPr>
          <w:i/>
        </w:rPr>
        <w:t>Telecommunications (Interception and Access) Act 1979</w:t>
      </w:r>
      <w:r w:rsidRPr="002E78C6">
        <w:t xml:space="preserve"> made by this Schedule, approvals given under </w:t>
      </w:r>
      <w:r w:rsidR="00682608" w:rsidRPr="002E78C6">
        <w:t xml:space="preserve">those </w:t>
      </w:r>
      <w:r w:rsidRPr="002E78C6">
        <w:t>subsection</w:t>
      </w:r>
      <w:r w:rsidR="00682608" w:rsidRPr="002E78C6">
        <w:t>s</w:t>
      </w:r>
      <w:r w:rsidRPr="002E78C6">
        <w:t xml:space="preserve"> that are in force immediately before the commencement of this Schedule continue in force after that commencement as if they were made under th</w:t>
      </w:r>
      <w:r w:rsidR="00682608" w:rsidRPr="002E78C6">
        <w:t xml:space="preserve">e relevant </w:t>
      </w:r>
      <w:r w:rsidR="00813E0A" w:rsidRPr="002E78C6">
        <w:t>subsection (</w:t>
      </w:r>
      <w:r w:rsidRPr="002E78C6">
        <w:t>as amended by this Schedule).</w:t>
      </w:r>
    </w:p>
    <w:p w14:paraId="536612BF" w14:textId="124815B1" w:rsidR="00E04426" w:rsidRDefault="00E04426"/>
    <w:p w14:paraId="09EE04B1" w14:textId="77777777" w:rsidR="000258BB" w:rsidRDefault="000258BB" w:rsidP="000258BB">
      <w:pPr>
        <w:pStyle w:val="AssentBk"/>
        <w:keepNext/>
      </w:pPr>
    </w:p>
    <w:p w14:paraId="0B36C30F" w14:textId="77777777" w:rsidR="000258BB" w:rsidRDefault="000258BB" w:rsidP="000258BB">
      <w:pPr>
        <w:pStyle w:val="AssentBk"/>
        <w:keepNext/>
      </w:pPr>
    </w:p>
    <w:p w14:paraId="4EE5D83C" w14:textId="77777777" w:rsidR="000258BB" w:rsidRDefault="000258BB" w:rsidP="000258BB">
      <w:pPr>
        <w:pStyle w:val="2ndRd"/>
        <w:keepNext/>
        <w:pBdr>
          <w:top w:val="single" w:sz="2" w:space="1" w:color="auto"/>
        </w:pBdr>
      </w:pPr>
    </w:p>
    <w:p w14:paraId="183FBC7F" w14:textId="77777777" w:rsidR="000258BB" w:rsidRDefault="000258BB" w:rsidP="000C5962">
      <w:pPr>
        <w:pStyle w:val="2ndRd"/>
        <w:keepNext/>
        <w:spacing w:line="260" w:lineRule="atLeast"/>
        <w:rPr>
          <w:i/>
        </w:rPr>
      </w:pPr>
      <w:r>
        <w:t>[</w:t>
      </w:r>
      <w:r>
        <w:rPr>
          <w:i/>
        </w:rPr>
        <w:t>Minister’s second reading speech made in—</w:t>
      </w:r>
    </w:p>
    <w:p w14:paraId="602F0B22" w14:textId="3988B018" w:rsidR="000258BB" w:rsidRDefault="000258BB" w:rsidP="000C5962">
      <w:pPr>
        <w:pStyle w:val="2ndRd"/>
        <w:keepNext/>
        <w:spacing w:line="260" w:lineRule="atLeast"/>
        <w:rPr>
          <w:i/>
        </w:rPr>
      </w:pPr>
      <w:r>
        <w:rPr>
          <w:i/>
        </w:rPr>
        <w:t>House of Representatives on 25 August 2021</w:t>
      </w:r>
    </w:p>
    <w:p w14:paraId="07CAFDA2" w14:textId="4ED376CC" w:rsidR="000258BB" w:rsidRDefault="000258BB" w:rsidP="000C5962">
      <w:pPr>
        <w:pStyle w:val="2ndRd"/>
        <w:keepNext/>
        <w:spacing w:line="260" w:lineRule="atLeast"/>
        <w:rPr>
          <w:i/>
        </w:rPr>
      </w:pPr>
      <w:r>
        <w:rPr>
          <w:i/>
        </w:rPr>
        <w:t>Senate on 26 August 2021</w:t>
      </w:r>
      <w:r>
        <w:t>]</w:t>
      </w:r>
    </w:p>
    <w:p w14:paraId="1170E102" w14:textId="77777777" w:rsidR="000258BB" w:rsidRDefault="000258BB" w:rsidP="000C5962"/>
    <w:p w14:paraId="37DE616B" w14:textId="487A6CB7" w:rsidR="00DD3950" w:rsidRPr="000258BB" w:rsidRDefault="000258BB" w:rsidP="000258BB">
      <w:pPr>
        <w:framePr w:hSpace="180" w:wrap="around" w:vAnchor="text" w:hAnchor="page" w:x="2410" w:y="4583"/>
      </w:pPr>
      <w:r>
        <w:t>(94/21)</w:t>
      </w:r>
    </w:p>
    <w:p w14:paraId="3BE12CA4" w14:textId="77777777" w:rsidR="000258BB" w:rsidRDefault="000258BB"/>
    <w:sectPr w:rsidR="000258BB" w:rsidSect="00DD3950">
      <w:headerReference w:type="even" r:id="rId22"/>
      <w:headerReference w:type="default" r:id="rId23"/>
      <w:footerReference w:type="even" r:id="rId24"/>
      <w:footerReference w:type="default" r:id="rId25"/>
      <w:headerReference w:type="first" r:id="rId26"/>
      <w:footerReference w:type="first" r:id="rId27"/>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A9D4D" w14:textId="77777777" w:rsidR="007077B8" w:rsidRDefault="007077B8" w:rsidP="0048364F">
      <w:pPr>
        <w:spacing w:line="240" w:lineRule="auto"/>
      </w:pPr>
      <w:r>
        <w:separator/>
      </w:r>
    </w:p>
  </w:endnote>
  <w:endnote w:type="continuationSeparator" w:id="0">
    <w:p w14:paraId="093E0548" w14:textId="77777777" w:rsidR="007077B8" w:rsidRDefault="007077B8"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C11BC3" w14:textId="77777777" w:rsidR="007077B8" w:rsidRPr="005F1388" w:rsidRDefault="007077B8" w:rsidP="002E78C6">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798CB" w14:textId="25094B69" w:rsidR="000258BB" w:rsidRDefault="000258BB" w:rsidP="00CD12A5">
    <w:pPr>
      <w:pStyle w:val="ScalePlusRef"/>
    </w:pPr>
    <w:r>
      <w:t>Note: An electronic version of this Act is available on the Federal Register of Legislation (</w:t>
    </w:r>
    <w:hyperlink r:id="rId1" w:history="1">
      <w:r>
        <w:t>https://www.legislation.gov.au/</w:t>
      </w:r>
    </w:hyperlink>
    <w:r>
      <w:t>)</w:t>
    </w:r>
  </w:p>
  <w:p w14:paraId="79ED70B2" w14:textId="77777777" w:rsidR="000258BB" w:rsidRDefault="000258BB" w:rsidP="00CD12A5"/>
  <w:p w14:paraId="43EB9875" w14:textId="3BE318B5" w:rsidR="007077B8" w:rsidRDefault="007077B8" w:rsidP="002E78C6">
    <w:pPr>
      <w:pStyle w:val="Footer"/>
      <w:spacing w:before="120"/>
    </w:pPr>
  </w:p>
  <w:p w14:paraId="4044A6A2" w14:textId="77777777" w:rsidR="007077B8" w:rsidRPr="005F1388" w:rsidRDefault="007077B8"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9B10F" w14:textId="77777777" w:rsidR="007077B8" w:rsidRPr="00ED79B6" w:rsidRDefault="007077B8" w:rsidP="002E78C6">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6D25F1" w14:textId="77777777" w:rsidR="007077B8" w:rsidRDefault="007077B8" w:rsidP="002E78C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77B8" w14:paraId="063BD9E6" w14:textId="77777777" w:rsidTr="000E1BA8">
      <w:tc>
        <w:tcPr>
          <w:tcW w:w="646" w:type="dxa"/>
        </w:tcPr>
        <w:p w14:paraId="76554219" w14:textId="77777777" w:rsidR="007077B8" w:rsidRDefault="007077B8" w:rsidP="000E1BA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iv</w:t>
          </w:r>
          <w:r w:rsidRPr="00ED79B6">
            <w:rPr>
              <w:i/>
              <w:sz w:val="18"/>
            </w:rPr>
            <w:fldChar w:fldCharType="end"/>
          </w:r>
        </w:p>
      </w:tc>
      <w:tc>
        <w:tcPr>
          <w:tcW w:w="5387" w:type="dxa"/>
        </w:tcPr>
        <w:p w14:paraId="3FD5B816" w14:textId="009F4A2B" w:rsidR="007077B8" w:rsidRDefault="007077B8" w:rsidP="000E1BA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5560">
            <w:rPr>
              <w:i/>
              <w:sz w:val="18"/>
            </w:rPr>
            <w:t>Foreign Intelligence Legislation Amendment Act 2021</w:t>
          </w:r>
          <w:r w:rsidRPr="00ED79B6">
            <w:rPr>
              <w:i/>
              <w:sz w:val="18"/>
            </w:rPr>
            <w:fldChar w:fldCharType="end"/>
          </w:r>
        </w:p>
      </w:tc>
      <w:tc>
        <w:tcPr>
          <w:tcW w:w="1270" w:type="dxa"/>
        </w:tcPr>
        <w:p w14:paraId="050404E1" w14:textId="1766A28A" w:rsidR="007077B8" w:rsidRDefault="007077B8" w:rsidP="000E1BA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5560">
            <w:rPr>
              <w:i/>
              <w:sz w:val="18"/>
            </w:rPr>
            <w:t>No. 95, 2021</w:t>
          </w:r>
          <w:r w:rsidRPr="00ED79B6">
            <w:rPr>
              <w:i/>
              <w:sz w:val="18"/>
            </w:rPr>
            <w:fldChar w:fldCharType="end"/>
          </w:r>
        </w:p>
      </w:tc>
    </w:tr>
  </w:tbl>
  <w:p w14:paraId="4122FBD6" w14:textId="77777777" w:rsidR="007077B8" w:rsidRDefault="007077B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65147" w14:textId="77777777" w:rsidR="007077B8" w:rsidRDefault="007077B8" w:rsidP="002E78C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77B8" w14:paraId="732ED094" w14:textId="77777777" w:rsidTr="000E1BA8">
      <w:tc>
        <w:tcPr>
          <w:tcW w:w="1247" w:type="dxa"/>
        </w:tcPr>
        <w:p w14:paraId="21C8F07B" w14:textId="20103F0A" w:rsidR="007077B8" w:rsidRDefault="007077B8" w:rsidP="000E1BA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FF5560">
            <w:rPr>
              <w:i/>
              <w:sz w:val="18"/>
            </w:rPr>
            <w:t>No. 95, 2021</w:t>
          </w:r>
          <w:r w:rsidRPr="00ED79B6">
            <w:rPr>
              <w:i/>
              <w:sz w:val="18"/>
            </w:rPr>
            <w:fldChar w:fldCharType="end"/>
          </w:r>
        </w:p>
      </w:tc>
      <w:tc>
        <w:tcPr>
          <w:tcW w:w="5387" w:type="dxa"/>
        </w:tcPr>
        <w:p w14:paraId="34BE5070" w14:textId="37F317A1" w:rsidR="007077B8" w:rsidRDefault="007077B8" w:rsidP="000E1BA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FF5560">
            <w:rPr>
              <w:i/>
              <w:sz w:val="18"/>
            </w:rPr>
            <w:t>Foreign Intelligence Legislation Amendment Act 2021</w:t>
          </w:r>
          <w:r w:rsidRPr="00ED79B6">
            <w:rPr>
              <w:i/>
              <w:sz w:val="18"/>
            </w:rPr>
            <w:fldChar w:fldCharType="end"/>
          </w:r>
        </w:p>
      </w:tc>
      <w:tc>
        <w:tcPr>
          <w:tcW w:w="669" w:type="dxa"/>
        </w:tcPr>
        <w:p w14:paraId="0420A38B" w14:textId="77777777" w:rsidR="007077B8" w:rsidRDefault="007077B8" w:rsidP="000E1BA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i</w:t>
          </w:r>
          <w:r w:rsidRPr="00ED79B6">
            <w:rPr>
              <w:i/>
              <w:sz w:val="18"/>
            </w:rPr>
            <w:fldChar w:fldCharType="end"/>
          </w:r>
        </w:p>
      </w:tc>
    </w:tr>
  </w:tbl>
  <w:p w14:paraId="6604A9BC" w14:textId="77777777" w:rsidR="007077B8" w:rsidRPr="00ED79B6" w:rsidRDefault="007077B8" w:rsidP="00055B5C">
    <w:pPr>
      <w:rPr>
        <w:sz w:val="18"/>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08F9C" w14:textId="77777777" w:rsidR="007077B8" w:rsidRPr="00A961C4" w:rsidRDefault="007077B8" w:rsidP="002E78C6">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7077B8" w14:paraId="2DE44EDD" w14:textId="77777777" w:rsidTr="003E5EDD">
      <w:tc>
        <w:tcPr>
          <w:tcW w:w="646" w:type="dxa"/>
        </w:tcPr>
        <w:p w14:paraId="02420A4C" w14:textId="77777777" w:rsidR="007077B8" w:rsidRDefault="007077B8" w:rsidP="000E1BA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10</w:t>
          </w:r>
          <w:r w:rsidRPr="007A1328">
            <w:rPr>
              <w:i/>
              <w:sz w:val="18"/>
            </w:rPr>
            <w:fldChar w:fldCharType="end"/>
          </w:r>
        </w:p>
      </w:tc>
      <w:tc>
        <w:tcPr>
          <w:tcW w:w="5387" w:type="dxa"/>
        </w:tcPr>
        <w:p w14:paraId="3A91C90C" w14:textId="27AD4F63" w:rsidR="007077B8" w:rsidRDefault="007077B8" w:rsidP="000E1B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5560">
            <w:rPr>
              <w:i/>
              <w:sz w:val="18"/>
            </w:rPr>
            <w:t>Foreign Intelligence Legislation Amendment Act 2021</w:t>
          </w:r>
          <w:r w:rsidRPr="007A1328">
            <w:rPr>
              <w:i/>
              <w:sz w:val="18"/>
            </w:rPr>
            <w:fldChar w:fldCharType="end"/>
          </w:r>
        </w:p>
      </w:tc>
      <w:tc>
        <w:tcPr>
          <w:tcW w:w="1270" w:type="dxa"/>
        </w:tcPr>
        <w:p w14:paraId="05DA9720" w14:textId="188CF566" w:rsidR="007077B8" w:rsidRDefault="007077B8" w:rsidP="000E1BA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5560">
            <w:rPr>
              <w:i/>
              <w:sz w:val="18"/>
            </w:rPr>
            <w:t>No. 95, 2021</w:t>
          </w:r>
          <w:r w:rsidRPr="007A1328">
            <w:rPr>
              <w:i/>
              <w:sz w:val="18"/>
            </w:rPr>
            <w:fldChar w:fldCharType="end"/>
          </w:r>
        </w:p>
      </w:tc>
    </w:tr>
  </w:tbl>
  <w:p w14:paraId="2AB23C85" w14:textId="77777777" w:rsidR="007077B8" w:rsidRPr="00A961C4" w:rsidRDefault="007077B8" w:rsidP="00055B5C">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E4FB2" w14:textId="77777777" w:rsidR="007077B8" w:rsidRPr="00A961C4" w:rsidRDefault="007077B8" w:rsidP="002E78C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7077B8" w14:paraId="514A4526" w14:textId="77777777" w:rsidTr="003E5EDD">
      <w:tc>
        <w:tcPr>
          <w:tcW w:w="1247" w:type="dxa"/>
        </w:tcPr>
        <w:p w14:paraId="56042293" w14:textId="3424B286" w:rsidR="007077B8" w:rsidRDefault="007077B8" w:rsidP="000E1B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5560">
            <w:rPr>
              <w:i/>
              <w:sz w:val="18"/>
            </w:rPr>
            <w:t>No. 95, 2021</w:t>
          </w:r>
          <w:r w:rsidRPr="007A1328">
            <w:rPr>
              <w:i/>
              <w:sz w:val="18"/>
            </w:rPr>
            <w:fldChar w:fldCharType="end"/>
          </w:r>
        </w:p>
      </w:tc>
      <w:tc>
        <w:tcPr>
          <w:tcW w:w="5387" w:type="dxa"/>
        </w:tcPr>
        <w:p w14:paraId="77AF431B" w14:textId="77A19F05" w:rsidR="007077B8" w:rsidRDefault="007077B8" w:rsidP="000E1B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5560">
            <w:rPr>
              <w:i/>
              <w:sz w:val="18"/>
            </w:rPr>
            <w:t>Foreign Intelligence Legislation Amendment Act 2021</w:t>
          </w:r>
          <w:r w:rsidRPr="007A1328">
            <w:rPr>
              <w:i/>
              <w:sz w:val="18"/>
            </w:rPr>
            <w:fldChar w:fldCharType="end"/>
          </w:r>
        </w:p>
      </w:tc>
      <w:tc>
        <w:tcPr>
          <w:tcW w:w="669" w:type="dxa"/>
        </w:tcPr>
        <w:p w14:paraId="19AE5D9E" w14:textId="77777777" w:rsidR="007077B8" w:rsidRDefault="007077B8" w:rsidP="000E1B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9</w:t>
          </w:r>
          <w:r w:rsidRPr="007A1328">
            <w:rPr>
              <w:i/>
              <w:sz w:val="18"/>
            </w:rPr>
            <w:fldChar w:fldCharType="end"/>
          </w:r>
        </w:p>
      </w:tc>
    </w:tr>
  </w:tbl>
  <w:p w14:paraId="294B98F9" w14:textId="77777777" w:rsidR="007077B8" w:rsidRPr="00055B5C" w:rsidRDefault="007077B8" w:rsidP="00055B5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C5B53" w14:textId="77777777" w:rsidR="007077B8" w:rsidRPr="00A961C4" w:rsidRDefault="007077B8" w:rsidP="002E78C6">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1"/>
      <w:gridCol w:w="5214"/>
      <w:gridCol w:w="654"/>
    </w:tblGrid>
    <w:tr w:rsidR="007077B8" w14:paraId="7FF12494" w14:textId="77777777" w:rsidTr="003E5EDD">
      <w:tc>
        <w:tcPr>
          <w:tcW w:w="1247" w:type="dxa"/>
        </w:tcPr>
        <w:p w14:paraId="20F8577F" w14:textId="7FC07AF3" w:rsidR="007077B8" w:rsidRDefault="007077B8" w:rsidP="000E1BA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FF5560">
            <w:rPr>
              <w:i/>
              <w:sz w:val="18"/>
            </w:rPr>
            <w:t>No. 95, 2021</w:t>
          </w:r>
          <w:r w:rsidRPr="007A1328">
            <w:rPr>
              <w:i/>
              <w:sz w:val="18"/>
            </w:rPr>
            <w:fldChar w:fldCharType="end"/>
          </w:r>
        </w:p>
      </w:tc>
      <w:tc>
        <w:tcPr>
          <w:tcW w:w="5387" w:type="dxa"/>
        </w:tcPr>
        <w:p w14:paraId="72415C87" w14:textId="51F9ED00" w:rsidR="007077B8" w:rsidRDefault="007077B8" w:rsidP="000E1BA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FF5560">
            <w:rPr>
              <w:i/>
              <w:sz w:val="18"/>
            </w:rPr>
            <w:t>Foreign Intelligence Legislation Amendment Act 2021</w:t>
          </w:r>
          <w:r w:rsidRPr="007A1328">
            <w:rPr>
              <w:i/>
              <w:sz w:val="18"/>
            </w:rPr>
            <w:fldChar w:fldCharType="end"/>
          </w:r>
        </w:p>
      </w:tc>
      <w:tc>
        <w:tcPr>
          <w:tcW w:w="669" w:type="dxa"/>
        </w:tcPr>
        <w:p w14:paraId="5087AC7D" w14:textId="77777777" w:rsidR="007077B8" w:rsidRDefault="007077B8" w:rsidP="000E1BA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tc>
    </w:tr>
  </w:tbl>
  <w:p w14:paraId="6115348E" w14:textId="77777777" w:rsidR="007077B8" w:rsidRPr="00A961C4" w:rsidRDefault="007077B8" w:rsidP="00055B5C">
    <w:pPr>
      <w:jc w:val="right"/>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5A912" w14:textId="77777777" w:rsidR="007077B8" w:rsidRDefault="007077B8" w:rsidP="0048364F">
      <w:pPr>
        <w:spacing w:line="240" w:lineRule="auto"/>
      </w:pPr>
      <w:r>
        <w:separator/>
      </w:r>
    </w:p>
  </w:footnote>
  <w:footnote w:type="continuationSeparator" w:id="0">
    <w:p w14:paraId="3741FA89" w14:textId="77777777" w:rsidR="007077B8" w:rsidRDefault="007077B8" w:rsidP="0048364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EA470" w14:textId="77777777" w:rsidR="007077B8" w:rsidRPr="005F1388" w:rsidRDefault="007077B8" w:rsidP="00D477C3">
    <w:pPr>
      <w:pStyle w:val="Header"/>
      <w:tabs>
        <w:tab w:val="clear" w:pos="4150"/>
        <w:tab w:val="clear" w:pos="8307"/>
      </w:tabs>
      <w:spacing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4C494" w14:textId="77777777" w:rsidR="007077B8" w:rsidRPr="005F1388" w:rsidRDefault="007077B8" w:rsidP="00D477C3">
    <w:pPr>
      <w:pStyle w:val="Header"/>
      <w:tabs>
        <w:tab w:val="clear" w:pos="4150"/>
        <w:tab w:val="clear" w:pos="8307"/>
      </w:tabs>
      <w:spacing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88A09" w14:textId="77777777" w:rsidR="007077B8" w:rsidRPr="005F1388" w:rsidRDefault="007077B8" w:rsidP="0048364F">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F0B42B" w14:textId="77777777" w:rsidR="007077B8" w:rsidRPr="00ED79B6" w:rsidRDefault="007077B8" w:rsidP="00D477C3">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54C9D" w14:textId="77777777" w:rsidR="007077B8" w:rsidRPr="00ED79B6" w:rsidRDefault="007077B8" w:rsidP="00D477C3">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4FDFC" w14:textId="77777777" w:rsidR="007077B8" w:rsidRPr="00ED79B6" w:rsidRDefault="007077B8" w:rsidP="0048364F">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B58BD" w14:textId="0CDB10EC" w:rsidR="007077B8" w:rsidRPr="00A961C4" w:rsidRDefault="007077B8" w:rsidP="0048364F">
    <w:pPr>
      <w:rPr>
        <w:b/>
        <w:sz w:val="20"/>
      </w:rPr>
    </w:pPr>
    <w:r>
      <w:rPr>
        <w:b/>
        <w:sz w:val="20"/>
      </w:rPr>
      <w:fldChar w:fldCharType="begin"/>
    </w:r>
    <w:r>
      <w:rPr>
        <w:b/>
        <w:sz w:val="20"/>
      </w:rPr>
      <w:instrText xml:space="preserve"> STYLEREF CharAmSchNo </w:instrText>
    </w:r>
    <w:r w:rsidR="000F4EA5">
      <w:rPr>
        <w:b/>
        <w:sz w:val="20"/>
      </w:rPr>
      <w:fldChar w:fldCharType="separate"/>
    </w:r>
    <w:r w:rsidR="000F4EA5">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0F4EA5">
      <w:rPr>
        <w:sz w:val="20"/>
      </w:rPr>
      <w:fldChar w:fldCharType="separate"/>
    </w:r>
    <w:r w:rsidR="000F4EA5">
      <w:rPr>
        <w:noProof/>
        <w:sz w:val="20"/>
      </w:rPr>
      <w:t>Other amendments</w:t>
    </w:r>
    <w:r>
      <w:rPr>
        <w:sz w:val="20"/>
      </w:rPr>
      <w:fldChar w:fldCharType="end"/>
    </w:r>
  </w:p>
  <w:p w14:paraId="0C983A3B" w14:textId="749B6BA5" w:rsidR="007077B8" w:rsidRPr="00A961C4" w:rsidRDefault="007077B8" w:rsidP="0048364F">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14:paraId="46FEAEAB" w14:textId="77777777" w:rsidR="007077B8" w:rsidRPr="00A961C4" w:rsidRDefault="007077B8" w:rsidP="00D477C3">
    <w:pPr>
      <w:pBdr>
        <w:bottom w:val="single" w:sz="6" w:space="1" w:color="auto"/>
      </w:pBdr>
      <w:spacing w:after="12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CCCE7" w14:textId="703FEABB" w:rsidR="007077B8" w:rsidRPr="00A961C4" w:rsidRDefault="007077B8" w:rsidP="0048364F">
    <w:pPr>
      <w:jc w:val="right"/>
      <w:rPr>
        <w:sz w:val="20"/>
      </w:rPr>
    </w:pPr>
    <w:r w:rsidRPr="00A961C4">
      <w:rPr>
        <w:sz w:val="20"/>
      </w:rPr>
      <w:fldChar w:fldCharType="begin"/>
    </w:r>
    <w:r w:rsidRPr="00A961C4">
      <w:rPr>
        <w:sz w:val="20"/>
      </w:rPr>
      <w:instrText xml:space="preserve"> STYLEREF CharAmSchText </w:instrText>
    </w:r>
    <w:r w:rsidRPr="00A961C4">
      <w:rPr>
        <w:sz w:val="20"/>
      </w:rPr>
      <w:fldChar w:fldCharType="separate"/>
    </w:r>
    <w:r w:rsidR="000F4EA5">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Pr>
        <w:b/>
        <w:sz w:val="20"/>
      </w:rPr>
      <w:fldChar w:fldCharType="separate"/>
    </w:r>
    <w:r w:rsidR="000F4EA5">
      <w:rPr>
        <w:b/>
        <w:noProof/>
        <w:sz w:val="20"/>
      </w:rPr>
      <w:t>Schedule 3</w:t>
    </w:r>
    <w:r>
      <w:rPr>
        <w:b/>
        <w:sz w:val="20"/>
      </w:rPr>
      <w:fldChar w:fldCharType="end"/>
    </w:r>
  </w:p>
  <w:p w14:paraId="716D9434" w14:textId="7D28EEFA" w:rsidR="007077B8" w:rsidRPr="00A961C4" w:rsidRDefault="007077B8" w:rsidP="0048364F">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14:paraId="13DB8A60" w14:textId="77777777" w:rsidR="007077B8" w:rsidRPr="00A961C4" w:rsidRDefault="007077B8" w:rsidP="00D477C3">
    <w:pPr>
      <w:pBdr>
        <w:bottom w:val="single" w:sz="6" w:space="1" w:color="auto"/>
      </w:pBdr>
      <w:spacing w:after="120"/>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916C9" w14:textId="77777777" w:rsidR="007077B8" w:rsidRPr="00A961C4" w:rsidRDefault="007077B8" w:rsidP="004836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9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7E4"/>
    <w:rsid w:val="000113BC"/>
    <w:rsid w:val="00012AE1"/>
    <w:rsid w:val="000136AF"/>
    <w:rsid w:val="00013E0E"/>
    <w:rsid w:val="00014AE0"/>
    <w:rsid w:val="000210BD"/>
    <w:rsid w:val="000258BB"/>
    <w:rsid w:val="0003431F"/>
    <w:rsid w:val="000417C9"/>
    <w:rsid w:val="00042B3E"/>
    <w:rsid w:val="00052C77"/>
    <w:rsid w:val="00053112"/>
    <w:rsid w:val="00055B5C"/>
    <w:rsid w:val="00056391"/>
    <w:rsid w:val="00060FF9"/>
    <w:rsid w:val="00061006"/>
    <w:rsid w:val="000614BF"/>
    <w:rsid w:val="00063C7A"/>
    <w:rsid w:val="0006557E"/>
    <w:rsid w:val="0007095B"/>
    <w:rsid w:val="000768EB"/>
    <w:rsid w:val="00090183"/>
    <w:rsid w:val="00093602"/>
    <w:rsid w:val="000B1FD2"/>
    <w:rsid w:val="000B4BA7"/>
    <w:rsid w:val="000B77FD"/>
    <w:rsid w:val="000D05EF"/>
    <w:rsid w:val="000D116D"/>
    <w:rsid w:val="000D46D5"/>
    <w:rsid w:val="000D7B6E"/>
    <w:rsid w:val="000E1BA8"/>
    <w:rsid w:val="000E26F8"/>
    <w:rsid w:val="000E4950"/>
    <w:rsid w:val="000E6471"/>
    <w:rsid w:val="000F2029"/>
    <w:rsid w:val="000F21C1"/>
    <w:rsid w:val="000F316E"/>
    <w:rsid w:val="000F4EA5"/>
    <w:rsid w:val="000F5995"/>
    <w:rsid w:val="001006A5"/>
    <w:rsid w:val="00100FBD"/>
    <w:rsid w:val="00101D90"/>
    <w:rsid w:val="001056F3"/>
    <w:rsid w:val="0010745C"/>
    <w:rsid w:val="001078E2"/>
    <w:rsid w:val="00111163"/>
    <w:rsid w:val="001130D6"/>
    <w:rsid w:val="00113BD1"/>
    <w:rsid w:val="00114E6A"/>
    <w:rsid w:val="00122206"/>
    <w:rsid w:val="00123BD6"/>
    <w:rsid w:val="00127E76"/>
    <w:rsid w:val="001333AD"/>
    <w:rsid w:val="00137953"/>
    <w:rsid w:val="00141EBF"/>
    <w:rsid w:val="00145A55"/>
    <w:rsid w:val="0015646E"/>
    <w:rsid w:val="00156F9A"/>
    <w:rsid w:val="001643C9"/>
    <w:rsid w:val="00165568"/>
    <w:rsid w:val="00166C2F"/>
    <w:rsid w:val="001700FB"/>
    <w:rsid w:val="001716C9"/>
    <w:rsid w:val="00173363"/>
    <w:rsid w:val="00173B94"/>
    <w:rsid w:val="001854B4"/>
    <w:rsid w:val="001939E1"/>
    <w:rsid w:val="00194AB6"/>
    <w:rsid w:val="00195382"/>
    <w:rsid w:val="001A3658"/>
    <w:rsid w:val="001A380D"/>
    <w:rsid w:val="001A759A"/>
    <w:rsid w:val="001B03D3"/>
    <w:rsid w:val="001B633C"/>
    <w:rsid w:val="001B7A5D"/>
    <w:rsid w:val="001C2418"/>
    <w:rsid w:val="001C69C4"/>
    <w:rsid w:val="001D003C"/>
    <w:rsid w:val="001E0125"/>
    <w:rsid w:val="001E3590"/>
    <w:rsid w:val="001E709A"/>
    <w:rsid w:val="001E7407"/>
    <w:rsid w:val="001F14F6"/>
    <w:rsid w:val="001F672C"/>
    <w:rsid w:val="001F71C0"/>
    <w:rsid w:val="00201D27"/>
    <w:rsid w:val="00202618"/>
    <w:rsid w:val="00203CBF"/>
    <w:rsid w:val="002049F2"/>
    <w:rsid w:val="00205E2B"/>
    <w:rsid w:val="002212D4"/>
    <w:rsid w:val="002217E9"/>
    <w:rsid w:val="00240749"/>
    <w:rsid w:val="00241B0C"/>
    <w:rsid w:val="00254CAF"/>
    <w:rsid w:val="00263820"/>
    <w:rsid w:val="00275197"/>
    <w:rsid w:val="0029041A"/>
    <w:rsid w:val="00293B89"/>
    <w:rsid w:val="002962CE"/>
    <w:rsid w:val="00297ECB"/>
    <w:rsid w:val="002A2846"/>
    <w:rsid w:val="002A3AF2"/>
    <w:rsid w:val="002A5518"/>
    <w:rsid w:val="002A55D6"/>
    <w:rsid w:val="002A55EB"/>
    <w:rsid w:val="002A5B1B"/>
    <w:rsid w:val="002A706C"/>
    <w:rsid w:val="002B4209"/>
    <w:rsid w:val="002B5A30"/>
    <w:rsid w:val="002D043A"/>
    <w:rsid w:val="002D08BD"/>
    <w:rsid w:val="002D25EC"/>
    <w:rsid w:val="002D346C"/>
    <w:rsid w:val="002D395A"/>
    <w:rsid w:val="002D77E2"/>
    <w:rsid w:val="002E3B27"/>
    <w:rsid w:val="002E78C6"/>
    <w:rsid w:val="002F1CCC"/>
    <w:rsid w:val="002F67B5"/>
    <w:rsid w:val="00305D04"/>
    <w:rsid w:val="00314FFD"/>
    <w:rsid w:val="003204AB"/>
    <w:rsid w:val="00323E51"/>
    <w:rsid w:val="00324CCC"/>
    <w:rsid w:val="0033089B"/>
    <w:rsid w:val="00333410"/>
    <w:rsid w:val="003415D3"/>
    <w:rsid w:val="003449CE"/>
    <w:rsid w:val="00344BFF"/>
    <w:rsid w:val="003471CA"/>
    <w:rsid w:val="00350417"/>
    <w:rsid w:val="00351CEF"/>
    <w:rsid w:val="00352B0F"/>
    <w:rsid w:val="003571CF"/>
    <w:rsid w:val="00357688"/>
    <w:rsid w:val="003640BB"/>
    <w:rsid w:val="00365059"/>
    <w:rsid w:val="003663AC"/>
    <w:rsid w:val="00373874"/>
    <w:rsid w:val="003741ED"/>
    <w:rsid w:val="00375C6C"/>
    <w:rsid w:val="0037778C"/>
    <w:rsid w:val="00380F5B"/>
    <w:rsid w:val="003812B6"/>
    <w:rsid w:val="003818EC"/>
    <w:rsid w:val="00386DEF"/>
    <w:rsid w:val="00390A3C"/>
    <w:rsid w:val="003947E4"/>
    <w:rsid w:val="003948AA"/>
    <w:rsid w:val="003A7B3C"/>
    <w:rsid w:val="003B3DB3"/>
    <w:rsid w:val="003B3FCC"/>
    <w:rsid w:val="003B4E3D"/>
    <w:rsid w:val="003B74D3"/>
    <w:rsid w:val="003C117B"/>
    <w:rsid w:val="003C5F2B"/>
    <w:rsid w:val="003D0BFE"/>
    <w:rsid w:val="003D5114"/>
    <w:rsid w:val="003D5700"/>
    <w:rsid w:val="003D75AF"/>
    <w:rsid w:val="003E13C0"/>
    <w:rsid w:val="003E2726"/>
    <w:rsid w:val="003E34F3"/>
    <w:rsid w:val="003E5E81"/>
    <w:rsid w:val="003E5EDD"/>
    <w:rsid w:val="00402C63"/>
    <w:rsid w:val="00405579"/>
    <w:rsid w:val="004107D3"/>
    <w:rsid w:val="00410B8E"/>
    <w:rsid w:val="004116CD"/>
    <w:rsid w:val="0041370D"/>
    <w:rsid w:val="004157CF"/>
    <w:rsid w:val="00416FC3"/>
    <w:rsid w:val="0042011E"/>
    <w:rsid w:val="00421FC1"/>
    <w:rsid w:val="004229C7"/>
    <w:rsid w:val="00422FD5"/>
    <w:rsid w:val="00424CA9"/>
    <w:rsid w:val="00432AFB"/>
    <w:rsid w:val="00434747"/>
    <w:rsid w:val="00436785"/>
    <w:rsid w:val="00436BD5"/>
    <w:rsid w:val="00437E4B"/>
    <w:rsid w:val="0044291A"/>
    <w:rsid w:val="00444F6F"/>
    <w:rsid w:val="0045020F"/>
    <w:rsid w:val="00452691"/>
    <w:rsid w:val="004725F5"/>
    <w:rsid w:val="00473FAE"/>
    <w:rsid w:val="0048196B"/>
    <w:rsid w:val="00482DE2"/>
    <w:rsid w:val="0048364F"/>
    <w:rsid w:val="00485B08"/>
    <w:rsid w:val="00486D05"/>
    <w:rsid w:val="0049091A"/>
    <w:rsid w:val="00496F97"/>
    <w:rsid w:val="004A3477"/>
    <w:rsid w:val="004A38E5"/>
    <w:rsid w:val="004A3ECA"/>
    <w:rsid w:val="004B258B"/>
    <w:rsid w:val="004C1201"/>
    <w:rsid w:val="004C3D82"/>
    <w:rsid w:val="004C680A"/>
    <w:rsid w:val="004C68EE"/>
    <w:rsid w:val="004C7C8C"/>
    <w:rsid w:val="004D0ACC"/>
    <w:rsid w:val="004D4181"/>
    <w:rsid w:val="004D4868"/>
    <w:rsid w:val="004D494C"/>
    <w:rsid w:val="004D5514"/>
    <w:rsid w:val="004E2A4A"/>
    <w:rsid w:val="004E6863"/>
    <w:rsid w:val="004F0D23"/>
    <w:rsid w:val="004F1FAC"/>
    <w:rsid w:val="004F2C6E"/>
    <w:rsid w:val="004F2D86"/>
    <w:rsid w:val="00502BF6"/>
    <w:rsid w:val="00504436"/>
    <w:rsid w:val="00516B8D"/>
    <w:rsid w:val="00520E32"/>
    <w:rsid w:val="00522792"/>
    <w:rsid w:val="00526179"/>
    <w:rsid w:val="005367D6"/>
    <w:rsid w:val="005379D2"/>
    <w:rsid w:val="00537FBC"/>
    <w:rsid w:val="00542C54"/>
    <w:rsid w:val="00543469"/>
    <w:rsid w:val="005453D3"/>
    <w:rsid w:val="00551B54"/>
    <w:rsid w:val="00556760"/>
    <w:rsid w:val="00566B39"/>
    <w:rsid w:val="00567391"/>
    <w:rsid w:val="005716AD"/>
    <w:rsid w:val="005731E6"/>
    <w:rsid w:val="0058118A"/>
    <w:rsid w:val="005813AA"/>
    <w:rsid w:val="00581436"/>
    <w:rsid w:val="00584811"/>
    <w:rsid w:val="00585DE3"/>
    <w:rsid w:val="00586037"/>
    <w:rsid w:val="00590FE4"/>
    <w:rsid w:val="00593AA6"/>
    <w:rsid w:val="00594161"/>
    <w:rsid w:val="00594749"/>
    <w:rsid w:val="00596B1A"/>
    <w:rsid w:val="00596DB6"/>
    <w:rsid w:val="005A0D92"/>
    <w:rsid w:val="005A61E1"/>
    <w:rsid w:val="005B34FC"/>
    <w:rsid w:val="005B4067"/>
    <w:rsid w:val="005C2225"/>
    <w:rsid w:val="005C3F41"/>
    <w:rsid w:val="005C4EFE"/>
    <w:rsid w:val="005D4A53"/>
    <w:rsid w:val="005D6D9E"/>
    <w:rsid w:val="005E0808"/>
    <w:rsid w:val="005E152A"/>
    <w:rsid w:val="005F2432"/>
    <w:rsid w:val="005F3786"/>
    <w:rsid w:val="00600219"/>
    <w:rsid w:val="00605CF7"/>
    <w:rsid w:val="006066A5"/>
    <w:rsid w:val="00606D1B"/>
    <w:rsid w:val="00607495"/>
    <w:rsid w:val="006167FD"/>
    <w:rsid w:val="00626CA6"/>
    <w:rsid w:val="00636E81"/>
    <w:rsid w:val="00640602"/>
    <w:rsid w:val="00641DE5"/>
    <w:rsid w:val="00643B08"/>
    <w:rsid w:val="00643F5D"/>
    <w:rsid w:val="00656F0C"/>
    <w:rsid w:val="0066250E"/>
    <w:rsid w:val="00663413"/>
    <w:rsid w:val="00664FD5"/>
    <w:rsid w:val="00665C5D"/>
    <w:rsid w:val="00666072"/>
    <w:rsid w:val="00672676"/>
    <w:rsid w:val="00677CC2"/>
    <w:rsid w:val="00681C7D"/>
    <w:rsid w:val="00681F92"/>
    <w:rsid w:val="00682608"/>
    <w:rsid w:val="006829F3"/>
    <w:rsid w:val="006842C2"/>
    <w:rsid w:val="00685F42"/>
    <w:rsid w:val="0068601B"/>
    <w:rsid w:val="0069207B"/>
    <w:rsid w:val="0069244D"/>
    <w:rsid w:val="006A4B23"/>
    <w:rsid w:val="006B1C15"/>
    <w:rsid w:val="006B51B3"/>
    <w:rsid w:val="006B60F6"/>
    <w:rsid w:val="006C2874"/>
    <w:rsid w:val="006C3CC7"/>
    <w:rsid w:val="006C4854"/>
    <w:rsid w:val="006C7F8C"/>
    <w:rsid w:val="006D380D"/>
    <w:rsid w:val="006D7B7D"/>
    <w:rsid w:val="006E0135"/>
    <w:rsid w:val="006E303A"/>
    <w:rsid w:val="006E41B5"/>
    <w:rsid w:val="006E5126"/>
    <w:rsid w:val="006F3415"/>
    <w:rsid w:val="006F45FA"/>
    <w:rsid w:val="006F7E19"/>
    <w:rsid w:val="00700B2C"/>
    <w:rsid w:val="00700FC9"/>
    <w:rsid w:val="007077B8"/>
    <w:rsid w:val="00711F0F"/>
    <w:rsid w:val="00712D8D"/>
    <w:rsid w:val="00713084"/>
    <w:rsid w:val="00714B26"/>
    <w:rsid w:val="00722B10"/>
    <w:rsid w:val="007231AE"/>
    <w:rsid w:val="007264A0"/>
    <w:rsid w:val="00731E00"/>
    <w:rsid w:val="007326FD"/>
    <w:rsid w:val="007350BF"/>
    <w:rsid w:val="00740889"/>
    <w:rsid w:val="0074325D"/>
    <w:rsid w:val="007440B7"/>
    <w:rsid w:val="00754975"/>
    <w:rsid w:val="007634AD"/>
    <w:rsid w:val="007677F7"/>
    <w:rsid w:val="007715C9"/>
    <w:rsid w:val="00774EDD"/>
    <w:rsid w:val="007757EC"/>
    <w:rsid w:val="007814F6"/>
    <w:rsid w:val="00781A56"/>
    <w:rsid w:val="00783808"/>
    <w:rsid w:val="00793D41"/>
    <w:rsid w:val="007A6A13"/>
    <w:rsid w:val="007A7852"/>
    <w:rsid w:val="007B16DB"/>
    <w:rsid w:val="007B30AA"/>
    <w:rsid w:val="007B3E3E"/>
    <w:rsid w:val="007C1928"/>
    <w:rsid w:val="007D0309"/>
    <w:rsid w:val="007D1103"/>
    <w:rsid w:val="007D1680"/>
    <w:rsid w:val="007D242A"/>
    <w:rsid w:val="007D2F06"/>
    <w:rsid w:val="007E1805"/>
    <w:rsid w:val="007E7D4A"/>
    <w:rsid w:val="007F20E3"/>
    <w:rsid w:val="007F2E96"/>
    <w:rsid w:val="007F6FFB"/>
    <w:rsid w:val="008006CC"/>
    <w:rsid w:val="00807F18"/>
    <w:rsid w:val="00813E0A"/>
    <w:rsid w:val="008146BD"/>
    <w:rsid w:val="00816FA3"/>
    <w:rsid w:val="00831E8D"/>
    <w:rsid w:val="00841C55"/>
    <w:rsid w:val="00842EF4"/>
    <w:rsid w:val="00844D2C"/>
    <w:rsid w:val="00856A31"/>
    <w:rsid w:val="00857D6B"/>
    <w:rsid w:val="00866380"/>
    <w:rsid w:val="008754D0"/>
    <w:rsid w:val="0087784E"/>
    <w:rsid w:val="00877D48"/>
    <w:rsid w:val="00880260"/>
    <w:rsid w:val="00883781"/>
    <w:rsid w:val="00885570"/>
    <w:rsid w:val="00893958"/>
    <w:rsid w:val="008A2E77"/>
    <w:rsid w:val="008B0EB2"/>
    <w:rsid w:val="008B3368"/>
    <w:rsid w:val="008C2B9C"/>
    <w:rsid w:val="008C578C"/>
    <w:rsid w:val="008C6F6F"/>
    <w:rsid w:val="008D0519"/>
    <w:rsid w:val="008D0EE0"/>
    <w:rsid w:val="008D117D"/>
    <w:rsid w:val="008D12C4"/>
    <w:rsid w:val="008D2E5A"/>
    <w:rsid w:val="008D3E94"/>
    <w:rsid w:val="008D55F4"/>
    <w:rsid w:val="008F29F3"/>
    <w:rsid w:val="008F4F1C"/>
    <w:rsid w:val="008F6B78"/>
    <w:rsid w:val="008F77C4"/>
    <w:rsid w:val="009006C6"/>
    <w:rsid w:val="009103F3"/>
    <w:rsid w:val="00915C64"/>
    <w:rsid w:val="00920E93"/>
    <w:rsid w:val="00921D2E"/>
    <w:rsid w:val="0092395F"/>
    <w:rsid w:val="009256D0"/>
    <w:rsid w:val="00932377"/>
    <w:rsid w:val="00935132"/>
    <w:rsid w:val="00942245"/>
    <w:rsid w:val="009470E5"/>
    <w:rsid w:val="009506B1"/>
    <w:rsid w:val="00957D5E"/>
    <w:rsid w:val="00966A78"/>
    <w:rsid w:val="00967042"/>
    <w:rsid w:val="00981194"/>
    <w:rsid w:val="0098255A"/>
    <w:rsid w:val="009845BE"/>
    <w:rsid w:val="009938DA"/>
    <w:rsid w:val="00994840"/>
    <w:rsid w:val="009969C9"/>
    <w:rsid w:val="009C3817"/>
    <w:rsid w:val="009D3069"/>
    <w:rsid w:val="009E0536"/>
    <w:rsid w:val="009E7A2E"/>
    <w:rsid w:val="009E7D6B"/>
    <w:rsid w:val="009F7BD0"/>
    <w:rsid w:val="009F7EDB"/>
    <w:rsid w:val="00A03479"/>
    <w:rsid w:val="00A048FF"/>
    <w:rsid w:val="00A10775"/>
    <w:rsid w:val="00A1114F"/>
    <w:rsid w:val="00A11ADE"/>
    <w:rsid w:val="00A13AFD"/>
    <w:rsid w:val="00A16754"/>
    <w:rsid w:val="00A17CC7"/>
    <w:rsid w:val="00A231E2"/>
    <w:rsid w:val="00A24930"/>
    <w:rsid w:val="00A36C48"/>
    <w:rsid w:val="00A41E0B"/>
    <w:rsid w:val="00A42CE5"/>
    <w:rsid w:val="00A46909"/>
    <w:rsid w:val="00A55631"/>
    <w:rsid w:val="00A64912"/>
    <w:rsid w:val="00A65C03"/>
    <w:rsid w:val="00A70A74"/>
    <w:rsid w:val="00A7112D"/>
    <w:rsid w:val="00A75BDB"/>
    <w:rsid w:val="00A85F01"/>
    <w:rsid w:val="00A9016B"/>
    <w:rsid w:val="00A912F4"/>
    <w:rsid w:val="00AA3795"/>
    <w:rsid w:val="00AA4F05"/>
    <w:rsid w:val="00AB3C45"/>
    <w:rsid w:val="00AB6C48"/>
    <w:rsid w:val="00AC1E75"/>
    <w:rsid w:val="00AD0295"/>
    <w:rsid w:val="00AD373F"/>
    <w:rsid w:val="00AD5641"/>
    <w:rsid w:val="00AD7A4D"/>
    <w:rsid w:val="00AE1088"/>
    <w:rsid w:val="00AE5635"/>
    <w:rsid w:val="00AF140B"/>
    <w:rsid w:val="00AF1BA4"/>
    <w:rsid w:val="00AF4F93"/>
    <w:rsid w:val="00AF6A4A"/>
    <w:rsid w:val="00B0042E"/>
    <w:rsid w:val="00B032D8"/>
    <w:rsid w:val="00B0641B"/>
    <w:rsid w:val="00B071B3"/>
    <w:rsid w:val="00B17938"/>
    <w:rsid w:val="00B26D12"/>
    <w:rsid w:val="00B27394"/>
    <w:rsid w:val="00B32BE2"/>
    <w:rsid w:val="00B3345E"/>
    <w:rsid w:val="00B33B3C"/>
    <w:rsid w:val="00B34D1B"/>
    <w:rsid w:val="00B34FD6"/>
    <w:rsid w:val="00B43177"/>
    <w:rsid w:val="00B51EC6"/>
    <w:rsid w:val="00B53B5B"/>
    <w:rsid w:val="00B570C9"/>
    <w:rsid w:val="00B6382D"/>
    <w:rsid w:val="00B750B0"/>
    <w:rsid w:val="00B75BA8"/>
    <w:rsid w:val="00B96DA5"/>
    <w:rsid w:val="00B977DA"/>
    <w:rsid w:val="00BA1241"/>
    <w:rsid w:val="00BA2137"/>
    <w:rsid w:val="00BA5026"/>
    <w:rsid w:val="00BA61DF"/>
    <w:rsid w:val="00BB40BF"/>
    <w:rsid w:val="00BC0CD1"/>
    <w:rsid w:val="00BC18DF"/>
    <w:rsid w:val="00BD180F"/>
    <w:rsid w:val="00BE719A"/>
    <w:rsid w:val="00BE720A"/>
    <w:rsid w:val="00BE7930"/>
    <w:rsid w:val="00BF0461"/>
    <w:rsid w:val="00BF2FED"/>
    <w:rsid w:val="00BF4944"/>
    <w:rsid w:val="00BF56D4"/>
    <w:rsid w:val="00BF74B5"/>
    <w:rsid w:val="00BF7BC1"/>
    <w:rsid w:val="00C04175"/>
    <w:rsid w:val="00C04409"/>
    <w:rsid w:val="00C0581E"/>
    <w:rsid w:val="00C067E5"/>
    <w:rsid w:val="00C078F1"/>
    <w:rsid w:val="00C164CA"/>
    <w:rsid w:val="00C16627"/>
    <w:rsid w:val="00C176CF"/>
    <w:rsid w:val="00C2003F"/>
    <w:rsid w:val="00C201FD"/>
    <w:rsid w:val="00C237C5"/>
    <w:rsid w:val="00C266F3"/>
    <w:rsid w:val="00C3423B"/>
    <w:rsid w:val="00C343E2"/>
    <w:rsid w:val="00C370DF"/>
    <w:rsid w:val="00C40F27"/>
    <w:rsid w:val="00C41007"/>
    <w:rsid w:val="00C422DD"/>
    <w:rsid w:val="00C42BF8"/>
    <w:rsid w:val="00C44099"/>
    <w:rsid w:val="00C44505"/>
    <w:rsid w:val="00C460AE"/>
    <w:rsid w:val="00C50043"/>
    <w:rsid w:val="00C54E84"/>
    <w:rsid w:val="00C63887"/>
    <w:rsid w:val="00C63A57"/>
    <w:rsid w:val="00C7573B"/>
    <w:rsid w:val="00C765E6"/>
    <w:rsid w:val="00C76CF3"/>
    <w:rsid w:val="00C836A3"/>
    <w:rsid w:val="00C96674"/>
    <w:rsid w:val="00CA0935"/>
    <w:rsid w:val="00CA14E4"/>
    <w:rsid w:val="00CC2280"/>
    <w:rsid w:val="00CD282F"/>
    <w:rsid w:val="00CD3967"/>
    <w:rsid w:val="00CD6258"/>
    <w:rsid w:val="00CE024E"/>
    <w:rsid w:val="00CE1E31"/>
    <w:rsid w:val="00CE36A6"/>
    <w:rsid w:val="00CE578B"/>
    <w:rsid w:val="00CF0BB2"/>
    <w:rsid w:val="00CF272A"/>
    <w:rsid w:val="00CF7B22"/>
    <w:rsid w:val="00D00EAA"/>
    <w:rsid w:val="00D032AC"/>
    <w:rsid w:val="00D12B3E"/>
    <w:rsid w:val="00D12E2B"/>
    <w:rsid w:val="00D13441"/>
    <w:rsid w:val="00D23BA1"/>
    <w:rsid w:val="00D243A3"/>
    <w:rsid w:val="00D3643E"/>
    <w:rsid w:val="00D36853"/>
    <w:rsid w:val="00D409E8"/>
    <w:rsid w:val="00D410F6"/>
    <w:rsid w:val="00D43193"/>
    <w:rsid w:val="00D43785"/>
    <w:rsid w:val="00D44398"/>
    <w:rsid w:val="00D477C3"/>
    <w:rsid w:val="00D5129B"/>
    <w:rsid w:val="00D52EFE"/>
    <w:rsid w:val="00D55561"/>
    <w:rsid w:val="00D630D1"/>
    <w:rsid w:val="00D6324B"/>
    <w:rsid w:val="00D63EF6"/>
    <w:rsid w:val="00D70DFB"/>
    <w:rsid w:val="00D73029"/>
    <w:rsid w:val="00D766DF"/>
    <w:rsid w:val="00D818F6"/>
    <w:rsid w:val="00D87A67"/>
    <w:rsid w:val="00D90775"/>
    <w:rsid w:val="00D90BC9"/>
    <w:rsid w:val="00D96C38"/>
    <w:rsid w:val="00DA7340"/>
    <w:rsid w:val="00DA7B22"/>
    <w:rsid w:val="00DB6247"/>
    <w:rsid w:val="00DC6163"/>
    <w:rsid w:val="00DD3950"/>
    <w:rsid w:val="00DD6905"/>
    <w:rsid w:val="00DE2002"/>
    <w:rsid w:val="00DE2286"/>
    <w:rsid w:val="00DE29C6"/>
    <w:rsid w:val="00DE380C"/>
    <w:rsid w:val="00DF3F29"/>
    <w:rsid w:val="00DF7691"/>
    <w:rsid w:val="00DF7AE9"/>
    <w:rsid w:val="00E022D9"/>
    <w:rsid w:val="00E04426"/>
    <w:rsid w:val="00E05704"/>
    <w:rsid w:val="00E06B61"/>
    <w:rsid w:val="00E12947"/>
    <w:rsid w:val="00E13D84"/>
    <w:rsid w:val="00E169EB"/>
    <w:rsid w:val="00E22FA1"/>
    <w:rsid w:val="00E2312F"/>
    <w:rsid w:val="00E24390"/>
    <w:rsid w:val="00E24D66"/>
    <w:rsid w:val="00E30832"/>
    <w:rsid w:val="00E34D7C"/>
    <w:rsid w:val="00E3560B"/>
    <w:rsid w:val="00E427E1"/>
    <w:rsid w:val="00E54292"/>
    <w:rsid w:val="00E625D2"/>
    <w:rsid w:val="00E74DC7"/>
    <w:rsid w:val="00E80D14"/>
    <w:rsid w:val="00E84ECA"/>
    <w:rsid w:val="00E87699"/>
    <w:rsid w:val="00E9066F"/>
    <w:rsid w:val="00E947C6"/>
    <w:rsid w:val="00E9581B"/>
    <w:rsid w:val="00E963E6"/>
    <w:rsid w:val="00E97503"/>
    <w:rsid w:val="00E97F2F"/>
    <w:rsid w:val="00EB504C"/>
    <w:rsid w:val="00EB510C"/>
    <w:rsid w:val="00EC1AD0"/>
    <w:rsid w:val="00EC2104"/>
    <w:rsid w:val="00ED0A35"/>
    <w:rsid w:val="00ED492F"/>
    <w:rsid w:val="00ED6280"/>
    <w:rsid w:val="00EE3E36"/>
    <w:rsid w:val="00EE4613"/>
    <w:rsid w:val="00EF2E3A"/>
    <w:rsid w:val="00EF3936"/>
    <w:rsid w:val="00EF6272"/>
    <w:rsid w:val="00EF6E51"/>
    <w:rsid w:val="00F047E2"/>
    <w:rsid w:val="00F078DC"/>
    <w:rsid w:val="00F118E4"/>
    <w:rsid w:val="00F13D5B"/>
    <w:rsid w:val="00F13E86"/>
    <w:rsid w:val="00F17B00"/>
    <w:rsid w:val="00F202D7"/>
    <w:rsid w:val="00F209F0"/>
    <w:rsid w:val="00F221B4"/>
    <w:rsid w:val="00F30389"/>
    <w:rsid w:val="00F35046"/>
    <w:rsid w:val="00F43870"/>
    <w:rsid w:val="00F45202"/>
    <w:rsid w:val="00F45AD1"/>
    <w:rsid w:val="00F531D6"/>
    <w:rsid w:val="00F53793"/>
    <w:rsid w:val="00F55144"/>
    <w:rsid w:val="00F64A97"/>
    <w:rsid w:val="00F677A9"/>
    <w:rsid w:val="00F73783"/>
    <w:rsid w:val="00F7750C"/>
    <w:rsid w:val="00F77E38"/>
    <w:rsid w:val="00F817A6"/>
    <w:rsid w:val="00F82ABF"/>
    <w:rsid w:val="00F83056"/>
    <w:rsid w:val="00F84CF5"/>
    <w:rsid w:val="00F86F10"/>
    <w:rsid w:val="00F923D6"/>
    <w:rsid w:val="00F92D35"/>
    <w:rsid w:val="00F9372C"/>
    <w:rsid w:val="00F955FE"/>
    <w:rsid w:val="00FA420B"/>
    <w:rsid w:val="00FA4B31"/>
    <w:rsid w:val="00FB1B4A"/>
    <w:rsid w:val="00FB6464"/>
    <w:rsid w:val="00FB67E2"/>
    <w:rsid w:val="00FB7826"/>
    <w:rsid w:val="00FB7FEA"/>
    <w:rsid w:val="00FC6701"/>
    <w:rsid w:val="00FC7BDF"/>
    <w:rsid w:val="00FD1803"/>
    <w:rsid w:val="00FD1E13"/>
    <w:rsid w:val="00FD54D4"/>
    <w:rsid w:val="00FD66DC"/>
    <w:rsid w:val="00FD7EB1"/>
    <w:rsid w:val="00FE1F63"/>
    <w:rsid w:val="00FE41C9"/>
    <w:rsid w:val="00FE7F93"/>
    <w:rsid w:val="00FF4480"/>
    <w:rsid w:val="00FF55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921"/>
    <o:shapelayout v:ext="edit">
      <o:idmap v:ext="edit" data="1"/>
    </o:shapelayout>
  </w:shapeDefaults>
  <w:decimalSymbol w:val="."/>
  <w:listSeparator w:val=","/>
  <w14:docId w14:val="48C35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E78C6"/>
    <w:pPr>
      <w:spacing w:line="260" w:lineRule="atLeast"/>
    </w:pPr>
    <w:rPr>
      <w:sz w:val="22"/>
    </w:rPr>
  </w:style>
  <w:style w:type="paragraph" w:styleId="Heading1">
    <w:name w:val="heading 1"/>
    <w:basedOn w:val="Normal"/>
    <w:next w:val="Normal"/>
    <w:link w:val="Heading1Char"/>
    <w:uiPriority w:val="9"/>
    <w:qFormat/>
    <w:rsid w:val="004B258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4B258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B258B"/>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4B258B"/>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B258B"/>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4B258B"/>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4B258B"/>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4B258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4B258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E78C6"/>
  </w:style>
  <w:style w:type="paragraph" w:customStyle="1" w:styleId="OPCParaBase">
    <w:name w:val="OPCParaBase"/>
    <w:qFormat/>
    <w:rsid w:val="002E78C6"/>
    <w:pPr>
      <w:spacing w:line="260" w:lineRule="atLeast"/>
    </w:pPr>
    <w:rPr>
      <w:rFonts w:eastAsia="Times New Roman" w:cs="Times New Roman"/>
      <w:sz w:val="22"/>
      <w:lang w:eastAsia="en-AU"/>
    </w:rPr>
  </w:style>
  <w:style w:type="paragraph" w:customStyle="1" w:styleId="ShortT">
    <w:name w:val="ShortT"/>
    <w:basedOn w:val="OPCParaBase"/>
    <w:next w:val="Normal"/>
    <w:qFormat/>
    <w:rsid w:val="002E78C6"/>
    <w:pPr>
      <w:spacing w:line="240" w:lineRule="auto"/>
    </w:pPr>
    <w:rPr>
      <w:b/>
      <w:sz w:val="40"/>
    </w:rPr>
  </w:style>
  <w:style w:type="paragraph" w:customStyle="1" w:styleId="ActHead1">
    <w:name w:val="ActHead 1"/>
    <w:aliases w:val="c"/>
    <w:basedOn w:val="OPCParaBase"/>
    <w:next w:val="Normal"/>
    <w:qFormat/>
    <w:rsid w:val="002E78C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E78C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E78C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E78C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2E78C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E78C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E78C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E78C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E78C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E78C6"/>
  </w:style>
  <w:style w:type="paragraph" w:customStyle="1" w:styleId="Blocks">
    <w:name w:val="Blocks"/>
    <w:aliases w:val="bb"/>
    <w:basedOn w:val="OPCParaBase"/>
    <w:qFormat/>
    <w:rsid w:val="002E78C6"/>
    <w:pPr>
      <w:spacing w:line="240" w:lineRule="auto"/>
    </w:pPr>
    <w:rPr>
      <w:sz w:val="24"/>
    </w:rPr>
  </w:style>
  <w:style w:type="paragraph" w:customStyle="1" w:styleId="BoxText">
    <w:name w:val="BoxText"/>
    <w:aliases w:val="bt"/>
    <w:basedOn w:val="OPCParaBase"/>
    <w:qFormat/>
    <w:rsid w:val="002E78C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E78C6"/>
    <w:rPr>
      <w:b/>
    </w:rPr>
  </w:style>
  <w:style w:type="paragraph" w:customStyle="1" w:styleId="BoxHeadItalic">
    <w:name w:val="BoxHeadItalic"/>
    <w:aliases w:val="bhi"/>
    <w:basedOn w:val="BoxText"/>
    <w:next w:val="BoxStep"/>
    <w:qFormat/>
    <w:rsid w:val="002E78C6"/>
    <w:rPr>
      <w:i/>
    </w:rPr>
  </w:style>
  <w:style w:type="paragraph" w:customStyle="1" w:styleId="BoxList">
    <w:name w:val="BoxList"/>
    <w:aliases w:val="bl"/>
    <w:basedOn w:val="BoxText"/>
    <w:qFormat/>
    <w:rsid w:val="002E78C6"/>
    <w:pPr>
      <w:ind w:left="1559" w:hanging="425"/>
    </w:pPr>
  </w:style>
  <w:style w:type="paragraph" w:customStyle="1" w:styleId="BoxNote">
    <w:name w:val="BoxNote"/>
    <w:aliases w:val="bn"/>
    <w:basedOn w:val="BoxText"/>
    <w:qFormat/>
    <w:rsid w:val="002E78C6"/>
    <w:pPr>
      <w:tabs>
        <w:tab w:val="left" w:pos="1985"/>
      </w:tabs>
      <w:spacing w:before="122" w:line="198" w:lineRule="exact"/>
      <w:ind w:left="2948" w:hanging="1814"/>
    </w:pPr>
    <w:rPr>
      <w:sz w:val="18"/>
    </w:rPr>
  </w:style>
  <w:style w:type="paragraph" w:customStyle="1" w:styleId="BoxPara">
    <w:name w:val="BoxPara"/>
    <w:aliases w:val="bp"/>
    <w:basedOn w:val="BoxText"/>
    <w:qFormat/>
    <w:rsid w:val="002E78C6"/>
    <w:pPr>
      <w:tabs>
        <w:tab w:val="right" w:pos="2268"/>
      </w:tabs>
      <w:ind w:left="2552" w:hanging="1418"/>
    </w:pPr>
  </w:style>
  <w:style w:type="paragraph" w:customStyle="1" w:styleId="BoxStep">
    <w:name w:val="BoxStep"/>
    <w:aliases w:val="bs"/>
    <w:basedOn w:val="BoxText"/>
    <w:qFormat/>
    <w:rsid w:val="002E78C6"/>
    <w:pPr>
      <w:ind w:left="1985" w:hanging="851"/>
    </w:pPr>
  </w:style>
  <w:style w:type="character" w:customStyle="1" w:styleId="CharAmPartNo">
    <w:name w:val="CharAmPartNo"/>
    <w:basedOn w:val="OPCCharBase"/>
    <w:qFormat/>
    <w:rsid w:val="002E78C6"/>
  </w:style>
  <w:style w:type="character" w:customStyle="1" w:styleId="CharAmPartText">
    <w:name w:val="CharAmPartText"/>
    <w:basedOn w:val="OPCCharBase"/>
    <w:qFormat/>
    <w:rsid w:val="002E78C6"/>
  </w:style>
  <w:style w:type="character" w:customStyle="1" w:styleId="CharAmSchNo">
    <w:name w:val="CharAmSchNo"/>
    <w:basedOn w:val="OPCCharBase"/>
    <w:qFormat/>
    <w:rsid w:val="002E78C6"/>
  </w:style>
  <w:style w:type="character" w:customStyle="1" w:styleId="CharAmSchText">
    <w:name w:val="CharAmSchText"/>
    <w:basedOn w:val="OPCCharBase"/>
    <w:qFormat/>
    <w:rsid w:val="002E78C6"/>
  </w:style>
  <w:style w:type="character" w:customStyle="1" w:styleId="CharBoldItalic">
    <w:name w:val="CharBoldItalic"/>
    <w:basedOn w:val="OPCCharBase"/>
    <w:uiPriority w:val="1"/>
    <w:qFormat/>
    <w:rsid w:val="002E78C6"/>
    <w:rPr>
      <w:b/>
      <w:i/>
    </w:rPr>
  </w:style>
  <w:style w:type="character" w:customStyle="1" w:styleId="CharChapNo">
    <w:name w:val="CharChapNo"/>
    <w:basedOn w:val="OPCCharBase"/>
    <w:uiPriority w:val="1"/>
    <w:qFormat/>
    <w:rsid w:val="002E78C6"/>
  </w:style>
  <w:style w:type="character" w:customStyle="1" w:styleId="CharChapText">
    <w:name w:val="CharChapText"/>
    <w:basedOn w:val="OPCCharBase"/>
    <w:uiPriority w:val="1"/>
    <w:qFormat/>
    <w:rsid w:val="002E78C6"/>
  </w:style>
  <w:style w:type="character" w:customStyle="1" w:styleId="CharDivNo">
    <w:name w:val="CharDivNo"/>
    <w:basedOn w:val="OPCCharBase"/>
    <w:uiPriority w:val="1"/>
    <w:qFormat/>
    <w:rsid w:val="002E78C6"/>
  </w:style>
  <w:style w:type="character" w:customStyle="1" w:styleId="CharDivText">
    <w:name w:val="CharDivText"/>
    <w:basedOn w:val="OPCCharBase"/>
    <w:uiPriority w:val="1"/>
    <w:qFormat/>
    <w:rsid w:val="002E78C6"/>
  </w:style>
  <w:style w:type="character" w:customStyle="1" w:styleId="CharItalic">
    <w:name w:val="CharItalic"/>
    <w:basedOn w:val="OPCCharBase"/>
    <w:uiPriority w:val="1"/>
    <w:qFormat/>
    <w:rsid w:val="002E78C6"/>
    <w:rPr>
      <w:i/>
    </w:rPr>
  </w:style>
  <w:style w:type="character" w:customStyle="1" w:styleId="CharPartNo">
    <w:name w:val="CharPartNo"/>
    <w:basedOn w:val="OPCCharBase"/>
    <w:uiPriority w:val="1"/>
    <w:qFormat/>
    <w:rsid w:val="002E78C6"/>
  </w:style>
  <w:style w:type="character" w:customStyle="1" w:styleId="CharPartText">
    <w:name w:val="CharPartText"/>
    <w:basedOn w:val="OPCCharBase"/>
    <w:uiPriority w:val="1"/>
    <w:qFormat/>
    <w:rsid w:val="002E78C6"/>
  </w:style>
  <w:style w:type="character" w:customStyle="1" w:styleId="CharSectno">
    <w:name w:val="CharSectno"/>
    <w:basedOn w:val="OPCCharBase"/>
    <w:qFormat/>
    <w:rsid w:val="002E78C6"/>
  </w:style>
  <w:style w:type="character" w:customStyle="1" w:styleId="CharSubdNo">
    <w:name w:val="CharSubdNo"/>
    <w:basedOn w:val="OPCCharBase"/>
    <w:uiPriority w:val="1"/>
    <w:qFormat/>
    <w:rsid w:val="002E78C6"/>
  </w:style>
  <w:style w:type="character" w:customStyle="1" w:styleId="CharSubdText">
    <w:name w:val="CharSubdText"/>
    <w:basedOn w:val="OPCCharBase"/>
    <w:uiPriority w:val="1"/>
    <w:qFormat/>
    <w:rsid w:val="002E78C6"/>
  </w:style>
  <w:style w:type="paragraph" w:customStyle="1" w:styleId="CTA--">
    <w:name w:val="CTA --"/>
    <w:basedOn w:val="OPCParaBase"/>
    <w:next w:val="Normal"/>
    <w:rsid w:val="002E78C6"/>
    <w:pPr>
      <w:spacing w:before="60" w:line="240" w:lineRule="atLeast"/>
      <w:ind w:left="142" w:hanging="142"/>
    </w:pPr>
    <w:rPr>
      <w:sz w:val="20"/>
    </w:rPr>
  </w:style>
  <w:style w:type="paragraph" w:customStyle="1" w:styleId="CTA-">
    <w:name w:val="CTA -"/>
    <w:basedOn w:val="OPCParaBase"/>
    <w:rsid w:val="002E78C6"/>
    <w:pPr>
      <w:spacing w:before="60" w:line="240" w:lineRule="atLeast"/>
      <w:ind w:left="85" w:hanging="85"/>
    </w:pPr>
    <w:rPr>
      <w:sz w:val="20"/>
    </w:rPr>
  </w:style>
  <w:style w:type="paragraph" w:customStyle="1" w:styleId="CTA---">
    <w:name w:val="CTA ---"/>
    <w:basedOn w:val="OPCParaBase"/>
    <w:next w:val="Normal"/>
    <w:rsid w:val="002E78C6"/>
    <w:pPr>
      <w:spacing w:before="60" w:line="240" w:lineRule="atLeast"/>
      <w:ind w:left="198" w:hanging="198"/>
    </w:pPr>
    <w:rPr>
      <w:sz w:val="20"/>
    </w:rPr>
  </w:style>
  <w:style w:type="paragraph" w:customStyle="1" w:styleId="CTA----">
    <w:name w:val="CTA ----"/>
    <w:basedOn w:val="OPCParaBase"/>
    <w:next w:val="Normal"/>
    <w:rsid w:val="002E78C6"/>
    <w:pPr>
      <w:spacing w:before="60" w:line="240" w:lineRule="atLeast"/>
      <w:ind w:left="255" w:hanging="255"/>
    </w:pPr>
    <w:rPr>
      <w:sz w:val="20"/>
    </w:rPr>
  </w:style>
  <w:style w:type="paragraph" w:customStyle="1" w:styleId="CTA1a">
    <w:name w:val="CTA 1(a)"/>
    <w:basedOn w:val="OPCParaBase"/>
    <w:rsid w:val="002E78C6"/>
    <w:pPr>
      <w:tabs>
        <w:tab w:val="right" w:pos="414"/>
      </w:tabs>
      <w:spacing w:before="40" w:line="240" w:lineRule="atLeast"/>
      <w:ind w:left="675" w:hanging="675"/>
    </w:pPr>
    <w:rPr>
      <w:sz w:val="20"/>
    </w:rPr>
  </w:style>
  <w:style w:type="paragraph" w:customStyle="1" w:styleId="CTA1ai">
    <w:name w:val="CTA 1(a)(i)"/>
    <w:basedOn w:val="OPCParaBase"/>
    <w:rsid w:val="002E78C6"/>
    <w:pPr>
      <w:tabs>
        <w:tab w:val="right" w:pos="1004"/>
      </w:tabs>
      <w:spacing w:before="40" w:line="240" w:lineRule="atLeast"/>
      <w:ind w:left="1253" w:hanging="1253"/>
    </w:pPr>
    <w:rPr>
      <w:sz w:val="20"/>
    </w:rPr>
  </w:style>
  <w:style w:type="paragraph" w:customStyle="1" w:styleId="CTA2a">
    <w:name w:val="CTA 2(a)"/>
    <w:basedOn w:val="OPCParaBase"/>
    <w:rsid w:val="002E78C6"/>
    <w:pPr>
      <w:tabs>
        <w:tab w:val="right" w:pos="482"/>
      </w:tabs>
      <w:spacing w:before="40" w:line="240" w:lineRule="atLeast"/>
      <w:ind w:left="748" w:hanging="748"/>
    </w:pPr>
    <w:rPr>
      <w:sz w:val="20"/>
    </w:rPr>
  </w:style>
  <w:style w:type="paragraph" w:customStyle="1" w:styleId="CTA2ai">
    <w:name w:val="CTA 2(a)(i)"/>
    <w:basedOn w:val="OPCParaBase"/>
    <w:rsid w:val="002E78C6"/>
    <w:pPr>
      <w:tabs>
        <w:tab w:val="right" w:pos="1089"/>
      </w:tabs>
      <w:spacing w:before="40" w:line="240" w:lineRule="atLeast"/>
      <w:ind w:left="1327" w:hanging="1327"/>
    </w:pPr>
    <w:rPr>
      <w:sz w:val="20"/>
    </w:rPr>
  </w:style>
  <w:style w:type="paragraph" w:customStyle="1" w:styleId="CTA3a">
    <w:name w:val="CTA 3(a)"/>
    <w:basedOn w:val="OPCParaBase"/>
    <w:rsid w:val="002E78C6"/>
    <w:pPr>
      <w:tabs>
        <w:tab w:val="right" w:pos="556"/>
      </w:tabs>
      <w:spacing w:before="40" w:line="240" w:lineRule="atLeast"/>
      <w:ind w:left="805" w:hanging="805"/>
    </w:pPr>
    <w:rPr>
      <w:sz w:val="20"/>
    </w:rPr>
  </w:style>
  <w:style w:type="paragraph" w:customStyle="1" w:styleId="CTA3ai">
    <w:name w:val="CTA 3(a)(i)"/>
    <w:basedOn w:val="OPCParaBase"/>
    <w:rsid w:val="002E78C6"/>
    <w:pPr>
      <w:tabs>
        <w:tab w:val="right" w:pos="1140"/>
      </w:tabs>
      <w:spacing w:before="40" w:line="240" w:lineRule="atLeast"/>
      <w:ind w:left="1361" w:hanging="1361"/>
    </w:pPr>
    <w:rPr>
      <w:sz w:val="20"/>
    </w:rPr>
  </w:style>
  <w:style w:type="paragraph" w:customStyle="1" w:styleId="CTA4a">
    <w:name w:val="CTA 4(a)"/>
    <w:basedOn w:val="OPCParaBase"/>
    <w:rsid w:val="002E78C6"/>
    <w:pPr>
      <w:tabs>
        <w:tab w:val="right" w:pos="624"/>
      </w:tabs>
      <w:spacing w:before="40" w:line="240" w:lineRule="atLeast"/>
      <w:ind w:left="873" w:hanging="873"/>
    </w:pPr>
    <w:rPr>
      <w:sz w:val="20"/>
    </w:rPr>
  </w:style>
  <w:style w:type="paragraph" w:customStyle="1" w:styleId="CTA4ai">
    <w:name w:val="CTA 4(a)(i)"/>
    <w:basedOn w:val="OPCParaBase"/>
    <w:rsid w:val="002E78C6"/>
    <w:pPr>
      <w:tabs>
        <w:tab w:val="right" w:pos="1213"/>
      </w:tabs>
      <w:spacing w:before="40" w:line="240" w:lineRule="atLeast"/>
      <w:ind w:left="1452" w:hanging="1452"/>
    </w:pPr>
    <w:rPr>
      <w:sz w:val="20"/>
    </w:rPr>
  </w:style>
  <w:style w:type="paragraph" w:customStyle="1" w:styleId="CTACAPS">
    <w:name w:val="CTA CAPS"/>
    <w:basedOn w:val="OPCParaBase"/>
    <w:rsid w:val="002E78C6"/>
    <w:pPr>
      <w:spacing w:before="60" w:line="240" w:lineRule="atLeast"/>
    </w:pPr>
    <w:rPr>
      <w:sz w:val="20"/>
    </w:rPr>
  </w:style>
  <w:style w:type="paragraph" w:customStyle="1" w:styleId="CTAright">
    <w:name w:val="CTA right"/>
    <w:basedOn w:val="OPCParaBase"/>
    <w:rsid w:val="002E78C6"/>
    <w:pPr>
      <w:spacing w:before="60" w:line="240" w:lineRule="auto"/>
      <w:jc w:val="right"/>
    </w:pPr>
    <w:rPr>
      <w:sz w:val="20"/>
    </w:rPr>
  </w:style>
  <w:style w:type="paragraph" w:customStyle="1" w:styleId="subsection">
    <w:name w:val="subsection"/>
    <w:aliases w:val="ss"/>
    <w:basedOn w:val="OPCParaBase"/>
    <w:link w:val="subsectionChar"/>
    <w:rsid w:val="002E78C6"/>
    <w:pPr>
      <w:tabs>
        <w:tab w:val="right" w:pos="1021"/>
      </w:tabs>
      <w:spacing w:before="180" w:line="240" w:lineRule="auto"/>
      <w:ind w:left="1134" w:hanging="1134"/>
    </w:pPr>
  </w:style>
  <w:style w:type="paragraph" w:customStyle="1" w:styleId="Definition">
    <w:name w:val="Definition"/>
    <w:aliases w:val="dd"/>
    <w:basedOn w:val="OPCParaBase"/>
    <w:rsid w:val="002E78C6"/>
    <w:pPr>
      <w:spacing w:before="180" w:line="240" w:lineRule="auto"/>
      <w:ind w:left="1134"/>
    </w:pPr>
  </w:style>
  <w:style w:type="paragraph" w:customStyle="1" w:styleId="ETAsubitem">
    <w:name w:val="ETA(subitem)"/>
    <w:basedOn w:val="OPCParaBase"/>
    <w:rsid w:val="002E78C6"/>
    <w:pPr>
      <w:tabs>
        <w:tab w:val="right" w:pos="340"/>
      </w:tabs>
      <w:spacing w:before="60" w:line="240" w:lineRule="auto"/>
      <w:ind w:left="454" w:hanging="454"/>
    </w:pPr>
    <w:rPr>
      <w:sz w:val="20"/>
    </w:rPr>
  </w:style>
  <w:style w:type="paragraph" w:customStyle="1" w:styleId="ETApara">
    <w:name w:val="ETA(para)"/>
    <w:basedOn w:val="OPCParaBase"/>
    <w:rsid w:val="002E78C6"/>
    <w:pPr>
      <w:tabs>
        <w:tab w:val="right" w:pos="754"/>
      </w:tabs>
      <w:spacing w:before="60" w:line="240" w:lineRule="auto"/>
      <w:ind w:left="828" w:hanging="828"/>
    </w:pPr>
    <w:rPr>
      <w:sz w:val="20"/>
    </w:rPr>
  </w:style>
  <w:style w:type="paragraph" w:customStyle="1" w:styleId="ETAsubpara">
    <w:name w:val="ETA(subpara)"/>
    <w:basedOn w:val="OPCParaBase"/>
    <w:rsid w:val="002E78C6"/>
    <w:pPr>
      <w:tabs>
        <w:tab w:val="right" w:pos="1083"/>
      </w:tabs>
      <w:spacing w:before="60" w:line="240" w:lineRule="auto"/>
      <w:ind w:left="1191" w:hanging="1191"/>
    </w:pPr>
    <w:rPr>
      <w:sz w:val="20"/>
    </w:rPr>
  </w:style>
  <w:style w:type="paragraph" w:customStyle="1" w:styleId="ETAsub-subpara">
    <w:name w:val="ETA(sub-subpara)"/>
    <w:basedOn w:val="OPCParaBase"/>
    <w:rsid w:val="002E78C6"/>
    <w:pPr>
      <w:tabs>
        <w:tab w:val="right" w:pos="1412"/>
      </w:tabs>
      <w:spacing w:before="60" w:line="240" w:lineRule="auto"/>
      <w:ind w:left="1525" w:hanging="1525"/>
    </w:pPr>
    <w:rPr>
      <w:sz w:val="20"/>
    </w:rPr>
  </w:style>
  <w:style w:type="paragraph" w:customStyle="1" w:styleId="Formula">
    <w:name w:val="Formula"/>
    <w:basedOn w:val="OPCParaBase"/>
    <w:rsid w:val="002E78C6"/>
    <w:pPr>
      <w:spacing w:line="240" w:lineRule="auto"/>
      <w:ind w:left="1134"/>
    </w:pPr>
    <w:rPr>
      <w:sz w:val="20"/>
    </w:rPr>
  </w:style>
  <w:style w:type="paragraph" w:styleId="Header">
    <w:name w:val="header"/>
    <w:basedOn w:val="OPCParaBase"/>
    <w:link w:val="HeaderChar"/>
    <w:unhideWhenUsed/>
    <w:rsid w:val="002E78C6"/>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E78C6"/>
    <w:rPr>
      <w:rFonts w:eastAsia="Times New Roman" w:cs="Times New Roman"/>
      <w:sz w:val="16"/>
      <w:lang w:eastAsia="en-AU"/>
    </w:rPr>
  </w:style>
  <w:style w:type="paragraph" w:customStyle="1" w:styleId="House">
    <w:name w:val="House"/>
    <w:basedOn w:val="OPCParaBase"/>
    <w:rsid w:val="002E78C6"/>
    <w:pPr>
      <w:spacing w:line="240" w:lineRule="auto"/>
    </w:pPr>
    <w:rPr>
      <w:sz w:val="28"/>
    </w:rPr>
  </w:style>
  <w:style w:type="paragraph" w:customStyle="1" w:styleId="Item">
    <w:name w:val="Item"/>
    <w:aliases w:val="i"/>
    <w:basedOn w:val="OPCParaBase"/>
    <w:next w:val="ItemHead"/>
    <w:rsid w:val="002E78C6"/>
    <w:pPr>
      <w:keepLines/>
      <w:spacing w:before="80" w:line="240" w:lineRule="auto"/>
      <w:ind w:left="709"/>
    </w:pPr>
  </w:style>
  <w:style w:type="paragraph" w:customStyle="1" w:styleId="ItemHead">
    <w:name w:val="ItemHead"/>
    <w:aliases w:val="ih"/>
    <w:basedOn w:val="OPCParaBase"/>
    <w:next w:val="Item"/>
    <w:rsid w:val="002E78C6"/>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E78C6"/>
    <w:pPr>
      <w:spacing w:line="240" w:lineRule="auto"/>
    </w:pPr>
    <w:rPr>
      <w:b/>
      <w:sz w:val="32"/>
    </w:rPr>
  </w:style>
  <w:style w:type="paragraph" w:customStyle="1" w:styleId="notedraft">
    <w:name w:val="note(draft)"/>
    <w:aliases w:val="nd"/>
    <w:basedOn w:val="OPCParaBase"/>
    <w:rsid w:val="002E78C6"/>
    <w:pPr>
      <w:spacing w:before="240" w:line="240" w:lineRule="auto"/>
      <w:ind w:left="284" w:hanging="284"/>
    </w:pPr>
    <w:rPr>
      <w:i/>
      <w:sz w:val="24"/>
    </w:rPr>
  </w:style>
  <w:style w:type="paragraph" w:customStyle="1" w:styleId="notemargin">
    <w:name w:val="note(margin)"/>
    <w:aliases w:val="nm"/>
    <w:basedOn w:val="OPCParaBase"/>
    <w:rsid w:val="002E78C6"/>
    <w:pPr>
      <w:tabs>
        <w:tab w:val="left" w:pos="709"/>
      </w:tabs>
      <w:spacing w:before="122" w:line="198" w:lineRule="exact"/>
      <w:ind w:left="709" w:hanging="709"/>
    </w:pPr>
    <w:rPr>
      <w:sz w:val="18"/>
    </w:rPr>
  </w:style>
  <w:style w:type="paragraph" w:customStyle="1" w:styleId="noteToPara">
    <w:name w:val="noteToPara"/>
    <w:aliases w:val="ntp"/>
    <w:basedOn w:val="OPCParaBase"/>
    <w:rsid w:val="002E78C6"/>
    <w:pPr>
      <w:spacing w:before="122" w:line="198" w:lineRule="exact"/>
      <w:ind w:left="2353" w:hanging="709"/>
    </w:pPr>
    <w:rPr>
      <w:sz w:val="18"/>
    </w:rPr>
  </w:style>
  <w:style w:type="paragraph" w:customStyle="1" w:styleId="noteParlAmend">
    <w:name w:val="note(ParlAmend)"/>
    <w:aliases w:val="npp"/>
    <w:basedOn w:val="OPCParaBase"/>
    <w:next w:val="ParlAmend"/>
    <w:rsid w:val="002E78C6"/>
    <w:pPr>
      <w:spacing w:line="240" w:lineRule="auto"/>
      <w:jc w:val="right"/>
    </w:pPr>
    <w:rPr>
      <w:rFonts w:ascii="Arial" w:hAnsi="Arial"/>
      <w:b/>
      <w:i/>
    </w:rPr>
  </w:style>
  <w:style w:type="paragraph" w:customStyle="1" w:styleId="Page1">
    <w:name w:val="Page1"/>
    <w:basedOn w:val="OPCParaBase"/>
    <w:rsid w:val="002E78C6"/>
    <w:pPr>
      <w:spacing w:before="5600" w:line="240" w:lineRule="auto"/>
    </w:pPr>
    <w:rPr>
      <w:b/>
      <w:sz w:val="32"/>
    </w:rPr>
  </w:style>
  <w:style w:type="paragraph" w:customStyle="1" w:styleId="PageBreak">
    <w:name w:val="PageBreak"/>
    <w:aliases w:val="pb"/>
    <w:basedOn w:val="OPCParaBase"/>
    <w:rsid w:val="002E78C6"/>
    <w:pPr>
      <w:spacing w:line="240" w:lineRule="auto"/>
    </w:pPr>
    <w:rPr>
      <w:sz w:val="20"/>
    </w:rPr>
  </w:style>
  <w:style w:type="paragraph" w:customStyle="1" w:styleId="paragraphsub">
    <w:name w:val="paragraph(sub)"/>
    <w:aliases w:val="aa"/>
    <w:basedOn w:val="OPCParaBase"/>
    <w:rsid w:val="002E78C6"/>
    <w:pPr>
      <w:tabs>
        <w:tab w:val="right" w:pos="1985"/>
      </w:tabs>
      <w:spacing w:before="40" w:line="240" w:lineRule="auto"/>
      <w:ind w:left="2098" w:hanging="2098"/>
    </w:pPr>
  </w:style>
  <w:style w:type="paragraph" w:customStyle="1" w:styleId="paragraphsub-sub">
    <w:name w:val="paragraph(sub-sub)"/>
    <w:aliases w:val="aaa"/>
    <w:basedOn w:val="OPCParaBase"/>
    <w:rsid w:val="002E78C6"/>
    <w:pPr>
      <w:tabs>
        <w:tab w:val="right" w:pos="2722"/>
      </w:tabs>
      <w:spacing w:before="40" w:line="240" w:lineRule="auto"/>
      <w:ind w:left="2835" w:hanging="2835"/>
    </w:pPr>
  </w:style>
  <w:style w:type="paragraph" w:customStyle="1" w:styleId="paragraph">
    <w:name w:val="paragraph"/>
    <w:aliases w:val="a"/>
    <w:basedOn w:val="OPCParaBase"/>
    <w:link w:val="paragraphChar"/>
    <w:rsid w:val="002E78C6"/>
    <w:pPr>
      <w:tabs>
        <w:tab w:val="right" w:pos="1531"/>
      </w:tabs>
      <w:spacing w:before="40" w:line="240" w:lineRule="auto"/>
      <w:ind w:left="1644" w:hanging="1644"/>
    </w:pPr>
  </w:style>
  <w:style w:type="paragraph" w:customStyle="1" w:styleId="ParlAmend">
    <w:name w:val="ParlAmend"/>
    <w:aliases w:val="pp"/>
    <w:basedOn w:val="OPCParaBase"/>
    <w:rsid w:val="002E78C6"/>
    <w:pPr>
      <w:spacing w:before="240" w:line="240" w:lineRule="atLeast"/>
      <w:ind w:hanging="567"/>
    </w:pPr>
    <w:rPr>
      <w:sz w:val="24"/>
    </w:rPr>
  </w:style>
  <w:style w:type="paragraph" w:customStyle="1" w:styleId="Penalty">
    <w:name w:val="Penalty"/>
    <w:basedOn w:val="OPCParaBase"/>
    <w:rsid w:val="002E78C6"/>
    <w:pPr>
      <w:tabs>
        <w:tab w:val="left" w:pos="2977"/>
      </w:tabs>
      <w:spacing w:before="180" w:line="240" w:lineRule="auto"/>
      <w:ind w:left="1985" w:hanging="851"/>
    </w:pPr>
  </w:style>
  <w:style w:type="paragraph" w:customStyle="1" w:styleId="Portfolio">
    <w:name w:val="Portfolio"/>
    <w:basedOn w:val="OPCParaBase"/>
    <w:rsid w:val="002E78C6"/>
    <w:pPr>
      <w:spacing w:line="240" w:lineRule="auto"/>
    </w:pPr>
    <w:rPr>
      <w:i/>
      <w:sz w:val="20"/>
    </w:rPr>
  </w:style>
  <w:style w:type="paragraph" w:customStyle="1" w:styleId="Preamble">
    <w:name w:val="Preamble"/>
    <w:basedOn w:val="OPCParaBase"/>
    <w:next w:val="Normal"/>
    <w:rsid w:val="002E78C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E78C6"/>
    <w:pPr>
      <w:spacing w:line="240" w:lineRule="auto"/>
    </w:pPr>
    <w:rPr>
      <w:i/>
      <w:sz w:val="20"/>
    </w:rPr>
  </w:style>
  <w:style w:type="paragraph" w:customStyle="1" w:styleId="Session">
    <w:name w:val="Session"/>
    <w:basedOn w:val="OPCParaBase"/>
    <w:rsid w:val="002E78C6"/>
    <w:pPr>
      <w:spacing w:line="240" w:lineRule="auto"/>
    </w:pPr>
    <w:rPr>
      <w:sz w:val="28"/>
    </w:rPr>
  </w:style>
  <w:style w:type="paragraph" w:customStyle="1" w:styleId="Sponsor">
    <w:name w:val="Sponsor"/>
    <w:basedOn w:val="OPCParaBase"/>
    <w:rsid w:val="002E78C6"/>
    <w:pPr>
      <w:spacing w:line="240" w:lineRule="auto"/>
    </w:pPr>
    <w:rPr>
      <w:i/>
    </w:rPr>
  </w:style>
  <w:style w:type="paragraph" w:customStyle="1" w:styleId="Subitem">
    <w:name w:val="Subitem"/>
    <w:aliases w:val="iss"/>
    <w:basedOn w:val="OPCParaBase"/>
    <w:rsid w:val="002E78C6"/>
    <w:pPr>
      <w:spacing w:before="180" w:line="240" w:lineRule="auto"/>
      <w:ind w:left="709" w:hanging="709"/>
    </w:pPr>
  </w:style>
  <w:style w:type="paragraph" w:customStyle="1" w:styleId="SubitemHead">
    <w:name w:val="SubitemHead"/>
    <w:aliases w:val="issh"/>
    <w:basedOn w:val="OPCParaBase"/>
    <w:rsid w:val="002E78C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E78C6"/>
    <w:pPr>
      <w:spacing w:before="40" w:line="240" w:lineRule="auto"/>
      <w:ind w:left="1134"/>
    </w:pPr>
  </w:style>
  <w:style w:type="paragraph" w:customStyle="1" w:styleId="SubsectionHead">
    <w:name w:val="SubsectionHead"/>
    <w:aliases w:val="ssh"/>
    <w:basedOn w:val="OPCParaBase"/>
    <w:next w:val="subsection"/>
    <w:rsid w:val="002E78C6"/>
    <w:pPr>
      <w:keepNext/>
      <w:keepLines/>
      <w:spacing w:before="240" w:line="240" w:lineRule="auto"/>
      <w:ind w:left="1134"/>
    </w:pPr>
    <w:rPr>
      <w:i/>
    </w:rPr>
  </w:style>
  <w:style w:type="paragraph" w:customStyle="1" w:styleId="Tablea">
    <w:name w:val="Table(a)"/>
    <w:aliases w:val="ta"/>
    <w:basedOn w:val="OPCParaBase"/>
    <w:rsid w:val="002E78C6"/>
    <w:pPr>
      <w:spacing w:before="60" w:line="240" w:lineRule="auto"/>
      <w:ind w:left="284" w:hanging="284"/>
    </w:pPr>
    <w:rPr>
      <w:sz w:val="20"/>
    </w:rPr>
  </w:style>
  <w:style w:type="paragraph" w:customStyle="1" w:styleId="TableAA">
    <w:name w:val="Table(AA)"/>
    <w:aliases w:val="taaa"/>
    <w:basedOn w:val="OPCParaBase"/>
    <w:rsid w:val="002E78C6"/>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E78C6"/>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E78C6"/>
    <w:pPr>
      <w:spacing w:before="60" w:line="240" w:lineRule="atLeast"/>
    </w:pPr>
    <w:rPr>
      <w:sz w:val="20"/>
    </w:rPr>
  </w:style>
  <w:style w:type="paragraph" w:customStyle="1" w:styleId="TLPBoxTextnote">
    <w:name w:val="TLPBoxText(note"/>
    <w:aliases w:val="right)"/>
    <w:basedOn w:val="OPCParaBase"/>
    <w:rsid w:val="002E78C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E78C6"/>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E78C6"/>
    <w:pPr>
      <w:spacing w:before="122" w:line="198" w:lineRule="exact"/>
      <w:ind w:left="1985" w:hanging="851"/>
      <w:jc w:val="right"/>
    </w:pPr>
    <w:rPr>
      <w:sz w:val="18"/>
    </w:rPr>
  </w:style>
  <w:style w:type="paragraph" w:customStyle="1" w:styleId="TLPTableBullet">
    <w:name w:val="TLPTableBullet"/>
    <w:aliases w:val="ttb"/>
    <w:basedOn w:val="OPCParaBase"/>
    <w:rsid w:val="002E78C6"/>
    <w:pPr>
      <w:spacing w:line="240" w:lineRule="exact"/>
      <w:ind w:left="284" w:hanging="284"/>
    </w:pPr>
    <w:rPr>
      <w:sz w:val="20"/>
    </w:rPr>
  </w:style>
  <w:style w:type="paragraph" w:styleId="TOC1">
    <w:name w:val="toc 1"/>
    <w:basedOn w:val="OPCParaBase"/>
    <w:next w:val="Normal"/>
    <w:uiPriority w:val="39"/>
    <w:semiHidden/>
    <w:unhideWhenUsed/>
    <w:rsid w:val="002E78C6"/>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2E78C6"/>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2E78C6"/>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2E78C6"/>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2E78C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2E78C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2E78C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2E78C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2E78C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2E78C6"/>
    <w:pPr>
      <w:keepLines/>
      <w:spacing w:before="240" w:after="120" w:line="240" w:lineRule="auto"/>
      <w:ind w:left="794"/>
    </w:pPr>
    <w:rPr>
      <w:b/>
      <w:kern w:val="28"/>
      <w:sz w:val="20"/>
    </w:rPr>
  </w:style>
  <w:style w:type="paragraph" w:customStyle="1" w:styleId="TofSectsHeading">
    <w:name w:val="TofSects(Heading)"/>
    <w:basedOn w:val="OPCParaBase"/>
    <w:rsid w:val="002E78C6"/>
    <w:pPr>
      <w:spacing w:before="240" w:after="120" w:line="240" w:lineRule="auto"/>
    </w:pPr>
    <w:rPr>
      <w:b/>
      <w:sz w:val="24"/>
    </w:rPr>
  </w:style>
  <w:style w:type="paragraph" w:customStyle="1" w:styleId="TofSectsSection">
    <w:name w:val="TofSects(Section)"/>
    <w:basedOn w:val="OPCParaBase"/>
    <w:rsid w:val="002E78C6"/>
    <w:pPr>
      <w:keepLines/>
      <w:spacing w:before="40" w:line="240" w:lineRule="auto"/>
      <w:ind w:left="1588" w:hanging="794"/>
    </w:pPr>
    <w:rPr>
      <w:kern w:val="28"/>
      <w:sz w:val="18"/>
    </w:rPr>
  </w:style>
  <w:style w:type="paragraph" w:customStyle="1" w:styleId="TofSectsSubdiv">
    <w:name w:val="TofSects(Subdiv)"/>
    <w:basedOn w:val="OPCParaBase"/>
    <w:rsid w:val="002E78C6"/>
    <w:pPr>
      <w:keepLines/>
      <w:spacing w:before="80" w:line="240" w:lineRule="auto"/>
      <w:ind w:left="1588" w:hanging="794"/>
    </w:pPr>
    <w:rPr>
      <w:kern w:val="28"/>
    </w:rPr>
  </w:style>
  <w:style w:type="paragraph" w:customStyle="1" w:styleId="WRStyle">
    <w:name w:val="WR Style"/>
    <w:aliases w:val="WR"/>
    <w:basedOn w:val="OPCParaBase"/>
    <w:rsid w:val="002E78C6"/>
    <w:pPr>
      <w:spacing w:before="240" w:line="240" w:lineRule="auto"/>
      <w:ind w:left="284" w:hanging="284"/>
    </w:pPr>
    <w:rPr>
      <w:b/>
      <w:i/>
      <w:kern w:val="28"/>
      <w:sz w:val="24"/>
    </w:rPr>
  </w:style>
  <w:style w:type="paragraph" w:customStyle="1" w:styleId="notepara">
    <w:name w:val="note(para)"/>
    <w:aliases w:val="na"/>
    <w:basedOn w:val="OPCParaBase"/>
    <w:rsid w:val="002E78C6"/>
    <w:pPr>
      <w:spacing w:before="40" w:line="198" w:lineRule="exact"/>
      <w:ind w:left="2354" w:hanging="369"/>
    </w:pPr>
    <w:rPr>
      <w:sz w:val="18"/>
    </w:rPr>
  </w:style>
  <w:style w:type="paragraph" w:styleId="Footer">
    <w:name w:val="footer"/>
    <w:link w:val="FooterChar"/>
    <w:rsid w:val="002E78C6"/>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E78C6"/>
    <w:rPr>
      <w:rFonts w:eastAsia="Times New Roman" w:cs="Times New Roman"/>
      <w:sz w:val="22"/>
      <w:szCs w:val="24"/>
      <w:lang w:eastAsia="en-AU"/>
    </w:rPr>
  </w:style>
  <w:style w:type="character" w:styleId="LineNumber">
    <w:name w:val="line number"/>
    <w:basedOn w:val="OPCCharBase"/>
    <w:uiPriority w:val="99"/>
    <w:semiHidden/>
    <w:unhideWhenUsed/>
    <w:rsid w:val="002E78C6"/>
    <w:rPr>
      <w:sz w:val="16"/>
    </w:rPr>
  </w:style>
  <w:style w:type="table" w:customStyle="1" w:styleId="CFlag">
    <w:name w:val="CFlag"/>
    <w:basedOn w:val="TableNormal"/>
    <w:uiPriority w:val="99"/>
    <w:rsid w:val="002E78C6"/>
    <w:rPr>
      <w:rFonts w:eastAsia="Times New Roman" w:cs="Times New Roman"/>
      <w:lang w:eastAsia="en-AU"/>
    </w:rPr>
    <w:tblPr/>
  </w:style>
  <w:style w:type="paragraph" w:customStyle="1" w:styleId="NotesHeading1">
    <w:name w:val="NotesHeading 1"/>
    <w:basedOn w:val="OPCParaBase"/>
    <w:next w:val="Normal"/>
    <w:rsid w:val="002E78C6"/>
    <w:rPr>
      <w:b/>
      <w:sz w:val="28"/>
      <w:szCs w:val="28"/>
    </w:rPr>
  </w:style>
  <w:style w:type="paragraph" w:customStyle="1" w:styleId="NotesHeading2">
    <w:name w:val="NotesHeading 2"/>
    <w:basedOn w:val="OPCParaBase"/>
    <w:next w:val="Normal"/>
    <w:rsid w:val="002E78C6"/>
    <w:rPr>
      <w:b/>
      <w:sz w:val="28"/>
      <w:szCs w:val="28"/>
    </w:rPr>
  </w:style>
  <w:style w:type="paragraph" w:customStyle="1" w:styleId="SignCoverPageEnd">
    <w:name w:val="SignCoverPageEnd"/>
    <w:basedOn w:val="OPCParaBase"/>
    <w:next w:val="Normal"/>
    <w:rsid w:val="002E78C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E78C6"/>
    <w:pPr>
      <w:pBdr>
        <w:top w:val="single" w:sz="4" w:space="1" w:color="auto"/>
      </w:pBdr>
      <w:spacing w:before="360"/>
      <w:ind w:right="397"/>
      <w:jc w:val="both"/>
    </w:pPr>
  </w:style>
  <w:style w:type="paragraph" w:customStyle="1" w:styleId="Paragraphsub-sub-sub">
    <w:name w:val="Paragraph(sub-sub-sub)"/>
    <w:aliases w:val="aaaa"/>
    <w:basedOn w:val="OPCParaBase"/>
    <w:rsid w:val="002E78C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2E78C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E78C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E78C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E78C6"/>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2E78C6"/>
    <w:pPr>
      <w:spacing w:before="120"/>
    </w:pPr>
  </w:style>
  <w:style w:type="paragraph" w:customStyle="1" w:styleId="TableTextEndNotes">
    <w:name w:val="TableTextEndNotes"/>
    <w:aliases w:val="Tten"/>
    <w:basedOn w:val="Normal"/>
    <w:rsid w:val="002E78C6"/>
    <w:pPr>
      <w:spacing w:before="60" w:line="240" w:lineRule="auto"/>
    </w:pPr>
    <w:rPr>
      <w:rFonts w:cs="Arial"/>
      <w:sz w:val="20"/>
      <w:szCs w:val="22"/>
    </w:rPr>
  </w:style>
  <w:style w:type="paragraph" w:customStyle="1" w:styleId="TableHeading">
    <w:name w:val="TableHeading"/>
    <w:aliases w:val="th"/>
    <w:basedOn w:val="OPCParaBase"/>
    <w:next w:val="Tabletext"/>
    <w:rsid w:val="002E78C6"/>
    <w:pPr>
      <w:keepNext/>
      <w:spacing w:before="60" w:line="240" w:lineRule="atLeast"/>
    </w:pPr>
    <w:rPr>
      <w:b/>
      <w:sz w:val="20"/>
    </w:rPr>
  </w:style>
  <w:style w:type="paragraph" w:customStyle="1" w:styleId="NoteToSubpara">
    <w:name w:val="NoteToSubpara"/>
    <w:aliases w:val="nts"/>
    <w:basedOn w:val="OPCParaBase"/>
    <w:rsid w:val="002E78C6"/>
    <w:pPr>
      <w:spacing w:before="40" w:line="198" w:lineRule="exact"/>
      <w:ind w:left="2835" w:hanging="709"/>
    </w:pPr>
    <w:rPr>
      <w:sz w:val="18"/>
    </w:rPr>
  </w:style>
  <w:style w:type="paragraph" w:customStyle="1" w:styleId="ENoteTableHeading">
    <w:name w:val="ENoteTableHeading"/>
    <w:aliases w:val="enth"/>
    <w:basedOn w:val="OPCParaBase"/>
    <w:rsid w:val="002E78C6"/>
    <w:pPr>
      <w:keepNext/>
      <w:spacing w:before="60" w:line="240" w:lineRule="atLeast"/>
    </w:pPr>
    <w:rPr>
      <w:rFonts w:ascii="Arial" w:hAnsi="Arial"/>
      <w:b/>
      <w:sz w:val="16"/>
    </w:rPr>
  </w:style>
  <w:style w:type="paragraph" w:customStyle="1" w:styleId="ENoteTTi">
    <w:name w:val="ENoteTTi"/>
    <w:aliases w:val="entti"/>
    <w:basedOn w:val="OPCParaBase"/>
    <w:rsid w:val="002E78C6"/>
    <w:pPr>
      <w:keepNext/>
      <w:spacing w:before="60" w:line="240" w:lineRule="atLeast"/>
      <w:ind w:left="170"/>
    </w:pPr>
    <w:rPr>
      <w:sz w:val="16"/>
    </w:rPr>
  </w:style>
  <w:style w:type="paragraph" w:customStyle="1" w:styleId="ENotesHeading1">
    <w:name w:val="ENotesHeading 1"/>
    <w:aliases w:val="Enh1"/>
    <w:basedOn w:val="OPCParaBase"/>
    <w:next w:val="Normal"/>
    <w:rsid w:val="002E78C6"/>
    <w:pPr>
      <w:spacing w:before="120"/>
      <w:outlineLvl w:val="1"/>
    </w:pPr>
    <w:rPr>
      <w:b/>
      <w:sz w:val="28"/>
      <w:szCs w:val="28"/>
    </w:rPr>
  </w:style>
  <w:style w:type="paragraph" w:customStyle="1" w:styleId="ENotesHeading2">
    <w:name w:val="ENotesHeading 2"/>
    <w:aliases w:val="Enh2"/>
    <w:basedOn w:val="OPCParaBase"/>
    <w:next w:val="Normal"/>
    <w:rsid w:val="002E78C6"/>
    <w:pPr>
      <w:spacing w:before="120" w:after="120"/>
      <w:outlineLvl w:val="2"/>
    </w:pPr>
    <w:rPr>
      <w:b/>
      <w:sz w:val="24"/>
      <w:szCs w:val="28"/>
    </w:rPr>
  </w:style>
  <w:style w:type="paragraph" w:customStyle="1" w:styleId="ENoteTTIndentHeading">
    <w:name w:val="ENoteTTIndentHeading"/>
    <w:aliases w:val="enTTHi"/>
    <w:basedOn w:val="OPCParaBase"/>
    <w:rsid w:val="002E78C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E78C6"/>
    <w:pPr>
      <w:spacing w:before="60" w:line="240" w:lineRule="atLeast"/>
    </w:pPr>
    <w:rPr>
      <w:sz w:val="16"/>
    </w:rPr>
  </w:style>
  <w:style w:type="paragraph" w:customStyle="1" w:styleId="MadeunderText">
    <w:name w:val="MadeunderText"/>
    <w:basedOn w:val="OPCParaBase"/>
    <w:next w:val="Normal"/>
    <w:rsid w:val="002E78C6"/>
    <w:pPr>
      <w:spacing w:before="240"/>
    </w:pPr>
    <w:rPr>
      <w:sz w:val="24"/>
      <w:szCs w:val="24"/>
    </w:rPr>
  </w:style>
  <w:style w:type="paragraph" w:customStyle="1" w:styleId="ENotesHeading3">
    <w:name w:val="ENotesHeading 3"/>
    <w:aliases w:val="Enh3"/>
    <w:basedOn w:val="OPCParaBase"/>
    <w:next w:val="Normal"/>
    <w:rsid w:val="002E78C6"/>
    <w:pPr>
      <w:keepNext/>
      <w:spacing w:before="120" w:line="240" w:lineRule="auto"/>
      <w:outlineLvl w:val="4"/>
    </w:pPr>
    <w:rPr>
      <w:b/>
      <w:szCs w:val="24"/>
    </w:rPr>
  </w:style>
  <w:style w:type="paragraph" w:customStyle="1" w:styleId="SubPartCASA">
    <w:name w:val="SubPart(CASA)"/>
    <w:aliases w:val="csp"/>
    <w:basedOn w:val="OPCParaBase"/>
    <w:next w:val="ActHead3"/>
    <w:rsid w:val="002E78C6"/>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2E78C6"/>
  </w:style>
  <w:style w:type="character" w:customStyle="1" w:styleId="CharSubPartNoCASA">
    <w:name w:val="CharSubPartNo(CASA)"/>
    <w:basedOn w:val="OPCCharBase"/>
    <w:uiPriority w:val="1"/>
    <w:rsid w:val="002E78C6"/>
  </w:style>
  <w:style w:type="paragraph" w:customStyle="1" w:styleId="ENoteTTIndentHeadingSub">
    <w:name w:val="ENoteTTIndentHeadingSub"/>
    <w:aliases w:val="enTTHis"/>
    <w:basedOn w:val="OPCParaBase"/>
    <w:rsid w:val="002E78C6"/>
    <w:pPr>
      <w:keepNext/>
      <w:spacing w:before="60" w:line="240" w:lineRule="atLeast"/>
      <w:ind w:left="340"/>
    </w:pPr>
    <w:rPr>
      <w:b/>
      <w:sz w:val="16"/>
    </w:rPr>
  </w:style>
  <w:style w:type="paragraph" w:customStyle="1" w:styleId="ENoteTTiSub">
    <w:name w:val="ENoteTTiSub"/>
    <w:aliases w:val="enttis"/>
    <w:basedOn w:val="OPCParaBase"/>
    <w:rsid w:val="002E78C6"/>
    <w:pPr>
      <w:keepNext/>
      <w:spacing w:before="60" w:line="240" w:lineRule="atLeast"/>
      <w:ind w:left="340"/>
    </w:pPr>
    <w:rPr>
      <w:sz w:val="16"/>
    </w:rPr>
  </w:style>
  <w:style w:type="paragraph" w:customStyle="1" w:styleId="SubDivisionMigration">
    <w:name w:val="SubDivisionMigration"/>
    <w:aliases w:val="sdm"/>
    <w:basedOn w:val="OPCParaBase"/>
    <w:rsid w:val="002E78C6"/>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E78C6"/>
    <w:pPr>
      <w:keepNext/>
      <w:keepLines/>
      <w:spacing w:before="240" w:line="240" w:lineRule="auto"/>
      <w:ind w:left="1134" w:hanging="1134"/>
    </w:pPr>
    <w:rPr>
      <w:b/>
      <w:sz w:val="28"/>
    </w:rPr>
  </w:style>
  <w:style w:type="table" w:styleId="TableGrid">
    <w:name w:val="Table Grid"/>
    <w:basedOn w:val="TableNormal"/>
    <w:uiPriority w:val="59"/>
    <w:rsid w:val="002E7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2E78C6"/>
    <w:pPr>
      <w:spacing w:before="122" w:line="240" w:lineRule="auto"/>
      <w:ind w:left="1985" w:hanging="851"/>
    </w:pPr>
    <w:rPr>
      <w:sz w:val="18"/>
    </w:rPr>
  </w:style>
  <w:style w:type="paragraph" w:customStyle="1" w:styleId="FreeForm">
    <w:name w:val="FreeForm"/>
    <w:rsid w:val="002E78C6"/>
    <w:rPr>
      <w:rFonts w:ascii="Arial" w:hAnsi="Arial"/>
      <w:sz w:val="22"/>
    </w:rPr>
  </w:style>
  <w:style w:type="paragraph" w:customStyle="1" w:styleId="SOText">
    <w:name w:val="SO Text"/>
    <w:aliases w:val="sot"/>
    <w:link w:val="SOTextChar"/>
    <w:rsid w:val="002E78C6"/>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E78C6"/>
    <w:rPr>
      <w:sz w:val="22"/>
    </w:rPr>
  </w:style>
  <w:style w:type="paragraph" w:customStyle="1" w:styleId="SOTextNote">
    <w:name w:val="SO TextNote"/>
    <w:aliases w:val="sont"/>
    <w:basedOn w:val="SOText"/>
    <w:qFormat/>
    <w:rsid w:val="002E78C6"/>
    <w:pPr>
      <w:spacing w:before="122" w:line="198" w:lineRule="exact"/>
      <w:ind w:left="1843" w:hanging="709"/>
    </w:pPr>
    <w:rPr>
      <w:sz w:val="18"/>
    </w:rPr>
  </w:style>
  <w:style w:type="paragraph" w:customStyle="1" w:styleId="SOPara">
    <w:name w:val="SO Para"/>
    <w:aliases w:val="soa"/>
    <w:basedOn w:val="SOText"/>
    <w:link w:val="SOParaChar"/>
    <w:qFormat/>
    <w:rsid w:val="002E78C6"/>
    <w:pPr>
      <w:tabs>
        <w:tab w:val="right" w:pos="1786"/>
      </w:tabs>
      <w:spacing w:before="40"/>
      <w:ind w:left="2070" w:hanging="936"/>
    </w:pPr>
  </w:style>
  <w:style w:type="character" w:customStyle="1" w:styleId="SOParaChar">
    <w:name w:val="SO Para Char"/>
    <w:aliases w:val="soa Char"/>
    <w:basedOn w:val="DefaultParagraphFont"/>
    <w:link w:val="SOPara"/>
    <w:rsid w:val="002E78C6"/>
    <w:rPr>
      <w:sz w:val="22"/>
    </w:rPr>
  </w:style>
  <w:style w:type="paragraph" w:customStyle="1" w:styleId="FileName">
    <w:name w:val="FileName"/>
    <w:basedOn w:val="Normal"/>
    <w:rsid w:val="002E78C6"/>
  </w:style>
  <w:style w:type="paragraph" w:customStyle="1" w:styleId="SOHeadBold">
    <w:name w:val="SO HeadBold"/>
    <w:aliases w:val="sohb"/>
    <w:basedOn w:val="SOText"/>
    <w:next w:val="SOText"/>
    <w:link w:val="SOHeadBoldChar"/>
    <w:qFormat/>
    <w:rsid w:val="002E78C6"/>
    <w:rPr>
      <w:b/>
    </w:rPr>
  </w:style>
  <w:style w:type="character" w:customStyle="1" w:styleId="SOHeadBoldChar">
    <w:name w:val="SO HeadBold Char"/>
    <w:aliases w:val="sohb Char"/>
    <w:basedOn w:val="DefaultParagraphFont"/>
    <w:link w:val="SOHeadBold"/>
    <w:rsid w:val="002E78C6"/>
    <w:rPr>
      <w:b/>
      <w:sz w:val="22"/>
    </w:rPr>
  </w:style>
  <w:style w:type="paragraph" w:customStyle="1" w:styleId="SOHeadItalic">
    <w:name w:val="SO HeadItalic"/>
    <w:aliases w:val="sohi"/>
    <w:basedOn w:val="SOText"/>
    <w:next w:val="SOText"/>
    <w:link w:val="SOHeadItalicChar"/>
    <w:qFormat/>
    <w:rsid w:val="002E78C6"/>
    <w:rPr>
      <w:i/>
    </w:rPr>
  </w:style>
  <w:style w:type="character" w:customStyle="1" w:styleId="SOHeadItalicChar">
    <w:name w:val="SO HeadItalic Char"/>
    <w:aliases w:val="sohi Char"/>
    <w:basedOn w:val="DefaultParagraphFont"/>
    <w:link w:val="SOHeadItalic"/>
    <w:rsid w:val="002E78C6"/>
    <w:rPr>
      <w:i/>
      <w:sz w:val="22"/>
    </w:rPr>
  </w:style>
  <w:style w:type="paragraph" w:customStyle="1" w:styleId="SOBullet">
    <w:name w:val="SO Bullet"/>
    <w:aliases w:val="sotb"/>
    <w:basedOn w:val="SOText"/>
    <w:link w:val="SOBulletChar"/>
    <w:qFormat/>
    <w:rsid w:val="002E78C6"/>
    <w:pPr>
      <w:ind w:left="1559" w:hanging="425"/>
    </w:pPr>
  </w:style>
  <w:style w:type="character" w:customStyle="1" w:styleId="SOBulletChar">
    <w:name w:val="SO Bullet Char"/>
    <w:aliases w:val="sotb Char"/>
    <w:basedOn w:val="DefaultParagraphFont"/>
    <w:link w:val="SOBullet"/>
    <w:rsid w:val="002E78C6"/>
    <w:rPr>
      <w:sz w:val="22"/>
    </w:rPr>
  </w:style>
  <w:style w:type="paragraph" w:customStyle="1" w:styleId="SOBulletNote">
    <w:name w:val="SO BulletNote"/>
    <w:aliases w:val="sonb"/>
    <w:basedOn w:val="SOTextNote"/>
    <w:link w:val="SOBulletNoteChar"/>
    <w:qFormat/>
    <w:rsid w:val="002E78C6"/>
    <w:pPr>
      <w:tabs>
        <w:tab w:val="left" w:pos="1560"/>
      </w:tabs>
      <w:ind w:left="2268" w:hanging="1134"/>
    </w:pPr>
  </w:style>
  <w:style w:type="character" w:customStyle="1" w:styleId="SOBulletNoteChar">
    <w:name w:val="SO BulletNote Char"/>
    <w:aliases w:val="sonb Char"/>
    <w:basedOn w:val="DefaultParagraphFont"/>
    <w:link w:val="SOBulletNote"/>
    <w:rsid w:val="002E78C6"/>
    <w:rPr>
      <w:sz w:val="18"/>
    </w:rPr>
  </w:style>
  <w:style w:type="paragraph" w:customStyle="1" w:styleId="SOText2">
    <w:name w:val="SO Text2"/>
    <w:aliases w:val="sot2"/>
    <w:basedOn w:val="Normal"/>
    <w:next w:val="SOText"/>
    <w:link w:val="SOText2Char"/>
    <w:rsid w:val="002E78C6"/>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E78C6"/>
    <w:rPr>
      <w:sz w:val="22"/>
    </w:rPr>
  </w:style>
  <w:style w:type="paragraph" w:customStyle="1" w:styleId="Transitional">
    <w:name w:val="Transitional"/>
    <w:aliases w:val="tr"/>
    <w:basedOn w:val="ItemHead"/>
    <w:next w:val="Item"/>
    <w:rsid w:val="002E78C6"/>
  </w:style>
  <w:style w:type="character" w:customStyle="1" w:styleId="paragraphChar">
    <w:name w:val="paragraph Char"/>
    <w:aliases w:val="a Char"/>
    <w:link w:val="paragraph"/>
    <w:rsid w:val="008C2B9C"/>
    <w:rPr>
      <w:rFonts w:eastAsia="Times New Roman" w:cs="Times New Roman"/>
      <w:sz w:val="22"/>
      <w:lang w:eastAsia="en-AU"/>
    </w:rPr>
  </w:style>
  <w:style w:type="character" w:customStyle="1" w:styleId="subsectionChar">
    <w:name w:val="subsection Char"/>
    <w:aliases w:val="ss Char"/>
    <w:link w:val="subsection"/>
    <w:rsid w:val="008C2B9C"/>
    <w:rPr>
      <w:rFonts w:eastAsia="Times New Roman" w:cs="Times New Roman"/>
      <w:sz w:val="22"/>
      <w:lang w:eastAsia="en-AU"/>
    </w:rPr>
  </w:style>
  <w:style w:type="character" w:customStyle="1" w:styleId="notetextChar">
    <w:name w:val="note(text) Char"/>
    <w:aliases w:val="n Char"/>
    <w:link w:val="notetext"/>
    <w:rsid w:val="008C2B9C"/>
    <w:rPr>
      <w:rFonts w:eastAsia="Times New Roman" w:cs="Times New Roman"/>
      <w:sz w:val="18"/>
      <w:lang w:eastAsia="en-AU"/>
    </w:rPr>
  </w:style>
  <w:style w:type="character" w:customStyle="1" w:styleId="Heading1Char">
    <w:name w:val="Heading 1 Char"/>
    <w:basedOn w:val="DefaultParagraphFont"/>
    <w:link w:val="Heading1"/>
    <w:uiPriority w:val="9"/>
    <w:rsid w:val="004B258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4B258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4B258B"/>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4B258B"/>
    <w:rPr>
      <w:rFonts w:asciiTheme="majorHAnsi" w:eastAsiaTheme="majorEastAsia" w:hAnsiTheme="majorHAnsi" w:cstheme="majorBidi"/>
      <w:i/>
      <w:iCs/>
      <w:color w:val="365F91" w:themeColor="accent1" w:themeShade="BF"/>
      <w:sz w:val="22"/>
    </w:rPr>
  </w:style>
  <w:style w:type="character" w:customStyle="1" w:styleId="Heading5Char">
    <w:name w:val="Heading 5 Char"/>
    <w:basedOn w:val="DefaultParagraphFont"/>
    <w:link w:val="Heading5"/>
    <w:uiPriority w:val="9"/>
    <w:semiHidden/>
    <w:rsid w:val="004B258B"/>
    <w:rPr>
      <w:rFonts w:asciiTheme="majorHAnsi" w:eastAsiaTheme="majorEastAsia" w:hAnsiTheme="majorHAnsi" w:cstheme="majorBidi"/>
      <w:color w:val="365F91" w:themeColor="accent1" w:themeShade="BF"/>
      <w:sz w:val="22"/>
    </w:rPr>
  </w:style>
  <w:style w:type="character" w:customStyle="1" w:styleId="Heading6Char">
    <w:name w:val="Heading 6 Char"/>
    <w:basedOn w:val="DefaultParagraphFont"/>
    <w:link w:val="Heading6"/>
    <w:uiPriority w:val="9"/>
    <w:semiHidden/>
    <w:rsid w:val="004B258B"/>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4B258B"/>
    <w:rPr>
      <w:rFonts w:asciiTheme="majorHAnsi" w:eastAsiaTheme="majorEastAsia" w:hAnsiTheme="majorHAnsi" w:cstheme="majorBidi"/>
      <w:i/>
      <w:iCs/>
      <w:color w:val="243F60" w:themeColor="accent1" w:themeShade="7F"/>
      <w:sz w:val="22"/>
    </w:rPr>
  </w:style>
  <w:style w:type="character" w:customStyle="1" w:styleId="Heading8Char">
    <w:name w:val="Heading 8 Char"/>
    <w:basedOn w:val="DefaultParagraphFont"/>
    <w:link w:val="Heading8"/>
    <w:uiPriority w:val="9"/>
    <w:semiHidden/>
    <w:rsid w:val="004B258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4B258B"/>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semiHidden/>
    <w:unhideWhenUsed/>
    <w:rsid w:val="00C63A57"/>
    <w:rPr>
      <w:color w:val="0000FF" w:themeColor="hyperlink"/>
      <w:u w:val="single"/>
    </w:rPr>
  </w:style>
  <w:style w:type="character" w:styleId="FollowedHyperlink">
    <w:name w:val="FollowedHyperlink"/>
    <w:basedOn w:val="DefaultParagraphFont"/>
    <w:uiPriority w:val="99"/>
    <w:semiHidden/>
    <w:unhideWhenUsed/>
    <w:rsid w:val="00C63A57"/>
    <w:rPr>
      <w:color w:val="0000FF" w:themeColor="hyperlink"/>
      <w:u w:val="single"/>
    </w:rPr>
  </w:style>
  <w:style w:type="paragraph" w:customStyle="1" w:styleId="ClerkBlock">
    <w:name w:val="ClerkBlock"/>
    <w:basedOn w:val="Normal"/>
    <w:rsid w:val="007D1680"/>
    <w:pPr>
      <w:spacing w:line="200" w:lineRule="atLeast"/>
      <w:ind w:right="3827"/>
    </w:pPr>
    <w:rPr>
      <w:rFonts w:eastAsia="Times New Roman" w:cs="Times New Roman"/>
      <w:sz w:val="20"/>
      <w:lang w:eastAsia="en-AU"/>
    </w:rPr>
  </w:style>
  <w:style w:type="paragraph" w:customStyle="1" w:styleId="ShortTP1">
    <w:name w:val="ShortTP1"/>
    <w:basedOn w:val="ShortT"/>
    <w:link w:val="ShortTP1Char"/>
    <w:rsid w:val="00DD3950"/>
    <w:pPr>
      <w:spacing w:before="800"/>
    </w:pPr>
  </w:style>
  <w:style w:type="character" w:customStyle="1" w:styleId="ShortTP1Char">
    <w:name w:val="ShortTP1 Char"/>
    <w:basedOn w:val="DefaultParagraphFont"/>
    <w:link w:val="ShortTP1"/>
    <w:rsid w:val="00DD3950"/>
    <w:rPr>
      <w:rFonts w:eastAsia="Times New Roman" w:cs="Times New Roman"/>
      <w:b/>
      <w:sz w:val="40"/>
      <w:lang w:eastAsia="en-AU"/>
    </w:rPr>
  </w:style>
  <w:style w:type="paragraph" w:customStyle="1" w:styleId="ActNoP1">
    <w:name w:val="ActNoP1"/>
    <w:basedOn w:val="Actno"/>
    <w:link w:val="ActNoP1Char"/>
    <w:rsid w:val="00DD3950"/>
    <w:pPr>
      <w:spacing w:before="800"/>
    </w:pPr>
    <w:rPr>
      <w:sz w:val="28"/>
    </w:rPr>
  </w:style>
  <w:style w:type="character" w:customStyle="1" w:styleId="ActNoP1Char">
    <w:name w:val="ActNoP1 Char"/>
    <w:basedOn w:val="DefaultParagraphFont"/>
    <w:link w:val="ActNoP1"/>
    <w:rsid w:val="00DD3950"/>
    <w:rPr>
      <w:rFonts w:eastAsia="Times New Roman" w:cs="Times New Roman"/>
      <w:b/>
      <w:sz w:val="28"/>
      <w:lang w:eastAsia="en-AU"/>
    </w:rPr>
  </w:style>
  <w:style w:type="paragraph" w:customStyle="1" w:styleId="AssentBk">
    <w:name w:val="AssentBk"/>
    <w:basedOn w:val="Normal"/>
    <w:rsid w:val="00DD3950"/>
    <w:pPr>
      <w:spacing w:line="240" w:lineRule="auto"/>
    </w:pPr>
    <w:rPr>
      <w:rFonts w:eastAsia="Times New Roman" w:cs="Times New Roman"/>
      <w:sz w:val="20"/>
      <w:lang w:eastAsia="en-AU"/>
    </w:rPr>
  </w:style>
  <w:style w:type="paragraph" w:customStyle="1" w:styleId="AssentDt">
    <w:name w:val="AssentDt"/>
    <w:basedOn w:val="Normal"/>
    <w:rsid w:val="000258BB"/>
    <w:pPr>
      <w:spacing w:line="240" w:lineRule="auto"/>
    </w:pPr>
    <w:rPr>
      <w:rFonts w:eastAsia="Times New Roman" w:cs="Times New Roman"/>
      <w:sz w:val="20"/>
      <w:lang w:eastAsia="en-AU"/>
    </w:rPr>
  </w:style>
  <w:style w:type="paragraph" w:customStyle="1" w:styleId="2ndRd">
    <w:name w:val="2ndRd"/>
    <w:basedOn w:val="Normal"/>
    <w:rsid w:val="000258BB"/>
    <w:pPr>
      <w:spacing w:line="240" w:lineRule="auto"/>
    </w:pPr>
    <w:rPr>
      <w:rFonts w:eastAsia="Times New Roman" w:cs="Times New Roman"/>
      <w:sz w:val="20"/>
      <w:lang w:eastAsia="en-AU"/>
    </w:rPr>
  </w:style>
  <w:style w:type="paragraph" w:customStyle="1" w:styleId="ScalePlusRef">
    <w:name w:val="ScalePlusRef"/>
    <w:basedOn w:val="Normal"/>
    <w:rsid w:val="000258BB"/>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258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oleObject" Target="embeddings/oleObject2.bin"/><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gj\AppData\Roaming\OPC-APH\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836CB6-CE11-4C25-825F-3EF594EDE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15</Pages>
  <Words>2109</Words>
  <Characters>12160</Characters>
  <Application>Microsoft Office Word</Application>
  <DocSecurity>0</DocSecurity>
  <PresentationFormat/>
  <Lines>101</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2021-05-06T22:47:00Z</cp:lastPrinted>
  <dcterms:created xsi:type="dcterms:W3CDTF">2021-09-06T22:18:00Z</dcterms:created>
  <dcterms:modified xsi:type="dcterms:W3CDTF">2021-12-19T21:56:00Z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Foreign Intelligence Legislation Amendment Act 2021</vt:lpwstr>
  </property>
  <property fmtid="{D5CDD505-2E9C-101B-9397-08002B2CF9AE}" pid="3" name="ActNo">
    <vt:lpwstr>No. 95, 2021</vt:lpwstr>
  </property>
  <property fmtid="{D5CDD505-2E9C-101B-9397-08002B2CF9AE}" pid="4" name="Class">
    <vt:lpwstr>BILL</vt:lpwstr>
  </property>
  <property fmtid="{D5CDD505-2E9C-101B-9397-08002B2CF9AE}" pid="5" name="Type">
    <vt:lpwstr>BILL</vt:lpwstr>
  </property>
  <property fmtid="{D5CDD505-2E9C-101B-9397-08002B2CF9AE}" pid="6" name="DocType">
    <vt:lpwstr>AMD</vt:lpwstr>
  </property>
  <property fmtid="{D5CDD505-2E9C-101B-9397-08002B2CF9AE}" pid="7" name="DLM">
    <vt:lpwstr> </vt:lpwstr>
  </property>
  <property fmtid="{D5CDD505-2E9C-101B-9397-08002B2CF9AE}" pid="8" name="Classification">
    <vt:lpwstr> </vt:lpwstr>
  </property>
  <property fmtid="{D5CDD505-2E9C-101B-9397-08002B2CF9AE}" pid="9" name="ID">
    <vt:lpwstr>OPC7675</vt:lpwstr>
  </property>
  <property fmtid="{D5CDD505-2E9C-101B-9397-08002B2CF9AE}" pid="10" name="DoNotAsk">
    <vt:lpwstr>0</vt:lpwstr>
  </property>
  <property fmtid="{D5CDD505-2E9C-101B-9397-08002B2CF9AE}" pid="11" name="ChangedTitle">
    <vt:lpwstr/>
  </property>
</Properties>
</file>