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9955" w14:textId="25FA15C5" w:rsidR="00CC200F" w:rsidRDefault="00CC200F" w:rsidP="00CC200F">
      <w:r>
        <w:object w:dxaOrig="2146" w:dyaOrig="1561" w14:anchorId="7A1B2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25111940" r:id="rId8"/>
        </w:object>
      </w:r>
    </w:p>
    <w:p w14:paraId="1C9F46C8" w14:textId="77777777" w:rsidR="00CC200F" w:rsidRDefault="00CC200F" w:rsidP="00CC200F"/>
    <w:p w14:paraId="505B4E2B" w14:textId="77777777" w:rsidR="00CC200F" w:rsidRDefault="00CC200F" w:rsidP="00CC200F"/>
    <w:p w14:paraId="67D32776" w14:textId="77777777" w:rsidR="00CC200F" w:rsidRDefault="00CC200F" w:rsidP="00CC200F"/>
    <w:p w14:paraId="7588FC07" w14:textId="77777777" w:rsidR="00CC200F" w:rsidRDefault="00CC200F" w:rsidP="00CC200F"/>
    <w:p w14:paraId="7BD75503" w14:textId="77777777" w:rsidR="00CC200F" w:rsidRDefault="00CC200F" w:rsidP="00CC200F"/>
    <w:p w14:paraId="15B1B330" w14:textId="77777777" w:rsidR="00CC200F" w:rsidRDefault="00CC200F" w:rsidP="00CC200F"/>
    <w:p w14:paraId="5B55221F" w14:textId="565481C3" w:rsidR="0048364F" w:rsidRPr="0016350E" w:rsidRDefault="00CC200F" w:rsidP="0048364F">
      <w:pPr>
        <w:pStyle w:val="ShortT"/>
      </w:pPr>
      <w:r>
        <w:t>Treasury Laws Amendment (2021 Measures No. 6) Act 2021</w:t>
      </w:r>
    </w:p>
    <w:p w14:paraId="6C0AD5CD" w14:textId="77777777" w:rsidR="0048364F" w:rsidRPr="0016350E" w:rsidRDefault="0048364F" w:rsidP="0048364F"/>
    <w:p w14:paraId="76B911CE" w14:textId="624E8532" w:rsidR="0048364F" w:rsidRPr="0016350E" w:rsidRDefault="00C164CA" w:rsidP="00CC200F">
      <w:pPr>
        <w:pStyle w:val="Actno"/>
        <w:spacing w:before="400"/>
      </w:pPr>
      <w:r w:rsidRPr="0016350E">
        <w:t>No.</w:t>
      </w:r>
      <w:r w:rsidR="00332DD4">
        <w:t xml:space="preserve"> 111</w:t>
      </w:r>
      <w:r w:rsidRPr="0016350E">
        <w:t>, 20</w:t>
      </w:r>
      <w:r w:rsidR="009E186E" w:rsidRPr="0016350E">
        <w:t>21</w:t>
      </w:r>
    </w:p>
    <w:p w14:paraId="34ED0140" w14:textId="77777777" w:rsidR="0048364F" w:rsidRPr="0016350E" w:rsidRDefault="0048364F" w:rsidP="0048364F"/>
    <w:p w14:paraId="283956E9" w14:textId="77777777" w:rsidR="00343F8E" w:rsidRDefault="00343F8E" w:rsidP="00343F8E">
      <w:pPr>
        <w:rPr>
          <w:lang w:eastAsia="en-AU"/>
        </w:rPr>
      </w:pPr>
    </w:p>
    <w:p w14:paraId="0BB3B258" w14:textId="685BE3A6" w:rsidR="0048364F" w:rsidRPr="0016350E" w:rsidRDefault="0048364F" w:rsidP="0048364F"/>
    <w:p w14:paraId="07CD947E" w14:textId="77777777" w:rsidR="0048364F" w:rsidRPr="0016350E" w:rsidRDefault="0048364F" w:rsidP="0048364F"/>
    <w:p w14:paraId="74C653ED" w14:textId="77777777" w:rsidR="0048364F" w:rsidRPr="0016350E" w:rsidRDefault="0048364F" w:rsidP="0048364F"/>
    <w:p w14:paraId="6B11E0D2" w14:textId="77777777" w:rsidR="00CC200F" w:rsidRDefault="00CC200F" w:rsidP="00CC200F">
      <w:pPr>
        <w:pStyle w:val="LongT"/>
      </w:pPr>
      <w:r>
        <w:t>An Act to amend legislation relating to taxation, industry codes and family law, and for related purposes</w:t>
      </w:r>
    </w:p>
    <w:p w14:paraId="36AD81F6" w14:textId="7D456A74" w:rsidR="0048364F" w:rsidRPr="001A453F" w:rsidRDefault="0048364F" w:rsidP="0048364F">
      <w:pPr>
        <w:pStyle w:val="Header"/>
        <w:tabs>
          <w:tab w:val="clear" w:pos="4150"/>
          <w:tab w:val="clear" w:pos="8307"/>
        </w:tabs>
      </w:pPr>
      <w:r w:rsidRPr="001A453F">
        <w:rPr>
          <w:rStyle w:val="CharAmSchNo"/>
        </w:rPr>
        <w:t xml:space="preserve"> </w:t>
      </w:r>
      <w:r w:rsidRPr="001A453F">
        <w:rPr>
          <w:rStyle w:val="CharAmSchText"/>
        </w:rPr>
        <w:t xml:space="preserve"> </w:t>
      </w:r>
    </w:p>
    <w:p w14:paraId="395F9B66" w14:textId="77777777" w:rsidR="0048364F" w:rsidRPr="001A453F" w:rsidRDefault="0048364F" w:rsidP="0048364F">
      <w:pPr>
        <w:pStyle w:val="Header"/>
        <w:tabs>
          <w:tab w:val="clear" w:pos="4150"/>
          <w:tab w:val="clear" w:pos="8307"/>
        </w:tabs>
      </w:pPr>
      <w:r w:rsidRPr="001A453F">
        <w:rPr>
          <w:rStyle w:val="CharAmPartNo"/>
        </w:rPr>
        <w:t xml:space="preserve"> </w:t>
      </w:r>
      <w:r w:rsidRPr="001A453F">
        <w:rPr>
          <w:rStyle w:val="CharAmPartText"/>
        </w:rPr>
        <w:t xml:space="preserve"> </w:t>
      </w:r>
    </w:p>
    <w:p w14:paraId="23D97A83" w14:textId="77777777" w:rsidR="0048364F" w:rsidRPr="0016350E" w:rsidRDefault="0048364F" w:rsidP="0048364F">
      <w:pPr>
        <w:sectPr w:rsidR="0048364F" w:rsidRPr="0016350E" w:rsidSect="00CC200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93DC0FD" w14:textId="77777777" w:rsidR="0048364F" w:rsidRPr="0016350E" w:rsidRDefault="0048364F" w:rsidP="0048364F">
      <w:pPr>
        <w:outlineLvl w:val="0"/>
        <w:rPr>
          <w:sz w:val="36"/>
        </w:rPr>
      </w:pPr>
      <w:r w:rsidRPr="0016350E">
        <w:rPr>
          <w:sz w:val="36"/>
        </w:rPr>
        <w:lastRenderedPageBreak/>
        <w:t>Contents</w:t>
      </w:r>
    </w:p>
    <w:p w14:paraId="0CB7C6E2" w14:textId="7044A210" w:rsidR="00E1358C" w:rsidRDefault="00E135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1358C">
        <w:rPr>
          <w:noProof/>
        </w:rPr>
        <w:tab/>
      </w:r>
      <w:r w:rsidRPr="00E1358C">
        <w:rPr>
          <w:noProof/>
        </w:rPr>
        <w:fldChar w:fldCharType="begin"/>
      </w:r>
      <w:r w:rsidRPr="00E1358C">
        <w:rPr>
          <w:noProof/>
        </w:rPr>
        <w:instrText xml:space="preserve"> PAGEREF _Toc82775842 \h </w:instrText>
      </w:r>
      <w:r w:rsidRPr="00E1358C">
        <w:rPr>
          <w:noProof/>
        </w:rPr>
      </w:r>
      <w:r w:rsidRPr="00E1358C">
        <w:rPr>
          <w:noProof/>
        </w:rPr>
        <w:fldChar w:fldCharType="separate"/>
      </w:r>
      <w:r w:rsidR="00201964">
        <w:rPr>
          <w:noProof/>
        </w:rPr>
        <w:t>1</w:t>
      </w:r>
      <w:r w:rsidRPr="00E1358C">
        <w:rPr>
          <w:noProof/>
        </w:rPr>
        <w:fldChar w:fldCharType="end"/>
      </w:r>
    </w:p>
    <w:p w14:paraId="01559370" w14:textId="65D6E756" w:rsidR="00E1358C" w:rsidRDefault="00E1358C">
      <w:pPr>
        <w:pStyle w:val="TOC5"/>
        <w:rPr>
          <w:rFonts w:asciiTheme="minorHAnsi" w:eastAsiaTheme="minorEastAsia" w:hAnsiTheme="minorHAnsi" w:cstheme="minorBidi"/>
          <w:noProof/>
          <w:kern w:val="0"/>
          <w:sz w:val="22"/>
          <w:szCs w:val="22"/>
        </w:rPr>
      </w:pPr>
      <w:r>
        <w:rPr>
          <w:noProof/>
        </w:rPr>
        <w:t>2</w:t>
      </w:r>
      <w:r>
        <w:rPr>
          <w:noProof/>
        </w:rPr>
        <w:tab/>
        <w:t>Commencement</w:t>
      </w:r>
      <w:r w:rsidRPr="00E1358C">
        <w:rPr>
          <w:noProof/>
        </w:rPr>
        <w:tab/>
      </w:r>
      <w:r w:rsidRPr="00E1358C">
        <w:rPr>
          <w:noProof/>
        </w:rPr>
        <w:fldChar w:fldCharType="begin"/>
      </w:r>
      <w:r w:rsidRPr="00E1358C">
        <w:rPr>
          <w:noProof/>
        </w:rPr>
        <w:instrText xml:space="preserve"> PAGEREF _Toc82775843 \h </w:instrText>
      </w:r>
      <w:r w:rsidRPr="00E1358C">
        <w:rPr>
          <w:noProof/>
        </w:rPr>
      </w:r>
      <w:r w:rsidRPr="00E1358C">
        <w:rPr>
          <w:noProof/>
        </w:rPr>
        <w:fldChar w:fldCharType="separate"/>
      </w:r>
      <w:r w:rsidR="00201964">
        <w:rPr>
          <w:noProof/>
        </w:rPr>
        <w:t>2</w:t>
      </w:r>
      <w:r w:rsidRPr="00E1358C">
        <w:rPr>
          <w:noProof/>
        </w:rPr>
        <w:fldChar w:fldCharType="end"/>
      </w:r>
    </w:p>
    <w:p w14:paraId="4B05E02A" w14:textId="408C7376" w:rsidR="00E1358C" w:rsidRDefault="00E1358C">
      <w:pPr>
        <w:pStyle w:val="TOC5"/>
        <w:rPr>
          <w:rFonts w:asciiTheme="minorHAnsi" w:eastAsiaTheme="minorEastAsia" w:hAnsiTheme="minorHAnsi" w:cstheme="minorBidi"/>
          <w:noProof/>
          <w:kern w:val="0"/>
          <w:sz w:val="22"/>
          <w:szCs w:val="22"/>
        </w:rPr>
      </w:pPr>
      <w:r>
        <w:rPr>
          <w:noProof/>
        </w:rPr>
        <w:t>3</w:t>
      </w:r>
      <w:r>
        <w:rPr>
          <w:noProof/>
        </w:rPr>
        <w:tab/>
        <w:t>Schedules</w:t>
      </w:r>
      <w:r w:rsidRPr="00E1358C">
        <w:rPr>
          <w:noProof/>
        </w:rPr>
        <w:tab/>
      </w:r>
      <w:r w:rsidRPr="00E1358C">
        <w:rPr>
          <w:noProof/>
        </w:rPr>
        <w:fldChar w:fldCharType="begin"/>
      </w:r>
      <w:r w:rsidRPr="00E1358C">
        <w:rPr>
          <w:noProof/>
        </w:rPr>
        <w:instrText xml:space="preserve"> PAGEREF _Toc82775844 \h </w:instrText>
      </w:r>
      <w:r w:rsidRPr="00E1358C">
        <w:rPr>
          <w:noProof/>
        </w:rPr>
      </w:r>
      <w:r w:rsidRPr="00E1358C">
        <w:rPr>
          <w:noProof/>
        </w:rPr>
        <w:fldChar w:fldCharType="separate"/>
      </w:r>
      <w:r w:rsidR="00201964">
        <w:rPr>
          <w:noProof/>
        </w:rPr>
        <w:t>3</w:t>
      </w:r>
      <w:r w:rsidRPr="00E1358C">
        <w:rPr>
          <w:noProof/>
        </w:rPr>
        <w:fldChar w:fldCharType="end"/>
      </w:r>
    </w:p>
    <w:p w14:paraId="3B75991B" w14:textId="27272C37" w:rsidR="00E1358C" w:rsidRDefault="00E1358C">
      <w:pPr>
        <w:pStyle w:val="TOC6"/>
        <w:rPr>
          <w:rFonts w:asciiTheme="minorHAnsi" w:eastAsiaTheme="minorEastAsia" w:hAnsiTheme="minorHAnsi" w:cstheme="minorBidi"/>
          <w:b w:val="0"/>
          <w:noProof/>
          <w:kern w:val="0"/>
          <w:sz w:val="22"/>
          <w:szCs w:val="22"/>
        </w:rPr>
      </w:pPr>
      <w:r>
        <w:rPr>
          <w:noProof/>
        </w:rPr>
        <w:t>Schedule 1—Refund of large</w:t>
      </w:r>
      <w:r>
        <w:rPr>
          <w:noProof/>
        </w:rPr>
        <w:noBreakHyphen/>
        <w:t>scale generation shortfall charge</w:t>
      </w:r>
      <w:r w:rsidRPr="00E1358C">
        <w:rPr>
          <w:b w:val="0"/>
          <w:noProof/>
          <w:sz w:val="18"/>
        </w:rPr>
        <w:tab/>
      </w:r>
      <w:r w:rsidRPr="00E1358C">
        <w:rPr>
          <w:b w:val="0"/>
          <w:noProof/>
          <w:sz w:val="18"/>
        </w:rPr>
        <w:fldChar w:fldCharType="begin"/>
      </w:r>
      <w:r w:rsidRPr="00E1358C">
        <w:rPr>
          <w:b w:val="0"/>
          <w:noProof/>
          <w:sz w:val="18"/>
        </w:rPr>
        <w:instrText xml:space="preserve"> PAGEREF _Toc82775845 \h </w:instrText>
      </w:r>
      <w:r w:rsidRPr="00E1358C">
        <w:rPr>
          <w:b w:val="0"/>
          <w:noProof/>
          <w:sz w:val="18"/>
        </w:rPr>
      </w:r>
      <w:r w:rsidRPr="00E1358C">
        <w:rPr>
          <w:b w:val="0"/>
          <w:noProof/>
          <w:sz w:val="18"/>
        </w:rPr>
        <w:fldChar w:fldCharType="separate"/>
      </w:r>
      <w:r w:rsidR="00201964">
        <w:rPr>
          <w:b w:val="0"/>
          <w:noProof/>
          <w:sz w:val="18"/>
        </w:rPr>
        <w:t>4</w:t>
      </w:r>
      <w:r w:rsidRPr="00E1358C">
        <w:rPr>
          <w:b w:val="0"/>
          <w:noProof/>
          <w:sz w:val="18"/>
        </w:rPr>
        <w:fldChar w:fldCharType="end"/>
      </w:r>
    </w:p>
    <w:p w14:paraId="297F6AB1" w14:textId="0C7DDF01" w:rsidR="00E1358C" w:rsidRDefault="00E1358C">
      <w:pPr>
        <w:pStyle w:val="TOC9"/>
        <w:rPr>
          <w:rFonts w:asciiTheme="minorHAnsi" w:eastAsiaTheme="minorEastAsia" w:hAnsiTheme="minorHAnsi" w:cstheme="minorBidi"/>
          <w:i w:val="0"/>
          <w:noProof/>
          <w:kern w:val="0"/>
          <w:sz w:val="22"/>
          <w:szCs w:val="22"/>
        </w:rPr>
      </w:pPr>
      <w:r>
        <w:rPr>
          <w:noProof/>
        </w:rPr>
        <w:t>Income Tax Assessment Act 1997</w:t>
      </w:r>
      <w:r w:rsidRPr="00E1358C">
        <w:rPr>
          <w:i w:val="0"/>
          <w:noProof/>
          <w:sz w:val="18"/>
        </w:rPr>
        <w:tab/>
      </w:r>
      <w:r w:rsidRPr="00E1358C">
        <w:rPr>
          <w:i w:val="0"/>
          <w:noProof/>
          <w:sz w:val="18"/>
        </w:rPr>
        <w:fldChar w:fldCharType="begin"/>
      </w:r>
      <w:r w:rsidRPr="00E1358C">
        <w:rPr>
          <w:i w:val="0"/>
          <w:noProof/>
          <w:sz w:val="18"/>
        </w:rPr>
        <w:instrText xml:space="preserve"> PAGEREF _Toc82775846 \h </w:instrText>
      </w:r>
      <w:r w:rsidRPr="00E1358C">
        <w:rPr>
          <w:i w:val="0"/>
          <w:noProof/>
          <w:sz w:val="18"/>
        </w:rPr>
      </w:r>
      <w:r w:rsidRPr="00E1358C">
        <w:rPr>
          <w:i w:val="0"/>
          <w:noProof/>
          <w:sz w:val="18"/>
        </w:rPr>
        <w:fldChar w:fldCharType="separate"/>
      </w:r>
      <w:r w:rsidR="00201964">
        <w:rPr>
          <w:i w:val="0"/>
          <w:noProof/>
          <w:sz w:val="18"/>
        </w:rPr>
        <w:t>4</w:t>
      </w:r>
      <w:r w:rsidRPr="00E1358C">
        <w:rPr>
          <w:i w:val="0"/>
          <w:noProof/>
          <w:sz w:val="18"/>
        </w:rPr>
        <w:fldChar w:fldCharType="end"/>
      </w:r>
    </w:p>
    <w:p w14:paraId="07BC4C81" w14:textId="75D82684" w:rsidR="00E1358C" w:rsidRDefault="00E1358C">
      <w:pPr>
        <w:pStyle w:val="TOC6"/>
        <w:rPr>
          <w:rFonts w:asciiTheme="minorHAnsi" w:eastAsiaTheme="minorEastAsia" w:hAnsiTheme="minorHAnsi" w:cstheme="minorBidi"/>
          <w:b w:val="0"/>
          <w:noProof/>
          <w:kern w:val="0"/>
          <w:sz w:val="22"/>
          <w:szCs w:val="22"/>
        </w:rPr>
      </w:pPr>
      <w:r>
        <w:rPr>
          <w:noProof/>
        </w:rPr>
        <w:t>Schedule 2—Industry code penalties under Part IVB of the Competition and Consumer Act 2010</w:t>
      </w:r>
      <w:r w:rsidRPr="00E1358C">
        <w:rPr>
          <w:b w:val="0"/>
          <w:noProof/>
          <w:sz w:val="18"/>
        </w:rPr>
        <w:tab/>
      </w:r>
      <w:r w:rsidRPr="00E1358C">
        <w:rPr>
          <w:b w:val="0"/>
          <w:noProof/>
          <w:sz w:val="18"/>
        </w:rPr>
        <w:fldChar w:fldCharType="begin"/>
      </w:r>
      <w:r w:rsidRPr="00E1358C">
        <w:rPr>
          <w:b w:val="0"/>
          <w:noProof/>
          <w:sz w:val="18"/>
        </w:rPr>
        <w:instrText xml:space="preserve"> PAGEREF _Toc82775848 \h </w:instrText>
      </w:r>
      <w:r w:rsidRPr="00E1358C">
        <w:rPr>
          <w:b w:val="0"/>
          <w:noProof/>
          <w:sz w:val="18"/>
        </w:rPr>
      </w:r>
      <w:r w:rsidRPr="00E1358C">
        <w:rPr>
          <w:b w:val="0"/>
          <w:noProof/>
          <w:sz w:val="18"/>
        </w:rPr>
        <w:fldChar w:fldCharType="separate"/>
      </w:r>
      <w:r w:rsidR="00201964">
        <w:rPr>
          <w:b w:val="0"/>
          <w:noProof/>
          <w:sz w:val="18"/>
        </w:rPr>
        <w:t>5</w:t>
      </w:r>
      <w:r w:rsidRPr="00E1358C">
        <w:rPr>
          <w:b w:val="0"/>
          <w:noProof/>
          <w:sz w:val="18"/>
        </w:rPr>
        <w:fldChar w:fldCharType="end"/>
      </w:r>
    </w:p>
    <w:p w14:paraId="5DCF95A7" w14:textId="447B7BCD" w:rsidR="00E1358C" w:rsidRDefault="00E1358C">
      <w:pPr>
        <w:pStyle w:val="TOC9"/>
        <w:rPr>
          <w:rFonts w:asciiTheme="minorHAnsi" w:eastAsiaTheme="minorEastAsia" w:hAnsiTheme="minorHAnsi" w:cstheme="minorBidi"/>
          <w:i w:val="0"/>
          <w:noProof/>
          <w:kern w:val="0"/>
          <w:sz w:val="22"/>
          <w:szCs w:val="22"/>
        </w:rPr>
      </w:pPr>
      <w:r>
        <w:rPr>
          <w:noProof/>
        </w:rPr>
        <w:t>Competition and Consumer Act 2010</w:t>
      </w:r>
      <w:r w:rsidRPr="00E1358C">
        <w:rPr>
          <w:i w:val="0"/>
          <w:noProof/>
          <w:sz w:val="18"/>
        </w:rPr>
        <w:tab/>
      </w:r>
      <w:r w:rsidRPr="00E1358C">
        <w:rPr>
          <w:i w:val="0"/>
          <w:noProof/>
          <w:sz w:val="18"/>
        </w:rPr>
        <w:fldChar w:fldCharType="begin"/>
      </w:r>
      <w:r w:rsidRPr="00E1358C">
        <w:rPr>
          <w:i w:val="0"/>
          <w:noProof/>
          <w:sz w:val="18"/>
        </w:rPr>
        <w:instrText xml:space="preserve"> PAGEREF _Toc82775849 \h </w:instrText>
      </w:r>
      <w:r w:rsidRPr="00E1358C">
        <w:rPr>
          <w:i w:val="0"/>
          <w:noProof/>
          <w:sz w:val="18"/>
        </w:rPr>
      </w:r>
      <w:r w:rsidRPr="00E1358C">
        <w:rPr>
          <w:i w:val="0"/>
          <w:noProof/>
          <w:sz w:val="18"/>
        </w:rPr>
        <w:fldChar w:fldCharType="separate"/>
      </w:r>
      <w:r w:rsidR="00201964">
        <w:rPr>
          <w:i w:val="0"/>
          <w:noProof/>
          <w:sz w:val="18"/>
        </w:rPr>
        <w:t>5</w:t>
      </w:r>
      <w:r w:rsidRPr="00E1358C">
        <w:rPr>
          <w:i w:val="0"/>
          <w:noProof/>
          <w:sz w:val="18"/>
        </w:rPr>
        <w:fldChar w:fldCharType="end"/>
      </w:r>
    </w:p>
    <w:p w14:paraId="7FAD089F" w14:textId="25419B49" w:rsidR="00E1358C" w:rsidRDefault="00E1358C">
      <w:pPr>
        <w:pStyle w:val="TOC6"/>
        <w:rPr>
          <w:rFonts w:asciiTheme="minorHAnsi" w:eastAsiaTheme="minorEastAsia" w:hAnsiTheme="minorHAnsi" w:cstheme="minorBidi"/>
          <w:b w:val="0"/>
          <w:noProof/>
          <w:kern w:val="0"/>
          <w:sz w:val="22"/>
          <w:szCs w:val="22"/>
        </w:rPr>
      </w:pPr>
      <w:r>
        <w:rPr>
          <w:noProof/>
        </w:rPr>
        <w:t>Schedule 3—Requirement for actuarial certificates for certain superannuation funds</w:t>
      </w:r>
      <w:r w:rsidRPr="00E1358C">
        <w:rPr>
          <w:b w:val="0"/>
          <w:noProof/>
          <w:sz w:val="18"/>
        </w:rPr>
        <w:tab/>
      </w:r>
      <w:r w:rsidRPr="00E1358C">
        <w:rPr>
          <w:b w:val="0"/>
          <w:noProof/>
          <w:sz w:val="18"/>
        </w:rPr>
        <w:fldChar w:fldCharType="begin"/>
      </w:r>
      <w:r w:rsidRPr="00E1358C">
        <w:rPr>
          <w:b w:val="0"/>
          <w:noProof/>
          <w:sz w:val="18"/>
        </w:rPr>
        <w:instrText xml:space="preserve"> PAGEREF _Toc82775850 \h </w:instrText>
      </w:r>
      <w:r w:rsidRPr="00E1358C">
        <w:rPr>
          <w:b w:val="0"/>
          <w:noProof/>
          <w:sz w:val="18"/>
        </w:rPr>
      </w:r>
      <w:r w:rsidRPr="00E1358C">
        <w:rPr>
          <w:b w:val="0"/>
          <w:noProof/>
          <w:sz w:val="18"/>
        </w:rPr>
        <w:fldChar w:fldCharType="separate"/>
      </w:r>
      <w:r w:rsidR="00201964">
        <w:rPr>
          <w:b w:val="0"/>
          <w:noProof/>
          <w:sz w:val="18"/>
        </w:rPr>
        <w:t>7</w:t>
      </w:r>
      <w:r w:rsidRPr="00E1358C">
        <w:rPr>
          <w:b w:val="0"/>
          <w:noProof/>
          <w:sz w:val="18"/>
        </w:rPr>
        <w:fldChar w:fldCharType="end"/>
      </w:r>
    </w:p>
    <w:p w14:paraId="2C30BD9D" w14:textId="4EB29B58" w:rsidR="00E1358C" w:rsidRDefault="00E1358C">
      <w:pPr>
        <w:pStyle w:val="TOC9"/>
        <w:rPr>
          <w:rFonts w:asciiTheme="minorHAnsi" w:eastAsiaTheme="minorEastAsia" w:hAnsiTheme="minorHAnsi" w:cstheme="minorBidi"/>
          <w:i w:val="0"/>
          <w:noProof/>
          <w:kern w:val="0"/>
          <w:sz w:val="22"/>
          <w:szCs w:val="22"/>
        </w:rPr>
      </w:pPr>
      <w:r>
        <w:rPr>
          <w:noProof/>
        </w:rPr>
        <w:t>Income Tax Assessment Act 1997</w:t>
      </w:r>
      <w:r w:rsidRPr="00E1358C">
        <w:rPr>
          <w:i w:val="0"/>
          <w:noProof/>
          <w:sz w:val="18"/>
        </w:rPr>
        <w:tab/>
      </w:r>
      <w:r w:rsidRPr="00E1358C">
        <w:rPr>
          <w:i w:val="0"/>
          <w:noProof/>
          <w:sz w:val="18"/>
        </w:rPr>
        <w:fldChar w:fldCharType="begin"/>
      </w:r>
      <w:r w:rsidRPr="00E1358C">
        <w:rPr>
          <w:i w:val="0"/>
          <w:noProof/>
          <w:sz w:val="18"/>
        </w:rPr>
        <w:instrText xml:space="preserve"> PAGEREF _Toc82775851 \h </w:instrText>
      </w:r>
      <w:r w:rsidRPr="00E1358C">
        <w:rPr>
          <w:i w:val="0"/>
          <w:noProof/>
          <w:sz w:val="18"/>
        </w:rPr>
      </w:r>
      <w:r w:rsidRPr="00E1358C">
        <w:rPr>
          <w:i w:val="0"/>
          <w:noProof/>
          <w:sz w:val="18"/>
        </w:rPr>
        <w:fldChar w:fldCharType="separate"/>
      </w:r>
      <w:r w:rsidR="00201964">
        <w:rPr>
          <w:i w:val="0"/>
          <w:noProof/>
          <w:sz w:val="18"/>
        </w:rPr>
        <w:t>7</w:t>
      </w:r>
      <w:r w:rsidRPr="00E1358C">
        <w:rPr>
          <w:i w:val="0"/>
          <w:noProof/>
          <w:sz w:val="18"/>
        </w:rPr>
        <w:fldChar w:fldCharType="end"/>
      </w:r>
    </w:p>
    <w:p w14:paraId="64E701A1" w14:textId="1E8D58C2" w:rsidR="00E1358C" w:rsidRDefault="00E1358C">
      <w:pPr>
        <w:pStyle w:val="TOC6"/>
        <w:rPr>
          <w:rFonts w:asciiTheme="minorHAnsi" w:eastAsiaTheme="minorEastAsia" w:hAnsiTheme="minorHAnsi" w:cstheme="minorBidi"/>
          <w:b w:val="0"/>
          <w:noProof/>
          <w:kern w:val="0"/>
          <w:sz w:val="22"/>
          <w:szCs w:val="22"/>
        </w:rPr>
      </w:pPr>
      <w:r>
        <w:rPr>
          <w:noProof/>
        </w:rPr>
        <w:t>Schedule 4—Strengthening industry codes under Part IVB of the Competition and Consumer Act 2010</w:t>
      </w:r>
      <w:r w:rsidRPr="00E1358C">
        <w:rPr>
          <w:b w:val="0"/>
          <w:noProof/>
          <w:sz w:val="18"/>
        </w:rPr>
        <w:tab/>
      </w:r>
      <w:r w:rsidRPr="00E1358C">
        <w:rPr>
          <w:b w:val="0"/>
          <w:noProof/>
          <w:sz w:val="18"/>
        </w:rPr>
        <w:fldChar w:fldCharType="begin"/>
      </w:r>
      <w:r w:rsidRPr="00E1358C">
        <w:rPr>
          <w:b w:val="0"/>
          <w:noProof/>
          <w:sz w:val="18"/>
        </w:rPr>
        <w:instrText xml:space="preserve"> PAGEREF _Toc82775852 \h </w:instrText>
      </w:r>
      <w:r w:rsidRPr="00E1358C">
        <w:rPr>
          <w:b w:val="0"/>
          <w:noProof/>
          <w:sz w:val="18"/>
        </w:rPr>
      </w:r>
      <w:r w:rsidRPr="00E1358C">
        <w:rPr>
          <w:b w:val="0"/>
          <w:noProof/>
          <w:sz w:val="18"/>
        </w:rPr>
        <w:fldChar w:fldCharType="separate"/>
      </w:r>
      <w:r w:rsidR="00201964">
        <w:rPr>
          <w:b w:val="0"/>
          <w:noProof/>
          <w:sz w:val="18"/>
        </w:rPr>
        <w:t>8</w:t>
      </w:r>
      <w:r w:rsidRPr="00E1358C">
        <w:rPr>
          <w:b w:val="0"/>
          <w:noProof/>
          <w:sz w:val="18"/>
        </w:rPr>
        <w:fldChar w:fldCharType="end"/>
      </w:r>
    </w:p>
    <w:p w14:paraId="0D367647" w14:textId="2F1D4251" w:rsidR="00E1358C" w:rsidRDefault="00E1358C">
      <w:pPr>
        <w:pStyle w:val="TOC7"/>
        <w:rPr>
          <w:rFonts w:asciiTheme="minorHAnsi" w:eastAsiaTheme="minorEastAsia" w:hAnsiTheme="minorHAnsi" w:cstheme="minorBidi"/>
          <w:noProof/>
          <w:kern w:val="0"/>
          <w:sz w:val="22"/>
          <w:szCs w:val="22"/>
        </w:rPr>
      </w:pPr>
      <w:r>
        <w:rPr>
          <w:noProof/>
        </w:rPr>
        <w:t>Part 1—Main amendments</w:t>
      </w:r>
      <w:r w:rsidRPr="00E1358C">
        <w:rPr>
          <w:noProof/>
          <w:sz w:val="18"/>
        </w:rPr>
        <w:tab/>
      </w:r>
      <w:r w:rsidRPr="00E1358C">
        <w:rPr>
          <w:noProof/>
          <w:sz w:val="18"/>
        </w:rPr>
        <w:fldChar w:fldCharType="begin"/>
      </w:r>
      <w:r w:rsidRPr="00E1358C">
        <w:rPr>
          <w:noProof/>
          <w:sz w:val="18"/>
        </w:rPr>
        <w:instrText xml:space="preserve"> PAGEREF _Toc82775853 \h </w:instrText>
      </w:r>
      <w:r w:rsidRPr="00E1358C">
        <w:rPr>
          <w:noProof/>
          <w:sz w:val="18"/>
        </w:rPr>
      </w:r>
      <w:r w:rsidRPr="00E1358C">
        <w:rPr>
          <w:noProof/>
          <w:sz w:val="18"/>
        </w:rPr>
        <w:fldChar w:fldCharType="separate"/>
      </w:r>
      <w:r w:rsidR="00201964">
        <w:rPr>
          <w:noProof/>
          <w:sz w:val="18"/>
        </w:rPr>
        <w:t>8</w:t>
      </w:r>
      <w:r w:rsidRPr="00E1358C">
        <w:rPr>
          <w:noProof/>
          <w:sz w:val="18"/>
        </w:rPr>
        <w:fldChar w:fldCharType="end"/>
      </w:r>
    </w:p>
    <w:p w14:paraId="7D642DC6" w14:textId="7E0CE1A4" w:rsidR="00E1358C" w:rsidRDefault="00E1358C">
      <w:pPr>
        <w:pStyle w:val="TOC9"/>
        <w:rPr>
          <w:rFonts w:asciiTheme="minorHAnsi" w:eastAsiaTheme="minorEastAsia" w:hAnsiTheme="minorHAnsi" w:cstheme="minorBidi"/>
          <w:i w:val="0"/>
          <w:noProof/>
          <w:kern w:val="0"/>
          <w:sz w:val="22"/>
          <w:szCs w:val="22"/>
        </w:rPr>
      </w:pPr>
      <w:r>
        <w:rPr>
          <w:noProof/>
        </w:rPr>
        <w:t>Competition and Consumer Act 2010</w:t>
      </w:r>
      <w:r w:rsidRPr="00E1358C">
        <w:rPr>
          <w:i w:val="0"/>
          <w:noProof/>
          <w:sz w:val="18"/>
        </w:rPr>
        <w:tab/>
      </w:r>
      <w:r w:rsidRPr="00E1358C">
        <w:rPr>
          <w:i w:val="0"/>
          <w:noProof/>
          <w:sz w:val="18"/>
        </w:rPr>
        <w:fldChar w:fldCharType="begin"/>
      </w:r>
      <w:r w:rsidRPr="00E1358C">
        <w:rPr>
          <w:i w:val="0"/>
          <w:noProof/>
          <w:sz w:val="18"/>
        </w:rPr>
        <w:instrText xml:space="preserve"> PAGEREF _Toc82775854 \h </w:instrText>
      </w:r>
      <w:r w:rsidRPr="00E1358C">
        <w:rPr>
          <w:i w:val="0"/>
          <w:noProof/>
          <w:sz w:val="18"/>
        </w:rPr>
      </w:r>
      <w:r w:rsidRPr="00E1358C">
        <w:rPr>
          <w:i w:val="0"/>
          <w:noProof/>
          <w:sz w:val="18"/>
        </w:rPr>
        <w:fldChar w:fldCharType="separate"/>
      </w:r>
      <w:r w:rsidR="00201964">
        <w:rPr>
          <w:i w:val="0"/>
          <w:noProof/>
          <w:sz w:val="18"/>
        </w:rPr>
        <w:t>8</w:t>
      </w:r>
      <w:r w:rsidRPr="00E1358C">
        <w:rPr>
          <w:i w:val="0"/>
          <w:noProof/>
          <w:sz w:val="18"/>
        </w:rPr>
        <w:fldChar w:fldCharType="end"/>
      </w:r>
    </w:p>
    <w:p w14:paraId="596B41E9" w14:textId="622DD93C" w:rsidR="00E1358C" w:rsidRDefault="00E1358C">
      <w:pPr>
        <w:pStyle w:val="TOC7"/>
        <w:rPr>
          <w:rFonts w:asciiTheme="minorHAnsi" w:eastAsiaTheme="minorEastAsia" w:hAnsiTheme="minorHAnsi" w:cstheme="minorBidi"/>
          <w:noProof/>
          <w:kern w:val="0"/>
          <w:sz w:val="22"/>
          <w:szCs w:val="22"/>
        </w:rPr>
      </w:pPr>
      <w:r>
        <w:rPr>
          <w:noProof/>
        </w:rPr>
        <w:t>Part 2—Application and validation provisions</w:t>
      </w:r>
      <w:r w:rsidRPr="00E1358C">
        <w:rPr>
          <w:noProof/>
          <w:sz w:val="18"/>
        </w:rPr>
        <w:tab/>
      </w:r>
      <w:r w:rsidRPr="00E1358C">
        <w:rPr>
          <w:noProof/>
          <w:sz w:val="18"/>
        </w:rPr>
        <w:fldChar w:fldCharType="begin"/>
      </w:r>
      <w:r w:rsidRPr="00E1358C">
        <w:rPr>
          <w:noProof/>
          <w:sz w:val="18"/>
        </w:rPr>
        <w:instrText xml:space="preserve"> PAGEREF _Toc82775858 \h </w:instrText>
      </w:r>
      <w:r w:rsidRPr="00E1358C">
        <w:rPr>
          <w:noProof/>
          <w:sz w:val="18"/>
        </w:rPr>
      </w:r>
      <w:r w:rsidRPr="00E1358C">
        <w:rPr>
          <w:noProof/>
          <w:sz w:val="18"/>
        </w:rPr>
        <w:fldChar w:fldCharType="separate"/>
      </w:r>
      <w:r w:rsidR="00201964">
        <w:rPr>
          <w:noProof/>
          <w:sz w:val="18"/>
        </w:rPr>
        <w:t>12</w:t>
      </w:r>
      <w:r w:rsidRPr="00E1358C">
        <w:rPr>
          <w:noProof/>
          <w:sz w:val="18"/>
        </w:rPr>
        <w:fldChar w:fldCharType="end"/>
      </w:r>
    </w:p>
    <w:p w14:paraId="02CC6FB9" w14:textId="0A012F0D" w:rsidR="00E1358C" w:rsidRDefault="00E1358C">
      <w:pPr>
        <w:pStyle w:val="TOC6"/>
        <w:rPr>
          <w:rFonts w:asciiTheme="minorHAnsi" w:eastAsiaTheme="minorEastAsia" w:hAnsiTheme="minorHAnsi" w:cstheme="minorBidi"/>
          <w:b w:val="0"/>
          <w:noProof/>
          <w:kern w:val="0"/>
          <w:sz w:val="22"/>
          <w:szCs w:val="22"/>
        </w:rPr>
      </w:pPr>
      <w:r>
        <w:rPr>
          <w:noProof/>
        </w:rPr>
        <w:t>Schedule 5—Superannuation information for family law proceedings</w:t>
      </w:r>
      <w:r w:rsidRPr="00E1358C">
        <w:rPr>
          <w:b w:val="0"/>
          <w:noProof/>
          <w:sz w:val="18"/>
        </w:rPr>
        <w:tab/>
      </w:r>
      <w:r w:rsidRPr="00E1358C">
        <w:rPr>
          <w:b w:val="0"/>
          <w:noProof/>
          <w:sz w:val="18"/>
        </w:rPr>
        <w:fldChar w:fldCharType="begin"/>
      </w:r>
      <w:r w:rsidRPr="00E1358C">
        <w:rPr>
          <w:b w:val="0"/>
          <w:noProof/>
          <w:sz w:val="18"/>
        </w:rPr>
        <w:instrText xml:space="preserve"> PAGEREF _Toc82775859 \h </w:instrText>
      </w:r>
      <w:r w:rsidRPr="00E1358C">
        <w:rPr>
          <w:b w:val="0"/>
          <w:noProof/>
          <w:sz w:val="18"/>
        </w:rPr>
      </w:r>
      <w:r w:rsidRPr="00E1358C">
        <w:rPr>
          <w:b w:val="0"/>
          <w:noProof/>
          <w:sz w:val="18"/>
        </w:rPr>
        <w:fldChar w:fldCharType="separate"/>
      </w:r>
      <w:r w:rsidR="00201964">
        <w:rPr>
          <w:b w:val="0"/>
          <w:noProof/>
          <w:sz w:val="18"/>
        </w:rPr>
        <w:t>13</w:t>
      </w:r>
      <w:r w:rsidRPr="00E1358C">
        <w:rPr>
          <w:b w:val="0"/>
          <w:noProof/>
          <w:sz w:val="18"/>
        </w:rPr>
        <w:fldChar w:fldCharType="end"/>
      </w:r>
    </w:p>
    <w:p w14:paraId="77E6CB25" w14:textId="65362785" w:rsidR="00E1358C" w:rsidRDefault="00E1358C">
      <w:pPr>
        <w:pStyle w:val="TOC7"/>
        <w:rPr>
          <w:rFonts w:asciiTheme="minorHAnsi" w:eastAsiaTheme="minorEastAsia" w:hAnsiTheme="minorHAnsi" w:cstheme="minorBidi"/>
          <w:noProof/>
          <w:kern w:val="0"/>
          <w:sz w:val="22"/>
          <w:szCs w:val="22"/>
        </w:rPr>
      </w:pPr>
      <w:r>
        <w:rPr>
          <w:noProof/>
        </w:rPr>
        <w:t>Part 1—Main amendments</w:t>
      </w:r>
      <w:r w:rsidRPr="00E1358C">
        <w:rPr>
          <w:noProof/>
          <w:sz w:val="18"/>
        </w:rPr>
        <w:tab/>
      </w:r>
      <w:r w:rsidRPr="00E1358C">
        <w:rPr>
          <w:noProof/>
          <w:sz w:val="18"/>
        </w:rPr>
        <w:fldChar w:fldCharType="begin"/>
      </w:r>
      <w:r w:rsidRPr="00E1358C">
        <w:rPr>
          <w:noProof/>
          <w:sz w:val="18"/>
        </w:rPr>
        <w:instrText xml:space="preserve"> PAGEREF _Toc82775860 \h </w:instrText>
      </w:r>
      <w:r w:rsidRPr="00E1358C">
        <w:rPr>
          <w:noProof/>
          <w:sz w:val="18"/>
        </w:rPr>
      </w:r>
      <w:r w:rsidRPr="00E1358C">
        <w:rPr>
          <w:noProof/>
          <w:sz w:val="18"/>
        </w:rPr>
        <w:fldChar w:fldCharType="separate"/>
      </w:r>
      <w:r w:rsidR="00201964">
        <w:rPr>
          <w:noProof/>
          <w:sz w:val="18"/>
        </w:rPr>
        <w:t>13</w:t>
      </w:r>
      <w:r w:rsidRPr="00E1358C">
        <w:rPr>
          <w:noProof/>
          <w:sz w:val="18"/>
        </w:rPr>
        <w:fldChar w:fldCharType="end"/>
      </w:r>
    </w:p>
    <w:p w14:paraId="6C0C3A76" w14:textId="61EF1530" w:rsidR="00E1358C" w:rsidRDefault="00E1358C">
      <w:pPr>
        <w:pStyle w:val="TOC9"/>
        <w:rPr>
          <w:rFonts w:asciiTheme="minorHAnsi" w:eastAsiaTheme="minorEastAsia" w:hAnsiTheme="minorHAnsi" w:cstheme="minorBidi"/>
          <w:i w:val="0"/>
          <w:noProof/>
          <w:kern w:val="0"/>
          <w:sz w:val="22"/>
          <w:szCs w:val="22"/>
        </w:rPr>
      </w:pPr>
      <w:r>
        <w:rPr>
          <w:noProof/>
        </w:rPr>
        <w:t>Family Law Act 1975</w:t>
      </w:r>
      <w:r w:rsidRPr="00E1358C">
        <w:rPr>
          <w:i w:val="0"/>
          <w:noProof/>
          <w:sz w:val="18"/>
        </w:rPr>
        <w:tab/>
      </w:r>
      <w:r w:rsidRPr="00E1358C">
        <w:rPr>
          <w:i w:val="0"/>
          <w:noProof/>
          <w:sz w:val="18"/>
        </w:rPr>
        <w:fldChar w:fldCharType="begin"/>
      </w:r>
      <w:r w:rsidRPr="00E1358C">
        <w:rPr>
          <w:i w:val="0"/>
          <w:noProof/>
          <w:sz w:val="18"/>
        </w:rPr>
        <w:instrText xml:space="preserve"> PAGEREF _Toc82775861 \h </w:instrText>
      </w:r>
      <w:r w:rsidRPr="00E1358C">
        <w:rPr>
          <w:i w:val="0"/>
          <w:noProof/>
          <w:sz w:val="18"/>
        </w:rPr>
      </w:r>
      <w:r w:rsidRPr="00E1358C">
        <w:rPr>
          <w:i w:val="0"/>
          <w:noProof/>
          <w:sz w:val="18"/>
        </w:rPr>
        <w:fldChar w:fldCharType="separate"/>
      </w:r>
      <w:r w:rsidR="00201964">
        <w:rPr>
          <w:i w:val="0"/>
          <w:noProof/>
          <w:sz w:val="18"/>
        </w:rPr>
        <w:t>13</w:t>
      </w:r>
      <w:r w:rsidRPr="00E1358C">
        <w:rPr>
          <w:i w:val="0"/>
          <w:noProof/>
          <w:sz w:val="18"/>
        </w:rPr>
        <w:fldChar w:fldCharType="end"/>
      </w:r>
    </w:p>
    <w:p w14:paraId="20BB196A" w14:textId="0175A0B7" w:rsidR="00E1358C" w:rsidRDefault="00E1358C">
      <w:pPr>
        <w:pStyle w:val="TOC9"/>
        <w:rPr>
          <w:rFonts w:asciiTheme="minorHAnsi" w:eastAsiaTheme="minorEastAsia" w:hAnsiTheme="minorHAnsi" w:cstheme="minorBidi"/>
          <w:i w:val="0"/>
          <w:noProof/>
          <w:kern w:val="0"/>
          <w:sz w:val="22"/>
          <w:szCs w:val="22"/>
        </w:rPr>
      </w:pPr>
      <w:r>
        <w:rPr>
          <w:noProof/>
        </w:rPr>
        <w:t>Taxation Administration Act 1953</w:t>
      </w:r>
      <w:r w:rsidRPr="00E1358C">
        <w:rPr>
          <w:i w:val="0"/>
          <w:noProof/>
          <w:sz w:val="18"/>
        </w:rPr>
        <w:tab/>
      </w:r>
      <w:r w:rsidRPr="00E1358C">
        <w:rPr>
          <w:i w:val="0"/>
          <w:noProof/>
          <w:sz w:val="18"/>
        </w:rPr>
        <w:fldChar w:fldCharType="begin"/>
      </w:r>
      <w:r w:rsidRPr="00E1358C">
        <w:rPr>
          <w:i w:val="0"/>
          <w:noProof/>
          <w:sz w:val="18"/>
        </w:rPr>
        <w:instrText xml:space="preserve"> PAGEREF _Toc82775863 \h </w:instrText>
      </w:r>
      <w:r w:rsidRPr="00E1358C">
        <w:rPr>
          <w:i w:val="0"/>
          <w:noProof/>
          <w:sz w:val="18"/>
        </w:rPr>
      </w:r>
      <w:r w:rsidRPr="00E1358C">
        <w:rPr>
          <w:i w:val="0"/>
          <w:noProof/>
          <w:sz w:val="18"/>
        </w:rPr>
        <w:fldChar w:fldCharType="separate"/>
      </w:r>
      <w:r w:rsidR="00201964">
        <w:rPr>
          <w:i w:val="0"/>
          <w:noProof/>
          <w:sz w:val="18"/>
        </w:rPr>
        <w:t>15</w:t>
      </w:r>
      <w:r w:rsidRPr="00E1358C">
        <w:rPr>
          <w:i w:val="0"/>
          <w:noProof/>
          <w:sz w:val="18"/>
        </w:rPr>
        <w:fldChar w:fldCharType="end"/>
      </w:r>
    </w:p>
    <w:p w14:paraId="44CAC954" w14:textId="46EB2D6E" w:rsidR="00E1358C" w:rsidRDefault="00E1358C">
      <w:pPr>
        <w:pStyle w:val="TOC7"/>
        <w:rPr>
          <w:rFonts w:asciiTheme="minorHAnsi" w:eastAsiaTheme="minorEastAsia" w:hAnsiTheme="minorHAnsi" w:cstheme="minorBidi"/>
          <w:noProof/>
          <w:kern w:val="0"/>
          <w:sz w:val="22"/>
          <w:szCs w:val="22"/>
        </w:rPr>
      </w:pPr>
      <w:r>
        <w:rPr>
          <w:noProof/>
        </w:rPr>
        <w:t>Part 2—Other amendments</w:t>
      </w:r>
      <w:r w:rsidRPr="00E1358C">
        <w:rPr>
          <w:noProof/>
          <w:sz w:val="18"/>
        </w:rPr>
        <w:tab/>
      </w:r>
      <w:r w:rsidRPr="00E1358C">
        <w:rPr>
          <w:noProof/>
          <w:sz w:val="18"/>
        </w:rPr>
        <w:fldChar w:fldCharType="begin"/>
      </w:r>
      <w:r w:rsidRPr="00E1358C">
        <w:rPr>
          <w:noProof/>
          <w:sz w:val="18"/>
        </w:rPr>
        <w:instrText xml:space="preserve"> PAGEREF _Toc82775864 \h </w:instrText>
      </w:r>
      <w:r w:rsidRPr="00E1358C">
        <w:rPr>
          <w:noProof/>
          <w:sz w:val="18"/>
        </w:rPr>
      </w:r>
      <w:r w:rsidRPr="00E1358C">
        <w:rPr>
          <w:noProof/>
          <w:sz w:val="18"/>
        </w:rPr>
        <w:fldChar w:fldCharType="separate"/>
      </w:r>
      <w:r w:rsidR="00201964">
        <w:rPr>
          <w:noProof/>
          <w:sz w:val="18"/>
        </w:rPr>
        <w:t>17</w:t>
      </w:r>
      <w:r w:rsidRPr="00E1358C">
        <w:rPr>
          <w:noProof/>
          <w:sz w:val="18"/>
        </w:rPr>
        <w:fldChar w:fldCharType="end"/>
      </w:r>
    </w:p>
    <w:p w14:paraId="329A82D8" w14:textId="332F5A93" w:rsidR="00E1358C" w:rsidRDefault="00E1358C">
      <w:pPr>
        <w:pStyle w:val="TOC9"/>
        <w:rPr>
          <w:rFonts w:asciiTheme="minorHAnsi" w:eastAsiaTheme="minorEastAsia" w:hAnsiTheme="minorHAnsi" w:cstheme="minorBidi"/>
          <w:i w:val="0"/>
          <w:noProof/>
          <w:kern w:val="0"/>
          <w:sz w:val="22"/>
          <w:szCs w:val="22"/>
        </w:rPr>
      </w:pPr>
      <w:r>
        <w:rPr>
          <w:noProof/>
        </w:rPr>
        <w:t>Family Law Act 1975</w:t>
      </w:r>
      <w:r w:rsidRPr="00E1358C">
        <w:rPr>
          <w:i w:val="0"/>
          <w:noProof/>
          <w:sz w:val="18"/>
        </w:rPr>
        <w:tab/>
      </w:r>
      <w:r w:rsidRPr="00E1358C">
        <w:rPr>
          <w:i w:val="0"/>
          <w:noProof/>
          <w:sz w:val="18"/>
        </w:rPr>
        <w:fldChar w:fldCharType="begin"/>
      </w:r>
      <w:r w:rsidRPr="00E1358C">
        <w:rPr>
          <w:i w:val="0"/>
          <w:noProof/>
          <w:sz w:val="18"/>
        </w:rPr>
        <w:instrText xml:space="preserve"> PAGEREF _Toc82775865 \h </w:instrText>
      </w:r>
      <w:r w:rsidRPr="00E1358C">
        <w:rPr>
          <w:i w:val="0"/>
          <w:noProof/>
          <w:sz w:val="18"/>
        </w:rPr>
      </w:r>
      <w:r w:rsidRPr="00E1358C">
        <w:rPr>
          <w:i w:val="0"/>
          <w:noProof/>
          <w:sz w:val="18"/>
        </w:rPr>
        <w:fldChar w:fldCharType="separate"/>
      </w:r>
      <w:r w:rsidR="00201964">
        <w:rPr>
          <w:i w:val="0"/>
          <w:noProof/>
          <w:sz w:val="18"/>
        </w:rPr>
        <w:t>17</w:t>
      </w:r>
      <w:r w:rsidRPr="00E1358C">
        <w:rPr>
          <w:i w:val="0"/>
          <w:noProof/>
          <w:sz w:val="18"/>
        </w:rPr>
        <w:fldChar w:fldCharType="end"/>
      </w:r>
    </w:p>
    <w:p w14:paraId="792654A4" w14:textId="6FD8C26B" w:rsidR="00E1358C" w:rsidRDefault="00E1358C">
      <w:pPr>
        <w:pStyle w:val="TOC9"/>
        <w:rPr>
          <w:rFonts w:asciiTheme="minorHAnsi" w:eastAsiaTheme="minorEastAsia" w:hAnsiTheme="minorHAnsi" w:cstheme="minorBidi"/>
          <w:i w:val="0"/>
          <w:noProof/>
          <w:kern w:val="0"/>
          <w:sz w:val="22"/>
          <w:szCs w:val="22"/>
        </w:rPr>
      </w:pPr>
      <w:r>
        <w:rPr>
          <w:noProof/>
        </w:rPr>
        <w:t>Taxation Administration Act 1953</w:t>
      </w:r>
      <w:r w:rsidRPr="00E1358C">
        <w:rPr>
          <w:i w:val="0"/>
          <w:noProof/>
          <w:sz w:val="18"/>
        </w:rPr>
        <w:tab/>
      </w:r>
      <w:r w:rsidRPr="00E1358C">
        <w:rPr>
          <w:i w:val="0"/>
          <w:noProof/>
          <w:sz w:val="18"/>
        </w:rPr>
        <w:fldChar w:fldCharType="begin"/>
      </w:r>
      <w:r w:rsidRPr="00E1358C">
        <w:rPr>
          <w:i w:val="0"/>
          <w:noProof/>
          <w:sz w:val="18"/>
        </w:rPr>
        <w:instrText xml:space="preserve"> PAGEREF _Toc82775867 \h </w:instrText>
      </w:r>
      <w:r w:rsidRPr="00E1358C">
        <w:rPr>
          <w:i w:val="0"/>
          <w:noProof/>
          <w:sz w:val="18"/>
        </w:rPr>
      </w:r>
      <w:r w:rsidRPr="00E1358C">
        <w:rPr>
          <w:i w:val="0"/>
          <w:noProof/>
          <w:sz w:val="18"/>
        </w:rPr>
        <w:fldChar w:fldCharType="separate"/>
      </w:r>
      <w:r w:rsidR="00201964">
        <w:rPr>
          <w:i w:val="0"/>
          <w:noProof/>
          <w:sz w:val="18"/>
        </w:rPr>
        <w:t>19</w:t>
      </w:r>
      <w:r w:rsidRPr="00E1358C">
        <w:rPr>
          <w:i w:val="0"/>
          <w:noProof/>
          <w:sz w:val="18"/>
        </w:rPr>
        <w:fldChar w:fldCharType="end"/>
      </w:r>
    </w:p>
    <w:p w14:paraId="11802AFD" w14:textId="1A4949AF" w:rsidR="00060FF9" w:rsidRPr="0068273F" w:rsidRDefault="00E1358C" w:rsidP="0048364F">
      <w:pPr>
        <w:rPr>
          <w:rFonts w:cs="Times New Roman"/>
          <w:sz w:val="18"/>
        </w:rPr>
      </w:pPr>
      <w:r>
        <w:rPr>
          <w:rFonts w:cs="Times New Roman"/>
          <w:sz w:val="18"/>
        </w:rPr>
        <w:fldChar w:fldCharType="end"/>
      </w:r>
    </w:p>
    <w:p w14:paraId="7CFDF928" w14:textId="77777777" w:rsidR="00FE7F93" w:rsidRPr="0016350E" w:rsidRDefault="00FE7F93" w:rsidP="0048364F">
      <w:pPr>
        <w:sectPr w:rsidR="00FE7F93" w:rsidRPr="0016350E" w:rsidSect="00CC200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6588950" w14:textId="77777777" w:rsidR="00CC200F" w:rsidRDefault="00CC200F">
      <w:r>
        <w:object w:dxaOrig="2146" w:dyaOrig="1561" w14:anchorId="395C55E8">
          <v:shape id="_x0000_i1026" type="#_x0000_t75" alt="Commonwealth Coat of Arms of Australia" style="width:110.25pt;height:80.25pt" o:ole="" fillcolor="window">
            <v:imagedata r:id="rId7" o:title=""/>
          </v:shape>
          <o:OLEObject Type="Embed" ProgID="Word.Picture.8" ShapeID="_x0000_i1026" DrawAspect="Content" ObjectID="_1725111941" r:id="rId20"/>
        </w:object>
      </w:r>
    </w:p>
    <w:p w14:paraId="2D988859" w14:textId="77777777" w:rsidR="00CC200F" w:rsidRDefault="00CC200F"/>
    <w:p w14:paraId="4FB38058" w14:textId="77777777" w:rsidR="00CC200F" w:rsidRDefault="00CC200F" w:rsidP="00CC200F">
      <w:pPr>
        <w:spacing w:line="240" w:lineRule="auto"/>
      </w:pPr>
    </w:p>
    <w:p w14:paraId="344F8AC8" w14:textId="56966D1A" w:rsidR="00CC200F" w:rsidRDefault="00FE34DC" w:rsidP="00CC200F">
      <w:pPr>
        <w:pStyle w:val="ShortTP1"/>
      </w:pPr>
      <w:r>
        <w:fldChar w:fldCharType="begin"/>
      </w:r>
      <w:r>
        <w:instrText xml:space="preserve"> STYLEREF ShortT </w:instrText>
      </w:r>
      <w:r>
        <w:fldChar w:fldCharType="separate"/>
      </w:r>
      <w:r w:rsidR="00201964">
        <w:rPr>
          <w:noProof/>
        </w:rPr>
        <w:t>Treasury Laws Amendment (2021 Measures No. 6) Act 2021</w:t>
      </w:r>
      <w:r>
        <w:rPr>
          <w:noProof/>
        </w:rPr>
        <w:fldChar w:fldCharType="end"/>
      </w:r>
    </w:p>
    <w:p w14:paraId="6A8BFA30" w14:textId="4B9FC8BB" w:rsidR="00CC200F" w:rsidRDefault="00FE34DC" w:rsidP="00CC200F">
      <w:pPr>
        <w:pStyle w:val="ActNoP1"/>
      </w:pPr>
      <w:r>
        <w:fldChar w:fldCharType="begin"/>
      </w:r>
      <w:r>
        <w:instrText xml:space="preserve"> STYLEREF Actno </w:instrText>
      </w:r>
      <w:r>
        <w:fldChar w:fldCharType="separate"/>
      </w:r>
      <w:r w:rsidR="00201964">
        <w:rPr>
          <w:noProof/>
        </w:rPr>
        <w:t>No. 111, 2021</w:t>
      </w:r>
      <w:r>
        <w:rPr>
          <w:noProof/>
        </w:rPr>
        <w:fldChar w:fldCharType="end"/>
      </w:r>
    </w:p>
    <w:p w14:paraId="1709F3FC" w14:textId="77777777" w:rsidR="00CC200F" w:rsidRPr="009A0728" w:rsidRDefault="00CC200F" w:rsidP="00CC200F">
      <w:pPr>
        <w:pBdr>
          <w:bottom w:val="single" w:sz="6" w:space="0" w:color="auto"/>
        </w:pBdr>
        <w:spacing w:before="400" w:line="240" w:lineRule="auto"/>
        <w:rPr>
          <w:rFonts w:eastAsia="Times New Roman"/>
          <w:b/>
          <w:sz w:val="28"/>
        </w:rPr>
      </w:pPr>
    </w:p>
    <w:p w14:paraId="73E1B747" w14:textId="77777777" w:rsidR="00CC200F" w:rsidRPr="009A0728" w:rsidRDefault="00CC200F" w:rsidP="00CC200F">
      <w:pPr>
        <w:spacing w:line="40" w:lineRule="exact"/>
        <w:rPr>
          <w:rFonts w:eastAsia="Calibri"/>
          <w:b/>
          <w:sz w:val="28"/>
        </w:rPr>
      </w:pPr>
    </w:p>
    <w:p w14:paraId="3541097E" w14:textId="77777777" w:rsidR="00CC200F" w:rsidRPr="009A0728" w:rsidRDefault="00CC200F" w:rsidP="00CC200F">
      <w:pPr>
        <w:pBdr>
          <w:top w:val="single" w:sz="12" w:space="0" w:color="auto"/>
        </w:pBdr>
        <w:spacing w:line="240" w:lineRule="auto"/>
        <w:rPr>
          <w:rFonts w:eastAsia="Times New Roman"/>
          <w:b/>
          <w:sz w:val="28"/>
        </w:rPr>
      </w:pPr>
    </w:p>
    <w:p w14:paraId="1D7944AF" w14:textId="77777777" w:rsidR="00CC200F" w:rsidRDefault="00CC200F" w:rsidP="00CC200F">
      <w:pPr>
        <w:pStyle w:val="Page1"/>
        <w:spacing w:before="400"/>
      </w:pPr>
      <w:r>
        <w:t>An Act to amend legislation relating to taxation, industry codes and family law, and for related purposes</w:t>
      </w:r>
    </w:p>
    <w:p w14:paraId="3FE549D0" w14:textId="3E1C421C" w:rsidR="00332DD4" w:rsidRPr="0068273F" w:rsidRDefault="00332DD4" w:rsidP="0068273F">
      <w:pPr>
        <w:pStyle w:val="AssentDt"/>
        <w:spacing w:before="240"/>
        <w:rPr>
          <w:sz w:val="24"/>
        </w:rPr>
      </w:pPr>
      <w:r>
        <w:rPr>
          <w:sz w:val="24"/>
        </w:rPr>
        <w:t>[</w:t>
      </w:r>
      <w:r>
        <w:rPr>
          <w:i/>
          <w:sz w:val="24"/>
        </w:rPr>
        <w:t>Assented to 13 September 2021</w:t>
      </w:r>
      <w:r>
        <w:rPr>
          <w:sz w:val="24"/>
        </w:rPr>
        <w:t>]</w:t>
      </w:r>
    </w:p>
    <w:p w14:paraId="2F905325" w14:textId="06F6AFA8" w:rsidR="0048364F" w:rsidRPr="0016350E" w:rsidRDefault="0048364F" w:rsidP="002A23B3">
      <w:pPr>
        <w:spacing w:before="240" w:line="240" w:lineRule="auto"/>
        <w:rPr>
          <w:sz w:val="32"/>
        </w:rPr>
      </w:pPr>
      <w:r w:rsidRPr="0016350E">
        <w:rPr>
          <w:sz w:val="32"/>
        </w:rPr>
        <w:t>The Parliament of Australia enacts:</w:t>
      </w:r>
    </w:p>
    <w:p w14:paraId="4ED27607" w14:textId="77777777" w:rsidR="0048364F" w:rsidRPr="0016350E" w:rsidRDefault="0048364F" w:rsidP="002A23B3">
      <w:pPr>
        <w:pStyle w:val="ActHead5"/>
      </w:pPr>
      <w:bookmarkStart w:id="0" w:name="_Toc82775842"/>
      <w:r w:rsidRPr="001A453F">
        <w:rPr>
          <w:rStyle w:val="CharSectno"/>
        </w:rPr>
        <w:t>1</w:t>
      </w:r>
      <w:r w:rsidRPr="0016350E">
        <w:t xml:space="preserve">  Short title</w:t>
      </w:r>
      <w:bookmarkEnd w:id="0"/>
    </w:p>
    <w:p w14:paraId="7B06BE3C" w14:textId="77777777" w:rsidR="0048364F" w:rsidRPr="0016350E" w:rsidRDefault="0048364F" w:rsidP="002A23B3">
      <w:pPr>
        <w:pStyle w:val="subsection"/>
      </w:pPr>
      <w:r w:rsidRPr="0016350E">
        <w:tab/>
      </w:r>
      <w:r w:rsidRPr="0016350E">
        <w:tab/>
        <w:t xml:space="preserve">This Act </w:t>
      </w:r>
      <w:r w:rsidR="00275197" w:rsidRPr="0016350E">
        <w:t xml:space="preserve">is </w:t>
      </w:r>
      <w:r w:rsidRPr="0016350E">
        <w:t xml:space="preserve">the </w:t>
      </w:r>
      <w:r w:rsidR="006F041C" w:rsidRPr="0016350E">
        <w:rPr>
          <w:i/>
        </w:rPr>
        <w:t xml:space="preserve">Treasury Laws Amendment (2021 Measures No. 6) </w:t>
      </w:r>
      <w:r w:rsidR="00EE3E36" w:rsidRPr="0016350E">
        <w:rPr>
          <w:i/>
        </w:rPr>
        <w:t>Act 20</w:t>
      </w:r>
      <w:r w:rsidR="009E186E" w:rsidRPr="0016350E">
        <w:rPr>
          <w:i/>
        </w:rPr>
        <w:t>21</w:t>
      </w:r>
      <w:r w:rsidRPr="0016350E">
        <w:t>.</w:t>
      </w:r>
    </w:p>
    <w:p w14:paraId="4CBCFFE1" w14:textId="77777777" w:rsidR="0048364F" w:rsidRPr="0016350E" w:rsidRDefault="0048364F" w:rsidP="002A23B3">
      <w:pPr>
        <w:pStyle w:val="ActHead5"/>
      </w:pPr>
      <w:bookmarkStart w:id="1" w:name="_Toc82775843"/>
      <w:r w:rsidRPr="001A453F">
        <w:rPr>
          <w:rStyle w:val="CharSectno"/>
        </w:rPr>
        <w:lastRenderedPageBreak/>
        <w:t>2</w:t>
      </w:r>
      <w:r w:rsidRPr="0016350E">
        <w:t xml:space="preserve">  Commencement</w:t>
      </w:r>
      <w:bookmarkEnd w:id="1"/>
    </w:p>
    <w:p w14:paraId="09B12CCA" w14:textId="77777777" w:rsidR="0048364F" w:rsidRPr="0016350E" w:rsidRDefault="0048364F" w:rsidP="002A23B3">
      <w:pPr>
        <w:pStyle w:val="subsection"/>
      </w:pPr>
      <w:r w:rsidRPr="0016350E">
        <w:tab/>
        <w:t>(1)</w:t>
      </w:r>
      <w:r w:rsidRPr="0016350E">
        <w:tab/>
        <w:t>Each provision of this Act specified in column 1 of the table commences, or is taken to have commenced, in accordance with column 2 of the table. Any other statement in column 2 has effect according to its terms.</w:t>
      </w:r>
    </w:p>
    <w:p w14:paraId="6D0FF0E3" w14:textId="77777777" w:rsidR="0048364F" w:rsidRPr="0016350E" w:rsidRDefault="0048364F" w:rsidP="002A23B3">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6350E" w14:paraId="66B24D7A" w14:textId="77777777" w:rsidTr="004C7C8C">
        <w:trPr>
          <w:tblHeader/>
        </w:trPr>
        <w:tc>
          <w:tcPr>
            <w:tcW w:w="7111" w:type="dxa"/>
            <w:gridSpan w:val="3"/>
            <w:tcBorders>
              <w:top w:val="single" w:sz="12" w:space="0" w:color="auto"/>
              <w:bottom w:val="single" w:sz="6" w:space="0" w:color="auto"/>
            </w:tcBorders>
            <w:shd w:val="clear" w:color="auto" w:fill="auto"/>
          </w:tcPr>
          <w:p w14:paraId="17991473" w14:textId="77777777" w:rsidR="0048364F" w:rsidRPr="0016350E" w:rsidRDefault="0048364F" w:rsidP="002A23B3">
            <w:pPr>
              <w:pStyle w:val="TableHeading"/>
            </w:pPr>
            <w:r w:rsidRPr="0016350E">
              <w:t>Commencement information</w:t>
            </w:r>
          </w:p>
        </w:tc>
      </w:tr>
      <w:tr w:rsidR="0048364F" w:rsidRPr="0016350E" w14:paraId="5AF5C0E9" w14:textId="77777777" w:rsidTr="004C7C8C">
        <w:trPr>
          <w:tblHeader/>
        </w:trPr>
        <w:tc>
          <w:tcPr>
            <w:tcW w:w="1701" w:type="dxa"/>
            <w:tcBorders>
              <w:top w:val="single" w:sz="6" w:space="0" w:color="auto"/>
              <w:bottom w:val="single" w:sz="6" w:space="0" w:color="auto"/>
            </w:tcBorders>
            <w:shd w:val="clear" w:color="auto" w:fill="auto"/>
          </w:tcPr>
          <w:p w14:paraId="61532905" w14:textId="77777777" w:rsidR="0048364F" w:rsidRPr="0016350E" w:rsidRDefault="0048364F" w:rsidP="002A23B3">
            <w:pPr>
              <w:pStyle w:val="TableHeading"/>
            </w:pPr>
            <w:r w:rsidRPr="0016350E">
              <w:t>Column 1</w:t>
            </w:r>
          </w:p>
        </w:tc>
        <w:tc>
          <w:tcPr>
            <w:tcW w:w="3828" w:type="dxa"/>
            <w:tcBorders>
              <w:top w:val="single" w:sz="6" w:space="0" w:color="auto"/>
              <w:bottom w:val="single" w:sz="6" w:space="0" w:color="auto"/>
            </w:tcBorders>
            <w:shd w:val="clear" w:color="auto" w:fill="auto"/>
          </w:tcPr>
          <w:p w14:paraId="4E598DA4" w14:textId="77777777" w:rsidR="0048364F" w:rsidRPr="0016350E" w:rsidRDefault="0048364F" w:rsidP="002A23B3">
            <w:pPr>
              <w:pStyle w:val="TableHeading"/>
            </w:pPr>
            <w:r w:rsidRPr="0016350E">
              <w:t>Column 2</w:t>
            </w:r>
          </w:p>
        </w:tc>
        <w:tc>
          <w:tcPr>
            <w:tcW w:w="1582" w:type="dxa"/>
            <w:tcBorders>
              <w:top w:val="single" w:sz="6" w:space="0" w:color="auto"/>
              <w:bottom w:val="single" w:sz="6" w:space="0" w:color="auto"/>
            </w:tcBorders>
            <w:shd w:val="clear" w:color="auto" w:fill="auto"/>
          </w:tcPr>
          <w:p w14:paraId="5C9BAAD6" w14:textId="77777777" w:rsidR="0048364F" w:rsidRPr="0016350E" w:rsidRDefault="0048364F" w:rsidP="002A23B3">
            <w:pPr>
              <w:pStyle w:val="TableHeading"/>
            </w:pPr>
            <w:r w:rsidRPr="0016350E">
              <w:t>Column 3</w:t>
            </w:r>
          </w:p>
        </w:tc>
      </w:tr>
      <w:tr w:rsidR="0048364F" w:rsidRPr="0016350E" w14:paraId="5EF7058B" w14:textId="77777777" w:rsidTr="004C7C8C">
        <w:trPr>
          <w:tblHeader/>
        </w:trPr>
        <w:tc>
          <w:tcPr>
            <w:tcW w:w="1701" w:type="dxa"/>
            <w:tcBorders>
              <w:top w:val="single" w:sz="6" w:space="0" w:color="auto"/>
              <w:bottom w:val="single" w:sz="12" w:space="0" w:color="auto"/>
            </w:tcBorders>
            <w:shd w:val="clear" w:color="auto" w:fill="auto"/>
          </w:tcPr>
          <w:p w14:paraId="20F69D70" w14:textId="77777777" w:rsidR="0048364F" w:rsidRPr="0016350E" w:rsidRDefault="0048364F" w:rsidP="002A23B3">
            <w:pPr>
              <w:pStyle w:val="TableHeading"/>
            </w:pPr>
            <w:r w:rsidRPr="0016350E">
              <w:t>Provisions</w:t>
            </w:r>
          </w:p>
        </w:tc>
        <w:tc>
          <w:tcPr>
            <w:tcW w:w="3828" w:type="dxa"/>
            <w:tcBorders>
              <w:top w:val="single" w:sz="6" w:space="0" w:color="auto"/>
              <w:bottom w:val="single" w:sz="12" w:space="0" w:color="auto"/>
            </w:tcBorders>
            <w:shd w:val="clear" w:color="auto" w:fill="auto"/>
          </w:tcPr>
          <w:p w14:paraId="30028FA8" w14:textId="77777777" w:rsidR="0048364F" w:rsidRPr="0016350E" w:rsidRDefault="0048364F" w:rsidP="002A23B3">
            <w:pPr>
              <w:pStyle w:val="TableHeading"/>
            </w:pPr>
            <w:r w:rsidRPr="0016350E">
              <w:t>Commencement</w:t>
            </w:r>
          </w:p>
        </w:tc>
        <w:tc>
          <w:tcPr>
            <w:tcW w:w="1582" w:type="dxa"/>
            <w:tcBorders>
              <w:top w:val="single" w:sz="6" w:space="0" w:color="auto"/>
              <w:bottom w:val="single" w:sz="12" w:space="0" w:color="auto"/>
            </w:tcBorders>
            <w:shd w:val="clear" w:color="auto" w:fill="auto"/>
          </w:tcPr>
          <w:p w14:paraId="6D4DDBD2" w14:textId="77777777" w:rsidR="0048364F" w:rsidRPr="0016350E" w:rsidRDefault="0048364F" w:rsidP="002A23B3">
            <w:pPr>
              <w:pStyle w:val="TableHeading"/>
            </w:pPr>
            <w:r w:rsidRPr="0016350E">
              <w:t>Date/Details</w:t>
            </w:r>
          </w:p>
        </w:tc>
      </w:tr>
      <w:tr w:rsidR="0048364F" w:rsidRPr="0016350E" w14:paraId="61BB8F2C" w14:textId="77777777" w:rsidTr="004C7C8C">
        <w:tc>
          <w:tcPr>
            <w:tcW w:w="1701" w:type="dxa"/>
            <w:tcBorders>
              <w:top w:val="single" w:sz="12" w:space="0" w:color="auto"/>
            </w:tcBorders>
            <w:shd w:val="clear" w:color="auto" w:fill="auto"/>
          </w:tcPr>
          <w:p w14:paraId="459C81E2" w14:textId="77777777" w:rsidR="0048364F" w:rsidRPr="0016350E" w:rsidRDefault="0048364F" w:rsidP="002A23B3">
            <w:pPr>
              <w:pStyle w:val="Tabletext"/>
            </w:pPr>
            <w:r w:rsidRPr="0016350E">
              <w:t xml:space="preserve">1.  </w:t>
            </w:r>
            <w:r w:rsidR="003331CD" w:rsidRPr="0016350E">
              <w:t>Sections 1</w:t>
            </w:r>
            <w:r w:rsidRPr="0016350E">
              <w:t xml:space="preserve"> to 3 and anything in this Act not elsewhere covered by this table</w:t>
            </w:r>
          </w:p>
        </w:tc>
        <w:tc>
          <w:tcPr>
            <w:tcW w:w="3828" w:type="dxa"/>
            <w:tcBorders>
              <w:top w:val="single" w:sz="12" w:space="0" w:color="auto"/>
            </w:tcBorders>
            <w:shd w:val="clear" w:color="auto" w:fill="auto"/>
          </w:tcPr>
          <w:p w14:paraId="202F9385" w14:textId="77777777" w:rsidR="0048364F" w:rsidRPr="0016350E" w:rsidRDefault="0048364F" w:rsidP="002A23B3">
            <w:pPr>
              <w:pStyle w:val="Tabletext"/>
            </w:pPr>
            <w:r w:rsidRPr="0016350E">
              <w:t>The day this Act receives the Royal Assent.</w:t>
            </w:r>
          </w:p>
        </w:tc>
        <w:tc>
          <w:tcPr>
            <w:tcW w:w="1582" w:type="dxa"/>
            <w:tcBorders>
              <w:top w:val="single" w:sz="12" w:space="0" w:color="auto"/>
            </w:tcBorders>
            <w:shd w:val="clear" w:color="auto" w:fill="auto"/>
          </w:tcPr>
          <w:p w14:paraId="5C3B15AE" w14:textId="401127EE" w:rsidR="0048364F" w:rsidRPr="0016350E" w:rsidRDefault="0068273F" w:rsidP="002A23B3">
            <w:pPr>
              <w:pStyle w:val="Tabletext"/>
            </w:pPr>
            <w:r>
              <w:t>13 September 2021</w:t>
            </w:r>
          </w:p>
        </w:tc>
      </w:tr>
      <w:tr w:rsidR="0048364F" w:rsidRPr="0016350E" w14:paraId="442720D9" w14:textId="77777777" w:rsidTr="004C7C8C">
        <w:tc>
          <w:tcPr>
            <w:tcW w:w="1701" w:type="dxa"/>
            <w:shd w:val="clear" w:color="auto" w:fill="auto"/>
          </w:tcPr>
          <w:p w14:paraId="73707874" w14:textId="77777777" w:rsidR="0048364F" w:rsidRPr="0016350E" w:rsidRDefault="0048364F" w:rsidP="002A23B3">
            <w:pPr>
              <w:pStyle w:val="Tabletext"/>
            </w:pPr>
            <w:r w:rsidRPr="0016350E">
              <w:t xml:space="preserve">2.  </w:t>
            </w:r>
            <w:r w:rsidR="00323DE4" w:rsidRPr="0016350E">
              <w:t>Schedule 1</w:t>
            </w:r>
          </w:p>
        </w:tc>
        <w:tc>
          <w:tcPr>
            <w:tcW w:w="3828" w:type="dxa"/>
            <w:shd w:val="clear" w:color="auto" w:fill="auto"/>
          </w:tcPr>
          <w:p w14:paraId="3CC9E271" w14:textId="77777777" w:rsidR="0048364F" w:rsidRPr="0016350E" w:rsidRDefault="00323DE4" w:rsidP="002A23B3">
            <w:pPr>
              <w:pStyle w:val="Tabletext"/>
            </w:pPr>
            <w:r w:rsidRPr="0016350E">
              <w:rPr>
                <w:lang w:eastAsia="en-US"/>
              </w:rPr>
              <w:t>The first 1 January, 1 April, 1 July or 1 October to occur after the day this Act receives the Royal Assent.</w:t>
            </w:r>
          </w:p>
        </w:tc>
        <w:tc>
          <w:tcPr>
            <w:tcW w:w="1582" w:type="dxa"/>
            <w:shd w:val="clear" w:color="auto" w:fill="auto"/>
          </w:tcPr>
          <w:p w14:paraId="2800DCE6" w14:textId="54D858B0" w:rsidR="0048364F" w:rsidRPr="0016350E" w:rsidRDefault="0068273F" w:rsidP="002A23B3">
            <w:pPr>
              <w:pStyle w:val="Tabletext"/>
            </w:pPr>
            <w:r>
              <w:t>1 October 2021</w:t>
            </w:r>
          </w:p>
        </w:tc>
      </w:tr>
      <w:tr w:rsidR="0048364F" w:rsidRPr="0016350E" w14:paraId="07D089A5" w14:textId="77777777" w:rsidTr="004C7C8C">
        <w:tc>
          <w:tcPr>
            <w:tcW w:w="1701" w:type="dxa"/>
            <w:shd w:val="clear" w:color="auto" w:fill="auto"/>
          </w:tcPr>
          <w:p w14:paraId="2C23EEA3" w14:textId="77777777" w:rsidR="0048364F" w:rsidRPr="0016350E" w:rsidRDefault="0048364F" w:rsidP="002A23B3">
            <w:pPr>
              <w:pStyle w:val="Tabletext"/>
            </w:pPr>
            <w:r w:rsidRPr="0016350E">
              <w:t xml:space="preserve">3.  </w:t>
            </w:r>
            <w:r w:rsidR="00136652" w:rsidRPr="0016350E">
              <w:t>Schedule 2</w:t>
            </w:r>
          </w:p>
        </w:tc>
        <w:tc>
          <w:tcPr>
            <w:tcW w:w="3828" w:type="dxa"/>
            <w:shd w:val="clear" w:color="auto" w:fill="auto"/>
          </w:tcPr>
          <w:p w14:paraId="7986B9D4" w14:textId="77777777" w:rsidR="0048364F" w:rsidRPr="0016350E" w:rsidRDefault="00323DE4" w:rsidP="002A23B3">
            <w:pPr>
              <w:pStyle w:val="Tabletext"/>
            </w:pPr>
            <w:r w:rsidRPr="0016350E">
              <w:t>The day after this Act receives the Royal Assent.</w:t>
            </w:r>
          </w:p>
        </w:tc>
        <w:tc>
          <w:tcPr>
            <w:tcW w:w="1582" w:type="dxa"/>
            <w:shd w:val="clear" w:color="auto" w:fill="auto"/>
          </w:tcPr>
          <w:p w14:paraId="4093F952" w14:textId="1ED63AC1" w:rsidR="0048364F" w:rsidRPr="0016350E" w:rsidRDefault="0068273F" w:rsidP="002A23B3">
            <w:pPr>
              <w:pStyle w:val="Tabletext"/>
            </w:pPr>
            <w:r>
              <w:t>14 September 2021</w:t>
            </w:r>
          </w:p>
        </w:tc>
      </w:tr>
      <w:tr w:rsidR="0048364F" w:rsidRPr="0016350E" w14:paraId="3E016F57" w14:textId="77777777" w:rsidTr="004C7C8C">
        <w:tc>
          <w:tcPr>
            <w:tcW w:w="1701" w:type="dxa"/>
            <w:shd w:val="clear" w:color="auto" w:fill="auto"/>
          </w:tcPr>
          <w:p w14:paraId="663D4406" w14:textId="77777777" w:rsidR="0048364F" w:rsidRPr="0016350E" w:rsidRDefault="0048364F" w:rsidP="002A23B3">
            <w:pPr>
              <w:pStyle w:val="Tabletext"/>
            </w:pPr>
            <w:r w:rsidRPr="0016350E">
              <w:t xml:space="preserve">4.  </w:t>
            </w:r>
            <w:r w:rsidR="00323DE4" w:rsidRPr="0016350E">
              <w:t>Schedule 3</w:t>
            </w:r>
          </w:p>
        </w:tc>
        <w:tc>
          <w:tcPr>
            <w:tcW w:w="3828" w:type="dxa"/>
            <w:shd w:val="clear" w:color="auto" w:fill="auto"/>
          </w:tcPr>
          <w:p w14:paraId="57678626" w14:textId="77777777" w:rsidR="0048364F" w:rsidRPr="0016350E" w:rsidRDefault="00323DE4" w:rsidP="002A23B3">
            <w:pPr>
              <w:pStyle w:val="Tabletext"/>
            </w:pPr>
            <w:r w:rsidRPr="0016350E">
              <w:t>The first 1 January, 1 April, 1 July or 1 October to occur after the day this Act receives the Royal Assent.</w:t>
            </w:r>
          </w:p>
        </w:tc>
        <w:tc>
          <w:tcPr>
            <w:tcW w:w="1582" w:type="dxa"/>
            <w:shd w:val="clear" w:color="auto" w:fill="auto"/>
          </w:tcPr>
          <w:p w14:paraId="39925631" w14:textId="68092270" w:rsidR="0048364F" w:rsidRPr="0016350E" w:rsidRDefault="0068273F" w:rsidP="002A23B3">
            <w:pPr>
              <w:pStyle w:val="Tabletext"/>
            </w:pPr>
            <w:r>
              <w:t>1 October 2021</w:t>
            </w:r>
          </w:p>
        </w:tc>
      </w:tr>
      <w:tr w:rsidR="0048364F" w:rsidRPr="0016350E" w14:paraId="5F68121C" w14:textId="77777777" w:rsidTr="00C93FCD">
        <w:tc>
          <w:tcPr>
            <w:tcW w:w="1701" w:type="dxa"/>
            <w:shd w:val="clear" w:color="auto" w:fill="auto"/>
          </w:tcPr>
          <w:p w14:paraId="581938C4" w14:textId="77777777" w:rsidR="0048364F" w:rsidRPr="0016350E" w:rsidRDefault="00323DE4" w:rsidP="002A23B3">
            <w:pPr>
              <w:pStyle w:val="Tabletext"/>
            </w:pPr>
            <w:r w:rsidRPr="0016350E">
              <w:t>5</w:t>
            </w:r>
            <w:r w:rsidR="0048364F" w:rsidRPr="0016350E">
              <w:t xml:space="preserve">.  </w:t>
            </w:r>
            <w:r w:rsidRPr="0016350E">
              <w:t>Schedule 4</w:t>
            </w:r>
          </w:p>
        </w:tc>
        <w:tc>
          <w:tcPr>
            <w:tcW w:w="3828" w:type="dxa"/>
            <w:shd w:val="clear" w:color="auto" w:fill="auto"/>
          </w:tcPr>
          <w:p w14:paraId="5AA3A113" w14:textId="77777777" w:rsidR="0048364F" w:rsidRPr="0016350E" w:rsidRDefault="00323DE4" w:rsidP="002A23B3">
            <w:pPr>
              <w:pStyle w:val="Tabletext"/>
            </w:pPr>
            <w:r w:rsidRPr="0016350E">
              <w:t xml:space="preserve">Immediately after the commencement of the provisions covered by table </w:t>
            </w:r>
            <w:r w:rsidR="00F92830" w:rsidRPr="0016350E">
              <w:t>item 3</w:t>
            </w:r>
            <w:r w:rsidRPr="0016350E">
              <w:t>.</w:t>
            </w:r>
          </w:p>
        </w:tc>
        <w:tc>
          <w:tcPr>
            <w:tcW w:w="1582" w:type="dxa"/>
            <w:shd w:val="clear" w:color="auto" w:fill="auto"/>
          </w:tcPr>
          <w:p w14:paraId="526748FE" w14:textId="345EA98E" w:rsidR="0048364F" w:rsidRPr="0016350E" w:rsidRDefault="0068273F" w:rsidP="002A23B3">
            <w:pPr>
              <w:pStyle w:val="Tabletext"/>
            </w:pPr>
            <w:r>
              <w:t>14 September 2021</w:t>
            </w:r>
          </w:p>
        </w:tc>
      </w:tr>
      <w:tr w:rsidR="00C93FCD" w:rsidRPr="0016350E" w14:paraId="6DB4C35F" w14:textId="77777777" w:rsidTr="00F67B2F">
        <w:tc>
          <w:tcPr>
            <w:tcW w:w="1701" w:type="dxa"/>
            <w:tcBorders>
              <w:bottom w:val="single" w:sz="4" w:space="0" w:color="auto"/>
            </w:tcBorders>
            <w:shd w:val="clear" w:color="auto" w:fill="auto"/>
          </w:tcPr>
          <w:p w14:paraId="368BB435" w14:textId="77777777" w:rsidR="00C93FCD" w:rsidRPr="0016350E" w:rsidRDefault="00C93FCD" w:rsidP="002A23B3">
            <w:pPr>
              <w:pStyle w:val="Tabletext"/>
            </w:pPr>
            <w:r w:rsidRPr="0016350E">
              <w:t>6.  Schedule 5, Part 1</w:t>
            </w:r>
          </w:p>
        </w:tc>
        <w:tc>
          <w:tcPr>
            <w:tcW w:w="3828" w:type="dxa"/>
            <w:tcBorders>
              <w:bottom w:val="single" w:sz="4" w:space="0" w:color="auto"/>
            </w:tcBorders>
            <w:shd w:val="clear" w:color="auto" w:fill="auto"/>
          </w:tcPr>
          <w:p w14:paraId="288D2EA5" w14:textId="77777777" w:rsidR="00C93FCD" w:rsidRPr="0016350E" w:rsidRDefault="00C93FCD" w:rsidP="002A23B3">
            <w:pPr>
              <w:pStyle w:val="Tablea"/>
            </w:pPr>
            <w:r w:rsidRPr="0016350E">
              <w:t>1 April 2022.</w:t>
            </w:r>
          </w:p>
        </w:tc>
        <w:tc>
          <w:tcPr>
            <w:tcW w:w="1582" w:type="dxa"/>
            <w:tcBorders>
              <w:bottom w:val="single" w:sz="4" w:space="0" w:color="auto"/>
            </w:tcBorders>
            <w:shd w:val="clear" w:color="auto" w:fill="auto"/>
          </w:tcPr>
          <w:p w14:paraId="4B433E2B" w14:textId="77777777" w:rsidR="00C93FCD" w:rsidRPr="0016350E" w:rsidRDefault="00C93FCD" w:rsidP="002A23B3">
            <w:pPr>
              <w:pStyle w:val="Tabletext"/>
            </w:pPr>
            <w:r w:rsidRPr="0016350E">
              <w:t>1 April 2022</w:t>
            </w:r>
          </w:p>
        </w:tc>
      </w:tr>
      <w:tr w:rsidR="00C93FCD" w:rsidRPr="0016350E" w14:paraId="26F8B83F" w14:textId="77777777" w:rsidTr="00F67B2F">
        <w:tc>
          <w:tcPr>
            <w:tcW w:w="1701" w:type="dxa"/>
            <w:tcBorders>
              <w:bottom w:val="single" w:sz="12" w:space="0" w:color="auto"/>
            </w:tcBorders>
            <w:shd w:val="clear" w:color="auto" w:fill="auto"/>
          </w:tcPr>
          <w:p w14:paraId="4AB805DA" w14:textId="77777777" w:rsidR="00C93FCD" w:rsidRPr="0016350E" w:rsidRDefault="00C93FCD" w:rsidP="002A23B3">
            <w:pPr>
              <w:pStyle w:val="Tabletext"/>
            </w:pPr>
            <w:r w:rsidRPr="0016350E">
              <w:t xml:space="preserve">7.  Schedule 5, </w:t>
            </w:r>
            <w:bookmarkStart w:id="2" w:name="_GoBack"/>
            <w:r w:rsidRPr="0016350E">
              <w:t>Part 2</w:t>
            </w:r>
            <w:bookmarkEnd w:id="2"/>
          </w:p>
        </w:tc>
        <w:tc>
          <w:tcPr>
            <w:tcW w:w="3828" w:type="dxa"/>
            <w:tcBorders>
              <w:bottom w:val="single" w:sz="12" w:space="0" w:color="auto"/>
            </w:tcBorders>
            <w:shd w:val="clear" w:color="auto" w:fill="auto"/>
          </w:tcPr>
          <w:p w14:paraId="10C55D3B" w14:textId="77777777" w:rsidR="00F67B2F" w:rsidRPr="0016350E" w:rsidRDefault="00F67B2F" w:rsidP="002A23B3">
            <w:pPr>
              <w:pStyle w:val="Tabletext"/>
            </w:pPr>
            <w:r w:rsidRPr="0016350E">
              <w:t>The later of:</w:t>
            </w:r>
          </w:p>
          <w:p w14:paraId="7E965C86" w14:textId="77777777" w:rsidR="00F67B2F" w:rsidRPr="0016350E" w:rsidRDefault="00F67B2F" w:rsidP="002A23B3">
            <w:pPr>
              <w:pStyle w:val="Tablea"/>
            </w:pPr>
            <w:r w:rsidRPr="0016350E">
              <w:t>(a) immediately after the commencement of the provisions covered by table item 6; and</w:t>
            </w:r>
          </w:p>
          <w:p w14:paraId="69687471" w14:textId="77777777" w:rsidR="00F67B2F" w:rsidRPr="0016350E" w:rsidRDefault="00F67B2F" w:rsidP="002A23B3">
            <w:pPr>
              <w:pStyle w:val="Tablea"/>
            </w:pPr>
            <w:r w:rsidRPr="0016350E">
              <w:t xml:space="preserve">(b) immediately after the commencement of the </w:t>
            </w:r>
            <w:r w:rsidRPr="0016350E">
              <w:rPr>
                <w:i/>
              </w:rPr>
              <w:t>Family Law Amendment (Western Australia De Facto Superannuation Splitting and Bankruptcy) Act 2020</w:t>
            </w:r>
            <w:r w:rsidRPr="0016350E">
              <w:t>.</w:t>
            </w:r>
          </w:p>
          <w:p w14:paraId="67480550" w14:textId="77777777" w:rsidR="00C93FCD" w:rsidRPr="0016350E" w:rsidRDefault="00F67B2F" w:rsidP="002A23B3">
            <w:pPr>
              <w:pStyle w:val="Tabletext"/>
            </w:pPr>
            <w:r w:rsidRPr="0016350E">
              <w:t>However, the provisions do not commence at all if the event mentioned in paragraph (b) does not occur.</w:t>
            </w:r>
          </w:p>
        </w:tc>
        <w:tc>
          <w:tcPr>
            <w:tcW w:w="1582" w:type="dxa"/>
            <w:tcBorders>
              <w:bottom w:val="single" w:sz="12" w:space="0" w:color="auto"/>
            </w:tcBorders>
            <w:shd w:val="clear" w:color="auto" w:fill="auto"/>
          </w:tcPr>
          <w:p w14:paraId="1FCBBE09" w14:textId="77777777" w:rsidR="00C93FCD" w:rsidRDefault="00961248" w:rsidP="002A23B3">
            <w:pPr>
              <w:pStyle w:val="Tabletext"/>
            </w:pPr>
            <w:r>
              <w:t>28 September 2022</w:t>
            </w:r>
          </w:p>
          <w:p w14:paraId="5100CE57" w14:textId="38CE8674" w:rsidR="00961248" w:rsidRPr="0016350E" w:rsidRDefault="00961248" w:rsidP="002A23B3">
            <w:pPr>
              <w:pStyle w:val="Tabletext"/>
            </w:pPr>
            <w:r>
              <w:t>(paragraph (b) applies)</w:t>
            </w:r>
          </w:p>
        </w:tc>
      </w:tr>
    </w:tbl>
    <w:p w14:paraId="2EC11E28" w14:textId="77777777" w:rsidR="0048364F" w:rsidRPr="0016350E" w:rsidRDefault="00201D27" w:rsidP="002A23B3">
      <w:pPr>
        <w:pStyle w:val="notetext"/>
      </w:pPr>
      <w:r w:rsidRPr="0016350E">
        <w:lastRenderedPageBreak/>
        <w:t>Note:</w:t>
      </w:r>
      <w:r w:rsidRPr="0016350E">
        <w:tab/>
        <w:t>This table relates only to the provisions of this Act as originally enacted. It will not be amended to deal with any later amendments of this Act.</w:t>
      </w:r>
    </w:p>
    <w:p w14:paraId="41AEB322" w14:textId="77777777" w:rsidR="0048364F" w:rsidRPr="0016350E" w:rsidRDefault="0048364F" w:rsidP="002A23B3">
      <w:pPr>
        <w:pStyle w:val="subsection"/>
      </w:pPr>
      <w:r w:rsidRPr="0016350E">
        <w:tab/>
        <w:t>(2)</w:t>
      </w:r>
      <w:r w:rsidRPr="0016350E">
        <w:tab/>
      </w:r>
      <w:r w:rsidR="00201D27" w:rsidRPr="0016350E">
        <w:t xml:space="preserve">Any information in </w:t>
      </w:r>
      <w:r w:rsidR="00877D48" w:rsidRPr="0016350E">
        <w:t>c</w:t>
      </w:r>
      <w:r w:rsidR="00201D27" w:rsidRPr="0016350E">
        <w:t>olumn 3 of the table is not part of this Act. Information may be inserted in this column, or information in it may be edited, in any published version of this Act.</w:t>
      </w:r>
    </w:p>
    <w:p w14:paraId="661AE795" w14:textId="77777777" w:rsidR="0048364F" w:rsidRPr="0016350E" w:rsidRDefault="0048364F" w:rsidP="002A23B3">
      <w:pPr>
        <w:pStyle w:val="ActHead5"/>
      </w:pPr>
      <w:bookmarkStart w:id="3" w:name="_Toc82775844"/>
      <w:r w:rsidRPr="001A453F">
        <w:rPr>
          <w:rStyle w:val="CharSectno"/>
        </w:rPr>
        <w:t>3</w:t>
      </w:r>
      <w:r w:rsidRPr="0016350E">
        <w:t xml:space="preserve">  Schedules</w:t>
      </w:r>
      <w:bookmarkEnd w:id="3"/>
    </w:p>
    <w:p w14:paraId="31331CDE" w14:textId="77777777" w:rsidR="0048364F" w:rsidRPr="0016350E" w:rsidRDefault="0048364F" w:rsidP="002A23B3">
      <w:pPr>
        <w:pStyle w:val="subsection"/>
      </w:pPr>
      <w:r w:rsidRPr="0016350E">
        <w:tab/>
      </w:r>
      <w:r w:rsidRPr="0016350E">
        <w:tab/>
      </w:r>
      <w:r w:rsidR="00202618" w:rsidRPr="0016350E">
        <w:t>Legislation that is specified in a Schedule to this Act is amended or repealed as set out in the applicable items in the Schedule concerned, and any other item in a Schedule to this Act has effect according to its terms.</w:t>
      </w:r>
    </w:p>
    <w:p w14:paraId="10E72D0B" w14:textId="77777777" w:rsidR="008D3E94" w:rsidRPr="0016350E" w:rsidRDefault="00A35AC2" w:rsidP="002A23B3">
      <w:pPr>
        <w:pStyle w:val="ActHead6"/>
        <w:pageBreakBefore/>
      </w:pPr>
      <w:bookmarkStart w:id="4" w:name="_Toc82775845"/>
      <w:r w:rsidRPr="001A453F">
        <w:rPr>
          <w:rStyle w:val="CharAmSchNo"/>
        </w:rPr>
        <w:lastRenderedPageBreak/>
        <w:t>Schedule 1</w:t>
      </w:r>
      <w:r w:rsidR="0048364F" w:rsidRPr="0016350E">
        <w:t>—</w:t>
      </w:r>
      <w:r w:rsidR="00C368E3" w:rsidRPr="001A453F">
        <w:rPr>
          <w:rStyle w:val="CharAmSchText"/>
        </w:rPr>
        <w:t>Refund of large</w:t>
      </w:r>
      <w:r w:rsidR="0016350E" w:rsidRPr="001A453F">
        <w:rPr>
          <w:rStyle w:val="CharAmSchText"/>
        </w:rPr>
        <w:noBreakHyphen/>
      </w:r>
      <w:r w:rsidR="00C368E3" w:rsidRPr="001A453F">
        <w:rPr>
          <w:rStyle w:val="CharAmSchText"/>
        </w:rPr>
        <w:t>scale generation shortfall charge</w:t>
      </w:r>
      <w:bookmarkEnd w:id="4"/>
    </w:p>
    <w:p w14:paraId="0FB7C1E9" w14:textId="77777777" w:rsidR="00323DE4" w:rsidRPr="001A453F" w:rsidRDefault="00323DE4" w:rsidP="002A23B3">
      <w:pPr>
        <w:pStyle w:val="Header"/>
      </w:pPr>
      <w:r w:rsidRPr="001A453F">
        <w:rPr>
          <w:rStyle w:val="CharAmPartNo"/>
        </w:rPr>
        <w:t xml:space="preserve"> </w:t>
      </w:r>
      <w:r w:rsidRPr="001A453F">
        <w:rPr>
          <w:rStyle w:val="CharAmPartText"/>
        </w:rPr>
        <w:t xml:space="preserve"> </w:t>
      </w:r>
    </w:p>
    <w:p w14:paraId="1796C2FE" w14:textId="77777777" w:rsidR="00323DE4" w:rsidRPr="0016350E" w:rsidRDefault="00323DE4" w:rsidP="002A23B3">
      <w:pPr>
        <w:pStyle w:val="ActHead9"/>
        <w:rPr>
          <w:i w:val="0"/>
        </w:rPr>
      </w:pPr>
      <w:bookmarkStart w:id="5" w:name="_Toc82775846"/>
      <w:r w:rsidRPr="0016350E">
        <w:t>Income Tax Assessment Act 1997</w:t>
      </w:r>
      <w:bookmarkEnd w:id="5"/>
    </w:p>
    <w:p w14:paraId="0DC3385C" w14:textId="77777777" w:rsidR="00323DE4" w:rsidRPr="0016350E" w:rsidRDefault="002A23B3" w:rsidP="002A23B3">
      <w:pPr>
        <w:pStyle w:val="ItemHead"/>
      </w:pPr>
      <w:r w:rsidRPr="0016350E">
        <w:t>1</w:t>
      </w:r>
      <w:r w:rsidR="00323DE4" w:rsidRPr="0016350E">
        <w:t xml:space="preserve">  Section 11</w:t>
      </w:r>
      <w:r w:rsidR="0016350E">
        <w:noBreakHyphen/>
      </w:r>
      <w:r w:rsidR="00323DE4" w:rsidRPr="0016350E">
        <w:t>55 (after table item headed “dividends”)</w:t>
      </w:r>
    </w:p>
    <w:p w14:paraId="1555C9BC" w14:textId="77777777" w:rsidR="00323DE4" w:rsidRPr="0016350E" w:rsidRDefault="00323DE4" w:rsidP="002A23B3">
      <w:pPr>
        <w:pStyle w:val="Item"/>
      </w:pPr>
      <w:r w:rsidRPr="0016350E">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323DE4" w:rsidRPr="0016350E" w14:paraId="255565E2" w14:textId="77777777" w:rsidTr="008633AC">
        <w:tc>
          <w:tcPr>
            <w:tcW w:w="5223" w:type="dxa"/>
            <w:tcBorders>
              <w:top w:val="nil"/>
              <w:bottom w:val="nil"/>
            </w:tcBorders>
            <w:shd w:val="clear" w:color="auto" w:fill="auto"/>
          </w:tcPr>
          <w:p w14:paraId="17290080" w14:textId="77777777" w:rsidR="00323DE4" w:rsidRPr="0016350E" w:rsidRDefault="00323DE4" w:rsidP="002A23B3">
            <w:pPr>
              <w:pStyle w:val="tableSub-heading"/>
              <w:tabs>
                <w:tab w:val="clear" w:pos="6124"/>
                <w:tab w:val="left" w:leader="dot" w:pos="5245"/>
              </w:tabs>
            </w:pPr>
            <w:r w:rsidRPr="0016350E">
              <w:t>electricity generation</w:t>
            </w:r>
          </w:p>
        </w:tc>
        <w:tc>
          <w:tcPr>
            <w:tcW w:w="1979" w:type="dxa"/>
            <w:tcBorders>
              <w:top w:val="nil"/>
              <w:bottom w:val="nil"/>
            </w:tcBorders>
            <w:shd w:val="clear" w:color="auto" w:fill="auto"/>
          </w:tcPr>
          <w:p w14:paraId="1B04E1C1" w14:textId="77777777" w:rsidR="00323DE4" w:rsidRPr="0016350E" w:rsidRDefault="00323DE4" w:rsidP="002A23B3">
            <w:pPr>
              <w:pStyle w:val="tableText0"/>
              <w:spacing w:line="240" w:lineRule="auto"/>
            </w:pPr>
          </w:p>
        </w:tc>
      </w:tr>
      <w:tr w:rsidR="00323DE4" w:rsidRPr="0016350E" w14:paraId="3E99DBB1" w14:textId="77777777" w:rsidTr="008633AC">
        <w:tc>
          <w:tcPr>
            <w:tcW w:w="5223" w:type="dxa"/>
            <w:tcBorders>
              <w:top w:val="nil"/>
              <w:bottom w:val="nil"/>
            </w:tcBorders>
            <w:shd w:val="clear" w:color="auto" w:fill="auto"/>
          </w:tcPr>
          <w:p w14:paraId="58324E7D" w14:textId="77777777" w:rsidR="00323DE4" w:rsidRPr="0016350E" w:rsidRDefault="00323DE4" w:rsidP="002A23B3">
            <w:pPr>
              <w:pStyle w:val="tableIndentText"/>
              <w:rPr>
                <w:rFonts w:ascii="Times New Roman" w:hAnsi="Times New Roman"/>
              </w:rPr>
            </w:pPr>
            <w:r w:rsidRPr="0016350E">
              <w:t>refund of large</w:t>
            </w:r>
            <w:r w:rsidR="0016350E">
              <w:noBreakHyphen/>
            </w:r>
            <w:r w:rsidRPr="0016350E">
              <w:t>scale generation shortfall charge</w:t>
            </w:r>
            <w:r w:rsidRPr="0016350E">
              <w:rPr>
                <w:rFonts w:ascii="Times New Roman" w:hAnsi="Times New Roman"/>
              </w:rPr>
              <w:t xml:space="preserve"> </w:t>
            </w:r>
            <w:r w:rsidRPr="0016350E">
              <w:rPr>
                <w:rFonts w:ascii="Times New Roman" w:hAnsi="Times New Roman"/>
              </w:rPr>
              <w:tab/>
            </w:r>
          </w:p>
        </w:tc>
        <w:tc>
          <w:tcPr>
            <w:tcW w:w="1979" w:type="dxa"/>
            <w:tcBorders>
              <w:top w:val="nil"/>
              <w:bottom w:val="nil"/>
            </w:tcBorders>
            <w:shd w:val="clear" w:color="auto" w:fill="auto"/>
          </w:tcPr>
          <w:p w14:paraId="1CFA04E1" w14:textId="77777777" w:rsidR="00323DE4" w:rsidRPr="0016350E" w:rsidRDefault="00323DE4" w:rsidP="002A23B3">
            <w:pPr>
              <w:pStyle w:val="tableText0"/>
              <w:spacing w:line="240" w:lineRule="auto"/>
            </w:pPr>
            <w:r w:rsidRPr="0016350E">
              <w:t>59</w:t>
            </w:r>
            <w:r w:rsidR="0016350E">
              <w:noBreakHyphen/>
            </w:r>
            <w:r w:rsidRPr="0016350E">
              <w:t>100</w:t>
            </w:r>
          </w:p>
        </w:tc>
      </w:tr>
    </w:tbl>
    <w:p w14:paraId="2F8DF8BB" w14:textId="77777777" w:rsidR="00323DE4" w:rsidRPr="0016350E" w:rsidRDefault="002A23B3" w:rsidP="002A23B3">
      <w:pPr>
        <w:pStyle w:val="ItemHead"/>
      </w:pPr>
      <w:r w:rsidRPr="0016350E">
        <w:t>2</w:t>
      </w:r>
      <w:r w:rsidR="00323DE4" w:rsidRPr="0016350E">
        <w:t xml:space="preserve">  At the end of Division 59</w:t>
      </w:r>
    </w:p>
    <w:p w14:paraId="748BF932" w14:textId="77777777" w:rsidR="00323DE4" w:rsidRPr="0016350E" w:rsidRDefault="00323DE4" w:rsidP="002A23B3">
      <w:pPr>
        <w:pStyle w:val="Item"/>
      </w:pPr>
      <w:r w:rsidRPr="0016350E">
        <w:t>Add:</w:t>
      </w:r>
    </w:p>
    <w:p w14:paraId="38E3D625" w14:textId="77777777" w:rsidR="00323DE4" w:rsidRPr="0016350E" w:rsidRDefault="00323DE4" w:rsidP="002A23B3">
      <w:pPr>
        <w:pStyle w:val="ActHead5"/>
      </w:pPr>
      <w:bookmarkStart w:id="6" w:name="_Toc82775847"/>
      <w:r w:rsidRPr="001A453F">
        <w:rPr>
          <w:rStyle w:val="CharSectno"/>
        </w:rPr>
        <w:t>59</w:t>
      </w:r>
      <w:r w:rsidR="0016350E" w:rsidRPr="001A453F">
        <w:rPr>
          <w:rStyle w:val="CharSectno"/>
        </w:rPr>
        <w:noBreakHyphen/>
      </w:r>
      <w:r w:rsidRPr="001A453F">
        <w:rPr>
          <w:rStyle w:val="CharSectno"/>
        </w:rPr>
        <w:t>100</w:t>
      </w:r>
      <w:r w:rsidRPr="0016350E">
        <w:t xml:space="preserve">  Refund of large</w:t>
      </w:r>
      <w:r w:rsidR="0016350E">
        <w:noBreakHyphen/>
      </w:r>
      <w:r w:rsidRPr="0016350E">
        <w:t>scale generation shortfall charge</w:t>
      </w:r>
      <w:bookmarkEnd w:id="6"/>
    </w:p>
    <w:p w14:paraId="179B2156" w14:textId="77777777" w:rsidR="00323DE4" w:rsidRPr="0016350E" w:rsidRDefault="00323DE4" w:rsidP="002A23B3">
      <w:pPr>
        <w:pStyle w:val="subsection"/>
      </w:pPr>
      <w:r w:rsidRPr="0016350E">
        <w:tab/>
        <w:t>(1)</w:t>
      </w:r>
      <w:r w:rsidRPr="0016350E">
        <w:tab/>
        <w:t xml:space="preserve">A payment to an entity under section 98 of the </w:t>
      </w:r>
      <w:r w:rsidRPr="0016350E">
        <w:rPr>
          <w:i/>
        </w:rPr>
        <w:t>Renewable Energy (Electricity) Act 2000</w:t>
      </w:r>
      <w:r w:rsidRPr="0016350E">
        <w:t xml:space="preserve"> is not assessable income and is not </w:t>
      </w:r>
      <w:r w:rsidR="002A23B3" w:rsidRPr="0016350E">
        <w:rPr>
          <w:position w:val="6"/>
          <w:sz w:val="16"/>
        </w:rPr>
        <w:t>*</w:t>
      </w:r>
      <w:r w:rsidRPr="0016350E">
        <w:t>exempt income.</w:t>
      </w:r>
    </w:p>
    <w:p w14:paraId="355A9631" w14:textId="77777777" w:rsidR="00323DE4" w:rsidRPr="0016350E" w:rsidRDefault="00323DE4" w:rsidP="002A23B3">
      <w:pPr>
        <w:pStyle w:val="subsection"/>
      </w:pPr>
      <w:r w:rsidRPr="0016350E">
        <w:tab/>
        <w:t>(2)</w:t>
      </w:r>
      <w:r w:rsidRPr="0016350E">
        <w:tab/>
        <w:t>Disregard subsection (1) for the purposes of determining whether an entity can deduct expenditure that it incurs in relation to large</w:t>
      </w:r>
      <w:r w:rsidR="0016350E">
        <w:noBreakHyphen/>
      </w:r>
      <w:r w:rsidRPr="0016350E">
        <w:t xml:space="preserve">scale generation certificates (within the meaning of the </w:t>
      </w:r>
      <w:r w:rsidRPr="0016350E">
        <w:rPr>
          <w:i/>
        </w:rPr>
        <w:t>Renewable Energy (Electricity) Act 2000</w:t>
      </w:r>
      <w:r w:rsidRPr="0016350E">
        <w:t>).</w:t>
      </w:r>
    </w:p>
    <w:p w14:paraId="6F40A73F" w14:textId="77777777" w:rsidR="00323DE4" w:rsidRPr="0016350E" w:rsidRDefault="002A23B3" w:rsidP="002A23B3">
      <w:pPr>
        <w:pStyle w:val="Transitional"/>
      </w:pPr>
      <w:r w:rsidRPr="0016350E">
        <w:t>3</w:t>
      </w:r>
      <w:r w:rsidR="00323DE4" w:rsidRPr="0016350E">
        <w:t xml:space="preserve">  Application</w:t>
      </w:r>
    </w:p>
    <w:p w14:paraId="1E5D06BD" w14:textId="77777777" w:rsidR="00323DE4" w:rsidRPr="0016350E" w:rsidRDefault="00323DE4" w:rsidP="002A23B3">
      <w:pPr>
        <w:pStyle w:val="Item"/>
      </w:pPr>
      <w:r w:rsidRPr="0016350E">
        <w:t>The amendments made by this Schedule apply to payments made on or after 1 January 2019.</w:t>
      </w:r>
    </w:p>
    <w:p w14:paraId="71D83508" w14:textId="77777777" w:rsidR="00C368E3" w:rsidRPr="0016350E" w:rsidRDefault="00136652" w:rsidP="002A23B3">
      <w:pPr>
        <w:pStyle w:val="ActHead6"/>
        <w:pageBreakBefore/>
      </w:pPr>
      <w:bookmarkStart w:id="7" w:name="_Toc82775848"/>
      <w:r w:rsidRPr="001A453F">
        <w:rPr>
          <w:rStyle w:val="CharAmSchNo"/>
        </w:rPr>
        <w:lastRenderedPageBreak/>
        <w:t>Schedule 2</w:t>
      </w:r>
      <w:r w:rsidR="00C368E3" w:rsidRPr="0016350E">
        <w:t>—</w:t>
      </w:r>
      <w:r w:rsidR="00C368E3" w:rsidRPr="001A453F">
        <w:rPr>
          <w:rStyle w:val="CharAmSchText"/>
        </w:rPr>
        <w:t>Industry code penalties under Part IVB of the Competition and Consumer Act 2010</w:t>
      </w:r>
      <w:bookmarkEnd w:id="7"/>
    </w:p>
    <w:p w14:paraId="0E7772D7" w14:textId="77777777" w:rsidR="00323DE4" w:rsidRPr="001A453F" w:rsidRDefault="00323DE4" w:rsidP="002A23B3">
      <w:pPr>
        <w:pStyle w:val="Header"/>
      </w:pPr>
      <w:r w:rsidRPr="001A453F">
        <w:rPr>
          <w:rStyle w:val="CharAmPartNo"/>
        </w:rPr>
        <w:t xml:space="preserve"> </w:t>
      </w:r>
      <w:r w:rsidRPr="001A453F">
        <w:rPr>
          <w:rStyle w:val="CharAmPartText"/>
        </w:rPr>
        <w:t xml:space="preserve"> </w:t>
      </w:r>
    </w:p>
    <w:p w14:paraId="177D4A32" w14:textId="77777777" w:rsidR="00323DE4" w:rsidRPr="0016350E" w:rsidRDefault="00323DE4" w:rsidP="002A23B3">
      <w:pPr>
        <w:pStyle w:val="ActHead9"/>
        <w:rPr>
          <w:i w:val="0"/>
        </w:rPr>
      </w:pPr>
      <w:bookmarkStart w:id="8" w:name="_Toc82775849"/>
      <w:r w:rsidRPr="0016350E">
        <w:t>Competition and Consumer Act 2010</w:t>
      </w:r>
      <w:bookmarkEnd w:id="8"/>
    </w:p>
    <w:p w14:paraId="3C941A75" w14:textId="77777777" w:rsidR="00323DE4" w:rsidRPr="0016350E" w:rsidRDefault="002A23B3" w:rsidP="002A23B3">
      <w:pPr>
        <w:pStyle w:val="ItemHead"/>
      </w:pPr>
      <w:r w:rsidRPr="0016350E">
        <w:t>1</w:t>
      </w:r>
      <w:r w:rsidR="00323DE4" w:rsidRPr="0016350E">
        <w:t xml:space="preserve">  Subsection 51AE(2)</w:t>
      </w:r>
    </w:p>
    <w:p w14:paraId="18C7E07C" w14:textId="77777777" w:rsidR="00323DE4" w:rsidRPr="0016350E" w:rsidRDefault="00323DE4" w:rsidP="002A23B3">
      <w:pPr>
        <w:pStyle w:val="Item"/>
      </w:pPr>
      <w:r w:rsidRPr="0016350E">
        <w:t>Repeal the subsection, substitute:</w:t>
      </w:r>
    </w:p>
    <w:p w14:paraId="46FBB0B1" w14:textId="77777777" w:rsidR="00323DE4" w:rsidRPr="0016350E" w:rsidRDefault="00323DE4" w:rsidP="002A23B3">
      <w:pPr>
        <w:pStyle w:val="subsection"/>
      </w:pPr>
      <w:r w:rsidRPr="0016350E">
        <w:tab/>
        <w:t>(2)</w:t>
      </w:r>
      <w:r w:rsidRPr="0016350E">
        <w:tab/>
        <w:t>If regulations prescribe an industry code (other than a code that relates to the industry of franchising), the industry code may prescribe a pecuniary penalty not exceeding 600 penalty units for a contravention of a civil penalty provision of the code.</w:t>
      </w:r>
    </w:p>
    <w:p w14:paraId="40B64041" w14:textId="77777777" w:rsidR="00323DE4" w:rsidRPr="0016350E" w:rsidRDefault="00323DE4" w:rsidP="002A23B3">
      <w:pPr>
        <w:pStyle w:val="subsection"/>
      </w:pPr>
      <w:r w:rsidRPr="0016350E">
        <w:tab/>
        <w:t>(2A)</w:t>
      </w:r>
      <w:r w:rsidRPr="0016350E">
        <w:tab/>
        <w:t>If regulations prescribe an industry code that relates to the industry of franchising, the industry code may do the following:</w:t>
      </w:r>
    </w:p>
    <w:p w14:paraId="2ACBE22B" w14:textId="77777777" w:rsidR="00323DE4" w:rsidRPr="0016350E" w:rsidRDefault="00323DE4" w:rsidP="002A23B3">
      <w:pPr>
        <w:pStyle w:val="paragraph"/>
      </w:pPr>
      <w:r w:rsidRPr="0016350E">
        <w:tab/>
        <w:t>(a)</w:t>
      </w:r>
      <w:r w:rsidRPr="0016350E">
        <w:tab/>
        <w:t>prescribe that the pecuniary penalty for a contravention of a civil penalty provision of the code by a body corporate is the greatest of the following:</w:t>
      </w:r>
    </w:p>
    <w:p w14:paraId="6AB05C51" w14:textId="77777777" w:rsidR="00323DE4" w:rsidRPr="0016350E" w:rsidRDefault="00323DE4" w:rsidP="002A23B3">
      <w:pPr>
        <w:pStyle w:val="paragraphsub"/>
      </w:pPr>
      <w:r w:rsidRPr="0016350E">
        <w:tab/>
        <w:t>(i)</w:t>
      </w:r>
      <w:r w:rsidRPr="0016350E">
        <w:tab/>
        <w:t>$10,000,000;</w:t>
      </w:r>
    </w:p>
    <w:p w14:paraId="0AD28152" w14:textId="77777777" w:rsidR="00323DE4" w:rsidRPr="0016350E" w:rsidRDefault="00323DE4" w:rsidP="002A23B3">
      <w:pPr>
        <w:pStyle w:val="paragraphsub"/>
      </w:pPr>
      <w:r w:rsidRPr="0016350E">
        <w:tab/>
        <w:t>(ii)</w:t>
      </w:r>
      <w:r w:rsidRPr="0016350E">
        <w:tab/>
        <w:t>if the Court can determine the value of the benefit that the body corporate, and any body corporate related to the body corporate, has obtained directly or indirectly and that is reasonably attributable to the contravention—3 times the value of that benefit;</w:t>
      </w:r>
    </w:p>
    <w:p w14:paraId="48B7DDDC" w14:textId="77777777" w:rsidR="00323DE4" w:rsidRPr="0016350E" w:rsidRDefault="00323DE4" w:rsidP="002A23B3">
      <w:pPr>
        <w:pStyle w:val="paragraphsub"/>
      </w:pPr>
      <w:r w:rsidRPr="0016350E">
        <w:tab/>
        <w:t>(iii)</w:t>
      </w:r>
      <w:r w:rsidRPr="0016350E">
        <w:tab/>
        <w:t>if the Court cannot determine the value of that benefit—10% of the annual turnover of the body corporate during the period of 12 months ending at the end of the month in which the contravention occurred;</w:t>
      </w:r>
    </w:p>
    <w:p w14:paraId="50C72E2B" w14:textId="77777777" w:rsidR="00323DE4" w:rsidRPr="0016350E" w:rsidRDefault="00323DE4" w:rsidP="002A23B3">
      <w:pPr>
        <w:pStyle w:val="paragraph"/>
      </w:pPr>
      <w:r w:rsidRPr="0016350E">
        <w:tab/>
        <w:t>(b)</w:t>
      </w:r>
      <w:r w:rsidRPr="0016350E">
        <w:tab/>
        <w:t>prescribe that the pecuniary penalty for a contravention of a civil penalty provision of the code by a person who is not a body corporate is $500,000;</w:t>
      </w:r>
    </w:p>
    <w:p w14:paraId="0442FB05" w14:textId="77777777" w:rsidR="00323DE4" w:rsidRPr="0016350E" w:rsidRDefault="00323DE4" w:rsidP="002A23B3">
      <w:pPr>
        <w:pStyle w:val="paragraph"/>
      </w:pPr>
      <w:r w:rsidRPr="0016350E">
        <w:tab/>
        <w:t>(c)</w:t>
      </w:r>
      <w:r w:rsidRPr="0016350E">
        <w:tab/>
        <w:t>if the code does not prescribe a pecuniary penalty mentioned in paragraph (a) or (b) for a contravention of a civil penalty provision of the code—prescribe a pecuniary penalty not exceeding 600 penalty units for the contravention.</w:t>
      </w:r>
    </w:p>
    <w:p w14:paraId="18A4A8AA" w14:textId="77777777" w:rsidR="00323DE4" w:rsidRPr="0016350E" w:rsidRDefault="00323DE4" w:rsidP="002A23B3">
      <w:pPr>
        <w:pStyle w:val="subsection"/>
      </w:pPr>
      <w:r w:rsidRPr="0016350E">
        <w:lastRenderedPageBreak/>
        <w:tab/>
        <w:t>(2B)</w:t>
      </w:r>
      <w:r w:rsidRPr="0016350E">
        <w:tab/>
        <w:t>An expression used paragraph (2A)(a) has the same meaning as in paragraph 76(1A)(b).</w:t>
      </w:r>
    </w:p>
    <w:p w14:paraId="7FE73DEC" w14:textId="77777777" w:rsidR="00323DE4" w:rsidRPr="0016350E" w:rsidRDefault="002A23B3" w:rsidP="002A23B3">
      <w:pPr>
        <w:pStyle w:val="Transitional"/>
      </w:pPr>
      <w:r w:rsidRPr="0016350E">
        <w:t>2</w:t>
      </w:r>
      <w:r w:rsidR="00323DE4" w:rsidRPr="0016350E">
        <w:t xml:space="preserve">  Application</w:t>
      </w:r>
    </w:p>
    <w:p w14:paraId="653F8177" w14:textId="77777777" w:rsidR="00323DE4" w:rsidRPr="0016350E" w:rsidRDefault="00323DE4" w:rsidP="002A23B3">
      <w:pPr>
        <w:pStyle w:val="Subitem"/>
      </w:pPr>
      <w:r w:rsidRPr="0016350E">
        <w:t>(1)</w:t>
      </w:r>
      <w:r w:rsidRPr="0016350E">
        <w:tab/>
        <w:t xml:space="preserve">The amendment made by this Schedule applies in relation to regulations made under the </w:t>
      </w:r>
      <w:r w:rsidRPr="0016350E">
        <w:rPr>
          <w:i/>
        </w:rPr>
        <w:t>Competition and Consumer Act 2010</w:t>
      </w:r>
      <w:r w:rsidRPr="0016350E">
        <w:t xml:space="preserve"> on or after the commencement of this item.</w:t>
      </w:r>
    </w:p>
    <w:p w14:paraId="5056A073" w14:textId="77777777" w:rsidR="00323DE4" w:rsidRPr="0016350E" w:rsidRDefault="00323DE4" w:rsidP="002A23B3">
      <w:pPr>
        <w:pStyle w:val="Subitem"/>
      </w:pPr>
      <w:r w:rsidRPr="0016350E">
        <w:t>(2)</w:t>
      </w:r>
      <w:r w:rsidRPr="0016350E">
        <w:tab/>
        <w:t>To avoid doubt, the regulations mentioned in subitem (1) include regulations that amend regulations made before the commencement of this item.</w:t>
      </w:r>
    </w:p>
    <w:p w14:paraId="26563D09" w14:textId="77777777" w:rsidR="00323DE4" w:rsidRPr="0016350E" w:rsidRDefault="00323DE4" w:rsidP="002A23B3">
      <w:pPr>
        <w:pStyle w:val="Subitem"/>
      </w:pPr>
      <w:r w:rsidRPr="0016350E">
        <w:t>(3)</w:t>
      </w:r>
      <w:r w:rsidRPr="0016350E">
        <w:tab/>
        <w:t xml:space="preserve">To avoid doubt, nothing in this Schedule affects the validity of regulations made under the </w:t>
      </w:r>
      <w:r w:rsidRPr="0016350E">
        <w:rPr>
          <w:i/>
        </w:rPr>
        <w:t>Competition and Consumer Act 2010</w:t>
      </w:r>
      <w:r w:rsidRPr="0016350E">
        <w:t xml:space="preserve"> before the commencement of this item.</w:t>
      </w:r>
    </w:p>
    <w:p w14:paraId="55705344" w14:textId="77777777" w:rsidR="00CB03C2" w:rsidRPr="0016350E" w:rsidRDefault="00A35AC2" w:rsidP="002A23B3">
      <w:pPr>
        <w:pStyle w:val="ActHead6"/>
        <w:pageBreakBefore/>
      </w:pPr>
      <w:bookmarkStart w:id="9" w:name="_Toc82775850"/>
      <w:r w:rsidRPr="001A453F">
        <w:rPr>
          <w:rStyle w:val="CharAmSchNo"/>
        </w:rPr>
        <w:lastRenderedPageBreak/>
        <w:t>Schedule 3</w:t>
      </w:r>
      <w:r w:rsidR="00CB03C2" w:rsidRPr="0016350E">
        <w:t>—</w:t>
      </w:r>
      <w:r w:rsidR="00FB221C" w:rsidRPr="001A453F">
        <w:rPr>
          <w:rStyle w:val="CharAmSchText"/>
        </w:rPr>
        <w:t>Requirement for actuarial certificates for certain superannuation funds</w:t>
      </w:r>
      <w:bookmarkEnd w:id="9"/>
    </w:p>
    <w:p w14:paraId="51373F1A" w14:textId="77777777" w:rsidR="00323DE4" w:rsidRPr="001A453F" w:rsidRDefault="00323DE4" w:rsidP="002A23B3">
      <w:pPr>
        <w:pStyle w:val="Header"/>
      </w:pPr>
      <w:r w:rsidRPr="001A453F">
        <w:rPr>
          <w:rStyle w:val="CharAmPartNo"/>
        </w:rPr>
        <w:t xml:space="preserve"> </w:t>
      </w:r>
      <w:r w:rsidRPr="001A453F">
        <w:rPr>
          <w:rStyle w:val="CharAmPartText"/>
        </w:rPr>
        <w:t xml:space="preserve"> </w:t>
      </w:r>
    </w:p>
    <w:p w14:paraId="4F7CBBC2" w14:textId="77777777" w:rsidR="00323DE4" w:rsidRPr="0016350E" w:rsidRDefault="00323DE4" w:rsidP="002A23B3">
      <w:pPr>
        <w:pStyle w:val="ActHead9"/>
        <w:rPr>
          <w:i w:val="0"/>
        </w:rPr>
      </w:pPr>
      <w:bookmarkStart w:id="10" w:name="_Toc82775851"/>
      <w:r w:rsidRPr="0016350E">
        <w:t>Income Tax Assessment Act 1997</w:t>
      </w:r>
      <w:bookmarkEnd w:id="10"/>
    </w:p>
    <w:p w14:paraId="7F3BF038" w14:textId="77777777" w:rsidR="00323DE4" w:rsidRPr="0016350E" w:rsidRDefault="002A23B3" w:rsidP="002A23B3">
      <w:pPr>
        <w:pStyle w:val="ItemHead"/>
      </w:pPr>
      <w:r w:rsidRPr="0016350E">
        <w:t>1</w:t>
      </w:r>
      <w:r w:rsidR="00323DE4" w:rsidRPr="0016350E">
        <w:t xml:space="preserve">  At the end of section 295</w:t>
      </w:r>
      <w:r w:rsidR="0016350E">
        <w:noBreakHyphen/>
      </w:r>
      <w:r w:rsidR="00323DE4" w:rsidRPr="0016350E">
        <w:t>387</w:t>
      </w:r>
    </w:p>
    <w:p w14:paraId="397B8004" w14:textId="77777777" w:rsidR="00323DE4" w:rsidRPr="0016350E" w:rsidRDefault="00323DE4" w:rsidP="002A23B3">
      <w:pPr>
        <w:pStyle w:val="Item"/>
      </w:pPr>
      <w:r w:rsidRPr="0016350E">
        <w:t>Add:</w:t>
      </w:r>
    </w:p>
    <w:p w14:paraId="51EAF40A" w14:textId="77777777" w:rsidR="00323DE4" w:rsidRPr="0016350E" w:rsidRDefault="00323DE4" w:rsidP="002A23B3">
      <w:pPr>
        <w:pStyle w:val="subsection"/>
      </w:pPr>
      <w:r w:rsidRPr="0016350E">
        <w:tab/>
        <w:t>(3)</w:t>
      </w:r>
      <w:r w:rsidRPr="0016350E">
        <w:tab/>
        <w:t>However, the fund is not covered by subsection (2) for an income year if, at all times during the income year, all of the assets of the superannuation fund would, apart from subsection 295</w:t>
      </w:r>
      <w:r w:rsidR="0016350E">
        <w:noBreakHyphen/>
      </w:r>
      <w:r w:rsidRPr="0016350E">
        <w:t xml:space="preserve">385(7), be </w:t>
      </w:r>
      <w:r w:rsidR="002A23B3" w:rsidRPr="0016350E">
        <w:rPr>
          <w:position w:val="6"/>
          <w:sz w:val="16"/>
        </w:rPr>
        <w:t>*</w:t>
      </w:r>
      <w:r w:rsidRPr="0016350E">
        <w:t>segregated current pension assets.</w:t>
      </w:r>
    </w:p>
    <w:p w14:paraId="3DA114A0" w14:textId="77777777" w:rsidR="00323DE4" w:rsidRPr="0016350E" w:rsidRDefault="002A23B3" w:rsidP="002A23B3">
      <w:pPr>
        <w:pStyle w:val="Transitional"/>
      </w:pPr>
      <w:r w:rsidRPr="0016350E">
        <w:t>2</w:t>
      </w:r>
      <w:r w:rsidR="00323DE4" w:rsidRPr="0016350E">
        <w:t xml:space="preserve">  Application</w:t>
      </w:r>
    </w:p>
    <w:p w14:paraId="67A114AA" w14:textId="77777777" w:rsidR="00323DE4" w:rsidRPr="0016350E" w:rsidRDefault="00323DE4" w:rsidP="002A23B3">
      <w:pPr>
        <w:pStyle w:val="Item"/>
      </w:pPr>
      <w:r w:rsidRPr="0016350E">
        <w:t>The amendment made by this Schedule applies to assessments for the 2021</w:t>
      </w:r>
      <w:r w:rsidR="0016350E">
        <w:noBreakHyphen/>
      </w:r>
      <w:r w:rsidRPr="0016350E">
        <w:t>22 income year and later income years.</w:t>
      </w:r>
    </w:p>
    <w:p w14:paraId="29A2B618" w14:textId="77777777" w:rsidR="00FB221C" w:rsidRPr="0016350E" w:rsidRDefault="003331CD" w:rsidP="002A23B3">
      <w:pPr>
        <w:pStyle w:val="ActHead6"/>
        <w:pageBreakBefore/>
      </w:pPr>
      <w:bookmarkStart w:id="11" w:name="_Toc82775852"/>
      <w:r w:rsidRPr="001A453F">
        <w:rPr>
          <w:rStyle w:val="CharAmSchNo"/>
        </w:rPr>
        <w:lastRenderedPageBreak/>
        <w:t>Schedule </w:t>
      </w:r>
      <w:r w:rsidR="002B3150" w:rsidRPr="001A453F">
        <w:rPr>
          <w:rStyle w:val="CharAmSchNo"/>
        </w:rPr>
        <w:t>4</w:t>
      </w:r>
      <w:r w:rsidR="00FB221C" w:rsidRPr="0016350E">
        <w:t>—</w:t>
      </w:r>
      <w:r w:rsidR="00FB221C" w:rsidRPr="001A453F">
        <w:rPr>
          <w:rStyle w:val="CharAmSchText"/>
        </w:rPr>
        <w:t xml:space="preserve">Strengthening industry codes under </w:t>
      </w:r>
      <w:r w:rsidRPr="001A453F">
        <w:rPr>
          <w:rStyle w:val="CharAmSchText"/>
        </w:rPr>
        <w:t>Part I</w:t>
      </w:r>
      <w:r w:rsidR="00FB221C" w:rsidRPr="001A453F">
        <w:rPr>
          <w:rStyle w:val="CharAmSchText"/>
        </w:rPr>
        <w:t>VB of the Competition and Consumer Act 2010</w:t>
      </w:r>
      <w:bookmarkEnd w:id="11"/>
    </w:p>
    <w:p w14:paraId="6230859E" w14:textId="77777777" w:rsidR="00323DE4" w:rsidRPr="0016350E" w:rsidRDefault="00323DE4" w:rsidP="002A23B3">
      <w:pPr>
        <w:pStyle w:val="ActHead7"/>
      </w:pPr>
      <w:bookmarkStart w:id="12" w:name="_Toc82775853"/>
      <w:r w:rsidRPr="001A453F">
        <w:rPr>
          <w:rStyle w:val="CharAmPartNo"/>
        </w:rPr>
        <w:t>Part 1</w:t>
      </w:r>
      <w:r w:rsidRPr="0016350E">
        <w:t>—</w:t>
      </w:r>
      <w:r w:rsidRPr="001A453F">
        <w:rPr>
          <w:rStyle w:val="CharAmPartText"/>
        </w:rPr>
        <w:t>Main amendments</w:t>
      </w:r>
      <w:bookmarkEnd w:id="12"/>
    </w:p>
    <w:p w14:paraId="7A82E280" w14:textId="77777777" w:rsidR="00323DE4" w:rsidRPr="0016350E" w:rsidRDefault="00323DE4" w:rsidP="002A23B3">
      <w:pPr>
        <w:pStyle w:val="ActHead9"/>
        <w:rPr>
          <w:i w:val="0"/>
        </w:rPr>
      </w:pPr>
      <w:bookmarkStart w:id="13" w:name="_Toc82775854"/>
      <w:r w:rsidRPr="0016350E">
        <w:t>Competition and Consumer Act 2010</w:t>
      </w:r>
      <w:bookmarkEnd w:id="13"/>
    </w:p>
    <w:p w14:paraId="0A383C1E" w14:textId="77777777" w:rsidR="00323DE4" w:rsidRPr="0016350E" w:rsidRDefault="002A23B3" w:rsidP="002A23B3">
      <w:pPr>
        <w:pStyle w:val="ItemHead"/>
      </w:pPr>
      <w:bookmarkStart w:id="14" w:name="_Hlk71111684"/>
      <w:r w:rsidRPr="0016350E">
        <w:t>1</w:t>
      </w:r>
      <w:r w:rsidR="00323DE4" w:rsidRPr="0016350E">
        <w:t xml:space="preserve">  Subsection 51ACA(1) (definition of </w:t>
      </w:r>
      <w:r w:rsidR="00323DE4" w:rsidRPr="0016350E">
        <w:rPr>
          <w:i/>
        </w:rPr>
        <w:t>industry code</w:t>
      </w:r>
      <w:r w:rsidR="00323DE4" w:rsidRPr="0016350E">
        <w:t>)</w:t>
      </w:r>
    </w:p>
    <w:p w14:paraId="2A6708DE" w14:textId="77777777" w:rsidR="00323DE4" w:rsidRPr="0016350E" w:rsidRDefault="00323DE4" w:rsidP="002A23B3">
      <w:pPr>
        <w:pStyle w:val="Item"/>
      </w:pPr>
      <w:r w:rsidRPr="0016350E">
        <w:t>Repeal the definition, substitute:</w:t>
      </w:r>
    </w:p>
    <w:p w14:paraId="4DCBE871" w14:textId="77777777" w:rsidR="00323DE4" w:rsidRPr="0016350E" w:rsidRDefault="00323DE4" w:rsidP="002A23B3">
      <w:pPr>
        <w:pStyle w:val="Definition"/>
      </w:pPr>
      <w:r w:rsidRPr="0016350E">
        <w:rPr>
          <w:b/>
          <w:i/>
        </w:rPr>
        <w:t>industry code</w:t>
      </w:r>
      <w:r w:rsidRPr="0016350E">
        <w:t xml:space="preserve"> has the meaning given by section 51ACAA.</w:t>
      </w:r>
    </w:p>
    <w:p w14:paraId="22A10EF2" w14:textId="77777777" w:rsidR="00323DE4" w:rsidRPr="0016350E" w:rsidRDefault="002A23B3" w:rsidP="002A23B3">
      <w:pPr>
        <w:pStyle w:val="ItemHead"/>
      </w:pPr>
      <w:r w:rsidRPr="0016350E">
        <w:t>2</w:t>
      </w:r>
      <w:r w:rsidR="00323DE4" w:rsidRPr="0016350E">
        <w:t xml:space="preserve">  After section 51ACA</w:t>
      </w:r>
    </w:p>
    <w:p w14:paraId="17C70FDD" w14:textId="77777777" w:rsidR="00323DE4" w:rsidRPr="0016350E" w:rsidRDefault="00323DE4" w:rsidP="002A23B3">
      <w:pPr>
        <w:pStyle w:val="Item"/>
      </w:pPr>
      <w:r w:rsidRPr="0016350E">
        <w:t>Insert:</w:t>
      </w:r>
    </w:p>
    <w:p w14:paraId="4AB862BB" w14:textId="77777777" w:rsidR="00323DE4" w:rsidRPr="0016350E" w:rsidRDefault="00323DE4" w:rsidP="002A23B3">
      <w:pPr>
        <w:pStyle w:val="ActHead5"/>
      </w:pPr>
      <w:bookmarkStart w:id="15" w:name="_Toc82775855"/>
      <w:bookmarkEnd w:id="14"/>
      <w:r w:rsidRPr="001A453F">
        <w:rPr>
          <w:rStyle w:val="CharSectno"/>
        </w:rPr>
        <w:t>51ACAA</w:t>
      </w:r>
      <w:r w:rsidRPr="0016350E">
        <w:t xml:space="preserve">  Meaning of </w:t>
      </w:r>
      <w:r w:rsidRPr="0016350E">
        <w:rPr>
          <w:i/>
          <w:iCs/>
        </w:rPr>
        <w:t>industry code</w:t>
      </w:r>
      <w:bookmarkEnd w:id="15"/>
    </w:p>
    <w:p w14:paraId="1EB08AC9" w14:textId="77777777" w:rsidR="00323DE4" w:rsidRPr="0016350E" w:rsidRDefault="00323DE4" w:rsidP="002A23B3">
      <w:pPr>
        <w:pStyle w:val="subsection"/>
      </w:pPr>
      <w:r w:rsidRPr="0016350E">
        <w:tab/>
        <w:t>(1)</w:t>
      </w:r>
      <w:r w:rsidRPr="0016350E">
        <w:tab/>
        <w:t xml:space="preserve">For the purposes of this Part, an </w:t>
      </w:r>
      <w:r w:rsidRPr="0016350E">
        <w:rPr>
          <w:b/>
          <w:i/>
        </w:rPr>
        <w:t>industry code</w:t>
      </w:r>
      <w:r w:rsidRPr="0016350E">
        <w:t xml:space="preserve"> is (subject to subsection (2)) a code that regulates the conduct of participants in an industry towards other participants in the industry or towards consumers in the industry.</w:t>
      </w:r>
    </w:p>
    <w:p w14:paraId="75C8F53E" w14:textId="77777777" w:rsidR="00323DE4" w:rsidRPr="0016350E" w:rsidRDefault="00323DE4" w:rsidP="002A23B3">
      <w:pPr>
        <w:pStyle w:val="subsection"/>
      </w:pPr>
      <w:r w:rsidRPr="0016350E">
        <w:tab/>
        <w:t>(2)</w:t>
      </w:r>
      <w:r w:rsidRPr="0016350E">
        <w:tab/>
        <w:t>If this Act provides that an industry code prescribed by the regulations for the purposes of this Part may include a provision of a certain kind, then:</w:t>
      </w:r>
    </w:p>
    <w:p w14:paraId="39753C84" w14:textId="77777777" w:rsidR="00323DE4" w:rsidRPr="0016350E" w:rsidRDefault="00323DE4" w:rsidP="002A23B3">
      <w:pPr>
        <w:pStyle w:val="paragraph"/>
      </w:pPr>
      <w:r w:rsidRPr="0016350E">
        <w:tab/>
        <w:t>(a)</w:t>
      </w:r>
      <w:r w:rsidRPr="0016350E">
        <w:tab/>
        <w:t>the regulations may prescribe, for the purposes of this Part, an industry code that includes a provision of that kind, whether or not the provision regulates conduct of a kind mentioned in subsection (1); and</w:t>
      </w:r>
    </w:p>
    <w:p w14:paraId="619F6A7E" w14:textId="77777777" w:rsidR="00323DE4" w:rsidRPr="0016350E" w:rsidRDefault="00323DE4" w:rsidP="002A23B3">
      <w:pPr>
        <w:pStyle w:val="paragraph"/>
      </w:pPr>
      <w:r w:rsidRPr="0016350E">
        <w:tab/>
        <w:t>(b)</w:t>
      </w:r>
      <w:r w:rsidRPr="0016350E">
        <w:tab/>
        <w:t xml:space="preserve">if the regulations do prescribe, for the purposes of this Part, an industry code that includes a provision of that kind, the inclusion of the provision does not prevent the code from being an </w:t>
      </w:r>
      <w:r w:rsidRPr="0016350E">
        <w:rPr>
          <w:b/>
          <w:i/>
        </w:rPr>
        <w:t>industry code</w:t>
      </w:r>
      <w:r w:rsidRPr="0016350E">
        <w:t xml:space="preserve"> for the purposes of this Part.</w:t>
      </w:r>
    </w:p>
    <w:p w14:paraId="3BC55C1C" w14:textId="77777777" w:rsidR="00323DE4" w:rsidRPr="0016350E" w:rsidRDefault="002A23B3" w:rsidP="002A23B3">
      <w:pPr>
        <w:pStyle w:val="ItemHead"/>
      </w:pPr>
      <w:r w:rsidRPr="0016350E">
        <w:t>3</w:t>
      </w:r>
      <w:r w:rsidR="00323DE4" w:rsidRPr="0016350E">
        <w:t xml:space="preserve">  Before subsection 51AE(1)</w:t>
      </w:r>
    </w:p>
    <w:p w14:paraId="1D6B6D13" w14:textId="77777777" w:rsidR="00323DE4" w:rsidRPr="0016350E" w:rsidRDefault="00323DE4" w:rsidP="002A23B3">
      <w:pPr>
        <w:pStyle w:val="Item"/>
      </w:pPr>
      <w:r w:rsidRPr="0016350E">
        <w:t>Insert:</w:t>
      </w:r>
    </w:p>
    <w:p w14:paraId="3D442FA5" w14:textId="77777777" w:rsidR="00323DE4" w:rsidRPr="0016350E" w:rsidRDefault="00323DE4" w:rsidP="002A23B3">
      <w:pPr>
        <w:pStyle w:val="SubsectionHead"/>
      </w:pPr>
      <w:r w:rsidRPr="0016350E">
        <w:lastRenderedPageBreak/>
        <w:t>Regulations may prescribe industry codes etc.</w:t>
      </w:r>
    </w:p>
    <w:p w14:paraId="7BE49A30" w14:textId="77777777" w:rsidR="00323DE4" w:rsidRPr="0016350E" w:rsidRDefault="002A23B3" w:rsidP="002A23B3">
      <w:pPr>
        <w:pStyle w:val="ItemHead"/>
      </w:pPr>
      <w:r w:rsidRPr="0016350E">
        <w:t>4</w:t>
      </w:r>
      <w:r w:rsidR="00323DE4" w:rsidRPr="0016350E">
        <w:t xml:space="preserve">  After subsection 51AE(1)</w:t>
      </w:r>
    </w:p>
    <w:p w14:paraId="0BFC2E0F" w14:textId="77777777" w:rsidR="00323DE4" w:rsidRPr="0016350E" w:rsidRDefault="00323DE4" w:rsidP="002A23B3">
      <w:pPr>
        <w:pStyle w:val="Item"/>
      </w:pPr>
      <w:r w:rsidRPr="0016350E">
        <w:t>Insert:</w:t>
      </w:r>
    </w:p>
    <w:p w14:paraId="647FAA6C" w14:textId="77777777" w:rsidR="00323DE4" w:rsidRPr="0016350E" w:rsidRDefault="00323DE4" w:rsidP="002A23B3">
      <w:pPr>
        <w:pStyle w:val="SubsectionHead"/>
      </w:pPr>
      <w:r w:rsidRPr="0016350E">
        <w:t>Conferral of functions and powers</w:t>
      </w:r>
    </w:p>
    <w:p w14:paraId="10B9DB30" w14:textId="77777777" w:rsidR="00323DE4" w:rsidRPr="0016350E" w:rsidRDefault="00323DE4" w:rsidP="002A23B3">
      <w:pPr>
        <w:pStyle w:val="subsection"/>
      </w:pPr>
      <w:r w:rsidRPr="0016350E">
        <w:tab/>
      </w:r>
      <w:bookmarkStart w:id="16" w:name="_Hlk74646951"/>
      <w:r w:rsidRPr="0016350E">
        <w:t>(1A)</w:t>
      </w:r>
      <w:r w:rsidRPr="0016350E">
        <w:tab/>
        <w:t>If regulations prescribe an industry code, the industry code may confer on a person or body functions and powers in relation to the code, including functions and powers in relation to the following matters:</w:t>
      </w:r>
    </w:p>
    <w:bookmarkEnd w:id="16"/>
    <w:p w14:paraId="451A6DC5" w14:textId="77777777" w:rsidR="00323DE4" w:rsidRPr="0016350E" w:rsidRDefault="00323DE4" w:rsidP="002A23B3">
      <w:pPr>
        <w:pStyle w:val="paragraph"/>
      </w:pPr>
      <w:r w:rsidRPr="0016350E">
        <w:tab/>
        <w:t>(a)</w:t>
      </w:r>
      <w:r w:rsidRPr="0016350E">
        <w:tab/>
        <w:t>monitoring compliance with the code;</w:t>
      </w:r>
    </w:p>
    <w:p w14:paraId="21F1F449" w14:textId="77777777" w:rsidR="00323DE4" w:rsidRPr="0016350E" w:rsidRDefault="00323DE4" w:rsidP="002A23B3">
      <w:pPr>
        <w:pStyle w:val="paragraph"/>
      </w:pPr>
      <w:r w:rsidRPr="0016350E">
        <w:tab/>
        <w:t>(b)</w:t>
      </w:r>
      <w:r w:rsidRPr="0016350E">
        <w:tab/>
        <w:t>dealing with disputes or complaints arising under, or in relation to, the code;</w:t>
      </w:r>
    </w:p>
    <w:p w14:paraId="5A356691" w14:textId="77777777" w:rsidR="00323DE4" w:rsidRPr="0016350E" w:rsidRDefault="00323DE4" w:rsidP="002A23B3">
      <w:pPr>
        <w:pStyle w:val="paragraph"/>
      </w:pPr>
      <w:r w:rsidRPr="0016350E">
        <w:tab/>
        <w:t>(c)</w:t>
      </w:r>
      <w:r w:rsidRPr="0016350E">
        <w:tab/>
        <w:t>dealing with matters relating to a prospective agreement (including disputes or complaints relating to such an agreement) that would, if entered into, have the effect that one or more parties to the agreement is a participant in the industry to which the code relates;</w:t>
      </w:r>
    </w:p>
    <w:p w14:paraId="4DAC9E8B" w14:textId="77777777" w:rsidR="00323DE4" w:rsidRPr="0016350E" w:rsidRDefault="00323DE4" w:rsidP="002A23B3">
      <w:pPr>
        <w:pStyle w:val="paragraph"/>
      </w:pPr>
      <w:r w:rsidRPr="0016350E">
        <w:tab/>
        <w:t>(d)</w:t>
      </w:r>
      <w:r w:rsidRPr="0016350E">
        <w:tab/>
        <w:t>conducting investigations under, or in relation to, the code;</w:t>
      </w:r>
    </w:p>
    <w:p w14:paraId="724B1A7A" w14:textId="77777777" w:rsidR="00323DE4" w:rsidRPr="0016350E" w:rsidRDefault="00323DE4" w:rsidP="002A23B3">
      <w:pPr>
        <w:pStyle w:val="paragraph"/>
      </w:pPr>
      <w:r w:rsidRPr="0016350E">
        <w:rPr>
          <w:i/>
        </w:rPr>
        <w:tab/>
      </w:r>
      <w:r w:rsidRPr="0016350E">
        <w:t>(e)</w:t>
      </w:r>
      <w:r w:rsidRPr="0016350E">
        <w:tab/>
        <w:t>providing exemptions from the code or specified provisions of the code;</w:t>
      </w:r>
    </w:p>
    <w:p w14:paraId="4643AE4F" w14:textId="77777777" w:rsidR="00323DE4" w:rsidRPr="0016350E" w:rsidRDefault="00323DE4" w:rsidP="002A23B3">
      <w:pPr>
        <w:pStyle w:val="paragraph"/>
      </w:pPr>
      <w:r w:rsidRPr="0016350E">
        <w:tab/>
        <w:t>(f)</w:t>
      </w:r>
      <w:r w:rsidRPr="0016350E">
        <w:tab/>
        <w:t>reviewing, or reporting on, the operation of the code or activities under, or in relation to, the code;</w:t>
      </w:r>
    </w:p>
    <w:p w14:paraId="2D82ED6F" w14:textId="77777777" w:rsidR="00323DE4" w:rsidRPr="0016350E" w:rsidRDefault="00323DE4" w:rsidP="002A23B3">
      <w:pPr>
        <w:pStyle w:val="paragraph"/>
      </w:pPr>
      <w:r w:rsidRPr="0016350E">
        <w:tab/>
        <w:t>(g)</w:t>
      </w:r>
      <w:r w:rsidRPr="0016350E">
        <w:tab/>
        <w:t>any other matter relating to the operation, application or administration of the code.</w:t>
      </w:r>
    </w:p>
    <w:p w14:paraId="12DB81E9" w14:textId="77777777" w:rsidR="00323DE4" w:rsidRPr="0016350E" w:rsidRDefault="00323DE4" w:rsidP="002A23B3">
      <w:pPr>
        <w:pStyle w:val="subsection"/>
      </w:pPr>
      <w:r w:rsidRPr="0016350E">
        <w:tab/>
        <w:t>(1B)</w:t>
      </w:r>
      <w:r w:rsidRPr="0016350E">
        <w:tab/>
        <w:t>For the purposes of subsection (1A), the persons or bodies on whom an industry code may confer functions and powers are:</w:t>
      </w:r>
    </w:p>
    <w:p w14:paraId="0A137F2C" w14:textId="77777777" w:rsidR="00323DE4" w:rsidRPr="0016350E" w:rsidRDefault="00323DE4" w:rsidP="002A23B3">
      <w:pPr>
        <w:pStyle w:val="paragraph"/>
      </w:pPr>
      <w:r w:rsidRPr="0016350E">
        <w:tab/>
        <w:t>(a)</w:t>
      </w:r>
      <w:r w:rsidRPr="0016350E">
        <w:tab/>
        <w:t>if the function or power is a function of providing, or a power to provide, exemptions from the code or specified provisions of the code—any of the following:</w:t>
      </w:r>
    </w:p>
    <w:p w14:paraId="29025EF4" w14:textId="77777777" w:rsidR="00323DE4" w:rsidRPr="0016350E" w:rsidRDefault="00323DE4" w:rsidP="002A23B3">
      <w:pPr>
        <w:pStyle w:val="paragraphsub"/>
      </w:pPr>
      <w:r w:rsidRPr="0016350E">
        <w:tab/>
        <w:t>(i)</w:t>
      </w:r>
      <w:r w:rsidRPr="0016350E">
        <w:tab/>
        <w:t>the Commission;</w:t>
      </w:r>
    </w:p>
    <w:p w14:paraId="5B01714F" w14:textId="77777777" w:rsidR="00323DE4" w:rsidRPr="0016350E" w:rsidRDefault="00323DE4" w:rsidP="002A23B3">
      <w:pPr>
        <w:pStyle w:val="paragraphsub"/>
      </w:pPr>
      <w:r w:rsidRPr="0016350E">
        <w:tab/>
        <w:t>(ii)</w:t>
      </w:r>
      <w:r w:rsidRPr="0016350E">
        <w:tab/>
        <w:t>the Australian Energy Regulator;</w:t>
      </w:r>
    </w:p>
    <w:p w14:paraId="6164C627" w14:textId="77777777" w:rsidR="00323DE4" w:rsidRPr="0016350E" w:rsidRDefault="00323DE4" w:rsidP="002A23B3">
      <w:pPr>
        <w:pStyle w:val="paragraphsub"/>
      </w:pPr>
      <w:r w:rsidRPr="0016350E">
        <w:tab/>
        <w:t>(iii)</w:t>
      </w:r>
      <w:r w:rsidRPr="0016350E">
        <w:tab/>
        <w:t>a Minister (whether or not a Minister administering this provision); or</w:t>
      </w:r>
    </w:p>
    <w:p w14:paraId="7212B9EE" w14:textId="77777777" w:rsidR="00323DE4" w:rsidRPr="0016350E" w:rsidRDefault="00323DE4" w:rsidP="002A23B3">
      <w:pPr>
        <w:pStyle w:val="paragraph"/>
      </w:pPr>
      <w:r w:rsidRPr="0016350E">
        <w:tab/>
      </w:r>
      <w:bookmarkStart w:id="17" w:name="_Hlk76132352"/>
      <w:r w:rsidRPr="0016350E">
        <w:t>(b)</w:t>
      </w:r>
      <w:r w:rsidRPr="0016350E">
        <w:tab/>
        <w:t>otherwise—any person or body (whether or not a participant in the industry to which the code relates)</w:t>
      </w:r>
      <w:bookmarkEnd w:id="17"/>
      <w:r w:rsidRPr="0016350E">
        <w:t>, including a person or body referred to in subparagraph (a)(i), (ii) or (iii).</w:t>
      </w:r>
    </w:p>
    <w:p w14:paraId="5373D1A7" w14:textId="77777777" w:rsidR="00323DE4" w:rsidRPr="0016350E" w:rsidRDefault="00323DE4" w:rsidP="002A23B3">
      <w:pPr>
        <w:pStyle w:val="SubsectionHead"/>
      </w:pPr>
      <w:r w:rsidRPr="0016350E">
        <w:lastRenderedPageBreak/>
        <w:t>How functions and powers are to be exercised</w:t>
      </w:r>
    </w:p>
    <w:p w14:paraId="1D3EC69E" w14:textId="77777777" w:rsidR="00323DE4" w:rsidRPr="0016350E" w:rsidRDefault="00323DE4" w:rsidP="002A23B3">
      <w:pPr>
        <w:pStyle w:val="subsection"/>
      </w:pPr>
      <w:r w:rsidRPr="0016350E">
        <w:tab/>
        <w:t>(1C)</w:t>
      </w:r>
      <w:r w:rsidRPr="0016350E">
        <w:tab/>
        <w:t>If an industry code prescribed by the regulations confers on a person or body a function or power in relation to the code, the</w:t>
      </w:r>
      <w:r w:rsidRPr="0016350E">
        <w:rPr>
          <w:i/>
        </w:rPr>
        <w:t xml:space="preserve"> </w:t>
      </w:r>
      <w:r w:rsidRPr="0016350E">
        <w:t>code may provide that the function or power is to be exercised by legislative instrument or other kind of written instrument.</w:t>
      </w:r>
    </w:p>
    <w:p w14:paraId="0C5651CD" w14:textId="77777777" w:rsidR="00323DE4" w:rsidRPr="0016350E" w:rsidRDefault="00323DE4" w:rsidP="002A23B3">
      <w:pPr>
        <w:pStyle w:val="subsection"/>
      </w:pPr>
      <w:r w:rsidRPr="0016350E">
        <w:tab/>
      </w:r>
      <w:bookmarkStart w:id="18" w:name="_Hlk76129058"/>
      <w:r w:rsidRPr="0016350E">
        <w:t>(1D)</w:t>
      </w:r>
      <w:r w:rsidRPr="0016350E">
        <w:tab/>
        <w:t>However, if an industry code confers on a person or body a function of providing, or a power to provide, exemptions from the code or specified provisions of the code, then (despite anything to the contrary in the code):</w:t>
      </w:r>
    </w:p>
    <w:p w14:paraId="668CD400" w14:textId="77777777" w:rsidR="00323DE4" w:rsidRPr="0016350E" w:rsidRDefault="00323DE4" w:rsidP="002A23B3">
      <w:pPr>
        <w:pStyle w:val="paragraph"/>
      </w:pPr>
      <w:r w:rsidRPr="0016350E">
        <w:tab/>
        <w:t>(a)</w:t>
      </w:r>
      <w:r w:rsidRPr="0016350E">
        <w:tab/>
        <w:t xml:space="preserve">the function or power must be exercised by written instrument (an </w:t>
      </w:r>
      <w:r w:rsidRPr="0016350E">
        <w:rPr>
          <w:b/>
          <w:i/>
        </w:rPr>
        <w:t>exemption instrument</w:t>
      </w:r>
      <w:r w:rsidRPr="0016350E">
        <w:t>); and</w:t>
      </w:r>
    </w:p>
    <w:p w14:paraId="43ADFC7C" w14:textId="77777777" w:rsidR="00323DE4" w:rsidRPr="0016350E" w:rsidRDefault="00323DE4" w:rsidP="002A23B3">
      <w:pPr>
        <w:pStyle w:val="paragraph"/>
      </w:pPr>
      <w:r w:rsidRPr="0016350E">
        <w:tab/>
        <w:t>(b)</w:t>
      </w:r>
      <w:r w:rsidRPr="0016350E">
        <w:tab/>
        <w:t>if the code does not provide that an exemption instrument made under the code is a legislative instrument, then:</w:t>
      </w:r>
    </w:p>
    <w:p w14:paraId="04BBFDE3" w14:textId="77777777" w:rsidR="00323DE4" w:rsidRPr="0016350E" w:rsidRDefault="00323DE4" w:rsidP="002A23B3">
      <w:pPr>
        <w:pStyle w:val="paragraphsub"/>
      </w:pPr>
      <w:r w:rsidRPr="0016350E">
        <w:tab/>
        <w:t>(i)</w:t>
      </w:r>
      <w:r w:rsidRPr="0016350E">
        <w:tab/>
        <w:t>if each exemption provided by the instrument relates to a particular entity—the instrument is a notifiable instrument; or</w:t>
      </w:r>
    </w:p>
    <w:p w14:paraId="3B07A2F7" w14:textId="77777777" w:rsidR="00323DE4" w:rsidRPr="0016350E" w:rsidRDefault="00323DE4" w:rsidP="002A23B3">
      <w:pPr>
        <w:pStyle w:val="paragraphsub"/>
      </w:pPr>
      <w:r w:rsidRPr="0016350E">
        <w:tab/>
        <w:t>(ii)</w:t>
      </w:r>
      <w:r w:rsidRPr="0016350E">
        <w:tab/>
        <w:t>otherwise—the instrument is a legislative instrument.</w:t>
      </w:r>
    </w:p>
    <w:p w14:paraId="2F03ABBB" w14:textId="77777777" w:rsidR="00323DE4" w:rsidRPr="0016350E" w:rsidRDefault="00323DE4" w:rsidP="002A23B3">
      <w:pPr>
        <w:pStyle w:val="notetext"/>
      </w:pPr>
      <w:r w:rsidRPr="0016350E">
        <w:t>Note:</w:t>
      </w:r>
      <w:r w:rsidRPr="0016350E">
        <w:tab/>
        <w:t xml:space="preserve">If the code provides that an exemption instrument made under the code is a legislative instrument, then the instrument is a legislative instrument: see subsection 8(2) of the </w:t>
      </w:r>
      <w:r w:rsidRPr="0016350E">
        <w:rPr>
          <w:i/>
        </w:rPr>
        <w:t>Legislation Act 2003</w:t>
      </w:r>
      <w:r w:rsidRPr="0016350E">
        <w:t>.</w:t>
      </w:r>
    </w:p>
    <w:bookmarkEnd w:id="18"/>
    <w:p w14:paraId="3AE00225" w14:textId="77777777" w:rsidR="00323DE4" w:rsidRPr="0016350E" w:rsidRDefault="00323DE4" w:rsidP="002A23B3">
      <w:pPr>
        <w:pStyle w:val="SubsectionHead"/>
      </w:pPr>
      <w:r w:rsidRPr="0016350E">
        <w:t>Requirements to provide information</w:t>
      </w:r>
    </w:p>
    <w:p w14:paraId="3EBF1DC8" w14:textId="77777777" w:rsidR="00323DE4" w:rsidRPr="0016350E" w:rsidRDefault="00323DE4" w:rsidP="002A23B3">
      <w:pPr>
        <w:pStyle w:val="subsection"/>
      </w:pPr>
      <w:r w:rsidRPr="0016350E">
        <w:tab/>
      </w:r>
      <w:bookmarkStart w:id="19" w:name="_Hlk69724671"/>
      <w:r w:rsidRPr="0016350E">
        <w:t>(1E)</w:t>
      </w:r>
      <w:r w:rsidRPr="0016350E">
        <w:tab/>
        <w:t>An industry code prescribed by the regulations:</w:t>
      </w:r>
    </w:p>
    <w:p w14:paraId="44E6616A" w14:textId="77777777" w:rsidR="00323DE4" w:rsidRPr="0016350E" w:rsidRDefault="00323DE4" w:rsidP="002A23B3">
      <w:pPr>
        <w:pStyle w:val="paragraph"/>
      </w:pPr>
      <w:r w:rsidRPr="0016350E">
        <w:tab/>
        <w:t>(a)</w:t>
      </w:r>
      <w:r w:rsidRPr="0016350E">
        <w:tab/>
        <w:t>may require a person or body to provide another person or body with information or documents relevant to the operation, application or administration of the code (whether or not any of those persons or bodies are participants in the industry to which the code relates); and</w:t>
      </w:r>
    </w:p>
    <w:p w14:paraId="5533FE97" w14:textId="77777777" w:rsidR="00323DE4" w:rsidRPr="0016350E" w:rsidRDefault="00323DE4" w:rsidP="002A23B3">
      <w:pPr>
        <w:pStyle w:val="paragraph"/>
      </w:pPr>
      <w:r w:rsidRPr="0016350E">
        <w:tab/>
        <w:t>(b)</w:t>
      </w:r>
      <w:r w:rsidRPr="0016350E">
        <w:tab/>
        <w:t>may confer on a person or body (whether or not a participant in the industry to which the code relates) a function of imposing, or a power to impose, a requirement of the kind mentioned in paragraph (a).</w:t>
      </w:r>
    </w:p>
    <w:p w14:paraId="46BAD3F3" w14:textId="77777777" w:rsidR="00323DE4" w:rsidRPr="0016350E" w:rsidRDefault="00323DE4" w:rsidP="002A23B3">
      <w:pPr>
        <w:pStyle w:val="subsection"/>
      </w:pPr>
      <w:r w:rsidRPr="0016350E">
        <w:tab/>
        <w:t>(1F)</w:t>
      </w:r>
      <w:r w:rsidRPr="0016350E">
        <w:tab/>
        <w:t>Paragraph (1E)(b) does not limit subsection (1A).</w:t>
      </w:r>
    </w:p>
    <w:bookmarkEnd w:id="19"/>
    <w:p w14:paraId="0861FD1A" w14:textId="77777777" w:rsidR="00323DE4" w:rsidRPr="0016350E" w:rsidRDefault="002A23B3" w:rsidP="002A23B3">
      <w:pPr>
        <w:pStyle w:val="ItemHead"/>
      </w:pPr>
      <w:r w:rsidRPr="0016350E">
        <w:t>5</w:t>
      </w:r>
      <w:r w:rsidR="00323DE4" w:rsidRPr="0016350E">
        <w:t xml:space="preserve">  Before subsection 51AE(2)</w:t>
      </w:r>
    </w:p>
    <w:p w14:paraId="32379089" w14:textId="77777777" w:rsidR="00323DE4" w:rsidRPr="0016350E" w:rsidRDefault="00323DE4" w:rsidP="002A23B3">
      <w:pPr>
        <w:pStyle w:val="Item"/>
      </w:pPr>
      <w:r w:rsidRPr="0016350E">
        <w:t>Insert:</w:t>
      </w:r>
    </w:p>
    <w:p w14:paraId="18B09331" w14:textId="77777777" w:rsidR="00323DE4" w:rsidRPr="0016350E" w:rsidRDefault="00323DE4" w:rsidP="002A23B3">
      <w:pPr>
        <w:pStyle w:val="SubsectionHead"/>
      </w:pPr>
      <w:r w:rsidRPr="0016350E">
        <w:lastRenderedPageBreak/>
        <w:t>Pecuniary penalties</w:t>
      </w:r>
    </w:p>
    <w:p w14:paraId="490B73DA" w14:textId="77777777" w:rsidR="00323DE4" w:rsidRPr="0016350E" w:rsidRDefault="002A23B3" w:rsidP="002A23B3">
      <w:pPr>
        <w:pStyle w:val="ItemHead"/>
      </w:pPr>
      <w:r w:rsidRPr="0016350E">
        <w:t>6</w:t>
      </w:r>
      <w:r w:rsidR="00323DE4" w:rsidRPr="0016350E">
        <w:t xml:space="preserve">  Before subsection 51AE(3)</w:t>
      </w:r>
    </w:p>
    <w:p w14:paraId="57683CBF" w14:textId="77777777" w:rsidR="00323DE4" w:rsidRPr="0016350E" w:rsidRDefault="00323DE4" w:rsidP="002A23B3">
      <w:pPr>
        <w:pStyle w:val="Item"/>
      </w:pPr>
      <w:r w:rsidRPr="0016350E">
        <w:t>Insert:</w:t>
      </w:r>
    </w:p>
    <w:p w14:paraId="54EF6153" w14:textId="77777777" w:rsidR="00323DE4" w:rsidRPr="0016350E" w:rsidRDefault="00323DE4" w:rsidP="002A23B3">
      <w:pPr>
        <w:pStyle w:val="SubsectionHead"/>
      </w:pPr>
      <w:r w:rsidRPr="0016350E">
        <w:t>Incorporation of matters contained in other instruments</w:t>
      </w:r>
    </w:p>
    <w:p w14:paraId="7E75833E" w14:textId="77777777" w:rsidR="00323DE4" w:rsidRPr="0016350E" w:rsidRDefault="002A23B3" w:rsidP="002A23B3">
      <w:pPr>
        <w:pStyle w:val="ItemHead"/>
      </w:pPr>
      <w:r w:rsidRPr="0016350E">
        <w:t>7</w:t>
      </w:r>
      <w:r w:rsidR="00323DE4" w:rsidRPr="0016350E">
        <w:t xml:space="preserve">  After section 51AE</w:t>
      </w:r>
    </w:p>
    <w:p w14:paraId="7D38D668" w14:textId="77777777" w:rsidR="00323DE4" w:rsidRPr="0016350E" w:rsidRDefault="00323DE4" w:rsidP="002A23B3">
      <w:pPr>
        <w:pStyle w:val="Item"/>
      </w:pPr>
      <w:r w:rsidRPr="0016350E">
        <w:t>Insert:</w:t>
      </w:r>
    </w:p>
    <w:p w14:paraId="088661C6" w14:textId="77777777" w:rsidR="00323DE4" w:rsidRPr="0016350E" w:rsidRDefault="00323DE4" w:rsidP="002A23B3">
      <w:pPr>
        <w:pStyle w:val="ActHead5"/>
      </w:pPr>
      <w:bookmarkStart w:id="20" w:name="_Toc82775856"/>
      <w:r w:rsidRPr="001A453F">
        <w:rPr>
          <w:rStyle w:val="CharSectno"/>
        </w:rPr>
        <w:t>51AEAA</w:t>
      </w:r>
      <w:r w:rsidRPr="0016350E">
        <w:t xml:space="preserve">  Functions and powers of Commission under industry codes</w:t>
      </w:r>
      <w:bookmarkEnd w:id="20"/>
    </w:p>
    <w:p w14:paraId="2661A480" w14:textId="77777777" w:rsidR="00323DE4" w:rsidRPr="0016350E" w:rsidRDefault="00323DE4" w:rsidP="002A23B3">
      <w:pPr>
        <w:pStyle w:val="subsection"/>
      </w:pPr>
      <w:r w:rsidRPr="0016350E">
        <w:tab/>
      </w:r>
      <w:r w:rsidRPr="0016350E">
        <w:tab/>
        <w:t>To avoid doubt, the functions and powers of the Commission under this Act include any function or power conferred on the Commission by an industry code prescribed for the purposes of this Part.</w:t>
      </w:r>
    </w:p>
    <w:p w14:paraId="0AF0857D" w14:textId="77777777" w:rsidR="00323DE4" w:rsidRPr="0016350E" w:rsidRDefault="002A23B3" w:rsidP="002A23B3">
      <w:pPr>
        <w:pStyle w:val="ItemHead"/>
      </w:pPr>
      <w:r w:rsidRPr="0016350E">
        <w:t>8</w:t>
      </w:r>
      <w:r w:rsidR="00323DE4" w:rsidRPr="0016350E">
        <w:t xml:space="preserve">  At the end of Division 6 of Part IVB</w:t>
      </w:r>
    </w:p>
    <w:p w14:paraId="483DCEB9" w14:textId="77777777" w:rsidR="00323DE4" w:rsidRPr="0016350E" w:rsidRDefault="00323DE4" w:rsidP="002A23B3">
      <w:pPr>
        <w:pStyle w:val="Item"/>
      </w:pPr>
      <w:r w:rsidRPr="0016350E">
        <w:t>Add:</w:t>
      </w:r>
    </w:p>
    <w:p w14:paraId="06305F89" w14:textId="77777777" w:rsidR="00323DE4" w:rsidRPr="0016350E" w:rsidRDefault="00323DE4" w:rsidP="002A23B3">
      <w:pPr>
        <w:pStyle w:val="ActHead5"/>
      </w:pPr>
      <w:bookmarkStart w:id="21" w:name="_Toc82775857"/>
      <w:r w:rsidRPr="001A453F">
        <w:rPr>
          <w:rStyle w:val="CharSectno"/>
        </w:rPr>
        <w:t>51AF</w:t>
      </w:r>
      <w:r w:rsidRPr="0016350E">
        <w:t xml:space="preserve">  Acquisition of property</w:t>
      </w:r>
      <w:bookmarkEnd w:id="21"/>
    </w:p>
    <w:p w14:paraId="08CDB376" w14:textId="77777777" w:rsidR="00323DE4" w:rsidRPr="0016350E" w:rsidRDefault="00323DE4" w:rsidP="002A23B3">
      <w:pPr>
        <w:pStyle w:val="SubsectionHead"/>
      </w:pPr>
      <w:r w:rsidRPr="0016350E">
        <w:t>Scope</w:t>
      </w:r>
    </w:p>
    <w:p w14:paraId="566A5B2E" w14:textId="77777777" w:rsidR="00323DE4" w:rsidRPr="0016350E" w:rsidRDefault="00323DE4" w:rsidP="002A23B3">
      <w:pPr>
        <w:pStyle w:val="subsection"/>
      </w:pPr>
      <w:r w:rsidRPr="0016350E">
        <w:tab/>
        <w:t>(1)</w:t>
      </w:r>
      <w:r w:rsidRPr="0016350E">
        <w:tab/>
        <w:t>This section applies to the following provisions:</w:t>
      </w:r>
    </w:p>
    <w:p w14:paraId="4938DF15" w14:textId="77777777" w:rsidR="00323DE4" w:rsidRPr="0016350E" w:rsidRDefault="00323DE4" w:rsidP="002A23B3">
      <w:pPr>
        <w:pStyle w:val="paragraph"/>
      </w:pPr>
      <w:r w:rsidRPr="0016350E">
        <w:tab/>
        <w:t>(a)</w:t>
      </w:r>
      <w:r w:rsidRPr="0016350E">
        <w:tab/>
        <w:t>paragraphs 51AE(1A)(b) and (c);</w:t>
      </w:r>
    </w:p>
    <w:p w14:paraId="25D30DA2" w14:textId="77777777" w:rsidR="00323DE4" w:rsidRPr="0016350E" w:rsidRDefault="00323DE4" w:rsidP="002A23B3">
      <w:pPr>
        <w:pStyle w:val="paragraph"/>
      </w:pPr>
      <w:r w:rsidRPr="0016350E">
        <w:tab/>
      </w:r>
      <w:bookmarkStart w:id="22" w:name="_Hlk76462509"/>
      <w:r w:rsidRPr="0016350E">
        <w:t>(b)</w:t>
      </w:r>
      <w:r w:rsidRPr="0016350E">
        <w:tab/>
        <w:t>a provision of an industry code prescribed for the purposes of this Part that is authorised by paragraph 51AE(1A)(b) or (c);</w:t>
      </w:r>
    </w:p>
    <w:bookmarkEnd w:id="22"/>
    <w:p w14:paraId="2CBED3FF" w14:textId="77777777" w:rsidR="00323DE4" w:rsidRPr="0016350E" w:rsidRDefault="00323DE4" w:rsidP="002A23B3">
      <w:pPr>
        <w:pStyle w:val="paragraph"/>
      </w:pPr>
      <w:r w:rsidRPr="0016350E">
        <w:tab/>
        <w:t>(c)</w:t>
      </w:r>
      <w:r w:rsidRPr="0016350E">
        <w:tab/>
        <w:t>any other provision of this Act or the regulations, to the extent to which the provision relates to a provision mentioned in paragraph (a) or (b) of this subsection.</w:t>
      </w:r>
    </w:p>
    <w:p w14:paraId="2FD7B6CD" w14:textId="77777777" w:rsidR="00323DE4" w:rsidRPr="0016350E" w:rsidRDefault="00323DE4" w:rsidP="002A23B3">
      <w:pPr>
        <w:pStyle w:val="SubsectionHead"/>
      </w:pPr>
      <w:r w:rsidRPr="0016350E">
        <w:t>Effect of provisions</w:t>
      </w:r>
    </w:p>
    <w:p w14:paraId="018CB629" w14:textId="77777777" w:rsidR="00323DE4" w:rsidRPr="0016350E" w:rsidRDefault="00323DE4" w:rsidP="002A23B3">
      <w:pPr>
        <w:pStyle w:val="subsection"/>
      </w:pPr>
      <w:r w:rsidRPr="0016350E">
        <w:tab/>
        <w:t>(2)</w:t>
      </w:r>
      <w:r w:rsidRPr="0016350E">
        <w:tab/>
        <w:t>The provisions have no effect to the extent (if any) to which their operation would result in the acquisition of property (within the meaning of paragraph 51(xxxi) of the Constitution) otherwise than on just terms (within the meaning of that paragraph).</w:t>
      </w:r>
    </w:p>
    <w:p w14:paraId="0E34F4A6" w14:textId="77777777" w:rsidR="00323DE4" w:rsidRPr="0016350E" w:rsidRDefault="00323DE4" w:rsidP="002A23B3">
      <w:pPr>
        <w:pStyle w:val="ActHead7"/>
        <w:pageBreakBefore/>
      </w:pPr>
      <w:bookmarkStart w:id="23" w:name="_Toc82775858"/>
      <w:r w:rsidRPr="001A453F">
        <w:rPr>
          <w:rStyle w:val="CharAmPartNo"/>
        </w:rPr>
        <w:lastRenderedPageBreak/>
        <w:t>Part 2</w:t>
      </w:r>
      <w:r w:rsidRPr="0016350E">
        <w:t>—</w:t>
      </w:r>
      <w:r w:rsidRPr="001A453F">
        <w:rPr>
          <w:rStyle w:val="CharAmPartText"/>
        </w:rPr>
        <w:t>Application and validation provisions</w:t>
      </w:r>
      <w:bookmarkEnd w:id="23"/>
    </w:p>
    <w:p w14:paraId="209A4F29" w14:textId="77777777" w:rsidR="00323DE4" w:rsidRPr="0016350E" w:rsidRDefault="002A23B3" w:rsidP="002A23B3">
      <w:pPr>
        <w:pStyle w:val="Transitional"/>
      </w:pPr>
      <w:bookmarkStart w:id="24" w:name="_Hlk74661220"/>
      <w:r w:rsidRPr="0016350E">
        <w:t>9</w:t>
      </w:r>
      <w:r w:rsidR="00323DE4" w:rsidRPr="0016350E">
        <w:t xml:space="preserve">  Application provision—requirements for exemption instruments</w:t>
      </w:r>
    </w:p>
    <w:p w14:paraId="5ADBA87B" w14:textId="77777777" w:rsidR="00323DE4" w:rsidRPr="0016350E" w:rsidRDefault="00323DE4" w:rsidP="002A23B3">
      <w:pPr>
        <w:pStyle w:val="Subitem"/>
      </w:pPr>
      <w:bookmarkStart w:id="25" w:name="_Hlk74675258"/>
      <w:bookmarkEnd w:id="24"/>
      <w:r w:rsidRPr="0016350E">
        <w:tab/>
        <w:t xml:space="preserve">Subsection 51AE(1D) of the </w:t>
      </w:r>
      <w:r w:rsidRPr="0016350E">
        <w:rPr>
          <w:i/>
        </w:rPr>
        <w:t>Competition and Consumer Act 2010</w:t>
      </w:r>
      <w:r w:rsidRPr="0016350E">
        <w:t>, as inserted by Part 1 of this Schedule, applies in relation to the exercise of a function or power referred to in that subsection that occurs on or after the commencement of this item.</w:t>
      </w:r>
    </w:p>
    <w:bookmarkEnd w:id="25"/>
    <w:p w14:paraId="37DB4AF1" w14:textId="77777777" w:rsidR="00323DE4" w:rsidRPr="0016350E" w:rsidRDefault="002A23B3" w:rsidP="002A23B3">
      <w:pPr>
        <w:pStyle w:val="Transitional"/>
      </w:pPr>
      <w:r w:rsidRPr="0016350E">
        <w:t>10</w:t>
      </w:r>
      <w:r w:rsidR="00323DE4" w:rsidRPr="0016350E">
        <w:t xml:space="preserve">  Validation of regulations made, and acts and things done, before commencement</w:t>
      </w:r>
    </w:p>
    <w:p w14:paraId="72D6D005" w14:textId="77777777" w:rsidR="00323DE4" w:rsidRPr="0016350E" w:rsidRDefault="00323DE4" w:rsidP="002A23B3">
      <w:pPr>
        <w:pStyle w:val="Subitem"/>
      </w:pPr>
      <w:r w:rsidRPr="0016350E">
        <w:t>(1)</w:t>
      </w:r>
      <w:r w:rsidRPr="0016350E">
        <w:tab/>
        <w:t>This item applies to:</w:t>
      </w:r>
    </w:p>
    <w:p w14:paraId="35F7532B" w14:textId="77777777" w:rsidR="00323DE4" w:rsidRPr="0016350E" w:rsidRDefault="00323DE4" w:rsidP="002A23B3">
      <w:pPr>
        <w:pStyle w:val="paragraph"/>
      </w:pPr>
      <w:r w:rsidRPr="0016350E">
        <w:tab/>
        <w:t>(a)</w:t>
      </w:r>
      <w:r w:rsidRPr="0016350E">
        <w:tab/>
        <w:t xml:space="preserve">regulations (the </w:t>
      </w:r>
      <w:r w:rsidRPr="0016350E">
        <w:rPr>
          <w:b/>
          <w:i/>
        </w:rPr>
        <w:t>earlier regulations</w:t>
      </w:r>
      <w:r w:rsidRPr="0016350E">
        <w:t>)</w:t>
      </w:r>
      <w:r w:rsidRPr="0016350E">
        <w:rPr>
          <w:i/>
        </w:rPr>
        <w:t xml:space="preserve"> </w:t>
      </w:r>
      <w:r w:rsidRPr="0016350E">
        <w:t xml:space="preserve">prescribing industry codes for the purposes of Part IVB of the </w:t>
      </w:r>
      <w:r w:rsidRPr="0016350E">
        <w:rPr>
          <w:i/>
        </w:rPr>
        <w:t xml:space="preserve">Competition and Consumer Act 2010 </w:t>
      </w:r>
      <w:r w:rsidRPr="0016350E">
        <w:t>that were made, or purportedly made, under that Act before the commencement of this item (whether or not the regulations are still in force); and</w:t>
      </w:r>
    </w:p>
    <w:p w14:paraId="6C3E5C21" w14:textId="77777777" w:rsidR="00323DE4" w:rsidRPr="0016350E" w:rsidRDefault="00323DE4" w:rsidP="002A23B3">
      <w:pPr>
        <w:pStyle w:val="paragraph"/>
      </w:pPr>
      <w:r w:rsidRPr="0016350E">
        <w:tab/>
        <w:t>(b)</w:t>
      </w:r>
      <w:r w:rsidRPr="0016350E">
        <w:tab/>
        <w:t>acts or things done, or purportedly done, under the earlier regulations before the commencement of this item.</w:t>
      </w:r>
    </w:p>
    <w:p w14:paraId="2F615114" w14:textId="77777777" w:rsidR="00323DE4" w:rsidRPr="0016350E" w:rsidRDefault="00323DE4" w:rsidP="002A23B3">
      <w:pPr>
        <w:pStyle w:val="Subitem"/>
      </w:pPr>
      <w:r w:rsidRPr="0016350E">
        <w:t>(2)</w:t>
      </w:r>
      <w:r w:rsidRPr="0016350E">
        <w:tab/>
        <w:t xml:space="preserve">The earlier regulations, and the acts or things, are as valid and effective, and are taken always to have been as valid and effective, as they would have been if the earlier regulations had been made under the </w:t>
      </w:r>
      <w:r w:rsidRPr="0016350E">
        <w:rPr>
          <w:i/>
        </w:rPr>
        <w:t>Competition and Consumer Act 2010</w:t>
      </w:r>
      <w:r w:rsidRPr="0016350E">
        <w:t xml:space="preserve"> as amended by Part 1 of this Schedule.</w:t>
      </w:r>
    </w:p>
    <w:p w14:paraId="4370461B" w14:textId="77777777" w:rsidR="00323DE4" w:rsidRPr="0016350E" w:rsidRDefault="00323DE4" w:rsidP="002A23B3">
      <w:pPr>
        <w:pStyle w:val="Subitem"/>
      </w:pPr>
      <w:r w:rsidRPr="0016350E">
        <w:t>(3)</w:t>
      </w:r>
      <w:r w:rsidRPr="0016350E">
        <w:tab/>
        <w:t xml:space="preserve">For the purposes of subitem (2), treat the </w:t>
      </w:r>
      <w:r w:rsidRPr="0016350E">
        <w:rPr>
          <w:i/>
        </w:rPr>
        <w:t>Competition and Consumer Act 2010</w:t>
      </w:r>
      <w:r w:rsidRPr="0016350E">
        <w:t xml:space="preserve"> as amended by Part 1 of this Schedule as not including subsection 51AE(1D) of that Act (as inserted by Part 1 of this Schedule).</w:t>
      </w:r>
    </w:p>
    <w:p w14:paraId="453E4B7B" w14:textId="77777777" w:rsidR="00323DE4" w:rsidRPr="0016350E" w:rsidRDefault="002A23B3" w:rsidP="002A23B3">
      <w:pPr>
        <w:pStyle w:val="Transitional"/>
      </w:pPr>
      <w:r w:rsidRPr="0016350E">
        <w:t>11</w:t>
      </w:r>
      <w:r w:rsidR="00323DE4" w:rsidRPr="0016350E">
        <w:t xml:space="preserve">  Acquisition of property</w:t>
      </w:r>
    </w:p>
    <w:p w14:paraId="01E28714" w14:textId="77777777" w:rsidR="008D3E94" w:rsidRPr="0016350E" w:rsidRDefault="00323DE4" w:rsidP="002A23B3">
      <w:pPr>
        <w:pStyle w:val="Subitem"/>
      </w:pPr>
      <w:r w:rsidRPr="0016350E">
        <w:tab/>
        <w:t>Item 10 has no effect to the extent (if any) to which its operation would result in the acquisition of property (within the meaning of paragraph 51(xxxi) of the Constitution) otherwise than on just terms (within the meaning of that paragraph).</w:t>
      </w:r>
    </w:p>
    <w:p w14:paraId="6A64B220" w14:textId="77777777" w:rsidR="009841DC" w:rsidRPr="0016350E" w:rsidRDefault="009841DC" w:rsidP="002A23B3">
      <w:pPr>
        <w:pStyle w:val="ActHead6"/>
        <w:pageBreakBefore/>
      </w:pPr>
      <w:bookmarkStart w:id="26" w:name="_Toc82775859"/>
      <w:bookmarkStart w:id="27" w:name="opcAmSched"/>
      <w:bookmarkStart w:id="28" w:name="opcCurrentFind"/>
      <w:r w:rsidRPr="001A453F">
        <w:rPr>
          <w:rStyle w:val="CharAmSchNo"/>
        </w:rPr>
        <w:lastRenderedPageBreak/>
        <w:t>Schedule 5</w:t>
      </w:r>
      <w:r w:rsidRPr="0016350E">
        <w:t>—</w:t>
      </w:r>
      <w:r w:rsidRPr="001A453F">
        <w:rPr>
          <w:rStyle w:val="CharAmSchText"/>
        </w:rPr>
        <w:t>Superannuation information for family law proceedings</w:t>
      </w:r>
      <w:bookmarkEnd w:id="26"/>
    </w:p>
    <w:p w14:paraId="341267BF" w14:textId="77777777" w:rsidR="009841DC" w:rsidRPr="0016350E" w:rsidRDefault="009841DC" w:rsidP="002A23B3">
      <w:pPr>
        <w:pStyle w:val="ActHead7"/>
      </w:pPr>
      <w:bookmarkStart w:id="29" w:name="_Toc82775860"/>
      <w:bookmarkEnd w:id="27"/>
      <w:bookmarkEnd w:id="28"/>
      <w:r w:rsidRPr="001A453F">
        <w:rPr>
          <w:rStyle w:val="CharAmPartNo"/>
        </w:rPr>
        <w:t>Part 1</w:t>
      </w:r>
      <w:r w:rsidRPr="0016350E">
        <w:t>—</w:t>
      </w:r>
      <w:r w:rsidRPr="001A453F">
        <w:rPr>
          <w:rStyle w:val="CharAmPartText"/>
        </w:rPr>
        <w:t>Main amendments</w:t>
      </w:r>
      <w:bookmarkEnd w:id="29"/>
    </w:p>
    <w:p w14:paraId="4122C701" w14:textId="77777777" w:rsidR="009841DC" w:rsidRPr="0016350E" w:rsidRDefault="009841DC" w:rsidP="002A23B3">
      <w:pPr>
        <w:pStyle w:val="ActHead9"/>
        <w:rPr>
          <w:i w:val="0"/>
        </w:rPr>
      </w:pPr>
      <w:bookmarkStart w:id="30" w:name="_Toc82775861"/>
      <w:r w:rsidRPr="0016350E">
        <w:t>Family Law Act 1975</w:t>
      </w:r>
      <w:bookmarkEnd w:id="30"/>
    </w:p>
    <w:p w14:paraId="6E39492D" w14:textId="77777777" w:rsidR="009841DC" w:rsidRPr="0016350E" w:rsidRDefault="002A23B3" w:rsidP="002A23B3">
      <w:pPr>
        <w:pStyle w:val="ItemHead"/>
      </w:pPr>
      <w:r w:rsidRPr="0016350E">
        <w:t>1</w:t>
      </w:r>
      <w:r w:rsidR="009841DC" w:rsidRPr="0016350E">
        <w:t xml:space="preserve">  At the end of Division 5 of Part VIIIB</w:t>
      </w:r>
    </w:p>
    <w:p w14:paraId="26B93F0E" w14:textId="77777777" w:rsidR="009841DC" w:rsidRPr="0016350E" w:rsidRDefault="009841DC" w:rsidP="002A23B3">
      <w:pPr>
        <w:pStyle w:val="Item"/>
      </w:pPr>
      <w:r w:rsidRPr="0016350E">
        <w:t>Add:</w:t>
      </w:r>
    </w:p>
    <w:p w14:paraId="2BB4D1BB" w14:textId="77777777" w:rsidR="009841DC" w:rsidRPr="0016350E" w:rsidRDefault="009841DC" w:rsidP="002A23B3">
      <w:pPr>
        <w:pStyle w:val="ActHead5"/>
      </w:pPr>
      <w:bookmarkStart w:id="31" w:name="_Toc82775862"/>
      <w:r w:rsidRPr="001A453F">
        <w:rPr>
          <w:rStyle w:val="CharSectno"/>
        </w:rPr>
        <w:t>90XZJ</w:t>
      </w:r>
      <w:r w:rsidRPr="0016350E">
        <w:t xml:space="preserve">  Requests for Commissioner of Taxation to provide superannuation information</w:t>
      </w:r>
      <w:bookmarkEnd w:id="31"/>
    </w:p>
    <w:p w14:paraId="52DEBE03" w14:textId="77777777" w:rsidR="009841DC" w:rsidRPr="0016350E" w:rsidRDefault="009841DC" w:rsidP="002A23B3">
      <w:pPr>
        <w:pStyle w:val="SubsectionHead"/>
      </w:pPr>
      <w:r w:rsidRPr="0016350E">
        <w:t>Application for superannuation information</w:t>
      </w:r>
    </w:p>
    <w:p w14:paraId="462C5314" w14:textId="77777777" w:rsidR="009841DC" w:rsidRPr="0016350E" w:rsidRDefault="009841DC" w:rsidP="002A23B3">
      <w:pPr>
        <w:pStyle w:val="subsection"/>
      </w:pPr>
      <w:r w:rsidRPr="0016350E">
        <w:tab/>
        <w:t>(1)</w:t>
      </w:r>
      <w:r w:rsidRPr="0016350E">
        <w:tab/>
        <w:t>A person who is a party to property settlement proceedings:</w:t>
      </w:r>
    </w:p>
    <w:p w14:paraId="2D7C05E0" w14:textId="77777777" w:rsidR="009841DC" w:rsidRPr="0016350E" w:rsidRDefault="009841DC" w:rsidP="002A23B3">
      <w:pPr>
        <w:pStyle w:val="paragraph"/>
      </w:pPr>
      <w:r w:rsidRPr="0016350E">
        <w:tab/>
        <w:t>(a)</w:t>
      </w:r>
      <w:r w:rsidRPr="0016350E">
        <w:tab/>
        <w:t>in the Federal Circuit and Family Court of Australia in relation to the person’s marriage or de facto relationship with another person; or</w:t>
      </w:r>
    </w:p>
    <w:p w14:paraId="09FA3387" w14:textId="77777777" w:rsidR="009841DC" w:rsidRPr="0016350E" w:rsidRDefault="009841DC" w:rsidP="002A23B3">
      <w:pPr>
        <w:pStyle w:val="paragraph"/>
      </w:pPr>
      <w:r w:rsidRPr="0016350E">
        <w:tab/>
        <w:t>(b)</w:t>
      </w:r>
      <w:r w:rsidRPr="0016350E">
        <w:tab/>
        <w:t>in the Family Court of Western Australia in relation to the person’s marriage with another person;</w:t>
      </w:r>
    </w:p>
    <w:p w14:paraId="5E976AA7" w14:textId="77777777" w:rsidR="009841DC" w:rsidRPr="0016350E" w:rsidRDefault="009841DC" w:rsidP="002A23B3">
      <w:pPr>
        <w:pStyle w:val="subsection2"/>
      </w:pPr>
      <w:r w:rsidRPr="0016350E">
        <w:t xml:space="preserve">may apply, in the approved form, to a Senior Registry official of that Court for that official to request the superannuation information of that other person (the </w:t>
      </w:r>
      <w:r w:rsidRPr="0016350E">
        <w:rPr>
          <w:b/>
          <w:i/>
        </w:rPr>
        <w:t>other party</w:t>
      </w:r>
      <w:r w:rsidRPr="0016350E">
        <w:t>).</w:t>
      </w:r>
    </w:p>
    <w:p w14:paraId="71E373BD" w14:textId="77777777" w:rsidR="009841DC" w:rsidRPr="0016350E" w:rsidRDefault="009841DC" w:rsidP="002A23B3">
      <w:pPr>
        <w:pStyle w:val="SubsectionHead"/>
      </w:pPr>
      <w:r w:rsidRPr="0016350E">
        <w:t>Request for superannuation information</w:t>
      </w:r>
    </w:p>
    <w:p w14:paraId="3DDC0927" w14:textId="77777777" w:rsidR="009841DC" w:rsidRPr="0016350E" w:rsidRDefault="009841DC" w:rsidP="002A23B3">
      <w:pPr>
        <w:pStyle w:val="subsection"/>
      </w:pPr>
      <w:r w:rsidRPr="0016350E">
        <w:tab/>
        <w:t>(2)</w:t>
      </w:r>
      <w:r w:rsidRPr="0016350E">
        <w:tab/>
        <w:t>If a Senior Registry official of a Court receives an application from a person under subsection (1) for the superannuation information of the other party, the official may:</w:t>
      </w:r>
    </w:p>
    <w:p w14:paraId="3D5801CC" w14:textId="77777777" w:rsidR="009841DC" w:rsidRPr="0016350E" w:rsidRDefault="009841DC" w:rsidP="002A23B3">
      <w:pPr>
        <w:pStyle w:val="paragraph"/>
      </w:pPr>
      <w:r w:rsidRPr="0016350E">
        <w:tab/>
        <w:t>(a)</w:t>
      </w:r>
      <w:r w:rsidRPr="0016350E">
        <w:tab/>
        <w:t>request the Commissioner of Taxation to disclose that superannuation information for the purpose of those proceedings; and</w:t>
      </w:r>
    </w:p>
    <w:p w14:paraId="7449C6C6" w14:textId="77777777" w:rsidR="009841DC" w:rsidRPr="0016350E" w:rsidRDefault="009841DC" w:rsidP="002A23B3">
      <w:pPr>
        <w:pStyle w:val="paragraph"/>
      </w:pPr>
      <w:r w:rsidRPr="0016350E">
        <w:tab/>
        <w:t>(b)</w:t>
      </w:r>
      <w:r w:rsidRPr="0016350E">
        <w:tab/>
        <w:t>if the Commissioner of Taxation discloses that superannuation information to the official for the purpose of those proceedings—disclose the superannuation information to the following:</w:t>
      </w:r>
    </w:p>
    <w:p w14:paraId="4D5B87B3" w14:textId="77777777" w:rsidR="009841DC" w:rsidRPr="0016350E" w:rsidRDefault="009841DC" w:rsidP="002A23B3">
      <w:pPr>
        <w:pStyle w:val="paragraphsub"/>
      </w:pPr>
      <w:r w:rsidRPr="0016350E">
        <w:tab/>
        <w:t>(i)</w:t>
      </w:r>
      <w:r w:rsidRPr="0016350E">
        <w:tab/>
        <w:t>the person and each lawyer of the person;</w:t>
      </w:r>
    </w:p>
    <w:p w14:paraId="4B71BBEA" w14:textId="77777777" w:rsidR="009841DC" w:rsidRPr="0016350E" w:rsidRDefault="009841DC" w:rsidP="002A23B3">
      <w:pPr>
        <w:pStyle w:val="paragraphsub"/>
      </w:pPr>
      <w:r w:rsidRPr="0016350E">
        <w:lastRenderedPageBreak/>
        <w:tab/>
        <w:t>(ii)</w:t>
      </w:r>
      <w:r w:rsidRPr="0016350E">
        <w:tab/>
        <w:t>the other party and each lawyer of the other party;</w:t>
      </w:r>
    </w:p>
    <w:p w14:paraId="6542CA56" w14:textId="77777777" w:rsidR="009841DC" w:rsidRPr="0016350E" w:rsidRDefault="009841DC" w:rsidP="002A23B3">
      <w:pPr>
        <w:pStyle w:val="paragraph"/>
      </w:pPr>
      <w:r w:rsidRPr="0016350E">
        <w:tab/>
      </w:r>
      <w:r w:rsidRPr="0016350E">
        <w:tab/>
        <w:t>for the person, other party or lawyer to make a record of, or disclose, for the purpose of those proceedings.</w:t>
      </w:r>
    </w:p>
    <w:p w14:paraId="4E592646" w14:textId="77777777" w:rsidR="009841DC" w:rsidRPr="0016350E" w:rsidRDefault="009841DC" w:rsidP="002A23B3">
      <w:pPr>
        <w:pStyle w:val="notetext"/>
      </w:pPr>
      <w:r w:rsidRPr="0016350E">
        <w:t>Note 1:</w:t>
      </w:r>
      <w:r w:rsidRPr="0016350E">
        <w:tab/>
        <w:t>Making a record of, or on</w:t>
      </w:r>
      <w:r w:rsidR="0016350E">
        <w:noBreakHyphen/>
      </w:r>
      <w:r w:rsidRPr="0016350E">
        <w:t>disclosing, that superannuation information may be an offence unless it is for the purpose of those proceedings, see sections 355</w:t>
      </w:r>
      <w:r w:rsidR="0016350E">
        <w:noBreakHyphen/>
      </w:r>
      <w:r w:rsidRPr="0016350E">
        <w:t>155 and 355</w:t>
      </w:r>
      <w:r w:rsidR="0016350E">
        <w:noBreakHyphen/>
      </w:r>
      <w:r w:rsidRPr="0016350E">
        <w:t xml:space="preserve">175 in Schedule 1 to the </w:t>
      </w:r>
      <w:r w:rsidRPr="0016350E">
        <w:rPr>
          <w:i/>
        </w:rPr>
        <w:t>Taxation Administration Act 1953</w:t>
      </w:r>
      <w:r w:rsidRPr="0016350E">
        <w:t>.</w:t>
      </w:r>
    </w:p>
    <w:p w14:paraId="4D1E2DE3" w14:textId="77777777" w:rsidR="009841DC" w:rsidRPr="0016350E" w:rsidRDefault="009841DC" w:rsidP="002A23B3">
      <w:pPr>
        <w:pStyle w:val="notetext"/>
      </w:pPr>
      <w:r w:rsidRPr="0016350E">
        <w:t>Note 2:</w:t>
      </w:r>
      <w:r w:rsidRPr="0016350E">
        <w:tab/>
        <w:t>Disclosing superannuation information for the purpose of those proceedings extends to disclosing the superannuation information to the trustee of an eligible superannuation plan as part of an application under section 90XZB for the purpose of those proceedings.</w:t>
      </w:r>
    </w:p>
    <w:p w14:paraId="19D32ADE" w14:textId="77777777" w:rsidR="009841DC" w:rsidRPr="0016350E" w:rsidRDefault="009841DC" w:rsidP="002A23B3">
      <w:pPr>
        <w:pStyle w:val="SubsectionHead"/>
      </w:pPr>
      <w:r w:rsidRPr="0016350E">
        <w:t>Approved form</w:t>
      </w:r>
    </w:p>
    <w:p w14:paraId="5520527A" w14:textId="77777777" w:rsidR="009841DC" w:rsidRPr="0016350E" w:rsidRDefault="009841DC" w:rsidP="002A23B3">
      <w:pPr>
        <w:pStyle w:val="subsection"/>
      </w:pPr>
      <w:r w:rsidRPr="0016350E">
        <w:tab/>
        <w:t>(3)</w:t>
      </w:r>
      <w:r w:rsidRPr="0016350E">
        <w:tab/>
        <w:t>An application made by a person under subsection (1) is in the approved form if and only if:</w:t>
      </w:r>
    </w:p>
    <w:p w14:paraId="5408E544" w14:textId="77777777" w:rsidR="009841DC" w:rsidRPr="0016350E" w:rsidRDefault="009841DC" w:rsidP="002A23B3">
      <w:pPr>
        <w:pStyle w:val="paragraph"/>
      </w:pPr>
      <w:r w:rsidRPr="0016350E">
        <w:tab/>
        <w:t>(a)</w:t>
      </w:r>
      <w:r w:rsidRPr="0016350E">
        <w:tab/>
        <w:t>for an application to a Senior Registry official of the Federal Circuit and Family Court of Australia—it is:</w:t>
      </w:r>
    </w:p>
    <w:p w14:paraId="74503E76" w14:textId="77777777" w:rsidR="009841DC" w:rsidRPr="0016350E" w:rsidRDefault="009841DC" w:rsidP="002A23B3">
      <w:pPr>
        <w:pStyle w:val="paragraphsub"/>
      </w:pPr>
      <w:r w:rsidRPr="0016350E">
        <w:tab/>
        <w:t>(i)</w:t>
      </w:r>
      <w:r w:rsidRPr="0016350E">
        <w:tab/>
        <w:t>in the form approved in writing by the Chief Executive Officer; and</w:t>
      </w:r>
    </w:p>
    <w:p w14:paraId="45793020" w14:textId="77777777" w:rsidR="009841DC" w:rsidRPr="0016350E" w:rsidRDefault="009841DC" w:rsidP="002A23B3">
      <w:pPr>
        <w:pStyle w:val="paragraphsub"/>
      </w:pPr>
      <w:r w:rsidRPr="0016350E">
        <w:tab/>
        <w:t>(ii)</w:t>
      </w:r>
      <w:r w:rsidRPr="0016350E">
        <w:tab/>
        <w:t>given in the manner required by the Chief Executive Officer (which may include electronically); and</w:t>
      </w:r>
    </w:p>
    <w:p w14:paraId="55380DD2" w14:textId="77777777" w:rsidR="009841DC" w:rsidRPr="0016350E" w:rsidRDefault="009841DC" w:rsidP="002A23B3">
      <w:pPr>
        <w:pStyle w:val="paragraph"/>
      </w:pPr>
      <w:r w:rsidRPr="0016350E">
        <w:tab/>
        <w:t>(b)</w:t>
      </w:r>
      <w:r w:rsidRPr="0016350E">
        <w:tab/>
        <w:t>for an application to a Senior Registry official of the Family Court of Western Australia—it is:</w:t>
      </w:r>
    </w:p>
    <w:p w14:paraId="62771517" w14:textId="77777777" w:rsidR="009841DC" w:rsidRPr="0016350E" w:rsidRDefault="009841DC" w:rsidP="002A23B3">
      <w:pPr>
        <w:pStyle w:val="paragraphsub"/>
      </w:pPr>
      <w:r w:rsidRPr="0016350E">
        <w:tab/>
        <w:t>(i)</w:t>
      </w:r>
      <w:r w:rsidRPr="0016350E">
        <w:tab/>
        <w:t>in the form approved in writing by the official; and</w:t>
      </w:r>
    </w:p>
    <w:p w14:paraId="0D711177" w14:textId="77777777" w:rsidR="009841DC" w:rsidRPr="0016350E" w:rsidRDefault="009841DC" w:rsidP="002A23B3">
      <w:pPr>
        <w:pStyle w:val="paragraphsub"/>
      </w:pPr>
      <w:r w:rsidRPr="0016350E">
        <w:tab/>
        <w:t>(ii)</w:t>
      </w:r>
      <w:r w:rsidRPr="0016350E">
        <w:tab/>
        <w:t>given in the manner required by the official (which may include electronically); and</w:t>
      </w:r>
    </w:p>
    <w:p w14:paraId="45B7AA3E" w14:textId="77777777" w:rsidR="009841DC" w:rsidRPr="0016350E" w:rsidRDefault="009841DC" w:rsidP="002A23B3">
      <w:pPr>
        <w:pStyle w:val="paragraph"/>
      </w:pPr>
      <w:r w:rsidRPr="0016350E">
        <w:tab/>
        <w:t>(c)</w:t>
      </w:r>
      <w:r w:rsidRPr="0016350E">
        <w:tab/>
        <w:t>it contains the information (including any declaration) that the form requires.</w:t>
      </w:r>
    </w:p>
    <w:p w14:paraId="320AE637" w14:textId="77777777" w:rsidR="009841DC" w:rsidRPr="0016350E" w:rsidRDefault="009841DC" w:rsidP="002A23B3">
      <w:pPr>
        <w:pStyle w:val="SubsectionHead"/>
      </w:pPr>
      <w:r w:rsidRPr="0016350E">
        <w:t>Delegation</w:t>
      </w:r>
    </w:p>
    <w:p w14:paraId="672E8FB7" w14:textId="77777777" w:rsidR="009841DC" w:rsidRPr="0016350E" w:rsidRDefault="009841DC" w:rsidP="002A23B3">
      <w:pPr>
        <w:pStyle w:val="subsection"/>
      </w:pPr>
      <w:r w:rsidRPr="0016350E">
        <w:tab/>
        <w:t>(4)</w:t>
      </w:r>
      <w:r w:rsidRPr="0016350E">
        <w:tab/>
        <w:t>The Senior Registry official of the Family Court of Western Australia may, in writing, delegate any of the Senior Registry official’s functions or powers under this section to any other appropriate officer or staff member of that Court.</w:t>
      </w:r>
    </w:p>
    <w:p w14:paraId="004C411E" w14:textId="77777777" w:rsidR="009841DC" w:rsidRPr="0016350E" w:rsidRDefault="009841DC" w:rsidP="002A23B3">
      <w:pPr>
        <w:pStyle w:val="SubsectionHead"/>
      </w:pPr>
      <w:r w:rsidRPr="0016350E">
        <w:t>Definitions</w:t>
      </w:r>
    </w:p>
    <w:p w14:paraId="086AC304" w14:textId="77777777" w:rsidR="009841DC" w:rsidRPr="0016350E" w:rsidRDefault="009841DC" w:rsidP="002A23B3">
      <w:pPr>
        <w:pStyle w:val="subsection"/>
      </w:pPr>
      <w:r w:rsidRPr="0016350E">
        <w:tab/>
        <w:t>(5)</w:t>
      </w:r>
      <w:r w:rsidRPr="0016350E">
        <w:tab/>
        <w:t>In this section:</w:t>
      </w:r>
    </w:p>
    <w:p w14:paraId="02C81CE4" w14:textId="77777777" w:rsidR="009841DC" w:rsidRPr="0016350E" w:rsidRDefault="009841DC" w:rsidP="002A23B3">
      <w:pPr>
        <w:pStyle w:val="Definition"/>
      </w:pPr>
      <w:r w:rsidRPr="0016350E">
        <w:rPr>
          <w:b/>
          <w:i/>
        </w:rPr>
        <w:lastRenderedPageBreak/>
        <w:t>Senior Registry official</w:t>
      </w:r>
      <w:r w:rsidRPr="0016350E">
        <w:t>:</w:t>
      </w:r>
    </w:p>
    <w:p w14:paraId="52090DAA" w14:textId="77777777" w:rsidR="009841DC" w:rsidRPr="0016350E" w:rsidRDefault="009841DC" w:rsidP="002A23B3">
      <w:pPr>
        <w:pStyle w:val="paragraph"/>
      </w:pPr>
      <w:r w:rsidRPr="0016350E">
        <w:tab/>
        <w:t>(a)</w:t>
      </w:r>
      <w:r w:rsidRPr="0016350E">
        <w:tab/>
        <w:t>of the Federal Circuit and Family Court of Australia—means a Registry Manager of that Court; or</w:t>
      </w:r>
    </w:p>
    <w:p w14:paraId="405E2235" w14:textId="77777777" w:rsidR="009841DC" w:rsidRPr="0016350E" w:rsidRDefault="009841DC" w:rsidP="002A23B3">
      <w:pPr>
        <w:pStyle w:val="paragraph"/>
      </w:pPr>
      <w:r w:rsidRPr="0016350E">
        <w:tab/>
        <w:t>(b)</w:t>
      </w:r>
      <w:r w:rsidRPr="0016350E">
        <w:tab/>
        <w:t>of the Family Court of Western Australia—means the Principal Registrar of that Court.</w:t>
      </w:r>
    </w:p>
    <w:p w14:paraId="765320F8" w14:textId="77777777" w:rsidR="009841DC" w:rsidRPr="0016350E" w:rsidRDefault="009841DC" w:rsidP="002A23B3">
      <w:pPr>
        <w:pStyle w:val="Definition"/>
      </w:pPr>
      <w:r w:rsidRPr="0016350E">
        <w:rPr>
          <w:b/>
          <w:i/>
        </w:rPr>
        <w:t>superannuation information</w:t>
      </w:r>
      <w:r w:rsidRPr="0016350E">
        <w:t>, of a person, means information about the following:</w:t>
      </w:r>
    </w:p>
    <w:p w14:paraId="6E24C280" w14:textId="77777777" w:rsidR="009841DC" w:rsidRPr="0016350E" w:rsidRDefault="009841DC" w:rsidP="002A23B3">
      <w:pPr>
        <w:pStyle w:val="paragraph"/>
      </w:pPr>
      <w:r w:rsidRPr="0016350E">
        <w:tab/>
        <w:t>(a)</w:t>
      </w:r>
      <w:r w:rsidRPr="0016350E">
        <w:tab/>
        <w:t>the identity of each superannuation interest (within the meaning of the</w:t>
      </w:r>
      <w:r w:rsidRPr="0016350E">
        <w:rPr>
          <w:i/>
        </w:rPr>
        <w:t xml:space="preserve"> Income Tax Assessment Act 1997</w:t>
      </w:r>
      <w:r w:rsidRPr="0016350E">
        <w:t>) held by the person and the value of that interest most recently reported to the Commissioner of Taxation under a taxation law (within the meaning of that Act);</w:t>
      </w:r>
    </w:p>
    <w:p w14:paraId="1346A4CF" w14:textId="77777777" w:rsidR="009841DC" w:rsidRPr="0016350E" w:rsidRDefault="009841DC" w:rsidP="002A23B3">
      <w:pPr>
        <w:pStyle w:val="paragraph"/>
      </w:pPr>
      <w:r w:rsidRPr="0016350E">
        <w:tab/>
        <w:t>(b)</w:t>
      </w:r>
      <w:r w:rsidRPr="0016350E">
        <w:tab/>
        <w:t xml:space="preserve">the identity and value of any account (within the meaning of the </w:t>
      </w:r>
      <w:r w:rsidRPr="0016350E">
        <w:rPr>
          <w:i/>
        </w:rPr>
        <w:t>Small Superannuation Accounts Act 1995</w:t>
      </w:r>
      <w:r w:rsidRPr="0016350E">
        <w:t>) in the person’s name;</w:t>
      </w:r>
    </w:p>
    <w:p w14:paraId="182D59DD" w14:textId="77777777" w:rsidR="009841DC" w:rsidRPr="0016350E" w:rsidRDefault="009841DC" w:rsidP="002A23B3">
      <w:pPr>
        <w:pStyle w:val="paragraph"/>
      </w:pPr>
      <w:r w:rsidRPr="0016350E">
        <w:tab/>
        <w:t>(c)</w:t>
      </w:r>
      <w:r w:rsidRPr="0016350E">
        <w:tab/>
        <w:t xml:space="preserve">any amounts payable by the Commissioner of Taxation to the person, or for the benefit of the person, under the </w:t>
      </w:r>
      <w:r w:rsidRPr="0016350E">
        <w:rPr>
          <w:i/>
        </w:rPr>
        <w:t>Superannuation (Unclaimed Money and Lost Members) Act 1999</w:t>
      </w:r>
      <w:r w:rsidRPr="0016350E">
        <w:t>;</w:t>
      </w:r>
    </w:p>
    <w:p w14:paraId="1EDD43C3" w14:textId="77777777" w:rsidR="009841DC" w:rsidRPr="0016350E" w:rsidRDefault="009841DC" w:rsidP="002A23B3">
      <w:pPr>
        <w:pStyle w:val="paragraph"/>
      </w:pPr>
      <w:r w:rsidRPr="0016350E">
        <w:tab/>
        <w:t>(d)</w:t>
      </w:r>
      <w:r w:rsidRPr="0016350E">
        <w:tab/>
        <w:t xml:space="preserve">any amounts of a shortfall component (within the meaning of Part 8 of the </w:t>
      </w:r>
      <w:r w:rsidRPr="0016350E">
        <w:rPr>
          <w:i/>
        </w:rPr>
        <w:t>Superannuation Guarantee (Administration) Act 1992</w:t>
      </w:r>
      <w:r w:rsidRPr="0016350E">
        <w:t>) that is payable to the person, or for the benefit of the person, under that Part;</w:t>
      </w:r>
    </w:p>
    <w:p w14:paraId="297D4677" w14:textId="77777777" w:rsidR="009841DC" w:rsidRPr="0016350E" w:rsidRDefault="009841DC" w:rsidP="002A23B3">
      <w:pPr>
        <w:pStyle w:val="paragraph"/>
      </w:pPr>
      <w:r w:rsidRPr="0016350E">
        <w:tab/>
        <w:t>(e)</w:t>
      </w:r>
      <w:r w:rsidRPr="0016350E">
        <w:tab/>
        <w:t xml:space="preserve">any amounts payable by the Commissioner of Taxation to the person, or for the benefit of the person, under the </w:t>
      </w:r>
      <w:r w:rsidRPr="0016350E">
        <w:rPr>
          <w:i/>
        </w:rPr>
        <w:t>Superannuation (Government Co</w:t>
      </w:r>
      <w:r w:rsidR="0016350E">
        <w:rPr>
          <w:i/>
        </w:rPr>
        <w:noBreakHyphen/>
      </w:r>
      <w:r w:rsidRPr="0016350E">
        <w:rPr>
          <w:i/>
        </w:rPr>
        <w:t>contribution for Low Income Earners) Act 2003</w:t>
      </w:r>
      <w:r w:rsidRPr="0016350E">
        <w:t>.</w:t>
      </w:r>
    </w:p>
    <w:p w14:paraId="460506AA" w14:textId="77777777" w:rsidR="009841DC" w:rsidRPr="0016350E" w:rsidRDefault="009841DC" w:rsidP="002A23B3">
      <w:pPr>
        <w:pStyle w:val="notetext"/>
      </w:pPr>
      <w:r w:rsidRPr="0016350E">
        <w:t>Note:</w:t>
      </w:r>
      <w:r w:rsidRPr="0016350E">
        <w:tab/>
        <w:t xml:space="preserve">Paragraphs (c) to (e) of the definition of </w:t>
      </w:r>
      <w:r w:rsidRPr="0016350E">
        <w:rPr>
          <w:b/>
          <w:i/>
        </w:rPr>
        <w:t>superannuation information</w:t>
      </w:r>
      <w:r w:rsidRPr="0016350E">
        <w:t xml:space="preserve"> cover amounts that are payable, but have not been paid, at the time a request for superannuation information is considered by the Commissioner of Taxation.</w:t>
      </w:r>
    </w:p>
    <w:p w14:paraId="49DD93E1" w14:textId="77777777" w:rsidR="009841DC" w:rsidRPr="0016350E" w:rsidRDefault="009841DC" w:rsidP="002A23B3">
      <w:pPr>
        <w:pStyle w:val="ActHead9"/>
        <w:rPr>
          <w:i w:val="0"/>
        </w:rPr>
      </w:pPr>
      <w:bookmarkStart w:id="32" w:name="_Toc82775863"/>
      <w:r w:rsidRPr="0016350E">
        <w:t>Taxation Administration Act 1953</w:t>
      </w:r>
      <w:bookmarkEnd w:id="32"/>
    </w:p>
    <w:p w14:paraId="547EFCB3" w14:textId="77777777" w:rsidR="009841DC" w:rsidRPr="0016350E" w:rsidRDefault="002A23B3" w:rsidP="002A23B3">
      <w:pPr>
        <w:pStyle w:val="ItemHead"/>
      </w:pPr>
      <w:r w:rsidRPr="0016350E">
        <w:t>2</w:t>
      </w:r>
      <w:r w:rsidR="009841DC" w:rsidRPr="0016350E">
        <w:t xml:space="preserve">  Subsection 355</w:t>
      </w:r>
      <w:r w:rsidR="0016350E">
        <w:noBreakHyphen/>
      </w:r>
      <w:r w:rsidR="009841DC" w:rsidRPr="0016350E">
        <w:t>65(3) in Schedule 1 (after table item 8)</w:t>
      </w:r>
    </w:p>
    <w:p w14:paraId="26B13054" w14:textId="77777777" w:rsidR="009841DC" w:rsidRPr="0016350E" w:rsidRDefault="009841DC" w:rsidP="002A23B3">
      <w:pPr>
        <w:pStyle w:val="Item"/>
      </w:pPr>
      <w:r w:rsidRPr="0016350E">
        <w:t>Insert:</w:t>
      </w:r>
    </w:p>
    <w:p w14:paraId="7697BD0F" w14:textId="77777777" w:rsidR="009841DC" w:rsidRPr="0016350E" w:rsidRDefault="009841DC" w:rsidP="002A23B3">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9841DC" w:rsidRPr="0016350E" w14:paraId="18BAB499" w14:textId="77777777" w:rsidTr="00CC200F">
        <w:tc>
          <w:tcPr>
            <w:tcW w:w="714" w:type="dxa"/>
            <w:shd w:val="clear" w:color="auto" w:fill="auto"/>
          </w:tcPr>
          <w:p w14:paraId="363CF1A5" w14:textId="77777777" w:rsidR="009841DC" w:rsidRPr="0016350E" w:rsidRDefault="009841DC" w:rsidP="002A23B3">
            <w:pPr>
              <w:pStyle w:val="Tabletext"/>
            </w:pPr>
            <w:r w:rsidRPr="0016350E">
              <w:lastRenderedPageBreak/>
              <w:t>8A</w:t>
            </w:r>
          </w:p>
        </w:tc>
        <w:tc>
          <w:tcPr>
            <w:tcW w:w="2910" w:type="dxa"/>
            <w:shd w:val="clear" w:color="auto" w:fill="auto"/>
          </w:tcPr>
          <w:p w14:paraId="5B0F10E5" w14:textId="77777777" w:rsidR="009841DC" w:rsidRPr="0016350E" w:rsidRDefault="009841DC" w:rsidP="002A23B3">
            <w:pPr>
              <w:pStyle w:val="Tabletext"/>
            </w:pPr>
            <w:r w:rsidRPr="0016350E">
              <w:t xml:space="preserve">a Senior Registry official (within the meaning of section 90XZJ of the </w:t>
            </w:r>
            <w:r w:rsidRPr="0016350E">
              <w:rPr>
                <w:i/>
              </w:rPr>
              <w:t>Family Law Act 1975</w:t>
            </w:r>
            <w:r w:rsidRPr="0016350E">
              <w:t>) of a court in response to that official’s request under that section</w:t>
            </w:r>
          </w:p>
        </w:tc>
        <w:tc>
          <w:tcPr>
            <w:tcW w:w="3462" w:type="dxa"/>
            <w:shd w:val="clear" w:color="auto" w:fill="auto"/>
          </w:tcPr>
          <w:p w14:paraId="6C0805BE" w14:textId="77777777" w:rsidR="009841DC" w:rsidRPr="0016350E" w:rsidRDefault="009841DC" w:rsidP="002A23B3">
            <w:pPr>
              <w:pStyle w:val="Tablea"/>
            </w:pPr>
            <w:r w:rsidRPr="0016350E">
              <w:t>(a) is of superannuation information (within the meaning of that section); and</w:t>
            </w:r>
          </w:p>
          <w:p w14:paraId="0AD14117" w14:textId="77777777" w:rsidR="009841DC" w:rsidRPr="0016350E" w:rsidRDefault="009841DC" w:rsidP="002A23B3">
            <w:pPr>
              <w:pStyle w:val="Tablea"/>
            </w:pPr>
            <w:r w:rsidRPr="0016350E">
              <w:t>(b) is for the purpose of property settlement proceedings (within the meaning of that Act).</w:t>
            </w:r>
          </w:p>
        </w:tc>
      </w:tr>
    </w:tbl>
    <w:p w14:paraId="4DAF0F9F" w14:textId="77777777" w:rsidR="009841DC" w:rsidRPr="0016350E" w:rsidRDefault="002A23B3" w:rsidP="002A23B3">
      <w:pPr>
        <w:pStyle w:val="Transitional"/>
      </w:pPr>
      <w:r w:rsidRPr="0016350E">
        <w:t>3</w:t>
      </w:r>
      <w:r w:rsidR="009841DC" w:rsidRPr="0016350E">
        <w:t xml:space="preserve">  Application of amendments</w:t>
      </w:r>
    </w:p>
    <w:p w14:paraId="4FF72FE3" w14:textId="77777777" w:rsidR="009841DC" w:rsidRPr="0016350E" w:rsidRDefault="009841DC" w:rsidP="002A23B3">
      <w:pPr>
        <w:pStyle w:val="Subitem"/>
      </w:pPr>
      <w:r w:rsidRPr="0016350E">
        <w:t>(1)</w:t>
      </w:r>
      <w:r w:rsidRPr="0016350E">
        <w:tab/>
        <w:t xml:space="preserve">The amendment of the </w:t>
      </w:r>
      <w:r w:rsidRPr="0016350E">
        <w:rPr>
          <w:i/>
        </w:rPr>
        <w:t>Family Law Act 1975</w:t>
      </w:r>
      <w:r w:rsidRPr="0016350E">
        <w:t xml:space="preserve"> made by this Part applies in relation to:</w:t>
      </w:r>
    </w:p>
    <w:p w14:paraId="58F4EB3C" w14:textId="77777777" w:rsidR="009841DC" w:rsidRPr="0016350E" w:rsidRDefault="009841DC" w:rsidP="002A23B3">
      <w:pPr>
        <w:pStyle w:val="paragraph"/>
      </w:pPr>
      <w:r w:rsidRPr="0016350E">
        <w:tab/>
        <w:t>(a)</w:t>
      </w:r>
      <w:r w:rsidRPr="0016350E">
        <w:tab/>
        <w:t>property settlement proceedings that are in the Federal Circuit and Family Court of Australia at or after the commencement of this Part; or</w:t>
      </w:r>
    </w:p>
    <w:p w14:paraId="46F1397C" w14:textId="77777777" w:rsidR="009841DC" w:rsidRPr="0016350E" w:rsidRDefault="009841DC" w:rsidP="002A23B3">
      <w:pPr>
        <w:pStyle w:val="paragraph"/>
      </w:pPr>
      <w:r w:rsidRPr="0016350E">
        <w:tab/>
        <w:t>(b)</w:t>
      </w:r>
      <w:r w:rsidRPr="0016350E">
        <w:tab/>
        <w:t>property settlement proceedings, in relation to the parties to a marriage, that are in the Family Court of Western Australia at or after the commencement of this Part;</w:t>
      </w:r>
    </w:p>
    <w:p w14:paraId="2F3717F9" w14:textId="77777777" w:rsidR="009841DC" w:rsidRPr="0016350E" w:rsidRDefault="009841DC" w:rsidP="002A23B3">
      <w:pPr>
        <w:pStyle w:val="Item"/>
      </w:pPr>
      <w:r w:rsidRPr="0016350E">
        <w:t>whether the proceedings commenced before, at or after the commencement of this Part.</w:t>
      </w:r>
    </w:p>
    <w:p w14:paraId="6F9F81B2" w14:textId="77777777" w:rsidR="009841DC" w:rsidRPr="0016350E" w:rsidRDefault="009841DC" w:rsidP="002A23B3">
      <w:pPr>
        <w:pStyle w:val="Subitem"/>
        <w:rPr>
          <w:color w:val="000000"/>
          <w:szCs w:val="22"/>
          <w:shd w:val="clear" w:color="auto" w:fill="FFFFFF"/>
        </w:rPr>
      </w:pPr>
      <w:r w:rsidRPr="0016350E">
        <w:t>(2)</w:t>
      </w:r>
      <w:r w:rsidRPr="0016350E">
        <w:tab/>
        <w:t xml:space="preserve">The amendment of the </w:t>
      </w:r>
      <w:r w:rsidRPr="0016350E">
        <w:rPr>
          <w:i/>
        </w:rPr>
        <w:t>Taxation Administration Act 1953</w:t>
      </w:r>
      <w:r w:rsidRPr="0016350E">
        <w:t xml:space="preserve"> made by this Part applies in relation to </w:t>
      </w:r>
      <w:r w:rsidRPr="0016350E">
        <w:rPr>
          <w:color w:val="000000"/>
          <w:szCs w:val="22"/>
          <w:shd w:val="clear" w:color="auto" w:fill="FFFFFF"/>
        </w:rPr>
        <w:t>records or disclosures of information made at or after the commencement of this Part, whether the information was obtained before, at or after the commencement of this Part.</w:t>
      </w:r>
    </w:p>
    <w:p w14:paraId="553F8C7D" w14:textId="77777777" w:rsidR="009841DC" w:rsidRPr="0016350E" w:rsidRDefault="009841DC" w:rsidP="002A23B3">
      <w:pPr>
        <w:pStyle w:val="ActHead7"/>
        <w:pageBreakBefore/>
      </w:pPr>
      <w:bookmarkStart w:id="33" w:name="_Toc82775864"/>
      <w:r w:rsidRPr="001A453F">
        <w:rPr>
          <w:rStyle w:val="CharAmPartNo"/>
        </w:rPr>
        <w:lastRenderedPageBreak/>
        <w:t>Part 2</w:t>
      </w:r>
      <w:r w:rsidRPr="0016350E">
        <w:t>—</w:t>
      </w:r>
      <w:r w:rsidRPr="001A453F">
        <w:rPr>
          <w:rStyle w:val="CharAmPartText"/>
        </w:rPr>
        <w:t>Other amendments</w:t>
      </w:r>
      <w:bookmarkEnd w:id="33"/>
    </w:p>
    <w:p w14:paraId="01FD76F3" w14:textId="77777777" w:rsidR="009841DC" w:rsidRPr="0016350E" w:rsidRDefault="009841DC" w:rsidP="002A23B3">
      <w:pPr>
        <w:pStyle w:val="ActHead9"/>
        <w:rPr>
          <w:i w:val="0"/>
        </w:rPr>
      </w:pPr>
      <w:bookmarkStart w:id="34" w:name="_Toc82775865"/>
      <w:r w:rsidRPr="0016350E">
        <w:t>Family Law Act 1975</w:t>
      </w:r>
      <w:bookmarkEnd w:id="34"/>
    </w:p>
    <w:p w14:paraId="73C8EC17" w14:textId="77777777" w:rsidR="009841DC" w:rsidRPr="0016350E" w:rsidRDefault="002A23B3" w:rsidP="002A23B3">
      <w:pPr>
        <w:pStyle w:val="ItemHead"/>
      </w:pPr>
      <w:r w:rsidRPr="0016350E">
        <w:t>4</w:t>
      </w:r>
      <w:r w:rsidR="009841DC" w:rsidRPr="0016350E">
        <w:t xml:space="preserve">  At the end of Division 5 of Part VIIIC</w:t>
      </w:r>
    </w:p>
    <w:p w14:paraId="7E1627D0" w14:textId="77777777" w:rsidR="009841DC" w:rsidRPr="0016350E" w:rsidRDefault="009841DC" w:rsidP="002A23B3">
      <w:pPr>
        <w:pStyle w:val="Item"/>
      </w:pPr>
      <w:r w:rsidRPr="0016350E">
        <w:t>Add:</w:t>
      </w:r>
    </w:p>
    <w:p w14:paraId="33025844" w14:textId="77777777" w:rsidR="009841DC" w:rsidRPr="0016350E" w:rsidRDefault="009841DC" w:rsidP="002A23B3">
      <w:pPr>
        <w:pStyle w:val="ActHead5"/>
      </w:pPr>
      <w:bookmarkStart w:id="35" w:name="_Toc82775866"/>
      <w:r w:rsidRPr="001A453F">
        <w:rPr>
          <w:rStyle w:val="CharSectno"/>
        </w:rPr>
        <w:t>90YZY</w:t>
      </w:r>
      <w:r w:rsidRPr="0016350E">
        <w:t xml:space="preserve">  Requests for Commissioner of Taxation to provide superannuation information</w:t>
      </w:r>
      <w:bookmarkEnd w:id="35"/>
    </w:p>
    <w:p w14:paraId="7C00EC5C" w14:textId="77777777" w:rsidR="009841DC" w:rsidRPr="0016350E" w:rsidRDefault="009841DC" w:rsidP="002A23B3">
      <w:pPr>
        <w:pStyle w:val="SubsectionHead"/>
      </w:pPr>
      <w:r w:rsidRPr="0016350E">
        <w:t>Application for superannuation information</w:t>
      </w:r>
    </w:p>
    <w:p w14:paraId="4A788673" w14:textId="77777777" w:rsidR="009841DC" w:rsidRPr="0016350E" w:rsidRDefault="009841DC" w:rsidP="002A23B3">
      <w:pPr>
        <w:pStyle w:val="subsection"/>
      </w:pPr>
      <w:r w:rsidRPr="0016350E">
        <w:tab/>
        <w:t>(1)</w:t>
      </w:r>
      <w:r w:rsidRPr="0016350E">
        <w:tab/>
        <w:t xml:space="preserve">A person who is a party to either of the following proceedings in the Family Court of Western Australia, in relation to the person’s de facto relationship with another person (the </w:t>
      </w:r>
      <w:r w:rsidRPr="0016350E">
        <w:rPr>
          <w:b/>
          <w:i/>
        </w:rPr>
        <w:t>other party</w:t>
      </w:r>
      <w:r w:rsidRPr="0016350E">
        <w:t>):</w:t>
      </w:r>
    </w:p>
    <w:p w14:paraId="0CCABB87" w14:textId="77777777" w:rsidR="009841DC" w:rsidRPr="0016350E" w:rsidRDefault="009841DC" w:rsidP="002A23B3">
      <w:pPr>
        <w:pStyle w:val="paragraph"/>
      </w:pPr>
      <w:r w:rsidRPr="0016350E">
        <w:tab/>
        <w:t>(a)</w:t>
      </w:r>
      <w:r w:rsidRPr="0016350E">
        <w:tab/>
        <w:t>proceedings in relation to matters arising under this Part;</w:t>
      </w:r>
    </w:p>
    <w:p w14:paraId="5888E409" w14:textId="77777777" w:rsidR="009841DC" w:rsidRPr="0016350E" w:rsidRDefault="009841DC" w:rsidP="002A23B3">
      <w:pPr>
        <w:pStyle w:val="paragraph"/>
      </w:pPr>
      <w:r w:rsidRPr="0016350E">
        <w:tab/>
        <w:t>(b)</w:t>
      </w:r>
      <w:r w:rsidRPr="0016350E">
        <w:tab/>
        <w:t xml:space="preserve">proceedings under the </w:t>
      </w:r>
      <w:r w:rsidRPr="0016350E">
        <w:rPr>
          <w:i/>
        </w:rPr>
        <w:t>Family Court Act 1997</w:t>
      </w:r>
      <w:r w:rsidRPr="0016350E">
        <w:t xml:space="preserve"> (WA) with respect to the property of the parties to the de facto relationship or either of them, if the person is considering bringing, or is a party to, related proceedings in relation to matters arising under this Part;</w:t>
      </w:r>
    </w:p>
    <w:p w14:paraId="16A11DBD" w14:textId="77777777" w:rsidR="009841DC" w:rsidRPr="0016350E" w:rsidRDefault="009841DC" w:rsidP="002A23B3">
      <w:pPr>
        <w:pStyle w:val="subsection2"/>
      </w:pPr>
      <w:r w:rsidRPr="0016350E">
        <w:t>may apply, in the approved form, to the Principal Registrar of that Court for the Principal Registrar to request the superannuation information of that other party.</w:t>
      </w:r>
    </w:p>
    <w:p w14:paraId="3DFEA7CA" w14:textId="77777777" w:rsidR="009841DC" w:rsidRPr="0016350E" w:rsidRDefault="009841DC" w:rsidP="002A23B3">
      <w:pPr>
        <w:pStyle w:val="SubsectionHead"/>
      </w:pPr>
      <w:r w:rsidRPr="0016350E">
        <w:t>Request for superannuation information</w:t>
      </w:r>
    </w:p>
    <w:p w14:paraId="6D77B8D6" w14:textId="77777777" w:rsidR="009841DC" w:rsidRPr="0016350E" w:rsidRDefault="009841DC" w:rsidP="002A23B3">
      <w:pPr>
        <w:pStyle w:val="subsection"/>
      </w:pPr>
      <w:r w:rsidRPr="0016350E">
        <w:tab/>
        <w:t>(2)</w:t>
      </w:r>
      <w:r w:rsidRPr="0016350E">
        <w:tab/>
        <w:t>If the Principal Registrar of that Court receives an application from a person under subsection (1) for the superannuation information of the other party, the Principal Registrar may:</w:t>
      </w:r>
    </w:p>
    <w:p w14:paraId="24FADC62" w14:textId="77777777" w:rsidR="009841DC" w:rsidRPr="0016350E" w:rsidRDefault="009841DC" w:rsidP="002A23B3">
      <w:pPr>
        <w:pStyle w:val="paragraph"/>
      </w:pPr>
      <w:r w:rsidRPr="0016350E">
        <w:tab/>
        <w:t>(a)</w:t>
      </w:r>
      <w:r w:rsidRPr="0016350E">
        <w:tab/>
        <w:t xml:space="preserve">request the Commissioner of Taxation to disclose that superannuation information for the purpose of all of the following proceedings (the </w:t>
      </w:r>
      <w:r w:rsidRPr="0016350E">
        <w:rPr>
          <w:b/>
          <w:i/>
        </w:rPr>
        <w:t>relevant proceedings</w:t>
      </w:r>
      <w:r w:rsidRPr="0016350E">
        <w:t>) in relation to the person’s de facto relationship with the other party:</w:t>
      </w:r>
    </w:p>
    <w:p w14:paraId="46E57225" w14:textId="77777777" w:rsidR="009841DC" w:rsidRPr="0016350E" w:rsidRDefault="009841DC" w:rsidP="002A23B3">
      <w:pPr>
        <w:pStyle w:val="paragraphsub"/>
      </w:pPr>
      <w:r w:rsidRPr="0016350E">
        <w:tab/>
        <w:t>(i)</w:t>
      </w:r>
      <w:r w:rsidRPr="0016350E">
        <w:tab/>
        <w:t>any proceedings in relation to matters arising under this Part;</w:t>
      </w:r>
    </w:p>
    <w:p w14:paraId="6B58C769" w14:textId="77777777" w:rsidR="009841DC" w:rsidRPr="0016350E" w:rsidRDefault="009841DC" w:rsidP="002A23B3">
      <w:pPr>
        <w:pStyle w:val="paragraphsub"/>
      </w:pPr>
      <w:r w:rsidRPr="0016350E">
        <w:tab/>
        <w:t>(ii)</w:t>
      </w:r>
      <w:r w:rsidRPr="0016350E">
        <w:tab/>
        <w:t xml:space="preserve">any proceedings under the </w:t>
      </w:r>
      <w:r w:rsidRPr="0016350E">
        <w:rPr>
          <w:i/>
        </w:rPr>
        <w:t>Family Court Act 1997</w:t>
      </w:r>
      <w:r w:rsidRPr="0016350E">
        <w:t xml:space="preserve"> (WA) with respect to the property of the parties to the de facto relationship or either of them, if the person is </w:t>
      </w:r>
      <w:r w:rsidRPr="0016350E">
        <w:lastRenderedPageBreak/>
        <w:t>considering bringing, or is a party to, related proceedings in relation to matters arising under this Part; and</w:t>
      </w:r>
    </w:p>
    <w:p w14:paraId="47E6FC68" w14:textId="77777777" w:rsidR="009841DC" w:rsidRPr="0016350E" w:rsidRDefault="009841DC" w:rsidP="002A23B3">
      <w:pPr>
        <w:pStyle w:val="paragraph"/>
      </w:pPr>
      <w:r w:rsidRPr="0016350E">
        <w:tab/>
        <w:t>(b)</w:t>
      </w:r>
      <w:r w:rsidRPr="0016350E">
        <w:tab/>
        <w:t>if the Commissioner of Taxation discloses that superannuation information to the Principal Registrar for the purpose of the relevant proceedings—disclose the superannuation information to the following:</w:t>
      </w:r>
    </w:p>
    <w:p w14:paraId="036E05F7" w14:textId="77777777" w:rsidR="009841DC" w:rsidRPr="0016350E" w:rsidRDefault="009841DC" w:rsidP="002A23B3">
      <w:pPr>
        <w:pStyle w:val="paragraphsub"/>
      </w:pPr>
      <w:r w:rsidRPr="0016350E">
        <w:tab/>
        <w:t>(i)</w:t>
      </w:r>
      <w:r w:rsidRPr="0016350E">
        <w:tab/>
        <w:t>the person and each lawyer of the person;</w:t>
      </w:r>
    </w:p>
    <w:p w14:paraId="2EE78297" w14:textId="77777777" w:rsidR="009841DC" w:rsidRPr="0016350E" w:rsidRDefault="009841DC" w:rsidP="002A23B3">
      <w:pPr>
        <w:pStyle w:val="paragraphsub"/>
      </w:pPr>
      <w:r w:rsidRPr="0016350E">
        <w:tab/>
        <w:t>(ii)</w:t>
      </w:r>
      <w:r w:rsidRPr="0016350E">
        <w:tab/>
        <w:t>the other party and each lawyer of the other party;</w:t>
      </w:r>
    </w:p>
    <w:p w14:paraId="028994A1" w14:textId="77777777" w:rsidR="009841DC" w:rsidRPr="0016350E" w:rsidRDefault="009841DC" w:rsidP="002A23B3">
      <w:pPr>
        <w:pStyle w:val="paragraph"/>
      </w:pPr>
      <w:r w:rsidRPr="0016350E">
        <w:tab/>
      </w:r>
      <w:r w:rsidRPr="0016350E">
        <w:tab/>
        <w:t>for the person, other party or lawyer to make a record of, or disclose, for the purpose of the relevant proceedings.</w:t>
      </w:r>
    </w:p>
    <w:p w14:paraId="731799AF" w14:textId="77777777" w:rsidR="009841DC" w:rsidRPr="0016350E" w:rsidRDefault="009841DC" w:rsidP="002A23B3">
      <w:pPr>
        <w:pStyle w:val="notetext"/>
      </w:pPr>
      <w:r w:rsidRPr="0016350E">
        <w:t>Note 1:</w:t>
      </w:r>
      <w:r w:rsidRPr="0016350E">
        <w:tab/>
        <w:t>Making a record of, or on</w:t>
      </w:r>
      <w:r w:rsidR="0016350E">
        <w:noBreakHyphen/>
      </w:r>
      <w:r w:rsidRPr="0016350E">
        <w:t>disclosing, that superannuation information may be an offence unless it is for the purpose of the relevant proceedings, see sections 355</w:t>
      </w:r>
      <w:r w:rsidR="0016350E">
        <w:noBreakHyphen/>
      </w:r>
      <w:r w:rsidRPr="0016350E">
        <w:t>155 and 355</w:t>
      </w:r>
      <w:r w:rsidR="0016350E">
        <w:noBreakHyphen/>
      </w:r>
      <w:r w:rsidRPr="0016350E">
        <w:t xml:space="preserve">175 in Schedule 1 to the </w:t>
      </w:r>
      <w:r w:rsidRPr="0016350E">
        <w:rPr>
          <w:i/>
        </w:rPr>
        <w:t>Taxation Administration Act 1953</w:t>
      </w:r>
      <w:r w:rsidRPr="0016350E">
        <w:t>.</w:t>
      </w:r>
    </w:p>
    <w:p w14:paraId="6B6FCD6E" w14:textId="77777777" w:rsidR="009841DC" w:rsidRPr="0016350E" w:rsidRDefault="009841DC" w:rsidP="002A23B3">
      <w:pPr>
        <w:pStyle w:val="notetext"/>
      </w:pPr>
      <w:r w:rsidRPr="0016350E">
        <w:t>Note 2:</w:t>
      </w:r>
      <w:r w:rsidRPr="0016350E">
        <w:tab/>
        <w:t>Disclosing superannuation information for the purpose of proceedings relating to matters arising under this Part extends to disclosing the superannuation information to the trustee of an eligible superannuation plan as part of an application under section 90YZR for the purpose of those proceedings.</w:t>
      </w:r>
    </w:p>
    <w:p w14:paraId="3B28D34C" w14:textId="77777777" w:rsidR="009841DC" w:rsidRPr="0016350E" w:rsidRDefault="009841DC" w:rsidP="002A23B3">
      <w:pPr>
        <w:pStyle w:val="SubsectionHead"/>
      </w:pPr>
      <w:r w:rsidRPr="0016350E">
        <w:t>Approved form</w:t>
      </w:r>
    </w:p>
    <w:p w14:paraId="283ED876" w14:textId="77777777" w:rsidR="009841DC" w:rsidRPr="0016350E" w:rsidRDefault="009841DC" w:rsidP="002A23B3">
      <w:pPr>
        <w:pStyle w:val="subsection"/>
      </w:pPr>
      <w:r w:rsidRPr="0016350E">
        <w:tab/>
        <w:t>(3)</w:t>
      </w:r>
      <w:r w:rsidRPr="0016350E">
        <w:tab/>
        <w:t>An application made by a person under subsection (1) is in the approved form if and only if:</w:t>
      </w:r>
    </w:p>
    <w:p w14:paraId="0E02F625" w14:textId="77777777" w:rsidR="009841DC" w:rsidRPr="0016350E" w:rsidRDefault="009841DC" w:rsidP="002A23B3">
      <w:pPr>
        <w:pStyle w:val="paragraph"/>
      </w:pPr>
      <w:r w:rsidRPr="0016350E">
        <w:tab/>
        <w:t>(a)</w:t>
      </w:r>
      <w:r w:rsidRPr="0016350E">
        <w:tab/>
        <w:t>it is in the form approved for the purposes of subparagraph 90XZJ(3)(b)(i); and</w:t>
      </w:r>
    </w:p>
    <w:p w14:paraId="22A9A3AA" w14:textId="77777777" w:rsidR="009841DC" w:rsidRPr="0016350E" w:rsidRDefault="009841DC" w:rsidP="002A23B3">
      <w:pPr>
        <w:pStyle w:val="paragraph"/>
      </w:pPr>
      <w:r w:rsidRPr="0016350E">
        <w:tab/>
        <w:t>(b)</w:t>
      </w:r>
      <w:r w:rsidRPr="0016350E">
        <w:tab/>
        <w:t>it contains the information (including any declaration) that the form requires; and</w:t>
      </w:r>
    </w:p>
    <w:p w14:paraId="60F86967" w14:textId="77777777" w:rsidR="009841DC" w:rsidRPr="0016350E" w:rsidRDefault="009841DC" w:rsidP="002A23B3">
      <w:pPr>
        <w:pStyle w:val="paragraph"/>
      </w:pPr>
      <w:r w:rsidRPr="0016350E">
        <w:tab/>
        <w:t>(c)</w:t>
      </w:r>
      <w:r w:rsidRPr="0016350E">
        <w:tab/>
        <w:t>it is given in the manner required for the purposes of subparagraph 90XZJ(3)(b)(ii) (which may include electronically).</w:t>
      </w:r>
    </w:p>
    <w:p w14:paraId="34F07A8C" w14:textId="77777777" w:rsidR="009841DC" w:rsidRPr="0016350E" w:rsidRDefault="009841DC" w:rsidP="002A23B3">
      <w:pPr>
        <w:pStyle w:val="SubsectionHead"/>
      </w:pPr>
      <w:r w:rsidRPr="0016350E">
        <w:t>Delegation</w:t>
      </w:r>
    </w:p>
    <w:p w14:paraId="089A1671" w14:textId="77777777" w:rsidR="009841DC" w:rsidRPr="0016350E" w:rsidRDefault="009841DC" w:rsidP="002A23B3">
      <w:pPr>
        <w:pStyle w:val="subsection"/>
      </w:pPr>
      <w:r w:rsidRPr="0016350E">
        <w:tab/>
        <w:t>(4)</w:t>
      </w:r>
      <w:r w:rsidRPr="0016350E">
        <w:tab/>
        <w:t>The Principal Registrar of the Family Court of Western Australia may, in writing, delegate any of the Principal Registrar’s functions or powers under this section to any other appropriate officer or staff member of that Court.</w:t>
      </w:r>
    </w:p>
    <w:p w14:paraId="1A5BAEC4" w14:textId="77777777" w:rsidR="009841DC" w:rsidRPr="0016350E" w:rsidRDefault="009841DC" w:rsidP="002A23B3">
      <w:pPr>
        <w:pStyle w:val="SubsectionHead"/>
      </w:pPr>
      <w:r w:rsidRPr="0016350E">
        <w:lastRenderedPageBreak/>
        <w:t>Definitions</w:t>
      </w:r>
    </w:p>
    <w:p w14:paraId="4A4C5425" w14:textId="77777777" w:rsidR="009841DC" w:rsidRPr="0016350E" w:rsidRDefault="009841DC" w:rsidP="002A23B3">
      <w:pPr>
        <w:pStyle w:val="subsection"/>
      </w:pPr>
      <w:r w:rsidRPr="0016350E">
        <w:tab/>
        <w:t>(5)</w:t>
      </w:r>
      <w:r w:rsidRPr="0016350E">
        <w:tab/>
        <w:t>In this section:</w:t>
      </w:r>
    </w:p>
    <w:p w14:paraId="6D44D918" w14:textId="77777777" w:rsidR="009841DC" w:rsidRPr="0016350E" w:rsidRDefault="009841DC" w:rsidP="002A23B3">
      <w:pPr>
        <w:pStyle w:val="Definition"/>
      </w:pPr>
      <w:r w:rsidRPr="0016350E">
        <w:rPr>
          <w:b/>
          <w:i/>
        </w:rPr>
        <w:t>relevant proceedings</w:t>
      </w:r>
      <w:r w:rsidRPr="0016350E">
        <w:t xml:space="preserve"> has the meaning given by paragraph (2)(a).</w:t>
      </w:r>
    </w:p>
    <w:p w14:paraId="05495CC4" w14:textId="77777777" w:rsidR="009841DC" w:rsidRPr="0016350E" w:rsidRDefault="009841DC" w:rsidP="002A23B3">
      <w:pPr>
        <w:pStyle w:val="Definition"/>
      </w:pPr>
      <w:r w:rsidRPr="0016350E">
        <w:rPr>
          <w:b/>
          <w:i/>
        </w:rPr>
        <w:t>superannuation information</w:t>
      </w:r>
      <w:r w:rsidRPr="0016350E">
        <w:t xml:space="preserve"> has the same meaning as in subsection 90XZJ(5).</w:t>
      </w:r>
    </w:p>
    <w:p w14:paraId="6A78862B" w14:textId="77777777" w:rsidR="009841DC" w:rsidRPr="0016350E" w:rsidRDefault="009841DC" w:rsidP="002A23B3">
      <w:pPr>
        <w:pStyle w:val="ActHead9"/>
        <w:rPr>
          <w:i w:val="0"/>
        </w:rPr>
      </w:pPr>
      <w:bookmarkStart w:id="36" w:name="_Toc82775867"/>
      <w:r w:rsidRPr="0016350E">
        <w:t>Taxation Administration Act 1953</w:t>
      </w:r>
      <w:bookmarkEnd w:id="36"/>
    </w:p>
    <w:p w14:paraId="2CC01DF4" w14:textId="77777777" w:rsidR="009841DC" w:rsidRPr="0016350E" w:rsidRDefault="002A23B3" w:rsidP="002A23B3">
      <w:pPr>
        <w:pStyle w:val="ItemHead"/>
      </w:pPr>
      <w:r w:rsidRPr="0016350E">
        <w:t>5</w:t>
      </w:r>
      <w:r w:rsidR="009841DC" w:rsidRPr="0016350E">
        <w:t xml:space="preserve">  Subsection 355</w:t>
      </w:r>
      <w:r w:rsidR="0016350E">
        <w:noBreakHyphen/>
      </w:r>
      <w:r w:rsidR="009841DC" w:rsidRPr="0016350E">
        <w:t>65(3) in Schedule 1 (after table item 8A)</w:t>
      </w:r>
    </w:p>
    <w:p w14:paraId="6149D68E" w14:textId="77777777" w:rsidR="009841DC" w:rsidRPr="0016350E" w:rsidRDefault="009841DC" w:rsidP="002A23B3">
      <w:pPr>
        <w:pStyle w:val="Item"/>
      </w:pPr>
      <w:r w:rsidRPr="0016350E">
        <w:t>Insert:</w:t>
      </w:r>
    </w:p>
    <w:p w14:paraId="68B8F946" w14:textId="77777777" w:rsidR="009841DC" w:rsidRPr="0016350E" w:rsidRDefault="009841DC" w:rsidP="002A23B3">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9841DC" w:rsidRPr="0016350E" w14:paraId="2F7FE382" w14:textId="77777777" w:rsidTr="00CC200F">
        <w:tc>
          <w:tcPr>
            <w:tcW w:w="714" w:type="dxa"/>
            <w:shd w:val="clear" w:color="auto" w:fill="auto"/>
          </w:tcPr>
          <w:p w14:paraId="1B3FDDA8" w14:textId="77777777" w:rsidR="009841DC" w:rsidRPr="0016350E" w:rsidRDefault="009841DC" w:rsidP="002A23B3">
            <w:pPr>
              <w:pStyle w:val="Tabletext"/>
            </w:pPr>
            <w:r w:rsidRPr="0016350E">
              <w:t>8B</w:t>
            </w:r>
          </w:p>
        </w:tc>
        <w:tc>
          <w:tcPr>
            <w:tcW w:w="2910" w:type="dxa"/>
            <w:shd w:val="clear" w:color="auto" w:fill="auto"/>
          </w:tcPr>
          <w:p w14:paraId="7C2726BB" w14:textId="77777777" w:rsidR="009841DC" w:rsidRPr="0016350E" w:rsidRDefault="009841DC" w:rsidP="002A23B3">
            <w:pPr>
              <w:pStyle w:val="Tabletext"/>
            </w:pPr>
            <w:r w:rsidRPr="0016350E">
              <w:t>the Principal Registrar of the Family Court of Western Australia in response to the Principal Registrar’s request under section </w:t>
            </w:r>
            <w:bookmarkStart w:id="37" w:name="_Hlk71726045"/>
            <w:r w:rsidRPr="0016350E">
              <w:t>90YZY</w:t>
            </w:r>
            <w:bookmarkEnd w:id="37"/>
            <w:r w:rsidRPr="0016350E">
              <w:t xml:space="preserve"> of the </w:t>
            </w:r>
            <w:r w:rsidRPr="0016350E">
              <w:rPr>
                <w:i/>
              </w:rPr>
              <w:t>Family Law Act 1975</w:t>
            </w:r>
          </w:p>
        </w:tc>
        <w:tc>
          <w:tcPr>
            <w:tcW w:w="3462" w:type="dxa"/>
            <w:shd w:val="clear" w:color="auto" w:fill="auto"/>
          </w:tcPr>
          <w:p w14:paraId="0505D6B0" w14:textId="77777777" w:rsidR="009841DC" w:rsidRPr="0016350E" w:rsidRDefault="009841DC" w:rsidP="002A23B3">
            <w:pPr>
              <w:pStyle w:val="Tablea"/>
            </w:pPr>
            <w:r w:rsidRPr="0016350E">
              <w:t>(a) is of superannuation information (within the meaning of that section); and</w:t>
            </w:r>
          </w:p>
          <w:p w14:paraId="4C09D010" w14:textId="77777777" w:rsidR="009841DC" w:rsidRPr="0016350E" w:rsidRDefault="009841DC" w:rsidP="002A23B3">
            <w:pPr>
              <w:pStyle w:val="Tablea"/>
            </w:pPr>
            <w:r w:rsidRPr="0016350E">
              <w:t>(b) is for the purpose of all of the relevant proceedings (within the meaning of that section).</w:t>
            </w:r>
          </w:p>
        </w:tc>
      </w:tr>
    </w:tbl>
    <w:p w14:paraId="5847C911" w14:textId="77777777" w:rsidR="009841DC" w:rsidRPr="0016350E" w:rsidRDefault="002A23B3" w:rsidP="002A23B3">
      <w:pPr>
        <w:pStyle w:val="Transitional"/>
      </w:pPr>
      <w:r w:rsidRPr="0016350E">
        <w:t>6</w:t>
      </w:r>
      <w:r w:rsidR="009841DC" w:rsidRPr="0016350E">
        <w:t xml:space="preserve">  Application of amendments</w:t>
      </w:r>
    </w:p>
    <w:p w14:paraId="54F97F05" w14:textId="77777777" w:rsidR="009841DC" w:rsidRPr="0016350E" w:rsidRDefault="009841DC" w:rsidP="002A23B3">
      <w:pPr>
        <w:pStyle w:val="Subitem"/>
      </w:pPr>
      <w:r w:rsidRPr="0016350E">
        <w:t>(1)</w:t>
      </w:r>
      <w:r w:rsidRPr="0016350E">
        <w:tab/>
        <w:t xml:space="preserve">The amendment of the </w:t>
      </w:r>
      <w:r w:rsidRPr="0016350E">
        <w:rPr>
          <w:i/>
        </w:rPr>
        <w:t>Family Law Act 1975</w:t>
      </w:r>
      <w:r w:rsidRPr="0016350E">
        <w:t xml:space="preserve"> made by this Part applies in relation to proceedings referred to in this Part that are in the Family Court of Western Australia at or after the commencement of this Part, whether the proceedings commenced before, at or after the commencement of this Part.</w:t>
      </w:r>
    </w:p>
    <w:p w14:paraId="20FCD184" w14:textId="457DF490" w:rsidR="00332DD4" w:rsidRPr="00801473" w:rsidRDefault="009841DC" w:rsidP="00801473">
      <w:pPr>
        <w:pStyle w:val="Subitem"/>
        <w:rPr>
          <w:color w:val="000000"/>
          <w:szCs w:val="22"/>
          <w:shd w:val="clear" w:color="auto" w:fill="FFFFFF"/>
        </w:rPr>
      </w:pPr>
      <w:r w:rsidRPr="0016350E">
        <w:t>(2)</w:t>
      </w:r>
      <w:r w:rsidRPr="0016350E">
        <w:tab/>
        <w:t xml:space="preserve">The amendment of the </w:t>
      </w:r>
      <w:r w:rsidRPr="0016350E">
        <w:rPr>
          <w:i/>
        </w:rPr>
        <w:t>Taxation Administration Act 1953</w:t>
      </w:r>
      <w:r w:rsidRPr="0016350E">
        <w:t xml:space="preserve"> made by this Part applies in relation to </w:t>
      </w:r>
      <w:r w:rsidRPr="0016350E">
        <w:rPr>
          <w:color w:val="000000"/>
          <w:szCs w:val="22"/>
          <w:shd w:val="clear" w:color="auto" w:fill="FFFFFF"/>
        </w:rPr>
        <w:t>records or disclosures of information made at or after the commencement of this Part, whether the information was obtained before, at or after the commencement of this Part.</w:t>
      </w:r>
    </w:p>
    <w:p w14:paraId="1DFE6E6D" w14:textId="040576F3" w:rsidR="00332DD4" w:rsidRDefault="00332DD4" w:rsidP="00332DD4">
      <w:pPr>
        <w:pStyle w:val="AssentBk"/>
        <w:keepNext/>
      </w:pPr>
    </w:p>
    <w:p w14:paraId="60B1021F" w14:textId="77777777" w:rsidR="00801473" w:rsidRDefault="00801473" w:rsidP="00332DD4">
      <w:pPr>
        <w:pStyle w:val="AssentBk"/>
        <w:keepNext/>
      </w:pPr>
    </w:p>
    <w:p w14:paraId="44DF0B49" w14:textId="77777777" w:rsidR="00332DD4" w:rsidRDefault="00332DD4" w:rsidP="00332DD4">
      <w:pPr>
        <w:pStyle w:val="AssentBk"/>
        <w:keepNext/>
      </w:pPr>
    </w:p>
    <w:p w14:paraId="3BC0D87F" w14:textId="77777777" w:rsidR="00332DD4" w:rsidRDefault="00332DD4" w:rsidP="00332DD4">
      <w:pPr>
        <w:pStyle w:val="2ndRd"/>
        <w:keepNext/>
        <w:pBdr>
          <w:top w:val="single" w:sz="2" w:space="1" w:color="auto"/>
        </w:pBdr>
      </w:pPr>
    </w:p>
    <w:p w14:paraId="6CD83650" w14:textId="77777777" w:rsidR="00332DD4" w:rsidRDefault="00332DD4" w:rsidP="00332DD4">
      <w:pPr>
        <w:pStyle w:val="2ndRd"/>
        <w:keepNext/>
        <w:spacing w:line="260" w:lineRule="atLeast"/>
        <w:rPr>
          <w:i/>
        </w:rPr>
      </w:pPr>
      <w:r>
        <w:t>[</w:t>
      </w:r>
      <w:r>
        <w:rPr>
          <w:i/>
        </w:rPr>
        <w:t>Minister’s second reading speech made in—</w:t>
      </w:r>
    </w:p>
    <w:p w14:paraId="3DA88A08" w14:textId="77777777" w:rsidR="00332DD4" w:rsidRDefault="00332DD4" w:rsidP="00332DD4">
      <w:pPr>
        <w:pStyle w:val="2ndRd"/>
        <w:keepNext/>
        <w:spacing w:line="260" w:lineRule="atLeast"/>
        <w:rPr>
          <w:i/>
        </w:rPr>
      </w:pPr>
      <w:r>
        <w:rPr>
          <w:i/>
        </w:rPr>
        <w:t>House of Representatives on 11 August 2021</w:t>
      </w:r>
    </w:p>
    <w:p w14:paraId="05C42F33" w14:textId="77777777" w:rsidR="00332DD4" w:rsidRDefault="00332DD4" w:rsidP="00332DD4">
      <w:pPr>
        <w:pStyle w:val="2ndRd"/>
        <w:keepNext/>
        <w:spacing w:line="260" w:lineRule="atLeast"/>
        <w:rPr>
          <w:i/>
        </w:rPr>
      </w:pPr>
      <w:r>
        <w:rPr>
          <w:i/>
        </w:rPr>
        <w:t>Senate on 31 August 2021</w:t>
      </w:r>
      <w:r>
        <w:t>]</w:t>
      </w:r>
    </w:p>
    <w:p w14:paraId="4679B8C2" w14:textId="77777777" w:rsidR="00332DD4" w:rsidRDefault="00332DD4" w:rsidP="00CC200F">
      <w:pPr>
        <w:pBdr>
          <w:bottom w:val="single" w:sz="4" w:space="1" w:color="auto"/>
        </w:pBdr>
        <w:sectPr w:rsidR="00332DD4" w:rsidSect="00CC200F">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1C7E9B10" w14:textId="77777777" w:rsidR="00801473" w:rsidRDefault="00801473" w:rsidP="00801473">
      <w:pPr>
        <w:framePr w:hSpace="180" w:wrap="around" w:vAnchor="text" w:hAnchor="page" w:x="2416" w:y="566"/>
      </w:pPr>
      <w:r>
        <w:t>(97/21)</w:t>
      </w:r>
    </w:p>
    <w:p w14:paraId="4B5E5D16" w14:textId="77777777" w:rsidR="00332DD4" w:rsidRDefault="00332DD4" w:rsidP="00801473"/>
    <w:sectPr w:rsidR="00332DD4" w:rsidSect="00332DD4">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B987" w14:textId="77777777" w:rsidR="00201964" w:rsidRDefault="00201964" w:rsidP="0048364F">
      <w:pPr>
        <w:spacing w:line="240" w:lineRule="auto"/>
      </w:pPr>
      <w:r>
        <w:separator/>
      </w:r>
    </w:p>
  </w:endnote>
  <w:endnote w:type="continuationSeparator" w:id="0">
    <w:p w14:paraId="2AC4DEBC" w14:textId="77777777" w:rsidR="00201964" w:rsidRDefault="002019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embedRegular r:id="rId1" w:subsetted="1" w:fontKey="{344FA3A1-74CB-43C8-B77D-0F5FD40BBA8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F7DD" w14:textId="77777777" w:rsidR="00201964" w:rsidRPr="005F1388" w:rsidRDefault="00201964" w:rsidP="003331C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08E7" w14:textId="6D67C888" w:rsidR="00201964" w:rsidRDefault="00201964" w:rsidP="00201964">
    <w:pPr>
      <w:pStyle w:val="ScalePlusRef"/>
    </w:pPr>
    <w:r>
      <w:t>Note: An electronic version of this Act is available on the Federal Register of Legislation (</w:t>
    </w:r>
    <w:hyperlink r:id="rId1" w:history="1">
      <w:r>
        <w:t>https://www.legislation.gov.au/</w:t>
      </w:r>
    </w:hyperlink>
    <w:r>
      <w:t>)</w:t>
    </w:r>
  </w:p>
  <w:p w14:paraId="7A367123" w14:textId="77777777" w:rsidR="00201964" w:rsidRDefault="00201964" w:rsidP="00201964"/>
  <w:p w14:paraId="789D1791" w14:textId="732AE6C5" w:rsidR="00201964" w:rsidRDefault="00201964" w:rsidP="003331CD">
    <w:pPr>
      <w:pStyle w:val="Footer"/>
      <w:spacing w:before="120"/>
    </w:pPr>
  </w:p>
  <w:p w14:paraId="3D9E18CD" w14:textId="77777777" w:rsidR="00201964" w:rsidRPr="005F1388" w:rsidRDefault="0020196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E200" w14:textId="77777777" w:rsidR="00201964" w:rsidRPr="00ED79B6" w:rsidRDefault="00201964" w:rsidP="003331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FCA0" w14:textId="77777777" w:rsidR="00201964" w:rsidRDefault="00201964" w:rsidP="003331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1964" w14:paraId="642A4A93" w14:textId="77777777" w:rsidTr="0099765C">
      <w:tc>
        <w:tcPr>
          <w:tcW w:w="646" w:type="dxa"/>
        </w:tcPr>
        <w:p w14:paraId="164F5CAC" w14:textId="77777777" w:rsidR="00201964" w:rsidRDefault="00201964" w:rsidP="0099765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DA2DE17" w14:textId="15A6D24E" w:rsidR="00201964" w:rsidRDefault="00201964" w:rsidP="0099765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(2021 Measures No. 6) Act 2021</w:t>
          </w:r>
          <w:r w:rsidRPr="00ED79B6">
            <w:rPr>
              <w:i/>
              <w:sz w:val="18"/>
            </w:rPr>
            <w:fldChar w:fldCharType="end"/>
          </w:r>
        </w:p>
      </w:tc>
      <w:tc>
        <w:tcPr>
          <w:tcW w:w="1270" w:type="dxa"/>
        </w:tcPr>
        <w:p w14:paraId="6C2F0D9E" w14:textId="6796C38E" w:rsidR="00201964" w:rsidRDefault="00201964" w:rsidP="0099765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111, 2021</w:t>
          </w:r>
          <w:r w:rsidRPr="00ED79B6">
            <w:rPr>
              <w:i/>
              <w:sz w:val="18"/>
            </w:rPr>
            <w:fldChar w:fldCharType="end"/>
          </w:r>
        </w:p>
      </w:tc>
    </w:tr>
  </w:tbl>
  <w:p w14:paraId="457BE40F" w14:textId="77777777" w:rsidR="00201964" w:rsidRDefault="002019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CAAA" w14:textId="77777777" w:rsidR="00201964" w:rsidRDefault="00201964" w:rsidP="003331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1964" w14:paraId="70423CF3" w14:textId="77777777" w:rsidTr="0099765C">
      <w:tc>
        <w:tcPr>
          <w:tcW w:w="1247" w:type="dxa"/>
        </w:tcPr>
        <w:p w14:paraId="5ACBB49F" w14:textId="280CDBC8" w:rsidR="00201964" w:rsidRDefault="00201964" w:rsidP="0099765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111, 2021</w:t>
          </w:r>
          <w:r w:rsidRPr="00ED79B6">
            <w:rPr>
              <w:i/>
              <w:sz w:val="18"/>
            </w:rPr>
            <w:fldChar w:fldCharType="end"/>
          </w:r>
        </w:p>
      </w:tc>
      <w:tc>
        <w:tcPr>
          <w:tcW w:w="5387" w:type="dxa"/>
        </w:tcPr>
        <w:p w14:paraId="53DD21EF" w14:textId="2462B335" w:rsidR="00201964" w:rsidRDefault="00201964" w:rsidP="0099765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(2021 Measures No. 6) Act 2021</w:t>
          </w:r>
          <w:r w:rsidRPr="00ED79B6">
            <w:rPr>
              <w:i/>
              <w:sz w:val="18"/>
            </w:rPr>
            <w:fldChar w:fldCharType="end"/>
          </w:r>
        </w:p>
      </w:tc>
      <w:tc>
        <w:tcPr>
          <w:tcW w:w="669" w:type="dxa"/>
        </w:tcPr>
        <w:p w14:paraId="656BB66C" w14:textId="77777777" w:rsidR="00201964" w:rsidRDefault="00201964" w:rsidP="0099765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8292FD0" w14:textId="77777777" w:rsidR="00201964" w:rsidRPr="00ED79B6" w:rsidRDefault="0020196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FC5D" w14:textId="77777777" w:rsidR="00201964" w:rsidRPr="00A961C4" w:rsidRDefault="00201964" w:rsidP="003331C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1964" w14:paraId="6F843C82" w14:textId="77777777" w:rsidTr="0016350E">
      <w:tc>
        <w:tcPr>
          <w:tcW w:w="646" w:type="dxa"/>
        </w:tcPr>
        <w:p w14:paraId="1B004CDD" w14:textId="77777777" w:rsidR="00201964" w:rsidRDefault="00201964" w:rsidP="0099765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59172EE" w14:textId="27A7BD9F" w:rsidR="00201964" w:rsidRDefault="00201964" w:rsidP="009976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(2021 Measures No. 6) Act 2021</w:t>
          </w:r>
          <w:r w:rsidRPr="007A1328">
            <w:rPr>
              <w:i/>
              <w:sz w:val="18"/>
            </w:rPr>
            <w:fldChar w:fldCharType="end"/>
          </w:r>
        </w:p>
      </w:tc>
      <w:tc>
        <w:tcPr>
          <w:tcW w:w="1270" w:type="dxa"/>
        </w:tcPr>
        <w:p w14:paraId="67F2FA96" w14:textId="62DA60B7" w:rsidR="00201964" w:rsidRDefault="00201964" w:rsidP="0099765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2021</w:t>
          </w:r>
          <w:r w:rsidRPr="007A1328">
            <w:rPr>
              <w:i/>
              <w:sz w:val="18"/>
            </w:rPr>
            <w:fldChar w:fldCharType="end"/>
          </w:r>
        </w:p>
      </w:tc>
    </w:tr>
  </w:tbl>
  <w:p w14:paraId="3F123645" w14:textId="77777777" w:rsidR="00201964" w:rsidRPr="00A961C4" w:rsidRDefault="0020196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DF06" w14:textId="77777777" w:rsidR="00201964" w:rsidRPr="00A961C4" w:rsidRDefault="00201964" w:rsidP="003331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1964" w14:paraId="6A08046D" w14:textId="77777777" w:rsidTr="0016350E">
      <w:tc>
        <w:tcPr>
          <w:tcW w:w="1247" w:type="dxa"/>
        </w:tcPr>
        <w:p w14:paraId="4A49A619" w14:textId="6A5CBEFC" w:rsidR="00201964" w:rsidRDefault="00201964" w:rsidP="009976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2021</w:t>
          </w:r>
          <w:r w:rsidRPr="007A1328">
            <w:rPr>
              <w:i/>
              <w:sz w:val="18"/>
            </w:rPr>
            <w:fldChar w:fldCharType="end"/>
          </w:r>
        </w:p>
      </w:tc>
      <w:tc>
        <w:tcPr>
          <w:tcW w:w="5387" w:type="dxa"/>
        </w:tcPr>
        <w:p w14:paraId="0675DA69" w14:textId="3E8D4B7F" w:rsidR="00201964" w:rsidRDefault="00201964" w:rsidP="009976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(2021 Measures No. 6) Act 2021</w:t>
          </w:r>
          <w:r w:rsidRPr="007A1328">
            <w:rPr>
              <w:i/>
              <w:sz w:val="18"/>
            </w:rPr>
            <w:fldChar w:fldCharType="end"/>
          </w:r>
        </w:p>
      </w:tc>
      <w:tc>
        <w:tcPr>
          <w:tcW w:w="669" w:type="dxa"/>
        </w:tcPr>
        <w:p w14:paraId="7248B300" w14:textId="77777777" w:rsidR="00201964" w:rsidRDefault="00201964" w:rsidP="009976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09ECC7F" w14:textId="77777777" w:rsidR="00201964" w:rsidRPr="00055B5C" w:rsidRDefault="0020196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34B" w14:textId="77777777" w:rsidR="00201964" w:rsidRPr="00A961C4" w:rsidRDefault="00201964" w:rsidP="003331C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01964" w14:paraId="538BF138" w14:textId="77777777" w:rsidTr="0016350E">
      <w:tc>
        <w:tcPr>
          <w:tcW w:w="1247" w:type="dxa"/>
        </w:tcPr>
        <w:p w14:paraId="6F90062E" w14:textId="1400398D" w:rsidR="00201964" w:rsidRDefault="00201964" w:rsidP="009976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2021</w:t>
          </w:r>
          <w:r w:rsidRPr="007A1328">
            <w:rPr>
              <w:i/>
              <w:sz w:val="18"/>
            </w:rPr>
            <w:fldChar w:fldCharType="end"/>
          </w:r>
        </w:p>
      </w:tc>
      <w:tc>
        <w:tcPr>
          <w:tcW w:w="5387" w:type="dxa"/>
        </w:tcPr>
        <w:p w14:paraId="034A0CEC" w14:textId="6014963E" w:rsidR="00201964" w:rsidRDefault="00201964" w:rsidP="009976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(2021 Measures No. 6) Act 2021</w:t>
          </w:r>
          <w:r w:rsidRPr="007A1328">
            <w:rPr>
              <w:i/>
              <w:sz w:val="18"/>
            </w:rPr>
            <w:fldChar w:fldCharType="end"/>
          </w:r>
        </w:p>
      </w:tc>
      <w:tc>
        <w:tcPr>
          <w:tcW w:w="669" w:type="dxa"/>
        </w:tcPr>
        <w:p w14:paraId="4ADE771A" w14:textId="77777777" w:rsidR="00201964" w:rsidRDefault="00201964" w:rsidP="009976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AB1DAD8" w14:textId="77777777" w:rsidR="00201964" w:rsidRPr="00A961C4" w:rsidRDefault="0020196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B18D2" w14:textId="77777777" w:rsidR="00201964" w:rsidRDefault="00201964" w:rsidP="0048364F">
      <w:pPr>
        <w:spacing w:line="240" w:lineRule="auto"/>
      </w:pPr>
      <w:r>
        <w:separator/>
      </w:r>
    </w:p>
  </w:footnote>
  <w:footnote w:type="continuationSeparator" w:id="0">
    <w:p w14:paraId="79AD3805" w14:textId="77777777" w:rsidR="00201964" w:rsidRDefault="0020196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1D67" w14:textId="77777777" w:rsidR="00201964" w:rsidRPr="005F1388" w:rsidRDefault="0020196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9069" w14:textId="573E1FD5" w:rsidR="00201964" w:rsidRPr="00A961C4" w:rsidRDefault="00201964" w:rsidP="0048364F">
    <w:pPr>
      <w:rPr>
        <w:b/>
        <w:sz w:val="20"/>
      </w:rPr>
    </w:pPr>
  </w:p>
  <w:p w14:paraId="08BCCD90" w14:textId="63348974" w:rsidR="00201964" w:rsidRPr="00A961C4" w:rsidRDefault="00201964" w:rsidP="0048364F">
    <w:pPr>
      <w:rPr>
        <w:b/>
        <w:sz w:val="20"/>
      </w:rPr>
    </w:pPr>
  </w:p>
  <w:p w14:paraId="4E26B061" w14:textId="77777777" w:rsidR="00201964" w:rsidRPr="00A961C4" w:rsidRDefault="0020196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75DB" w14:textId="292189CC" w:rsidR="00201964" w:rsidRPr="00A961C4" w:rsidRDefault="0020196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noProof/>
        <w:sz w:val="20"/>
      </w:rPr>
      <w:t>Superannuation information for family law proceedings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Pr>
        <w:b/>
        <w:noProof/>
        <w:sz w:val="20"/>
      </w:rPr>
      <w:t>Schedule 5</w:t>
    </w:r>
    <w:r>
      <w:rPr>
        <w:b/>
        <w:sz w:val="20"/>
      </w:rPr>
      <w:fldChar w:fldCharType="end"/>
    </w:r>
  </w:p>
  <w:p w14:paraId="19EB2728" w14:textId="34C85EF7" w:rsidR="00201964" w:rsidRPr="00A961C4" w:rsidRDefault="0020196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Pr>
        <w:noProof/>
        <w:sz w:val="20"/>
      </w:rPr>
      <w:t>Other amendments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Pr>
        <w:b/>
        <w:noProof/>
        <w:sz w:val="20"/>
      </w:rPr>
      <w:t>Part 2</w:t>
    </w:r>
    <w:r w:rsidRPr="00A961C4">
      <w:rPr>
        <w:b/>
        <w:sz w:val="20"/>
      </w:rPr>
      <w:fldChar w:fldCharType="end"/>
    </w:r>
  </w:p>
  <w:p w14:paraId="6D49DFC7" w14:textId="77777777" w:rsidR="00201964" w:rsidRPr="00A961C4" w:rsidRDefault="0020196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4FFD" w14:textId="77777777" w:rsidR="00201964" w:rsidRPr="00A961C4" w:rsidRDefault="0020196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3370" w14:textId="77777777" w:rsidR="00201964" w:rsidRPr="005F1388" w:rsidRDefault="0020196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B902" w14:textId="77777777" w:rsidR="00201964" w:rsidRPr="005F1388" w:rsidRDefault="0020196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B13A" w14:textId="77777777" w:rsidR="00201964" w:rsidRPr="00ED79B6" w:rsidRDefault="0020196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2804" w14:textId="77777777" w:rsidR="00201964" w:rsidRPr="00ED79B6" w:rsidRDefault="0020196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11EC" w14:textId="77777777" w:rsidR="00201964" w:rsidRPr="00ED79B6" w:rsidRDefault="0020196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06AE" w14:textId="6B32604A" w:rsidR="00201964" w:rsidRPr="00A961C4" w:rsidRDefault="00201964" w:rsidP="0048364F">
    <w:pPr>
      <w:rPr>
        <w:b/>
        <w:sz w:val="20"/>
      </w:rPr>
    </w:pPr>
    <w:r>
      <w:rPr>
        <w:b/>
        <w:sz w:val="20"/>
      </w:rPr>
      <w:fldChar w:fldCharType="begin"/>
    </w:r>
    <w:r>
      <w:rPr>
        <w:b/>
        <w:sz w:val="20"/>
      </w:rPr>
      <w:instrText xml:space="preserve"> STYLEREF CharAmSchNo </w:instrText>
    </w:r>
    <w:r w:rsidR="00FE34DC">
      <w:rPr>
        <w:b/>
        <w:sz w:val="20"/>
      </w:rPr>
      <w:fldChar w:fldCharType="separate"/>
    </w:r>
    <w:r w:rsidR="00FE34D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E34DC">
      <w:rPr>
        <w:sz w:val="20"/>
      </w:rPr>
      <w:fldChar w:fldCharType="separate"/>
    </w:r>
    <w:r w:rsidR="00FE34DC">
      <w:rPr>
        <w:noProof/>
        <w:sz w:val="20"/>
      </w:rPr>
      <w:t>Refund of large-scale generation shortfall charge</w:t>
    </w:r>
    <w:r>
      <w:rPr>
        <w:sz w:val="20"/>
      </w:rPr>
      <w:fldChar w:fldCharType="end"/>
    </w:r>
  </w:p>
  <w:p w14:paraId="43D424F1" w14:textId="183E736E" w:rsidR="00201964" w:rsidRPr="00A961C4" w:rsidRDefault="0020196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C9A0253" w14:textId="77777777" w:rsidR="00201964" w:rsidRPr="00A961C4" w:rsidRDefault="0020196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459E" w14:textId="2F564A57" w:rsidR="00201964" w:rsidRPr="00A961C4" w:rsidRDefault="0020196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26FAC04" w14:textId="6082791E" w:rsidR="00201964" w:rsidRPr="00A961C4" w:rsidRDefault="0020196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1270BC3" w14:textId="77777777" w:rsidR="00201964" w:rsidRPr="00A961C4" w:rsidRDefault="0020196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3BE4" w14:textId="77777777" w:rsidR="00201964" w:rsidRPr="00A961C4" w:rsidRDefault="0020196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02"/>
    <w:rsid w:val="000113BC"/>
    <w:rsid w:val="000136AF"/>
    <w:rsid w:val="00014E80"/>
    <w:rsid w:val="00015355"/>
    <w:rsid w:val="00040BD2"/>
    <w:rsid w:val="000417C9"/>
    <w:rsid w:val="00055B5C"/>
    <w:rsid w:val="00056391"/>
    <w:rsid w:val="00060FF9"/>
    <w:rsid w:val="000614BF"/>
    <w:rsid w:val="00066D72"/>
    <w:rsid w:val="000B1FD2"/>
    <w:rsid w:val="000D05EF"/>
    <w:rsid w:val="000D418C"/>
    <w:rsid w:val="000D56DD"/>
    <w:rsid w:val="000D729C"/>
    <w:rsid w:val="000F21C1"/>
    <w:rsid w:val="000F316E"/>
    <w:rsid w:val="00101D90"/>
    <w:rsid w:val="0010745C"/>
    <w:rsid w:val="00113BD1"/>
    <w:rsid w:val="00122206"/>
    <w:rsid w:val="00136652"/>
    <w:rsid w:val="0015646E"/>
    <w:rsid w:val="0016350E"/>
    <w:rsid w:val="001643C9"/>
    <w:rsid w:val="00165568"/>
    <w:rsid w:val="00166C2F"/>
    <w:rsid w:val="00166DD1"/>
    <w:rsid w:val="001716C9"/>
    <w:rsid w:val="00173363"/>
    <w:rsid w:val="00173B94"/>
    <w:rsid w:val="001854B4"/>
    <w:rsid w:val="001939E1"/>
    <w:rsid w:val="00195382"/>
    <w:rsid w:val="001A3658"/>
    <w:rsid w:val="001A453F"/>
    <w:rsid w:val="001A759A"/>
    <w:rsid w:val="001B12E9"/>
    <w:rsid w:val="001B469D"/>
    <w:rsid w:val="001B633C"/>
    <w:rsid w:val="001B7A5D"/>
    <w:rsid w:val="001C10F6"/>
    <w:rsid w:val="001C2418"/>
    <w:rsid w:val="001C3C50"/>
    <w:rsid w:val="001C69C4"/>
    <w:rsid w:val="001D0EFE"/>
    <w:rsid w:val="001D1CF8"/>
    <w:rsid w:val="001E3590"/>
    <w:rsid w:val="001E7407"/>
    <w:rsid w:val="00201964"/>
    <w:rsid w:val="00201D27"/>
    <w:rsid w:val="00202618"/>
    <w:rsid w:val="002142A6"/>
    <w:rsid w:val="00215466"/>
    <w:rsid w:val="0022459F"/>
    <w:rsid w:val="002364C9"/>
    <w:rsid w:val="00240749"/>
    <w:rsid w:val="002509A5"/>
    <w:rsid w:val="00263820"/>
    <w:rsid w:val="00272458"/>
    <w:rsid w:val="00275197"/>
    <w:rsid w:val="00280DF2"/>
    <w:rsid w:val="00291036"/>
    <w:rsid w:val="00293B89"/>
    <w:rsid w:val="00297ECB"/>
    <w:rsid w:val="002A23B3"/>
    <w:rsid w:val="002B3150"/>
    <w:rsid w:val="002B5599"/>
    <w:rsid w:val="002B5A30"/>
    <w:rsid w:val="002C01CA"/>
    <w:rsid w:val="002C7FB8"/>
    <w:rsid w:val="002D043A"/>
    <w:rsid w:val="002D395A"/>
    <w:rsid w:val="00306810"/>
    <w:rsid w:val="00317AE9"/>
    <w:rsid w:val="00323DE4"/>
    <w:rsid w:val="00332DD4"/>
    <w:rsid w:val="003331CD"/>
    <w:rsid w:val="003415D3"/>
    <w:rsid w:val="00343F8E"/>
    <w:rsid w:val="00350417"/>
    <w:rsid w:val="00352B0F"/>
    <w:rsid w:val="00373874"/>
    <w:rsid w:val="00375C6C"/>
    <w:rsid w:val="00391CCC"/>
    <w:rsid w:val="003A7B3C"/>
    <w:rsid w:val="003B4E3D"/>
    <w:rsid w:val="003C5F2B"/>
    <w:rsid w:val="003D0BFE"/>
    <w:rsid w:val="003D5700"/>
    <w:rsid w:val="00405579"/>
    <w:rsid w:val="00410B8E"/>
    <w:rsid w:val="004116CD"/>
    <w:rsid w:val="00421FC1"/>
    <w:rsid w:val="0042265B"/>
    <w:rsid w:val="004229C7"/>
    <w:rsid w:val="00424CA9"/>
    <w:rsid w:val="00436785"/>
    <w:rsid w:val="00436BD5"/>
    <w:rsid w:val="00437E4B"/>
    <w:rsid w:val="0044150B"/>
    <w:rsid w:val="0044291A"/>
    <w:rsid w:val="0048196B"/>
    <w:rsid w:val="0048364F"/>
    <w:rsid w:val="00485FD7"/>
    <w:rsid w:val="004866AA"/>
    <w:rsid w:val="00486D05"/>
    <w:rsid w:val="00496F97"/>
    <w:rsid w:val="004C79EC"/>
    <w:rsid w:val="004C7C8C"/>
    <w:rsid w:val="004E2A4A"/>
    <w:rsid w:val="004F0D23"/>
    <w:rsid w:val="004F1FAC"/>
    <w:rsid w:val="004F3688"/>
    <w:rsid w:val="00516B8D"/>
    <w:rsid w:val="0051730A"/>
    <w:rsid w:val="00537FBC"/>
    <w:rsid w:val="00543469"/>
    <w:rsid w:val="00545495"/>
    <w:rsid w:val="00551B54"/>
    <w:rsid w:val="0058200A"/>
    <w:rsid w:val="00584811"/>
    <w:rsid w:val="00590260"/>
    <w:rsid w:val="00593AA6"/>
    <w:rsid w:val="00594161"/>
    <w:rsid w:val="00594749"/>
    <w:rsid w:val="0059479E"/>
    <w:rsid w:val="005A0D92"/>
    <w:rsid w:val="005A2E2B"/>
    <w:rsid w:val="005B4067"/>
    <w:rsid w:val="005C06D6"/>
    <w:rsid w:val="005C3F41"/>
    <w:rsid w:val="005D3711"/>
    <w:rsid w:val="005D7224"/>
    <w:rsid w:val="005D777B"/>
    <w:rsid w:val="005E152A"/>
    <w:rsid w:val="00600219"/>
    <w:rsid w:val="006167FD"/>
    <w:rsid w:val="00630333"/>
    <w:rsid w:val="00641DE5"/>
    <w:rsid w:val="00651187"/>
    <w:rsid w:val="00656F0C"/>
    <w:rsid w:val="00677CC2"/>
    <w:rsid w:val="00681F92"/>
    <w:rsid w:val="0068273F"/>
    <w:rsid w:val="006839C7"/>
    <w:rsid w:val="006842C2"/>
    <w:rsid w:val="00685F42"/>
    <w:rsid w:val="0069207B"/>
    <w:rsid w:val="006A4B23"/>
    <w:rsid w:val="006B3DD5"/>
    <w:rsid w:val="006C2874"/>
    <w:rsid w:val="006C7F8C"/>
    <w:rsid w:val="006D380D"/>
    <w:rsid w:val="006E0135"/>
    <w:rsid w:val="006E303A"/>
    <w:rsid w:val="006E6EA6"/>
    <w:rsid w:val="006F041C"/>
    <w:rsid w:val="006F7E19"/>
    <w:rsid w:val="00700B2C"/>
    <w:rsid w:val="00712D8D"/>
    <w:rsid w:val="00713084"/>
    <w:rsid w:val="00714B26"/>
    <w:rsid w:val="00724E99"/>
    <w:rsid w:val="00731E00"/>
    <w:rsid w:val="007440B7"/>
    <w:rsid w:val="007634AD"/>
    <w:rsid w:val="00767DAB"/>
    <w:rsid w:val="007715C9"/>
    <w:rsid w:val="00774EDD"/>
    <w:rsid w:val="007757EC"/>
    <w:rsid w:val="007952CC"/>
    <w:rsid w:val="007B30AA"/>
    <w:rsid w:val="007E6EDE"/>
    <w:rsid w:val="007E7D4A"/>
    <w:rsid w:val="008006CC"/>
    <w:rsid w:val="00801473"/>
    <w:rsid w:val="00806D44"/>
    <w:rsid w:val="00807F18"/>
    <w:rsid w:val="00822E3A"/>
    <w:rsid w:val="0082374D"/>
    <w:rsid w:val="00831E8D"/>
    <w:rsid w:val="00845891"/>
    <w:rsid w:val="00845E02"/>
    <w:rsid w:val="00856A31"/>
    <w:rsid w:val="0085727E"/>
    <w:rsid w:val="00857D6B"/>
    <w:rsid w:val="008633AC"/>
    <w:rsid w:val="00873D9F"/>
    <w:rsid w:val="008754D0"/>
    <w:rsid w:val="00877D48"/>
    <w:rsid w:val="00883781"/>
    <w:rsid w:val="008843F6"/>
    <w:rsid w:val="00885570"/>
    <w:rsid w:val="00887556"/>
    <w:rsid w:val="00893958"/>
    <w:rsid w:val="008A2E77"/>
    <w:rsid w:val="008C6F6F"/>
    <w:rsid w:val="008D05D7"/>
    <w:rsid w:val="008D0EE0"/>
    <w:rsid w:val="008D3E94"/>
    <w:rsid w:val="008D63CA"/>
    <w:rsid w:val="008F4F1C"/>
    <w:rsid w:val="008F77C4"/>
    <w:rsid w:val="009034A1"/>
    <w:rsid w:val="009103F3"/>
    <w:rsid w:val="009144DE"/>
    <w:rsid w:val="00932377"/>
    <w:rsid w:val="00961248"/>
    <w:rsid w:val="00967042"/>
    <w:rsid w:val="0098255A"/>
    <w:rsid w:val="009841DC"/>
    <w:rsid w:val="009845BE"/>
    <w:rsid w:val="009969C9"/>
    <w:rsid w:val="0099765C"/>
    <w:rsid w:val="009B154B"/>
    <w:rsid w:val="009D385A"/>
    <w:rsid w:val="009E186E"/>
    <w:rsid w:val="009F7BD0"/>
    <w:rsid w:val="00A048FF"/>
    <w:rsid w:val="00A101FA"/>
    <w:rsid w:val="00A10775"/>
    <w:rsid w:val="00A231E2"/>
    <w:rsid w:val="00A32ACB"/>
    <w:rsid w:val="00A3385F"/>
    <w:rsid w:val="00A35AC2"/>
    <w:rsid w:val="00A36C48"/>
    <w:rsid w:val="00A41E0B"/>
    <w:rsid w:val="00A55631"/>
    <w:rsid w:val="00A64912"/>
    <w:rsid w:val="00A70A74"/>
    <w:rsid w:val="00A9162A"/>
    <w:rsid w:val="00AA3795"/>
    <w:rsid w:val="00AC13C7"/>
    <w:rsid w:val="00AC1E75"/>
    <w:rsid w:val="00AD0A91"/>
    <w:rsid w:val="00AD5641"/>
    <w:rsid w:val="00AE1088"/>
    <w:rsid w:val="00AF0825"/>
    <w:rsid w:val="00AF1BA4"/>
    <w:rsid w:val="00B032D8"/>
    <w:rsid w:val="00B32BE2"/>
    <w:rsid w:val="00B33B3C"/>
    <w:rsid w:val="00B40158"/>
    <w:rsid w:val="00B4583E"/>
    <w:rsid w:val="00B620A2"/>
    <w:rsid w:val="00B6382D"/>
    <w:rsid w:val="00BA2F80"/>
    <w:rsid w:val="00BA5026"/>
    <w:rsid w:val="00BB40BF"/>
    <w:rsid w:val="00BC0CD1"/>
    <w:rsid w:val="00BC0E92"/>
    <w:rsid w:val="00BD2872"/>
    <w:rsid w:val="00BE719A"/>
    <w:rsid w:val="00BE720A"/>
    <w:rsid w:val="00BF0461"/>
    <w:rsid w:val="00BF4944"/>
    <w:rsid w:val="00BF56D4"/>
    <w:rsid w:val="00C04409"/>
    <w:rsid w:val="00C067E5"/>
    <w:rsid w:val="00C164CA"/>
    <w:rsid w:val="00C176CF"/>
    <w:rsid w:val="00C368E3"/>
    <w:rsid w:val="00C42BF8"/>
    <w:rsid w:val="00C460AE"/>
    <w:rsid w:val="00C50043"/>
    <w:rsid w:val="00C54E84"/>
    <w:rsid w:val="00C55AF0"/>
    <w:rsid w:val="00C56526"/>
    <w:rsid w:val="00C7573B"/>
    <w:rsid w:val="00C76CF3"/>
    <w:rsid w:val="00C85F8A"/>
    <w:rsid w:val="00C93FCD"/>
    <w:rsid w:val="00CB03C2"/>
    <w:rsid w:val="00CC200F"/>
    <w:rsid w:val="00CD7FE7"/>
    <w:rsid w:val="00CE1E31"/>
    <w:rsid w:val="00CF0BB2"/>
    <w:rsid w:val="00CF2387"/>
    <w:rsid w:val="00D003B9"/>
    <w:rsid w:val="00D00EAA"/>
    <w:rsid w:val="00D13441"/>
    <w:rsid w:val="00D243A3"/>
    <w:rsid w:val="00D37413"/>
    <w:rsid w:val="00D402C0"/>
    <w:rsid w:val="00D40307"/>
    <w:rsid w:val="00D417CF"/>
    <w:rsid w:val="00D472DB"/>
    <w:rsid w:val="00D477C3"/>
    <w:rsid w:val="00D52EFE"/>
    <w:rsid w:val="00D63EF6"/>
    <w:rsid w:val="00D70DFB"/>
    <w:rsid w:val="00D73029"/>
    <w:rsid w:val="00D766DF"/>
    <w:rsid w:val="00DA2857"/>
    <w:rsid w:val="00DB2272"/>
    <w:rsid w:val="00DE2002"/>
    <w:rsid w:val="00DF7AE9"/>
    <w:rsid w:val="00E05704"/>
    <w:rsid w:val="00E1358C"/>
    <w:rsid w:val="00E24D66"/>
    <w:rsid w:val="00E252BF"/>
    <w:rsid w:val="00E36573"/>
    <w:rsid w:val="00E54292"/>
    <w:rsid w:val="00E573A9"/>
    <w:rsid w:val="00E74DC7"/>
    <w:rsid w:val="00E84ECA"/>
    <w:rsid w:val="00E87699"/>
    <w:rsid w:val="00E947C6"/>
    <w:rsid w:val="00EB510C"/>
    <w:rsid w:val="00ED492F"/>
    <w:rsid w:val="00EE3E36"/>
    <w:rsid w:val="00EF16EC"/>
    <w:rsid w:val="00EF2E3A"/>
    <w:rsid w:val="00EF36EB"/>
    <w:rsid w:val="00F047E2"/>
    <w:rsid w:val="00F078DC"/>
    <w:rsid w:val="00F13E86"/>
    <w:rsid w:val="00F17B00"/>
    <w:rsid w:val="00F43C27"/>
    <w:rsid w:val="00F677A9"/>
    <w:rsid w:val="00F67B2F"/>
    <w:rsid w:val="00F8028C"/>
    <w:rsid w:val="00F84CF5"/>
    <w:rsid w:val="00F92830"/>
    <w:rsid w:val="00F92D35"/>
    <w:rsid w:val="00FA420B"/>
    <w:rsid w:val="00FB221C"/>
    <w:rsid w:val="00FB50CC"/>
    <w:rsid w:val="00FB64F0"/>
    <w:rsid w:val="00FD1E13"/>
    <w:rsid w:val="00FD7EB1"/>
    <w:rsid w:val="00FE34DC"/>
    <w:rsid w:val="00FE41C9"/>
    <w:rsid w:val="00FE7F93"/>
    <w:rsid w:val="00FF2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2EA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23B3"/>
    <w:pPr>
      <w:spacing w:line="260" w:lineRule="atLeast"/>
    </w:pPr>
    <w:rPr>
      <w:sz w:val="22"/>
    </w:rPr>
  </w:style>
  <w:style w:type="paragraph" w:styleId="Heading1">
    <w:name w:val="heading 1"/>
    <w:basedOn w:val="Normal"/>
    <w:next w:val="Normal"/>
    <w:link w:val="Heading1Char"/>
    <w:uiPriority w:val="9"/>
    <w:qFormat/>
    <w:rsid w:val="00CC20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20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20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200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200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20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20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2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2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23B3"/>
  </w:style>
  <w:style w:type="paragraph" w:customStyle="1" w:styleId="OPCParaBase">
    <w:name w:val="OPCParaBase"/>
    <w:qFormat/>
    <w:rsid w:val="002A23B3"/>
    <w:pPr>
      <w:spacing w:line="260" w:lineRule="atLeast"/>
    </w:pPr>
    <w:rPr>
      <w:rFonts w:eastAsia="Times New Roman" w:cs="Times New Roman"/>
      <w:sz w:val="22"/>
      <w:lang w:eastAsia="en-AU"/>
    </w:rPr>
  </w:style>
  <w:style w:type="paragraph" w:customStyle="1" w:styleId="ShortT">
    <w:name w:val="ShortT"/>
    <w:basedOn w:val="OPCParaBase"/>
    <w:next w:val="Normal"/>
    <w:qFormat/>
    <w:rsid w:val="002A23B3"/>
    <w:pPr>
      <w:spacing w:line="240" w:lineRule="auto"/>
    </w:pPr>
    <w:rPr>
      <w:b/>
      <w:sz w:val="40"/>
    </w:rPr>
  </w:style>
  <w:style w:type="paragraph" w:customStyle="1" w:styleId="ActHead1">
    <w:name w:val="ActHead 1"/>
    <w:aliases w:val="c"/>
    <w:basedOn w:val="OPCParaBase"/>
    <w:next w:val="Normal"/>
    <w:qFormat/>
    <w:rsid w:val="002A23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23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23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23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23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23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2A23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23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23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23B3"/>
  </w:style>
  <w:style w:type="paragraph" w:customStyle="1" w:styleId="Blocks">
    <w:name w:val="Blocks"/>
    <w:aliases w:val="bb"/>
    <w:basedOn w:val="OPCParaBase"/>
    <w:qFormat/>
    <w:rsid w:val="002A23B3"/>
    <w:pPr>
      <w:spacing w:line="240" w:lineRule="auto"/>
    </w:pPr>
    <w:rPr>
      <w:sz w:val="24"/>
    </w:rPr>
  </w:style>
  <w:style w:type="paragraph" w:customStyle="1" w:styleId="BoxText">
    <w:name w:val="BoxText"/>
    <w:aliases w:val="bt"/>
    <w:basedOn w:val="OPCParaBase"/>
    <w:qFormat/>
    <w:rsid w:val="002A23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23B3"/>
    <w:rPr>
      <w:b/>
    </w:rPr>
  </w:style>
  <w:style w:type="paragraph" w:customStyle="1" w:styleId="BoxHeadItalic">
    <w:name w:val="BoxHeadItalic"/>
    <w:aliases w:val="bhi"/>
    <w:basedOn w:val="BoxText"/>
    <w:next w:val="BoxStep"/>
    <w:qFormat/>
    <w:rsid w:val="002A23B3"/>
    <w:rPr>
      <w:i/>
    </w:rPr>
  </w:style>
  <w:style w:type="paragraph" w:customStyle="1" w:styleId="BoxList">
    <w:name w:val="BoxList"/>
    <w:aliases w:val="bl"/>
    <w:basedOn w:val="BoxText"/>
    <w:qFormat/>
    <w:rsid w:val="002A23B3"/>
    <w:pPr>
      <w:ind w:left="1559" w:hanging="425"/>
    </w:pPr>
  </w:style>
  <w:style w:type="paragraph" w:customStyle="1" w:styleId="BoxNote">
    <w:name w:val="BoxNote"/>
    <w:aliases w:val="bn"/>
    <w:basedOn w:val="BoxText"/>
    <w:qFormat/>
    <w:rsid w:val="002A23B3"/>
    <w:pPr>
      <w:tabs>
        <w:tab w:val="left" w:pos="1985"/>
      </w:tabs>
      <w:spacing w:before="122" w:line="198" w:lineRule="exact"/>
      <w:ind w:left="2948" w:hanging="1814"/>
    </w:pPr>
    <w:rPr>
      <w:sz w:val="18"/>
    </w:rPr>
  </w:style>
  <w:style w:type="paragraph" w:customStyle="1" w:styleId="BoxPara">
    <w:name w:val="BoxPara"/>
    <w:aliases w:val="bp"/>
    <w:basedOn w:val="BoxText"/>
    <w:qFormat/>
    <w:rsid w:val="002A23B3"/>
    <w:pPr>
      <w:tabs>
        <w:tab w:val="right" w:pos="2268"/>
      </w:tabs>
      <w:ind w:left="2552" w:hanging="1418"/>
    </w:pPr>
  </w:style>
  <w:style w:type="paragraph" w:customStyle="1" w:styleId="BoxStep">
    <w:name w:val="BoxStep"/>
    <w:aliases w:val="bs"/>
    <w:basedOn w:val="BoxText"/>
    <w:qFormat/>
    <w:rsid w:val="002A23B3"/>
    <w:pPr>
      <w:ind w:left="1985" w:hanging="851"/>
    </w:pPr>
  </w:style>
  <w:style w:type="character" w:customStyle="1" w:styleId="CharAmPartNo">
    <w:name w:val="CharAmPartNo"/>
    <w:basedOn w:val="OPCCharBase"/>
    <w:qFormat/>
    <w:rsid w:val="002A23B3"/>
  </w:style>
  <w:style w:type="character" w:customStyle="1" w:styleId="CharAmPartText">
    <w:name w:val="CharAmPartText"/>
    <w:basedOn w:val="OPCCharBase"/>
    <w:qFormat/>
    <w:rsid w:val="002A23B3"/>
  </w:style>
  <w:style w:type="character" w:customStyle="1" w:styleId="CharAmSchNo">
    <w:name w:val="CharAmSchNo"/>
    <w:basedOn w:val="OPCCharBase"/>
    <w:qFormat/>
    <w:rsid w:val="002A23B3"/>
  </w:style>
  <w:style w:type="character" w:customStyle="1" w:styleId="CharAmSchText">
    <w:name w:val="CharAmSchText"/>
    <w:basedOn w:val="OPCCharBase"/>
    <w:qFormat/>
    <w:rsid w:val="002A23B3"/>
  </w:style>
  <w:style w:type="character" w:customStyle="1" w:styleId="CharBoldItalic">
    <w:name w:val="CharBoldItalic"/>
    <w:basedOn w:val="OPCCharBase"/>
    <w:uiPriority w:val="1"/>
    <w:qFormat/>
    <w:rsid w:val="002A23B3"/>
    <w:rPr>
      <w:b/>
      <w:i/>
    </w:rPr>
  </w:style>
  <w:style w:type="character" w:customStyle="1" w:styleId="CharChapNo">
    <w:name w:val="CharChapNo"/>
    <w:basedOn w:val="OPCCharBase"/>
    <w:uiPriority w:val="1"/>
    <w:qFormat/>
    <w:rsid w:val="002A23B3"/>
  </w:style>
  <w:style w:type="character" w:customStyle="1" w:styleId="CharChapText">
    <w:name w:val="CharChapText"/>
    <w:basedOn w:val="OPCCharBase"/>
    <w:uiPriority w:val="1"/>
    <w:qFormat/>
    <w:rsid w:val="002A23B3"/>
  </w:style>
  <w:style w:type="character" w:customStyle="1" w:styleId="CharDivNo">
    <w:name w:val="CharDivNo"/>
    <w:basedOn w:val="OPCCharBase"/>
    <w:uiPriority w:val="1"/>
    <w:qFormat/>
    <w:rsid w:val="002A23B3"/>
  </w:style>
  <w:style w:type="character" w:customStyle="1" w:styleId="CharDivText">
    <w:name w:val="CharDivText"/>
    <w:basedOn w:val="OPCCharBase"/>
    <w:uiPriority w:val="1"/>
    <w:qFormat/>
    <w:rsid w:val="002A23B3"/>
  </w:style>
  <w:style w:type="character" w:customStyle="1" w:styleId="CharItalic">
    <w:name w:val="CharItalic"/>
    <w:basedOn w:val="OPCCharBase"/>
    <w:uiPriority w:val="1"/>
    <w:qFormat/>
    <w:rsid w:val="002A23B3"/>
    <w:rPr>
      <w:i/>
    </w:rPr>
  </w:style>
  <w:style w:type="character" w:customStyle="1" w:styleId="CharPartNo">
    <w:name w:val="CharPartNo"/>
    <w:basedOn w:val="OPCCharBase"/>
    <w:uiPriority w:val="1"/>
    <w:qFormat/>
    <w:rsid w:val="002A23B3"/>
  </w:style>
  <w:style w:type="character" w:customStyle="1" w:styleId="CharPartText">
    <w:name w:val="CharPartText"/>
    <w:basedOn w:val="OPCCharBase"/>
    <w:uiPriority w:val="1"/>
    <w:qFormat/>
    <w:rsid w:val="002A23B3"/>
  </w:style>
  <w:style w:type="character" w:customStyle="1" w:styleId="CharSectno">
    <w:name w:val="CharSectno"/>
    <w:basedOn w:val="OPCCharBase"/>
    <w:qFormat/>
    <w:rsid w:val="002A23B3"/>
  </w:style>
  <w:style w:type="character" w:customStyle="1" w:styleId="CharSubdNo">
    <w:name w:val="CharSubdNo"/>
    <w:basedOn w:val="OPCCharBase"/>
    <w:uiPriority w:val="1"/>
    <w:qFormat/>
    <w:rsid w:val="002A23B3"/>
  </w:style>
  <w:style w:type="character" w:customStyle="1" w:styleId="CharSubdText">
    <w:name w:val="CharSubdText"/>
    <w:basedOn w:val="OPCCharBase"/>
    <w:uiPriority w:val="1"/>
    <w:qFormat/>
    <w:rsid w:val="002A23B3"/>
  </w:style>
  <w:style w:type="paragraph" w:customStyle="1" w:styleId="CTA--">
    <w:name w:val="CTA --"/>
    <w:basedOn w:val="OPCParaBase"/>
    <w:next w:val="Normal"/>
    <w:rsid w:val="002A23B3"/>
    <w:pPr>
      <w:spacing w:before="60" w:line="240" w:lineRule="atLeast"/>
      <w:ind w:left="142" w:hanging="142"/>
    </w:pPr>
    <w:rPr>
      <w:sz w:val="20"/>
    </w:rPr>
  </w:style>
  <w:style w:type="paragraph" w:customStyle="1" w:styleId="CTA-">
    <w:name w:val="CTA -"/>
    <w:basedOn w:val="OPCParaBase"/>
    <w:rsid w:val="002A23B3"/>
    <w:pPr>
      <w:spacing w:before="60" w:line="240" w:lineRule="atLeast"/>
      <w:ind w:left="85" w:hanging="85"/>
    </w:pPr>
    <w:rPr>
      <w:sz w:val="20"/>
    </w:rPr>
  </w:style>
  <w:style w:type="paragraph" w:customStyle="1" w:styleId="CTA---">
    <w:name w:val="CTA ---"/>
    <w:basedOn w:val="OPCParaBase"/>
    <w:next w:val="Normal"/>
    <w:rsid w:val="002A23B3"/>
    <w:pPr>
      <w:spacing w:before="60" w:line="240" w:lineRule="atLeast"/>
      <w:ind w:left="198" w:hanging="198"/>
    </w:pPr>
    <w:rPr>
      <w:sz w:val="20"/>
    </w:rPr>
  </w:style>
  <w:style w:type="paragraph" w:customStyle="1" w:styleId="CTA----">
    <w:name w:val="CTA ----"/>
    <w:basedOn w:val="OPCParaBase"/>
    <w:next w:val="Normal"/>
    <w:rsid w:val="002A23B3"/>
    <w:pPr>
      <w:spacing w:before="60" w:line="240" w:lineRule="atLeast"/>
      <w:ind w:left="255" w:hanging="255"/>
    </w:pPr>
    <w:rPr>
      <w:sz w:val="20"/>
    </w:rPr>
  </w:style>
  <w:style w:type="paragraph" w:customStyle="1" w:styleId="CTA1a">
    <w:name w:val="CTA 1(a)"/>
    <w:basedOn w:val="OPCParaBase"/>
    <w:rsid w:val="002A23B3"/>
    <w:pPr>
      <w:tabs>
        <w:tab w:val="right" w:pos="414"/>
      </w:tabs>
      <w:spacing w:before="40" w:line="240" w:lineRule="atLeast"/>
      <w:ind w:left="675" w:hanging="675"/>
    </w:pPr>
    <w:rPr>
      <w:sz w:val="20"/>
    </w:rPr>
  </w:style>
  <w:style w:type="paragraph" w:customStyle="1" w:styleId="CTA1ai">
    <w:name w:val="CTA 1(a)(i)"/>
    <w:basedOn w:val="OPCParaBase"/>
    <w:rsid w:val="002A23B3"/>
    <w:pPr>
      <w:tabs>
        <w:tab w:val="right" w:pos="1004"/>
      </w:tabs>
      <w:spacing w:before="40" w:line="240" w:lineRule="atLeast"/>
      <w:ind w:left="1253" w:hanging="1253"/>
    </w:pPr>
    <w:rPr>
      <w:sz w:val="20"/>
    </w:rPr>
  </w:style>
  <w:style w:type="paragraph" w:customStyle="1" w:styleId="CTA2a">
    <w:name w:val="CTA 2(a)"/>
    <w:basedOn w:val="OPCParaBase"/>
    <w:rsid w:val="002A23B3"/>
    <w:pPr>
      <w:tabs>
        <w:tab w:val="right" w:pos="482"/>
      </w:tabs>
      <w:spacing w:before="40" w:line="240" w:lineRule="atLeast"/>
      <w:ind w:left="748" w:hanging="748"/>
    </w:pPr>
    <w:rPr>
      <w:sz w:val="20"/>
    </w:rPr>
  </w:style>
  <w:style w:type="paragraph" w:customStyle="1" w:styleId="CTA2ai">
    <w:name w:val="CTA 2(a)(i)"/>
    <w:basedOn w:val="OPCParaBase"/>
    <w:rsid w:val="002A23B3"/>
    <w:pPr>
      <w:tabs>
        <w:tab w:val="right" w:pos="1089"/>
      </w:tabs>
      <w:spacing w:before="40" w:line="240" w:lineRule="atLeast"/>
      <w:ind w:left="1327" w:hanging="1327"/>
    </w:pPr>
    <w:rPr>
      <w:sz w:val="20"/>
    </w:rPr>
  </w:style>
  <w:style w:type="paragraph" w:customStyle="1" w:styleId="CTA3a">
    <w:name w:val="CTA 3(a)"/>
    <w:basedOn w:val="OPCParaBase"/>
    <w:rsid w:val="002A23B3"/>
    <w:pPr>
      <w:tabs>
        <w:tab w:val="right" w:pos="556"/>
      </w:tabs>
      <w:spacing w:before="40" w:line="240" w:lineRule="atLeast"/>
      <w:ind w:left="805" w:hanging="805"/>
    </w:pPr>
    <w:rPr>
      <w:sz w:val="20"/>
    </w:rPr>
  </w:style>
  <w:style w:type="paragraph" w:customStyle="1" w:styleId="CTA3ai">
    <w:name w:val="CTA 3(a)(i)"/>
    <w:basedOn w:val="OPCParaBase"/>
    <w:rsid w:val="002A23B3"/>
    <w:pPr>
      <w:tabs>
        <w:tab w:val="right" w:pos="1140"/>
      </w:tabs>
      <w:spacing w:before="40" w:line="240" w:lineRule="atLeast"/>
      <w:ind w:left="1361" w:hanging="1361"/>
    </w:pPr>
    <w:rPr>
      <w:sz w:val="20"/>
    </w:rPr>
  </w:style>
  <w:style w:type="paragraph" w:customStyle="1" w:styleId="CTA4a">
    <w:name w:val="CTA 4(a)"/>
    <w:basedOn w:val="OPCParaBase"/>
    <w:rsid w:val="002A23B3"/>
    <w:pPr>
      <w:tabs>
        <w:tab w:val="right" w:pos="624"/>
      </w:tabs>
      <w:spacing w:before="40" w:line="240" w:lineRule="atLeast"/>
      <w:ind w:left="873" w:hanging="873"/>
    </w:pPr>
    <w:rPr>
      <w:sz w:val="20"/>
    </w:rPr>
  </w:style>
  <w:style w:type="paragraph" w:customStyle="1" w:styleId="CTA4ai">
    <w:name w:val="CTA 4(a)(i)"/>
    <w:basedOn w:val="OPCParaBase"/>
    <w:rsid w:val="002A23B3"/>
    <w:pPr>
      <w:tabs>
        <w:tab w:val="right" w:pos="1213"/>
      </w:tabs>
      <w:spacing w:before="40" w:line="240" w:lineRule="atLeast"/>
      <w:ind w:left="1452" w:hanging="1452"/>
    </w:pPr>
    <w:rPr>
      <w:sz w:val="20"/>
    </w:rPr>
  </w:style>
  <w:style w:type="paragraph" w:customStyle="1" w:styleId="CTACAPS">
    <w:name w:val="CTA CAPS"/>
    <w:basedOn w:val="OPCParaBase"/>
    <w:rsid w:val="002A23B3"/>
    <w:pPr>
      <w:spacing w:before="60" w:line="240" w:lineRule="atLeast"/>
    </w:pPr>
    <w:rPr>
      <w:sz w:val="20"/>
    </w:rPr>
  </w:style>
  <w:style w:type="paragraph" w:customStyle="1" w:styleId="CTAright">
    <w:name w:val="CTA right"/>
    <w:basedOn w:val="OPCParaBase"/>
    <w:rsid w:val="002A23B3"/>
    <w:pPr>
      <w:spacing w:before="60" w:line="240" w:lineRule="auto"/>
      <w:jc w:val="right"/>
    </w:pPr>
    <w:rPr>
      <w:sz w:val="20"/>
    </w:rPr>
  </w:style>
  <w:style w:type="paragraph" w:customStyle="1" w:styleId="subsection">
    <w:name w:val="subsection"/>
    <w:aliases w:val="ss"/>
    <w:basedOn w:val="OPCParaBase"/>
    <w:rsid w:val="002A23B3"/>
    <w:pPr>
      <w:tabs>
        <w:tab w:val="right" w:pos="1021"/>
      </w:tabs>
      <w:spacing w:before="180" w:line="240" w:lineRule="auto"/>
      <w:ind w:left="1134" w:hanging="1134"/>
    </w:pPr>
  </w:style>
  <w:style w:type="paragraph" w:customStyle="1" w:styleId="Definition">
    <w:name w:val="Definition"/>
    <w:aliases w:val="dd"/>
    <w:basedOn w:val="OPCParaBase"/>
    <w:rsid w:val="002A23B3"/>
    <w:pPr>
      <w:spacing w:before="180" w:line="240" w:lineRule="auto"/>
      <w:ind w:left="1134"/>
    </w:pPr>
  </w:style>
  <w:style w:type="paragraph" w:customStyle="1" w:styleId="ETAsubitem">
    <w:name w:val="ETA(subitem)"/>
    <w:basedOn w:val="OPCParaBase"/>
    <w:rsid w:val="002A23B3"/>
    <w:pPr>
      <w:tabs>
        <w:tab w:val="right" w:pos="340"/>
      </w:tabs>
      <w:spacing w:before="60" w:line="240" w:lineRule="auto"/>
      <w:ind w:left="454" w:hanging="454"/>
    </w:pPr>
    <w:rPr>
      <w:sz w:val="20"/>
    </w:rPr>
  </w:style>
  <w:style w:type="paragraph" w:customStyle="1" w:styleId="ETApara">
    <w:name w:val="ETA(para)"/>
    <w:basedOn w:val="OPCParaBase"/>
    <w:rsid w:val="002A23B3"/>
    <w:pPr>
      <w:tabs>
        <w:tab w:val="right" w:pos="754"/>
      </w:tabs>
      <w:spacing w:before="60" w:line="240" w:lineRule="auto"/>
      <w:ind w:left="828" w:hanging="828"/>
    </w:pPr>
    <w:rPr>
      <w:sz w:val="20"/>
    </w:rPr>
  </w:style>
  <w:style w:type="paragraph" w:customStyle="1" w:styleId="ETAsubpara">
    <w:name w:val="ETA(subpara)"/>
    <w:basedOn w:val="OPCParaBase"/>
    <w:rsid w:val="002A23B3"/>
    <w:pPr>
      <w:tabs>
        <w:tab w:val="right" w:pos="1083"/>
      </w:tabs>
      <w:spacing w:before="60" w:line="240" w:lineRule="auto"/>
      <w:ind w:left="1191" w:hanging="1191"/>
    </w:pPr>
    <w:rPr>
      <w:sz w:val="20"/>
    </w:rPr>
  </w:style>
  <w:style w:type="paragraph" w:customStyle="1" w:styleId="ETAsub-subpara">
    <w:name w:val="ETA(sub-subpara)"/>
    <w:basedOn w:val="OPCParaBase"/>
    <w:rsid w:val="002A23B3"/>
    <w:pPr>
      <w:tabs>
        <w:tab w:val="right" w:pos="1412"/>
      </w:tabs>
      <w:spacing w:before="60" w:line="240" w:lineRule="auto"/>
      <w:ind w:left="1525" w:hanging="1525"/>
    </w:pPr>
    <w:rPr>
      <w:sz w:val="20"/>
    </w:rPr>
  </w:style>
  <w:style w:type="paragraph" w:customStyle="1" w:styleId="Formula">
    <w:name w:val="Formula"/>
    <w:basedOn w:val="OPCParaBase"/>
    <w:rsid w:val="002A23B3"/>
    <w:pPr>
      <w:spacing w:line="240" w:lineRule="auto"/>
      <w:ind w:left="1134"/>
    </w:pPr>
    <w:rPr>
      <w:sz w:val="20"/>
    </w:rPr>
  </w:style>
  <w:style w:type="paragraph" w:styleId="Header">
    <w:name w:val="header"/>
    <w:basedOn w:val="OPCParaBase"/>
    <w:link w:val="HeaderChar"/>
    <w:unhideWhenUsed/>
    <w:rsid w:val="002A23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23B3"/>
    <w:rPr>
      <w:rFonts w:eastAsia="Times New Roman" w:cs="Times New Roman"/>
      <w:sz w:val="16"/>
      <w:lang w:eastAsia="en-AU"/>
    </w:rPr>
  </w:style>
  <w:style w:type="paragraph" w:customStyle="1" w:styleId="House">
    <w:name w:val="House"/>
    <w:basedOn w:val="OPCParaBase"/>
    <w:rsid w:val="002A23B3"/>
    <w:pPr>
      <w:spacing w:line="240" w:lineRule="auto"/>
    </w:pPr>
    <w:rPr>
      <w:sz w:val="28"/>
    </w:rPr>
  </w:style>
  <w:style w:type="paragraph" w:customStyle="1" w:styleId="Item">
    <w:name w:val="Item"/>
    <w:aliases w:val="i"/>
    <w:basedOn w:val="OPCParaBase"/>
    <w:next w:val="ItemHead"/>
    <w:rsid w:val="002A23B3"/>
    <w:pPr>
      <w:keepLines/>
      <w:spacing w:before="80" w:line="240" w:lineRule="auto"/>
      <w:ind w:left="709"/>
    </w:pPr>
  </w:style>
  <w:style w:type="paragraph" w:customStyle="1" w:styleId="ItemHead">
    <w:name w:val="ItemHead"/>
    <w:aliases w:val="ih"/>
    <w:basedOn w:val="OPCParaBase"/>
    <w:next w:val="Item"/>
    <w:link w:val="ItemHeadChar"/>
    <w:rsid w:val="002A23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23B3"/>
    <w:pPr>
      <w:spacing w:line="240" w:lineRule="auto"/>
    </w:pPr>
    <w:rPr>
      <w:b/>
      <w:sz w:val="32"/>
    </w:rPr>
  </w:style>
  <w:style w:type="paragraph" w:customStyle="1" w:styleId="notedraft">
    <w:name w:val="note(draft)"/>
    <w:aliases w:val="nd"/>
    <w:basedOn w:val="OPCParaBase"/>
    <w:rsid w:val="002A23B3"/>
    <w:pPr>
      <w:spacing w:before="240" w:line="240" w:lineRule="auto"/>
      <w:ind w:left="284" w:hanging="284"/>
    </w:pPr>
    <w:rPr>
      <w:i/>
      <w:sz w:val="24"/>
    </w:rPr>
  </w:style>
  <w:style w:type="paragraph" w:customStyle="1" w:styleId="notemargin">
    <w:name w:val="note(margin)"/>
    <w:aliases w:val="nm"/>
    <w:basedOn w:val="OPCParaBase"/>
    <w:rsid w:val="002A23B3"/>
    <w:pPr>
      <w:tabs>
        <w:tab w:val="left" w:pos="709"/>
      </w:tabs>
      <w:spacing w:before="122" w:line="198" w:lineRule="exact"/>
      <w:ind w:left="709" w:hanging="709"/>
    </w:pPr>
    <w:rPr>
      <w:sz w:val="18"/>
    </w:rPr>
  </w:style>
  <w:style w:type="paragraph" w:customStyle="1" w:styleId="noteToPara">
    <w:name w:val="noteToPara"/>
    <w:aliases w:val="ntp"/>
    <w:basedOn w:val="OPCParaBase"/>
    <w:rsid w:val="002A23B3"/>
    <w:pPr>
      <w:spacing w:before="122" w:line="198" w:lineRule="exact"/>
      <w:ind w:left="2353" w:hanging="709"/>
    </w:pPr>
    <w:rPr>
      <w:sz w:val="18"/>
    </w:rPr>
  </w:style>
  <w:style w:type="paragraph" w:customStyle="1" w:styleId="noteParlAmend">
    <w:name w:val="note(ParlAmend)"/>
    <w:aliases w:val="npp"/>
    <w:basedOn w:val="OPCParaBase"/>
    <w:next w:val="ParlAmend"/>
    <w:rsid w:val="002A23B3"/>
    <w:pPr>
      <w:spacing w:line="240" w:lineRule="auto"/>
      <w:jc w:val="right"/>
    </w:pPr>
    <w:rPr>
      <w:rFonts w:ascii="Arial" w:hAnsi="Arial"/>
      <w:b/>
      <w:i/>
    </w:rPr>
  </w:style>
  <w:style w:type="paragraph" w:customStyle="1" w:styleId="Page1">
    <w:name w:val="Page1"/>
    <w:basedOn w:val="OPCParaBase"/>
    <w:rsid w:val="002A23B3"/>
    <w:pPr>
      <w:spacing w:before="5600" w:line="240" w:lineRule="auto"/>
    </w:pPr>
    <w:rPr>
      <w:b/>
      <w:sz w:val="32"/>
    </w:rPr>
  </w:style>
  <w:style w:type="paragraph" w:customStyle="1" w:styleId="PageBreak">
    <w:name w:val="PageBreak"/>
    <w:aliases w:val="pb"/>
    <w:basedOn w:val="OPCParaBase"/>
    <w:rsid w:val="002A23B3"/>
    <w:pPr>
      <w:spacing w:line="240" w:lineRule="auto"/>
    </w:pPr>
    <w:rPr>
      <w:sz w:val="20"/>
    </w:rPr>
  </w:style>
  <w:style w:type="paragraph" w:customStyle="1" w:styleId="paragraphsub">
    <w:name w:val="paragraph(sub)"/>
    <w:aliases w:val="aa"/>
    <w:basedOn w:val="OPCParaBase"/>
    <w:rsid w:val="002A23B3"/>
    <w:pPr>
      <w:tabs>
        <w:tab w:val="right" w:pos="1985"/>
      </w:tabs>
      <w:spacing w:before="40" w:line="240" w:lineRule="auto"/>
      <w:ind w:left="2098" w:hanging="2098"/>
    </w:pPr>
  </w:style>
  <w:style w:type="paragraph" w:customStyle="1" w:styleId="paragraphsub-sub">
    <w:name w:val="paragraph(sub-sub)"/>
    <w:aliases w:val="aaa"/>
    <w:basedOn w:val="OPCParaBase"/>
    <w:rsid w:val="002A23B3"/>
    <w:pPr>
      <w:tabs>
        <w:tab w:val="right" w:pos="2722"/>
      </w:tabs>
      <w:spacing w:before="40" w:line="240" w:lineRule="auto"/>
      <w:ind w:left="2835" w:hanging="2835"/>
    </w:pPr>
  </w:style>
  <w:style w:type="paragraph" w:customStyle="1" w:styleId="paragraph">
    <w:name w:val="paragraph"/>
    <w:aliases w:val="a"/>
    <w:basedOn w:val="OPCParaBase"/>
    <w:link w:val="paragraphChar"/>
    <w:rsid w:val="002A23B3"/>
    <w:pPr>
      <w:tabs>
        <w:tab w:val="right" w:pos="1531"/>
      </w:tabs>
      <w:spacing w:before="40" w:line="240" w:lineRule="auto"/>
      <w:ind w:left="1644" w:hanging="1644"/>
    </w:pPr>
  </w:style>
  <w:style w:type="paragraph" w:customStyle="1" w:styleId="ParlAmend">
    <w:name w:val="ParlAmend"/>
    <w:aliases w:val="pp"/>
    <w:basedOn w:val="OPCParaBase"/>
    <w:rsid w:val="002A23B3"/>
    <w:pPr>
      <w:spacing w:before="240" w:line="240" w:lineRule="atLeast"/>
      <w:ind w:hanging="567"/>
    </w:pPr>
    <w:rPr>
      <w:sz w:val="24"/>
    </w:rPr>
  </w:style>
  <w:style w:type="paragraph" w:customStyle="1" w:styleId="Penalty">
    <w:name w:val="Penalty"/>
    <w:basedOn w:val="OPCParaBase"/>
    <w:rsid w:val="002A23B3"/>
    <w:pPr>
      <w:tabs>
        <w:tab w:val="left" w:pos="2977"/>
      </w:tabs>
      <w:spacing w:before="180" w:line="240" w:lineRule="auto"/>
      <w:ind w:left="1985" w:hanging="851"/>
    </w:pPr>
  </w:style>
  <w:style w:type="paragraph" w:customStyle="1" w:styleId="Portfolio">
    <w:name w:val="Portfolio"/>
    <w:basedOn w:val="OPCParaBase"/>
    <w:rsid w:val="002A23B3"/>
    <w:pPr>
      <w:spacing w:line="240" w:lineRule="auto"/>
    </w:pPr>
    <w:rPr>
      <w:i/>
      <w:sz w:val="20"/>
    </w:rPr>
  </w:style>
  <w:style w:type="paragraph" w:customStyle="1" w:styleId="Preamble">
    <w:name w:val="Preamble"/>
    <w:basedOn w:val="OPCParaBase"/>
    <w:next w:val="Normal"/>
    <w:rsid w:val="002A23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23B3"/>
    <w:pPr>
      <w:spacing w:line="240" w:lineRule="auto"/>
    </w:pPr>
    <w:rPr>
      <w:i/>
      <w:sz w:val="20"/>
    </w:rPr>
  </w:style>
  <w:style w:type="paragraph" w:customStyle="1" w:styleId="Session">
    <w:name w:val="Session"/>
    <w:basedOn w:val="OPCParaBase"/>
    <w:rsid w:val="002A23B3"/>
    <w:pPr>
      <w:spacing w:line="240" w:lineRule="auto"/>
    </w:pPr>
    <w:rPr>
      <w:sz w:val="28"/>
    </w:rPr>
  </w:style>
  <w:style w:type="paragraph" w:customStyle="1" w:styleId="Sponsor">
    <w:name w:val="Sponsor"/>
    <w:basedOn w:val="OPCParaBase"/>
    <w:rsid w:val="002A23B3"/>
    <w:pPr>
      <w:spacing w:line="240" w:lineRule="auto"/>
    </w:pPr>
    <w:rPr>
      <w:i/>
    </w:rPr>
  </w:style>
  <w:style w:type="paragraph" w:customStyle="1" w:styleId="Subitem">
    <w:name w:val="Subitem"/>
    <w:aliases w:val="iss"/>
    <w:basedOn w:val="OPCParaBase"/>
    <w:rsid w:val="002A23B3"/>
    <w:pPr>
      <w:spacing w:before="180" w:line="240" w:lineRule="auto"/>
      <w:ind w:left="709" w:hanging="709"/>
    </w:pPr>
  </w:style>
  <w:style w:type="paragraph" w:customStyle="1" w:styleId="SubitemHead">
    <w:name w:val="SubitemHead"/>
    <w:aliases w:val="issh"/>
    <w:basedOn w:val="OPCParaBase"/>
    <w:rsid w:val="002A23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23B3"/>
    <w:pPr>
      <w:spacing w:before="40" w:line="240" w:lineRule="auto"/>
      <w:ind w:left="1134"/>
    </w:pPr>
  </w:style>
  <w:style w:type="paragraph" w:customStyle="1" w:styleId="SubsectionHead">
    <w:name w:val="SubsectionHead"/>
    <w:aliases w:val="ssh"/>
    <w:basedOn w:val="OPCParaBase"/>
    <w:next w:val="subsection"/>
    <w:rsid w:val="002A23B3"/>
    <w:pPr>
      <w:keepNext/>
      <w:keepLines/>
      <w:spacing w:before="240" w:line="240" w:lineRule="auto"/>
      <w:ind w:left="1134"/>
    </w:pPr>
    <w:rPr>
      <w:i/>
    </w:rPr>
  </w:style>
  <w:style w:type="paragraph" w:customStyle="1" w:styleId="Tablea">
    <w:name w:val="Table(a)"/>
    <w:aliases w:val="ta"/>
    <w:basedOn w:val="OPCParaBase"/>
    <w:rsid w:val="002A23B3"/>
    <w:pPr>
      <w:spacing w:before="60" w:line="240" w:lineRule="auto"/>
      <w:ind w:left="284" w:hanging="284"/>
    </w:pPr>
    <w:rPr>
      <w:sz w:val="20"/>
    </w:rPr>
  </w:style>
  <w:style w:type="paragraph" w:customStyle="1" w:styleId="TableAA">
    <w:name w:val="Table(AA)"/>
    <w:aliases w:val="taaa"/>
    <w:basedOn w:val="OPCParaBase"/>
    <w:rsid w:val="002A23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23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23B3"/>
    <w:pPr>
      <w:spacing w:before="60" w:line="240" w:lineRule="atLeast"/>
    </w:pPr>
    <w:rPr>
      <w:sz w:val="20"/>
    </w:rPr>
  </w:style>
  <w:style w:type="paragraph" w:customStyle="1" w:styleId="TLPBoxTextnote">
    <w:name w:val="TLPBoxText(note"/>
    <w:aliases w:val="right)"/>
    <w:basedOn w:val="OPCParaBase"/>
    <w:rsid w:val="002A23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23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23B3"/>
    <w:pPr>
      <w:spacing w:before="122" w:line="198" w:lineRule="exact"/>
      <w:ind w:left="1985" w:hanging="851"/>
      <w:jc w:val="right"/>
    </w:pPr>
    <w:rPr>
      <w:sz w:val="18"/>
    </w:rPr>
  </w:style>
  <w:style w:type="paragraph" w:customStyle="1" w:styleId="TLPTableBullet">
    <w:name w:val="TLPTableBullet"/>
    <w:aliases w:val="ttb"/>
    <w:basedOn w:val="OPCParaBase"/>
    <w:rsid w:val="002A23B3"/>
    <w:pPr>
      <w:spacing w:line="240" w:lineRule="exact"/>
      <w:ind w:left="284" w:hanging="284"/>
    </w:pPr>
    <w:rPr>
      <w:sz w:val="20"/>
    </w:rPr>
  </w:style>
  <w:style w:type="paragraph" w:styleId="TOC1">
    <w:name w:val="toc 1"/>
    <w:basedOn w:val="OPCParaBase"/>
    <w:next w:val="Normal"/>
    <w:uiPriority w:val="39"/>
    <w:semiHidden/>
    <w:unhideWhenUsed/>
    <w:rsid w:val="002A23B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A23B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A23B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A23B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135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A23B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23B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A23B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23B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A23B3"/>
    <w:pPr>
      <w:keepLines/>
      <w:spacing w:before="240" w:after="120" w:line="240" w:lineRule="auto"/>
      <w:ind w:left="794"/>
    </w:pPr>
    <w:rPr>
      <w:b/>
      <w:kern w:val="28"/>
      <w:sz w:val="20"/>
    </w:rPr>
  </w:style>
  <w:style w:type="paragraph" w:customStyle="1" w:styleId="TofSectsHeading">
    <w:name w:val="TofSects(Heading)"/>
    <w:basedOn w:val="OPCParaBase"/>
    <w:rsid w:val="002A23B3"/>
    <w:pPr>
      <w:spacing w:before="240" w:after="120" w:line="240" w:lineRule="auto"/>
    </w:pPr>
    <w:rPr>
      <w:b/>
      <w:sz w:val="24"/>
    </w:rPr>
  </w:style>
  <w:style w:type="paragraph" w:customStyle="1" w:styleId="TofSectsSection">
    <w:name w:val="TofSects(Section)"/>
    <w:basedOn w:val="OPCParaBase"/>
    <w:rsid w:val="002A23B3"/>
    <w:pPr>
      <w:keepLines/>
      <w:spacing w:before="40" w:line="240" w:lineRule="auto"/>
      <w:ind w:left="1588" w:hanging="794"/>
    </w:pPr>
    <w:rPr>
      <w:kern w:val="28"/>
      <w:sz w:val="18"/>
    </w:rPr>
  </w:style>
  <w:style w:type="paragraph" w:customStyle="1" w:styleId="TofSectsSubdiv">
    <w:name w:val="TofSects(Subdiv)"/>
    <w:basedOn w:val="OPCParaBase"/>
    <w:rsid w:val="002A23B3"/>
    <w:pPr>
      <w:keepLines/>
      <w:spacing w:before="80" w:line="240" w:lineRule="auto"/>
      <w:ind w:left="1588" w:hanging="794"/>
    </w:pPr>
    <w:rPr>
      <w:kern w:val="28"/>
    </w:rPr>
  </w:style>
  <w:style w:type="paragraph" w:customStyle="1" w:styleId="WRStyle">
    <w:name w:val="WR Style"/>
    <w:aliases w:val="WR"/>
    <w:basedOn w:val="OPCParaBase"/>
    <w:rsid w:val="002A23B3"/>
    <w:pPr>
      <w:spacing w:before="240" w:line="240" w:lineRule="auto"/>
      <w:ind w:left="284" w:hanging="284"/>
    </w:pPr>
    <w:rPr>
      <w:b/>
      <w:i/>
      <w:kern w:val="28"/>
      <w:sz w:val="24"/>
    </w:rPr>
  </w:style>
  <w:style w:type="paragraph" w:customStyle="1" w:styleId="notepara">
    <w:name w:val="note(para)"/>
    <w:aliases w:val="na"/>
    <w:basedOn w:val="OPCParaBase"/>
    <w:rsid w:val="002A23B3"/>
    <w:pPr>
      <w:spacing w:before="40" w:line="198" w:lineRule="exact"/>
      <w:ind w:left="2354" w:hanging="369"/>
    </w:pPr>
    <w:rPr>
      <w:sz w:val="18"/>
    </w:rPr>
  </w:style>
  <w:style w:type="paragraph" w:styleId="Footer">
    <w:name w:val="footer"/>
    <w:link w:val="FooterChar"/>
    <w:rsid w:val="002A23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23B3"/>
    <w:rPr>
      <w:rFonts w:eastAsia="Times New Roman" w:cs="Times New Roman"/>
      <w:sz w:val="22"/>
      <w:szCs w:val="24"/>
      <w:lang w:eastAsia="en-AU"/>
    </w:rPr>
  </w:style>
  <w:style w:type="character" w:styleId="LineNumber">
    <w:name w:val="line number"/>
    <w:basedOn w:val="OPCCharBase"/>
    <w:uiPriority w:val="99"/>
    <w:semiHidden/>
    <w:unhideWhenUsed/>
    <w:rsid w:val="002A23B3"/>
    <w:rPr>
      <w:sz w:val="16"/>
    </w:rPr>
  </w:style>
  <w:style w:type="table" w:customStyle="1" w:styleId="CFlag">
    <w:name w:val="CFlag"/>
    <w:basedOn w:val="TableNormal"/>
    <w:uiPriority w:val="99"/>
    <w:rsid w:val="002A23B3"/>
    <w:rPr>
      <w:rFonts w:eastAsia="Times New Roman" w:cs="Times New Roman"/>
      <w:lang w:eastAsia="en-AU"/>
    </w:rPr>
    <w:tblPr/>
  </w:style>
  <w:style w:type="paragraph" w:customStyle="1" w:styleId="NotesHeading1">
    <w:name w:val="NotesHeading 1"/>
    <w:basedOn w:val="OPCParaBase"/>
    <w:next w:val="Normal"/>
    <w:rsid w:val="002A23B3"/>
    <w:rPr>
      <w:b/>
      <w:sz w:val="28"/>
      <w:szCs w:val="28"/>
    </w:rPr>
  </w:style>
  <w:style w:type="paragraph" w:customStyle="1" w:styleId="NotesHeading2">
    <w:name w:val="NotesHeading 2"/>
    <w:basedOn w:val="OPCParaBase"/>
    <w:next w:val="Normal"/>
    <w:rsid w:val="002A23B3"/>
    <w:rPr>
      <w:b/>
      <w:sz w:val="28"/>
      <w:szCs w:val="28"/>
    </w:rPr>
  </w:style>
  <w:style w:type="paragraph" w:customStyle="1" w:styleId="SignCoverPageEnd">
    <w:name w:val="SignCoverPageEnd"/>
    <w:basedOn w:val="OPCParaBase"/>
    <w:next w:val="Normal"/>
    <w:rsid w:val="002A23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23B3"/>
    <w:pPr>
      <w:pBdr>
        <w:top w:val="single" w:sz="4" w:space="1" w:color="auto"/>
      </w:pBdr>
      <w:spacing w:before="360"/>
      <w:ind w:right="397"/>
      <w:jc w:val="both"/>
    </w:pPr>
  </w:style>
  <w:style w:type="paragraph" w:customStyle="1" w:styleId="Paragraphsub-sub-sub">
    <w:name w:val="Paragraph(sub-sub-sub)"/>
    <w:aliases w:val="aaaa"/>
    <w:basedOn w:val="OPCParaBase"/>
    <w:rsid w:val="002A23B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A23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23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23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23B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A23B3"/>
    <w:pPr>
      <w:spacing w:before="120"/>
    </w:pPr>
  </w:style>
  <w:style w:type="paragraph" w:customStyle="1" w:styleId="TableTextEndNotes">
    <w:name w:val="TableTextEndNotes"/>
    <w:aliases w:val="Tten"/>
    <w:basedOn w:val="Normal"/>
    <w:rsid w:val="002A23B3"/>
    <w:pPr>
      <w:spacing w:before="60" w:line="240" w:lineRule="auto"/>
    </w:pPr>
    <w:rPr>
      <w:rFonts w:cs="Arial"/>
      <w:sz w:val="20"/>
      <w:szCs w:val="22"/>
    </w:rPr>
  </w:style>
  <w:style w:type="paragraph" w:customStyle="1" w:styleId="TableHeading">
    <w:name w:val="TableHeading"/>
    <w:aliases w:val="th"/>
    <w:basedOn w:val="OPCParaBase"/>
    <w:next w:val="Tabletext"/>
    <w:rsid w:val="002A23B3"/>
    <w:pPr>
      <w:keepNext/>
      <w:spacing w:before="60" w:line="240" w:lineRule="atLeast"/>
    </w:pPr>
    <w:rPr>
      <w:b/>
      <w:sz w:val="20"/>
    </w:rPr>
  </w:style>
  <w:style w:type="paragraph" w:customStyle="1" w:styleId="NoteToSubpara">
    <w:name w:val="NoteToSubpara"/>
    <w:aliases w:val="nts"/>
    <w:basedOn w:val="OPCParaBase"/>
    <w:rsid w:val="002A23B3"/>
    <w:pPr>
      <w:spacing w:before="40" w:line="198" w:lineRule="exact"/>
      <w:ind w:left="2835" w:hanging="709"/>
    </w:pPr>
    <w:rPr>
      <w:sz w:val="18"/>
    </w:rPr>
  </w:style>
  <w:style w:type="paragraph" w:customStyle="1" w:styleId="ENoteTableHeading">
    <w:name w:val="ENoteTableHeading"/>
    <w:aliases w:val="enth"/>
    <w:basedOn w:val="OPCParaBase"/>
    <w:rsid w:val="002A23B3"/>
    <w:pPr>
      <w:keepNext/>
      <w:spacing w:before="60" w:line="240" w:lineRule="atLeast"/>
    </w:pPr>
    <w:rPr>
      <w:rFonts w:ascii="Arial" w:hAnsi="Arial"/>
      <w:b/>
      <w:sz w:val="16"/>
    </w:rPr>
  </w:style>
  <w:style w:type="paragraph" w:customStyle="1" w:styleId="ENoteTTi">
    <w:name w:val="ENoteTTi"/>
    <w:aliases w:val="entti"/>
    <w:basedOn w:val="OPCParaBase"/>
    <w:rsid w:val="002A23B3"/>
    <w:pPr>
      <w:keepNext/>
      <w:spacing w:before="60" w:line="240" w:lineRule="atLeast"/>
      <w:ind w:left="170"/>
    </w:pPr>
    <w:rPr>
      <w:sz w:val="16"/>
    </w:rPr>
  </w:style>
  <w:style w:type="paragraph" w:customStyle="1" w:styleId="ENotesHeading1">
    <w:name w:val="ENotesHeading 1"/>
    <w:aliases w:val="Enh1"/>
    <w:basedOn w:val="OPCParaBase"/>
    <w:next w:val="Normal"/>
    <w:rsid w:val="002A23B3"/>
    <w:pPr>
      <w:spacing w:before="120"/>
      <w:outlineLvl w:val="1"/>
    </w:pPr>
    <w:rPr>
      <w:b/>
      <w:sz w:val="28"/>
      <w:szCs w:val="28"/>
    </w:rPr>
  </w:style>
  <w:style w:type="paragraph" w:customStyle="1" w:styleId="ENotesHeading2">
    <w:name w:val="ENotesHeading 2"/>
    <w:aliases w:val="Enh2"/>
    <w:basedOn w:val="OPCParaBase"/>
    <w:next w:val="Normal"/>
    <w:rsid w:val="002A23B3"/>
    <w:pPr>
      <w:spacing w:before="120" w:after="120"/>
      <w:outlineLvl w:val="2"/>
    </w:pPr>
    <w:rPr>
      <w:b/>
      <w:sz w:val="24"/>
      <w:szCs w:val="28"/>
    </w:rPr>
  </w:style>
  <w:style w:type="paragraph" w:customStyle="1" w:styleId="ENoteTTIndentHeading">
    <w:name w:val="ENoteTTIndentHeading"/>
    <w:aliases w:val="enTTHi"/>
    <w:basedOn w:val="OPCParaBase"/>
    <w:rsid w:val="002A23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23B3"/>
    <w:pPr>
      <w:spacing w:before="60" w:line="240" w:lineRule="atLeast"/>
    </w:pPr>
    <w:rPr>
      <w:sz w:val="16"/>
    </w:rPr>
  </w:style>
  <w:style w:type="paragraph" w:customStyle="1" w:styleId="MadeunderText">
    <w:name w:val="MadeunderText"/>
    <w:basedOn w:val="OPCParaBase"/>
    <w:next w:val="Normal"/>
    <w:rsid w:val="002A23B3"/>
    <w:pPr>
      <w:spacing w:before="240"/>
    </w:pPr>
    <w:rPr>
      <w:sz w:val="24"/>
      <w:szCs w:val="24"/>
    </w:rPr>
  </w:style>
  <w:style w:type="paragraph" w:customStyle="1" w:styleId="ENotesHeading3">
    <w:name w:val="ENotesHeading 3"/>
    <w:aliases w:val="Enh3"/>
    <w:basedOn w:val="OPCParaBase"/>
    <w:next w:val="Normal"/>
    <w:rsid w:val="002A23B3"/>
    <w:pPr>
      <w:keepNext/>
      <w:spacing w:before="120" w:line="240" w:lineRule="auto"/>
      <w:outlineLvl w:val="4"/>
    </w:pPr>
    <w:rPr>
      <w:b/>
      <w:szCs w:val="24"/>
    </w:rPr>
  </w:style>
  <w:style w:type="paragraph" w:customStyle="1" w:styleId="SubPartCASA">
    <w:name w:val="SubPart(CASA)"/>
    <w:aliases w:val="csp"/>
    <w:basedOn w:val="OPCParaBase"/>
    <w:next w:val="ActHead3"/>
    <w:rsid w:val="002A23B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A23B3"/>
  </w:style>
  <w:style w:type="character" w:customStyle="1" w:styleId="CharSubPartNoCASA">
    <w:name w:val="CharSubPartNo(CASA)"/>
    <w:basedOn w:val="OPCCharBase"/>
    <w:uiPriority w:val="1"/>
    <w:rsid w:val="002A23B3"/>
  </w:style>
  <w:style w:type="paragraph" w:customStyle="1" w:styleId="ENoteTTIndentHeadingSub">
    <w:name w:val="ENoteTTIndentHeadingSub"/>
    <w:aliases w:val="enTTHis"/>
    <w:basedOn w:val="OPCParaBase"/>
    <w:rsid w:val="002A23B3"/>
    <w:pPr>
      <w:keepNext/>
      <w:spacing w:before="60" w:line="240" w:lineRule="atLeast"/>
      <w:ind w:left="340"/>
    </w:pPr>
    <w:rPr>
      <w:b/>
      <w:sz w:val="16"/>
    </w:rPr>
  </w:style>
  <w:style w:type="paragraph" w:customStyle="1" w:styleId="ENoteTTiSub">
    <w:name w:val="ENoteTTiSub"/>
    <w:aliases w:val="enttis"/>
    <w:basedOn w:val="OPCParaBase"/>
    <w:rsid w:val="002A23B3"/>
    <w:pPr>
      <w:keepNext/>
      <w:spacing w:before="60" w:line="240" w:lineRule="atLeast"/>
      <w:ind w:left="340"/>
    </w:pPr>
    <w:rPr>
      <w:sz w:val="16"/>
    </w:rPr>
  </w:style>
  <w:style w:type="paragraph" w:customStyle="1" w:styleId="SubDivisionMigration">
    <w:name w:val="SubDivisionMigration"/>
    <w:aliases w:val="sdm"/>
    <w:basedOn w:val="OPCParaBase"/>
    <w:rsid w:val="002A23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23B3"/>
    <w:pPr>
      <w:keepNext/>
      <w:keepLines/>
      <w:spacing w:before="240" w:line="240" w:lineRule="auto"/>
      <w:ind w:left="1134" w:hanging="1134"/>
    </w:pPr>
    <w:rPr>
      <w:b/>
      <w:sz w:val="28"/>
    </w:rPr>
  </w:style>
  <w:style w:type="table" w:styleId="TableGrid">
    <w:name w:val="Table Grid"/>
    <w:basedOn w:val="TableNormal"/>
    <w:uiPriority w:val="59"/>
    <w:rsid w:val="002A2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A23B3"/>
    <w:pPr>
      <w:spacing w:before="122" w:line="240" w:lineRule="auto"/>
      <w:ind w:left="1985" w:hanging="851"/>
    </w:pPr>
    <w:rPr>
      <w:sz w:val="18"/>
    </w:rPr>
  </w:style>
  <w:style w:type="paragraph" w:customStyle="1" w:styleId="FreeForm">
    <w:name w:val="FreeForm"/>
    <w:rsid w:val="002A23B3"/>
    <w:rPr>
      <w:rFonts w:ascii="Arial" w:hAnsi="Arial"/>
      <w:sz w:val="22"/>
    </w:rPr>
  </w:style>
  <w:style w:type="paragraph" w:customStyle="1" w:styleId="SOText">
    <w:name w:val="SO Text"/>
    <w:aliases w:val="sot"/>
    <w:link w:val="SOTextChar"/>
    <w:rsid w:val="002A23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23B3"/>
    <w:rPr>
      <w:sz w:val="22"/>
    </w:rPr>
  </w:style>
  <w:style w:type="paragraph" w:customStyle="1" w:styleId="SOTextNote">
    <w:name w:val="SO TextNote"/>
    <w:aliases w:val="sont"/>
    <w:basedOn w:val="SOText"/>
    <w:qFormat/>
    <w:rsid w:val="002A23B3"/>
    <w:pPr>
      <w:spacing w:before="122" w:line="198" w:lineRule="exact"/>
      <w:ind w:left="1843" w:hanging="709"/>
    </w:pPr>
    <w:rPr>
      <w:sz w:val="18"/>
    </w:rPr>
  </w:style>
  <w:style w:type="paragraph" w:customStyle="1" w:styleId="SOPara">
    <w:name w:val="SO Para"/>
    <w:aliases w:val="soa"/>
    <w:basedOn w:val="SOText"/>
    <w:link w:val="SOParaChar"/>
    <w:qFormat/>
    <w:rsid w:val="002A23B3"/>
    <w:pPr>
      <w:tabs>
        <w:tab w:val="right" w:pos="1786"/>
      </w:tabs>
      <w:spacing w:before="40"/>
      <w:ind w:left="2070" w:hanging="936"/>
    </w:pPr>
  </w:style>
  <w:style w:type="character" w:customStyle="1" w:styleId="SOParaChar">
    <w:name w:val="SO Para Char"/>
    <w:aliases w:val="soa Char"/>
    <w:basedOn w:val="DefaultParagraphFont"/>
    <w:link w:val="SOPara"/>
    <w:rsid w:val="002A23B3"/>
    <w:rPr>
      <w:sz w:val="22"/>
    </w:rPr>
  </w:style>
  <w:style w:type="paragraph" w:customStyle="1" w:styleId="FileName">
    <w:name w:val="FileName"/>
    <w:basedOn w:val="Normal"/>
    <w:rsid w:val="002A23B3"/>
  </w:style>
  <w:style w:type="paragraph" w:customStyle="1" w:styleId="SOHeadBold">
    <w:name w:val="SO HeadBold"/>
    <w:aliases w:val="sohb"/>
    <w:basedOn w:val="SOText"/>
    <w:next w:val="SOText"/>
    <w:link w:val="SOHeadBoldChar"/>
    <w:qFormat/>
    <w:rsid w:val="002A23B3"/>
    <w:rPr>
      <w:b/>
    </w:rPr>
  </w:style>
  <w:style w:type="character" w:customStyle="1" w:styleId="SOHeadBoldChar">
    <w:name w:val="SO HeadBold Char"/>
    <w:aliases w:val="sohb Char"/>
    <w:basedOn w:val="DefaultParagraphFont"/>
    <w:link w:val="SOHeadBold"/>
    <w:rsid w:val="002A23B3"/>
    <w:rPr>
      <w:b/>
      <w:sz w:val="22"/>
    </w:rPr>
  </w:style>
  <w:style w:type="paragraph" w:customStyle="1" w:styleId="SOHeadItalic">
    <w:name w:val="SO HeadItalic"/>
    <w:aliases w:val="sohi"/>
    <w:basedOn w:val="SOText"/>
    <w:next w:val="SOText"/>
    <w:link w:val="SOHeadItalicChar"/>
    <w:qFormat/>
    <w:rsid w:val="002A23B3"/>
    <w:rPr>
      <w:i/>
    </w:rPr>
  </w:style>
  <w:style w:type="character" w:customStyle="1" w:styleId="SOHeadItalicChar">
    <w:name w:val="SO HeadItalic Char"/>
    <w:aliases w:val="sohi Char"/>
    <w:basedOn w:val="DefaultParagraphFont"/>
    <w:link w:val="SOHeadItalic"/>
    <w:rsid w:val="002A23B3"/>
    <w:rPr>
      <w:i/>
      <w:sz w:val="22"/>
    </w:rPr>
  </w:style>
  <w:style w:type="paragraph" w:customStyle="1" w:styleId="SOBullet">
    <w:name w:val="SO Bullet"/>
    <w:aliases w:val="sotb"/>
    <w:basedOn w:val="SOText"/>
    <w:link w:val="SOBulletChar"/>
    <w:qFormat/>
    <w:rsid w:val="002A23B3"/>
    <w:pPr>
      <w:ind w:left="1559" w:hanging="425"/>
    </w:pPr>
  </w:style>
  <w:style w:type="character" w:customStyle="1" w:styleId="SOBulletChar">
    <w:name w:val="SO Bullet Char"/>
    <w:aliases w:val="sotb Char"/>
    <w:basedOn w:val="DefaultParagraphFont"/>
    <w:link w:val="SOBullet"/>
    <w:rsid w:val="002A23B3"/>
    <w:rPr>
      <w:sz w:val="22"/>
    </w:rPr>
  </w:style>
  <w:style w:type="paragraph" w:customStyle="1" w:styleId="SOBulletNote">
    <w:name w:val="SO BulletNote"/>
    <w:aliases w:val="sonb"/>
    <w:basedOn w:val="SOTextNote"/>
    <w:link w:val="SOBulletNoteChar"/>
    <w:qFormat/>
    <w:rsid w:val="002A23B3"/>
    <w:pPr>
      <w:tabs>
        <w:tab w:val="left" w:pos="1560"/>
      </w:tabs>
      <w:ind w:left="2268" w:hanging="1134"/>
    </w:pPr>
  </w:style>
  <w:style w:type="character" w:customStyle="1" w:styleId="SOBulletNoteChar">
    <w:name w:val="SO BulletNote Char"/>
    <w:aliases w:val="sonb Char"/>
    <w:basedOn w:val="DefaultParagraphFont"/>
    <w:link w:val="SOBulletNote"/>
    <w:rsid w:val="002A23B3"/>
    <w:rPr>
      <w:sz w:val="18"/>
    </w:rPr>
  </w:style>
  <w:style w:type="paragraph" w:customStyle="1" w:styleId="SOText2">
    <w:name w:val="SO Text2"/>
    <w:aliases w:val="sot2"/>
    <w:basedOn w:val="Normal"/>
    <w:next w:val="SOText"/>
    <w:link w:val="SOText2Char"/>
    <w:rsid w:val="002A23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23B3"/>
    <w:rPr>
      <w:sz w:val="22"/>
    </w:rPr>
  </w:style>
  <w:style w:type="paragraph" w:customStyle="1" w:styleId="Transitional">
    <w:name w:val="Transitional"/>
    <w:aliases w:val="tr"/>
    <w:basedOn w:val="ItemHead"/>
    <w:next w:val="Item"/>
    <w:rsid w:val="002A23B3"/>
  </w:style>
  <w:style w:type="paragraph" w:customStyle="1" w:styleId="tableSub-heading">
    <w:name w:val="table.Sub-heading"/>
    <w:basedOn w:val="Normal"/>
    <w:rsid w:val="00323DE4"/>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323DE4"/>
    <w:pPr>
      <w:spacing w:before="24" w:after="24"/>
    </w:pPr>
    <w:rPr>
      <w:rFonts w:eastAsia="Calibri" w:cs="Times New Roman"/>
      <w:sz w:val="20"/>
    </w:rPr>
  </w:style>
  <w:style w:type="paragraph" w:customStyle="1" w:styleId="tableIndentText">
    <w:name w:val="table.Indent.Text"/>
    <w:rsid w:val="00323DE4"/>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323DE4"/>
    <w:rPr>
      <w:rFonts w:ascii="Arial" w:eastAsia="Times New Roman" w:hAnsi="Arial" w:cs="Times New Roman"/>
      <w:b/>
      <w:kern w:val="28"/>
      <w:sz w:val="24"/>
      <w:lang w:eastAsia="en-AU"/>
    </w:rPr>
  </w:style>
  <w:style w:type="character" w:customStyle="1" w:styleId="paragraphChar">
    <w:name w:val="paragraph Char"/>
    <w:aliases w:val="a Char"/>
    <w:link w:val="paragraph"/>
    <w:rsid w:val="00323DE4"/>
    <w:rPr>
      <w:rFonts w:eastAsia="Times New Roman" w:cs="Times New Roman"/>
      <w:sz w:val="22"/>
      <w:lang w:eastAsia="en-AU"/>
    </w:rPr>
  </w:style>
  <w:style w:type="character" w:customStyle="1" w:styleId="ActHead7Char">
    <w:name w:val="ActHead 7 Char"/>
    <w:aliases w:val="ap Char"/>
    <w:basedOn w:val="DefaultParagraphFont"/>
    <w:link w:val="ActHead7"/>
    <w:rsid w:val="00323DE4"/>
    <w:rPr>
      <w:rFonts w:ascii="Arial" w:eastAsia="Times New Roman" w:hAnsi="Arial" w:cs="Times New Roman"/>
      <w:b/>
      <w:kern w:val="28"/>
      <w:sz w:val="28"/>
      <w:lang w:eastAsia="en-AU"/>
    </w:rPr>
  </w:style>
  <w:style w:type="character" w:styleId="Hyperlink">
    <w:name w:val="Hyperlink"/>
    <w:basedOn w:val="DefaultParagraphFont"/>
    <w:uiPriority w:val="99"/>
    <w:semiHidden/>
    <w:unhideWhenUsed/>
    <w:rsid w:val="00343F8E"/>
    <w:rPr>
      <w:color w:val="0000FF" w:themeColor="hyperlink"/>
      <w:u w:val="single"/>
    </w:rPr>
  </w:style>
  <w:style w:type="character" w:styleId="FollowedHyperlink">
    <w:name w:val="FollowedHyperlink"/>
    <w:basedOn w:val="DefaultParagraphFont"/>
    <w:uiPriority w:val="99"/>
    <w:semiHidden/>
    <w:unhideWhenUsed/>
    <w:rsid w:val="00343F8E"/>
    <w:rPr>
      <w:color w:val="0000FF" w:themeColor="hyperlink"/>
      <w:u w:val="single"/>
    </w:rPr>
  </w:style>
  <w:style w:type="character" w:customStyle="1" w:styleId="Heading1Char">
    <w:name w:val="Heading 1 Char"/>
    <w:basedOn w:val="DefaultParagraphFont"/>
    <w:link w:val="Heading1"/>
    <w:uiPriority w:val="9"/>
    <w:rsid w:val="00CC20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20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20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200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C200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C200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C200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C20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200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CC200F"/>
    <w:pPr>
      <w:spacing w:before="800"/>
    </w:pPr>
  </w:style>
  <w:style w:type="character" w:customStyle="1" w:styleId="ShortTP1Char">
    <w:name w:val="ShortTP1 Char"/>
    <w:basedOn w:val="DefaultParagraphFont"/>
    <w:link w:val="ShortTP1"/>
    <w:rsid w:val="00CC200F"/>
    <w:rPr>
      <w:rFonts w:eastAsia="Times New Roman" w:cs="Times New Roman"/>
      <w:b/>
      <w:sz w:val="40"/>
      <w:lang w:eastAsia="en-AU"/>
    </w:rPr>
  </w:style>
  <w:style w:type="paragraph" w:customStyle="1" w:styleId="ActNoP1">
    <w:name w:val="ActNoP1"/>
    <w:basedOn w:val="Actno"/>
    <w:link w:val="ActNoP1Char"/>
    <w:rsid w:val="00CC200F"/>
    <w:pPr>
      <w:spacing w:before="800"/>
    </w:pPr>
    <w:rPr>
      <w:sz w:val="28"/>
    </w:rPr>
  </w:style>
  <w:style w:type="character" w:customStyle="1" w:styleId="ActNoP1Char">
    <w:name w:val="ActNoP1 Char"/>
    <w:basedOn w:val="DefaultParagraphFont"/>
    <w:link w:val="ActNoP1"/>
    <w:rsid w:val="00CC200F"/>
    <w:rPr>
      <w:rFonts w:eastAsia="Times New Roman" w:cs="Times New Roman"/>
      <w:b/>
      <w:sz w:val="28"/>
      <w:lang w:eastAsia="en-AU"/>
    </w:rPr>
  </w:style>
  <w:style w:type="paragraph" w:customStyle="1" w:styleId="AssentBk">
    <w:name w:val="AssentBk"/>
    <w:basedOn w:val="Normal"/>
    <w:rsid w:val="00CC200F"/>
    <w:pPr>
      <w:spacing w:line="240" w:lineRule="auto"/>
    </w:pPr>
    <w:rPr>
      <w:rFonts w:eastAsia="Times New Roman" w:cs="Times New Roman"/>
      <w:sz w:val="20"/>
      <w:lang w:eastAsia="en-AU"/>
    </w:rPr>
  </w:style>
  <w:style w:type="paragraph" w:customStyle="1" w:styleId="AssentDt">
    <w:name w:val="AssentDt"/>
    <w:basedOn w:val="Normal"/>
    <w:rsid w:val="00332DD4"/>
    <w:pPr>
      <w:spacing w:line="240" w:lineRule="auto"/>
    </w:pPr>
    <w:rPr>
      <w:rFonts w:eastAsia="Times New Roman" w:cs="Times New Roman"/>
      <w:sz w:val="20"/>
      <w:lang w:eastAsia="en-AU"/>
    </w:rPr>
  </w:style>
  <w:style w:type="paragraph" w:customStyle="1" w:styleId="2ndRd">
    <w:name w:val="2ndRd"/>
    <w:basedOn w:val="Normal"/>
    <w:rsid w:val="00332DD4"/>
    <w:pPr>
      <w:spacing w:line="240" w:lineRule="auto"/>
    </w:pPr>
    <w:rPr>
      <w:rFonts w:eastAsia="Times New Roman" w:cs="Times New Roman"/>
      <w:sz w:val="20"/>
      <w:lang w:eastAsia="en-AU"/>
    </w:rPr>
  </w:style>
  <w:style w:type="paragraph" w:customStyle="1" w:styleId="ScalePlusRef">
    <w:name w:val="ScalePlusRef"/>
    <w:basedOn w:val="Normal"/>
    <w:rsid w:val="00332DD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4064</Words>
  <Characters>21584</Characters>
  <Application>Microsoft Office Word</Application>
  <DocSecurity>0</DocSecurity>
  <PresentationFormat/>
  <Lines>179</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2022-09-19T06:58:00Z</dcterms:created>
  <dcterms:modified xsi:type="dcterms:W3CDTF">2022-09-19T06:58:00Z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(2021 Measures No. 6) Act 2021</vt:lpwstr>
  </property>
  <property fmtid="{D5CDD505-2E9C-101B-9397-08002B2CF9AE}" pid="3" name="ActNo">
    <vt:lpwstr>No. 111,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OPC7740</vt:lpwstr>
  </property>
</Properties>
</file>