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4918862"/>
    <w:p w14:paraId="4EF1F350" w14:textId="1AD1D5C5" w:rsidR="00D430A2" w:rsidRDefault="00D430A2" w:rsidP="00D430A2">
      <w:r>
        <w:object w:dxaOrig="2146" w:dyaOrig="1561" w14:anchorId="0FBBE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6.5pt;height:78pt" o:ole="" fillcolor="window">
            <v:imagedata r:id="rId8" o:title=""/>
          </v:shape>
          <o:OLEObject Type="Embed" ProgID="Word.Picture.8" ShapeID="_x0000_i1026" DrawAspect="Content" ObjectID="_1701006783" r:id="rId9"/>
        </w:object>
      </w:r>
    </w:p>
    <w:p w14:paraId="62922801" w14:textId="77777777" w:rsidR="00D430A2" w:rsidRDefault="00D430A2" w:rsidP="00D430A2"/>
    <w:p w14:paraId="6BB4F6BF" w14:textId="77777777" w:rsidR="00D430A2" w:rsidRDefault="00D430A2" w:rsidP="00D430A2"/>
    <w:p w14:paraId="4CD11215" w14:textId="77777777" w:rsidR="00D430A2" w:rsidRDefault="00D430A2" w:rsidP="00D430A2"/>
    <w:p w14:paraId="17CE414D" w14:textId="77777777" w:rsidR="00D430A2" w:rsidRDefault="00D430A2" w:rsidP="00D430A2"/>
    <w:p w14:paraId="4B7C68B1" w14:textId="77777777" w:rsidR="00D430A2" w:rsidRDefault="00D430A2" w:rsidP="00D430A2"/>
    <w:p w14:paraId="52481E11" w14:textId="77777777" w:rsidR="00D430A2" w:rsidRDefault="00D430A2" w:rsidP="00D430A2"/>
    <w:p w14:paraId="485528D9" w14:textId="4726E11D" w:rsidR="0048364F" w:rsidRPr="004B35D6" w:rsidRDefault="00D430A2" w:rsidP="0048364F">
      <w:pPr>
        <w:pStyle w:val="ShortT"/>
      </w:pPr>
      <w:r>
        <w:t>Independent National Security Legislation Monitor Amendment Act 2021</w:t>
      </w:r>
      <w:bookmarkStart w:id="1" w:name="_GoBack"/>
      <w:bookmarkEnd w:id="1"/>
    </w:p>
    <w:bookmarkEnd w:id="0"/>
    <w:p w14:paraId="060CF883" w14:textId="77777777" w:rsidR="0048364F" w:rsidRPr="004B35D6" w:rsidRDefault="0048364F" w:rsidP="0048364F"/>
    <w:p w14:paraId="3AA65E61" w14:textId="7F4D33EF" w:rsidR="0048364F" w:rsidRPr="004B35D6" w:rsidRDefault="00C164CA" w:rsidP="00D430A2">
      <w:pPr>
        <w:pStyle w:val="Actno"/>
        <w:spacing w:before="400"/>
      </w:pPr>
      <w:r w:rsidRPr="004B35D6">
        <w:t>No.</w:t>
      </w:r>
      <w:r w:rsidR="00C76675">
        <w:t xml:space="preserve"> 130</w:t>
      </w:r>
      <w:r w:rsidRPr="004B35D6">
        <w:t>, 20</w:t>
      </w:r>
      <w:r w:rsidR="009D534E" w:rsidRPr="004B35D6">
        <w:t>21</w:t>
      </w:r>
    </w:p>
    <w:p w14:paraId="1B7F9033" w14:textId="77777777" w:rsidR="0048364F" w:rsidRPr="004B35D6" w:rsidRDefault="0048364F" w:rsidP="0048364F"/>
    <w:p w14:paraId="24C95E4B" w14:textId="77777777" w:rsidR="004D1926" w:rsidRDefault="004D1926" w:rsidP="004D1926">
      <w:pPr>
        <w:rPr>
          <w:lang w:eastAsia="en-AU"/>
        </w:rPr>
      </w:pPr>
    </w:p>
    <w:p w14:paraId="2B383D31" w14:textId="2856CB7E" w:rsidR="0048364F" w:rsidRPr="004B35D6" w:rsidRDefault="0048364F" w:rsidP="0048364F"/>
    <w:p w14:paraId="27904C41" w14:textId="77777777" w:rsidR="0048364F" w:rsidRPr="004B35D6" w:rsidRDefault="0048364F" w:rsidP="0048364F"/>
    <w:p w14:paraId="65CA3014" w14:textId="77777777" w:rsidR="0048364F" w:rsidRPr="004B35D6" w:rsidRDefault="0048364F" w:rsidP="0048364F"/>
    <w:p w14:paraId="0F710258" w14:textId="77777777" w:rsidR="00D430A2" w:rsidRDefault="00D430A2" w:rsidP="00D430A2">
      <w:pPr>
        <w:pStyle w:val="LongT"/>
      </w:pPr>
      <w:r>
        <w:t xml:space="preserve">An Act to amend the </w:t>
      </w:r>
      <w:r w:rsidRPr="00D430A2">
        <w:rPr>
          <w:i/>
        </w:rPr>
        <w:t>Independent National Security Legislation Monitor Act 2010</w:t>
      </w:r>
      <w:r>
        <w:t>, and for related purposes</w:t>
      </w:r>
    </w:p>
    <w:p w14:paraId="4EBEF9DF" w14:textId="6DB68DF6" w:rsidR="0048364F" w:rsidRPr="009049BD" w:rsidRDefault="0048364F" w:rsidP="0048364F">
      <w:pPr>
        <w:pStyle w:val="Header"/>
        <w:tabs>
          <w:tab w:val="clear" w:pos="4150"/>
          <w:tab w:val="clear" w:pos="8307"/>
        </w:tabs>
      </w:pPr>
      <w:r w:rsidRPr="009F318A">
        <w:rPr>
          <w:rStyle w:val="CharAmSchNo"/>
        </w:rPr>
        <w:t xml:space="preserve"> </w:t>
      </w:r>
      <w:r w:rsidRPr="009F318A">
        <w:rPr>
          <w:rStyle w:val="CharAmSchText"/>
        </w:rPr>
        <w:t xml:space="preserve"> </w:t>
      </w:r>
    </w:p>
    <w:p w14:paraId="0F84C3BF" w14:textId="77777777" w:rsidR="0048364F" w:rsidRPr="009049BD" w:rsidRDefault="0048364F" w:rsidP="0048364F">
      <w:pPr>
        <w:pStyle w:val="Header"/>
        <w:tabs>
          <w:tab w:val="clear" w:pos="4150"/>
          <w:tab w:val="clear" w:pos="8307"/>
        </w:tabs>
      </w:pPr>
      <w:r w:rsidRPr="009F318A">
        <w:rPr>
          <w:rStyle w:val="CharAmPartNo"/>
        </w:rPr>
        <w:t xml:space="preserve"> </w:t>
      </w:r>
      <w:r w:rsidRPr="009F318A">
        <w:rPr>
          <w:rStyle w:val="CharAmPartText"/>
        </w:rPr>
        <w:t xml:space="preserve"> </w:t>
      </w:r>
    </w:p>
    <w:p w14:paraId="735620CB" w14:textId="77777777" w:rsidR="0048364F" w:rsidRPr="004B35D6" w:rsidRDefault="0048364F" w:rsidP="0048364F">
      <w:pPr>
        <w:sectPr w:rsidR="0048364F" w:rsidRPr="004B35D6" w:rsidSect="00D430A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4A35049B" w14:textId="77777777" w:rsidR="0048364F" w:rsidRPr="004B35D6" w:rsidRDefault="0048364F" w:rsidP="0048364F">
      <w:pPr>
        <w:outlineLvl w:val="0"/>
        <w:rPr>
          <w:sz w:val="36"/>
        </w:rPr>
      </w:pPr>
      <w:r w:rsidRPr="004B35D6">
        <w:rPr>
          <w:sz w:val="36"/>
        </w:rPr>
        <w:lastRenderedPageBreak/>
        <w:t>Contents</w:t>
      </w:r>
    </w:p>
    <w:p w14:paraId="2BA3F25F" w14:textId="0BC2AC88" w:rsidR="00C76675" w:rsidRDefault="00C7667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76675">
        <w:rPr>
          <w:noProof/>
        </w:rPr>
        <w:tab/>
      </w:r>
      <w:r w:rsidRPr="00C76675">
        <w:rPr>
          <w:noProof/>
        </w:rPr>
        <w:fldChar w:fldCharType="begin"/>
      </w:r>
      <w:r w:rsidRPr="00C76675">
        <w:rPr>
          <w:noProof/>
        </w:rPr>
        <w:instrText xml:space="preserve"> PAGEREF _Toc90393937 \h </w:instrText>
      </w:r>
      <w:r w:rsidRPr="00C76675">
        <w:rPr>
          <w:noProof/>
        </w:rPr>
      </w:r>
      <w:r w:rsidRPr="00C76675">
        <w:rPr>
          <w:noProof/>
        </w:rPr>
        <w:fldChar w:fldCharType="separate"/>
      </w:r>
      <w:r w:rsidRPr="00C76675">
        <w:rPr>
          <w:noProof/>
        </w:rPr>
        <w:t>1</w:t>
      </w:r>
      <w:r w:rsidRPr="00C76675">
        <w:rPr>
          <w:noProof/>
        </w:rPr>
        <w:fldChar w:fldCharType="end"/>
      </w:r>
    </w:p>
    <w:p w14:paraId="4B960020" w14:textId="2708CAE6" w:rsidR="00C76675" w:rsidRDefault="00C76675">
      <w:pPr>
        <w:pStyle w:val="TOC5"/>
        <w:rPr>
          <w:rFonts w:asciiTheme="minorHAnsi" w:eastAsiaTheme="minorEastAsia" w:hAnsiTheme="minorHAnsi" w:cstheme="minorBidi"/>
          <w:noProof/>
          <w:kern w:val="0"/>
          <w:sz w:val="22"/>
          <w:szCs w:val="22"/>
        </w:rPr>
      </w:pPr>
      <w:r>
        <w:rPr>
          <w:noProof/>
        </w:rPr>
        <w:t>2</w:t>
      </w:r>
      <w:r>
        <w:rPr>
          <w:noProof/>
        </w:rPr>
        <w:tab/>
        <w:t>Commencement</w:t>
      </w:r>
      <w:r w:rsidRPr="00C76675">
        <w:rPr>
          <w:noProof/>
        </w:rPr>
        <w:tab/>
      </w:r>
      <w:r w:rsidRPr="00C76675">
        <w:rPr>
          <w:noProof/>
        </w:rPr>
        <w:fldChar w:fldCharType="begin"/>
      </w:r>
      <w:r w:rsidRPr="00C76675">
        <w:rPr>
          <w:noProof/>
        </w:rPr>
        <w:instrText xml:space="preserve"> PAGEREF _Toc90393938 \h </w:instrText>
      </w:r>
      <w:r w:rsidRPr="00C76675">
        <w:rPr>
          <w:noProof/>
        </w:rPr>
      </w:r>
      <w:r w:rsidRPr="00C76675">
        <w:rPr>
          <w:noProof/>
        </w:rPr>
        <w:fldChar w:fldCharType="separate"/>
      </w:r>
      <w:r w:rsidRPr="00C76675">
        <w:rPr>
          <w:noProof/>
        </w:rPr>
        <w:t>2</w:t>
      </w:r>
      <w:r w:rsidRPr="00C76675">
        <w:rPr>
          <w:noProof/>
        </w:rPr>
        <w:fldChar w:fldCharType="end"/>
      </w:r>
    </w:p>
    <w:p w14:paraId="548FAEC1" w14:textId="55E8AE93" w:rsidR="00C76675" w:rsidRDefault="00C76675">
      <w:pPr>
        <w:pStyle w:val="TOC5"/>
        <w:rPr>
          <w:rFonts w:asciiTheme="minorHAnsi" w:eastAsiaTheme="minorEastAsia" w:hAnsiTheme="minorHAnsi" w:cstheme="minorBidi"/>
          <w:noProof/>
          <w:kern w:val="0"/>
          <w:sz w:val="22"/>
          <w:szCs w:val="22"/>
        </w:rPr>
      </w:pPr>
      <w:r>
        <w:rPr>
          <w:noProof/>
        </w:rPr>
        <w:t>3</w:t>
      </w:r>
      <w:r>
        <w:rPr>
          <w:noProof/>
        </w:rPr>
        <w:tab/>
        <w:t>Schedules</w:t>
      </w:r>
      <w:r w:rsidRPr="00C76675">
        <w:rPr>
          <w:noProof/>
        </w:rPr>
        <w:tab/>
      </w:r>
      <w:r w:rsidRPr="00C76675">
        <w:rPr>
          <w:noProof/>
        </w:rPr>
        <w:fldChar w:fldCharType="begin"/>
      </w:r>
      <w:r w:rsidRPr="00C76675">
        <w:rPr>
          <w:noProof/>
        </w:rPr>
        <w:instrText xml:space="preserve"> PAGEREF _Toc90393939 \h </w:instrText>
      </w:r>
      <w:r w:rsidRPr="00C76675">
        <w:rPr>
          <w:noProof/>
        </w:rPr>
      </w:r>
      <w:r w:rsidRPr="00C76675">
        <w:rPr>
          <w:noProof/>
        </w:rPr>
        <w:fldChar w:fldCharType="separate"/>
      </w:r>
      <w:r w:rsidRPr="00C76675">
        <w:rPr>
          <w:noProof/>
        </w:rPr>
        <w:t>2</w:t>
      </w:r>
      <w:r w:rsidRPr="00C76675">
        <w:rPr>
          <w:noProof/>
        </w:rPr>
        <w:fldChar w:fldCharType="end"/>
      </w:r>
    </w:p>
    <w:p w14:paraId="273007DE" w14:textId="1C5C21AD" w:rsidR="00C76675" w:rsidRDefault="00C76675">
      <w:pPr>
        <w:pStyle w:val="TOC6"/>
        <w:rPr>
          <w:rFonts w:asciiTheme="minorHAnsi" w:eastAsiaTheme="minorEastAsia" w:hAnsiTheme="minorHAnsi" w:cstheme="minorBidi"/>
          <w:b w:val="0"/>
          <w:noProof/>
          <w:kern w:val="0"/>
          <w:sz w:val="22"/>
          <w:szCs w:val="22"/>
        </w:rPr>
      </w:pPr>
      <w:r>
        <w:rPr>
          <w:noProof/>
        </w:rPr>
        <w:t>Schedule 1—Amendments</w:t>
      </w:r>
      <w:r w:rsidRPr="00C76675">
        <w:rPr>
          <w:b w:val="0"/>
          <w:noProof/>
          <w:sz w:val="18"/>
        </w:rPr>
        <w:tab/>
      </w:r>
      <w:r w:rsidRPr="00C76675">
        <w:rPr>
          <w:b w:val="0"/>
          <w:noProof/>
          <w:sz w:val="18"/>
        </w:rPr>
        <w:fldChar w:fldCharType="begin"/>
      </w:r>
      <w:r w:rsidRPr="00C76675">
        <w:rPr>
          <w:b w:val="0"/>
          <w:noProof/>
          <w:sz w:val="18"/>
        </w:rPr>
        <w:instrText xml:space="preserve"> PAGEREF _Toc90393940 \h </w:instrText>
      </w:r>
      <w:r w:rsidRPr="00C76675">
        <w:rPr>
          <w:b w:val="0"/>
          <w:noProof/>
          <w:sz w:val="18"/>
        </w:rPr>
      </w:r>
      <w:r w:rsidRPr="00C76675">
        <w:rPr>
          <w:b w:val="0"/>
          <w:noProof/>
          <w:sz w:val="18"/>
        </w:rPr>
        <w:fldChar w:fldCharType="separate"/>
      </w:r>
      <w:r w:rsidRPr="00C76675">
        <w:rPr>
          <w:b w:val="0"/>
          <w:noProof/>
          <w:sz w:val="18"/>
        </w:rPr>
        <w:t>3</w:t>
      </w:r>
      <w:r w:rsidRPr="00C76675">
        <w:rPr>
          <w:b w:val="0"/>
          <w:noProof/>
          <w:sz w:val="18"/>
        </w:rPr>
        <w:fldChar w:fldCharType="end"/>
      </w:r>
    </w:p>
    <w:p w14:paraId="78AA9CBF" w14:textId="188BFCDF" w:rsidR="00C76675" w:rsidRDefault="00C76675">
      <w:pPr>
        <w:pStyle w:val="TOC9"/>
        <w:rPr>
          <w:rFonts w:asciiTheme="minorHAnsi" w:eastAsiaTheme="minorEastAsia" w:hAnsiTheme="minorHAnsi" w:cstheme="minorBidi"/>
          <w:i w:val="0"/>
          <w:noProof/>
          <w:kern w:val="0"/>
          <w:sz w:val="22"/>
          <w:szCs w:val="22"/>
        </w:rPr>
      </w:pPr>
      <w:r>
        <w:rPr>
          <w:noProof/>
        </w:rPr>
        <w:t>Independent National Security Legislation Monitor Act 2010</w:t>
      </w:r>
      <w:r w:rsidRPr="00C76675">
        <w:rPr>
          <w:i w:val="0"/>
          <w:noProof/>
          <w:sz w:val="18"/>
        </w:rPr>
        <w:tab/>
      </w:r>
      <w:r w:rsidRPr="00C76675">
        <w:rPr>
          <w:i w:val="0"/>
          <w:noProof/>
          <w:sz w:val="18"/>
        </w:rPr>
        <w:fldChar w:fldCharType="begin"/>
      </w:r>
      <w:r w:rsidRPr="00C76675">
        <w:rPr>
          <w:i w:val="0"/>
          <w:noProof/>
          <w:sz w:val="18"/>
        </w:rPr>
        <w:instrText xml:space="preserve"> PAGEREF _Toc90393941 \h </w:instrText>
      </w:r>
      <w:r w:rsidRPr="00C76675">
        <w:rPr>
          <w:i w:val="0"/>
          <w:noProof/>
          <w:sz w:val="18"/>
        </w:rPr>
      </w:r>
      <w:r w:rsidRPr="00C76675">
        <w:rPr>
          <w:i w:val="0"/>
          <w:noProof/>
          <w:sz w:val="18"/>
        </w:rPr>
        <w:fldChar w:fldCharType="separate"/>
      </w:r>
      <w:r w:rsidRPr="00C76675">
        <w:rPr>
          <w:i w:val="0"/>
          <w:noProof/>
          <w:sz w:val="18"/>
        </w:rPr>
        <w:t>3</w:t>
      </w:r>
      <w:r w:rsidRPr="00C76675">
        <w:rPr>
          <w:i w:val="0"/>
          <w:noProof/>
          <w:sz w:val="18"/>
        </w:rPr>
        <w:fldChar w:fldCharType="end"/>
      </w:r>
    </w:p>
    <w:p w14:paraId="728EB307" w14:textId="70FDCC0C" w:rsidR="00060FF9" w:rsidRPr="00756D57" w:rsidRDefault="00C76675" w:rsidP="0048364F">
      <w:r>
        <w:fldChar w:fldCharType="end"/>
      </w:r>
    </w:p>
    <w:p w14:paraId="677704FB" w14:textId="77777777" w:rsidR="00FE7F93" w:rsidRPr="00756D57" w:rsidRDefault="00FE7F93" w:rsidP="00EC5816">
      <w:pPr>
        <w:sectPr w:rsidR="00FE7F93" w:rsidRPr="00756D57" w:rsidSect="00D430A2">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6023B728" w14:textId="77777777" w:rsidR="00D430A2" w:rsidRDefault="00D430A2">
      <w:r>
        <w:object w:dxaOrig="2146" w:dyaOrig="1561" w14:anchorId="0AE72283">
          <v:shape id="_x0000_i1027" type="#_x0000_t75" alt="Commonwealth Coat of Arms of Australia" style="width:110.25pt;height:80.25pt" o:ole="" fillcolor="window">
            <v:imagedata r:id="rId8" o:title=""/>
          </v:shape>
          <o:OLEObject Type="Embed" ProgID="Word.Picture.8" ShapeID="_x0000_i1027" DrawAspect="Content" ObjectID="_1701006784" r:id="rId21"/>
        </w:object>
      </w:r>
    </w:p>
    <w:p w14:paraId="227C3A6A" w14:textId="77777777" w:rsidR="00D430A2" w:rsidRDefault="00D430A2" w:rsidP="000178F8">
      <w:pPr>
        <w:spacing w:line="240" w:lineRule="auto"/>
      </w:pPr>
    </w:p>
    <w:p w14:paraId="12D9C4D6" w14:textId="53206591" w:rsidR="00D430A2" w:rsidRDefault="002829CC" w:rsidP="000178F8">
      <w:pPr>
        <w:pStyle w:val="ShortTP1"/>
      </w:pPr>
      <w:fldSimple w:instr=" STYLEREF ShortT ">
        <w:r w:rsidR="00C76675">
          <w:rPr>
            <w:noProof/>
          </w:rPr>
          <w:t>Independent National Security Legislation Monitor Amendment Act 2021</w:t>
        </w:r>
      </w:fldSimple>
    </w:p>
    <w:p w14:paraId="4760EE6E" w14:textId="2480156B" w:rsidR="00D430A2" w:rsidRDefault="002829CC" w:rsidP="000178F8">
      <w:pPr>
        <w:pStyle w:val="ActNoP1"/>
      </w:pPr>
      <w:fldSimple w:instr=" STYLEREF Actno ">
        <w:r w:rsidR="00C76675">
          <w:rPr>
            <w:noProof/>
          </w:rPr>
          <w:t>No. 130, 2021</w:t>
        </w:r>
      </w:fldSimple>
    </w:p>
    <w:p w14:paraId="6CA7BDA3" w14:textId="77777777" w:rsidR="00D430A2" w:rsidRPr="009A0728" w:rsidRDefault="00D430A2" w:rsidP="009A0728">
      <w:pPr>
        <w:pBdr>
          <w:bottom w:val="single" w:sz="6" w:space="0" w:color="auto"/>
        </w:pBdr>
        <w:spacing w:before="400" w:line="240" w:lineRule="auto"/>
        <w:rPr>
          <w:rFonts w:eastAsia="Times New Roman"/>
          <w:b/>
          <w:sz w:val="28"/>
        </w:rPr>
      </w:pPr>
    </w:p>
    <w:p w14:paraId="7A230195" w14:textId="77777777" w:rsidR="00D430A2" w:rsidRPr="009A0728" w:rsidRDefault="00D430A2" w:rsidP="009A0728">
      <w:pPr>
        <w:spacing w:line="40" w:lineRule="exact"/>
        <w:rPr>
          <w:rFonts w:eastAsia="Calibri"/>
          <w:b/>
          <w:sz w:val="28"/>
        </w:rPr>
      </w:pPr>
    </w:p>
    <w:p w14:paraId="2C00BC92" w14:textId="77777777" w:rsidR="00D430A2" w:rsidRPr="009A0728" w:rsidRDefault="00D430A2" w:rsidP="009A0728">
      <w:pPr>
        <w:pBdr>
          <w:top w:val="single" w:sz="12" w:space="0" w:color="auto"/>
        </w:pBdr>
        <w:spacing w:line="240" w:lineRule="auto"/>
        <w:rPr>
          <w:rFonts w:eastAsia="Times New Roman"/>
          <w:b/>
          <w:sz w:val="28"/>
        </w:rPr>
      </w:pPr>
    </w:p>
    <w:p w14:paraId="12DAA697" w14:textId="77777777" w:rsidR="00D430A2" w:rsidRDefault="00D430A2" w:rsidP="00D430A2">
      <w:pPr>
        <w:pStyle w:val="Page1"/>
        <w:spacing w:before="400"/>
      </w:pPr>
      <w:r>
        <w:t xml:space="preserve">An Act to amend the </w:t>
      </w:r>
      <w:r w:rsidRPr="00D430A2">
        <w:rPr>
          <w:i/>
        </w:rPr>
        <w:t>Independent National Security Legislation Monitor Act 2010</w:t>
      </w:r>
      <w:r>
        <w:t>, and for related purposes</w:t>
      </w:r>
    </w:p>
    <w:p w14:paraId="6DE52CC7" w14:textId="1F70E990" w:rsidR="00C76675" w:rsidRDefault="00C76675" w:rsidP="000C5962">
      <w:pPr>
        <w:pStyle w:val="AssentDt"/>
        <w:spacing w:before="240"/>
        <w:rPr>
          <w:sz w:val="24"/>
        </w:rPr>
      </w:pPr>
      <w:r>
        <w:rPr>
          <w:sz w:val="24"/>
        </w:rPr>
        <w:t>[</w:t>
      </w:r>
      <w:r>
        <w:rPr>
          <w:i/>
          <w:sz w:val="24"/>
        </w:rPr>
        <w:t>Assented to 8 December 2021</w:t>
      </w:r>
      <w:r>
        <w:rPr>
          <w:sz w:val="24"/>
        </w:rPr>
        <w:t>]</w:t>
      </w:r>
    </w:p>
    <w:p w14:paraId="163E541F" w14:textId="753E30DB" w:rsidR="0048364F" w:rsidRPr="004B35D6" w:rsidRDefault="0048364F" w:rsidP="009F318A">
      <w:pPr>
        <w:spacing w:before="240" w:line="240" w:lineRule="auto"/>
        <w:rPr>
          <w:sz w:val="32"/>
        </w:rPr>
      </w:pPr>
      <w:r w:rsidRPr="004B35D6">
        <w:rPr>
          <w:sz w:val="32"/>
        </w:rPr>
        <w:t>The Parliament of Australia enacts:</w:t>
      </w:r>
    </w:p>
    <w:p w14:paraId="702DF22A" w14:textId="77777777" w:rsidR="0048364F" w:rsidRPr="004B35D6" w:rsidRDefault="0048364F" w:rsidP="009F318A">
      <w:pPr>
        <w:pStyle w:val="ActHead5"/>
      </w:pPr>
      <w:bookmarkStart w:id="2" w:name="_Toc90393937"/>
      <w:r w:rsidRPr="009F318A">
        <w:rPr>
          <w:rStyle w:val="CharSectno"/>
        </w:rPr>
        <w:t>1</w:t>
      </w:r>
      <w:r w:rsidRPr="004B35D6">
        <w:t xml:space="preserve">  Short title</w:t>
      </w:r>
      <w:bookmarkEnd w:id="2"/>
    </w:p>
    <w:p w14:paraId="2DB02B59" w14:textId="77777777" w:rsidR="0048364F" w:rsidRPr="004B35D6" w:rsidRDefault="0048364F" w:rsidP="009F318A">
      <w:pPr>
        <w:pStyle w:val="subsection"/>
      </w:pPr>
      <w:r w:rsidRPr="004B35D6">
        <w:tab/>
      </w:r>
      <w:r w:rsidRPr="004B35D6">
        <w:tab/>
        <w:t xml:space="preserve">This Act </w:t>
      </w:r>
      <w:r w:rsidR="00275197" w:rsidRPr="004B35D6">
        <w:t xml:space="preserve">is </w:t>
      </w:r>
      <w:r w:rsidRPr="004B35D6">
        <w:t xml:space="preserve">the </w:t>
      </w:r>
      <w:r w:rsidR="004935B6" w:rsidRPr="004B35D6">
        <w:rPr>
          <w:i/>
        </w:rPr>
        <w:t xml:space="preserve">Independent National </w:t>
      </w:r>
      <w:r w:rsidR="00BF35FF" w:rsidRPr="004B35D6">
        <w:rPr>
          <w:i/>
        </w:rPr>
        <w:t xml:space="preserve">Security Legislation </w:t>
      </w:r>
      <w:r w:rsidR="004935B6" w:rsidRPr="004B35D6">
        <w:rPr>
          <w:i/>
        </w:rPr>
        <w:t>Monitor Amendment</w:t>
      </w:r>
      <w:r w:rsidR="00EE3E36" w:rsidRPr="004B35D6">
        <w:rPr>
          <w:i/>
        </w:rPr>
        <w:t xml:space="preserve"> Act 20</w:t>
      </w:r>
      <w:r w:rsidR="00A4057B" w:rsidRPr="004B35D6">
        <w:rPr>
          <w:i/>
        </w:rPr>
        <w:t>21</w:t>
      </w:r>
      <w:r w:rsidRPr="004B35D6">
        <w:t>.</w:t>
      </w:r>
    </w:p>
    <w:p w14:paraId="5A7BB2FF" w14:textId="77777777" w:rsidR="0048364F" w:rsidRPr="004B35D6" w:rsidRDefault="0048364F" w:rsidP="009F318A">
      <w:pPr>
        <w:pStyle w:val="ActHead5"/>
      </w:pPr>
      <w:bookmarkStart w:id="3" w:name="_Toc90393938"/>
      <w:r w:rsidRPr="009F318A">
        <w:rPr>
          <w:rStyle w:val="CharSectno"/>
        </w:rPr>
        <w:t>2</w:t>
      </w:r>
      <w:r w:rsidRPr="004B35D6">
        <w:t xml:space="preserve">  Commencement</w:t>
      </w:r>
      <w:bookmarkEnd w:id="3"/>
    </w:p>
    <w:p w14:paraId="568ECD48" w14:textId="77777777" w:rsidR="0048364F" w:rsidRPr="004B35D6" w:rsidRDefault="0048364F" w:rsidP="009F318A">
      <w:pPr>
        <w:pStyle w:val="subsection"/>
      </w:pPr>
      <w:r w:rsidRPr="004B35D6">
        <w:tab/>
        <w:t>(1)</w:t>
      </w:r>
      <w:r w:rsidRPr="004B35D6">
        <w:tab/>
        <w:t>Each provision of this Act specified in column 1 of the table commences, or is taken to have commenced, in accordance with column 2 of the table. Any other statement in column 2 has effect according to its terms.</w:t>
      </w:r>
    </w:p>
    <w:p w14:paraId="3F662B88" w14:textId="77777777" w:rsidR="0048364F" w:rsidRPr="004B35D6" w:rsidRDefault="0048364F" w:rsidP="009F318A">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4B35D6" w14:paraId="2F06D2E1" w14:textId="77777777" w:rsidTr="004C7C8C">
        <w:trPr>
          <w:tblHeader/>
        </w:trPr>
        <w:tc>
          <w:tcPr>
            <w:tcW w:w="7111" w:type="dxa"/>
            <w:gridSpan w:val="3"/>
            <w:tcBorders>
              <w:top w:val="single" w:sz="12" w:space="0" w:color="auto"/>
              <w:bottom w:val="single" w:sz="6" w:space="0" w:color="auto"/>
            </w:tcBorders>
            <w:shd w:val="clear" w:color="auto" w:fill="auto"/>
          </w:tcPr>
          <w:p w14:paraId="4DA0DB38" w14:textId="77777777" w:rsidR="0048364F" w:rsidRPr="004B35D6" w:rsidRDefault="0048364F" w:rsidP="009F318A">
            <w:pPr>
              <w:pStyle w:val="TableHeading"/>
            </w:pPr>
            <w:r w:rsidRPr="004B35D6">
              <w:lastRenderedPageBreak/>
              <w:t>Commencement information</w:t>
            </w:r>
          </w:p>
        </w:tc>
      </w:tr>
      <w:tr w:rsidR="0048364F" w:rsidRPr="004B35D6" w14:paraId="5E8FAB1C" w14:textId="77777777" w:rsidTr="004C7C8C">
        <w:trPr>
          <w:tblHeader/>
        </w:trPr>
        <w:tc>
          <w:tcPr>
            <w:tcW w:w="1701" w:type="dxa"/>
            <w:tcBorders>
              <w:top w:val="single" w:sz="6" w:space="0" w:color="auto"/>
              <w:bottom w:val="single" w:sz="6" w:space="0" w:color="auto"/>
            </w:tcBorders>
            <w:shd w:val="clear" w:color="auto" w:fill="auto"/>
          </w:tcPr>
          <w:p w14:paraId="33D4CBEB" w14:textId="77777777" w:rsidR="0048364F" w:rsidRPr="004B35D6" w:rsidRDefault="0048364F" w:rsidP="009F318A">
            <w:pPr>
              <w:pStyle w:val="TableHeading"/>
            </w:pPr>
            <w:r w:rsidRPr="004B35D6">
              <w:t>Column 1</w:t>
            </w:r>
          </w:p>
        </w:tc>
        <w:tc>
          <w:tcPr>
            <w:tcW w:w="3828" w:type="dxa"/>
            <w:tcBorders>
              <w:top w:val="single" w:sz="6" w:space="0" w:color="auto"/>
              <w:bottom w:val="single" w:sz="6" w:space="0" w:color="auto"/>
            </w:tcBorders>
            <w:shd w:val="clear" w:color="auto" w:fill="auto"/>
          </w:tcPr>
          <w:p w14:paraId="059FC978" w14:textId="77777777" w:rsidR="0048364F" w:rsidRPr="004B35D6" w:rsidRDefault="0048364F" w:rsidP="009F318A">
            <w:pPr>
              <w:pStyle w:val="TableHeading"/>
            </w:pPr>
            <w:r w:rsidRPr="004B35D6">
              <w:t>Column 2</w:t>
            </w:r>
          </w:p>
        </w:tc>
        <w:tc>
          <w:tcPr>
            <w:tcW w:w="1582" w:type="dxa"/>
            <w:tcBorders>
              <w:top w:val="single" w:sz="6" w:space="0" w:color="auto"/>
              <w:bottom w:val="single" w:sz="6" w:space="0" w:color="auto"/>
            </w:tcBorders>
            <w:shd w:val="clear" w:color="auto" w:fill="auto"/>
          </w:tcPr>
          <w:p w14:paraId="5E00C4ED" w14:textId="77777777" w:rsidR="0048364F" w:rsidRPr="004B35D6" w:rsidRDefault="0048364F" w:rsidP="009F318A">
            <w:pPr>
              <w:pStyle w:val="TableHeading"/>
            </w:pPr>
            <w:r w:rsidRPr="004B35D6">
              <w:t>Column 3</w:t>
            </w:r>
          </w:p>
        </w:tc>
      </w:tr>
      <w:tr w:rsidR="0048364F" w:rsidRPr="004B35D6" w14:paraId="005CAF9F" w14:textId="77777777" w:rsidTr="004C7C8C">
        <w:trPr>
          <w:tblHeader/>
        </w:trPr>
        <w:tc>
          <w:tcPr>
            <w:tcW w:w="1701" w:type="dxa"/>
            <w:tcBorders>
              <w:top w:val="single" w:sz="6" w:space="0" w:color="auto"/>
              <w:bottom w:val="single" w:sz="12" w:space="0" w:color="auto"/>
            </w:tcBorders>
            <w:shd w:val="clear" w:color="auto" w:fill="auto"/>
          </w:tcPr>
          <w:p w14:paraId="48A44A68" w14:textId="77777777" w:rsidR="0048364F" w:rsidRPr="004B35D6" w:rsidRDefault="0048364F" w:rsidP="009F318A">
            <w:pPr>
              <w:pStyle w:val="TableHeading"/>
            </w:pPr>
            <w:r w:rsidRPr="004B35D6">
              <w:t>Provisions</w:t>
            </w:r>
          </w:p>
        </w:tc>
        <w:tc>
          <w:tcPr>
            <w:tcW w:w="3828" w:type="dxa"/>
            <w:tcBorders>
              <w:top w:val="single" w:sz="6" w:space="0" w:color="auto"/>
              <w:bottom w:val="single" w:sz="12" w:space="0" w:color="auto"/>
            </w:tcBorders>
            <w:shd w:val="clear" w:color="auto" w:fill="auto"/>
          </w:tcPr>
          <w:p w14:paraId="61C74D93" w14:textId="77777777" w:rsidR="0048364F" w:rsidRPr="004B35D6" w:rsidRDefault="0048364F" w:rsidP="009F318A">
            <w:pPr>
              <w:pStyle w:val="TableHeading"/>
            </w:pPr>
            <w:r w:rsidRPr="004B35D6">
              <w:t>Commencement</w:t>
            </w:r>
          </w:p>
        </w:tc>
        <w:tc>
          <w:tcPr>
            <w:tcW w:w="1582" w:type="dxa"/>
            <w:tcBorders>
              <w:top w:val="single" w:sz="6" w:space="0" w:color="auto"/>
              <w:bottom w:val="single" w:sz="12" w:space="0" w:color="auto"/>
            </w:tcBorders>
            <w:shd w:val="clear" w:color="auto" w:fill="auto"/>
          </w:tcPr>
          <w:p w14:paraId="35F7D96B" w14:textId="77777777" w:rsidR="0048364F" w:rsidRPr="004B35D6" w:rsidRDefault="0048364F" w:rsidP="009F318A">
            <w:pPr>
              <w:pStyle w:val="TableHeading"/>
            </w:pPr>
            <w:r w:rsidRPr="004B35D6">
              <w:t>Date/Details</w:t>
            </w:r>
          </w:p>
        </w:tc>
      </w:tr>
      <w:tr w:rsidR="0048364F" w:rsidRPr="004B35D6" w14:paraId="52006F79" w14:textId="77777777" w:rsidTr="005558C7">
        <w:tc>
          <w:tcPr>
            <w:tcW w:w="1701" w:type="dxa"/>
            <w:tcBorders>
              <w:top w:val="single" w:sz="12" w:space="0" w:color="auto"/>
              <w:bottom w:val="single" w:sz="12" w:space="0" w:color="auto"/>
            </w:tcBorders>
            <w:shd w:val="clear" w:color="auto" w:fill="auto"/>
          </w:tcPr>
          <w:p w14:paraId="7ECA20C1" w14:textId="77777777" w:rsidR="0048364F" w:rsidRPr="004B35D6" w:rsidRDefault="0048364F" w:rsidP="009F318A">
            <w:pPr>
              <w:pStyle w:val="Tabletext"/>
            </w:pPr>
            <w:r w:rsidRPr="004B35D6">
              <w:t xml:space="preserve">1.  </w:t>
            </w:r>
            <w:r w:rsidR="00BF35FF" w:rsidRPr="004B35D6">
              <w:t>The whole of this Act</w:t>
            </w:r>
          </w:p>
        </w:tc>
        <w:tc>
          <w:tcPr>
            <w:tcW w:w="3828" w:type="dxa"/>
            <w:tcBorders>
              <w:top w:val="single" w:sz="12" w:space="0" w:color="auto"/>
              <w:bottom w:val="single" w:sz="12" w:space="0" w:color="auto"/>
            </w:tcBorders>
            <w:shd w:val="clear" w:color="auto" w:fill="auto"/>
          </w:tcPr>
          <w:p w14:paraId="2B577C95" w14:textId="77777777" w:rsidR="0048364F" w:rsidRPr="004B35D6" w:rsidRDefault="0048364F" w:rsidP="009F318A">
            <w:pPr>
              <w:pStyle w:val="Tabletext"/>
            </w:pPr>
            <w:r w:rsidRPr="004B35D6">
              <w:t>The day this Act receives the Royal Assent.</w:t>
            </w:r>
          </w:p>
        </w:tc>
        <w:tc>
          <w:tcPr>
            <w:tcW w:w="1582" w:type="dxa"/>
            <w:tcBorders>
              <w:top w:val="single" w:sz="12" w:space="0" w:color="auto"/>
              <w:bottom w:val="single" w:sz="12" w:space="0" w:color="auto"/>
            </w:tcBorders>
            <w:shd w:val="clear" w:color="auto" w:fill="auto"/>
          </w:tcPr>
          <w:p w14:paraId="56533AB7" w14:textId="6416E15C" w:rsidR="0048364F" w:rsidRPr="004B35D6" w:rsidRDefault="00C76675" w:rsidP="009F318A">
            <w:pPr>
              <w:pStyle w:val="Tabletext"/>
            </w:pPr>
            <w:r>
              <w:t>8 December 2021</w:t>
            </w:r>
          </w:p>
        </w:tc>
      </w:tr>
    </w:tbl>
    <w:p w14:paraId="75C14B7F" w14:textId="77777777" w:rsidR="0048364F" w:rsidRPr="004B35D6" w:rsidRDefault="00201D27" w:rsidP="009F318A">
      <w:pPr>
        <w:pStyle w:val="notetext"/>
      </w:pPr>
      <w:r w:rsidRPr="004B35D6">
        <w:t>Note:</w:t>
      </w:r>
      <w:r w:rsidRPr="004B35D6">
        <w:tab/>
        <w:t>This table relates only to the provisions of this Act as originally enacted. It will not be amended to deal with any later amendments of this Act.</w:t>
      </w:r>
    </w:p>
    <w:p w14:paraId="137A3F7A" w14:textId="77777777" w:rsidR="00BF35FF" w:rsidRPr="004B35D6" w:rsidRDefault="0048364F" w:rsidP="009F318A">
      <w:pPr>
        <w:pStyle w:val="subsection"/>
      </w:pPr>
      <w:r w:rsidRPr="004B35D6">
        <w:tab/>
        <w:t>(2)</w:t>
      </w:r>
      <w:r w:rsidRPr="004B35D6">
        <w:tab/>
      </w:r>
      <w:r w:rsidR="00201D27" w:rsidRPr="004B35D6">
        <w:t xml:space="preserve">Any information in </w:t>
      </w:r>
      <w:r w:rsidR="00877D48" w:rsidRPr="004B35D6">
        <w:t>c</w:t>
      </w:r>
      <w:r w:rsidR="00201D27" w:rsidRPr="004B35D6">
        <w:t>olumn 3 of the table is not part of this Act. Information may be inserted in this column, or information in it may be edited, in any published version of this Act.</w:t>
      </w:r>
    </w:p>
    <w:p w14:paraId="53E1D401" w14:textId="77777777" w:rsidR="0048364F" w:rsidRPr="004B35D6" w:rsidRDefault="0048364F" w:rsidP="009F318A">
      <w:pPr>
        <w:pStyle w:val="ActHead5"/>
      </w:pPr>
      <w:bookmarkStart w:id="4" w:name="_Toc90393939"/>
      <w:r w:rsidRPr="009F318A">
        <w:rPr>
          <w:rStyle w:val="CharSectno"/>
        </w:rPr>
        <w:t>3</w:t>
      </w:r>
      <w:r w:rsidRPr="004B35D6">
        <w:t xml:space="preserve">  Schedules</w:t>
      </w:r>
      <w:bookmarkEnd w:id="4"/>
    </w:p>
    <w:p w14:paraId="198F1C68" w14:textId="77777777" w:rsidR="00670BAA" w:rsidRPr="004B35D6" w:rsidRDefault="0048364F" w:rsidP="009F318A">
      <w:pPr>
        <w:pStyle w:val="subsection"/>
      </w:pPr>
      <w:r w:rsidRPr="004B35D6">
        <w:tab/>
      </w:r>
      <w:r w:rsidRPr="004B35D6">
        <w:tab/>
      </w:r>
      <w:r w:rsidR="00202618" w:rsidRPr="004B35D6">
        <w:t>Legislation that is specified in a Schedule to this Act is amended or repealed as set out in the applicable items in the Schedule concerned, and any other item in a Schedule to this Act has effect according to its terms.</w:t>
      </w:r>
    </w:p>
    <w:p w14:paraId="224186CB" w14:textId="77777777" w:rsidR="00670BAA" w:rsidRPr="004B35D6" w:rsidRDefault="0048364F" w:rsidP="009F318A">
      <w:pPr>
        <w:pStyle w:val="ActHead6"/>
        <w:pageBreakBefore/>
      </w:pPr>
      <w:bookmarkStart w:id="5" w:name="opcAmSched"/>
      <w:bookmarkStart w:id="6" w:name="opcCurrentFind"/>
      <w:bookmarkStart w:id="7" w:name="_Toc90393940"/>
      <w:r w:rsidRPr="009F318A">
        <w:rPr>
          <w:rStyle w:val="CharAmSchNo"/>
        </w:rPr>
        <w:lastRenderedPageBreak/>
        <w:t>Schedule 1</w:t>
      </w:r>
      <w:r w:rsidRPr="004B35D6">
        <w:t>—</w:t>
      </w:r>
      <w:r w:rsidR="00423881" w:rsidRPr="009F318A">
        <w:rPr>
          <w:rStyle w:val="CharAmSchText"/>
        </w:rPr>
        <w:t>Amendments</w:t>
      </w:r>
      <w:bookmarkEnd w:id="7"/>
    </w:p>
    <w:bookmarkEnd w:id="5"/>
    <w:bookmarkEnd w:id="6"/>
    <w:p w14:paraId="46DCD863" w14:textId="77777777" w:rsidR="002E3F4F" w:rsidRPr="009049BD" w:rsidRDefault="002E3F4F" w:rsidP="009F318A">
      <w:pPr>
        <w:pStyle w:val="Header"/>
        <w:tabs>
          <w:tab w:val="clear" w:pos="4150"/>
          <w:tab w:val="clear" w:pos="8307"/>
        </w:tabs>
      </w:pPr>
      <w:r w:rsidRPr="009F318A">
        <w:rPr>
          <w:rStyle w:val="CharAmPartNo"/>
        </w:rPr>
        <w:t xml:space="preserve"> </w:t>
      </w:r>
      <w:r w:rsidRPr="009F318A">
        <w:rPr>
          <w:rStyle w:val="CharAmPartText"/>
        </w:rPr>
        <w:t xml:space="preserve"> </w:t>
      </w:r>
    </w:p>
    <w:p w14:paraId="2166221D" w14:textId="77777777" w:rsidR="002A21A9" w:rsidRPr="004B35D6" w:rsidRDefault="00D54394" w:rsidP="009F318A">
      <w:pPr>
        <w:pStyle w:val="ActHead9"/>
        <w:rPr>
          <w:i w:val="0"/>
        </w:rPr>
      </w:pPr>
      <w:bookmarkStart w:id="8" w:name="_Toc90393941"/>
      <w:r w:rsidRPr="004B35D6">
        <w:t>Independent National Security Legislation Monitor Act 2010</w:t>
      </w:r>
      <w:bookmarkEnd w:id="8"/>
    </w:p>
    <w:p w14:paraId="66376556" w14:textId="77777777" w:rsidR="00F861A0" w:rsidRPr="004B35D6" w:rsidRDefault="00F861A0" w:rsidP="009F318A">
      <w:pPr>
        <w:pStyle w:val="ItemHead"/>
      </w:pPr>
      <w:r w:rsidRPr="004B35D6">
        <w:t xml:space="preserve">1  After </w:t>
      </w:r>
      <w:r w:rsidR="00C45913" w:rsidRPr="004B35D6">
        <w:t>paragraph 6</w:t>
      </w:r>
      <w:r w:rsidRPr="004B35D6">
        <w:t>(1)(b)</w:t>
      </w:r>
    </w:p>
    <w:p w14:paraId="763773EC" w14:textId="77777777" w:rsidR="00F861A0" w:rsidRPr="004B35D6" w:rsidRDefault="00F861A0" w:rsidP="009F318A">
      <w:pPr>
        <w:pStyle w:val="Item"/>
      </w:pPr>
      <w:r w:rsidRPr="004B35D6">
        <w:t>Insert:</w:t>
      </w:r>
    </w:p>
    <w:p w14:paraId="48672337" w14:textId="77777777" w:rsidR="00F861A0" w:rsidRPr="004B35D6" w:rsidRDefault="00F861A0" w:rsidP="009F318A">
      <w:pPr>
        <w:pStyle w:val="paragraph"/>
      </w:pPr>
      <w:r w:rsidRPr="004B35D6">
        <w:tab/>
        <w:t>(ba)</w:t>
      </w:r>
      <w:r w:rsidRPr="004B35D6">
        <w:tab/>
        <w:t xml:space="preserve">to report on matters relating to the performance of the Monitor’s functions as set out in </w:t>
      </w:r>
      <w:r w:rsidR="00C45913" w:rsidRPr="004B35D6">
        <w:t>paragraphs (</w:t>
      </w:r>
      <w:r w:rsidRPr="004B35D6">
        <w:t>a) and (b);</w:t>
      </w:r>
    </w:p>
    <w:p w14:paraId="37BEBFD6" w14:textId="77777777" w:rsidR="00F861A0" w:rsidRPr="004B35D6" w:rsidRDefault="00F861A0" w:rsidP="009F318A">
      <w:pPr>
        <w:pStyle w:val="paragraph"/>
      </w:pPr>
      <w:r w:rsidRPr="004B35D6">
        <w:tab/>
        <w:t>(bb)</w:t>
      </w:r>
      <w:r w:rsidRPr="004B35D6">
        <w:tab/>
        <w:t>to report on reviews</w:t>
      </w:r>
      <w:r w:rsidR="00F508B3" w:rsidRPr="004B35D6">
        <w:t xml:space="preserve"> c</w:t>
      </w:r>
      <w:r w:rsidR="00823E06" w:rsidRPr="004B35D6">
        <w:t xml:space="preserve">ompleted under </w:t>
      </w:r>
      <w:r w:rsidR="00C45913" w:rsidRPr="004B35D6">
        <w:t>subsections (</w:t>
      </w:r>
      <w:r w:rsidR="00823E06" w:rsidRPr="004B35D6">
        <w:t>1B) and</w:t>
      </w:r>
      <w:r w:rsidR="007B66E5" w:rsidRPr="004B35D6">
        <w:t xml:space="preserve"> (1C)</w:t>
      </w:r>
      <w:r w:rsidR="00F508B3" w:rsidRPr="004B35D6">
        <w:t>;</w:t>
      </w:r>
    </w:p>
    <w:p w14:paraId="2BD239D4" w14:textId="77777777" w:rsidR="005E724C" w:rsidRPr="004B35D6" w:rsidRDefault="00F861A0" w:rsidP="009F318A">
      <w:pPr>
        <w:pStyle w:val="ItemHead"/>
      </w:pPr>
      <w:r w:rsidRPr="004B35D6">
        <w:t xml:space="preserve">2  After </w:t>
      </w:r>
      <w:r w:rsidR="00C45913" w:rsidRPr="004B35D6">
        <w:t>paragraph 6</w:t>
      </w:r>
      <w:r w:rsidRPr="004B35D6">
        <w:t>(1)(c)</w:t>
      </w:r>
    </w:p>
    <w:p w14:paraId="3B013FA0" w14:textId="77777777" w:rsidR="00F861A0" w:rsidRPr="004B35D6" w:rsidRDefault="00F861A0" w:rsidP="009F318A">
      <w:pPr>
        <w:pStyle w:val="Item"/>
      </w:pPr>
      <w:r w:rsidRPr="004B35D6">
        <w:t>Insert:</w:t>
      </w:r>
    </w:p>
    <w:p w14:paraId="39F2AD26" w14:textId="542BEE64" w:rsidR="00F861A0" w:rsidRPr="004B35D6" w:rsidRDefault="00F861A0" w:rsidP="009F318A">
      <w:pPr>
        <w:pStyle w:val="paragraph"/>
      </w:pPr>
      <w:r w:rsidRPr="004B35D6">
        <w:tab/>
        <w:t>(ca)</w:t>
      </w:r>
      <w:r w:rsidRPr="004B35D6">
        <w:tab/>
        <w:t xml:space="preserve">if a matter is referred to the Monitor by the Committee on Intelligence and Security under </w:t>
      </w:r>
      <w:r w:rsidR="00C45913" w:rsidRPr="004B35D6">
        <w:t>section 7</w:t>
      </w:r>
      <w:r w:rsidRPr="004B35D6">
        <w:t>A</w:t>
      </w:r>
      <w:r w:rsidR="00823E06" w:rsidRPr="004B35D6">
        <w:t xml:space="preserve">, and the Monitor decides to </w:t>
      </w:r>
      <w:r w:rsidR="003D0227" w:rsidRPr="004B35D6">
        <w:t xml:space="preserve">perform </w:t>
      </w:r>
      <w:r w:rsidR="00273B2A" w:rsidRPr="004B35D6">
        <w:t>the</w:t>
      </w:r>
      <w:r w:rsidR="003D0227" w:rsidRPr="004B35D6">
        <w:t xml:space="preserve"> function under </w:t>
      </w:r>
      <w:r w:rsidR="009F318A">
        <w:t>paragraph (</w:t>
      </w:r>
      <w:r w:rsidR="003D0227" w:rsidRPr="004B35D6">
        <w:t>1</w:t>
      </w:r>
      <w:r w:rsidR="00097D1E" w:rsidRPr="004B35D6">
        <w:t>)</w:t>
      </w:r>
      <w:r w:rsidR="003D0227" w:rsidRPr="004B35D6">
        <w:t xml:space="preserve">(a) or (b) in relation to </w:t>
      </w:r>
      <w:r w:rsidR="00823E06" w:rsidRPr="004B35D6">
        <w:t>the reference</w:t>
      </w:r>
      <w:r w:rsidRPr="004B35D6">
        <w:t>—to report on that reference</w:t>
      </w:r>
      <w:r w:rsidR="00F508B3" w:rsidRPr="004B35D6">
        <w:t>;</w:t>
      </w:r>
    </w:p>
    <w:p w14:paraId="2DE96458" w14:textId="77777777" w:rsidR="00823E06" w:rsidRPr="004B35D6" w:rsidRDefault="007D5076" w:rsidP="009F318A">
      <w:pPr>
        <w:pStyle w:val="ItemHead"/>
      </w:pPr>
      <w:r w:rsidRPr="004B35D6">
        <w:t>3</w:t>
      </w:r>
      <w:r w:rsidR="00823E06" w:rsidRPr="004B35D6">
        <w:t xml:space="preserve">  </w:t>
      </w:r>
      <w:r w:rsidR="00C45913" w:rsidRPr="004B35D6">
        <w:t>Paragraph 6</w:t>
      </w:r>
      <w:r w:rsidR="00823E06" w:rsidRPr="004B35D6">
        <w:t>(1)(e)</w:t>
      </w:r>
    </w:p>
    <w:p w14:paraId="6DBB6021" w14:textId="77777777" w:rsidR="00823E06" w:rsidRPr="004B35D6" w:rsidRDefault="00823E06" w:rsidP="009F318A">
      <w:pPr>
        <w:pStyle w:val="Item"/>
      </w:pPr>
      <w:r w:rsidRPr="004B35D6">
        <w:t>Repeal the paragraph.</w:t>
      </w:r>
    </w:p>
    <w:p w14:paraId="4863BBDD" w14:textId="77777777" w:rsidR="006F11CE" w:rsidRPr="004B35D6" w:rsidRDefault="007D5076" w:rsidP="009F318A">
      <w:pPr>
        <w:pStyle w:val="ItemHead"/>
      </w:pPr>
      <w:r w:rsidRPr="004B35D6">
        <w:t>4</w:t>
      </w:r>
      <w:r w:rsidR="006F11CE" w:rsidRPr="004B35D6">
        <w:t xml:space="preserve">  </w:t>
      </w:r>
      <w:r w:rsidR="00C45913" w:rsidRPr="004B35D6">
        <w:t>Subsection 6</w:t>
      </w:r>
      <w:r w:rsidR="006F11CE" w:rsidRPr="004B35D6">
        <w:t>(1A)</w:t>
      </w:r>
    </w:p>
    <w:p w14:paraId="352ADA16" w14:textId="2D97FA40" w:rsidR="006F11CE" w:rsidRPr="004B35D6" w:rsidRDefault="006F11CE" w:rsidP="009F318A">
      <w:pPr>
        <w:pStyle w:val="Item"/>
      </w:pPr>
      <w:r w:rsidRPr="004B35D6">
        <w:t xml:space="preserve">Omit all the words after “Committee on Intelligence and Security”, substitute “under </w:t>
      </w:r>
      <w:r w:rsidR="00C45913" w:rsidRPr="004B35D6">
        <w:t>section 7</w:t>
      </w:r>
      <w:r w:rsidRPr="004B35D6">
        <w:t xml:space="preserve">A, the Monitor may perform the function set out in </w:t>
      </w:r>
      <w:r w:rsidR="009F318A">
        <w:t>paragraph (</w:t>
      </w:r>
      <w:r w:rsidRPr="004B35D6">
        <w:t>1)(a), (b) or (ca)</w:t>
      </w:r>
      <w:r w:rsidR="00441A01" w:rsidRPr="004B35D6">
        <w:t xml:space="preserve"> in relation to the matter</w:t>
      </w:r>
      <w:r w:rsidRPr="004B35D6">
        <w:t>”.</w:t>
      </w:r>
    </w:p>
    <w:p w14:paraId="47FD5ECD" w14:textId="77777777" w:rsidR="00823E06" w:rsidRPr="004B35D6" w:rsidRDefault="007D5076" w:rsidP="009F318A">
      <w:pPr>
        <w:pStyle w:val="ItemHead"/>
      </w:pPr>
      <w:r w:rsidRPr="004B35D6">
        <w:t>5</w:t>
      </w:r>
      <w:r w:rsidR="00823E06" w:rsidRPr="004B35D6">
        <w:t xml:space="preserve">  </w:t>
      </w:r>
      <w:r w:rsidR="00C45913" w:rsidRPr="004B35D6">
        <w:t>Subsection 6</w:t>
      </w:r>
      <w:r w:rsidR="00823E06" w:rsidRPr="004B35D6">
        <w:t>(1D)</w:t>
      </w:r>
    </w:p>
    <w:p w14:paraId="5E2AAC06" w14:textId="77777777" w:rsidR="00823E06" w:rsidRPr="004B35D6" w:rsidRDefault="00823E06" w:rsidP="009F318A">
      <w:pPr>
        <w:pStyle w:val="Item"/>
      </w:pPr>
      <w:r w:rsidRPr="004B35D6">
        <w:t>Repeal the subsection.</w:t>
      </w:r>
    </w:p>
    <w:p w14:paraId="4C42EF3D" w14:textId="77777777" w:rsidR="004D1926" w:rsidRPr="00DA493C" w:rsidRDefault="004D1926" w:rsidP="009F318A">
      <w:pPr>
        <w:pStyle w:val="ItemHead"/>
      </w:pPr>
      <w:r w:rsidRPr="00DA493C">
        <w:t>5A  Section 9</w:t>
      </w:r>
    </w:p>
    <w:p w14:paraId="3EE0DC63" w14:textId="77777777" w:rsidR="004D1926" w:rsidRPr="00DA493C" w:rsidRDefault="004D1926" w:rsidP="009F318A">
      <w:pPr>
        <w:pStyle w:val="Item"/>
      </w:pPr>
      <w:r w:rsidRPr="00DA493C">
        <w:t>Before “When”, insert “(1)”.</w:t>
      </w:r>
    </w:p>
    <w:p w14:paraId="5373AB03" w14:textId="77777777" w:rsidR="004D1926" w:rsidRPr="00DA493C" w:rsidRDefault="004D1926" w:rsidP="009F318A">
      <w:pPr>
        <w:pStyle w:val="ItemHead"/>
      </w:pPr>
      <w:r w:rsidRPr="00DA493C">
        <w:t>5B  At the end of section 9</w:t>
      </w:r>
    </w:p>
    <w:p w14:paraId="17748542" w14:textId="77777777" w:rsidR="004D1926" w:rsidRPr="00DA493C" w:rsidRDefault="004D1926" w:rsidP="009F318A">
      <w:pPr>
        <w:pStyle w:val="Item"/>
      </w:pPr>
      <w:r w:rsidRPr="00DA493C">
        <w:t>Add:</w:t>
      </w:r>
    </w:p>
    <w:p w14:paraId="6C28EF6B" w14:textId="440BFAFE" w:rsidR="004D1926" w:rsidRPr="00DA493C" w:rsidRDefault="004D1926" w:rsidP="009F318A">
      <w:pPr>
        <w:pStyle w:val="subsection"/>
      </w:pPr>
      <w:r w:rsidRPr="00DA493C">
        <w:lastRenderedPageBreak/>
        <w:tab/>
        <w:t>(2)</w:t>
      </w:r>
      <w:r w:rsidRPr="00DA493C">
        <w:tab/>
      </w:r>
      <w:r w:rsidR="009F318A">
        <w:t>Subsection (</w:t>
      </w:r>
      <w:r w:rsidRPr="00DA493C">
        <w:t xml:space="preserve">1) does not apply to the Independent National Security Legislation Monitor’s performance of his or her functions under </w:t>
      </w:r>
      <w:r w:rsidR="009F318A">
        <w:t>sections 2</w:t>
      </w:r>
      <w:r w:rsidRPr="00DA493C">
        <w:t>9A (special report) or 29B (statutory review report).</w:t>
      </w:r>
    </w:p>
    <w:p w14:paraId="1140996B" w14:textId="698CC9D5" w:rsidR="004D1926" w:rsidRPr="00DA493C" w:rsidRDefault="004D1926" w:rsidP="009F318A">
      <w:pPr>
        <w:pStyle w:val="ItemHead"/>
      </w:pPr>
      <w:r w:rsidRPr="00DA493C">
        <w:t xml:space="preserve">5C  </w:t>
      </w:r>
      <w:r w:rsidR="009F318A">
        <w:t>Subsection 1</w:t>
      </w:r>
      <w:r w:rsidRPr="00DA493C">
        <w:t>1(1)</w:t>
      </w:r>
    </w:p>
    <w:p w14:paraId="764A4E0C" w14:textId="183158C1" w:rsidR="004D1926" w:rsidRPr="00DA493C" w:rsidRDefault="004D1926" w:rsidP="009F318A">
      <w:pPr>
        <w:pStyle w:val="Item"/>
      </w:pPr>
      <w:r w:rsidRPr="00DA493C">
        <w:t>After “part</w:t>
      </w:r>
      <w:r w:rsidR="009F318A">
        <w:noBreakHyphen/>
      </w:r>
      <w:r w:rsidRPr="00DA493C">
        <w:t>time”, insert “or full</w:t>
      </w:r>
      <w:r w:rsidR="009F318A">
        <w:noBreakHyphen/>
      </w:r>
      <w:r w:rsidRPr="00DA493C">
        <w:t>time”.</w:t>
      </w:r>
    </w:p>
    <w:p w14:paraId="1BA11AB2" w14:textId="6C50D548" w:rsidR="004D1926" w:rsidRPr="00DA493C" w:rsidRDefault="004D1926" w:rsidP="009F318A">
      <w:pPr>
        <w:pStyle w:val="ItemHead"/>
      </w:pPr>
      <w:r w:rsidRPr="00DA493C">
        <w:t xml:space="preserve">5D  After </w:t>
      </w:r>
      <w:r w:rsidR="009F318A">
        <w:t>section 1</w:t>
      </w:r>
      <w:r w:rsidRPr="00DA493C">
        <w:t>1</w:t>
      </w:r>
    </w:p>
    <w:p w14:paraId="0E89EDB7" w14:textId="77777777" w:rsidR="004D1926" w:rsidRPr="00DA493C" w:rsidRDefault="004D1926" w:rsidP="009F318A">
      <w:pPr>
        <w:pStyle w:val="Item"/>
      </w:pPr>
      <w:r w:rsidRPr="00DA493C">
        <w:t>Insert:</w:t>
      </w:r>
    </w:p>
    <w:p w14:paraId="5C715128" w14:textId="77777777" w:rsidR="004D1926" w:rsidRPr="00DA493C" w:rsidRDefault="004D1926" w:rsidP="009F318A">
      <w:pPr>
        <w:pStyle w:val="ActHead5"/>
      </w:pPr>
      <w:bookmarkStart w:id="9" w:name="_Toc90393942"/>
      <w:r w:rsidRPr="009F318A">
        <w:rPr>
          <w:rStyle w:val="CharSectno"/>
        </w:rPr>
        <w:t>11A</w:t>
      </w:r>
      <w:r w:rsidRPr="00DA493C">
        <w:t xml:space="preserve">  Obligation to fill vacancy as soon as practicable</w:t>
      </w:r>
      <w:bookmarkEnd w:id="9"/>
    </w:p>
    <w:p w14:paraId="024356E8" w14:textId="1BE99766" w:rsidR="004D1926" w:rsidRPr="00DA493C" w:rsidRDefault="004D1926" w:rsidP="009F318A">
      <w:pPr>
        <w:pStyle w:val="subsection"/>
      </w:pPr>
      <w:r w:rsidRPr="00DA493C">
        <w:tab/>
      </w:r>
      <w:r w:rsidRPr="00DA493C">
        <w:tab/>
        <w:t xml:space="preserve">As soon as practicable after the office of Independent National Security Legislation Monitor becomes vacant, a Monitor or acting Monitor must be appointed under </w:t>
      </w:r>
      <w:r w:rsidR="009F318A">
        <w:t>section 1</w:t>
      </w:r>
      <w:r w:rsidRPr="00DA493C">
        <w:t>1 or 20.</w:t>
      </w:r>
    </w:p>
    <w:p w14:paraId="6C69C0EB" w14:textId="77777777" w:rsidR="004D1926" w:rsidRPr="00DA493C" w:rsidRDefault="004D1926" w:rsidP="009F318A">
      <w:pPr>
        <w:pStyle w:val="ItemHead"/>
      </w:pPr>
      <w:r w:rsidRPr="00DA493C">
        <w:t>5E  Section 14</w:t>
      </w:r>
    </w:p>
    <w:p w14:paraId="301AF1E2" w14:textId="77777777" w:rsidR="004D1926" w:rsidRPr="00DA493C" w:rsidRDefault="004D1926" w:rsidP="009F318A">
      <w:pPr>
        <w:pStyle w:val="Item"/>
      </w:pPr>
      <w:r w:rsidRPr="00DA493C">
        <w:t>Repeal the section, substitute:</w:t>
      </w:r>
    </w:p>
    <w:p w14:paraId="14BE34E9" w14:textId="77777777" w:rsidR="004D1926" w:rsidRPr="00DA493C" w:rsidRDefault="004D1926" w:rsidP="009F318A">
      <w:pPr>
        <w:pStyle w:val="ActHead5"/>
      </w:pPr>
      <w:bookmarkStart w:id="10" w:name="_Toc90393943"/>
      <w:r w:rsidRPr="009F318A">
        <w:rPr>
          <w:rStyle w:val="CharSectno"/>
        </w:rPr>
        <w:t>14</w:t>
      </w:r>
      <w:r w:rsidRPr="00DA493C">
        <w:t xml:space="preserve">  Leave of absence</w:t>
      </w:r>
      <w:bookmarkEnd w:id="10"/>
    </w:p>
    <w:p w14:paraId="60007EE6" w14:textId="40049A51" w:rsidR="004D1926" w:rsidRPr="00DA493C" w:rsidRDefault="004D1926" w:rsidP="009F318A">
      <w:pPr>
        <w:pStyle w:val="subsection"/>
      </w:pPr>
      <w:r w:rsidRPr="00DA493C">
        <w:tab/>
        <w:t>(1)</w:t>
      </w:r>
      <w:r w:rsidRPr="00DA493C">
        <w:tab/>
        <w:t>A full</w:t>
      </w:r>
      <w:r w:rsidR="009F318A">
        <w:noBreakHyphen/>
      </w:r>
      <w:r w:rsidRPr="00DA493C">
        <w:t>time Independent National Security Legislation Monitor has the recreation leave entitlements that are determined by the Remuneration Tribunal.</w:t>
      </w:r>
    </w:p>
    <w:p w14:paraId="0E11167F" w14:textId="74A1B357" w:rsidR="004D1926" w:rsidRPr="00DA493C" w:rsidRDefault="004D1926" w:rsidP="009F318A">
      <w:pPr>
        <w:pStyle w:val="subsection"/>
      </w:pPr>
      <w:r w:rsidRPr="00DA493C">
        <w:tab/>
        <w:t>(2)</w:t>
      </w:r>
      <w:r w:rsidRPr="00DA493C">
        <w:tab/>
        <w:t>The Attorney</w:t>
      </w:r>
      <w:r w:rsidR="009F318A">
        <w:noBreakHyphen/>
      </w:r>
      <w:r w:rsidRPr="00DA493C">
        <w:t>General may grant leave of absence, other than recreation leave, to a full</w:t>
      </w:r>
      <w:r w:rsidR="009F318A">
        <w:noBreakHyphen/>
      </w:r>
      <w:r w:rsidRPr="00DA493C">
        <w:t>time Independent National Security Legislation Monitor on the terms and conditions as to remuneration or otherwise that the Governor</w:t>
      </w:r>
      <w:r w:rsidR="009F318A">
        <w:noBreakHyphen/>
      </w:r>
      <w:r w:rsidRPr="00DA493C">
        <w:t>General determines in writing.</w:t>
      </w:r>
    </w:p>
    <w:p w14:paraId="4098D0EA" w14:textId="43AE4848" w:rsidR="004D1926" w:rsidRPr="00DA493C" w:rsidRDefault="004D1926" w:rsidP="009F318A">
      <w:pPr>
        <w:pStyle w:val="subsection"/>
      </w:pPr>
      <w:r w:rsidRPr="00DA493C">
        <w:tab/>
        <w:t>(3)</w:t>
      </w:r>
      <w:r w:rsidRPr="00DA493C">
        <w:tab/>
        <w:t>The Attorney</w:t>
      </w:r>
      <w:r w:rsidR="009F318A">
        <w:noBreakHyphen/>
      </w:r>
      <w:r w:rsidRPr="00DA493C">
        <w:t>General may grant leave of absence to a part</w:t>
      </w:r>
      <w:r w:rsidR="009F318A">
        <w:noBreakHyphen/>
      </w:r>
      <w:r w:rsidRPr="00DA493C">
        <w:t>time Independent National Security Legislation Monitor on the terms and conditions that the Governor</w:t>
      </w:r>
      <w:r w:rsidR="009F318A">
        <w:noBreakHyphen/>
      </w:r>
      <w:r w:rsidRPr="00DA493C">
        <w:t>General determines in writing.</w:t>
      </w:r>
    </w:p>
    <w:p w14:paraId="4193857D" w14:textId="77777777" w:rsidR="004D1926" w:rsidRPr="00DA493C" w:rsidRDefault="004D1926" w:rsidP="009F318A">
      <w:pPr>
        <w:pStyle w:val="ItemHead"/>
      </w:pPr>
      <w:r w:rsidRPr="00DA493C">
        <w:t>5F  Section 15</w:t>
      </w:r>
    </w:p>
    <w:p w14:paraId="5374D624" w14:textId="77777777" w:rsidR="004D1926" w:rsidRPr="00DA493C" w:rsidRDefault="004D1926" w:rsidP="009F318A">
      <w:pPr>
        <w:pStyle w:val="Item"/>
      </w:pPr>
      <w:r w:rsidRPr="00DA493C">
        <w:t>Repeal the section, substitute:</w:t>
      </w:r>
    </w:p>
    <w:p w14:paraId="4447F2BA" w14:textId="77777777" w:rsidR="004D1926" w:rsidRPr="00DA493C" w:rsidRDefault="004D1926" w:rsidP="009F318A">
      <w:pPr>
        <w:pStyle w:val="ActHead5"/>
      </w:pPr>
      <w:bookmarkStart w:id="11" w:name="_Toc90393944"/>
      <w:r w:rsidRPr="009F318A">
        <w:rPr>
          <w:rStyle w:val="CharSectno"/>
        </w:rPr>
        <w:lastRenderedPageBreak/>
        <w:t>15</w:t>
      </w:r>
      <w:r w:rsidRPr="00DA493C">
        <w:t xml:space="preserve">  Outside employment</w:t>
      </w:r>
      <w:bookmarkEnd w:id="11"/>
    </w:p>
    <w:p w14:paraId="1737A6A2" w14:textId="36E165EC" w:rsidR="004D1926" w:rsidRPr="00DA493C" w:rsidRDefault="004D1926" w:rsidP="009F318A">
      <w:pPr>
        <w:pStyle w:val="subsection"/>
      </w:pPr>
      <w:r w:rsidRPr="00DA493C">
        <w:tab/>
        <w:t>(1)</w:t>
      </w:r>
      <w:r w:rsidRPr="00DA493C">
        <w:tab/>
        <w:t>A full</w:t>
      </w:r>
      <w:r w:rsidR="009F318A">
        <w:noBreakHyphen/>
      </w:r>
      <w:r w:rsidRPr="00DA493C">
        <w:t>time Independent National Security Legislation Monitor must not engage in paid employment outside the duties of his or her office without the Attorney</w:t>
      </w:r>
      <w:r w:rsidR="009F318A">
        <w:noBreakHyphen/>
      </w:r>
      <w:r w:rsidRPr="00DA493C">
        <w:t>General’s written consent.</w:t>
      </w:r>
    </w:p>
    <w:p w14:paraId="4D005F41" w14:textId="4E08132C" w:rsidR="004D1926" w:rsidRPr="00DA493C" w:rsidRDefault="004D1926" w:rsidP="009F318A">
      <w:pPr>
        <w:pStyle w:val="subsection"/>
      </w:pPr>
      <w:r w:rsidRPr="00DA493C">
        <w:tab/>
        <w:t>(2)</w:t>
      </w:r>
      <w:r w:rsidRPr="00DA493C">
        <w:tab/>
        <w:t>A part</w:t>
      </w:r>
      <w:r w:rsidR="009F318A">
        <w:noBreakHyphen/>
      </w:r>
      <w:r w:rsidRPr="00DA493C">
        <w:t>time Independent National Security Legislation Monitor must not engage in any paid employment that conflicts or may conflict with the proper performance of his or her duties without the Attorney</w:t>
      </w:r>
      <w:r w:rsidR="009F318A">
        <w:noBreakHyphen/>
      </w:r>
      <w:r w:rsidRPr="00DA493C">
        <w:t>General’s written consent.</w:t>
      </w:r>
    </w:p>
    <w:p w14:paraId="2253289E" w14:textId="338E3A22" w:rsidR="004D1926" w:rsidRPr="00DA493C" w:rsidRDefault="004D1926" w:rsidP="009F318A">
      <w:pPr>
        <w:pStyle w:val="ItemHead"/>
      </w:pPr>
      <w:r w:rsidRPr="00DA493C">
        <w:t xml:space="preserve">5G  After </w:t>
      </w:r>
      <w:r w:rsidR="009F318A">
        <w:t>paragraph 1</w:t>
      </w:r>
      <w:r w:rsidRPr="00DA493C">
        <w:t>9(2)(b)</w:t>
      </w:r>
    </w:p>
    <w:p w14:paraId="6B49ED5E" w14:textId="77777777" w:rsidR="004D1926" w:rsidRPr="00DA493C" w:rsidRDefault="004D1926" w:rsidP="009F318A">
      <w:pPr>
        <w:pStyle w:val="Item"/>
      </w:pPr>
      <w:r w:rsidRPr="00DA493C">
        <w:t>Insert:</w:t>
      </w:r>
    </w:p>
    <w:p w14:paraId="0E24234A" w14:textId="7E09BEAB" w:rsidR="004D1926" w:rsidRPr="00DA493C" w:rsidRDefault="004D1926" w:rsidP="009F318A">
      <w:pPr>
        <w:pStyle w:val="paragraph"/>
      </w:pPr>
      <w:r w:rsidRPr="00DA493C">
        <w:tab/>
        <w:t>(ba)</w:t>
      </w:r>
      <w:r w:rsidRPr="00DA493C">
        <w:tab/>
        <w:t>if the Monitor is appointed on a full</w:t>
      </w:r>
      <w:r w:rsidR="009F318A">
        <w:noBreakHyphen/>
      </w:r>
      <w:r w:rsidRPr="00DA493C">
        <w:t>time basis—the Monitor engages, except with the Attorney</w:t>
      </w:r>
      <w:r w:rsidR="009F318A">
        <w:noBreakHyphen/>
      </w:r>
      <w:r w:rsidRPr="00DA493C">
        <w:t>General’s written consent, in paid employment outside the duties of his or her office;</w:t>
      </w:r>
    </w:p>
    <w:p w14:paraId="1B6A9657" w14:textId="29638048" w:rsidR="004D1926" w:rsidRPr="00DA493C" w:rsidRDefault="004D1926" w:rsidP="009F318A">
      <w:pPr>
        <w:pStyle w:val="ItemHead"/>
      </w:pPr>
      <w:r w:rsidRPr="00DA493C">
        <w:t xml:space="preserve">5H  </w:t>
      </w:r>
      <w:r w:rsidR="009F318A">
        <w:t>Paragraph 1</w:t>
      </w:r>
      <w:r w:rsidRPr="00DA493C">
        <w:t>9(2)(c)</w:t>
      </w:r>
    </w:p>
    <w:p w14:paraId="631653E1" w14:textId="1A7A8A99" w:rsidR="004D1926" w:rsidRPr="00DA493C" w:rsidRDefault="004D1926" w:rsidP="009F318A">
      <w:pPr>
        <w:pStyle w:val="Item"/>
      </w:pPr>
      <w:r w:rsidRPr="00DA493C">
        <w:t>After “if the Monitor”, insert “is appointed on a part</w:t>
      </w:r>
      <w:r w:rsidR="009F318A">
        <w:noBreakHyphen/>
      </w:r>
      <w:r w:rsidRPr="00DA493C">
        <w:t>time basis—the Monitor”.</w:t>
      </w:r>
    </w:p>
    <w:p w14:paraId="6A9CDB7E" w14:textId="5D27D048" w:rsidR="004D1926" w:rsidRPr="00DA493C" w:rsidRDefault="004D1926" w:rsidP="009F318A">
      <w:pPr>
        <w:pStyle w:val="ItemHead"/>
      </w:pPr>
      <w:r w:rsidRPr="00DA493C">
        <w:t xml:space="preserve">5J  After </w:t>
      </w:r>
      <w:r w:rsidR="009F318A">
        <w:t>paragraph 1</w:t>
      </w:r>
      <w:r w:rsidRPr="00DA493C">
        <w:t>9(2)(c)</w:t>
      </w:r>
    </w:p>
    <w:p w14:paraId="1E9D5B2D" w14:textId="77777777" w:rsidR="004D1926" w:rsidRPr="00DA493C" w:rsidRDefault="004D1926" w:rsidP="009F318A">
      <w:pPr>
        <w:pStyle w:val="Item"/>
      </w:pPr>
      <w:r w:rsidRPr="00DA493C">
        <w:t>Insert:</w:t>
      </w:r>
    </w:p>
    <w:p w14:paraId="15BF7E21" w14:textId="7A49793F" w:rsidR="004D1926" w:rsidRPr="00DA493C" w:rsidRDefault="004D1926" w:rsidP="009F318A">
      <w:pPr>
        <w:pStyle w:val="paragraph"/>
      </w:pPr>
      <w:r w:rsidRPr="00DA493C">
        <w:tab/>
        <w:t>(ca)</w:t>
      </w:r>
      <w:r w:rsidRPr="00DA493C">
        <w:tab/>
        <w:t>if the Monitor is appointed on a full</w:t>
      </w:r>
      <w:r w:rsidR="009F318A">
        <w:noBreakHyphen/>
      </w:r>
      <w:r w:rsidRPr="00DA493C">
        <w:t xml:space="preserve">time basis—the Monitor is absent, except on leave of absence granted under </w:t>
      </w:r>
      <w:r w:rsidR="009F318A">
        <w:t>subsection 1</w:t>
      </w:r>
      <w:r w:rsidRPr="00DA493C">
        <w:t>4(2), for 14 consecutive days or for 28 days in any 12 months; or</w:t>
      </w:r>
    </w:p>
    <w:p w14:paraId="6E5674FA" w14:textId="69026629" w:rsidR="004D1926" w:rsidRPr="00DA493C" w:rsidRDefault="004D1926" w:rsidP="009F318A">
      <w:pPr>
        <w:pStyle w:val="ItemHead"/>
      </w:pPr>
      <w:r w:rsidRPr="00DA493C">
        <w:t xml:space="preserve">5K  </w:t>
      </w:r>
      <w:r w:rsidR="009F318A">
        <w:t>Paragraph 1</w:t>
      </w:r>
      <w:r w:rsidRPr="00DA493C">
        <w:t>9(2)(d)</w:t>
      </w:r>
    </w:p>
    <w:p w14:paraId="05D2957B" w14:textId="77777777" w:rsidR="004D1926" w:rsidRPr="00DA493C" w:rsidRDefault="004D1926" w:rsidP="009F318A">
      <w:pPr>
        <w:pStyle w:val="Item"/>
      </w:pPr>
      <w:r w:rsidRPr="00DA493C">
        <w:t>Repeal the paragraph, substitute:</w:t>
      </w:r>
    </w:p>
    <w:p w14:paraId="7ABD507E" w14:textId="4DE8CA36" w:rsidR="004D1926" w:rsidRPr="00DA493C" w:rsidRDefault="004D1926" w:rsidP="009F318A">
      <w:pPr>
        <w:pStyle w:val="paragraph"/>
      </w:pPr>
      <w:r w:rsidRPr="00DA493C">
        <w:tab/>
        <w:t>(d)</w:t>
      </w:r>
      <w:r w:rsidRPr="00DA493C">
        <w:tab/>
        <w:t>if the Monitor is appointed on a part</w:t>
      </w:r>
      <w:r w:rsidR="009F318A">
        <w:noBreakHyphen/>
      </w:r>
      <w:r w:rsidRPr="00DA493C">
        <w:t xml:space="preserve">time basis—the Monitor is absent, except on leave of absence granted under </w:t>
      </w:r>
      <w:r w:rsidR="009F318A">
        <w:t>subsection 1</w:t>
      </w:r>
      <w:r w:rsidRPr="00DA493C">
        <w:t>4(3), for 7 consecutive days or for 14 days in any 12 months.</w:t>
      </w:r>
    </w:p>
    <w:p w14:paraId="26163BF2" w14:textId="3372F47F" w:rsidR="00423881" w:rsidRPr="004B35D6" w:rsidRDefault="007D5076" w:rsidP="009F318A">
      <w:pPr>
        <w:pStyle w:val="ItemHead"/>
      </w:pPr>
      <w:r w:rsidRPr="004B35D6">
        <w:t>6</w:t>
      </w:r>
      <w:r w:rsidR="0049036A" w:rsidRPr="004B35D6">
        <w:t xml:space="preserve">  </w:t>
      </w:r>
      <w:r w:rsidR="00C45913" w:rsidRPr="004B35D6">
        <w:t>Paragraph 2</w:t>
      </w:r>
      <w:r w:rsidR="0049036A" w:rsidRPr="004B35D6">
        <w:t>9(1)(a)</w:t>
      </w:r>
    </w:p>
    <w:p w14:paraId="3E067D9E" w14:textId="77777777" w:rsidR="00880D99" w:rsidRPr="004B35D6" w:rsidRDefault="00D51EFC" w:rsidP="009F318A">
      <w:pPr>
        <w:pStyle w:val="Item"/>
      </w:pPr>
      <w:r w:rsidRPr="004B35D6">
        <w:t>After “</w:t>
      </w:r>
      <w:r w:rsidR="0049036A" w:rsidRPr="004B35D6">
        <w:t xml:space="preserve">and (b)”, insert “, including information </w:t>
      </w:r>
      <w:r w:rsidR="00423881" w:rsidRPr="004B35D6">
        <w:t>relating to the perform</w:t>
      </w:r>
      <w:r w:rsidR="00880D99" w:rsidRPr="004B35D6">
        <w:t xml:space="preserve">ance of the Monitor’s functions as set out in </w:t>
      </w:r>
      <w:r w:rsidR="00C45913" w:rsidRPr="004B35D6">
        <w:t>subsection 6</w:t>
      </w:r>
      <w:r w:rsidR="00880D99" w:rsidRPr="004B35D6">
        <w:t>(1A)</w:t>
      </w:r>
      <w:r w:rsidR="0049036A" w:rsidRPr="004B35D6">
        <w:t>”.</w:t>
      </w:r>
    </w:p>
    <w:p w14:paraId="1A0DF3E9" w14:textId="77777777" w:rsidR="00D25B27" w:rsidRPr="004B35D6" w:rsidRDefault="007D5076" w:rsidP="009F318A">
      <w:pPr>
        <w:pStyle w:val="ItemHead"/>
      </w:pPr>
      <w:r w:rsidRPr="004B35D6">
        <w:lastRenderedPageBreak/>
        <w:t>7</w:t>
      </w:r>
      <w:r w:rsidR="00D25B27" w:rsidRPr="004B35D6">
        <w:t xml:space="preserve">  After </w:t>
      </w:r>
      <w:r w:rsidR="00C45913" w:rsidRPr="004B35D6">
        <w:t>paragraph 2</w:t>
      </w:r>
      <w:r w:rsidR="00D25B27" w:rsidRPr="004B35D6">
        <w:t>9(1)(b)</w:t>
      </w:r>
    </w:p>
    <w:p w14:paraId="2452FF7F" w14:textId="77777777" w:rsidR="00D25B27" w:rsidRPr="004B35D6" w:rsidRDefault="00D25B27" w:rsidP="009F318A">
      <w:pPr>
        <w:pStyle w:val="Item"/>
      </w:pPr>
      <w:r w:rsidRPr="004B35D6">
        <w:t>Insert:</w:t>
      </w:r>
    </w:p>
    <w:p w14:paraId="1F207A6A" w14:textId="4BBA8859" w:rsidR="00D25B27" w:rsidRPr="004B35D6" w:rsidRDefault="00D25B27" w:rsidP="009F318A">
      <w:pPr>
        <w:pStyle w:val="subsection"/>
      </w:pPr>
      <w:r w:rsidRPr="004B35D6">
        <w:tab/>
        <w:t>(1A)</w:t>
      </w:r>
      <w:r w:rsidRPr="004B35D6">
        <w:tab/>
      </w:r>
      <w:r w:rsidR="00F121FC" w:rsidRPr="004B35D6">
        <w:t xml:space="preserve">Despite </w:t>
      </w:r>
      <w:r w:rsidR="009F318A">
        <w:t>paragraph (</w:t>
      </w:r>
      <w:r w:rsidR="00F121FC" w:rsidRPr="004B35D6">
        <w:t>1)</w:t>
      </w:r>
      <w:r w:rsidR="00F720C7" w:rsidRPr="004B35D6">
        <w:t>(a)</w:t>
      </w:r>
      <w:r w:rsidR="00F121FC" w:rsidRPr="004B35D6">
        <w:t xml:space="preserve">, the annual report need not include information </w:t>
      </w:r>
      <w:r w:rsidR="00A92D6F" w:rsidRPr="004B35D6">
        <w:t xml:space="preserve">described in </w:t>
      </w:r>
      <w:r w:rsidR="00F720C7" w:rsidRPr="004B35D6">
        <w:t>that paragraph</w:t>
      </w:r>
      <w:r w:rsidR="00F121FC" w:rsidRPr="004B35D6">
        <w:t xml:space="preserve"> </w:t>
      </w:r>
      <w:r w:rsidR="00A92D6F" w:rsidRPr="004B35D6">
        <w:t>if such information is already</w:t>
      </w:r>
      <w:r w:rsidR="00F121FC" w:rsidRPr="004B35D6">
        <w:t xml:space="preserve"> included in a rep</w:t>
      </w:r>
      <w:r w:rsidR="00100D61" w:rsidRPr="004B35D6">
        <w:t xml:space="preserve">ort prepared under </w:t>
      </w:r>
      <w:r w:rsidR="00C45913" w:rsidRPr="004B35D6">
        <w:t>section 2</w:t>
      </w:r>
      <w:r w:rsidR="00100D61" w:rsidRPr="004B35D6">
        <w:t>9A.</w:t>
      </w:r>
    </w:p>
    <w:p w14:paraId="3B6D34D7" w14:textId="18DE8CD6" w:rsidR="00CC75F7" w:rsidRPr="00DA493C" w:rsidRDefault="00CC75F7" w:rsidP="009F318A">
      <w:pPr>
        <w:pStyle w:val="ItemHead"/>
      </w:pPr>
      <w:r w:rsidRPr="00DA493C">
        <w:t xml:space="preserve">7AA  </w:t>
      </w:r>
      <w:r w:rsidR="009F318A">
        <w:t>Subsection 2</w:t>
      </w:r>
      <w:r w:rsidRPr="00DA493C">
        <w:t>9(5)</w:t>
      </w:r>
    </w:p>
    <w:p w14:paraId="6790F26C" w14:textId="7AE13E29" w:rsidR="00CC75F7" w:rsidRPr="00DA493C" w:rsidRDefault="00CC75F7" w:rsidP="009F318A">
      <w:pPr>
        <w:pStyle w:val="Item"/>
      </w:pPr>
      <w:r w:rsidRPr="00DA493C">
        <w:t>Omit all the words after “</w:t>
      </w:r>
      <w:r w:rsidR="009F318A">
        <w:t>paragraph (</w:t>
      </w:r>
      <w:r w:rsidRPr="00DA493C">
        <w:t>b)”, substitute:</w:t>
      </w:r>
    </w:p>
    <w:p w14:paraId="3EB0FCAA" w14:textId="7CA4E8AB" w:rsidR="00CC75F7" w:rsidRPr="00DA493C" w:rsidRDefault="00CC75F7" w:rsidP="009F318A">
      <w:pPr>
        <w:pStyle w:val="subsection2"/>
      </w:pPr>
      <w:r w:rsidRPr="00DA493C">
        <w:t>to be presented to each House of the Parliament within the earlier of:</w:t>
      </w:r>
    </w:p>
    <w:p w14:paraId="26D9E106" w14:textId="77777777" w:rsidR="00CC75F7" w:rsidRPr="00DA493C" w:rsidRDefault="00CC75F7" w:rsidP="009F318A">
      <w:pPr>
        <w:pStyle w:val="paragraph"/>
      </w:pPr>
      <w:r w:rsidRPr="00DA493C">
        <w:tab/>
        <w:t>(c)</w:t>
      </w:r>
      <w:r w:rsidRPr="00DA493C">
        <w:tab/>
        <w:t>15 sitting days of that House after the day on which he or she receives the report; or</w:t>
      </w:r>
    </w:p>
    <w:p w14:paraId="0F9A5FCD" w14:textId="77777777" w:rsidR="00CC75F7" w:rsidRPr="00DA493C" w:rsidRDefault="00CC75F7" w:rsidP="009F318A">
      <w:pPr>
        <w:pStyle w:val="paragraph"/>
      </w:pPr>
      <w:r w:rsidRPr="00DA493C">
        <w:tab/>
        <w:t>(d)</w:t>
      </w:r>
      <w:r w:rsidRPr="00DA493C">
        <w:tab/>
        <w:t>30 days after the day on which he or she receives the report.</w:t>
      </w:r>
    </w:p>
    <w:p w14:paraId="3C04EEBA" w14:textId="6E34E874" w:rsidR="00462DF8" w:rsidRPr="004B35D6" w:rsidRDefault="007D5076" w:rsidP="009F318A">
      <w:pPr>
        <w:pStyle w:val="ItemHead"/>
      </w:pPr>
      <w:r w:rsidRPr="004B35D6">
        <w:t>8</w:t>
      </w:r>
      <w:r w:rsidR="00462DF8" w:rsidRPr="004B35D6">
        <w:t xml:space="preserve">  After </w:t>
      </w:r>
      <w:r w:rsidR="00C45913" w:rsidRPr="004B35D6">
        <w:t>section 2</w:t>
      </w:r>
      <w:r w:rsidR="00462DF8" w:rsidRPr="004B35D6">
        <w:t>9</w:t>
      </w:r>
    </w:p>
    <w:p w14:paraId="24473495" w14:textId="77777777" w:rsidR="00462DF8" w:rsidRPr="004B35D6" w:rsidRDefault="00462DF8" w:rsidP="009F318A">
      <w:pPr>
        <w:pStyle w:val="Item"/>
      </w:pPr>
      <w:r w:rsidRPr="004B35D6">
        <w:t>Insert:</w:t>
      </w:r>
    </w:p>
    <w:p w14:paraId="5AB8F7E4" w14:textId="77777777" w:rsidR="00462DF8" w:rsidRPr="004B35D6" w:rsidRDefault="00462DF8" w:rsidP="009F318A">
      <w:pPr>
        <w:pStyle w:val="ActHead5"/>
      </w:pPr>
      <w:bookmarkStart w:id="12" w:name="_Toc90393945"/>
      <w:r w:rsidRPr="009F318A">
        <w:rPr>
          <w:rStyle w:val="CharSectno"/>
        </w:rPr>
        <w:t>29A</w:t>
      </w:r>
      <w:r w:rsidRPr="004B35D6">
        <w:t xml:space="preserve">  </w:t>
      </w:r>
      <w:r w:rsidR="0072618F" w:rsidRPr="004B35D6">
        <w:t>Special</w:t>
      </w:r>
      <w:r w:rsidR="00643A57" w:rsidRPr="004B35D6">
        <w:t xml:space="preserve"> report</w:t>
      </w:r>
      <w:bookmarkEnd w:id="12"/>
    </w:p>
    <w:p w14:paraId="050AD5C6" w14:textId="4CDB7C01" w:rsidR="00643A57" w:rsidRPr="004B35D6" w:rsidRDefault="00462DF8" w:rsidP="009F318A">
      <w:pPr>
        <w:pStyle w:val="subsection"/>
      </w:pPr>
      <w:r w:rsidRPr="004B35D6">
        <w:tab/>
        <w:t>(1)</w:t>
      </w:r>
      <w:r w:rsidRPr="004B35D6">
        <w:tab/>
      </w:r>
      <w:r w:rsidR="00F720C7" w:rsidRPr="004B35D6">
        <w:t>T</w:t>
      </w:r>
      <w:r w:rsidR="00643A57" w:rsidRPr="004B35D6">
        <w:t xml:space="preserve">he </w:t>
      </w:r>
      <w:r w:rsidRPr="004B35D6">
        <w:t>Independent Nation</w:t>
      </w:r>
      <w:r w:rsidR="00643A57" w:rsidRPr="004B35D6">
        <w:t>al Security Legislation Monitor</w:t>
      </w:r>
      <w:r w:rsidRPr="004B35D6">
        <w:t xml:space="preserve"> may</w:t>
      </w:r>
      <w:r w:rsidR="005D77F4" w:rsidRPr="004B35D6">
        <w:t>, from time to time,</w:t>
      </w:r>
      <w:r w:rsidR="00643A57" w:rsidRPr="004B35D6">
        <w:t xml:space="preserve"> </w:t>
      </w:r>
      <w:r w:rsidRPr="004B35D6">
        <w:t>prepare and give to the Attorney</w:t>
      </w:r>
      <w:r w:rsidR="009F318A">
        <w:noBreakHyphen/>
      </w:r>
      <w:r w:rsidRPr="004B35D6">
        <w:t>General</w:t>
      </w:r>
      <w:r w:rsidR="005D77F4" w:rsidRPr="004B35D6">
        <w:t xml:space="preserve"> </w:t>
      </w:r>
      <w:r w:rsidR="00520454" w:rsidRPr="004B35D6">
        <w:t xml:space="preserve">a </w:t>
      </w:r>
      <w:r w:rsidR="005D77F4" w:rsidRPr="004B35D6">
        <w:t xml:space="preserve">report </w:t>
      </w:r>
      <w:r w:rsidR="0072618F" w:rsidRPr="004B35D6">
        <w:t xml:space="preserve">(a </w:t>
      </w:r>
      <w:r w:rsidR="0072618F" w:rsidRPr="004B35D6">
        <w:rPr>
          <w:b/>
          <w:i/>
        </w:rPr>
        <w:t>special report</w:t>
      </w:r>
      <w:r w:rsidR="0072618F" w:rsidRPr="004B35D6">
        <w:t xml:space="preserve">) </w:t>
      </w:r>
      <w:r w:rsidR="00F720C7" w:rsidRPr="004B35D6">
        <w:t>relating to the performance of the Monitor’s functions as set out in paragraphs 6(1)(a)</w:t>
      </w:r>
      <w:r w:rsidR="004A231E" w:rsidRPr="004B35D6">
        <w:t xml:space="preserve">, </w:t>
      </w:r>
      <w:r w:rsidR="00F720C7" w:rsidRPr="004B35D6">
        <w:t>(b)</w:t>
      </w:r>
      <w:r w:rsidR="004A231E" w:rsidRPr="004B35D6">
        <w:t xml:space="preserve"> and (ca)</w:t>
      </w:r>
      <w:r w:rsidR="0072618F" w:rsidRPr="004B35D6">
        <w:t>.</w:t>
      </w:r>
    </w:p>
    <w:p w14:paraId="0BB7CEA5" w14:textId="41ED8CBD" w:rsidR="00462DF8" w:rsidRPr="004B35D6" w:rsidRDefault="00462DF8" w:rsidP="009F318A">
      <w:pPr>
        <w:pStyle w:val="subsection"/>
      </w:pPr>
      <w:r w:rsidRPr="004B35D6">
        <w:tab/>
        <w:t>(2)</w:t>
      </w:r>
      <w:r w:rsidRPr="004B35D6">
        <w:tab/>
      </w:r>
      <w:r w:rsidR="000565D8" w:rsidRPr="004B35D6">
        <w:t>Before</w:t>
      </w:r>
      <w:r w:rsidR="009F5D0F" w:rsidRPr="004B35D6">
        <w:t xml:space="preserve"> preparing the special report,</w:t>
      </w:r>
      <w:r w:rsidR="000565D8" w:rsidRPr="004B35D6">
        <w:t xml:space="preserve"> </w:t>
      </w:r>
      <w:r w:rsidR="009F5D0F" w:rsidRPr="004B35D6">
        <w:t>t</w:t>
      </w:r>
      <w:r w:rsidR="00520454" w:rsidRPr="004B35D6">
        <w:t xml:space="preserve">he </w:t>
      </w:r>
      <w:r w:rsidR="002758A4" w:rsidRPr="004B35D6">
        <w:t>Independent National Security Legislation Monitor</w:t>
      </w:r>
      <w:r w:rsidR="002D49D9" w:rsidRPr="004B35D6">
        <w:t xml:space="preserve"> </w:t>
      </w:r>
      <w:r w:rsidR="00047160" w:rsidRPr="004B35D6">
        <w:t xml:space="preserve">must give </w:t>
      </w:r>
      <w:r w:rsidR="00FB4550" w:rsidRPr="004B35D6">
        <w:t xml:space="preserve">to the </w:t>
      </w:r>
      <w:r w:rsidRPr="004B35D6">
        <w:t>Attorney</w:t>
      </w:r>
      <w:r w:rsidR="009F318A">
        <w:noBreakHyphen/>
      </w:r>
      <w:r w:rsidRPr="004B35D6">
        <w:t>General and Prime Minister</w:t>
      </w:r>
      <w:r w:rsidR="00830434" w:rsidRPr="004B35D6">
        <w:t xml:space="preserve"> a notice in writing</w:t>
      </w:r>
      <w:r w:rsidRPr="004B35D6">
        <w:t>:</w:t>
      </w:r>
    </w:p>
    <w:p w14:paraId="257F4EE2" w14:textId="77777777" w:rsidR="00462DF8" w:rsidRPr="004B35D6" w:rsidRDefault="00462DF8" w:rsidP="009F318A">
      <w:pPr>
        <w:pStyle w:val="paragraph"/>
      </w:pPr>
      <w:r w:rsidRPr="004B35D6">
        <w:tab/>
        <w:t>(a)</w:t>
      </w:r>
      <w:r w:rsidRPr="004B35D6">
        <w:tab/>
      </w:r>
      <w:r w:rsidR="00830434" w:rsidRPr="004B35D6">
        <w:t xml:space="preserve">of </w:t>
      </w:r>
      <w:r w:rsidR="00FB4550" w:rsidRPr="004B35D6">
        <w:t>his or her intention</w:t>
      </w:r>
      <w:r w:rsidR="0072618F" w:rsidRPr="004B35D6">
        <w:t xml:space="preserve"> to prepare the special</w:t>
      </w:r>
      <w:r w:rsidR="00830434" w:rsidRPr="004B35D6">
        <w:t xml:space="preserve"> report</w:t>
      </w:r>
      <w:r w:rsidRPr="004B35D6">
        <w:t>; and</w:t>
      </w:r>
    </w:p>
    <w:p w14:paraId="2001FDC2" w14:textId="77777777" w:rsidR="00AB232B" w:rsidRPr="004B35D6" w:rsidRDefault="00462DF8" w:rsidP="009F318A">
      <w:pPr>
        <w:pStyle w:val="paragraph"/>
      </w:pPr>
      <w:r w:rsidRPr="004B35D6">
        <w:tab/>
        <w:t>(b)</w:t>
      </w:r>
      <w:r w:rsidRPr="004B35D6">
        <w:tab/>
      </w:r>
      <w:r w:rsidR="00830434" w:rsidRPr="004B35D6">
        <w:t xml:space="preserve">providing </w:t>
      </w:r>
      <w:r w:rsidRPr="004B35D6">
        <w:t xml:space="preserve">reasons </w:t>
      </w:r>
      <w:r w:rsidR="00255D23" w:rsidRPr="004B35D6">
        <w:t>why</w:t>
      </w:r>
      <w:r w:rsidR="002D1F54" w:rsidRPr="004B35D6">
        <w:t xml:space="preserve">, in the opinion of the Monitor, </w:t>
      </w:r>
      <w:r w:rsidR="00830434" w:rsidRPr="004B35D6">
        <w:t>the s</w:t>
      </w:r>
      <w:r w:rsidR="0072618F" w:rsidRPr="004B35D6">
        <w:t>pecial</w:t>
      </w:r>
      <w:r w:rsidR="00830434" w:rsidRPr="004B35D6">
        <w:t xml:space="preserve"> report is required</w:t>
      </w:r>
      <w:r w:rsidR="002D1F54" w:rsidRPr="004B35D6">
        <w:t>.</w:t>
      </w:r>
    </w:p>
    <w:p w14:paraId="0770C429" w14:textId="2C0638FC" w:rsidR="00462DF8" w:rsidRPr="004B35D6" w:rsidRDefault="00F237CD" w:rsidP="009F318A">
      <w:pPr>
        <w:pStyle w:val="subsection"/>
      </w:pPr>
      <w:r w:rsidRPr="004B35D6">
        <w:tab/>
        <w:t>(3</w:t>
      </w:r>
      <w:r w:rsidR="00AB232B" w:rsidRPr="004B35D6">
        <w:t>)</w:t>
      </w:r>
      <w:r w:rsidR="00AB232B" w:rsidRPr="004B35D6">
        <w:tab/>
      </w:r>
      <w:r w:rsidR="00462DF8" w:rsidRPr="004B35D6">
        <w:t>If the Independent National Security Legi</w:t>
      </w:r>
      <w:r w:rsidR="00255D23" w:rsidRPr="004B35D6">
        <w:t xml:space="preserve">slation Monitor considers that </w:t>
      </w:r>
      <w:r w:rsidR="00FB4550" w:rsidRPr="004B35D6">
        <w:t>a</w:t>
      </w:r>
      <w:r w:rsidR="00255D23" w:rsidRPr="004B35D6">
        <w:t xml:space="preserve"> </w:t>
      </w:r>
      <w:r w:rsidR="00830434" w:rsidRPr="004B35D6">
        <w:t>s</w:t>
      </w:r>
      <w:r w:rsidR="000556E8" w:rsidRPr="004B35D6">
        <w:t>pecial</w:t>
      </w:r>
      <w:r w:rsidR="00830434" w:rsidRPr="004B35D6">
        <w:t xml:space="preserve"> </w:t>
      </w:r>
      <w:r w:rsidR="00462DF8" w:rsidRPr="004B35D6">
        <w:t>report</w:t>
      </w:r>
      <w:r w:rsidR="00FB4550" w:rsidRPr="004B35D6">
        <w:t xml:space="preserve"> </w:t>
      </w:r>
      <w:r w:rsidR="00462DF8" w:rsidRPr="004B35D6">
        <w:t xml:space="preserve">contains information of the kind referred to in </w:t>
      </w:r>
      <w:r w:rsidR="00C45913" w:rsidRPr="004B35D6">
        <w:t>subsection 2</w:t>
      </w:r>
      <w:r w:rsidR="00462DF8" w:rsidRPr="004B35D6">
        <w:t>9(3), the Monitor must also prepare and give to the Attorney</w:t>
      </w:r>
      <w:r w:rsidR="009F318A">
        <w:noBreakHyphen/>
      </w:r>
      <w:r w:rsidR="00462DF8" w:rsidRPr="004B35D6">
        <w:t xml:space="preserve">General, </w:t>
      </w:r>
      <w:r w:rsidR="0005010C">
        <w:t xml:space="preserve">at </w:t>
      </w:r>
      <w:r w:rsidR="00462DF8" w:rsidRPr="004B35D6">
        <w:t xml:space="preserve">the same time as the </w:t>
      </w:r>
      <w:r w:rsidR="004729A0" w:rsidRPr="004B35D6">
        <w:t>s</w:t>
      </w:r>
      <w:r w:rsidR="000556E8" w:rsidRPr="004B35D6">
        <w:t>pecial</w:t>
      </w:r>
      <w:r w:rsidR="00255D23" w:rsidRPr="004B35D6">
        <w:t xml:space="preserve"> </w:t>
      </w:r>
      <w:r w:rsidR="00462DF8" w:rsidRPr="004B35D6">
        <w:t xml:space="preserve">report, a </w:t>
      </w:r>
      <w:r w:rsidR="008C034B" w:rsidRPr="004B35D6">
        <w:t xml:space="preserve">version of the report which does not contain that information (a </w:t>
      </w:r>
      <w:r w:rsidR="008C034B" w:rsidRPr="004B35D6">
        <w:rPr>
          <w:b/>
          <w:i/>
        </w:rPr>
        <w:t>declassified s</w:t>
      </w:r>
      <w:r w:rsidR="0072618F" w:rsidRPr="004B35D6">
        <w:rPr>
          <w:b/>
          <w:i/>
        </w:rPr>
        <w:t>pecial</w:t>
      </w:r>
      <w:r w:rsidR="008C034B" w:rsidRPr="004B35D6">
        <w:rPr>
          <w:b/>
          <w:i/>
        </w:rPr>
        <w:t xml:space="preserve"> report</w:t>
      </w:r>
      <w:r w:rsidR="008C034B" w:rsidRPr="004B35D6">
        <w:t>).</w:t>
      </w:r>
    </w:p>
    <w:p w14:paraId="0C2213B7" w14:textId="77777777" w:rsidR="00462DF8" w:rsidRPr="004B35D6" w:rsidRDefault="00F237CD" w:rsidP="009F318A">
      <w:pPr>
        <w:pStyle w:val="subsection"/>
      </w:pPr>
      <w:r w:rsidRPr="004B35D6">
        <w:lastRenderedPageBreak/>
        <w:tab/>
        <w:t>(4</w:t>
      </w:r>
      <w:r w:rsidR="00462DF8" w:rsidRPr="004B35D6">
        <w:t>)</w:t>
      </w:r>
      <w:r w:rsidR="00462DF8" w:rsidRPr="004B35D6">
        <w:tab/>
      </w:r>
      <w:r w:rsidR="00255D23" w:rsidRPr="004B35D6">
        <w:t>In determining whether the</w:t>
      </w:r>
      <w:r w:rsidR="00462DF8" w:rsidRPr="004B35D6">
        <w:t xml:space="preserve"> report contains information of the kind referred to in </w:t>
      </w:r>
      <w:r w:rsidR="00C45913" w:rsidRPr="004B35D6">
        <w:t>subsection 2</w:t>
      </w:r>
      <w:r w:rsidR="00462DF8" w:rsidRPr="004B35D6">
        <w:t>9(3), the Independent National Security Legislation Monitor may consult</w:t>
      </w:r>
      <w:r w:rsidR="002D1F54" w:rsidRPr="004B35D6">
        <w:t xml:space="preserve"> </w:t>
      </w:r>
      <w:r w:rsidR="00462DF8" w:rsidRPr="004B35D6">
        <w:t xml:space="preserve">the </w:t>
      </w:r>
      <w:r w:rsidR="004A231E" w:rsidRPr="004B35D6">
        <w:t>responsible Minister or responsible Ministers concerned</w:t>
      </w:r>
      <w:r w:rsidR="00462DF8" w:rsidRPr="004B35D6">
        <w:t>.</w:t>
      </w:r>
    </w:p>
    <w:p w14:paraId="125B1D83" w14:textId="6FC1ABBD" w:rsidR="008E1775" w:rsidRPr="004B35D6" w:rsidRDefault="00F237CD" w:rsidP="009F318A">
      <w:pPr>
        <w:pStyle w:val="subsection"/>
      </w:pPr>
      <w:r w:rsidRPr="004B35D6">
        <w:tab/>
        <w:t>(5</w:t>
      </w:r>
      <w:r w:rsidR="00462DF8" w:rsidRPr="004B35D6">
        <w:t>)</w:t>
      </w:r>
      <w:r w:rsidR="00462DF8" w:rsidRPr="004B35D6">
        <w:tab/>
      </w:r>
      <w:r w:rsidR="00CA26F6" w:rsidRPr="004B35D6">
        <w:t>The Attorney</w:t>
      </w:r>
      <w:r w:rsidR="009F318A">
        <w:noBreakHyphen/>
      </w:r>
      <w:r w:rsidR="00462DF8" w:rsidRPr="004B35D6">
        <w:t>General must cause a copy of</w:t>
      </w:r>
      <w:r w:rsidR="008E1775" w:rsidRPr="004B35D6">
        <w:t>:</w:t>
      </w:r>
    </w:p>
    <w:p w14:paraId="4C87EFC0" w14:textId="77777777" w:rsidR="008E1775" w:rsidRPr="004B35D6" w:rsidRDefault="008E1775" w:rsidP="009F318A">
      <w:pPr>
        <w:pStyle w:val="paragraph"/>
      </w:pPr>
      <w:r w:rsidRPr="004B35D6">
        <w:tab/>
        <w:t>(a)</w:t>
      </w:r>
      <w:r w:rsidRPr="004B35D6">
        <w:tab/>
        <w:t>the special report; or</w:t>
      </w:r>
    </w:p>
    <w:p w14:paraId="16056554" w14:textId="77777777" w:rsidR="008E1775" w:rsidRPr="004B35D6" w:rsidRDefault="008E1775" w:rsidP="009F318A">
      <w:pPr>
        <w:pStyle w:val="paragraph"/>
      </w:pPr>
      <w:r w:rsidRPr="004B35D6">
        <w:tab/>
        <w:t>(b)</w:t>
      </w:r>
      <w:r w:rsidRPr="004B35D6">
        <w:tab/>
        <w:t xml:space="preserve">if the special report contains information of the kind referred to in </w:t>
      </w:r>
      <w:r w:rsidR="00C45913" w:rsidRPr="004B35D6">
        <w:t>subsection 2</w:t>
      </w:r>
      <w:r w:rsidRPr="004B35D6">
        <w:t>9(3)—the corresponding declassified special report;</w:t>
      </w:r>
    </w:p>
    <w:p w14:paraId="483570CE" w14:textId="1480DA7C" w:rsidR="00CC75F7" w:rsidRPr="00DA493C" w:rsidRDefault="00CC75F7" w:rsidP="009F318A">
      <w:pPr>
        <w:pStyle w:val="subsection2"/>
      </w:pPr>
      <w:r w:rsidRPr="00DA493C">
        <w:t>to be presented to each House of the Parliament within the earlier of:</w:t>
      </w:r>
    </w:p>
    <w:p w14:paraId="45355724" w14:textId="77777777" w:rsidR="00CC75F7" w:rsidRPr="00DA493C" w:rsidRDefault="00CC75F7" w:rsidP="009F318A">
      <w:pPr>
        <w:pStyle w:val="paragraph"/>
      </w:pPr>
      <w:r w:rsidRPr="00DA493C">
        <w:tab/>
        <w:t>(c)</w:t>
      </w:r>
      <w:r w:rsidRPr="00DA493C">
        <w:tab/>
        <w:t>15 sitting days of that House after the day on which he or she receives the report; or</w:t>
      </w:r>
    </w:p>
    <w:p w14:paraId="2A5CE4C9" w14:textId="77777777" w:rsidR="00CC75F7" w:rsidRPr="00DA493C" w:rsidRDefault="00CC75F7" w:rsidP="009F318A">
      <w:pPr>
        <w:pStyle w:val="paragraph"/>
      </w:pPr>
      <w:r w:rsidRPr="00DA493C">
        <w:tab/>
        <w:t>(d)</w:t>
      </w:r>
      <w:r w:rsidRPr="00DA493C">
        <w:tab/>
        <w:t>30 days after the day on which he or she receives the report.</w:t>
      </w:r>
    </w:p>
    <w:p w14:paraId="58AEC9C9" w14:textId="77777777" w:rsidR="00F720C7" w:rsidRPr="004B35D6" w:rsidRDefault="00272C44" w:rsidP="009F318A">
      <w:pPr>
        <w:pStyle w:val="ActHead5"/>
      </w:pPr>
      <w:bookmarkStart w:id="13" w:name="_Toc90393946"/>
      <w:r w:rsidRPr="009F318A">
        <w:rPr>
          <w:rStyle w:val="CharSectno"/>
        </w:rPr>
        <w:t>29B</w:t>
      </w:r>
      <w:r w:rsidRPr="004B35D6">
        <w:t xml:space="preserve">  </w:t>
      </w:r>
      <w:r w:rsidR="00A9620A" w:rsidRPr="004B35D6">
        <w:t xml:space="preserve">Statutory </w:t>
      </w:r>
      <w:r w:rsidR="00CA26F6" w:rsidRPr="004B35D6">
        <w:t xml:space="preserve">review </w:t>
      </w:r>
      <w:r w:rsidR="00A9620A" w:rsidRPr="004B35D6">
        <w:t>report</w:t>
      </w:r>
      <w:bookmarkEnd w:id="13"/>
    </w:p>
    <w:p w14:paraId="447FFCA9" w14:textId="77777777" w:rsidR="00191B89" w:rsidRPr="004B35D6" w:rsidRDefault="00272C44" w:rsidP="009F318A">
      <w:pPr>
        <w:pStyle w:val="subsection"/>
      </w:pPr>
      <w:r w:rsidRPr="004B35D6">
        <w:tab/>
        <w:t>(1</w:t>
      </w:r>
      <w:r w:rsidR="00F720C7" w:rsidRPr="004B35D6">
        <w:t>)</w:t>
      </w:r>
      <w:r w:rsidR="00F720C7" w:rsidRPr="004B35D6">
        <w:tab/>
      </w:r>
      <w:r w:rsidR="00191B89" w:rsidRPr="004B35D6">
        <w:t>This section applies if the Independent National Security Legislation Monitor completes a</w:t>
      </w:r>
      <w:r w:rsidR="00CA26F6" w:rsidRPr="004B35D6">
        <w:t xml:space="preserve"> review under </w:t>
      </w:r>
      <w:r w:rsidR="00C45913" w:rsidRPr="004B35D6">
        <w:t>subsection 6</w:t>
      </w:r>
      <w:r w:rsidR="00CA26F6" w:rsidRPr="004B35D6">
        <w:t>(1B) or (1C)</w:t>
      </w:r>
      <w:r w:rsidR="00191B89" w:rsidRPr="004B35D6">
        <w:t>.</w:t>
      </w:r>
    </w:p>
    <w:p w14:paraId="7D0CB4A9" w14:textId="682CD9BD" w:rsidR="00F720C7" w:rsidRPr="004B35D6" w:rsidRDefault="00191B89" w:rsidP="009F318A">
      <w:pPr>
        <w:pStyle w:val="subsection"/>
      </w:pPr>
      <w:r w:rsidRPr="004B35D6">
        <w:tab/>
        <w:t>(2)</w:t>
      </w:r>
      <w:r w:rsidRPr="004B35D6">
        <w:tab/>
      </w:r>
      <w:r w:rsidR="00F720C7" w:rsidRPr="004B35D6">
        <w:t>The Independent National Security Legislation Monitor must prepare and give to the Attorney</w:t>
      </w:r>
      <w:r w:rsidR="009F318A">
        <w:noBreakHyphen/>
      </w:r>
      <w:r w:rsidR="00F720C7" w:rsidRPr="004B35D6">
        <w:t>General</w:t>
      </w:r>
      <w:r w:rsidR="00EB12C0" w:rsidRPr="004B35D6">
        <w:t xml:space="preserve"> a report</w:t>
      </w:r>
      <w:r w:rsidR="000565D8" w:rsidRPr="004B35D6">
        <w:t xml:space="preserve"> relating to the performance of the review </w:t>
      </w:r>
      <w:r w:rsidRPr="004B35D6">
        <w:t>(a</w:t>
      </w:r>
      <w:r w:rsidRPr="004B35D6">
        <w:rPr>
          <w:b/>
          <w:i/>
        </w:rPr>
        <w:t xml:space="preserve"> statutory</w:t>
      </w:r>
      <w:r w:rsidR="00CA26F6" w:rsidRPr="004B35D6">
        <w:rPr>
          <w:b/>
          <w:i/>
        </w:rPr>
        <w:t xml:space="preserve"> review</w:t>
      </w:r>
      <w:r w:rsidRPr="004B35D6">
        <w:rPr>
          <w:b/>
          <w:i/>
        </w:rPr>
        <w:t xml:space="preserve"> report</w:t>
      </w:r>
      <w:r w:rsidRPr="004B35D6">
        <w:t>).</w:t>
      </w:r>
    </w:p>
    <w:p w14:paraId="6B7BAC5B" w14:textId="69E4D9A9" w:rsidR="00A9620A" w:rsidRPr="004B35D6" w:rsidRDefault="00F237CD" w:rsidP="009F318A">
      <w:pPr>
        <w:pStyle w:val="subsection"/>
      </w:pPr>
      <w:r w:rsidRPr="004B35D6">
        <w:tab/>
        <w:t>(3</w:t>
      </w:r>
      <w:r w:rsidR="00A9620A" w:rsidRPr="004B35D6">
        <w:t>)</w:t>
      </w:r>
      <w:r w:rsidR="00A9620A" w:rsidRPr="004B35D6">
        <w:tab/>
        <w:t>If the Independent National Security Legislation Monitor considers that a statutory</w:t>
      </w:r>
      <w:r w:rsidR="00CA26F6" w:rsidRPr="004B35D6">
        <w:t xml:space="preserve"> review</w:t>
      </w:r>
      <w:r w:rsidR="00A9620A" w:rsidRPr="004B35D6">
        <w:t xml:space="preserve"> report contains information of the kind referred to in </w:t>
      </w:r>
      <w:r w:rsidR="00C45913" w:rsidRPr="004B35D6">
        <w:t>subsection 2</w:t>
      </w:r>
      <w:r w:rsidR="00A9620A" w:rsidRPr="004B35D6">
        <w:t>9(3), the Monitor must also prepare and give to the Attorney</w:t>
      </w:r>
      <w:r w:rsidR="009F318A">
        <w:noBreakHyphen/>
      </w:r>
      <w:r w:rsidR="00A9620A" w:rsidRPr="004B35D6">
        <w:t xml:space="preserve">General, </w:t>
      </w:r>
      <w:r w:rsidR="0005010C">
        <w:t xml:space="preserve">at </w:t>
      </w:r>
      <w:r w:rsidR="00A9620A" w:rsidRPr="004B35D6">
        <w:t xml:space="preserve">the same time as the </w:t>
      </w:r>
      <w:r w:rsidR="004729A0" w:rsidRPr="004B35D6">
        <w:t>statutory</w:t>
      </w:r>
      <w:r w:rsidR="00A9620A" w:rsidRPr="004B35D6">
        <w:t xml:space="preserve"> </w:t>
      </w:r>
      <w:r w:rsidR="00CA26F6" w:rsidRPr="004B35D6">
        <w:t xml:space="preserve">review </w:t>
      </w:r>
      <w:r w:rsidR="00A9620A" w:rsidRPr="004B35D6">
        <w:t xml:space="preserve">report, a </w:t>
      </w:r>
      <w:r w:rsidR="008C034B" w:rsidRPr="004B35D6">
        <w:t xml:space="preserve">version of the report which does not contain that information (a </w:t>
      </w:r>
      <w:r w:rsidR="008C034B" w:rsidRPr="004B35D6">
        <w:rPr>
          <w:b/>
          <w:i/>
        </w:rPr>
        <w:t xml:space="preserve">declassified statutory </w:t>
      </w:r>
      <w:r w:rsidR="00CA26F6" w:rsidRPr="004B35D6">
        <w:rPr>
          <w:b/>
          <w:i/>
        </w:rPr>
        <w:t xml:space="preserve">review </w:t>
      </w:r>
      <w:r w:rsidR="008C034B" w:rsidRPr="004B35D6">
        <w:rPr>
          <w:b/>
          <w:i/>
        </w:rPr>
        <w:t>report</w:t>
      </w:r>
      <w:r w:rsidR="008C034B" w:rsidRPr="004B35D6">
        <w:t>).</w:t>
      </w:r>
    </w:p>
    <w:p w14:paraId="02900DBB" w14:textId="77777777" w:rsidR="00A9620A" w:rsidRPr="004B35D6" w:rsidRDefault="00F237CD" w:rsidP="009F318A">
      <w:pPr>
        <w:pStyle w:val="subsection"/>
      </w:pPr>
      <w:r w:rsidRPr="004B35D6">
        <w:tab/>
        <w:t>(4</w:t>
      </w:r>
      <w:r w:rsidR="00A9620A" w:rsidRPr="004B35D6">
        <w:t>)</w:t>
      </w:r>
      <w:r w:rsidR="00A9620A" w:rsidRPr="004B35D6">
        <w:tab/>
        <w:t>In determining whether the</w:t>
      </w:r>
      <w:r w:rsidR="004729A0" w:rsidRPr="004B35D6">
        <w:t xml:space="preserve"> statutory</w:t>
      </w:r>
      <w:r w:rsidR="00CA26F6" w:rsidRPr="004B35D6">
        <w:t xml:space="preserve"> review</w:t>
      </w:r>
      <w:r w:rsidR="00A9620A" w:rsidRPr="004B35D6">
        <w:t xml:space="preserve"> report contains information of the kind referred to in </w:t>
      </w:r>
      <w:r w:rsidR="00C45913" w:rsidRPr="004B35D6">
        <w:t>subsection 2</w:t>
      </w:r>
      <w:r w:rsidR="00A9620A" w:rsidRPr="004B35D6">
        <w:t>9(3), the Independent National Security Legislation Monitor may consult the responsible Minister or responsible Ministers concerned.</w:t>
      </w:r>
    </w:p>
    <w:p w14:paraId="6B6B7D59" w14:textId="27C6CCF2" w:rsidR="0026053C" w:rsidRPr="004B35D6" w:rsidRDefault="00F237CD" w:rsidP="009F318A">
      <w:pPr>
        <w:pStyle w:val="subsection"/>
      </w:pPr>
      <w:r w:rsidRPr="004B35D6">
        <w:tab/>
        <w:t>(5</w:t>
      </w:r>
      <w:r w:rsidR="00CA26F6" w:rsidRPr="004B35D6">
        <w:t>)</w:t>
      </w:r>
      <w:r w:rsidR="00CA26F6" w:rsidRPr="004B35D6">
        <w:tab/>
        <w:t>The Attorney</w:t>
      </w:r>
      <w:r w:rsidR="009F318A">
        <w:noBreakHyphen/>
      </w:r>
      <w:r w:rsidR="00A9620A" w:rsidRPr="004B35D6">
        <w:t>General must cause a copy of</w:t>
      </w:r>
      <w:r w:rsidR="0026053C" w:rsidRPr="004B35D6">
        <w:t>:</w:t>
      </w:r>
    </w:p>
    <w:p w14:paraId="15B4A4F1" w14:textId="77777777" w:rsidR="002E71A9" w:rsidRPr="004B35D6" w:rsidRDefault="002E71A9" w:rsidP="009F318A">
      <w:pPr>
        <w:pStyle w:val="paragraph"/>
      </w:pPr>
      <w:r w:rsidRPr="004B35D6">
        <w:tab/>
        <w:t>(a)</w:t>
      </w:r>
      <w:r w:rsidRPr="004B35D6">
        <w:tab/>
      </w:r>
      <w:r w:rsidR="00A9620A" w:rsidRPr="004B35D6">
        <w:t xml:space="preserve">the </w:t>
      </w:r>
      <w:r w:rsidR="004729A0" w:rsidRPr="004B35D6">
        <w:t xml:space="preserve">statutory </w:t>
      </w:r>
      <w:r w:rsidR="00CA26F6" w:rsidRPr="004B35D6">
        <w:t xml:space="preserve">review </w:t>
      </w:r>
      <w:r w:rsidR="00A9620A" w:rsidRPr="004B35D6">
        <w:t>report</w:t>
      </w:r>
      <w:r w:rsidRPr="004B35D6">
        <w:t>; or</w:t>
      </w:r>
    </w:p>
    <w:p w14:paraId="4E28616E" w14:textId="77777777" w:rsidR="002E71A9" w:rsidRPr="004B35D6" w:rsidRDefault="002E71A9" w:rsidP="009F318A">
      <w:pPr>
        <w:pStyle w:val="paragraph"/>
      </w:pPr>
      <w:r w:rsidRPr="004B35D6">
        <w:lastRenderedPageBreak/>
        <w:tab/>
        <w:t>(b)</w:t>
      </w:r>
      <w:r w:rsidRPr="004B35D6">
        <w:tab/>
        <w:t xml:space="preserve">if the statutory review report contains information of the kind referred to in </w:t>
      </w:r>
      <w:r w:rsidR="00C45913" w:rsidRPr="004B35D6">
        <w:t>subsection 2</w:t>
      </w:r>
      <w:r w:rsidRPr="004B35D6">
        <w:t>9(3)—t</w:t>
      </w:r>
      <w:r w:rsidR="00A9620A" w:rsidRPr="004B35D6">
        <w:t xml:space="preserve">he corresponding declassified </w:t>
      </w:r>
      <w:r w:rsidR="008C034B" w:rsidRPr="004B35D6">
        <w:t xml:space="preserve">statutory </w:t>
      </w:r>
      <w:r w:rsidR="00CA26F6" w:rsidRPr="004B35D6">
        <w:t xml:space="preserve">review </w:t>
      </w:r>
      <w:r w:rsidR="00A9620A" w:rsidRPr="004B35D6">
        <w:t>report</w:t>
      </w:r>
      <w:r w:rsidRPr="004B35D6">
        <w:t>;</w:t>
      </w:r>
    </w:p>
    <w:p w14:paraId="5249A5A5" w14:textId="790F48A3" w:rsidR="00CC75F7" w:rsidRPr="00DA493C" w:rsidRDefault="00CC75F7" w:rsidP="009F318A">
      <w:pPr>
        <w:pStyle w:val="subsection2"/>
      </w:pPr>
      <w:r w:rsidRPr="00DA493C">
        <w:t>to be presented to each House of the Parliament within the earlier of:</w:t>
      </w:r>
    </w:p>
    <w:p w14:paraId="6E647AE3" w14:textId="77777777" w:rsidR="00CC75F7" w:rsidRPr="00DA493C" w:rsidRDefault="00CC75F7" w:rsidP="009F318A">
      <w:pPr>
        <w:pStyle w:val="paragraph"/>
      </w:pPr>
      <w:r w:rsidRPr="00DA493C">
        <w:tab/>
        <w:t>(c)</w:t>
      </w:r>
      <w:r w:rsidRPr="00DA493C">
        <w:tab/>
        <w:t>15 sitting days of that House after the day on which he or she receives the report; or</w:t>
      </w:r>
    </w:p>
    <w:p w14:paraId="1FCB4F67" w14:textId="77777777" w:rsidR="00CC75F7" w:rsidRPr="00DA493C" w:rsidRDefault="00CC75F7" w:rsidP="009F318A">
      <w:pPr>
        <w:pStyle w:val="paragraph"/>
      </w:pPr>
      <w:r w:rsidRPr="00DA493C">
        <w:tab/>
        <w:t>(d)</w:t>
      </w:r>
      <w:r w:rsidRPr="00DA493C">
        <w:tab/>
        <w:t>30 days after the day on which he or she receives the report.</w:t>
      </w:r>
    </w:p>
    <w:p w14:paraId="650FBB5A" w14:textId="6A8BB209" w:rsidR="00CC75F7" w:rsidRPr="00DA493C" w:rsidRDefault="00CC75F7" w:rsidP="009F318A">
      <w:pPr>
        <w:pStyle w:val="ItemHead"/>
      </w:pPr>
      <w:r w:rsidRPr="00DA493C">
        <w:t xml:space="preserve">9A  </w:t>
      </w:r>
      <w:r w:rsidR="009F318A">
        <w:t>Subsection 3</w:t>
      </w:r>
      <w:r w:rsidRPr="00DA493C">
        <w:t>0(6)</w:t>
      </w:r>
    </w:p>
    <w:p w14:paraId="2793477C" w14:textId="50A409EF" w:rsidR="00CC75F7" w:rsidRPr="00DA493C" w:rsidRDefault="00CC75F7" w:rsidP="009F318A">
      <w:pPr>
        <w:pStyle w:val="Item"/>
      </w:pPr>
      <w:r w:rsidRPr="00DA493C">
        <w:t>Omit all the words after “</w:t>
      </w:r>
      <w:r w:rsidR="009F318A">
        <w:t>paragraph (</w:t>
      </w:r>
      <w:r w:rsidRPr="00DA493C">
        <w:t>b)”, substitute:</w:t>
      </w:r>
    </w:p>
    <w:p w14:paraId="582A2714" w14:textId="7C9AA60D" w:rsidR="00CC75F7" w:rsidRPr="00DA493C" w:rsidRDefault="00CC75F7" w:rsidP="009F318A">
      <w:pPr>
        <w:pStyle w:val="subsection2"/>
      </w:pPr>
      <w:r w:rsidRPr="00DA493C">
        <w:t>to be presented to each House of the Parliament within the earlier of:</w:t>
      </w:r>
    </w:p>
    <w:p w14:paraId="642A0B98" w14:textId="77777777" w:rsidR="00CC75F7" w:rsidRPr="00DA493C" w:rsidRDefault="00CC75F7" w:rsidP="009F318A">
      <w:pPr>
        <w:pStyle w:val="paragraph"/>
      </w:pPr>
      <w:r w:rsidRPr="00DA493C">
        <w:tab/>
        <w:t>(c)</w:t>
      </w:r>
      <w:r w:rsidRPr="00DA493C">
        <w:tab/>
        <w:t>15 sitting days of that House after the day on which he or she receives the report; or</w:t>
      </w:r>
    </w:p>
    <w:p w14:paraId="3C0BC48C" w14:textId="77777777" w:rsidR="00CC75F7" w:rsidRPr="00DA493C" w:rsidRDefault="00CC75F7" w:rsidP="009F318A">
      <w:pPr>
        <w:pStyle w:val="paragraph"/>
      </w:pPr>
      <w:r w:rsidRPr="00DA493C">
        <w:tab/>
        <w:t>(d)</w:t>
      </w:r>
      <w:r w:rsidRPr="00DA493C">
        <w:tab/>
        <w:t>30 days after the day on which he or she receives the report.</w:t>
      </w:r>
    </w:p>
    <w:p w14:paraId="5C272F9E" w14:textId="09AF6CAA" w:rsidR="002E71A9" w:rsidRPr="004B35D6" w:rsidRDefault="00A4774A" w:rsidP="009F318A">
      <w:pPr>
        <w:pStyle w:val="ItemHead"/>
      </w:pPr>
      <w:r w:rsidRPr="004B35D6">
        <w:t xml:space="preserve">9  </w:t>
      </w:r>
      <w:r w:rsidR="00C45913" w:rsidRPr="004B35D6">
        <w:t>Section 3</w:t>
      </w:r>
      <w:r w:rsidR="00440BB7" w:rsidRPr="004B35D6">
        <w:t>1</w:t>
      </w:r>
    </w:p>
    <w:p w14:paraId="665AA314" w14:textId="77777777" w:rsidR="00440BB7" w:rsidRPr="004B35D6" w:rsidRDefault="00440BB7" w:rsidP="009F318A">
      <w:pPr>
        <w:pStyle w:val="Item"/>
      </w:pPr>
      <w:r w:rsidRPr="004B35D6">
        <w:t>Before “No action”, insert “(1)”.</w:t>
      </w:r>
    </w:p>
    <w:p w14:paraId="3E2F1892" w14:textId="77777777" w:rsidR="00A838F2" w:rsidRPr="004B35D6" w:rsidRDefault="00A838F2" w:rsidP="009F318A">
      <w:pPr>
        <w:pStyle w:val="ItemHead"/>
      </w:pPr>
      <w:r w:rsidRPr="004B35D6">
        <w:t xml:space="preserve">10  </w:t>
      </w:r>
      <w:r w:rsidR="00F25710" w:rsidRPr="004B35D6">
        <w:t>Paragraph 3</w:t>
      </w:r>
      <w:r w:rsidRPr="004B35D6">
        <w:t>1(b)</w:t>
      </w:r>
    </w:p>
    <w:p w14:paraId="2FCE7EDE" w14:textId="77777777" w:rsidR="00A838F2" w:rsidRPr="004B35D6" w:rsidRDefault="00A838F2" w:rsidP="009F318A">
      <w:pPr>
        <w:pStyle w:val="Item"/>
      </w:pPr>
      <w:r w:rsidRPr="004B35D6">
        <w:t>Omit “or his”, substitute “of his”.</w:t>
      </w:r>
    </w:p>
    <w:p w14:paraId="1FE5DEB8" w14:textId="77777777" w:rsidR="00440BB7" w:rsidRPr="004B35D6" w:rsidRDefault="00440BB7" w:rsidP="009F318A">
      <w:pPr>
        <w:pStyle w:val="ItemHead"/>
      </w:pPr>
      <w:r w:rsidRPr="004B35D6">
        <w:t>1</w:t>
      </w:r>
      <w:r w:rsidR="00A838F2" w:rsidRPr="004B35D6">
        <w:t>1</w:t>
      </w:r>
      <w:r w:rsidRPr="004B35D6">
        <w:t xml:space="preserve">  At the end of </w:t>
      </w:r>
      <w:r w:rsidR="00C45913" w:rsidRPr="004B35D6">
        <w:t>section 3</w:t>
      </w:r>
      <w:r w:rsidRPr="004B35D6">
        <w:t>1</w:t>
      </w:r>
    </w:p>
    <w:p w14:paraId="509E0B0A" w14:textId="77777777" w:rsidR="00440BB7" w:rsidRPr="004B35D6" w:rsidRDefault="00440BB7" w:rsidP="009F318A">
      <w:pPr>
        <w:pStyle w:val="Item"/>
      </w:pPr>
      <w:r w:rsidRPr="004B35D6">
        <w:t>Add:</w:t>
      </w:r>
    </w:p>
    <w:p w14:paraId="5A1A6270" w14:textId="77777777" w:rsidR="00FB61E9" w:rsidRPr="004B35D6" w:rsidRDefault="00440BB7" w:rsidP="009F318A">
      <w:pPr>
        <w:pStyle w:val="subsection"/>
      </w:pPr>
      <w:r w:rsidRPr="004B35D6">
        <w:tab/>
        <w:t>(2)</w:t>
      </w:r>
      <w:r w:rsidRPr="004B35D6">
        <w:tab/>
        <w:t>No action, suit or proceeding may be brought against a person who is</w:t>
      </w:r>
      <w:r w:rsidR="009541D4" w:rsidRPr="004B35D6">
        <w:t xml:space="preserve"> </w:t>
      </w:r>
      <w:r w:rsidR="00D56BA3" w:rsidRPr="004B35D6">
        <w:t>assisting</w:t>
      </w:r>
      <w:r w:rsidR="009541D4" w:rsidRPr="004B35D6">
        <w:t>, or has assisted</w:t>
      </w:r>
      <w:r w:rsidR="00A838F2" w:rsidRPr="004B35D6">
        <w:t>,</w:t>
      </w:r>
      <w:r w:rsidR="00D56BA3" w:rsidRPr="004B35D6">
        <w:t xml:space="preserve"> </w:t>
      </w:r>
      <w:r w:rsidR="00FB61E9" w:rsidRPr="004B35D6">
        <w:t>t</w:t>
      </w:r>
      <w:r w:rsidRPr="004B35D6">
        <w:t>he Independent National Security Legislation Monitor</w:t>
      </w:r>
      <w:r w:rsidR="00D56BA3" w:rsidRPr="004B35D6">
        <w:t xml:space="preserve"> under </w:t>
      </w:r>
      <w:r w:rsidR="00C45913" w:rsidRPr="004B35D6">
        <w:t>sections 3</w:t>
      </w:r>
      <w:r w:rsidR="00D56BA3" w:rsidRPr="004B35D6">
        <w:t>3</w:t>
      </w:r>
      <w:r w:rsidR="005C6FE9" w:rsidRPr="004B35D6">
        <w:t xml:space="preserve"> or</w:t>
      </w:r>
      <w:r w:rsidR="00D56BA3" w:rsidRPr="004B35D6">
        <w:t xml:space="preserve"> 3</w:t>
      </w:r>
      <w:r w:rsidR="005C6FE9" w:rsidRPr="004B35D6">
        <w:t>4</w:t>
      </w:r>
      <w:r w:rsidRPr="004B35D6">
        <w:t xml:space="preserve"> in relation to anything done</w:t>
      </w:r>
      <w:r w:rsidR="00A838F2" w:rsidRPr="004B35D6">
        <w:t>,</w:t>
      </w:r>
      <w:r w:rsidRPr="004B35D6">
        <w:t xml:space="preserve"> or omitted to be done, in good faith by t</w:t>
      </w:r>
      <w:r w:rsidR="00FB61E9" w:rsidRPr="004B35D6">
        <w:t>hat person:</w:t>
      </w:r>
    </w:p>
    <w:p w14:paraId="413F3A6E" w14:textId="77777777" w:rsidR="00440BB7" w:rsidRPr="004B35D6" w:rsidRDefault="00FB61E9" w:rsidP="009F318A">
      <w:pPr>
        <w:pStyle w:val="paragraph"/>
      </w:pPr>
      <w:r w:rsidRPr="004B35D6">
        <w:tab/>
        <w:t>(a)</w:t>
      </w:r>
      <w:r w:rsidRPr="004B35D6">
        <w:tab/>
        <w:t xml:space="preserve">assisting the Monitor </w:t>
      </w:r>
      <w:r w:rsidR="00440BB7" w:rsidRPr="004B35D6">
        <w:t>in the performance, or purported performance, of his or her functions or duties</w:t>
      </w:r>
      <w:r w:rsidRPr="004B35D6">
        <w:t>; or</w:t>
      </w:r>
    </w:p>
    <w:p w14:paraId="31B15C56" w14:textId="77777777" w:rsidR="00440BB7" w:rsidRPr="004B35D6" w:rsidRDefault="00FB61E9" w:rsidP="009F318A">
      <w:pPr>
        <w:pStyle w:val="paragraph"/>
      </w:pPr>
      <w:r w:rsidRPr="004B35D6">
        <w:tab/>
        <w:t>(b)</w:t>
      </w:r>
      <w:r w:rsidRPr="004B35D6">
        <w:tab/>
        <w:t>assisting the Monitor in the exercise, or purported exercise, o</w:t>
      </w:r>
      <w:r w:rsidR="00F25185" w:rsidRPr="004B35D6">
        <w:t>f</w:t>
      </w:r>
      <w:r w:rsidRPr="004B35D6">
        <w:t xml:space="preserve"> his or her powers.</w:t>
      </w:r>
    </w:p>
    <w:p w14:paraId="7C3028EE" w14:textId="77777777" w:rsidR="00391C6E" w:rsidRPr="004B35D6" w:rsidRDefault="00391C6E" w:rsidP="009F318A">
      <w:pPr>
        <w:pStyle w:val="ItemHead"/>
      </w:pPr>
      <w:r w:rsidRPr="004B35D6">
        <w:t>1</w:t>
      </w:r>
      <w:r w:rsidR="00A838F2" w:rsidRPr="004B35D6">
        <w:t>2</w:t>
      </w:r>
      <w:r w:rsidRPr="004B35D6">
        <w:t xml:space="preserve">  At the end of </w:t>
      </w:r>
      <w:r w:rsidR="00C45913" w:rsidRPr="004B35D6">
        <w:t>Part 5</w:t>
      </w:r>
    </w:p>
    <w:p w14:paraId="5E9F1C8F" w14:textId="77777777" w:rsidR="00391C6E" w:rsidRPr="004B35D6" w:rsidRDefault="00391C6E" w:rsidP="009F318A">
      <w:pPr>
        <w:pStyle w:val="Item"/>
      </w:pPr>
      <w:r w:rsidRPr="004B35D6">
        <w:t>Add:</w:t>
      </w:r>
    </w:p>
    <w:p w14:paraId="19177B95" w14:textId="77777777" w:rsidR="00391C6E" w:rsidRPr="004B35D6" w:rsidRDefault="00391C6E" w:rsidP="009F318A">
      <w:pPr>
        <w:pStyle w:val="ActHead5"/>
      </w:pPr>
      <w:bookmarkStart w:id="14" w:name="_Toc90393947"/>
      <w:r w:rsidRPr="009F318A">
        <w:rPr>
          <w:rStyle w:val="CharSectno"/>
        </w:rPr>
        <w:lastRenderedPageBreak/>
        <w:t>33</w:t>
      </w:r>
      <w:r w:rsidRPr="004B35D6">
        <w:t xml:space="preserve">  Staff of the Independent National Security Legislation Monitor</w:t>
      </w:r>
      <w:bookmarkEnd w:id="14"/>
    </w:p>
    <w:p w14:paraId="34ECD09B" w14:textId="77777777" w:rsidR="00EA0E39" w:rsidRPr="004B35D6" w:rsidRDefault="00391C6E" w:rsidP="009F318A">
      <w:pPr>
        <w:pStyle w:val="subsection"/>
      </w:pPr>
      <w:r w:rsidRPr="004B35D6">
        <w:tab/>
        <w:t>(1)</w:t>
      </w:r>
      <w:r w:rsidRPr="004B35D6">
        <w:tab/>
        <w:t>The Independent National Security Legislation Monitor</w:t>
      </w:r>
      <w:r w:rsidR="00EA0E39" w:rsidRPr="004B35D6">
        <w:t xml:space="preserve"> may be assisted by the following persons, whose services are made available to the Monitor in connection with the performance of any of the Monitor’s functions, or the exercise of the Monitor’s powers:</w:t>
      </w:r>
    </w:p>
    <w:p w14:paraId="7C0B9D1A" w14:textId="77777777" w:rsidR="00391C6E" w:rsidRPr="004B35D6" w:rsidRDefault="00EA0E39" w:rsidP="009F318A">
      <w:pPr>
        <w:pStyle w:val="paragraph"/>
      </w:pPr>
      <w:r w:rsidRPr="004B35D6">
        <w:tab/>
        <w:t>(a)</w:t>
      </w:r>
      <w:r w:rsidRPr="004B35D6">
        <w:tab/>
      </w:r>
      <w:r w:rsidR="00391C6E" w:rsidRPr="004B35D6">
        <w:t>APS employees in the Department whose services are made available to the Monitor</w:t>
      </w:r>
      <w:r w:rsidR="005E0580" w:rsidRPr="004B35D6">
        <w:t xml:space="preserve"> by the Secretary of the Department</w:t>
      </w:r>
      <w:r w:rsidRPr="004B35D6">
        <w:t>;</w:t>
      </w:r>
    </w:p>
    <w:p w14:paraId="6496E3A2" w14:textId="77777777" w:rsidR="00EA0E39" w:rsidRPr="004B35D6" w:rsidRDefault="00EA0E39" w:rsidP="009F318A">
      <w:pPr>
        <w:pStyle w:val="paragraph"/>
      </w:pPr>
      <w:r w:rsidRPr="004B35D6">
        <w:tab/>
        <w:t>(b)</w:t>
      </w:r>
      <w:r w:rsidRPr="004B35D6">
        <w:tab/>
        <w:t xml:space="preserve">employees of Agencies (within the meaning of the </w:t>
      </w:r>
      <w:r w:rsidRPr="004B35D6">
        <w:rPr>
          <w:i/>
        </w:rPr>
        <w:t>Public Service Act 1999</w:t>
      </w:r>
      <w:r w:rsidRPr="004B35D6">
        <w:t>);</w:t>
      </w:r>
    </w:p>
    <w:p w14:paraId="0BA79AFE" w14:textId="77777777" w:rsidR="00EA0E39" w:rsidRPr="004B35D6" w:rsidRDefault="00EA0E39" w:rsidP="009F318A">
      <w:pPr>
        <w:pStyle w:val="paragraph"/>
      </w:pPr>
      <w:r w:rsidRPr="004B35D6">
        <w:tab/>
        <w:t>(c)</w:t>
      </w:r>
      <w:r w:rsidRPr="004B35D6">
        <w:tab/>
        <w:t xml:space="preserve"> persons employed under the </w:t>
      </w:r>
      <w:r w:rsidRPr="004B35D6">
        <w:rPr>
          <w:i/>
        </w:rPr>
        <w:t>Australian Security Intelligence Organisation Act 1979</w:t>
      </w:r>
      <w:r w:rsidRPr="004B35D6">
        <w:t>;</w:t>
      </w:r>
    </w:p>
    <w:p w14:paraId="37F1AD48" w14:textId="77777777" w:rsidR="00EA0E39" w:rsidRPr="004B35D6" w:rsidRDefault="00EA0E39" w:rsidP="009F318A">
      <w:pPr>
        <w:pStyle w:val="paragraph"/>
      </w:pPr>
      <w:r w:rsidRPr="004B35D6">
        <w:tab/>
        <w:t>(d)</w:t>
      </w:r>
      <w:r w:rsidRPr="004B35D6">
        <w:tab/>
        <w:t>persons employed under the</w:t>
      </w:r>
      <w:r w:rsidRPr="004B35D6">
        <w:rPr>
          <w:i/>
        </w:rPr>
        <w:t xml:space="preserve"> Intelligence Services Act 2001</w:t>
      </w:r>
      <w:r w:rsidRPr="004B35D6">
        <w:t>;</w:t>
      </w:r>
    </w:p>
    <w:p w14:paraId="4D918709" w14:textId="77777777" w:rsidR="00EA0E39" w:rsidRPr="004B35D6" w:rsidRDefault="00EA0E39" w:rsidP="009F318A">
      <w:pPr>
        <w:pStyle w:val="paragraph"/>
      </w:pPr>
      <w:r w:rsidRPr="004B35D6">
        <w:tab/>
        <w:t>(e)</w:t>
      </w:r>
      <w:r w:rsidRPr="004B35D6">
        <w:tab/>
      </w:r>
      <w:r w:rsidR="00F055B1" w:rsidRPr="004B35D6">
        <w:t>Parliamentary Service employee</w:t>
      </w:r>
      <w:r w:rsidR="00320E03" w:rsidRPr="004B35D6">
        <w:t>s</w:t>
      </w:r>
      <w:r w:rsidR="00F055B1" w:rsidRPr="004B35D6">
        <w:t xml:space="preserve"> </w:t>
      </w:r>
      <w:r w:rsidR="006D6AAF" w:rsidRPr="004B35D6">
        <w:t>(</w:t>
      </w:r>
      <w:r w:rsidR="00F055B1" w:rsidRPr="004B35D6">
        <w:t>within the meaning</w:t>
      </w:r>
      <w:r w:rsidR="006D6AAF" w:rsidRPr="004B35D6">
        <w:t xml:space="preserve"> of the</w:t>
      </w:r>
      <w:r w:rsidR="006D6AAF" w:rsidRPr="004B35D6">
        <w:rPr>
          <w:i/>
        </w:rPr>
        <w:t xml:space="preserve"> </w:t>
      </w:r>
      <w:r w:rsidRPr="004B35D6">
        <w:rPr>
          <w:i/>
        </w:rPr>
        <w:t>Parliamentary Service Act 1999</w:t>
      </w:r>
      <w:r w:rsidR="006D6AAF" w:rsidRPr="004B35D6">
        <w:t>)</w:t>
      </w:r>
      <w:r w:rsidR="00F25185" w:rsidRPr="004B35D6">
        <w:t>;</w:t>
      </w:r>
    </w:p>
    <w:p w14:paraId="62F642FA" w14:textId="77777777" w:rsidR="00F25185" w:rsidRPr="004B35D6" w:rsidRDefault="00F25185" w:rsidP="009F318A">
      <w:pPr>
        <w:pStyle w:val="paragraph"/>
      </w:pPr>
      <w:r w:rsidRPr="004B35D6">
        <w:tab/>
        <w:t>(f)</w:t>
      </w:r>
      <w:r w:rsidRPr="004B35D6">
        <w:tab/>
        <w:t>members of the Australian Defence Force.</w:t>
      </w:r>
    </w:p>
    <w:p w14:paraId="1C746171" w14:textId="77777777" w:rsidR="00391C6E" w:rsidRPr="004B35D6" w:rsidRDefault="00391C6E" w:rsidP="009F318A">
      <w:pPr>
        <w:pStyle w:val="subsection"/>
      </w:pPr>
      <w:r w:rsidRPr="004B35D6">
        <w:tab/>
        <w:t>(2)</w:t>
      </w:r>
      <w:r w:rsidRPr="004B35D6">
        <w:tab/>
        <w:t>When performing services for the Independent National Security Legislation Monitor, the persons are subject to the directions of the Monitor.</w:t>
      </w:r>
    </w:p>
    <w:p w14:paraId="40DEC67D" w14:textId="7FAA79EF" w:rsidR="00CC75F7" w:rsidRPr="00DA493C" w:rsidRDefault="00CC75F7" w:rsidP="009F318A">
      <w:pPr>
        <w:pStyle w:val="subsection"/>
      </w:pPr>
      <w:r w:rsidRPr="00DA493C">
        <w:tab/>
        <w:t>(3)</w:t>
      </w:r>
      <w:r w:rsidRPr="00DA493C">
        <w:tab/>
        <w:t xml:space="preserve">A person referred to in </w:t>
      </w:r>
      <w:r w:rsidR="009F318A">
        <w:t>subsection (</w:t>
      </w:r>
      <w:r w:rsidRPr="00DA493C">
        <w:t>1) may only assist the Independent National Security Legislation Monitor with the written consent of the Monitor, and the Monitor may, in writing, withdraw such consent at any time.</w:t>
      </w:r>
    </w:p>
    <w:p w14:paraId="37CADFC1" w14:textId="53CC5432" w:rsidR="00350753" w:rsidRPr="004B35D6" w:rsidRDefault="00350753" w:rsidP="009F318A">
      <w:pPr>
        <w:pStyle w:val="ActHead5"/>
      </w:pPr>
      <w:bookmarkStart w:id="15" w:name="_Toc90393948"/>
      <w:r w:rsidRPr="009F318A">
        <w:rPr>
          <w:rStyle w:val="CharSectno"/>
        </w:rPr>
        <w:t>34</w:t>
      </w:r>
      <w:r w:rsidRPr="004B35D6">
        <w:t xml:space="preserve">  Contractors engaged by the Independent National Security Legislation Monitor</w:t>
      </w:r>
      <w:bookmarkEnd w:id="15"/>
    </w:p>
    <w:p w14:paraId="7CF6AF53" w14:textId="77777777" w:rsidR="00350753" w:rsidRPr="004B35D6" w:rsidRDefault="00350753" w:rsidP="009F318A">
      <w:pPr>
        <w:pStyle w:val="subsection"/>
      </w:pPr>
      <w:r w:rsidRPr="004B35D6">
        <w:tab/>
        <w:t>(1)</w:t>
      </w:r>
      <w:r w:rsidRPr="004B35D6">
        <w:tab/>
        <w:t>The Independent National Security Legislation Monitor may, on behalf of the Commonwealth, engage persons to assist in the performance of any of the Monitor’s functions, or the exercise of the Monitor’s powers.</w:t>
      </w:r>
    </w:p>
    <w:p w14:paraId="1EB0F68B" w14:textId="77777777" w:rsidR="00350753" w:rsidRPr="004B35D6" w:rsidRDefault="00350753" w:rsidP="009F318A">
      <w:pPr>
        <w:pStyle w:val="subsection"/>
      </w:pPr>
      <w:r w:rsidRPr="004B35D6">
        <w:tab/>
        <w:t>(2)</w:t>
      </w:r>
      <w:r w:rsidRPr="004B35D6">
        <w:tab/>
        <w:t>The persons are to be engaged on the terms and conditions that the Independent National Security Legislation Monitor determines in writing.</w:t>
      </w:r>
    </w:p>
    <w:p w14:paraId="05EF01D9" w14:textId="08B27E85" w:rsidR="00350753" w:rsidRPr="004B35D6" w:rsidRDefault="00350753" w:rsidP="009F318A">
      <w:pPr>
        <w:pStyle w:val="subsection"/>
      </w:pPr>
      <w:r w:rsidRPr="004B35D6">
        <w:tab/>
        <w:t>(3)</w:t>
      </w:r>
      <w:r w:rsidRPr="004B35D6">
        <w:tab/>
        <w:t xml:space="preserve">When performing services for the Independent National Security Legislation Monitor, a </w:t>
      </w:r>
      <w:r w:rsidR="00870F51" w:rsidRPr="004B35D6">
        <w:t>person</w:t>
      </w:r>
      <w:r w:rsidRPr="004B35D6">
        <w:t xml:space="preserve"> engaged under </w:t>
      </w:r>
      <w:r w:rsidR="009F318A">
        <w:t>subsection (</w:t>
      </w:r>
      <w:r w:rsidRPr="004B35D6">
        <w:t>1) is subject to the directions of the Monitor.</w:t>
      </w:r>
    </w:p>
    <w:p w14:paraId="3D26A305" w14:textId="6C5899EE" w:rsidR="0067463A" w:rsidRPr="004B35D6" w:rsidRDefault="0067463A" w:rsidP="009F318A">
      <w:pPr>
        <w:pStyle w:val="subsection"/>
      </w:pPr>
      <w:r w:rsidRPr="004B35D6">
        <w:tab/>
        <w:t>(4)</w:t>
      </w:r>
      <w:r w:rsidRPr="004B35D6">
        <w:tab/>
        <w:t xml:space="preserve">The Independent National Security Legislation Monitor may, in writing, delegate the Monitor’s power under </w:t>
      </w:r>
      <w:r w:rsidR="009F318A">
        <w:t>subsection (</w:t>
      </w:r>
      <w:r w:rsidRPr="004B35D6">
        <w:t>1) to</w:t>
      </w:r>
      <w:r w:rsidR="00685EA1" w:rsidRPr="004B35D6">
        <w:t xml:space="preserve"> a member of the staff of the Monitor who </w:t>
      </w:r>
      <w:r w:rsidR="00D51799" w:rsidRPr="004B35D6">
        <w:t>is</w:t>
      </w:r>
      <w:r w:rsidRPr="004B35D6">
        <w:t>:</w:t>
      </w:r>
    </w:p>
    <w:p w14:paraId="0E48D1B5" w14:textId="77777777" w:rsidR="00685EA1" w:rsidRPr="004B35D6" w:rsidRDefault="0067463A" w:rsidP="009F318A">
      <w:pPr>
        <w:pStyle w:val="paragraph"/>
      </w:pPr>
      <w:r w:rsidRPr="004B35D6">
        <w:tab/>
        <w:t>(a)</w:t>
      </w:r>
      <w:r w:rsidRPr="004B35D6">
        <w:tab/>
      </w:r>
      <w:r w:rsidR="00D51799" w:rsidRPr="004B35D6">
        <w:t xml:space="preserve">classified as an </w:t>
      </w:r>
      <w:r w:rsidR="00685EA1" w:rsidRPr="004B35D6">
        <w:t xml:space="preserve">Executive Level </w:t>
      </w:r>
      <w:r w:rsidR="003D6DC1" w:rsidRPr="004B35D6">
        <w:t>2</w:t>
      </w:r>
      <w:r w:rsidR="00D51799" w:rsidRPr="004B35D6">
        <w:t xml:space="preserve"> or equivalent</w:t>
      </w:r>
      <w:r w:rsidR="00685EA1" w:rsidRPr="004B35D6">
        <w:t xml:space="preserve"> or higher;</w:t>
      </w:r>
      <w:r w:rsidR="001C1804" w:rsidRPr="004B35D6">
        <w:t xml:space="preserve"> or</w:t>
      </w:r>
    </w:p>
    <w:p w14:paraId="1AA1CCE5" w14:textId="58633436" w:rsidR="0067463A" w:rsidRPr="004B35D6" w:rsidRDefault="00685EA1" w:rsidP="009F318A">
      <w:pPr>
        <w:pStyle w:val="paragraph"/>
      </w:pPr>
      <w:r w:rsidRPr="004B35D6">
        <w:tab/>
        <w:t>(b)</w:t>
      </w:r>
      <w:r w:rsidRPr="004B35D6">
        <w:tab/>
      </w:r>
      <w:r w:rsidR="00D51799" w:rsidRPr="004B35D6">
        <w:t xml:space="preserve">acting in a position usually occupied by a person with a classification level of the kind mentioned in </w:t>
      </w:r>
      <w:r w:rsidR="009F318A">
        <w:t>paragraph (</w:t>
      </w:r>
      <w:r w:rsidR="00D51799" w:rsidRPr="004B35D6">
        <w:t>a).</w:t>
      </w:r>
    </w:p>
    <w:p w14:paraId="4C3E3340" w14:textId="5655F159" w:rsidR="009A3129" w:rsidRDefault="001C1804" w:rsidP="009F318A">
      <w:pPr>
        <w:pStyle w:val="subsection"/>
      </w:pPr>
      <w:r w:rsidRPr="004B35D6">
        <w:tab/>
        <w:t>(5)</w:t>
      </w:r>
      <w:r w:rsidRPr="004B35D6">
        <w:tab/>
        <w:t xml:space="preserve">In </w:t>
      </w:r>
      <w:r w:rsidR="004A237C" w:rsidRPr="004B35D6">
        <w:t>e</w:t>
      </w:r>
      <w:r w:rsidRPr="004B35D6">
        <w:t xml:space="preserve">xercising </w:t>
      </w:r>
      <w:r w:rsidR="004A237C" w:rsidRPr="004B35D6">
        <w:t xml:space="preserve">the </w:t>
      </w:r>
      <w:r w:rsidRPr="004B35D6">
        <w:t>power</w:t>
      </w:r>
      <w:r w:rsidR="004A237C" w:rsidRPr="004B35D6">
        <w:t xml:space="preserve"> delegated under </w:t>
      </w:r>
      <w:r w:rsidR="009F318A">
        <w:t>subsection (</w:t>
      </w:r>
      <w:r w:rsidR="004A237C" w:rsidRPr="004B35D6">
        <w:t>4)</w:t>
      </w:r>
      <w:r w:rsidRPr="004B35D6">
        <w:t xml:space="preserve">, the delegate </w:t>
      </w:r>
      <w:r w:rsidR="0056142A" w:rsidRPr="004B35D6">
        <w:t>is subject to the</w:t>
      </w:r>
      <w:r w:rsidRPr="004B35D6">
        <w:t xml:space="preserve"> directions of the Independent National Security Legislation Monitor.</w:t>
      </w:r>
    </w:p>
    <w:p w14:paraId="449A59B6" w14:textId="77777777" w:rsidR="00C76675" w:rsidRPr="00F02B56" w:rsidRDefault="00C76675" w:rsidP="00C76675"/>
    <w:p w14:paraId="70707ACC" w14:textId="77777777" w:rsidR="00C76675" w:rsidRDefault="00C76675" w:rsidP="00C76675">
      <w:pPr>
        <w:pStyle w:val="AssentBk"/>
        <w:keepNext/>
      </w:pPr>
    </w:p>
    <w:p w14:paraId="2623E297" w14:textId="77777777" w:rsidR="00C76675" w:rsidRDefault="00C76675" w:rsidP="00C76675">
      <w:pPr>
        <w:pStyle w:val="AssentBk"/>
        <w:keepNext/>
      </w:pPr>
    </w:p>
    <w:p w14:paraId="49B885B5" w14:textId="77777777" w:rsidR="00C76675" w:rsidRDefault="00C76675" w:rsidP="00C76675">
      <w:pPr>
        <w:pStyle w:val="2ndRd"/>
        <w:keepNext/>
        <w:pBdr>
          <w:top w:val="single" w:sz="2" w:space="1" w:color="auto"/>
        </w:pBdr>
      </w:pPr>
    </w:p>
    <w:p w14:paraId="437B4A1A" w14:textId="77777777" w:rsidR="00C76675" w:rsidRDefault="00C76675" w:rsidP="000C5962">
      <w:pPr>
        <w:pStyle w:val="2ndRd"/>
        <w:keepNext/>
        <w:spacing w:line="260" w:lineRule="atLeast"/>
        <w:rPr>
          <w:i/>
        </w:rPr>
      </w:pPr>
      <w:r>
        <w:t>[</w:t>
      </w:r>
      <w:r>
        <w:rPr>
          <w:i/>
        </w:rPr>
        <w:t>Minister’s second reading speech made in—</w:t>
      </w:r>
    </w:p>
    <w:p w14:paraId="6BD6A8C6" w14:textId="0BC69642" w:rsidR="00C76675" w:rsidRDefault="00C76675" w:rsidP="000C5962">
      <w:pPr>
        <w:pStyle w:val="2ndRd"/>
        <w:keepNext/>
        <w:spacing w:line="260" w:lineRule="atLeast"/>
      </w:pPr>
      <w:r>
        <w:rPr>
          <w:i/>
        </w:rPr>
        <w:t>Senate on 24 June 2021</w:t>
      </w:r>
    </w:p>
    <w:p w14:paraId="2515B243" w14:textId="15A6A0AF" w:rsidR="00C76675" w:rsidRDefault="00C76675" w:rsidP="000C5962">
      <w:pPr>
        <w:pStyle w:val="2ndRd"/>
        <w:keepNext/>
        <w:spacing w:line="260" w:lineRule="atLeast"/>
        <w:rPr>
          <w:i/>
        </w:rPr>
      </w:pPr>
      <w:r>
        <w:rPr>
          <w:i/>
        </w:rPr>
        <w:t>House of Representatives on 1 December 2021</w:t>
      </w:r>
      <w:r>
        <w:t>]</w:t>
      </w:r>
    </w:p>
    <w:p w14:paraId="4C647168" w14:textId="77777777" w:rsidR="00C76675" w:rsidRDefault="00C76675" w:rsidP="000C5962"/>
    <w:p w14:paraId="336E2FB3" w14:textId="3327028E" w:rsidR="00D430A2" w:rsidRPr="00C76675" w:rsidRDefault="00C76675" w:rsidP="00C76675">
      <w:pPr>
        <w:framePr w:hSpace="180" w:wrap="around" w:vAnchor="text" w:hAnchor="page" w:x="2545" w:y="4627"/>
      </w:pPr>
      <w:r>
        <w:t>(90/21)</w:t>
      </w:r>
    </w:p>
    <w:p w14:paraId="04D67A85" w14:textId="77777777" w:rsidR="00C76675" w:rsidRDefault="00C76675"/>
    <w:sectPr w:rsidR="00C76675" w:rsidSect="00D430A2">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32F20" w14:textId="77777777" w:rsidR="00D874C5" w:rsidRDefault="00D874C5" w:rsidP="0048364F">
      <w:pPr>
        <w:spacing w:line="240" w:lineRule="auto"/>
      </w:pPr>
      <w:r>
        <w:separator/>
      </w:r>
    </w:p>
  </w:endnote>
  <w:endnote w:type="continuationSeparator" w:id="0">
    <w:p w14:paraId="7A6B8607" w14:textId="77777777" w:rsidR="00D874C5" w:rsidRDefault="00D874C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B2F9C" w14:textId="77777777" w:rsidR="00D874C5" w:rsidRPr="005F1388" w:rsidRDefault="00D874C5" w:rsidP="009F318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8B0B8" w14:textId="67F24FB4" w:rsidR="00C76675" w:rsidRDefault="00C76675" w:rsidP="00CD12A5">
    <w:pPr>
      <w:pStyle w:val="ScalePlusRef"/>
    </w:pPr>
    <w:r>
      <w:t>Note: An electronic version of this Act is available on the Federal Register of Legislation (</w:t>
    </w:r>
    <w:hyperlink r:id="rId1" w:history="1">
      <w:r>
        <w:t>https://www.legislation.gov.au/</w:t>
      </w:r>
    </w:hyperlink>
    <w:r>
      <w:t>)</w:t>
    </w:r>
  </w:p>
  <w:p w14:paraId="1670296F" w14:textId="77777777" w:rsidR="00C76675" w:rsidRDefault="00C76675" w:rsidP="00CD12A5"/>
  <w:p w14:paraId="41C03033" w14:textId="7BE7C8A1" w:rsidR="00D874C5" w:rsidRDefault="00D874C5" w:rsidP="009F318A">
    <w:pPr>
      <w:pStyle w:val="Footer"/>
      <w:spacing w:before="120"/>
    </w:pPr>
  </w:p>
  <w:p w14:paraId="0505E202" w14:textId="77777777" w:rsidR="00D874C5" w:rsidRPr="005F1388" w:rsidRDefault="00D874C5"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8EB8F" w14:textId="77777777" w:rsidR="00D874C5" w:rsidRPr="00ED79B6" w:rsidRDefault="00D874C5" w:rsidP="009F318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2AB20" w14:textId="77777777" w:rsidR="00D874C5" w:rsidRDefault="00D874C5" w:rsidP="009F318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874C5" w14:paraId="39D147FD" w14:textId="77777777" w:rsidTr="005010BD">
      <w:tc>
        <w:tcPr>
          <w:tcW w:w="646" w:type="dxa"/>
        </w:tcPr>
        <w:p w14:paraId="7E3B8B84" w14:textId="77777777" w:rsidR="00D874C5" w:rsidRDefault="00D874C5" w:rsidP="005010B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iii</w:t>
          </w:r>
          <w:r w:rsidRPr="00ED79B6">
            <w:rPr>
              <w:i/>
              <w:sz w:val="18"/>
            </w:rPr>
            <w:fldChar w:fldCharType="end"/>
          </w:r>
        </w:p>
      </w:tc>
      <w:tc>
        <w:tcPr>
          <w:tcW w:w="5387" w:type="dxa"/>
        </w:tcPr>
        <w:p w14:paraId="4D643D31" w14:textId="4340D135" w:rsidR="00D874C5" w:rsidRDefault="00D874C5" w:rsidP="005010BD">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76675">
            <w:rPr>
              <w:i/>
              <w:sz w:val="18"/>
            </w:rPr>
            <w:t>Independent National Security Legislation Monitor Amendment Act 2021</w:t>
          </w:r>
          <w:r w:rsidRPr="00ED79B6">
            <w:rPr>
              <w:i/>
              <w:sz w:val="18"/>
            </w:rPr>
            <w:fldChar w:fldCharType="end"/>
          </w:r>
        </w:p>
      </w:tc>
      <w:tc>
        <w:tcPr>
          <w:tcW w:w="1270" w:type="dxa"/>
        </w:tcPr>
        <w:p w14:paraId="198C637C" w14:textId="1FDA17EB" w:rsidR="00D874C5" w:rsidRDefault="00D874C5" w:rsidP="005010BD">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76675">
            <w:rPr>
              <w:i/>
              <w:sz w:val="18"/>
            </w:rPr>
            <w:t>No. 130, 2021</w:t>
          </w:r>
          <w:r w:rsidRPr="00ED79B6">
            <w:rPr>
              <w:i/>
              <w:sz w:val="18"/>
            </w:rPr>
            <w:fldChar w:fldCharType="end"/>
          </w:r>
        </w:p>
      </w:tc>
    </w:tr>
  </w:tbl>
  <w:p w14:paraId="2CC39ABD" w14:textId="77777777" w:rsidR="00D874C5" w:rsidRDefault="00D874C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59022" w14:textId="77777777" w:rsidR="00D874C5" w:rsidRDefault="00D874C5" w:rsidP="009F318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874C5" w14:paraId="05A011B6" w14:textId="77777777" w:rsidTr="005010BD">
      <w:tc>
        <w:tcPr>
          <w:tcW w:w="1247" w:type="dxa"/>
        </w:tcPr>
        <w:p w14:paraId="357725CB" w14:textId="4B9CD610" w:rsidR="00D874C5" w:rsidRDefault="00D874C5" w:rsidP="005010BD">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76675">
            <w:rPr>
              <w:i/>
              <w:sz w:val="18"/>
            </w:rPr>
            <w:t>No. 130, 2021</w:t>
          </w:r>
          <w:r w:rsidRPr="00ED79B6">
            <w:rPr>
              <w:i/>
              <w:sz w:val="18"/>
            </w:rPr>
            <w:fldChar w:fldCharType="end"/>
          </w:r>
        </w:p>
      </w:tc>
      <w:tc>
        <w:tcPr>
          <w:tcW w:w="5387" w:type="dxa"/>
        </w:tcPr>
        <w:p w14:paraId="36F1B47D" w14:textId="0693112E" w:rsidR="00D874C5" w:rsidRDefault="00D874C5" w:rsidP="005010BD">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76675">
            <w:rPr>
              <w:i/>
              <w:sz w:val="18"/>
            </w:rPr>
            <w:t>Independent National Security Legislation Monitor Amendment Act 2021</w:t>
          </w:r>
          <w:r w:rsidRPr="00ED79B6">
            <w:rPr>
              <w:i/>
              <w:sz w:val="18"/>
            </w:rPr>
            <w:fldChar w:fldCharType="end"/>
          </w:r>
        </w:p>
      </w:tc>
      <w:tc>
        <w:tcPr>
          <w:tcW w:w="669" w:type="dxa"/>
        </w:tcPr>
        <w:p w14:paraId="71A5EDC8" w14:textId="77777777" w:rsidR="00D874C5" w:rsidRDefault="00D874C5" w:rsidP="005010B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8D436ED" w14:textId="77777777" w:rsidR="00D874C5" w:rsidRPr="00ED79B6" w:rsidRDefault="00D874C5"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05F4D" w14:textId="77777777" w:rsidR="00D874C5" w:rsidRPr="00A961C4" w:rsidRDefault="00D874C5" w:rsidP="009F318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874C5" w14:paraId="791AFF30" w14:textId="77777777" w:rsidTr="00114D9A">
      <w:tc>
        <w:tcPr>
          <w:tcW w:w="646" w:type="dxa"/>
        </w:tcPr>
        <w:p w14:paraId="42B4C9D1" w14:textId="77777777" w:rsidR="00D874C5" w:rsidRDefault="00D874C5" w:rsidP="005010B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w:t>
          </w:r>
          <w:r w:rsidRPr="007A1328">
            <w:rPr>
              <w:i/>
              <w:sz w:val="18"/>
            </w:rPr>
            <w:fldChar w:fldCharType="end"/>
          </w:r>
        </w:p>
      </w:tc>
      <w:tc>
        <w:tcPr>
          <w:tcW w:w="5387" w:type="dxa"/>
        </w:tcPr>
        <w:p w14:paraId="2CAF1D49" w14:textId="4CC049B0" w:rsidR="00D874C5" w:rsidRDefault="00D874C5" w:rsidP="005010B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76675">
            <w:rPr>
              <w:i/>
              <w:sz w:val="18"/>
            </w:rPr>
            <w:t>Independent National Security Legislation Monitor Amendment Act 2021</w:t>
          </w:r>
          <w:r w:rsidRPr="007A1328">
            <w:rPr>
              <w:i/>
              <w:sz w:val="18"/>
            </w:rPr>
            <w:fldChar w:fldCharType="end"/>
          </w:r>
        </w:p>
      </w:tc>
      <w:tc>
        <w:tcPr>
          <w:tcW w:w="1270" w:type="dxa"/>
        </w:tcPr>
        <w:p w14:paraId="55034280" w14:textId="43D39028" w:rsidR="00D874C5" w:rsidRDefault="00D874C5" w:rsidP="005010BD">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76675">
            <w:rPr>
              <w:i/>
              <w:sz w:val="18"/>
            </w:rPr>
            <w:t>No. 130, 2021</w:t>
          </w:r>
          <w:r w:rsidRPr="007A1328">
            <w:rPr>
              <w:i/>
              <w:sz w:val="18"/>
            </w:rPr>
            <w:fldChar w:fldCharType="end"/>
          </w:r>
        </w:p>
      </w:tc>
    </w:tr>
  </w:tbl>
  <w:p w14:paraId="1BBCDAB6" w14:textId="77777777" w:rsidR="00D874C5" w:rsidRPr="00A961C4" w:rsidRDefault="00D874C5"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816C9" w14:textId="77777777" w:rsidR="00D874C5" w:rsidRPr="00A961C4" w:rsidRDefault="00D874C5" w:rsidP="009F318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874C5" w14:paraId="68CDD8C5" w14:textId="77777777" w:rsidTr="00114D9A">
      <w:tc>
        <w:tcPr>
          <w:tcW w:w="1247" w:type="dxa"/>
        </w:tcPr>
        <w:p w14:paraId="654EE33A" w14:textId="39EEAC24" w:rsidR="00D874C5" w:rsidRDefault="00D874C5" w:rsidP="005010B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76675">
            <w:rPr>
              <w:i/>
              <w:sz w:val="18"/>
            </w:rPr>
            <w:t>No. 130, 2021</w:t>
          </w:r>
          <w:r w:rsidRPr="007A1328">
            <w:rPr>
              <w:i/>
              <w:sz w:val="18"/>
            </w:rPr>
            <w:fldChar w:fldCharType="end"/>
          </w:r>
        </w:p>
      </w:tc>
      <w:tc>
        <w:tcPr>
          <w:tcW w:w="5387" w:type="dxa"/>
        </w:tcPr>
        <w:p w14:paraId="1E70097B" w14:textId="26221B88" w:rsidR="00D874C5" w:rsidRDefault="00D874C5" w:rsidP="005010B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76675">
            <w:rPr>
              <w:i/>
              <w:sz w:val="18"/>
            </w:rPr>
            <w:t>Independent National Security Legislation Monitor Amendment Act 2021</w:t>
          </w:r>
          <w:r w:rsidRPr="007A1328">
            <w:rPr>
              <w:i/>
              <w:sz w:val="18"/>
            </w:rPr>
            <w:fldChar w:fldCharType="end"/>
          </w:r>
        </w:p>
      </w:tc>
      <w:tc>
        <w:tcPr>
          <w:tcW w:w="669" w:type="dxa"/>
        </w:tcPr>
        <w:p w14:paraId="4B286C41" w14:textId="77777777" w:rsidR="00D874C5" w:rsidRDefault="00D874C5" w:rsidP="005010B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C01F1A2" w14:textId="77777777" w:rsidR="00D874C5" w:rsidRPr="00055B5C" w:rsidRDefault="00D874C5"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675C1" w14:textId="77777777" w:rsidR="00D874C5" w:rsidRPr="00A961C4" w:rsidRDefault="00D874C5" w:rsidP="009F318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874C5" w14:paraId="031D2A13" w14:textId="77777777" w:rsidTr="00114D9A">
      <w:tc>
        <w:tcPr>
          <w:tcW w:w="1247" w:type="dxa"/>
        </w:tcPr>
        <w:p w14:paraId="11C0398B" w14:textId="53C41516" w:rsidR="00D874C5" w:rsidRDefault="00D874C5" w:rsidP="005010B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76675">
            <w:rPr>
              <w:i/>
              <w:sz w:val="18"/>
            </w:rPr>
            <w:t>No. 130, 2021</w:t>
          </w:r>
          <w:r w:rsidRPr="007A1328">
            <w:rPr>
              <w:i/>
              <w:sz w:val="18"/>
            </w:rPr>
            <w:fldChar w:fldCharType="end"/>
          </w:r>
        </w:p>
      </w:tc>
      <w:tc>
        <w:tcPr>
          <w:tcW w:w="5387" w:type="dxa"/>
        </w:tcPr>
        <w:p w14:paraId="166C4777" w14:textId="07189880" w:rsidR="00D874C5" w:rsidRDefault="00D874C5" w:rsidP="005010B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76675">
            <w:rPr>
              <w:i/>
              <w:sz w:val="18"/>
            </w:rPr>
            <w:t>Independent National Security Legislation Monitor Amendment Act 2021</w:t>
          </w:r>
          <w:r w:rsidRPr="007A1328">
            <w:rPr>
              <w:i/>
              <w:sz w:val="18"/>
            </w:rPr>
            <w:fldChar w:fldCharType="end"/>
          </w:r>
        </w:p>
      </w:tc>
      <w:tc>
        <w:tcPr>
          <w:tcW w:w="669" w:type="dxa"/>
        </w:tcPr>
        <w:p w14:paraId="52FE5C06" w14:textId="77777777" w:rsidR="00D874C5" w:rsidRDefault="00D874C5" w:rsidP="005010B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0E3D0DB" w14:textId="77777777" w:rsidR="00D874C5" w:rsidRPr="00A961C4" w:rsidRDefault="00D874C5"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60706" w14:textId="77777777" w:rsidR="00D874C5" w:rsidRDefault="00D874C5" w:rsidP="0048364F">
      <w:pPr>
        <w:spacing w:line="240" w:lineRule="auto"/>
      </w:pPr>
      <w:r>
        <w:separator/>
      </w:r>
    </w:p>
  </w:footnote>
  <w:footnote w:type="continuationSeparator" w:id="0">
    <w:p w14:paraId="3CE26AD1" w14:textId="77777777" w:rsidR="00D874C5" w:rsidRDefault="00D874C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D7E79" w14:textId="77777777" w:rsidR="00D874C5" w:rsidRPr="005F1388" w:rsidRDefault="00D874C5"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9CAAC" w14:textId="77777777" w:rsidR="00D874C5" w:rsidRPr="005F1388" w:rsidRDefault="00D874C5"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7DAB8" w14:textId="77777777" w:rsidR="00D874C5" w:rsidRPr="005F1388" w:rsidRDefault="00D874C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9D5F0" w14:textId="77777777" w:rsidR="00D874C5" w:rsidRPr="00ED79B6" w:rsidRDefault="00D874C5"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2E0E7" w14:textId="77777777" w:rsidR="00D874C5" w:rsidRPr="00ED79B6" w:rsidRDefault="00D874C5"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33E61" w14:textId="77777777" w:rsidR="00D874C5" w:rsidRPr="00ED79B6" w:rsidRDefault="00D874C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65F63" w14:textId="6D2616AE" w:rsidR="00D874C5" w:rsidRPr="00A961C4" w:rsidRDefault="00D874C5" w:rsidP="0048364F">
    <w:pPr>
      <w:rPr>
        <w:b/>
        <w:sz w:val="20"/>
      </w:rPr>
    </w:pPr>
    <w:r>
      <w:rPr>
        <w:b/>
        <w:sz w:val="20"/>
      </w:rPr>
      <w:fldChar w:fldCharType="begin"/>
    </w:r>
    <w:r>
      <w:rPr>
        <w:b/>
        <w:sz w:val="20"/>
      </w:rPr>
      <w:instrText xml:space="preserve"> STYLEREF CharAmSchNo </w:instrText>
    </w:r>
    <w:r w:rsidR="00C76675">
      <w:rPr>
        <w:b/>
        <w:sz w:val="20"/>
      </w:rPr>
      <w:fldChar w:fldCharType="separate"/>
    </w:r>
    <w:r w:rsidR="00C7667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C76675">
      <w:rPr>
        <w:sz w:val="20"/>
      </w:rPr>
      <w:fldChar w:fldCharType="separate"/>
    </w:r>
    <w:r w:rsidR="00C76675">
      <w:rPr>
        <w:noProof/>
        <w:sz w:val="20"/>
      </w:rPr>
      <w:t>Amendments</w:t>
    </w:r>
    <w:r>
      <w:rPr>
        <w:sz w:val="20"/>
      </w:rPr>
      <w:fldChar w:fldCharType="end"/>
    </w:r>
  </w:p>
  <w:p w14:paraId="30860912" w14:textId="2CF1859B" w:rsidR="00D874C5" w:rsidRPr="00A961C4" w:rsidRDefault="00D874C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116C28B" w14:textId="77777777" w:rsidR="00D874C5" w:rsidRPr="00A961C4" w:rsidRDefault="00D874C5"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CA8AE" w14:textId="1F7BA8A0" w:rsidR="00D874C5" w:rsidRPr="00A961C4" w:rsidRDefault="00D874C5" w:rsidP="0048364F">
    <w:pPr>
      <w:jc w:val="right"/>
      <w:rPr>
        <w:sz w:val="20"/>
      </w:rPr>
    </w:pPr>
    <w:r w:rsidRPr="00A961C4">
      <w:rPr>
        <w:sz w:val="20"/>
      </w:rPr>
      <w:fldChar w:fldCharType="begin"/>
    </w:r>
    <w:r w:rsidRPr="00A961C4">
      <w:rPr>
        <w:sz w:val="20"/>
      </w:rPr>
      <w:instrText xml:space="preserve"> STYLEREF CharAmSchText </w:instrText>
    </w:r>
    <w:r w:rsidR="00C76675">
      <w:rPr>
        <w:sz w:val="20"/>
      </w:rPr>
      <w:fldChar w:fldCharType="separate"/>
    </w:r>
    <w:r w:rsidR="00C76675">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76675">
      <w:rPr>
        <w:b/>
        <w:sz w:val="20"/>
      </w:rPr>
      <w:fldChar w:fldCharType="separate"/>
    </w:r>
    <w:r w:rsidR="00C76675">
      <w:rPr>
        <w:b/>
        <w:noProof/>
        <w:sz w:val="20"/>
      </w:rPr>
      <w:t>Schedule 1</w:t>
    </w:r>
    <w:r>
      <w:rPr>
        <w:b/>
        <w:sz w:val="20"/>
      </w:rPr>
      <w:fldChar w:fldCharType="end"/>
    </w:r>
  </w:p>
  <w:p w14:paraId="61201259" w14:textId="7007D948" w:rsidR="00D874C5" w:rsidRPr="00A961C4" w:rsidRDefault="00D874C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66CBE5E" w14:textId="77777777" w:rsidR="00D874C5" w:rsidRPr="00A961C4" w:rsidRDefault="00D874C5"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B3B43" w14:textId="77777777" w:rsidR="00D874C5" w:rsidRPr="00A961C4" w:rsidRDefault="00D874C5"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E87327"/>
    <w:multiLevelType w:val="hybridMultilevel"/>
    <w:tmpl w:val="CAD860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88135E9"/>
    <w:multiLevelType w:val="hybridMultilevel"/>
    <w:tmpl w:val="DE32B0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EE64AA7"/>
    <w:multiLevelType w:val="hybridMultilevel"/>
    <w:tmpl w:val="5414EA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embedTrueTypeFonts/>
  <w:saveSubsetFonts/>
  <w:hideSpellingError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816"/>
    <w:rsid w:val="00004563"/>
    <w:rsid w:val="000113BC"/>
    <w:rsid w:val="000136AF"/>
    <w:rsid w:val="00021EAE"/>
    <w:rsid w:val="00030580"/>
    <w:rsid w:val="000417C9"/>
    <w:rsid w:val="00047160"/>
    <w:rsid w:val="0005010C"/>
    <w:rsid w:val="000537D1"/>
    <w:rsid w:val="000556E8"/>
    <w:rsid w:val="00055B5C"/>
    <w:rsid w:val="00056391"/>
    <w:rsid w:val="000565D8"/>
    <w:rsid w:val="00060FF9"/>
    <w:rsid w:val="000614BF"/>
    <w:rsid w:val="00067FE0"/>
    <w:rsid w:val="0007747D"/>
    <w:rsid w:val="00082DAB"/>
    <w:rsid w:val="00087A1F"/>
    <w:rsid w:val="00090136"/>
    <w:rsid w:val="00097D1E"/>
    <w:rsid w:val="000B1FD2"/>
    <w:rsid w:val="000B294D"/>
    <w:rsid w:val="000D05EF"/>
    <w:rsid w:val="000D51E9"/>
    <w:rsid w:val="000D6975"/>
    <w:rsid w:val="000E7E56"/>
    <w:rsid w:val="000E7F8B"/>
    <w:rsid w:val="000F21C1"/>
    <w:rsid w:val="000F75E6"/>
    <w:rsid w:val="00100D61"/>
    <w:rsid w:val="00101D90"/>
    <w:rsid w:val="00102804"/>
    <w:rsid w:val="00102EE5"/>
    <w:rsid w:val="0010458D"/>
    <w:rsid w:val="0010745C"/>
    <w:rsid w:val="00113BD1"/>
    <w:rsid w:val="00114D9A"/>
    <w:rsid w:val="00120C85"/>
    <w:rsid w:val="00122206"/>
    <w:rsid w:val="00130712"/>
    <w:rsid w:val="001329D4"/>
    <w:rsid w:val="00142AB3"/>
    <w:rsid w:val="00154EE6"/>
    <w:rsid w:val="0015646E"/>
    <w:rsid w:val="00156B00"/>
    <w:rsid w:val="001643C9"/>
    <w:rsid w:val="00165568"/>
    <w:rsid w:val="00166C2F"/>
    <w:rsid w:val="00167AAD"/>
    <w:rsid w:val="001716C9"/>
    <w:rsid w:val="00173363"/>
    <w:rsid w:val="00173B94"/>
    <w:rsid w:val="001854B4"/>
    <w:rsid w:val="00185E20"/>
    <w:rsid w:val="00191B89"/>
    <w:rsid w:val="001939E1"/>
    <w:rsid w:val="00195382"/>
    <w:rsid w:val="001965FA"/>
    <w:rsid w:val="00197B2A"/>
    <w:rsid w:val="001A3658"/>
    <w:rsid w:val="001A74A6"/>
    <w:rsid w:val="001A759A"/>
    <w:rsid w:val="001B633C"/>
    <w:rsid w:val="001B7A5D"/>
    <w:rsid w:val="001C1804"/>
    <w:rsid w:val="001C2418"/>
    <w:rsid w:val="001C5E64"/>
    <w:rsid w:val="001C69C4"/>
    <w:rsid w:val="001D1BFC"/>
    <w:rsid w:val="001D45C8"/>
    <w:rsid w:val="001D6DA9"/>
    <w:rsid w:val="001E3590"/>
    <w:rsid w:val="001E7407"/>
    <w:rsid w:val="001E757A"/>
    <w:rsid w:val="00201D27"/>
    <w:rsid w:val="00202618"/>
    <w:rsid w:val="00215FCA"/>
    <w:rsid w:val="00226254"/>
    <w:rsid w:val="00230702"/>
    <w:rsid w:val="00240749"/>
    <w:rsid w:val="002478B1"/>
    <w:rsid w:val="00247F88"/>
    <w:rsid w:val="00255D23"/>
    <w:rsid w:val="0026053C"/>
    <w:rsid w:val="00263820"/>
    <w:rsid w:val="00272C44"/>
    <w:rsid w:val="00273B2A"/>
    <w:rsid w:val="00275197"/>
    <w:rsid w:val="002758A4"/>
    <w:rsid w:val="002829CC"/>
    <w:rsid w:val="00283737"/>
    <w:rsid w:val="00293B89"/>
    <w:rsid w:val="00297ECB"/>
    <w:rsid w:val="002A21A9"/>
    <w:rsid w:val="002A4337"/>
    <w:rsid w:val="002B5A30"/>
    <w:rsid w:val="002C2AF2"/>
    <w:rsid w:val="002C479E"/>
    <w:rsid w:val="002D0050"/>
    <w:rsid w:val="002D043A"/>
    <w:rsid w:val="002D1F54"/>
    <w:rsid w:val="002D395A"/>
    <w:rsid w:val="002D49D9"/>
    <w:rsid w:val="002D76B4"/>
    <w:rsid w:val="002E3F4F"/>
    <w:rsid w:val="002E71A9"/>
    <w:rsid w:val="00303F91"/>
    <w:rsid w:val="00312344"/>
    <w:rsid w:val="00320E03"/>
    <w:rsid w:val="0033670D"/>
    <w:rsid w:val="003415D3"/>
    <w:rsid w:val="00350417"/>
    <w:rsid w:val="00350753"/>
    <w:rsid w:val="00352B0F"/>
    <w:rsid w:val="0035586C"/>
    <w:rsid w:val="00373874"/>
    <w:rsid w:val="003744DA"/>
    <w:rsid w:val="00375C6C"/>
    <w:rsid w:val="00391C6E"/>
    <w:rsid w:val="0039220C"/>
    <w:rsid w:val="003A7B3C"/>
    <w:rsid w:val="003B4E3D"/>
    <w:rsid w:val="003C460E"/>
    <w:rsid w:val="003C5F2B"/>
    <w:rsid w:val="003D0227"/>
    <w:rsid w:val="003D0BFE"/>
    <w:rsid w:val="003D1BD6"/>
    <w:rsid w:val="003D4DB3"/>
    <w:rsid w:val="003D5700"/>
    <w:rsid w:val="003D6DC1"/>
    <w:rsid w:val="003E376A"/>
    <w:rsid w:val="003E56BB"/>
    <w:rsid w:val="003F47B2"/>
    <w:rsid w:val="00405579"/>
    <w:rsid w:val="00410B8E"/>
    <w:rsid w:val="004116CD"/>
    <w:rsid w:val="00421FC1"/>
    <w:rsid w:val="004229C7"/>
    <w:rsid w:val="00423881"/>
    <w:rsid w:val="00424CA9"/>
    <w:rsid w:val="00436785"/>
    <w:rsid w:val="00436BD5"/>
    <w:rsid w:val="00437E4B"/>
    <w:rsid w:val="00440BB7"/>
    <w:rsid w:val="00441A01"/>
    <w:rsid w:val="0044291A"/>
    <w:rsid w:val="00444F71"/>
    <w:rsid w:val="0045393E"/>
    <w:rsid w:val="00461A8A"/>
    <w:rsid w:val="00462DF8"/>
    <w:rsid w:val="004704BC"/>
    <w:rsid w:val="004729A0"/>
    <w:rsid w:val="00473AF6"/>
    <w:rsid w:val="00474089"/>
    <w:rsid w:val="0048196B"/>
    <w:rsid w:val="0048364F"/>
    <w:rsid w:val="00486D05"/>
    <w:rsid w:val="0049036A"/>
    <w:rsid w:val="004935B6"/>
    <w:rsid w:val="004946D0"/>
    <w:rsid w:val="00496F97"/>
    <w:rsid w:val="004A231E"/>
    <w:rsid w:val="004A237C"/>
    <w:rsid w:val="004A35C9"/>
    <w:rsid w:val="004B35D6"/>
    <w:rsid w:val="004B6CAB"/>
    <w:rsid w:val="004C7C8C"/>
    <w:rsid w:val="004D1926"/>
    <w:rsid w:val="004D3D93"/>
    <w:rsid w:val="004E2A4A"/>
    <w:rsid w:val="004F0D23"/>
    <w:rsid w:val="004F1FAC"/>
    <w:rsid w:val="005010BD"/>
    <w:rsid w:val="00503A59"/>
    <w:rsid w:val="00511B11"/>
    <w:rsid w:val="00511D5F"/>
    <w:rsid w:val="00514F20"/>
    <w:rsid w:val="00516B8D"/>
    <w:rsid w:val="00516FE2"/>
    <w:rsid w:val="00520454"/>
    <w:rsid w:val="00530D35"/>
    <w:rsid w:val="00530F80"/>
    <w:rsid w:val="00535D0B"/>
    <w:rsid w:val="00537FBC"/>
    <w:rsid w:val="00542ACC"/>
    <w:rsid w:val="00543469"/>
    <w:rsid w:val="00551B54"/>
    <w:rsid w:val="005558C7"/>
    <w:rsid w:val="00557DE2"/>
    <w:rsid w:val="0056142A"/>
    <w:rsid w:val="005702F0"/>
    <w:rsid w:val="00580AFE"/>
    <w:rsid w:val="00583DE9"/>
    <w:rsid w:val="00584811"/>
    <w:rsid w:val="00587902"/>
    <w:rsid w:val="00593AA6"/>
    <w:rsid w:val="00594161"/>
    <w:rsid w:val="00594749"/>
    <w:rsid w:val="005A0D92"/>
    <w:rsid w:val="005B4067"/>
    <w:rsid w:val="005C3F41"/>
    <w:rsid w:val="005C6FE9"/>
    <w:rsid w:val="005D77F4"/>
    <w:rsid w:val="005E0580"/>
    <w:rsid w:val="005E152A"/>
    <w:rsid w:val="005E465D"/>
    <w:rsid w:val="005E724C"/>
    <w:rsid w:val="005F2AAE"/>
    <w:rsid w:val="00600219"/>
    <w:rsid w:val="006167FD"/>
    <w:rsid w:val="006342E4"/>
    <w:rsid w:val="00641DE5"/>
    <w:rsid w:val="0064315A"/>
    <w:rsid w:val="00643A57"/>
    <w:rsid w:val="006448AC"/>
    <w:rsid w:val="00656F0C"/>
    <w:rsid w:val="00661E5E"/>
    <w:rsid w:val="00670BAA"/>
    <w:rsid w:val="0067463A"/>
    <w:rsid w:val="00677CC2"/>
    <w:rsid w:val="00680155"/>
    <w:rsid w:val="00681F92"/>
    <w:rsid w:val="006842C2"/>
    <w:rsid w:val="00685EA1"/>
    <w:rsid w:val="00685F42"/>
    <w:rsid w:val="0069207B"/>
    <w:rsid w:val="006A4B23"/>
    <w:rsid w:val="006B2455"/>
    <w:rsid w:val="006C090F"/>
    <w:rsid w:val="006C2874"/>
    <w:rsid w:val="006C7F8C"/>
    <w:rsid w:val="006D380D"/>
    <w:rsid w:val="006D6AAF"/>
    <w:rsid w:val="006E0135"/>
    <w:rsid w:val="006E2D76"/>
    <w:rsid w:val="006E303A"/>
    <w:rsid w:val="006F11CE"/>
    <w:rsid w:val="006F7E19"/>
    <w:rsid w:val="00700B2C"/>
    <w:rsid w:val="00710DAF"/>
    <w:rsid w:val="00712D8D"/>
    <w:rsid w:val="00713084"/>
    <w:rsid w:val="00714B26"/>
    <w:rsid w:val="00725A05"/>
    <w:rsid w:val="0072618F"/>
    <w:rsid w:val="00731E00"/>
    <w:rsid w:val="00733FE9"/>
    <w:rsid w:val="0073502F"/>
    <w:rsid w:val="00736E79"/>
    <w:rsid w:val="007440B7"/>
    <w:rsid w:val="00745850"/>
    <w:rsid w:val="00756D57"/>
    <w:rsid w:val="007634AD"/>
    <w:rsid w:val="007715C9"/>
    <w:rsid w:val="00774EDD"/>
    <w:rsid w:val="007757EC"/>
    <w:rsid w:val="00784EF1"/>
    <w:rsid w:val="0079099D"/>
    <w:rsid w:val="007927C7"/>
    <w:rsid w:val="00794AD4"/>
    <w:rsid w:val="007B2959"/>
    <w:rsid w:val="007B30AA"/>
    <w:rsid w:val="007B4FAA"/>
    <w:rsid w:val="007B66E5"/>
    <w:rsid w:val="007D2353"/>
    <w:rsid w:val="007D5076"/>
    <w:rsid w:val="007E7D4A"/>
    <w:rsid w:val="008006CC"/>
    <w:rsid w:val="00807F18"/>
    <w:rsid w:val="00817A25"/>
    <w:rsid w:val="00823E06"/>
    <w:rsid w:val="00830434"/>
    <w:rsid w:val="00831E8D"/>
    <w:rsid w:val="00835B53"/>
    <w:rsid w:val="00856A31"/>
    <w:rsid w:val="00857D6B"/>
    <w:rsid w:val="00857F1F"/>
    <w:rsid w:val="008670A3"/>
    <w:rsid w:val="00870F51"/>
    <w:rsid w:val="008754D0"/>
    <w:rsid w:val="00877D48"/>
    <w:rsid w:val="00880D99"/>
    <w:rsid w:val="00883781"/>
    <w:rsid w:val="00885570"/>
    <w:rsid w:val="00892D5A"/>
    <w:rsid w:val="00893958"/>
    <w:rsid w:val="00897A9A"/>
    <w:rsid w:val="008A2E77"/>
    <w:rsid w:val="008A4240"/>
    <w:rsid w:val="008B4479"/>
    <w:rsid w:val="008C034B"/>
    <w:rsid w:val="008C05C4"/>
    <w:rsid w:val="008C176B"/>
    <w:rsid w:val="008C6F6F"/>
    <w:rsid w:val="008D0EE0"/>
    <w:rsid w:val="008D3E94"/>
    <w:rsid w:val="008D6465"/>
    <w:rsid w:val="008E0798"/>
    <w:rsid w:val="008E1775"/>
    <w:rsid w:val="008F02A6"/>
    <w:rsid w:val="008F3B97"/>
    <w:rsid w:val="008F4F1C"/>
    <w:rsid w:val="008F77C4"/>
    <w:rsid w:val="009049BD"/>
    <w:rsid w:val="009103F3"/>
    <w:rsid w:val="00917305"/>
    <w:rsid w:val="00932377"/>
    <w:rsid w:val="00944441"/>
    <w:rsid w:val="0095268F"/>
    <w:rsid w:val="009541D4"/>
    <w:rsid w:val="00967042"/>
    <w:rsid w:val="0098255A"/>
    <w:rsid w:val="00983345"/>
    <w:rsid w:val="009836EA"/>
    <w:rsid w:val="009845BE"/>
    <w:rsid w:val="00987BB7"/>
    <w:rsid w:val="00990A37"/>
    <w:rsid w:val="009969C9"/>
    <w:rsid w:val="009A3129"/>
    <w:rsid w:val="009A5C50"/>
    <w:rsid w:val="009A726E"/>
    <w:rsid w:val="009C6EAE"/>
    <w:rsid w:val="009D5149"/>
    <w:rsid w:val="009D534E"/>
    <w:rsid w:val="009F0517"/>
    <w:rsid w:val="009F318A"/>
    <w:rsid w:val="009F5D0F"/>
    <w:rsid w:val="009F7BD0"/>
    <w:rsid w:val="00A013AF"/>
    <w:rsid w:val="00A048FF"/>
    <w:rsid w:val="00A10775"/>
    <w:rsid w:val="00A12B6B"/>
    <w:rsid w:val="00A143C1"/>
    <w:rsid w:val="00A153D3"/>
    <w:rsid w:val="00A231E2"/>
    <w:rsid w:val="00A36C48"/>
    <w:rsid w:val="00A4057B"/>
    <w:rsid w:val="00A41E0B"/>
    <w:rsid w:val="00A42593"/>
    <w:rsid w:val="00A4774A"/>
    <w:rsid w:val="00A505F0"/>
    <w:rsid w:val="00A54463"/>
    <w:rsid w:val="00A55631"/>
    <w:rsid w:val="00A5702D"/>
    <w:rsid w:val="00A61675"/>
    <w:rsid w:val="00A64912"/>
    <w:rsid w:val="00A70A74"/>
    <w:rsid w:val="00A7485A"/>
    <w:rsid w:val="00A76A27"/>
    <w:rsid w:val="00A838F2"/>
    <w:rsid w:val="00A92D6F"/>
    <w:rsid w:val="00A9620A"/>
    <w:rsid w:val="00AA3795"/>
    <w:rsid w:val="00AB232B"/>
    <w:rsid w:val="00AC1E75"/>
    <w:rsid w:val="00AC7BBD"/>
    <w:rsid w:val="00AD01A0"/>
    <w:rsid w:val="00AD5641"/>
    <w:rsid w:val="00AD6E2D"/>
    <w:rsid w:val="00AE062B"/>
    <w:rsid w:val="00AE1088"/>
    <w:rsid w:val="00AF1BA4"/>
    <w:rsid w:val="00AF20F3"/>
    <w:rsid w:val="00B032D8"/>
    <w:rsid w:val="00B04F3C"/>
    <w:rsid w:val="00B311E0"/>
    <w:rsid w:val="00B33487"/>
    <w:rsid w:val="00B33B3C"/>
    <w:rsid w:val="00B40B2D"/>
    <w:rsid w:val="00B520AD"/>
    <w:rsid w:val="00B53788"/>
    <w:rsid w:val="00B6382D"/>
    <w:rsid w:val="00B665A0"/>
    <w:rsid w:val="00B84C09"/>
    <w:rsid w:val="00B8653D"/>
    <w:rsid w:val="00BA5026"/>
    <w:rsid w:val="00BB40BF"/>
    <w:rsid w:val="00BC0CD1"/>
    <w:rsid w:val="00BC681B"/>
    <w:rsid w:val="00BD2AAC"/>
    <w:rsid w:val="00BE719A"/>
    <w:rsid w:val="00BE720A"/>
    <w:rsid w:val="00BE76AC"/>
    <w:rsid w:val="00BF0461"/>
    <w:rsid w:val="00BF3598"/>
    <w:rsid w:val="00BF35FF"/>
    <w:rsid w:val="00BF4944"/>
    <w:rsid w:val="00BF4E5F"/>
    <w:rsid w:val="00BF56D4"/>
    <w:rsid w:val="00C04409"/>
    <w:rsid w:val="00C067E5"/>
    <w:rsid w:val="00C164CA"/>
    <w:rsid w:val="00C176CF"/>
    <w:rsid w:val="00C24CE7"/>
    <w:rsid w:val="00C41B25"/>
    <w:rsid w:val="00C42BF8"/>
    <w:rsid w:val="00C45913"/>
    <w:rsid w:val="00C460AE"/>
    <w:rsid w:val="00C50043"/>
    <w:rsid w:val="00C54E84"/>
    <w:rsid w:val="00C65878"/>
    <w:rsid w:val="00C7573B"/>
    <w:rsid w:val="00C76675"/>
    <w:rsid w:val="00C76CF3"/>
    <w:rsid w:val="00C818D0"/>
    <w:rsid w:val="00C83AD6"/>
    <w:rsid w:val="00C87FF3"/>
    <w:rsid w:val="00CA26F6"/>
    <w:rsid w:val="00CB43FF"/>
    <w:rsid w:val="00CB4E1B"/>
    <w:rsid w:val="00CB4EF2"/>
    <w:rsid w:val="00CB53A1"/>
    <w:rsid w:val="00CB56EF"/>
    <w:rsid w:val="00CC43D9"/>
    <w:rsid w:val="00CC75F7"/>
    <w:rsid w:val="00CC797F"/>
    <w:rsid w:val="00CE1E31"/>
    <w:rsid w:val="00CF0BB2"/>
    <w:rsid w:val="00CF5F2D"/>
    <w:rsid w:val="00CF6618"/>
    <w:rsid w:val="00D00EAA"/>
    <w:rsid w:val="00D06A56"/>
    <w:rsid w:val="00D13441"/>
    <w:rsid w:val="00D243A3"/>
    <w:rsid w:val="00D25B27"/>
    <w:rsid w:val="00D30216"/>
    <w:rsid w:val="00D318EC"/>
    <w:rsid w:val="00D340CE"/>
    <w:rsid w:val="00D37182"/>
    <w:rsid w:val="00D430A2"/>
    <w:rsid w:val="00D476B8"/>
    <w:rsid w:val="00D477C3"/>
    <w:rsid w:val="00D51799"/>
    <w:rsid w:val="00D51EFC"/>
    <w:rsid w:val="00D527FD"/>
    <w:rsid w:val="00D52EFE"/>
    <w:rsid w:val="00D53AA8"/>
    <w:rsid w:val="00D54394"/>
    <w:rsid w:val="00D56BA3"/>
    <w:rsid w:val="00D63EF6"/>
    <w:rsid w:val="00D70DFB"/>
    <w:rsid w:val="00D710E5"/>
    <w:rsid w:val="00D73029"/>
    <w:rsid w:val="00D766DF"/>
    <w:rsid w:val="00D77FE4"/>
    <w:rsid w:val="00D874C5"/>
    <w:rsid w:val="00D912BC"/>
    <w:rsid w:val="00DB20E0"/>
    <w:rsid w:val="00DD4D86"/>
    <w:rsid w:val="00DE2002"/>
    <w:rsid w:val="00DE6683"/>
    <w:rsid w:val="00DF5F8F"/>
    <w:rsid w:val="00DF7AE9"/>
    <w:rsid w:val="00E05704"/>
    <w:rsid w:val="00E20EB9"/>
    <w:rsid w:val="00E24D66"/>
    <w:rsid w:val="00E54292"/>
    <w:rsid w:val="00E54578"/>
    <w:rsid w:val="00E74DC7"/>
    <w:rsid w:val="00E754CB"/>
    <w:rsid w:val="00E84ECA"/>
    <w:rsid w:val="00E87699"/>
    <w:rsid w:val="00E947C6"/>
    <w:rsid w:val="00EA0E39"/>
    <w:rsid w:val="00EB12C0"/>
    <w:rsid w:val="00EB510C"/>
    <w:rsid w:val="00EC5816"/>
    <w:rsid w:val="00ED0225"/>
    <w:rsid w:val="00ED492F"/>
    <w:rsid w:val="00EE3E36"/>
    <w:rsid w:val="00EF2E3A"/>
    <w:rsid w:val="00EF410C"/>
    <w:rsid w:val="00F044C8"/>
    <w:rsid w:val="00F047E2"/>
    <w:rsid w:val="00F055B1"/>
    <w:rsid w:val="00F078DC"/>
    <w:rsid w:val="00F11D13"/>
    <w:rsid w:val="00F121FC"/>
    <w:rsid w:val="00F13E86"/>
    <w:rsid w:val="00F17B00"/>
    <w:rsid w:val="00F237CD"/>
    <w:rsid w:val="00F25185"/>
    <w:rsid w:val="00F25710"/>
    <w:rsid w:val="00F508B3"/>
    <w:rsid w:val="00F63D48"/>
    <w:rsid w:val="00F671C1"/>
    <w:rsid w:val="00F677A9"/>
    <w:rsid w:val="00F720C7"/>
    <w:rsid w:val="00F767E5"/>
    <w:rsid w:val="00F84CF5"/>
    <w:rsid w:val="00F861A0"/>
    <w:rsid w:val="00F92D35"/>
    <w:rsid w:val="00FA420B"/>
    <w:rsid w:val="00FB0E25"/>
    <w:rsid w:val="00FB4550"/>
    <w:rsid w:val="00FB61E9"/>
    <w:rsid w:val="00FB7CFE"/>
    <w:rsid w:val="00FD0554"/>
    <w:rsid w:val="00FD1AD4"/>
    <w:rsid w:val="00FD1E13"/>
    <w:rsid w:val="00FD7EB1"/>
    <w:rsid w:val="00FE2041"/>
    <w:rsid w:val="00FE41C9"/>
    <w:rsid w:val="00FE7F93"/>
    <w:rsid w:val="00FF0B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7C72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F318A"/>
    <w:pPr>
      <w:spacing w:line="260" w:lineRule="atLeast"/>
    </w:pPr>
    <w:rPr>
      <w:sz w:val="22"/>
    </w:rPr>
  </w:style>
  <w:style w:type="paragraph" w:styleId="Heading1">
    <w:name w:val="heading 1"/>
    <w:basedOn w:val="Normal"/>
    <w:next w:val="Normal"/>
    <w:link w:val="Heading1Char"/>
    <w:uiPriority w:val="9"/>
    <w:qFormat/>
    <w:rsid w:val="004D192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D19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D192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D192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D192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D192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D192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D192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D192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F318A"/>
  </w:style>
  <w:style w:type="paragraph" w:customStyle="1" w:styleId="OPCParaBase">
    <w:name w:val="OPCParaBase"/>
    <w:qFormat/>
    <w:rsid w:val="009F318A"/>
    <w:pPr>
      <w:spacing w:line="260" w:lineRule="atLeast"/>
    </w:pPr>
    <w:rPr>
      <w:rFonts w:eastAsia="Times New Roman" w:cs="Times New Roman"/>
      <w:sz w:val="22"/>
      <w:lang w:eastAsia="en-AU"/>
    </w:rPr>
  </w:style>
  <w:style w:type="paragraph" w:customStyle="1" w:styleId="ShortT">
    <w:name w:val="ShortT"/>
    <w:basedOn w:val="OPCParaBase"/>
    <w:next w:val="Normal"/>
    <w:qFormat/>
    <w:rsid w:val="009F318A"/>
    <w:pPr>
      <w:spacing w:line="240" w:lineRule="auto"/>
    </w:pPr>
    <w:rPr>
      <w:b/>
      <w:sz w:val="40"/>
    </w:rPr>
  </w:style>
  <w:style w:type="paragraph" w:customStyle="1" w:styleId="ActHead1">
    <w:name w:val="ActHead 1"/>
    <w:aliases w:val="c"/>
    <w:basedOn w:val="OPCParaBase"/>
    <w:next w:val="Normal"/>
    <w:qFormat/>
    <w:rsid w:val="009F318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F318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F318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F318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F318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F318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F318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F318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F318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F318A"/>
  </w:style>
  <w:style w:type="paragraph" w:customStyle="1" w:styleId="Blocks">
    <w:name w:val="Blocks"/>
    <w:aliases w:val="bb"/>
    <w:basedOn w:val="OPCParaBase"/>
    <w:qFormat/>
    <w:rsid w:val="009F318A"/>
    <w:pPr>
      <w:spacing w:line="240" w:lineRule="auto"/>
    </w:pPr>
    <w:rPr>
      <w:sz w:val="24"/>
    </w:rPr>
  </w:style>
  <w:style w:type="paragraph" w:customStyle="1" w:styleId="BoxText">
    <w:name w:val="BoxText"/>
    <w:aliases w:val="bt"/>
    <w:basedOn w:val="OPCParaBase"/>
    <w:qFormat/>
    <w:rsid w:val="009F318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F318A"/>
    <w:rPr>
      <w:b/>
    </w:rPr>
  </w:style>
  <w:style w:type="paragraph" w:customStyle="1" w:styleId="BoxHeadItalic">
    <w:name w:val="BoxHeadItalic"/>
    <w:aliases w:val="bhi"/>
    <w:basedOn w:val="BoxText"/>
    <w:next w:val="BoxStep"/>
    <w:qFormat/>
    <w:rsid w:val="009F318A"/>
    <w:rPr>
      <w:i/>
    </w:rPr>
  </w:style>
  <w:style w:type="paragraph" w:customStyle="1" w:styleId="BoxList">
    <w:name w:val="BoxList"/>
    <w:aliases w:val="bl"/>
    <w:basedOn w:val="BoxText"/>
    <w:qFormat/>
    <w:rsid w:val="009F318A"/>
    <w:pPr>
      <w:ind w:left="1559" w:hanging="425"/>
    </w:pPr>
  </w:style>
  <w:style w:type="paragraph" w:customStyle="1" w:styleId="BoxNote">
    <w:name w:val="BoxNote"/>
    <w:aliases w:val="bn"/>
    <w:basedOn w:val="BoxText"/>
    <w:qFormat/>
    <w:rsid w:val="009F318A"/>
    <w:pPr>
      <w:tabs>
        <w:tab w:val="left" w:pos="1985"/>
      </w:tabs>
      <w:spacing w:before="122" w:line="198" w:lineRule="exact"/>
      <w:ind w:left="2948" w:hanging="1814"/>
    </w:pPr>
    <w:rPr>
      <w:sz w:val="18"/>
    </w:rPr>
  </w:style>
  <w:style w:type="paragraph" w:customStyle="1" w:styleId="BoxPara">
    <w:name w:val="BoxPara"/>
    <w:aliases w:val="bp"/>
    <w:basedOn w:val="BoxText"/>
    <w:qFormat/>
    <w:rsid w:val="009F318A"/>
    <w:pPr>
      <w:tabs>
        <w:tab w:val="right" w:pos="2268"/>
      </w:tabs>
      <w:ind w:left="2552" w:hanging="1418"/>
    </w:pPr>
  </w:style>
  <w:style w:type="paragraph" w:customStyle="1" w:styleId="BoxStep">
    <w:name w:val="BoxStep"/>
    <w:aliases w:val="bs"/>
    <w:basedOn w:val="BoxText"/>
    <w:qFormat/>
    <w:rsid w:val="009F318A"/>
    <w:pPr>
      <w:ind w:left="1985" w:hanging="851"/>
    </w:pPr>
  </w:style>
  <w:style w:type="character" w:customStyle="1" w:styleId="CharAmPartNo">
    <w:name w:val="CharAmPartNo"/>
    <w:basedOn w:val="OPCCharBase"/>
    <w:qFormat/>
    <w:rsid w:val="009F318A"/>
  </w:style>
  <w:style w:type="character" w:customStyle="1" w:styleId="CharAmPartText">
    <w:name w:val="CharAmPartText"/>
    <w:basedOn w:val="OPCCharBase"/>
    <w:qFormat/>
    <w:rsid w:val="009F318A"/>
  </w:style>
  <w:style w:type="character" w:customStyle="1" w:styleId="CharAmSchNo">
    <w:name w:val="CharAmSchNo"/>
    <w:basedOn w:val="OPCCharBase"/>
    <w:qFormat/>
    <w:rsid w:val="009F318A"/>
  </w:style>
  <w:style w:type="character" w:customStyle="1" w:styleId="CharAmSchText">
    <w:name w:val="CharAmSchText"/>
    <w:basedOn w:val="OPCCharBase"/>
    <w:qFormat/>
    <w:rsid w:val="009F318A"/>
  </w:style>
  <w:style w:type="character" w:customStyle="1" w:styleId="CharBoldItalic">
    <w:name w:val="CharBoldItalic"/>
    <w:basedOn w:val="OPCCharBase"/>
    <w:uiPriority w:val="1"/>
    <w:qFormat/>
    <w:rsid w:val="009F318A"/>
    <w:rPr>
      <w:b/>
      <w:i/>
    </w:rPr>
  </w:style>
  <w:style w:type="character" w:customStyle="1" w:styleId="CharChapNo">
    <w:name w:val="CharChapNo"/>
    <w:basedOn w:val="OPCCharBase"/>
    <w:uiPriority w:val="1"/>
    <w:qFormat/>
    <w:rsid w:val="009F318A"/>
  </w:style>
  <w:style w:type="character" w:customStyle="1" w:styleId="CharChapText">
    <w:name w:val="CharChapText"/>
    <w:basedOn w:val="OPCCharBase"/>
    <w:uiPriority w:val="1"/>
    <w:qFormat/>
    <w:rsid w:val="009F318A"/>
  </w:style>
  <w:style w:type="character" w:customStyle="1" w:styleId="CharDivNo">
    <w:name w:val="CharDivNo"/>
    <w:basedOn w:val="OPCCharBase"/>
    <w:uiPriority w:val="1"/>
    <w:qFormat/>
    <w:rsid w:val="009F318A"/>
  </w:style>
  <w:style w:type="character" w:customStyle="1" w:styleId="CharDivText">
    <w:name w:val="CharDivText"/>
    <w:basedOn w:val="OPCCharBase"/>
    <w:uiPriority w:val="1"/>
    <w:qFormat/>
    <w:rsid w:val="009F318A"/>
  </w:style>
  <w:style w:type="character" w:customStyle="1" w:styleId="CharItalic">
    <w:name w:val="CharItalic"/>
    <w:basedOn w:val="OPCCharBase"/>
    <w:uiPriority w:val="1"/>
    <w:qFormat/>
    <w:rsid w:val="009F318A"/>
    <w:rPr>
      <w:i/>
    </w:rPr>
  </w:style>
  <w:style w:type="character" w:customStyle="1" w:styleId="CharPartNo">
    <w:name w:val="CharPartNo"/>
    <w:basedOn w:val="OPCCharBase"/>
    <w:uiPriority w:val="1"/>
    <w:qFormat/>
    <w:rsid w:val="009F318A"/>
  </w:style>
  <w:style w:type="character" w:customStyle="1" w:styleId="CharPartText">
    <w:name w:val="CharPartText"/>
    <w:basedOn w:val="OPCCharBase"/>
    <w:uiPriority w:val="1"/>
    <w:qFormat/>
    <w:rsid w:val="009F318A"/>
  </w:style>
  <w:style w:type="character" w:customStyle="1" w:styleId="CharSectno">
    <w:name w:val="CharSectno"/>
    <w:basedOn w:val="OPCCharBase"/>
    <w:qFormat/>
    <w:rsid w:val="009F318A"/>
  </w:style>
  <w:style w:type="character" w:customStyle="1" w:styleId="CharSubdNo">
    <w:name w:val="CharSubdNo"/>
    <w:basedOn w:val="OPCCharBase"/>
    <w:uiPriority w:val="1"/>
    <w:qFormat/>
    <w:rsid w:val="009F318A"/>
  </w:style>
  <w:style w:type="character" w:customStyle="1" w:styleId="CharSubdText">
    <w:name w:val="CharSubdText"/>
    <w:basedOn w:val="OPCCharBase"/>
    <w:uiPriority w:val="1"/>
    <w:qFormat/>
    <w:rsid w:val="009F318A"/>
  </w:style>
  <w:style w:type="paragraph" w:customStyle="1" w:styleId="CTA--">
    <w:name w:val="CTA --"/>
    <w:basedOn w:val="OPCParaBase"/>
    <w:next w:val="Normal"/>
    <w:rsid w:val="009F318A"/>
    <w:pPr>
      <w:spacing w:before="60" w:line="240" w:lineRule="atLeast"/>
      <w:ind w:left="142" w:hanging="142"/>
    </w:pPr>
    <w:rPr>
      <w:sz w:val="20"/>
    </w:rPr>
  </w:style>
  <w:style w:type="paragraph" w:customStyle="1" w:styleId="CTA-">
    <w:name w:val="CTA -"/>
    <w:basedOn w:val="OPCParaBase"/>
    <w:rsid w:val="009F318A"/>
    <w:pPr>
      <w:spacing w:before="60" w:line="240" w:lineRule="atLeast"/>
      <w:ind w:left="85" w:hanging="85"/>
    </w:pPr>
    <w:rPr>
      <w:sz w:val="20"/>
    </w:rPr>
  </w:style>
  <w:style w:type="paragraph" w:customStyle="1" w:styleId="CTA---">
    <w:name w:val="CTA ---"/>
    <w:basedOn w:val="OPCParaBase"/>
    <w:next w:val="Normal"/>
    <w:rsid w:val="009F318A"/>
    <w:pPr>
      <w:spacing w:before="60" w:line="240" w:lineRule="atLeast"/>
      <w:ind w:left="198" w:hanging="198"/>
    </w:pPr>
    <w:rPr>
      <w:sz w:val="20"/>
    </w:rPr>
  </w:style>
  <w:style w:type="paragraph" w:customStyle="1" w:styleId="CTA----">
    <w:name w:val="CTA ----"/>
    <w:basedOn w:val="OPCParaBase"/>
    <w:next w:val="Normal"/>
    <w:rsid w:val="009F318A"/>
    <w:pPr>
      <w:spacing w:before="60" w:line="240" w:lineRule="atLeast"/>
      <w:ind w:left="255" w:hanging="255"/>
    </w:pPr>
    <w:rPr>
      <w:sz w:val="20"/>
    </w:rPr>
  </w:style>
  <w:style w:type="paragraph" w:customStyle="1" w:styleId="CTA1a">
    <w:name w:val="CTA 1(a)"/>
    <w:basedOn w:val="OPCParaBase"/>
    <w:rsid w:val="009F318A"/>
    <w:pPr>
      <w:tabs>
        <w:tab w:val="right" w:pos="414"/>
      </w:tabs>
      <w:spacing w:before="40" w:line="240" w:lineRule="atLeast"/>
      <w:ind w:left="675" w:hanging="675"/>
    </w:pPr>
    <w:rPr>
      <w:sz w:val="20"/>
    </w:rPr>
  </w:style>
  <w:style w:type="paragraph" w:customStyle="1" w:styleId="CTA1ai">
    <w:name w:val="CTA 1(a)(i)"/>
    <w:basedOn w:val="OPCParaBase"/>
    <w:rsid w:val="009F318A"/>
    <w:pPr>
      <w:tabs>
        <w:tab w:val="right" w:pos="1004"/>
      </w:tabs>
      <w:spacing w:before="40" w:line="240" w:lineRule="atLeast"/>
      <w:ind w:left="1253" w:hanging="1253"/>
    </w:pPr>
    <w:rPr>
      <w:sz w:val="20"/>
    </w:rPr>
  </w:style>
  <w:style w:type="paragraph" w:customStyle="1" w:styleId="CTA2a">
    <w:name w:val="CTA 2(a)"/>
    <w:basedOn w:val="OPCParaBase"/>
    <w:rsid w:val="009F318A"/>
    <w:pPr>
      <w:tabs>
        <w:tab w:val="right" w:pos="482"/>
      </w:tabs>
      <w:spacing w:before="40" w:line="240" w:lineRule="atLeast"/>
      <w:ind w:left="748" w:hanging="748"/>
    </w:pPr>
    <w:rPr>
      <w:sz w:val="20"/>
    </w:rPr>
  </w:style>
  <w:style w:type="paragraph" w:customStyle="1" w:styleId="CTA2ai">
    <w:name w:val="CTA 2(a)(i)"/>
    <w:basedOn w:val="OPCParaBase"/>
    <w:rsid w:val="009F318A"/>
    <w:pPr>
      <w:tabs>
        <w:tab w:val="right" w:pos="1089"/>
      </w:tabs>
      <w:spacing w:before="40" w:line="240" w:lineRule="atLeast"/>
      <w:ind w:left="1327" w:hanging="1327"/>
    </w:pPr>
    <w:rPr>
      <w:sz w:val="20"/>
    </w:rPr>
  </w:style>
  <w:style w:type="paragraph" w:customStyle="1" w:styleId="CTA3a">
    <w:name w:val="CTA 3(a)"/>
    <w:basedOn w:val="OPCParaBase"/>
    <w:rsid w:val="009F318A"/>
    <w:pPr>
      <w:tabs>
        <w:tab w:val="right" w:pos="556"/>
      </w:tabs>
      <w:spacing w:before="40" w:line="240" w:lineRule="atLeast"/>
      <w:ind w:left="805" w:hanging="805"/>
    </w:pPr>
    <w:rPr>
      <w:sz w:val="20"/>
    </w:rPr>
  </w:style>
  <w:style w:type="paragraph" w:customStyle="1" w:styleId="CTA3ai">
    <w:name w:val="CTA 3(a)(i)"/>
    <w:basedOn w:val="OPCParaBase"/>
    <w:rsid w:val="009F318A"/>
    <w:pPr>
      <w:tabs>
        <w:tab w:val="right" w:pos="1140"/>
      </w:tabs>
      <w:spacing w:before="40" w:line="240" w:lineRule="atLeast"/>
      <w:ind w:left="1361" w:hanging="1361"/>
    </w:pPr>
    <w:rPr>
      <w:sz w:val="20"/>
    </w:rPr>
  </w:style>
  <w:style w:type="paragraph" w:customStyle="1" w:styleId="CTA4a">
    <w:name w:val="CTA 4(a)"/>
    <w:basedOn w:val="OPCParaBase"/>
    <w:rsid w:val="009F318A"/>
    <w:pPr>
      <w:tabs>
        <w:tab w:val="right" w:pos="624"/>
      </w:tabs>
      <w:spacing w:before="40" w:line="240" w:lineRule="atLeast"/>
      <w:ind w:left="873" w:hanging="873"/>
    </w:pPr>
    <w:rPr>
      <w:sz w:val="20"/>
    </w:rPr>
  </w:style>
  <w:style w:type="paragraph" w:customStyle="1" w:styleId="CTA4ai">
    <w:name w:val="CTA 4(a)(i)"/>
    <w:basedOn w:val="OPCParaBase"/>
    <w:rsid w:val="009F318A"/>
    <w:pPr>
      <w:tabs>
        <w:tab w:val="right" w:pos="1213"/>
      </w:tabs>
      <w:spacing w:before="40" w:line="240" w:lineRule="atLeast"/>
      <w:ind w:left="1452" w:hanging="1452"/>
    </w:pPr>
    <w:rPr>
      <w:sz w:val="20"/>
    </w:rPr>
  </w:style>
  <w:style w:type="paragraph" w:customStyle="1" w:styleId="CTACAPS">
    <w:name w:val="CTA CAPS"/>
    <w:basedOn w:val="OPCParaBase"/>
    <w:rsid w:val="009F318A"/>
    <w:pPr>
      <w:spacing w:before="60" w:line="240" w:lineRule="atLeast"/>
    </w:pPr>
    <w:rPr>
      <w:sz w:val="20"/>
    </w:rPr>
  </w:style>
  <w:style w:type="paragraph" w:customStyle="1" w:styleId="CTAright">
    <w:name w:val="CTA right"/>
    <w:basedOn w:val="OPCParaBase"/>
    <w:rsid w:val="009F318A"/>
    <w:pPr>
      <w:spacing w:before="60" w:line="240" w:lineRule="auto"/>
      <w:jc w:val="right"/>
    </w:pPr>
    <w:rPr>
      <w:sz w:val="20"/>
    </w:rPr>
  </w:style>
  <w:style w:type="paragraph" w:customStyle="1" w:styleId="subsection">
    <w:name w:val="subsection"/>
    <w:aliases w:val="ss"/>
    <w:basedOn w:val="OPCParaBase"/>
    <w:link w:val="subsectionChar"/>
    <w:rsid w:val="009F318A"/>
    <w:pPr>
      <w:tabs>
        <w:tab w:val="right" w:pos="1021"/>
      </w:tabs>
      <w:spacing w:before="180" w:line="240" w:lineRule="auto"/>
      <w:ind w:left="1134" w:hanging="1134"/>
    </w:pPr>
  </w:style>
  <w:style w:type="paragraph" w:customStyle="1" w:styleId="Definition">
    <w:name w:val="Definition"/>
    <w:aliases w:val="dd"/>
    <w:basedOn w:val="OPCParaBase"/>
    <w:rsid w:val="009F318A"/>
    <w:pPr>
      <w:spacing w:before="180" w:line="240" w:lineRule="auto"/>
      <w:ind w:left="1134"/>
    </w:pPr>
  </w:style>
  <w:style w:type="paragraph" w:customStyle="1" w:styleId="ETAsubitem">
    <w:name w:val="ETA(subitem)"/>
    <w:basedOn w:val="OPCParaBase"/>
    <w:rsid w:val="009F318A"/>
    <w:pPr>
      <w:tabs>
        <w:tab w:val="right" w:pos="340"/>
      </w:tabs>
      <w:spacing w:before="60" w:line="240" w:lineRule="auto"/>
      <w:ind w:left="454" w:hanging="454"/>
    </w:pPr>
    <w:rPr>
      <w:sz w:val="20"/>
    </w:rPr>
  </w:style>
  <w:style w:type="paragraph" w:customStyle="1" w:styleId="ETApara">
    <w:name w:val="ETA(para)"/>
    <w:basedOn w:val="OPCParaBase"/>
    <w:rsid w:val="009F318A"/>
    <w:pPr>
      <w:tabs>
        <w:tab w:val="right" w:pos="754"/>
      </w:tabs>
      <w:spacing w:before="60" w:line="240" w:lineRule="auto"/>
      <w:ind w:left="828" w:hanging="828"/>
    </w:pPr>
    <w:rPr>
      <w:sz w:val="20"/>
    </w:rPr>
  </w:style>
  <w:style w:type="paragraph" w:customStyle="1" w:styleId="ETAsubpara">
    <w:name w:val="ETA(subpara)"/>
    <w:basedOn w:val="OPCParaBase"/>
    <w:rsid w:val="009F318A"/>
    <w:pPr>
      <w:tabs>
        <w:tab w:val="right" w:pos="1083"/>
      </w:tabs>
      <w:spacing w:before="60" w:line="240" w:lineRule="auto"/>
      <w:ind w:left="1191" w:hanging="1191"/>
    </w:pPr>
    <w:rPr>
      <w:sz w:val="20"/>
    </w:rPr>
  </w:style>
  <w:style w:type="paragraph" w:customStyle="1" w:styleId="ETAsub-subpara">
    <w:name w:val="ETA(sub-subpara)"/>
    <w:basedOn w:val="OPCParaBase"/>
    <w:rsid w:val="009F318A"/>
    <w:pPr>
      <w:tabs>
        <w:tab w:val="right" w:pos="1412"/>
      </w:tabs>
      <w:spacing w:before="60" w:line="240" w:lineRule="auto"/>
      <w:ind w:left="1525" w:hanging="1525"/>
    </w:pPr>
    <w:rPr>
      <w:sz w:val="20"/>
    </w:rPr>
  </w:style>
  <w:style w:type="paragraph" w:customStyle="1" w:styleId="Formula">
    <w:name w:val="Formula"/>
    <w:basedOn w:val="OPCParaBase"/>
    <w:rsid w:val="009F318A"/>
    <w:pPr>
      <w:spacing w:line="240" w:lineRule="auto"/>
      <w:ind w:left="1134"/>
    </w:pPr>
    <w:rPr>
      <w:sz w:val="20"/>
    </w:rPr>
  </w:style>
  <w:style w:type="paragraph" w:styleId="Header">
    <w:name w:val="header"/>
    <w:basedOn w:val="OPCParaBase"/>
    <w:link w:val="HeaderChar"/>
    <w:unhideWhenUsed/>
    <w:rsid w:val="009F318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F318A"/>
    <w:rPr>
      <w:rFonts w:eastAsia="Times New Roman" w:cs="Times New Roman"/>
      <w:sz w:val="16"/>
      <w:lang w:eastAsia="en-AU"/>
    </w:rPr>
  </w:style>
  <w:style w:type="paragraph" w:customStyle="1" w:styleId="House">
    <w:name w:val="House"/>
    <w:basedOn w:val="OPCParaBase"/>
    <w:rsid w:val="009F318A"/>
    <w:pPr>
      <w:spacing w:line="240" w:lineRule="auto"/>
    </w:pPr>
    <w:rPr>
      <w:sz w:val="28"/>
    </w:rPr>
  </w:style>
  <w:style w:type="paragraph" w:customStyle="1" w:styleId="Item">
    <w:name w:val="Item"/>
    <w:aliases w:val="i"/>
    <w:basedOn w:val="OPCParaBase"/>
    <w:next w:val="ItemHead"/>
    <w:rsid w:val="009F318A"/>
    <w:pPr>
      <w:keepLines/>
      <w:spacing w:before="80" w:line="240" w:lineRule="auto"/>
      <w:ind w:left="709"/>
    </w:pPr>
  </w:style>
  <w:style w:type="paragraph" w:customStyle="1" w:styleId="ItemHead">
    <w:name w:val="ItemHead"/>
    <w:aliases w:val="ih"/>
    <w:basedOn w:val="OPCParaBase"/>
    <w:next w:val="Item"/>
    <w:rsid w:val="009F318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F318A"/>
    <w:pPr>
      <w:spacing w:line="240" w:lineRule="auto"/>
    </w:pPr>
    <w:rPr>
      <w:b/>
      <w:sz w:val="32"/>
    </w:rPr>
  </w:style>
  <w:style w:type="paragraph" w:customStyle="1" w:styleId="notedraft">
    <w:name w:val="note(draft)"/>
    <w:aliases w:val="nd"/>
    <w:basedOn w:val="OPCParaBase"/>
    <w:rsid w:val="009F318A"/>
    <w:pPr>
      <w:spacing w:before="240" w:line="240" w:lineRule="auto"/>
      <w:ind w:left="284" w:hanging="284"/>
    </w:pPr>
    <w:rPr>
      <w:i/>
      <w:sz w:val="24"/>
    </w:rPr>
  </w:style>
  <w:style w:type="paragraph" w:customStyle="1" w:styleId="notemargin">
    <w:name w:val="note(margin)"/>
    <w:aliases w:val="nm"/>
    <w:basedOn w:val="OPCParaBase"/>
    <w:rsid w:val="009F318A"/>
    <w:pPr>
      <w:tabs>
        <w:tab w:val="left" w:pos="709"/>
      </w:tabs>
      <w:spacing w:before="122" w:line="198" w:lineRule="exact"/>
      <w:ind w:left="709" w:hanging="709"/>
    </w:pPr>
    <w:rPr>
      <w:sz w:val="18"/>
    </w:rPr>
  </w:style>
  <w:style w:type="paragraph" w:customStyle="1" w:styleId="noteToPara">
    <w:name w:val="noteToPara"/>
    <w:aliases w:val="ntp"/>
    <w:basedOn w:val="OPCParaBase"/>
    <w:rsid w:val="009F318A"/>
    <w:pPr>
      <w:spacing w:before="122" w:line="198" w:lineRule="exact"/>
      <w:ind w:left="2353" w:hanging="709"/>
    </w:pPr>
    <w:rPr>
      <w:sz w:val="18"/>
    </w:rPr>
  </w:style>
  <w:style w:type="paragraph" w:customStyle="1" w:styleId="noteParlAmend">
    <w:name w:val="note(ParlAmend)"/>
    <w:aliases w:val="npp"/>
    <w:basedOn w:val="OPCParaBase"/>
    <w:next w:val="ParlAmend"/>
    <w:rsid w:val="009F318A"/>
    <w:pPr>
      <w:spacing w:line="240" w:lineRule="auto"/>
      <w:jc w:val="right"/>
    </w:pPr>
    <w:rPr>
      <w:rFonts w:ascii="Arial" w:hAnsi="Arial"/>
      <w:b/>
      <w:i/>
    </w:rPr>
  </w:style>
  <w:style w:type="paragraph" w:customStyle="1" w:styleId="Page1">
    <w:name w:val="Page1"/>
    <w:basedOn w:val="OPCParaBase"/>
    <w:rsid w:val="009F318A"/>
    <w:pPr>
      <w:spacing w:before="5600" w:line="240" w:lineRule="auto"/>
    </w:pPr>
    <w:rPr>
      <w:b/>
      <w:sz w:val="32"/>
    </w:rPr>
  </w:style>
  <w:style w:type="paragraph" w:customStyle="1" w:styleId="PageBreak">
    <w:name w:val="PageBreak"/>
    <w:aliases w:val="pb"/>
    <w:basedOn w:val="OPCParaBase"/>
    <w:rsid w:val="009F318A"/>
    <w:pPr>
      <w:spacing w:line="240" w:lineRule="auto"/>
    </w:pPr>
    <w:rPr>
      <w:sz w:val="20"/>
    </w:rPr>
  </w:style>
  <w:style w:type="paragraph" w:customStyle="1" w:styleId="paragraphsub">
    <w:name w:val="paragraph(sub)"/>
    <w:aliases w:val="aa"/>
    <w:basedOn w:val="OPCParaBase"/>
    <w:rsid w:val="009F318A"/>
    <w:pPr>
      <w:tabs>
        <w:tab w:val="right" w:pos="1985"/>
      </w:tabs>
      <w:spacing w:before="40" w:line="240" w:lineRule="auto"/>
      <w:ind w:left="2098" w:hanging="2098"/>
    </w:pPr>
  </w:style>
  <w:style w:type="paragraph" w:customStyle="1" w:styleId="paragraphsub-sub">
    <w:name w:val="paragraph(sub-sub)"/>
    <w:aliases w:val="aaa"/>
    <w:basedOn w:val="OPCParaBase"/>
    <w:rsid w:val="009F318A"/>
    <w:pPr>
      <w:tabs>
        <w:tab w:val="right" w:pos="2722"/>
      </w:tabs>
      <w:spacing w:before="40" w:line="240" w:lineRule="auto"/>
      <w:ind w:left="2835" w:hanging="2835"/>
    </w:pPr>
  </w:style>
  <w:style w:type="paragraph" w:customStyle="1" w:styleId="paragraph">
    <w:name w:val="paragraph"/>
    <w:aliases w:val="a"/>
    <w:basedOn w:val="OPCParaBase"/>
    <w:rsid w:val="009F318A"/>
    <w:pPr>
      <w:tabs>
        <w:tab w:val="right" w:pos="1531"/>
      </w:tabs>
      <w:spacing w:before="40" w:line="240" w:lineRule="auto"/>
      <w:ind w:left="1644" w:hanging="1644"/>
    </w:pPr>
  </w:style>
  <w:style w:type="paragraph" w:customStyle="1" w:styleId="ParlAmend">
    <w:name w:val="ParlAmend"/>
    <w:aliases w:val="pp"/>
    <w:basedOn w:val="OPCParaBase"/>
    <w:rsid w:val="009F318A"/>
    <w:pPr>
      <w:spacing w:before="240" w:line="240" w:lineRule="atLeast"/>
      <w:ind w:hanging="567"/>
    </w:pPr>
    <w:rPr>
      <w:sz w:val="24"/>
    </w:rPr>
  </w:style>
  <w:style w:type="paragraph" w:customStyle="1" w:styleId="Penalty">
    <w:name w:val="Penalty"/>
    <w:basedOn w:val="OPCParaBase"/>
    <w:rsid w:val="009F318A"/>
    <w:pPr>
      <w:tabs>
        <w:tab w:val="left" w:pos="2977"/>
      </w:tabs>
      <w:spacing w:before="180" w:line="240" w:lineRule="auto"/>
      <w:ind w:left="1985" w:hanging="851"/>
    </w:pPr>
  </w:style>
  <w:style w:type="paragraph" w:customStyle="1" w:styleId="Portfolio">
    <w:name w:val="Portfolio"/>
    <w:basedOn w:val="OPCParaBase"/>
    <w:rsid w:val="009F318A"/>
    <w:pPr>
      <w:spacing w:line="240" w:lineRule="auto"/>
    </w:pPr>
    <w:rPr>
      <w:i/>
      <w:sz w:val="20"/>
    </w:rPr>
  </w:style>
  <w:style w:type="paragraph" w:customStyle="1" w:styleId="Preamble">
    <w:name w:val="Preamble"/>
    <w:basedOn w:val="OPCParaBase"/>
    <w:next w:val="Normal"/>
    <w:rsid w:val="009F318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F318A"/>
    <w:pPr>
      <w:spacing w:line="240" w:lineRule="auto"/>
    </w:pPr>
    <w:rPr>
      <w:i/>
      <w:sz w:val="20"/>
    </w:rPr>
  </w:style>
  <w:style w:type="paragraph" w:customStyle="1" w:styleId="Session">
    <w:name w:val="Session"/>
    <w:basedOn w:val="OPCParaBase"/>
    <w:rsid w:val="009F318A"/>
    <w:pPr>
      <w:spacing w:line="240" w:lineRule="auto"/>
    </w:pPr>
    <w:rPr>
      <w:sz w:val="28"/>
    </w:rPr>
  </w:style>
  <w:style w:type="paragraph" w:customStyle="1" w:styleId="Sponsor">
    <w:name w:val="Sponsor"/>
    <w:basedOn w:val="OPCParaBase"/>
    <w:rsid w:val="009F318A"/>
    <w:pPr>
      <w:spacing w:line="240" w:lineRule="auto"/>
    </w:pPr>
    <w:rPr>
      <w:i/>
    </w:rPr>
  </w:style>
  <w:style w:type="paragraph" w:customStyle="1" w:styleId="Subitem">
    <w:name w:val="Subitem"/>
    <w:aliases w:val="iss"/>
    <w:basedOn w:val="OPCParaBase"/>
    <w:rsid w:val="009F318A"/>
    <w:pPr>
      <w:spacing w:before="180" w:line="240" w:lineRule="auto"/>
      <w:ind w:left="709" w:hanging="709"/>
    </w:pPr>
  </w:style>
  <w:style w:type="paragraph" w:customStyle="1" w:styleId="SubitemHead">
    <w:name w:val="SubitemHead"/>
    <w:aliases w:val="issh"/>
    <w:basedOn w:val="OPCParaBase"/>
    <w:rsid w:val="009F318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F318A"/>
    <w:pPr>
      <w:spacing w:before="40" w:line="240" w:lineRule="auto"/>
      <w:ind w:left="1134"/>
    </w:pPr>
  </w:style>
  <w:style w:type="paragraph" w:customStyle="1" w:styleId="SubsectionHead">
    <w:name w:val="SubsectionHead"/>
    <w:aliases w:val="ssh"/>
    <w:basedOn w:val="OPCParaBase"/>
    <w:next w:val="subsection"/>
    <w:rsid w:val="009F318A"/>
    <w:pPr>
      <w:keepNext/>
      <w:keepLines/>
      <w:spacing w:before="240" w:line="240" w:lineRule="auto"/>
      <w:ind w:left="1134"/>
    </w:pPr>
    <w:rPr>
      <w:i/>
    </w:rPr>
  </w:style>
  <w:style w:type="paragraph" w:customStyle="1" w:styleId="Tablea">
    <w:name w:val="Table(a)"/>
    <w:aliases w:val="ta"/>
    <w:basedOn w:val="OPCParaBase"/>
    <w:rsid w:val="009F318A"/>
    <w:pPr>
      <w:spacing w:before="60" w:line="240" w:lineRule="auto"/>
      <w:ind w:left="284" w:hanging="284"/>
    </w:pPr>
    <w:rPr>
      <w:sz w:val="20"/>
    </w:rPr>
  </w:style>
  <w:style w:type="paragraph" w:customStyle="1" w:styleId="TableAA">
    <w:name w:val="Table(AA)"/>
    <w:aliases w:val="taaa"/>
    <w:basedOn w:val="OPCParaBase"/>
    <w:rsid w:val="009F318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F318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F318A"/>
    <w:pPr>
      <w:spacing w:before="60" w:line="240" w:lineRule="atLeast"/>
    </w:pPr>
    <w:rPr>
      <w:sz w:val="20"/>
    </w:rPr>
  </w:style>
  <w:style w:type="paragraph" w:customStyle="1" w:styleId="TLPBoxTextnote">
    <w:name w:val="TLPBoxText(note"/>
    <w:aliases w:val="right)"/>
    <w:basedOn w:val="OPCParaBase"/>
    <w:rsid w:val="009F318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F318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F318A"/>
    <w:pPr>
      <w:spacing w:before="122" w:line="198" w:lineRule="exact"/>
      <w:ind w:left="1985" w:hanging="851"/>
      <w:jc w:val="right"/>
    </w:pPr>
    <w:rPr>
      <w:sz w:val="18"/>
    </w:rPr>
  </w:style>
  <w:style w:type="paragraph" w:customStyle="1" w:styleId="TLPTableBullet">
    <w:name w:val="TLPTableBullet"/>
    <w:aliases w:val="ttb"/>
    <w:basedOn w:val="OPCParaBase"/>
    <w:rsid w:val="009F318A"/>
    <w:pPr>
      <w:spacing w:line="240" w:lineRule="exact"/>
      <w:ind w:left="284" w:hanging="284"/>
    </w:pPr>
    <w:rPr>
      <w:sz w:val="20"/>
    </w:rPr>
  </w:style>
  <w:style w:type="paragraph" w:styleId="TOC1">
    <w:name w:val="toc 1"/>
    <w:basedOn w:val="OPCParaBase"/>
    <w:next w:val="Normal"/>
    <w:uiPriority w:val="39"/>
    <w:semiHidden/>
    <w:unhideWhenUsed/>
    <w:rsid w:val="009F318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9F318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F318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F318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F318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F318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F318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F318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F318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F318A"/>
    <w:pPr>
      <w:keepLines/>
      <w:spacing w:before="240" w:after="120" w:line="240" w:lineRule="auto"/>
      <w:ind w:left="794"/>
    </w:pPr>
    <w:rPr>
      <w:b/>
      <w:kern w:val="28"/>
      <w:sz w:val="20"/>
    </w:rPr>
  </w:style>
  <w:style w:type="paragraph" w:customStyle="1" w:styleId="TofSectsHeading">
    <w:name w:val="TofSects(Heading)"/>
    <w:basedOn w:val="OPCParaBase"/>
    <w:rsid w:val="009F318A"/>
    <w:pPr>
      <w:spacing w:before="240" w:after="120" w:line="240" w:lineRule="auto"/>
    </w:pPr>
    <w:rPr>
      <w:b/>
      <w:sz w:val="24"/>
    </w:rPr>
  </w:style>
  <w:style w:type="paragraph" w:customStyle="1" w:styleId="TofSectsSection">
    <w:name w:val="TofSects(Section)"/>
    <w:basedOn w:val="OPCParaBase"/>
    <w:rsid w:val="009F318A"/>
    <w:pPr>
      <w:keepLines/>
      <w:spacing w:before="40" w:line="240" w:lineRule="auto"/>
      <w:ind w:left="1588" w:hanging="794"/>
    </w:pPr>
    <w:rPr>
      <w:kern w:val="28"/>
      <w:sz w:val="18"/>
    </w:rPr>
  </w:style>
  <w:style w:type="paragraph" w:customStyle="1" w:styleId="TofSectsSubdiv">
    <w:name w:val="TofSects(Subdiv)"/>
    <w:basedOn w:val="OPCParaBase"/>
    <w:rsid w:val="009F318A"/>
    <w:pPr>
      <w:keepLines/>
      <w:spacing w:before="80" w:line="240" w:lineRule="auto"/>
      <w:ind w:left="1588" w:hanging="794"/>
    </w:pPr>
    <w:rPr>
      <w:kern w:val="28"/>
    </w:rPr>
  </w:style>
  <w:style w:type="paragraph" w:customStyle="1" w:styleId="WRStyle">
    <w:name w:val="WR Style"/>
    <w:aliases w:val="WR"/>
    <w:basedOn w:val="OPCParaBase"/>
    <w:rsid w:val="009F318A"/>
    <w:pPr>
      <w:spacing w:before="240" w:line="240" w:lineRule="auto"/>
      <w:ind w:left="284" w:hanging="284"/>
    </w:pPr>
    <w:rPr>
      <w:b/>
      <w:i/>
      <w:kern w:val="28"/>
      <w:sz w:val="24"/>
    </w:rPr>
  </w:style>
  <w:style w:type="paragraph" w:customStyle="1" w:styleId="notepara">
    <w:name w:val="note(para)"/>
    <w:aliases w:val="na"/>
    <w:basedOn w:val="OPCParaBase"/>
    <w:rsid w:val="009F318A"/>
    <w:pPr>
      <w:spacing w:before="40" w:line="198" w:lineRule="exact"/>
      <w:ind w:left="2354" w:hanging="369"/>
    </w:pPr>
    <w:rPr>
      <w:sz w:val="18"/>
    </w:rPr>
  </w:style>
  <w:style w:type="paragraph" w:styleId="Footer">
    <w:name w:val="footer"/>
    <w:link w:val="FooterChar"/>
    <w:rsid w:val="009F318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F318A"/>
    <w:rPr>
      <w:rFonts w:eastAsia="Times New Roman" w:cs="Times New Roman"/>
      <w:sz w:val="22"/>
      <w:szCs w:val="24"/>
      <w:lang w:eastAsia="en-AU"/>
    </w:rPr>
  </w:style>
  <w:style w:type="character" w:styleId="LineNumber">
    <w:name w:val="line number"/>
    <w:basedOn w:val="OPCCharBase"/>
    <w:uiPriority w:val="99"/>
    <w:semiHidden/>
    <w:unhideWhenUsed/>
    <w:rsid w:val="009F318A"/>
    <w:rPr>
      <w:sz w:val="16"/>
    </w:rPr>
  </w:style>
  <w:style w:type="table" w:customStyle="1" w:styleId="CFlag">
    <w:name w:val="CFlag"/>
    <w:basedOn w:val="TableNormal"/>
    <w:uiPriority w:val="99"/>
    <w:rsid w:val="009F318A"/>
    <w:rPr>
      <w:rFonts w:eastAsia="Times New Roman" w:cs="Times New Roman"/>
      <w:lang w:eastAsia="en-AU"/>
    </w:rPr>
    <w:tblPr/>
  </w:style>
  <w:style w:type="paragraph" w:customStyle="1" w:styleId="NotesHeading1">
    <w:name w:val="NotesHeading 1"/>
    <w:basedOn w:val="OPCParaBase"/>
    <w:next w:val="Normal"/>
    <w:rsid w:val="009F318A"/>
    <w:rPr>
      <w:b/>
      <w:sz w:val="28"/>
      <w:szCs w:val="28"/>
    </w:rPr>
  </w:style>
  <w:style w:type="paragraph" w:customStyle="1" w:styleId="NotesHeading2">
    <w:name w:val="NotesHeading 2"/>
    <w:basedOn w:val="OPCParaBase"/>
    <w:next w:val="Normal"/>
    <w:rsid w:val="009F318A"/>
    <w:rPr>
      <w:b/>
      <w:sz w:val="28"/>
      <w:szCs w:val="28"/>
    </w:rPr>
  </w:style>
  <w:style w:type="paragraph" w:customStyle="1" w:styleId="SignCoverPageEnd">
    <w:name w:val="SignCoverPageEnd"/>
    <w:basedOn w:val="OPCParaBase"/>
    <w:next w:val="Normal"/>
    <w:rsid w:val="009F318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F318A"/>
    <w:pPr>
      <w:pBdr>
        <w:top w:val="single" w:sz="4" w:space="1" w:color="auto"/>
      </w:pBdr>
      <w:spacing w:before="360"/>
      <w:ind w:right="397"/>
      <w:jc w:val="both"/>
    </w:pPr>
  </w:style>
  <w:style w:type="paragraph" w:customStyle="1" w:styleId="Paragraphsub-sub-sub">
    <w:name w:val="Paragraph(sub-sub-sub)"/>
    <w:aliases w:val="aaaa"/>
    <w:basedOn w:val="OPCParaBase"/>
    <w:rsid w:val="009F318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F318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F318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F318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F318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F318A"/>
    <w:pPr>
      <w:spacing w:before="120"/>
    </w:pPr>
  </w:style>
  <w:style w:type="paragraph" w:customStyle="1" w:styleId="TableTextEndNotes">
    <w:name w:val="TableTextEndNotes"/>
    <w:aliases w:val="Tten"/>
    <w:basedOn w:val="Normal"/>
    <w:rsid w:val="009F318A"/>
    <w:pPr>
      <w:spacing w:before="60" w:line="240" w:lineRule="auto"/>
    </w:pPr>
    <w:rPr>
      <w:rFonts w:cs="Arial"/>
      <w:sz w:val="20"/>
      <w:szCs w:val="22"/>
    </w:rPr>
  </w:style>
  <w:style w:type="paragraph" w:customStyle="1" w:styleId="TableHeading">
    <w:name w:val="TableHeading"/>
    <w:aliases w:val="th"/>
    <w:basedOn w:val="OPCParaBase"/>
    <w:next w:val="Tabletext"/>
    <w:rsid w:val="009F318A"/>
    <w:pPr>
      <w:keepNext/>
      <w:spacing w:before="60" w:line="240" w:lineRule="atLeast"/>
    </w:pPr>
    <w:rPr>
      <w:b/>
      <w:sz w:val="20"/>
    </w:rPr>
  </w:style>
  <w:style w:type="paragraph" w:customStyle="1" w:styleId="NoteToSubpara">
    <w:name w:val="NoteToSubpara"/>
    <w:aliases w:val="nts"/>
    <w:basedOn w:val="OPCParaBase"/>
    <w:rsid w:val="009F318A"/>
    <w:pPr>
      <w:spacing w:before="40" w:line="198" w:lineRule="exact"/>
      <w:ind w:left="2835" w:hanging="709"/>
    </w:pPr>
    <w:rPr>
      <w:sz w:val="18"/>
    </w:rPr>
  </w:style>
  <w:style w:type="paragraph" w:customStyle="1" w:styleId="ENoteTableHeading">
    <w:name w:val="ENoteTableHeading"/>
    <w:aliases w:val="enth"/>
    <w:basedOn w:val="OPCParaBase"/>
    <w:rsid w:val="009F318A"/>
    <w:pPr>
      <w:keepNext/>
      <w:spacing w:before="60" w:line="240" w:lineRule="atLeast"/>
    </w:pPr>
    <w:rPr>
      <w:rFonts w:ascii="Arial" w:hAnsi="Arial"/>
      <w:b/>
      <w:sz w:val="16"/>
    </w:rPr>
  </w:style>
  <w:style w:type="paragraph" w:customStyle="1" w:styleId="ENoteTTi">
    <w:name w:val="ENoteTTi"/>
    <w:aliases w:val="entti"/>
    <w:basedOn w:val="OPCParaBase"/>
    <w:rsid w:val="009F318A"/>
    <w:pPr>
      <w:keepNext/>
      <w:spacing w:before="60" w:line="240" w:lineRule="atLeast"/>
      <w:ind w:left="170"/>
    </w:pPr>
    <w:rPr>
      <w:sz w:val="16"/>
    </w:rPr>
  </w:style>
  <w:style w:type="paragraph" w:customStyle="1" w:styleId="ENotesHeading1">
    <w:name w:val="ENotesHeading 1"/>
    <w:aliases w:val="Enh1"/>
    <w:basedOn w:val="OPCParaBase"/>
    <w:next w:val="Normal"/>
    <w:rsid w:val="009F318A"/>
    <w:pPr>
      <w:spacing w:before="120"/>
      <w:outlineLvl w:val="1"/>
    </w:pPr>
    <w:rPr>
      <w:b/>
      <w:sz w:val="28"/>
      <w:szCs w:val="28"/>
    </w:rPr>
  </w:style>
  <w:style w:type="paragraph" w:customStyle="1" w:styleId="ENotesHeading2">
    <w:name w:val="ENotesHeading 2"/>
    <w:aliases w:val="Enh2"/>
    <w:basedOn w:val="OPCParaBase"/>
    <w:next w:val="Normal"/>
    <w:rsid w:val="009F318A"/>
    <w:pPr>
      <w:spacing w:before="120" w:after="120"/>
      <w:outlineLvl w:val="2"/>
    </w:pPr>
    <w:rPr>
      <w:b/>
      <w:sz w:val="24"/>
      <w:szCs w:val="28"/>
    </w:rPr>
  </w:style>
  <w:style w:type="paragraph" w:customStyle="1" w:styleId="ENoteTTIndentHeading">
    <w:name w:val="ENoteTTIndentHeading"/>
    <w:aliases w:val="enTTHi"/>
    <w:basedOn w:val="OPCParaBase"/>
    <w:rsid w:val="009F318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F318A"/>
    <w:pPr>
      <w:spacing w:before="60" w:line="240" w:lineRule="atLeast"/>
    </w:pPr>
    <w:rPr>
      <w:sz w:val="16"/>
    </w:rPr>
  </w:style>
  <w:style w:type="paragraph" w:customStyle="1" w:styleId="MadeunderText">
    <w:name w:val="MadeunderText"/>
    <w:basedOn w:val="OPCParaBase"/>
    <w:next w:val="Normal"/>
    <w:rsid w:val="009F318A"/>
    <w:pPr>
      <w:spacing w:before="240"/>
    </w:pPr>
    <w:rPr>
      <w:sz w:val="24"/>
      <w:szCs w:val="24"/>
    </w:rPr>
  </w:style>
  <w:style w:type="paragraph" w:customStyle="1" w:styleId="ENotesHeading3">
    <w:name w:val="ENotesHeading 3"/>
    <w:aliases w:val="Enh3"/>
    <w:basedOn w:val="OPCParaBase"/>
    <w:next w:val="Normal"/>
    <w:rsid w:val="009F318A"/>
    <w:pPr>
      <w:keepNext/>
      <w:spacing w:before="120" w:line="240" w:lineRule="auto"/>
      <w:outlineLvl w:val="4"/>
    </w:pPr>
    <w:rPr>
      <w:b/>
      <w:szCs w:val="24"/>
    </w:rPr>
  </w:style>
  <w:style w:type="paragraph" w:customStyle="1" w:styleId="SubPartCASA">
    <w:name w:val="SubPart(CASA)"/>
    <w:aliases w:val="csp"/>
    <w:basedOn w:val="OPCParaBase"/>
    <w:next w:val="ActHead3"/>
    <w:rsid w:val="009F318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F318A"/>
  </w:style>
  <w:style w:type="character" w:customStyle="1" w:styleId="CharSubPartNoCASA">
    <w:name w:val="CharSubPartNo(CASA)"/>
    <w:basedOn w:val="OPCCharBase"/>
    <w:uiPriority w:val="1"/>
    <w:rsid w:val="009F318A"/>
  </w:style>
  <w:style w:type="paragraph" w:customStyle="1" w:styleId="ENoteTTIndentHeadingSub">
    <w:name w:val="ENoteTTIndentHeadingSub"/>
    <w:aliases w:val="enTTHis"/>
    <w:basedOn w:val="OPCParaBase"/>
    <w:rsid w:val="009F318A"/>
    <w:pPr>
      <w:keepNext/>
      <w:spacing w:before="60" w:line="240" w:lineRule="atLeast"/>
      <w:ind w:left="340"/>
    </w:pPr>
    <w:rPr>
      <w:b/>
      <w:sz w:val="16"/>
    </w:rPr>
  </w:style>
  <w:style w:type="paragraph" w:customStyle="1" w:styleId="ENoteTTiSub">
    <w:name w:val="ENoteTTiSub"/>
    <w:aliases w:val="enttis"/>
    <w:basedOn w:val="OPCParaBase"/>
    <w:rsid w:val="009F318A"/>
    <w:pPr>
      <w:keepNext/>
      <w:spacing w:before="60" w:line="240" w:lineRule="atLeast"/>
      <w:ind w:left="340"/>
    </w:pPr>
    <w:rPr>
      <w:sz w:val="16"/>
    </w:rPr>
  </w:style>
  <w:style w:type="paragraph" w:customStyle="1" w:styleId="SubDivisionMigration">
    <w:name w:val="SubDivisionMigration"/>
    <w:aliases w:val="sdm"/>
    <w:basedOn w:val="OPCParaBase"/>
    <w:rsid w:val="009F318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F318A"/>
    <w:pPr>
      <w:keepNext/>
      <w:keepLines/>
      <w:spacing w:before="240" w:line="240" w:lineRule="auto"/>
      <w:ind w:left="1134" w:hanging="1134"/>
    </w:pPr>
    <w:rPr>
      <w:b/>
      <w:sz w:val="28"/>
    </w:rPr>
  </w:style>
  <w:style w:type="table" w:styleId="TableGrid">
    <w:name w:val="Table Grid"/>
    <w:basedOn w:val="TableNormal"/>
    <w:uiPriority w:val="59"/>
    <w:rsid w:val="009F3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9F318A"/>
    <w:pPr>
      <w:spacing w:before="122" w:line="240" w:lineRule="auto"/>
      <w:ind w:left="1985" w:hanging="851"/>
    </w:pPr>
    <w:rPr>
      <w:sz w:val="18"/>
    </w:rPr>
  </w:style>
  <w:style w:type="paragraph" w:customStyle="1" w:styleId="FreeForm">
    <w:name w:val="FreeForm"/>
    <w:rsid w:val="009F318A"/>
    <w:rPr>
      <w:rFonts w:ascii="Arial" w:hAnsi="Arial"/>
      <w:sz w:val="22"/>
    </w:rPr>
  </w:style>
  <w:style w:type="paragraph" w:customStyle="1" w:styleId="SOText">
    <w:name w:val="SO Text"/>
    <w:aliases w:val="sot"/>
    <w:link w:val="SOTextChar"/>
    <w:rsid w:val="009F318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F318A"/>
    <w:rPr>
      <w:sz w:val="22"/>
    </w:rPr>
  </w:style>
  <w:style w:type="paragraph" w:customStyle="1" w:styleId="SOTextNote">
    <w:name w:val="SO TextNote"/>
    <w:aliases w:val="sont"/>
    <w:basedOn w:val="SOText"/>
    <w:qFormat/>
    <w:rsid w:val="009F318A"/>
    <w:pPr>
      <w:spacing w:before="122" w:line="198" w:lineRule="exact"/>
      <w:ind w:left="1843" w:hanging="709"/>
    </w:pPr>
    <w:rPr>
      <w:sz w:val="18"/>
    </w:rPr>
  </w:style>
  <w:style w:type="paragraph" w:customStyle="1" w:styleId="SOPara">
    <w:name w:val="SO Para"/>
    <w:aliases w:val="soa"/>
    <w:basedOn w:val="SOText"/>
    <w:link w:val="SOParaChar"/>
    <w:qFormat/>
    <w:rsid w:val="009F318A"/>
    <w:pPr>
      <w:tabs>
        <w:tab w:val="right" w:pos="1786"/>
      </w:tabs>
      <w:spacing w:before="40"/>
      <w:ind w:left="2070" w:hanging="936"/>
    </w:pPr>
  </w:style>
  <w:style w:type="character" w:customStyle="1" w:styleId="SOParaChar">
    <w:name w:val="SO Para Char"/>
    <w:aliases w:val="soa Char"/>
    <w:basedOn w:val="DefaultParagraphFont"/>
    <w:link w:val="SOPara"/>
    <w:rsid w:val="009F318A"/>
    <w:rPr>
      <w:sz w:val="22"/>
    </w:rPr>
  </w:style>
  <w:style w:type="paragraph" w:customStyle="1" w:styleId="FileName">
    <w:name w:val="FileName"/>
    <w:basedOn w:val="Normal"/>
    <w:rsid w:val="009F318A"/>
  </w:style>
  <w:style w:type="paragraph" w:customStyle="1" w:styleId="SOHeadBold">
    <w:name w:val="SO HeadBold"/>
    <w:aliases w:val="sohb"/>
    <w:basedOn w:val="SOText"/>
    <w:next w:val="SOText"/>
    <w:link w:val="SOHeadBoldChar"/>
    <w:qFormat/>
    <w:rsid w:val="009F318A"/>
    <w:rPr>
      <w:b/>
    </w:rPr>
  </w:style>
  <w:style w:type="character" w:customStyle="1" w:styleId="SOHeadBoldChar">
    <w:name w:val="SO HeadBold Char"/>
    <w:aliases w:val="sohb Char"/>
    <w:basedOn w:val="DefaultParagraphFont"/>
    <w:link w:val="SOHeadBold"/>
    <w:rsid w:val="009F318A"/>
    <w:rPr>
      <w:b/>
      <w:sz w:val="22"/>
    </w:rPr>
  </w:style>
  <w:style w:type="paragraph" w:customStyle="1" w:styleId="SOHeadItalic">
    <w:name w:val="SO HeadItalic"/>
    <w:aliases w:val="sohi"/>
    <w:basedOn w:val="SOText"/>
    <w:next w:val="SOText"/>
    <w:link w:val="SOHeadItalicChar"/>
    <w:qFormat/>
    <w:rsid w:val="009F318A"/>
    <w:rPr>
      <w:i/>
    </w:rPr>
  </w:style>
  <w:style w:type="character" w:customStyle="1" w:styleId="SOHeadItalicChar">
    <w:name w:val="SO HeadItalic Char"/>
    <w:aliases w:val="sohi Char"/>
    <w:basedOn w:val="DefaultParagraphFont"/>
    <w:link w:val="SOHeadItalic"/>
    <w:rsid w:val="009F318A"/>
    <w:rPr>
      <w:i/>
      <w:sz w:val="22"/>
    </w:rPr>
  </w:style>
  <w:style w:type="paragraph" w:customStyle="1" w:styleId="SOBullet">
    <w:name w:val="SO Bullet"/>
    <w:aliases w:val="sotb"/>
    <w:basedOn w:val="SOText"/>
    <w:link w:val="SOBulletChar"/>
    <w:qFormat/>
    <w:rsid w:val="009F318A"/>
    <w:pPr>
      <w:ind w:left="1559" w:hanging="425"/>
    </w:pPr>
  </w:style>
  <w:style w:type="character" w:customStyle="1" w:styleId="SOBulletChar">
    <w:name w:val="SO Bullet Char"/>
    <w:aliases w:val="sotb Char"/>
    <w:basedOn w:val="DefaultParagraphFont"/>
    <w:link w:val="SOBullet"/>
    <w:rsid w:val="009F318A"/>
    <w:rPr>
      <w:sz w:val="22"/>
    </w:rPr>
  </w:style>
  <w:style w:type="paragraph" w:customStyle="1" w:styleId="SOBulletNote">
    <w:name w:val="SO BulletNote"/>
    <w:aliases w:val="sonb"/>
    <w:basedOn w:val="SOTextNote"/>
    <w:link w:val="SOBulletNoteChar"/>
    <w:qFormat/>
    <w:rsid w:val="009F318A"/>
    <w:pPr>
      <w:tabs>
        <w:tab w:val="left" w:pos="1560"/>
      </w:tabs>
      <w:ind w:left="2268" w:hanging="1134"/>
    </w:pPr>
  </w:style>
  <w:style w:type="character" w:customStyle="1" w:styleId="SOBulletNoteChar">
    <w:name w:val="SO BulletNote Char"/>
    <w:aliases w:val="sonb Char"/>
    <w:basedOn w:val="DefaultParagraphFont"/>
    <w:link w:val="SOBulletNote"/>
    <w:rsid w:val="009F318A"/>
    <w:rPr>
      <w:sz w:val="18"/>
    </w:rPr>
  </w:style>
  <w:style w:type="paragraph" w:customStyle="1" w:styleId="SOText2">
    <w:name w:val="SO Text2"/>
    <w:aliases w:val="sot2"/>
    <w:basedOn w:val="Normal"/>
    <w:next w:val="SOText"/>
    <w:link w:val="SOText2Char"/>
    <w:rsid w:val="009F318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F318A"/>
    <w:rPr>
      <w:sz w:val="22"/>
    </w:rPr>
  </w:style>
  <w:style w:type="paragraph" w:customStyle="1" w:styleId="Transitional">
    <w:name w:val="Transitional"/>
    <w:aliases w:val="tr"/>
    <w:basedOn w:val="ItemHead"/>
    <w:next w:val="Item"/>
    <w:rsid w:val="009F318A"/>
  </w:style>
  <w:style w:type="paragraph" w:styleId="BalloonText">
    <w:name w:val="Balloon Text"/>
    <w:basedOn w:val="Normal"/>
    <w:link w:val="BalloonTextChar"/>
    <w:uiPriority w:val="99"/>
    <w:semiHidden/>
    <w:unhideWhenUsed/>
    <w:rsid w:val="00102E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EE5"/>
    <w:rPr>
      <w:rFonts w:ascii="Tahoma" w:hAnsi="Tahoma" w:cs="Tahoma"/>
      <w:sz w:val="16"/>
      <w:szCs w:val="16"/>
    </w:rPr>
  </w:style>
  <w:style w:type="character" w:customStyle="1" w:styleId="subsectionChar">
    <w:name w:val="subsection Char"/>
    <w:aliases w:val="ss Char"/>
    <w:basedOn w:val="DefaultParagraphFont"/>
    <w:link w:val="subsection"/>
    <w:rsid w:val="00462DF8"/>
    <w:rPr>
      <w:rFonts w:eastAsia="Times New Roman" w:cs="Times New Roman"/>
      <w:sz w:val="22"/>
      <w:lang w:eastAsia="en-AU"/>
    </w:rPr>
  </w:style>
  <w:style w:type="paragraph" w:styleId="Index1">
    <w:name w:val="index 1"/>
    <w:basedOn w:val="Normal"/>
    <w:next w:val="Normal"/>
    <w:autoRedefine/>
    <w:uiPriority w:val="99"/>
    <w:semiHidden/>
    <w:unhideWhenUsed/>
    <w:rsid w:val="00A9620A"/>
    <w:pPr>
      <w:spacing w:line="240" w:lineRule="auto"/>
      <w:ind w:left="220" w:hanging="220"/>
    </w:pPr>
  </w:style>
  <w:style w:type="paragraph" w:styleId="IndexHeading">
    <w:name w:val="index heading"/>
    <w:basedOn w:val="Normal"/>
    <w:next w:val="Index1"/>
    <w:uiPriority w:val="99"/>
    <w:unhideWhenUsed/>
    <w:rsid w:val="00A9620A"/>
    <w:rPr>
      <w:rFonts w:asciiTheme="majorHAnsi" w:eastAsiaTheme="majorEastAsia" w:hAnsiTheme="majorHAnsi" w:cstheme="majorBidi"/>
      <w:b/>
      <w:bCs/>
    </w:rPr>
  </w:style>
  <w:style w:type="character" w:styleId="Hyperlink">
    <w:name w:val="Hyperlink"/>
    <w:basedOn w:val="DefaultParagraphFont"/>
    <w:uiPriority w:val="99"/>
    <w:semiHidden/>
    <w:unhideWhenUsed/>
    <w:rsid w:val="004D1926"/>
    <w:rPr>
      <w:color w:val="0000FF" w:themeColor="hyperlink"/>
      <w:u w:val="single"/>
    </w:rPr>
  </w:style>
  <w:style w:type="character" w:styleId="FollowedHyperlink">
    <w:name w:val="FollowedHyperlink"/>
    <w:basedOn w:val="DefaultParagraphFont"/>
    <w:uiPriority w:val="99"/>
    <w:semiHidden/>
    <w:unhideWhenUsed/>
    <w:rsid w:val="004D1926"/>
    <w:rPr>
      <w:color w:val="0000FF" w:themeColor="hyperlink"/>
      <w:u w:val="single"/>
    </w:rPr>
  </w:style>
  <w:style w:type="paragraph" w:customStyle="1" w:styleId="ClerkBlock">
    <w:name w:val="ClerkBlock"/>
    <w:basedOn w:val="Normal"/>
    <w:rsid w:val="004D1926"/>
    <w:pPr>
      <w:spacing w:line="200" w:lineRule="atLeast"/>
      <w:ind w:right="3827"/>
    </w:pPr>
    <w:rPr>
      <w:rFonts w:eastAsia="Times New Roman" w:cs="Times New Roman"/>
      <w:sz w:val="20"/>
      <w:lang w:eastAsia="en-AU"/>
    </w:rPr>
  </w:style>
  <w:style w:type="character" w:customStyle="1" w:styleId="Heading1Char">
    <w:name w:val="Heading 1 Char"/>
    <w:basedOn w:val="DefaultParagraphFont"/>
    <w:link w:val="Heading1"/>
    <w:uiPriority w:val="9"/>
    <w:rsid w:val="004D192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D192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D192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D1926"/>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4D1926"/>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4D192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4D1926"/>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4D192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D1926"/>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D430A2"/>
    <w:pPr>
      <w:spacing w:before="800"/>
    </w:pPr>
  </w:style>
  <w:style w:type="character" w:customStyle="1" w:styleId="ShortTP1Char">
    <w:name w:val="ShortTP1 Char"/>
    <w:basedOn w:val="DefaultParagraphFont"/>
    <w:link w:val="ShortTP1"/>
    <w:rsid w:val="00D430A2"/>
    <w:rPr>
      <w:rFonts w:eastAsia="Times New Roman" w:cs="Times New Roman"/>
      <w:b/>
      <w:sz w:val="40"/>
      <w:lang w:eastAsia="en-AU"/>
    </w:rPr>
  </w:style>
  <w:style w:type="paragraph" w:customStyle="1" w:styleId="ActNoP1">
    <w:name w:val="ActNoP1"/>
    <w:basedOn w:val="Actno"/>
    <w:link w:val="ActNoP1Char"/>
    <w:rsid w:val="00D430A2"/>
    <w:pPr>
      <w:spacing w:before="800"/>
    </w:pPr>
    <w:rPr>
      <w:sz w:val="28"/>
    </w:rPr>
  </w:style>
  <w:style w:type="character" w:customStyle="1" w:styleId="ActNoP1Char">
    <w:name w:val="ActNoP1 Char"/>
    <w:basedOn w:val="DefaultParagraphFont"/>
    <w:link w:val="ActNoP1"/>
    <w:rsid w:val="00D430A2"/>
    <w:rPr>
      <w:rFonts w:eastAsia="Times New Roman" w:cs="Times New Roman"/>
      <w:b/>
      <w:sz w:val="28"/>
      <w:lang w:eastAsia="en-AU"/>
    </w:rPr>
  </w:style>
  <w:style w:type="paragraph" w:customStyle="1" w:styleId="AssentBk">
    <w:name w:val="AssentBk"/>
    <w:basedOn w:val="Normal"/>
    <w:rsid w:val="00D430A2"/>
    <w:pPr>
      <w:spacing w:line="240" w:lineRule="auto"/>
    </w:pPr>
    <w:rPr>
      <w:rFonts w:eastAsia="Times New Roman" w:cs="Times New Roman"/>
      <w:sz w:val="20"/>
      <w:lang w:eastAsia="en-AU"/>
    </w:rPr>
  </w:style>
  <w:style w:type="paragraph" w:customStyle="1" w:styleId="AssentDt">
    <w:name w:val="AssentDt"/>
    <w:basedOn w:val="Normal"/>
    <w:rsid w:val="00C76675"/>
    <w:pPr>
      <w:spacing w:line="240" w:lineRule="auto"/>
    </w:pPr>
    <w:rPr>
      <w:rFonts w:eastAsia="Times New Roman" w:cs="Times New Roman"/>
      <w:sz w:val="20"/>
      <w:lang w:eastAsia="en-AU"/>
    </w:rPr>
  </w:style>
  <w:style w:type="paragraph" w:customStyle="1" w:styleId="2ndRd">
    <w:name w:val="2ndRd"/>
    <w:basedOn w:val="Normal"/>
    <w:rsid w:val="00C76675"/>
    <w:pPr>
      <w:spacing w:line="240" w:lineRule="auto"/>
    </w:pPr>
    <w:rPr>
      <w:rFonts w:eastAsia="Times New Roman" w:cs="Times New Roman"/>
      <w:sz w:val="20"/>
      <w:lang w:eastAsia="en-AU"/>
    </w:rPr>
  </w:style>
  <w:style w:type="paragraph" w:customStyle="1" w:styleId="ScalePlusRef">
    <w:name w:val="ScalePlusRef"/>
    <w:basedOn w:val="Normal"/>
    <w:rsid w:val="00C7667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46E40-21E3-4DFD-9852-EDA187353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14</Pages>
  <Words>1887</Words>
  <Characters>10760</Characters>
  <Application>Microsoft Office Word</Application>
  <DocSecurity>0</DocSecurity>
  <PresentationFormat/>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2021-03-26T01:08:00Z</cp:lastPrinted>
  <dcterms:created xsi:type="dcterms:W3CDTF">2021-12-14T05:57:00Z</dcterms:created>
  <dcterms:modified xsi:type="dcterms:W3CDTF">2021-12-14T06:06:00Z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Independent National Security Legislation Monitor Amendment Act 2021</vt:lpwstr>
  </property>
  <property fmtid="{D5CDD505-2E9C-101B-9397-08002B2CF9AE}" pid="3" name="ActNo">
    <vt:lpwstr>No. 130,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DoNotAsk">
    <vt:lpwstr>0</vt:lpwstr>
  </property>
  <property fmtid="{D5CDD505-2E9C-101B-9397-08002B2CF9AE}" pid="10" name="ChangedTitle">
    <vt:lpwstr/>
  </property>
  <property fmtid="{D5CDD505-2E9C-101B-9397-08002B2CF9AE}" pid="11" name="ID">
    <vt:lpwstr>OPC7334</vt:lpwstr>
  </property>
</Properties>
</file>