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D0004" w14:textId="77777777" w:rsidR="00DC6703" w:rsidRDefault="00DC6703">
      <w:pPr>
        <w:pStyle w:val="BodyText"/>
        <w:spacing w:before="3"/>
        <w:rPr>
          <w:rFonts w:ascii="Times New Roman"/>
          <w:sz w:val="7"/>
        </w:rPr>
      </w:pPr>
    </w:p>
    <w:p w14:paraId="353D0006" w14:textId="6CD2A8AC" w:rsidR="00DC6703" w:rsidRDefault="00DC6703">
      <w:pPr>
        <w:pStyle w:val="BodyText"/>
        <w:spacing w:before="5"/>
        <w:rPr>
          <w:rFonts w:ascii="Times New Roman"/>
          <w:sz w:val="7"/>
        </w:rPr>
      </w:pPr>
    </w:p>
    <w:p w14:paraId="689DCC49" w14:textId="77777777" w:rsidR="00AC7E07" w:rsidRDefault="00AC7E07">
      <w:pPr>
        <w:pStyle w:val="BodyText"/>
        <w:spacing w:before="5"/>
        <w:rPr>
          <w:rFonts w:ascii="Times New Roman"/>
          <w:sz w:val="7"/>
        </w:rPr>
      </w:pPr>
    </w:p>
    <w:p w14:paraId="353D0007" w14:textId="77777777" w:rsidR="00DC6703" w:rsidRDefault="00AC7E07">
      <w:pPr>
        <w:spacing w:before="89" w:line="288" w:lineRule="auto"/>
        <w:ind w:left="140" w:right="1451"/>
        <w:rPr>
          <w:b/>
          <w:sz w:val="32"/>
        </w:rPr>
      </w:pPr>
      <w:r>
        <w:rPr>
          <w:b/>
          <w:sz w:val="32"/>
        </w:rPr>
        <w:t>Life company registration conditions variation and revocation</w:t>
      </w:r>
    </w:p>
    <w:p w14:paraId="353D0008" w14:textId="77777777" w:rsidR="00DC6703" w:rsidRDefault="00AC7E07">
      <w:pPr>
        <w:spacing w:before="243"/>
        <w:ind w:left="140"/>
        <w:rPr>
          <w:i/>
        </w:rPr>
      </w:pPr>
      <w:r>
        <w:pict w14:anchorId="353D0073">
          <v:line id="_x0000_s1026" style="position:absolute;left:0;text-align:left;z-index:-251658752;mso-wrap-distance-left:0;mso-wrap-distance-right:0;mso-position-horizontal-relative:page" from="70.6pt,28pt" to="524.85pt,28pt" strokeweight=".48pt">
            <w10:wrap type="topAndBottom" anchorx="page"/>
          </v:line>
        </w:pict>
      </w:r>
      <w:r>
        <w:rPr>
          <w:i/>
        </w:rPr>
        <w:t>Life Insurance Act 1995</w:t>
      </w:r>
    </w:p>
    <w:p w14:paraId="353D0009" w14:textId="77777777" w:rsidR="00DC6703" w:rsidRDefault="00DC6703">
      <w:pPr>
        <w:pStyle w:val="BodyText"/>
        <w:spacing w:before="2"/>
        <w:rPr>
          <w:i/>
          <w:sz w:val="10"/>
        </w:rPr>
      </w:pPr>
    </w:p>
    <w:p w14:paraId="353D000A" w14:textId="77777777" w:rsidR="00DC6703" w:rsidRDefault="00AC7E07">
      <w:pPr>
        <w:pStyle w:val="BodyText"/>
        <w:tabs>
          <w:tab w:val="left" w:pos="860"/>
        </w:tabs>
        <w:spacing w:before="94"/>
        <w:ind w:left="140"/>
      </w:pPr>
      <w:r>
        <w:t>To:</w:t>
      </w:r>
      <w:r>
        <w:tab/>
        <w:t>IOOF LTD ABN 21 087 649 625 (the</w:t>
      </w:r>
      <w:r>
        <w:rPr>
          <w:spacing w:val="-9"/>
        </w:rPr>
        <w:t xml:space="preserve"> </w:t>
      </w:r>
      <w:r>
        <w:t>Company)</w:t>
      </w:r>
    </w:p>
    <w:p w14:paraId="353D000B" w14:textId="77777777" w:rsidR="00DC6703" w:rsidRDefault="00DC6703">
      <w:pPr>
        <w:pStyle w:val="BodyText"/>
        <w:spacing w:before="10"/>
        <w:rPr>
          <w:sz w:val="21"/>
        </w:rPr>
      </w:pPr>
    </w:p>
    <w:p w14:paraId="353D000C" w14:textId="77777777" w:rsidR="00DC6703" w:rsidRDefault="00AC7E07">
      <w:pPr>
        <w:pStyle w:val="BodyText"/>
        <w:ind w:left="140" w:right="134" w:hanging="12"/>
        <w:jc w:val="both"/>
      </w:pPr>
      <w:r>
        <w:t>Since the Company is registered under section 21 of the Act on 1 July 1999, I Katrina Ellis, a delegate of APRA, under paragraph 22(1)(b) of the Act, vary and revoke conditions imposed on the Company’s registration in the manner specified in Schedules 1 an</w:t>
      </w:r>
      <w:r>
        <w:t>d 2.</w:t>
      </w:r>
    </w:p>
    <w:p w14:paraId="353D000D" w14:textId="77777777" w:rsidR="00DC6703" w:rsidRDefault="00DC6703">
      <w:pPr>
        <w:pStyle w:val="BodyText"/>
      </w:pPr>
    </w:p>
    <w:p w14:paraId="353D000E" w14:textId="77777777" w:rsidR="00DC6703" w:rsidRDefault="00AC7E07">
      <w:pPr>
        <w:pStyle w:val="BodyText"/>
        <w:spacing w:before="1"/>
        <w:ind w:left="140"/>
      </w:pPr>
      <w:r>
        <w:t>The additional conditions that are varied relate to prudential matters.</w:t>
      </w:r>
    </w:p>
    <w:p w14:paraId="353D000F" w14:textId="77777777" w:rsidR="00DC6703" w:rsidRDefault="00DC6703">
      <w:pPr>
        <w:pStyle w:val="BodyText"/>
      </w:pPr>
    </w:p>
    <w:p w14:paraId="353D0010" w14:textId="77777777" w:rsidR="00DC6703" w:rsidRDefault="00AC7E07">
      <w:pPr>
        <w:pStyle w:val="BodyText"/>
        <w:ind w:left="140" w:right="142"/>
        <w:jc w:val="both"/>
      </w:pPr>
      <w:r>
        <w:t>The revocation and variation of conditions come into force on the date of this instrument. Schedule 3 sets out the additional conditions which apply to the Company when this ins</w:t>
      </w:r>
      <w:r>
        <w:t>trument</w:t>
      </w:r>
      <w:r>
        <w:rPr>
          <w:spacing w:val="-2"/>
        </w:rPr>
        <w:t xml:space="preserve"> </w:t>
      </w:r>
      <w:r>
        <w:t>commences.</w:t>
      </w:r>
    </w:p>
    <w:p w14:paraId="353D0011" w14:textId="77777777" w:rsidR="00DC6703" w:rsidRDefault="00DC6703">
      <w:pPr>
        <w:pStyle w:val="BodyText"/>
        <w:spacing w:before="1"/>
      </w:pPr>
    </w:p>
    <w:p w14:paraId="353D0012" w14:textId="08B30BD4" w:rsidR="00DC6703" w:rsidRDefault="00AC7E07">
      <w:pPr>
        <w:pStyle w:val="BodyText"/>
        <w:ind w:left="140"/>
      </w:pPr>
      <w:r>
        <w:t>Dated: 15 January</w:t>
      </w:r>
      <w:r>
        <w:rPr>
          <w:spacing w:val="-5"/>
        </w:rPr>
        <w:t xml:space="preserve"> </w:t>
      </w:r>
      <w:r>
        <w:t>2021</w:t>
      </w:r>
    </w:p>
    <w:p w14:paraId="57D9686E" w14:textId="4A882871" w:rsidR="00AC7E07" w:rsidRDefault="00AC7E07">
      <w:pPr>
        <w:pStyle w:val="BodyText"/>
        <w:ind w:left="140"/>
      </w:pPr>
    </w:p>
    <w:p w14:paraId="353D0014" w14:textId="796CAF08" w:rsidR="00DC6703" w:rsidRPr="00AC7E07" w:rsidRDefault="00AC7E07" w:rsidP="00AC7E07">
      <w:pPr>
        <w:pStyle w:val="BodyText"/>
        <w:ind w:left="142"/>
      </w:pPr>
      <w:r w:rsidRPr="00AC7E07">
        <w:t>[Signed]</w:t>
      </w:r>
    </w:p>
    <w:p w14:paraId="353D0015" w14:textId="77777777" w:rsidR="00DC6703" w:rsidRDefault="00DC6703">
      <w:pPr>
        <w:pStyle w:val="BodyText"/>
        <w:spacing w:before="7"/>
        <w:rPr>
          <w:sz w:val="25"/>
        </w:rPr>
      </w:pPr>
    </w:p>
    <w:p w14:paraId="353D0016" w14:textId="77777777" w:rsidR="00DC6703" w:rsidRDefault="00AC7E07">
      <w:pPr>
        <w:pStyle w:val="BodyText"/>
        <w:ind w:left="140"/>
      </w:pPr>
      <w:r>
        <w:t>Katrina Ellis</w:t>
      </w:r>
    </w:p>
    <w:p w14:paraId="353D0017" w14:textId="77777777" w:rsidR="00DC6703" w:rsidRDefault="00AC7E07">
      <w:pPr>
        <w:pStyle w:val="BodyText"/>
        <w:spacing w:before="50" w:line="288" w:lineRule="auto"/>
        <w:ind w:left="140" w:right="6692"/>
      </w:pPr>
      <w:r>
        <w:t>Acting Executive Director Superannuation</w:t>
      </w:r>
      <w:bookmarkStart w:id="0" w:name="_GoBack"/>
      <w:bookmarkEnd w:id="0"/>
    </w:p>
    <w:p w14:paraId="353D0018" w14:textId="77777777" w:rsidR="00DC6703" w:rsidRDefault="00DC6703">
      <w:pPr>
        <w:pStyle w:val="BodyText"/>
        <w:rPr>
          <w:sz w:val="24"/>
        </w:rPr>
      </w:pPr>
    </w:p>
    <w:p w14:paraId="353D0019" w14:textId="77777777" w:rsidR="00DC6703" w:rsidRDefault="00DC6703">
      <w:pPr>
        <w:pStyle w:val="BodyText"/>
        <w:rPr>
          <w:sz w:val="24"/>
        </w:rPr>
      </w:pPr>
    </w:p>
    <w:p w14:paraId="353D001A" w14:textId="77777777" w:rsidR="00DC6703" w:rsidRDefault="00DC6703">
      <w:pPr>
        <w:pStyle w:val="BodyText"/>
        <w:spacing w:before="1"/>
      </w:pPr>
    </w:p>
    <w:p w14:paraId="353D001B" w14:textId="77777777" w:rsidR="00DC6703" w:rsidRDefault="00AC7E07">
      <w:pPr>
        <w:pStyle w:val="Heading2"/>
      </w:pPr>
      <w:r>
        <w:t>Interpretation</w:t>
      </w:r>
    </w:p>
    <w:p w14:paraId="353D001C" w14:textId="77777777" w:rsidR="00DC6703" w:rsidRDefault="00AC7E07">
      <w:pPr>
        <w:spacing w:before="126"/>
        <w:ind w:left="140"/>
      </w:pPr>
      <w:r>
        <w:rPr>
          <w:b/>
          <w:i/>
        </w:rPr>
        <w:t xml:space="preserve">Act </w:t>
      </w:r>
      <w:r>
        <w:t xml:space="preserve">means the </w:t>
      </w:r>
      <w:r>
        <w:rPr>
          <w:i/>
        </w:rPr>
        <w:t>Life Insurance Act 1995</w:t>
      </w:r>
      <w:r>
        <w:t>.</w:t>
      </w:r>
    </w:p>
    <w:p w14:paraId="353D001D" w14:textId="77777777" w:rsidR="00DC6703" w:rsidRDefault="00AC7E07">
      <w:pPr>
        <w:pStyle w:val="BodyText"/>
        <w:spacing w:before="2"/>
        <w:ind w:left="140"/>
      </w:pPr>
      <w:r>
        <w:rPr>
          <w:b/>
          <w:i/>
        </w:rPr>
        <w:t xml:space="preserve">APRA </w:t>
      </w:r>
      <w:r>
        <w:t>means the Australian Prudential Regulation Authority.</w:t>
      </w:r>
    </w:p>
    <w:p w14:paraId="353D001E" w14:textId="77777777" w:rsidR="00DC6703" w:rsidRDefault="00DC6703">
      <w:pPr>
        <w:pStyle w:val="BodyText"/>
        <w:rPr>
          <w:sz w:val="24"/>
        </w:rPr>
      </w:pPr>
    </w:p>
    <w:p w14:paraId="353D001F" w14:textId="77777777" w:rsidR="00DC6703" w:rsidRDefault="00DC6703">
      <w:pPr>
        <w:pStyle w:val="BodyText"/>
        <w:rPr>
          <w:sz w:val="24"/>
        </w:rPr>
      </w:pPr>
    </w:p>
    <w:p w14:paraId="353D0020" w14:textId="77777777" w:rsidR="00DC6703" w:rsidRDefault="00DC6703">
      <w:pPr>
        <w:pStyle w:val="BodyText"/>
        <w:rPr>
          <w:sz w:val="24"/>
        </w:rPr>
      </w:pPr>
    </w:p>
    <w:p w14:paraId="353D0021" w14:textId="77777777" w:rsidR="00DC6703" w:rsidRDefault="00DC6703">
      <w:pPr>
        <w:pStyle w:val="BodyText"/>
        <w:rPr>
          <w:sz w:val="24"/>
        </w:rPr>
      </w:pPr>
    </w:p>
    <w:p w14:paraId="353D0022" w14:textId="77777777" w:rsidR="00DC6703" w:rsidRDefault="00DC6703">
      <w:pPr>
        <w:pStyle w:val="BodyText"/>
        <w:spacing w:before="11"/>
        <w:rPr>
          <w:sz w:val="21"/>
        </w:rPr>
      </w:pPr>
    </w:p>
    <w:p w14:paraId="353D0023" w14:textId="77777777" w:rsidR="00DC6703" w:rsidRDefault="00AC7E07">
      <w:pPr>
        <w:ind w:left="140" w:right="132"/>
        <w:jc w:val="both"/>
        <w:rPr>
          <w:i/>
          <w:sz w:val="16"/>
        </w:rPr>
      </w:pPr>
      <w:r>
        <w:rPr>
          <w:i/>
          <w:sz w:val="16"/>
        </w:rPr>
        <w:t>Note:</w:t>
      </w:r>
      <w:r>
        <w:rPr>
          <w:i/>
          <w:spacing w:val="-10"/>
          <w:sz w:val="16"/>
        </w:rPr>
        <w:t xml:space="preserve"> </w:t>
      </w:r>
      <w:r>
        <w:rPr>
          <w:i/>
          <w:sz w:val="16"/>
        </w:rPr>
        <w:t>A</w:t>
      </w:r>
      <w:r>
        <w:rPr>
          <w:i/>
          <w:spacing w:val="-9"/>
          <w:sz w:val="16"/>
        </w:rPr>
        <w:t xml:space="preserve"> </w:t>
      </w:r>
      <w:r>
        <w:rPr>
          <w:i/>
          <w:sz w:val="16"/>
        </w:rPr>
        <w:t>decision</w:t>
      </w:r>
      <w:r>
        <w:rPr>
          <w:i/>
          <w:spacing w:val="-9"/>
          <w:sz w:val="16"/>
        </w:rPr>
        <w:t xml:space="preserve"> </w:t>
      </w:r>
      <w:r>
        <w:rPr>
          <w:i/>
          <w:sz w:val="16"/>
        </w:rPr>
        <w:t>under</w:t>
      </w:r>
      <w:r>
        <w:rPr>
          <w:i/>
          <w:spacing w:val="-11"/>
          <w:sz w:val="16"/>
        </w:rPr>
        <w:t xml:space="preserve"> </w:t>
      </w:r>
      <w:r>
        <w:rPr>
          <w:i/>
          <w:sz w:val="16"/>
        </w:rPr>
        <w:t>subsection</w:t>
      </w:r>
      <w:r>
        <w:rPr>
          <w:i/>
          <w:spacing w:val="-14"/>
          <w:sz w:val="16"/>
        </w:rPr>
        <w:t xml:space="preserve"> </w:t>
      </w:r>
      <w:r>
        <w:rPr>
          <w:i/>
          <w:sz w:val="16"/>
        </w:rPr>
        <w:t>22(1)</w:t>
      </w:r>
      <w:r>
        <w:rPr>
          <w:i/>
          <w:spacing w:val="-9"/>
          <w:sz w:val="16"/>
        </w:rPr>
        <w:t xml:space="preserve"> </w:t>
      </w:r>
      <w:r>
        <w:rPr>
          <w:i/>
          <w:sz w:val="16"/>
        </w:rPr>
        <w:t>is</w:t>
      </w:r>
      <w:r>
        <w:rPr>
          <w:i/>
          <w:spacing w:val="-7"/>
          <w:sz w:val="16"/>
        </w:rPr>
        <w:t xml:space="preserve"> </w:t>
      </w:r>
      <w:r>
        <w:rPr>
          <w:i/>
          <w:sz w:val="16"/>
        </w:rPr>
        <w:t>a</w:t>
      </w:r>
      <w:r>
        <w:rPr>
          <w:i/>
          <w:spacing w:val="-12"/>
          <w:sz w:val="16"/>
        </w:rPr>
        <w:t xml:space="preserve"> </w:t>
      </w:r>
      <w:r>
        <w:rPr>
          <w:i/>
          <w:sz w:val="16"/>
        </w:rPr>
        <w:t>reviewable</w:t>
      </w:r>
      <w:r>
        <w:rPr>
          <w:i/>
          <w:spacing w:val="-11"/>
          <w:sz w:val="16"/>
        </w:rPr>
        <w:t xml:space="preserve"> </w:t>
      </w:r>
      <w:r>
        <w:rPr>
          <w:i/>
          <w:sz w:val="16"/>
        </w:rPr>
        <w:t>decision.</w:t>
      </w:r>
      <w:r>
        <w:rPr>
          <w:i/>
          <w:spacing w:val="-10"/>
          <w:sz w:val="16"/>
        </w:rPr>
        <w:t xml:space="preserve"> </w:t>
      </w:r>
      <w:r>
        <w:rPr>
          <w:i/>
          <w:sz w:val="16"/>
        </w:rPr>
        <w:t>If</w:t>
      </w:r>
      <w:r>
        <w:rPr>
          <w:i/>
          <w:spacing w:val="-12"/>
          <w:sz w:val="16"/>
        </w:rPr>
        <w:t xml:space="preserve"> </w:t>
      </w:r>
      <w:r>
        <w:rPr>
          <w:i/>
          <w:sz w:val="16"/>
        </w:rPr>
        <w:t>you</w:t>
      </w:r>
      <w:r>
        <w:rPr>
          <w:i/>
          <w:spacing w:val="-9"/>
          <w:sz w:val="16"/>
        </w:rPr>
        <w:t xml:space="preserve"> </w:t>
      </w:r>
      <w:r>
        <w:rPr>
          <w:i/>
          <w:sz w:val="16"/>
        </w:rPr>
        <w:t>are</w:t>
      </w:r>
      <w:r>
        <w:rPr>
          <w:i/>
          <w:spacing w:val="-9"/>
          <w:sz w:val="16"/>
        </w:rPr>
        <w:t xml:space="preserve"> </w:t>
      </w:r>
      <w:r>
        <w:rPr>
          <w:i/>
          <w:sz w:val="16"/>
        </w:rPr>
        <w:t>dissatisfied</w:t>
      </w:r>
      <w:r>
        <w:rPr>
          <w:i/>
          <w:spacing w:val="-14"/>
          <w:sz w:val="16"/>
        </w:rPr>
        <w:t xml:space="preserve"> </w:t>
      </w:r>
      <w:r>
        <w:rPr>
          <w:i/>
          <w:sz w:val="16"/>
        </w:rPr>
        <w:t>with</w:t>
      </w:r>
      <w:r>
        <w:rPr>
          <w:i/>
          <w:spacing w:val="-12"/>
          <w:sz w:val="16"/>
        </w:rPr>
        <w:t xml:space="preserve"> </w:t>
      </w:r>
      <w:r>
        <w:rPr>
          <w:i/>
          <w:sz w:val="16"/>
        </w:rPr>
        <w:t>this</w:t>
      </w:r>
      <w:r>
        <w:rPr>
          <w:i/>
          <w:spacing w:val="-10"/>
          <w:sz w:val="16"/>
        </w:rPr>
        <w:t xml:space="preserve"> </w:t>
      </w:r>
      <w:r>
        <w:rPr>
          <w:i/>
          <w:sz w:val="16"/>
        </w:rPr>
        <w:t>decision,</w:t>
      </w:r>
      <w:r>
        <w:rPr>
          <w:i/>
          <w:spacing w:val="-10"/>
          <w:sz w:val="16"/>
        </w:rPr>
        <w:t xml:space="preserve"> </w:t>
      </w:r>
      <w:r>
        <w:rPr>
          <w:i/>
          <w:sz w:val="16"/>
        </w:rPr>
        <w:t>you</w:t>
      </w:r>
      <w:r>
        <w:rPr>
          <w:i/>
          <w:spacing w:val="-9"/>
          <w:sz w:val="16"/>
        </w:rPr>
        <w:t xml:space="preserve"> </w:t>
      </w:r>
      <w:r>
        <w:rPr>
          <w:i/>
          <w:sz w:val="16"/>
        </w:rPr>
        <w:t>may</w:t>
      </w:r>
      <w:r>
        <w:rPr>
          <w:i/>
          <w:spacing w:val="-10"/>
          <w:sz w:val="16"/>
        </w:rPr>
        <w:t xml:space="preserve"> </w:t>
      </w:r>
      <w:r>
        <w:rPr>
          <w:i/>
          <w:sz w:val="16"/>
        </w:rPr>
        <w:t>request</w:t>
      </w:r>
      <w:r>
        <w:rPr>
          <w:i/>
          <w:spacing w:val="-10"/>
          <w:sz w:val="16"/>
        </w:rPr>
        <w:t xml:space="preserve"> </w:t>
      </w:r>
      <w:r>
        <w:rPr>
          <w:i/>
          <w:sz w:val="16"/>
        </w:rPr>
        <w:t>APRA to reconsider it in accordance with section 236 of the Act. The request for reconsideration must be made in writing, must set out the reasons for making the re</w:t>
      </w:r>
      <w:r>
        <w:rPr>
          <w:i/>
          <w:sz w:val="16"/>
        </w:rPr>
        <w:t>quest, and must be given to APRA within 21 days after the day on which you first received notice of</w:t>
      </w:r>
      <w:r>
        <w:rPr>
          <w:i/>
          <w:spacing w:val="-5"/>
          <w:sz w:val="16"/>
        </w:rPr>
        <w:t xml:space="preserve"> </w:t>
      </w:r>
      <w:r>
        <w:rPr>
          <w:i/>
          <w:sz w:val="16"/>
        </w:rPr>
        <w:t>this</w:t>
      </w:r>
      <w:r>
        <w:rPr>
          <w:i/>
          <w:spacing w:val="-5"/>
          <w:sz w:val="16"/>
        </w:rPr>
        <w:t xml:space="preserve"> </w:t>
      </w:r>
      <w:r>
        <w:rPr>
          <w:i/>
          <w:sz w:val="16"/>
        </w:rPr>
        <w:t>decision,</w:t>
      </w:r>
      <w:r>
        <w:rPr>
          <w:i/>
          <w:spacing w:val="-4"/>
          <w:sz w:val="16"/>
        </w:rPr>
        <w:t xml:space="preserve"> </w:t>
      </w:r>
      <w:r>
        <w:rPr>
          <w:i/>
          <w:sz w:val="16"/>
        </w:rPr>
        <w:t>or</w:t>
      </w:r>
      <w:r>
        <w:rPr>
          <w:i/>
          <w:spacing w:val="-7"/>
          <w:sz w:val="16"/>
        </w:rPr>
        <w:t xml:space="preserve"> </w:t>
      </w:r>
      <w:r>
        <w:rPr>
          <w:i/>
          <w:sz w:val="16"/>
        </w:rPr>
        <w:t>within</w:t>
      </w:r>
      <w:r>
        <w:rPr>
          <w:i/>
          <w:spacing w:val="-9"/>
          <w:sz w:val="16"/>
        </w:rPr>
        <w:t xml:space="preserve"> </w:t>
      </w:r>
      <w:r>
        <w:rPr>
          <w:i/>
          <w:sz w:val="16"/>
        </w:rPr>
        <w:t>such</w:t>
      </w:r>
      <w:r>
        <w:rPr>
          <w:i/>
          <w:spacing w:val="-8"/>
          <w:sz w:val="16"/>
        </w:rPr>
        <w:t xml:space="preserve"> </w:t>
      </w:r>
      <w:r>
        <w:rPr>
          <w:i/>
          <w:sz w:val="16"/>
        </w:rPr>
        <w:t>further</w:t>
      </w:r>
      <w:r>
        <w:rPr>
          <w:i/>
          <w:spacing w:val="-7"/>
          <w:sz w:val="16"/>
        </w:rPr>
        <w:t xml:space="preserve"> </w:t>
      </w:r>
      <w:r>
        <w:rPr>
          <w:i/>
          <w:sz w:val="16"/>
        </w:rPr>
        <w:t>period</w:t>
      </w:r>
      <w:r>
        <w:rPr>
          <w:i/>
          <w:spacing w:val="-6"/>
          <w:sz w:val="16"/>
        </w:rPr>
        <w:t xml:space="preserve"> </w:t>
      </w:r>
      <w:r>
        <w:rPr>
          <w:i/>
          <w:sz w:val="16"/>
        </w:rPr>
        <w:t>as</w:t>
      </w:r>
      <w:r>
        <w:rPr>
          <w:i/>
          <w:spacing w:val="-5"/>
          <w:sz w:val="16"/>
        </w:rPr>
        <w:t xml:space="preserve"> </w:t>
      </w:r>
      <w:r>
        <w:rPr>
          <w:i/>
          <w:sz w:val="16"/>
        </w:rPr>
        <w:t>APRA</w:t>
      </w:r>
      <w:r>
        <w:rPr>
          <w:i/>
          <w:spacing w:val="-5"/>
          <w:sz w:val="16"/>
        </w:rPr>
        <w:t xml:space="preserve"> </w:t>
      </w:r>
      <w:r>
        <w:rPr>
          <w:i/>
          <w:sz w:val="16"/>
        </w:rPr>
        <w:t>allows.</w:t>
      </w:r>
      <w:r>
        <w:rPr>
          <w:i/>
          <w:spacing w:val="35"/>
          <w:sz w:val="16"/>
        </w:rPr>
        <w:t xml:space="preserve"> </w:t>
      </w:r>
      <w:r>
        <w:rPr>
          <w:i/>
          <w:sz w:val="16"/>
        </w:rPr>
        <w:t>If</w:t>
      </w:r>
      <w:r>
        <w:rPr>
          <w:i/>
          <w:spacing w:val="-8"/>
          <w:sz w:val="16"/>
        </w:rPr>
        <w:t xml:space="preserve"> </w:t>
      </w:r>
      <w:r>
        <w:rPr>
          <w:i/>
          <w:sz w:val="16"/>
        </w:rPr>
        <w:t>you</w:t>
      </w:r>
      <w:r>
        <w:rPr>
          <w:i/>
          <w:spacing w:val="-8"/>
          <w:sz w:val="16"/>
        </w:rPr>
        <w:t xml:space="preserve"> </w:t>
      </w:r>
      <w:r>
        <w:rPr>
          <w:i/>
          <w:sz w:val="16"/>
        </w:rPr>
        <w:t>are</w:t>
      </w:r>
      <w:r>
        <w:rPr>
          <w:i/>
          <w:spacing w:val="-7"/>
          <w:sz w:val="16"/>
        </w:rPr>
        <w:t xml:space="preserve"> </w:t>
      </w:r>
      <w:r>
        <w:rPr>
          <w:i/>
          <w:sz w:val="16"/>
        </w:rPr>
        <w:t>dissatisfied</w:t>
      </w:r>
      <w:r>
        <w:rPr>
          <w:i/>
          <w:spacing w:val="-10"/>
          <w:sz w:val="16"/>
        </w:rPr>
        <w:t xml:space="preserve"> </w:t>
      </w:r>
      <w:r>
        <w:rPr>
          <w:i/>
          <w:sz w:val="16"/>
        </w:rPr>
        <w:t>with</w:t>
      </w:r>
      <w:r>
        <w:rPr>
          <w:i/>
          <w:spacing w:val="-8"/>
          <w:sz w:val="16"/>
        </w:rPr>
        <w:t xml:space="preserve"> </w:t>
      </w:r>
      <w:r>
        <w:rPr>
          <w:i/>
          <w:sz w:val="16"/>
        </w:rPr>
        <w:t>the</w:t>
      </w:r>
      <w:r>
        <w:rPr>
          <w:i/>
          <w:spacing w:val="-7"/>
          <w:sz w:val="16"/>
        </w:rPr>
        <w:t xml:space="preserve"> </w:t>
      </w:r>
      <w:r>
        <w:rPr>
          <w:i/>
          <w:sz w:val="16"/>
        </w:rPr>
        <w:t>outcome</w:t>
      </w:r>
      <w:r>
        <w:rPr>
          <w:i/>
          <w:spacing w:val="-6"/>
          <w:sz w:val="16"/>
        </w:rPr>
        <w:t xml:space="preserve"> </w:t>
      </w:r>
      <w:r>
        <w:rPr>
          <w:i/>
          <w:sz w:val="16"/>
        </w:rPr>
        <w:t>of</w:t>
      </w:r>
      <w:r>
        <w:rPr>
          <w:i/>
          <w:spacing w:val="-5"/>
          <w:sz w:val="16"/>
        </w:rPr>
        <w:t xml:space="preserve"> </w:t>
      </w:r>
      <w:r>
        <w:rPr>
          <w:i/>
          <w:sz w:val="16"/>
        </w:rPr>
        <w:t>APRA’s</w:t>
      </w:r>
      <w:r>
        <w:rPr>
          <w:i/>
          <w:spacing w:val="-5"/>
          <w:sz w:val="16"/>
        </w:rPr>
        <w:t xml:space="preserve"> </w:t>
      </w:r>
      <w:r>
        <w:rPr>
          <w:i/>
          <w:sz w:val="16"/>
        </w:rPr>
        <w:t>reconsideration of the decision, you may, subject to the Administrative Appeals Tribunal Act 1975, apply to the Administrative Appeals Tribunal for review of the reconsidered decision.</w:t>
      </w:r>
    </w:p>
    <w:p w14:paraId="353D0024" w14:textId="77777777" w:rsidR="00DC6703" w:rsidRDefault="00DC6703">
      <w:pPr>
        <w:pStyle w:val="BodyText"/>
        <w:spacing w:before="1"/>
        <w:rPr>
          <w:i/>
          <w:sz w:val="16"/>
        </w:rPr>
      </w:pPr>
    </w:p>
    <w:p w14:paraId="353D0025" w14:textId="77777777" w:rsidR="00DC6703" w:rsidRDefault="00AC7E07">
      <w:pPr>
        <w:ind w:left="140"/>
        <w:jc w:val="both"/>
        <w:rPr>
          <w:i/>
          <w:sz w:val="16"/>
        </w:rPr>
      </w:pPr>
      <w:r>
        <w:rPr>
          <w:i/>
          <w:sz w:val="16"/>
        </w:rPr>
        <w:t>APRA is required to publish this notice in the Gazette.</w:t>
      </w:r>
    </w:p>
    <w:p w14:paraId="353D0026" w14:textId="77777777" w:rsidR="00DC6703" w:rsidRDefault="00DC6703">
      <w:pPr>
        <w:jc w:val="both"/>
        <w:rPr>
          <w:sz w:val="16"/>
        </w:rPr>
        <w:sectPr w:rsidR="00DC6703" w:rsidSect="00AC7E07">
          <w:headerReference w:type="default" r:id="rId12"/>
          <w:headerReference w:type="first" r:id="rId13"/>
          <w:type w:val="continuous"/>
          <w:pgSz w:w="11910" w:h="16840"/>
          <w:pgMar w:top="1340" w:right="1300" w:bottom="280" w:left="1300" w:header="503" w:footer="720" w:gutter="0"/>
          <w:cols w:space="720"/>
          <w:titlePg/>
          <w:docGrid w:linePitch="299"/>
        </w:sectPr>
      </w:pPr>
    </w:p>
    <w:p w14:paraId="353D0027" w14:textId="77777777" w:rsidR="00DC6703" w:rsidRDefault="00AC7E07">
      <w:pPr>
        <w:pStyle w:val="Heading1"/>
      </w:pPr>
      <w:r>
        <w:lastRenderedPageBreak/>
        <w:t>Schedule 1</w:t>
      </w:r>
    </w:p>
    <w:p w14:paraId="353D0028" w14:textId="77777777" w:rsidR="00DC6703" w:rsidRDefault="00DC6703">
      <w:pPr>
        <w:pStyle w:val="BodyText"/>
        <w:spacing w:before="7"/>
        <w:rPr>
          <w:b/>
          <w:sz w:val="26"/>
        </w:rPr>
      </w:pPr>
    </w:p>
    <w:p w14:paraId="353D0029" w14:textId="77777777" w:rsidR="00DC6703" w:rsidRDefault="00AC7E07">
      <w:pPr>
        <w:pStyle w:val="BodyText"/>
        <w:ind w:left="140"/>
      </w:pPr>
      <w:r>
        <w:t>The following additional conditions on the Company’s registration are revoked:</w:t>
      </w:r>
    </w:p>
    <w:p w14:paraId="353D002A" w14:textId="77777777" w:rsidR="00DC6703" w:rsidRDefault="00DC6703">
      <w:pPr>
        <w:pStyle w:val="BodyText"/>
        <w:rPr>
          <w:sz w:val="24"/>
        </w:rPr>
      </w:pPr>
    </w:p>
    <w:p w14:paraId="353D002B" w14:textId="77777777" w:rsidR="00DC6703" w:rsidRDefault="00AC7E07">
      <w:pPr>
        <w:pStyle w:val="ListParagraph"/>
        <w:numPr>
          <w:ilvl w:val="0"/>
          <w:numId w:val="4"/>
        </w:numPr>
        <w:tabs>
          <w:tab w:val="left" w:pos="1274"/>
        </w:tabs>
        <w:spacing w:before="201"/>
        <w:ind w:right="135"/>
        <w:jc w:val="both"/>
      </w:pPr>
      <w:r>
        <w:t>The Company must prepare and issue a report to APRA on the progress of the implementation of the Additional Conditions on a fortnightly basis. A single report may be provided on behalf of the Company and the other AREs within the IOOF Group.</w:t>
      </w:r>
    </w:p>
    <w:p w14:paraId="353D002C" w14:textId="77777777" w:rsidR="00DC6703" w:rsidRDefault="00DC6703">
      <w:pPr>
        <w:pStyle w:val="BodyText"/>
        <w:spacing w:before="4"/>
        <w:rPr>
          <w:sz w:val="26"/>
        </w:rPr>
      </w:pPr>
    </w:p>
    <w:p w14:paraId="353D002D" w14:textId="77777777" w:rsidR="00DC6703" w:rsidRDefault="00AC7E07">
      <w:pPr>
        <w:pStyle w:val="ListParagraph"/>
        <w:numPr>
          <w:ilvl w:val="0"/>
          <w:numId w:val="4"/>
        </w:numPr>
        <w:tabs>
          <w:tab w:val="left" w:pos="1274"/>
        </w:tabs>
        <w:ind w:right="140"/>
        <w:jc w:val="both"/>
      </w:pPr>
      <w:r>
        <w:t>The Company m</w:t>
      </w:r>
      <w:r>
        <w:t>ust meet with APRA on at least a monthly basis to report on the progress of compliance with the Additional</w:t>
      </w:r>
      <w:r>
        <w:rPr>
          <w:spacing w:val="-7"/>
        </w:rPr>
        <w:t xml:space="preserve"> </w:t>
      </w:r>
      <w:r>
        <w:t>Conditions.</w:t>
      </w:r>
    </w:p>
    <w:p w14:paraId="353D002E" w14:textId="77777777" w:rsidR="00DC6703" w:rsidRDefault="00DC6703">
      <w:pPr>
        <w:pStyle w:val="BodyText"/>
        <w:spacing w:before="6"/>
        <w:rPr>
          <w:sz w:val="26"/>
        </w:rPr>
      </w:pPr>
    </w:p>
    <w:p w14:paraId="353D002F" w14:textId="77777777" w:rsidR="00DC6703" w:rsidRDefault="00AC7E07">
      <w:pPr>
        <w:pStyle w:val="ListParagraph"/>
        <w:numPr>
          <w:ilvl w:val="0"/>
          <w:numId w:val="4"/>
        </w:numPr>
        <w:tabs>
          <w:tab w:val="left" w:pos="1274"/>
        </w:tabs>
        <w:ind w:right="134"/>
        <w:jc w:val="both"/>
      </w:pPr>
      <w:r>
        <w:t>The Company will use all reasonable endeavours to provide APRA with a complete</w:t>
      </w:r>
      <w:r>
        <w:rPr>
          <w:spacing w:val="-5"/>
        </w:rPr>
        <w:t xml:space="preserve"> </w:t>
      </w:r>
      <w:r>
        <w:t>and</w:t>
      </w:r>
      <w:r>
        <w:rPr>
          <w:spacing w:val="-8"/>
        </w:rPr>
        <w:t xml:space="preserve"> </w:t>
      </w:r>
      <w:r>
        <w:t>unedited</w:t>
      </w:r>
      <w:r>
        <w:rPr>
          <w:spacing w:val="-5"/>
        </w:rPr>
        <w:t xml:space="preserve"> </w:t>
      </w:r>
      <w:r>
        <w:t>copy</w:t>
      </w:r>
      <w:r>
        <w:rPr>
          <w:spacing w:val="-7"/>
        </w:rPr>
        <w:t xml:space="preserve"> </w:t>
      </w:r>
      <w:r>
        <w:t>of</w:t>
      </w:r>
      <w:r>
        <w:rPr>
          <w:spacing w:val="-1"/>
        </w:rPr>
        <w:t xml:space="preserve"> </w:t>
      </w:r>
      <w:r>
        <w:t>all</w:t>
      </w:r>
      <w:r>
        <w:rPr>
          <w:spacing w:val="-6"/>
        </w:rPr>
        <w:t xml:space="preserve"> </w:t>
      </w:r>
      <w:r>
        <w:t>board</w:t>
      </w:r>
      <w:r>
        <w:rPr>
          <w:spacing w:val="-6"/>
        </w:rPr>
        <w:t xml:space="preserve"> </w:t>
      </w:r>
      <w:r>
        <w:t>and</w:t>
      </w:r>
      <w:r>
        <w:rPr>
          <w:spacing w:val="-5"/>
        </w:rPr>
        <w:t xml:space="preserve"> </w:t>
      </w:r>
      <w:r>
        <w:t>sub-committee</w:t>
      </w:r>
      <w:r>
        <w:rPr>
          <w:spacing w:val="-7"/>
        </w:rPr>
        <w:t xml:space="preserve"> </w:t>
      </w:r>
      <w:r>
        <w:t>meeting</w:t>
      </w:r>
      <w:r>
        <w:rPr>
          <w:spacing w:val="-6"/>
        </w:rPr>
        <w:t xml:space="preserve"> </w:t>
      </w:r>
      <w:r>
        <w:t>minutes</w:t>
      </w:r>
      <w:r>
        <w:rPr>
          <w:spacing w:val="-4"/>
        </w:rPr>
        <w:t xml:space="preserve"> </w:t>
      </w:r>
      <w:r>
        <w:t>and relevant papers which document the discussions in relation to the Additional Conditions within 14 days of the meeting of the board or sub-committee, and it must provide the meeting minutes and relevant papers within 30 days of the meeting.</w:t>
      </w:r>
    </w:p>
    <w:p w14:paraId="353D0030" w14:textId="77777777" w:rsidR="00DC6703" w:rsidRDefault="00DC6703">
      <w:pPr>
        <w:pStyle w:val="BodyText"/>
        <w:spacing w:before="5"/>
        <w:rPr>
          <w:sz w:val="26"/>
        </w:rPr>
      </w:pPr>
    </w:p>
    <w:p w14:paraId="353D0031" w14:textId="77777777" w:rsidR="00DC6703" w:rsidRDefault="00AC7E07">
      <w:pPr>
        <w:pStyle w:val="ListParagraph"/>
        <w:numPr>
          <w:ilvl w:val="0"/>
          <w:numId w:val="3"/>
        </w:numPr>
        <w:tabs>
          <w:tab w:val="left" w:pos="1273"/>
          <w:tab w:val="left" w:pos="1274"/>
        </w:tabs>
        <w:spacing w:before="1"/>
      </w:pPr>
      <w:r>
        <w:t>APR</w:t>
      </w:r>
      <w:r>
        <w:t>A may at any time vary in</w:t>
      </w:r>
      <w:r>
        <w:rPr>
          <w:spacing w:val="-13"/>
        </w:rPr>
        <w:t xml:space="preserve"> </w:t>
      </w:r>
      <w:r>
        <w:t>writing:</w:t>
      </w:r>
    </w:p>
    <w:p w14:paraId="353D0032" w14:textId="77777777" w:rsidR="00DC6703" w:rsidRDefault="00AC7E07">
      <w:pPr>
        <w:pStyle w:val="ListParagraph"/>
        <w:numPr>
          <w:ilvl w:val="1"/>
          <w:numId w:val="3"/>
        </w:numPr>
        <w:tabs>
          <w:tab w:val="left" w:pos="1700"/>
          <w:tab w:val="left" w:pos="1701"/>
        </w:tabs>
        <w:spacing w:before="37"/>
        <w:ind w:hanging="427"/>
      </w:pPr>
      <w:r>
        <w:t>the dates set out in paragraphs [1], [2] and [12] by which;</w:t>
      </w:r>
      <w:r>
        <w:rPr>
          <w:spacing w:val="-17"/>
        </w:rPr>
        <w:t xml:space="preserve"> </w:t>
      </w:r>
      <w:r>
        <w:t>and</w:t>
      </w:r>
    </w:p>
    <w:p w14:paraId="353D0033" w14:textId="77777777" w:rsidR="00DC6703" w:rsidRDefault="00AC7E07">
      <w:pPr>
        <w:pStyle w:val="ListParagraph"/>
        <w:numPr>
          <w:ilvl w:val="1"/>
          <w:numId w:val="3"/>
        </w:numPr>
        <w:tabs>
          <w:tab w:val="left" w:pos="1700"/>
          <w:tab w:val="left" w:pos="1701"/>
        </w:tabs>
        <w:spacing w:before="158" w:line="388" w:lineRule="auto"/>
        <w:ind w:left="1273" w:right="694" w:firstLine="0"/>
      </w:pPr>
      <w:r>
        <w:t>the time frames set out in paragraphs [2], [6], [9], and [12] within which, the Company is obliged to comply with the above</w:t>
      </w:r>
      <w:r>
        <w:rPr>
          <w:spacing w:val="-20"/>
        </w:rPr>
        <w:t xml:space="preserve"> </w:t>
      </w:r>
      <w:r>
        <w:t>conditions.</w:t>
      </w:r>
    </w:p>
    <w:p w14:paraId="353D0034" w14:textId="77777777" w:rsidR="00DC6703" w:rsidRDefault="00DC6703">
      <w:pPr>
        <w:spacing w:line="388" w:lineRule="auto"/>
        <w:sectPr w:rsidR="00DC6703">
          <w:pgSz w:w="11910" w:h="16840"/>
          <w:pgMar w:top="1340" w:right="1300" w:bottom="280" w:left="1300" w:header="503" w:footer="0" w:gutter="0"/>
          <w:cols w:space="720"/>
        </w:sectPr>
      </w:pPr>
    </w:p>
    <w:p w14:paraId="353D0035" w14:textId="77777777" w:rsidR="00DC6703" w:rsidRDefault="00AC7E07">
      <w:pPr>
        <w:pStyle w:val="Heading1"/>
      </w:pPr>
      <w:r>
        <w:lastRenderedPageBreak/>
        <w:t>Sch</w:t>
      </w:r>
      <w:r>
        <w:t>edule 2</w:t>
      </w:r>
    </w:p>
    <w:p w14:paraId="353D0036" w14:textId="77777777" w:rsidR="00DC6703" w:rsidRDefault="00AC7E07">
      <w:pPr>
        <w:pStyle w:val="ListParagraph"/>
        <w:numPr>
          <w:ilvl w:val="0"/>
          <w:numId w:val="2"/>
        </w:numPr>
        <w:tabs>
          <w:tab w:val="left" w:pos="501"/>
        </w:tabs>
        <w:spacing w:before="186" w:line="400" w:lineRule="auto"/>
        <w:ind w:right="3221" w:hanging="566"/>
        <w:rPr>
          <w:b/>
        </w:rPr>
      </w:pPr>
      <w:r>
        <w:t>The additional condition varied under paragraph 22(1)(b): “</w:t>
      </w:r>
      <w:r>
        <w:rPr>
          <w:b/>
        </w:rPr>
        <w:t>Independent Reviewer</w:t>
      </w:r>
    </w:p>
    <w:p w14:paraId="353D0037" w14:textId="77777777" w:rsidR="00DC6703" w:rsidRDefault="00AC7E07">
      <w:pPr>
        <w:pStyle w:val="BodyText"/>
        <w:tabs>
          <w:tab w:val="left" w:pos="1273"/>
        </w:tabs>
        <w:spacing w:line="204" w:lineRule="exact"/>
        <w:ind w:left="706"/>
      </w:pPr>
      <w:r>
        <w:t>12.</w:t>
      </w:r>
      <w:r>
        <w:tab/>
        <w:t>By</w:t>
      </w:r>
      <w:r>
        <w:rPr>
          <w:spacing w:val="23"/>
        </w:rPr>
        <w:t xml:space="preserve"> </w:t>
      </w:r>
      <w:r>
        <w:t>31</w:t>
      </w:r>
      <w:r>
        <w:rPr>
          <w:spacing w:val="26"/>
        </w:rPr>
        <w:t xml:space="preserve"> </w:t>
      </w:r>
      <w:r>
        <w:t>January</w:t>
      </w:r>
      <w:r>
        <w:rPr>
          <w:spacing w:val="24"/>
        </w:rPr>
        <w:t xml:space="preserve"> </w:t>
      </w:r>
      <w:r>
        <w:t>2019</w:t>
      </w:r>
      <w:r>
        <w:rPr>
          <w:spacing w:val="24"/>
        </w:rPr>
        <w:t xml:space="preserve"> </w:t>
      </w:r>
      <w:r>
        <w:t>the</w:t>
      </w:r>
      <w:r>
        <w:rPr>
          <w:spacing w:val="23"/>
        </w:rPr>
        <w:t xml:space="preserve"> </w:t>
      </w:r>
      <w:r>
        <w:t>Company</w:t>
      </w:r>
      <w:r>
        <w:rPr>
          <w:spacing w:val="21"/>
        </w:rPr>
        <w:t xml:space="preserve"> </w:t>
      </w:r>
      <w:r>
        <w:t>must</w:t>
      </w:r>
      <w:r>
        <w:rPr>
          <w:spacing w:val="25"/>
        </w:rPr>
        <w:t xml:space="preserve"> </w:t>
      </w:r>
      <w:r>
        <w:t>appoint</w:t>
      </w:r>
      <w:r>
        <w:rPr>
          <w:spacing w:val="25"/>
        </w:rPr>
        <w:t xml:space="preserve"> </w:t>
      </w:r>
      <w:r>
        <w:t>an</w:t>
      </w:r>
      <w:r>
        <w:rPr>
          <w:spacing w:val="25"/>
        </w:rPr>
        <w:t xml:space="preserve"> </w:t>
      </w:r>
      <w:r>
        <w:t>independent</w:t>
      </w:r>
      <w:r>
        <w:rPr>
          <w:spacing w:val="25"/>
        </w:rPr>
        <w:t xml:space="preserve"> </w:t>
      </w:r>
      <w:r>
        <w:t>reviewer</w:t>
      </w:r>
      <w:r>
        <w:rPr>
          <w:spacing w:val="25"/>
        </w:rPr>
        <w:t xml:space="preserve"> </w:t>
      </w:r>
      <w:r>
        <w:t>(or</w:t>
      </w:r>
    </w:p>
    <w:p w14:paraId="353D0038" w14:textId="77777777" w:rsidR="00DC6703" w:rsidRDefault="00AC7E07">
      <w:pPr>
        <w:pStyle w:val="BodyText"/>
        <w:ind w:left="1273" w:right="294"/>
        <w:jc w:val="both"/>
      </w:pPr>
      <w:r>
        <w:t>reviewers),</w:t>
      </w:r>
      <w:r>
        <w:rPr>
          <w:spacing w:val="-5"/>
        </w:rPr>
        <w:t xml:space="preserve"> </w:t>
      </w:r>
      <w:r>
        <w:t>to</w:t>
      </w:r>
      <w:r>
        <w:rPr>
          <w:spacing w:val="-5"/>
        </w:rPr>
        <w:t xml:space="preserve"> </w:t>
      </w:r>
      <w:r>
        <w:t>be</w:t>
      </w:r>
      <w:r>
        <w:rPr>
          <w:spacing w:val="-5"/>
        </w:rPr>
        <w:t xml:space="preserve"> </w:t>
      </w:r>
      <w:r>
        <w:t>approved</w:t>
      </w:r>
      <w:r>
        <w:rPr>
          <w:spacing w:val="-4"/>
        </w:rPr>
        <w:t xml:space="preserve"> </w:t>
      </w:r>
      <w:r>
        <w:t>by</w:t>
      </w:r>
      <w:r>
        <w:rPr>
          <w:spacing w:val="-5"/>
        </w:rPr>
        <w:t xml:space="preserve"> </w:t>
      </w:r>
      <w:r>
        <w:t>APRA</w:t>
      </w:r>
      <w:r>
        <w:rPr>
          <w:spacing w:val="-3"/>
        </w:rPr>
        <w:t xml:space="preserve"> </w:t>
      </w:r>
      <w:r>
        <w:t>and</w:t>
      </w:r>
      <w:r>
        <w:rPr>
          <w:spacing w:val="-5"/>
        </w:rPr>
        <w:t xml:space="preserve"> </w:t>
      </w:r>
      <w:r>
        <w:t>on</w:t>
      </w:r>
      <w:r>
        <w:rPr>
          <w:spacing w:val="-8"/>
        </w:rPr>
        <w:t xml:space="preserve"> </w:t>
      </w:r>
      <w:r>
        <w:t>terms</w:t>
      </w:r>
      <w:r>
        <w:rPr>
          <w:spacing w:val="-3"/>
        </w:rPr>
        <w:t xml:space="preserve"> </w:t>
      </w:r>
      <w:r>
        <w:t>approved</w:t>
      </w:r>
      <w:r>
        <w:rPr>
          <w:spacing w:val="-3"/>
        </w:rPr>
        <w:t xml:space="preserve"> </w:t>
      </w:r>
      <w:r>
        <w:t>by</w:t>
      </w:r>
      <w:r>
        <w:rPr>
          <w:spacing w:val="-5"/>
        </w:rPr>
        <w:t xml:space="preserve"> </w:t>
      </w:r>
      <w:r>
        <w:t>APRA,</w:t>
      </w:r>
      <w:r>
        <w:rPr>
          <w:spacing w:val="-4"/>
        </w:rPr>
        <w:t xml:space="preserve"> </w:t>
      </w:r>
      <w:r>
        <w:t>to</w:t>
      </w:r>
      <w:r>
        <w:rPr>
          <w:spacing w:val="-8"/>
        </w:rPr>
        <w:t xml:space="preserve"> </w:t>
      </w:r>
      <w:r>
        <w:t>report to APRA every six months, or as otherwise advised by APRA in writing, commencing</w:t>
      </w:r>
      <w:r>
        <w:rPr>
          <w:spacing w:val="-4"/>
        </w:rPr>
        <w:t xml:space="preserve"> </w:t>
      </w:r>
      <w:r>
        <w:t>from</w:t>
      </w:r>
      <w:r>
        <w:rPr>
          <w:spacing w:val="-17"/>
        </w:rPr>
        <w:t xml:space="preserve"> </w:t>
      </w:r>
      <w:r>
        <w:t>31</w:t>
      </w:r>
      <w:r>
        <w:rPr>
          <w:spacing w:val="-15"/>
        </w:rPr>
        <w:t xml:space="preserve"> </w:t>
      </w:r>
      <w:r>
        <w:rPr>
          <w:spacing w:val="-13"/>
        </w:rPr>
        <w:t>March</w:t>
      </w:r>
      <w:r>
        <w:rPr>
          <w:spacing w:val="-31"/>
        </w:rPr>
        <w:t xml:space="preserve"> </w:t>
      </w:r>
      <w:r>
        <w:t>2019</w:t>
      </w:r>
      <w:r>
        <w:rPr>
          <w:spacing w:val="-15"/>
        </w:rPr>
        <w:t xml:space="preserve"> </w:t>
      </w:r>
      <w:r>
        <w:t>and</w:t>
      </w:r>
      <w:r>
        <w:rPr>
          <w:spacing w:val="-19"/>
        </w:rPr>
        <w:t xml:space="preserve"> </w:t>
      </w:r>
      <w:r>
        <w:t>continuing</w:t>
      </w:r>
      <w:r>
        <w:rPr>
          <w:spacing w:val="-10"/>
        </w:rPr>
        <w:t xml:space="preserve"> </w:t>
      </w:r>
      <w:r>
        <w:t>until</w:t>
      </w:r>
      <w:r>
        <w:rPr>
          <w:spacing w:val="-17"/>
        </w:rPr>
        <w:t xml:space="preserve"> </w:t>
      </w:r>
      <w:r>
        <w:rPr>
          <w:spacing w:val="-13"/>
        </w:rPr>
        <w:t>advised</w:t>
      </w:r>
      <w:r>
        <w:rPr>
          <w:spacing w:val="-28"/>
        </w:rPr>
        <w:t xml:space="preserve"> </w:t>
      </w:r>
      <w:r>
        <w:rPr>
          <w:spacing w:val="-8"/>
        </w:rPr>
        <w:t>in</w:t>
      </w:r>
      <w:r>
        <w:rPr>
          <w:spacing w:val="-27"/>
        </w:rPr>
        <w:t xml:space="preserve"> </w:t>
      </w:r>
      <w:r>
        <w:rPr>
          <w:spacing w:val="-13"/>
        </w:rPr>
        <w:t>writing</w:t>
      </w:r>
      <w:r>
        <w:rPr>
          <w:spacing w:val="-28"/>
        </w:rPr>
        <w:t xml:space="preserve"> </w:t>
      </w:r>
      <w:r>
        <w:rPr>
          <w:spacing w:val="-8"/>
        </w:rPr>
        <w:t>by</w:t>
      </w:r>
      <w:r>
        <w:rPr>
          <w:spacing w:val="-29"/>
        </w:rPr>
        <w:t xml:space="preserve"> </w:t>
      </w:r>
      <w:r>
        <w:t>APRA, in relation</w:t>
      </w:r>
      <w:r>
        <w:rPr>
          <w:spacing w:val="-19"/>
        </w:rPr>
        <w:t xml:space="preserve"> </w:t>
      </w:r>
      <w:r>
        <w:t>to</w:t>
      </w:r>
      <w:r>
        <w:rPr>
          <w:spacing w:val="-19"/>
        </w:rPr>
        <w:t xml:space="preserve"> </w:t>
      </w:r>
      <w:r>
        <w:t>the</w:t>
      </w:r>
      <w:r>
        <w:rPr>
          <w:spacing w:val="-19"/>
        </w:rPr>
        <w:t xml:space="preserve"> </w:t>
      </w:r>
      <w:r>
        <w:t>status</w:t>
      </w:r>
      <w:r>
        <w:rPr>
          <w:spacing w:val="3"/>
        </w:rPr>
        <w:t xml:space="preserve"> </w:t>
      </w:r>
      <w:r>
        <w:t>and</w:t>
      </w:r>
      <w:r>
        <w:rPr>
          <w:spacing w:val="11"/>
        </w:rPr>
        <w:t xml:space="preserve"> </w:t>
      </w:r>
      <w:r>
        <w:t>quality</w:t>
      </w:r>
      <w:r>
        <w:rPr>
          <w:spacing w:val="-18"/>
        </w:rPr>
        <w:t xml:space="preserve"> </w:t>
      </w:r>
      <w:r>
        <w:t>of</w:t>
      </w:r>
      <w:r>
        <w:rPr>
          <w:spacing w:val="-14"/>
        </w:rPr>
        <w:t xml:space="preserve"> </w:t>
      </w:r>
      <w:r>
        <w:t>compliance</w:t>
      </w:r>
      <w:r>
        <w:rPr>
          <w:spacing w:val="-16"/>
        </w:rPr>
        <w:t xml:space="preserve"> </w:t>
      </w:r>
      <w:r>
        <w:t>with</w:t>
      </w:r>
      <w:r>
        <w:rPr>
          <w:spacing w:val="-17"/>
        </w:rPr>
        <w:t xml:space="preserve"> </w:t>
      </w:r>
      <w:r>
        <w:t>these</w:t>
      </w:r>
      <w:r>
        <w:rPr>
          <w:spacing w:val="-19"/>
        </w:rPr>
        <w:t xml:space="preserve"> </w:t>
      </w:r>
      <w:r>
        <w:t>Additional</w:t>
      </w:r>
      <w:r>
        <w:rPr>
          <w:spacing w:val="-18"/>
        </w:rPr>
        <w:t xml:space="preserve"> </w:t>
      </w:r>
      <w:r>
        <w:t>Conditions.”</w:t>
      </w:r>
    </w:p>
    <w:p w14:paraId="353D0039" w14:textId="77777777" w:rsidR="00DC6703" w:rsidRDefault="00AC7E07">
      <w:pPr>
        <w:pStyle w:val="BodyText"/>
        <w:spacing w:before="120"/>
        <w:ind w:left="706"/>
      </w:pPr>
      <w:r>
        <w:t>The additiona</w:t>
      </w:r>
      <w:r>
        <w:t>l condition as varied is:</w:t>
      </w:r>
    </w:p>
    <w:p w14:paraId="353D003A" w14:textId="77777777" w:rsidR="00DC6703" w:rsidRDefault="00AC7E07">
      <w:pPr>
        <w:pStyle w:val="Heading2"/>
        <w:spacing w:before="170"/>
        <w:ind w:left="706"/>
      </w:pPr>
      <w:r>
        <w:rPr>
          <w:b w:val="0"/>
        </w:rPr>
        <w:t>“</w:t>
      </w:r>
      <w:r>
        <w:t>Independent Reviewer</w:t>
      </w:r>
    </w:p>
    <w:p w14:paraId="353D003B" w14:textId="77777777" w:rsidR="00DC6703" w:rsidRDefault="00AC7E07">
      <w:pPr>
        <w:pStyle w:val="BodyText"/>
        <w:spacing w:before="121"/>
        <w:ind w:left="1273" w:right="294" w:hanging="567"/>
        <w:jc w:val="both"/>
      </w:pPr>
      <w:r>
        <w:t>9. By 31 January 2019 the Company must appoint an independent reviewer (or reviewers),</w:t>
      </w:r>
      <w:r>
        <w:rPr>
          <w:spacing w:val="-5"/>
        </w:rPr>
        <w:t xml:space="preserve"> </w:t>
      </w:r>
      <w:r>
        <w:t>to</w:t>
      </w:r>
      <w:r>
        <w:rPr>
          <w:spacing w:val="-5"/>
        </w:rPr>
        <w:t xml:space="preserve"> </w:t>
      </w:r>
      <w:r>
        <w:t>be</w:t>
      </w:r>
      <w:r>
        <w:rPr>
          <w:spacing w:val="-5"/>
        </w:rPr>
        <w:t xml:space="preserve"> </w:t>
      </w:r>
      <w:r>
        <w:t>approved</w:t>
      </w:r>
      <w:r>
        <w:rPr>
          <w:spacing w:val="-4"/>
        </w:rPr>
        <w:t xml:space="preserve"> </w:t>
      </w:r>
      <w:r>
        <w:t>by</w:t>
      </w:r>
      <w:r>
        <w:rPr>
          <w:spacing w:val="-5"/>
        </w:rPr>
        <w:t xml:space="preserve"> </w:t>
      </w:r>
      <w:r>
        <w:t>APRA</w:t>
      </w:r>
      <w:r>
        <w:rPr>
          <w:spacing w:val="-3"/>
        </w:rPr>
        <w:t xml:space="preserve"> </w:t>
      </w:r>
      <w:r>
        <w:t>and</w:t>
      </w:r>
      <w:r>
        <w:rPr>
          <w:spacing w:val="-5"/>
        </w:rPr>
        <w:t xml:space="preserve"> </w:t>
      </w:r>
      <w:r>
        <w:t>on</w:t>
      </w:r>
      <w:r>
        <w:rPr>
          <w:spacing w:val="-8"/>
        </w:rPr>
        <w:t xml:space="preserve"> </w:t>
      </w:r>
      <w:r>
        <w:t>terms</w:t>
      </w:r>
      <w:r>
        <w:rPr>
          <w:spacing w:val="-3"/>
        </w:rPr>
        <w:t xml:space="preserve"> </w:t>
      </w:r>
      <w:r>
        <w:t>approved</w:t>
      </w:r>
      <w:r>
        <w:rPr>
          <w:spacing w:val="-3"/>
        </w:rPr>
        <w:t xml:space="preserve"> </w:t>
      </w:r>
      <w:r>
        <w:t>by</w:t>
      </w:r>
      <w:r>
        <w:rPr>
          <w:spacing w:val="-5"/>
        </w:rPr>
        <w:t xml:space="preserve"> </w:t>
      </w:r>
      <w:r>
        <w:t>APRA,</w:t>
      </w:r>
      <w:r>
        <w:rPr>
          <w:spacing w:val="-4"/>
        </w:rPr>
        <w:t xml:space="preserve"> </w:t>
      </w:r>
      <w:r>
        <w:t>to</w:t>
      </w:r>
      <w:r>
        <w:rPr>
          <w:spacing w:val="-8"/>
        </w:rPr>
        <w:t xml:space="preserve"> </w:t>
      </w:r>
      <w:r>
        <w:t>report to APRA every six months, or as otherwise advised by APRA in writing, commencing</w:t>
      </w:r>
      <w:r>
        <w:rPr>
          <w:spacing w:val="-5"/>
        </w:rPr>
        <w:t xml:space="preserve"> </w:t>
      </w:r>
      <w:r>
        <w:t>from</w:t>
      </w:r>
      <w:r>
        <w:rPr>
          <w:spacing w:val="-17"/>
        </w:rPr>
        <w:t xml:space="preserve"> </w:t>
      </w:r>
      <w:r>
        <w:t>31</w:t>
      </w:r>
      <w:r>
        <w:rPr>
          <w:spacing w:val="-15"/>
        </w:rPr>
        <w:t xml:space="preserve"> </w:t>
      </w:r>
      <w:r>
        <w:rPr>
          <w:spacing w:val="-13"/>
        </w:rPr>
        <w:t>March</w:t>
      </w:r>
      <w:r>
        <w:rPr>
          <w:spacing w:val="-31"/>
        </w:rPr>
        <w:t xml:space="preserve"> </w:t>
      </w:r>
      <w:r>
        <w:t>2019</w:t>
      </w:r>
      <w:r>
        <w:rPr>
          <w:spacing w:val="-15"/>
        </w:rPr>
        <w:t xml:space="preserve"> </w:t>
      </w:r>
      <w:r>
        <w:t>and</w:t>
      </w:r>
      <w:r>
        <w:rPr>
          <w:spacing w:val="-19"/>
        </w:rPr>
        <w:t xml:space="preserve"> </w:t>
      </w:r>
      <w:r>
        <w:t>continuing</w:t>
      </w:r>
      <w:r>
        <w:rPr>
          <w:spacing w:val="-10"/>
        </w:rPr>
        <w:t xml:space="preserve"> </w:t>
      </w:r>
      <w:r>
        <w:t>until</w:t>
      </w:r>
      <w:r>
        <w:rPr>
          <w:spacing w:val="-17"/>
        </w:rPr>
        <w:t xml:space="preserve"> </w:t>
      </w:r>
      <w:r>
        <w:rPr>
          <w:spacing w:val="-13"/>
        </w:rPr>
        <w:t>advised</w:t>
      </w:r>
      <w:r>
        <w:rPr>
          <w:spacing w:val="-28"/>
        </w:rPr>
        <w:t xml:space="preserve"> </w:t>
      </w:r>
      <w:r>
        <w:rPr>
          <w:spacing w:val="-8"/>
        </w:rPr>
        <w:t>in</w:t>
      </w:r>
      <w:r>
        <w:rPr>
          <w:spacing w:val="-27"/>
        </w:rPr>
        <w:t xml:space="preserve"> </w:t>
      </w:r>
      <w:r>
        <w:rPr>
          <w:spacing w:val="-13"/>
        </w:rPr>
        <w:t>writing</w:t>
      </w:r>
      <w:r>
        <w:rPr>
          <w:spacing w:val="-28"/>
        </w:rPr>
        <w:t xml:space="preserve"> </w:t>
      </w:r>
      <w:r>
        <w:rPr>
          <w:spacing w:val="-8"/>
        </w:rPr>
        <w:t>by</w:t>
      </w:r>
      <w:r>
        <w:rPr>
          <w:spacing w:val="-29"/>
        </w:rPr>
        <w:t xml:space="preserve"> </w:t>
      </w:r>
      <w:r>
        <w:t>APRA, in relation</w:t>
      </w:r>
      <w:r>
        <w:rPr>
          <w:spacing w:val="-19"/>
        </w:rPr>
        <w:t xml:space="preserve"> </w:t>
      </w:r>
      <w:r>
        <w:t>to</w:t>
      </w:r>
      <w:r>
        <w:rPr>
          <w:spacing w:val="-19"/>
        </w:rPr>
        <w:t xml:space="preserve"> </w:t>
      </w:r>
      <w:r>
        <w:t>the</w:t>
      </w:r>
      <w:r>
        <w:rPr>
          <w:spacing w:val="-19"/>
        </w:rPr>
        <w:t xml:space="preserve"> </w:t>
      </w:r>
      <w:r>
        <w:t>status</w:t>
      </w:r>
      <w:r>
        <w:rPr>
          <w:spacing w:val="4"/>
        </w:rPr>
        <w:t xml:space="preserve"> </w:t>
      </w:r>
      <w:r>
        <w:t>and</w:t>
      </w:r>
      <w:r>
        <w:rPr>
          <w:spacing w:val="11"/>
        </w:rPr>
        <w:t xml:space="preserve"> </w:t>
      </w:r>
      <w:r>
        <w:t>quality</w:t>
      </w:r>
      <w:r>
        <w:rPr>
          <w:spacing w:val="-18"/>
        </w:rPr>
        <w:t xml:space="preserve"> </w:t>
      </w:r>
      <w:r>
        <w:t>of</w:t>
      </w:r>
      <w:r>
        <w:rPr>
          <w:spacing w:val="-13"/>
        </w:rPr>
        <w:t xml:space="preserve"> </w:t>
      </w:r>
      <w:r>
        <w:t>compliance</w:t>
      </w:r>
      <w:r>
        <w:rPr>
          <w:spacing w:val="-17"/>
        </w:rPr>
        <w:t xml:space="preserve"> </w:t>
      </w:r>
      <w:r>
        <w:t>with</w:t>
      </w:r>
      <w:r>
        <w:rPr>
          <w:spacing w:val="-16"/>
        </w:rPr>
        <w:t xml:space="preserve"> </w:t>
      </w:r>
      <w:r>
        <w:t>these</w:t>
      </w:r>
      <w:r>
        <w:rPr>
          <w:spacing w:val="-19"/>
        </w:rPr>
        <w:t xml:space="preserve"> </w:t>
      </w:r>
      <w:r>
        <w:t>Additional</w:t>
      </w:r>
      <w:r>
        <w:rPr>
          <w:spacing w:val="-17"/>
        </w:rPr>
        <w:t xml:space="preserve"> </w:t>
      </w:r>
      <w:r>
        <w:t>Conditions.”</w:t>
      </w:r>
    </w:p>
    <w:p w14:paraId="353D003C" w14:textId="77777777" w:rsidR="00DC6703" w:rsidRDefault="00DC6703">
      <w:pPr>
        <w:pStyle w:val="BodyText"/>
        <w:spacing w:before="4"/>
        <w:rPr>
          <w:sz w:val="26"/>
        </w:rPr>
      </w:pPr>
    </w:p>
    <w:p w14:paraId="353D003D" w14:textId="77777777" w:rsidR="00DC6703" w:rsidRDefault="00AC7E07">
      <w:pPr>
        <w:pStyle w:val="ListParagraph"/>
        <w:numPr>
          <w:ilvl w:val="0"/>
          <w:numId w:val="2"/>
        </w:numPr>
        <w:tabs>
          <w:tab w:val="left" w:pos="501"/>
        </w:tabs>
        <w:ind w:left="500"/>
      </w:pPr>
      <w:r>
        <w:t>The definiti</w:t>
      </w:r>
      <w:r>
        <w:t>ons in the additional conditions varied under paragraph</w:t>
      </w:r>
      <w:r>
        <w:rPr>
          <w:spacing w:val="-8"/>
        </w:rPr>
        <w:t xml:space="preserve"> </w:t>
      </w:r>
      <w:r>
        <w:t>22(1)(b):</w:t>
      </w:r>
    </w:p>
    <w:p w14:paraId="353D003E" w14:textId="77777777" w:rsidR="00DC6703" w:rsidRDefault="00AC7E07">
      <w:pPr>
        <w:spacing w:before="172"/>
        <w:ind w:left="860" w:right="140"/>
        <w:jc w:val="both"/>
      </w:pPr>
      <w:r>
        <w:t>“</w:t>
      </w:r>
      <w:r>
        <w:rPr>
          <w:b/>
        </w:rPr>
        <w:t xml:space="preserve">Additional Conditions </w:t>
      </w:r>
      <w:r>
        <w:t>mean the conditions imposed on the Company’s registration on</w:t>
      </w:r>
    </w:p>
    <w:p w14:paraId="353D003F" w14:textId="77777777" w:rsidR="00DC6703" w:rsidRDefault="00AC7E07">
      <w:pPr>
        <w:pStyle w:val="BodyText"/>
        <w:ind w:left="860"/>
      </w:pPr>
      <w:r>
        <w:t>21 December 2018 as set out in items [1] to [13] above.”</w:t>
      </w:r>
    </w:p>
    <w:p w14:paraId="353D0040" w14:textId="77777777" w:rsidR="00DC6703" w:rsidRDefault="00AC7E07">
      <w:pPr>
        <w:pStyle w:val="BodyText"/>
        <w:spacing w:before="120"/>
        <w:ind w:left="860" w:right="132"/>
        <w:jc w:val="both"/>
      </w:pPr>
      <w:r>
        <w:t>“</w:t>
      </w:r>
      <w:r>
        <w:rPr>
          <w:b/>
        </w:rPr>
        <w:t xml:space="preserve">AREs </w:t>
      </w:r>
      <w:r>
        <w:t xml:space="preserve">means the Company, I.O.O.F. Investment Management Limited </w:t>
      </w:r>
      <w:r>
        <w:rPr>
          <w:spacing w:val="-2"/>
        </w:rPr>
        <w:t xml:space="preserve">ACN </w:t>
      </w:r>
      <w:r>
        <w:t>006 695 021,</w:t>
      </w:r>
      <w:r>
        <w:rPr>
          <w:spacing w:val="-3"/>
        </w:rPr>
        <w:t xml:space="preserve"> </w:t>
      </w:r>
      <w:r>
        <w:t>Australian</w:t>
      </w:r>
      <w:r>
        <w:rPr>
          <w:spacing w:val="-3"/>
        </w:rPr>
        <w:t xml:space="preserve"> </w:t>
      </w:r>
      <w:r>
        <w:t>Executor</w:t>
      </w:r>
      <w:r>
        <w:rPr>
          <w:spacing w:val="-7"/>
        </w:rPr>
        <w:t xml:space="preserve"> </w:t>
      </w:r>
      <w:r>
        <w:t>Trustees</w:t>
      </w:r>
      <w:r>
        <w:rPr>
          <w:spacing w:val="-5"/>
        </w:rPr>
        <w:t xml:space="preserve"> </w:t>
      </w:r>
      <w:r>
        <w:t>Limited</w:t>
      </w:r>
      <w:r>
        <w:rPr>
          <w:spacing w:val="-6"/>
        </w:rPr>
        <w:t xml:space="preserve"> </w:t>
      </w:r>
      <w:r>
        <w:t>ACN</w:t>
      </w:r>
      <w:r>
        <w:rPr>
          <w:spacing w:val="-4"/>
        </w:rPr>
        <w:t xml:space="preserve"> </w:t>
      </w:r>
      <w:r>
        <w:t>007</w:t>
      </w:r>
      <w:r>
        <w:rPr>
          <w:spacing w:val="-1"/>
        </w:rPr>
        <w:t xml:space="preserve"> </w:t>
      </w:r>
      <w:r>
        <w:t>869</w:t>
      </w:r>
      <w:r>
        <w:rPr>
          <w:spacing w:val="-3"/>
        </w:rPr>
        <w:t xml:space="preserve"> </w:t>
      </w:r>
      <w:r>
        <w:t>794</w:t>
      </w:r>
      <w:r>
        <w:rPr>
          <w:spacing w:val="-5"/>
        </w:rPr>
        <w:t xml:space="preserve"> </w:t>
      </w:r>
      <w:r>
        <w:t>and</w:t>
      </w:r>
      <w:r>
        <w:rPr>
          <w:spacing w:val="-5"/>
        </w:rPr>
        <w:t xml:space="preserve"> </w:t>
      </w:r>
      <w:r>
        <w:t>IOOF</w:t>
      </w:r>
      <w:r>
        <w:rPr>
          <w:spacing w:val="-5"/>
        </w:rPr>
        <w:t xml:space="preserve"> </w:t>
      </w:r>
      <w:r>
        <w:t>Group</w:t>
      </w:r>
      <w:r>
        <w:rPr>
          <w:spacing w:val="-3"/>
        </w:rPr>
        <w:t xml:space="preserve"> </w:t>
      </w:r>
      <w:r>
        <w:t>Pty</w:t>
      </w:r>
      <w:r>
        <w:rPr>
          <w:spacing w:val="-5"/>
        </w:rPr>
        <w:t xml:space="preserve"> </w:t>
      </w:r>
      <w:r>
        <w:t>Ltd ACN 157 711</w:t>
      </w:r>
      <w:r>
        <w:rPr>
          <w:spacing w:val="-1"/>
        </w:rPr>
        <w:t xml:space="preserve"> </w:t>
      </w:r>
      <w:r>
        <w:t>512.”</w:t>
      </w:r>
    </w:p>
    <w:p w14:paraId="353D0041" w14:textId="77777777" w:rsidR="00DC6703" w:rsidRDefault="00DC6703">
      <w:pPr>
        <w:pStyle w:val="BodyText"/>
      </w:pPr>
    </w:p>
    <w:p w14:paraId="353D0042" w14:textId="77777777" w:rsidR="00DC6703" w:rsidRDefault="00AC7E07">
      <w:pPr>
        <w:pStyle w:val="BodyText"/>
        <w:ind w:left="860"/>
      </w:pPr>
      <w:r>
        <w:t>The definition in the additional conditions as varied is:</w:t>
      </w:r>
    </w:p>
    <w:p w14:paraId="353D0043" w14:textId="77777777" w:rsidR="00DC6703" w:rsidRDefault="00AC7E07">
      <w:pPr>
        <w:spacing w:before="120"/>
        <w:ind w:left="860" w:right="140"/>
        <w:jc w:val="both"/>
      </w:pPr>
      <w:r>
        <w:t>“</w:t>
      </w:r>
      <w:r>
        <w:rPr>
          <w:b/>
        </w:rPr>
        <w:t xml:space="preserve">Additional Conditions </w:t>
      </w:r>
      <w:r>
        <w:t xml:space="preserve">mean </w:t>
      </w:r>
      <w:r>
        <w:t>the conditions imposed on the Company’s registration on</w:t>
      </w:r>
    </w:p>
    <w:p w14:paraId="353D0044" w14:textId="77777777" w:rsidR="00DC6703" w:rsidRDefault="00AC7E07">
      <w:pPr>
        <w:pStyle w:val="BodyText"/>
        <w:ind w:left="860"/>
      </w:pPr>
      <w:r>
        <w:t>21 December 2018 as set out in items [1] to [9] above.”</w:t>
      </w:r>
    </w:p>
    <w:p w14:paraId="353D0045" w14:textId="77777777" w:rsidR="00DC6703" w:rsidRDefault="00AC7E07">
      <w:pPr>
        <w:spacing w:before="119"/>
        <w:ind w:left="860" w:right="137"/>
        <w:jc w:val="both"/>
      </w:pPr>
      <w:r>
        <w:t>“</w:t>
      </w:r>
      <w:r>
        <w:rPr>
          <w:b/>
        </w:rPr>
        <w:t xml:space="preserve">AREs </w:t>
      </w:r>
      <w:r>
        <w:t xml:space="preserve">means the Company, IOOF Group Pty Ltd ABN 72 157 711 512 and any RSE licensee (as defined in subsection 10(1) of the </w:t>
      </w:r>
      <w:r>
        <w:rPr>
          <w:i/>
        </w:rPr>
        <w:t>Superannuation Indust</w:t>
      </w:r>
      <w:r>
        <w:rPr>
          <w:i/>
        </w:rPr>
        <w:t>ry (Supervision) Act 1993</w:t>
      </w:r>
      <w:r>
        <w:t>) within the IOOF Group.”</w:t>
      </w:r>
    </w:p>
    <w:p w14:paraId="353D0046" w14:textId="77777777" w:rsidR="00DC6703" w:rsidRDefault="00DC6703">
      <w:pPr>
        <w:jc w:val="both"/>
        <w:sectPr w:rsidR="00DC6703">
          <w:pgSz w:w="11910" w:h="16840"/>
          <w:pgMar w:top="1340" w:right="1300" w:bottom="280" w:left="1300" w:header="503" w:footer="0" w:gutter="0"/>
          <w:cols w:space="720"/>
        </w:sectPr>
      </w:pPr>
    </w:p>
    <w:p w14:paraId="353D0047" w14:textId="77777777" w:rsidR="00DC6703" w:rsidRDefault="00AC7E07">
      <w:pPr>
        <w:pStyle w:val="Heading1"/>
      </w:pPr>
      <w:r>
        <w:lastRenderedPageBreak/>
        <w:t>Schedule 3</w:t>
      </w:r>
    </w:p>
    <w:p w14:paraId="353D0048" w14:textId="77777777" w:rsidR="00DC6703" w:rsidRDefault="00DC6703">
      <w:pPr>
        <w:pStyle w:val="BodyText"/>
        <w:spacing w:before="1"/>
        <w:rPr>
          <w:b/>
          <w:sz w:val="38"/>
        </w:rPr>
      </w:pPr>
    </w:p>
    <w:p w14:paraId="353D0049" w14:textId="77777777" w:rsidR="00DC6703" w:rsidRDefault="00AC7E07">
      <w:pPr>
        <w:pStyle w:val="Heading2"/>
      </w:pPr>
      <w:r>
        <w:t>Dedicated Business Function</w:t>
      </w:r>
    </w:p>
    <w:p w14:paraId="353D004A" w14:textId="77777777" w:rsidR="00DC6703" w:rsidRDefault="00AC7E07">
      <w:pPr>
        <w:pStyle w:val="ListParagraph"/>
        <w:numPr>
          <w:ilvl w:val="0"/>
          <w:numId w:val="1"/>
        </w:numPr>
        <w:tabs>
          <w:tab w:val="left" w:pos="707"/>
        </w:tabs>
        <w:spacing w:before="122"/>
        <w:ind w:right="291" w:hanging="566"/>
        <w:jc w:val="both"/>
      </w:pPr>
      <w:r>
        <w:t xml:space="preserve">The Company must </w:t>
      </w:r>
      <w:r>
        <w:rPr>
          <w:spacing w:val="-6"/>
        </w:rPr>
        <w:t xml:space="preserve">implement </w:t>
      </w:r>
      <w:r>
        <w:rPr>
          <w:spacing w:val="-4"/>
        </w:rPr>
        <w:t xml:space="preserve">and </w:t>
      </w:r>
      <w:r>
        <w:rPr>
          <w:spacing w:val="-6"/>
        </w:rPr>
        <w:t xml:space="preserve">maintain </w:t>
      </w:r>
      <w:r>
        <w:t>a dedicated business function to support the</w:t>
      </w:r>
      <w:r>
        <w:rPr>
          <w:spacing w:val="-20"/>
        </w:rPr>
        <w:t xml:space="preserve"> </w:t>
      </w:r>
      <w:r>
        <w:t>Company</w:t>
      </w:r>
      <w:r>
        <w:rPr>
          <w:spacing w:val="-24"/>
        </w:rPr>
        <w:t xml:space="preserve"> </w:t>
      </w:r>
      <w:r>
        <w:rPr>
          <w:spacing w:val="-6"/>
        </w:rPr>
        <w:t>from</w:t>
      </w:r>
      <w:r>
        <w:rPr>
          <w:spacing w:val="-22"/>
        </w:rPr>
        <w:t xml:space="preserve"> </w:t>
      </w:r>
      <w:r>
        <w:t>31</w:t>
      </w:r>
      <w:r>
        <w:rPr>
          <w:spacing w:val="-19"/>
        </w:rPr>
        <w:t xml:space="preserve"> </w:t>
      </w:r>
      <w:r>
        <w:t>March</w:t>
      </w:r>
      <w:r>
        <w:rPr>
          <w:spacing w:val="-18"/>
        </w:rPr>
        <w:t xml:space="preserve"> </w:t>
      </w:r>
      <w:r>
        <w:t>2019.</w:t>
      </w:r>
      <w:r>
        <w:rPr>
          <w:spacing w:val="-23"/>
        </w:rPr>
        <w:t xml:space="preserve"> </w:t>
      </w:r>
      <w:r>
        <w:t>The</w:t>
      </w:r>
      <w:r>
        <w:rPr>
          <w:spacing w:val="-21"/>
        </w:rPr>
        <w:t xml:space="preserve"> </w:t>
      </w:r>
      <w:r>
        <w:t>dedicated</w:t>
      </w:r>
      <w:r>
        <w:rPr>
          <w:spacing w:val="-19"/>
        </w:rPr>
        <w:t xml:space="preserve"> </w:t>
      </w:r>
      <w:r>
        <w:t>business</w:t>
      </w:r>
      <w:r>
        <w:rPr>
          <w:spacing w:val="-21"/>
        </w:rPr>
        <w:t xml:space="preserve"> </w:t>
      </w:r>
      <w:r>
        <w:t>function</w:t>
      </w:r>
      <w:r>
        <w:rPr>
          <w:spacing w:val="-27"/>
        </w:rPr>
        <w:t xml:space="preserve"> </w:t>
      </w:r>
      <w:r>
        <w:t>may</w:t>
      </w:r>
      <w:r>
        <w:rPr>
          <w:spacing w:val="-23"/>
        </w:rPr>
        <w:t xml:space="preserve"> </w:t>
      </w:r>
      <w:r>
        <w:t>be</w:t>
      </w:r>
      <w:r>
        <w:rPr>
          <w:spacing w:val="-20"/>
        </w:rPr>
        <w:t xml:space="preserve"> </w:t>
      </w:r>
      <w:r>
        <w:t>shared</w:t>
      </w:r>
      <w:r>
        <w:rPr>
          <w:spacing w:val="-18"/>
        </w:rPr>
        <w:t xml:space="preserve"> </w:t>
      </w:r>
      <w:r>
        <w:t>with other AREs within the IOOF Group. The Company must ensure that the dedicated business</w:t>
      </w:r>
      <w:r>
        <w:rPr>
          <w:spacing w:val="-19"/>
        </w:rPr>
        <w:t xml:space="preserve"> </w:t>
      </w:r>
      <w:r>
        <w:t>function:</w:t>
      </w:r>
    </w:p>
    <w:p w14:paraId="353D004B" w14:textId="77777777" w:rsidR="00DC6703" w:rsidRDefault="00AC7E07">
      <w:pPr>
        <w:pStyle w:val="ListParagraph"/>
        <w:numPr>
          <w:ilvl w:val="1"/>
          <w:numId w:val="1"/>
        </w:numPr>
        <w:tabs>
          <w:tab w:val="left" w:pos="1273"/>
          <w:tab w:val="left" w:pos="1274"/>
        </w:tabs>
        <w:spacing w:before="118"/>
        <w:ind w:left="1273" w:right="143"/>
      </w:pPr>
      <w:r>
        <w:t>supports the Company to fulfil its obligations by advocating for the interests of existing and prospective policy</w:t>
      </w:r>
      <w:r>
        <w:rPr>
          <w:spacing w:val="-1"/>
        </w:rPr>
        <w:t xml:space="preserve"> </w:t>
      </w:r>
      <w:r>
        <w:t>holders;</w:t>
      </w:r>
    </w:p>
    <w:p w14:paraId="353D004C" w14:textId="77777777" w:rsidR="00DC6703" w:rsidRDefault="00AC7E07">
      <w:pPr>
        <w:pStyle w:val="ListParagraph"/>
        <w:numPr>
          <w:ilvl w:val="1"/>
          <w:numId w:val="1"/>
        </w:numPr>
        <w:tabs>
          <w:tab w:val="left" w:pos="1274"/>
        </w:tabs>
        <w:spacing w:before="120"/>
        <w:ind w:left="1273" w:right="514"/>
        <w:jc w:val="both"/>
      </w:pPr>
      <w:r>
        <w:t>assists with the d</w:t>
      </w:r>
      <w:r>
        <w:t>evelopment and implementation of a Strategy for the Company that is focused on the delivery of quality member outcomes, whilst having regard for the IOOF Group</w:t>
      </w:r>
      <w:r>
        <w:rPr>
          <w:spacing w:val="-10"/>
        </w:rPr>
        <w:t xml:space="preserve"> </w:t>
      </w:r>
      <w:r>
        <w:t>Strategy;</w:t>
      </w:r>
    </w:p>
    <w:p w14:paraId="353D004D" w14:textId="77777777" w:rsidR="00DC6703" w:rsidRDefault="00AC7E07">
      <w:pPr>
        <w:pStyle w:val="ListParagraph"/>
        <w:numPr>
          <w:ilvl w:val="1"/>
          <w:numId w:val="1"/>
        </w:numPr>
        <w:tabs>
          <w:tab w:val="left" w:pos="1274"/>
        </w:tabs>
        <w:spacing w:before="120"/>
        <w:ind w:left="1273" w:right="509"/>
        <w:jc w:val="both"/>
      </w:pPr>
      <w:r>
        <w:t>coordinates day to day relationships with service providers and regulators on behalf o</w:t>
      </w:r>
      <w:r>
        <w:t>f the Company, ensuring arms-length relationships with related parties;</w:t>
      </w:r>
    </w:p>
    <w:p w14:paraId="353D004E" w14:textId="77777777" w:rsidR="00DC6703" w:rsidRDefault="00AC7E07">
      <w:pPr>
        <w:pStyle w:val="ListParagraph"/>
        <w:numPr>
          <w:ilvl w:val="1"/>
          <w:numId w:val="1"/>
        </w:numPr>
        <w:tabs>
          <w:tab w:val="left" w:pos="1274"/>
        </w:tabs>
        <w:spacing w:before="122"/>
        <w:ind w:left="1273" w:right="514"/>
        <w:jc w:val="both"/>
      </w:pPr>
      <w:r>
        <w:t>provides effective review, challenge and oversight of the reporting received from all of the Company’s service</w:t>
      </w:r>
      <w:r>
        <w:rPr>
          <w:spacing w:val="-1"/>
        </w:rPr>
        <w:t xml:space="preserve"> </w:t>
      </w:r>
      <w:r>
        <w:t>providers;</w:t>
      </w:r>
    </w:p>
    <w:p w14:paraId="353D004F" w14:textId="77777777" w:rsidR="00DC6703" w:rsidRDefault="00AC7E07">
      <w:pPr>
        <w:pStyle w:val="ListParagraph"/>
        <w:numPr>
          <w:ilvl w:val="1"/>
          <w:numId w:val="1"/>
        </w:numPr>
        <w:tabs>
          <w:tab w:val="left" w:pos="1274"/>
        </w:tabs>
        <w:spacing w:before="121"/>
        <w:ind w:left="1273" w:right="513"/>
        <w:jc w:val="both"/>
      </w:pPr>
      <w:r>
        <w:t>supports the Company in the design, implementation and oversig</w:t>
      </w:r>
      <w:r>
        <w:t>ht of an effective risk and compliance framework and culture;</w:t>
      </w:r>
      <w:r>
        <w:rPr>
          <w:spacing w:val="-4"/>
        </w:rPr>
        <w:t xml:space="preserve"> </w:t>
      </w:r>
      <w:r>
        <w:t>and</w:t>
      </w:r>
    </w:p>
    <w:p w14:paraId="353D0050" w14:textId="77777777" w:rsidR="00DC6703" w:rsidRDefault="00AC7E07">
      <w:pPr>
        <w:pStyle w:val="ListParagraph"/>
        <w:numPr>
          <w:ilvl w:val="1"/>
          <w:numId w:val="1"/>
        </w:numPr>
        <w:tabs>
          <w:tab w:val="left" w:pos="1273"/>
          <w:tab w:val="left" w:pos="1274"/>
        </w:tabs>
        <w:spacing w:before="118"/>
        <w:ind w:left="1273"/>
      </w:pPr>
      <w:r>
        <w:t>considers any contagion or reputational impacts on the</w:t>
      </w:r>
      <w:r>
        <w:rPr>
          <w:spacing w:val="-7"/>
        </w:rPr>
        <w:t xml:space="preserve"> </w:t>
      </w:r>
      <w:r>
        <w:t>Company.</w:t>
      </w:r>
    </w:p>
    <w:p w14:paraId="353D0051" w14:textId="77777777" w:rsidR="00DC6703" w:rsidRDefault="00DC6703">
      <w:pPr>
        <w:pStyle w:val="BodyText"/>
        <w:spacing w:before="5"/>
        <w:rPr>
          <w:sz w:val="32"/>
        </w:rPr>
      </w:pPr>
    </w:p>
    <w:p w14:paraId="353D0052" w14:textId="77777777" w:rsidR="00DC6703" w:rsidRDefault="00AC7E07">
      <w:pPr>
        <w:pStyle w:val="ListParagraph"/>
        <w:numPr>
          <w:ilvl w:val="0"/>
          <w:numId w:val="1"/>
        </w:numPr>
        <w:tabs>
          <w:tab w:val="left" w:pos="707"/>
        </w:tabs>
        <w:ind w:right="290" w:hanging="566"/>
        <w:jc w:val="both"/>
      </w:pPr>
      <w:r>
        <w:t>The Company must appoint and maintain an appropriately skilled and experienced head of the dedicated business function from 3</w:t>
      </w:r>
      <w:r>
        <w:t>1 January 2019. The Company must notify APRA of the name, qualifications, experience and any other relevant details of any person proposed to be appointed as head of the dedicated business function at least 14 days prior to the appointment of the individua</w:t>
      </w:r>
      <w:r>
        <w:t>l to the</w:t>
      </w:r>
      <w:r>
        <w:rPr>
          <w:spacing w:val="-8"/>
        </w:rPr>
        <w:t xml:space="preserve"> </w:t>
      </w:r>
      <w:r>
        <w:t>role.</w:t>
      </w:r>
    </w:p>
    <w:p w14:paraId="353D0053" w14:textId="77777777" w:rsidR="00DC6703" w:rsidRDefault="00AC7E07">
      <w:pPr>
        <w:pStyle w:val="Heading2"/>
        <w:spacing w:before="121"/>
      </w:pPr>
      <w:r>
        <w:t>Independence of the Board</w:t>
      </w:r>
    </w:p>
    <w:p w14:paraId="353D0054" w14:textId="77777777" w:rsidR="00DC6703" w:rsidRDefault="00AC7E07">
      <w:pPr>
        <w:pStyle w:val="ListParagraph"/>
        <w:numPr>
          <w:ilvl w:val="0"/>
          <w:numId w:val="1"/>
        </w:numPr>
        <w:tabs>
          <w:tab w:val="left" w:pos="706"/>
          <w:tab w:val="left" w:pos="707"/>
        </w:tabs>
        <w:spacing w:before="121"/>
        <w:ind w:hanging="566"/>
      </w:pPr>
      <w:r>
        <w:t>At all times, the board of the Company must be chaired by an independent</w:t>
      </w:r>
      <w:r>
        <w:rPr>
          <w:spacing w:val="-29"/>
        </w:rPr>
        <w:t xml:space="preserve"> </w:t>
      </w:r>
      <w:r>
        <w:t>director.</w:t>
      </w:r>
    </w:p>
    <w:p w14:paraId="353D0055" w14:textId="77777777" w:rsidR="00DC6703" w:rsidRDefault="00DC6703">
      <w:pPr>
        <w:pStyle w:val="BodyText"/>
        <w:spacing w:before="3"/>
        <w:rPr>
          <w:sz w:val="32"/>
        </w:rPr>
      </w:pPr>
    </w:p>
    <w:p w14:paraId="353D0056" w14:textId="77777777" w:rsidR="00DC6703" w:rsidRDefault="00AC7E07">
      <w:pPr>
        <w:pStyle w:val="ListParagraph"/>
        <w:numPr>
          <w:ilvl w:val="0"/>
          <w:numId w:val="1"/>
        </w:numPr>
        <w:tabs>
          <w:tab w:val="left" w:pos="707"/>
        </w:tabs>
        <w:ind w:right="303" w:hanging="566"/>
        <w:jc w:val="both"/>
      </w:pPr>
      <w:r>
        <w:t>At all times, the minimum number of independent directors of the Company must be at least a simple majority of the total number of</w:t>
      </w:r>
      <w:r>
        <w:rPr>
          <w:spacing w:val="-10"/>
        </w:rPr>
        <w:t xml:space="preserve"> </w:t>
      </w:r>
      <w:r>
        <w:t>directors.</w:t>
      </w:r>
    </w:p>
    <w:p w14:paraId="353D0057" w14:textId="77777777" w:rsidR="00DC6703" w:rsidRDefault="00DC6703">
      <w:pPr>
        <w:pStyle w:val="BodyText"/>
        <w:spacing w:before="7"/>
        <w:rPr>
          <w:sz w:val="32"/>
        </w:rPr>
      </w:pPr>
    </w:p>
    <w:p w14:paraId="353D0058" w14:textId="77777777" w:rsidR="00DC6703" w:rsidRDefault="00AC7E07">
      <w:pPr>
        <w:pStyle w:val="ListParagraph"/>
        <w:numPr>
          <w:ilvl w:val="0"/>
          <w:numId w:val="1"/>
        </w:numPr>
        <w:tabs>
          <w:tab w:val="left" w:pos="707"/>
        </w:tabs>
        <w:ind w:right="299" w:hanging="566"/>
        <w:jc w:val="both"/>
      </w:pPr>
      <w:r>
        <w:t>The Company must implement and maintain a process for the nomination and appointment of directors which is independent from the IOOF Group and any of the IOOF Group’s committees, with the exception of the</w:t>
      </w:r>
      <w:r>
        <w:rPr>
          <w:spacing w:val="-4"/>
        </w:rPr>
        <w:t xml:space="preserve"> </w:t>
      </w:r>
      <w:r>
        <w:t>AREs.</w:t>
      </w:r>
    </w:p>
    <w:p w14:paraId="353D0059" w14:textId="77777777" w:rsidR="00DC6703" w:rsidRDefault="00DC6703">
      <w:pPr>
        <w:pStyle w:val="BodyText"/>
        <w:spacing w:before="3"/>
        <w:rPr>
          <w:sz w:val="32"/>
        </w:rPr>
      </w:pPr>
    </w:p>
    <w:p w14:paraId="353D005A" w14:textId="77777777" w:rsidR="00DC6703" w:rsidRDefault="00AC7E07">
      <w:pPr>
        <w:pStyle w:val="ListParagraph"/>
        <w:numPr>
          <w:ilvl w:val="0"/>
          <w:numId w:val="1"/>
        </w:numPr>
        <w:tabs>
          <w:tab w:val="left" w:pos="707"/>
        </w:tabs>
        <w:ind w:right="287" w:hanging="566"/>
        <w:jc w:val="both"/>
      </w:pPr>
      <w:r>
        <w:t>The</w:t>
      </w:r>
      <w:r>
        <w:rPr>
          <w:spacing w:val="-11"/>
        </w:rPr>
        <w:t xml:space="preserve"> </w:t>
      </w:r>
      <w:r>
        <w:t>Company</w:t>
      </w:r>
      <w:r>
        <w:rPr>
          <w:spacing w:val="-11"/>
        </w:rPr>
        <w:t xml:space="preserve"> </w:t>
      </w:r>
      <w:r>
        <w:t>must</w:t>
      </w:r>
      <w:r>
        <w:rPr>
          <w:spacing w:val="-7"/>
        </w:rPr>
        <w:t xml:space="preserve"> </w:t>
      </w:r>
      <w:r>
        <w:t>notify</w:t>
      </w:r>
      <w:r>
        <w:rPr>
          <w:spacing w:val="-10"/>
        </w:rPr>
        <w:t xml:space="preserve"> </w:t>
      </w:r>
      <w:r>
        <w:t>APRA</w:t>
      </w:r>
      <w:r>
        <w:rPr>
          <w:spacing w:val="-8"/>
        </w:rPr>
        <w:t xml:space="preserve"> </w:t>
      </w:r>
      <w:r>
        <w:t>of</w:t>
      </w:r>
      <w:r>
        <w:rPr>
          <w:spacing w:val="-6"/>
        </w:rPr>
        <w:t xml:space="preserve"> </w:t>
      </w:r>
      <w:r>
        <w:t>the</w:t>
      </w:r>
      <w:r>
        <w:rPr>
          <w:spacing w:val="-11"/>
        </w:rPr>
        <w:t xml:space="preserve"> </w:t>
      </w:r>
      <w:r>
        <w:t>name,</w:t>
      </w:r>
      <w:r>
        <w:rPr>
          <w:spacing w:val="-9"/>
        </w:rPr>
        <w:t xml:space="preserve"> </w:t>
      </w:r>
      <w:r>
        <w:t>qualifications,</w:t>
      </w:r>
      <w:r>
        <w:rPr>
          <w:spacing w:val="-9"/>
        </w:rPr>
        <w:t xml:space="preserve"> </w:t>
      </w:r>
      <w:r>
        <w:t>experience</w:t>
      </w:r>
      <w:r>
        <w:rPr>
          <w:spacing w:val="-8"/>
        </w:rPr>
        <w:t xml:space="preserve"> </w:t>
      </w:r>
      <w:r>
        <w:t>and</w:t>
      </w:r>
      <w:r>
        <w:rPr>
          <w:spacing w:val="-7"/>
        </w:rPr>
        <w:t xml:space="preserve"> </w:t>
      </w:r>
      <w:r>
        <w:t>any</w:t>
      </w:r>
      <w:r>
        <w:rPr>
          <w:spacing w:val="-10"/>
        </w:rPr>
        <w:t xml:space="preserve"> </w:t>
      </w:r>
      <w:r>
        <w:t>other relevant details of any director proposed to be appointed to the Company’s board at least 14 days prior to the appointment of that independent</w:t>
      </w:r>
      <w:r>
        <w:rPr>
          <w:spacing w:val="-2"/>
        </w:rPr>
        <w:t xml:space="preserve"> </w:t>
      </w:r>
      <w:r>
        <w:t>director.</w:t>
      </w:r>
    </w:p>
    <w:p w14:paraId="353D005B" w14:textId="77777777" w:rsidR="00DC6703" w:rsidRDefault="00AC7E07">
      <w:pPr>
        <w:pStyle w:val="Heading2"/>
        <w:spacing w:before="121"/>
      </w:pPr>
      <w:r>
        <w:t>Board Audit and Risk Committee</w:t>
      </w:r>
    </w:p>
    <w:p w14:paraId="353D005C" w14:textId="77777777" w:rsidR="00DC6703" w:rsidRDefault="00AC7E07">
      <w:pPr>
        <w:pStyle w:val="ListParagraph"/>
        <w:numPr>
          <w:ilvl w:val="0"/>
          <w:numId w:val="1"/>
        </w:numPr>
        <w:tabs>
          <w:tab w:val="left" w:pos="707"/>
        </w:tabs>
        <w:spacing w:before="121"/>
        <w:ind w:right="292" w:hanging="566"/>
        <w:jc w:val="both"/>
      </w:pPr>
      <w:r>
        <w:t>The</w:t>
      </w:r>
      <w:r>
        <w:rPr>
          <w:spacing w:val="-31"/>
        </w:rPr>
        <w:t xml:space="preserve"> </w:t>
      </w:r>
      <w:r>
        <w:t>Company</w:t>
      </w:r>
      <w:r>
        <w:rPr>
          <w:spacing w:val="-32"/>
        </w:rPr>
        <w:t xml:space="preserve"> </w:t>
      </w:r>
      <w:r>
        <w:t>must</w:t>
      </w:r>
      <w:r>
        <w:rPr>
          <w:spacing w:val="-25"/>
        </w:rPr>
        <w:t xml:space="preserve"> </w:t>
      </w:r>
      <w:r>
        <w:t>have</w:t>
      </w:r>
      <w:r>
        <w:rPr>
          <w:spacing w:val="-26"/>
        </w:rPr>
        <w:t xml:space="preserve"> </w:t>
      </w:r>
      <w:r>
        <w:t>its</w:t>
      </w:r>
      <w:r>
        <w:rPr>
          <w:spacing w:val="-24"/>
        </w:rPr>
        <w:t xml:space="preserve"> </w:t>
      </w:r>
      <w:r>
        <w:t>own</w:t>
      </w:r>
      <w:r>
        <w:rPr>
          <w:spacing w:val="-25"/>
        </w:rPr>
        <w:t xml:space="preserve"> </w:t>
      </w:r>
      <w:r>
        <w:t>Board</w:t>
      </w:r>
      <w:r>
        <w:rPr>
          <w:spacing w:val="-29"/>
        </w:rPr>
        <w:t xml:space="preserve"> </w:t>
      </w:r>
      <w:r>
        <w:t>Audit</w:t>
      </w:r>
      <w:r>
        <w:rPr>
          <w:spacing w:val="-27"/>
        </w:rPr>
        <w:t xml:space="preserve"> </w:t>
      </w:r>
      <w:r>
        <w:t>Committee</w:t>
      </w:r>
      <w:r>
        <w:rPr>
          <w:spacing w:val="-29"/>
        </w:rPr>
        <w:t xml:space="preserve"> </w:t>
      </w:r>
      <w:r>
        <w:t>separate</w:t>
      </w:r>
      <w:r>
        <w:rPr>
          <w:spacing w:val="-32"/>
        </w:rPr>
        <w:t xml:space="preserve"> </w:t>
      </w:r>
      <w:r>
        <w:t>from</w:t>
      </w:r>
      <w:r>
        <w:rPr>
          <w:spacing w:val="-31"/>
        </w:rPr>
        <w:t xml:space="preserve"> </w:t>
      </w:r>
      <w:r>
        <w:t>the</w:t>
      </w:r>
      <w:r>
        <w:rPr>
          <w:spacing w:val="-32"/>
        </w:rPr>
        <w:t xml:space="preserve"> </w:t>
      </w:r>
      <w:r>
        <w:t>other</w:t>
      </w:r>
      <w:r>
        <w:rPr>
          <w:spacing w:val="-25"/>
        </w:rPr>
        <w:t xml:space="preserve"> </w:t>
      </w:r>
      <w:r>
        <w:t>entities of</w:t>
      </w:r>
      <w:r>
        <w:rPr>
          <w:spacing w:val="-22"/>
        </w:rPr>
        <w:t xml:space="preserve"> </w:t>
      </w:r>
      <w:r>
        <w:t>the</w:t>
      </w:r>
      <w:r>
        <w:rPr>
          <w:spacing w:val="-31"/>
        </w:rPr>
        <w:t xml:space="preserve"> </w:t>
      </w:r>
      <w:r>
        <w:t>IOOF</w:t>
      </w:r>
      <w:r>
        <w:rPr>
          <w:spacing w:val="-32"/>
        </w:rPr>
        <w:t xml:space="preserve"> </w:t>
      </w:r>
      <w:r>
        <w:t>Group</w:t>
      </w:r>
      <w:r>
        <w:rPr>
          <w:spacing w:val="-30"/>
        </w:rPr>
        <w:t xml:space="preserve"> </w:t>
      </w:r>
      <w:r>
        <w:t>that</w:t>
      </w:r>
      <w:r>
        <w:rPr>
          <w:spacing w:val="-25"/>
        </w:rPr>
        <w:t xml:space="preserve"> </w:t>
      </w:r>
      <w:r>
        <w:t>complies</w:t>
      </w:r>
      <w:r>
        <w:rPr>
          <w:spacing w:val="-23"/>
        </w:rPr>
        <w:t xml:space="preserve"> </w:t>
      </w:r>
      <w:r>
        <w:t>with</w:t>
      </w:r>
      <w:r>
        <w:rPr>
          <w:spacing w:val="-23"/>
        </w:rPr>
        <w:t xml:space="preserve"> </w:t>
      </w:r>
      <w:r>
        <w:t>Prudential</w:t>
      </w:r>
      <w:r>
        <w:rPr>
          <w:spacing w:val="-25"/>
        </w:rPr>
        <w:t xml:space="preserve"> </w:t>
      </w:r>
      <w:r>
        <w:t>Standard</w:t>
      </w:r>
      <w:r>
        <w:rPr>
          <w:spacing w:val="-25"/>
        </w:rPr>
        <w:t xml:space="preserve"> </w:t>
      </w:r>
      <w:r>
        <w:t>CPS</w:t>
      </w:r>
      <w:r>
        <w:rPr>
          <w:spacing w:val="-26"/>
        </w:rPr>
        <w:t xml:space="preserve"> </w:t>
      </w:r>
      <w:r>
        <w:t>510</w:t>
      </w:r>
      <w:r>
        <w:rPr>
          <w:spacing w:val="-32"/>
        </w:rPr>
        <w:t xml:space="preserve"> </w:t>
      </w:r>
      <w:r>
        <w:t>Governance</w:t>
      </w:r>
      <w:r>
        <w:rPr>
          <w:spacing w:val="-23"/>
        </w:rPr>
        <w:t xml:space="preserve"> </w:t>
      </w:r>
      <w:r>
        <w:t>in</w:t>
      </w:r>
      <w:r>
        <w:rPr>
          <w:spacing w:val="-29"/>
        </w:rPr>
        <w:t xml:space="preserve"> </w:t>
      </w:r>
      <w:r>
        <w:t>force from</w:t>
      </w:r>
      <w:r>
        <w:rPr>
          <w:spacing w:val="-4"/>
        </w:rPr>
        <w:t xml:space="preserve"> </w:t>
      </w:r>
      <w:r>
        <w:t>time-to-time.</w:t>
      </w:r>
    </w:p>
    <w:p w14:paraId="353D005D" w14:textId="77777777" w:rsidR="00DC6703" w:rsidRDefault="00DC6703">
      <w:pPr>
        <w:pStyle w:val="BodyText"/>
        <w:spacing w:before="6"/>
        <w:rPr>
          <w:sz w:val="32"/>
        </w:rPr>
      </w:pPr>
    </w:p>
    <w:p w14:paraId="353D005E" w14:textId="77777777" w:rsidR="00DC6703" w:rsidRDefault="00AC7E07">
      <w:pPr>
        <w:pStyle w:val="ListParagraph"/>
        <w:numPr>
          <w:ilvl w:val="0"/>
          <w:numId w:val="1"/>
        </w:numPr>
        <w:tabs>
          <w:tab w:val="left" w:pos="707"/>
        </w:tabs>
        <w:ind w:right="289" w:hanging="566"/>
        <w:jc w:val="both"/>
      </w:pPr>
      <w:r>
        <w:t>The</w:t>
      </w:r>
      <w:r>
        <w:rPr>
          <w:spacing w:val="-23"/>
        </w:rPr>
        <w:t xml:space="preserve"> </w:t>
      </w:r>
      <w:r>
        <w:t>Company</w:t>
      </w:r>
      <w:r>
        <w:rPr>
          <w:spacing w:val="-25"/>
        </w:rPr>
        <w:t xml:space="preserve"> </w:t>
      </w:r>
      <w:r>
        <w:t>must</w:t>
      </w:r>
      <w:r>
        <w:rPr>
          <w:spacing w:val="-21"/>
        </w:rPr>
        <w:t xml:space="preserve"> </w:t>
      </w:r>
      <w:r>
        <w:t>have</w:t>
      </w:r>
      <w:r>
        <w:rPr>
          <w:spacing w:val="-26"/>
        </w:rPr>
        <w:t xml:space="preserve"> </w:t>
      </w:r>
      <w:r>
        <w:t>its</w:t>
      </w:r>
      <w:r>
        <w:rPr>
          <w:spacing w:val="-20"/>
        </w:rPr>
        <w:t xml:space="preserve"> </w:t>
      </w:r>
      <w:r>
        <w:t>own</w:t>
      </w:r>
      <w:r>
        <w:rPr>
          <w:spacing w:val="-21"/>
        </w:rPr>
        <w:t xml:space="preserve"> </w:t>
      </w:r>
      <w:r>
        <w:t>Board</w:t>
      </w:r>
      <w:r>
        <w:rPr>
          <w:spacing w:val="-22"/>
        </w:rPr>
        <w:t xml:space="preserve"> </w:t>
      </w:r>
      <w:r>
        <w:t>Risk</w:t>
      </w:r>
      <w:r>
        <w:rPr>
          <w:spacing w:val="-18"/>
        </w:rPr>
        <w:t xml:space="preserve"> </w:t>
      </w:r>
      <w:r>
        <w:t>Committee</w:t>
      </w:r>
      <w:r>
        <w:rPr>
          <w:spacing w:val="-25"/>
        </w:rPr>
        <w:t xml:space="preserve"> </w:t>
      </w:r>
      <w:r>
        <w:t>separate</w:t>
      </w:r>
      <w:r>
        <w:rPr>
          <w:spacing w:val="-26"/>
        </w:rPr>
        <w:t xml:space="preserve"> </w:t>
      </w:r>
      <w:r>
        <w:t>from</w:t>
      </w:r>
      <w:r>
        <w:rPr>
          <w:spacing w:val="-21"/>
        </w:rPr>
        <w:t xml:space="preserve"> </w:t>
      </w:r>
      <w:r>
        <w:t>the</w:t>
      </w:r>
      <w:r>
        <w:rPr>
          <w:spacing w:val="-26"/>
        </w:rPr>
        <w:t xml:space="preserve"> </w:t>
      </w:r>
      <w:r>
        <w:t>other</w:t>
      </w:r>
      <w:r>
        <w:rPr>
          <w:spacing w:val="-19"/>
        </w:rPr>
        <w:t xml:space="preserve"> </w:t>
      </w:r>
      <w:r>
        <w:t>entities of</w:t>
      </w:r>
      <w:r>
        <w:rPr>
          <w:spacing w:val="-23"/>
        </w:rPr>
        <w:t xml:space="preserve"> </w:t>
      </w:r>
      <w:r>
        <w:t>the</w:t>
      </w:r>
      <w:r>
        <w:rPr>
          <w:spacing w:val="-31"/>
        </w:rPr>
        <w:t xml:space="preserve"> </w:t>
      </w:r>
      <w:r>
        <w:t>IOOF</w:t>
      </w:r>
      <w:r>
        <w:rPr>
          <w:spacing w:val="-29"/>
        </w:rPr>
        <w:t xml:space="preserve"> </w:t>
      </w:r>
      <w:r>
        <w:t>Group</w:t>
      </w:r>
      <w:r>
        <w:rPr>
          <w:spacing w:val="-30"/>
        </w:rPr>
        <w:t xml:space="preserve"> </w:t>
      </w:r>
      <w:r>
        <w:t>that</w:t>
      </w:r>
      <w:r>
        <w:rPr>
          <w:spacing w:val="-23"/>
        </w:rPr>
        <w:t xml:space="preserve"> </w:t>
      </w:r>
      <w:r>
        <w:t>complies</w:t>
      </w:r>
      <w:r>
        <w:rPr>
          <w:spacing w:val="-24"/>
        </w:rPr>
        <w:t xml:space="preserve"> </w:t>
      </w:r>
      <w:r>
        <w:t>with</w:t>
      </w:r>
      <w:r>
        <w:rPr>
          <w:spacing w:val="-23"/>
        </w:rPr>
        <w:t xml:space="preserve"> </w:t>
      </w:r>
      <w:r>
        <w:t>Prudential</w:t>
      </w:r>
      <w:r>
        <w:rPr>
          <w:spacing w:val="-26"/>
        </w:rPr>
        <w:t xml:space="preserve"> </w:t>
      </w:r>
      <w:r>
        <w:t>Standard</w:t>
      </w:r>
      <w:r>
        <w:rPr>
          <w:spacing w:val="-25"/>
        </w:rPr>
        <w:t xml:space="preserve"> </w:t>
      </w:r>
      <w:r>
        <w:t>CPS</w:t>
      </w:r>
      <w:r>
        <w:rPr>
          <w:spacing w:val="-26"/>
        </w:rPr>
        <w:t xml:space="preserve"> </w:t>
      </w:r>
      <w:r>
        <w:t>510</w:t>
      </w:r>
      <w:r>
        <w:rPr>
          <w:spacing w:val="-30"/>
        </w:rPr>
        <w:t xml:space="preserve"> </w:t>
      </w:r>
      <w:r>
        <w:t>Governance</w:t>
      </w:r>
      <w:r>
        <w:rPr>
          <w:spacing w:val="-22"/>
        </w:rPr>
        <w:t xml:space="preserve"> </w:t>
      </w:r>
      <w:r>
        <w:t>in</w:t>
      </w:r>
      <w:r>
        <w:rPr>
          <w:spacing w:val="-30"/>
        </w:rPr>
        <w:t xml:space="preserve"> </w:t>
      </w:r>
      <w:r>
        <w:t>force from</w:t>
      </w:r>
      <w:r>
        <w:rPr>
          <w:spacing w:val="-4"/>
        </w:rPr>
        <w:t xml:space="preserve"> </w:t>
      </w:r>
      <w:r>
        <w:t>time-to-time.</w:t>
      </w:r>
    </w:p>
    <w:p w14:paraId="353D005F" w14:textId="77777777" w:rsidR="00DC6703" w:rsidRDefault="00DC6703">
      <w:pPr>
        <w:jc w:val="both"/>
        <w:sectPr w:rsidR="00DC6703">
          <w:pgSz w:w="11910" w:h="16840"/>
          <w:pgMar w:top="1340" w:right="1300" w:bottom="280" w:left="1300" w:header="503" w:footer="0" w:gutter="0"/>
          <w:cols w:space="720"/>
        </w:sectPr>
      </w:pPr>
    </w:p>
    <w:p w14:paraId="353D0060" w14:textId="77777777" w:rsidR="00DC6703" w:rsidRDefault="00AC7E07">
      <w:pPr>
        <w:pStyle w:val="Heading2"/>
        <w:spacing w:before="83"/>
      </w:pPr>
      <w:r>
        <w:lastRenderedPageBreak/>
        <w:t>Independent Reviewer</w:t>
      </w:r>
    </w:p>
    <w:p w14:paraId="353D0061" w14:textId="77777777" w:rsidR="00DC6703" w:rsidRDefault="00AC7E07">
      <w:pPr>
        <w:pStyle w:val="ListParagraph"/>
        <w:numPr>
          <w:ilvl w:val="0"/>
          <w:numId w:val="1"/>
        </w:numPr>
        <w:tabs>
          <w:tab w:val="left" w:pos="707"/>
        </w:tabs>
        <w:spacing w:before="120"/>
        <w:ind w:right="291" w:hanging="566"/>
        <w:jc w:val="both"/>
      </w:pPr>
      <w:r>
        <w:t xml:space="preserve">By 31 January 2019 the Company must appoint an independent reviewer (or reviewers), to be approved by APRA and on terms approved by APRA, to report to APRA every six months, or as otherwise advised by APRA in writing, commencing from 31 </w:t>
      </w:r>
      <w:r>
        <w:rPr>
          <w:spacing w:val="-13"/>
        </w:rPr>
        <w:t xml:space="preserve">March </w:t>
      </w:r>
      <w:r>
        <w:t>2019 and cont</w:t>
      </w:r>
      <w:r>
        <w:t xml:space="preserve">inuing until advised in writing </w:t>
      </w:r>
      <w:r>
        <w:rPr>
          <w:spacing w:val="-8"/>
        </w:rPr>
        <w:t xml:space="preserve">by </w:t>
      </w:r>
      <w:r>
        <w:t>APRA, in relation to the status and quality of compliance with these Additional</w:t>
      </w:r>
      <w:r>
        <w:rPr>
          <w:spacing w:val="-3"/>
        </w:rPr>
        <w:t xml:space="preserve"> </w:t>
      </w:r>
      <w:r>
        <w:t>Conditions.</w:t>
      </w:r>
    </w:p>
    <w:p w14:paraId="353D0062" w14:textId="77777777" w:rsidR="00DC6703" w:rsidRDefault="00AC7E07">
      <w:pPr>
        <w:spacing w:before="120"/>
        <w:ind w:left="706"/>
        <w:rPr>
          <w:b/>
          <w:i/>
        </w:rPr>
      </w:pPr>
      <w:r>
        <w:rPr>
          <w:b/>
          <w:i/>
        </w:rPr>
        <w:t>Interpretation</w:t>
      </w:r>
    </w:p>
    <w:p w14:paraId="353D0063" w14:textId="77777777" w:rsidR="00DC6703" w:rsidRDefault="00AC7E07">
      <w:pPr>
        <w:pStyle w:val="BodyText"/>
        <w:spacing w:before="121"/>
        <w:ind w:left="706"/>
      </w:pPr>
      <w:r>
        <w:t>In these conditions:</w:t>
      </w:r>
    </w:p>
    <w:p w14:paraId="353D0064" w14:textId="77777777" w:rsidR="00DC6703" w:rsidRDefault="00AC7E07">
      <w:pPr>
        <w:pStyle w:val="BodyText"/>
        <w:spacing w:before="119"/>
        <w:ind w:left="709" w:right="389"/>
      </w:pPr>
      <w:r>
        <w:rPr>
          <w:b/>
        </w:rPr>
        <w:t xml:space="preserve">Additional Conditions </w:t>
      </w:r>
      <w:r>
        <w:t>mean the conditions imposed on the Company’s registration on 21 Decembe</w:t>
      </w:r>
      <w:r>
        <w:t>r 2018 as set out in items [1] to [9] above.</w:t>
      </w:r>
    </w:p>
    <w:p w14:paraId="353D0065" w14:textId="77777777" w:rsidR="00DC6703" w:rsidRDefault="00AC7E07">
      <w:pPr>
        <w:pStyle w:val="BodyText"/>
        <w:spacing w:before="120"/>
        <w:ind w:left="709"/>
      </w:pPr>
      <w:r>
        <w:rPr>
          <w:b/>
        </w:rPr>
        <w:t xml:space="preserve">APRA </w:t>
      </w:r>
      <w:r>
        <w:t>means the Australian Prudential Regulation Authority.</w:t>
      </w:r>
    </w:p>
    <w:p w14:paraId="353D0066" w14:textId="77777777" w:rsidR="00DC6703" w:rsidRDefault="00AC7E07">
      <w:pPr>
        <w:spacing w:before="119"/>
        <w:ind w:left="709" w:right="277"/>
      </w:pPr>
      <w:r>
        <w:rPr>
          <w:b/>
        </w:rPr>
        <w:t xml:space="preserve">AREs </w:t>
      </w:r>
      <w:r>
        <w:t xml:space="preserve">means the Company, IOOF Group Pty Ltd ABN 72 157 711 512 and any RSE licensee (as defined in subsection 10(1) of the </w:t>
      </w:r>
      <w:r>
        <w:rPr>
          <w:i/>
        </w:rPr>
        <w:t>Superannuation Industry (Super</w:t>
      </w:r>
      <w:r>
        <w:rPr>
          <w:i/>
        </w:rPr>
        <w:t>vision) Act 1993</w:t>
      </w:r>
      <w:r>
        <w:t>) within the IOOF Group.</w:t>
      </w:r>
    </w:p>
    <w:p w14:paraId="353D0067" w14:textId="77777777" w:rsidR="00DC6703" w:rsidRDefault="00AC7E07">
      <w:pPr>
        <w:spacing w:before="123"/>
        <w:ind w:left="709"/>
      </w:pPr>
      <w:r>
        <w:rPr>
          <w:b/>
        </w:rPr>
        <w:t xml:space="preserve">Company </w:t>
      </w:r>
      <w:r>
        <w:t>means IOOF Ltd ACN 087 649 625.</w:t>
      </w:r>
    </w:p>
    <w:p w14:paraId="353D0068" w14:textId="77777777" w:rsidR="00DC6703" w:rsidRDefault="00AC7E07">
      <w:pPr>
        <w:spacing w:before="119"/>
        <w:ind w:left="709"/>
      </w:pPr>
      <w:r>
        <w:rPr>
          <w:b/>
        </w:rPr>
        <w:t xml:space="preserve">Independent director </w:t>
      </w:r>
      <w:r>
        <w:t>means a person who is not:</w:t>
      </w:r>
    </w:p>
    <w:p w14:paraId="353D0069" w14:textId="77777777" w:rsidR="00DC6703" w:rsidRDefault="00AC7E07">
      <w:pPr>
        <w:pStyle w:val="ListParagraph"/>
        <w:numPr>
          <w:ilvl w:val="1"/>
          <w:numId w:val="1"/>
        </w:numPr>
        <w:tabs>
          <w:tab w:val="left" w:pos="1741"/>
          <w:tab w:val="left" w:pos="1742"/>
        </w:tabs>
        <w:spacing w:before="122" w:line="274" w:lineRule="exact"/>
        <w:rPr>
          <w:sz w:val="24"/>
        </w:rPr>
      </w:pPr>
      <w:r>
        <w:t>a</w:t>
      </w:r>
      <w:r>
        <w:rPr>
          <w:spacing w:val="-1"/>
        </w:rPr>
        <w:t xml:space="preserve"> </w:t>
      </w:r>
      <w:r>
        <w:t>director;</w:t>
      </w:r>
    </w:p>
    <w:p w14:paraId="353D006A" w14:textId="77777777" w:rsidR="00DC6703" w:rsidRDefault="00AC7E07">
      <w:pPr>
        <w:pStyle w:val="ListParagraph"/>
        <w:numPr>
          <w:ilvl w:val="1"/>
          <w:numId w:val="1"/>
        </w:numPr>
        <w:tabs>
          <w:tab w:val="left" w:pos="1741"/>
          <w:tab w:val="left" w:pos="1742"/>
        </w:tabs>
        <w:spacing w:line="271" w:lineRule="exact"/>
        <w:rPr>
          <w:sz w:val="24"/>
        </w:rPr>
      </w:pPr>
      <w:r>
        <w:t>an employee;</w:t>
      </w:r>
      <w:r>
        <w:rPr>
          <w:spacing w:val="1"/>
        </w:rPr>
        <w:t xml:space="preserve"> </w:t>
      </w:r>
      <w:r>
        <w:t>or</w:t>
      </w:r>
    </w:p>
    <w:p w14:paraId="353D006B" w14:textId="77777777" w:rsidR="00DC6703" w:rsidRDefault="00AC7E07">
      <w:pPr>
        <w:pStyle w:val="ListParagraph"/>
        <w:numPr>
          <w:ilvl w:val="1"/>
          <w:numId w:val="1"/>
        </w:numPr>
        <w:tabs>
          <w:tab w:val="left" w:pos="1741"/>
          <w:tab w:val="left" w:pos="1742"/>
        </w:tabs>
        <w:spacing w:line="274" w:lineRule="exact"/>
        <w:rPr>
          <w:sz w:val="24"/>
        </w:rPr>
      </w:pPr>
      <w:r>
        <w:t>a member of a committee,</w:t>
      </w:r>
    </w:p>
    <w:p w14:paraId="353D006C" w14:textId="77777777" w:rsidR="00DC6703" w:rsidRDefault="00DC6703">
      <w:pPr>
        <w:pStyle w:val="BodyText"/>
        <w:spacing w:before="4"/>
        <w:rPr>
          <w:sz w:val="20"/>
        </w:rPr>
      </w:pPr>
    </w:p>
    <w:p w14:paraId="353D006D" w14:textId="77777777" w:rsidR="00DC6703" w:rsidRDefault="00AC7E07">
      <w:pPr>
        <w:pStyle w:val="BodyText"/>
        <w:spacing w:before="1"/>
        <w:ind w:left="1174"/>
      </w:pPr>
      <w:r>
        <w:t>of an entity within the IOOF Group which is not an ARE.</w:t>
      </w:r>
    </w:p>
    <w:p w14:paraId="353D006E" w14:textId="77777777" w:rsidR="00DC6703" w:rsidRDefault="00AC7E07">
      <w:pPr>
        <w:pStyle w:val="BodyText"/>
        <w:spacing w:before="121"/>
        <w:ind w:left="709"/>
      </w:pPr>
      <w:r>
        <w:rPr>
          <w:b/>
        </w:rPr>
        <w:t xml:space="preserve">IOOF Group </w:t>
      </w:r>
      <w:r>
        <w:t>means IOOF Holdings Ltd ACN 100 103 722 and its subsidiaries.</w:t>
      </w:r>
    </w:p>
    <w:p w14:paraId="353D006F" w14:textId="77777777" w:rsidR="00DC6703" w:rsidRDefault="00AC7E07">
      <w:pPr>
        <w:spacing w:before="119"/>
        <w:ind w:left="709"/>
      </w:pPr>
      <w:r>
        <w:rPr>
          <w:b/>
        </w:rPr>
        <w:t xml:space="preserve">Life company </w:t>
      </w:r>
      <w:r>
        <w:t>has the meaning given in section 16C of the Act.</w:t>
      </w:r>
    </w:p>
    <w:p w14:paraId="353D0070" w14:textId="77777777" w:rsidR="00DC6703" w:rsidRDefault="00AC7E07">
      <w:pPr>
        <w:spacing w:before="119"/>
        <w:ind w:left="709" w:right="546"/>
      </w:pPr>
      <w:r>
        <w:rPr>
          <w:b/>
        </w:rPr>
        <w:t xml:space="preserve">Prudential matters </w:t>
      </w:r>
      <w:proofErr w:type="gramStart"/>
      <w:r>
        <w:t>has</w:t>
      </w:r>
      <w:proofErr w:type="gramEnd"/>
      <w:r>
        <w:t xml:space="preserve"> the meaning given in the Dictionary in the Schedule of the Act.</w:t>
      </w:r>
    </w:p>
    <w:sectPr w:rsidR="00DC6703">
      <w:pgSz w:w="11910" w:h="16840"/>
      <w:pgMar w:top="1340" w:right="1300" w:bottom="280" w:left="1300" w:header="5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D0079" w14:textId="77777777" w:rsidR="00000000" w:rsidRDefault="00AC7E07">
      <w:r>
        <w:separator/>
      </w:r>
    </w:p>
  </w:endnote>
  <w:endnote w:type="continuationSeparator" w:id="0">
    <w:p w14:paraId="353D007B" w14:textId="77777777" w:rsidR="00000000" w:rsidRDefault="00AC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D0075" w14:textId="77777777" w:rsidR="00000000" w:rsidRDefault="00AC7E07">
      <w:r>
        <w:separator/>
      </w:r>
    </w:p>
  </w:footnote>
  <w:footnote w:type="continuationSeparator" w:id="0">
    <w:p w14:paraId="353D0077" w14:textId="77777777" w:rsidR="00000000" w:rsidRDefault="00AC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0074" w14:textId="77777777" w:rsidR="00DC6703" w:rsidRDefault="00AC7E07">
    <w:pPr>
      <w:pStyle w:val="BodyText"/>
      <w:spacing w:line="14" w:lineRule="auto"/>
      <w:rPr>
        <w:sz w:val="20"/>
      </w:rPr>
    </w:pPr>
    <w:r>
      <w:pict w14:anchorId="353D0075">
        <v:shapetype id="_x0000_t202" coordsize="21600,21600" o:spt="202" path="m,l,21600r21600,l21600,xe">
          <v:stroke joinstyle="miter"/>
          <v:path gradientshapeok="t" o:connecttype="rect"/>
        </v:shapetype>
        <v:shape id="_x0000_s2049" type="#_x0000_t202" style="position:absolute;margin-left:240.75pt;margin-top:24.15pt;width:113.9pt;height:15.45pt;z-index:-251658752;mso-position-horizontal-relative:page;mso-position-vertical-relative:page" filled="f" stroked="f">
          <v:textbox inset="0,0,0,0">
            <w:txbxContent>
              <w:p w14:paraId="353D0076" w14:textId="70FD75E0" w:rsidR="00DC6703" w:rsidRDefault="00DC6703">
                <w:pPr>
                  <w:spacing w:before="12"/>
                  <w:ind w:left="20"/>
                  <w:rPr>
                    <w:b/>
                    <w:sz w:val="24"/>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AC7E07" w:rsidRPr="00CE796A" w14:paraId="6787B8CA" w14:textId="77777777" w:rsidTr="00180B62">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91837EE" w14:textId="77777777" w:rsidR="00AC7E07" w:rsidRPr="00CE796A" w:rsidRDefault="00AC7E07" w:rsidP="00AC7E07">
          <w:pPr>
            <w:spacing w:before="60"/>
            <w:ind w:left="-51"/>
            <w:rPr>
              <w:sz w:val="12"/>
            </w:rPr>
          </w:pPr>
          <w:bookmarkStart w:id="1" w:name="OLE_LINK2"/>
          <w:r>
            <w:rPr>
              <w:noProof/>
              <w:sz w:val="12"/>
            </w:rPr>
            <w:drawing>
              <wp:inline distT="0" distB="0" distL="0" distR="0" wp14:anchorId="6DE3BB79" wp14:editId="549BFCC7">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12671F6" w14:textId="77777777" w:rsidR="00AC7E07" w:rsidRPr="00CE796A" w:rsidRDefault="00AC7E07" w:rsidP="00AC7E07">
          <w:pPr>
            <w:spacing w:before="60" w:line="460" w:lineRule="exact"/>
            <w:rPr>
              <w:b/>
              <w:spacing w:val="-2"/>
              <w:sz w:val="44"/>
              <w:szCs w:val="44"/>
            </w:rPr>
          </w:pPr>
          <w:r w:rsidRPr="00CE796A">
            <w:rPr>
              <w:b/>
              <w:spacing w:val="-2"/>
              <w:sz w:val="44"/>
              <w:szCs w:val="44"/>
            </w:rPr>
            <w:t>Commonwealth</w:t>
          </w:r>
          <w:r w:rsidRPr="00CE796A">
            <w:rPr>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AEED5AA" w14:textId="77777777" w:rsidR="00AC7E07" w:rsidRPr="00CE796A" w:rsidRDefault="00AC7E07" w:rsidP="00AC7E07">
          <w:pPr>
            <w:spacing w:before="180" w:line="800" w:lineRule="exact"/>
            <w:jc w:val="right"/>
            <w:rPr>
              <w:b/>
              <w:sz w:val="100"/>
              <w:szCs w:val="100"/>
            </w:rPr>
          </w:pPr>
          <w:r w:rsidRPr="00CE796A">
            <w:rPr>
              <w:b/>
              <w:sz w:val="100"/>
              <w:szCs w:val="100"/>
            </w:rPr>
            <w:t>Gazette</w:t>
          </w:r>
        </w:p>
      </w:tc>
    </w:tr>
    <w:tr w:rsidR="00AC7E07" w:rsidRPr="00CE796A" w14:paraId="0DFE3FD6" w14:textId="77777777" w:rsidTr="00180B62">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CC91C16" w14:textId="77777777" w:rsidR="00AC7E07" w:rsidRPr="00CE796A" w:rsidRDefault="00AC7E07" w:rsidP="00AC7E07">
          <w:pPr>
            <w:ind w:left="-51"/>
            <w:rPr>
              <w:sz w:val="14"/>
              <w:szCs w:val="14"/>
            </w:rPr>
          </w:pPr>
          <w:bookmarkStart w:id="2" w:name="GazNo"/>
          <w:bookmarkEnd w:id="2"/>
          <w:r w:rsidRPr="00CE796A">
            <w:rPr>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A4757C1" w14:textId="77777777" w:rsidR="00AC7E07" w:rsidRPr="00840A06" w:rsidRDefault="00AC7E07" w:rsidP="00AC7E07">
          <w:pPr>
            <w:jc w:val="right"/>
            <w:rPr>
              <w:b/>
              <w:sz w:val="24"/>
              <w:szCs w:val="24"/>
            </w:rPr>
          </w:pPr>
          <w:r w:rsidRPr="00840A06">
            <w:rPr>
              <w:b/>
              <w:sz w:val="24"/>
              <w:szCs w:val="24"/>
            </w:rPr>
            <w:t>GOVERNMENT NOTICES</w:t>
          </w:r>
        </w:p>
      </w:tc>
    </w:tr>
    <w:bookmarkEnd w:id="1"/>
  </w:tbl>
  <w:p w14:paraId="4A927CBC" w14:textId="77777777" w:rsidR="00AC7E07" w:rsidRDefault="00AC7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02B"/>
    <w:multiLevelType w:val="hybridMultilevel"/>
    <w:tmpl w:val="E6782FEE"/>
    <w:lvl w:ilvl="0" w:tplc="36304602">
      <w:start w:val="1"/>
      <w:numFmt w:val="decimal"/>
      <w:lvlText w:val="%1."/>
      <w:lvlJc w:val="left"/>
      <w:pPr>
        <w:ind w:left="706" w:hanging="567"/>
        <w:jc w:val="left"/>
      </w:pPr>
      <w:rPr>
        <w:rFonts w:ascii="Arial" w:eastAsia="Arial" w:hAnsi="Arial" w:cs="Arial" w:hint="default"/>
        <w:spacing w:val="-1"/>
        <w:w w:val="100"/>
        <w:sz w:val="22"/>
        <w:szCs w:val="22"/>
        <w:lang w:val="en-AU" w:eastAsia="en-AU" w:bidi="en-AU"/>
      </w:rPr>
    </w:lvl>
    <w:lvl w:ilvl="1" w:tplc="0D909112">
      <w:start w:val="1"/>
      <w:numFmt w:val="lowerLetter"/>
      <w:lvlText w:val="(%2)"/>
      <w:lvlJc w:val="left"/>
      <w:pPr>
        <w:ind w:left="1741" w:hanging="567"/>
        <w:jc w:val="left"/>
      </w:pPr>
      <w:rPr>
        <w:rFonts w:hint="default"/>
        <w:w w:val="99"/>
        <w:lang w:val="en-AU" w:eastAsia="en-AU" w:bidi="en-AU"/>
      </w:rPr>
    </w:lvl>
    <w:lvl w:ilvl="2" w:tplc="FCCEF768">
      <w:numFmt w:val="bullet"/>
      <w:lvlText w:val="•"/>
      <w:lvlJc w:val="left"/>
      <w:pPr>
        <w:ind w:left="1740" w:hanging="567"/>
      </w:pPr>
      <w:rPr>
        <w:rFonts w:hint="default"/>
        <w:lang w:val="en-AU" w:eastAsia="en-AU" w:bidi="en-AU"/>
      </w:rPr>
    </w:lvl>
    <w:lvl w:ilvl="3" w:tplc="189A3378">
      <w:numFmt w:val="bullet"/>
      <w:lvlText w:val="•"/>
      <w:lvlJc w:val="left"/>
      <w:pPr>
        <w:ind w:left="2685" w:hanging="567"/>
      </w:pPr>
      <w:rPr>
        <w:rFonts w:hint="default"/>
        <w:lang w:val="en-AU" w:eastAsia="en-AU" w:bidi="en-AU"/>
      </w:rPr>
    </w:lvl>
    <w:lvl w:ilvl="4" w:tplc="F134100C">
      <w:numFmt w:val="bullet"/>
      <w:lvlText w:val="•"/>
      <w:lvlJc w:val="left"/>
      <w:pPr>
        <w:ind w:left="3631" w:hanging="567"/>
      </w:pPr>
      <w:rPr>
        <w:rFonts w:hint="default"/>
        <w:lang w:val="en-AU" w:eastAsia="en-AU" w:bidi="en-AU"/>
      </w:rPr>
    </w:lvl>
    <w:lvl w:ilvl="5" w:tplc="E0E2DF30">
      <w:numFmt w:val="bullet"/>
      <w:lvlText w:val="•"/>
      <w:lvlJc w:val="left"/>
      <w:pPr>
        <w:ind w:left="4577" w:hanging="567"/>
      </w:pPr>
      <w:rPr>
        <w:rFonts w:hint="default"/>
        <w:lang w:val="en-AU" w:eastAsia="en-AU" w:bidi="en-AU"/>
      </w:rPr>
    </w:lvl>
    <w:lvl w:ilvl="6" w:tplc="CBDEAE3C">
      <w:numFmt w:val="bullet"/>
      <w:lvlText w:val="•"/>
      <w:lvlJc w:val="left"/>
      <w:pPr>
        <w:ind w:left="5523" w:hanging="567"/>
      </w:pPr>
      <w:rPr>
        <w:rFonts w:hint="default"/>
        <w:lang w:val="en-AU" w:eastAsia="en-AU" w:bidi="en-AU"/>
      </w:rPr>
    </w:lvl>
    <w:lvl w:ilvl="7" w:tplc="E044557C">
      <w:numFmt w:val="bullet"/>
      <w:lvlText w:val="•"/>
      <w:lvlJc w:val="left"/>
      <w:pPr>
        <w:ind w:left="6469" w:hanging="567"/>
      </w:pPr>
      <w:rPr>
        <w:rFonts w:hint="default"/>
        <w:lang w:val="en-AU" w:eastAsia="en-AU" w:bidi="en-AU"/>
      </w:rPr>
    </w:lvl>
    <w:lvl w:ilvl="8" w:tplc="F6CC8C58">
      <w:numFmt w:val="bullet"/>
      <w:lvlText w:val="•"/>
      <w:lvlJc w:val="left"/>
      <w:pPr>
        <w:ind w:left="7414" w:hanging="567"/>
      </w:pPr>
      <w:rPr>
        <w:rFonts w:hint="default"/>
        <w:lang w:val="en-AU" w:eastAsia="en-AU" w:bidi="en-AU"/>
      </w:rPr>
    </w:lvl>
  </w:abstractNum>
  <w:abstractNum w:abstractNumId="1" w15:restartNumberingAfterBreak="0">
    <w:nsid w:val="336E3888"/>
    <w:multiLevelType w:val="hybridMultilevel"/>
    <w:tmpl w:val="D398FA46"/>
    <w:lvl w:ilvl="0" w:tplc="F42276BA">
      <w:start w:val="13"/>
      <w:numFmt w:val="decimal"/>
      <w:lvlText w:val="%1."/>
      <w:lvlJc w:val="left"/>
      <w:pPr>
        <w:ind w:left="1273" w:hanging="567"/>
        <w:jc w:val="left"/>
      </w:pPr>
      <w:rPr>
        <w:rFonts w:ascii="Arial" w:eastAsia="Arial" w:hAnsi="Arial" w:cs="Arial" w:hint="default"/>
        <w:spacing w:val="-1"/>
        <w:w w:val="100"/>
        <w:sz w:val="22"/>
        <w:szCs w:val="22"/>
        <w:lang w:val="en-AU" w:eastAsia="en-AU" w:bidi="en-AU"/>
      </w:rPr>
    </w:lvl>
    <w:lvl w:ilvl="1" w:tplc="5B042854">
      <w:start w:val="1"/>
      <w:numFmt w:val="lowerLetter"/>
      <w:lvlText w:val="%2."/>
      <w:lvlJc w:val="left"/>
      <w:pPr>
        <w:ind w:left="1700" w:hanging="428"/>
        <w:jc w:val="left"/>
      </w:pPr>
      <w:rPr>
        <w:rFonts w:ascii="Arial" w:eastAsia="Arial" w:hAnsi="Arial" w:cs="Arial" w:hint="default"/>
        <w:spacing w:val="-1"/>
        <w:w w:val="100"/>
        <w:sz w:val="22"/>
        <w:szCs w:val="22"/>
        <w:lang w:val="en-AU" w:eastAsia="en-AU" w:bidi="en-AU"/>
      </w:rPr>
    </w:lvl>
    <w:lvl w:ilvl="2" w:tplc="79FE7A88">
      <w:numFmt w:val="bullet"/>
      <w:lvlText w:val="•"/>
      <w:lvlJc w:val="left"/>
      <w:pPr>
        <w:ind w:left="2545" w:hanging="428"/>
      </w:pPr>
      <w:rPr>
        <w:rFonts w:hint="default"/>
        <w:lang w:val="en-AU" w:eastAsia="en-AU" w:bidi="en-AU"/>
      </w:rPr>
    </w:lvl>
    <w:lvl w:ilvl="3" w:tplc="25628C00">
      <w:numFmt w:val="bullet"/>
      <w:lvlText w:val="•"/>
      <w:lvlJc w:val="left"/>
      <w:pPr>
        <w:ind w:left="3390" w:hanging="428"/>
      </w:pPr>
      <w:rPr>
        <w:rFonts w:hint="default"/>
        <w:lang w:val="en-AU" w:eastAsia="en-AU" w:bidi="en-AU"/>
      </w:rPr>
    </w:lvl>
    <w:lvl w:ilvl="4" w:tplc="560EB12C">
      <w:numFmt w:val="bullet"/>
      <w:lvlText w:val="•"/>
      <w:lvlJc w:val="left"/>
      <w:pPr>
        <w:ind w:left="4235" w:hanging="428"/>
      </w:pPr>
      <w:rPr>
        <w:rFonts w:hint="default"/>
        <w:lang w:val="en-AU" w:eastAsia="en-AU" w:bidi="en-AU"/>
      </w:rPr>
    </w:lvl>
    <w:lvl w:ilvl="5" w:tplc="8258FE78">
      <w:numFmt w:val="bullet"/>
      <w:lvlText w:val="•"/>
      <w:lvlJc w:val="left"/>
      <w:pPr>
        <w:ind w:left="5080" w:hanging="428"/>
      </w:pPr>
      <w:rPr>
        <w:rFonts w:hint="default"/>
        <w:lang w:val="en-AU" w:eastAsia="en-AU" w:bidi="en-AU"/>
      </w:rPr>
    </w:lvl>
    <w:lvl w:ilvl="6" w:tplc="C51C5C9C">
      <w:numFmt w:val="bullet"/>
      <w:lvlText w:val="•"/>
      <w:lvlJc w:val="left"/>
      <w:pPr>
        <w:ind w:left="5925" w:hanging="428"/>
      </w:pPr>
      <w:rPr>
        <w:rFonts w:hint="default"/>
        <w:lang w:val="en-AU" w:eastAsia="en-AU" w:bidi="en-AU"/>
      </w:rPr>
    </w:lvl>
    <w:lvl w:ilvl="7" w:tplc="61F8D232">
      <w:numFmt w:val="bullet"/>
      <w:lvlText w:val="•"/>
      <w:lvlJc w:val="left"/>
      <w:pPr>
        <w:ind w:left="6770" w:hanging="428"/>
      </w:pPr>
      <w:rPr>
        <w:rFonts w:hint="default"/>
        <w:lang w:val="en-AU" w:eastAsia="en-AU" w:bidi="en-AU"/>
      </w:rPr>
    </w:lvl>
    <w:lvl w:ilvl="8" w:tplc="4E405616">
      <w:numFmt w:val="bullet"/>
      <w:lvlText w:val="•"/>
      <w:lvlJc w:val="left"/>
      <w:pPr>
        <w:ind w:left="7616" w:hanging="428"/>
      </w:pPr>
      <w:rPr>
        <w:rFonts w:hint="default"/>
        <w:lang w:val="en-AU" w:eastAsia="en-AU" w:bidi="en-AU"/>
      </w:rPr>
    </w:lvl>
  </w:abstractNum>
  <w:abstractNum w:abstractNumId="2" w15:restartNumberingAfterBreak="0">
    <w:nsid w:val="4E4C7B94"/>
    <w:multiLevelType w:val="hybridMultilevel"/>
    <w:tmpl w:val="4FD86C8E"/>
    <w:lvl w:ilvl="0" w:tplc="24FEADC4">
      <w:start w:val="1"/>
      <w:numFmt w:val="decimal"/>
      <w:lvlText w:val="%1."/>
      <w:lvlJc w:val="left"/>
      <w:pPr>
        <w:ind w:left="706" w:hanging="360"/>
        <w:jc w:val="left"/>
      </w:pPr>
      <w:rPr>
        <w:rFonts w:ascii="Arial" w:eastAsia="Arial" w:hAnsi="Arial" w:cs="Arial" w:hint="default"/>
        <w:spacing w:val="-1"/>
        <w:w w:val="100"/>
        <w:sz w:val="22"/>
        <w:szCs w:val="22"/>
        <w:lang w:val="en-AU" w:eastAsia="en-AU" w:bidi="en-AU"/>
      </w:rPr>
    </w:lvl>
    <w:lvl w:ilvl="1" w:tplc="E6747D64">
      <w:numFmt w:val="bullet"/>
      <w:lvlText w:val="•"/>
      <w:lvlJc w:val="left"/>
      <w:pPr>
        <w:ind w:left="1280" w:hanging="360"/>
      </w:pPr>
      <w:rPr>
        <w:rFonts w:hint="default"/>
        <w:lang w:val="en-AU" w:eastAsia="en-AU" w:bidi="en-AU"/>
      </w:rPr>
    </w:lvl>
    <w:lvl w:ilvl="2" w:tplc="D0C6CCF6">
      <w:numFmt w:val="bullet"/>
      <w:lvlText w:val="•"/>
      <w:lvlJc w:val="left"/>
      <w:pPr>
        <w:ind w:left="2171" w:hanging="360"/>
      </w:pPr>
      <w:rPr>
        <w:rFonts w:hint="default"/>
        <w:lang w:val="en-AU" w:eastAsia="en-AU" w:bidi="en-AU"/>
      </w:rPr>
    </w:lvl>
    <w:lvl w:ilvl="3" w:tplc="8D28BBF0">
      <w:numFmt w:val="bullet"/>
      <w:lvlText w:val="•"/>
      <w:lvlJc w:val="left"/>
      <w:pPr>
        <w:ind w:left="3063" w:hanging="360"/>
      </w:pPr>
      <w:rPr>
        <w:rFonts w:hint="default"/>
        <w:lang w:val="en-AU" w:eastAsia="en-AU" w:bidi="en-AU"/>
      </w:rPr>
    </w:lvl>
    <w:lvl w:ilvl="4" w:tplc="7988D864">
      <w:numFmt w:val="bullet"/>
      <w:lvlText w:val="•"/>
      <w:lvlJc w:val="left"/>
      <w:pPr>
        <w:ind w:left="3955" w:hanging="360"/>
      </w:pPr>
      <w:rPr>
        <w:rFonts w:hint="default"/>
        <w:lang w:val="en-AU" w:eastAsia="en-AU" w:bidi="en-AU"/>
      </w:rPr>
    </w:lvl>
    <w:lvl w:ilvl="5" w:tplc="15F6D902">
      <w:numFmt w:val="bullet"/>
      <w:lvlText w:val="•"/>
      <w:lvlJc w:val="left"/>
      <w:pPr>
        <w:ind w:left="4847" w:hanging="360"/>
      </w:pPr>
      <w:rPr>
        <w:rFonts w:hint="default"/>
        <w:lang w:val="en-AU" w:eastAsia="en-AU" w:bidi="en-AU"/>
      </w:rPr>
    </w:lvl>
    <w:lvl w:ilvl="6" w:tplc="B33CB3D6">
      <w:numFmt w:val="bullet"/>
      <w:lvlText w:val="•"/>
      <w:lvlJc w:val="left"/>
      <w:pPr>
        <w:ind w:left="5739" w:hanging="360"/>
      </w:pPr>
      <w:rPr>
        <w:rFonts w:hint="default"/>
        <w:lang w:val="en-AU" w:eastAsia="en-AU" w:bidi="en-AU"/>
      </w:rPr>
    </w:lvl>
    <w:lvl w:ilvl="7" w:tplc="91CA5E22">
      <w:numFmt w:val="bullet"/>
      <w:lvlText w:val="•"/>
      <w:lvlJc w:val="left"/>
      <w:pPr>
        <w:ind w:left="6630" w:hanging="360"/>
      </w:pPr>
      <w:rPr>
        <w:rFonts w:hint="default"/>
        <w:lang w:val="en-AU" w:eastAsia="en-AU" w:bidi="en-AU"/>
      </w:rPr>
    </w:lvl>
    <w:lvl w:ilvl="8" w:tplc="BF689012">
      <w:numFmt w:val="bullet"/>
      <w:lvlText w:val="•"/>
      <w:lvlJc w:val="left"/>
      <w:pPr>
        <w:ind w:left="7522" w:hanging="360"/>
      </w:pPr>
      <w:rPr>
        <w:rFonts w:hint="default"/>
        <w:lang w:val="en-AU" w:eastAsia="en-AU" w:bidi="en-AU"/>
      </w:rPr>
    </w:lvl>
  </w:abstractNum>
  <w:abstractNum w:abstractNumId="3" w15:restartNumberingAfterBreak="0">
    <w:nsid w:val="6DB87265"/>
    <w:multiLevelType w:val="hybridMultilevel"/>
    <w:tmpl w:val="9FCE5466"/>
    <w:lvl w:ilvl="0" w:tplc="44C82086">
      <w:start w:val="9"/>
      <w:numFmt w:val="decimal"/>
      <w:lvlText w:val="%1."/>
      <w:lvlJc w:val="left"/>
      <w:pPr>
        <w:ind w:left="1273" w:hanging="567"/>
        <w:jc w:val="left"/>
      </w:pPr>
      <w:rPr>
        <w:rFonts w:ascii="Arial" w:eastAsia="Arial" w:hAnsi="Arial" w:cs="Arial" w:hint="default"/>
        <w:spacing w:val="-1"/>
        <w:w w:val="100"/>
        <w:sz w:val="22"/>
        <w:szCs w:val="22"/>
        <w:lang w:val="en-AU" w:eastAsia="en-AU" w:bidi="en-AU"/>
      </w:rPr>
    </w:lvl>
    <w:lvl w:ilvl="1" w:tplc="368E3D64">
      <w:numFmt w:val="bullet"/>
      <w:lvlText w:val="•"/>
      <w:lvlJc w:val="left"/>
      <w:pPr>
        <w:ind w:left="2082" w:hanging="567"/>
      </w:pPr>
      <w:rPr>
        <w:rFonts w:hint="default"/>
        <w:lang w:val="en-AU" w:eastAsia="en-AU" w:bidi="en-AU"/>
      </w:rPr>
    </w:lvl>
    <w:lvl w:ilvl="2" w:tplc="72860CF8">
      <w:numFmt w:val="bullet"/>
      <w:lvlText w:val="•"/>
      <w:lvlJc w:val="left"/>
      <w:pPr>
        <w:ind w:left="2885" w:hanging="567"/>
      </w:pPr>
      <w:rPr>
        <w:rFonts w:hint="default"/>
        <w:lang w:val="en-AU" w:eastAsia="en-AU" w:bidi="en-AU"/>
      </w:rPr>
    </w:lvl>
    <w:lvl w:ilvl="3" w:tplc="CC72B152">
      <w:numFmt w:val="bullet"/>
      <w:lvlText w:val="•"/>
      <w:lvlJc w:val="left"/>
      <w:pPr>
        <w:ind w:left="3687" w:hanging="567"/>
      </w:pPr>
      <w:rPr>
        <w:rFonts w:hint="default"/>
        <w:lang w:val="en-AU" w:eastAsia="en-AU" w:bidi="en-AU"/>
      </w:rPr>
    </w:lvl>
    <w:lvl w:ilvl="4" w:tplc="2D58E2C2">
      <w:numFmt w:val="bullet"/>
      <w:lvlText w:val="•"/>
      <w:lvlJc w:val="left"/>
      <w:pPr>
        <w:ind w:left="4490" w:hanging="567"/>
      </w:pPr>
      <w:rPr>
        <w:rFonts w:hint="default"/>
        <w:lang w:val="en-AU" w:eastAsia="en-AU" w:bidi="en-AU"/>
      </w:rPr>
    </w:lvl>
    <w:lvl w:ilvl="5" w:tplc="EC6A4134">
      <w:numFmt w:val="bullet"/>
      <w:lvlText w:val="•"/>
      <w:lvlJc w:val="left"/>
      <w:pPr>
        <w:ind w:left="5293" w:hanging="567"/>
      </w:pPr>
      <w:rPr>
        <w:rFonts w:hint="default"/>
        <w:lang w:val="en-AU" w:eastAsia="en-AU" w:bidi="en-AU"/>
      </w:rPr>
    </w:lvl>
    <w:lvl w:ilvl="6" w:tplc="B5BEA932">
      <w:numFmt w:val="bullet"/>
      <w:lvlText w:val="•"/>
      <w:lvlJc w:val="left"/>
      <w:pPr>
        <w:ind w:left="6095" w:hanging="567"/>
      </w:pPr>
      <w:rPr>
        <w:rFonts w:hint="default"/>
        <w:lang w:val="en-AU" w:eastAsia="en-AU" w:bidi="en-AU"/>
      </w:rPr>
    </w:lvl>
    <w:lvl w:ilvl="7" w:tplc="56E29B88">
      <w:numFmt w:val="bullet"/>
      <w:lvlText w:val="•"/>
      <w:lvlJc w:val="left"/>
      <w:pPr>
        <w:ind w:left="6898" w:hanging="567"/>
      </w:pPr>
      <w:rPr>
        <w:rFonts w:hint="default"/>
        <w:lang w:val="en-AU" w:eastAsia="en-AU" w:bidi="en-AU"/>
      </w:rPr>
    </w:lvl>
    <w:lvl w:ilvl="8" w:tplc="4954A3EA">
      <w:numFmt w:val="bullet"/>
      <w:lvlText w:val="•"/>
      <w:lvlJc w:val="left"/>
      <w:pPr>
        <w:ind w:left="7701" w:hanging="567"/>
      </w:pPr>
      <w:rPr>
        <w:rFonts w:hint="default"/>
        <w:lang w:val="en-AU" w:eastAsia="en-AU" w:bidi="en-AU"/>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C6703"/>
    <w:rsid w:val="00AC7E07"/>
    <w:rsid w:val="00DC6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3D0004"/>
  <w15:docId w15:val="{DA0584CC-368E-4205-AD23-A94E68A2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82"/>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73"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7E07"/>
    <w:pPr>
      <w:tabs>
        <w:tab w:val="center" w:pos="4513"/>
        <w:tab w:val="right" w:pos="9026"/>
      </w:tabs>
    </w:pPr>
  </w:style>
  <w:style w:type="character" w:customStyle="1" w:styleId="HeaderChar">
    <w:name w:val="Header Char"/>
    <w:basedOn w:val="DefaultParagraphFont"/>
    <w:link w:val="Header"/>
    <w:uiPriority w:val="99"/>
    <w:rsid w:val="00AC7E07"/>
    <w:rPr>
      <w:rFonts w:ascii="Arial" w:eastAsia="Arial" w:hAnsi="Arial" w:cs="Arial"/>
      <w:lang w:val="en-AU" w:eastAsia="en-AU" w:bidi="en-AU"/>
    </w:rPr>
  </w:style>
  <w:style w:type="paragraph" w:styleId="Footer">
    <w:name w:val="footer"/>
    <w:basedOn w:val="Normal"/>
    <w:link w:val="FooterChar"/>
    <w:uiPriority w:val="99"/>
    <w:unhideWhenUsed/>
    <w:rsid w:val="00AC7E07"/>
    <w:pPr>
      <w:tabs>
        <w:tab w:val="center" w:pos="4513"/>
        <w:tab w:val="right" w:pos="9026"/>
      </w:tabs>
    </w:pPr>
  </w:style>
  <w:style w:type="character" w:customStyle="1" w:styleId="FooterChar">
    <w:name w:val="Footer Char"/>
    <w:basedOn w:val="DefaultParagraphFont"/>
    <w:link w:val="Footer"/>
    <w:uiPriority w:val="99"/>
    <w:rsid w:val="00AC7E07"/>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_dlc_DocId xmlns="814d62cb-2db6-4c25-ab62-b9075facbc11">5JENXJJSCC7A-445999044-11411</_dlc_DocId>
    <TaxCatchAll xmlns="814d62cb-2db6-4c25-ab62-b9075facbc11">
      <Value>24</Value>
      <Value>134</Value>
      <Value>83</Value>
      <Value>26</Value>
      <Value>10</Value>
      <Value>109</Value>
      <Value>93</Value>
      <Value>58</Value>
      <Value>230</Value>
      <Value>4</Value>
      <Value>19</Value>
    </TaxCatchAll>
    <_dlc_DocIdUrl xmlns="814d62cb-2db6-4c25-ab62-b9075facbc11">
      <Url>https://im/teams/LEGAL/_layouts/15/DocIdRedir.aspx?ID=5JENXJJSCC7A-445999044-11411</Url>
      <Description>5JENXJJSCC7A-445999044-11411</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Life company registration conditions variation and revocation</APRADescription>
    <APRAActivityID xmlns="814d62cb-2db6-4c25-ab62-b9075facbc11" xsi:nil="true"/>
    <APRADocScanCheck xmlns="814d62cb-2db6-4c25-ab62-b9075facbc11">false</APRADocScanChec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9FA66-43B6-4864-A3C9-A43933DA0762}">
  <ds:schemaRef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814d62cb-2db6-4c25-ab62-b9075facbc11"/>
    <ds:schemaRef ds:uri="http://purl.org/dc/terms/"/>
  </ds:schemaRefs>
</ds:datastoreItem>
</file>

<file path=customXml/itemProps2.xml><?xml version="1.0" encoding="utf-8"?>
<ds:datastoreItem xmlns:ds="http://schemas.openxmlformats.org/officeDocument/2006/customXml" ds:itemID="{76A393AB-165A-453E-929F-12A268313EE2}">
  <ds:schemaRefs>
    <ds:schemaRef ds:uri="http://schemas.microsoft.com/sharepoint/v3/contenttype/forms"/>
  </ds:schemaRefs>
</ds:datastoreItem>
</file>

<file path=customXml/itemProps3.xml><?xml version="1.0" encoding="utf-8"?>
<ds:datastoreItem xmlns:ds="http://schemas.openxmlformats.org/officeDocument/2006/customXml" ds:itemID="{A20364A8-45E2-43AD-8569-53EDD28F66BC}">
  <ds:schemaRefs>
    <ds:schemaRef ds:uri="http://schemas.microsoft.com/sharepoint/events"/>
  </ds:schemaRefs>
</ds:datastoreItem>
</file>

<file path=customXml/itemProps4.xml><?xml version="1.0" encoding="utf-8"?>
<ds:datastoreItem xmlns:ds="http://schemas.openxmlformats.org/officeDocument/2006/customXml" ds:itemID="{101CCD3D-70E6-4293-877F-073401739B2B}">
  <ds:schemaRefs>
    <ds:schemaRef ds:uri="Microsoft.SharePoint.Taxonomy.ContentTypeSync"/>
  </ds:schemaRefs>
</ds:datastoreItem>
</file>

<file path=customXml/itemProps5.xml><?xml version="1.0" encoding="utf-8"?>
<ds:datastoreItem xmlns:ds="http://schemas.openxmlformats.org/officeDocument/2006/customXml" ds:itemID="{4A1B7113-79C6-490F-8459-873B918C9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1359</Words>
  <Characters>6920</Characters>
  <Application>Microsoft Office Word</Application>
  <DocSecurity>0</DocSecurity>
  <Lines>177</Lines>
  <Paragraphs>85</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IOOF LTD - 150121</dc:title>
  <cp:keywords> [SEC=OFFICIAL]</cp:keywords>
  <cp:lastModifiedBy>Michalis, Toni</cp:lastModifiedBy>
  <cp:revision>2</cp:revision>
  <dcterms:created xsi:type="dcterms:W3CDTF">2021-01-20T02:11:00Z</dcterms:created>
  <dcterms:modified xsi:type="dcterms:W3CDTF">2021-01-20T02:13:00Z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LastSaved">
    <vt:filetime>2021-01-20T00:00:00Z</vt:filetime>
  </property>
  <property fmtid="{D5CDD505-2E9C-101B-9397-08002B2CF9AE}" pid="4" name="APRAPeriod">
    <vt:lpwstr/>
  </property>
  <property fmtid="{D5CDD505-2E9C-101B-9397-08002B2CF9AE}" pid="5" name="APRACostCentre">
    <vt:lpwstr>134;#Legal - Superannuation|cce3181d-fd23-4eee-94d3-c66abc2350cf;#26;#Legal - Insurance: General|8229dc1a-d7f2-47b2-844a-b026fed0c13d;#83;#Legal - Insurance: Life|56f18b50-6605-4f3f-97e3-cad1cb5394e0;#93;#Legal - Insurance: Health|21611e62-d688-4f0d-8807-02701cc43699;#24;#Legal - ADI|652d8d2a-ab45-47b4-ac6e-fe6ac9299b39;#4;#Legal - Resolution ＆ Corporate|696624b1-19f4-47b2-a07b-57868a922a96</vt:lpwstr>
  </property>
  <property fmtid="{D5CDD505-2E9C-101B-9397-08002B2CF9AE}" pid="6" name="APRALegislation">
    <vt:lpwstr/>
  </property>
  <property fmtid="{D5CDD505-2E9C-101B-9397-08002B2CF9AE}" pid="7" name="APRAYear">
    <vt:lpwstr>230;#2021|0e1e43df-81ea-47af-89d8-970d5d5956ff</vt:lpwstr>
  </property>
  <property fmtid="{D5CDD505-2E9C-101B-9397-08002B2CF9AE}" pid="8" name="APRAIndustry">
    <vt:lpwstr/>
  </property>
  <property fmtid="{D5CDD505-2E9C-101B-9397-08002B2CF9AE}" pid="9" name="ContentTypeId">
    <vt:lpwstr>0x0101008CA7A4F8331B45C7B0D3158B4994D0CA0200577EC0F5A1FBFC498F9A8436B963F8A6</vt:lpwstr>
  </property>
  <property fmtid="{D5CDD505-2E9C-101B-9397-08002B2CF9AE}" pid="10" name="_dlc_DocIdItemGuid">
    <vt:lpwstr>2d5b3b42-cb60-41f5-a3d5-7d1da84008df</vt:lpwstr>
  </property>
  <property fmtid="{D5CDD505-2E9C-101B-9397-08002B2CF9AE}" pid="11" name="APRAPRSG">
    <vt:lpwstr/>
  </property>
  <property fmtid="{D5CDD505-2E9C-101B-9397-08002B2CF9AE}" pid="12" name="IsLocked">
    <vt:lpwstr>False</vt:lpwstr>
  </property>
  <property fmtid="{D5CDD505-2E9C-101B-9397-08002B2CF9AE}" pid="13" name="APRAStatus">
    <vt:lpwstr>19;#Final|84d6b2d0-8498-4d62-bf46-bab38babbe9e</vt:lpwstr>
  </property>
  <property fmtid="{D5CDD505-2E9C-101B-9397-08002B2CF9AE}" pid="14" name="PM_ProtectiveMarkingImage_Header">
    <vt:lpwstr>C:\Program Files\Common Files\janusNET Shared\janusSEAL\Images\DocumentSlashBlue.png</vt:lpwstr>
  </property>
  <property fmtid="{D5CDD505-2E9C-101B-9397-08002B2CF9AE}" pid="15" name="PM_Caveats_Count">
    <vt:lpwstr>0</vt:lpwstr>
  </property>
  <property fmtid="{D5CDD505-2E9C-101B-9397-08002B2CF9AE}" pid="16" name="PM_DisplayValueSecClassificationWithQualifier">
    <vt:lpwstr>OFFICIAL</vt:lpwstr>
  </property>
  <property fmtid="{D5CDD505-2E9C-101B-9397-08002B2CF9AE}" pid="17" name="PM_Qualifier">
    <vt:lpwstr/>
  </property>
  <property fmtid="{D5CDD505-2E9C-101B-9397-08002B2CF9AE}" pid="18" name="PM_SecurityClassification">
    <vt:lpwstr>OFFICIAL</vt:lpwstr>
  </property>
  <property fmtid="{D5CDD505-2E9C-101B-9397-08002B2CF9AE}" pid="19" name="PM_InsertionValue">
    <vt:lpwstr>OFFICIAL</vt:lpwstr>
  </property>
  <property fmtid="{D5CDD505-2E9C-101B-9397-08002B2CF9AE}" pid="20" name="PM_Originating_FileId">
    <vt:lpwstr>E1350B04852C41EE96AEEED59700129C</vt:lpwstr>
  </property>
  <property fmtid="{D5CDD505-2E9C-101B-9397-08002B2CF9AE}" pid="21" name="PM_ProtectiveMarkingValue_Footer">
    <vt:lpwstr>OFFICIAL</vt:lpwstr>
  </property>
  <property fmtid="{D5CDD505-2E9C-101B-9397-08002B2CF9AE}" pid="22" name="PM_Originator_Hash_SHA1">
    <vt:lpwstr>C3AD57350F36D8E1BD75F8F67CB06D435C9C43CA</vt:lpwstr>
  </property>
  <property fmtid="{D5CDD505-2E9C-101B-9397-08002B2CF9AE}" pid="23" name="PM_OriginationTimeStamp">
    <vt:lpwstr>2021-01-20T02:13:46Z</vt:lpwstr>
  </property>
  <property fmtid="{D5CDD505-2E9C-101B-9397-08002B2CF9AE}" pid="24" name="PM_ProtectiveMarkingValue_Header">
    <vt:lpwstr>OFFICIAL</vt:lpwstr>
  </property>
  <property fmtid="{D5CDD505-2E9C-101B-9397-08002B2CF9AE}" pid="25" name="PM_ProtectiveMarkingImage_Footer">
    <vt:lpwstr>C:\Program Files\Common Files\janusNET Shared\janusSEAL\Images\DocumentSlashBlue.png</vt:lpwstr>
  </property>
  <property fmtid="{D5CDD505-2E9C-101B-9397-08002B2CF9AE}" pid="26" name="PM_Namespace">
    <vt:lpwstr>gov.au</vt:lpwstr>
  </property>
  <property fmtid="{D5CDD505-2E9C-101B-9397-08002B2CF9AE}" pid="27" name="PM_Version">
    <vt:lpwstr>2018.3</vt:lpwstr>
  </property>
  <property fmtid="{D5CDD505-2E9C-101B-9397-08002B2CF9AE}" pid="28" name="PM_Note">
    <vt:lpwstr/>
  </property>
  <property fmtid="{D5CDD505-2E9C-101B-9397-08002B2CF9AE}" pid="29" name="PM_Markers">
    <vt:lpwstr/>
  </property>
  <property fmtid="{D5CDD505-2E9C-101B-9397-08002B2CF9AE}" pid="30" name="PM_Hash_Version">
    <vt:lpwstr>2018.0</vt:lpwstr>
  </property>
  <property fmtid="{D5CDD505-2E9C-101B-9397-08002B2CF9AE}" pid="31" name="PM_Hash_Salt_Prev">
    <vt:lpwstr>119C56C010A71911EBBDF278F47AB349</vt:lpwstr>
  </property>
  <property fmtid="{D5CDD505-2E9C-101B-9397-08002B2CF9AE}" pid="32" name="PM_Hash_Salt">
    <vt:lpwstr>FF9F7A4819B839D9630476A39E4EB953</vt:lpwstr>
  </property>
  <property fmtid="{D5CDD505-2E9C-101B-9397-08002B2CF9AE}" pid="33" name="PM_Hash_SHA1">
    <vt:lpwstr>8F5683AA4A3E879EB236EDEBF213AC6CF9D58D1B</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IT system type">
    <vt:lpwstr/>
  </property>
  <property fmtid="{D5CDD505-2E9C-101B-9397-08002B2CF9AE}" pid="37" name="APRACategory">
    <vt:lpwstr/>
  </property>
  <property fmtid="{D5CDD505-2E9C-101B-9397-08002B2CF9AE}" pid="38" name="APRADocumentType">
    <vt:lpwstr>58;#Legal instrument|71fd6ed3-d6d6-4975-ba99-bfe45802e734</vt:lpwstr>
  </property>
  <property fmtid="{D5CDD505-2E9C-101B-9397-08002B2CF9AE}" pid="39" name="APRAActivity">
    <vt:lpwstr>10;#Registration|390476ce-d76d-4e8d-905f-28e32d2df127;#109;#Statutory instrument|fe68928c-5a9c-4caf-bc8c-6c18cedcb17f</vt:lpwstr>
  </property>
  <property fmtid="{D5CDD505-2E9C-101B-9397-08002B2CF9AE}" pid="40" name="APRAEntityAdviceSupport">
    <vt:lpwstr/>
  </property>
  <property fmtid="{D5CDD505-2E9C-101B-9397-08002B2CF9AE}" pid="41" name="APRAExternalOrganisation">
    <vt:lpwstr/>
  </property>
  <property fmtid="{D5CDD505-2E9C-101B-9397-08002B2CF9AE}" pid="42" name="APRAIRTR">
    <vt:lpwstr/>
  </property>
  <property fmtid="{D5CDD505-2E9C-101B-9397-08002B2CF9AE}" pid="43" name="RecordPoint_WorkflowType">
    <vt:lpwstr>ActiveSubmitStub</vt:lpwstr>
  </property>
  <property fmtid="{D5CDD505-2E9C-101B-9397-08002B2CF9AE}" pid="44" name="RecordPoint_ActiveItemSiteId">
    <vt:lpwstr>{88691c01-5bbb-4215-adc0-66cb7065b0af}</vt:lpwstr>
  </property>
  <property fmtid="{D5CDD505-2E9C-101B-9397-08002B2CF9AE}" pid="45" name="RecordPoint_ActiveItemListId">
    <vt:lpwstr>{0e59e171-09d8-4401-800a-327154450cb3}</vt:lpwstr>
  </property>
  <property fmtid="{D5CDD505-2E9C-101B-9397-08002B2CF9AE}" pid="46" name="RecordPoint_ActiveItemUniqueId">
    <vt:lpwstr>{2d5b3b42-cb60-41f5-a3d5-7d1da84008df}</vt:lpwstr>
  </property>
  <property fmtid="{D5CDD505-2E9C-101B-9397-08002B2CF9AE}" pid="47" name="RecordPoint_ActiveItemWebId">
    <vt:lpwstr>{75a71c27-8d66-4282-ae60-1bfc22a83be1}</vt:lpwstr>
  </property>
</Properties>
</file>