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88E87" w14:textId="77777777" w:rsidR="00AE75A6" w:rsidRPr="00AE75A6" w:rsidRDefault="00AE75A6" w:rsidP="009B3409">
      <w:pPr>
        <w:contextualSpacing/>
        <w:jc w:val="both"/>
        <w:rPr>
          <w:b/>
          <w:bCs/>
          <w:sz w:val="28"/>
          <w:szCs w:val="28"/>
        </w:rPr>
      </w:pPr>
      <w:r w:rsidRPr="00AE75A6">
        <w:rPr>
          <w:b/>
          <w:bCs/>
          <w:sz w:val="28"/>
          <w:szCs w:val="28"/>
        </w:rPr>
        <w:t>HEAVY VEHICLE NATIONAL LAW</w:t>
      </w:r>
    </w:p>
    <w:p w14:paraId="0F40A14B" w14:textId="77777777" w:rsidR="00AE75A6" w:rsidRPr="00AE75A6" w:rsidRDefault="00AE75A6" w:rsidP="009B3409">
      <w:pPr>
        <w:contextualSpacing/>
        <w:jc w:val="both"/>
        <w:rPr>
          <w:b/>
          <w:bCs/>
          <w:sz w:val="28"/>
          <w:szCs w:val="28"/>
        </w:rPr>
      </w:pPr>
      <w:r w:rsidRPr="00AE75A6">
        <w:rPr>
          <w:b/>
          <w:bCs/>
          <w:sz w:val="28"/>
          <w:szCs w:val="28"/>
        </w:rPr>
        <w:t>Queensland Heavy Vehicle Standards (Agricultural Vehicles) Exemption Notice 2021 (No.1)</w:t>
      </w:r>
    </w:p>
    <w:p w14:paraId="3D788254" w14:textId="77777777" w:rsidR="00AE75A6" w:rsidRDefault="00AE75A6" w:rsidP="009B3409">
      <w:pPr>
        <w:contextualSpacing/>
        <w:jc w:val="both"/>
      </w:pPr>
    </w:p>
    <w:p w14:paraId="720F080F" w14:textId="79D26D1D" w:rsidR="00AE75A6" w:rsidRDefault="00AE75A6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E75A6">
        <w:rPr>
          <w:b/>
          <w:bCs/>
        </w:rPr>
        <w:t>Purpose</w:t>
      </w:r>
    </w:p>
    <w:p w14:paraId="18B0F509" w14:textId="77777777" w:rsidR="00AE75A6" w:rsidRPr="00AE75A6" w:rsidRDefault="00AE75A6" w:rsidP="009B3409">
      <w:pPr>
        <w:pStyle w:val="ListParagraph"/>
        <w:jc w:val="both"/>
        <w:rPr>
          <w:b/>
          <w:bCs/>
        </w:rPr>
      </w:pPr>
    </w:p>
    <w:p w14:paraId="4E32AC48" w14:textId="5CD06671" w:rsidR="00AE75A6" w:rsidRDefault="00AE75A6" w:rsidP="009B3409">
      <w:pPr>
        <w:pStyle w:val="ListParagraph"/>
        <w:ind w:left="1080"/>
        <w:jc w:val="both"/>
      </w:pPr>
      <w:r>
        <w:t>The purpose of this Notice is to exempt a heavy vehicle that is an agricultural vehicle from certain lighting and braking requirements.</w:t>
      </w:r>
    </w:p>
    <w:p w14:paraId="41F6E640" w14:textId="77777777" w:rsidR="00AE75A6" w:rsidRDefault="00AE75A6" w:rsidP="009B3409">
      <w:pPr>
        <w:pStyle w:val="ListParagraph"/>
        <w:ind w:left="1080"/>
        <w:jc w:val="both"/>
      </w:pPr>
    </w:p>
    <w:p w14:paraId="1869E3AE" w14:textId="60935B04" w:rsidR="00AE75A6" w:rsidRPr="00AE75A6" w:rsidRDefault="00AE75A6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E75A6">
        <w:rPr>
          <w:b/>
          <w:bCs/>
        </w:rPr>
        <w:t>Authorising Provision</w:t>
      </w:r>
    </w:p>
    <w:p w14:paraId="2B8418DA" w14:textId="77777777" w:rsidR="00AE75A6" w:rsidRDefault="00AE75A6" w:rsidP="009B3409">
      <w:pPr>
        <w:pStyle w:val="ListParagraph"/>
        <w:ind w:left="1080"/>
        <w:jc w:val="both"/>
      </w:pPr>
    </w:p>
    <w:p w14:paraId="72188F8B" w14:textId="067B0F63" w:rsidR="00AE75A6" w:rsidRDefault="00AE75A6" w:rsidP="009B3409">
      <w:pPr>
        <w:pStyle w:val="ListParagraph"/>
        <w:ind w:left="1080"/>
        <w:jc w:val="both"/>
      </w:pPr>
      <w:r>
        <w:t xml:space="preserve">This Notice is made under section 61 of the Heavy Vehicle National Law (HVNL) as in force in Queensland. </w:t>
      </w:r>
    </w:p>
    <w:p w14:paraId="3A09EFB4" w14:textId="77777777" w:rsidR="00AE75A6" w:rsidRDefault="00AE75A6" w:rsidP="009B3409">
      <w:pPr>
        <w:pStyle w:val="ListParagraph"/>
        <w:ind w:left="1080"/>
        <w:jc w:val="both"/>
      </w:pPr>
    </w:p>
    <w:p w14:paraId="5F4443B5" w14:textId="03740E9C" w:rsidR="00AE75A6" w:rsidRDefault="00AE75A6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E75A6">
        <w:rPr>
          <w:b/>
          <w:bCs/>
        </w:rPr>
        <w:t>Title</w:t>
      </w:r>
    </w:p>
    <w:p w14:paraId="1661176B" w14:textId="77777777" w:rsidR="00AE75A6" w:rsidRPr="00AE75A6" w:rsidRDefault="00AE75A6" w:rsidP="009B3409">
      <w:pPr>
        <w:pStyle w:val="ListParagraph"/>
        <w:jc w:val="both"/>
        <w:rPr>
          <w:b/>
          <w:bCs/>
        </w:rPr>
      </w:pPr>
    </w:p>
    <w:p w14:paraId="083A8BA7" w14:textId="0C3D34EB" w:rsidR="00AE75A6" w:rsidRDefault="00AE75A6" w:rsidP="009B3409">
      <w:pPr>
        <w:pStyle w:val="ListParagraph"/>
        <w:ind w:left="1080"/>
        <w:jc w:val="both"/>
      </w:pPr>
      <w:r>
        <w:t>This Notice may be cited as the Queensland Heavy Vehicle Standards (Agricultural Vehicles) Exemption Notice 2021 (No.1).</w:t>
      </w:r>
    </w:p>
    <w:p w14:paraId="2323C316" w14:textId="77777777" w:rsidR="00AE75A6" w:rsidRDefault="00AE75A6" w:rsidP="009B3409">
      <w:pPr>
        <w:pStyle w:val="ListParagraph"/>
        <w:ind w:left="1080"/>
        <w:jc w:val="both"/>
      </w:pPr>
    </w:p>
    <w:p w14:paraId="290B46B2" w14:textId="7C3E57B4" w:rsidR="00AE75A6" w:rsidRPr="00AE75A6" w:rsidRDefault="00AE75A6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E75A6">
        <w:rPr>
          <w:b/>
          <w:bCs/>
        </w:rPr>
        <w:t>Commencement</w:t>
      </w:r>
    </w:p>
    <w:p w14:paraId="655BEB10" w14:textId="77777777" w:rsidR="00AE75A6" w:rsidRDefault="00AE75A6" w:rsidP="009B3409">
      <w:pPr>
        <w:pStyle w:val="ListParagraph"/>
        <w:ind w:left="1080"/>
        <w:jc w:val="both"/>
      </w:pPr>
    </w:p>
    <w:p w14:paraId="1C8F6E3D" w14:textId="4C4A12BE" w:rsidR="00AE75A6" w:rsidRDefault="00AE75A6" w:rsidP="009B3409">
      <w:pPr>
        <w:pStyle w:val="ListParagraph"/>
        <w:ind w:left="1080"/>
        <w:jc w:val="both"/>
      </w:pPr>
      <w:r>
        <w:t>This Notice commences on 5 July 2021.</w:t>
      </w:r>
    </w:p>
    <w:p w14:paraId="50BDE27B" w14:textId="77777777" w:rsidR="00AE75A6" w:rsidRDefault="00AE75A6" w:rsidP="009B3409">
      <w:pPr>
        <w:pStyle w:val="ListParagraph"/>
        <w:ind w:left="1080"/>
        <w:jc w:val="both"/>
      </w:pPr>
    </w:p>
    <w:p w14:paraId="121CA00A" w14:textId="613483F1" w:rsidR="00AE75A6" w:rsidRDefault="00AE75A6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E75A6">
        <w:rPr>
          <w:b/>
          <w:bCs/>
        </w:rPr>
        <w:t>Expiry</w:t>
      </w:r>
    </w:p>
    <w:p w14:paraId="36B6B056" w14:textId="77777777" w:rsidR="00AE75A6" w:rsidRPr="00AE75A6" w:rsidRDefault="00AE75A6" w:rsidP="009B3409">
      <w:pPr>
        <w:pStyle w:val="ListParagraph"/>
        <w:jc w:val="both"/>
        <w:rPr>
          <w:b/>
          <w:bCs/>
        </w:rPr>
      </w:pPr>
    </w:p>
    <w:p w14:paraId="43FDDB02" w14:textId="2271A2CD" w:rsidR="00AE75A6" w:rsidRDefault="00AE75A6" w:rsidP="009B3409">
      <w:pPr>
        <w:pStyle w:val="ListParagraph"/>
        <w:ind w:left="1080"/>
        <w:jc w:val="both"/>
      </w:pPr>
      <w:r>
        <w:t>This Notice expires on 30 June 2026.</w:t>
      </w:r>
    </w:p>
    <w:p w14:paraId="7C7F5395" w14:textId="77777777" w:rsidR="00AE75A6" w:rsidRDefault="00AE75A6" w:rsidP="009B3409">
      <w:pPr>
        <w:pStyle w:val="ListParagraph"/>
        <w:ind w:left="1080"/>
        <w:jc w:val="both"/>
      </w:pPr>
    </w:p>
    <w:p w14:paraId="16F471AD" w14:textId="67AFECEA" w:rsidR="00AE75A6" w:rsidRDefault="00AE75A6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E75A6">
        <w:rPr>
          <w:b/>
          <w:bCs/>
        </w:rPr>
        <w:t>Definition</w:t>
      </w:r>
    </w:p>
    <w:p w14:paraId="6320AB0A" w14:textId="77777777" w:rsidR="00AE75A6" w:rsidRPr="00AE75A6" w:rsidRDefault="00AE75A6" w:rsidP="009B3409">
      <w:pPr>
        <w:pStyle w:val="ListParagraph"/>
        <w:jc w:val="both"/>
        <w:rPr>
          <w:b/>
          <w:bCs/>
        </w:rPr>
      </w:pPr>
    </w:p>
    <w:p w14:paraId="003B1AD4" w14:textId="6A5FFF47" w:rsidR="00AE75A6" w:rsidRDefault="00AE75A6" w:rsidP="009B3409">
      <w:pPr>
        <w:pStyle w:val="ListParagraph"/>
        <w:numPr>
          <w:ilvl w:val="0"/>
          <w:numId w:val="4"/>
        </w:numPr>
        <w:ind w:left="1080"/>
        <w:jc w:val="both"/>
      </w:pPr>
      <w:r>
        <w:t>Unless otherwise stated, words and expressions used in this Notice have the same meanings as those defined in the HVNL.</w:t>
      </w:r>
    </w:p>
    <w:p w14:paraId="7FD143FF" w14:textId="77777777" w:rsidR="00AE75A6" w:rsidRDefault="00AE75A6" w:rsidP="009B3409">
      <w:pPr>
        <w:pStyle w:val="ListParagraph"/>
        <w:ind w:left="1080"/>
        <w:jc w:val="both"/>
      </w:pPr>
    </w:p>
    <w:p w14:paraId="7680EA0A" w14:textId="77777777" w:rsidR="00AE75A6" w:rsidRDefault="00AE75A6" w:rsidP="009B3409">
      <w:pPr>
        <w:pStyle w:val="ListParagraph"/>
        <w:numPr>
          <w:ilvl w:val="0"/>
          <w:numId w:val="4"/>
        </w:numPr>
        <w:ind w:left="1080"/>
        <w:jc w:val="both"/>
      </w:pPr>
      <w:r>
        <w:t>In this notice –</w:t>
      </w:r>
    </w:p>
    <w:p w14:paraId="4A9F7639" w14:textId="77777777" w:rsidR="00AE75A6" w:rsidRDefault="00AE75A6" w:rsidP="009B3409">
      <w:pPr>
        <w:contextualSpacing/>
        <w:jc w:val="both"/>
      </w:pPr>
    </w:p>
    <w:p w14:paraId="628742D8" w14:textId="77777777" w:rsidR="00AE75A6" w:rsidRDefault="00AE75A6" w:rsidP="009B3409">
      <w:pPr>
        <w:ind w:left="1080"/>
        <w:contextualSpacing/>
        <w:jc w:val="both"/>
      </w:pPr>
      <w:r w:rsidRPr="00AE75A6">
        <w:rPr>
          <w:b/>
          <w:bCs/>
          <w:i/>
          <w:iCs/>
        </w:rPr>
        <w:t>Conditionally registered</w:t>
      </w:r>
      <w:r w:rsidRPr="00AE75A6">
        <w:rPr>
          <w:i/>
          <w:iCs/>
        </w:rPr>
        <w:t xml:space="preserve"> </w:t>
      </w:r>
      <w:r>
        <w:t xml:space="preserve">means a vehicle granted conditional registration in Queensland pursuant to section 12 of the Transport Operations (Road Use Management – Vehicle Registration) Regulation 2010. </w:t>
      </w:r>
    </w:p>
    <w:p w14:paraId="7A1C4603" w14:textId="77777777" w:rsidR="00AE75A6" w:rsidRDefault="00AE75A6" w:rsidP="009B3409">
      <w:pPr>
        <w:contextualSpacing/>
        <w:jc w:val="both"/>
      </w:pPr>
      <w:r>
        <w:tab/>
      </w:r>
    </w:p>
    <w:p w14:paraId="291DD9EE" w14:textId="77777777" w:rsidR="0000488A" w:rsidRDefault="0000488A" w:rsidP="009B3409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65642938" w14:textId="30F635C4" w:rsidR="00AE75A6" w:rsidRDefault="00AE75A6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E75A6">
        <w:rPr>
          <w:b/>
          <w:bCs/>
        </w:rPr>
        <w:lastRenderedPageBreak/>
        <w:t xml:space="preserve">Application </w:t>
      </w:r>
    </w:p>
    <w:p w14:paraId="70797DC9" w14:textId="77777777" w:rsidR="0000488A" w:rsidRPr="0000488A" w:rsidRDefault="0000488A" w:rsidP="009B3409">
      <w:pPr>
        <w:pStyle w:val="ListParagraph"/>
        <w:jc w:val="both"/>
        <w:rPr>
          <w:b/>
          <w:bCs/>
        </w:rPr>
      </w:pPr>
    </w:p>
    <w:p w14:paraId="4E8E3457" w14:textId="3B507DA5" w:rsidR="00AE75A6" w:rsidRDefault="00AE75A6" w:rsidP="009B3409">
      <w:pPr>
        <w:pStyle w:val="ListParagraph"/>
        <w:numPr>
          <w:ilvl w:val="0"/>
          <w:numId w:val="5"/>
        </w:numPr>
        <w:jc w:val="both"/>
      </w:pPr>
      <w:r>
        <w:t>This Notice applies in Queensland.</w:t>
      </w:r>
    </w:p>
    <w:p w14:paraId="407AD621" w14:textId="77777777" w:rsidR="00AE75A6" w:rsidRDefault="00AE75A6" w:rsidP="009B3409">
      <w:pPr>
        <w:pStyle w:val="ListParagraph"/>
        <w:ind w:left="1080"/>
        <w:jc w:val="both"/>
      </w:pPr>
    </w:p>
    <w:p w14:paraId="437598BD" w14:textId="35C0E6B8" w:rsidR="00AE75A6" w:rsidRDefault="00AE75A6" w:rsidP="009B3409">
      <w:pPr>
        <w:pStyle w:val="ListParagraph"/>
        <w:numPr>
          <w:ilvl w:val="0"/>
          <w:numId w:val="5"/>
        </w:numPr>
        <w:jc w:val="both"/>
      </w:pPr>
      <w:r>
        <w:t>This Notice applies to</w:t>
      </w:r>
      <w:r w:rsidR="00EC4AD8">
        <w:t>:</w:t>
      </w:r>
    </w:p>
    <w:p w14:paraId="44600360" w14:textId="77777777" w:rsidR="00EC4AD8" w:rsidRDefault="00EC4AD8" w:rsidP="00EC4AD8">
      <w:pPr>
        <w:pStyle w:val="ListParagraph"/>
        <w:ind w:left="1080"/>
        <w:jc w:val="both"/>
      </w:pPr>
    </w:p>
    <w:p w14:paraId="117161F4" w14:textId="0BC37A80" w:rsidR="00AE75A6" w:rsidRDefault="00AE75A6" w:rsidP="009B3409">
      <w:pPr>
        <w:pStyle w:val="ListParagraph"/>
        <w:numPr>
          <w:ilvl w:val="0"/>
          <w:numId w:val="6"/>
        </w:numPr>
        <w:jc w:val="both"/>
      </w:pPr>
      <w:r>
        <w:t>An agricultural implement</w:t>
      </w:r>
      <w:r w:rsidR="00EC4AD8">
        <w:t>; or</w:t>
      </w:r>
    </w:p>
    <w:p w14:paraId="45C79892" w14:textId="0811E165" w:rsidR="00AE75A6" w:rsidRDefault="00AE75A6" w:rsidP="009B3409">
      <w:pPr>
        <w:pStyle w:val="ListParagraph"/>
        <w:numPr>
          <w:ilvl w:val="0"/>
          <w:numId w:val="6"/>
        </w:numPr>
        <w:jc w:val="both"/>
      </w:pPr>
      <w:r>
        <w:t>An agricultural machine</w:t>
      </w:r>
      <w:r w:rsidR="00EC4AD8">
        <w:t>; or</w:t>
      </w:r>
    </w:p>
    <w:p w14:paraId="4DD25F1A" w14:textId="23317E85" w:rsidR="0000488A" w:rsidRDefault="00AE75A6" w:rsidP="009B3409">
      <w:pPr>
        <w:pStyle w:val="ListParagraph"/>
        <w:numPr>
          <w:ilvl w:val="0"/>
          <w:numId w:val="6"/>
        </w:numPr>
        <w:jc w:val="both"/>
      </w:pPr>
      <w:r>
        <w:t>An agricultural implement being towed by a registered vehicle that is fit for the purpose of towing the particular implement.</w:t>
      </w:r>
    </w:p>
    <w:p w14:paraId="1ED35EDD" w14:textId="2DEB14AF" w:rsidR="00C20135" w:rsidRDefault="00C20135" w:rsidP="009B3409">
      <w:pPr>
        <w:pStyle w:val="ListParagraph"/>
        <w:ind w:left="1440"/>
        <w:jc w:val="both"/>
      </w:pPr>
    </w:p>
    <w:p w14:paraId="09299D65" w14:textId="77777777" w:rsidR="009B3409" w:rsidRPr="009B3409" w:rsidRDefault="009B3409" w:rsidP="009B340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B3409">
        <w:rPr>
          <w:b/>
          <w:bCs/>
        </w:rPr>
        <w:t>Exemptions from prescribed vehicle standards</w:t>
      </w:r>
    </w:p>
    <w:p w14:paraId="1C87EEAE" w14:textId="77777777" w:rsidR="009B3409" w:rsidRDefault="009B3409" w:rsidP="009B3409">
      <w:pPr>
        <w:pStyle w:val="ListParagraph"/>
        <w:ind w:left="1440"/>
        <w:jc w:val="both"/>
      </w:pPr>
    </w:p>
    <w:p w14:paraId="1514E371" w14:textId="77777777" w:rsidR="00AF5EDD" w:rsidRDefault="009B3409" w:rsidP="009B3409">
      <w:pPr>
        <w:pStyle w:val="ListParagraph"/>
        <w:ind w:left="1080"/>
        <w:jc w:val="both"/>
      </w:pPr>
      <w:r>
        <w:t>An agricultural vehicle to which this Notice applies is exempt from complying with the requirements of the Heavy Vehicle (Vehicle Standards) National Regulation (</w:t>
      </w:r>
      <w:r w:rsidR="0088478C">
        <w:t>National Regulation</w:t>
      </w:r>
      <w:r>
        <w:t xml:space="preserve">) listed in Column 2, subject to the conditions listed in Column 3.  </w:t>
      </w:r>
    </w:p>
    <w:p w14:paraId="2E855398" w14:textId="6A6A8FA0" w:rsidR="00C20135" w:rsidRDefault="009B3409" w:rsidP="009B3409">
      <w:pPr>
        <w:pStyle w:val="ListParagraph"/>
        <w:ind w:left="1080"/>
        <w:jc w:val="both"/>
      </w:pPr>
      <w:r>
        <w:t xml:space="preserve"> </w:t>
      </w:r>
    </w:p>
    <w:p w14:paraId="185786C1" w14:textId="65FE97DE" w:rsidR="009B3409" w:rsidRPr="00E10B77" w:rsidRDefault="00E10B77" w:rsidP="009B3409">
      <w:pPr>
        <w:pStyle w:val="ListParagraph"/>
        <w:ind w:left="1080"/>
        <w:jc w:val="both"/>
        <w:rPr>
          <w:b/>
          <w:bCs/>
        </w:rPr>
      </w:pPr>
      <w:r w:rsidRPr="00E10B77">
        <w:rPr>
          <w:b/>
          <w:bCs/>
        </w:rPr>
        <w:t>Table 1 Vehicle Conditions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Table 1 Vehicle Conditions"/>
        <w:tblDescription w:val="Table of vehicle standards exemptions and corresponding conditions for vehicles operating under this Notice."/>
      </w:tblPr>
      <w:tblGrid>
        <w:gridCol w:w="1134"/>
        <w:gridCol w:w="2551"/>
        <w:gridCol w:w="4910"/>
      </w:tblGrid>
      <w:tr w:rsidR="005B2172" w:rsidRPr="006C59F4" w14:paraId="2A7DC1FC" w14:textId="77777777" w:rsidTr="005B2172">
        <w:trPr>
          <w:trHeight w:val="977"/>
        </w:trPr>
        <w:tc>
          <w:tcPr>
            <w:tcW w:w="1134" w:type="dxa"/>
          </w:tcPr>
          <w:p w14:paraId="57EE2251" w14:textId="73E5FC7C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1C21">
              <w:rPr>
                <w:b/>
                <w:bCs/>
              </w:rPr>
              <w:t>Column 1</w:t>
            </w:r>
          </w:p>
          <w:p w14:paraId="59140E24" w14:textId="77777777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66969588" w14:textId="65A754A4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1C21">
              <w:rPr>
                <w:b/>
                <w:bCs/>
              </w:rPr>
              <w:t>Item</w:t>
            </w:r>
          </w:p>
        </w:tc>
        <w:tc>
          <w:tcPr>
            <w:tcW w:w="2551" w:type="dxa"/>
          </w:tcPr>
          <w:p w14:paraId="46139AEB" w14:textId="23313B06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1C21">
              <w:rPr>
                <w:b/>
                <w:bCs/>
              </w:rPr>
              <w:t>Column 2</w:t>
            </w:r>
          </w:p>
          <w:p w14:paraId="32B20E93" w14:textId="77777777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39F35FEB" w14:textId="792B0C20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1C21">
              <w:rPr>
                <w:b/>
                <w:bCs/>
              </w:rPr>
              <w:t>Requirement under Schedule 2 of the National Regulation</w:t>
            </w:r>
          </w:p>
        </w:tc>
        <w:tc>
          <w:tcPr>
            <w:tcW w:w="4910" w:type="dxa"/>
          </w:tcPr>
          <w:p w14:paraId="2534CE16" w14:textId="716F66E6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1C21">
              <w:rPr>
                <w:b/>
                <w:bCs/>
              </w:rPr>
              <w:t>Column 3</w:t>
            </w:r>
          </w:p>
          <w:p w14:paraId="59CB6E01" w14:textId="77777777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  <w:p w14:paraId="48B38839" w14:textId="75D2E700" w:rsidR="005B2172" w:rsidRPr="00801C21" w:rsidRDefault="005B2172" w:rsidP="005B21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1C21">
              <w:rPr>
                <w:b/>
                <w:bCs/>
              </w:rPr>
              <w:t>Condition</w:t>
            </w:r>
          </w:p>
        </w:tc>
      </w:tr>
      <w:tr w:rsidR="006C59F4" w14:paraId="713FF6FA" w14:textId="77777777" w:rsidTr="00AF2056">
        <w:tc>
          <w:tcPr>
            <w:tcW w:w="1134" w:type="dxa"/>
          </w:tcPr>
          <w:p w14:paraId="48DE48CE" w14:textId="006D6FD9" w:rsidR="00AB4010" w:rsidRPr="00801C21" w:rsidRDefault="0067216F" w:rsidP="00801C21">
            <w:pPr>
              <w:pStyle w:val="ListParagraph"/>
              <w:ind w:left="0"/>
              <w:jc w:val="center"/>
            </w:pPr>
            <w:r w:rsidRPr="00801C21">
              <w:t>1</w:t>
            </w:r>
          </w:p>
        </w:tc>
        <w:tc>
          <w:tcPr>
            <w:tcW w:w="2551" w:type="dxa"/>
          </w:tcPr>
          <w:p w14:paraId="3F62AFEC" w14:textId="77777777" w:rsidR="00610920" w:rsidRPr="00801C21" w:rsidRDefault="00610920" w:rsidP="00AF2056">
            <w:r w:rsidRPr="00801C21">
              <w:t xml:space="preserve">Division 6 </w:t>
            </w:r>
            <w:proofErr w:type="gramStart"/>
            <w:r w:rsidRPr="00801C21">
              <w:t>Tail-lights</w:t>
            </w:r>
            <w:proofErr w:type="gramEnd"/>
          </w:p>
          <w:p w14:paraId="4803BF56" w14:textId="115CE93E" w:rsidR="00610920" w:rsidRPr="00801C21" w:rsidRDefault="00A74B61" w:rsidP="00AF2056">
            <w:r w:rsidRPr="00801C21">
              <w:t xml:space="preserve">- </w:t>
            </w:r>
            <w:r w:rsidR="00610920" w:rsidRPr="00801C21">
              <w:t>Section 47(1)(2)</w:t>
            </w:r>
          </w:p>
          <w:p w14:paraId="346CB3B6" w14:textId="77777777" w:rsidR="006C59F4" w:rsidRPr="00801C21" w:rsidRDefault="006C59F4" w:rsidP="00AF2056"/>
          <w:p w14:paraId="52D00E79" w14:textId="77777777" w:rsidR="00610920" w:rsidRPr="00801C21" w:rsidRDefault="00610920" w:rsidP="00AF2056">
            <w:r w:rsidRPr="00801C21">
              <w:t>Division 8 Clearance lights</w:t>
            </w:r>
          </w:p>
          <w:p w14:paraId="12C815B2" w14:textId="741E47D0" w:rsidR="00610920" w:rsidRPr="00801C21" w:rsidRDefault="00A74B61" w:rsidP="00AF2056">
            <w:r w:rsidRPr="00801C21">
              <w:t xml:space="preserve">- </w:t>
            </w:r>
            <w:r w:rsidR="00610920" w:rsidRPr="00801C21">
              <w:t>Section 54(1)</w:t>
            </w:r>
          </w:p>
          <w:p w14:paraId="48B5FCFC" w14:textId="77777777" w:rsidR="006C59F4" w:rsidRPr="00801C21" w:rsidRDefault="006C59F4" w:rsidP="00AF2056"/>
          <w:p w14:paraId="20F50A0F" w14:textId="77777777" w:rsidR="00610920" w:rsidRPr="00801C21" w:rsidRDefault="00610920" w:rsidP="00AF2056">
            <w:r w:rsidRPr="00801C21">
              <w:t>Division 9 Side marker lights</w:t>
            </w:r>
          </w:p>
          <w:p w14:paraId="738FA45B" w14:textId="08B7244B" w:rsidR="00610920" w:rsidRPr="00801C21" w:rsidRDefault="00A74B61" w:rsidP="00AF2056">
            <w:r w:rsidRPr="00801C21">
              <w:t xml:space="preserve">- </w:t>
            </w:r>
            <w:r w:rsidR="00610920" w:rsidRPr="00801C21">
              <w:t>Section 55(1)</w:t>
            </w:r>
          </w:p>
          <w:p w14:paraId="74F8156E" w14:textId="77777777" w:rsidR="006C59F4" w:rsidRPr="00801C21" w:rsidRDefault="006C59F4" w:rsidP="00AF2056"/>
          <w:p w14:paraId="68A13F20" w14:textId="77777777" w:rsidR="00610920" w:rsidRPr="00801C21" w:rsidRDefault="00610920" w:rsidP="00AF2056">
            <w:r w:rsidRPr="00801C21">
              <w:t>Division 15 Reflectors</w:t>
            </w:r>
          </w:p>
          <w:p w14:paraId="0CFFA970" w14:textId="1203DD6A" w:rsidR="00610920" w:rsidRPr="00801C21" w:rsidRDefault="00A74B61" w:rsidP="00AF2056">
            <w:r w:rsidRPr="00801C21">
              <w:t xml:space="preserve">- </w:t>
            </w:r>
            <w:r w:rsidR="00610920" w:rsidRPr="00801C21">
              <w:t>Section 70(1)(3)(4)</w:t>
            </w:r>
          </w:p>
          <w:p w14:paraId="129BEC24" w14:textId="471AB9D2" w:rsidR="00AB4010" w:rsidRPr="00801C21" w:rsidRDefault="00A74B61" w:rsidP="00AF2056">
            <w:pPr>
              <w:pStyle w:val="ListParagraph"/>
              <w:ind w:left="0"/>
            </w:pPr>
            <w:r w:rsidRPr="00801C21">
              <w:t xml:space="preserve">- </w:t>
            </w:r>
            <w:r w:rsidR="00610920" w:rsidRPr="00801C21">
              <w:t>Section 73(1)(2)(3)</w:t>
            </w:r>
          </w:p>
        </w:tc>
        <w:tc>
          <w:tcPr>
            <w:tcW w:w="4910" w:type="dxa"/>
          </w:tcPr>
          <w:p w14:paraId="5BA71068" w14:textId="55B79649" w:rsidR="006C59F4" w:rsidRPr="00801C21" w:rsidRDefault="006C59F4" w:rsidP="006C59F4">
            <w:pPr>
              <w:jc w:val="both"/>
            </w:pPr>
            <w:r w:rsidRPr="00801C21">
              <w:t>An agricultural implement is exempt if it is being towed by a conditionally registered vehicle that has been:</w:t>
            </w:r>
          </w:p>
          <w:p w14:paraId="7F0D42E3" w14:textId="77777777" w:rsidR="006C59F4" w:rsidRPr="00801C21" w:rsidRDefault="006C59F4" w:rsidP="006C59F4">
            <w:pPr>
              <w:jc w:val="both"/>
            </w:pPr>
          </w:p>
          <w:p w14:paraId="332D4744" w14:textId="06A1E379" w:rsidR="006C59F4" w:rsidRPr="00801C21" w:rsidRDefault="006C59F4" w:rsidP="006C59F4">
            <w:pPr>
              <w:jc w:val="both"/>
            </w:pPr>
            <w:r w:rsidRPr="00801C21">
              <w:t>a) issued and complying with a location code (LO) and the vehicle is not permitted to operate between sunset and sunrise (TD); or</w:t>
            </w:r>
          </w:p>
          <w:p w14:paraId="0BA05FD8" w14:textId="77777777" w:rsidR="006C59F4" w:rsidRPr="00801C21" w:rsidRDefault="006C59F4" w:rsidP="006C59F4">
            <w:pPr>
              <w:jc w:val="both"/>
            </w:pPr>
          </w:p>
          <w:p w14:paraId="6B13BB3D" w14:textId="22898E81" w:rsidR="006C59F4" w:rsidRPr="00801C21" w:rsidRDefault="006C59F4" w:rsidP="006C59F4">
            <w:pPr>
              <w:jc w:val="both"/>
            </w:pPr>
            <w:r w:rsidRPr="00801C21">
              <w:t>b) issued and complying with location limitation condition code LO1 or LO5 and the lights of the towing vehicle are not obscured by the trailer or implement; or</w:t>
            </w:r>
          </w:p>
          <w:p w14:paraId="122CA4B6" w14:textId="77777777" w:rsidR="006C59F4" w:rsidRPr="00801C21" w:rsidRDefault="006C59F4" w:rsidP="006C59F4">
            <w:pPr>
              <w:jc w:val="both"/>
            </w:pPr>
          </w:p>
          <w:p w14:paraId="3716BFF5" w14:textId="77777777" w:rsidR="00AB4010" w:rsidRPr="00801C21" w:rsidRDefault="006C59F4" w:rsidP="006C59F4">
            <w:pPr>
              <w:pStyle w:val="ListParagraph"/>
              <w:ind w:left="0"/>
              <w:jc w:val="both"/>
            </w:pPr>
            <w:r w:rsidRPr="00801C21">
              <w:t>c) issued and complying with location limitation condition code LO5 may operate between sunset and sunrise on a flood lit work site.</w:t>
            </w:r>
          </w:p>
          <w:p w14:paraId="02BEEABD" w14:textId="00041142" w:rsidR="007616B4" w:rsidRPr="00801C21" w:rsidRDefault="007616B4" w:rsidP="006C59F4">
            <w:pPr>
              <w:pStyle w:val="ListParagraph"/>
              <w:ind w:left="0"/>
              <w:jc w:val="both"/>
            </w:pPr>
          </w:p>
        </w:tc>
      </w:tr>
      <w:tr w:rsidR="006C59F4" w14:paraId="07515D36" w14:textId="77777777" w:rsidTr="00AF2056">
        <w:tc>
          <w:tcPr>
            <w:tcW w:w="1134" w:type="dxa"/>
          </w:tcPr>
          <w:p w14:paraId="3DF2B601" w14:textId="1337D941" w:rsidR="00AB4010" w:rsidRPr="00801C21" w:rsidRDefault="0067216F" w:rsidP="00801C21">
            <w:pPr>
              <w:pStyle w:val="ListParagraph"/>
              <w:ind w:left="0"/>
              <w:jc w:val="center"/>
            </w:pPr>
            <w:r w:rsidRPr="00801C21">
              <w:t>2</w:t>
            </w:r>
          </w:p>
        </w:tc>
        <w:tc>
          <w:tcPr>
            <w:tcW w:w="2551" w:type="dxa"/>
          </w:tcPr>
          <w:p w14:paraId="05C7CC90" w14:textId="77777777" w:rsidR="00687B0C" w:rsidRPr="00801C21" w:rsidRDefault="00687B0C" w:rsidP="00AF2056">
            <w:r w:rsidRPr="00801C21">
              <w:t>Division 10 Brake lights</w:t>
            </w:r>
          </w:p>
          <w:p w14:paraId="233D2566" w14:textId="5CFF73F9" w:rsidR="00AB4010" w:rsidRPr="00801C21" w:rsidRDefault="00687B0C" w:rsidP="00AF2056">
            <w:pPr>
              <w:pStyle w:val="ListParagraph"/>
              <w:ind w:left="0"/>
            </w:pPr>
            <w:r w:rsidRPr="00801C21">
              <w:t>- Section 59(1)</w:t>
            </w:r>
          </w:p>
        </w:tc>
        <w:tc>
          <w:tcPr>
            <w:tcW w:w="4910" w:type="dxa"/>
          </w:tcPr>
          <w:p w14:paraId="3E6151D8" w14:textId="2C3B5944" w:rsidR="007616B4" w:rsidRPr="00801C21" w:rsidRDefault="007616B4" w:rsidP="007616B4">
            <w:pPr>
              <w:jc w:val="both"/>
            </w:pPr>
            <w:r w:rsidRPr="00801C21">
              <w:t>An agricultural implement is exempt if it is being towed by a conditionally registered vehicle that has been:</w:t>
            </w:r>
          </w:p>
          <w:p w14:paraId="7BDC3ECC" w14:textId="77777777" w:rsidR="007616B4" w:rsidRPr="00801C21" w:rsidRDefault="007616B4" w:rsidP="007616B4">
            <w:pPr>
              <w:jc w:val="both"/>
            </w:pPr>
          </w:p>
          <w:p w14:paraId="368D9C2B" w14:textId="752D1526" w:rsidR="007616B4" w:rsidRPr="00801C21" w:rsidRDefault="007616B4" w:rsidP="007616B4">
            <w:pPr>
              <w:jc w:val="both"/>
            </w:pPr>
            <w:r w:rsidRPr="00801C21">
              <w:t xml:space="preserve">a) issued and complying with location limitation condition code LO1 or LO5; or </w:t>
            </w:r>
          </w:p>
          <w:p w14:paraId="5D915A20" w14:textId="77777777" w:rsidR="007616B4" w:rsidRPr="00801C21" w:rsidRDefault="007616B4" w:rsidP="007616B4">
            <w:pPr>
              <w:jc w:val="both"/>
            </w:pPr>
          </w:p>
          <w:p w14:paraId="71ACE925" w14:textId="4C8824B7" w:rsidR="007616B4" w:rsidRPr="00801C21" w:rsidRDefault="007616B4" w:rsidP="007616B4">
            <w:pPr>
              <w:jc w:val="both"/>
            </w:pPr>
            <w:r w:rsidRPr="00801C21">
              <w:t>b) the vehicle speed does not exceed 20km/h; or</w:t>
            </w:r>
          </w:p>
          <w:p w14:paraId="33A3FC52" w14:textId="77777777" w:rsidR="007616B4" w:rsidRPr="00801C21" w:rsidRDefault="007616B4" w:rsidP="007616B4">
            <w:pPr>
              <w:jc w:val="both"/>
            </w:pPr>
          </w:p>
          <w:p w14:paraId="1179343E" w14:textId="6C63321A" w:rsidR="007616B4" w:rsidRPr="00801C21" w:rsidRDefault="007616B4" w:rsidP="007616B4">
            <w:pPr>
              <w:jc w:val="both"/>
            </w:pPr>
            <w:r w:rsidRPr="00801C21">
              <w:lastRenderedPageBreak/>
              <w:t>c) the lights of the towing vehicle are not obscured by the implement.</w:t>
            </w:r>
          </w:p>
          <w:p w14:paraId="348603E3" w14:textId="77777777" w:rsidR="007616B4" w:rsidRPr="00801C21" w:rsidRDefault="007616B4" w:rsidP="007616B4">
            <w:pPr>
              <w:jc w:val="both"/>
            </w:pPr>
          </w:p>
          <w:p w14:paraId="75994FB6" w14:textId="77777777" w:rsidR="00AB4010" w:rsidRPr="00801C21" w:rsidRDefault="007616B4" w:rsidP="007616B4">
            <w:pPr>
              <w:pStyle w:val="ListParagraph"/>
              <w:ind w:left="0"/>
              <w:jc w:val="both"/>
            </w:pPr>
            <w:r w:rsidRPr="00801C21">
              <w:t>An agricultural implement being towed by a vehicle that is not conditionally registered is exempt if the lights of the towing vehicle are not obscured by the implement.</w:t>
            </w:r>
          </w:p>
          <w:p w14:paraId="7BD07625" w14:textId="051CC878" w:rsidR="00DF5E65" w:rsidRPr="00801C21" w:rsidRDefault="00DF5E65" w:rsidP="007616B4">
            <w:pPr>
              <w:pStyle w:val="ListParagraph"/>
              <w:ind w:left="0"/>
              <w:jc w:val="both"/>
            </w:pPr>
          </w:p>
        </w:tc>
      </w:tr>
      <w:tr w:rsidR="006C59F4" w14:paraId="116D9A5C" w14:textId="77777777" w:rsidTr="00AF2056">
        <w:tc>
          <w:tcPr>
            <w:tcW w:w="1134" w:type="dxa"/>
          </w:tcPr>
          <w:p w14:paraId="57718628" w14:textId="609656E9" w:rsidR="00AB4010" w:rsidRPr="00801C21" w:rsidRDefault="0067216F" w:rsidP="00801C21">
            <w:pPr>
              <w:pStyle w:val="ListParagraph"/>
              <w:ind w:left="0"/>
              <w:jc w:val="center"/>
            </w:pPr>
            <w:r w:rsidRPr="00801C21">
              <w:lastRenderedPageBreak/>
              <w:t>3</w:t>
            </w:r>
          </w:p>
        </w:tc>
        <w:tc>
          <w:tcPr>
            <w:tcW w:w="2551" w:type="dxa"/>
          </w:tcPr>
          <w:p w14:paraId="7452720D" w14:textId="153E1C5C" w:rsidR="00554DD4" w:rsidRPr="00801C21" w:rsidRDefault="00554DD4" w:rsidP="00AF2056">
            <w:r w:rsidRPr="00801C21">
              <w:t>Division 12 Direction indicator lights</w:t>
            </w:r>
          </w:p>
          <w:p w14:paraId="39348672" w14:textId="50DF779F" w:rsidR="00AB4010" w:rsidRPr="00801C21" w:rsidRDefault="00554DD4" w:rsidP="00AF2056">
            <w:pPr>
              <w:pStyle w:val="ListParagraph"/>
              <w:ind w:left="0"/>
            </w:pPr>
            <w:r w:rsidRPr="00801C21">
              <w:t>- Section 64(1)(2)(3)</w:t>
            </w:r>
          </w:p>
        </w:tc>
        <w:tc>
          <w:tcPr>
            <w:tcW w:w="4910" w:type="dxa"/>
          </w:tcPr>
          <w:p w14:paraId="712BAFA5" w14:textId="77777777" w:rsidR="006A47D6" w:rsidRPr="00801C21" w:rsidRDefault="006A47D6" w:rsidP="006A47D6">
            <w:pPr>
              <w:jc w:val="both"/>
            </w:pPr>
            <w:r w:rsidRPr="00801C21">
              <w:t>An agricultural implement is exempt if it is being towed by a conditionally registered vehicle that has been:</w:t>
            </w:r>
          </w:p>
          <w:p w14:paraId="33FE4DAC" w14:textId="77777777" w:rsidR="006A47D6" w:rsidRPr="00801C21" w:rsidRDefault="006A47D6" w:rsidP="006A47D6">
            <w:pPr>
              <w:pStyle w:val="ListParagraph"/>
              <w:jc w:val="both"/>
            </w:pPr>
          </w:p>
          <w:p w14:paraId="3DF680BF" w14:textId="188F259A" w:rsidR="006A47D6" w:rsidRPr="00801C21" w:rsidRDefault="006A47D6" w:rsidP="006A47D6">
            <w:pPr>
              <w:jc w:val="both"/>
            </w:pPr>
            <w:r w:rsidRPr="00801C21">
              <w:t xml:space="preserve">a) issued and complying with location limitation condition code LO1 or LO5; or </w:t>
            </w:r>
          </w:p>
          <w:p w14:paraId="7065E371" w14:textId="77777777" w:rsidR="006A47D6" w:rsidRPr="00801C21" w:rsidRDefault="006A47D6" w:rsidP="006A47D6">
            <w:pPr>
              <w:jc w:val="both"/>
            </w:pPr>
          </w:p>
          <w:p w14:paraId="34B6013E" w14:textId="34E73628" w:rsidR="006A47D6" w:rsidRPr="00801C21" w:rsidRDefault="006A47D6" w:rsidP="006A47D6">
            <w:pPr>
              <w:jc w:val="both"/>
            </w:pPr>
            <w:r w:rsidRPr="00801C21">
              <w:t>b) the lights of the towing vehicle are not obscured by the implement.</w:t>
            </w:r>
          </w:p>
          <w:p w14:paraId="455A89E7" w14:textId="77777777" w:rsidR="006A47D6" w:rsidRPr="00801C21" w:rsidRDefault="006A47D6" w:rsidP="006A47D6">
            <w:pPr>
              <w:pStyle w:val="ListParagraph"/>
              <w:jc w:val="both"/>
            </w:pPr>
          </w:p>
          <w:p w14:paraId="2023821D" w14:textId="77777777" w:rsidR="00AB4010" w:rsidRPr="00801C21" w:rsidRDefault="006A47D6" w:rsidP="006A47D6">
            <w:pPr>
              <w:pStyle w:val="ListParagraph"/>
              <w:ind w:left="0"/>
              <w:jc w:val="both"/>
            </w:pPr>
            <w:r w:rsidRPr="00801C21">
              <w:t>An agricultural implement being towed by a vehicle that is not conditionally registered is exempt if the lights of the towing vehicle are not obscured by the implement.</w:t>
            </w:r>
          </w:p>
          <w:p w14:paraId="2F169C0E" w14:textId="4EE0C647" w:rsidR="006D529E" w:rsidRPr="00801C21" w:rsidRDefault="006D529E" w:rsidP="006A47D6">
            <w:pPr>
              <w:pStyle w:val="ListParagraph"/>
              <w:ind w:left="0"/>
              <w:jc w:val="both"/>
            </w:pPr>
          </w:p>
        </w:tc>
      </w:tr>
      <w:tr w:rsidR="006C59F4" w14:paraId="6D9117AD" w14:textId="77777777" w:rsidTr="00AF2056">
        <w:tc>
          <w:tcPr>
            <w:tcW w:w="1134" w:type="dxa"/>
          </w:tcPr>
          <w:p w14:paraId="34C763A9" w14:textId="029104FF" w:rsidR="00AB4010" w:rsidRPr="00801C21" w:rsidRDefault="0067216F" w:rsidP="00801C21">
            <w:pPr>
              <w:pStyle w:val="ListParagraph"/>
              <w:ind w:left="0"/>
              <w:jc w:val="center"/>
            </w:pPr>
            <w:r w:rsidRPr="00801C21">
              <w:t>4</w:t>
            </w:r>
          </w:p>
        </w:tc>
        <w:tc>
          <w:tcPr>
            <w:tcW w:w="2551" w:type="dxa"/>
          </w:tcPr>
          <w:p w14:paraId="516F4FB1" w14:textId="77777777" w:rsidR="005D19E0" w:rsidRPr="00801C21" w:rsidRDefault="005D19E0" w:rsidP="00AF2056">
            <w:r w:rsidRPr="00801C21">
              <w:t>Division 3 Headlights</w:t>
            </w:r>
          </w:p>
          <w:p w14:paraId="36510DD2" w14:textId="4A65F797" w:rsidR="005D19E0" w:rsidRPr="00801C21" w:rsidRDefault="005D19E0" w:rsidP="00AF2056">
            <w:r w:rsidRPr="00801C21">
              <w:t>- Section 40</w:t>
            </w:r>
          </w:p>
          <w:p w14:paraId="22864422" w14:textId="77777777" w:rsidR="005D19E0" w:rsidRPr="00801C21" w:rsidRDefault="005D19E0" w:rsidP="00AF2056"/>
          <w:p w14:paraId="5E8C06EE" w14:textId="163C4DED" w:rsidR="005D19E0" w:rsidRPr="00801C21" w:rsidRDefault="005D19E0" w:rsidP="00AF2056">
            <w:r w:rsidRPr="00801C21">
              <w:t xml:space="preserve">Division 6 </w:t>
            </w:r>
            <w:proofErr w:type="gramStart"/>
            <w:r w:rsidRPr="00801C21">
              <w:t>Tail-lights</w:t>
            </w:r>
            <w:proofErr w:type="gramEnd"/>
          </w:p>
          <w:p w14:paraId="3CF2C9E7" w14:textId="736AD364" w:rsidR="005D19E0" w:rsidRPr="00801C21" w:rsidRDefault="005D19E0" w:rsidP="00AF2056">
            <w:r w:rsidRPr="00801C21">
              <w:t>- Section 47(4)</w:t>
            </w:r>
          </w:p>
          <w:p w14:paraId="313640A7" w14:textId="77777777" w:rsidR="005D19E0" w:rsidRPr="00801C21" w:rsidRDefault="005D19E0" w:rsidP="00AF2056"/>
          <w:p w14:paraId="49387CE8" w14:textId="4F775CF7" w:rsidR="005D19E0" w:rsidRPr="00801C21" w:rsidRDefault="005D19E0" w:rsidP="00AF2056">
            <w:r w:rsidRPr="00801C21">
              <w:t>Division 8 Clearance lights</w:t>
            </w:r>
          </w:p>
          <w:p w14:paraId="171CAFE4" w14:textId="6ACEE288" w:rsidR="005D19E0" w:rsidRPr="00801C21" w:rsidRDefault="005D19E0" w:rsidP="00AF2056">
            <w:r w:rsidRPr="00801C21">
              <w:t>- Section 52(3)</w:t>
            </w:r>
          </w:p>
          <w:p w14:paraId="0AAA73B0" w14:textId="77777777" w:rsidR="005D19E0" w:rsidRPr="00801C21" w:rsidRDefault="005D19E0" w:rsidP="00AF2056"/>
          <w:p w14:paraId="42948EFA" w14:textId="0D943B0F" w:rsidR="005D19E0" w:rsidRPr="00801C21" w:rsidRDefault="005D19E0" w:rsidP="00AF2056">
            <w:r w:rsidRPr="00801C21">
              <w:t>Division 9 Side marker lights</w:t>
            </w:r>
          </w:p>
          <w:p w14:paraId="583DDBCB" w14:textId="37284F7F" w:rsidR="005D19E0" w:rsidRPr="00801C21" w:rsidRDefault="005D19E0" w:rsidP="00AF2056">
            <w:r w:rsidRPr="00801C21">
              <w:t>- Section 56</w:t>
            </w:r>
          </w:p>
          <w:p w14:paraId="1C6AFDFC" w14:textId="77777777" w:rsidR="005D19E0" w:rsidRPr="00801C21" w:rsidRDefault="005D19E0" w:rsidP="00AF2056"/>
          <w:p w14:paraId="5825E5D1" w14:textId="0676F393" w:rsidR="005D19E0" w:rsidRPr="00801C21" w:rsidRDefault="005D19E0" w:rsidP="00AF2056">
            <w:r w:rsidRPr="00801C21">
              <w:t>Division 12 Direction of indicator lights</w:t>
            </w:r>
          </w:p>
          <w:p w14:paraId="604712A0" w14:textId="18C5DF02" w:rsidR="00AB4010" w:rsidRPr="00801C21" w:rsidRDefault="00AD4D66" w:rsidP="00AF2056">
            <w:pPr>
              <w:pStyle w:val="ListParagraph"/>
              <w:ind w:left="0"/>
            </w:pPr>
            <w:r w:rsidRPr="00801C21">
              <w:t xml:space="preserve">- </w:t>
            </w:r>
            <w:r w:rsidR="005D19E0" w:rsidRPr="00801C21">
              <w:t>Section 64</w:t>
            </w:r>
          </w:p>
        </w:tc>
        <w:tc>
          <w:tcPr>
            <w:tcW w:w="4910" w:type="dxa"/>
          </w:tcPr>
          <w:p w14:paraId="21A261DD" w14:textId="595FE4FE" w:rsidR="00AB4010" w:rsidRPr="00801C21" w:rsidRDefault="006D529E" w:rsidP="009B3409">
            <w:pPr>
              <w:pStyle w:val="ListParagraph"/>
              <w:ind w:left="0"/>
              <w:jc w:val="both"/>
            </w:pPr>
            <w:r w:rsidRPr="00801C21">
              <w:t>An agricultural vehicle is exempt from these lighting location requirements if the lights are fitted as close as practicable to the positions required by these sections.</w:t>
            </w:r>
          </w:p>
        </w:tc>
      </w:tr>
      <w:tr w:rsidR="00AB4010" w14:paraId="73CB5153" w14:textId="77777777" w:rsidTr="00AF2056">
        <w:tc>
          <w:tcPr>
            <w:tcW w:w="1134" w:type="dxa"/>
          </w:tcPr>
          <w:p w14:paraId="61A7609C" w14:textId="6EC6F2C3" w:rsidR="00AB4010" w:rsidRPr="00801C21" w:rsidRDefault="0067216F" w:rsidP="00801C21">
            <w:pPr>
              <w:pStyle w:val="ListParagraph"/>
              <w:ind w:left="0"/>
              <w:jc w:val="center"/>
            </w:pPr>
            <w:r w:rsidRPr="00801C21">
              <w:t>5</w:t>
            </w:r>
          </w:p>
        </w:tc>
        <w:tc>
          <w:tcPr>
            <w:tcW w:w="2551" w:type="dxa"/>
          </w:tcPr>
          <w:p w14:paraId="223FDF24" w14:textId="77777777" w:rsidR="0036246D" w:rsidRPr="00801C21" w:rsidRDefault="0036246D" w:rsidP="00AF2056">
            <w:r w:rsidRPr="00801C21">
              <w:t>Division 3 Heavy trailer braking systems</w:t>
            </w:r>
          </w:p>
          <w:p w14:paraId="6D322D64" w14:textId="2319D8D4" w:rsidR="00AB4010" w:rsidRPr="00801C21" w:rsidRDefault="0036246D" w:rsidP="00AF2056">
            <w:pPr>
              <w:pStyle w:val="ListParagraph"/>
              <w:ind w:left="0"/>
            </w:pPr>
            <w:r w:rsidRPr="00801C21">
              <w:t>- Section 91</w:t>
            </w:r>
          </w:p>
        </w:tc>
        <w:tc>
          <w:tcPr>
            <w:tcW w:w="4910" w:type="dxa"/>
          </w:tcPr>
          <w:p w14:paraId="30921189" w14:textId="77777777" w:rsidR="00567286" w:rsidRPr="00801C21" w:rsidRDefault="00567286" w:rsidP="00567286">
            <w:pPr>
              <w:jc w:val="both"/>
            </w:pPr>
            <w:r w:rsidRPr="00801C21">
              <w:t>An agricultural trailer with an aggregate trailer mass not exceeding 6 tonnes is exempt if the maximum speed of the vehicle combination that includes the trailer does not exceed 50km/hr.</w:t>
            </w:r>
          </w:p>
          <w:p w14:paraId="6EB78B3C" w14:textId="77777777" w:rsidR="00567286" w:rsidRPr="00801C21" w:rsidRDefault="00567286" w:rsidP="00567286">
            <w:pPr>
              <w:pStyle w:val="ListParagraph"/>
              <w:jc w:val="both"/>
            </w:pPr>
          </w:p>
          <w:p w14:paraId="390444AC" w14:textId="12656E2B" w:rsidR="00AB4010" w:rsidRPr="00801C21" w:rsidRDefault="00567286" w:rsidP="00567286">
            <w:pPr>
              <w:pStyle w:val="ListParagraph"/>
              <w:ind w:left="0"/>
              <w:jc w:val="both"/>
            </w:pPr>
            <w:r w:rsidRPr="00801C21">
              <w:t>Another agricultural implement, excluding an agricultural trailer, is exempt if the maximum speed of the vehicle combination that includes the implement does not exceed 50km/hr.</w:t>
            </w:r>
          </w:p>
        </w:tc>
      </w:tr>
    </w:tbl>
    <w:p w14:paraId="04AB1A64" w14:textId="74A5E1A4" w:rsidR="009B3409" w:rsidRDefault="009B3409" w:rsidP="009B3409">
      <w:pPr>
        <w:pStyle w:val="ListParagraph"/>
        <w:ind w:left="1080"/>
        <w:jc w:val="both"/>
      </w:pPr>
    </w:p>
    <w:p w14:paraId="70A412C8" w14:textId="77777777" w:rsidR="00591CF9" w:rsidRDefault="00591CF9" w:rsidP="009B3409">
      <w:pPr>
        <w:pStyle w:val="ListParagraph"/>
        <w:ind w:left="1080"/>
        <w:jc w:val="both"/>
      </w:pPr>
    </w:p>
    <w:p w14:paraId="5A9C24E8" w14:textId="77777777" w:rsidR="00591CF9" w:rsidRDefault="00591CF9" w:rsidP="009B3409">
      <w:pPr>
        <w:pStyle w:val="ListParagraph"/>
        <w:ind w:left="1080"/>
        <w:jc w:val="both"/>
      </w:pPr>
    </w:p>
    <w:p w14:paraId="1166CDAD" w14:textId="77777777" w:rsidR="00AF5EDD" w:rsidRPr="00AF5EDD" w:rsidRDefault="00AF5EDD" w:rsidP="00AF5ED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F5EDD">
        <w:rPr>
          <w:b/>
          <w:bCs/>
        </w:rPr>
        <w:lastRenderedPageBreak/>
        <w:t>Conditions</w:t>
      </w:r>
    </w:p>
    <w:p w14:paraId="2FED12A8" w14:textId="77777777" w:rsidR="00AF5EDD" w:rsidRDefault="00AF5EDD" w:rsidP="00AF5EDD">
      <w:pPr>
        <w:pStyle w:val="ListParagraph"/>
        <w:ind w:left="1080"/>
        <w:jc w:val="both"/>
      </w:pPr>
    </w:p>
    <w:p w14:paraId="3021E5C6" w14:textId="0262E5D6" w:rsidR="00AF5EDD" w:rsidRDefault="00AF5EDD" w:rsidP="00AF2056">
      <w:pPr>
        <w:pStyle w:val="ListParagraph"/>
        <w:ind w:left="1080"/>
        <w:jc w:val="both"/>
      </w:pPr>
      <w:r>
        <w:t xml:space="preserve">A light or reflector required by this Notice may be attached in a retractable or removable manner (for example a light board) so that the lights or reflectors can be removed when the agricultural implement is used off-road to prevent the lights or reflectors from being damaged. </w:t>
      </w:r>
    </w:p>
    <w:p w14:paraId="1F78B02D" w14:textId="3C9D431A" w:rsidR="00AF5EDD" w:rsidRDefault="00AF5EDD" w:rsidP="00AF5EDD">
      <w:pPr>
        <w:pStyle w:val="ListParagraph"/>
        <w:ind w:left="1080"/>
        <w:jc w:val="both"/>
      </w:pPr>
    </w:p>
    <w:p w14:paraId="47DDBFC9" w14:textId="77777777" w:rsidR="005B2172" w:rsidRDefault="005B2172" w:rsidP="00801C21">
      <w:pPr>
        <w:jc w:val="both"/>
      </w:pPr>
    </w:p>
    <w:p w14:paraId="740B809E" w14:textId="77777777" w:rsidR="00AF5EDD" w:rsidRDefault="00AF5EDD" w:rsidP="00AF5EDD">
      <w:pPr>
        <w:pStyle w:val="ListParagraph"/>
        <w:ind w:left="1080"/>
        <w:jc w:val="both"/>
      </w:pPr>
      <w:r>
        <w:t>Don Hogben</w:t>
      </w:r>
    </w:p>
    <w:p w14:paraId="7852182B" w14:textId="77777777" w:rsidR="00AF5EDD" w:rsidRPr="00AF5EDD" w:rsidRDefault="00AF5EDD" w:rsidP="00AF5EDD">
      <w:pPr>
        <w:pStyle w:val="ListParagraph"/>
        <w:ind w:left="1080"/>
        <w:jc w:val="both"/>
        <w:rPr>
          <w:i/>
          <w:iCs/>
        </w:rPr>
      </w:pPr>
      <w:r w:rsidRPr="00AF5EDD">
        <w:rPr>
          <w:i/>
          <w:iCs/>
        </w:rPr>
        <w:t>Chief Regulatory Policy and Standards Officer</w:t>
      </w:r>
    </w:p>
    <w:p w14:paraId="1ACE4FA9" w14:textId="007623AF" w:rsidR="00567286" w:rsidRPr="00AF5EDD" w:rsidRDefault="00AF5EDD" w:rsidP="00AF5EDD">
      <w:pPr>
        <w:pStyle w:val="ListParagraph"/>
        <w:ind w:left="1080"/>
        <w:jc w:val="both"/>
        <w:rPr>
          <w:b/>
          <w:bCs/>
        </w:rPr>
      </w:pPr>
      <w:r w:rsidRPr="00AF5EDD">
        <w:rPr>
          <w:b/>
          <w:bCs/>
        </w:rPr>
        <w:t>National Heavy Vehicle Regulator</w:t>
      </w:r>
    </w:p>
    <w:sectPr w:rsidR="00567286" w:rsidRPr="00AF5EDD" w:rsidSect="00CE6995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B2A55" w14:textId="77777777" w:rsidR="00B626CD" w:rsidRDefault="00B626CD" w:rsidP="00B626CD">
      <w:pPr>
        <w:spacing w:after="0" w:line="240" w:lineRule="auto"/>
      </w:pPr>
      <w:r>
        <w:separator/>
      </w:r>
    </w:p>
  </w:endnote>
  <w:endnote w:type="continuationSeparator" w:id="0">
    <w:p w14:paraId="581E8294" w14:textId="77777777" w:rsidR="00B626CD" w:rsidRDefault="00B626CD" w:rsidP="00B626CD">
      <w:pPr>
        <w:spacing w:after="0" w:line="240" w:lineRule="auto"/>
      </w:pPr>
      <w:r>
        <w:continuationSeparator/>
      </w:r>
    </w:p>
  </w:endnote>
  <w:endnote w:type="continuationNotice" w:id="1">
    <w:p w14:paraId="6028AE35" w14:textId="77777777" w:rsidR="00FD6193" w:rsidRDefault="00FD6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584102"/>
      <w:docPartObj>
        <w:docPartGallery w:val="Page Numbers (Top of Page)"/>
        <w:docPartUnique/>
      </w:docPartObj>
    </w:sdtPr>
    <w:sdtEndPr/>
    <w:sdtContent>
      <w:p w14:paraId="13064313" w14:textId="77777777" w:rsidR="00CE6995" w:rsidRDefault="00CE6995" w:rsidP="00CE6995">
        <w:pPr>
          <w:pStyle w:val="Footer"/>
          <w:jc w:val="right"/>
        </w:pPr>
      </w:p>
      <w:p w14:paraId="7247DA4F" w14:textId="77777777" w:rsidR="00CE6995" w:rsidRDefault="00CE6995" w:rsidP="00CE6995">
        <w:pPr>
          <w:pStyle w:val="Footer"/>
          <w:jc w:val="right"/>
        </w:pPr>
        <w:r>
          <w:t>Queensland Heavy Vehicle Standards (Agricultural Vehicles) Exemption Notice 2021 (No.1)</w:t>
        </w:r>
      </w:p>
      <w:p w14:paraId="410526F0" w14:textId="5A619621" w:rsidR="00CE6995" w:rsidRDefault="00CE6995" w:rsidP="00CE6995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2434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204AD" w14:textId="77777777" w:rsidR="00CE6995" w:rsidRDefault="00CE6995" w:rsidP="00CE6995">
            <w:pPr>
              <w:pStyle w:val="Footer"/>
              <w:jc w:val="right"/>
            </w:pPr>
          </w:p>
          <w:p w14:paraId="5D0C741F" w14:textId="132360B7" w:rsidR="00CE6995" w:rsidRDefault="00CE6995" w:rsidP="00CE6995">
            <w:pPr>
              <w:pStyle w:val="Footer"/>
              <w:jc w:val="right"/>
            </w:pPr>
            <w:r>
              <w:t>Queensland Heavy Vehicle Standards (Agricultural Vehicles) Exemption Notice 2021 (No.1)</w:t>
            </w:r>
          </w:p>
          <w:p w14:paraId="0776AD65" w14:textId="1031AED2" w:rsidR="00CE6995" w:rsidRDefault="00CE6995" w:rsidP="00CE69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31F17" w14:textId="77777777" w:rsidR="00B626CD" w:rsidRDefault="00B626CD" w:rsidP="00B626CD">
      <w:pPr>
        <w:spacing w:after="0" w:line="240" w:lineRule="auto"/>
      </w:pPr>
      <w:r>
        <w:separator/>
      </w:r>
    </w:p>
  </w:footnote>
  <w:footnote w:type="continuationSeparator" w:id="0">
    <w:p w14:paraId="14F28137" w14:textId="77777777" w:rsidR="00B626CD" w:rsidRDefault="00B626CD" w:rsidP="00B626CD">
      <w:pPr>
        <w:spacing w:after="0" w:line="240" w:lineRule="auto"/>
      </w:pPr>
      <w:r>
        <w:continuationSeparator/>
      </w:r>
    </w:p>
  </w:footnote>
  <w:footnote w:type="continuationNotice" w:id="1">
    <w:p w14:paraId="4B998858" w14:textId="77777777" w:rsidR="00FD6193" w:rsidRDefault="00FD6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E6995" w:rsidRPr="00CE796A" w14:paraId="145FC227" w14:textId="77777777" w:rsidTr="00FD619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536BBAF" w14:textId="77777777" w:rsidR="00CE6995" w:rsidRPr="00CE796A" w:rsidRDefault="00CE6995" w:rsidP="00CE699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C57F0D" wp14:editId="77A7DC3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FCAE857" w14:textId="77777777" w:rsidR="00CE6995" w:rsidRPr="00CE796A" w:rsidRDefault="00CE6995" w:rsidP="00CE699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401B2F" w14:textId="77777777" w:rsidR="00CE6995" w:rsidRPr="00CE796A" w:rsidRDefault="00CE6995" w:rsidP="00CE699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E6995" w:rsidRPr="00CE796A" w14:paraId="23627F97" w14:textId="77777777" w:rsidTr="00FD619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8A8112F" w14:textId="77777777" w:rsidR="00CE6995" w:rsidRPr="00CE796A" w:rsidRDefault="00CE6995" w:rsidP="00CE699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2A808B3" w14:textId="77777777" w:rsidR="00CE6995" w:rsidRPr="00840A06" w:rsidRDefault="00CE6995" w:rsidP="00CE699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E821131" w14:textId="77777777" w:rsidR="00CE6995" w:rsidRDefault="00CE6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27A6"/>
    <w:multiLevelType w:val="hybridMultilevel"/>
    <w:tmpl w:val="9102A0E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F4499"/>
    <w:multiLevelType w:val="hybridMultilevel"/>
    <w:tmpl w:val="D1322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75FC"/>
    <w:multiLevelType w:val="hybridMultilevel"/>
    <w:tmpl w:val="2478626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05701"/>
    <w:multiLevelType w:val="hybridMultilevel"/>
    <w:tmpl w:val="13CCBF6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485B88"/>
    <w:multiLevelType w:val="hybridMultilevel"/>
    <w:tmpl w:val="5A0295A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4385A"/>
    <w:multiLevelType w:val="hybridMultilevel"/>
    <w:tmpl w:val="2478626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0488A"/>
    <w:rsid w:val="0005380A"/>
    <w:rsid w:val="000858FA"/>
    <w:rsid w:val="000A1325"/>
    <w:rsid w:val="000A4DF8"/>
    <w:rsid w:val="000D62DA"/>
    <w:rsid w:val="00121F72"/>
    <w:rsid w:val="00140D43"/>
    <w:rsid w:val="00173EBC"/>
    <w:rsid w:val="001C200A"/>
    <w:rsid w:val="00257F9D"/>
    <w:rsid w:val="00360343"/>
    <w:rsid w:val="0036246D"/>
    <w:rsid w:val="004274AD"/>
    <w:rsid w:val="004D21DC"/>
    <w:rsid w:val="005054A8"/>
    <w:rsid w:val="00554DD4"/>
    <w:rsid w:val="0056092A"/>
    <w:rsid w:val="00567286"/>
    <w:rsid w:val="00591CF9"/>
    <w:rsid w:val="005B2172"/>
    <w:rsid w:val="005D19E0"/>
    <w:rsid w:val="00610920"/>
    <w:rsid w:val="00651634"/>
    <w:rsid w:val="0067216F"/>
    <w:rsid w:val="00687B0C"/>
    <w:rsid w:val="00691A4A"/>
    <w:rsid w:val="006A47D6"/>
    <w:rsid w:val="006C59F4"/>
    <w:rsid w:val="006D529E"/>
    <w:rsid w:val="007106C2"/>
    <w:rsid w:val="007616B4"/>
    <w:rsid w:val="007F6427"/>
    <w:rsid w:val="007F68E9"/>
    <w:rsid w:val="00801C21"/>
    <w:rsid w:val="0088478C"/>
    <w:rsid w:val="00895049"/>
    <w:rsid w:val="008A1D51"/>
    <w:rsid w:val="00917D1D"/>
    <w:rsid w:val="00951F72"/>
    <w:rsid w:val="009B3409"/>
    <w:rsid w:val="009E117A"/>
    <w:rsid w:val="00A03604"/>
    <w:rsid w:val="00A23BD2"/>
    <w:rsid w:val="00A24B63"/>
    <w:rsid w:val="00A635BD"/>
    <w:rsid w:val="00A63A71"/>
    <w:rsid w:val="00A74B61"/>
    <w:rsid w:val="00AB4010"/>
    <w:rsid w:val="00AD4D66"/>
    <w:rsid w:val="00AE75A6"/>
    <w:rsid w:val="00AF2056"/>
    <w:rsid w:val="00AF5EDD"/>
    <w:rsid w:val="00B56003"/>
    <w:rsid w:val="00B626CD"/>
    <w:rsid w:val="00BC0631"/>
    <w:rsid w:val="00C20135"/>
    <w:rsid w:val="00C513EC"/>
    <w:rsid w:val="00CA7D94"/>
    <w:rsid w:val="00CC4763"/>
    <w:rsid w:val="00CE6995"/>
    <w:rsid w:val="00CF3152"/>
    <w:rsid w:val="00D770ED"/>
    <w:rsid w:val="00D95231"/>
    <w:rsid w:val="00DF5E65"/>
    <w:rsid w:val="00E0404E"/>
    <w:rsid w:val="00E10B77"/>
    <w:rsid w:val="00E60EAB"/>
    <w:rsid w:val="00EC4AD8"/>
    <w:rsid w:val="00FB7E05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A23D"/>
  <w15:chartTrackingRefBased/>
  <w15:docId w15:val="{05AF5BF1-4F23-4ED1-9817-02572619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5A6"/>
    <w:pPr>
      <w:ind w:left="720"/>
      <w:contextualSpacing/>
    </w:pPr>
  </w:style>
  <w:style w:type="table" w:styleId="TableGrid">
    <w:name w:val="Table Grid"/>
    <w:basedOn w:val="TableNormal"/>
    <w:uiPriority w:val="39"/>
    <w:rsid w:val="00A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CD"/>
  </w:style>
  <w:style w:type="paragraph" w:styleId="Footer">
    <w:name w:val="footer"/>
    <w:basedOn w:val="Normal"/>
    <w:link w:val="FooterChar"/>
    <w:uiPriority w:val="99"/>
    <w:unhideWhenUsed/>
    <w:rsid w:val="00B62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9" ma:contentTypeDescription="Create a new document." ma:contentTypeScope="" ma:versionID="d21913a6cdaaca32d88c2b54cb76e87f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273eb8b0d28e3edc1c3e70a05db4925e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8F90D-FA11-459D-8A87-CE9D0118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A4783-FCB9-4B5A-A584-88807E5FF666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73f7d1ba-ac27-4bcb-a5b6-37981e86af6e"/>
    <ds:schemaRef ds:uri="5ad2cbeb-fc51-4b49-87dc-42300fe4d1d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A6DBF8-405E-4F8B-BCE5-A90FDFCCA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10B4B-8019-4D5F-9067-462836F0A8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5</cp:revision>
  <dcterms:created xsi:type="dcterms:W3CDTF">2021-06-29T05:26:00Z</dcterms:created>
  <dcterms:modified xsi:type="dcterms:W3CDTF">2021-06-29T05:31:00Z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