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3663325"/>
    <w:p w14:paraId="152A819D" w14:textId="796F2DE1" w:rsidR="00586137" w:rsidRDefault="00586137" w:rsidP="00586137">
      <w:r>
        <w:object w:dxaOrig="2146" w:dyaOrig="1561" w14:anchorId="73465F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8pt;height:79.5pt" o:ole="" fillcolor="window">
            <v:imagedata r:id="rId8" o:title=""/>
          </v:shape>
          <o:OLEObject Type="Embed" ProgID="Word.Picture.8" ShapeID="_x0000_i1026" DrawAspect="Content" ObjectID="_1706694923" r:id="rId9"/>
        </w:object>
      </w:r>
    </w:p>
    <w:p w14:paraId="0220883D" w14:textId="77777777" w:rsidR="00586137" w:rsidRDefault="00586137" w:rsidP="00586137"/>
    <w:p w14:paraId="66174C79" w14:textId="77777777" w:rsidR="00586137" w:rsidRDefault="00586137" w:rsidP="00586137"/>
    <w:p w14:paraId="7F3989D5" w14:textId="77777777" w:rsidR="00586137" w:rsidRDefault="00586137" w:rsidP="00586137"/>
    <w:p w14:paraId="04F8B7A5" w14:textId="77777777" w:rsidR="00586137" w:rsidRDefault="00586137" w:rsidP="00586137"/>
    <w:p w14:paraId="1F7FAE0F" w14:textId="77777777" w:rsidR="00586137" w:rsidRDefault="00586137" w:rsidP="00586137"/>
    <w:p w14:paraId="0C2935C6" w14:textId="77777777" w:rsidR="00586137" w:rsidRDefault="00586137" w:rsidP="00586137"/>
    <w:p w14:paraId="323BF618" w14:textId="422C34BF" w:rsidR="0048364F" w:rsidRPr="0017733E" w:rsidRDefault="00586137" w:rsidP="0048364F">
      <w:pPr>
        <w:pStyle w:val="ShortT"/>
      </w:pPr>
      <w:r>
        <w:t>Electoral Legislation Amendment (Foreign Influences and Offences) Act 2022</w:t>
      </w:r>
      <w:bookmarkStart w:id="1" w:name="_GoBack"/>
      <w:bookmarkEnd w:id="1"/>
    </w:p>
    <w:bookmarkEnd w:id="0"/>
    <w:p w14:paraId="415CC6AB" w14:textId="77777777" w:rsidR="0048364F" w:rsidRPr="0017733E" w:rsidRDefault="0048364F" w:rsidP="0048364F"/>
    <w:p w14:paraId="1F3E60B2" w14:textId="365D8F23" w:rsidR="0048364F" w:rsidRPr="0017733E" w:rsidRDefault="00C164CA" w:rsidP="00586137">
      <w:pPr>
        <w:pStyle w:val="Actno"/>
        <w:spacing w:before="400"/>
      </w:pPr>
      <w:r w:rsidRPr="0017733E">
        <w:t>No.</w:t>
      </w:r>
      <w:r w:rsidR="00073DBB">
        <w:t xml:space="preserve"> 6</w:t>
      </w:r>
      <w:r w:rsidRPr="0017733E">
        <w:t>, 20</w:t>
      </w:r>
      <w:r w:rsidR="009E186E" w:rsidRPr="0017733E">
        <w:t>2</w:t>
      </w:r>
      <w:r w:rsidR="005F11B1" w:rsidRPr="0017733E">
        <w:t>2</w:t>
      </w:r>
    </w:p>
    <w:p w14:paraId="37104696" w14:textId="77777777" w:rsidR="0048364F" w:rsidRPr="0017733E" w:rsidRDefault="0048364F" w:rsidP="0048364F"/>
    <w:p w14:paraId="5A76EA52" w14:textId="77777777" w:rsidR="00460D6B" w:rsidRDefault="00460D6B" w:rsidP="00460D6B">
      <w:pPr>
        <w:rPr>
          <w:lang w:eastAsia="en-AU"/>
        </w:rPr>
      </w:pPr>
    </w:p>
    <w:p w14:paraId="2B750FBD" w14:textId="4E8EE1BD" w:rsidR="0048364F" w:rsidRPr="0017733E" w:rsidRDefault="0048364F" w:rsidP="0048364F"/>
    <w:p w14:paraId="44E98DBE" w14:textId="77777777" w:rsidR="0048364F" w:rsidRPr="0017733E" w:rsidRDefault="0048364F" w:rsidP="0048364F"/>
    <w:p w14:paraId="4EEF81D2" w14:textId="77777777" w:rsidR="0048364F" w:rsidRPr="0017733E" w:rsidRDefault="0048364F" w:rsidP="0048364F"/>
    <w:p w14:paraId="3AEDE198" w14:textId="77777777" w:rsidR="00586137" w:rsidRDefault="00586137" w:rsidP="00586137">
      <w:pPr>
        <w:pStyle w:val="LongT"/>
      </w:pPr>
      <w:r>
        <w:t>An Act to amend the law relating to elections and referendums in respect of electoral communication and expenditure of foreign campaigners, and offences, and for related purposes</w:t>
      </w:r>
    </w:p>
    <w:p w14:paraId="1C33190C" w14:textId="53FD63E3" w:rsidR="0048364F" w:rsidRPr="00820BFB" w:rsidRDefault="0048364F" w:rsidP="0048364F">
      <w:pPr>
        <w:pStyle w:val="Header"/>
        <w:tabs>
          <w:tab w:val="clear" w:pos="4150"/>
          <w:tab w:val="clear" w:pos="8307"/>
        </w:tabs>
      </w:pPr>
      <w:r w:rsidRPr="00820BFB">
        <w:rPr>
          <w:rStyle w:val="CharAmSchNo"/>
        </w:rPr>
        <w:t xml:space="preserve"> </w:t>
      </w:r>
      <w:r w:rsidRPr="00820BFB">
        <w:rPr>
          <w:rStyle w:val="CharAmSchText"/>
        </w:rPr>
        <w:t xml:space="preserve"> </w:t>
      </w:r>
    </w:p>
    <w:p w14:paraId="6F54A3BE" w14:textId="77777777" w:rsidR="0048364F" w:rsidRPr="00820BFB" w:rsidRDefault="0048364F" w:rsidP="0048364F">
      <w:pPr>
        <w:pStyle w:val="Header"/>
        <w:tabs>
          <w:tab w:val="clear" w:pos="4150"/>
          <w:tab w:val="clear" w:pos="8307"/>
        </w:tabs>
      </w:pPr>
      <w:r w:rsidRPr="00820BFB">
        <w:rPr>
          <w:rStyle w:val="CharAmPartNo"/>
        </w:rPr>
        <w:t xml:space="preserve"> </w:t>
      </w:r>
      <w:r w:rsidRPr="00820BFB">
        <w:rPr>
          <w:rStyle w:val="CharAmPartText"/>
        </w:rPr>
        <w:t xml:space="preserve"> </w:t>
      </w:r>
    </w:p>
    <w:p w14:paraId="1D1AADAE" w14:textId="77777777" w:rsidR="0048364F" w:rsidRPr="0017733E" w:rsidRDefault="0048364F" w:rsidP="0048364F">
      <w:pPr>
        <w:sectPr w:rsidR="0048364F" w:rsidRPr="0017733E" w:rsidSect="0058613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2385B737" w14:textId="77777777" w:rsidR="0048364F" w:rsidRPr="0017733E" w:rsidRDefault="0048364F" w:rsidP="0048364F">
      <w:pPr>
        <w:outlineLvl w:val="0"/>
        <w:rPr>
          <w:sz w:val="36"/>
        </w:rPr>
      </w:pPr>
      <w:r w:rsidRPr="0017733E">
        <w:rPr>
          <w:sz w:val="36"/>
        </w:rPr>
        <w:lastRenderedPageBreak/>
        <w:t>Contents</w:t>
      </w:r>
    </w:p>
    <w:p w14:paraId="7362A4C4" w14:textId="528046D7" w:rsidR="00B37CCE" w:rsidRDefault="00B37C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B37CCE">
        <w:rPr>
          <w:noProof/>
        </w:rPr>
        <w:tab/>
      </w:r>
      <w:r w:rsidRPr="00B37CCE">
        <w:rPr>
          <w:noProof/>
        </w:rPr>
        <w:fldChar w:fldCharType="begin"/>
      </w:r>
      <w:r w:rsidRPr="00B37CCE">
        <w:rPr>
          <w:noProof/>
        </w:rPr>
        <w:instrText xml:space="preserve"> PAGEREF _Toc96080702 \h </w:instrText>
      </w:r>
      <w:r w:rsidRPr="00B37CCE">
        <w:rPr>
          <w:noProof/>
        </w:rPr>
      </w:r>
      <w:r w:rsidRPr="00B37CCE">
        <w:rPr>
          <w:noProof/>
        </w:rPr>
        <w:fldChar w:fldCharType="separate"/>
      </w:r>
      <w:r w:rsidR="008236B4">
        <w:rPr>
          <w:noProof/>
        </w:rPr>
        <w:t>2</w:t>
      </w:r>
      <w:r w:rsidRPr="00B37CCE">
        <w:rPr>
          <w:noProof/>
        </w:rPr>
        <w:fldChar w:fldCharType="end"/>
      </w:r>
    </w:p>
    <w:p w14:paraId="2A57F641" w14:textId="5E2AE7B7" w:rsidR="00B37CCE" w:rsidRDefault="00B37C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37CCE">
        <w:rPr>
          <w:noProof/>
        </w:rPr>
        <w:tab/>
      </w:r>
      <w:r w:rsidRPr="00B37CCE">
        <w:rPr>
          <w:noProof/>
        </w:rPr>
        <w:fldChar w:fldCharType="begin"/>
      </w:r>
      <w:r w:rsidRPr="00B37CCE">
        <w:rPr>
          <w:noProof/>
        </w:rPr>
        <w:instrText xml:space="preserve"> PAGEREF _Toc96080703 \h </w:instrText>
      </w:r>
      <w:r w:rsidRPr="00B37CCE">
        <w:rPr>
          <w:noProof/>
        </w:rPr>
      </w:r>
      <w:r w:rsidRPr="00B37CCE">
        <w:rPr>
          <w:noProof/>
        </w:rPr>
        <w:fldChar w:fldCharType="separate"/>
      </w:r>
      <w:r w:rsidR="008236B4">
        <w:rPr>
          <w:noProof/>
        </w:rPr>
        <w:t>2</w:t>
      </w:r>
      <w:r w:rsidRPr="00B37CCE">
        <w:rPr>
          <w:noProof/>
        </w:rPr>
        <w:fldChar w:fldCharType="end"/>
      </w:r>
    </w:p>
    <w:p w14:paraId="0B8EE99E" w14:textId="6B8C239A" w:rsidR="00B37CCE" w:rsidRDefault="00B37C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B37CCE">
        <w:rPr>
          <w:noProof/>
        </w:rPr>
        <w:tab/>
      </w:r>
      <w:r w:rsidRPr="00B37CCE">
        <w:rPr>
          <w:noProof/>
        </w:rPr>
        <w:fldChar w:fldCharType="begin"/>
      </w:r>
      <w:r w:rsidRPr="00B37CCE">
        <w:rPr>
          <w:noProof/>
        </w:rPr>
        <w:instrText xml:space="preserve"> PAGEREF _Toc96080704 \h </w:instrText>
      </w:r>
      <w:r w:rsidRPr="00B37CCE">
        <w:rPr>
          <w:noProof/>
        </w:rPr>
      </w:r>
      <w:r w:rsidRPr="00B37CCE">
        <w:rPr>
          <w:noProof/>
        </w:rPr>
        <w:fldChar w:fldCharType="separate"/>
      </w:r>
      <w:r w:rsidR="008236B4">
        <w:rPr>
          <w:noProof/>
        </w:rPr>
        <w:t>2</w:t>
      </w:r>
      <w:r w:rsidRPr="00B37CCE">
        <w:rPr>
          <w:noProof/>
        </w:rPr>
        <w:fldChar w:fldCharType="end"/>
      </w:r>
    </w:p>
    <w:p w14:paraId="04A50940" w14:textId="52698C24" w:rsidR="00B37CCE" w:rsidRDefault="00B37CC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1—Foreign electoral communication and expenditure</w:t>
      </w:r>
      <w:r w:rsidRPr="00B37CCE">
        <w:rPr>
          <w:b w:val="0"/>
          <w:noProof/>
          <w:sz w:val="18"/>
        </w:rPr>
        <w:tab/>
      </w:r>
      <w:r w:rsidRPr="00B37CCE">
        <w:rPr>
          <w:b w:val="0"/>
          <w:noProof/>
          <w:sz w:val="18"/>
        </w:rPr>
        <w:fldChar w:fldCharType="begin"/>
      </w:r>
      <w:r w:rsidRPr="00B37CCE">
        <w:rPr>
          <w:b w:val="0"/>
          <w:noProof/>
          <w:sz w:val="18"/>
        </w:rPr>
        <w:instrText xml:space="preserve"> PAGEREF _Toc96080705 \h </w:instrText>
      </w:r>
      <w:r w:rsidRPr="00B37CCE">
        <w:rPr>
          <w:b w:val="0"/>
          <w:noProof/>
          <w:sz w:val="18"/>
        </w:rPr>
      </w:r>
      <w:r w:rsidRPr="00B37CCE">
        <w:rPr>
          <w:b w:val="0"/>
          <w:noProof/>
          <w:sz w:val="18"/>
        </w:rPr>
        <w:fldChar w:fldCharType="separate"/>
      </w:r>
      <w:r w:rsidR="008236B4">
        <w:rPr>
          <w:b w:val="0"/>
          <w:noProof/>
          <w:sz w:val="18"/>
        </w:rPr>
        <w:t>3</w:t>
      </w:r>
      <w:r w:rsidRPr="00B37CCE">
        <w:rPr>
          <w:b w:val="0"/>
          <w:noProof/>
          <w:sz w:val="18"/>
        </w:rPr>
        <w:fldChar w:fldCharType="end"/>
      </w:r>
    </w:p>
    <w:p w14:paraId="4A608E3A" w14:textId="3A4E05E8" w:rsidR="00B37CCE" w:rsidRDefault="00B37CC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1—Communication authorised by foreign campaigners</w:t>
      </w:r>
      <w:r w:rsidRPr="00B37CCE">
        <w:rPr>
          <w:noProof/>
          <w:sz w:val="18"/>
        </w:rPr>
        <w:tab/>
      </w:r>
      <w:r w:rsidRPr="00B37CCE">
        <w:rPr>
          <w:noProof/>
          <w:sz w:val="18"/>
        </w:rPr>
        <w:fldChar w:fldCharType="begin"/>
      </w:r>
      <w:r w:rsidRPr="00B37CCE">
        <w:rPr>
          <w:noProof/>
          <w:sz w:val="18"/>
        </w:rPr>
        <w:instrText xml:space="preserve"> PAGEREF _Toc96080706 \h </w:instrText>
      </w:r>
      <w:r w:rsidRPr="00B37CCE">
        <w:rPr>
          <w:noProof/>
          <w:sz w:val="18"/>
        </w:rPr>
      </w:r>
      <w:r w:rsidRPr="00B37CCE">
        <w:rPr>
          <w:noProof/>
          <w:sz w:val="18"/>
        </w:rPr>
        <w:fldChar w:fldCharType="separate"/>
      </w:r>
      <w:r w:rsidR="008236B4">
        <w:rPr>
          <w:noProof/>
          <w:sz w:val="18"/>
        </w:rPr>
        <w:t>3</w:t>
      </w:r>
      <w:r w:rsidRPr="00B37CCE">
        <w:rPr>
          <w:noProof/>
          <w:sz w:val="18"/>
        </w:rPr>
        <w:fldChar w:fldCharType="end"/>
      </w:r>
    </w:p>
    <w:p w14:paraId="753D26D3" w14:textId="28D60929" w:rsidR="00B37CCE" w:rsidRDefault="00B37C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Commonwealth Electoral Act 1918</w:t>
      </w:r>
      <w:r w:rsidRPr="00B37CCE">
        <w:rPr>
          <w:i w:val="0"/>
          <w:noProof/>
          <w:sz w:val="18"/>
        </w:rPr>
        <w:tab/>
      </w:r>
      <w:r w:rsidRPr="00B37CCE">
        <w:rPr>
          <w:i w:val="0"/>
          <w:noProof/>
          <w:sz w:val="18"/>
        </w:rPr>
        <w:fldChar w:fldCharType="begin"/>
      </w:r>
      <w:r w:rsidRPr="00B37CCE">
        <w:rPr>
          <w:i w:val="0"/>
          <w:noProof/>
          <w:sz w:val="18"/>
        </w:rPr>
        <w:instrText xml:space="preserve"> PAGEREF _Toc96080707 \h </w:instrText>
      </w:r>
      <w:r w:rsidRPr="00B37CCE">
        <w:rPr>
          <w:i w:val="0"/>
          <w:noProof/>
          <w:sz w:val="18"/>
        </w:rPr>
      </w:r>
      <w:r w:rsidRPr="00B37CCE">
        <w:rPr>
          <w:i w:val="0"/>
          <w:noProof/>
          <w:sz w:val="18"/>
        </w:rPr>
        <w:fldChar w:fldCharType="separate"/>
      </w:r>
      <w:r w:rsidR="008236B4">
        <w:rPr>
          <w:i w:val="0"/>
          <w:noProof/>
          <w:sz w:val="18"/>
        </w:rPr>
        <w:t>3</w:t>
      </w:r>
      <w:r w:rsidRPr="00B37CCE">
        <w:rPr>
          <w:i w:val="0"/>
          <w:noProof/>
          <w:sz w:val="18"/>
        </w:rPr>
        <w:fldChar w:fldCharType="end"/>
      </w:r>
    </w:p>
    <w:p w14:paraId="26B11641" w14:textId="0AAF806D" w:rsidR="00B37CCE" w:rsidRDefault="00B37CC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2—Electoral expenditure by foreign campaigners</w:t>
      </w:r>
      <w:r w:rsidRPr="00B37CCE">
        <w:rPr>
          <w:noProof/>
          <w:sz w:val="18"/>
        </w:rPr>
        <w:tab/>
      </w:r>
      <w:r w:rsidRPr="00B37CCE">
        <w:rPr>
          <w:noProof/>
          <w:sz w:val="18"/>
        </w:rPr>
        <w:fldChar w:fldCharType="begin"/>
      </w:r>
      <w:r w:rsidRPr="00B37CCE">
        <w:rPr>
          <w:noProof/>
          <w:sz w:val="18"/>
        </w:rPr>
        <w:instrText xml:space="preserve"> PAGEREF _Toc96080709 \h </w:instrText>
      </w:r>
      <w:r w:rsidRPr="00B37CCE">
        <w:rPr>
          <w:noProof/>
          <w:sz w:val="18"/>
        </w:rPr>
      </w:r>
      <w:r w:rsidRPr="00B37CCE">
        <w:rPr>
          <w:noProof/>
          <w:sz w:val="18"/>
        </w:rPr>
        <w:fldChar w:fldCharType="separate"/>
      </w:r>
      <w:r w:rsidR="008236B4">
        <w:rPr>
          <w:noProof/>
          <w:sz w:val="18"/>
        </w:rPr>
        <w:t>9</w:t>
      </w:r>
      <w:r w:rsidRPr="00B37CCE">
        <w:rPr>
          <w:noProof/>
          <w:sz w:val="18"/>
        </w:rPr>
        <w:fldChar w:fldCharType="end"/>
      </w:r>
    </w:p>
    <w:p w14:paraId="72AF880A" w14:textId="39B62A25" w:rsidR="00B37CCE" w:rsidRDefault="00B37C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Commonwealth Electoral Act 1918</w:t>
      </w:r>
      <w:r w:rsidRPr="00B37CCE">
        <w:rPr>
          <w:i w:val="0"/>
          <w:noProof/>
          <w:sz w:val="18"/>
        </w:rPr>
        <w:tab/>
      </w:r>
      <w:r w:rsidRPr="00B37CCE">
        <w:rPr>
          <w:i w:val="0"/>
          <w:noProof/>
          <w:sz w:val="18"/>
        </w:rPr>
        <w:fldChar w:fldCharType="begin"/>
      </w:r>
      <w:r w:rsidRPr="00B37CCE">
        <w:rPr>
          <w:i w:val="0"/>
          <w:noProof/>
          <w:sz w:val="18"/>
        </w:rPr>
        <w:instrText xml:space="preserve"> PAGEREF _Toc96080710 \h </w:instrText>
      </w:r>
      <w:r w:rsidRPr="00B37CCE">
        <w:rPr>
          <w:i w:val="0"/>
          <w:noProof/>
          <w:sz w:val="18"/>
        </w:rPr>
      </w:r>
      <w:r w:rsidRPr="00B37CCE">
        <w:rPr>
          <w:i w:val="0"/>
          <w:noProof/>
          <w:sz w:val="18"/>
        </w:rPr>
        <w:fldChar w:fldCharType="separate"/>
      </w:r>
      <w:r w:rsidR="008236B4">
        <w:rPr>
          <w:i w:val="0"/>
          <w:noProof/>
          <w:sz w:val="18"/>
        </w:rPr>
        <w:t>9</w:t>
      </w:r>
      <w:r w:rsidRPr="00B37CCE">
        <w:rPr>
          <w:i w:val="0"/>
          <w:noProof/>
          <w:sz w:val="18"/>
        </w:rPr>
        <w:fldChar w:fldCharType="end"/>
      </w:r>
    </w:p>
    <w:p w14:paraId="14C95C4C" w14:textId="4BCAE97D" w:rsidR="00B37CCE" w:rsidRDefault="00B37CC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2—Offences</w:t>
      </w:r>
      <w:r w:rsidRPr="00B37CCE">
        <w:rPr>
          <w:b w:val="0"/>
          <w:noProof/>
          <w:sz w:val="18"/>
        </w:rPr>
        <w:tab/>
      </w:r>
      <w:r w:rsidRPr="00B37CCE">
        <w:rPr>
          <w:b w:val="0"/>
          <w:noProof/>
          <w:sz w:val="18"/>
        </w:rPr>
        <w:fldChar w:fldCharType="begin"/>
      </w:r>
      <w:r w:rsidRPr="00B37CCE">
        <w:rPr>
          <w:b w:val="0"/>
          <w:noProof/>
          <w:sz w:val="18"/>
        </w:rPr>
        <w:instrText xml:space="preserve"> PAGEREF _Toc96080716 \h </w:instrText>
      </w:r>
      <w:r w:rsidRPr="00B37CCE">
        <w:rPr>
          <w:b w:val="0"/>
          <w:noProof/>
          <w:sz w:val="18"/>
        </w:rPr>
      </w:r>
      <w:r w:rsidRPr="00B37CCE">
        <w:rPr>
          <w:b w:val="0"/>
          <w:noProof/>
          <w:sz w:val="18"/>
        </w:rPr>
        <w:fldChar w:fldCharType="separate"/>
      </w:r>
      <w:r w:rsidR="008236B4">
        <w:rPr>
          <w:b w:val="0"/>
          <w:noProof/>
          <w:sz w:val="18"/>
        </w:rPr>
        <w:t>13</w:t>
      </w:r>
      <w:r w:rsidRPr="00B37CCE">
        <w:rPr>
          <w:b w:val="0"/>
          <w:noProof/>
          <w:sz w:val="18"/>
        </w:rPr>
        <w:fldChar w:fldCharType="end"/>
      </w:r>
    </w:p>
    <w:p w14:paraId="0BE69599" w14:textId="4BBBC9AA" w:rsidR="00B37CCE" w:rsidRDefault="00B37C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Commonwealth Electoral Act 1918</w:t>
      </w:r>
      <w:r w:rsidRPr="00B37CCE">
        <w:rPr>
          <w:i w:val="0"/>
          <w:noProof/>
          <w:sz w:val="18"/>
        </w:rPr>
        <w:tab/>
      </w:r>
      <w:r w:rsidRPr="00B37CCE">
        <w:rPr>
          <w:i w:val="0"/>
          <w:noProof/>
          <w:sz w:val="18"/>
        </w:rPr>
        <w:fldChar w:fldCharType="begin"/>
      </w:r>
      <w:r w:rsidRPr="00B37CCE">
        <w:rPr>
          <w:i w:val="0"/>
          <w:noProof/>
          <w:sz w:val="18"/>
        </w:rPr>
        <w:instrText xml:space="preserve"> PAGEREF _Toc96080717 \h </w:instrText>
      </w:r>
      <w:r w:rsidRPr="00B37CCE">
        <w:rPr>
          <w:i w:val="0"/>
          <w:noProof/>
          <w:sz w:val="18"/>
        </w:rPr>
      </w:r>
      <w:r w:rsidRPr="00B37CCE">
        <w:rPr>
          <w:i w:val="0"/>
          <w:noProof/>
          <w:sz w:val="18"/>
        </w:rPr>
        <w:fldChar w:fldCharType="separate"/>
      </w:r>
      <w:r w:rsidR="008236B4">
        <w:rPr>
          <w:i w:val="0"/>
          <w:noProof/>
          <w:sz w:val="18"/>
        </w:rPr>
        <w:t>13</w:t>
      </w:r>
      <w:r w:rsidRPr="00B37CCE">
        <w:rPr>
          <w:i w:val="0"/>
          <w:noProof/>
          <w:sz w:val="18"/>
        </w:rPr>
        <w:fldChar w:fldCharType="end"/>
      </w:r>
    </w:p>
    <w:p w14:paraId="2805B4B9" w14:textId="3A90A7BC" w:rsidR="00B37CCE" w:rsidRDefault="00B37C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Referendum (Machinery Provisions) Act 1984</w:t>
      </w:r>
      <w:r w:rsidRPr="00B37CCE">
        <w:rPr>
          <w:i w:val="0"/>
          <w:noProof/>
          <w:sz w:val="18"/>
        </w:rPr>
        <w:tab/>
      </w:r>
      <w:r w:rsidRPr="00B37CCE">
        <w:rPr>
          <w:i w:val="0"/>
          <w:noProof/>
          <w:sz w:val="18"/>
        </w:rPr>
        <w:fldChar w:fldCharType="begin"/>
      </w:r>
      <w:r w:rsidRPr="00B37CCE">
        <w:rPr>
          <w:i w:val="0"/>
          <w:noProof/>
          <w:sz w:val="18"/>
        </w:rPr>
        <w:instrText xml:space="preserve"> PAGEREF _Toc96080718 \h </w:instrText>
      </w:r>
      <w:r w:rsidRPr="00B37CCE">
        <w:rPr>
          <w:i w:val="0"/>
          <w:noProof/>
          <w:sz w:val="18"/>
        </w:rPr>
      </w:r>
      <w:r w:rsidRPr="00B37CCE">
        <w:rPr>
          <w:i w:val="0"/>
          <w:noProof/>
          <w:sz w:val="18"/>
        </w:rPr>
        <w:fldChar w:fldCharType="separate"/>
      </w:r>
      <w:r w:rsidR="008236B4">
        <w:rPr>
          <w:i w:val="0"/>
          <w:noProof/>
          <w:sz w:val="18"/>
        </w:rPr>
        <w:t>13</w:t>
      </w:r>
      <w:r w:rsidRPr="00B37CCE">
        <w:rPr>
          <w:i w:val="0"/>
          <w:noProof/>
          <w:sz w:val="18"/>
        </w:rPr>
        <w:fldChar w:fldCharType="end"/>
      </w:r>
    </w:p>
    <w:p w14:paraId="6F2E4E0B" w14:textId="08DF66D4" w:rsidR="00060FF9" w:rsidRPr="0017733E" w:rsidRDefault="00B37CCE" w:rsidP="0048364F">
      <w:r>
        <w:fldChar w:fldCharType="end"/>
      </w:r>
    </w:p>
    <w:p w14:paraId="5E74F082" w14:textId="77777777" w:rsidR="00FE7F93" w:rsidRPr="0017733E" w:rsidRDefault="00FE7F93" w:rsidP="0048364F">
      <w:pPr>
        <w:sectPr w:rsidR="00FE7F93" w:rsidRPr="0017733E" w:rsidSect="0058613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7054C4C2" w14:textId="77777777" w:rsidR="00586137" w:rsidRDefault="00586137">
      <w:r>
        <w:object w:dxaOrig="2146" w:dyaOrig="1561" w14:anchorId="5FF90C2B">
          <v:shape id="_x0000_i1027" type="#_x0000_t75" alt="Commonwealth Coat of Arms of Australia" style="width:108pt;height:79.5pt" o:ole="" fillcolor="window">
            <v:imagedata r:id="rId8" o:title=""/>
          </v:shape>
          <o:OLEObject Type="Embed" ProgID="Word.Picture.8" ShapeID="_x0000_i1027" DrawAspect="Content" ObjectID="_1706694924" r:id="rId21"/>
        </w:object>
      </w:r>
    </w:p>
    <w:p w14:paraId="7F0D2FF9" w14:textId="77777777" w:rsidR="00586137" w:rsidRDefault="00586137"/>
    <w:p w14:paraId="37F65A12" w14:textId="77777777" w:rsidR="00586137" w:rsidRDefault="00586137" w:rsidP="000178F8">
      <w:pPr>
        <w:spacing w:line="240" w:lineRule="auto"/>
      </w:pPr>
    </w:p>
    <w:p w14:paraId="00EA2CB3" w14:textId="7050D6A9" w:rsidR="00586137" w:rsidRDefault="006F008C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8236B4">
        <w:rPr>
          <w:noProof/>
        </w:rPr>
        <w:t>Electoral Legislation Amendment (Foreign Influences and Offences) Act 2022</w:t>
      </w:r>
      <w:r>
        <w:rPr>
          <w:noProof/>
        </w:rPr>
        <w:fldChar w:fldCharType="end"/>
      </w:r>
    </w:p>
    <w:p w14:paraId="32C17F6F" w14:textId="2C6853E7" w:rsidR="00586137" w:rsidRDefault="006F008C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8236B4">
        <w:rPr>
          <w:noProof/>
        </w:rPr>
        <w:t>No. 6, 2022</w:t>
      </w:r>
      <w:r>
        <w:rPr>
          <w:noProof/>
        </w:rPr>
        <w:fldChar w:fldCharType="end"/>
      </w:r>
    </w:p>
    <w:p w14:paraId="444285D7" w14:textId="77777777" w:rsidR="00586137" w:rsidRPr="009A0728" w:rsidRDefault="00586137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47155725" w14:textId="77777777" w:rsidR="00586137" w:rsidRPr="009A0728" w:rsidRDefault="00586137" w:rsidP="009A0728">
      <w:pPr>
        <w:spacing w:line="40" w:lineRule="exact"/>
        <w:rPr>
          <w:rFonts w:eastAsia="Calibri"/>
          <w:b/>
          <w:sz w:val="28"/>
        </w:rPr>
      </w:pPr>
    </w:p>
    <w:p w14:paraId="18BCF3EC" w14:textId="77777777" w:rsidR="00586137" w:rsidRPr="009A0728" w:rsidRDefault="00586137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4DC086DD" w14:textId="77777777" w:rsidR="00586137" w:rsidRDefault="00586137" w:rsidP="00586137">
      <w:pPr>
        <w:pStyle w:val="Page1"/>
        <w:spacing w:before="400"/>
      </w:pPr>
      <w:r>
        <w:t>An Act to amend the law relating to elections and referendums in respect of electoral communication and expenditure of foreign campaigners, and offences, and for related purposes</w:t>
      </w:r>
    </w:p>
    <w:p w14:paraId="19D8F19D" w14:textId="716703D0" w:rsidR="00073DBB" w:rsidRDefault="00073DBB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17 February 2022</w:t>
      </w:r>
      <w:r>
        <w:rPr>
          <w:sz w:val="24"/>
        </w:rPr>
        <w:t>]</w:t>
      </w:r>
    </w:p>
    <w:p w14:paraId="540790D8" w14:textId="413B4528" w:rsidR="0048364F" w:rsidRPr="0017733E" w:rsidRDefault="0048364F" w:rsidP="0017733E">
      <w:pPr>
        <w:spacing w:before="240" w:line="240" w:lineRule="auto"/>
        <w:rPr>
          <w:sz w:val="32"/>
        </w:rPr>
      </w:pPr>
      <w:r w:rsidRPr="0017733E">
        <w:rPr>
          <w:sz w:val="32"/>
        </w:rPr>
        <w:t>The Parliament of Australia enacts:</w:t>
      </w:r>
    </w:p>
    <w:p w14:paraId="414C8ADB" w14:textId="77777777" w:rsidR="0048364F" w:rsidRPr="0017733E" w:rsidRDefault="0048364F" w:rsidP="0017733E">
      <w:pPr>
        <w:pStyle w:val="ActHead5"/>
      </w:pPr>
      <w:bookmarkStart w:id="2" w:name="_Toc96080702"/>
      <w:r w:rsidRPr="00820BFB">
        <w:rPr>
          <w:rStyle w:val="CharSectno"/>
        </w:rPr>
        <w:t>1</w:t>
      </w:r>
      <w:r w:rsidRPr="0017733E">
        <w:t xml:space="preserve">  Short title</w:t>
      </w:r>
      <w:bookmarkEnd w:id="2"/>
    </w:p>
    <w:p w14:paraId="3077CBFA" w14:textId="77777777" w:rsidR="0048364F" w:rsidRPr="0017733E" w:rsidRDefault="0048364F" w:rsidP="0017733E">
      <w:pPr>
        <w:pStyle w:val="subsection"/>
      </w:pPr>
      <w:r w:rsidRPr="0017733E">
        <w:tab/>
      </w:r>
      <w:r w:rsidRPr="0017733E">
        <w:tab/>
        <w:t xml:space="preserve">This Act </w:t>
      </w:r>
      <w:r w:rsidR="00275197" w:rsidRPr="0017733E">
        <w:t xml:space="preserve">is </w:t>
      </w:r>
      <w:r w:rsidRPr="0017733E">
        <w:t xml:space="preserve">the </w:t>
      </w:r>
      <w:bookmarkStart w:id="3" w:name="_Hlk93933428"/>
      <w:r w:rsidR="005931F7" w:rsidRPr="0017733E">
        <w:rPr>
          <w:i/>
        </w:rPr>
        <w:t>Electoral Legislation Amendment (</w:t>
      </w:r>
      <w:r w:rsidR="006736F3" w:rsidRPr="0017733E">
        <w:rPr>
          <w:i/>
        </w:rPr>
        <w:t>Foreign Influences and Offences</w:t>
      </w:r>
      <w:r w:rsidR="005931F7" w:rsidRPr="0017733E">
        <w:rPr>
          <w:i/>
        </w:rPr>
        <w:t xml:space="preserve">) </w:t>
      </w:r>
      <w:r w:rsidR="00EE3E36" w:rsidRPr="0017733E">
        <w:rPr>
          <w:i/>
        </w:rPr>
        <w:t>Act 20</w:t>
      </w:r>
      <w:r w:rsidR="009E186E" w:rsidRPr="0017733E">
        <w:rPr>
          <w:i/>
        </w:rPr>
        <w:t>2</w:t>
      </w:r>
      <w:bookmarkEnd w:id="3"/>
      <w:r w:rsidR="00C72D9F" w:rsidRPr="0017733E">
        <w:rPr>
          <w:i/>
        </w:rPr>
        <w:t>2</w:t>
      </w:r>
      <w:r w:rsidRPr="0017733E">
        <w:t>.</w:t>
      </w:r>
    </w:p>
    <w:p w14:paraId="7ED8F62E" w14:textId="77777777" w:rsidR="0048364F" w:rsidRPr="0017733E" w:rsidRDefault="0048364F" w:rsidP="0017733E">
      <w:pPr>
        <w:pStyle w:val="ActHead5"/>
      </w:pPr>
      <w:bookmarkStart w:id="4" w:name="_Toc96080703"/>
      <w:r w:rsidRPr="00820BFB">
        <w:rPr>
          <w:rStyle w:val="CharSectno"/>
        </w:rPr>
        <w:t>2</w:t>
      </w:r>
      <w:r w:rsidRPr="0017733E">
        <w:t xml:space="preserve">  Commencement</w:t>
      </w:r>
      <w:bookmarkEnd w:id="4"/>
    </w:p>
    <w:p w14:paraId="64694409" w14:textId="77777777" w:rsidR="00DF7DAC" w:rsidRPr="0017733E" w:rsidRDefault="00DF7DAC" w:rsidP="0017733E">
      <w:pPr>
        <w:pStyle w:val="subsection"/>
      </w:pPr>
      <w:r w:rsidRPr="0017733E">
        <w:tab/>
        <w:t>(1)</w:t>
      </w:r>
      <w:r w:rsidRPr="0017733E">
        <w:tab/>
        <w:t xml:space="preserve">Each provision of this Act specified in column 1 of the table commences, or is taken to have commenced, in accordance with </w:t>
      </w:r>
      <w:r w:rsidRPr="0017733E">
        <w:lastRenderedPageBreak/>
        <w:t>column 2 of the table. Any other statement in column 2 has effect according to its terms.</w:t>
      </w:r>
    </w:p>
    <w:p w14:paraId="3563FAE4" w14:textId="77777777" w:rsidR="00DF7DAC" w:rsidRPr="0017733E" w:rsidRDefault="00DF7DAC" w:rsidP="0017733E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95"/>
        <w:gridCol w:w="3816"/>
        <w:gridCol w:w="1576"/>
      </w:tblGrid>
      <w:tr w:rsidR="00DF7DAC" w:rsidRPr="0017733E" w14:paraId="3565E0FF" w14:textId="77777777" w:rsidTr="00DF7DA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79CCCB3" w14:textId="77777777" w:rsidR="00DF7DAC" w:rsidRPr="0017733E" w:rsidRDefault="00DF7DAC" w:rsidP="0017733E">
            <w:pPr>
              <w:pStyle w:val="TableHeading"/>
            </w:pPr>
            <w:r w:rsidRPr="0017733E">
              <w:t>Commencement information</w:t>
            </w:r>
          </w:p>
        </w:tc>
      </w:tr>
      <w:tr w:rsidR="00DF7DAC" w:rsidRPr="0017733E" w14:paraId="5D4D82C1" w14:textId="77777777" w:rsidTr="00DF7DAC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07554AE" w14:textId="77777777" w:rsidR="00DF7DAC" w:rsidRPr="0017733E" w:rsidRDefault="00DF7DAC" w:rsidP="0017733E">
            <w:pPr>
              <w:pStyle w:val="TableHeading"/>
            </w:pPr>
            <w:r w:rsidRPr="0017733E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03E59F9" w14:textId="77777777" w:rsidR="00DF7DAC" w:rsidRPr="0017733E" w:rsidRDefault="00DF7DAC" w:rsidP="0017733E">
            <w:pPr>
              <w:pStyle w:val="TableHeading"/>
            </w:pPr>
            <w:r w:rsidRPr="0017733E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30E793B" w14:textId="77777777" w:rsidR="00DF7DAC" w:rsidRPr="0017733E" w:rsidRDefault="00DF7DAC" w:rsidP="0017733E">
            <w:pPr>
              <w:pStyle w:val="TableHeading"/>
            </w:pPr>
            <w:r w:rsidRPr="0017733E">
              <w:t>Column 3</w:t>
            </w:r>
          </w:p>
        </w:tc>
      </w:tr>
      <w:tr w:rsidR="00DF7DAC" w:rsidRPr="0017733E" w14:paraId="7F017AE0" w14:textId="77777777" w:rsidTr="00DF7DAC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19E1A69" w14:textId="77777777" w:rsidR="00DF7DAC" w:rsidRPr="0017733E" w:rsidRDefault="00DF7DAC" w:rsidP="0017733E">
            <w:pPr>
              <w:pStyle w:val="TableHeading"/>
            </w:pPr>
            <w:r w:rsidRPr="0017733E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967CEAA" w14:textId="77777777" w:rsidR="00DF7DAC" w:rsidRPr="0017733E" w:rsidRDefault="00DF7DAC" w:rsidP="0017733E">
            <w:pPr>
              <w:pStyle w:val="TableHeading"/>
            </w:pPr>
            <w:r w:rsidRPr="0017733E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E702328" w14:textId="77777777" w:rsidR="00DF7DAC" w:rsidRPr="0017733E" w:rsidRDefault="00DF7DAC" w:rsidP="0017733E">
            <w:pPr>
              <w:pStyle w:val="TableHeading"/>
            </w:pPr>
            <w:r w:rsidRPr="0017733E">
              <w:t>Date/Details</w:t>
            </w:r>
          </w:p>
        </w:tc>
      </w:tr>
      <w:tr w:rsidR="00DF7DAC" w:rsidRPr="0017733E" w14:paraId="053FFB8C" w14:textId="77777777" w:rsidTr="00DF7DAC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6D3D48D" w14:textId="77777777" w:rsidR="00DF7DAC" w:rsidRPr="0017733E" w:rsidRDefault="00DF7DAC" w:rsidP="0017733E">
            <w:pPr>
              <w:pStyle w:val="Tabletext"/>
            </w:pPr>
            <w:r w:rsidRPr="0017733E">
              <w:t>1.  The whole of this Act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8E207B" w14:textId="77777777" w:rsidR="00DF7DAC" w:rsidRPr="0017733E" w:rsidRDefault="005931F7" w:rsidP="0017733E">
            <w:pPr>
              <w:pStyle w:val="Tabletext"/>
            </w:pPr>
            <w:r w:rsidRPr="0017733E">
              <w:t>The day after this Act receives the Royal Assent.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80E0E1" w14:textId="39C66504" w:rsidR="00DF7DAC" w:rsidRPr="0017733E" w:rsidRDefault="00B061F1" w:rsidP="0017733E">
            <w:pPr>
              <w:pStyle w:val="Tabletext"/>
            </w:pPr>
            <w:r>
              <w:t>18 February 2022</w:t>
            </w:r>
          </w:p>
        </w:tc>
      </w:tr>
    </w:tbl>
    <w:p w14:paraId="02A1DB3E" w14:textId="77777777" w:rsidR="00DF7DAC" w:rsidRPr="0017733E" w:rsidRDefault="00DF7DAC" w:rsidP="0017733E">
      <w:pPr>
        <w:pStyle w:val="notetext"/>
      </w:pPr>
      <w:r w:rsidRPr="0017733E">
        <w:rPr>
          <w:snapToGrid w:val="0"/>
          <w:lang w:eastAsia="en-US"/>
        </w:rPr>
        <w:t>Note:</w:t>
      </w:r>
      <w:r w:rsidRPr="0017733E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1664818A" w14:textId="77777777" w:rsidR="00DF7DAC" w:rsidRPr="0017733E" w:rsidRDefault="00DF7DAC" w:rsidP="0017733E">
      <w:pPr>
        <w:pStyle w:val="subsection"/>
      </w:pPr>
      <w:r w:rsidRPr="0017733E">
        <w:tab/>
        <w:t>(2)</w:t>
      </w:r>
      <w:r w:rsidRPr="0017733E">
        <w:tab/>
        <w:t>Any information in column 3 of the table is not part of this Act. Information may be inserted in this column, or information in it may be edited, in any published version of this Act.</w:t>
      </w:r>
    </w:p>
    <w:p w14:paraId="28CA3E76" w14:textId="77777777" w:rsidR="0048364F" w:rsidRPr="0017733E" w:rsidRDefault="0048364F" w:rsidP="0017733E">
      <w:pPr>
        <w:pStyle w:val="ActHead5"/>
      </w:pPr>
      <w:bookmarkStart w:id="5" w:name="_Toc96080704"/>
      <w:r w:rsidRPr="00820BFB">
        <w:rPr>
          <w:rStyle w:val="CharSectno"/>
        </w:rPr>
        <w:t>3</w:t>
      </w:r>
      <w:r w:rsidRPr="0017733E">
        <w:t xml:space="preserve">  Schedules</w:t>
      </w:r>
      <w:bookmarkEnd w:id="5"/>
    </w:p>
    <w:p w14:paraId="71CB0F9A" w14:textId="77777777" w:rsidR="0048364F" w:rsidRPr="0017733E" w:rsidRDefault="0048364F" w:rsidP="0017733E">
      <w:pPr>
        <w:pStyle w:val="subsection"/>
      </w:pPr>
      <w:r w:rsidRPr="0017733E">
        <w:tab/>
      </w:r>
      <w:r w:rsidRPr="0017733E">
        <w:tab/>
      </w:r>
      <w:r w:rsidR="00202618" w:rsidRPr="0017733E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162285E0" w14:textId="77777777" w:rsidR="008D3E94" w:rsidRPr="0017733E" w:rsidRDefault="0048364F" w:rsidP="0017733E">
      <w:pPr>
        <w:pStyle w:val="ActHead6"/>
        <w:pageBreakBefore/>
      </w:pPr>
      <w:bookmarkStart w:id="6" w:name="_Toc96080705"/>
      <w:r w:rsidRPr="00820BFB">
        <w:rPr>
          <w:rStyle w:val="CharAmSchNo"/>
        </w:rPr>
        <w:lastRenderedPageBreak/>
        <w:t>Schedule 1</w:t>
      </w:r>
      <w:r w:rsidRPr="0017733E">
        <w:t>—</w:t>
      </w:r>
      <w:r w:rsidR="005931F7" w:rsidRPr="00820BFB">
        <w:rPr>
          <w:rStyle w:val="CharAmSchText"/>
        </w:rPr>
        <w:t>Foreign electoral communication and expenditure</w:t>
      </w:r>
      <w:bookmarkEnd w:id="6"/>
    </w:p>
    <w:p w14:paraId="4576B0D3" w14:textId="77777777" w:rsidR="005931F7" w:rsidRPr="0017733E" w:rsidRDefault="003B60F7" w:rsidP="0017733E">
      <w:pPr>
        <w:pStyle w:val="ActHead7"/>
      </w:pPr>
      <w:bookmarkStart w:id="7" w:name="_Toc96080706"/>
      <w:r w:rsidRPr="00820BFB">
        <w:rPr>
          <w:rStyle w:val="CharAmPartNo"/>
        </w:rPr>
        <w:t>Part 1</w:t>
      </w:r>
      <w:r w:rsidR="005931F7" w:rsidRPr="0017733E">
        <w:t>—</w:t>
      </w:r>
      <w:r w:rsidR="00A01339" w:rsidRPr="00820BFB">
        <w:rPr>
          <w:rStyle w:val="CharAmPartText"/>
        </w:rPr>
        <w:t>Communication authorised by foreign campaigners</w:t>
      </w:r>
      <w:bookmarkEnd w:id="7"/>
    </w:p>
    <w:p w14:paraId="756A6F4F" w14:textId="77777777" w:rsidR="008D3E94" w:rsidRPr="0017733E" w:rsidRDefault="005931F7" w:rsidP="0017733E">
      <w:pPr>
        <w:pStyle w:val="ActHead9"/>
      </w:pPr>
      <w:bookmarkStart w:id="8" w:name="_Toc96080707"/>
      <w:r w:rsidRPr="0017733E">
        <w:t>Commonwealth Electoral Act 1918</w:t>
      </w:r>
      <w:bookmarkEnd w:id="8"/>
    </w:p>
    <w:p w14:paraId="0F3D0FAE" w14:textId="77777777" w:rsidR="00FD2527" w:rsidRPr="0017733E" w:rsidRDefault="00433C52" w:rsidP="0017733E">
      <w:pPr>
        <w:pStyle w:val="ItemHead"/>
      </w:pPr>
      <w:r w:rsidRPr="0017733E">
        <w:t>1</w:t>
      </w:r>
      <w:r w:rsidR="005931F7" w:rsidRPr="0017733E">
        <w:t xml:space="preserve"> </w:t>
      </w:r>
      <w:r w:rsidR="00FD2527" w:rsidRPr="0017733E">
        <w:t xml:space="preserve"> </w:t>
      </w:r>
      <w:r w:rsidR="003B60F7" w:rsidRPr="0017733E">
        <w:t>Subsection 4</w:t>
      </w:r>
      <w:r w:rsidR="00FD2527" w:rsidRPr="0017733E">
        <w:t>(1)</w:t>
      </w:r>
    </w:p>
    <w:p w14:paraId="348F41EE" w14:textId="77777777" w:rsidR="00FD2527" w:rsidRPr="0017733E" w:rsidRDefault="00FD2527" w:rsidP="0017733E">
      <w:pPr>
        <w:pStyle w:val="Item"/>
      </w:pPr>
      <w:r w:rsidRPr="0017733E">
        <w:t>Insert:</w:t>
      </w:r>
    </w:p>
    <w:p w14:paraId="76E11861" w14:textId="77777777" w:rsidR="00FD2527" w:rsidRPr="0017733E" w:rsidRDefault="00FD2527" w:rsidP="0017733E">
      <w:pPr>
        <w:pStyle w:val="Definition"/>
      </w:pPr>
      <w:r w:rsidRPr="0017733E">
        <w:rPr>
          <w:b/>
          <w:i/>
        </w:rPr>
        <w:t>foreign campaigner</w:t>
      </w:r>
      <w:r w:rsidRPr="0017733E">
        <w:t xml:space="preserve"> means a person or entity referred to in a paragraph of </w:t>
      </w:r>
      <w:r w:rsidR="00DA7AD4" w:rsidRPr="0017733E">
        <w:t>section 2</w:t>
      </w:r>
      <w:r w:rsidRPr="0017733E">
        <w:t>87AA.</w:t>
      </w:r>
    </w:p>
    <w:p w14:paraId="34714809" w14:textId="77777777" w:rsidR="00FD2527" w:rsidRPr="0017733E" w:rsidRDefault="00FD2527" w:rsidP="0017733E">
      <w:pPr>
        <w:pStyle w:val="notetext"/>
      </w:pPr>
      <w:r w:rsidRPr="0017733E">
        <w:t>Note:</w:t>
      </w:r>
      <w:r w:rsidRPr="0017733E">
        <w:tab/>
        <w:t xml:space="preserve">A person or entity referred to in a paragraph of </w:t>
      </w:r>
      <w:r w:rsidR="00DA7AD4" w:rsidRPr="0017733E">
        <w:t>section 2</w:t>
      </w:r>
      <w:r w:rsidRPr="0017733E">
        <w:t xml:space="preserve">87AA is also a foreign donor for the purposes of </w:t>
      </w:r>
      <w:r w:rsidR="00DA7AD4" w:rsidRPr="0017733E">
        <w:t>Part X</w:t>
      </w:r>
      <w:r w:rsidRPr="0017733E">
        <w:t>X.</w:t>
      </w:r>
    </w:p>
    <w:p w14:paraId="78E5526A" w14:textId="77777777" w:rsidR="00EB078A" w:rsidRPr="0017733E" w:rsidRDefault="00433C52" w:rsidP="0017733E">
      <w:pPr>
        <w:pStyle w:val="ItemHead"/>
        <w:rPr>
          <w:b w:val="0"/>
        </w:rPr>
      </w:pPr>
      <w:r w:rsidRPr="0017733E">
        <w:t>2</w:t>
      </w:r>
      <w:r w:rsidR="00EB078A" w:rsidRPr="0017733E">
        <w:t xml:space="preserve">  </w:t>
      </w:r>
      <w:r w:rsidR="00057115" w:rsidRPr="0017733E">
        <w:t>Section 3</w:t>
      </w:r>
      <w:r w:rsidR="00EB078A" w:rsidRPr="0017733E">
        <w:t xml:space="preserve">21B (definition of </w:t>
      </w:r>
      <w:r w:rsidR="00EB078A" w:rsidRPr="0017733E">
        <w:rPr>
          <w:i/>
        </w:rPr>
        <w:t>ancillary contravention</w:t>
      </w:r>
      <w:r w:rsidR="00EB078A" w:rsidRPr="0017733E">
        <w:rPr>
          <w:b w:val="0"/>
        </w:rPr>
        <w:t>)</w:t>
      </w:r>
    </w:p>
    <w:p w14:paraId="1097A1D9" w14:textId="77777777" w:rsidR="00EB078A" w:rsidRPr="0017733E" w:rsidRDefault="00EB078A" w:rsidP="0017733E">
      <w:pPr>
        <w:pStyle w:val="Item"/>
      </w:pPr>
      <w:r w:rsidRPr="0017733E">
        <w:t xml:space="preserve">After </w:t>
      </w:r>
      <w:r w:rsidR="00474858" w:rsidRPr="0017733E">
        <w:t>“</w:t>
      </w:r>
      <w:r w:rsidR="00057115" w:rsidRPr="0017733E">
        <w:t>section 3</w:t>
      </w:r>
      <w:r w:rsidRPr="0017733E">
        <w:t>21D</w:t>
      </w:r>
      <w:r w:rsidR="00474858" w:rsidRPr="0017733E">
        <w:t>”</w:t>
      </w:r>
      <w:r w:rsidRPr="0017733E">
        <w:t xml:space="preserve">, insert </w:t>
      </w:r>
      <w:r w:rsidR="00474858" w:rsidRPr="0017733E">
        <w:t>“</w:t>
      </w:r>
      <w:r w:rsidRPr="0017733E">
        <w:t>or 321DA</w:t>
      </w:r>
      <w:r w:rsidR="00474858" w:rsidRPr="0017733E">
        <w:t>”</w:t>
      </w:r>
      <w:r w:rsidRPr="0017733E">
        <w:t>.</w:t>
      </w:r>
    </w:p>
    <w:p w14:paraId="2428C6B1" w14:textId="77777777" w:rsidR="00EB078A" w:rsidRPr="0017733E" w:rsidRDefault="00433C52" w:rsidP="0017733E">
      <w:pPr>
        <w:pStyle w:val="ItemHead"/>
        <w:rPr>
          <w:b w:val="0"/>
        </w:rPr>
      </w:pPr>
      <w:r w:rsidRPr="0017733E">
        <w:t>3</w:t>
      </w:r>
      <w:r w:rsidR="00EB078A" w:rsidRPr="0017733E">
        <w:t xml:space="preserve">  </w:t>
      </w:r>
      <w:r w:rsidR="00057115" w:rsidRPr="0017733E">
        <w:t>Section 3</w:t>
      </w:r>
      <w:r w:rsidR="00EB078A" w:rsidRPr="0017733E">
        <w:t xml:space="preserve">21B (definition of </w:t>
      </w:r>
      <w:r w:rsidR="00EB078A" w:rsidRPr="0017733E">
        <w:rPr>
          <w:i/>
        </w:rPr>
        <w:t>primary contravention</w:t>
      </w:r>
      <w:r w:rsidR="00EB078A" w:rsidRPr="0017733E">
        <w:rPr>
          <w:b w:val="0"/>
        </w:rPr>
        <w:t>)</w:t>
      </w:r>
    </w:p>
    <w:p w14:paraId="4B5B4B5E" w14:textId="77777777" w:rsidR="00A61CE2" w:rsidRPr="0017733E" w:rsidRDefault="00EB078A" w:rsidP="0017733E">
      <w:pPr>
        <w:pStyle w:val="Item"/>
      </w:pPr>
      <w:r w:rsidRPr="0017733E">
        <w:t xml:space="preserve">After </w:t>
      </w:r>
      <w:r w:rsidR="00474858" w:rsidRPr="0017733E">
        <w:t>“</w:t>
      </w:r>
      <w:r w:rsidR="00057115" w:rsidRPr="0017733E">
        <w:t>section 3</w:t>
      </w:r>
      <w:r w:rsidRPr="0017733E">
        <w:t>21D</w:t>
      </w:r>
      <w:r w:rsidR="00474858" w:rsidRPr="0017733E">
        <w:t>”</w:t>
      </w:r>
      <w:r w:rsidRPr="0017733E">
        <w:t xml:space="preserve">, insert </w:t>
      </w:r>
      <w:r w:rsidR="00474858" w:rsidRPr="0017733E">
        <w:t>“</w:t>
      </w:r>
      <w:r w:rsidRPr="0017733E">
        <w:t>or 321DA</w:t>
      </w:r>
      <w:r w:rsidR="00474858" w:rsidRPr="0017733E">
        <w:t>”</w:t>
      </w:r>
      <w:r w:rsidRPr="0017733E">
        <w:t>.</w:t>
      </w:r>
    </w:p>
    <w:p w14:paraId="0867318A" w14:textId="77777777" w:rsidR="00AD44C7" w:rsidRPr="0017733E" w:rsidRDefault="00433C52" w:rsidP="0017733E">
      <w:pPr>
        <w:pStyle w:val="ItemHead"/>
      </w:pPr>
      <w:r w:rsidRPr="0017733E">
        <w:t>4</w:t>
      </w:r>
      <w:r w:rsidR="00AD44C7" w:rsidRPr="0017733E">
        <w:t xml:space="preserve">  </w:t>
      </w:r>
      <w:r w:rsidR="00474858" w:rsidRPr="0017733E">
        <w:t xml:space="preserve">At the end of </w:t>
      </w:r>
      <w:r w:rsidR="00DA7AD4" w:rsidRPr="0017733E">
        <w:t>sub</w:t>
      </w:r>
      <w:r w:rsidR="00057115" w:rsidRPr="0017733E">
        <w:t>section 3</w:t>
      </w:r>
      <w:r w:rsidR="00474858" w:rsidRPr="0017733E">
        <w:t>21C(1)</w:t>
      </w:r>
    </w:p>
    <w:p w14:paraId="79E42D2F" w14:textId="77777777" w:rsidR="00474858" w:rsidRPr="0017733E" w:rsidRDefault="00474858" w:rsidP="0017733E">
      <w:pPr>
        <w:pStyle w:val="Item"/>
      </w:pPr>
      <w:r w:rsidRPr="0017733E">
        <w:t>Add:</w:t>
      </w:r>
    </w:p>
    <w:p w14:paraId="41A64ACD" w14:textId="77777777" w:rsidR="00474858" w:rsidRPr="0017733E" w:rsidRDefault="00474858" w:rsidP="0017733E">
      <w:pPr>
        <w:pStyle w:val="paragraph"/>
      </w:pPr>
      <w:r w:rsidRPr="0017733E">
        <w:tab/>
      </w:r>
      <w:r w:rsidR="00DE2CEA" w:rsidRPr="0017733E">
        <w:t xml:space="preserve">; </w:t>
      </w:r>
      <w:r w:rsidRPr="0017733E">
        <w:t>(d)</w:t>
      </w:r>
      <w:r w:rsidRPr="0017733E">
        <w:tab/>
        <w:t>the integrity of the electoral system</w:t>
      </w:r>
      <w:r w:rsidR="00A61CE2" w:rsidRPr="0017733E">
        <w:t>,</w:t>
      </w:r>
      <w:r w:rsidRPr="0017733E">
        <w:t xml:space="preserve"> by ensuring that only those with a </w:t>
      </w:r>
      <w:r w:rsidR="00F14190" w:rsidRPr="0017733E">
        <w:t xml:space="preserve">legitimate </w:t>
      </w:r>
      <w:r w:rsidRPr="0017733E">
        <w:t>connection to Australia are able to influence Australian elections.</w:t>
      </w:r>
    </w:p>
    <w:p w14:paraId="23907583" w14:textId="77777777" w:rsidR="00474858" w:rsidRPr="0017733E" w:rsidRDefault="00433C52" w:rsidP="0017733E">
      <w:pPr>
        <w:pStyle w:val="ItemHead"/>
      </w:pPr>
      <w:r w:rsidRPr="0017733E">
        <w:t>5</w:t>
      </w:r>
      <w:r w:rsidR="00474858" w:rsidRPr="0017733E">
        <w:t xml:space="preserve">  At the end of </w:t>
      </w:r>
      <w:r w:rsidR="00DA7AD4" w:rsidRPr="0017733E">
        <w:t>sub</w:t>
      </w:r>
      <w:r w:rsidR="00057115" w:rsidRPr="0017733E">
        <w:t>section 3</w:t>
      </w:r>
      <w:r w:rsidR="00474858" w:rsidRPr="0017733E">
        <w:t>21C(</w:t>
      </w:r>
      <w:r w:rsidR="00710C95" w:rsidRPr="0017733E">
        <w:t>2</w:t>
      </w:r>
      <w:r w:rsidR="00474858" w:rsidRPr="0017733E">
        <w:t>)</w:t>
      </w:r>
    </w:p>
    <w:p w14:paraId="77F8F0A9" w14:textId="77777777" w:rsidR="00474858" w:rsidRPr="0017733E" w:rsidRDefault="00474858" w:rsidP="0017733E">
      <w:pPr>
        <w:pStyle w:val="Item"/>
      </w:pPr>
      <w:r w:rsidRPr="0017733E">
        <w:t>Add:</w:t>
      </w:r>
    </w:p>
    <w:p w14:paraId="24358DF0" w14:textId="77777777" w:rsidR="00474858" w:rsidRPr="0017733E" w:rsidRDefault="00474858" w:rsidP="0017733E">
      <w:pPr>
        <w:pStyle w:val="paragraph"/>
      </w:pPr>
      <w:r w:rsidRPr="0017733E">
        <w:tab/>
      </w:r>
      <w:r w:rsidR="004A1B2E" w:rsidRPr="0017733E">
        <w:t xml:space="preserve">; </w:t>
      </w:r>
      <w:r w:rsidRPr="0017733E">
        <w:t>(c)</w:t>
      </w:r>
      <w:r w:rsidRPr="0017733E">
        <w:tab/>
        <w:t>restricting the communication of electoral matter authorised by foreign campaigners.</w:t>
      </w:r>
    </w:p>
    <w:p w14:paraId="3593047C" w14:textId="77777777" w:rsidR="00596827" w:rsidRPr="0017733E" w:rsidRDefault="00433C52" w:rsidP="0017733E">
      <w:pPr>
        <w:pStyle w:val="ItemHead"/>
      </w:pPr>
      <w:r w:rsidRPr="0017733E">
        <w:t>6</w:t>
      </w:r>
      <w:r w:rsidR="00596827" w:rsidRPr="0017733E">
        <w:t xml:space="preserve">  </w:t>
      </w:r>
      <w:r w:rsidR="009916BE" w:rsidRPr="0017733E">
        <w:t>Paragraph 3</w:t>
      </w:r>
      <w:r w:rsidR="00596827" w:rsidRPr="0017733E">
        <w:t>21C(3)(a)</w:t>
      </w:r>
    </w:p>
    <w:p w14:paraId="641FC9C8" w14:textId="77777777" w:rsidR="00596827" w:rsidRPr="0017733E" w:rsidRDefault="00596827" w:rsidP="0017733E">
      <w:pPr>
        <w:pStyle w:val="Item"/>
      </w:pPr>
      <w:r w:rsidRPr="0017733E">
        <w:t>Repeal the paragraph, substitute:</w:t>
      </w:r>
    </w:p>
    <w:p w14:paraId="328CFB76" w14:textId="77777777" w:rsidR="00596827" w:rsidRPr="0017733E" w:rsidRDefault="00596827" w:rsidP="0017733E">
      <w:pPr>
        <w:pStyle w:val="paragraph"/>
      </w:pPr>
      <w:r w:rsidRPr="0017733E">
        <w:lastRenderedPageBreak/>
        <w:tab/>
        <w:t>(a)</w:t>
      </w:r>
      <w:r w:rsidRPr="0017733E">
        <w:tab/>
        <w:t>the ability of Australians to communicate electoral matters to voters; and</w:t>
      </w:r>
    </w:p>
    <w:p w14:paraId="6597B6BB" w14:textId="77777777" w:rsidR="00787307" w:rsidRPr="0017733E" w:rsidRDefault="00433C52" w:rsidP="0017733E">
      <w:pPr>
        <w:pStyle w:val="ItemHead"/>
      </w:pPr>
      <w:r w:rsidRPr="0017733E">
        <w:t>7</w:t>
      </w:r>
      <w:r w:rsidR="00787307" w:rsidRPr="0017733E">
        <w:t xml:space="preserve">  At the end of </w:t>
      </w:r>
      <w:r w:rsidR="00DA7AD4" w:rsidRPr="0017733E">
        <w:t>sub</w:t>
      </w:r>
      <w:r w:rsidR="00057115" w:rsidRPr="0017733E">
        <w:t>section 3</w:t>
      </w:r>
      <w:r w:rsidR="00787307" w:rsidRPr="0017733E">
        <w:t>21D(3)</w:t>
      </w:r>
    </w:p>
    <w:p w14:paraId="084A0E1C" w14:textId="77777777" w:rsidR="00787307" w:rsidRPr="0017733E" w:rsidRDefault="00787307" w:rsidP="0017733E">
      <w:pPr>
        <w:pStyle w:val="Item"/>
      </w:pPr>
      <w:r w:rsidRPr="0017733E">
        <w:t>Add:</w:t>
      </w:r>
    </w:p>
    <w:p w14:paraId="1C0C0A69" w14:textId="77777777" w:rsidR="00787307" w:rsidRPr="0017733E" w:rsidRDefault="00787307" w:rsidP="0017733E">
      <w:pPr>
        <w:pStyle w:val="paragraph"/>
      </w:pPr>
      <w:r w:rsidRPr="0017733E">
        <w:tab/>
        <w:t>; or (c)</w:t>
      </w:r>
      <w:r w:rsidRPr="0017733E">
        <w:tab/>
        <w:t>if the matter is communicated in circumstances</w:t>
      </w:r>
      <w:r w:rsidR="00A67CF2" w:rsidRPr="0017733E">
        <w:t xml:space="preserve"> giving rise to a contravention of </w:t>
      </w:r>
      <w:r w:rsidR="00DA7AD4" w:rsidRPr="0017733E">
        <w:t>sub</w:t>
      </w:r>
      <w:r w:rsidR="00057115" w:rsidRPr="0017733E">
        <w:t>section 3</w:t>
      </w:r>
      <w:r w:rsidRPr="0017733E">
        <w:t>21DA</w:t>
      </w:r>
      <w:r w:rsidR="003722D7" w:rsidRPr="0017733E">
        <w:t>(1)</w:t>
      </w:r>
      <w:r w:rsidRPr="0017733E">
        <w:t xml:space="preserve"> (communications authorised by foreign campaigners)</w:t>
      </w:r>
      <w:r w:rsidR="004A1B2E" w:rsidRPr="0017733E">
        <w:t>.</w:t>
      </w:r>
    </w:p>
    <w:p w14:paraId="14F82781" w14:textId="77777777" w:rsidR="005931F7" w:rsidRPr="0017733E" w:rsidRDefault="00433C52" w:rsidP="0017733E">
      <w:pPr>
        <w:pStyle w:val="ItemHead"/>
      </w:pPr>
      <w:r w:rsidRPr="0017733E">
        <w:t>8</w:t>
      </w:r>
      <w:r w:rsidR="00686968" w:rsidRPr="0017733E">
        <w:t xml:space="preserve">  A</w:t>
      </w:r>
      <w:r w:rsidR="000768B3" w:rsidRPr="0017733E">
        <w:t xml:space="preserve">fter </w:t>
      </w:r>
      <w:r w:rsidR="00057115" w:rsidRPr="0017733E">
        <w:t>section 3</w:t>
      </w:r>
      <w:r w:rsidR="000768B3" w:rsidRPr="0017733E">
        <w:t>21D</w:t>
      </w:r>
    </w:p>
    <w:p w14:paraId="0F102CAC" w14:textId="77777777" w:rsidR="00686968" w:rsidRPr="0017733E" w:rsidRDefault="000768B3" w:rsidP="0017733E">
      <w:pPr>
        <w:pStyle w:val="Item"/>
      </w:pPr>
      <w:r w:rsidRPr="0017733E">
        <w:t>Insert</w:t>
      </w:r>
      <w:r w:rsidR="00686968" w:rsidRPr="0017733E">
        <w:t>:</w:t>
      </w:r>
    </w:p>
    <w:p w14:paraId="7A8E8DC9" w14:textId="77777777" w:rsidR="00686968" w:rsidRPr="0017733E" w:rsidRDefault="00686968" w:rsidP="0017733E">
      <w:pPr>
        <w:pStyle w:val="ActHead5"/>
      </w:pPr>
      <w:bookmarkStart w:id="9" w:name="_Toc96080708"/>
      <w:r w:rsidRPr="00820BFB">
        <w:rPr>
          <w:rStyle w:val="CharSectno"/>
        </w:rPr>
        <w:t>321DA</w:t>
      </w:r>
      <w:r w:rsidRPr="0017733E">
        <w:t xml:space="preserve">  Prohibition on foreign campaigners authorising certain electoral matter</w:t>
      </w:r>
      <w:bookmarkEnd w:id="9"/>
    </w:p>
    <w:p w14:paraId="49E246EA" w14:textId="77777777" w:rsidR="000A594E" w:rsidRPr="0017733E" w:rsidRDefault="00686968" w:rsidP="0017733E">
      <w:pPr>
        <w:pStyle w:val="subsection"/>
      </w:pPr>
      <w:r w:rsidRPr="0017733E">
        <w:tab/>
      </w:r>
      <w:bookmarkStart w:id="10" w:name="_Hlk93993404"/>
      <w:r w:rsidRPr="0017733E">
        <w:t>(1)</w:t>
      </w:r>
      <w:r w:rsidRPr="0017733E">
        <w:tab/>
        <w:t xml:space="preserve">A foreign campaigner </w:t>
      </w:r>
      <w:r w:rsidR="001077D9" w:rsidRPr="0017733E">
        <w:t>contravenes this subsection if electoral matter is communicated to a person and:</w:t>
      </w:r>
    </w:p>
    <w:p w14:paraId="08C75242" w14:textId="77777777" w:rsidR="001077D9" w:rsidRPr="0017733E" w:rsidRDefault="000A594E" w:rsidP="0017733E">
      <w:pPr>
        <w:pStyle w:val="paragraph"/>
      </w:pPr>
      <w:r w:rsidRPr="0017733E">
        <w:tab/>
        <w:t>(a)</w:t>
      </w:r>
      <w:r w:rsidRPr="0017733E">
        <w:tab/>
      </w:r>
      <w:r w:rsidR="001077D9" w:rsidRPr="0017733E">
        <w:t>all of the following apply:</w:t>
      </w:r>
    </w:p>
    <w:p w14:paraId="61AB59E2" w14:textId="77777777" w:rsidR="001077D9" w:rsidRPr="0017733E" w:rsidRDefault="001077D9" w:rsidP="0017733E">
      <w:pPr>
        <w:pStyle w:val="paragraphsub"/>
      </w:pPr>
      <w:r w:rsidRPr="0017733E">
        <w:tab/>
        <w:t>(</w:t>
      </w:r>
      <w:proofErr w:type="spellStart"/>
      <w:r w:rsidRPr="0017733E">
        <w:t>i</w:t>
      </w:r>
      <w:proofErr w:type="spellEnd"/>
      <w:r w:rsidRPr="0017733E">
        <w:t>)</w:t>
      </w:r>
      <w:r w:rsidRPr="0017733E">
        <w:tab/>
        <w:t>the matter is an electoral advertisement;</w:t>
      </w:r>
    </w:p>
    <w:p w14:paraId="05A41DE1" w14:textId="77777777" w:rsidR="001077D9" w:rsidRPr="0017733E" w:rsidRDefault="001077D9" w:rsidP="0017733E">
      <w:pPr>
        <w:pStyle w:val="paragraphsub"/>
      </w:pPr>
      <w:r w:rsidRPr="0017733E">
        <w:tab/>
        <w:t>(ii)</w:t>
      </w:r>
      <w:r w:rsidRPr="0017733E">
        <w:tab/>
        <w:t>all or part of the distribution or production of the advertisement was paid for;</w:t>
      </w:r>
    </w:p>
    <w:p w14:paraId="041AEE00" w14:textId="77777777" w:rsidR="001077D9" w:rsidRPr="0017733E" w:rsidRDefault="001077D9" w:rsidP="0017733E">
      <w:pPr>
        <w:pStyle w:val="paragraphsub"/>
      </w:pPr>
      <w:r w:rsidRPr="0017733E">
        <w:tab/>
        <w:t>(iii)</w:t>
      </w:r>
      <w:r w:rsidRPr="0017733E">
        <w:tab/>
        <w:t>the content of the advertisement was approved by the foreign campaigner (whether or not the foreign campaigner paid for the distribution or production of the advertisement)</w:t>
      </w:r>
      <w:r w:rsidR="00866E66" w:rsidRPr="0017733E">
        <w:t>; or</w:t>
      </w:r>
    </w:p>
    <w:p w14:paraId="18291E64" w14:textId="77777777" w:rsidR="001077D9" w:rsidRPr="0017733E" w:rsidRDefault="001077D9" w:rsidP="0017733E">
      <w:pPr>
        <w:pStyle w:val="paragraph"/>
      </w:pPr>
      <w:r w:rsidRPr="0017733E">
        <w:tab/>
        <w:t>(b)</w:t>
      </w:r>
      <w:r w:rsidRPr="0017733E">
        <w:tab/>
        <w:t>both of the following apply:</w:t>
      </w:r>
    </w:p>
    <w:p w14:paraId="7C7F9221" w14:textId="77777777" w:rsidR="001077D9" w:rsidRPr="0017733E" w:rsidRDefault="001077D9" w:rsidP="0017733E">
      <w:pPr>
        <w:pStyle w:val="paragraphsub"/>
      </w:pPr>
      <w:r w:rsidRPr="0017733E">
        <w:tab/>
        <w:t>(</w:t>
      </w:r>
      <w:proofErr w:type="spellStart"/>
      <w:r w:rsidRPr="0017733E">
        <w:t>i</w:t>
      </w:r>
      <w:proofErr w:type="spellEnd"/>
      <w:r w:rsidRPr="0017733E">
        <w:t>)</w:t>
      </w:r>
      <w:r w:rsidRPr="0017733E">
        <w:tab/>
        <w:t>the matter forms part of a sticker, fridge magnet, leaflet, flyer, pamphlet, notice, poster or how</w:t>
      </w:r>
      <w:r w:rsidR="0017733E">
        <w:noBreakHyphen/>
      </w:r>
      <w:r w:rsidRPr="0017733E">
        <w:t>to</w:t>
      </w:r>
      <w:r w:rsidR="0017733E">
        <w:noBreakHyphen/>
      </w:r>
      <w:r w:rsidRPr="0017733E">
        <w:t>vote card;</w:t>
      </w:r>
    </w:p>
    <w:p w14:paraId="4515F7D8" w14:textId="77777777" w:rsidR="001077D9" w:rsidRPr="0017733E" w:rsidRDefault="001077D9" w:rsidP="0017733E">
      <w:pPr>
        <w:pStyle w:val="paragraphsub"/>
        <w:rPr>
          <w:sz w:val="24"/>
        </w:rPr>
      </w:pPr>
      <w:r w:rsidRPr="0017733E">
        <w:tab/>
        <w:t>(ii)</w:t>
      </w:r>
      <w:r w:rsidRPr="0017733E">
        <w:tab/>
        <w:t>the content of the matter was approved by the foreign campaigner</w:t>
      </w:r>
      <w:r w:rsidR="00866E66" w:rsidRPr="0017733E">
        <w:t>; or</w:t>
      </w:r>
    </w:p>
    <w:p w14:paraId="76D1FD0C" w14:textId="77777777" w:rsidR="000A594E" w:rsidRPr="0017733E" w:rsidRDefault="001077D9" w:rsidP="0017733E">
      <w:pPr>
        <w:pStyle w:val="paragraph"/>
      </w:pPr>
      <w:r w:rsidRPr="0017733E">
        <w:tab/>
        <w:t>(c)</w:t>
      </w:r>
      <w:r w:rsidRPr="0017733E">
        <w:tab/>
      </w:r>
      <w:r w:rsidR="00765542" w:rsidRPr="0017733E">
        <w:t xml:space="preserve">the foreign campaigner is a disclosure entity and communicates the matter, or the </w:t>
      </w:r>
      <w:r w:rsidR="00710C95" w:rsidRPr="0017733E">
        <w:t xml:space="preserve">foreign campaigner communicates the </w:t>
      </w:r>
      <w:r w:rsidR="00765542" w:rsidRPr="0017733E">
        <w:t>matter on behalf of a disclosure entity</w:t>
      </w:r>
      <w:r w:rsidR="0036085B" w:rsidRPr="0017733E">
        <w:t>,</w:t>
      </w:r>
      <w:r w:rsidR="00AD44C7" w:rsidRPr="0017733E">
        <w:t xml:space="preserve"> </w:t>
      </w:r>
      <w:r w:rsidRPr="0017733E">
        <w:t xml:space="preserve">and the matter is not an advertisement covered by </w:t>
      </w:r>
      <w:r w:rsidR="00DA7AD4" w:rsidRPr="0017733E">
        <w:t>paragraph (</w:t>
      </w:r>
      <w:r w:rsidRPr="0017733E">
        <w:t>a), nor does the matter form part of a sticker, fridge magnet, leaflet, flyer, pamphlet, notice, poster or how</w:t>
      </w:r>
      <w:r w:rsidR="0017733E">
        <w:noBreakHyphen/>
      </w:r>
      <w:r w:rsidRPr="0017733E">
        <w:t>to</w:t>
      </w:r>
      <w:r w:rsidR="0017733E">
        <w:noBreakHyphen/>
      </w:r>
      <w:r w:rsidRPr="0017733E">
        <w:t>vote card.</w:t>
      </w:r>
    </w:p>
    <w:p w14:paraId="70E59E8E" w14:textId="77777777" w:rsidR="00686968" w:rsidRPr="0017733E" w:rsidRDefault="00686968" w:rsidP="0017733E">
      <w:pPr>
        <w:pStyle w:val="Penalty"/>
      </w:pPr>
      <w:r w:rsidRPr="0017733E">
        <w:t>Civil penalty:</w:t>
      </w:r>
      <w:r w:rsidRPr="0017733E">
        <w:tab/>
        <w:t>120 penalty units.</w:t>
      </w:r>
    </w:p>
    <w:p w14:paraId="3400AEB0" w14:textId="77777777" w:rsidR="00787ED1" w:rsidRPr="0017733E" w:rsidRDefault="00787ED1" w:rsidP="0017733E">
      <w:pPr>
        <w:pStyle w:val="SubsectionHead"/>
      </w:pPr>
      <w:r w:rsidRPr="0017733E">
        <w:lastRenderedPageBreak/>
        <w:t>Exceptions</w:t>
      </w:r>
    </w:p>
    <w:bookmarkEnd w:id="10"/>
    <w:p w14:paraId="193A6E95" w14:textId="77777777" w:rsidR="00787ED1" w:rsidRPr="0017733E" w:rsidRDefault="00787ED1" w:rsidP="0017733E">
      <w:pPr>
        <w:pStyle w:val="subsection"/>
      </w:pPr>
      <w:r w:rsidRPr="0017733E">
        <w:tab/>
        <w:t>(2)</w:t>
      </w:r>
      <w:r w:rsidRPr="0017733E">
        <w:tab/>
      </w:r>
      <w:r w:rsidR="00DA7AD4" w:rsidRPr="0017733E">
        <w:t>Subsection (</w:t>
      </w:r>
      <w:r w:rsidR="00710C95" w:rsidRPr="0017733E">
        <w:t>1)</w:t>
      </w:r>
      <w:r w:rsidRPr="0017733E">
        <w:t xml:space="preserve"> does not apply in relation to electoral matter referred to in paragraphs (1)(b) and (c) if the matter forms part of:</w:t>
      </w:r>
    </w:p>
    <w:p w14:paraId="71B0F908" w14:textId="77777777" w:rsidR="00787ED1" w:rsidRPr="0017733E" w:rsidRDefault="00787ED1" w:rsidP="0017733E">
      <w:pPr>
        <w:pStyle w:val="paragraph"/>
      </w:pPr>
      <w:r w:rsidRPr="0017733E">
        <w:tab/>
        <w:t>(</w:t>
      </w:r>
      <w:r w:rsidR="00710C95" w:rsidRPr="0017733E">
        <w:t>a</w:t>
      </w:r>
      <w:r w:rsidRPr="0017733E">
        <w:t>)</w:t>
      </w:r>
      <w:r w:rsidRPr="0017733E">
        <w:tab/>
        <w:t>an opinion poll or research relating to voting intentions at an election or by</w:t>
      </w:r>
      <w:r w:rsidR="0017733E">
        <w:noBreakHyphen/>
      </w:r>
      <w:r w:rsidRPr="0017733E">
        <w:t>election; or</w:t>
      </w:r>
    </w:p>
    <w:p w14:paraId="2D4E9CDF" w14:textId="77777777" w:rsidR="00787ED1" w:rsidRPr="0017733E" w:rsidRDefault="00787ED1" w:rsidP="0017733E">
      <w:pPr>
        <w:pStyle w:val="paragraph"/>
      </w:pPr>
      <w:r w:rsidRPr="0017733E">
        <w:tab/>
        <w:t>(</w:t>
      </w:r>
      <w:r w:rsidR="00710C95" w:rsidRPr="0017733E">
        <w:t>b</w:t>
      </w:r>
      <w:r w:rsidRPr="0017733E">
        <w:t>)</w:t>
      </w:r>
      <w:r w:rsidRPr="0017733E">
        <w:tab/>
        <w:t>a communication communicated for personal purposes; or</w:t>
      </w:r>
    </w:p>
    <w:p w14:paraId="3BE4DF51" w14:textId="77777777" w:rsidR="00787ED1" w:rsidRPr="0017733E" w:rsidRDefault="00787ED1" w:rsidP="0017733E">
      <w:pPr>
        <w:pStyle w:val="paragraph"/>
      </w:pPr>
      <w:r w:rsidRPr="0017733E">
        <w:tab/>
        <w:t>(</w:t>
      </w:r>
      <w:r w:rsidR="00710C95" w:rsidRPr="0017733E">
        <w:t>c</w:t>
      </w:r>
      <w:r w:rsidRPr="0017733E">
        <w:t>)</w:t>
      </w:r>
      <w:r w:rsidRPr="0017733E">
        <w:tab/>
        <w:t>an internal communication of the foreign campaigner; or</w:t>
      </w:r>
    </w:p>
    <w:p w14:paraId="56580B21" w14:textId="77777777" w:rsidR="00787ED1" w:rsidRPr="0017733E" w:rsidRDefault="00787ED1" w:rsidP="0017733E">
      <w:pPr>
        <w:pStyle w:val="paragraph"/>
      </w:pPr>
      <w:r w:rsidRPr="0017733E">
        <w:tab/>
        <w:t>(</w:t>
      </w:r>
      <w:r w:rsidR="00710C95" w:rsidRPr="0017733E">
        <w:t>d</w:t>
      </w:r>
      <w:r w:rsidRPr="0017733E">
        <w:t>)</w:t>
      </w:r>
      <w:r w:rsidRPr="0017733E">
        <w:tab/>
        <w:t xml:space="preserve">a communication at a meeting of 2 or more persons if the identity of the person (the </w:t>
      </w:r>
      <w:r w:rsidRPr="0017733E">
        <w:rPr>
          <w:b/>
          <w:i/>
        </w:rPr>
        <w:t>speaker</w:t>
      </w:r>
      <w:r w:rsidRPr="0017733E">
        <w:t xml:space="preserve">) communicating at the meeting, and any </w:t>
      </w:r>
      <w:r w:rsidR="00710C95" w:rsidRPr="0017733E">
        <w:t xml:space="preserve">foreign campaigner </w:t>
      </w:r>
      <w:r w:rsidRPr="0017733E">
        <w:t>on whose behalf the speaker is communicating, can reasonably be identified by the person or persons to whom the speaker is speaking; or</w:t>
      </w:r>
    </w:p>
    <w:p w14:paraId="0AAFCFA0" w14:textId="77777777" w:rsidR="00787ED1" w:rsidRPr="0017733E" w:rsidRDefault="00787ED1" w:rsidP="0017733E">
      <w:pPr>
        <w:pStyle w:val="paragraph"/>
      </w:pPr>
      <w:r w:rsidRPr="0017733E">
        <w:tab/>
        <w:t>(</w:t>
      </w:r>
      <w:r w:rsidR="00710C95" w:rsidRPr="0017733E">
        <w:t>e</w:t>
      </w:r>
      <w:r w:rsidRPr="0017733E">
        <w:t>)</w:t>
      </w:r>
      <w:r w:rsidRPr="0017733E">
        <w:tab/>
        <w:t xml:space="preserve">a live communication of a meeting covered by </w:t>
      </w:r>
      <w:r w:rsidR="00DA7AD4" w:rsidRPr="0017733E">
        <w:t>paragraph (</w:t>
      </w:r>
      <w:r w:rsidR="00710C95" w:rsidRPr="0017733E">
        <w:t>d</w:t>
      </w:r>
      <w:r w:rsidRPr="0017733E">
        <w:t>), but not any later communication of that meeting; or</w:t>
      </w:r>
    </w:p>
    <w:p w14:paraId="15BCF06A" w14:textId="77777777" w:rsidR="00787ED1" w:rsidRPr="0017733E" w:rsidRDefault="00787ED1" w:rsidP="0017733E">
      <w:pPr>
        <w:pStyle w:val="paragraph"/>
      </w:pPr>
      <w:r w:rsidRPr="0017733E">
        <w:tab/>
        <w:t>(</w:t>
      </w:r>
      <w:r w:rsidR="00710C95" w:rsidRPr="0017733E">
        <w:t>f</w:t>
      </w:r>
      <w:r w:rsidRPr="0017733E">
        <w:t>)</w:t>
      </w:r>
      <w:r w:rsidRPr="0017733E">
        <w:tab/>
        <w:t>a communication communicated solely for the purpose of announcing a meeting.</w:t>
      </w:r>
    </w:p>
    <w:p w14:paraId="0C5FCA55" w14:textId="77777777" w:rsidR="00686968" w:rsidRPr="0017733E" w:rsidRDefault="00686968" w:rsidP="0017733E">
      <w:pPr>
        <w:pStyle w:val="SubsectionHead"/>
      </w:pPr>
      <w:r w:rsidRPr="0017733E">
        <w:t>Application of civil penalty to entities that are not legal persons</w:t>
      </w:r>
    </w:p>
    <w:p w14:paraId="51E1DEB8" w14:textId="77777777" w:rsidR="00686968" w:rsidRPr="0017733E" w:rsidRDefault="00686968" w:rsidP="0017733E">
      <w:pPr>
        <w:pStyle w:val="subsection"/>
      </w:pPr>
      <w:r w:rsidRPr="0017733E">
        <w:tab/>
        <w:t>(</w:t>
      </w:r>
      <w:r w:rsidR="00787ED1" w:rsidRPr="0017733E">
        <w:t>3</w:t>
      </w:r>
      <w:r w:rsidRPr="0017733E">
        <w:t>)</w:t>
      </w:r>
      <w:r w:rsidRPr="0017733E">
        <w:tab/>
        <w:t xml:space="preserve">For the purposes of this Act and the Regulatory Powers Act, a contravention of </w:t>
      </w:r>
      <w:r w:rsidR="00DA7AD4" w:rsidRPr="0017733E">
        <w:t>subsection (</w:t>
      </w:r>
      <w:r w:rsidRPr="0017733E">
        <w:t xml:space="preserve">1) that would otherwise have been committed by a </w:t>
      </w:r>
      <w:r w:rsidR="004C1ABA" w:rsidRPr="0017733E">
        <w:t>foreign campaigner</w:t>
      </w:r>
      <w:r w:rsidRPr="0017733E">
        <w:t xml:space="preserve"> that is not a legal person is taken to have been committed by each member, agent or officer (however described) of the </w:t>
      </w:r>
      <w:r w:rsidR="003722D7" w:rsidRPr="0017733E">
        <w:t>foreign campaigner</w:t>
      </w:r>
      <w:r w:rsidRPr="0017733E">
        <w:t xml:space="preserve"> who, acting in </w:t>
      </w:r>
      <w:r w:rsidR="001A1E22" w:rsidRPr="0017733E">
        <w:t>the foreign campaigner’s</w:t>
      </w:r>
      <w:r w:rsidRPr="0017733E">
        <w:t xml:space="preserve"> actual or apparent authority, engaged in the conduct or made the omission constituting the contravention.</w:t>
      </w:r>
    </w:p>
    <w:p w14:paraId="612A0964" w14:textId="77777777" w:rsidR="00303824" w:rsidRPr="0017733E" w:rsidRDefault="00303824" w:rsidP="0017733E">
      <w:pPr>
        <w:pStyle w:val="notetext"/>
      </w:pPr>
      <w:r w:rsidRPr="0017733E">
        <w:t>Note 1:</w:t>
      </w:r>
      <w:r w:rsidRPr="0017733E">
        <w:tab/>
        <w:t>For paragraph (1)(c), matter may be communicated on behalf of a</w:t>
      </w:r>
      <w:r w:rsidR="001A1E22" w:rsidRPr="0017733E">
        <w:t xml:space="preserve"> disclosure </w:t>
      </w:r>
      <w:r w:rsidRPr="0017733E">
        <w:t xml:space="preserve">entity whether or not the </w:t>
      </w:r>
      <w:r w:rsidR="001A1E22" w:rsidRPr="0017733E">
        <w:t xml:space="preserve">disclosure </w:t>
      </w:r>
      <w:r w:rsidRPr="0017733E">
        <w:t>entity pays for the communication of the matter.</w:t>
      </w:r>
    </w:p>
    <w:p w14:paraId="24B72549" w14:textId="77777777" w:rsidR="00303824" w:rsidRPr="0017733E" w:rsidRDefault="00303824" w:rsidP="0017733E">
      <w:pPr>
        <w:pStyle w:val="notetext"/>
      </w:pPr>
      <w:r w:rsidRPr="0017733E">
        <w:t>Note 2:</w:t>
      </w:r>
      <w:r w:rsidRPr="0017733E">
        <w:tab/>
        <w:t>Examples of matters that may be covered by this section include internet advertisements, bulk text messages and bulk voice calls containing electoral matter.</w:t>
      </w:r>
    </w:p>
    <w:p w14:paraId="211E20D6" w14:textId="77777777" w:rsidR="00303824" w:rsidRPr="0017733E" w:rsidRDefault="00303824" w:rsidP="0017733E">
      <w:pPr>
        <w:pStyle w:val="notetext"/>
      </w:pPr>
      <w:r w:rsidRPr="0017733E">
        <w:t>Note 3:</w:t>
      </w:r>
      <w:r w:rsidRPr="0017733E">
        <w:tab/>
        <w:t>For the geographical application of this section, see section 321E.</w:t>
      </w:r>
    </w:p>
    <w:p w14:paraId="1BDE77E1" w14:textId="77777777" w:rsidR="00303824" w:rsidRPr="0017733E" w:rsidRDefault="00303824" w:rsidP="0017733E">
      <w:pPr>
        <w:pStyle w:val="notetext"/>
      </w:pPr>
      <w:r w:rsidRPr="0017733E">
        <w:t>Note 4:</w:t>
      </w:r>
      <w:r w:rsidRPr="0017733E">
        <w:tab/>
        <w:t xml:space="preserve">For the meaning of </w:t>
      </w:r>
      <w:r w:rsidRPr="0017733E">
        <w:rPr>
          <w:b/>
          <w:i/>
        </w:rPr>
        <w:t>communicate</w:t>
      </w:r>
      <w:r w:rsidRPr="0017733E">
        <w:t xml:space="preserve"> for carriage service providers, see the definition of that term in section 321B.</w:t>
      </w:r>
    </w:p>
    <w:p w14:paraId="40A9A6D0" w14:textId="77777777" w:rsidR="00787307" w:rsidRPr="0017733E" w:rsidRDefault="00433C52" w:rsidP="0017733E">
      <w:pPr>
        <w:pStyle w:val="ItemHead"/>
      </w:pPr>
      <w:r w:rsidRPr="0017733E">
        <w:t>9</w:t>
      </w:r>
      <w:r w:rsidR="00787307" w:rsidRPr="0017733E">
        <w:t xml:space="preserve">  </w:t>
      </w:r>
      <w:r w:rsidR="00057115" w:rsidRPr="0017733E">
        <w:t>Section 3</w:t>
      </w:r>
      <w:r w:rsidR="00787307" w:rsidRPr="0017733E">
        <w:t>21E (heading)</w:t>
      </w:r>
    </w:p>
    <w:p w14:paraId="47715C9E" w14:textId="77777777" w:rsidR="00787307" w:rsidRPr="0017733E" w:rsidRDefault="00787307" w:rsidP="0017733E">
      <w:pPr>
        <w:pStyle w:val="Item"/>
      </w:pPr>
      <w:r w:rsidRPr="0017733E">
        <w:t xml:space="preserve">Omit </w:t>
      </w:r>
      <w:r w:rsidR="00474858" w:rsidRPr="0017733E">
        <w:t>“</w:t>
      </w:r>
      <w:r w:rsidR="00057115" w:rsidRPr="0017733E">
        <w:rPr>
          <w:b/>
        </w:rPr>
        <w:t>section 3</w:t>
      </w:r>
      <w:r w:rsidRPr="0017733E">
        <w:rPr>
          <w:b/>
        </w:rPr>
        <w:t>21D</w:t>
      </w:r>
      <w:r w:rsidR="00474858" w:rsidRPr="0017733E">
        <w:t>”</w:t>
      </w:r>
      <w:r w:rsidRPr="0017733E">
        <w:t xml:space="preserve">, substitute </w:t>
      </w:r>
      <w:r w:rsidR="00474858" w:rsidRPr="0017733E">
        <w:t>“</w:t>
      </w:r>
      <w:r w:rsidR="003B60F7" w:rsidRPr="0017733E">
        <w:rPr>
          <w:b/>
        </w:rPr>
        <w:t>sections 3</w:t>
      </w:r>
      <w:r w:rsidRPr="0017733E">
        <w:rPr>
          <w:b/>
        </w:rPr>
        <w:t>21D and 321DA</w:t>
      </w:r>
      <w:r w:rsidR="00474858" w:rsidRPr="0017733E">
        <w:t>”</w:t>
      </w:r>
      <w:r w:rsidRPr="0017733E">
        <w:t>.</w:t>
      </w:r>
    </w:p>
    <w:p w14:paraId="62FAF82E" w14:textId="77777777" w:rsidR="00787307" w:rsidRPr="0017733E" w:rsidRDefault="00433C52" w:rsidP="0017733E">
      <w:pPr>
        <w:pStyle w:val="ItemHead"/>
      </w:pPr>
      <w:r w:rsidRPr="0017733E">
        <w:lastRenderedPageBreak/>
        <w:t>10</w:t>
      </w:r>
      <w:r w:rsidR="00787307" w:rsidRPr="0017733E">
        <w:t xml:space="preserve">  </w:t>
      </w:r>
      <w:r w:rsidR="00DA7AD4" w:rsidRPr="0017733E">
        <w:t>Sub</w:t>
      </w:r>
      <w:r w:rsidR="00057115" w:rsidRPr="0017733E">
        <w:t>section 3</w:t>
      </w:r>
      <w:r w:rsidR="00787307" w:rsidRPr="0017733E">
        <w:t>21E(1)</w:t>
      </w:r>
    </w:p>
    <w:p w14:paraId="510FF44C" w14:textId="77777777" w:rsidR="00787307" w:rsidRPr="0017733E" w:rsidRDefault="00787307" w:rsidP="0017733E">
      <w:pPr>
        <w:pStyle w:val="Item"/>
      </w:pPr>
      <w:r w:rsidRPr="0017733E">
        <w:t xml:space="preserve">Omit </w:t>
      </w:r>
      <w:r w:rsidR="00474858" w:rsidRPr="0017733E">
        <w:t>“</w:t>
      </w:r>
      <w:r w:rsidRPr="0017733E">
        <w:t xml:space="preserve">contravene </w:t>
      </w:r>
      <w:r w:rsidR="00057115" w:rsidRPr="0017733E">
        <w:t>section 3</w:t>
      </w:r>
      <w:r w:rsidRPr="0017733E">
        <w:t>21D</w:t>
      </w:r>
      <w:r w:rsidR="00474858" w:rsidRPr="0017733E">
        <w:t>”</w:t>
      </w:r>
      <w:r w:rsidRPr="0017733E">
        <w:t xml:space="preserve">, substitute </w:t>
      </w:r>
      <w:r w:rsidR="00474858" w:rsidRPr="0017733E">
        <w:t>“</w:t>
      </w:r>
      <w:r w:rsidRPr="0017733E">
        <w:t xml:space="preserve">contravene </w:t>
      </w:r>
      <w:r w:rsidR="00057115" w:rsidRPr="0017733E">
        <w:t>section 3</w:t>
      </w:r>
      <w:r w:rsidRPr="0017733E">
        <w:t>21D or 321DA</w:t>
      </w:r>
      <w:r w:rsidR="00474858" w:rsidRPr="0017733E">
        <w:t>”</w:t>
      </w:r>
      <w:r w:rsidR="00C72D9F" w:rsidRPr="0017733E">
        <w:t>.</w:t>
      </w:r>
    </w:p>
    <w:p w14:paraId="6C1BDD8D" w14:textId="77777777" w:rsidR="00787307" w:rsidRPr="0017733E" w:rsidRDefault="00433C52" w:rsidP="0017733E">
      <w:pPr>
        <w:pStyle w:val="ItemHead"/>
      </w:pPr>
      <w:r w:rsidRPr="0017733E">
        <w:t>11</w:t>
      </w:r>
      <w:r w:rsidR="00787307" w:rsidRPr="0017733E">
        <w:t xml:space="preserve">  </w:t>
      </w:r>
      <w:r w:rsidR="003B60F7" w:rsidRPr="0017733E">
        <w:t>Subparagraphs 3</w:t>
      </w:r>
      <w:r w:rsidR="00EB078A" w:rsidRPr="0017733E">
        <w:t>21E(1)(d)(</w:t>
      </w:r>
      <w:proofErr w:type="spellStart"/>
      <w:r w:rsidR="00EB078A" w:rsidRPr="0017733E">
        <w:t>i</w:t>
      </w:r>
      <w:proofErr w:type="spellEnd"/>
      <w:r w:rsidR="00EB078A" w:rsidRPr="0017733E">
        <w:t>) and (iii)</w:t>
      </w:r>
    </w:p>
    <w:p w14:paraId="040F512E" w14:textId="77777777" w:rsidR="00EB078A" w:rsidRPr="0017733E" w:rsidRDefault="00EB078A" w:rsidP="0017733E">
      <w:pPr>
        <w:pStyle w:val="Item"/>
      </w:pPr>
      <w:r w:rsidRPr="0017733E">
        <w:t xml:space="preserve">Omit </w:t>
      </w:r>
      <w:r w:rsidR="00474858" w:rsidRPr="0017733E">
        <w:t>“</w:t>
      </w:r>
      <w:r w:rsidR="00057115" w:rsidRPr="0017733E">
        <w:t>section 3</w:t>
      </w:r>
      <w:r w:rsidRPr="0017733E">
        <w:t>21D</w:t>
      </w:r>
      <w:r w:rsidR="00474858" w:rsidRPr="0017733E">
        <w:t>”</w:t>
      </w:r>
      <w:r w:rsidRPr="0017733E">
        <w:t xml:space="preserve">, substitute </w:t>
      </w:r>
      <w:r w:rsidR="00474858" w:rsidRPr="0017733E">
        <w:t>“</w:t>
      </w:r>
      <w:r w:rsidRPr="0017733E">
        <w:t>that section</w:t>
      </w:r>
      <w:r w:rsidR="00474858" w:rsidRPr="0017733E">
        <w:t>”</w:t>
      </w:r>
      <w:r w:rsidRPr="0017733E">
        <w:t>.</w:t>
      </w:r>
    </w:p>
    <w:p w14:paraId="5AA9F500" w14:textId="77777777" w:rsidR="00EB078A" w:rsidRPr="0017733E" w:rsidRDefault="00433C52" w:rsidP="0017733E">
      <w:pPr>
        <w:pStyle w:val="ItemHead"/>
      </w:pPr>
      <w:r w:rsidRPr="0017733E">
        <w:t>12</w:t>
      </w:r>
      <w:r w:rsidR="00EB078A" w:rsidRPr="0017733E">
        <w:t xml:space="preserve">  </w:t>
      </w:r>
      <w:r w:rsidR="00DA7AD4" w:rsidRPr="0017733E">
        <w:t>Sub</w:t>
      </w:r>
      <w:r w:rsidR="00057115" w:rsidRPr="0017733E">
        <w:t>section 3</w:t>
      </w:r>
      <w:r w:rsidR="00EB078A" w:rsidRPr="0017733E">
        <w:t>21E(2)</w:t>
      </w:r>
    </w:p>
    <w:p w14:paraId="4528F00B" w14:textId="77777777" w:rsidR="00EB078A" w:rsidRPr="0017733E" w:rsidRDefault="00EB078A" w:rsidP="0017733E">
      <w:pPr>
        <w:pStyle w:val="Item"/>
      </w:pPr>
      <w:r w:rsidRPr="0017733E">
        <w:t xml:space="preserve">Omit </w:t>
      </w:r>
      <w:r w:rsidR="00474858" w:rsidRPr="0017733E">
        <w:t>“</w:t>
      </w:r>
      <w:r w:rsidRPr="0017733E">
        <w:t xml:space="preserve">contravene </w:t>
      </w:r>
      <w:r w:rsidR="00057115" w:rsidRPr="0017733E">
        <w:t>section 3</w:t>
      </w:r>
      <w:r w:rsidRPr="0017733E">
        <w:t>21D</w:t>
      </w:r>
      <w:r w:rsidR="00474858" w:rsidRPr="0017733E">
        <w:t>”</w:t>
      </w:r>
      <w:r w:rsidRPr="0017733E">
        <w:t xml:space="preserve">, substitute </w:t>
      </w:r>
      <w:r w:rsidR="00474858" w:rsidRPr="0017733E">
        <w:t>“</w:t>
      </w:r>
      <w:r w:rsidRPr="0017733E">
        <w:t xml:space="preserve">contravene </w:t>
      </w:r>
      <w:r w:rsidR="00057115" w:rsidRPr="0017733E">
        <w:t>section 3</w:t>
      </w:r>
      <w:r w:rsidRPr="0017733E">
        <w:t>21D or 321DA</w:t>
      </w:r>
      <w:r w:rsidR="00474858" w:rsidRPr="0017733E">
        <w:t>”</w:t>
      </w:r>
      <w:r w:rsidRPr="0017733E">
        <w:t>.</w:t>
      </w:r>
    </w:p>
    <w:p w14:paraId="4E8DB72D" w14:textId="77777777" w:rsidR="00EB078A" w:rsidRPr="0017733E" w:rsidRDefault="00433C52" w:rsidP="0017733E">
      <w:pPr>
        <w:pStyle w:val="ItemHead"/>
      </w:pPr>
      <w:r w:rsidRPr="0017733E">
        <w:t>13</w:t>
      </w:r>
      <w:r w:rsidR="00EB078A" w:rsidRPr="0017733E">
        <w:t xml:space="preserve">  </w:t>
      </w:r>
      <w:r w:rsidR="009916BE" w:rsidRPr="0017733E">
        <w:t>Paragraph 3</w:t>
      </w:r>
      <w:r w:rsidR="00EB078A" w:rsidRPr="0017733E">
        <w:t>21E(2)(b)</w:t>
      </w:r>
    </w:p>
    <w:p w14:paraId="2DB929BE" w14:textId="77777777" w:rsidR="00EB078A" w:rsidRPr="0017733E" w:rsidRDefault="00EB078A" w:rsidP="0017733E">
      <w:pPr>
        <w:pStyle w:val="Item"/>
      </w:pPr>
      <w:r w:rsidRPr="0017733E">
        <w:t xml:space="preserve">Omit </w:t>
      </w:r>
      <w:r w:rsidR="00474858" w:rsidRPr="0017733E">
        <w:t>“</w:t>
      </w:r>
      <w:r w:rsidR="00057115" w:rsidRPr="0017733E">
        <w:t>section 3</w:t>
      </w:r>
      <w:r w:rsidRPr="0017733E">
        <w:t>21D</w:t>
      </w:r>
      <w:r w:rsidR="00474858" w:rsidRPr="0017733E">
        <w:t>”</w:t>
      </w:r>
      <w:r w:rsidRPr="0017733E">
        <w:t xml:space="preserve">, substitute </w:t>
      </w:r>
      <w:r w:rsidR="00474858" w:rsidRPr="0017733E">
        <w:t>“</w:t>
      </w:r>
      <w:r w:rsidRPr="0017733E">
        <w:t>that section</w:t>
      </w:r>
      <w:r w:rsidR="00474858" w:rsidRPr="0017733E">
        <w:t>”</w:t>
      </w:r>
      <w:r w:rsidRPr="0017733E">
        <w:t>.</w:t>
      </w:r>
    </w:p>
    <w:p w14:paraId="3383232F" w14:textId="77777777" w:rsidR="00EB078A" w:rsidRPr="0017733E" w:rsidRDefault="00433C52" w:rsidP="0017733E">
      <w:pPr>
        <w:pStyle w:val="ItemHead"/>
      </w:pPr>
      <w:r w:rsidRPr="0017733E">
        <w:t>14</w:t>
      </w:r>
      <w:r w:rsidR="00EB078A" w:rsidRPr="0017733E">
        <w:t xml:space="preserve">  </w:t>
      </w:r>
      <w:r w:rsidR="009916BE" w:rsidRPr="0017733E">
        <w:t>Paragraph 3</w:t>
      </w:r>
      <w:r w:rsidR="00EB078A" w:rsidRPr="0017733E">
        <w:t>21E(2)(</w:t>
      </w:r>
      <w:r w:rsidR="00334ADE" w:rsidRPr="0017733E">
        <w:t>d</w:t>
      </w:r>
      <w:r w:rsidR="00EB078A" w:rsidRPr="0017733E">
        <w:t>)</w:t>
      </w:r>
    </w:p>
    <w:p w14:paraId="48E98EA7" w14:textId="77777777" w:rsidR="00EB078A" w:rsidRPr="0017733E" w:rsidRDefault="00EB078A" w:rsidP="0017733E">
      <w:pPr>
        <w:pStyle w:val="Item"/>
      </w:pPr>
      <w:r w:rsidRPr="0017733E">
        <w:t xml:space="preserve">Omit </w:t>
      </w:r>
      <w:r w:rsidR="00474858" w:rsidRPr="0017733E">
        <w:t>“</w:t>
      </w:r>
      <w:r w:rsidR="00057115" w:rsidRPr="0017733E">
        <w:t>section 3</w:t>
      </w:r>
      <w:r w:rsidRPr="0017733E">
        <w:t>21D</w:t>
      </w:r>
      <w:r w:rsidR="00474858" w:rsidRPr="0017733E">
        <w:t>”</w:t>
      </w:r>
      <w:r w:rsidRPr="0017733E">
        <w:t xml:space="preserve"> (wherever occurring), substitute </w:t>
      </w:r>
      <w:r w:rsidR="00474858" w:rsidRPr="0017733E">
        <w:t>“</w:t>
      </w:r>
      <w:r w:rsidRPr="0017733E">
        <w:t>that section</w:t>
      </w:r>
      <w:r w:rsidR="00474858" w:rsidRPr="0017733E">
        <w:t>”</w:t>
      </w:r>
      <w:r w:rsidRPr="0017733E">
        <w:t>.</w:t>
      </w:r>
    </w:p>
    <w:p w14:paraId="43126892" w14:textId="77777777" w:rsidR="00477292" w:rsidRPr="0017733E" w:rsidRDefault="00433C52" w:rsidP="0017733E">
      <w:pPr>
        <w:pStyle w:val="ItemHead"/>
      </w:pPr>
      <w:r w:rsidRPr="0017733E">
        <w:t>15</w:t>
      </w:r>
      <w:r w:rsidR="00762EE0" w:rsidRPr="0017733E">
        <w:t xml:space="preserve">  </w:t>
      </w:r>
      <w:r w:rsidR="00DA7AD4" w:rsidRPr="0017733E">
        <w:t>Sub</w:t>
      </w:r>
      <w:r w:rsidR="00057115" w:rsidRPr="0017733E">
        <w:t>section 3</w:t>
      </w:r>
      <w:r w:rsidR="00477292" w:rsidRPr="0017733E">
        <w:t>21F(1)</w:t>
      </w:r>
    </w:p>
    <w:p w14:paraId="344282F4" w14:textId="77777777" w:rsidR="00477292" w:rsidRPr="0017733E" w:rsidRDefault="00477292" w:rsidP="0017733E">
      <w:pPr>
        <w:pStyle w:val="Item"/>
      </w:pPr>
      <w:r w:rsidRPr="0017733E">
        <w:t>Repeal the subsection, substitute:</w:t>
      </w:r>
    </w:p>
    <w:p w14:paraId="76A6A347" w14:textId="77777777" w:rsidR="00477292" w:rsidRPr="0017733E" w:rsidRDefault="00477292" w:rsidP="0017733E">
      <w:pPr>
        <w:pStyle w:val="subsection"/>
      </w:pPr>
      <w:r w:rsidRPr="0017733E">
        <w:tab/>
        <w:t>(1)</w:t>
      </w:r>
      <w:r w:rsidRPr="0017733E">
        <w:tab/>
        <w:t>This section applies to a person (whether within or outside Australia) if the Electoral Commissioner has</w:t>
      </w:r>
      <w:bookmarkStart w:id="11" w:name="_Hlk94194053"/>
      <w:r w:rsidRPr="0017733E">
        <w:t xml:space="preserve"> reason to believe that the person has information or a document that is relevant to</w:t>
      </w:r>
      <w:bookmarkEnd w:id="11"/>
      <w:r w:rsidRPr="0017733E">
        <w:t>:</w:t>
      </w:r>
    </w:p>
    <w:p w14:paraId="71D2D66C" w14:textId="77777777" w:rsidR="00477292" w:rsidRPr="0017733E" w:rsidRDefault="00477292" w:rsidP="0017733E">
      <w:pPr>
        <w:pStyle w:val="paragraph"/>
      </w:pPr>
      <w:r w:rsidRPr="0017733E">
        <w:tab/>
        <w:t>(a)</w:t>
      </w:r>
      <w:r w:rsidRPr="0017733E">
        <w:tab/>
        <w:t xml:space="preserve">assessing compliance with </w:t>
      </w:r>
      <w:r w:rsidR="00057115" w:rsidRPr="0017733E">
        <w:t>section 3</w:t>
      </w:r>
      <w:r w:rsidRPr="0017733E">
        <w:t>21D</w:t>
      </w:r>
      <w:r w:rsidR="00044351" w:rsidRPr="0017733E">
        <w:t>; or</w:t>
      </w:r>
    </w:p>
    <w:p w14:paraId="4078E259" w14:textId="77777777" w:rsidR="00044351" w:rsidRPr="0017733E" w:rsidRDefault="00044351" w:rsidP="0017733E">
      <w:pPr>
        <w:pStyle w:val="paragraph"/>
      </w:pPr>
      <w:r w:rsidRPr="0017733E">
        <w:tab/>
        <w:t>(b)</w:t>
      </w:r>
      <w:r w:rsidRPr="0017733E">
        <w:tab/>
      </w:r>
      <w:r w:rsidR="00596827" w:rsidRPr="0017733E">
        <w:t xml:space="preserve">investigating a possible contravention of </w:t>
      </w:r>
      <w:r w:rsidR="00057115" w:rsidRPr="0017733E">
        <w:t>section 3</w:t>
      </w:r>
      <w:r w:rsidRPr="0017733E">
        <w:t>21DA.</w:t>
      </w:r>
    </w:p>
    <w:p w14:paraId="78904692" w14:textId="77777777" w:rsidR="00A81738" w:rsidRPr="0017733E" w:rsidRDefault="00433C52" w:rsidP="0017733E">
      <w:pPr>
        <w:pStyle w:val="ItemHead"/>
      </w:pPr>
      <w:r w:rsidRPr="0017733E">
        <w:t>16</w:t>
      </w:r>
      <w:r w:rsidR="00A81738" w:rsidRPr="0017733E">
        <w:t xml:space="preserve">  After </w:t>
      </w:r>
      <w:r w:rsidR="00DA7AD4" w:rsidRPr="0017733E">
        <w:t>sub</w:t>
      </w:r>
      <w:r w:rsidR="00057115" w:rsidRPr="0017733E">
        <w:t>section 3</w:t>
      </w:r>
      <w:r w:rsidR="00A81738" w:rsidRPr="0017733E">
        <w:t>83(2B)</w:t>
      </w:r>
    </w:p>
    <w:p w14:paraId="51F051DD" w14:textId="77777777" w:rsidR="00A81738" w:rsidRPr="0017733E" w:rsidRDefault="00A81738" w:rsidP="0017733E">
      <w:pPr>
        <w:pStyle w:val="Item"/>
      </w:pPr>
      <w:r w:rsidRPr="0017733E">
        <w:t>Insert:</w:t>
      </w:r>
    </w:p>
    <w:p w14:paraId="0B816AD2" w14:textId="77777777" w:rsidR="00A81738" w:rsidRPr="0017733E" w:rsidRDefault="00A81738" w:rsidP="0017733E">
      <w:pPr>
        <w:pStyle w:val="SubsectionHead"/>
      </w:pPr>
      <w:r w:rsidRPr="0017733E">
        <w:t xml:space="preserve">Injunctions relating to </w:t>
      </w:r>
      <w:r w:rsidR="00057115" w:rsidRPr="0017733E">
        <w:t>section 3</w:t>
      </w:r>
      <w:r w:rsidRPr="0017733E">
        <w:t>21DA—carriage service providers</w:t>
      </w:r>
    </w:p>
    <w:p w14:paraId="7EEBC477" w14:textId="77777777" w:rsidR="00A81738" w:rsidRPr="0017733E" w:rsidRDefault="00A81738" w:rsidP="0017733E">
      <w:pPr>
        <w:pStyle w:val="subsection"/>
      </w:pPr>
      <w:r w:rsidRPr="0017733E">
        <w:tab/>
        <w:t>(2C)</w:t>
      </w:r>
      <w:r w:rsidRPr="0017733E">
        <w:tab/>
        <w:t xml:space="preserve">Without limiting </w:t>
      </w:r>
      <w:r w:rsidR="00DA7AD4" w:rsidRPr="0017733E">
        <w:t>subsection (</w:t>
      </w:r>
      <w:r w:rsidRPr="0017733E">
        <w:t>1), if:</w:t>
      </w:r>
    </w:p>
    <w:p w14:paraId="35DD02B1" w14:textId="77777777" w:rsidR="00A81738" w:rsidRPr="0017733E" w:rsidRDefault="00A81738" w:rsidP="0017733E">
      <w:pPr>
        <w:pStyle w:val="paragraph"/>
      </w:pPr>
      <w:r w:rsidRPr="0017733E">
        <w:tab/>
        <w:t>(a)</w:t>
      </w:r>
      <w:r w:rsidRPr="0017733E">
        <w:tab/>
        <w:t xml:space="preserve">an injunction could be granted under </w:t>
      </w:r>
      <w:r w:rsidR="00DA7AD4" w:rsidRPr="0017733E">
        <w:t>subsection (</w:t>
      </w:r>
      <w:r w:rsidRPr="0017733E">
        <w:t xml:space="preserve">1) or (2) in relation to a contravention or proposed contravention by a foreign campaigner of </w:t>
      </w:r>
      <w:r w:rsidR="00057115" w:rsidRPr="0017733E">
        <w:t>section 3</w:t>
      </w:r>
      <w:r w:rsidRPr="0017733E">
        <w:t>21DA in relation to an electoral matter; and</w:t>
      </w:r>
    </w:p>
    <w:p w14:paraId="7ABD04B5" w14:textId="77777777" w:rsidR="00A81738" w:rsidRPr="0017733E" w:rsidRDefault="00A81738" w:rsidP="0017733E">
      <w:pPr>
        <w:pStyle w:val="paragraph"/>
      </w:pPr>
      <w:r w:rsidRPr="0017733E">
        <w:lastRenderedPageBreak/>
        <w:tab/>
        <w:t>(b)</w:t>
      </w:r>
      <w:r w:rsidRPr="0017733E">
        <w:tab/>
        <w:t>a carriage service provider supplies, or is to supply, a listed carriage service to the foreign campaigner; and</w:t>
      </w:r>
    </w:p>
    <w:p w14:paraId="406A8DBD" w14:textId="77777777" w:rsidR="00A81738" w:rsidRPr="0017733E" w:rsidRDefault="00A81738" w:rsidP="0017733E">
      <w:pPr>
        <w:pStyle w:val="paragraph"/>
      </w:pPr>
      <w:r w:rsidRPr="0017733E">
        <w:tab/>
        <w:t>(c)</w:t>
      </w:r>
      <w:r w:rsidRPr="0017733E">
        <w:tab/>
        <w:t>the listed carriage service is to be used solely for making bulk voice calls or sending bulk text messages;</w:t>
      </w:r>
    </w:p>
    <w:p w14:paraId="52CC5A69" w14:textId="77777777" w:rsidR="00A81738" w:rsidRPr="0017733E" w:rsidRDefault="00A81738" w:rsidP="0017733E">
      <w:pPr>
        <w:pStyle w:val="subsection2"/>
      </w:pPr>
      <w:r w:rsidRPr="0017733E">
        <w:t>the Federal Court may, on the application of:</w:t>
      </w:r>
    </w:p>
    <w:p w14:paraId="04B54451" w14:textId="77777777" w:rsidR="00A81738" w:rsidRPr="0017733E" w:rsidRDefault="00A81738" w:rsidP="0017733E">
      <w:pPr>
        <w:pStyle w:val="paragraph"/>
      </w:pPr>
      <w:r w:rsidRPr="0017733E">
        <w:tab/>
        <w:t>(d)</w:t>
      </w:r>
      <w:r w:rsidRPr="0017733E">
        <w:tab/>
        <w:t>if the conduct relates to an election—a candidate in the election; or</w:t>
      </w:r>
    </w:p>
    <w:p w14:paraId="390A868E" w14:textId="77777777" w:rsidR="00A81738" w:rsidRPr="0017733E" w:rsidRDefault="00A81738" w:rsidP="0017733E">
      <w:pPr>
        <w:pStyle w:val="paragraph"/>
      </w:pPr>
      <w:r w:rsidRPr="0017733E">
        <w:tab/>
        <w:t>(e)</w:t>
      </w:r>
      <w:r w:rsidRPr="0017733E">
        <w:tab/>
        <w:t>in any case—the Electoral Commission;</w:t>
      </w:r>
    </w:p>
    <w:p w14:paraId="63D8D917" w14:textId="77777777" w:rsidR="00A81738" w:rsidRPr="0017733E" w:rsidRDefault="00A81738" w:rsidP="0017733E">
      <w:pPr>
        <w:pStyle w:val="subsection2"/>
      </w:pPr>
      <w:r w:rsidRPr="0017733E">
        <w:t>grant an injunction restraining the carriage service provider from supplying the listed carriage service to the foreign campaigner.</w:t>
      </w:r>
    </w:p>
    <w:p w14:paraId="110D2997" w14:textId="77777777" w:rsidR="00A81738" w:rsidRPr="0017733E" w:rsidRDefault="00A81738" w:rsidP="0017733E">
      <w:pPr>
        <w:pStyle w:val="notetext"/>
      </w:pPr>
      <w:r w:rsidRPr="0017733E">
        <w:t>Note:</w:t>
      </w:r>
      <w:r w:rsidRPr="0017733E">
        <w:tab/>
      </w:r>
      <w:r w:rsidR="00057115" w:rsidRPr="0017733E">
        <w:t>Section 3</w:t>
      </w:r>
      <w:r w:rsidRPr="0017733E">
        <w:t xml:space="preserve">21DA prohibits the communication of certain electoral matter authorised by </w:t>
      </w:r>
      <w:r w:rsidR="001A1E22" w:rsidRPr="0017733E">
        <w:t xml:space="preserve">a </w:t>
      </w:r>
      <w:r w:rsidRPr="0017733E">
        <w:t>foreign campaigner.</w:t>
      </w:r>
    </w:p>
    <w:p w14:paraId="41013E5A" w14:textId="77777777" w:rsidR="00A81738" w:rsidRPr="0017733E" w:rsidRDefault="00A81738" w:rsidP="0017733E">
      <w:pPr>
        <w:pStyle w:val="SubsectionHead"/>
      </w:pPr>
      <w:r w:rsidRPr="0017733E">
        <w:t xml:space="preserve">Injunctions relating to </w:t>
      </w:r>
      <w:r w:rsidR="00057115" w:rsidRPr="0017733E">
        <w:t>section 3</w:t>
      </w:r>
      <w:r w:rsidRPr="0017733E">
        <w:t>21DA—broadcasters</w:t>
      </w:r>
    </w:p>
    <w:p w14:paraId="67C1DAE2" w14:textId="77777777" w:rsidR="00A81738" w:rsidRPr="0017733E" w:rsidRDefault="00A81738" w:rsidP="0017733E">
      <w:pPr>
        <w:pStyle w:val="subsection"/>
      </w:pPr>
      <w:r w:rsidRPr="0017733E">
        <w:tab/>
        <w:t>(2D)</w:t>
      </w:r>
      <w:r w:rsidRPr="0017733E">
        <w:tab/>
        <w:t xml:space="preserve">Without limiting </w:t>
      </w:r>
      <w:r w:rsidR="00DA7AD4" w:rsidRPr="0017733E">
        <w:t>subsection (</w:t>
      </w:r>
      <w:r w:rsidRPr="0017733E">
        <w:t xml:space="preserve">1), if an injunction could be granted under </w:t>
      </w:r>
      <w:r w:rsidR="00DA7AD4" w:rsidRPr="0017733E">
        <w:t>subsection (</w:t>
      </w:r>
      <w:r w:rsidRPr="0017733E">
        <w:t xml:space="preserve">1) or (2) in relation to a contravention or proposed contravention by a foreign campaigner of </w:t>
      </w:r>
      <w:r w:rsidR="00057115" w:rsidRPr="0017733E">
        <w:t>section 3</w:t>
      </w:r>
      <w:r w:rsidRPr="0017733E">
        <w:t>21DA in relation to an electoral matter, the Federal Court may, on the application of:</w:t>
      </w:r>
    </w:p>
    <w:p w14:paraId="12F7084A" w14:textId="77777777" w:rsidR="00A81738" w:rsidRPr="0017733E" w:rsidRDefault="00A81738" w:rsidP="0017733E">
      <w:pPr>
        <w:pStyle w:val="paragraph"/>
      </w:pPr>
      <w:r w:rsidRPr="0017733E">
        <w:tab/>
        <w:t>(a)</w:t>
      </w:r>
      <w:r w:rsidRPr="0017733E">
        <w:tab/>
        <w:t>if the conduct relates to an election—a candidate in the election; or</w:t>
      </w:r>
    </w:p>
    <w:p w14:paraId="2A05BFD9" w14:textId="77777777" w:rsidR="00A81738" w:rsidRPr="0017733E" w:rsidRDefault="00A81738" w:rsidP="0017733E">
      <w:pPr>
        <w:pStyle w:val="paragraph"/>
      </w:pPr>
      <w:r w:rsidRPr="0017733E">
        <w:tab/>
        <w:t>(b)</w:t>
      </w:r>
      <w:r w:rsidRPr="0017733E">
        <w:tab/>
        <w:t>in any case—the Electoral Commission;</w:t>
      </w:r>
    </w:p>
    <w:p w14:paraId="399DADD1" w14:textId="77777777" w:rsidR="00A81738" w:rsidRPr="0017733E" w:rsidRDefault="00A81738" w:rsidP="0017733E">
      <w:pPr>
        <w:pStyle w:val="subsection2"/>
      </w:pPr>
      <w:r w:rsidRPr="0017733E">
        <w:t>grant an injunction restraining a broadcaster from broadcasting the matter.</w:t>
      </w:r>
    </w:p>
    <w:p w14:paraId="7121F76D" w14:textId="77777777" w:rsidR="00A81738" w:rsidRPr="0017733E" w:rsidRDefault="00433C52" w:rsidP="0017733E">
      <w:pPr>
        <w:pStyle w:val="ItemHead"/>
      </w:pPr>
      <w:r w:rsidRPr="0017733E">
        <w:t>17</w:t>
      </w:r>
      <w:r w:rsidR="00A81738" w:rsidRPr="0017733E">
        <w:t xml:space="preserve">  </w:t>
      </w:r>
      <w:r w:rsidR="00DA7AD4" w:rsidRPr="0017733E">
        <w:t>Sub</w:t>
      </w:r>
      <w:r w:rsidR="00057115" w:rsidRPr="0017733E">
        <w:t>section 3</w:t>
      </w:r>
      <w:r w:rsidR="00A81738" w:rsidRPr="0017733E">
        <w:t>83(3)</w:t>
      </w:r>
    </w:p>
    <w:p w14:paraId="3F1DFBE5" w14:textId="77777777" w:rsidR="00A81738" w:rsidRPr="0017733E" w:rsidRDefault="00A81738" w:rsidP="0017733E">
      <w:pPr>
        <w:pStyle w:val="Item"/>
      </w:pPr>
      <w:r w:rsidRPr="0017733E">
        <w:t>Omit “or (2B)” (wherever occurring), substitute “,</w:t>
      </w:r>
      <w:r w:rsidR="00334ADE" w:rsidRPr="0017733E">
        <w:t xml:space="preserve"> </w:t>
      </w:r>
      <w:r w:rsidRPr="0017733E">
        <w:t>(2B), (2C) or (2D)”.</w:t>
      </w:r>
    </w:p>
    <w:p w14:paraId="7C555E39" w14:textId="77777777" w:rsidR="00A81738" w:rsidRPr="0017733E" w:rsidRDefault="00433C52" w:rsidP="0017733E">
      <w:pPr>
        <w:pStyle w:val="ItemHead"/>
      </w:pPr>
      <w:r w:rsidRPr="0017733E">
        <w:t>18</w:t>
      </w:r>
      <w:r w:rsidR="00A81738" w:rsidRPr="0017733E">
        <w:t xml:space="preserve">  After </w:t>
      </w:r>
      <w:r w:rsidR="00DA7AD4" w:rsidRPr="0017733E">
        <w:t>sub</w:t>
      </w:r>
      <w:r w:rsidR="00057115" w:rsidRPr="0017733E">
        <w:t>section 3</w:t>
      </w:r>
      <w:r w:rsidR="00A81738" w:rsidRPr="0017733E">
        <w:t>83(6A)</w:t>
      </w:r>
    </w:p>
    <w:p w14:paraId="720CAF55" w14:textId="77777777" w:rsidR="00A81738" w:rsidRPr="0017733E" w:rsidRDefault="00A81738" w:rsidP="0017733E">
      <w:pPr>
        <w:pStyle w:val="Item"/>
      </w:pPr>
      <w:r w:rsidRPr="0017733E">
        <w:t>Insert:</w:t>
      </w:r>
    </w:p>
    <w:p w14:paraId="6BAF4F2E" w14:textId="77777777" w:rsidR="00A81738" w:rsidRPr="0017733E" w:rsidRDefault="00A81738" w:rsidP="0017733E">
      <w:pPr>
        <w:pStyle w:val="subsection"/>
      </w:pPr>
      <w:r w:rsidRPr="0017733E">
        <w:tab/>
        <w:t>(6B)</w:t>
      </w:r>
      <w:r w:rsidRPr="0017733E">
        <w:tab/>
        <w:t xml:space="preserve">If an application is made to the Federal Court for the grant of an injunction under </w:t>
      </w:r>
      <w:r w:rsidR="00DA7AD4" w:rsidRPr="0017733E">
        <w:t>subsection (</w:t>
      </w:r>
      <w:r w:rsidRPr="0017733E">
        <w:t>2C) or (2D) restraining a carriage service provider or broadcaster as referred to in that subsection, the power of the Federal Court to grant the injunction may be exercised:</w:t>
      </w:r>
    </w:p>
    <w:p w14:paraId="3F7D88EE" w14:textId="77777777" w:rsidR="00A81738" w:rsidRPr="0017733E" w:rsidRDefault="00A81738" w:rsidP="0017733E">
      <w:pPr>
        <w:pStyle w:val="paragraph"/>
      </w:pPr>
      <w:r w:rsidRPr="0017733E">
        <w:lastRenderedPageBreak/>
        <w:tab/>
        <w:t>(a)</w:t>
      </w:r>
      <w:r w:rsidRPr="0017733E">
        <w:tab/>
        <w:t xml:space="preserve">if the Federal Court is satisfied that the foreign campaigner has contravened </w:t>
      </w:r>
      <w:r w:rsidR="00057115" w:rsidRPr="0017733E">
        <w:t>section 3</w:t>
      </w:r>
      <w:r w:rsidRPr="0017733E">
        <w:t>21DA—whether or not it appears to the Federal Court that the foreign campaigner intends to contravene or continue to contravene that section; or</w:t>
      </w:r>
    </w:p>
    <w:p w14:paraId="4DFAD79F" w14:textId="77777777" w:rsidR="00A81738" w:rsidRPr="0017733E" w:rsidRDefault="00A81738" w:rsidP="0017733E">
      <w:pPr>
        <w:pStyle w:val="paragraph"/>
      </w:pPr>
      <w:r w:rsidRPr="0017733E">
        <w:tab/>
        <w:t>(b)</w:t>
      </w:r>
      <w:r w:rsidRPr="0017733E">
        <w:tab/>
        <w:t xml:space="preserve">if it appears to the Federal Court that, in the event that an injunction is not granted, it is likely that the foreign campaigner will contravene </w:t>
      </w:r>
      <w:r w:rsidR="00057115" w:rsidRPr="0017733E">
        <w:t>section 3</w:t>
      </w:r>
      <w:r w:rsidRPr="0017733E">
        <w:t>21DA—whether or not the foreign campaigner has previously contravened that section.</w:t>
      </w:r>
    </w:p>
    <w:p w14:paraId="2B2EBB57" w14:textId="77777777" w:rsidR="000C1813" w:rsidRPr="0017733E" w:rsidRDefault="00433C52" w:rsidP="0017733E">
      <w:pPr>
        <w:pStyle w:val="Transitional"/>
      </w:pPr>
      <w:r w:rsidRPr="0017733E">
        <w:t>19</w:t>
      </w:r>
      <w:r w:rsidR="000C1813" w:rsidRPr="0017733E">
        <w:t xml:space="preserve"> </w:t>
      </w:r>
      <w:r w:rsidR="00C776B7" w:rsidRPr="0017733E">
        <w:t xml:space="preserve"> </w:t>
      </w:r>
      <w:r w:rsidR="000C1813" w:rsidRPr="0017733E">
        <w:t>Application</w:t>
      </w:r>
      <w:r w:rsidR="0064482B" w:rsidRPr="0017733E">
        <w:t xml:space="preserve"> of amendments</w:t>
      </w:r>
    </w:p>
    <w:p w14:paraId="3AD5C482" w14:textId="77777777" w:rsidR="00811FAF" w:rsidRPr="0017733E" w:rsidRDefault="0064482B" w:rsidP="0017733E">
      <w:pPr>
        <w:pStyle w:val="Subitem"/>
      </w:pPr>
      <w:r w:rsidRPr="0017733E">
        <w:tab/>
      </w:r>
      <w:r w:rsidR="00057115" w:rsidRPr="0017733E">
        <w:t>Section 3</w:t>
      </w:r>
      <w:r w:rsidRPr="0017733E">
        <w:t xml:space="preserve">21DA of the </w:t>
      </w:r>
      <w:r w:rsidRPr="0017733E">
        <w:rPr>
          <w:i/>
        </w:rPr>
        <w:t>Commonwealth Electoral Act 1918</w:t>
      </w:r>
      <w:r w:rsidRPr="0017733E">
        <w:t xml:space="preserve">, as </w:t>
      </w:r>
      <w:r w:rsidR="00787ED1" w:rsidRPr="0017733E">
        <w:t xml:space="preserve">inserted </w:t>
      </w:r>
      <w:r w:rsidRPr="0017733E">
        <w:t>by this Schedule, applies in relation to electoral matter that is communicated on or after the commencement of this Schedule (regardless of when the content of the matter was approved).</w:t>
      </w:r>
    </w:p>
    <w:p w14:paraId="35E08924" w14:textId="77777777" w:rsidR="005931F7" w:rsidRPr="0017733E" w:rsidRDefault="00DA7AD4" w:rsidP="0017733E">
      <w:pPr>
        <w:pStyle w:val="ActHead7"/>
        <w:pageBreakBefore/>
      </w:pPr>
      <w:bookmarkStart w:id="12" w:name="_Toc96080709"/>
      <w:r w:rsidRPr="00820BFB">
        <w:rPr>
          <w:rStyle w:val="CharAmPartNo"/>
        </w:rPr>
        <w:lastRenderedPageBreak/>
        <w:t>Part 2</w:t>
      </w:r>
      <w:r w:rsidR="005931F7" w:rsidRPr="0017733E">
        <w:t>—</w:t>
      </w:r>
      <w:r w:rsidR="00B6402D" w:rsidRPr="00820BFB">
        <w:rPr>
          <w:rStyle w:val="CharAmPartText"/>
        </w:rPr>
        <w:t>Electoral expenditure by foreign campaigners</w:t>
      </w:r>
      <w:bookmarkEnd w:id="12"/>
    </w:p>
    <w:p w14:paraId="01FA02B9" w14:textId="77777777" w:rsidR="00B6402D" w:rsidRPr="0017733E" w:rsidRDefault="00B6402D" w:rsidP="0017733E">
      <w:pPr>
        <w:pStyle w:val="ActHead9"/>
      </w:pPr>
      <w:bookmarkStart w:id="13" w:name="_Toc96080710"/>
      <w:r w:rsidRPr="0017733E">
        <w:t>Commonwealth Electoral Act 1918</w:t>
      </w:r>
      <w:bookmarkEnd w:id="13"/>
    </w:p>
    <w:p w14:paraId="6F47221C" w14:textId="77777777" w:rsidR="00C5488C" w:rsidRPr="0017733E" w:rsidRDefault="00433C52" w:rsidP="0017733E">
      <w:pPr>
        <w:pStyle w:val="ItemHead"/>
      </w:pPr>
      <w:r w:rsidRPr="0017733E">
        <w:t>20</w:t>
      </w:r>
      <w:r w:rsidR="00C5488C" w:rsidRPr="0017733E">
        <w:t xml:space="preserve">  </w:t>
      </w:r>
      <w:r w:rsidR="003B60F7" w:rsidRPr="0017733E">
        <w:t>Subsection 1</w:t>
      </w:r>
      <w:r w:rsidR="009D693F" w:rsidRPr="0017733E">
        <w:t xml:space="preserve">20(2) (table </w:t>
      </w:r>
      <w:r w:rsidR="00DA7AD4" w:rsidRPr="0017733E">
        <w:t>item 1</w:t>
      </w:r>
      <w:r w:rsidR="009D693F" w:rsidRPr="0017733E">
        <w:t>4)</w:t>
      </w:r>
    </w:p>
    <w:p w14:paraId="16F48124" w14:textId="77777777" w:rsidR="009D693F" w:rsidRPr="0017733E" w:rsidRDefault="009D693F" w:rsidP="0017733E">
      <w:pPr>
        <w:pStyle w:val="Item"/>
      </w:pPr>
      <w:r w:rsidRPr="0017733E">
        <w:t xml:space="preserve">Omit </w:t>
      </w:r>
      <w:r w:rsidR="00474858" w:rsidRPr="0017733E">
        <w:t>“</w:t>
      </w:r>
      <w:r w:rsidRPr="0017733E">
        <w:t>or 302H</w:t>
      </w:r>
      <w:r w:rsidR="00474858" w:rsidRPr="0017733E">
        <w:t>”</w:t>
      </w:r>
      <w:r w:rsidRPr="0017733E">
        <w:t xml:space="preserve">, substitute </w:t>
      </w:r>
      <w:r w:rsidR="00474858" w:rsidRPr="0017733E">
        <w:t>“</w:t>
      </w:r>
      <w:r w:rsidRPr="0017733E">
        <w:t>, 302H or 314A</w:t>
      </w:r>
      <w:r w:rsidR="00F14190" w:rsidRPr="0017733E">
        <w:t>K</w:t>
      </w:r>
      <w:r w:rsidR="00474858" w:rsidRPr="0017733E">
        <w:t>”</w:t>
      </w:r>
      <w:r w:rsidRPr="0017733E">
        <w:t>.</w:t>
      </w:r>
    </w:p>
    <w:p w14:paraId="3D0AFAF3" w14:textId="77777777" w:rsidR="00B6402D" w:rsidRPr="0017733E" w:rsidRDefault="00433C52" w:rsidP="0017733E">
      <w:pPr>
        <w:pStyle w:val="ItemHead"/>
      </w:pPr>
      <w:r w:rsidRPr="0017733E">
        <w:t>21</w:t>
      </w:r>
      <w:r w:rsidR="00C72D9F" w:rsidRPr="0017733E">
        <w:t xml:space="preserve"> </w:t>
      </w:r>
      <w:r w:rsidR="00B6402D" w:rsidRPr="0017733E">
        <w:t xml:space="preserve"> A</w:t>
      </w:r>
      <w:r w:rsidR="00866E66" w:rsidRPr="0017733E">
        <w:t xml:space="preserve">fter </w:t>
      </w:r>
      <w:r w:rsidR="003B60F7" w:rsidRPr="0017733E">
        <w:t>Division 5</w:t>
      </w:r>
      <w:r w:rsidR="00B6402D" w:rsidRPr="0017733E">
        <w:t xml:space="preserve">A of </w:t>
      </w:r>
      <w:r w:rsidR="00DA7AD4" w:rsidRPr="0017733E">
        <w:t>Part X</w:t>
      </w:r>
      <w:r w:rsidR="00B6402D" w:rsidRPr="0017733E">
        <w:t>X</w:t>
      </w:r>
    </w:p>
    <w:p w14:paraId="694A10F2" w14:textId="77777777" w:rsidR="00B6402D" w:rsidRPr="0017733E" w:rsidRDefault="00866E66" w:rsidP="0017733E">
      <w:pPr>
        <w:pStyle w:val="Item"/>
      </w:pPr>
      <w:r w:rsidRPr="0017733E">
        <w:t>Insert</w:t>
      </w:r>
      <w:r w:rsidR="00B6402D" w:rsidRPr="0017733E">
        <w:t>:</w:t>
      </w:r>
    </w:p>
    <w:p w14:paraId="5978F77E" w14:textId="77777777" w:rsidR="00B6402D" w:rsidRPr="0017733E" w:rsidRDefault="003B60F7" w:rsidP="0017733E">
      <w:pPr>
        <w:pStyle w:val="ActHead3"/>
      </w:pPr>
      <w:bookmarkStart w:id="14" w:name="_Toc96080711"/>
      <w:r w:rsidRPr="00820BFB">
        <w:rPr>
          <w:rStyle w:val="CharDivNo"/>
        </w:rPr>
        <w:t>Division 5</w:t>
      </w:r>
      <w:r w:rsidR="00B6402D" w:rsidRPr="00820BFB">
        <w:rPr>
          <w:rStyle w:val="CharDivNo"/>
        </w:rPr>
        <w:t>B</w:t>
      </w:r>
      <w:r w:rsidR="00C72D9F" w:rsidRPr="0017733E">
        <w:t>—</w:t>
      </w:r>
      <w:r w:rsidR="00B6402D" w:rsidRPr="00820BFB">
        <w:rPr>
          <w:rStyle w:val="CharDivText"/>
        </w:rPr>
        <w:t>Electoral expenditure by foreign campaigners</w:t>
      </w:r>
      <w:bookmarkEnd w:id="14"/>
    </w:p>
    <w:p w14:paraId="10BB85FA" w14:textId="77777777" w:rsidR="00B6402D" w:rsidRPr="0017733E" w:rsidRDefault="00B6402D" w:rsidP="0017733E">
      <w:pPr>
        <w:pStyle w:val="ActHead5"/>
      </w:pPr>
      <w:bookmarkStart w:id="15" w:name="_Toc96080712"/>
      <w:r w:rsidRPr="00820BFB">
        <w:rPr>
          <w:rStyle w:val="CharSectno"/>
        </w:rPr>
        <w:t>314AH</w:t>
      </w:r>
      <w:r w:rsidRPr="0017733E">
        <w:t xml:space="preserve">  Simplified outline of this Division</w:t>
      </w:r>
      <w:bookmarkEnd w:id="15"/>
    </w:p>
    <w:p w14:paraId="050F7C33" w14:textId="77777777" w:rsidR="0085687F" w:rsidRPr="0017733E" w:rsidRDefault="0085687F" w:rsidP="0017733E">
      <w:pPr>
        <w:pStyle w:val="SOText"/>
      </w:pPr>
      <w:r w:rsidRPr="0017733E">
        <w:t xml:space="preserve">This </w:t>
      </w:r>
      <w:r w:rsidR="001A1FD6" w:rsidRPr="0017733E">
        <w:t xml:space="preserve">Division </w:t>
      </w:r>
      <w:r w:rsidR="007000E3" w:rsidRPr="0017733E">
        <w:t>limits</w:t>
      </w:r>
      <w:r w:rsidRPr="0017733E">
        <w:t xml:space="preserve"> electoral expenditure</w:t>
      </w:r>
      <w:r w:rsidR="007000E3" w:rsidRPr="0017733E">
        <w:t xml:space="preserve"> and fundraising for electoral expenditure</w:t>
      </w:r>
      <w:r w:rsidRPr="0017733E">
        <w:t xml:space="preserve"> by foreign campaigners (that is, persons who, broadly, do not have a connection with Australia).</w:t>
      </w:r>
    </w:p>
    <w:p w14:paraId="3E1C62BB" w14:textId="77777777" w:rsidR="0085687F" w:rsidRPr="0017733E" w:rsidRDefault="0085687F" w:rsidP="0017733E">
      <w:pPr>
        <w:pStyle w:val="SOText"/>
      </w:pPr>
      <w:r w:rsidRPr="0017733E">
        <w:t>Electoral expenditure incurred by or with the authority of a foreign campaigner must not total $1,000</w:t>
      </w:r>
      <w:r w:rsidR="001A1FD6" w:rsidRPr="0017733E">
        <w:t xml:space="preserve"> or more</w:t>
      </w:r>
      <w:r w:rsidRPr="0017733E">
        <w:t xml:space="preserve"> in </w:t>
      </w:r>
      <w:r w:rsidR="004A56BE" w:rsidRPr="0017733E">
        <w:t xml:space="preserve">a </w:t>
      </w:r>
      <w:r w:rsidRPr="0017733E">
        <w:t>financial year. Amounts fundraised for that purpose must not total</w:t>
      </w:r>
      <w:r w:rsidR="001A1FD6" w:rsidRPr="0017733E">
        <w:t xml:space="preserve"> $1,000 or more</w:t>
      </w:r>
      <w:r w:rsidRPr="0017733E">
        <w:t xml:space="preserve"> in </w:t>
      </w:r>
      <w:r w:rsidR="004A56BE" w:rsidRPr="0017733E">
        <w:t xml:space="preserve">a </w:t>
      </w:r>
      <w:r w:rsidRPr="0017733E">
        <w:t>financial year.</w:t>
      </w:r>
    </w:p>
    <w:p w14:paraId="62046E3B" w14:textId="77777777" w:rsidR="00F14190" w:rsidRPr="0017733E" w:rsidRDefault="00F14190" w:rsidP="0017733E">
      <w:pPr>
        <w:pStyle w:val="ActHead5"/>
      </w:pPr>
      <w:bookmarkStart w:id="16" w:name="_Toc96080713"/>
      <w:r w:rsidRPr="00820BFB">
        <w:rPr>
          <w:rStyle w:val="CharSectno"/>
        </w:rPr>
        <w:t>314AI</w:t>
      </w:r>
      <w:r w:rsidRPr="0017733E">
        <w:t xml:space="preserve">  Object</w:t>
      </w:r>
      <w:r w:rsidR="002A4EBC" w:rsidRPr="0017733E">
        <w:t>s</w:t>
      </w:r>
      <w:r w:rsidRPr="0017733E">
        <w:t xml:space="preserve"> of this Division</w:t>
      </w:r>
      <w:bookmarkEnd w:id="16"/>
    </w:p>
    <w:p w14:paraId="5F05C684" w14:textId="77777777" w:rsidR="0048457D" w:rsidRPr="0017733E" w:rsidRDefault="00F14190" w:rsidP="0017733E">
      <w:pPr>
        <w:pStyle w:val="subsection"/>
      </w:pPr>
      <w:r w:rsidRPr="0017733E">
        <w:tab/>
        <w:t>(1)</w:t>
      </w:r>
      <w:r w:rsidRPr="0017733E">
        <w:tab/>
        <w:t>The object</w:t>
      </w:r>
      <w:r w:rsidR="007144D2" w:rsidRPr="0017733E">
        <w:t>s</w:t>
      </w:r>
      <w:r w:rsidRPr="0017733E">
        <w:t xml:space="preserve"> of th</w:t>
      </w:r>
      <w:r w:rsidR="001A1E22" w:rsidRPr="0017733E">
        <w:t>is</w:t>
      </w:r>
      <w:r w:rsidRPr="0017733E">
        <w:t xml:space="preserve"> Division </w:t>
      </w:r>
      <w:r w:rsidR="007144D2" w:rsidRPr="0017733E">
        <w:t>are</w:t>
      </w:r>
      <w:r w:rsidR="0048457D" w:rsidRPr="0017733E">
        <w:t>:</w:t>
      </w:r>
    </w:p>
    <w:p w14:paraId="7B9DA42B" w14:textId="77777777" w:rsidR="0048457D" w:rsidRPr="0017733E" w:rsidRDefault="0048457D" w:rsidP="0017733E">
      <w:pPr>
        <w:pStyle w:val="paragraph"/>
      </w:pPr>
      <w:r w:rsidRPr="0017733E">
        <w:tab/>
        <w:t>(a)</w:t>
      </w:r>
      <w:r w:rsidRPr="0017733E">
        <w:tab/>
      </w:r>
      <w:r w:rsidR="007144D2" w:rsidRPr="0017733E">
        <w:t xml:space="preserve">to </w:t>
      </w:r>
      <w:r w:rsidRPr="0017733E">
        <w:t>ensure, to the extent possible, that only Australians and those with a genuine, legitimate stake in the outcomes of the Australian political process are able to influence those outcomes</w:t>
      </w:r>
      <w:r w:rsidR="007C3C59" w:rsidRPr="0017733E">
        <w:t>;</w:t>
      </w:r>
      <w:r w:rsidRPr="0017733E">
        <w:t xml:space="preserve"> and</w:t>
      </w:r>
    </w:p>
    <w:p w14:paraId="69B00D3D" w14:textId="77777777" w:rsidR="0048457D" w:rsidRPr="0017733E" w:rsidRDefault="0048457D" w:rsidP="0017733E">
      <w:pPr>
        <w:pStyle w:val="paragraph"/>
      </w:pPr>
      <w:r w:rsidRPr="0017733E">
        <w:tab/>
        <w:t>(b)</w:t>
      </w:r>
      <w:r w:rsidRPr="0017733E">
        <w:tab/>
      </w:r>
      <w:r w:rsidR="007144D2" w:rsidRPr="0017733E">
        <w:t xml:space="preserve">to </w:t>
      </w:r>
      <w:r w:rsidRPr="0017733E">
        <w:t>reduce the risk of foreign persons or entities influencing the results of Australian elections through electoral expenditure.</w:t>
      </w:r>
    </w:p>
    <w:p w14:paraId="21F8D4AC" w14:textId="77777777" w:rsidR="0048457D" w:rsidRPr="0017733E" w:rsidRDefault="00F14190" w:rsidP="0017733E">
      <w:pPr>
        <w:pStyle w:val="subsection"/>
      </w:pPr>
      <w:r w:rsidRPr="0017733E">
        <w:lastRenderedPageBreak/>
        <w:tab/>
        <w:t>(2)</w:t>
      </w:r>
      <w:r w:rsidRPr="0017733E">
        <w:tab/>
        <w:t>This Division aims to achieve th</w:t>
      </w:r>
      <w:r w:rsidR="001A1E22" w:rsidRPr="0017733E">
        <w:t>ese</w:t>
      </w:r>
      <w:r w:rsidRPr="0017733E">
        <w:t xml:space="preserve"> object</w:t>
      </w:r>
      <w:r w:rsidR="001A1E22" w:rsidRPr="0017733E">
        <w:t>s</w:t>
      </w:r>
      <w:r w:rsidRPr="0017733E">
        <w:t xml:space="preserve"> by </w:t>
      </w:r>
      <w:r w:rsidR="0048457D" w:rsidRPr="0017733E">
        <w:t xml:space="preserve">limiting electoral expenditure and fundraising for electoral expenditure by </w:t>
      </w:r>
      <w:r w:rsidRPr="0017733E">
        <w:t>foreign persons or entities that do not have a legitimate connection to Australia.</w:t>
      </w:r>
    </w:p>
    <w:p w14:paraId="62039975" w14:textId="77777777" w:rsidR="00B6402D" w:rsidRPr="0017733E" w:rsidRDefault="00B6402D" w:rsidP="0017733E">
      <w:pPr>
        <w:pStyle w:val="ActHead5"/>
      </w:pPr>
      <w:bookmarkStart w:id="17" w:name="_Toc96080714"/>
      <w:r w:rsidRPr="00820BFB">
        <w:rPr>
          <w:rStyle w:val="CharSectno"/>
        </w:rPr>
        <w:t>314A</w:t>
      </w:r>
      <w:r w:rsidR="00F14190" w:rsidRPr="00820BFB">
        <w:rPr>
          <w:rStyle w:val="CharSectno"/>
        </w:rPr>
        <w:t>J</w:t>
      </w:r>
      <w:r w:rsidRPr="0017733E">
        <w:t xml:space="preserve">  </w:t>
      </w:r>
      <w:r w:rsidR="00A47BE3" w:rsidRPr="0017733E">
        <w:t>Prohibition on foreign campaigners incurring e</w:t>
      </w:r>
      <w:r w:rsidRPr="0017733E">
        <w:t>lectoral expenditure</w:t>
      </w:r>
      <w:r w:rsidR="00710C95" w:rsidRPr="0017733E">
        <w:t xml:space="preserve"> or fundraising for that purpose</w:t>
      </w:r>
      <w:bookmarkEnd w:id="17"/>
    </w:p>
    <w:p w14:paraId="3F230894" w14:textId="77777777" w:rsidR="00092312" w:rsidRPr="0017733E" w:rsidRDefault="00C90632" w:rsidP="0017733E">
      <w:pPr>
        <w:pStyle w:val="subsection"/>
      </w:pPr>
      <w:r w:rsidRPr="0017733E">
        <w:tab/>
      </w:r>
      <w:r w:rsidR="00F11E7F" w:rsidRPr="0017733E">
        <w:t>(1)</w:t>
      </w:r>
      <w:r w:rsidRPr="0017733E">
        <w:tab/>
      </w:r>
      <w:r w:rsidR="00092312" w:rsidRPr="0017733E">
        <w:t xml:space="preserve">A foreign campaigner </w:t>
      </w:r>
      <w:r w:rsidR="009626F7" w:rsidRPr="0017733E">
        <w:t>contravenes this subsection if:</w:t>
      </w:r>
    </w:p>
    <w:p w14:paraId="3E0CDEE5" w14:textId="77777777" w:rsidR="009626F7" w:rsidRPr="0017733E" w:rsidRDefault="009626F7" w:rsidP="0017733E">
      <w:pPr>
        <w:pStyle w:val="paragraph"/>
      </w:pPr>
      <w:r w:rsidRPr="0017733E">
        <w:tab/>
        <w:t>(a)</w:t>
      </w:r>
      <w:r w:rsidRPr="0017733E">
        <w:tab/>
      </w:r>
      <w:r w:rsidR="00811FAF" w:rsidRPr="0017733E">
        <w:t xml:space="preserve">amounts of </w:t>
      </w:r>
      <w:r w:rsidRPr="0017733E">
        <w:t xml:space="preserve">electoral expenditure incurred by or with the authority of the foreign campaigner in a financial year </w:t>
      </w:r>
      <w:r w:rsidR="00546DEE" w:rsidRPr="0017733E">
        <w:t>total</w:t>
      </w:r>
      <w:r w:rsidRPr="0017733E">
        <w:t xml:space="preserve"> $1,000 or more; or</w:t>
      </w:r>
    </w:p>
    <w:p w14:paraId="0ECFDBD3" w14:textId="77777777" w:rsidR="009626F7" w:rsidRPr="0017733E" w:rsidRDefault="009626F7" w:rsidP="0017733E">
      <w:pPr>
        <w:pStyle w:val="paragraph"/>
      </w:pPr>
      <w:r w:rsidRPr="0017733E">
        <w:tab/>
        <w:t>(b)</w:t>
      </w:r>
      <w:r w:rsidRPr="0017733E">
        <w:tab/>
        <w:t xml:space="preserve">amounts fundraised for the purpose of electoral expenditure being incurred by or with the authority of the foreign campaigner in a financial year </w:t>
      </w:r>
      <w:r w:rsidR="00546DEE" w:rsidRPr="0017733E">
        <w:t>total</w:t>
      </w:r>
      <w:r w:rsidRPr="0017733E">
        <w:t xml:space="preserve"> $1,000 or more.</w:t>
      </w:r>
    </w:p>
    <w:p w14:paraId="5730DEF4" w14:textId="77777777" w:rsidR="00927153" w:rsidRPr="0017733E" w:rsidRDefault="00927153" w:rsidP="0017733E">
      <w:pPr>
        <w:pStyle w:val="Penalty"/>
      </w:pPr>
      <w:r w:rsidRPr="0017733E">
        <w:t>Civil penalty:</w:t>
      </w:r>
    </w:p>
    <w:p w14:paraId="08E6246A" w14:textId="77777777" w:rsidR="00927153" w:rsidRPr="0017733E" w:rsidRDefault="00927153" w:rsidP="0017733E">
      <w:pPr>
        <w:pStyle w:val="Penalty"/>
      </w:pPr>
      <w:r w:rsidRPr="0017733E">
        <w:t>The higher of the following amounts:</w:t>
      </w:r>
    </w:p>
    <w:p w14:paraId="000FADF5" w14:textId="77777777" w:rsidR="00927153" w:rsidRPr="0017733E" w:rsidRDefault="00927153" w:rsidP="0017733E">
      <w:pPr>
        <w:pStyle w:val="paragraph"/>
      </w:pPr>
      <w:r w:rsidRPr="0017733E">
        <w:tab/>
        <w:t>(a)</w:t>
      </w:r>
      <w:r w:rsidRPr="0017733E">
        <w:tab/>
        <w:t>200 penalty units;</w:t>
      </w:r>
    </w:p>
    <w:p w14:paraId="7491535D" w14:textId="77777777" w:rsidR="00927153" w:rsidRPr="0017733E" w:rsidRDefault="00927153" w:rsidP="0017733E">
      <w:pPr>
        <w:pStyle w:val="paragraph"/>
      </w:pPr>
      <w:r w:rsidRPr="0017733E">
        <w:tab/>
        <w:t>(b)</w:t>
      </w:r>
      <w:r w:rsidRPr="0017733E">
        <w:tab/>
        <w:t xml:space="preserve">if there is sufficient evidence for the court to determine </w:t>
      </w:r>
      <w:r w:rsidR="00811FAF" w:rsidRPr="0017733E">
        <w:t>or</w:t>
      </w:r>
      <w:r w:rsidRPr="0017733E">
        <w:t xml:space="preserve"> estimate the amount</w:t>
      </w:r>
      <w:r w:rsidR="00811FAF" w:rsidRPr="0017733E">
        <w:t xml:space="preserve"> </w:t>
      </w:r>
      <w:r w:rsidRPr="0017733E">
        <w:t>of electoral expenditure incurred</w:t>
      </w:r>
      <w:r w:rsidR="00811FAF" w:rsidRPr="0017733E">
        <w:t xml:space="preserve"> or </w:t>
      </w:r>
      <w:r w:rsidR="00710C95" w:rsidRPr="0017733E">
        <w:t>fundraised</w:t>
      </w:r>
      <w:r w:rsidR="00811FAF" w:rsidRPr="0017733E">
        <w:t xml:space="preserve"> </w:t>
      </w:r>
      <w:r w:rsidR="00710C95" w:rsidRPr="0017733E">
        <w:t>in contravention of this subsection—</w:t>
      </w:r>
      <w:r w:rsidRPr="0017733E">
        <w:t>3 times that amount.</w:t>
      </w:r>
    </w:p>
    <w:p w14:paraId="0637FBF2" w14:textId="77777777" w:rsidR="00F11E7F" w:rsidRPr="0017733E" w:rsidRDefault="00F11E7F" w:rsidP="0017733E">
      <w:pPr>
        <w:pStyle w:val="subsection"/>
      </w:pPr>
      <w:r w:rsidRPr="0017733E">
        <w:tab/>
        <w:t>(2)</w:t>
      </w:r>
      <w:r w:rsidRPr="0017733E">
        <w:tab/>
      </w:r>
      <w:r w:rsidR="00DA7AD4" w:rsidRPr="0017733E">
        <w:t>Subsection (</w:t>
      </w:r>
      <w:r w:rsidRPr="0017733E">
        <w:t>1) applies:</w:t>
      </w:r>
    </w:p>
    <w:p w14:paraId="2CC9160F" w14:textId="77777777" w:rsidR="00F11E7F" w:rsidRPr="0017733E" w:rsidRDefault="00F11E7F" w:rsidP="0017733E">
      <w:pPr>
        <w:pStyle w:val="paragraph"/>
      </w:pPr>
      <w:r w:rsidRPr="0017733E">
        <w:tab/>
        <w:t>(a)</w:t>
      </w:r>
      <w:r w:rsidRPr="0017733E">
        <w:tab/>
        <w:t xml:space="preserve">whether or not the conduct constituting the contravention of </w:t>
      </w:r>
      <w:r w:rsidR="00866E66" w:rsidRPr="0017733E">
        <w:t xml:space="preserve">that </w:t>
      </w:r>
      <w:r w:rsidR="00DA7AD4" w:rsidRPr="0017733E">
        <w:t>subsection</w:t>
      </w:r>
      <w:r w:rsidRPr="0017733E">
        <w:t xml:space="preserve"> occurs in Australia; and</w:t>
      </w:r>
    </w:p>
    <w:p w14:paraId="395FF832" w14:textId="77777777" w:rsidR="00F11E7F" w:rsidRPr="0017733E" w:rsidRDefault="00F11E7F" w:rsidP="0017733E">
      <w:pPr>
        <w:pStyle w:val="paragraph"/>
      </w:pPr>
      <w:r w:rsidRPr="0017733E">
        <w:tab/>
        <w:t>(b)</w:t>
      </w:r>
      <w:r w:rsidRPr="0017733E">
        <w:tab/>
        <w:t xml:space="preserve">whether or not a result of the conduct constituting the alleged contravention of </w:t>
      </w:r>
      <w:r w:rsidR="00866E66" w:rsidRPr="0017733E">
        <w:t xml:space="preserve">that </w:t>
      </w:r>
      <w:r w:rsidR="00DA7AD4" w:rsidRPr="0017733E">
        <w:t>subsection</w:t>
      </w:r>
      <w:r w:rsidRPr="0017733E">
        <w:t xml:space="preserve"> occurs in Australia.</w:t>
      </w:r>
    </w:p>
    <w:p w14:paraId="31C1593A" w14:textId="77777777" w:rsidR="00375D51" w:rsidRPr="0017733E" w:rsidRDefault="00375D51" w:rsidP="0017733E">
      <w:pPr>
        <w:pStyle w:val="ActHead5"/>
      </w:pPr>
      <w:bookmarkStart w:id="18" w:name="_Hlk94191280"/>
      <w:bookmarkStart w:id="19" w:name="_Toc96080715"/>
      <w:r w:rsidRPr="00820BFB">
        <w:rPr>
          <w:rStyle w:val="CharSectno"/>
        </w:rPr>
        <w:t>314A</w:t>
      </w:r>
      <w:r w:rsidR="00F14190" w:rsidRPr="00820BFB">
        <w:rPr>
          <w:rStyle w:val="CharSectno"/>
        </w:rPr>
        <w:t>K</w:t>
      </w:r>
      <w:r w:rsidRPr="0017733E">
        <w:t xml:space="preserve">  </w:t>
      </w:r>
      <w:bookmarkEnd w:id="18"/>
      <w:r w:rsidRPr="0017733E">
        <w:t>Anti</w:t>
      </w:r>
      <w:r w:rsidR="0017733E">
        <w:noBreakHyphen/>
      </w:r>
      <w:r w:rsidRPr="0017733E">
        <w:t>avoidance</w:t>
      </w:r>
      <w:bookmarkEnd w:id="19"/>
    </w:p>
    <w:p w14:paraId="6188CF59" w14:textId="77777777" w:rsidR="00375D51" w:rsidRPr="0017733E" w:rsidRDefault="00375D51" w:rsidP="0017733E">
      <w:pPr>
        <w:pStyle w:val="subsection"/>
      </w:pPr>
      <w:r w:rsidRPr="0017733E">
        <w:tab/>
        <w:t>(1)</w:t>
      </w:r>
      <w:r w:rsidRPr="0017733E">
        <w:tab/>
        <w:t xml:space="preserve">The Electoral Commissioner may give a person or entity (the </w:t>
      </w:r>
      <w:r w:rsidRPr="0017733E">
        <w:rPr>
          <w:b/>
          <w:i/>
        </w:rPr>
        <w:t>relevant person</w:t>
      </w:r>
      <w:r w:rsidRPr="0017733E">
        <w:t>) a written notice if:</w:t>
      </w:r>
    </w:p>
    <w:p w14:paraId="58877BE5" w14:textId="77777777" w:rsidR="00375D51" w:rsidRPr="0017733E" w:rsidRDefault="00375D51" w:rsidP="0017733E">
      <w:pPr>
        <w:pStyle w:val="paragraph"/>
      </w:pPr>
      <w:r w:rsidRPr="0017733E">
        <w:tab/>
        <w:t>(a)</w:t>
      </w:r>
      <w:r w:rsidRPr="0017733E">
        <w:tab/>
      </w:r>
      <w:r w:rsidR="00044351" w:rsidRPr="0017733E">
        <w:t>the relevant person, whether alone or together with one or more other persons or entities, enters into, begins to carry out or carries out a scheme</w:t>
      </w:r>
      <w:r w:rsidRPr="0017733E">
        <w:t>; and</w:t>
      </w:r>
    </w:p>
    <w:p w14:paraId="60A8F5FA" w14:textId="77777777" w:rsidR="009626F7" w:rsidRPr="0017733E" w:rsidRDefault="00375D51" w:rsidP="0017733E">
      <w:pPr>
        <w:pStyle w:val="paragraph"/>
      </w:pPr>
      <w:r w:rsidRPr="0017733E">
        <w:lastRenderedPageBreak/>
        <w:tab/>
        <w:t>(b)</w:t>
      </w:r>
      <w:r w:rsidRPr="0017733E">
        <w:tab/>
        <w:t xml:space="preserve">there are reasonable grounds to conclude that </w:t>
      </w:r>
      <w:r w:rsidR="00044351" w:rsidRPr="0017733E">
        <w:t xml:space="preserve">the relevant person did so for the sole or dominant purpose </w:t>
      </w:r>
      <w:r w:rsidRPr="0017733E">
        <w:t xml:space="preserve">of avoiding </w:t>
      </w:r>
      <w:r w:rsidR="00057115" w:rsidRPr="0017733E">
        <w:t>section 3</w:t>
      </w:r>
      <w:r w:rsidR="00C5488C" w:rsidRPr="0017733E">
        <w:t>14A</w:t>
      </w:r>
      <w:r w:rsidR="00F14190" w:rsidRPr="0017733E">
        <w:t>J</w:t>
      </w:r>
      <w:r w:rsidR="00C5488C" w:rsidRPr="0017733E">
        <w:t xml:space="preserve"> prohibiting</w:t>
      </w:r>
      <w:r w:rsidR="009626F7" w:rsidRPr="0017733E">
        <w:t>:</w:t>
      </w:r>
    </w:p>
    <w:p w14:paraId="4CF16657" w14:textId="77777777" w:rsidR="00375D51" w:rsidRPr="0017733E" w:rsidRDefault="009626F7" w:rsidP="0017733E">
      <w:pPr>
        <w:pStyle w:val="paragraphsub"/>
      </w:pPr>
      <w:r w:rsidRPr="0017733E">
        <w:tab/>
        <w:t>(</w:t>
      </w:r>
      <w:proofErr w:type="spellStart"/>
      <w:r w:rsidRPr="0017733E">
        <w:t>i</w:t>
      </w:r>
      <w:proofErr w:type="spellEnd"/>
      <w:r w:rsidRPr="0017733E">
        <w:t>)</w:t>
      </w:r>
      <w:r w:rsidRPr="0017733E">
        <w:tab/>
      </w:r>
      <w:r w:rsidR="00E02C62" w:rsidRPr="0017733E">
        <w:t xml:space="preserve">an amount of </w:t>
      </w:r>
      <w:r w:rsidR="00C5488C" w:rsidRPr="0017733E">
        <w:t>electoral expenditure</w:t>
      </w:r>
      <w:r w:rsidR="00375D51" w:rsidRPr="0017733E">
        <w:t xml:space="preserve"> </w:t>
      </w:r>
      <w:r w:rsidRPr="0017733E">
        <w:t xml:space="preserve">being incurred by or with the authority of </w:t>
      </w:r>
      <w:r w:rsidR="00AF3509" w:rsidRPr="0017733E">
        <w:t xml:space="preserve">a person (whether or not the relevant person) </w:t>
      </w:r>
      <w:r w:rsidR="00C5488C" w:rsidRPr="0017733E">
        <w:t>in</w:t>
      </w:r>
      <w:r w:rsidR="00375D51" w:rsidRPr="0017733E">
        <w:t xml:space="preserve"> a financial year; </w:t>
      </w:r>
      <w:r w:rsidRPr="0017733E">
        <w:t>or</w:t>
      </w:r>
    </w:p>
    <w:p w14:paraId="63EFEE5F" w14:textId="77777777" w:rsidR="009626F7" w:rsidRPr="0017733E" w:rsidRDefault="009626F7" w:rsidP="0017733E">
      <w:pPr>
        <w:pStyle w:val="paragraphsub"/>
      </w:pPr>
      <w:r w:rsidRPr="0017733E">
        <w:tab/>
        <w:t>(ii)</w:t>
      </w:r>
      <w:r w:rsidRPr="0017733E">
        <w:tab/>
        <w:t xml:space="preserve">the fundraising of </w:t>
      </w:r>
      <w:r w:rsidR="001A1E22" w:rsidRPr="0017733E">
        <w:t xml:space="preserve">an </w:t>
      </w:r>
      <w:r w:rsidRPr="0017733E">
        <w:t xml:space="preserve">amount for the purposes of electoral expenditure being incurred by or with the authority of </w:t>
      </w:r>
      <w:r w:rsidR="00AF3509" w:rsidRPr="0017733E">
        <w:t xml:space="preserve">a </w:t>
      </w:r>
      <w:r w:rsidR="00710C95" w:rsidRPr="0017733E">
        <w:t>person</w:t>
      </w:r>
      <w:r w:rsidRPr="0017733E">
        <w:t xml:space="preserve"> </w:t>
      </w:r>
      <w:r w:rsidR="00AF3509" w:rsidRPr="0017733E">
        <w:t xml:space="preserve">(whether or not the relevant person) </w:t>
      </w:r>
      <w:r w:rsidRPr="0017733E">
        <w:t>in a financial year</w:t>
      </w:r>
      <w:r w:rsidR="00710C95" w:rsidRPr="0017733E">
        <w:t>; and</w:t>
      </w:r>
    </w:p>
    <w:p w14:paraId="06989964" w14:textId="77777777" w:rsidR="00C06036" w:rsidRPr="0017733E" w:rsidRDefault="00431F94" w:rsidP="0017733E">
      <w:pPr>
        <w:pStyle w:val="paragraph"/>
      </w:pPr>
      <w:r w:rsidRPr="0017733E">
        <w:tab/>
      </w:r>
      <w:r w:rsidR="00C06036" w:rsidRPr="0017733E">
        <w:t>(</w:t>
      </w:r>
      <w:r w:rsidR="00546DEE" w:rsidRPr="0017733E">
        <w:t>c</w:t>
      </w:r>
      <w:r w:rsidR="00C06036" w:rsidRPr="0017733E">
        <w:t>)</w:t>
      </w:r>
      <w:r w:rsidR="00C06036" w:rsidRPr="0017733E">
        <w:tab/>
      </w:r>
      <w:r w:rsidR="001F4D12" w:rsidRPr="0017733E">
        <w:t xml:space="preserve">there are reasonable grounds to conclude that, as </w:t>
      </w:r>
      <w:r w:rsidR="003B2274" w:rsidRPr="0017733E">
        <w:t xml:space="preserve">a </w:t>
      </w:r>
      <w:r w:rsidR="001F4D12" w:rsidRPr="0017733E">
        <w:t>r</w:t>
      </w:r>
      <w:r w:rsidR="00C06036" w:rsidRPr="0017733E">
        <w:t>esult of the scheme or part of the scheme</w:t>
      </w:r>
      <w:r w:rsidR="00DE2CEA" w:rsidRPr="0017733E">
        <w:t>,</w:t>
      </w:r>
      <w:r w:rsidR="00C06036" w:rsidRPr="0017733E">
        <w:t xml:space="preserve"> </w:t>
      </w:r>
      <w:r w:rsidR="00057115" w:rsidRPr="0017733E">
        <w:t>section 3</w:t>
      </w:r>
      <w:r w:rsidR="00C06036" w:rsidRPr="0017733E">
        <w:t>14A</w:t>
      </w:r>
      <w:r w:rsidR="00F14190" w:rsidRPr="0017733E">
        <w:t>J</w:t>
      </w:r>
      <w:r w:rsidR="00C06036" w:rsidRPr="0017733E">
        <w:t xml:space="preserve"> </w:t>
      </w:r>
      <w:r w:rsidR="00AF3509" w:rsidRPr="0017733E">
        <w:t>will not</w:t>
      </w:r>
      <w:r w:rsidR="00C06036" w:rsidRPr="0017733E">
        <w:t xml:space="preserve"> prohibit the incurring of the </w:t>
      </w:r>
      <w:r w:rsidR="00E02C62" w:rsidRPr="0017733E">
        <w:t xml:space="preserve">amount of </w:t>
      </w:r>
      <w:r w:rsidR="00C06036" w:rsidRPr="0017733E">
        <w:t xml:space="preserve">electoral expenditure or </w:t>
      </w:r>
      <w:r w:rsidR="00DE2CEA" w:rsidRPr="0017733E">
        <w:t xml:space="preserve">the </w:t>
      </w:r>
      <w:r w:rsidR="001A1E22" w:rsidRPr="0017733E">
        <w:t xml:space="preserve">fundraising of the </w:t>
      </w:r>
      <w:r w:rsidR="00C06036" w:rsidRPr="0017733E">
        <w:t>amount in the financial year.</w:t>
      </w:r>
    </w:p>
    <w:p w14:paraId="274153DE" w14:textId="77777777" w:rsidR="00375D51" w:rsidRPr="0017733E" w:rsidRDefault="00375D51" w:rsidP="0017733E">
      <w:pPr>
        <w:pStyle w:val="notetext"/>
      </w:pPr>
      <w:r w:rsidRPr="0017733E">
        <w:t>Note:</w:t>
      </w:r>
      <w:r w:rsidRPr="0017733E">
        <w:tab/>
        <w:t>A decision to give a notice is a reviewable decision (see section 120).</w:t>
      </w:r>
    </w:p>
    <w:p w14:paraId="103B2A84" w14:textId="77777777" w:rsidR="00C2641D" w:rsidRPr="0017733E" w:rsidRDefault="00C2641D" w:rsidP="0017733E">
      <w:pPr>
        <w:pStyle w:val="subsection"/>
      </w:pPr>
      <w:r w:rsidRPr="0017733E">
        <w:tab/>
        <w:t>(2)</w:t>
      </w:r>
      <w:r w:rsidRPr="0017733E">
        <w:tab/>
        <w:t>The notice must:</w:t>
      </w:r>
    </w:p>
    <w:p w14:paraId="48DACCA4" w14:textId="77777777" w:rsidR="00C2641D" w:rsidRPr="0017733E" w:rsidRDefault="00C2641D" w:rsidP="0017733E">
      <w:pPr>
        <w:pStyle w:val="paragraph"/>
      </w:pPr>
      <w:r w:rsidRPr="0017733E">
        <w:tab/>
        <w:t>(a)</w:t>
      </w:r>
      <w:r w:rsidRPr="0017733E">
        <w:tab/>
        <w:t>specify the conduct constituting the scheme; and</w:t>
      </w:r>
    </w:p>
    <w:p w14:paraId="0CE97C62" w14:textId="77777777" w:rsidR="00C2641D" w:rsidRPr="0017733E" w:rsidRDefault="00C2641D" w:rsidP="0017733E">
      <w:pPr>
        <w:pStyle w:val="paragraph"/>
      </w:pPr>
      <w:r w:rsidRPr="0017733E">
        <w:tab/>
        <w:t>(b)</w:t>
      </w:r>
      <w:r w:rsidRPr="0017733E">
        <w:tab/>
        <w:t>require the relevant person:</w:t>
      </w:r>
    </w:p>
    <w:p w14:paraId="7455760B" w14:textId="77777777" w:rsidR="00C2641D" w:rsidRPr="0017733E" w:rsidRDefault="00C2641D" w:rsidP="0017733E">
      <w:pPr>
        <w:pStyle w:val="paragraphsub"/>
      </w:pPr>
      <w:r w:rsidRPr="0017733E">
        <w:tab/>
        <w:t>(</w:t>
      </w:r>
      <w:proofErr w:type="spellStart"/>
      <w:r w:rsidRPr="0017733E">
        <w:t>i</w:t>
      </w:r>
      <w:proofErr w:type="spellEnd"/>
      <w:r w:rsidRPr="0017733E">
        <w:t>)</w:t>
      </w:r>
      <w:r w:rsidRPr="0017733E">
        <w:tab/>
        <w:t>not to enter into the scheme; or</w:t>
      </w:r>
    </w:p>
    <w:p w14:paraId="0D9E77EA" w14:textId="77777777" w:rsidR="00C2641D" w:rsidRPr="0017733E" w:rsidRDefault="00C2641D" w:rsidP="0017733E">
      <w:pPr>
        <w:pStyle w:val="paragraphsub"/>
      </w:pPr>
      <w:r w:rsidRPr="0017733E">
        <w:tab/>
        <w:t>(ii)</w:t>
      </w:r>
      <w:r w:rsidRPr="0017733E">
        <w:tab/>
        <w:t>not to begin to carry out the scheme; or</w:t>
      </w:r>
    </w:p>
    <w:p w14:paraId="136AFF7D" w14:textId="77777777" w:rsidR="00C2641D" w:rsidRPr="0017733E" w:rsidRDefault="00C2641D" w:rsidP="0017733E">
      <w:pPr>
        <w:pStyle w:val="paragraphsub"/>
      </w:pPr>
      <w:r w:rsidRPr="0017733E">
        <w:tab/>
        <w:t>(iii)</w:t>
      </w:r>
      <w:r w:rsidRPr="0017733E">
        <w:tab/>
        <w:t>not to continue to carry out the scheme.</w:t>
      </w:r>
    </w:p>
    <w:p w14:paraId="0AD809B9" w14:textId="77777777" w:rsidR="00C2641D" w:rsidRPr="0017733E" w:rsidRDefault="00C2641D" w:rsidP="0017733E">
      <w:pPr>
        <w:pStyle w:val="SubsectionHead"/>
      </w:pPr>
      <w:r w:rsidRPr="0017733E">
        <w:t>Civil penalty</w:t>
      </w:r>
    </w:p>
    <w:p w14:paraId="1CF9B13C" w14:textId="77777777" w:rsidR="00C2641D" w:rsidRPr="0017733E" w:rsidRDefault="00C2641D" w:rsidP="0017733E">
      <w:pPr>
        <w:pStyle w:val="subsection"/>
      </w:pPr>
      <w:r w:rsidRPr="0017733E">
        <w:tab/>
        <w:t>(3)</w:t>
      </w:r>
      <w:r w:rsidRPr="0017733E">
        <w:tab/>
        <w:t>A person or entity is liable to a civil penalty if:</w:t>
      </w:r>
    </w:p>
    <w:p w14:paraId="32111906" w14:textId="77777777" w:rsidR="00C2641D" w:rsidRPr="0017733E" w:rsidRDefault="00C2641D" w:rsidP="0017733E">
      <w:pPr>
        <w:pStyle w:val="paragraph"/>
      </w:pPr>
      <w:r w:rsidRPr="0017733E">
        <w:tab/>
        <w:t>(a)</w:t>
      </w:r>
      <w:r w:rsidRPr="0017733E">
        <w:tab/>
        <w:t xml:space="preserve">the person or entity is given a notice under </w:t>
      </w:r>
      <w:r w:rsidR="00DA7AD4" w:rsidRPr="0017733E">
        <w:t>subsection (</w:t>
      </w:r>
      <w:r w:rsidRPr="0017733E">
        <w:t>1); and</w:t>
      </w:r>
    </w:p>
    <w:p w14:paraId="54F9C6EE" w14:textId="77777777" w:rsidR="00C2641D" w:rsidRPr="0017733E" w:rsidRDefault="00C2641D" w:rsidP="0017733E">
      <w:pPr>
        <w:pStyle w:val="paragraph"/>
      </w:pPr>
      <w:r w:rsidRPr="0017733E">
        <w:tab/>
        <w:t>(b)</w:t>
      </w:r>
      <w:r w:rsidRPr="0017733E">
        <w:tab/>
        <w:t>the person or entity engages in conduct; and</w:t>
      </w:r>
    </w:p>
    <w:p w14:paraId="0D518ACE" w14:textId="77777777" w:rsidR="00C2641D" w:rsidRPr="0017733E" w:rsidRDefault="00C2641D" w:rsidP="0017733E">
      <w:pPr>
        <w:pStyle w:val="paragraph"/>
      </w:pPr>
      <w:r w:rsidRPr="0017733E">
        <w:tab/>
        <w:t>(c)</w:t>
      </w:r>
      <w:r w:rsidRPr="0017733E">
        <w:tab/>
        <w:t>the conduct contravenes the notice.</w:t>
      </w:r>
    </w:p>
    <w:p w14:paraId="0C46BB5C" w14:textId="77777777" w:rsidR="00C2641D" w:rsidRPr="0017733E" w:rsidRDefault="00C2641D" w:rsidP="0017733E">
      <w:pPr>
        <w:pStyle w:val="Penalty"/>
      </w:pPr>
      <w:r w:rsidRPr="0017733E">
        <w:t>Civil penalty:</w:t>
      </w:r>
    </w:p>
    <w:p w14:paraId="108E6695" w14:textId="77777777" w:rsidR="00C2641D" w:rsidRPr="0017733E" w:rsidRDefault="00C2641D" w:rsidP="0017733E">
      <w:pPr>
        <w:pStyle w:val="Penalty"/>
      </w:pPr>
      <w:r w:rsidRPr="0017733E">
        <w:t>The higher of the following amounts:</w:t>
      </w:r>
    </w:p>
    <w:p w14:paraId="42021169" w14:textId="77777777" w:rsidR="00C2641D" w:rsidRPr="0017733E" w:rsidRDefault="00C2641D" w:rsidP="0017733E">
      <w:pPr>
        <w:pStyle w:val="paragraph"/>
      </w:pPr>
      <w:r w:rsidRPr="0017733E">
        <w:tab/>
        <w:t>(a)</w:t>
      </w:r>
      <w:r w:rsidRPr="0017733E">
        <w:tab/>
        <w:t>200 penalty units;</w:t>
      </w:r>
    </w:p>
    <w:p w14:paraId="6462B439" w14:textId="77777777" w:rsidR="00C2641D" w:rsidRPr="0017733E" w:rsidRDefault="00C2641D" w:rsidP="0017733E">
      <w:pPr>
        <w:pStyle w:val="paragraph"/>
      </w:pPr>
      <w:r w:rsidRPr="0017733E">
        <w:tab/>
        <w:t>(b)</w:t>
      </w:r>
      <w:r w:rsidRPr="0017733E">
        <w:tab/>
      </w:r>
      <w:r w:rsidR="00811FAF" w:rsidRPr="0017733E">
        <w:t>if there is sufficient evidence for the court to determine or estimate the amount that was not prohibited as a result of the scheme or part of the scheme—3 times that amount</w:t>
      </w:r>
      <w:r w:rsidR="00405175" w:rsidRPr="0017733E">
        <w:t>.</w:t>
      </w:r>
    </w:p>
    <w:p w14:paraId="39A8C8B2" w14:textId="77777777" w:rsidR="00375D51" w:rsidRPr="0017733E" w:rsidRDefault="00375D51" w:rsidP="0017733E">
      <w:pPr>
        <w:pStyle w:val="subsection"/>
      </w:pPr>
      <w:r w:rsidRPr="0017733E">
        <w:tab/>
        <w:t>(4)</w:t>
      </w:r>
      <w:r w:rsidRPr="0017733E">
        <w:tab/>
        <w:t>This section applies whether or not the scheme is entered into, begun to be carried out or carried out:</w:t>
      </w:r>
    </w:p>
    <w:p w14:paraId="1B283446" w14:textId="77777777" w:rsidR="00375D51" w:rsidRPr="0017733E" w:rsidRDefault="00375D51" w:rsidP="0017733E">
      <w:pPr>
        <w:pStyle w:val="paragraph"/>
      </w:pPr>
      <w:r w:rsidRPr="0017733E">
        <w:tab/>
        <w:t>(a)</w:t>
      </w:r>
      <w:r w:rsidRPr="0017733E">
        <w:tab/>
        <w:t>in Australia; or</w:t>
      </w:r>
    </w:p>
    <w:p w14:paraId="706A3293" w14:textId="77777777" w:rsidR="00375D51" w:rsidRPr="0017733E" w:rsidRDefault="00375D51" w:rsidP="0017733E">
      <w:pPr>
        <w:pStyle w:val="paragraph"/>
      </w:pPr>
      <w:r w:rsidRPr="0017733E">
        <w:tab/>
        <w:t>(b)</w:t>
      </w:r>
      <w:r w:rsidRPr="0017733E">
        <w:tab/>
        <w:t>outside Australia; or</w:t>
      </w:r>
    </w:p>
    <w:p w14:paraId="352326BE" w14:textId="77777777" w:rsidR="00375D51" w:rsidRPr="0017733E" w:rsidRDefault="00375D51" w:rsidP="0017733E">
      <w:pPr>
        <w:pStyle w:val="paragraph"/>
      </w:pPr>
      <w:r w:rsidRPr="0017733E">
        <w:tab/>
        <w:t>(c)</w:t>
      </w:r>
      <w:r w:rsidRPr="0017733E">
        <w:tab/>
        <w:t>partly in Australia and partly outside Australia.</w:t>
      </w:r>
    </w:p>
    <w:p w14:paraId="20920BE3" w14:textId="77777777" w:rsidR="00405175" w:rsidRPr="0017733E" w:rsidRDefault="00405175" w:rsidP="0017733E">
      <w:pPr>
        <w:pStyle w:val="SubsectionHead"/>
      </w:pPr>
      <w:r w:rsidRPr="0017733E">
        <w:t xml:space="preserve">Meaning of </w:t>
      </w:r>
      <w:r w:rsidRPr="0017733E">
        <w:rPr>
          <w:b/>
        </w:rPr>
        <w:t>scheme</w:t>
      </w:r>
    </w:p>
    <w:p w14:paraId="1DDEB42C" w14:textId="77777777" w:rsidR="00C5488C" w:rsidRPr="0017733E" w:rsidRDefault="00C5488C" w:rsidP="0017733E">
      <w:pPr>
        <w:pStyle w:val="subsection"/>
      </w:pPr>
      <w:r w:rsidRPr="0017733E">
        <w:tab/>
        <w:t>(5)</w:t>
      </w:r>
      <w:r w:rsidRPr="0017733E">
        <w:tab/>
        <w:t xml:space="preserve">For the purposes of this section, </w:t>
      </w:r>
      <w:r w:rsidRPr="0017733E">
        <w:rPr>
          <w:b/>
          <w:i/>
        </w:rPr>
        <w:t>scheme</w:t>
      </w:r>
      <w:r w:rsidRPr="0017733E">
        <w:t xml:space="preserve"> has the same meaning as in </w:t>
      </w:r>
      <w:r w:rsidR="00DA7AD4" w:rsidRPr="0017733E">
        <w:t>subsection 2</w:t>
      </w:r>
      <w:r w:rsidRPr="0017733E">
        <w:t>87(1).</w:t>
      </w:r>
    </w:p>
    <w:p w14:paraId="03B2B203" w14:textId="77777777" w:rsidR="00A47BE3" w:rsidRPr="0017733E" w:rsidRDefault="00433C52" w:rsidP="0017733E">
      <w:pPr>
        <w:pStyle w:val="Transitional"/>
      </w:pPr>
      <w:r w:rsidRPr="0017733E">
        <w:t>22</w:t>
      </w:r>
      <w:r w:rsidR="00A47BE3" w:rsidRPr="0017733E">
        <w:t xml:space="preserve">  Application</w:t>
      </w:r>
      <w:r w:rsidR="0064482B" w:rsidRPr="0017733E">
        <w:t xml:space="preserve"> of amendments</w:t>
      </w:r>
    </w:p>
    <w:p w14:paraId="7963CF24" w14:textId="77777777" w:rsidR="0064482B" w:rsidRPr="0017733E" w:rsidRDefault="0064482B" w:rsidP="0017733E">
      <w:pPr>
        <w:pStyle w:val="Subitem"/>
      </w:pPr>
      <w:r w:rsidRPr="0017733E">
        <w:tab/>
        <w:t xml:space="preserve">Division 5B of </w:t>
      </w:r>
      <w:r w:rsidR="00DA7AD4" w:rsidRPr="0017733E">
        <w:t>Part X</w:t>
      </w:r>
      <w:r w:rsidRPr="0017733E">
        <w:t xml:space="preserve">X of the </w:t>
      </w:r>
      <w:r w:rsidRPr="0017733E">
        <w:rPr>
          <w:i/>
        </w:rPr>
        <w:t>Commonwealth Electoral Act 1918</w:t>
      </w:r>
      <w:r w:rsidRPr="0017733E">
        <w:t xml:space="preserve">, as inserted by this Schedule, applies </w:t>
      </w:r>
      <w:r w:rsidR="006C4C61" w:rsidRPr="0017733E">
        <w:t xml:space="preserve">to the financial year in which this Schedule commences and later financial years </w:t>
      </w:r>
      <w:r w:rsidRPr="0017733E">
        <w:t>in relation to an amount of electoral expenditure incurred, or an amount fundraised, on or after the commencement of this Schedule.</w:t>
      </w:r>
    </w:p>
    <w:p w14:paraId="050E7ECF" w14:textId="77777777" w:rsidR="00762945" w:rsidRPr="0017733E" w:rsidRDefault="00DA7AD4" w:rsidP="0017733E">
      <w:pPr>
        <w:pStyle w:val="ActHead6"/>
        <w:pageBreakBefore/>
      </w:pPr>
      <w:bookmarkStart w:id="20" w:name="_Toc96080716"/>
      <w:r w:rsidRPr="00820BFB">
        <w:rPr>
          <w:rStyle w:val="CharAmSchNo"/>
        </w:rPr>
        <w:t>Schedule </w:t>
      </w:r>
      <w:r w:rsidR="002E7C43" w:rsidRPr="00820BFB">
        <w:rPr>
          <w:rStyle w:val="CharAmSchNo"/>
        </w:rPr>
        <w:t>2</w:t>
      </w:r>
      <w:r w:rsidR="00762945" w:rsidRPr="0017733E">
        <w:t>—</w:t>
      </w:r>
      <w:r w:rsidR="002E7C43" w:rsidRPr="00820BFB">
        <w:rPr>
          <w:rStyle w:val="CharAmSchText"/>
        </w:rPr>
        <w:t>Offences</w:t>
      </w:r>
      <w:bookmarkEnd w:id="20"/>
    </w:p>
    <w:p w14:paraId="18237FE0" w14:textId="77777777" w:rsidR="00C54AF1" w:rsidRPr="00820BFB" w:rsidRDefault="00C54AF1" w:rsidP="0017733E">
      <w:pPr>
        <w:pStyle w:val="Header"/>
      </w:pPr>
      <w:r w:rsidRPr="00820BFB">
        <w:rPr>
          <w:rStyle w:val="CharAmPartNo"/>
        </w:rPr>
        <w:t xml:space="preserve"> </w:t>
      </w:r>
      <w:r w:rsidRPr="00820BFB">
        <w:rPr>
          <w:rStyle w:val="CharAmPartText"/>
        </w:rPr>
        <w:t xml:space="preserve"> </w:t>
      </w:r>
    </w:p>
    <w:p w14:paraId="24ED8274" w14:textId="77777777" w:rsidR="00762945" w:rsidRPr="0017733E" w:rsidRDefault="00762945" w:rsidP="0017733E">
      <w:pPr>
        <w:pStyle w:val="ActHead9"/>
      </w:pPr>
      <w:bookmarkStart w:id="21" w:name="_Toc96080717"/>
      <w:r w:rsidRPr="0017733E">
        <w:t>Commonwealth Electoral Act 1918</w:t>
      </w:r>
      <w:bookmarkEnd w:id="21"/>
    </w:p>
    <w:p w14:paraId="46B259F5" w14:textId="77777777" w:rsidR="002E7C43" w:rsidRPr="0017733E" w:rsidRDefault="00CC3860" w:rsidP="0017733E">
      <w:pPr>
        <w:pStyle w:val="ItemHead"/>
      </w:pPr>
      <w:r w:rsidRPr="0017733E">
        <w:t>1</w:t>
      </w:r>
      <w:r w:rsidR="002E7C43" w:rsidRPr="0017733E">
        <w:t xml:space="preserve">  </w:t>
      </w:r>
      <w:r w:rsidR="00DD63F8" w:rsidRPr="0017733E">
        <w:t>Subsection 2</w:t>
      </w:r>
      <w:r w:rsidR="00AA131C" w:rsidRPr="0017733E">
        <w:t>87H(3)</w:t>
      </w:r>
    </w:p>
    <w:p w14:paraId="4331E039" w14:textId="77777777" w:rsidR="00DD63F8" w:rsidRPr="0017733E" w:rsidRDefault="00AA131C" w:rsidP="0017733E">
      <w:pPr>
        <w:pStyle w:val="Item"/>
      </w:pPr>
      <w:r w:rsidRPr="0017733E">
        <w:t>After “</w:t>
      </w:r>
      <w:r w:rsidR="003A5804" w:rsidRPr="0017733E">
        <w:t xml:space="preserve">any </w:t>
      </w:r>
      <w:r w:rsidRPr="0017733E">
        <w:t>electoral expenditure”, insert “, or fundraise any amounts for the purpose of incurring electoral expenditure,”.</w:t>
      </w:r>
    </w:p>
    <w:p w14:paraId="6B73CAD6" w14:textId="77777777" w:rsidR="00021EAF" w:rsidRPr="0017733E" w:rsidRDefault="00CC3860" w:rsidP="0017733E">
      <w:pPr>
        <w:pStyle w:val="ItemHead"/>
      </w:pPr>
      <w:r w:rsidRPr="0017733E">
        <w:t>2</w:t>
      </w:r>
      <w:r w:rsidR="00021EAF" w:rsidRPr="0017733E">
        <w:t xml:space="preserve">  Subsection 287H(3) (penalty)</w:t>
      </w:r>
    </w:p>
    <w:p w14:paraId="543975AB" w14:textId="77777777" w:rsidR="00021EAF" w:rsidRPr="0017733E" w:rsidRDefault="003A5804" w:rsidP="0017733E">
      <w:pPr>
        <w:pStyle w:val="Item"/>
      </w:pPr>
      <w:r w:rsidRPr="0017733E">
        <w:t>After “electoral expenditure incurred”, insert “, or fundraised,”.</w:t>
      </w:r>
    </w:p>
    <w:p w14:paraId="3B63F9C3" w14:textId="77777777" w:rsidR="00A80DEB" w:rsidRPr="0017733E" w:rsidRDefault="00CC3860" w:rsidP="0017733E">
      <w:pPr>
        <w:pStyle w:val="ItemHead"/>
      </w:pPr>
      <w:r w:rsidRPr="0017733E">
        <w:t>3</w:t>
      </w:r>
      <w:r w:rsidR="00A80DEB" w:rsidRPr="0017733E">
        <w:t xml:space="preserve">  </w:t>
      </w:r>
      <w:r w:rsidR="00DA7AD4" w:rsidRPr="0017733E">
        <w:t>Sub</w:t>
      </w:r>
      <w:r w:rsidR="00057115" w:rsidRPr="0017733E">
        <w:t>section 3</w:t>
      </w:r>
      <w:r w:rsidR="00A80DEB" w:rsidRPr="0017733E">
        <w:t>29(4)</w:t>
      </w:r>
    </w:p>
    <w:p w14:paraId="0571831D" w14:textId="77777777" w:rsidR="00A80DEB" w:rsidRPr="0017733E" w:rsidRDefault="00A80DEB" w:rsidP="0017733E">
      <w:pPr>
        <w:pStyle w:val="Item"/>
      </w:pPr>
      <w:r w:rsidRPr="0017733E">
        <w:t>Repeal the subsection, substitute:</w:t>
      </w:r>
    </w:p>
    <w:p w14:paraId="6EBF97C5" w14:textId="77777777" w:rsidR="00A80DEB" w:rsidRPr="0017733E" w:rsidRDefault="00A80DEB" w:rsidP="0017733E">
      <w:pPr>
        <w:pStyle w:val="subsection"/>
      </w:pPr>
      <w:r w:rsidRPr="0017733E">
        <w:tab/>
        <w:t>(4)</w:t>
      </w:r>
      <w:r w:rsidRPr="0017733E">
        <w:tab/>
        <w:t xml:space="preserve">A person who contravenes </w:t>
      </w:r>
      <w:r w:rsidR="00DA7AD4" w:rsidRPr="0017733E">
        <w:t>subsection (</w:t>
      </w:r>
      <w:r w:rsidRPr="0017733E">
        <w:t>1) commits an offence.</w:t>
      </w:r>
    </w:p>
    <w:p w14:paraId="472E4F29" w14:textId="77777777" w:rsidR="00A80DEB" w:rsidRPr="0017733E" w:rsidRDefault="00A80DEB" w:rsidP="0017733E">
      <w:pPr>
        <w:pStyle w:val="Penalty"/>
      </w:pPr>
      <w:r w:rsidRPr="0017733E">
        <w:t>Penalty:</w:t>
      </w:r>
    </w:p>
    <w:p w14:paraId="569FB5A1" w14:textId="77777777" w:rsidR="00A80DEB" w:rsidRPr="0017733E" w:rsidRDefault="00A80DEB" w:rsidP="0017733E">
      <w:pPr>
        <w:pStyle w:val="paragraph"/>
      </w:pPr>
      <w:r w:rsidRPr="0017733E">
        <w:tab/>
        <w:t>(a)</w:t>
      </w:r>
      <w:r w:rsidRPr="0017733E">
        <w:tab/>
        <w:t>if the person is a natural person—imprisonment for 3 years or 100 penalty units, or both; or</w:t>
      </w:r>
    </w:p>
    <w:p w14:paraId="4807C43E" w14:textId="77777777" w:rsidR="00A80DEB" w:rsidRPr="0017733E" w:rsidRDefault="00A80DEB" w:rsidP="0017733E">
      <w:pPr>
        <w:pStyle w:val="paragraph"/>
      </w:pPr>
      <w:r w:rsidRPr="0017733E">
        <w:tab/>
        <w:t>(b)</w:t>
      </w:r>
      <w:r w:rsidRPr="0017733E">
        <w:tab/>
        <w:t>if the person is a body corporate—500 penalty units.</w:t>
      </w:r>
    </w:p>
    <w:p w14:paraId="6D0067CC" w14:textId="77777777" w:rsidR="00A80DEB" w:rsidRPr="0017733E" w:rsidRDefault="00A80DEB" w:rsidP="0017733E">
      <w:pPr>
        <w:pStyle w:val="ActHead9"/>
      </w:pPr>
      <w:bookmarkStart w:id="22" w:name="_Toc96080718"/>
      <w:r w:rsidRPr="0017733E">
        <w:t>Referendum (Machinery Provisions) Act 1984</w:t>
      </w:r>
      <w:bookmarkEnd w:id="22"/>
    </w:p>
    <w:p w14:paraId="439ADED1" w14:textId="77777777" w:rsidR="00A80DEB" w:rsidRPr="0017733E" w:rsidRDefault="00CC3860" w:rsidP="0017733E">
      <w:pPr>
        <w:pStyle w:val="ItemHead"/>
      </w:pPr>
      <w:r w:rsidRPr="0017733E">
        <w:t>4</w:t>
      </w:r>
      <w:r w:rsidR="00A80DEB" w:rsidRPr="0017733E">
        <w:t xml:space="preserve">  </w:t>
      </w:r>
      <w:r w:rsidR="003B60F7" w:rsidRPr="0017733E">
        <w:t>Subsection 1</w:t>
      </w:r>
      <w:r w:rsidR="00A80DEB" w:rsidRPr="0017733E">
        <w:t>22(4)</w:t>
      </w:r>
    </w:p>
    <w:p w14:paraId="2762CC5F" w14:textId="77777777" w:rsidR="00A80DEB" w:rsidRPr="0017733E" w:rsidRDefault="00A80DEB" w:rsidP="0017733E">
      <w:pPr>
        <w:pStyle w:val="Item"/>
      </w:pPr>
      <w:r w:rsidRPr="0017733E">
        <w:t>Repeal the subsection, substitute:</w:t>
      </w:r>
    </w:p>
    <w:p w14:paraId="14472730" w14:textId="77777777" w:rsidR="00A80DEB" w:rsidRPr="0017733E" w:rsidRDefault="00A80DEB" w:rsidP="0017733E">
      <w:pPr>
        <w:pStyle w:val="subsection"/>
      </w:pPr>
      <w:r w:rsidRPr="0017733E">
        <w:tab/>
        <w:t>(4)</w:t>
      </w:r>
      <w:r w:rsidRPr="0017733E">
        <w:tab/>
        <w:t xml:space="preserve">A person who contravenes </w:t>
      </w:r>
      <w:r w:rsidR="00DA7AD4" w:rsidRPr="0017733E">
        <w:t>subsection (</w:t>
      </w:r>
      <w:r w:rsidRPr="0017733E">
        <w:t>1) commits an offence.</w:t>
      </w:r>
    </w:p>
    <w:p w14:paraId="08B72BA4" w14:textId="77777777" w:rsidR="00A80DEB" w:rsidRPr="0017733E" w:rsidRDefault="00A80DEB" w:rsidP="0017733E">
      <w:pPr>
        <w:pStyle w:val="Penalty"/>
      </w:pPr>
      <w:r w:rsidRPr="0017733E">
        <w:t>Penalty:</w:t>
      </w:r>
    </w:p>
    <w:p w14:paraId="7611E5D3" w14:textId="77777777" w:rsidR="00A80DEB" w:rsidRPr="0017733E" w:rsidRDefault="00A80DEB" w:rsidP="0017733E">
      <w:pPr>
        <w:pStyle w:val="paragraph"/>
      </w:pPr>
      <w:r w:rsidRPr="0017733E">
        <w:tab/>
        <w:t>(a)</w:t>
      </w:r>
      <w:r w:rsidRPr="0017733E">
        <w:tab/>
        <w:t>if the person is a natural person—imprisonment for 3 years or 100 penalty units, or both; or</w:t>
      </w:r>
    </w:p>
    <w:p w14:paraId="27AAD926" w14:textId="534150F0" w:rsidR="00A80DEB" w:rsidRDefault="00A80DEB" w:rsidP="0017733E">
      <w:pPr>
        <w:pStyle w:val="paragraph"/>
      </w:pPr>
      <w:r w:rsidRPr="0017733E">
        <w:tab/>
        <w:t>(b)</w:t>
      </w:r>
      <w:r w:rsidRPr="0017733E">
        <w:tab/>
        <w:t>if the person is a body corporate—500 penalty units.</w:t>
      </w:r>
    </w:p>
    <w:p w14:paraId="60EE12B2" w14:textId="2FFCD5A7" w:rsidR="00460D6B" w:rsidRDefault="00460D6B" w:rsidP="00460D6B">
      <w:pPr>
        <w:suppressLineNumbers/>
      </w:pPr>
    </w:p>
    <w:p w14:paraId="54CA4C06" w14:textId="77777777" w:rsidR="00586137" w:rsidRDefault="00586137" w:rsidP="00586137">
      <w:pPr>
        <w:pBdr>
          <w:bottom w:val="single" w:sz="4" w:space="1" w:color="auto"/>
        </w:pBdr>
        <w:sectPr w:rsidR="00586137" w:rsidSect="00586137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50AD2A1C" w14:textId="77777777" w:rsidR="00073DBB" w:rsidRDefault="00073DBB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1E3562D8" w14:textId="05AA517C" w:rsidR="00073DBB" w:rsidRDefault="00073DBB" w:rsidP="000C5962">
      <w:pPr>
        <w:pStyle w:val="2ndRd"/>
        <w:keepNext/>
        <w:spacing w:line="260" w:lineRule="atLeast"/>
      </w:pPr>
      <w:r>
        <w:rPr>
          <w:i/>
        </w:rPr>
        <w:t>Senate on 9 February 2022</w:t>
      </w:r>
    </w:p>
    <w:p w14:paraId="011DB6D0" w14:textId="2F9CFB73" w:rsidR="00073DBB" w:rsidRDefault="00073DB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15 February 2022</w:t>
      </w:r>
      <w:r>
        <w:t>]</w:t>
      </w:r>
    </w:p>
    <w:p w14:paraId="6BFB01D5" w14:textId="189F450E" w:rsidR="00073DBB" w:rsidRDefault="00073DBB" w:rsidP="006A0678">
      <w:pPr>
        <w:framePr w:hSpace="180" w:wrap="around" w:vAnchor="text" w:hAnchor="page" w:x="2431" w:y="9185"/>
      </w:pPr>
      <w:r>
        <w:t>(15/22)</w:t>
      </w:r>
    </w:p>
    <w:p w14:paraId="2B5936FD" w14:textId="77777777" w:rsidR="00073DBB" w:rsidRDefault="00073DBB"/>
    <w:sectPr w:rsidR="00073DBB" w:rsidSect="00586137">
      <w:headerReference w:type="even" r:id="rId28"/>
      <w:headerReference w:type="default" r:id="rId29"/>
      <w:headerReference w:type="first" r:id="rId30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D9AB1" w14:textId="77777777" w:rsidR="00891A93" w:rsidRDefault="00891A93" w:rsidP="0048364F">
      <w:pPr>
        <w:spacing w:line="240" w:lineRule="auto"/>
      </w:pPr>
      <w:r>
        <w:separator/>
      </w:r>
    </w:p>
  </w:endnote>
  <w:endnote w:type="continuationSeparator" w:id="0">
    <w:p w14:paraId="600A4C79" w14:textId="77777777" w:rsidR="00891A93" w:rsidRDefault="00891A9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B8426" w14:textId="77777777" w:rsidR="00891A93" w:rsidRPr="005F1388" w:rsidRDefault="00891A93" w:rsidP="0017733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20739" w14:textId="4C42837C" w:rsidR="00073DBB" w:rsidRDefault="00073DBB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0D3BDAB8" w14:textId="77777777" w:rsidR="00073DBB" w:rsidRDefault="00073DBB" w:rsidP="00CD12A5"/>
  <w:p w14:paraId="56998E5F" w14:textId="6AA3FB06" w:rsidR="00891A93" w:rsidRDefault="00891A93" w:rsidP="0017733E">
    <w:pPr>
      <w:pStyle w:val="Footer"/>
      <w:spacing w:before="120"/>
    </w:pPr>
  </w:p>
  <w:p w14:paraId="5BF7AA67" w14:textId="77777777" w:rsidR="00891A93" w:rsidRPr="005F1388" w:rsidRDefault="00891A93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A5A94" w14:textId="77777777" w:rsidR="00891A93" w:rsidRPr="00ED79B6" w:rsidRDefault="00891A93" w:rsidP="0017733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B5F97" w14:textId="77777777" w:rsidR="00891A93" w:rsidRDefault="00891A93" w:rsidP="0017733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91A93" w14:paraId="1363AC23" w14:textId="77777777" w:rsidTr="00DF7DAC">
      <w:tc>
        <w:tcPr>
          <w:tcW w:w="646" w:type="dxa"/>
        </w:tcPr>
        <w:p w14:paraId="755F081B" w14:textId="77777777" w:rsidR="00891A93" w:rsidRDefault="00891A93" w:rsidP="00DF7DAC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9C6F55C" w14:textId="7F3CCECF" w:rsidR="00891A93" w:rsidRDefault="00891A93" w:rsidP="00DF7DAC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236B4">
            <w:rPr>
              <w:i/>
              <w:sz w:val="18"/>
            </w:rPr>
            <w:t>Electoral Legislation Amendment (Foreign Influences and Offences)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0BFA682" w14:textId="7CF70F67" w:rsidR="00891A93" w:rsidRDefault="00891A93" w:rsidP="00DF7DA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236B4">
            <w:rPr>
              <w:i/>
              <w:sz w:val="18"/>
            </w:rPr>
            <w:t>No. 6, 2022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CF6532" w14:textId="77777777" w:rsidR="00891A93" w:rsidRDefault="00891A9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99B9E" w14:textId="77777777" w:rsidR="00891A93" w:rsidRDefault="00891A93" w:rsidP="0017733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91A93" w14:paraId="7999373B" w14:textId="77777777" w:rsidTr="00DF7DAC">
      <w:tc>
        <w:tcPr>
          <w:tcW w:w="1247" w:type="dxa"/>
        </w:tcPr>
        <w:p w14:paraId="2FF3D1F8" w14:textId="63624FAD" w:rsidR="00891A93" w:rsidRDefault="00891A93" w:rsidP="00DF7DAC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8236B4">
            <w:rPr>
              <w:i/>
              <w:sz w:val="18"/>
            </w:rPr>
            <w:t>No. 6,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7CADB34" w14:textId="47F03D6D" w:rsidR="00891A93" w:rsidRDefault="00891A93" w:rsidP="00DF7DAC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8236B4">
            <w:rPr>
              <w:i/>
              <w:sz w:val="18"/>
            </w:rPr>
            <w:t>Electoral Legislation Amendment (Foreign Influences and Offences)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C4837FF" w14:textId="77777777" w:rsidR="00891A93" w:rsidRDefault="00891A93" w:rsidP="00DF7DA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E8CD8B" w14:textId="77777777" w:rsidR="00891A93" w:rsidRPr="00ED79B6" w:rsidRDefault="00891A93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90967" w14:textId="77777777" w:rsidR="00891A93" w:rsidRPr="00A961C4" w:rsidRDefault="00891A93" w:rsidP="0017733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91A93" w14:paraId="2DD43A7F" w14:textId="77777777" w:rsidTr="00820BFB">
      <w:tc>
        <w:tcPr>
          <w:tcW w:w="646" w:type="dxa"/>
        </w:tcPr>
        <w:p w14:paraId="2A9ABCB7" w14:textId="77777777" w:rsidR="00891A93" w:rsidRDefault="00891A93" w:rsidP="00DF7DA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D467B8B" w14:textId="244A3237" w:rsidR="00891A93" w:rsidRDefault="00891A93" w:rsidP="00DF7DA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236B4">
            <w:rPr>
              <w:i/>
              <w:sz w:val="18"/>
            </w:rPr>
            <w:t>Electoral Legislation Amendment (Foreign Influences and Offences)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3FE4CC6" w14:textId="257691F5" w:rsidR="00891A93" w:rsidRDefault="00891A93" w:rsidP="00DF7DA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236B4">
            <w:rPr>
              <w:i/>
              <w:sz w:val="18"/>
            </w:rPr>
            <w:t>No. 6, 2022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1D4E990" w14:textId="77777777" w:rsidR="00891A93" w:rsidRPr="00A961C4" w:rsidRDefault="00891A93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22F5C" w14:textId="77777777" w:rsidR="00891A93" w:rsidRPr="00A961C4" w:rsidRDefault="00891A93" w:rsidP="0017733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91A93" w14:paraId="4477BD31" w14:textId="77777777" w:rsidTr="00820BFB">
      <w:tc>
        <w:tcPr>
          <w:tcW w:w="1247" w:type="dxa"/>
        </w:tcPr>
        <w:p w14:paraId="028FC34D" w14:textId="74A2F377" w:rsidR="00891A93" w:rsidRDefault="00891A93" w:rsidP="00DF7DA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236B4">
            <w:rPr>
              <w:i/>
              <w:sz w:val="18"/>
            </w:rPr>
            <w:t>No. 6,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0442382" w14:textId="3407E586" w:rsidR="00891A93" w:rsidRDefault="00891A93" w:rsidP="00DF7DA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236B4">
            <w:rPr>
              <w:i/>
              <w:sz w:val="18"/>
            </w:rPr>
            <w:t>Electoral Legislation Amendment (Foreign Influences and Offences)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1131775" w14:textId="77777777" w:rsidR="00891A93" w:rsidRDefault="00891A93" w:rsidP="00DF7DA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0A1EAE6" w14:textId="77777777" w:rsidR="00891A93" w:rsidRPr="00055B5C" w:rsidRDefault="00891A93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659AA" w14:textId="77777777" w:rsidR="00891A93" w:rsidRPr="00A961C4" w:rsidRDefault="00891A93" w:rsidP="0017733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891A93" w14:paraId="2A126FB2" w14:textId="77777777" w:rsidTr="00820BFB">
      <w:tc>
        <w:tcPr>
          <w:tcW w:w="1247" w:type="dxa"/>
        </w:tcPr>
        <w:p w14:paraId="2DEA8588" w14:textId="5F36CAF3" w:rsidR="00891A93" w:rsidRDefault="00891A93" w:rsidP="00DF7DA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8236B4">
            <w:rPr>
              <w:i/>
              <w:sz w:val="18"/>
            </w:rPr>
            <w:t>No. 6,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91183C8" w14:textId="3840F28B" w:rsidR="00891A93" w:rsidRDefault="00891A93" w:rsidP="00DF7DA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8236B4">
            <w:rPr>
              <w:i/>
              <w:sz w:val="18"/>
            </w:rPr>
            <w:t>Electoral Legislation Amendment (Foreign Influences and Offences)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4FF94D2C" w14:textId="77777777" w:rsidR="00891A93" w:rsidRDefault="00891A93" w:rsidP="00DF7DA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053C9EC" w14:textId="77777777" w:rsidR="00891A93" w:rsidRPr="00A961C4" w:rsidRDefault="00891A93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99922" w14:textId="77777777" w:rsidR="00891A93" w:rsidRDefault="00891A93" w:rsidP="0048364F">
      <w:pPr>
        <w:spacing w:line="240" w:lineRule="auto"/>
      </w:pPr>
      <w:r>
        <w:separator/>
      </w:r>
    </w:p>
  </w:footnote>
  <w:footnote w:type="continuationSeparator" w:id="0">
    <w:p w14:paraId="667DBF72" w14:textId="77777777" w:rsidR="00891A93" w:rsidRDefault="00891A9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9F2B" w14:textId="77777777" w:rsidR="00891A93" w:rsidRPr="005F1388" w:rsidRDefault="00891A9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B3F33" w14:textId="7BF67C5E" w:rsidR="00586137" w:rsidRPr="00A961C4" w:rsidRDefault="00586137" w:rsidP="0048364F">
    <w:pPr>
      <w:rPr>
        <w:b/>
        <w:sz w:val="20"/>
      </w:rPr>
    </w:pPr>
  </w:p>
  <w:p w14:paraId="437474A0" w14:textId="5D4D2829" w:rsidR="00586137" w:rsidRPr="00A961C4" w:rsidRDefault="0058613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5AAE395" w14:textId="77777777" w:rsidR="00586137" w:rsidRPr="00A961C4" w:rsidRDefault="00586137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02C1" w14:textId="6D788989" w:rsidR="00586137" w:rsidRPr="00A961C4" w:rsidRDefault="0058613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8236B4">
      <w:rPr>
        <w:noProof/>
        <w:sz w:val="20"/>
      </w:rPr>
      <w:t>Offences</w:t>
    </w:r>
    <w:r w:rsidRPr="00A961C4"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236B4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63157A7B" w14:textId="72B4028E" w:rsidR="00586137" w:rsidRPr="00A961C4" w:rsidRDefault="0058613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A08AEC1" w14:textId="77777777" w:rsidR="00586137" w:rsidRPr="00A961C4" w:rsidRDefault="00586137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8AAEA" w14:textId="77777777" w:rsidR="00586137" w:rsidRPr="00A961C4" w:rsidRDefault="00586137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AA1FA" w14:textId="77777777" w:rsidR="00891A93" w:rsidRPr="005F1388" w:rsidRDefault="00891A93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89062" w14:textId="77777777" w:rsidR="00891A93" w:rsidRPr="005F1388" w:rsidRDefault="00891A9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27905" w14:textId="77777777" w:rsidR="00891A93" w:rsidRPr="00ED79B6" w:rsidRDefault="00891A93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4C249" w14:textId="77777777" w:rsidR="00891A93" w:rsidRPr="00ED79B6" w:rsidRDefault="00891A93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00528" w14:textId="77777777" w:rsidR="00891A93" w:rsidRPr="00ED79B6" w:rsidRDefault="00891A9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AF5E2" w14:textId="17BCFC4E" w:rsidR="00891A93" w:rsidRPr="00A961C4" w:rsidRDefault="00891A9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236B4">
      <w:rPr>
        <w:b/>
        <w:sz w:val="20"/>
      </w:rPr>
      <w:fldChar w:fldCharType="separate"/>
    </w:r>
    <w:r w:rsidR="006F008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236B4">
      <w:rPr>
        <w:sz w:val="20"/>
      </w:rPr>
      <w:fldChar w:fldCharType="separate"/>
    </w:r>
    <w:r w:rsidR="006F008C">
      <w:rPr>
        <w:noProof/>
        <w:sz w:val="20"/>
      </w:rPr>
      <w:t>Foreign electoral communication and expenditure</w:t>
    </w:r>
    <w:r>
      <w:rPr>
        <w:sz w:val="20"/>
      </w:rPr>
      <w:fldChar w:fldCharType="end"/>
    </w:r>
  </w:p>
  <w:p w14:paraId="29D7BBA4" w14:textId="2DD377A4" w:rsidR="00891A93" w:rsidRPr="00A961C4" w:rsidRDefault="00891A9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8236B4">
      <w:rPr>
        <w:b/>
        <w:sz w:val="20"/>
      </w:rPr>
      <w:fldChar w:fldCharType="separate"/>
    </w:r>
    <w:r w:rsidR="006F008C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8236B4">
      <w:rPr>
        <w:sz w:val="20"/>
      </w:rPr>
      <w:fldChar w:fldCharType="separate"/>
    </w:r>
    <w:r w:rsidR="006F008C">
      <w:rPr>
        <w:noProof/>
        <w:sz w:val="20"/>
      </w:rPr>
      <w:t>Communication authorised by foreign campaigners</w:t>
    </w:r>
    <w:r>
      <w:rPr>
        <w:sz w:val="20"/>
      </w:rPr>
      <w:fldChar w:fldCharType="end"/>
    </w:r>
  </w:p>
  <w:p w14:paraId="54464291" w14:textId="77777777" w:rsidR="00891A93" w:rsidRPr="00A961C4" w:rsidRDefault="00891A93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E679B" w14:textId="1423448D" w:rsidR="00891A93" w:rsidRPr="00A961C4" w:rsidRDefault="00891A9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236B4">
      <w:rPr>
        <w:sz w:val="20"/>
      </w:rPr>
      <w:fldChar w:fldCharType="separate"/>
    </w:r>
    <w:r w:rsidR="006F008C">
      <w:rPr>
        <w:noProof/>
        <w:sz w:val="20"/>
      </w:rPr>
      <w:t>Foreign electoral communication and expenditure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236B4">
      <w:rPr>
        <w:b/>
        <w:sz w:val="20"/>
      </w:rPr>
      <w:fldChar w:fldCharType="separate"/>
    </w:r>
    <w:r w:rsidR="006F008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2198BBD" w14:textId="3B1440B8" w:rsidR="00891A93" w:rsidRPr="00A961C4" w:rsidRDefault="00891A9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8236B4">
      <w:rPr>
        <w:sz w:val="20"/>
      </w:rPr>
      <w:fldChar w:fldCharType="separate"/>
    </w:r>
    <w:r w:rsidR="006F008C">
      <w:rPr>
        <w:noProof/>
        <w:sz w:val="20"/>
      </w:rPr>
      <w:t>Communication authorised by foreign campaigners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8236B4">
      <w:rPr>
        <w:b/>
        <w:sz w:val="20"/>
      </w:rPr>
      <w:fldChar w:fldCharType="separate"/>
    </w:r>
    <w:r w:rsidR="006F008C">
      <w:rPr>
        <w:b/>
        <w:noProof/>
        <w:sz w:val="20"/>
      </w:rPr>
      <w:t>Part 1</w:t>
    </w:r>
    <w:r w:rsidRPr="00A961C4">
      <w:rPr>
        <w:b/>
        <w:sz w:val="20"/>
      </w:rPr>
      <w:fldChar w:fldCharType="end"/>
    </w:r>
  </w:p>
  <w:p w14:paraId="191290C1" w14:textId="77777777" w:rsidR="00891A93" w:rsidRPr="00A961C4" w:rsidRDefault="00891A93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0DE9" w14:textId="77777777" w:rsidR="00891A93" w:rsidRPr="00A961C4" w:rsidRDefault="00891A9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667A"/>
    <w:multiLevelType w:val="hybridMultilevel"/>
    <w:tmpl w:val="62721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27664"/>
    <w:multiLevelType w:val="multilevel"/>
    <w:tmpl w:val="3338791E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b w:val="0"/>
        <w:i w:val="0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49C5CCD"/>
    <w:multiLevelType w:val="hybridMultilevel"/>
    <w:tmpl w:val="F710B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92C25"/>
    <w:multiLevelType w:val="hybridMultilevel"/>
    <w:tmpl w:val="53A44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55AE8"/>
    <w:multiLevelType w:val="hybridMultilevel"/>
    <w:tmpl w:val="64F4549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AC"/>
    <w:rsid w:val="000070DE"/>
    <w:rsid w:val="00010F91"/>
    <w:rsid w:val="000113BC"/>
    <w:rsid w:val="000136AF"/>
    <w:rsid w:val="00021EAF"/>
    <w:rsid w:val="000236BB"/>
    <w:rsid w:val="00026A8D"/>
    <w:rsid w:val="000417C9"/>
    <w:rsid w:val="00044351"/>
    <w:rsid w:val="000459E8"/>
    <w:rsid w:val="00055B5C"/>
    <w:rsid w:val="00056391"/>
    <w:rsid w:val="00057115"/>
    <w:rsid w:val="00060FF9"/>
    <w:rsid w:val="000614BF"/>
    <w:rsid w:val="00067A05"/>
    <w:rsid w:val="000721F7"/>
    <w:rsid w:val="00073DBB"/>
    <w:rsid w:val="00075082"/>
    <w:rsid w:val="000768B3"/>
    <w:rsid w:val="00092312"/>
    <w:rsid w:val="00097694"/>
    <w:rsid w:val="000A594E"/>
    <w:rsid w:val="000B10DC"/>
    <w:rsid w:val="000B1FD2"/>
    <w:rsid w:val="000C1813"/>
    <w:rsid w:val="000C79F1"/>
    <w:rsid w:val="000D05EF"/>
    <w:rsid w:val="000E4E10"/>
    <w:rsid w:val="000E525E"/>
    <w:rsid w:val="000E5805"/>
    <w:rsid w:val="000F21C1"/>
    <w:rsid w:val="000F316E"/>
    <w:rsid w:val="0010002C"/>
    <w:rsid w:val="00101D90"/>
    <w:rsid w:val="0010745C"/>
    <w:rsid w:val="001077D9"/>
    <w:rsid w:val="00113BD1"/>
    <w:rsid w:val="00115EA6"/>
    <w:rsid w:val="00122206"/>
    <w:rsid w:val="001435A0"/>
    <w:rsid w:val="0015646E"/>
    <w:rsid w:val="001643C9"/>
    <w:rsid w:val="001644D7"/>
    <w:rsid w:val="00165401"/>
    <w:rsid w:val="00165568"/>
    <w:rsid w:val="00166C2F"/>
    <w:rsid w:val="001716C9"/>
    <w:rsid w:val="001718B7"/>
    <w:rsid w:val="00173363"/>
    <w:rsid w:val="00173B94"/>
    <w:rsid w:val="0017733E"/>
    <w:rsid w:val="001854B4"/>
    <w:rsid w:val="00191DA8"/>
    <w:rsid w:val="001939E1"/>
    <w:rsid w:val="00195382"/>
    <w:rsid w:val="001A1E22"/>
    <w:rsid w:val="001A1FD6"/>
    <w:rsid w:val="001A3658"/>
    <w:rsid w:val="001A5595"/>
    <w:rsid w:val="001A759A"/>
    <w:rsid w:val="001B633C"/>
    <w:rsid w:val="001B7A5D"/>
    <w:rsid w:val="001C2418"/>
    <w:rsid w:val="001C69C4"/>
    <w:rsid w:val="001C7922"/>
    <w:rsid w:val="001D2248"/>
    <w:rsid w:val="001D2329"/>
    <w:rsid w:val="001E3590"/>
    <w:rsid w:val="001E49F5"/>
    <w:rsid w:val="001E7407"/>
    <w:rsid w:val="001F08B0"/>
    <w:rsid w:val="001F4D12"/>
    <w:rsid w:val="00201D27"/>
    <w:rsid w:val="00202618"/>
    <w:rsid w:val="00203167"/>
    <w:rsid w:val="002031B7"/>
    <w:rsid w:val="00213D69"/>
    <w:rsid w:val="00240749"/>
    <w:rsid w:val="002439D8"/>
    <w:rsid w:val="00261FE5"/>
    <w:rsid w:val="00262825"/>
    <w:rsid w:val="00263820"/>
    <w:rsid w:val="00275197"/>
    <w:rsid w:val="00281743"/>
    <w:rsid w:val="002870DA"/>
    <w:rsid w:val="00293B89"/>
    <w:rsid w:val="00294B87"/>
    <w:rsid w:val="00297ECB"/>
    <w:rsid w:val="002A312E"/>
    <w:rsid w:val="002A3CB9"/>
    <w:rsid w:val="002A4EBC"/>
    <w:rsid w:val="002B5A30"/>
    <w:rsid w:val="002D043A"/>
    <w:rsid w:val="002D395A"/>
    <w:rsid w:val="002D683C"/>
    <w:rsid w:val="002E7C43"/>
    <w:rsid w:val="00301D78"/>
    <w:rsid w:val="00303824"/>
    <w:rsid w:val="00334ADE"/>
    <w:rsid w:val="003415D3"/>
    <w:rsid w:val="00350417"/>
    <w:rsid w:val="00352B0F"/>
    <w:rsid w:val="0036085B"/>
    <w:rsid w:val="00362D99"/>
    <w:rsid w:val="003722D7"/>
    <w:rsid w:val="00373874"/>
    <w:rsid w:val="00375C6C"/>
    <w:rsid w:val="00375D51"/>
    <w:rsid w:val="003A2280"/>
    <w:rsid w:val="003A5804"/>
    <w:rsid w:val="003A7B3C"/>
    <w:rsid w:val="003B2274"/>
    <w:rsid w:val="003B4678"/>
    <w:rsid w:val="003B4E3D"/>
    <w:rsid w:val="003B60F7"/>
    <w:rsid w:val="003C5F2B"/>
    <w:rsid w:val="003D0BFE"/>
    <w:rsid w:val="003D2265"/>
    <w:rsid w:val="003D5700"/>
    <w:rsid w:val="003D6D91"/>
    <w:rsid w:val="003E3FF0"/>
    <w:rsid w:val="003F706C"/>
    <w:rsid w:val="00405175"/>
    <w:rsid w:val="00405579"/>
    <w:rsid w:val="00410B8E"/>
    <w:rsid w:val="004116CD"/>
    <w:rsid w:val="00421FC1"/>
    <w:rsid w:val="004229C7"/>
    <w:rsid w:val="00424CA9"/>
    <w:rsid w:val="00431F94"/>
    <w:rsid w:val="00433C52"/>
    <w:rsid w:val="00436785"/>
    <w:rsid w:val="00436BD5"/>
    <w:rsid w:val="00437E4B"/>
    <w:rsid w:val="0044291A"/>
    <w:rsid w:val="00455785"/>
    <w:rsid w:val="00460D6B"/>
    <w:rsid w:val="00474858"/>
    <w:rsid w:val="00474BFB"/>
    <w:rsid w:val="00477292"/>
    <w:rsid w:val="00481106"/>
    <w:rsid w:val="0048196B"/>
    <w:rsid w:val="0048250F"/>
    <w:rsid w:val="0048364F"/>
    <w:rsid w:val="0048457D"/>
    <w:rsid w:val="004851BB"/>
    <w:rsid w:val="00486D05"/>
    <w:rsid w:val="00486F56"/>
    <w:rsid w:val="004923CB"/>
    <w:rsid w:val="00496F97"/>
    <w:rsid w:val="004A1B2E"/>
    <w:rsid w:val="004A56BE"/>
    <w:rsid w:val="004A6A6E"/>
    <w:rsid w:val="004B42C6"/>
    <w:rsid w:val="004C1ABA"/>
    <w:rsid w:val="004C7C8C"/>
    <w:rsid w:val="004E2A4A"/>
    <w:rsid w:val="004F0D23"/>
    <w:rsid w:val="004F1FAC"/>
    <w:rsid w:val="004F5555"/>
    <w:rsid w:val="00515065"/>
    <w:rsid w:val="00516B8D"/>
    <w:rsid w:val="00537FBC"/>
    <w:rsid w:val="00543469"/>
    <w:rsid w:val="00546DEE"/>
    <w:rsid w:val="00551B54"/>
    <w:rsid w:val="00555C99"/>
    <w:rsid w:val="00565FCF"/>
    <w:rsid w:val="00584811"/>
    <w:rsid w:val="00586137"/>
    <w:rsid w:val="005931F7"/>
    <w:rsid w:val="00593AA6"/>
    <w:rsid w:val="00594161"/>
    <w:rsid w:val="00594749"/>
    <w:rsid w:val="00596827"/>
    <w:rsid w:val="005A0D92"/>
    <w:rsid w:val="005B2CA9"/>
    <w:rsid w:val="005B4067"/>
    <w:rsid w:val="005B4F1B"/>
    <w:rsid w:val="005C3F41"/>
    <w:rsid w:val="005C55A6"/>
    <w:rsid w:val="005C71FC"/>
    <w:rsid w:val="005D793A"/>
    <w:rsid w:val="005E152A"/>
    <w:rsid w:val="005E6158"/>
    <w:rsid w:val="005F11B1"/>
    <w:rsid w:val="005F2C00"/>
    <w:rsid w:val="005F6D82"/>
    <w:rsid w:val="00600219"/>
    <w:rsid w:val="006105C0"/>
    <w:rsid w:val="006167FD"/>
    <w:rsid w:val="00617E6F"/>
    <w:rsid w:val="00625D61"/>
    <w:rsid w:val="0063382F"/>
    <w:rsid w:val="00641DE5"/>
    <w:rsid w:val="0064482B"/>
    <w:rsid w:val="0065522F"/>
    <w:rsid w:val="00656F0C"/>
    <w:rsid w:val="00662027"/>
    <w:rsid w:val="00665CFF"/>
    <w:rsid w:val="006736F3"/>
    <w:rsid w:val="00677CC2"/>
    <w:rsid w:val="00681F92"/>
    <w:rsid w:val="00684231"/>
    <w:rsid w:val="006842C2"/>
    <w:rsid w:val="00685F42"/>
    <w:rsid w:val="00686968"/>
    <w:rsid w:val="0069207B"/>
    <w:rsid w:val="0069304A"/>
    <w:rsid w:val="00694CC0"/>
    <w:rsid w:val="006A0678"/>
    <w:rsid w:val="006A1DE3"/>
    <w:rsid w:val="006A2056"/>
    <w:rsid w:val="006A4B23"/>
    <w:rsid w:val="006B1800"/>
    <w:rsid w:val="006B5EE1"/>
    <w:rsid w:val="006C2874"/>
    <w:rsid w:val="006C4C61"/>
    <w:rsid w:val="006C7F8C"/>
    <w:rsid w:val="006D1F79"/>
    <w:rsid w:val="006D380D"/>
    <w:rsid w:val="006E0135"/>
    <w:rsid w:val="006E303A"/>
    <w:rsid w:val="006F008C"/>
    <w:rsid w:val="006F1F99"/>
    <w:rsid w:val="006F7E19"/>
    <w:rsid w:val="007000E3"/>
    <w:rsid w:val="00700B2C"/>
    <w:rsid w:val="00710C95"/>
    <w:rsid w:val="00712D8D"/>
    <w:rsid w:val="00713084"/>
    <w:rsid w:val="007144D2"/>
    <w:rsid w:val="00714B26"/>
    <w:rsid w:val="00731E00"/>
    <w:rsid w:val="007440B7"/>
    <w:rsid w:val="00754AD8"/>
    <w:rsid w:val="0076107A"/>
    <w:rsid w:val="00762945"/>
    <w:rsid w:val="00762EE0"/>
    <w:rsid w:val="007634AD"/>
    <w:rsid w:val="00765542"/>
    <w:rsid w:val="007715C9"/>
    <w:rsid w:val="0077343A"/>
    <w:rsid w:val="00774EDD"/>
    <w:rsid w:val="007757EC"/>
    <w:rsid w:val="0077706C"/>
    <w:rsid w:val="00777ABA"/>
    <w:rsid w:val="0078586B"/>
    <w:rsid w:val="00787307"/>
    <w:rsid w:val="00787ED1"/>
    <w:rsid w:val="007B30AA"/>
    <w:rsid w:val="007B7658"/>
    <w:rsid w:val="007C3C59"/>
    <w:rsid w:val="007E7D4A"/>
    <w:rsid w:val="007F3D0F"/>
    <w:rsid w:val="008006CC"/>
    <w:rsid w:val="00807F18"/>
    <w:rsid w:val="00811FAF"/>
    <w:rsid w:val="00816162"/>
    <w:rsid w:val="00820BFB"/>
    <w:rsid w:val="008236B4"/>
    <w:rsid w:val="0082589D"/>
    <w:rsid w:val="00831E8D"/>
    <w:rsid w:val="0084475E"/>
    <w:rsid w:val="00853EAF"/>
    <w:rsid w:val="0085687F"/>
    <w:rsid w:val="00856A31"/>
    <w:rsid w:val="00857D6B"/>
    <w:rsid w:val="00866E66"/>
    <w:rsid w:val="00870C84"/>
    <w:rsid w:val="008754D0"/>
    <w:rsid w:val="00877D48"/>
    <w:rsid w:val="00880E88"/>
    <w:rsid w:val="008821CD"/>
    <w:rsid w:val="00883781"/>
    <w:rsid w:val="00885570"/>
    <w:rsid w:val="00891A93"/>
    <w:rsid w:val="00893958"/>
    <w:rsid w:val="008A0C9F"/>
    <w:rsid w:val="008A2E77"/>
    <w:rsid w:val="008A4DD3"/>
    <w:rsid w:val="008B04B7"/>
    <w:rsid w:val="008C1FE8"/>
    <w:rsid w:val="008C6F6F"/>
    <w:rsid w:val="008D0EE0"/>
    <w:rsid w:val="008D3E94"/>
    <w:rsid w:val="008F4F1C"/>
    <w:rsid w:val="008F6D2F"/>
    <w:rsid w:val="008F77C4"/>
    <w:rsid w:val="009103F3"/>
    <w:rsid w:val="009126E7"/>
    <w:rsid w:val="00927153"/>
    <w:rsid w:val="00932377"/>
    <w:rsid w:val="009626F7"/>
    <w:rsid w:val="00967042"/>
    <w:rsid w:val="0098255A"/>
    <w:rsid w:val="009845BE"/>
    <w:rsid w:val="00987FD4"/>
    <w:rsid w:val="009916BE"/>
    <w:rsid w:val="00992DF3"/>
    <w:rsid w:val="009969C9"/>
    <w:rsid w:val="009C4248"/>
    <w:rsid w:val="009D179D"/>
    <w:rsid w:val="009D693F"/>
    <w:rsid w:val="009E186E"/>
    <w:rsid w:val="009F7BD0"/>
    <w:rsid w:val="009F7D4D"/>
    <w:rsid w:val="00A01339"/>
    <w:rsid w:val="00A029F0"/>
    <w:rsid w:val="00A048FF"/>
    <w:rsid w:val="00A10775"/>
    <w:rsid w:val="00A20BF5"/>
    <w:rsid w:val="00A22E6E"/>
    <w:rsid w:val="00A231E2"/>
    <w:rsid w:val="00A36C48"/>
    <w:rsid w:val="00A417A3"/>
    <w:rsid w:val="00A41E0B"/>
    <w:rsid w:val="00A47BE3"/>
    <w:rsid w:val="00A55631"/>
    <w:rsid w:val="00A61CE2"/>
    <w:rsid w:val="00A64912"/>
    <w:rsid w:val="00A67CF2"/>
    <w:rsid w:val="00A70A74"/>
    <w:rsid w:val="00A80DEB"/>
    <w:rsid w:val="00A81738"/>
    <w:rsid w:val="00A8289B"/>
    <w:rsid w:val="00A93E6F"/>
    <w:rsid w:val="00A95C37"/>
    <w:rsid w:val="00A9614C"/>
    <w:rsid w:val="00AA131C"/>
    <w:rsid w:val="00AA3795"/>
    <w:rsid w:val="00AC1E75"/>
    <w:rsid w:val="00AC3481"/>
    <w:rsid w:val="00AC6119"/>
    <w:rsid w:val="00AC6874"/>
    <w:rsid w:val="00AC7749"/>
    <w:rsid w:val="00AD44C7"/>
    <w:rsid w:val="00AD5641"/>
    <w:rsid w:val="00AE1088"/>
    <w:rsid w:val="00AF1742"/>
    <w:rsid w:val="00AF1BA4"/>
    <w:rsid w:val="00AF3509"/>
    <w:rsid w:val="00AF6697"/>
    <w:rsid w:val="00B032D8"/>
    <w:rsid w:val="00B061F1"/>
    <w:rsid w:val="00B32BE2"/>
    <w:rsid w:val="00B33B3C"/>
    <w:rsid w:val="00B37CCE"/>
    <w:rsid w:val="00B50F91"/>
    <w:rsid w:val="00B6382D"/>
    <w:rsid w:val="00B6402D"/>
    <w:rsid w:val="00B97F05"/>
    <w:rsid w:val="00BA5026"/>
    <w:rsid w:val="00BB40BF"/>
    <w:rsid w:val="00BC04C6"/>
    <w:rsid w:val="00BC0CD1"/>
    <w:rsid w:val="00BE719A"/>
    <w:rsid w:val="00BE720A"/>
    <w:rsid w:val="00BF0461"/>
    <w:rsid w:val="00BF4944"/>
    <w:rsid w:val="00BF56D4"/>
    <w:rsid w:val="00C01BA3"/>
    <w:rsid w:val="00C02FAC"/>
    <w:rsid w:val="00C04409"/>
    <w:rsid w:val="00C06036"/>
    <w:rsid w:val="00C067E5"/>
    <w:rsid w:val="00C13020"/>
    <w:rsid w:val="00C164CA"/>
    <w:rsid w:val="00C176CF"/>
    <w:rsid w:val="00C24EE9"/>
    <w:rsid w:val="00C2641D"/>
    <w:rsid w:val="00C42BF8"/>
    <w:rsid w:val="00C43E4E"/>
    <w:rsid w:val="00C460AE"/>
    <w:rsid w:val="00C50043"/>
    <w:rsid w:val="00C50783"/>
    <w:rsid w:val="00C5488C"/>
    <w:rsid w:val="00C54AF1"/>
    <w:rsid w:val="00C54E84"/>
    <w:rsid w:val="00C72D9F"/>
    <w:rsid w:val="00C75150"/>
    <w:rsid w:val="00C7573B"/>
    <w:rsid w:val="00C76CF3"/>
    <w:rsid w:val="00C776B7"/>
    <w:rsid w:val="00C868E1"/>
    <w:rsid w:val="00C90632"/>
    <w:rsid w:val="00C91691"/>
    <w:rsid w:val="00C949FD"/>
    <w:rsid w:val="00CB2172"/>
    <w:rsid w:val="00CB7E36"/>
    <w:rsid w:val="00CC3860"/>
    <w:rsid w:val="00CD1730"/>
    <w:rsid w:val="00CD2FC7"/>
    <w:rsid w:val="00CE1E31"/>
    <w:rsid w:val="00CF0BB2"/>
    <w:rsid w:val="00CF369E"/>
    <w:rsid w:val="00CF648E"/>
    <w:rsid w:val="00D0060F"/>
    <w:rsid w:val="00D00EAA"/>
    <w:rsid w:val="00D04032"/>
    <w:rsid w:val="00D13441"/>
    <w:rsid w:val="00D243A3"/>
    <w:rsid w:val="00D3111B"/>
    <w:rsid w:val="00D477C3"/>
    <w:rsid w:val="00D52EFE"/>
    <w:rsid w:val="00D56B1F"/>
    <w:rsid w:val="00D63EF6"/>
    <w:rsid w:val="00D66EBD"/>
    <w:rsid w:val="00D70DFB"/>
    <w:rsid w:val="00D73029"/>
    <w:rsid w:val="00D744DC"/>
    <w:rsid w:val="00D766DF"/>
    <w:rsid w:val="00D96DF7"/>
    <w:rsid w:val="00DA7AD4"/>
    <w:rsid w:val="00DD2306"/>
    <w:rsid w:val="00DD317C"/>
    <w:rsid w:val="00DD63F8"/>
    <w:rsid w:val="00DE2002"/>
    <w:rsid w:val="00DE2CEA"/>
    <w:rsid w:val="00DF7AE9"/>
    <w:rsid w:val="00DF7DAC"/>
    <w:rsid w:val="00E02C62"/>
    <w:rsid w:val="00E05704"/>
    <w:rsid w:val="00E07D7D"/>
    <w:rsid w:val="00E24D66"/>
    <w:rsid w:val="00E25FF7"/>
    <w:rsid w:val="00E422D9"/>
    <w:rsid w:val="00E42D59"/>
    <w:rsid w:val="00E476B7"/>
    <w:rsid w:val="00E50794"/>
    <w:rsid w:val="00E54292"/>
    <w:rsid w:val="00E61697"/>
    <w:rsid w:val="00E72FD5"/>
    <w:rsid w:val="00E74DC7"/>
    <w:rsid w:val="00E84ECA"/>
    <w:rsid w:val="00E87699"/>
    <w:rsid w:val="00E913EB"/>
    <w:rsid w:val="00E93FB6"/>
    <w:rsid w:val="00E947C6"/>
    <w:rsid w:val="00E95F50"/>
    <w:rsid w:val="00E96429"/>
    <w:rsid w:val="00EB078A"/>
    <w:rsid w:val="00EB1E9B"/>
    <w:rsid w:val="00EB4D10"/>
    <w:rsid w:val="00EB510C"/>
    <w:rsid w:val="00EB7AD0"/>
    <w:rsid w:val="00ED492F"/>
    <w:rsid w:val="00EE0AC3"/>
    <w:rsid w:val="00EE3E36"/>
    <w:rsid w:val="00EF2E3A"/>
    <w:rsid w:val="00EF5C4F"/>
    <w:rsid w:val="00F047E2"/>
    <w:rsid w:val="00F078DC"/>
    <w:rsid w:val="00F11E7F"/>
    <w:rsid w:val="00F13E86"/>
    <w:rsid w:val="00F14190"/>
    <w:rsid w:val="00F17B00"/>
    <w:rsid w:val="00F257BF"/>
    <w:rsid w:val="00F350F0"/>
    <w:rsid w:val="00F677A9"/>
    <w:rsid w:val="00F77AB8"/>
    <w:rsid w:val="00F84CF5"/>
    <w:rsid w:val="00F92D35"/>
    <w:rsid w:val="00F973EF"/>
    <w:rsid w:val="00FA420B"/>
    <w:rsid w:val="00FA4325"/>
    <w:rsid w:val="00FB2A46"/>
    <w:rsid w:val="00FB3A43"/>
    <w:rsid w:val="00FB41F6"/>
    <w:rsid w:val="00FB5FB6"/>
    <w:rsid w:val="00FD1E13"/>
    <w:rsid w:val="00FD2527"/>
    <w:rsid w:val="00FD7EB1"/>
    <w:rsid w:val="00FE3D5F"/>
    <w:rsid w:val="00FE41C9"/>
    <w:rsid w:val="00FE7F93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5866E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773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D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D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D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DA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DA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DA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D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7733E"/>
  </w:style>
  <w:style w:type="paragraph" w:customStyle="1" w:styleId="OPCParaBase">
    <w:name w:val="OPCParaBase"/>
    <w:qFormat/>
    <w:rsid w:val="0017733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7733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7733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7733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7733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7733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7733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7733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7733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7733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7733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7733E"/>
  </w:style>
  <w:style w:type="paragraph" w:customStyle="1" w:styleId="Blocks">
    <w:name w:val="Blocks"/>
    <w:aliases w:val="bb"/>
    <w:basedOn w:val="OPCParaBase"/>
    <w:qFormat/>
    <w:rsid w:val="0017733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773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7733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7733E"/>
    <w:rPr>
      <w:i/>
    </w:rPr>
  </w:style>
  <w:style w:type="paragraph" w:customStyle="1" w:styleId="BoxList">
    <w:name w:val="BoxList"/>
    <w:aliases w:val="bl"/>
    <w:basedOn w:val="BoxText"/>
    <w:qFormat/>
    <w:rsid w:val="0017733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7733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7733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7733E"/>
    <w:pPr>
      <w:ind w:left="1985" w:hanging="851"/>
    </w:pPr>
  </w:style>
  <w:style w:type="character" w:customStyle="1" w:styleId="CharAmPartNo">
    <w:name w:val="CharAmPartNo"/>
    <w:basedOn w:val="OPCCharBase"/>
    <w:qFormat/>
    <w:rsid w:val="0017733E"/>
  </w:style>
  <w:style w:type="character" w:customStyle="1" w:styleId="CharAmPartText">
    <w:name w:val="CharAmPartText"/>
    <w:basedOn w:val="OPCCharBase"/>
    <w:qFormat/>
    <w:rsid w:val="0017733E"/>
  </w:style>
  <w:style w:type="character" w:customStyle="1" w:styleId="CharAmSchNo">
    <w:name w:val="CharAmSchNo"/>
    <w:basedOn w:val="OPCCharBase"/>
    <w:qFormat/>
    <w:rsid w:val="0017733E"/>
  </w:style>
  <w:style w:type="character" w:customStyle="1" w:styleId="CharAmSchText">
    <w:name w:val="CharAmSchText"/>
    <w:basedOn w:val="OPCCharBase"/>
    <w:qFormat/>
    <w:rsid w:val="0017733E"/>
  </w:style>
  <w:style w:type="character" w:customStyle="1" w:styleId="CharBoldItalic">
    <w:name w:val="CharBoldItalic"/>
    <w:basedOn w:val="OPCCharBase"/>
    <w:uiPriority w:val="1"/>
    <w:qFormat/>
    <w:rsid w:val="0017733E"/>
    <w:rPr>
      <w:b/>
      <w:i/>
    </w:rPr>
  </w:style>
  <w:style w:type="character" w:customStyle="1" w:styleId="CharChapNo">
    <w:name w:val="CharChapNo"/>
    <w:basedOn w:val="OPCCharBase"/>
    <w:uiPriority w:val="1"/>
    <w:qFormat/>
    <w:rsid w:val="0017733E"/>
  </w:style>
  <w:style w:type="character" w:customStyle="1" w:styleId="CharChapText">
    <w:name w:val="CharChapText"/>
    <w:basedOn w:val="OPCCharBase"/>
    <w:uiPriority w:val="1"/>
    <w:qFormat/>
    <w:rsid w:val="0017733E"/>
  </w:style>
  <w:style w:type="character" w:customStyle="1" w:styleId="CharDivNo">
    <w:name w:val="CharDivNo"/>
    <w:basedOn w:val="OPCCharBase"/>
    <w:uiPriority w:val="1"/>
    <w:qFormat/>
    <w:rsid w:val="0017733E"/>
  </w:style>
  <w:style w:type="character" w:customStyle="1" w:styleId="CharDivText">
    <w:name w:val="CharDivText"/>
    <w:basedOn w:val="OPCCharBase"/>
    <w:uiPriority w:val="1"/>
    <w:qFormat/>
    <w:rsid w:val="0017733E"/>
  </w:style>
  <w:style w:type="character" w:customStyle="1" w:styleId="CharItalic">
    <w:name w:val="CharItalic"/>
    <w:basedOn w:val="OPCCharBase"/>
    <w:uiPriority w:val="1"/>
    <w:qFormat/>
    <w:rsid w:val="0017733E"/>
    <w:rPr>
      <w:i/>
    </w:rPr>
  </w:style>
  <w:style w:type="character" w:customStyle="1" w:styleId="CharPartNo">
    <w:name w:val="CharPartNo"/>
    <w:basedOn w:val="OPCCharBase"/>
    <w:uiPriority w:val="1"/>
    <w:qFormat/>
    <w:rsid w:val="0017733E"/>
  </w:style>
  <w:style w:type="character" w:customStyle="1" w:styleId="CharPartText">
    <w:name w:val="CharPartText"/>
    <w:basedOn w:val="OPCCharBase"/>
    <w:uiPriority w:val="1"/>
    <w:qFormat/>
    <w:rsid w:val="0017733E"/>
  </w:style>
  <w:style w:type="character" w:customStyle="1" w:styleId="CharSectno">
    <w:name w:val="CharSectno"/>
    <w:basedOn w:val="OPCCharBase"/>
    <w:qFormat/>
    <w:rsid w:val="0017733E"/>
  </w:style>
  <w:style w:type="character" w:customStyle="1" w:styleId="CharSubdNo">
    <w:name w:val="CharSubdNo"/>
    <w:basedOn w:val="OPCCharBase"/>
    <w:uiPriority w:val="1"/>
    <w:qFormat/>
    <w:rsid w:val="0017733E"/>
  </w:style>
  <w:style w:type="character" w:customStyle="1" w:styleId="CharSubdText">
    <w:name w:val="CharSubdText"/>
    <w:basedOn w:val="OPCCharBase"/>
    <w:uiPriority w:val="1"/>
    <w:qFormat/>
    <w:rsid w:val="0017733E"/>
  </w:style>
  <w:style w:type="paragraph" w:customStyle="1" w:styleId="CTA--">
    <w:name w:val="CTA --"/>
    <w:basedOn w:val="OPCParaBase"/>
    <w:next w:val="Normal"/>
    <w:rsid w:val="0017733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7733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7733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7733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7733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7733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7733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7733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7733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7733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7733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7733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7733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7733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7733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7733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7733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7733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7733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7733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7733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7733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7733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7733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7733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7733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7733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7733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7733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7733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7733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7733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7733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7733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7733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7733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7733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7733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7733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7733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7733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7733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7733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7733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7733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7733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7733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7733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7733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7733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7733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773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7733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7733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7733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7733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17733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17733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7733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7733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7733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17733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7733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7733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7733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7733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7733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7733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7733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7733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7733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7733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7733E"/>
    <w:rPr>
      <w:sz w:val="16"/>
    </w:rPr>
  </w:style>
  <w:style w:type="table" w:customStyle="1" w:styleId="CFlag">
    <w:name w:val="CFlag"/>
    <w:basedOn w:val="TableNormal"/>
    <w:uiPriority w:val="99"/>
    <w:rsid w:val="0017733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17733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7733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7733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7733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7733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7733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7733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7733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7733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7733E"/>
    <w:pPr>
      <w:spacing w:before="120"/>
    </w:pPr>
  </w:style>
  <w:style w:type="paragraph" w:customStyle="1" w:styleId="TableTextEndNotes">
    <w:name w:val="TableTextEndNotes"/>
    <w:aliases w:val="Tten"/>
    <w:basedOn w:val="Normal"/>
    <w:rsid w:val="0017733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7733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7733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7733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7733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7733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7733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7733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7733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7733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7733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7733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7733E"/>
  </w:style>
  <w:style w:type="character" w:customStyle="1" w:styleId="CharSubPartNoCASA">
    <w:name w:val="CharSubPartNo(CASA)"/>
    <w:basedOn w:val="OPCCharBase"/>
    <w:uiPriority w:val="1"/>
    <w:rsid w:val="0017733E"/>
  </w:style>
  <w:style w:type="paragraph" w:customStyle="1" w:styleId="ENoteTTIndentHeadingSub">
    <w:name w:val="ENoteTTIndentHeadingSub"/>
    <w:aliases w:val="enTTHis"/>
    <w:basedOn w:val="OPCParaBase"/>
    <w:rsid w:val="0017733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7733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7733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7733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7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17733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7733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773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7733E"/>
    <w:rPr>
      <w:sz w:val="22"/>
    </w:rPr>
  </w:style>
  <w:style w:type="paragraph" w:customStyle="1" w:styleId="SOTextNote">
    <w:name w:val="SO TextNote"/>
    <w:aliases w:val="sont"/>
    <w:basedOn w:val="SOText"/>
    <w:qFormat/>
    <w:rsid w:val="0017733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7733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7733E"/>
    <w:rPr>
      <w:sz w:val="22"/>
    </w:rPr>
  </w:style>
  <w:style w:type="paragraph" w:customStyle="1" w:styleId="FileName">
    <w:name w:val="FileName"/>
    <w:basedOn w:val="Normal"/>
    <w:rsid w:val="0017733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7733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7733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7733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7733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7733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7733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7733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7733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773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7733E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17733E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DF7DA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F7DA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F7D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D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D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DAC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DAC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DA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DA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D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D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ctHead5Char">
    <w:name w:val="ActHead 5 Char"/>
    <w:aliases w:val="s Char"/>
    <w:link w:val="ActHead5"/>
    <w:rsid w:val="00B6402D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927153"/>
    <w:rPr>
      <w:rFonts w:eastAsia="Times New Roman" w:cs="Times New Roman"/>
      <w:sz w:val="22"/>
      <w:lang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47BE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7BE3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A47BE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A47BE3"/>
    <w:rPr>
      <w:sz w:val="22"/>
    </w:rPr>
  </w:style>
  <w:style w:type="paragraph" w:styleId="ListParagraph">
    <w:name w:val="List Paragraph"/>
    <w:basedOn w:val="Normal"/>
    <w:uiPriority w:val="34"/>
    <w:qFormat/>
    <w:rsid w:val="009D693F"/>
    <w:pPr>
      <w:spacing w:line="240" w:lineRule="auto"/>
      <w:ind w:left="720"/>
    </w:pPr>
    <w:rPr>
      <w:rFonts w:ascii="Calibri" w:hAnsi="Calibri" w:cs="Calibri"/>
      <w:szCs w:val="22"/>
    </w:rPr>
  </w:style>
  <w:style w:type="paragraph" w:customStyle="1" w:styleId="NumberLevel1">
    <w:name w:val="Number Level 1"/>
    <w:aliases w:val="N1,hea Level 1,Numberanswer Level 1,N,indentl 1,Level 1,Number leg2 1,answerer Level 1,leg5er Level 1,We woulNumber Level 1"/>
    <w:basedOn w:val="Normal"/>
    <w:uiPriority w:val="1"/>
    <w:qFormat/>
    <w:rsid w:val="0048457D"/>
    <w:pPr>
      <w:numPr>
        <w:numId w:val="18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2">
    <w:name w:val="Number Level 2"/>
    <w:aliases w:val="N2,authorising the Number Level 2"/>
    <w:basedOn w:val="Normal"/>
    <w:uiPriority w:val="1"/>
    <w:qFormat/>
    <w:rsid w:val="0048457D"/>
    <w:pPr>
      <w:numPr>
        <w:ilvl w:val="1"/>
        <w:numId w:val="18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3">
    <w:name w:val="Number Level 3"/>
    <w:aliases w:val="N3"/>
    <w:basedOn w:val="Normal"/>
    <w:uiPriority w:val="1"/>
    <w:qFormat/>
    <w:rsid w:val="0048457D"/>
    <w:pPr>
      <w:numPr>
        <w:ilvl w:val="2"/>
        <w:numId w:val="18"/>
      </w:numPr>
      <w:spacing w:before="140"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4">
    <w:name w:val="Number Level 4"/>
    <w:aliases w:val="N4,theNumber Level 4"/>
    <w:basedOn w:val="Normal"/>
    <w:uiPriority w:val="1"/>
    <w:qFormat/>
    <w:rsid w:val="0048457D"/>
    <w:pPr>
      <w:numPr>
        <w:ilvl w:val="3"/>
        <w:numId w:val="18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5">
    <w:name w:val="Number Level 5"/>
    <w:aliases w:val="N5"/>
    <w:basedOn w:val="Normal"/>
    <w:uiPriority w:val="1"/>
    <w:qFormat/>
    <w:rsid w:val="0048457D"/>
    <w:pPr>
      <w:numPr>
        <w:ilvl w:val="4"/>
        <w:numId w:val="18"/>
      </w:numPr>
      <w:spacing w:after="140" w:line="280" w:lineRule="atLeast"/>
    </w:pPr>
    <w:rPr>
      <w:rFonts w:ascii="Arial" w:eastAsia="Times New Roman" w:hAnsi="Arial" w:cs="Arial"/>
      <w:szCs w:val="22"/>
      <w:lang w:eastAsia="en-AU"/>
    </w:rPr>
  </w:style>
  <w:style w:type="paragraph" w:customStyle="1" w:styleId="NumberLevel6">
    <w:name w:val="Number Level 6"/>
    <w:aliases w:val="N6"/>
    <w:basedOn w:val="NumberLevel5"/>
    <w:uiPriority w:val="1"/>
    <w:qFormat/>
    <w:rsid w:val="0048457D"/>
    <w:pPr>
      <w:numPr>
        <w:ilvl w:val="5"/>
      </w:numPr>
    </w:pPr>
  </w:style>
  <w:style w:type="paragraph" w:customStyle="1" w:styleId="NumberLevel7">
    <w:name w:val="Number Level 7"/>
    <w:aliases w:val="N7"/>
    <w:basedOn w:val="NumberLevel6"/>
    <w:uiPriority w:val="1"/>
    <w:qFormat/>
    <w:rsid w:val="0048457D"/>
    <w:pPr>
      <w:numPr>
        <w:ilvl w:val="6"/>
      </w:numPr>
    </w:pPr>
  </w:style>
  <w:style w:type="paragraph" w:customStyle="1" w:styleId="NumberLevel8">
    <w:name w:val="Number Level 8"/>
    <w:aliases w:val="N8"/>
    <w:basedOn w:val="NumberLevel7"/>
    <w:uiPriority w:val="1"/>
    <w:rsid w:val="0048457D"/>
    <w:pPr>
      <w:numPr>
        <w:ilvl w:val="7"/>
      </w:numPr>
    </w:pPr>
  </w:style>
  <w:style w:type="paragraph" w:customStyle="1" w:styleId="NumberLevel9">
    <w:name w:val="Number Level 9"/>
    <w:aliases w:val="N9"/>
    <w:basedOn w:val="NumberLevel8"/>
    <w:uiPriority w:val="1"/>
    <w:rsid w:val="0048457D"/>
    <w:pPr>
      <w:numPr>
        <w:ilvl w:val="8"/>
      </w:numPr>
    </w:pPr>
  </w:style>
  <w:style w:type="paragraph" w:customStyle="1" w:styleId="ShortTP1">
    <w:name w:val="ShortTP1"/>
    <w:basedOn w:val="ShortT"/>
    <w:link w:val="ShortTP1Char"/>
    <w:rsid w:val="00586137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58613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86137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586137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58613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73DB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73DB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73DB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AF270-02D2-40D4-A49D-A7421699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18</Pages>
  <Words>2703</Words>
  <Characters>13653</Characters>
  <Application>Microsoft Office Word</Application>
  <DocSecurity>0</DocSecurity>
  <PresentationFormat/>
  <Lines>273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2022-02-03T01:28:00Z</cp:lastPrinted>
  <dcterms:created xsi:type="dcterms:W3CDTF">2022-02-18T01:22:00Z</dcterms:created>
  <dcterms:modified xsi:type="dcterms:W3CDTF">2022-02-18T02:06:00Z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Electoral Legislation Amendment (Foreign Influences and Offences) Act 2022</vt:lpwstr>
  </property>
  <property fmtid="{D5CDD505-2E9C-101B-9397-08002B2CF9AE}" pid="3" name="ActNo">
    <vt:lpwstr>No. 6, 2022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OPC7968</vt:lpwstr>
  </property>
</Properties>
</file>