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5137148"/>
    <w:p w14:paraId="6858EC07" w14:textId="5A672E62" w:rsidR="00BD6724" w:rsidRDefault="00BD6724" w:rsidP="00BD6724">
      <w:r>
        <w:object w:dxaOrig="2146" w:dyaOrig="1561" w14:anchorId="4DA6B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6.5pt;height:78pt" o:ole="" fillcolor="window">
            <v:imagedata r:id="rId7" o:title=""/>
          </v:shape>
          <o:OLEObject Type="Embed" ProgID="Word.Picture.8" ShapeID="_x0000_i1026" DrawAspect="Content" ObjectID="_1707288270" r:id="rId8"/>
        </w:object>
      </w:r>
    </w:p>
    <w:p w14:paraId="5BE49202" w14:textId="77777777" w:rsidR="00BD6724" w:rsidRDefault="00BD6724" w:rsidP="00BD6724"/>
    <w:p w14:paraId="00C7B20B" w14:textId="77777777" w:rsidR="00BD6724" w:rsidRDefault="00BD6724" w:rsidP="00BD6724"/>
    <w:p w14:paraId="0DB3E2E6" w14:textId="77777777" w:rsidR="00BD6724" w:rsidRDefault="00BD6724" w:rsidP="00BD6724"/>
    <w:p w14:paraId="56501163" w14:textId="77777777" w:rsidR="00BD6724" w:rsidRDefault="00BD6724" w:rsidP="00BD6724"/>
    <w:p w14:paraId="6C4F9C50" w14:textId="77777777" w:rsidR="00BD6724" w:rsidRDefault="00BD6724" w:rsidP="00BD6724"/>
    <w:p w14:paraId="1B64FE51" w14:textId="77777777" w:rsidR="00BD6724" w:rsidRDefault="00BD6724" w:rsidP="00BD6724"/>
    <w:p w14:paraId="305FBFB2" w14:textId="091975F0" w:rsidR="0048364F" w:rsidRPr="004D527B" w:rsidRDefault="00BD6724" w:rsidP="0048364F">
      <w:pPr>
        <w:pStyle w:val="ShortT"/>
      </w:pPr>
      <w:r>
        <w:t>Parliamentary Workplace Reform (Set the Standard Measures No. 1) Act 2022</w:t>
      </w:r>
    </w:p>
    <w:bookmarkEnd w:id="0"/>
    <w:p w14:paraId="6449D51F" w14:textId="77777777" w:rsidR="0048364F" w:rsidRPr="004D527B" w:rsidRDefault="0048364F" w:rsidP="0048364F"/>
    <w:p w14:paraId="7F81EEB5" w14:textId="520A8FEF" w:rsidR="0048364F" w:rsidRPr="004D527B" w:rsidRDefault="00C164CA" w:rsidP="00BD6724">
      <w:pPr>
        <w:pStyle w:val="Actno"/>
        <w:spacing w:before="400"/>
      </w:pPr>
      <w:r w:rsidRPr="004D527B">
        <w:t>No.</w:t>
      </w:r>
      <w:r w:rsidR="001552BD">
        <w:t xml:space="preserve"> 7</w:t>
      </w:r>
      <w:r w:rsidRPr="004D527B">
        <w:t>, 20</w:t>
      </w:r>
      <w:r w:rsidR="009E186E" w:rsidRPr="004D527B">
        <w:t>2</w:t>
      </w:r>
      <w:r w:rsidR="005F11B1" w:rsidRPr="004D527B">
        <w:t>2</w:t>
      </w:r>
    </w:p>
    <w:p w14:paraId="36AF9DE6" w14:textId="77777777" w:rsidR="0048364F" w:rsidRPr="004D527B" w:rsidRDefault="0048364F" w:rsidP="0048364F"/>
    <w:p w14:paraId="579E7B9C" w14:textId="77777777" w:rsidR="00CC69BA" w:rsidRDefault="00CC69BA" w:rsidP="00CC69BA">
      <w:pPr>
        <w:rPr>
          <w:lang w:eastAsia="en-AU"/>
        </w:rPr>
      </w:pPr>
    </w:p>
    <w:p w14:paraId="3B5CE385" w14:textId="61821CFA" w:rsidR="0048364F" w:rsidRPr="004D527B" w:rsidRDefault="0048364F" w:rsidP="0048364F"/>
    <w:p w14:paraId="759130C4" w14:textId="77777777" w:rsidR="0048364F" w:rsidRPr="004D527B" w:rsidRDefault="0048364F" w:rsidP="0048364F"/>
    <w:p w14:paraId="5E08CC08" w14:textId="77777777" w:rsidR="0048364F" w:rsidRPr="004D527B" w:rsidRDefault="0048364F" w:rsidP="0048364F"/>
    <w:p w14:paraId="7A1995DD" w14:textId="77777777" w:rsidR="00BD6724" w:rsidRDefault="00BD6724" w:rsidP="00BD6724">
      <w:pPr>
        <w:pStyle w:val="LongT"/>
      </w:pPr>
      <w:r>
        <w:t>An Act to amend the law in relation to parliamentary workplaces, and for related purposes</w:t>
      </w:r>
    </w:p>
    <w:p w14:paraId="101C5032" w14:textId="7FA50E11" w:rsidR="0048364F" w:rsidRPr="00B77988" w:rsidRDefault="0048364F" w:rsidP="0048364F">
      <w:pPr>
        <w:pStyle w:val="Header"/>
        <w:tabs>
          <w:tab w:val="clear" w:pos="4150"/>
          <w:tab w:val="clear" w:pos="8307"/>
        </w:tabs>
      </w:pPr>
      <w:r w:rsidRPr="00B77988">
        <w:rPr>
          <w:rStyle w:val="CharAmSchNo"/>
        </w:rPr>
        <w:t xml:space="preserve"> </w:t>
      </w:r>
      <w:r w:rsidRPr="00B77988">
        <w:rPr>
          <w:rStyle w:val="CharAmSchText"/>
        </w:rPr>
        <w:t xml:space="preserve"> </w:t>
      </w:r>
    </w:p>
    <w:p w14:paraId="293D434A" w14:textId="77777777" w:rsidR="0048364F" w:rsidRPr="00B77988" w:rsidRDefault="0048364F" w:rsidP="0048364F">
      <w:pPr>
        <w:pStyle w:val="Header"/>
        <w:tabs>
          <w:tab w:val="clear" w:pos="4150"/>
          <w:tab w:val="clear" w:pos="8307"/>
        </w:tabs>
      </w:pPr>
      <w:r w:rsidRPr="00B77988">
        <w:rPr>
          <w:rStyle w:val="CharAmPartNo"/>
        </w:rPr>
        <w:t xml:space="preserve"> </w:t>
      </w:r>
      <w:r w:rsidRPr="00B77988">
        <w:rPr>
          <w:rStyle w:val="CharAmPartText"/>
        </w:rPr>
        <w:t xml:space="preserve"> </w:t>
      </w:r>
    </w:p>
    <w:p w14:paraId="2E4B3F68" w14:textId="77777777" w:rsidR="0048364F" w:rsidRPr="004D527B" w:rsidRDefault="0048364F" w:rsidP="0048364F">
      <w:pPr>
        <w:sectPr w:rsidR="0048364F" w:rsidRPr="004D527B" w:rsidSect="00BD672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7CC443D" w14:textId="77777777" w:rsidR="0048364F" w:rsidRPr="004D527B" w:rsidRDefault="0048364F" w:rsidP="0048364F">
      <w:pPr>
        <w:outlineLvl w:val="0"/>
        <w:rPr>
          <w:sz w:val="36"/>
        </w:rPr>
      </w:pPr>
      <w:r w:rsidRPr="004D527B">
        <w:rPr>
          <w:sz w:val="36"/>
        </w:rPr>
        <w:lastRenderedPageBreak/>
        <w:t>Contents</w:t>
      </w:r>
    </w:p>
    <w:p w14:paraId="6DF12A0C" w14:textId="3C0B32FE" w:rsidR="00AE1879" w:rsidRDefault="00AE187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E1879">
        <w:rPr>
          <w:noProof/>
        </w:rPr>
        <w:tab/>
      </w:r>
      <w:r w:rsidRPr="00AE1879">
        <w:rPr>
          <w:noProof/>
        </w:rPr>
        <w:fldChar w:fldCharType="begin"/>
      </w:r>
      <w:r w:rsidRPr="00AE1879">
        <w:rPr>
          <w:noProof/>
        </w:rPr>
        <w:instrText xml:space="preserve"> PAGEREF _Toc96675016 \h </w:instrText>
      </w:r>
      <w:r w:rsidRPr="00AE1879">
        <w:rPr>
          <w:noProof/>
        </w:rPr>
      </w:r>
      <w:r w:rsidRPr="00AE1879">
        <w:rPr>
          <w:noProof/>
        </w:rPr>
        <w:fldChar w:fldCharType="separate"/>
      </w:r>
      <w:r w:rsidR="00A3169D">
        <w:rPr>
          <w:noProof/>
        </w:rPr>
        <w:t>1</w:t>
      </w:r>
      <w:r w:rsidRPr="00AE1879">
        <w:rPr>
          <w:noProof/>
        </w:rPr>
        <w:fldChar w:fldCharType="end"/>
      </w:r>
    </w:p>
    <w:p w14:paraId="57E705F2" w14:textId="40684092" w:rsidR="00AE1879" w:rsidRDefault="00AE1879">
      <w:pPr>
        <w:pStyle w:val="TOC5"/>
        <w:rPr>
          <w:rFonts w:asciiTheme="minorHAnsi" w:eastAsiaTheme="minorEastAsia" w:hAnsiTheme="minorHAnsi" w:cstheme="minorBidi"/>
          <w:noProof/>
          <w:kern w:val="0"/>
          <w:sz w:val="22"/>
          <w:szCs w:val="22"/>
        </w:rPr>
      </w:pPr>
      <w:r>
        <w:rPr>
          <w:noProof/>
        </w:rPr>
        <w:t>2</w:t>
      </w:r>
      <w:r>
        <w:rPr>
          <w:noProof/>
        </w:rPr>
        <w:tab/>
        <w:t>Commencement</w:t>
      </w:r>
      <w:r w:rsidRPr="00AE1879">
        <w:rPr>
          <w:noProof/>
        </w:rPr>
        <w:tab/>
      </w:r>
      <w:r w:rsidRPr="00AE1879">
        <w:rPr>
          <w:noProof/>
        </w:rPr>
        <w:fldChar w:fldCharType="begin"/>
      </w:r>
      <w:r w:rsidRPr="00AE1879">
        <w:rPr>
          <w:noProof/>
        </w:rPr>
        <w:instrText xml:space="preserve"> PAGEREF _Toc96675017 \h </w:instrText>
      </w:r>
      <w:r w:rsidRPr="00AE1879">
        <w:rPr>
          <w:noProof/>
        </w:rPr>
      </w:r>
      <w:r w:rsidRPr="00AE1879">
        <w:rPr>
          <w:noProof/>
        </w:rPr>
        <w:fldChar w:fldCharType="separate"/>
      </w:r>
      <w:r w:rsidR="00A3169D">
        <w:rPr>
          <w:noProof/>
        </w:rPr>
        <w:t>2</w:t>
      </w:r>
      <w:r w:rsidRPr="00AE1879">
        <w:rPr>
          <w:noProof/>
        </w:rPr>
        <w:fldChar w:fldCharType="end"/>
      </w:r>
    </w:p>
    <w:p w14:paraId="54DBEADB" w14:textId="68E6CB5F" w:rsidR="00AE1879" w:rsidRDefault="00AE1879">
      <w:pPr>
        <w:pStyle w:val="TOC5"/>
        <w:rPr>
          <w:rFonts w:asciiTheme="minorHAnsi" w:eastAsiaTheme="minorEastAsia" w:hAnsiTheme="minorHAnsi" w:cstheme="minorBidi"/>
          <w:noProof/>
          <w:kern w:val="0"/>
          <w:sz w:val="22"/>
          <w:szCs w:val="22"/>
        </w:rPr>
      </w:pPr>
      <w:r>
        <w:rPr>
          <w:noProof/>
        </w:rPr>
        <w:t>3</w:t>
      </w:r>
      <w:r>
        <w:rPr>
          <w:noProof/>
        </w:rPr>
        <w:tab/>
        <w:t>Schedules</w:t>
      </w:r>
      <w:r w:rsidRPr="00AE1879">
        <w:rPr>
          <w:noProof/>
        </w:rPr>
        <w:tab/>
      </w:r>
      <w:r w:rsidRPr="00AE1879">
        <w:rPr>
          <w:noProof/>
        </w:rPr>
        <w:fldChar w:fldCharType="begin"/>
      </w:r>
      <w:r w:rsidRPr="00AE1879">
        <w:rPr>
          <w:noProof/>
        </w:rPr>
        <w:instrText xml:space="preserve"> PAGEREF _Toc96675018 \h </w:instrText>
      </w:r>
      <w:r w:rsidRPr="00AE1879">
        <w:rPr>
          <w:noProof/>
        </w:rPr>
      </w:r>
      <w:r w:rsidRPr="00AE1879">
        <w:rPr>
          <w:noProof/>
        </w:rPr>
        <w:fldChar w:fldCharType="separate"/>
      </w:r>
      <w:r w:rsidR="00A3169D">
        <w:rPr>
          <w:noProof/>
        </w:rPr>
        <w:t>2</w:t>
      </w:r>
      <w:r w:rsidRPr="00AE1879">
        <w:rPr>
          <w:noProof/>
        </w:rPr>
        <w:fldChar w:fldCharType="end"/>
      </w:r>
    </w:p>
    <w:p w14:paraId="13CDBA83" w14:textId="332682E1" w:rsidR="00AE1879" w:rsidRDefault="00AE1879">
      <w:pPr>
        <w:pStyle w:val="TOC6"/>
        <w:rPr>
          <w:rFonts w:asciiTheme="minorHAnsi" w:eastAsiaTheme="minorEastAsia" w:hAnsiTheme="minorHAnsi" w:cstheme="minorBidi"/>
          <w:b w:val="0"/>
          <w:noProof/>
          <w:kern w:val="0"/>
          <w:sz w:val="22"/>
          <w:szCs w:val="22"/>
        </w:rPr>
      </w:pPr>
      <w:r>
        <w:rPr>
          <w:noProof/>
        </w:rPr>
        <w:t>Schedule 1—Termination of employment of parliamentarians’ staff</w:t>
      </w:r>
      <w:r w:rsidRPr="00AE1879">
        <w:rPr>
          <w:b w:val="0"/>
          <w:noProof/>
          <w:sz w:val="18"/>
        </w:rPr>
        <w:tab/>
      </w:r>
      <w:r w:rsidRPr="00AE1879">
        <w:rPr>
          <w:b w:val="0"/>
          <w:noProof/>
          <w:sz w:val="18"/>
        </w:rPr>
        <w:fldChar w:fldCharType="begin"/>
      </w:r>
      <w:r w:rsidRPr="00AE1879">
        <w:rPr>
          <w:b w:val="0"/>
          <w:noProof/>
          <w:sz w:val="18"/>
        </w:rPr>
        <w:instrText xml:space="preserve"> PAGEREF _Toc96675019 \h </w:instrText>
      </w:r>
      <w:r w:rsidRPr="00AE1879">
        <w:rPr>
          <w:b w:val="0"/>
          <w:noProof/>
          <w:sz w:val="18"/>
        </w:rPr>
      </w:r>
      <w:r w:rsidRPr="00AE1879">
        <w:rPr>
          <w:b w:val="0"/>
          <w:noProof/>
          <w:sz w:val="18"/>
        </w:rPr>
        <w:fldChar w:fldCharType="separate"/>
      </w:r>
      <w:r w:rsidR="00A3169D">
        <w:rPr>
          <w:b w:val="0"/>
          <w:noProof/>
          <w:sz w:val="18"/>
        </w:rPr>
        <w:t>3</w:t>
      </w:r>
      <w:r w:rsidRPr="00AE1879">
        <w:rPr>
          <w:b w:val="0"/>
          <w:noProof/>
          <w:sz w:val="18"/>
        </w:rPr>
        <w:fldChar w:fldCharType="end"/>
      </w:r>
      <w:bookmarkStart w:id="1" w:name="_GoBack"/>
      <w:bookmarkEnd w:id="1"/>
    </w:p>
    <w:p w14:paraId="5678FD18" w14:textId="7A033BD9" w:rsidR="00AE1879" w:rsidRDefault="00AE1879">
      <w:pPr>
        <w:pStyle w:val="TOC9"/>
        <w:rPr>
          <w:rFonts w:asciiTheme="minorHAnsi" w:eastAsiaTheme="minorEastAsia" w:hAnsiTheme="minorHAnsi" w:cstheme="minorBidi"/>
          <w:i w:val="0"/>
          <w:noProof/>
          <w:kern w:val="0"/>
          <w:sz w:val="22"/>
          <w:szCs w:val="22"/>
        </w:rPr>
      </w:pPr>
      <w:r>
        <w:rPr>
          <w:noProof/>
        </w:rPr>
        <w:t>Members of Parliament (Staff) Act 1984</w:t>
      </w:r>
      <w:r w:rsidRPr="00AE1879">
        <w:rPr>
          <w:i w:val="0"/>
          <w:noProof/>
          <w:sz w:val="18"/>
        </w:rPr>
        <w:tab/>
      </w:r>
      <w:r w:rsidRPr="00AE1879">
        <w:rPr>
          <w:i w:val="0"/>
          <w:noProof/>
          <w:sz w:val="18"/>
        </w:rPr>
        <w:fldChar w:fldCharType="begin"/>
      </w:r>
      <w:r w:rsidRPr="00AE1879">
        <w:rPr>
          <w:i w:val="0"/>
          <w:noProof/>
          <w:sz w:val="18"/>
        </w:rPr>
        <w:instrText xml:space="preserve"> PAGEREF _Toc96675020 \h </w:instrText>
      </w:r>
      <w:r w:rsidRPr="00AE1879">
        <w:rPr>
          <w:i w:val="0"/>
          <w:noProof/>
          <w:sz w:val="18"/>
        </w:rPr>
      </w:r>
      <w:r w:rsidRPr="00AE1879">
        <w:rPr>
          <w:i w:val="0"/>
          <w:noProof/>
          <w:sz w:val="18"/>
        </w:rPr>
        <w:fldChar w:fldCharType="separate"/>
      </w:r>
      <w:r w:rsidR="00A3169D">
        <w:rPr>
          <w:i w:val="0"/>
          <w:noProof/>
          <w:sz w:val="18"/>
        </w:rPr>
        <w:t>3</w:t>
      </w:r>
      <w:r w:rsidRPr="00AE1879">
        <w:rPr>
          <w:i w:val="0"/>
          <w:noProof/>
          <w:sz w:val="18"/>
        </w:rPr>
        <w:fldChar w:fldCharType="end"/>
      </w:r>
    </w:p>
    <w:p w14:paraId="5CE62213" w14:textId="6F82199E" w:rsidR="00AE1879" w:rsidRDefault="00AE1879">
      <w:pPr>
        <w:pStyle w:val="TOC6"/>
        <w:rPr>
          <w:rFonts w:asciiTheme="minorHAnsi" w:eastAsiaTheme="minorEastAsia" w:hAnsiTheme="minorHAnsi" w:cstheme="minorBidi"/>
          <w:b w:val="0"/>
          <w:noProof/>
          <w:kern w:val="0"/>
          <w:sz w:val="22"/>
          <w:szCs w:val="22"/>
        </w:rPr>
      </w:pPr>
      <w:r>
        <w:rPr>
          <w:noProof/>
        </w:rPr>
        <w:t>Schedule 2—Clarifying work health and safety duties of parliamentarians</w:t>
      </w:r>
      <w:r w:rsidRPr="00AE1879">
        <w:rPr>
          <w:b w:val="0"/>
          <w:noProof/>
          <w:sz w:val="18"/>
        </w:rPr>
        <w:tab/>
      </w:r>
      <w:r w:rsidRPr="00AE1879">
        <w:rPr>
          <w:b w:val="0"/>
          <w:noProof/>
          <w:sz w:val="18"/>
        </w:rPr>
        <w:fldChar w:fldCharType="begin"/>
      </w:r>
      <w:r w:rsidRPr="00AE1879">
        <w:rPr>
          <w:b w:val="0"/>
          <w:noProof/>
          <w:sz w:val="18"/>
        </w:rPr>
        <w:instrText xml:space="preserve"> PAGEREF _Toc96675022 \h </w:instrText>
      </w:r>
      <w:r w:rsidRPr="00AE1879">
        <w:rPr>
          <w:b w:val="0"/>
          <w:noProof/>
          <w:sz w:val="18"/>
        </w:rPr>
      </w:r>
      <w:r w:rsidRPr="00AE1879">
        <w:rPr>
          <w:b w:val="0"/>
          <w:noProof/>
          <w:sz w:val="18"/>
        </w:rPr>
        <w:fldChar w:fldCharType="separate"/>
      </w:r>
      <w:r w:rsidR="00A3169D">
        <w:rPr>
          <w:b w:val="0"/>
          <w:noProof/>
          <w:sz w:val="18"/>
        </w:rPr>
        <w:t>5</w:t>
      </w:r>
      <w:r w:rsidRPr="00AE1879">
        <w:rPr>
          <w:b w:val="0"/>
          <w:noProof/>
          <w:sz w:val="18"/>
        </w:rPr>
        <w:fldChar w:fldCharType="end"/>
      </w:r>
    </w:p>
    <w:p w14:paraId="03B622A0" w14:textId="299FC10B" w:rsidR="00AE1879" w:rsidRDefault="00AE1879">
      <w:pPr>
        <w:pStyle w:val="TOC9"/>
        <w:rPr>
          <w:rFonts w:asciiTheme="minorHAnsi" w:eastAsiaTheme="minorEastAsia" w:hAnsiTheme="minorHAnsi" w:cstheme="minorBidi"/>
          <w:i w:val="0"/>
          <w:noProof/>
          <w:kern w:val="0"/>
          <w:sz w:val="22"/>
          <w:szCs w:val="22"/>
        </w:rPr>
      </w:pPr>
      <w:r>
        <w:rPr>
          <w:noProof/>
        </w:rPr>
        <w:t>Work Health and Safety Act 2011</w:t>
      </w:r>
      <w:r w:rsidRPr="00AE1879">
        <w:rPr>
          <w:i w:val="0"/>
          <w:noProof/>
          <w:sz w:val="18"/>
        </w:rPr>
        <w:tab/>
      </w:r>
      <w:r w:rsidRPr="00AE1879">
        <w:rPr>
          <w:i w:val="0"/>
          <w:noProof/>
          <w:sz w:val="18"/>
        </w:rPr>
        <w:fldChar w:fldCharType="begin"/>
      </w:r>
      <w:r w:rsidRPr="00AE1879">
        <w:rPr>
          <w:i w:val="0"/>
          <w:noProof/>
          <w:sz w:val="18"/>
        </w:rPr>
        <w:instrText xml:space="preserve"> PAGEREF _Toc96675023 \h </w:instrText>
      </w:r>
      <w:r w:rsidRPr="00AE1879">
        <w:rPr>
          <w:i w:val="0"/>
          <w:noProof/>
          <w:sz w:val="18"/>
        </w:rPr>
      </w:r>
      <w:r w:rsidRPr="00AE1879">
        <w:rPr>
          <w:i w:val="0"/>
          <w:noProof/>
          <w:sz w:val="18"/>
        </w:rPr>
        <w:fldChar w:fldCharType="separate"/>
      </w:r>
      <w:r w:rsidR="00A3169D">
        <w:rPr>
          <w:i w:val="0"/>
          <w:noProof/>
          <w:sz w:val="18"/>
        </w:rPr>
        <w:t>5</w:t>
      </w:r>
      <w:r w:rsidRPr="00AE1879">
        <w:rPr>
          <w:i w:val="0"/>
          <w:noProof/>
          <w:sz w:val="18"/>
        </w:rPr>
        <w:fldChar w:fldCharType="end"/>
      </w:r>
    </w:p>
    <w:p w14:paraId="7D5B00EE" w14:textId="3073C640" w:rsidR="00AE1879" w:rsidRDefault="00AE1879">
      <w:pPr>
        <w:pStyle w:val="TOC6"/>
        <w:rPr>
          <w:rFonts w:asciiTheme="minorHAnsi" w:eastAsiaTheme="minorEastAsia" w:hAnsiTheme="minorHAnsi" w:cstheme="minorBidi"/>
          <w:b w:val="0"/>
          <w:noProof/>
          <w:kern w:val="0"/>
          <w:sz w:val="22"/>
          <w:szCs w:val="22"/>
        </w:rPr>
      </w:pPr>
      <w:r>
        <w:rPr>
          <w:noProof/>
        </w:rPr>
        <w:t>Schedule 3—Clarifying the operation of anti</w:t>
      </w:r>
      <w:r>
        <w:rPr>
          <w:noProof/>
        </w:rPr>
        <w:noBreakHyphen/>
        <w:t>discrimination legislation for parliamentarians’ staff</w:t>
      </w:r>
      <w:r w:rsidRPr="00AE1879">
        <w:rPr>
          <w:b w:val="0"/>
          <w:noProof/>
          <w:sz w:val="18"/>
        </w:rPr>
        <w:tab/>
      </w:r>
      <w:r w:rsidRPr="00AE1879">
        <w:rPr>
          <w:b w:val="0"/>
          <w:noProof/>
          <w:sz w:val="18"/>
        </w:rPr>
        <w:fldChar w:fldCharType="begin"/>
      </w:r>
      <w:r w:rsidRPr="00AE1879">
        <w:rPr>
          <w:b w:val="0"/>
          <w:noProof/>
          <w:sz w:val="18"/>
        </w:rPr>
        <w:instrText xml:space="preserve"> PAGEREF _Toc96675024 \h </w:instrText>
      </w:r>
      <w:r w:rsidRPr="00AE1879">
        <w:rPr>
          <w:b w:val="0"/>
          <w:noProof/>
          <w:sz w:val="18"/>
        </w:rPr>
      </w:r>
      <w:r w:rsidRPr="00AE1879">
        <w:rPr>
          <w:b w:val="0"/>
          <w:noProof/>
          <w:sz w:val="18"/>
        </w:rPr>
        <w:fldChar w:fldCharType="separate"/>
      </w:r>
      <w:r w:rsidR="00A3169D">
        <w:rPr>
          <w:b w:val="0"/>
          <w:noProof/>
          <w:sz w:val="18"/>
        </w:rPr>
        <w:t>7</w:t>
      </w:r>
      <w:r w:rsidRPr="00AE1879">
        <w:rPr>
          <w:b w:val="0"/>
          <w:noProof/>
          <w:sz w:val="18"/>
        </w:rPr>
        <w:fldChar w:fldCharType="end"/>
      </w:r>
    </w:p>
    <w:p w14:paraId="273F9C21" w14:textId="026B658D" w:rsidR="00AE1879" w:rsidRDefault="00AE1879">
      <w:pPr>
        <w:pStyle w:val="TOC9"/>
        <w:rPr>
          <w:rFonts w:asciiTheme="minorHAnsi" w:eastAsiaTheme="minorEastAsia" w:hAnsiTheme="minorHAnsi" w:cstheme="minorBidi"/>
          <w:i w:val="0"/>
          <w:noProof/>
          <w:kern w:val="0"/>
          <w:sz w:val="22"/>
          <w:szCs w:val="22"/>
        </w:rPr>
      </w:pPr>
      <w:r>
        <w:rPr>
          <w:noProof/>
        </w:rPr>
        <w:t>Age Discrimination Act 2004</w:t>
      </w:r>
      <w:r w:rsidRPr="00AE1879">
        <w:rPr>
          <w:i w:val="0"/>
          <w:noProof/>
          <w:sz w:val="18"/>
        </w:rPr>
        <w:tab/>
      </w:r>
      <w:r w:rsidRPr="00AE1879">
        <w:rPr>
          <w:i w:val="0"/>
          <w:noProof/>
          <w:sz w:val="18"/>
        </w:rPr>
        <w:fldChar w:fldCharType="begin"/>
      </w:r>
      <w:r w:rsidRPr="00AE1879">
        <w:rPr>
          <w:i w:val="0"/>
          <w:noProof/>
          <w:sz w:val="18"/>
        </w:rPr>
        <w:instrText xml:space="preserve"> PAGEREF _Toc96675025 \h </w:instrText>
      </w:r>
      <w:r w:rsidRPr="00AE1879">
        <w:rPr>
          <w:i w:val="0"/>
          <w:noProof/>
          <w:sz w:val="18"/>
        </w:rPr>
      </w:r>
      <w:r w:rsidRPr="00AE1879">
        <w:rPr>
          <w:i w:val="0"/>
          <w:noProof/>
          <w:sz w:val="18"/>
        </w:rPr>
        <w:fldChar w:fldCharType="separate"/>
      </w:r>
      <w:r w:rsidR="00A3169D">
        <w:rPr>
          <w:i w:val="0"/>
          <w:noProof/>
          <w:sz w:val="18"/>
        </w:rPr>
        <w:t>7</w:t>
      </w:r>
      <w:r w:rsidRPr="00AE1879">
        <w:rPr>
          <w:i w:val="0"/>
          <w:noProof/>
          <w:sz w:val="18"/>
        </w:rPr>
        <w:fldChar w:fldCharType="end"/>
      </w:r>
    </w:p>
    <w:p w14:paraId="4E556698" w14:textId="08C11F34" w:rsidR="00AE1879" w:rsidRDefault="00AE1879">
      <w:pPr>
        <w:pStyle w:val="TOC9"/>
        <w:rPr>
          <w:rFonts w:asciiTheme="minorHAnsi" w:eastAsiaTheme="minorEastAsia" w:hAnsiTheme="minorHAnsi" w:cstheme="minorBidi"/>
          <w:i w:val="0"/>
          <w:noProof/>
          <w:kern w:val="0"/>
          <w:sz w:val="22"/>
          <w:szCs w:val="22"/>
        </w:rPr>
      </w:pPr>
      <w:r>
        <w:rPr>
          <w:noProof/>
        </w:rPr>
        <w:t>Disability Discrimination Act 1992</w:t>
      </w:r>
      <w:r w:rsidRPr="00AE1879">
        <w:rPr>
          <w:i w:val="0"/>
          <w:noProof/>
          <w:sz w:val="18"/>
        </w:rPr>
        <w:tab/>
      </w:r>
      <w:r w:rsidRPr="00AE1879">
        <w:rPr>
          <w:i w:val="0"/>
          <w:noProof/>
          <w:sz w:val="18"/>
        </w:rPr>
        <w:fldChar w:fldCharType="begin"/>
      </w:r>
      <w:r w:rsidRPr="00AE1879">
        <w:rPr>
          <w:i w:val="0"/>
          <w:noProof/>
          <w:sz w:val="18"/>
        </w:rPr>
        <w:instrText xml:space="preserve"> PAGEREF _Toc96675026 \h </w:instrText>
      </w:r>
      <w:r w:rsidRPr="00AE1879">
        <w:rPr>
          <w:i w:val="0"/>
          <w:noProof/>
          <w:sz w:val="18"/>
        </w:rPr>
      </w:r>
      <w:r w:rsidRPr="00AE1879">
        <w:rPr>
          <w:i w:val="0"/>
          <w:noProof/>
          <w:sz w:val="18"/>
        </w:rPr>
        <w:fldChar w:fldCharType="separate"/>
      </w:r>
      <w:r w:rsidR="00A3169D">
        <w:rPr>
          <w:i w:val="0"/>
          <w:noProof/>
          <w:sz w:val="18"/>
        </w:rPr>
        <w:t>7</w:t>
      </w:r>
      <w:r w:rsidRPr="00AE1879">
        <w:rPr>
          <w:i w:val="0"/>
          <w:noProof/>
          <w:sz w:val="18"/>
        </w:rPr>
        <w:fldChar w:fldCharType="end"/>
      </w:r>
    </w:p>
    <w:p w14:paraId="15263744" w14:textId="7CEF962C" w:rsidR="00060FF9" w:rsidRPr="004D527B" w:rsidRDefault="00AE1879" w:rsidP="0048364F">
      <w:r>
        <w:fldChar w:fldCharType="end"/>
      </w:r>
    </w:p>
    <w:p w14:paraId="7622F6DA" w14:textId="77777777" w:rsidR="00FE7F93" w:rsidRPr="004D527B" w:rsidRDefault="00FE7F93" w:rsidP="0048364F">
      <w:pPr>
        <w:sectPr w:rsidR="00FE7F93" w:rsidRPr="004D527B" w:rsidSect="00BD672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E10252A" w14:textId="77777777" w:rsidR="00BD6724" w:rsidRDefault="00BD6724">
      <w:r>
        <w:object w:dxaOrig="2146" w:dyaOrig="1561" w14:anchorId="3B8E52ED">
          <v:shape id="_x0000_i1027" type="#_x0000_t75" alt="Commonwealth Coat of Arms of Australia" style="width:110.25pt;height:80.25pt" o:ole="" fillcolor="window">
            <v:imagedata r:id="rId7" o:title=""/>
          </v:shape>
          <o:OLEObject Type="Embed" ProgID="Word.Picture.8" ShapeID="_x0000_i1027" DrawAspect="Content" ObjectID="_1707288271" r:id="rId20"/>
        </w:object>
      </w:r>
    </w:p>
    <w:p w14:paraId="2C6E98A5" w14:textId="77777777" w:rsidR="00BD6724" w:rsidRDefault="00BD6724"/>
    <w:p w14:paraId="29E2CA5C" w14:textId="77777777" w:rsidR="00BD6724" w:rsidRDefault="00BD6724" w:rsidP="000178F8">
      <w:pPr>
        <w:spacing w:line="240" w:lineRule="auto"/>
      </w:pPr>
    </w:p>
    <w:p w14:paraId="7C79EBC8" w14:textId="102F8B8C" w:rsidR="00BD6724" w:rsidRDefault="002F63D8" w:rsidP="000178F8">
      <w:pPr>
        <w:pStyle w:val="ShortTP1"/>
      </w:pPr>
      <w:fldSimple w:instr=" STYLEREF ShortT ">
        <w:r w:rsidR="00A3169D">
          <w:rPr>
            <w:noProof/>
          </w:rPr>
          <w:t>Parliamentary Workplace Reform (Set the Standard Measures No. 1) Act 2022</w:t>
        </w:r>
      </w:fldSimple>
    </w:p>
    <w:p w14:paraId="6C5758FB" w14:textId="7D6FE7A1" w:rsidR="00BD6724" w:rsidRDefault="002F63D8" w:rsidP="000178F8">
      <w:pPr>
        <w:pStyle w:val="ActNoP1"/>
      </w:pPr>
      <w:fldSimple w:instr=" STYLEREF Actno ">
        <w:r w:rsidR="00A3169D">
          <w:rPr>
            <w:noProof/>
          </w:rPr>
          <w:t>No. 7, 2022</w:t>
        </w:r>
      </w:fldSimple>
    </w:p>
    <w:p w14:paraId="6DFD82CD" w14:textId="77777777" w:rsidR="00BD6724" w:rsidRPr="009A0728" w:rsidRDefault="00BD6724" w:rsidP="009A0728">
      <w:pPr>
        <w:pBdr>
          <w:bottom w:val="single" w:sz="6" w:space="0" w:color="auto"/>
        </w:pBdr>
        <w:spacing w:before="400" w:line="240" w:lineRule="auto"/>
        <w:rPr>
          <w:rFonts w:eastAsia="Times New Roman"/>
          <w:b/>
          <w:sz w:val="28"/>
        </w:rPr>
      </w:pPr>
    </w:p>
    <w:p w14:paraId="318FE8C9" w14:textId="77777777" w:rsidR="00BD6724" w:rsidRPr="009A0728" w:rsidRDefault="00BD6724" w:rsidP="009A0728">
      <w:pPr>
        <w:spacing w:line="40" w:lineRule="exact"/>
        <w:rPr>
          <w:rFonts w:eastAsia="Calibri"/>
          <w:b/>
          <w:sz w:val="28"/>
        </w:rPr>
      </w:pPr>
    </w:p>
    <w:p w14:paraId="78E239AA" w14:textId="77777777" w:rsidR="00BD6724" w:rsidRPr="009A0728" w:rsidRDefault="00BD6724" w:rsidP="009A0728">
      <w:pPr>
        <w:pBdr>
          <w:top w:val="single" w:sz="12" w:space="0" w:color="auto"/>
        </w:pBdr>
        <w:spacing w:line="240" w:lineRule="auto"/>
        <w:rPr>
          <w:rFonts w:eastAsia="Times New Roman"/>
          <w:b/>
          <w:sz w:val="28"/>
        </w:rPr>
      </w:pPr>
    </w:p>
    <w:p w14:paraId="0953B19C" w14:textId="77777777" w:rsidR="00BD6724" w:rsidRDefault="00BD6724" w:rsidP="00BD6724">
      <w:pPr>
        <w:pStyle w:val="Page1"/>
        <w:spacing w:before="400"/>
      </w:pPr>
      <w:r>
        <w:t>An Act to amend the law in relation to parliamentary workplaces, and for related purposes</w:t>
      </w:r>
    </w:p>
    <w:p w14:paraId="6B93050E" w14:textId="3D0CFE20" w:rsidR="001552BD" w:rsidRDefault="001552BD" w:rsidP="000C5962">
      <w:pPr>
        <w:pStyle w:val="AssentDt"/>
        <w:spacing w:before="240"/>
        <w:rPr>
          <w:sz w:val="24"/>
        </w:rPr>
      </w:pPr>
      <w:r>
        <w:rPr>
          <w:sz w:val="24"/>
        </w:rPr>
        <w:t>[</w:t>
      </w:r>
      <w:r>
        <w:rPr>
          <w:i/>
          <w:sz w:val="24"/>
        </w:rPr>
        <w:t>Assented to 22 February 2022</w:t>
      </w:r>
      <w:r>
        <w:rPr>
          <w:sz w:val="24"/>
        </w:rPr>
        <w:t>]</w:t>
      </w:r>
    </w:p>
    <w:p w14:paraId="5E377397" w14:textId="447F880C" w:rsidR="0048364F" w:rsidRPr="004D527B" w:rsidRDefault="0048364F" w:rsidP="004D527B">
      <w:pPr>
        <w:spacing w:before="240" w:line="240" w:lineRule="auto"/>
        <w:rPr>
          <w:sz w:val="32"/>
        </w:rPr>
      </w:pPr>
      <w:r w:rsidRPr="004D527B">
        <w:rPr>
          <w:sz w:val="32"/>
        </w:rPr>
        <w:t>The Parliament of Australia enacts:</w:t>
      </w:r>
    </w:p>
    <w:p w14:paraId="105A4751" w14:textId="77777777" w:rsidR="0048364F" w:rsidRPr="004D527B" w:rsidRDefault="0048364F" w:rsidP="004D527B">
      <w:pPr>
        <w:pStyle w:val="ActHead5"/>
      </w:pPr>
      <w:bookmarkStart w:id="2" w:name="_Toc96675016"/>
      <w:r w:rsidRPr="00B77988">
        <w:rPr>
          <w:rStyle w:val="CharSectno"/>
        </w:rPr>
        <w:t>1</w:t>
      </w:r>
      <w:r w:rsidRPr="004D527B">
        <w:t xml:space="preserve">  Short title</w:t>
      </w:r>
      <w:bookmarkEnd w:id="2"/>
    </w:p>
    <w:p w14:paraId="726EB1A2" w14:textId="77777777" w:rsidR="0048364F" w:rsidRPr="004D527B" w:rsidRDefault="0048364F" w:rsidP="004D527B">
      <w:pPr>
        <w:pStyle w:val="subsection"/>
      </w:pPr>
      <w:r w:rsidRPr="004D527B">
        <w:tab/>
      </w:r>
      <w:r w:rsidRPr="004D527B">
        <w:tab/>
        <w:t xml:space="preserve">This Act </w:t>
      </w:r>
      <w:r w:rsidR="00275197" w:rsidRPr="004D527B">
        <w:t xml:space="preserve">is </w:t>
      </w:r>
      <w:r w:rsidRPr="004D527B">
        <w:t xml:space="preserve">the </w:t>
      </w:r>
      <w:r w:rsidR="002756AE" w:rsidRPr="004D527B">
        <w:rPr>
          <w:i/>
        </w:rPr>
        <w:t>Parliamentary Workplace Reform (Set the Standard</w:t>
      </w:r>
      <w:r w:rsidR="003D36E0" w:rsidRPr="004D527B">
        <w:rPr>
          <w:i/>
        </w:rPr>
        <w:t xml:space="preserve"> Measures No. 1</w:t>
      </w:r>
      <w:r w:rsidR="002756AE" w:rsidRPr="004D527B">
        <w:rPr>
          <w:i/>
        </w:rPr>
        <w:t>)</w:t>
      </w:r>
      <w:r w:rsidR="00EE3E36" w:rsidRPr="004D527B">
        <w:rPr>
          <w:i/>
        </w:rPr>
        <w:t xml:space="preserve"> Act 20</w:t>
      </w:r>
      <w:r w:rsidR="009E186E" w:rsidRPr="004D527B">
        <w:rPr>
          <w:i/>
        </w:rPr>
        <w:t>2</w:t>
      </w:r>
      <w:r w:rsidR="00545D52" w:rsidRPr="004D527B">
        <w:rPr>
          <w:i/>
        </w:rPr>
        <w:t>2</w:t>
      </w:r>
      <w:r w:rsidRPr="004D527B">
        <w:t>.</w:t>
      </w:r>
    </w:p>
    <w:p w14:paraId="1BA1916F" w14:textId="77777777" w:rsidR="0048364F" w:rsidRPr="004D527B" w:rsidRDefault="0048364F" w:rsidP="004D527B">
      <w:pPr>
        <w:pStyle w:val="ActHead5"/>
      </w:pPr>
      <w:bookmarkStart w:id="3" w:name="_Toc96675017"/>
      <w:r w:rsidRPr="00B77988">
        <w:rPr>
          <w:rStyle w:val="CharSectno"/>
        </w:rPr>
        <w:lastRenderedPageBreak/>
        <w:t>2</w:t>
      </w:r>
      <w:r w:rsidRPr="004D527B">
        <w:t xml:space="preserve">  Commencement</w:t>
      </w:r>
      <w:bookmarkEnd w:id="3"/>
    </w:p>
    <w:p w14:paraId="20551349" w14:textId="77777777" w:rsidR="005A6D46" w:rsidRPr="004D527B" w:rsidRDefault="005A6D46" w:rsidP="004D527B">
      <w:pPr>
        <w:pStyle w:val="subsection"/>
      </w:pPr>
      <w:r w:rsidRPr="004D527B">
        <w:tab/>
        <w:t>(1)</w:t>
      </w:r>
      <w:r w:rsidRPr="004D527B">
        <w:tab/>
        <w:t>Each provision of this Act specified in column 1 of the table commences, or is taken to have commenced, in accordance with column 2 of the table. Any other statement in column 2 has effect according to its terms.</w:t>
      </w:r>
    </w:p>
    <w:p w14:paraId="7AD1A7B1" w14:textId="77777777" w:rsidR="005A6D46" w:rsidRPr="004D527B" w:rsidRDefault="005A6D46" w:rsidP="004D527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5A6D46" w:rsidRPr="004D527B" w14:paraId="22925E4A" w14:textId="77777777" w:rsidTr="00DE28B4">
        <w:trPr>
          <w:tblHeader/>
        </w:trPr>
        <w:tc>
          <w:tcPr>
            <w:tcW w:w="5000" w:type="pct"/>
            <w:gridSpan w:val="3"/>
            <w:tcBorders>
              <w:top w:val="single" w:sz="12" w:space="0" w:color="auto"/>
              <w:bottom w:val="single" w:sz="2" w:space="0" w:color="auto"/>
            </w:tcBorders>
            <w:shd w:val="clear" w:color="auto" w:fill="auto"/>
            <w:hideMark/>
          </w:tcPr>
          <w:p w14:paraId="581B18C7" w14:textId="77777777" w:rsidR="005A6D46" w:rsidRPr="004D527B" w:rsidRDefault="005A6D46" w:rsidP="004D527B">
            <w:pPr>
              <w:pStyle w:val="TableHeading"/>
            </w:pPr>
            <w:r w:rsidRPr="004D527B">
              <w:t>Commencement information</w:t>
            </w:r>
          </w:p>
        </w:tc>
      </w:tr>
      <w:tr w:rsidR="005A6D46" w:rsidRPr="004D527B" w14:paraId="00601DAE" w14:textId="77777777" w:rsidTr="00DE28B4">
        <w:trPr>
          <w:tblHeader/>
        </w:trPr>
        <w:tc>
          <w:tcPr>
            <w:tcW w:w="1196" w:type="pct"/>
            <w:tcBorders>
              <w:top w:val="single" w:sz="2" w:space="0" w:color="auto"/>
              <w:bottom w:val="single" w:sz="2" w:space="0" w:color="auto"/>
            </w:tcBorders>
            <w:shd w:val="clear" w:color="auto" w:fill="auto"/>
            <w:hideMark/>
          </w:tcPr>
          <w:p w14:paraId="6438081C" w14:textId="77777777" w:rsidR="005A6D46" w:rsidRPr="004D527B" w:rsidRDefault="005A6D46" w:rsidP="004D527B">
            <w:pPr>
              <w:pStyle w:val="TableHeading"/>
            </w:pPr>
            <w:r w:rsidRPr="004D527B">
              <w:t>Column 1</w:t>
            </w:r>
          </w:p>
        </w:tc>
        <w:tc>
          <w:tcPr>
            <w:tcW w:w="2692" w:type="pct"/>
            <w:tcBorders>
              <w:top w:val="single" w:sz="2" w:space="0" w:color="auto"/>
              <w:bottom w:val="single" w:sz="2" w:space="0" w:color="auto"/>
            </w:tcBorders>
            <w:shd w:val="clear" w:color="auto" w:fill="auto"/>
            <w:hideMark/>
          </w:tcPr>
          <w:p w14:paraId="549C0219" w14:textId="77777777" w:rsidR="005A6D46" w:rsidRPr="004D527B" w:rsidRDefault="005A6D46" w:rsidP="004D527B">
            <w:pPr>
              <w:pStyle w:val="TableHeading"/>
            </w:pPr>
            <w:r w:rsidRPr="004D527B">
              <w:t>Column 2</w:t>
            </w:r>
          </w:p>
        </w:tc>
        <w:tc>
          <w:tcPr>
            <w:tcW w:w="1112" w:type="pct"/>
            <w:tcBorders>
              <w:top w:val="single" w:sz="2" w:space="0" w:color="auto"/>
              <w:bottom w:val="single" w:sz="2" w:space="0" w:color="auto"/>
            </w:tcBorders>
            <w:shd w:val="clear" w:color="auto" w:fill="auto"/>
            <w:hideMark/>
          </w:tcPr>
          <w:p w14:paraId="00095074" w14:textId="77777777" w:rsidR="005A6D46" w:rsidRPr="004D527B" w:rsidRDefault="005A6D46" w:rsidP="004D527B">
            <w:pPr>
              <w:pStyle w:val="TableHeading"/>
            </w:pPr>
            <w:r w:rsidRPr="004D527B">
              <w:t>Column 3</w:t>
            </w:r>
          </w:p>
        </w:tc>
      </w:tr>
      <w:tr w:rsidR="005A6D46" w:rsidRPr="004D527B" w14:paraId="334F1420" w14:textId="77777777" w:rsidTr="00DE28B4">
        <w:trPr>
          <w:tblHeader/>
        </w:trPr>
        <w:tc>
          <w:tcPr>
            <w:tcW w:w="1196" w:type="pct"/>
            <w:tcBorders>
              <w:top w:val="single" w:sz="2" w:space="0" w:color="auto"/>
              <w:bottom w:val="single" w:sz="12" w:space="0" w:color="auto"/>
            </w:tcBorders>
            <w:shd w:val="clear" w:color="auto" w:fill="auto"/>
            <w:hideMark/>
          </w:tcPr>
          <w:p w14:paraId="025F3DC9" w14:textId="77777777" w:rsidR="005A6D46" w:rsidRPr="004D527B" w:rsidRDefault="005A6D46" w:rsidP="004D527B">
            <w:pPr>
              <w:pStyle w:val="TableHeading"/>
            </w:pPr>
            <w:r w:rsidRPr="004D527B">
              <w:t>Provisions</w:t>
            </w:r>
          </w:p>
        </w:tc>
        <w:tc>
          <w:tcPr>
            <w:tcW w:w="2692" w:type="pct"/>
            <w:tcBorders>
              <w:top w:val="single" w:sz="2" w:space="0" w:color="auto"/>
              <w:bottom w:val="single" w:sz="12" w:space="0" w:color="auto"/>
            </w:tcBorders>
            <w:shd w:val="clear" w:color="auto" w:fill="auto"/>
            <w:hideMark/>
          </w:tcPr>
          <w:p w14:paraId="1AD1F12D" w14:textId="77777777" w:rsidR="005A6D46" w:rsidRPr="004D527B" w:rsidRDefault="005A6D46" w:rsidP="004D527B">
            <w:pPr>
              <w:pStyle w:val="TableHeading"/>
            </w:pPr>
            <w:r w:rsidRPr="004D527B">
              <w:t>Commencement</w:t>
            </w:r>
          </w:p>
        </w:tc>
        <w:tc>
          <w:tcPr>
            <w:tcW w:w="1112" w:type="pct"/>
            <w:tcBorders>
              <w:top w:val="single" w:sz="2" w:space="0" w:color="auto"/>
              <w:bottom w:val="single" w:sz="12" w:space="0" w:color="auto"/>
            </w:tcBorders>
            <w:shd w:val="clear" w:color="auto" w:fill="auto"/>
            <w:hideMark/>
          </w:tcPr>
          <w:p w14:paraId="031E0FC1" w14:textId="77777777" w:rsidR="005A6D46" w:rsidRPr="004D527B" w:rsidRDefault="005A6D46" w:rsidP="004D527B">
            <w:pPr>
              <w:pStyle w:val="TableHeading"/>
            </w:pPr>
            <w:r w:rsidRPr="004D527B">
              <w:t>Date/Details</w:t>
            </w:r>
          </w:p>
        </w:tc>
      </w:tr>
      <w:tr w:rsidR="005A6D46" w:rsidRPr="004D527B" w14:paraId="6113C847" w14:textId="77777777" w:rsidTr="00DE28B4">
        <w:tc>
          <w:tcPr>
            <w:tcW w:w="1196" w:type="pct"/>
            <w:tcBorders>
              <w:top w:val="single" w:sz="12" w:space="0" w:color="auto"/>
              <w:bottom w:val="single" w:sz="12" w:space="0" w:color="auto"/>
            </w:tcBorders>
            <w:shd w:val="clear" w:color="auto" w:fill="auto"/>
            <w:hideMark/>
          </w:tcPr>
          <w:p w14:paraId="7BC3E9E0" w14:textId="77777777" w:rsidR="005A6D46" w:rsidRPr="004D527B" w:rsidRDefault="005A6D46" w:rsidP="004D527B">
            <w:pPr>
              <w:pStyle w:val="Tabletext"/>
            </w:pPr>
            <w:r w:rsidRPr="004D527B">
              <w:t>1.  The whole of this Act</w:t>
            </w:r>
          </w:p>
        </w:tc>
        <w:tc>
          <w:tcPr>
            <w:tcW w:w="2692" w:type="pct"/>
            <w:tcBorders>
              <w:top w:val="single" w:sz="12" w:space="0" w:color="auto"/>
              <w:bottom w:val="single" w:sz="12" w:space="0" w:color="auto"/>
            </w:tcBorders>
            <w:shd w:val="clear" w:color="auto" w:fill="auto"/>
            <w:hideMark/>
          </w:tcPr>
          <w:p w14:paraId="25F03232" w14:textId="77777777" w:rsidR="005A6D46" w:rsidRPr="004D527B" w:rsidRDefault="005A6D46" w:rsidP="004D527B">
            <w:pPr>
              <w:pStyle w:val="Tabletext"/>
            </w:pPr>
            <w:r w:rsidRPr="004D527B">
              <w:t>The day after this Act receives the Royal Assent.</w:t>
            </w:r>
          </w:p>
        </w:tc>
        <w:tc>
          <w:tcPr>
            <w:tcW w:w="1112" w:type="pct"/>
            <w:tcBorders>
              <w:top w:val="single" w:sz="12" w:space="0" w:color="auto"/>
              <w:bottom w:val="single" w:sz="12" w:space="0" w:color="auto"/>
            </w:tcBorders>
            <w:shd w:val="clear" w:color="auto" w:fill="auto"/>
          </w:tcPr>
          <w:p w14:paraId="0AC2751E" w14:textId="5B9C9C99" w:rsidR="005A6D46" w:rsidRPr="004D527B" w:rsidRDefault="0048179F" w:rsidP="004D527B">
            <w:pPr>
              <w:pStyle w:val="Tabletext"/>
            </w:pPr>
            <w:r>
              <w:t>23 February 2022</w:t>
            </w:r>
          </w:p>
        </w:tc>
      </w:tr>
    </w:tbl>
    <w:p w14:paraId="4EF73777" w14:textId="77777777" w:rsidR="005A6D46" w:rsidRPr="004D527B" w:rsidRDefault="005A6D46" w:rsidP="004D527B">
      <w:pPr>
        <w:pStyle w:val="notetext"/>
      </w:pPr>
      <w:r w:rsidRPr="004D527B">
        <w:rPr>
          <w:snapToGrid w:val="0"/>
          <w:lang w:eastAsia="en-US"/>
        </w:rPr>
        <w:t>Note:</w:t>
      </w:r>
      <w:r w:rsidRPr="004D527B">
        <w:rPr>
          <w:snapToGrid w:val="0"/>
          <w:lang w:eastAsia="en-US"/>
        </w:rPr>
        <w:tab/>
        <w:t>This table relates only to the provisions of this Act as originally enacted. It will not be amended to deal with any later amendments of this Act.</w:t>
      </w:r>
    </w:p>
    <w:p w14:paraId="7D17AABE" w14:textId="77777777" w:rsidR="005A6D46" w:rsidRPr="004D527B" w:rsidRDefault="005A6D46" w:rsidP="004D527B">
      <w:pPr>
        <w:pStyle w:val="subsection"/>
      </w:pPr>
      <w:r w:rsidRPr="004D527B">
        <w:tab/>
        <w:t>(2)</w:t>
      </w:r>
      <w:r w:rsidRPr="004D527B">
        <w:tab/>
        <w:t>Any information in column 3 of the table is not part of this Act. Information may be inserted in this column, or information in it may be edited, in any published version of this Act.</w:t>
      </w:r>
    </w:p>
    <w:p w14:paraId="0FFE250D" w14:textId="77777777" w:rsidR="0048364F" w:rsidRPr="004D527B" w:rsidRDefault="0048364F" w:rsidP="004D527B">
      <w:pPr>
        <w:pStyle w:val="ActHead5"/>
      </w:pPr>
      <w:bookmarkStart w:id="4" w:name="_Toc96675018"/>
      <w:r w:rsidRPr="00B77988">
        <w:rPr>
          <w:rStyle w:val="CharSectno"/>
        </w:rPr>
        <w:t>3</w:t>
      </w:r>
      <w:r w:rsidRPr="004D527B">
        <w:t xml:space="preserve">  Schedules</w:t>
      </w:r>
      <w:bookmarkEnd w:id="4"/>
    </w:p>
    <w:p w14:paraId="23E01819" w14:textId="77777777" w:rsidR="0048364F" w:rsidRPr="004D527B" w:rsidRDefault="0048364F" w:rsidP="004D527B">
      <w:pPr>
        <w:pStyle w:val="subsection"/>
      </w:pPr>
      <w:r w:rsidRPr="004D527B">
        <w:tab/>
      </w:r>
      <w:r w:rsidRPr="004D527B">
        <w:tab/>
      </w:r>
      <w:r w:rsidR="00202618" w:rsidRPr="004D527B">
        <w:t>Legislation that is specified in a Schedule to this Act is amended or repealed as set out in the applicable items in the Schedule concerned, and any other item in a Schedule to this Act has effect according to its terms.</w:t>
      </w:r>
    </w:p>
    <w:p w14:paraId="67094FA5" w14:textId="77777777" w:rsidR="00B65D90" w:rsidRPr="004D527B" w:rsidRDefault="00B65D90" w:rsidP="004D527B">
      <w:pPr>
        <w:pStyle w:val="ActHead6"/>
        <w:pageBreakBefore/>
      </w:pPr>
      <w:bookmarkStart w:id="5" w:name="opcAmSched"/>
      <w:bookmarkStart w:id="6" w:name="opcCurrentFind"/>
      <w:bookmarkStart w:id="7" w:name="_Toc96675019"/>
      <w:r w:rsidRPr="00B77988">
        <w:rPr>
          <w:rStyle w:val="CharAmSchNo"/>
        </w:rPr>
        <w:lastRenderedPageBreak/>
        <w:t>Schedule 1</w:t>
      </w:r>
      <w:r w:rsidRPr="004D527B">
        <w:t>—</w:t>
      </w:r>
      <w:r w:rsidRPr="00B77988">
        <w:rPr>
          <w:rStyle w:val="CharAmSchText"/>
        </w:rPr>
        <w:t>Termination of employment of parliamentarians’ staff</w:t>
      </w:r>
      <w:bookmarkEnd w:id="7"/>
    </w:p>
    <w:p w14:paraId="6B41619A" w14:textId="77777777" w:rsidR="00B65D90" w:rsidRPr="00B77988" w:rsidRDefault="00B65D90" w:rsidP="004D527B">
      <w:pPr>
        <w:pStyle w:val="Header"/>
      </w:pPr>
      <w:r w:rsidRPr="00B77988">
        <w:rPr>
          <w:rStyle w:val="CharAmPartNo"/>
        </w:rPr>
        <w:t xml:space="preserve"> </w:t>
      </w:r>
      <w:r w:rsidRPr="00B77988">
        <w:rPr>
          <w:rStyle w:val="CharAmPartText"/>
        </w:rPr>
        <w:t xml:space="preserve"> </w:t>
      </w:r>
    </w:p>
    <w:p w14:paraId="464A4A08" w14:textId="77777777" w:rsidR="00B65D90" w:rsidRPr="004D527B" w:rsidRDefault="00B65D90" w:rsidP="004D527B">
      <w:pPr>
        <w:pStyle w:val="ActHead9"/>
        <w:rPr>
          <w:i w:val="0"/>
        </w:rPr>
      </w:pPr>
      <w:bookmarkStart w:id="8" w:name="_Toc96675020"/>
      <w:r w:rsidRPr="004D527B">
        <w:t>Members of Parliament (Staff) Act 1984</w:t>
      </w:r>
      <w:bookmarkEnd w:id="8"/>
    </w:p>
    <w:p w14:paraId="2B06DCC4" w14:textId="77777777" w:rsidR="00B65D90" w:rsidRPr="004D527B" w:rsidRDefault="00B65D90" w:rsidP="004D527B">
      <w:pPr>
        <w:pStyle w:val="ItemHead"/>
      </w:pPr>
      <w:r w:rsidRPr="004D527B">
        <w:t>1  At the end of Part I</w:t>
      </w:r>
    </w:p>
    <w:p w14:paraId="41500619" w14:textId="77777777" w:rsidR="00B65D90" w:rsidRPr="004D527B" w:rsidRDefault="00B65D90" w:rsidP="004D527B">
      <w:pPr>
        <w:pStyle w:val="Item"/>
      </w:pPr>
      <w:r w:rsidRPr="004D527B">
        <w:t>Add:</w:t>
      </w:r>
    </w:p>
    <w:p w14:paraId="3606BE15" w14:textId="77777777" w:rsidR="00B65D90" w:rsidRPr="004D527B" w:rsidRDefault="00B65D90" w:rsidP="004D527B">
      <w:pPr>
        <w:pStyle w:val="ActHead5"/>
      </w:pPr>
      <w:bookmarkStart w:id="9" w:name="_Toc96675021"/>
      <w:r w:rsidRPr="00B77988">
        <w:rPr>
          <w:rStyle w:val="CharSectno"/>
        </w:rPr>
        <w:t>3A</w:t>
      </w:r>
      <w:r w:rsidRPr="004D527B">
        <w:t xml:space="preserve">  Relationship with Fair Work Acts</w:t>
      </w:r>
      <w:bookmarkEnd w:id="9"/>
    </w:p>
    <w:p w14:paraId="3BB6ECAB" w14:textId="77777777" w:rsidR="00B65D90" w:rsidRPr="004D527B" w:rsidRDefault="00B65D90" w:rsidP="004D527B">
      <w:pPr>
        <w:pStyle w:val="subsection"/>
      </w:pPr>
      <w:r w:rsidRPr="004D527B">
        <w:tab/>
        <w:t>(1)</w:t>
      </w:r>
      <w:r w:rsidRPr="004D527B">
        <w:tab/>
        <w:t xml:space="preserve">This Act has effect subject to the </w:t>
      </w:r>
      <w:r w:rsidRPr="004D527B">
        <w:rPr>
          <w:i/>
        </w:rPr>
        <w:t>Fair Work Act 2009</w:t>
      </w:r>
      <w:r w:rsidRPr="004D527B">
        <w:t xml:space="preserve"> and the </w:t>
      </w:r>
      <w:r w:rsidRPr="004D527B">
        <w:rPr>
          <w:i/>
        </w:rPr>
        <w:t>Fair Work (Transitional Provisions and Consequential Amendments) Act 2009</w:t>
      </w:r>
      <w:r w:rsidRPr="004D527B">
        <w:t>.</w:t>
      </w:r>
    </w:p>
    <w:p w14:paraId="73A22912" w14:textId="77777777" w:rsidR="00B65D90" w:rsidRPr="004D527B" w:rsidRDefault="00B65D90" w:rsidP="004D527B">
      <w:pPr>
        <w:pStyle w:val="subsection"/>
      </w:pPr>
      <w:r w:rsidRPr="004D527B">
        <w:tab/>
        <w:t>(2)</w:t>
      </w:r>
      <w:r w:rsidRPr="004D527B">
        <w:tab/>
      </w:r>
      <w:r w:rsidR="00D93385" w:rsidRPr="004D527B">
        <w:t>Subsection (</w:t>
      </w:r>
      <w:r w:rsidRPr="004D527B">
        <w:t xml:space="preserve">1) is not intended to imply anything about the relationship between this Act and any Act other than the </w:t>
      </w:r>
      <w:r w:rsidRPr="004D527B">
        <w:rPr>
          <w:i/>
        </w:rPr>
        <w:t>Fair Work Act 2009</w:t>
      </w:r>
      <w:r w:rsidRPr="004D527B">
        <w:t xml:space="preserve"> or the </w:t>
      </w:r>
      <w:r w:rsidRPr="004D527B">
        <w:rPr>
          <w:i/>
        </w:rPr>
        <w:t>Fair Work (Transitional Provisions and Consequential Amendments) Act 2009</w:t>
      </w:r>
      <w:r w:rsidRPr="004D527B">
        <w:t>.</w:t>
      </w:r>
    </w:p>
    <w:p w14:paraId="2F0E8649" w14:textId="77777777" w:rsidR="00B65D90" w:rsidRPr="004D527B" w:rsidRDefault="00B65D90" w:rsidP="004D527B">
      <w:pPr>
        <w:pStyle w:val="ItemHead"/>
      </w:pPr>
      <w:r w:rsidRPr="004D527B">
        <w:t>2  After subsection 16(3)</w:t>
      </w:r>
    </w:p>
    <w:p w14:paraId="5B4263FA" w14:textId="77777777" w:rsidR="00B65D90" w:rsidRPr="004D527B" w:rsidRDefault="00B65D90" w:rsidP="004D527B">
      <w:pPr>
        <w:pStyle w:val="Item"/>
      </w:pPr>
      <w:r w:rsidRPr="004D527B">
        <w:t>Insert:</w:t>
      </w:r>
    </w:p>
    <w:p w14:paraId="1D025646" w14:textId="77777777" w:rsidR="00B65D90" w:rsidRPr="004D527B" w:rsidRDefault="00B65D90" w:rsidP="004D527B">
      <w:pPr>
        <w:pStyle w:val="subsection"/>
      </w:pPr>
      <w:r w:rsidRPr="004D527B">
        <w:tab/>
        <w:t>(3A)</w:t>
      </w:r>
      <w:r w:rsidRPr="004D527B">
        <w:tab/>
        <w:t>The notice must specify the ground or grounds that are relied on for the termination.</w:t>
      </w:r>
    </w:p>
    <w:p w14:paraId="7DB476D8" w14:textId="77777777" w:rsidR="00B65D90" w:rsidRPr="004D527B" w:rsidRDefault="00B65D90" w:rsidP="004D527B">
      <w:pPr>
        <w:pStyle w:val="notetext"/>
      </w:pPr>
      <w:r w:rsidRPr="004D527B">
        <w:t>Note 1:</w:t>
      </w:r>
      <w:r w:rsidRPr="004D527B">
        <w:tab/>
        <w:t xml:space="preserve">The </w:t>
      </w:r>
      <w:r w:rsidRPr="004D527B">
        <w:rPr>
          <w:i/>
        </w:rPr>
        <w:t>Fair Work Act 2009</w:t>
      </w:r>
      <w:r w:rsidRPr="004D527B">
        <w:t xml:space="preserve"> has rules and entitlements that apply to termination of employment. See</w:t>
      </w:r>
      <w:r w:rsidR="003D36E0" w:rsidRPr="004D527B">
        <w:t>,</w:t>
      </w:r>
      <w:r w:rsidRPr="004D527B">
        <w:t xml:space="preserve"> for example</w:t>
      </w:r>
      <w:r w:rsidR="003D36E0" w:rsidRPr="004D527B">
        <w:t>,</w:t>
      </w:r>
      <w:r w:rsidRPr="004D527B">
        <w:t xml:space="preserve"> Parts 3</w:t>
      </w:r>
      <w:r w:rsidR="004D527B">
        <w:noBreakHyphen/>
      </w:r>
      <w:r w:rsidRPr="004D527B">
        <w:t>1 (general protections) and 3</w:t>
      </w:r>
      <w:r w:rsidR="004D527B">
        <w:noBreakHyphen/>
      </w:r>
      <w:r w:rsidRPr="004D527B">
        <w:t>2 (unfair dismissal) of that Act.</w:t>
      </w:r>
    </w:p>
    <w:p w14:paraId="0F403E3F" w14:textId="77777777" w:rsidR="00B65D90" w:rsidRPr="004D527B" w:rsidRDefault="00B65D90" w:rsidP="004D527B">
      <w:pPr>
        <w:pStyle w:val="notetext"/>
      </w:pPr>
      <w:r w:rsidRPr="004D527B">
        <w:t>Note 2:</w:t>
      </w:r>
      <w:r w:rsidRPr="004D527B">
        <w:tab/>
        <w:t>Additional rules or procedures to be followed in terminating the employment of a person under this Part may be set out in:</w:t>
      </w:r>
    </w:p>
    <w:p w14:paraId="2EA0C171" w14:textId="77777777" w:rsidR="00B65D90" w:rsidRPr="004D527B" w:rsidRDefault="00B65D90" w:rsidP="004D527B">
      <w:pPr>
        <w:pStyle w:val="notepara"/>
      </w:pPr>
      <w:r w:rsidRPr="004D527B">
        <w:t>(a)</w:t>
      </w:r>
      <w:r w:rsidRPr="004D527B">
        <w:tab/>
        <w:t>the agreement for the employment of the person; or</w:t>
      </w:r>
    </w:p>
    <w:p w14:paraId="6829DB9F" w14:textId="77777777" w:rsidR="00B65D90" w:rsidRPr="004D527B" w:rsidRDefault="00B65D90" w:rsidP="004D527B">
      <w:pPr>
        <w:pStyle w:val="notepara"/>
      </w:pPr>
      <w:r w:rsidRPr="004D527B">
        <w:t>(b)</w:t>
      </w:r>
      <w:r w:rsidRPr="004D527B">
        <w:tab/>
        <w:t xml:space="preserve">fair work instruments (within the meaning of the </w:t>
      </w:r>
      <w:r w:rsidRPr="004D527B">
        <w:rPr>
          <w:i/>
        </w:rPr>
        <w:t>Fair Work Act 2009</w:t>
      </w:r>
      <w:r w:rsidRPr="004D527B">
        <w:t>); or</w:t>
      </w:r>
    </w:p>
    <w:p w14:paraId="28DB5F38" w14:textId="77777777" w:rsidR="00B65D90" w:rsidRPr="004D527B" w:rsidRDefault="00B65D90" w:rsidP="004D527B">
      <w:pPr>
        <w:pStyle w:val="notepara"/>
      </w:pPr>
      <w:r w:rsidRPr="004D527B">
        <w:t>(c)</w:t>
      </w:r>
      <w:r w:rsidRPr="004D527B">
        <w:tab/>
        <w:t>determinations made under subsection 13(2) or 14(3) of this Act.</w:t>
      </w:r>
    </w:p>
    <w:p w14:paraId="02E0B5DF" w14:textId="77777777" w:rsidR="00B65D90" w:rsidRPr="004D527B" w:rsidRDefault="00B65D90" w:rsidP="004D527B">
      <w:pPr>
        <w:pStyle w:val="notetext"/>
      </w:pPr>
      <w:r w:rsidRPr="004D527B">
        <w:t>Note 3:</w:t>
      </w:r>
      <w:r w:rsidRPr="004D527B">
        <w:tab/>
        <w:t>Termination of employment may be unlawful under anti</w:t>
      </w:r>
      <w:r w:rsidR="004D527B">
        <w:noBreakHyphen/>
      </w:r>
      <w:r w:rsidRPr="004D527B">
        <w:t>discrimination laws in certain circumstances.</w:t>
      </w:r>
    </w:p>
    <w:p w14:paraId="01ADED47" w14:textId="77777777" w:rsidR="00B65D90" w:rsidRPr="004D527B" w:rsidRDefault="00B65D90" w:rsidP="004D527B">
      <w:pPr>
        <w:pStyle w:val="ItemHead"/>
      </w:pPr>
      <w:r w:rsidRPr="004D527B">
        <w:t>3  After sub</w:t>
      </w:r>
      <w:r w:rsidR="00D93385" w:rsidRPr="004D527B">
        <w:t>section 2</w:t>
      </w:r>
      <w:r w:rsidRPr="004D527B">
        <w:t>3(2)</w:t>
      </w:r>
    </w:p>
    <w:p w14:paraId="0874784B" w14:textId="77777777" w:rsidR="00B65D90" w:rsidRPr="004D527B" w:rsidRDefault="00B65D90" w:rsidP="004D527B">
      <w:pPr>
        <w:pStyle w:val="Item"/>
      </w:pPr>
      <w:r w:rsidRPr="004D527B">
        <w:t>Insert:</w:t>
      </w:r>
    </w:p>
    <w:p w14:paraId="773781E5" w14:textId="77777777" w:rsidR="00B65D90" w:rsidRPr="004D527B" w:rsidRDefault="00B65D90" w:rsidP="004D527B">
      <w:pPr>
        <w:pStyle w:val="subsection"/>
      </w:pPr>
      <w:r w:rsidRPr="004D527B">
        <w:lastRenderedPageBreak/>
        <w:tab/>
        <w:t>(2A)</w:t>
      </w:r>
      <w:r w:rsidRPr="004D527B">
        <w:tab/>
        <w:t>The notice must specify the ground or grounds that are relied on for the termination.</w:t>
      </w:r>
    </w:p>
    <w:p w14:paraId="277F30AA" w14:textId="77777777" w:rsidR="00B65D90" w:rsidRPr="004D527B" w:rsidRDefault="00B65D90" w:rsidP="004D527B">
      <w:pPr>
        <w:pStyle w:val="notetext"/>
      </w:pPr>
      <w:r w:rsidRPr="004D527B">
        <w:t>Note 1:</w:t>
      </w:r>
      <w:r w:rsidRPr="004D527B">
        <w:tab/>
        <w:t xml:space="preserve">The </w:t>
      </w:r>
      <w:r w:rsidRPr="004D527B">
        <w:rPr>
          <w:i/>
        </w:rPr>
        <w:t>Fair Work Act 2009</w:t>
      </w:r>
      <w:r w:rsidRPr="004D527B">
        <w:t xml:space="preserve"> has rules and entitlements that apply to termination of employment. See</w:t>
      </w:r>
      <w:r w:rsidR="003D36E0" w:rsidRPr="004D527B">
        <w:t>,</w:t>
      </w:r>
      <w:r w:rsidRPr="004D527B">
        <w:t xml:space="preserve"> for example</w:t>
      </w:r>
      <w:r w:rsidR="003D36E0" w:rsidRPr="004D527B">
        <w:t>,</w:t>
      </w:r>
      <w:r w:rsidRPr="004D527B">
        <w:t xml:space="preserve"> Parts 3</w:t>
      </w:r>
      <w:r w:rsidR="004D527B">
        <w:noBreakHyphen/>
      </w:r>
      <w:r w:rsidRPr="004D527B">
        <w:t>1 (general protections) and 3</w:t>
      </w:r>
      <w:r w:rsidR="004D527B">
        <w:noBreakHyphen/>
      </w:r>
      <w:r w:rsidRPr="004D527B">
        <w:t>2 (unfair dismissal) of that Act.</w:t>
      </w:r>
    </w:p>
    <w:p w14:paraId="557A9E95" w14:textId="77777777" w:rsidR="00B65D90" w:rsidRPr="004D527B" w:rsidRDefault="00B65D90" w:rsidP="004D527B">
      <w:pPr>
        <w:pStyle w:val="notetext"/>
      </w:pPr>
      <w:r w:rsidRPr="004D527B">
        <w:t>Note 2:</w:t>
      </w:r>
      <w:r w:rsidRPr="004D527B">
        <w:tab/>
        <w:t>Additional rules or procedures to be followed in terminating the employment of a person under this Part may be set out in:</w:t>
      </w:r>
    </w:p>
    <w:p w14:paraId="5C229624" w14:textId="77777777" w:rsidR="00B65D90" w:rsidRPr="004D527B" w:rsidRDefault="00B65D90" w:rsidP="004D527B">
      <w:pPr>
        <w:pStyle w:val="notepara"/>
      </w:pPr>
      <w:r w:rsidRPr="004D527B">
        <w:t>(a)</w:t>
      </w:r>
      <w:r w:rsidRPr="004D527B">
        <w:tab/>
        <w:t>the agreement for the employment of the person; or</w:t>
      </w:r>
    </w:p>
    <w:p w14:paraId="35E6BF04" w14:textId="77777777" w:rsidR="00B65D90" w:rsidRPr="004D527B" w:rsidRDefault="00B65D90" w:rsidP="004D527B">
      <w:pPr>
        <w:pStyle w:val="notepara"/>
      </w:pPr>
      <w:r w:rsidRPr="004D527B">
        <w:t>(b)</w:t>
      </w:r>
      <w:r w:rsidRPr="004D527B">
        <w:tab/>
        <w:t xml:space="preserve">fair work instruments (within the meaning of the </w:t>
      </w:r>
      <w:r w:rsidRPr="004D527B">
        <w:rPr>
          <w:i/>
        </w:rPr>
        <w:t>Fair Work Act 2009</w:t>
      </w:r>
      <w:r w:rsidRPr="004D527B">
        <w:t>); or</w:t>
      </w:r>
    </w:p>
    <w:p w14:paraId="703AD16B" w14:textId="77777777" w:rsidR="00B65D90" w:rsidRPr="004D527B" w:rsidRDefault="00B65D90" w:rsidP="004D527B">
      <w:pPr>
        <w:pStyle w:val="notepara"/>
      </w:pPr>
      <w:r w:rsidRPr="004D527B">
        <w:t>(c)</w:t>
      </w:r>
      <w:r w:rsidRPr="004D527B">
        <w:tab/>
        <w:t>determinations made under sub</w:t>
      </w:r>
      <w:r w:rsidR="00D93385" w:rsidRPr="004D527B">
        <w:t>section 2</w:t>
      </w:r>
      <w:r w:rsidRPr="004D527B">
        <w:t>0(2) or 21(3) of this Act.</w:t>
      </w:r>
    </w:p>
    <w:p w14:paraId="1B80F554" w14:textId="77777777" w:rsidR="00B65D90" w:rsidRPr="004D527B" w:rsidRDefault="00B65D90" w:rsidP="004D527B">
      <w:pPr>
        <w:pStyle w:val="notetext"/>
      </w:pPr>
      <w:r w:rsidRPr="004D527B">
        <w:t>Note 3:</w:t>
      </w:r>
      <w:r w:rsidRPr="004D527B">
        <w:tab/>
        <w:t>Termination of employment may be unlawful under anti</w:t>
      </w:r>
      <w:r w:rsidR="004D527B">
        <w:noBreakHyphen/>
      </w:r>
      <w:r w:rsidRPr="004D527B">
        <w:t>discrimination laws in certain circumstances.</w:t>
      </w:r>
    </w:p>
    <w:p w14:paraId="3D5049F1" w14:textId="77777777" w:rsidR="00DE28B4" w:rsidRPr="004D527B" w:rsidRDefault="005B5343" w:rsidP="004D527B">
      <w:pPr>
        <w:pStyle w:val="ActHead6"/>
        <w:pageBreakBefore/>
      </w:pPr>
      <w:bookmarkStart w:id="10" w:name="_Toc96675022"/>
      <w:r w:rsidRPr="00B77988">
        <w:rPr>
          <w:rStyle w:val="CharAmSchNo"/>
        </w:rPr>
        <w:lastRenderedPageBreak/>
        <w:t>Schedule 2</w:t>
      </w:r>
      <w:r w:rsidR="00DE28B4" w:rsidRPr="004D527B">
        <w:t>—</w:t>
      </w:r>
      <w:r w:rsidR="00B36E74" w:rsidRPr="00B77988">
        <w:rPr>
          <w:rStyle w:val="CharAmSchText"/>
        </w:rPr>
        <w:t>Clarifying work health and safety duties of parliamentarians</w:t>
      </w:r>
      <w:bookmarkEnd w:id="10"/>
    </w:p>
    <w:p w14:paraId="4C3185C1" w14:textId="77777777" w:rsidR="00B36E74" w:rsidRPr="00B77988" w:rsidRDefault="00B36E74" w:rsidP="004D527B">
      <w:pPr>
        <w:pStyle w:val="Header"/>
      </w:pPr>
      <w:r w:rsidRPr="00B77988">
        <w:rPr>
          <w:rStyle w:val="CharAmPartNo"/>
        </w:rPr>
        <w:t xml:space="preserve"> </w:t>
      </w:r>
      <w:r w:rsidRPr="00B77988">
        <w:rPr>
          <w:rStyle w:val="CharAmPartText"/>
        </w:rPr>
        <w:t xml:space="preserve"> </w:t>
      </w:r>
    </w:p>
    <w:p w14:paraId="22E529D6" w14:textId="77777777" w:rsidR="00B36E74" w:rsidRPr="004D527B" w:rsidRDefault="00B36E74" w:rsidP="004D527B">
      <w:pPr>
        <w:pStyle w:val="ActHead9"/>
      </w:pPr>
      <w:bookmarkStart w:id="11" w:name="_Toc96675023"/>
      <w:r w:rsidRPr="004D527B">
        <w:t>Work Health and Safety Act 2011</w:t>
      </w:r>
      <w:bookmarkEnd w:id="11"/>
    </w:p>
    <w:p w14:paraId="4C82BFB9" w14:textId="77777777" w:rsidR="00B36E74" w:rsidRPr="004D527B" w:rsidRDefault="00B36E74" w:rsidP="004D527B">
      <w:pPr>
        <w:pStyle w:val="ItemHead"/>
      </w:pPr>
      <w:r w:rsidRPr="004D527B">
        <w:t xml:space="preserve">1  </w:t>
      </w:r>
      <w:r w:rsidR="00D93385" w:rsidRPr="004D527B">
        <w:t>Section 4</w:t>
      </w:r>
    </w:p>
    <w:p w14:paraId="4F01F2E6" w14:textId="77777777" w:rsidR="00B36E74" w:rsidRPr="004D527B" w:rsidRDefault="00B36E74" w:rsidP="004D527B">
      <w:pPr>
        <w:pStyle w:val="Item"/>
      </w:pPr>
      <w:r w:rsidRPr="004D527B">
        <w:t>Insert:</w:t>
      </w:r>
    </w:p>
    <w:p w14:paraId="18D04177" w14:textId="77777777" w:rsidR="00B36E74" w:rsidRPr="004D527B" w:rsidRDefault="00B36E74" w:rsidP="004D527B">
      <w:pPr>
        <w:pStyle w:val="Definition"/>
      </w:pPr>
      <w:r w:rsidRPr="004D527B">
        <w:rPr>
          <w:b/>
          <w:i/>
        </w:rPr>
        <w:t>parliamentarian</w:t>
      </w:r>
      <w:r w:rsidRPr="004D527B">
        <w:t xml:space="preserve"> means:</w:t>
      </w:r>
    </w:p>
    <w:p w14:paraId="086C38E4" w14:textId="77777777" w:rsidR="00B36E74" w:rsidRPr="004D527B" w:rsidRDefault="00B36E74" w:rsidP="004D527B">
      <w:pPr>
        <w:pStyle w:val="paragraph"/>
      </w:pPr>
      <w:r w:rsidRPr="004D527B">
        <w:tab/>
        <w:t>(a)</w:t>
      </w:r>
      <w:r w:rsidRPr="004D527B">
        <w:tab/>
        <w:t>a Senator; or</w:t>
      </w:r>
    </w:p>
    <w:p w14:paraId="3ACF4152" w14:textId="77777777" w:rsidR="00B36E74" w:rsidRPr="004D527B" w:rsidRDefault="00B36E74" w:rsidP="004D527B">
      <w:pPr>
        <w:pStyle w:val="paragraph"/>
      </w:pPr>
      <w:r w:rsidRPr="004D527B">
        <w:tab/>
        <w:t>(b)</w:t>
      </w:r>
      <w:r w:rsidRPr="004D527B">
        <w:tab/>
        <w:t>a Member of the House of Representatives; or</w:t>
      </w:r>
    </w:p>
    <w:p w14:paraId="3C09ACFF" w14:textId="77777777" w:rsidR="00B36E74" w:rsidRPr="004D527B" w:rsidRDefault="00B36E74" w:rsidP="004D527B">
      <w:pPr>
        <w:pStyle w:val="paragraph"/>
      </w:pPr>
      <w:r w:rsidRPr="004D527B">
        <w:tab/>
        <w:t>(c)</w:t>
      </w:r>
      <w:r w:rsidRPr="004D527B">
        <w:tab/>
        <w:t>a Minister of State who is not a Senator or Member of the House of Representatives; or</w:t>
      </w:r>
    </w:p>
    <w:p w14:paraId="5A3E940B" w14:textId="77777777" w:rsidR="00B36E74" w:rsidRPr="004D527B" w:rsidRDefault="00B36E74" w:rsidP="004D527B">
      <w:pPr>
        <w:pStyle w:val="paragraph"/>
      </w:pPr>
      <w:r w:rsidRPr="004D527B">
        <w:tab/>
        <w:t>(d)</w:t>
      </w:r>
      <w:r w:rsidRPr="004D527B">
        <w:tab/>
        <w:t xml:space="preserve">a person who is taken to be the President of the Senate under the </w:t>
      </w:r>
      <w:r w:rsidRPr="004D527B">
        <w:rPr>
          <w:i/>
        </w:rPr>
        <w:t>Parliamentary Presiding Officers Act 1965</w:t>
      </w:r>
      <w:r w:rsidRPr="004D527B">
        <w:t xml:space="preserve"> and who is not a Senator or Member of the House of Representatives; or</w:t>
      </w:r>
    </w:p>
    <w:p w14:paraId="2DC248EF" w14:textId="77777777" w:rsidR="00B36E74" w:rsidRPr="004D527B" w:rsidRDefault="00B36E74" w:rsidP="004D527B">
      <w:pPr>
        <w:pStyle w:val="paragraph"/>
      </w:pPr>
      <w:r w:rsidRPr="004D527B">
        <w:tab/>
        <w:t>(e)</w:t>
      </w:r>
      <w:r w:rsidRPr="004D527B">
        <w:tab/>
        <w:t xml:space="preserve">a person who is taken to be the Speaker of the House of Representatives under the </w:t>
      </w:r>
      <w:r w:rsidRPr="004D527B">
        <w:rPr>
          <w:i/>
        </w:rPr>
        <w:t>Parliamentary Presiding Officers Act 1965</w:t>
      </w:r>
      <w:r w:rsidRPr="004D527B">
        <w:t xml:space="preserve"> and who is not a Senator or Member of the House of Representatives; or</w:t>
      </w:r>
    </w:p>
    <w:p w14:paraId="1174B19F" w14:textId="77777777" w:rsidR="00B36E74" w:rsidRPr="004D527B" w:rsidRDefault="00B36E74" w:rsidP="004D527B">
      <w:pPr>
        <w:pStyle w:val="paragraph"/>
      </w:pPr>
      <w:r w:rsidRPr="004D527B">
        <w:tab/>
        <w:t>(f)</w:t>
      </w:r>
      <w:r w:rsidRPr="004D527B">
        <w:tab/>
        <w:t xml:space="preserve">any other person to whom remuneration is payable under section 49 of the </w:t>
      </w:r>
      <w:r w:rsidRPr="004D527B">
        <w:rPr>
          <w:i/>
        </w:rPr>
        <w:t>Parliamentary Business Resources Act 2017</w:t>
      </w:r>
      <w:r w:rsidRPr="004D527B">
        <w:t>.</w:t>
      </w:r>
    </w:p>
    <w:p w14:paraId="44CEEE76" w14:textId="77777777" w:rsidR="00B36E74" w:rsidRPr="004D527B" w:rsidRDefault="00B36E74" w:rsidP="004D527B">
      <w:pPr>
        <w:pStyle w:val="ItemHead"/>
      </w:pPr>
      <w:r w:rsidRPr="004D527B">
        <w:t xml:space="preserve">2  </w:t>
      </w:r>
      <w:r w:rsidR="00D93385" w:rsidRPr="004D527B">
        <w:t>Subsection 2</w:t>
      </w:r>
      <w:r w:rsidRPr="004D527B">
        <w:t>47(</w:t>
      </w:r>
      <w:r w:rsidR="00CF3CC8" w:rsidRPr="004D527B">
        <w:t>2</w:t>
      </w:r>
      <w:r w:rsidRPr="004D527B">
        <w:t>)</w:t>
      </w:r>
    </w:p>
    <w:p w14:paraId="519F0C91" w14:textId="77777777" w:rsidR="00B36E74" w:rsidRPr="004D527B" w:rsidRDefault="00B36E74" w:rsidP="004D527B">
      <w:pPr>
        <w:pStyle w:val="Item"/>
      </w:pPr>
      <w:r w:rsidRPr="004D527B">
        <w:t xml:space="preserve">Omit “A Minister”, substitute “Subject to </w:t>
      </w:r>
      <w:r w:rsidR="00D93385" w:rsidRPr="004D527B">
        <w:t>subsection (</w:t>
      </w:r>
      <w:r w:rsidRPr="004D527B">
        <w:t>3), a Minister”.</w:t>
      </w:r>
    </w:p>
    <w:p w14:paraId="5DB1FF80" w14:textId="77777777" w:rsidR="00B36E74" w:rsidRPr="004D527B" w:rsidRDefault="00B36E74" w:rsidP="004D527B">
      <w:pPr>
        <w:pStyle w:val="ItemHead"/>
      </w:pPr>
      <w:r w:rsidRPr="004D527B">
        <w:t xml:space="preserve">3  At the end of </w:t>
      </w:r>
      <w:r w:rsidR="00D93385" w:rsidRPr="004D527B">
        <w:t>section 2</w:t>
      </w:r>
      <w:r w:rsidRPr="004D527B">
        <w:t>47</w:t>
      </w:r>
    </w:p>
    <w:p w14:paraId="10A3AFC3" w14:textId="77777777" w:rsidR="00B36E74" w:rsidRPr="004D527B" w:rsidRDefault="00B36E74" w:rsidP="004D527B">
      <w:pPr>
        <w:pStyle w:val="Item"/>
      </w:pPr>
      <w:r w:rsidRPr="004D527B">
        <w:t>Add:</w:t>
      </w:r>
    </w:p>
    <w:p w14:paraId="729A92A5" w14:textId="77777777" w:rsidR="00B36E74" w:rsidRPr="004D527B" w:rsidRDefault="00B36E74" w:rsidP="004D527B">
      <w:pPr>
        <w:pStyle w:val="subsection"/>
      </w:pPr>
      <w:r w:rsidRPr="004D527B">
        <w:tab/>
        <w:t>(3)</w:t>
      </w:r>
      <w:r w:rsidRPr="004D527B">
        <w:tab/>
        <w:t>To avoid doubt, a parliamentarian is an officer of the Commonwealth for the purposes of this Act in respect of the business or undertaking of the Commonwealth constituted by the provision by the Commonwealth of support for the functioning of the Parliament.</w:t>
      </w:r>
    </w:p>
    <w:p w14:paraId="2EF8B6BC" w14:textId="77777777" w:rsidR="00B36E74" w:rsidRPr="004D527B" w:rsidRDefault="00B36E74" w:rsidP="004D527B">
      <w:pPr>
        <w:pStyle w:val="subsection"/>
      </w:pPr>
      <w:r w:rsidRPr="004D527B">
        <w:tab/>
      </w:r>
      <w:bookmarkStart w:id="12" w:name="_Hlk94783683"/>
      <w:r w:rsidRPr="004D527B">
        <w:t>(4)</w:t>
      </w:r>
      <w:r w:rsidRPr="004D527B">
        <w:tab/>
      </w:r>
      <w:r w:rsidR="00D93385" w:rsidRPr="004D527B">
        <w:t>Subsection (</w:t>
      </w:r>
      <w:r w:rsidRPr="004D527B">
        <w:t>3) does not limit:</w:t>
      </w:r>
    </w:p>
    <w:p w14:paraId="16870844" w14:textId="77777777" w:rsidR="00B36E74" w:rsidRPr="004D527B" w:rsidRDefault="00B36E74" w:rsidP="004D527B">
      <w:pPr>
        <w:pStyle w:val="paragraph"/>
      </w:pPr>
      <w:r w:rsidRPr="004D527B">
        <w:lastRenderedPageBreak/>
        <w:tab/>
        <w:t>(a)</w:t>
      </w:r>
      <w:r w:rsidRPr="004D527B">
        <w:tab/>
        <w:t>who may be an officer of the Commonwealth for the purposes of this Act in respect of the business or undertaking described in that subsection; or</w:t>
      </w:r>
    </w:p>
    <w:p w14:paraId="5554D47F" w14:textId="77777777" w:rsidR="00B36E74" w:rsidRPr="004D527B" w:rsidRDefault="00B36E74" w:rsidP="004D527B">
      <w:pPr>
        <w:pStyle w:val="paragraph"/>
      </w:pPr>
      <w:r w:rsidRPr="004D527B">
        <w:tab/>
        <w:t>(b)</w:t>
      </w:r>
      <w:r w:rsidRPr="004D527B">
        <w:tab/>
        <w:t>the circumstances in which a parliamentarian may be an officer of a person conducting a business or undertaking for the purposes of this Act.</w:t>
      </w:r>
      <w:bookmarkEnd w:id="12"/>
    </w:p>
    <w:p w14:paraId="3268E407" w14:textId="77777777" w:rsidR="003E24DA" w:rsidRPr="004D527B" w:rsidRDefault="003E24DA" w:rsidP="004D527B">
      <w:pPr>
        <w:pStyle w:val="ActHead6"/>
        <w:pageBreakBefore/>
      </w:pPr>
      <w:bookmarkStart w:id="13" w:name="_Toc96675024"/>
      <w:r w:rsidRPr="00B77988">
        <w:rPr>
          <w:rStyle w:val="CharAmSchNo"/>
        </w:rPr>
        <w:lastRenderedPageBreak/>
        <w:t>Schedule 3</w:t>
      </w:r>
      <w:r w:rsidRPr="004D527B">
        <w:t>—</w:t>
      </w:r>
      <w:r w:rsidR="009957DB" w:rsidRPr="00B77988">
        <w:rPr>
          <w:rStyle w:val="CharAmSchText"/>
        </w:rPr>
        <w:t>Clarifying the operation of anti</w:t>
      </w:r>
      <w:r w:rsidR="004D527B" w:rsidRPr="00B77988">
        <w:rPr>
          <w:rStyle w:val="CharAmSchText"/>
        </w:rPr>
        <w:noBreakHyphen/>
      </w:r>
      <w:r w:rsidR="009957DB" w:rsidRPr="00B77988">
        <w:rPr>
          <w:rStyle w:val="CharAmSchText"/>
        </w:rPr>
        <w:t>discrimination legislation for parliamentarians’ staff</w:t>
      </w:r>
      <w:bookmarkEnd w:id="13"/>
    </w:p>
    <w:bookmarkEnd w:id="5"/>
    <w:bookmarkEnd w:id="6"/>
    <w:p w14:paraId="7D00BCDA" w14:textId="77777777" w:rsidR="003E24DA" w:rsidRPr="00B77988" w:rsidRDefault="003E24DA" w:rsidP="004D527B">
      <w:pPr>
        <w:pStyle w:val="Header"/>
      </w:pPr>
      <w:r w:rsidRPr="00B77988">
        <w:rPr>
          <w:rStyle w:val="CharAmPartNo"/>
        </w:rPr>
        <w:t xml:space="preserve"> </w:t>
      </w:r>
      <w:r w:rsidRPr="00B77988">
        <w:rPr>
          <w:rStyle w:val="CharAmPartText"/>
        </w:rPr>
        <w:t xml:space="preserve"> </w:t>
      </w:r>
    </w:p>
    <w:p w14:paraId="2059EF02" w14:textId="77777777" w:rsidR="003E24DA" w:rsidRPr="004D527B" w:rsidRDefault="003E24DA" w:rsidP="004D527B">
      <w:pPr>
        <w:pStyle w:val="ActHead9"/>
        <w:rPr>
          <w:i w:val="0"/>
        </w:rPr>
      </w:pPr>
      <w:bookmarkStart w:id="14" w:name="_Toc96675025"/>
      <w:r w:rsidRPr="004D527B">
        <w:t>Age Discrimination Act 2004</w:t>
      </w:r>
      <w:bookmarkEnd w:id="14"/>
    </w:p>
    <w:p w14:paraId="3532E449" w14:textId="77777777" w:rsidR="003E24DA" w:rsidRPr="004D527B" w:rsidRDefault="003E24DA" w:rsidP="004D527B">
      <w:pPr>
        <w:pStyle w:val="ItemHead"/>
      </w:pPr>
      <w:r w:rsidRPr="004D527B">
        <w:t xml:space="preserve">1  Section 5 (at the end of the definition of </w:t>
      </w:r>
      <w:r w:rsidRPr="004D527B">
        <w:rPr>
          <w:i/>
        </w:rPr>
        <w:t>administrative office</w:t>
      </w:r>
      <w:r w:rsidRPr="004D527B">
        <w:t>)</w:t>
      </w:r>
    </w:p>
    <w:p w14:paraId="7C6CA613" w14:textId="77777777" w:rsidR="003E24DA" w:rsidRPr="004D527B" w:rsidRDefault="003E24DA" w:rsidP="004D527B">
      <w:pPr>
        <w:pStyle w:val="Item"/>
      </w:pPr>
      <w:r w:rsidRPr="004D527B">
        <w:t>Add:</w:t>
      </w:r>
    </w:p>
    <w:p w14:paraId="6F2C13C5" w14:textId="77777777" w:rsidR="003E24DA" w:rsidRPr="004D527B" w:rsidRDefault="003E24DA" w:rsidP="004D527B">
      <w:pPr>
        <w:pStyle w:val="paragraph"/>
      </w:pPr>
      <w:r w:rsidRPr="004D527B">
        <w:tab/>
        <w:t>; or (</w:t>
      </w:r>
      <w:proofErr w:type="spellStart"/>
      <w:r w:rsidRPr="004D527B">
        <w:t>i</w:t>
      </w:r>
      <w:proofErr w:type="spellEnd"/>
      <w:r w:rsidRPr="004D527B">
        <w:t>)</w:t>
      </w:r>
      <w:r w:rsidRPr="004D527B">
        <w:tab/>
        <w:t xml:space="preserve">an office of a person employed or engaged under the </w:t>
      </w:r>
      <w:r w:rsidRPr="004D527B">
        <w:rPr>
          <w:i/>
        </w:rPr>
        <w:t>Members of Parliament (Staff) Act 1984</w:t>
      </w:r>
      <w:r w:rsidRPr="004D527B">
        <w:t>.</w:t>
      </w:r>
    </w:p>
    <w:p w14:paraId="08FF69ED" w14:textId="77777777" w:rsidR="003E24DA" w:rsidRPr="004D527B" w:rsidRDefault="003E24DA" w:rsidP="004D527B">
      <w:pPr>
        <w:pStyle w:val="notetext"/>
      </w:pPr>
      <w:r w:rsidRPr="004D527B">
        <w:t>Note:</w:t>
      </w:r>
      <w:r w:rsidRPr="004D527B">
        <w:tab/>
        <w:t>A person who holds an office mentioned in paragraph (h) or (</w:t>
      </w:r>
      <w:proofErr w:type="spellStart"/>
      <w:r w:rsidRPr="004D527B">
        <w:t>i</w:t>
      </w:r>
      <w:proofErr w:type="spellEnd"/>
      <w:r w:rsidRPr="004D527B">
        <w:t xml:space="preserve">) is covered by the definition of </w:t>
      </w:r>
      <w:r w:rsidRPr="004D527B">
        <w:rPr>
          <w:b/>
          <w:i/>
        </w:rPr>
        <w:t>Commonwealth employee</w:t>
      </w:r>
      <w:r w:rsidRPr="004D527B">
        <w:t>.</w:t>
      </w:r>
    </w:p>
    <w:p w14:paraId="498F583A" w14:textId="77777777" w:rsidR="003E24DA" w:rsidRPr="004D527B" w:rsidRDefault="003E24DA" w:rsidP="004D527B">
      <w:pPr>
        <w:pStyle w:val="ItemHead"/>
      </w:pPr>
      <w:r w:rsidRPr="004D527B">
        <w:t xml:space="preserve">2  Section 5 (at the end of the definition of </w:t>
      </w:r>
      <w:r w:rsidRPr="004D527B">
        <w:rPr>
          <w:i/>
        </w:rPr>
        <w:t>Commonwealth employee</w:t>
      </w:r>
      <w:r w:rsidRPr="004D527B">
        <w:t>)</w:t>
      </w:r>
    </w:p>
    <w:p w14:paraId="1B388C94" w14:textId="77777777" w:rsidR="003E24DA" w:rsidRPr="004D527B" w:rsidRDefault="003E24DA" w:rsidP="004D527B">
      <w:pPr>
        <w:pStyle w:val="Item"/>
      </w:pPr>
      <w:r w:rsidRPr="004D527B">
        <w:t>Add:</w:t>
      </w:r>
    </w:p>
    <w:p w14:paraId="6375C5A2" w14:textId="77777777" w:rsidR="003E24DA" w:rsidRPr="004D527B" w:rsidRDefault="003E24DA" w:rsidP="004D527B">
      <w:pPr>
        <w:pStyle w:val="paragraph"/>
      </w:pPr>
      <w:r w:rsidRPr="004D527B">
        <w:tab/>
        <w:t>; or (g)</w:t>
      </w:r>
      <w:r w:rsidRPr="004D527B">
        <w:tab/>
        <w:t xml:space="preserve">is a person employed or engaged under the </w:t>
      </w:r>
      <w:r w:rsidRPr="004D527B">
        <w:rPr>
          <w:i/>
        </w:rPr>
        <w:t>Members of Parliament (Staff) Act 1984</w:t>
      </w:r>
      <w:r w:rsidRPr="004D527B">
        <w:t>.</w:t>
      </w:r>
    </w:p>
    <w:p w14:paraId="382BB6B6" w14:textId="77777777" w:rsidR="003E24DA" w:rsidRPr="004D527B" w:rsidRDefault="003E24DA" w:rsidP="004D527B">
      <w:pPr>
        <w:pStyle w:val="notetext"/>
      </w:pPr>
      <w:r w:rsidRPr="004D527B">
        <w:t>Note:</w:t>
      </w:r>
      <w:r w:rsidRPr="004D527B">
        <w:tab/>
        <w:t>See also section 8 (Commonwealth taken to be employer of Commonwealth employees).</w:t>
      </w:r>
    </w:p>
    <w:p w14:paraId="000D3C50" w14:textId="77777777" w:rsidR="003E24DA" w:rsidRPr="004D527B" w:rsidRDefault="003E24DA" w:rsidP="004D527B">
      <w:pPr>
        <w:pStyle w:val="ActHead9"/>
        <w:rPr>
          <w:i w:val="0"/>
        </w:rPr>
      </w:pPr>
      <w:bookmarkStart w:id="15" w:name="_Toc96675026"/>
      <w:r w:rsidRPr="004D527B">
        <w:t>Disability Discrimination Act 1992</w:t>
      </w:r>
      <w:bookmarkEnd w:id="15"/>
    </w:p>
    <w:p w14:paraId="16CF7486" w14:textId="77777777" w:rsidR="003E24DA" w:rsidRPr="004D527B" w:rsidRDefault="003E24DA" w:rsidP="004D527B">
      <w:pPr>
        <w:pStyle w:val="ItemHead"/>
      </w:pPr>
      <w:r w:rsidRPr="004D527B">
        <w:t xml:space="preserve">3  Subsection 4(1) (at the end of the definition of </w:t>
      </w:r>
      <w:r w:rsidRPr="004D527B">
        <w:rPr>
          <w:i/>
        </w:rPr>
        <w:t>administrative office</w:t>
      </w:r>
      <w:r w:rsidRPr="004D527B">
        <w:t>)</w:t>
      </w:r>
    </w:p>
    <w:p w14:paraId="2FB5F9A5" w14:textId="77777777" w:rsidR="003E24DA" w:rsidRPr="004D527B" w:rsidRDefault="003E24DA" w:rsidP="004D527B">
      <w:pPr>
        <w:pStyle w:val="Item"/>
      </w:pPr>
      <w:r w:rsidRPr="004D527B">
        <w:t>Add:</w:t>
      </w:r>
    </w:p>
    <w:p w14:paraId="73370294" w14:textId="77777777" w:rsidR="003E24DA" w:rsidRPr="004D527B" w:rsidRDefault="003E24DA" w:rsidP="004D527B">
      <w:pPr>
        <w:pStyle w:val="paragraph"/>
      </w:pPr>
      <w:r w:rsidRPr="004D527B">
        <w:tab/>
        <w:t>; or (</w:t>
      </w:r>
      <w:proofErr w:type="spellStart"/>
      <w:r w:rsidRPr="004D527B">
        <w:t>i</w:t>
      </w:r>
      <w:proofErr w:type="spellEnd"/>
      <w:r w:rsidRPr="004D527B">
        <w:t>)</w:t>
      </w:r>
      <w:r w:rsidRPr="004D527B">
        <w:tab/>
        <w:t xml:space="preserve">an office of a person employed or engaged under the </w:t>
      </w:r>
      <w:r w:rsidRPr="004D527B">
        <w:rPr>
          <w:i/>
        </w:rPr>
        <w:t>Members of Parliament (Staff) Act 1984</w:t>
      </w:r>
      <w:r w:rsidRPr="004D527B">
        <w:t>.</w:t>
      </w:r>
    </w:p>
    <w:p w14:paraId="206AD503" w14:textId="77777777" w:rsidR="003E24DA" w:rsidRPr="004D527B" w:rsidRDefault="003E24DA" w:rsidP="004D527B">
      <w:pPr>
        <w:pStyle w:val="notetext"/>
      </w:pPr>
      <w:r w:rsidRPr="004D527B">
        <w:t>Note:</w:t>
      </w:r>
      <w:r w:rsidRPr="004D527B">
        <w:tab/>
        <w:t>A person who holds an office mentioned in paragraph (h) or (</w:t>
      </w:r>
      <w:proofErr w:type="spellStart"/>
      <w:r w:rsidRPr="004D527B">
        <w:t>i</w:t>
      </w:r>
      <w:proofErr w:type="spellEnd"/>
      <w:r w:rsidRPr="004D527B">
        <w:t xml:space="preserve">) is covered by the definition of </w:t>
      </w:r>
      <w:r w:rsidRPr="004D527B">
        <w:rPr>
          <w:b/>
          <w:i/>
        </w:rPr>
        <w:t>Commonwealth employee</w:t>
      </w:r>
      <w:r w:rsidRPr="004D527B">
        <w:t>.</w:t>
      </w:r>
    </w:p>
    <w:p w14:paraId="3D7AA7A3" w14:textId="77777777" w:rsidR="003E24DA" w:rsidRPr="004D527B" w:rsidRDefault="003E24DA" w:rsidP="004D527B">
      <w:pPr>
        <w:pStyle w:val="ItemHead"/>
      </w:pPr>
      <w:r w:rsidRPr="004D527B">
        <w:t xml:space="preserve">4  Subsection 4(1) (at the end of the definition of </w:t>
      </w:r>
      <w:r w:rsidRPr="004D527B">
        <w:rPr>
          <w:i/>
        </w:rPr>
        <w:t>Commonwealth employee</w:t>
      </w:r>
      <w:r w:rsidRPr="004D527B">
        <w:t>)</w:t>
      </w:r>
    </w:p>
    <w:p w14:paraId="257DE000" w14:textId="77777777" w:rsidR="003E24DA" w:rsidRPr="004D527B" w:rsidRDefault="003E24DA" w:rsidP="004D527B">
      <w:pPr>
        <w:pStyle w:val="Item"/>
      </w:pPr>
      <w:r w:rsidRPr="004D527B">
        <w:t>Add:</w:t>
      </w:r>
    </w:p>
    <w:p w14:paraId="690713EC" w14:textId="77777777" w:rsidR="003E24DA" w:rsidRPr="004D527B" w:rsidRDefault="003E24DA" w:rsidP="004D527B">
      <w:pPr>
        <w:pStyle w:val="paragraph"/>
      </w:pPr>
      <w:r w:rsidRPr="004D527B">
        <w:lastRenderedPageBreak/>
        <w:tab/>
        <w:t>; or (h)</w:t>
      </w:r>
      <w:r w:rsidRPr="004D527B">
        <w:tab/>
        <w:t xml:space="preserve">is a person employed or engaged under the </w:t>
      </w:r>
      <w:r w:rsidRPr="004D527B">
        <w:rPr>
          <w:i/>
        </w:rPr>
        <w:t>Members of Parliament (Staff) Act 1984</w:t>
      </w:r>
      <w:r w:rsidRPr="004D527B">
        <w:t>.</w:t>
      </w:r>
    </w:p>
    <w:p w14:paraId="4F944037" w14:textId="208FB5BF" w:rsidR="003E24DA" w:rsidRDefault="003E24DA" w:rsidP="004D527B">
      <w:pPr>
        <w:pStyle w:val="notetext"/>
      </w:pPr>
      <w:r w:rsidRPr="004D527B">
        <w:t>Note:</w:t>
      </w:r>
      <w:r w:rsidRPr="004D527B">
        <w:tab/>
        <w:t>See also section 124 (Commonwealth taken to be employer of Commonwealth employees).</w:t>
      </w:r>
    </w:p>
    <w:p w14:paraId="06278322" w14:textId="77777777" w:rsidR="0048179F" w:rsidRPr="00F02B56" w:rsidRDefault="0048179F" w:rsidP="0048179F"/>
    <w:p w14:paraId="34DE66CD" w14:textId="77777777" w:rsidR="0048179F" w:rsidRDefault="0048179F" w:rsidP="0048179F">
      <w:pPr>
        <w:pStyle w:val="AssentBk"/>
        <w:keepNext/>
      </w:pPr>
    </w:p>
    <w:p w14:paraId="531A89D5" w14:textId="77777777" w:rsidR="0048179F" w:rsidRDefault="0048179F" w:rsidP="0048179F">
      <w:pPr>
        <w:pStyle w:val="AssentBk"/>
        <w:keepNext/>
      </w:pPr>
    </w:p>
    <w:p w14:paraId="3C269588" w14:textId="77777777" w:rsidR="0048179F" w:rsidRDefault="0048179F" w:rsidP="0048179F">
      <w:pPr>
        <w:pStyle w:val="2ndRd"/>
        <w:keepNext/>
        <w:pBdr>
          <w:top w:val="single" w:sz="2" w:space="1" w:color="auto"/>
        </w:pBdr>
      </w:pPr>
    </w:p>
    <w:p w14:paraId="08C696B2" w14:textId="77777777" w:rsidR="001552BD" w:rsidRDefault="001552BD" w:rsidP="000C5962">
      <w:pPr>
        <w:pStyle w:val="2ndRd"/>
        <w:keepNext/>
        <w:spacing w:line="260" w:lineRule="atLeast"/>
        <w:rPr>
          <w:i/>
        </w:rPr>
      </w:pPr>
      <w:r>
        <w:t>[</w:t>
      </w:r>
      <w:r>
        <w:rPr>
          <w:i/>
        </w:rPr>
        <w:t>Minister’s second reading speech made in—</w:t>
      </w:r>
    </w:p>
    <w:p w14:paraId="458FE2A3" w14:textId="3627F920" w:rsidR="001552BD" w:rsidRDefault="001552BD" w:rsidP="000C5962">
      <w:pPr>
        <w:pStyle w:val="2ndRd"/>
        <w:keepNext/>
        <w:spacing w:line="260" w:lineRule="atLeast"/>
      </w:pPr>
      <w:r>
        <w:rPr>
          <w:i/>
        </w:rPr>
        <w:t>Senate on 9 February 2022</w:t>
      </w:r>
    </w:p>
    <w:p w14:paraId="3BF654FE" w14:textId="71067846" w:rsidR="001552BD" w:rsidRDefault="001552BD" w:rsidP="000C5962">
      <w:pPr>
        <w:pStyle w:val="2ndRd"/>
        <w:keepNext/>
        <w:spacing w:line="260" w:lineRule="atLeast"/>
        <w:rPr>
          <w:i/>
        </w:rPr>
      </w:pPr>
      <w:r>
        <w:rPr>
          <w:i/>
        </w:rPr>
        <w:t>House of Representatives on 15 February 2022</w:t>
      </w:r>
      <w:r>
        <w:t>]</w:t>
      </w:r>
    </w:p>
    <w:p w14:paraId="74275C94" w14:textId="77777777" w:rsidR="001552BD" w:rsidRDefault="001552BD" w:rsidP="000C5962"/>
    <w:p w14:paraId="5D4606CA" w14:textId="2348016B" w:rsidR="00BD6724" w:rsidRPr="001552BD" w:rsidRDefault="001552BD" w:rsidP="0048179F">
      <w:pPr>
        <w:framePr w:hSpace="181" w:wrap="around" w:vAnchor="page" w:hAnchor="page" w:x="2399" w:y="12123"/>
      </w:pPr>
      <w:r>
        <w:t>(19/22)</w:t>
      </w:r>
    </w:p>
    <w:p w14:paraId="05979551" w14:textId="77777777" w:rsidR="001552BD" w:rsidRDefault="001552BD"/>
    <w:sectPr w:rsidR="001552BD" w:rsidSect="00BD6724">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579F4" w14:textId="77777777" w:rsidR="00871A4A" w:rsidRDefault="00871A4A" w:rsidP="0048364F">
      <w:pPr>
        <w:spacing w:line="240" w:lineRule="auto"/>
      </w:pPr>
      <w:r>
        <w:separator/>
      </w:r>
    </w:p>
  </w:endnote>
  <w:endnote w:type="continuationSeparator" w:id="0">
    <w:p w14:paraId="1D08121A" w14:textId="77777777" w:rsidR="00871A4A" w:rsidRDefault="00871A4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F644" w14:textId="77777777" w:rsidR="00871A4A" w:rsidRPr="005F1388" w:rsidRDefault="00871A4A" w:rsidP="004D527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94FA" w14:textId="6341CFA9" w:rsidR="001552BD" w:rsidRDefault="001552BD" w:rsidP="00CD12A5">
    <w:pPr>
      <w:pStyle w:val="ScalePlusRef"/>
    </w:pPr>
    <w:r>
      <w:t>Note: An electronic version of this Act is available on the Federal Register of Legislation (</w:t>
    </w:r>
    <w:hyperlink r:id="rId1" w:history="1">
      <w:r>
        <w:t>https://www.legislation.gov.au/</w:t>
      </w:r>
    </w:hyperlink>
    <w:r>
      <w:t>)</w:t>
    </w:r>
  </w:p>
  <w:p w14:paraId="437B10D7" w14:textId="77777777" w:rsidR="001552BD" w:rsidRDefault="001552BD" w:rsidP="00CD12A5"/>
  <w:p w14:paraId="7619ED89" w14:textId="42D5E5A4" w:rsidR="00871A4A" w:rsidRDefault="00871A4A" w:rsidP="004D527B">
    <w:pPr>
      <w:pStyle w:val="Footer"/>
      <w:spacing w:before="120"/>
    </w:pPr>
  </w:p>
  <w:p w14:paraId="5BBA9296" w14:textId="77777777" w:rsidR="00871A4A" w:rsidRPr="005F1388" w:rsidRDefault="00871A4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0B257" w14:textId="77777777" w:rsidR="00871A4A" w:rsidRPr="00ED79B6" w:rsidRDefault="00871A4A" w:rsidP="004D527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B742" w14:textId="77777777" w:rsidR="00871A4A" w:rsidRDefault="00871A4A" w:rsidP="004D52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1A4A" w14:paraId="2C3B4F5D" w14:textId="77777777" w:rsidTr="00DE28B4">
      <w:tc>
        <w:tcPr>
          <w:tcW w:w="646" w:type="dxa"/>
        </w:tcPr>
        <w:p w14:paraId="157F5E6F" w14:textId="77777777" w:rsidR="00871A4A" w:rsidRDefault="00871A4A" w:rsidP="00DE28B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2567AC0" w14:textId="4A050023" w:rsidR="00871A4A" w:rsidRDefault="00871A4A" w:rsidP="00DE28B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3169D">
            <w:rPr>
              <w:i/>
              <w:sz w:val="18"/>
            </w:rPr>
            <w:t>Parliamentary Workplace Reform (Set the Standard Measures No. 1) Act 2022</w:t>
          </w:r>
          <w:r w:rsidRPr="00ED79B6">
            <w:rPr>
              <w:i/>
              <w:sz w:val="18"/>
            </w:rPr>
            <w:fldChar w:fldCharType="end"/>
          </w:r>
        </w:p>
      </w:tc>
      <w:tc>
        <w:tcPr>
          <w:tcW w:w="1270" w:type="dxa"/>
        </w:tcPr>
        <w:p w14:paraId="5AAFFAF4" w14:textId="6D630614" w:rsidR="00871A4A" w:rsidRDefault="00871A4A" w:rsidP="00DE28B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3169D">
            <w:rPr>
              <w:i/>
              <w:sz w:val="18"/>
            </w:rPr>
            <w:t>No. 7, 2022</w:t>
          </w:r>
          <w:r w:rsidRPr="00ED79B6">
            <w:rPr>
              <w:i/>
              <w:sz w:val="18"/>
            </w:rPr>
            <w:fldChar w:fldCharType="end"/>
          </w:r>
        </w:p>
      </w:tc>
    </w:tr>
  </w:tbl>
  <w:p w14:paraId="7A606BC3" w14:textId="77777777" w:rsidR="00871A4A" w:rsidRDefault="00871A4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752C" w14:textId="77777777" w:rsidR="00871A4A" w:rsidRDefault="00871A4A" w:rsidP="004D52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1A4A" w14:paraId="1D08085C" w14:textId="77777777" w:rsidTr="00DE28B4">
      <w:tc>
        <w:tcPr>
          <w:tcW w:w="1247" w:type="dxa"/>
        </w:tcPr>
        <w:p w14:paraId="6D3D0CF9" w14:textId="43D735BA" w:rsidR="00871A4A" w:rsidRDefault="00871A4A" w:rsidP="00DE28B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3169D">
            <w:rPr>
              <w:i/>
              <w:sz w:val="18"/>
            </w:rPr>
            <w:t>No. 7, 2022</w:t>
          </w:r>
          <w:r w:rsidRPr="00ED79B6">
            <w:rPr>
              <w:i/>
              <w:sz w:val="18"/>
            </w:rPr>
            <w:fldChar w:fldCharType="end"/>
          </w:r>
        </w:p>
      </w:tc>
      <w:tc>
        <w:tcPr>
          <w:tcW w:w="5387" w:type="dxa"/>
        </w:tcPr>
        <w:p w14:paraId="5A278D30" w14:textId="37D5E488" w:rsidR="00871A4A" w:rsidRDefault="00871A4A" w:rsidP="00DE28B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3169D">
            <w:rPr>
              <w:i/>
              <w:sz w:val="18"/>
            </w:rPr>
            <w:t>Parliamentary Workplace Reform (Set the Standard Measures No. 1) Act 2022</w:t>
          </w:r>
          <w:r w:rsidRPr="00ED79B6">
            <w:rPr>
              <w:i/>
              <w:sz w:val="18"/>
            </w:rPr>
            <w:fldChar w:fldCharType="end"/>
          </w:r>
        </w:p>
      </w:tc>
      <w:tc>
        <w:tcPr>
          <w:tcW w:w="669" w:type="dxa"/>
        </w:tcPr>
        <w:p w14:paraId="3A605775" w14:textId="77777777" w:rsidR="00871A4A" w:rsidRDefault="00871A4A" w:rsidP="00DE28B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83577A1" w14:textId="77777777" w:rsidR="00871A4A" w:rsidRPr="00ED79B6" w:rsidRDefault="00871A4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AF3D" w14:textId="77777777" w:rsidR="00871A4A" w:rsidRPr="00A961C4" w:rsidRDefault="00871A4A" w:rsidP="004D527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1A4A" w14:paraId="43499564" w14:textId="77777777" w:rsidTr="00B77988">
      <w:tc>
        <w:tcPr>
          <w:tcW w:w="646" w:type="dxa"/>
        </w:tcPr>
        <w:p w14:paraId="23F97B1F" w14:textId="77777777" w:rsidR="00871A4A" w:rsidRDefault="00871A4A" w:rsidP="00DE28B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4F52470" w14:textId="7A580740" w:rsidR="00871A4A" w:rsidRDefault="00871A4A" w:rsidP="00DE28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169D">
            <w:rPr>
              <w:i/>
              <w:sz w:val="18"/>
            </w:rPr>
            <w:t>Parliamentary Workplace Reform (Set the Standard Measures No. 1) Act 2022</w:t>
          </w:r>
          <w:r w:rsidRPr="007A1328">
            <w:rPr>
              <w:i/>
              <w:sz w:val="18"/>
            </w:rPr>
            <w:fldChar w:fldCharType="end"/>
          </w:r>
        </w:p>
      </w:tc>
      <w:tc>
        <w:tcPr>
          <w:tcW w:w="1270" w:type="dxa"/>
        </w:tcPr>
        <w:p w14:paraId="3B839DCD" w14:textId="12FCC2C5" w:rsidR="00871A4A" w:rsidRDefault="00871A4A" w:rsidP="00DE28B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169D">
            <w:rPr>
              <w:i/>
              <w:sz w:val="18"/>
            </w:rPr>
            <w:t>No. 7, 2022</w:t>
          </w:r>
          <w:r w:rsidRPr="007A1328">
            <w:rPr>
              <w:i/>
              <w:sz w:val="18"/>
            </w:rPr>
            <w:fldChar w:fldCharType="end"/>
          </w:r>
        </w:p>
      </w:tc>
    </w:tr>
  </w:tbl>
  <w:p w14:paraId="78F507F3" w14:textId="77777777" w:rsidR="00871A4A" w:rsidRPr="00A961C4" w:rsidRDefault="00871A4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044B" w14:textId="77777777" w:rsidR="00871A4A" w:rsidRPr="00A961C4" w:rsidRDefault="00871A4A" w:rsidP="004D52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1A4A" w14:paraId="749F3CFB" w14:textId="77777777" w:rsidTr="00B77988">
      <w:tc>
        <w:tcPr>
          <w:tcW w:w="1247" w:type="dxa"/>
        </w:tcPr>
        <w:p w14:paraId="334C94AD" w14:textId="7F24E331" w:rsidR="00871A4A" w:rsidRDefault="00871A4A" w:rsidP="00DE28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169D">
            <w:rPr>
              <w:i/>
              <w:sz w:val="18"/>
            </w:rPr>
            <w:t>No. 7, 2022</w:t>
          </w:r>
          <w:r w:rsidRPr="007A1328">
            <w:rPr>
              <w:i/>
              <w:sz w:val="18"/>
            </w:rPr>
            <w:fldChar w:fldCharType="end"/>
          </w:r>
        </w:p>
      </w:tc>
      <w:tc>
        <w:tcPr>
          <w:tcW w:w="5387" w:type="dxa"/>
        </w:tcPr>
        <w:p w14:paraId="1BF08C1D" w14:textId="619B5BDE" w:rsidR="00871A4A" w:rsidRDefault="00871A4A" w:rsidP="00DE28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169D">
            <w:rPr>
              <w:i/>
              <w:sz w:val="18"/>
            </w:rPr>
            <w:t>Parliamentary Workplace Reform (Set the Standard Measures No. 1) Act 2022</w:t>
          </w:r>
          <w:r w:rsidRPr="007A1328">
            <w:rPr>
              <w:i/>
              <w:sz w:val="18"/>
            </w:rPr>
            <w:fldChar w:fldCharType="end"/>
          </w:r>
        </w:p>
      </w:tc>
      <w:tc>
        <w:tcPr>
          <w:tcW w:w="669" w:type="dxa"/>
        </w:tcPr>
        <w:p w14:paraId="763BF126" w14:textId="77777777" w:rsidR="00871A4A" w:rsidRDefault="00871A4A" w:rsidP="00DE28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BF364E5" w14:textId="77777777" w:rsidR="00871A4A" w:rsidRPr="00055B5C" w:rsidRDefault="00871A4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0395" w14:textId="77777777" w:rsidR="00871A4A" w:rsidRPr="00A961C4" w:rsidRDefault="00871A4A" w:rsidP="004D52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71A4A" w14:paraId="0706CEA2" w14:textId="77777777" w:rsidTr="00B77988">
      <w:tc>
        <w:tcPr>
          <w:tcW w:w="1247" w:type="dxa"/>
        </w:tcPr>
        <w:p w14:paraId="520C62A4" w14:textId="0EB1783F" w:rsidR="00871A4A" w:rsidRDefault="00871A4A" w:rsidP="00DE28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169D">
            <w:rPr>
              <w:i/>
              <w:sz w:val="18"/>
            </w:rPr>
            <w:t>No. 7, 2022</w:t>
          </w:r>
          <w:r w:rsidRPr="007A1328">
            <w:rPr>
              <w:i/>
              <w:sz w:val="18"/>
            </w:rPr>
            <w:fldChar w:fldCharType="end"/>
          </w:r>
        </w:p>
      </w:tc>
      <w:tc>
        <w:tcPr>
          <w:tcW w:w="5387" w:type="dxa"/>
        </w:tcPr>
        <w:p w14:paraId="4030FCA1" w14:textId="55444CBD" w:rsidR="00871A4A" w:rsidRDefault="00871A4A" w:rsidP="00DE28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169D">
            <w:rPr>
              <w:i/>
              <w:sz w:val="18"/>
            </w:rPr>
            <w:t>Parliamentary Workplace Reform (Set the Standard Measures No. 1) Act 2022</w:t>
          </w:r>
          <w:r w:rsidRPr="007A1328">
            <w:rPr>
              <w:i/>
              <w:sz w:val="18"/>
            </w:rPr>
            <w:fldChar w:fldCharType="end"/>
          </w:r>
        </w:p>
      </w:tc>
      <w:tc>
        <w:tcPr>
          <w:tcW w:w="669" w:type="dxa"/>
        </w:tcPr>
        <w:p w14:paraId="3258782B" w14:textId="77777777" w:rsidR="00871A4A" w:rsidRDefault="00871A4A" w:rsidP="00DE28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B31DB7E" w14:textId="77777777" w:rsidR="00871A4A" w:rsidRPr="00A961C4" w:rsidRDefault="00871A4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FCE33" w14:textId="77777777" w:rsidR="00871A4A" w:rsidRDefault="00871A4A" w:rsidP="0048364F">
      <w:pPr>
        <w:spacing w:line="240" w:lineRule="auto"/>
      </w:pPr>
      <w:r>
        <w:separator/>
      </w:r>
    </w:p>
  </w:footnote>
  <w:footnote w:type="continuationSeparator" w:id="0">
    <w:p w14:paraId="34882664" w14:textId="77777777" w:rsidR="00871A4A" w:rsidRDefault="00871A4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079E4" w14:textId="77777777" w:rsidR="00871A4A" w:rsidRPr="005F1388" w:rsidRDefault="00871A4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E28B" w14:textId="77777777" w:rsidR="00871A4A" w:rsidRPr="005F1388" w:rsidRDefault="00871A4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3A3D" w14:textId="77777777" w:rsidR="00871A4A" w:rsidRPr="005F1388" w:rsidRDefault="00871A4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35D0" w14:textId="77777777" w:rsidR="00871A4A" w:rsidRPr="00ED79B6" w:rsidRDefault="00871A4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6CC3" w14:textId="77777777" w:rsidR="00871A4A" w:rsidRPr="00ED79B6" w:rsidRDefault="00871A4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FC1F" w14:textId="77777777" w:rsidR="00871A4A" w:rsidRPr="00ED79B6" w:rsidRDefault="00871A4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8ADF" w14:textId="35D68673" w:rsidR="00871A4A" w:rsidRPr="00A961C4" w:rsidRDefault="00871A4A" w:rsidP="0048364F">
    <w:pPr>
      <w:rPr>
        <w:b/>
        <w:sz w:val="20"/>
      </w:rPr>
    </w:pPr>
    <w:r>
      <w:rPr>
        <w:b/>
        <w:sz w:val="20"/>
      </w:rPr>
      <w:fldChar w:fldCharType="begin"/>
    </w:r>
    <w:r>
      <w:rPr>
        <w:b/>
        <w:sz w:val="20"/>
      </w:rPr>
      <w:instrText xml:space="preserve"> STYLEREF CharAmSchNo </w:instrText>
    </w:r>
    <w:r w:rsidR="00A3169D">
      <w:rPr>
        <w:b/>
        <w:sz w:val="20"/>
      </w:rPr>
      <w:fldChar w:fldCharType="separate"/>
    </w:r>
    <w:r w:rsidR="00A3169D">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3169D">
      <w:rPr>
        <w:sz w:val="20"/>
      </w:rPr>
      <w:fldChar w:fldCharType="separate"/>
    </w:r>
    <w:r w:rsidR="00A3169D">
      <w:rPr>
        <w:noProof/>
        <w:sz w:val="20"/>
      </w:rPr>
      <w:t>Clarifying the operation of anti-discrimination legislation for parliamentarians’ staff</w:t>
    </w:r>
    <w:r>
      <w:rPr>
        <w:sz w:val="20"/>
      </w:rPr>
      <w:fldChar w:fldCharType="end"/>
    </w:r>
  </w:p>
  <w:p w14:paraId="6B1A5C5C" w14:textId="4E99F8C8" w:rsidR="00871A4A" w:rsidRPr="00A961C4" w:rsidRDefault="00871A4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D561CF8" w14:textId="77777777" w:rsidR="00871A4A" w:rsidRPr="00A961C4" w:rsidRDefault="00871A4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714A" w14:textId="1FEC7724" w:rsidR="00871A4A" w:rsidRPr="00A961C4" w:rsidRDefault="00871A4A" w:rsidP="0048364F">
    <w:pPr>
      <w:jc w:val="right"/>
      <w:rPr>
        <w:sz w:val="20"/>
      </w:rPr>
    </w:pPr>
    <w:r w:rsidRPr="00A961C4">
      <w:rPr>
        <w:sz w:val="20"/>
      </w:rPr>
      <w:fldChar w:fldCharType="begin"/>
    </w:r>
    <w:r w:rsidRPr="00A961C4">
      <w:rPr>
        <w:sz w:val="20"/>
      </w:rPr>
      <w:instrText xml:space="preserve"> STYLEREF CharAmSchText </w:instrText>
    </w:r>
    <w:r w:rsidR="00A3169D">
      <w:rPr>
        <w:sz w:val="20"/>
      </w:rPr>
      <w:fldChar w:fldCharType="separate"/>
    </w:r>
    <w:r w:rsidR="00A3169D">
      <w:rPr>
        <w:noProof/>
        <w:sz w:val="20"/>
      </w:rPr>
      <w:t>Clarifying the operation of anti-discrimination legislation for parliamentarians’ staff</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3169D">
      <w:rPr>
        <w:b/>
        <w:sz w:val="20"/>
      </w:rPr>
      <w:fldChar w:fldCharType="separate"/>
    </w:r>
    <w:r w:rsidR="00A3169D">
      <w:rPr>
        <w:b/>
        <w:noProof/>
        <w:sz w:val="20"/>
      </w:rPr>
      <w:t>Schedule 3</w:t>
    </w:r>
    <w:r>
      <w:rPr>
        <w:b/>
        <w:sz w:val="20"/>
      </w:rPr>
      <w:fldChar w:fldCharType="end"/>
    </w:r>
  </w:p>
  <w:p w14:paraId="251DE8AB" w14:textId="2B9C7FA9" w:rsidR="00871A4A" w:rsidRPr="00A961C4" w:rsidRDefault="00871A4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773B839" w14:textId="77777777" w:rsidR="00871A4A" w:rsidRPr="00A961C4" w:rsidRDefault="00871A4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7109" w14:textId="77777777" w:rsidR="00871A4A" w:rsidRPr="00A961C4" w:rsidRDefault="00871A4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56AE"/>
    <w:rsid w:val="000113BC"/>
    <w:rsid w:val="000136AF"/>
    <w:rsid w:val="000417C9"/>
    <w:rsid w:val="00055B5C"/>
    <w:rsid w:val="00056391"/>
    <w:rsid w:val="00060FF9"/>
    <w:rsid w:val="000614BF"/>
    <w:rsid w:val="00072789"/>
    <w:rsid w:val="000B1FD2"/>
    <w:rsid w:val="000D05EF"/>
    <w:rsid w:val="000F21C1"/>
    <w:rsid w:val="000F316E"/>
    <w:rsid w:val="00101D90"/>
    <w:rsid w:val="0010745C"/>
    <w:rsid w:val="00113BD1"/>
    <w:rsid w:val="00122206"/>
    <w:rsid w:val="001552BD"/>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D69AC"/>
    <w:rsid w:val="001E3590"/>
    <w:rsid w:val="001E7407"/>
    <w:rsid w:val="00201D27"/>
    <w:rsid w:val="00202618"/>
    <w:rsid w:val="00240749"/>
    <w:rsid w:val="00263820"/>
    <w:rsid w:val="002735F2"/>
    <w:rsid w:val="00275197"/>
    <w:rsid w:val="002756AE"/>
    <w:rsid w:val="00291809"/>
    <w:rsid w:val="00293B89"/>
    <w:rsid w:val="00294FC1"/>
    <w:rsid w:val="00297ECB"/>
    <w:rsid w:val="002B4797"/>
    <w:rsid w:val="002B5A30"/>
    <w:rsid w:val="002C4073"/>
    <w:rsid w:val="002D043A"/>
    <w:rsid w:val="002D395A"/>
    <w:rsid w:val="002F63D8"/>
    <w:rsid w:val="003415D3"/>
    <w:rsid w:val="00350417"/>
    <w:rsid w:val="00352B0F"/>
    <w:rsid w:val="00373874"/>
    <w:rsid w:val="00375C6C"/>
    <w:rsid w:val="003903DA"/>
    <w:rsid w:val="003A7B3C"/>
    <w:rsid w:val="003B4E3D"/>
    <w:rsid w:val="003C5F2B"/>
    <w:rsid w:val="003D0BFE"/>
    <w:rsid w:val="003D36E0"/>
    <w:rsid w:val="003D5700"/>
    <w:rsid w:val="003E24DA"/>
    <w:rsid w:val="00405579"/>
    <w:rsid w:val="00410B8E"/>
    <w:rsid w:val="004116CD"/>
    <w:rsid w:val="00421FC1"/>
    <w:rsid w:val="004229C7"/>
    <w:rsid w:val="00424CA9"/>
    <w:rsid w:val="00436785"/>
    <w:rsid w:val="00436BD5"/>
    <w:rsid w:val="00437E4B"/>
    <w:rsid w:val="0044291A"/>
    <w:rsid w:val="0048179F"/>
    <w:rsid w:val="0048196B"/>
    <w:rsid w:val="0048364F"/>
    <w:rsid w:val="00485550"/>
    <w:rsid w:val="00486D05"/>
    <w:rsid w:val="00496F97"/>
    <w:rsid w:val="004C7C8C"/>
    <w:rsid w:val="004D527B"/>
    <w:rsid w:val="004E2A4A"/>
    <w:rsid w:val="004F0D23"/>
    <w:rsid w:val="004F1FAC"/>
    <w:rsid w:val="00516B8D"/>
    <w:rsid w:val="00525FBF"/>
    <w:rsid w:val="00537FBC"/>
    <w:rsid w:val="00543469"/>
    <w:rsid w:val="00545D52"/>
    <w:rsid w:val="00551B54"/>
    <w:rsid w:val="00584811"/>
    <w:rsid w:val="00593AA6"/>
    <w:rsid w:val="00594161"/>
    <w:rsid w:val="00594749"/>
    <w:rsid w:val="005A0D92"/>
    <w:rsid w:val="005A6D46"/>
    <w:rsid w:val="005B4067"/>
    <w:rsid w:val="005B5343"/>
    <w:rsid w:val="005C3F41"/>
    <w:rsid w:val="005E152A"/>
    <w:rsid w:val="005F11B1"/>
    <w:rsid w:val="00600219"/>
    <w:rsid w:val="00616333"/>
    <w:rsid w:val="006167FD"/>
    <w:rsid w:val="00641DE5"/>
    <w:rsid w:val="00643CC4"/>
    <w:rsid w:val="0065597F"/>
    <w:rsid w:val="00656F0C"/>
    <w:rsid w:val="0067398F"/>
    <w:rsid w:val="00677CC2"/>
    <w:rsid w:val="00681F92"/>
    <w:rsid w:val="006842C2"/>
    <w:rsid w:val="00685F42"/>
    <w:rsid w:val="00687A05"/>
    <w:rsid w:val="0069207B"/>
    <w:rsid w:val="00696736"/>
    <w:rsid w:val="006A4B23"/>
    <w:rsid w:val="006C2874"/>
    <w:rsid w:val="006C7F8C"/>
    <w:rsid w:val="006D380D"/>
    <w:rsid w:val="006E0135"/>
    <w:rsid w:val="006E303A"/>
    <w:rsid w:val="006F7E19"/>
    <w:rsid w:val="00700B2C"/>
    <w:rsid w:val="00712D8D"/>
    <w:rsid w:val="00713084"/>
    <w:rsid w:val="00714B26"/>
    <w:rsid w:val="00731E00"/>
    <w:rsid w:val="007440B7"/>
    <w:rsid w:val="00744B9E"/>
    <w:rsid w:val="00751A37"/>
    <w:rsid w:val="007634AD"/>
    <w:rsid w:val="007715C9"/>
    <w:rsid w:val="00774EDD"/>
    <w:rsid w:val="007757EC"/>
    <w:rsid w:val="007810D1"/>
    <w:rsid w:val="007B30AA"/>
    <w:rsid w:val="007E7D4A"/>
    <w:rsid w:val="008006CC"/>
    <w:rsid w:val="00807F18"/>
    <w:rsid w:val="00831E8D"/>
    <w:rsid w:val="00856A31"/>
    <w:rsid w:val="00857D6B"/>
    <w:rsid w:val="00871A4A"/>
    <w:rsid w:val="008754D0"/>
    <w:rsid w:val="00877D48"/>
    <w:rsid w:val="00883781"/>
    <w:rsid w:val="00885570"/>
    <w:rsid w:val="00893958"/>
    <w:rsid w:val="008A2E77"/>
    <w:rsid w:val="008B15D4"/>
    <w:rsid w:val="008C6F6F"/>
    <w:rsid w:val="008D0EE0"/>
    <w:rsid w:val="008D3E94"/>
    <w:rsid w:val="008D4069"/>
    <w:rsid w:val="008E1B98"/>
    <w:rsid w:val="008F4F1C"/>
    <w:rsid w:val="008F77C4"/>
    <w:rsid w:val="009103F3"/>
    <w:rsid w:val="00932377"/>
    <w:rsid w:val="00967042"/>
    <w:rsid w:val="0098255A"/>
    <w:rsid w:val="009845BE"/>
    <w:rsid w:val="009957DB"/>
    <w:rsid w:val="009969C9"/>
    <w:rsid w:val="009E186E"/>
    <w:rsid w:val="009F7BD0"/>
    <w:rsid w:val="00A048FF"/>
    <w:rsid w:val="00A10775"/>
    <w:rsid w:val="00A231E2"/>
    <w:rsid w:val="00A3169D"/>
    <w:rsid w:val="00A36C48"/>
    <w:rsid w:val="00A41E0B"/>
    <w:rsid w:val="00A55631"/>
    <w:rsid w:val="00A64912"/>
    <w:rsid w:val="00A70A74"/>
    <w:rsid w:val="00A843D0"/>
    <w:rsid w:val="00AA3795"/>
    <w:rsid w:val="00AB09D5"/>
    <w:rsid w:val="00AC1E75"/>
    <w:rsid w:val="00AD298A"/>
    <w:rsid w:val="00AD5641"/>
    <w:rsid w:val="00AE1088"/>
    <w:rsid w:val="00AE1879"/>
    <w:rsid w:val="00AF1BA4"/>
    <w:rsid w:val="00B032D8"/>
    <w:rsid w:val="00B105D9"/>
    <w:rsid w:val="00B11D21"/>
    <w:rsid w:val="00B32BE2"/>
    <w:rsid w:val="00B33B3C"/>
    <w:rsid w:val="00B36E74"/>
    <w:rsid w:val="00B521A5"/>
    <w:rsid w:val="00B6382D"/>
    <w:rsid w:val="00B65D90"/>
    <w:rsid w:val="00B77988"/>
    <w:rsid w:val="00BA5026"/>
    <w:rsid w:val="00BB40BF"/>
    <w:rsid w:val="00BC0CD1"/>
    <w:rsid w:val="00BD0C56"/>
    <w:rsid w:val="00BD6724"/>
    <w:rsid w:val="00BE719A"/>
    <w:rsid w:val="00BE720A"/>
    <w:rsid w:val="00BF0461"/>
    <w:rsid w:val="00BF177E"/>
    <w:rsid w:val="00BF4944"/>
    <w:rsid w:val="00BF56D4"/>
    <w:rsid w:val="00C04409"/>
    <w:rsid w:val="00C067E5"/>
    <w:rsid w:val="00C164CA"/>
    <w:rsid w:val="00C176CF"/>
    <w:rsid w:val="00C24EE9"/>
    <w:rsid w:val="00C36898"/>
    <w:rsid w:val="00C42BF8"/>
    <w:rsid w:val="00C460AE"/>
    <w:rsid w:val="00C50043"/>
    <w:rsid w:val="00C54E84"/>
    <w:rsid w:val="00C7573B"/>
    <w:rsid w:val="00C76CF3"/>
    <w:rsid w:val="00CC69BA"/>
    <w:rsid w:val="00CE1E31"/>
    <w:rsid w:val="00CF0BB2"/>
    <w:rsid w:val="00CF3CC8"/>
    <w:rsid w:val="00D00EAA"/>
    <w:rsid w:val="00D10AAB"/>
    <w:rsid w:val="00D13441"/>
    <w:rsid w:val="00D243A3"/>
    <w:rsid w:val="00D477C3"/>
    <w:rsid w:val="00D52EFE"/>
    <w:rsid w:val="00D63EF6"/>
    <w:rsid w:val="00D70DFB"/>
    <w:rsid w:val="00D73029"/>
    <w:rsid w:val="00D766DF"/>
    <w:rsid w:val="00D93385"/>
    <w:rsid w:val="00DE2002"/>
    <w:rsid w:val="00DE28B4"/>
    <w:rsid w:val="00DF4D6A"/>
    <w:rsid w:val="00DF7AE9"/>
    <w:rsid w:val="00E05704"/>
    <w:rsid w:val="00E24D66"/>
    <w:rsid w:val="00E54292"/>
    <w:rsid w:val="00E70540"/>
    <w:rsid w:val="00E74DC7"/>
    <w:rsid w:val="00E84ECA"/>
    <w:rsid w:val="00E87699"/>
    <w:rsid w:val="00E947C6"/>
    <w:rsid w:val="00EB510C"/>
    <w:rsid w:val="00EB536A"/>
    <w:rsid w:val="00EC4EC9"/>
    <w:rsid w:val="00ED492F"/>
    <w:rsid w:val="00EE3E36"/>
    <w:rsid w:val="00EE67AB"/>
    <w:rsid w:val="00EF2E3A"/>
    <w:rsid w:val="00F047E2"/>
    <w:rsid w:val="00F078DC"/>
    <w:rsid w:val="00F13E86"/>
    <w:rsid w:val="00F17B00"/>
    <w:rsid w:val="00F37634"/>
    <w:rsid w:val="00F6578E"/>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139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D527B"/>
    <w:pPr>
      <w:spacing w:line="260" w:lineRule="atLeast"/>
    </w:pPr>
    <w:rPr>
      <w:sz w:val="22"/>
    </w:rPr>
  </w:style>
  <w:style w:type="paragraph" w:styleId="Heading1">
    <w:name w:val="heading 1"/>
    <w:basedOn w:val="Normal"/>
    <w:next w:val="Normal"/>
    <w:link w:val="Heading1Char"/>
    <w:uiPriority w:val="9"/>
    <w:qFormat/>
    <w:rsid w:val="00275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756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756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56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56A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56A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56A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56A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56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527B"/>
  </w:style>
  <w:style w:type="paragraph" w:customStyle="1" w:styleId="OPCParaBase">
    <w:name w:val="OPCParaBase"/>
    <w:qFormat/>
    <w:rsid w:val="004D527B"/>
    <w:pPr>
      <w:spacing w:line="260" w:lineRule="atLeast"/>
    </w:pPr>
    <w:rPr>
      <w:rFonts w:eastAsia="Times New Roman" w:cs="Times New Roman"/>
      <w:sz w:val="22"/>
      <w:lang w:eastAsia="en-AU"/>
    </w:rPr>
  </w:style>
  <w:style w:type="paragraph" w:customStyle="1" w:styleId="ShortT">
    <w:name w:val="ShortT"/>
    <w:basedOn w:val="OPCParaBase"/>
    <w:next w:val="Normal"/>
    <w:qFormat/>
    <w:rsid w:val="004D527B"/>
    <w:pPr>
      <w:spacing w:line="240" w:lineRule="auto"/>
    </w:pPr>
    <w:rPr>
      <w:b/>
      <w:sz w:val="40"/>
    </w:rPr>
  </w:style>
  <w:style w:type="paragraph" w:customStyle="1" w:styleId="ActHead1">
    <w:name w:val="ActHead 1"/>
    <w:aliases w:val="c"/>
    <w:basedOn w:val="OPCParaBase"/>
    <w:next w:val="Normal"/>
    <w:qFormat/>
    <w:rsid w:val="004D52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52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52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52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D52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52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52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52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527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D527B"/>
  </w:style>
  <w:style w:type="paragraph" w:customStyle="1" w:styleId="Blocks">
    <w:name w:val="Blocks"/>
    <w:aliases w:val="bb"/>
    <w:basedOn w:val="OPCParaBase"/>
    <w:qFormat/>
    <w:rsid w:val="004D527B"/>
    <w:pPr>
      <w:spacing w:line="240" w:lineRule="auto"/>
    </w:pPr>
    <w:rPr>
      <w:sz w:val="24"/>
    </w:rPr>
  </w:style>
  <w:style w:type="paragraph" w:customStyle="1" w:styleId="BoxText">
    <w:name w:val="BoxText"/>
    <w:aliases w:val="bt"/>
    <w:basedOn w:val="OPCParaBase"/>
    <w:qFormat/>
    <w:rsid w:val="004D52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527B"/>
    <w:rPr>
      <w:b/>
    </w:rPr>
  </w:style>
  <w:style w:type="paragraph" w:customStyle="1" w:styleId="BoxHeadItalic">
    <w:name w:val="BoxHeadItalic"/>
    <w:aliases w:val="bhi"/>
    <w:basedOn w:val="BoxText"/>
    <w:next w:val="BoxStep"/>
    <w:qFormat/>
    <w:rsid w:val="004D527B"/>
    <w:rPr>
      <w:i/>
    </w:rPr>
  </w:style>
  <w:style w:type="paragraph" w:customStyle="1" w:styleId="BoxList">
    <w:name w:val="BoxList"/>
    <w:aliases w:val="bl"/>
    <w:basedOn w:val="BoxText"/>
    <w:qFormat/>
    <w:rsid w:val="004D527B"/>
    <w:pPr>
      <w:ind w:left="1559" w:hanging="425"/>
    </w:pPr>
  </w:style>
  <w:style w:type="paragraph" w:customStyle="1" w:styleId="BoxNote">
    <w:name w:val="BoxNote"/>
    <w:aliases w:val="bn"/>
    <w:basedOn w:val="BoxText"/>
    <w:qFormat/>
    <w:rsid w:val="004D527B"/>
    <w:pPr>
      <w:tabs>
        <w:tab w:val="left" w:pos="1985"/>
      </w:tabs>
      <w:spacing w:before="122" w:line="198" w:lineRule="exact"/>
      <w:ind w:left="2948" w:hanging="1814"/>
    </w:pPr>
    <w:rPr>
      <w:sz w:val="18"/>
    </w:rPr>
  </w:style>
  <w:style w:type="paragraph" w:customStyle="1" w:styleId="BoxPara">
    <w:name w:val="BoxPara"/>
    <w:aliases w:val="bp"/>
    <w:basedOn w:val="BoxText"/>
    <w:qFormat/>
    <w:rsid w:val="004D527B"/>
    <w:pPr>
      <w:tabs>
        <w:tab w:val="right" w:pos="2268"/>
      </w:tabs>
      <w:ind w:left="2552" w:hanging="1418"/>
    </w:pPr>
  </w:style>
  <w:style w:type="paragraph" w:customStyle="1" w:styleId="BoxStep">
    <w:name w:val="BoxStep"/>
    <w:aliases w:val="bs"/>
    <w:basedOn w:val="BoxText"/>
    <w:qFormat/>
    <w:rsid w:val="004D527B"/>
    <w:pPr>
      <w:ind w:left="1985" w:hanging="851"/>
    </w:pPr>
  </w:style>
  <w:style w:type="character" w:customStyle="1" w:styleId="CharAmPartNo">
    <w:name w:val="CharAmPartNo"/>
    <w:basedOn w:val="OPCCharBase"/>
    <w:qFormat/>
    <w:rsid w:val="004D527B"/>
  </w:style>
  <w:style w:type="character" w:customStyle="1" w:styleId="CharAmPartText">
    <w:name w:val="CharAmPartText"/>
    <w:basedOn w:val="OPCCharBase"/>
    <w:qFormat/>
    <w:rsid w:val="004D527B"/>
  </w:style>
  <w:style w:type="character" w:customStyle="1" w:styleId="CharAmSchNo">
    <w:name w:val="CharAmSchNo"/>
    <w:basedOn w:val="OPCCharBase"/>
    <w:qFormat/>
    <w:rsid w:val="004D527B"/>
  </w:style>
  <w:style w:type="character" w:customStyle="1" w:styleId="CharAmSchText">
    <w:name w:val="CharAmSchText"/>
    <w:basedOn w:val="OPCCharBase"/>
    <w:qFormat/>
    <w:rsid w:val="004D527B"/>
  </w:style>
  <w:style w:type="character" w:customStyle="1" w:styleId="CharBoldItalic">
    <w:name w:val="CharBoldItalic"/>
    <w:basedOn w:val="OPCCharBase"/>
    <w:uiPriority w:val="1"/>
    <w:qFormat/>
    <w:rsid w:val="004D527B"/>
    <w:rPr>
      <w:b/>
      <w:i/>
    </w:rPr>
  </w:style>
  <w:style w:type="character" w:customStyle="1" w:styleId="CharChapNo">
    <w:name w:val="CharChapNo"/>
    <w:basedOn w:val="OPCCharBase"/>
    <w:uiPriority w:val="1"/>
    <w:qFormat/>
    <w:rsid w:val="004D527B"/>
  </w:style>
  <w:style w:type="character" w:customStyle="1" w:styleId="CharChapText">
    <w:name w:val="CharChapText"/>
    <w:basedOn w:val="OPCCharBase"/>
    <w:uiPriority w:val="1"/>
    <w:qFormat/>
    <w:rsid w:val="004D527B"/>
  </w:style>
  <w:style w:type="character" w:customStyle="1" w:styleId="CharDivNo">
    <w:name w:val="CharDivNo"/>
    <w:basedOn w:val="OPCCharBase"/>
    <w:uiPriority w:val="1"/>
    <w:qFormat/>
    <w:rsid w:val="004D527B"/>
  </w:style>
  <w:style w:type="character" w:customStyle="1" w:styleId="CharDivText">
    <w:name w:val="CharDivText"/>
    <w:basedOn w:val="OPCCharBase"/>
    <w:uiPriority w:val="1"/>
    <w:qFormat/>
    <w:rsid w:val="004D527B"/>
  </w:style>
  <w:style w:type="character" w:customStyle="1" w:styleId="CharItalic">
    <w:name w:val="CharItalic"/>
    <w:basedOn w:val="OPCCharBase"/>
    <w:uiPriority w:val="1"/>
    <w:qFormat/>
    <w:rsid w:val="004D527B"/>
    <w:rPr>
      <w:i/>
    </w:rPr>
  </w:style>
  <w:style w:type="character" w:customStyle="1" w:styleId="CharPartNo">
    <w:name w:val="CharPartNo"/>
    <w:basedOn w:val="OPCCharBase"/>
    <w:uiPriority w:val="1"/>
    <w:qFormat/>
    <w:rsid w:val="004D527B"/>
  </w:style>
  <w:style w:type="character" w:customStyle="1" w:styleId="CharPartText">
    <w:name w:val="CharPartText"/>
    <w:basedOn w:val="OPCCharBase"/>
    <w:uiPriority w:val="1"/>
    <w:qFormat/>
    <w:rsid w:val="004D527B"/>
  </w:style>
  <w:style w:type="character" w:customStyle="1" w:styleId="CharSectno">
    <w:name w:val="CharSectno"/>
    <w:basedOn w:val="OPCCharBase"/>
    <w:qFormat/>
    <w:rsid w:val="004D527B"/>
  </w:style>
  <w:style w:type="character" w:customStyle="1" w:styleId="CharSubdNo">
    <w:name w:val="CharSubdNo"/>
    <w:basedOn w:val="OPCCharBase"/>
    <w:uiPriority w:val="1"/>
    <w:qFormat/>
    <w:rsid w:val="004D527B"/>
  </w:style>
  <w:style w:type="character" w:customStyle="1" w:styleId="CharSubdText">
    <w:name w:val="CharSubdText"/>
    <w:basedOn w:val="OPCCharBase"/>
    <w:uiPriority w:val="1"/>
    <w:qFormat/>
    <w:rsid w:val="004D527B"/>
  </w:style>
  <w:style w:type="paragraph" w:customStyle="1" w:styleId="CTA--">
    <w:name w:val="CTA --"/>
    <w:basedOn w:val="OPCParaBase"/>
    <w:next w:val="Normal"/>
    <w:rsid w:val="004D527B"/>
    <w:pPr>
      <w:spacing w:before="60" w:line="240" w:lineRule="atLeast"/>
      <w:ind w:left="142" w:hanging="142"/>
    </w:pPr>
    <w:rPr>
      <w:sz w:val="20"/>
    </w:rPr>
  </w:style>
  <w:style w:type="paragraph" w:customStyle="1" w:styleId="CTA-">
    <w:name w:val="CTA -"/>
    <w:basedOn w:val="OPCParaBase"/>
    <w:rsid w:val="004D527B"/>
    <w:pPr>
      <w:spacing w:before="60" w:line="240" w:lineRule="atLeast"/>
      <w:ind w:left="85" w:hanging="85"/>
    </w:pPr>
    <w:rPr>
      <w:sz w:val="20"/>
    </w:rPr>
  </w:style>
  <w:style w:type="paragraph" w:customStyle="1" w:styleId="CTA---">
    <w:name w:val="CTA ---"/>
    <w:basedOn w:val="OPCParaBase"/>
    <w:next w:val="Normal"/>
    <w:rsid w:val="004D527B"/>
    <w:pPr>
      <w:spacing w:before="60" w:line="240" w:lineRule="atLeast"/>
      <w:ind w:left="198" w:hanging="198"/>
    </w:pPr>
    <w:rPr>
      <w:sz w:val="20"/>
    </w:rPr>
  </w:style>
  <w:style w:type="paragraph" w:customStyle="1" w:styleId="CTA----">
    <w:name w:val="CTA ----"/>
    <w:basedOn w:val="OPCParaBase"/>
    <w:next w:val="Normal"/>
    <w:rsid w:val="004D527B"/>
    <w:pPr>
      <w:spacing w:before="60" w:line="240" w:lineRule="atLeast"/>
      <w:ind w:left="255" w:hanging="255"/>
    </w:pPr>
    <w:rPr>
      <w:sz w:val="20"/>
    </w:rPr>
  </w:style>
  <w:style w:type="paragraph" w:customStyle="1" w:styleId="CTA1a">
    <w:name w:val="CTA 1(a)"/>
    <w:basedOn w:val="OPCParaBase"/>
    <w:rsid w:val="004D527B"/>
    <w:pPr>
      <w:tabs>
        <w:tab w:val="right" w:pos="414"/>
      </w:tabs>
      <w:spacing w:before="40" w:line="240" w:lineRule="atLeast"/>
      <w:ind w:left="675" w:hanging="675"/>
    </w:pPr>
    <w:rPr>
      <w:sz w:val="20"/>
    </w:rPr>
  </w:style>
  <w:style w:type="paragraph" w:customStyle="1" w:styleId="CTA1ai">
    <w:name w:val="CTA 1(a)(i)"/>
    <w:basedOn w:val="OPCParaBase"/>
    <w:rsid w:val="004D527B"/>
    <w:pPr>
      <w:tabs>
        <w:tab w:val="right" w:pos="1004"/>
      </w:tabs>
      <w:spacing w:before="40" w:line="240" w:lineRule="atLeast"/>
      <w:ind w:left="1253" w:hanging="1253"/>
    </w:pPr>
    <w:rPr>
      <w:sz w:val="20"/>
    </w:rPr>
  </w:style>
  <w:style w:type="paragraph" w:customStyle="1" w:styleId="CTA2a">
    <w:name w:val="CTA 2(a)"/>
    <w:basedOn w:val="OPCParaBase"/>
    <w:rsid w:val="004D527B"/>
    <w:pPr>
      <w:tabs>
        <w:tab w:val="right" w:pos="482"/>
      </w:tabs>
      <w:spacing w:before="40" w:line="240" w:lineRule="atLeast"/>
      <w:ind w:left="748" w:hanging="748"/>
    </w:pPr>
    <w:rPr>
      <w:sz w:val="20"/>
    </w:rPr>
  </w:style>
  <w:style w:type="paragraph" w:customStyle="1" w:styleId="CTA2ai">
    <w:name w:val="CTA 2(a)(i)"/>
    <w:basedOn w:val="OPCParaBase"/>
    <w:rsid w:val="004D527B"/>
    <w:pPr>
      <w:tabs>
        <w:tab w:val="right" w:pos="1089"/>
      </w:tabs>
      <w:spacing w:before="40" w:line="240" w:lineRule="atLeast"/>
      <w:ind w:left="1327" w:hanging="1327"/>
    </w:pPr>
    <w:rPr>
      <w:sz w:val="20"/>
    </w:rPr>
  </w:style>
  <w:style w:type="paragraph" w:customStyle="1" w:styleId="CTA3a">
    <w:name w:val="CTA 3(a)"/>
    <w:basedOn w:val="OPCParaBase"/>
    <w:rsid w:val="004D527B"/>
    <w:pPr>
      <w:tabs>
        <w:tab w:val="right" w:pos="556"/>
      </w:tabs>
      <w:spacing w:before="40" w:line="240" w:lineRule="atLeast"/>
      <w:ind w:left="805" w:hanging="805"/>
    </w:pPr>
    <w:rPr>
      <w:sz w:val="20"/>
    </w:rPr>
  </w:style>
  <w:style w:type="paragraph" w:customStyle="1" w:styleId="CTA3ai">
    <w:name w:val="CTA 3(a)(i)"/>
    <w:basedOn w:val="OPCParaBase"/>
    <w:rsid w:val="004D527B"/>
    <w:pPr>
      <w:tabs>
        <w:tab w:val="right" w:pos="1140"/>
      </w:tabs>
      <w:spacing w:before="40" w:line="240" w:lineRule="atLeast"/>
      <w:ind w:left="1361" w:hanging="1361"/>
    </w:pPr>
    <w:rPr>
      <w:sz w:val="20"/>
    </w:rPr>
  </w:style>
  <w:style w:type="paragraph" w:customStyle="1" w:styleId="CTA4a">
    <w:name w:val="CTA 4(a)"/>
    <w:basedOn w:val="OPCParaBase"/>
    <w:rsid w:val="004D527B"/>
    <w:pPr>
      <w:tabs>
        <w:tab w:val="right" w:pos="624"/>
      </w:tabs>
      <w:spacing w:before="40" w:line="240" w:lineRule="atLeast"/>
      <w:ind w:left="873" w:hanging="873"/>
    </w:pPr>
    <w:rPr>
      <w:sz w:val="20"/>
    </w:rPr>
  </w:style>
  <w:style w:type="paragraph" w:customStyle="1" w:styleId="CTA4ai">
    <w:name w:val="CTA 4(a)(i)"/>
    <w:basedOn w:val="OPCParaBase"/>
    <w:rsid w:val="004D527B"/>
    <w:pPr>
      <w:tabs>
        <w:tab w:val="right" w:pos="1213"/>
      </w:tabs>
      <w:spacing w:before="40" w:line="240" w:lineRule="atLeast"/>
      <w:ind w:left="1452" w:hanging="1452"/>
    </w:pPr>
    <w:rPr>
      <w:sz w:val="20"/>
    </w:rPr>
  </w:style>
  <w:style w:type="paragraph" w:customStyle="1" w:styleId="CTACAPS">
    <w:name w:val="CTA CAPS"/>
    <w:basedOn w:val="OPCParaBase"/>
    <w:rsid w:val="004D527B"/>
    <w:pPr>
      <w:spacing w:before="60" w:line="240" w:lineRule="atLeast"/>
    </w:pPr>
    <w:rPr>
      <w:sz w:val="20"/>
    </w:rPr>
  </w:style>
  <w:style w:type="paragraph" w:customStyle="1" w:styleId="CTAright">
    <w:name w:val="CTA right"/>
    <w:basedOn w:val="OPCParaBase"/>
    <w:rsid w:val="004D527B"/>
    <w:pPr>
      <w:spacing w:before="60" w:line="240" w:lineRule="auto"/>
      <w:jc w:val="right"/>
    </w:pPr>
    <w:rPr>
      <w:sz w:val="20"/>
    </w:rPr>
  </w:style>
  <w:style w:type="paragraph" w:customStyle="1" w:styleId="subsection">
    <w:name w:val="subsection"/>
    <w:aliases w:val="ss"/>
    <w:basedOn w:val="OPCParaBase"/>
    <w:link w:val="subsectionChar"/>
    <w:rsid w:val="004D527B"/>
    <w:pPr>
      <w:tabs>
        <w:tab w:val="right" w:pos="1021"/>
      </w:tabs>
      <w:spacing w:before="180" w:line="240" w:lineRule="auto"/>
      <w:ind w:left="1134" w:hanging="1134"/>
    </w:pPr>
  </w:style>
  <w:style w:type="paragraph" w:customStyle="1" w:styleId="Definition">
    <w:name w:val="Definition"/>
    <w:aliases w:val="dd"/>
    <w:basedOn w:val="OPCParaBase"/>
    <w:rsid w:val="004D527B"/>
    <w:pPr>
      <w:spacing w:before="180" w:line="240" w:lineRule="auto"/>
      <w:ind w:left="1134"/>
    </w:pPr>
  </w:style>
  <w:style w:type="paragraph" w:customStyle="1" w:styleId="ETAsubitem">
    <w:name w:val="ETA(subitem)"/>
    <w:basedOn w:val="OPCParaBase"/>
    <w:rsid w:val="004D527B"/>
    <w:pPr>
      <w:tabs>
        <w:tab w:val="right" w:pos="340"/>
      </w:tabs>
      <w:spacing w:before="60" w:line="240" w:lineRule="auto"/>
      <w:ind w:left="454" w:hanging="454"/>
    </w:pPr>
    <w:rPr>
      <w:sz w:val="20"/>
    </w:rPr>
  </w:style>
  <w:style w:type="paragraph" w:customStyle="1" w:styleId="ETApara">
    <w:name w:val="ETA(para)"/>
    <w:basedOn w:val="OPCParaBase"/>
    <w:rsid w:val="004D527B"/>
    <w:pPr>
      <w:tabs>
        <w:tab w:val="right" w:pos="754"/>
      </w:tabs>
      <w:spacing w:before="60" w:line="240" w:lineRule="auto"/>
      <w:ind w:left="828" w:hanging="828"/>
    </w:pPr>
    <w:rPr>
      <w:sz w:val="20"/>
    </w:rPr>
  </w:style>
  <w:style w:type="paragraph" w:customStyle="1" w:styleId="ETAsubpara">
    <w:name w:val="ETA(subpara)"/>
    <w:basedOn w:val="OPCParaBase"/>
    <w:rsid w:val="004D527B"/>
    <w:pPr>
      <w:tabs>
        <w:tab w:val="right" w:pos="1083"/>
      </w:tabs>
      <w:spacing w:before="60" w:line="240" w:lineRule="auto"/>
      <w:ind w:left="1191" w:hanging="1191"/>
    </w:pPr>
    <w:rPr>
      <w:sz w:val="20"/>
    </w:rPr>
  </w:style>
  <w:style w:type="paragraph" w:customStyle="1" w:styleId="ETAsub-subpara">
    <w:name w:val="ETA(sub-subpara)"/>
    <w:basedOn w:val="OPCParaBase"/>
    <w:rsid w:val="004D527B"/>
    <w:pPr>
      <w:tabs>
        <w:tab w:val="right" w:pos="1412"/>
      </w:tabs>
      <w:spacing w:before="60" w:line="240" w:lineRule="auto"/>
      <w:ind w:left="1525" w:hanging="1525"/>
    </w:pPr>
    <w:rPr>
      <w:sz w:val="20"/>
    </w:rPr>
  </w:style>
  <w:style w:type="paragraph" w:customStyle="1" w:styleId="Formula">
    <w:name w:val="Formula"/>
    <w:basedOn w:val="OPCParaBase"/>
    <w:rsid w:val="004D527B"/>
    <w:pPr>
      <w:spacing w:line="240" w:lineRule="auto"/>
      <w:ind w:left="1134"/>
    </w:pPr>
    <w:rPr>
      <w:sz w:val="20"/>
    </w:rPr>
  </w:style>
  <w:style w:type="paragraph" w:styleId="Header">
    <w:name w:val="header"/>
    <w:basedOn w:val="OPCParaBase"/>
    <w:link w:val="HeaderChar"/>
    <w:unhideWhenUsed/>
    <w:rsid w:val="004D52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527B"/>
    <w:rPr>
      <w:rFonts w:eastAsia="Times New Roman" w:cs="Times New Roman"/>
      <w:sz w:val="16"/>
      <w:lang w:eastAsia="en-AU"/>
    </w:rPr>
  </w:style>
  <w:style w:type="paragraph" w:customStyle="1" w:styleId="House">
    <w:name w:val="House"/>
    <w:basedOn w:val="OPCParaBase"/>
    <w:rsid w:val="004D527B"/>
    <w:pPr>
      <w:spacing w:line="240" w:lineRule="auto"/>
    </w:pPr>
    <w:rPr>
      <w:sz w:val="28"/>
    </w:rPr>
  </w:style>
  <w:style w:type="paragraph" w:customStyle="1" w:styleId="Item">
    <w:name w:val="Item"/>
    <w:aliases w:val="i"/>
    <w:basedOn w:val="OPCParaBase"/>
    <w:next w:val="ItemHead"/>
    <w:rsid w:val="004D527B"/>
    <w:pPr>
      <w:keepLines/>
      <w:spacing w:before="80" w:line="240" w:lineRule="auto"/>
      <w:ind w:left="709"/>
    </w:pPr>
  </w:style>
  <w:style w:type="paragraph" w:customStyle="1" w:styleId="ItemHead">
    <w:name w:val="ItemHead"/>
    <w:aliases w:val="ih"/>
    <w:basedOn w:val="OPCParaBase"/>
    <w:next w:val="Item"/>
    <w:rsid w:val="004D52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527B"/>
    <w:pPr>
      <w:spacing w:line="240" w:lineRule="auto"/>
    </w:pPr>
    <w:rPr>
      <w:b/>
      <w:sz w:val="32"/>
    </w:rPr>
  </w:style>
  <w:style w:type="paragraph" w:customStyle="1" w:styleId="notedraft">
    <w:name w:val="note(draft)"/>
    <w:aliases w:val="nd"/>
    <w:basedOn w:val="OPCParaBase"/>
    <w:rsid w:val="004D527B"/>
    <w:pPr>
      <w:spacing w:before="240" w:line="240" w:lineRule="auto"/>
      <w:ind w:left="284" w:hanging="284"/>
    </w:pPr>
    <w:rPr>
      <w:i/>
      <w:sz w:val="24"/>
    </w:rPr>
  </w:style>
  <w:style w:type="paragraph" w:customStyle="1" w:styleId="notemargin">
    <w:name w:val="note(margin)"/>
    <w:aliases w:val="nm"/>
    <w:basedOn w:val="OPCParaBase"/>
    <w:rsid w:val="004D527B"/>
    <w:pPr>
      <w:tabs>
        <w:tab w:val="left" w:pos="709"/>
      </w:tabs>
      <w:spacing w:before="122" w:line="198" w:lineRule="exact"/>
      <w:ind w:left="709" w:hanging="709"/>
    </w:pPr>
    <w:rPr>
      <w:sz w:val="18"/>
    </w:rPr>
  </w:style>
  <w:style w:type="paragraph" w:customStyle="1" w:styleId="noteToPara">
    <w:name w:val="noteToPara"/>
    <w:aliases w:val="ntp"/>
    <w:basedOn w:val="OPCParaBase"/>
    <w:rsid w:val="004D527B"/>
    <w:pPr>
      <w:spacing w:before="122" w:line="198" w:lineRule="exact"/>
      <w:ind w:left="2353" w:hanging="709"/>
    </w:pPr>
    <w:rPr>
      <w:sz w:val="18"/>
    </w:rPr>
  </w:style>
  <w:style w:type="paragraph" w:customStyle="1" w:styleId="noteParlAmend">
    <w:name w:val="note(ParlAmend)"/>
    <w:aliases w:val="npp"/>
    <w:basedOn w:val="OPCParaBase"/>
    <w:next w:val="ParlAmend"/>
    <w:rsid w:val="004D527B"/>
    <w:pPr>
      <w:spacing w:line="240" w:lineRule="auto"/>
      <w:jc w:val="right"/>
    </w:pPr>
    <w:rPr>
      <w:rFonts w:ascii="Arial" w:hAnsi="Arial"/>
      <w:b/>
      <w:i/>
    </w:rPr>
  </w:style>
  <w:style w:type="paragraph" w:customStyle="1" w:styleId="Page1">
    <w:name w:val="Page1"/>
    <w:basedOn w:val="OPCParaBase"/>
    <w:rsid w:val="004D527B"/>
    <w:pPr>
      <w:spacing w:before="5600" w:line="240" w:lineRule="auto"/>
    </w:pPr>
    <w:rPr>
      <w:b/>
      <w:sz w:val="32"/>
    </w:rPr>
  </w:style>
  <w:style w:type="paragraph" w:customStyle="1" w:styleId="PageBreak">
    <w:name w:val="PageBreak"/>
    <w:aliases w:val="pb"/>
    <w:basedOn w:val="OPCParaBase"/>
    <w:rsid w:val="004D527B"/>
    <w:pPr>
      <w:spacing w:line="240" w:lineRule="auto"/>
    </w:pPr>
    <w:rPr>
      <w:sz w:val="20"/>
    </w:rPr>
  </w:style>
  <w:style w:type="paragraph" w:customStyle="1" w:styleId="paragraphsub">
    <w:name w:val="paragraph(sub)"/>
    <w:aliases w:val="aa"/>
    <w:basedOn w:val="OPCParaBase"/>
    <w:rsid w:val="004D527B"/>
    <w:pPr>
      <w:tabs>
        <w:tab w:val="right" w:pos="1985"/>
      </w:tabs>
      <w:spacing w:before="40" w:line="240" w:lineRule="auto"/>
      <w:ind w:left="2098" w:hanging="2098"/>
    </w:pPr>
  </w:style>
  <w:style w:type="paragraph" w:customStyle="1" w:styleId="paragraphsub-sub">
    <w:name w:val="paragraph(sub-sub)"/>
    <w:aliases w:val="aaa"/>
    <w:basedOn w:val="OPCParaBase"/>
    <w:rsid w:val="004D527B"/>
    <w:pPr>
      <w:tabs>
        <w:tab w:val="right" w:pos="2722"/>
      </w:tabs>
      <w:spacing w:before="40" w:line="240" w:lineRule="auto"/>
      <w:ind w:left="2835" w:hanging="2835"/>
    </w:pPr>
  </w:style>
  <w:style w:type="paragraph" w:customStyle="1" w:styleId="paragraph">
    <w:name w:val="paragraph"/>
    <w:aliases w:val="a"/>
    <w:basedOn w:val="OPCParaBase"/>
    <w:link w:val="paragraphChar"/>
    <w:rsid w:val="004D527B"/>
    <w:pPr>
      <w:tabs>
        <w:tab w:val="right" w:pos="1531"/>
      </w:tabs>
      <w:spacing w:before="40" w:line="240" w:lineRule="auto"/>
      <w:ind w:left="1644" w:hanging="1644"/>
    </w:pPr>
  </w:style>
  <w:style w:type="paragraph" w:customStyle="1" w:styleId="ParlAmend">
    <w:name w:val="ParlAmend"/>
    <w:aliases w:val="pp"/>
    <w:basedOn w:val="OPCParaBase"/>
    <w:rsid w:val="004D527B"/>
    <w:pPr>
      <w:spacing w:before="240" w:line="240" w:lineRule="atLeast"/>
      <w:ind w:hanging="567"/>
    </w:pPr>
    <w:rPr>
      <w:sz w:val="24"/>
    </w:rPr>
  </w:style>
  <w:style w:type="paragraph" w:customStyle="1" w:styleId="Penalty">
    <w:name w:val="Penalty"/>
    <w:basedOn w:val="OPCParaBase"/>
    <w:rsid w:val="004D527B"/>
    <w:pPr>
      <w:tabs>
        <w:tab w:val="left" w:pos="2977"/>
      </w:tabs>
      <w:spacing w:before="180" w:line="240" w:lineRule="auto"/>
      <w:ind w:left="1985" w:hanging="851"/>
    </w:pPr>
  </w:style>
  <w:style w:type="paragraph" w:customStyle="1" w:styleId="Portfolio">
    <w:name w:val="Portfolio"/>
    <w:basedOn w:val="OPCParaBase"/>
    <w:rsid w:val="004D527B"/>
    <w:pPr>
      <w:spacing w:line="240" w:lineRule="auto"/>
    </w:pPr>
    <w:rPr>
      <w:i/>
      <w:sz w:val="20"/>
    </w:rPr>
  </w:style>
  <w:style w:type="paragraph" w:customStyle="1" w:styleId="Preamble">
    <w:name w:val="Preamble"/>
    <w:basedOn w:val="OPCParaBase"/>
    <w:next w:val="Normal"/>
    <w:rsid w:val="004D52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527B"/>
    <w:pPr>
      <w:spacing w:line="240" w:lineRule="auto"/>
    </w:pPr>
    <w:rPr>
      <w:i/>
      <w:sz w:val="20"/>
    </w:rPr>
  </w:style>
  <w:style w:type="paragraph" w:customStyle="1" w:styleId="Session">
    <w:name w:val="Session"/>
    <w:basedOn w:val="OPCParaBase"/>
    <w:rsid w:val="004D527B"/>
    <w:pPr>
      <w:spacing w:line="240" w:lineRule="auto"/>
    </w:pPr>
    <w:rPr>
      <w:sz w:val="28"/>
    </w:rPr>
  </w:style>
  <w:style w:type="paragraph" w:customStyle="1" w:styleId="Sponsor">
    <w:name w:val="Sponsor"/>
    <w:basedOn w:val="OPCParaBase"/>
    <w:rsid w:val="004D527B"/>
    <w:pPr>
      <w:spacing w:line="240" w:lineRule="auto"/>
    </w:pPr>
    <w:rPr>
      <w:i/>
    </w:rPr>
  </w:style>
  <w:style w:type="paragraph" w:customStyle="1" w:styleId="Subitem">
    <w:name w:val="Subitem"/>
    <w:aliases w:val="iss"/>
    <w:basedOn w:val="OPCParaBase"/>
    <w:rsid w:val="004D527B"/>
    <w:pPr>
      <w:spacing w:before="180" w:line="240" w:lineRule="auto"/>
      <w:ind w:left="709" w:hanging="709"/>
    </w:pPr>
  </w:style>
  <w:style w:type="paragraph" w:customStyle="1" w:styleId="SubitemHead">
    <w:name w:val="SubitemHead"/>
    <w:aliases w:val="issh"/>
    <w:basedOn w:val="OPCParaBase"/>
    <w:rsid w:val="004D52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527B"/>
    <w:pPr>
      <w:spacing w:before="40" w:line="240" w:lineRule="auto"/>
      <w:ind w:left="1134"/>
    </w:pPr>
  </w:style>
  <w:style w:type="paragraph" w:customStyle="1" w:styleId="SubsectionHead">
    <w:name w:val="SubsectionHead"/>
    <w:aliases w:val="ssh"/>
    <w:basedOn w:val="OPCParaBase"/>
    <w:next w:val="subsection"/>
    <w:rsid w:val="004D527B"/>
    <w:pPr>
      <w:keepNext/>
      <w:keepLines/>
      <w:spacing w:before="240" w:line="240" w:lineRule="auto"/>
      <w:ind w:left="1134"/>
    </w:pPr>
    <w:rPr>
      <w:i/>
    </w:rPr>
  </w:style>
  <w:style w:type="paragraph" w:customStyle="1" w:styleId="Tablea">
    <w:name w:val="Table(a)"/>
    <w:aliases w:val="ta"/>
    <w:basedOn w:val="OPCParaBase"/>
    <w:rsid w:val="004D527B"/>
    <w:pPr>
      <w:spacing w:before="60" w:line="240" w:lineRule="auto"/>
      <w:ind w:left="284" w:hanging="284"/>
    </w:pPr>
    <w:rPr>
      <w:sz w:val="20"/>
    </w:rPr>
  </w:style>
  <w:style w:type="paragraph" w:customStyle="1" w:styleId="TableAA">
    <w:name w:val="Table(AA)"/>
    <w:aliases w:val="taaa"/>
    <w:basedOn w:val="OPCParaBase"/>
    <w:rsid w:val="004D52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52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527B"/>
    <w:pPr>
      <w:spacing w:before="60" w:line="240" w:lineRule="atLeast"/>
    </w:pPr>
    <w:rPr>
      <w:sz w:val="20"/>
    </w:rPr>
  </w:style>
  <w:style w:type="paragraph" w:customStyle="1" w:styleId="TLPBoxTextnote">
    <w:name w:val="TLPBoxText(note"/>
    <w:aliases w:val="right)"/>
    <w:basedOn w:val="OPCParaBase"/>
    <w:rsid w:val="004D52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52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527B"/>
    <w:pPr>
      <w:spacing w:before="122" w:line="198" w:lineRule="exact"/>
      <w:ind w:left="1985" w:hanging="851"/>
      <w:jc w:val="right"/>
    </w:pPr>
    <w:rPr>
      <w:sz w:val="18"/>
    </w:rPr>
  </w:style>
  <w:style w:type="paragraph" w:customStyle="1" w:styleId="TLPTableBullet">
    <w:name w:val="TLPTableBullet"/>
    <w:aliases w:val="ttb"/>
    <w:basedOn w:val="OPCParaBase"/>
    <w:rsid w:val="004D527B"/>
    <w:pPr>
      <w:spacing w:line="240" w:lineRule="exact"/>
      <w:ind w:left="284" w:hanging="284"/>
    </w:pPr>
    <w:rPr>
      <w:sz w:val="20"/>
    </w:rPr>
  </w:style>
  <w:style w:type="paragraph" w:styleId="TOC1">
    <w:name w:val="toc 1"/>
    <w:basedOn w:val="OPCParaBase"/>
    <w:next w:val="Normal"/>
    <w:uiPriority w:val="39"/>
    <w:semiHidden/>
    <w:unhideWhenUsed/>
    <w:rsid w:val="004D527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D527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D527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D527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D527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527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D52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D52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527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527B"/>
    <w:pPr>
      <w:keepLines/>
      <w:spacing w:before="240" w:after="120" w:line="240" w:lineRule="auto"/>
      <w:ind w:left="794"/>
    </w:pPr>
    <w:rPr>
      <w:b/>
      <w:kern w:val="28"/>
      <w:sz w:val="20"/>
    </w:rPr>
  </w:style>
  <w:style w:type="paragraph" w:customStyle="1" w:styleId="TofSectsHeading">
    <w:name w:val="TofSects(Heading)"/>
    <w:basedOn w:val="OPCParaBase"/>
    <w:rsid w:val="004D527B"/>
    <w:pPr>
      <w:spacing w:before="240" w:after="120" w:line="240" w:lineRule="auto"/>
    </w:pPr>
    <w:rPr>
      <w:b/>
      <w:sz w:val="24"/>
    </w:rPr>
  </w:style>
  <w:style w:type="paragraph" w:customStyle="1" w:styleId="TofSectsSection">
    <w:name w:val="TofSects(Section)"/>
    <w:basedOn w:val="OPCParaBase"/>
    <w:rsid w:val="004D527B"/>
    <w:pPr>
      <w:keepLines/>
      <w:spacing w:before="40" w:line="240" w:lineRule="auto"/>
      <w:ind w:left="1588" w:hanging="794"/>
    </w:pPr>
    <w:rPr>
      <w:kern w:val="28"/>
      <w:sz w:val="18"/>
    </w:rPr>
  </w:style>
  <w:style w:type="paragraph" w:customStyle="1" w:styleId="TofSectsSubdiv">
    <w:name w:val="TofSects(Subdiv)"/>
    <w:basedOn w:val="OPCParaBase"/>
    <w:rsid w:val="004D527B"/>
    <w:pPr>
      <w:keepLines/>
      <w:spacing w:before="80" w:line="240" w:lineRule="auto"/>
      <w:ind w:left="1588" w:hanging="794"/>
    </w:pPr>
    <w:rPr>
      <w:kern w:val="28"/>
    </w:rPr>
  </w:style>
  <w:style w:type="paragraph" w:customStyle="1" w:styleId="WRStyle">
    <w:name w:val="WR Style"/>
    <w:aliases w:val="WR"/>
    <w:basedOn w:val="OPCParaBase"/>
    <w:rsid w:val="004D527B"/>
    <w:pPr>
      <w:spacing w:before="240" w:line="240" w:lineRule="auto"/>
      <w:ind w:left="284" w:hanging="284"/>
    </w:pPr>
    <w:rPr>
      <w:b/>
      <w:i/>
      <w:kern w:val="28"/>
      <w:sz w:val="24"/>
    </w:rPr>
  </w:style>
  <w:style w:type="paragraph" w:customStyle="1" w:styleId="notepara">
    <w:name w:val="note(para)"/>
    <w:aliases w:val="na"/>
    <w:basedOn w:val="OPCParaBase"/>
    <w:rsid w:val="004D527B"/>
    <w:pPr>
      <w:spacing w:before="40" w:line="198" w:lineRule="exact"/>
      <w:ind w:left="2354" w:hanging="369"/>
    </w:pPr>
    <w:rPr>
      <w:sz w:val="18"/>
    </w:rPr>
  </w:style>
  <w:style w:type="paragraph" w:styleId="Footer">
    <w:name w:val="footer"/>
    <w:link w:val="FooterChar"/>
    <w:rsid w:val="004D52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527B"/>
    <w:rPr>
      <w:rFonts w:eastAsia="Times New Roman" w:cs="Times New Roman"/>
      <w:sz w:val="22"/>
      <w:szCs w:val="24"/>
      <w:lang w:eastAsia="en-AU"/>
    </w:rPr>
  </w:style>
  <w:style w:type="character" w:styleId="LineNumber">
    <w:name w:val="line number"/>
    <w:basedOn w:val="OPCCharBase"/>
    <w:uiPriority w:val="99"/>
    <w:semiHidden/>
    <w:unhideWhenUsed/>
    <w:rsid w:val="004D527B"/>
    <w:rPr>
      <w:sz w:val="16"/>
    </w:rPr>
  </w:style>
  <w:style w:type="table" w:customStyle="1" w:styleId="CFlag">
    <w:name w:val="CFlag"/>
    <w:basedOn w:val="TableNormal"/>
    <w:uiPriority w:val="99"/>
    <w:rsid w:val="004D527B"/>
    <w:rPr>
      <w:rFonts w:eastAsia="Times New Roman" w:cs="Times New Roman"/>
      <w:lang w:eastAsia="en-AU"/>
    </w:rPr>
    <w:tblPr/>
  </w:style>
  <w:style w:type="paragraph" w:customStyle="1" w:styleId="NotesHeading1">
    <w:name w:val="NotesHeading 1"/>
    <w:basedOn w:val="OPCParaBase"/>
    <w:next w:val="Normal"/>
    <w:rsid w:val="004D527B"/>
    <w:rPr>
      <w:b/>
      <w:sz w:val="28"/>
      <w:szCs w:val="28"/>
    </w:rPr>
  </w:style>
  <w:style w:type="paragraph" w:customStyle="1" w:styleId="NotesHeading2">
    <w:name w:val="NotesHeading 2"/>
    <w:basedOn w:val="OPCParaBase"/>
    <w:next w:val="Normal"/>
    <w:rsid w:val="004D527B"/>
    <w:rPr>
      <w:b/>
      <w:sz w:val="28"/>
      <w:szCs w:val="28"/>
    </w:rPr>
  </w:style>
  <w:style w:type="paragraph" w:customStyle="1" w:styleId="SignCoverPageEnd">
    <w:name w:val="SignCoverPageEnd"/>
    <w:basedOn w:val="OPCParaBase"/>
    <w:next w:val="Normal"/>
    <w:rsid w:val="004D52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527B"/>
    <w:pPr>
      <w:pBdr>
        <w:top w:val="single" w:sz="4" w:space="1" w:color="auto"/>
      </w:pBdr>
      <w:spacing w:before="360"/>
      <w:ind w:right="397"/>
      <w:jc w:val="both"/>
    </w:pPr>
  </w:style>
  <w:style w:type="paragraph" w:customStyle="1" w:styleId="Paragraphsub-sub-sub">
    <w:name w:val="Paragraph(sub-sub-sub)"/>
    <w:aliases w:val="aaaa"/>
    <w:basedOn w:val="OPCParaBase"/>
    <w:rsid w:val="004D527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52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52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52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527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D527B"/>
    <w:pPr>
      <w:spacing w:before="120"/>
    </w:pPr>
  </w:style>
  <w:style w:type="paragraph" w:customStyle="1" w:styleId="TableTextEndNotes">
    <w:name w:val="TableTextEndNotes"/>
    <w:aliases w:val="Tten"/>
    <w:basedOn w:val="Normal"/>
    <w:rsid w:val="004D527B"/>
    <w:pPr>
      <w:spacing w:before="60" w:line="240" w:lineRule="auto"/>
    </w:pPr>
    <w:rPr>
      <w:rFonts w:cs="Arial"/>
      <w:sz w:val="20"/>
      <w:szCs w:val="22"/>
    </w:rPr>
  </w:style>
  <w:style w:type="paragraph" w:customStyle="1" w:styleId="TableHeading">
    <w:name w:val="TableHeading"/>
    <w:aliases w:val="th"/>
    <w:basedOn w:val="OPCParaBase"/>
    <w:next w:val="Tabletext"/>
    <w:rsid w:val="004D527B"/>
    <w:pPr>
      <w:keepNext/>
      <w:spacing w:before="60" w:line="240" w:lineRule="atLeast"/>
    </w:pPr>
    <w:rPr>
      <w:b/>
      <w:sz w:val="20"/>
    </w:rPr>
  </w:style>
  <w:style w:type="paragraph" w:customStyle="1" w:styleId="NoteToSubpara">
    <w:name w:val="NoteToSubpara"/>
    <w:aliases w:val="nts"/>
    <w:basedOn w:val="OPCParaBase"/>
    <w:rsid w:val="004D527B"/>
    <w:pPr>
      <w:spacing w:before="40" w:line="198" w:lineRule="exact"/>
      <w:ind w:left="2835" w:hanging="709"/>
    </w:pPr>
    <w:rPr>
      <w:sz w:val="18"/>
    </w:rPr>
  </w:style>
  <w:style w:type="paragraph" w:customStyle="1" w:styleId="ENoteTableHeading">
    <w:name w:val="ENoteTableHeading"/>
    <w:aliases w:val="enth"/>
    <w:basedOn w:val="OPCParaBase"/>
    <w:rsid w:val="004D527B"/>
    <w:pPr>
      <w:keepNext/>
      <w:spacing w:before="60" w:line="240" w:lineRule="atLeast"/>
    </w:pPr>
    <w:rPr>
      <w:rFonts w:ascii="Arial" w:hAnsi="Arial"/>
      <w:b/>
      <w:sz w:val="16"/>
    </w:rPr>
  </w:style>
  <w:style w:type="paragraph" w:customStyle="1" w:styleId="ENoteTTi">
    <w:name w:val="ENoteTTi"/>
    <w:aliases w:val="entti"/>
    <w:basedOn w:val="OPCParaBase"/>
    <w:rsid w:val="004D527B"/>
    <w:pPr>
      <w:keepNext/>
      <w:spacing w:before="60" w:line="240" w:lineRule="atLeast"/>
      <w:ind w:left="170"/>
    </w:pPr>
    <w:rPr>
      <w:sz w:val="16"/>
    </w:rPr>
  </w:style>
  <w:style w:type="paragraph" w:customStyle="1" w:styleId="ENotesHeading1">
    <w:name w:val="ENotesHeading 1"/>
    <w:aliases w:val="Enh1"/>
    <w:basedOn w:val="OPCParaBase"/>
    <w:next w:val="Normal"/>
    <w:rsid w:val="004D527B"/>
    <w:pPr>
      <w:spacing w:before="120"/>
      <w:outlineLvl w:val="1"/>
    </w:pPr>
    <w:rPr>
      <w:b/>
      <w:sz w:val="28"/>
      <w:szCs w:val="28"/>
    </w:rPr>
  </w:style>
  <w:style w:type="paragraph" w:customStyle="1" w:styleId="ENotesHeading2">
    <w:name w:val="ENotesHeading 2"/>
    <w:aliases w:val="Enh2"/>
    <w:basedOn w:val="OPCParaBase"/>
    <w:next w:val="Normal"/>
    <w:rsid w:val="004D527B"/>
    <w:pPr>
      <w:spacing w:before="120" w:after="120"/>
      <w:outlineLvl w:val="2"/>
    </w:pPr>
    <w:rPr>
      <w:b/>
      <w:sz w:val="24"/>
      <w:szCs w:val="28"/>
    </w:rPr>
  </w:style>
  <w:style w:type="paragraph" w:customStyle="1" w:styleId="ENoteTTIndentHeading">
    <w:name w:val="ENoteTTIndentHeading"/>
    <w:aliases w:val="enTTHi"/>
    <w:basedOn w:val="OPCParaBase"/>
    <w:rsid w:val="004D52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527B"/>
    <w:pPr>
      <w:spacing w:before="60" w:line="240" w:lineRule="atLeast"/>
    </w:pPr>
    <w:rPr>
      <w:sz w:val="16"/>
    </w:rPr>
  </w:style>
  <w:style w:type="paragraph" w:customStyle="1" w:styleId="MadeunderText">
    <w:name w:val="MadeunderText"/>
    <w:basedOn w:val="OPCParaBase"/>
    <w:next w:val="Normal"/>
    <w:rsid w:val="004D527B"/>
    <w:pPr>
      <w:spacing w:before="240"/>
    </w:pPr>
    <w:rPr>
      <w:sz w:val="24"/>
      <w:szCs w:val="24"/>
    </w:rPr>
  </w:style>
  <w:style w:type="paragraph" w:customStyle="1" w:styleId="ENotesHeading3">
    <w:name w:val="ENotesHeading 3"/>
    <w:aliases w:val="Enh3"/>
    <w:basedOn w:val="OPCParaBase"/>
    <w:next w:val="Normal"/>
    <w:rsid w:val="004D527B"/>
    <w:pPr>
      <w:keepNext/>
      <w:spacing w:before="120" w:line="240" w:lineRule="auto"/>
      <w:outlineLvl w:val="4"/>
    </w:pPr>
    <w:rPr>
      <w:b/>
      <w:szCs w:val="24"/>
    </w:rPr>
  </w:style>
  <w:style w:type="paragraph" w:customStyle="1" w:styleId="SubPartCASA">
    <w:name w:val="SubPart(CASA)"/>
    <w:aliases w:val="csp"/>
    <w:basedOn w:val="OPCParaBase"/>
    <w:next w:val="ActHead3"/>
    <w:rsid w:val="004D527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D527B"/>
  </w:style>
  <w:style w:type="character" w:customStyle="1" w:styleId="CharSubPartNoCASA">
    <w:name w:val="CharSubPartNo(CASA)"/>
    <w:basedOn w:val="OPCCharBase"/>
    <w:uiPriority w:val="1"/>
    <w:rsid w:val="004D527B"/>
  </w:style>
  <w:style w:type="paragraph" w:customStyle="1" w:styleId="ENoteTTIndentHeadingSub">
    <w:name w:val="ENoteTTIndentHeadingSub"/>
    <w:aliases w:val="enTTHis"/>
    <w:basedOn w:val="OPCParaBase"/>
    <w:rsid w:val="004D527B"/>
    <w:pPr>
      <w:keepNext/>
      <w:spacing w:before="60" w:line="240" w:lineRule="atLeast"/>
      <w:ind w:left="340"/>
    </w:pPr>
    <w:rPr>
      <w:b/>
      <w:sz w:val="16"/>
    </w:rPr>
  </w:style>
  <w:style w:type="paragraph" w:customStyle="1" w:styleId="ENoteTTiSub">
    <w:name w:val="ENoteTTiSub"/>
    <w:aliases w:val="enttis"/>
    <w:basedOn w:val="OPCParaBase"/>
    <w:rsid w:val="004D527B"/>
    <w:pPr>
      <w:keepNext/>
      <w:spacing w:before="60" w:line="240" w:lineRule="atLeast"/>
      <w:ind w:left="340"/>
    </w:pPr>
    <w:rPr>
      <w:sz w:val="16"/>
    </w:rPr>
  </w:style>
  <w:style w:type="paragraph" w:customStyle="1" w:styleId="SubDivisionMigration">
    <w:name w:val="SubDivisionMigration"/>
    <w:aliases w:val="sdm"/>
    <w:basedOn w:val="OPCParaBase"/>
    <w:rsid w:val="004D52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527B"/>
    <w:pPr>
      <w:keepNext/>
      <w:keepLines/>
      <w:spacing w:before="240" w:line="240" w:lineRule="auto"/>
      <w:ind w:left="1134" w:hanging="1134"/>
    </w:pPr>
    <w:rPr>
      <w:b/>
      <w:sz w:val="28"/>
    </w:rPr>
  </w:style>
  <w:style w:type="table" w:styleId="TableGrid">
    <w:name w:val="Table Grid"/>
    <w:basedOn w:val="TableNormal"/>
    <w:uiPriority w:val="59"/>
    <w:rsid w:val="004D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D527B"/>
    <w:pPr>
      <w:spacing w:before="122" w:line="240" w:lineRule="auto"/>
      <w:ind w:left="1985" w:hanging="851"/>
    </w:pPr>
    <w:rPr>
      <w:sz w:val="18"/>
    </w:rPr>
  </w:style>
  <w:style w:type="paragraph" w:customStyle="1" w:styleId="FreeForm">
    <w:name w:val="FreeForm"/>
    <w:rsid w:val="004D527B"/>
    <w:rPr>
      <w:rFonts w:ascii="Arial" w:hAnsi="Arial"/>
      <w:sz w:val="22"/>
    </w:rPr>
  </w:style>
  <w:style w:type="paragraph" w:customStyle="1" w:styleId="SOText">
    <w:name w:val="SO Text"/>
    <w:aliases w:val="sot"/>
    <w:link w:val="SOTextChar"/>
    <w:rsid w:val="004D52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527B"/>
    <w:rPr>
      <w:sz w:val="22"/>
    </w:rPr>
  </w:style>
  <w:style w:type="paragraph" w:customStyle="1" w:styleId="SOTextNote">
    <w:name w:val="SO TextNote"/>
    <w:aliases w:val="sont"/>
    <w:basedOn w:val="SOText"/>
    <w:qFormat/>
    <w:rsid w:val="004D527B"/>
    <w:pPr>
      <w:spacing w:before="122" w:line="198" w:lineRule="exact"/>
      <w:ind w:left="1843" w:hanging="709"/>
    </w:pPr>
    <w:rPr>
      <w:sz w:val="18"/>
    </w:rPr>
  </w:style>
  <w:style w:type="paragraph" w:customStyle="1" w:styleId="SOPara">
    <w:name w:val="SO Para"/>
    <w:aliases w:val="soa"/>
    <w:basedOn w:val="SOText"/>
    <w:link w:val="SOParaChar"/>
    <w:qFormat/>
    <w:rsid w:val="004D527B"/>
    <w:pPr>
      <w:tabs>
        <w:tab w:val="right" w:pos="1786"/>
      </w:tabs>
      <w:spacing w:before="40"/>
      <w:ind w:left="2070" w:hanging="936"/>
    </w:pPr>
  </w:style>
  <w:style w:type="character" w:customStyle="1" w:styleId="SOParaChar">
    <w:name w:val="SO Para Char"/>
    <w:aliases w:val="soa Char"/>
    <w:basedOn w:val="DefaultParagraphFont"/>
    <w:link w:val="SOPara"/>
    <w:rsid w:val="004D527B"/>
    <w:rPr>
      <w:sz w:val="22"/>
    </w:rPr>
  </w:style>
  <w:style w:type="paragraph" w:customStyle="1" w:styleId="FileName">
    <w:name w:val="FileName"/>
    <w:basedOn w:val="Normal"/>
    <w:rsid w:val="004D527B"/>
  </w:style>
  <w:style w:type="paragraph" w:customStyle="1" w:styleId="SOHeadBold">
    <w:name w:val="SO HeadBold"/>
    <w:aliases w:val="sohb"/>
    <w:basedOn w:val="SOText"/>
    <w:next w:val="SOText"/>
    <w:link w:val="SOHeadBoldChar"/>
    <w:qFormat/>
    <w:rsid w:val="004D527B"/>
    <w:rPr>
      <w:b/>
    </w:rPr>
  </w:style>
  <w:style w:type="character" w:customStyle="1" w:styleId="SOHeadBoldChar">
    <w:name w:val="SO HeadBold Char"/>
    <w:aliases w:val="sohb Char"/>
    <w:basedOn w:val="DefaultParagraphFont"/>
    <w:link w:val="SOHeadBold"/>
    <w:rsid w:val="004D527B"/>
    <w:rPr>
      <w:b/>
      <w:sz w:val="22"/>
    </w:rPr>
  </w:style>
  <w:style w:type="paragraph" w:customStyle="1" w:styleId="SOHeadItalic">
    <w:name w:val="SO HeadItalic"/>
    <w:aliases w:val="sohi"/>
    <w:basedOn w:val="SOText"/>
    <w:next w:val="SOText"/>
    <w:link w:val="SOHeadItalicChar"/>
    <w:qFormat/>
    <w:rsid w:val="004D527B"/>
    <w:rPr>
      <w:i/>
    </w:rPr>
  </w:style>
  <w:style w:type="character" w:customStyle="1" w:styleId="SOHeadItalicChar">
    <w:name w:val="SO HeadItalic Char"/>
    <w:aliases w:val="sohi Char"/>
    <w:basedOn w:val="DefaultParagraphFont"/>
    <w:link w:val="SOHeadItalic"/>
    <w:rsid w:val="004D527B"/>
    <w:rPr>
      <w:i/>
      <w:sz w:val="22"/>
    </w:rPr>
  </w:style>
  <w:style w:type="paragraph" w:customStyle="1" w:styleId="SOBullet">
    <w:name w:val="SO Bullet"/>
    <w:aliases w:val="sotb"/>
    <w:basedOn w:val="SOText"/>
    <w:link w:val="SOBulletChar"/>
    <w:qFormat/>
    <w:rsid w:val="004D527B"/>
    <w:pPr>
      <w:ind w:left="1559" w:hanging="425"/>
    </w:pPr>
  </w:style>
  <w:style w:type="character" w:customStyle="1" w:styleId="SOBulletChar">
    <w:name w:val="SO Bullet Char"/>
    <w:aliases w:val="sotb Char"/>
    <w:basedOn w:val="DefaultParagraphFont"/>
    <w:link w:val="SOBullet"/>
    <w:rsid w:val="004D527B"/>
    <w:rPr>
      <w:sz w:val="22"/>
    </w:rPr>
  </w:style>
  <w:style w:type="paragraph" w:customStyle="1" w:styleId="SOBulletNote">
    <w:name w:val="SO BulletNote"/>
    <w:aliases w:val="sonb"/>
    <w:basedOn w:val="SOTextNote"/>
    <w:link w:val="SOBulletNoteChar"/>
    <w:qFormat/>
    <w:rsid w:val="004D527B"/>
    <w:pPr>
      <w:tabs>
        <w:tab w:val="left" w:pos="1560"/>
      </w:tabs>
      <w:ind w:left="2268" w:hanging="1134"/>
    </w:pPr>
  </w:style>
  <w:style w:type="character" w:customStyle="1" w:styleId="SOBulletNoteChar">
    <w:name w:val="SO BulletNote Char"/>
    <w:aliases w:val="sonb Char"/>
    <w:basedOn w:val="DefaultParagraphFont"/>
    <w:link w:val="SOBulletNote"/>
    <w:rsid w:val="004D527B"/>
    <w:rPr>
      <w:sz w:val="18"/>
    </w:rPr>
  </w:style>
  <w:style w:type="paragraph" w:customStyle="1" w:styleId="SOText2">
    <w:name w:val="SO Text2"/>
    <w:aliases w:val="sot2"/>
    <w:basedOn w:val="Normal"/>
    <w:next w:val="SOText"/>
    <w:link w:val="SOText2Char"/>
    <w:rsid w:val="004D527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527B"/>
    <w:rPr>
      <w:sz w:val="22"/>
    </w:rPr>
  </w:style>
  <w:style w:type="paragraph" w:customStyle="1" w:styleId="Transitional">
    <w:name w:val="Transitional"/>
    <w:aliases w:val="tr"/>
    <w:basedOn w:val="ItemHead"/>
    <w:next w:val="Item"/>
    <w:rsid w:val="004D527B"/>
  </w:style>
  <w:style w:type="character" w:customStyle="1" w:styleId="Heading1Char">
    <w:name w:val="Heading 1 Char"/>
    <w:basedOn w:val="DefaultParagraphFont"/>
    <w:link w:val="Heading1"/>
    <w:uiPriority w:val="9"/>
    <w:rsid w:val="002756A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756A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756A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56A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2756A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756A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756A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756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56AE"/>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5A6D46"/>
    <w:rPr>
      <w:rFonts w:eastAsia="Times New Roman" w:cs="Times New Roman"/>
      <w:sz w:val="22"/>
      <w:lang w:eastAsia="en-AU"/>
    </w:rPr>
  </w:style>
  <w:style w:type="character" w:customStyle="1" w:styleId="notetextChar">
    <w:name w:val="note(text) Char"/>
    <w:aliases w:val="n Char"/>
    <w:basedOn w:val="DefaultParagraphFont"/>
    <w:link w:val="notetext"/>
    <w:rsid w:val="005A6D46"/>
    <w:rPr>
      <w:rFonts w:eastAsia="Times New Roman" w:cs="Times New Roman"/>
      <w:sz w:val="18"/>
      <w:lang w:eastAsia="en-AU"/>
    </w:rPr>
  </w:style>
  <w:style w:type="character" w:customStyle="1" w:styleId="paragraphChar">
    <w:name w:val="paragraph Char"/>
    <w:aliases w:val="a Char"/>
    <w:link w:val="paragraph"/>
    <w:rsid w:val="00B36E74"/>
    <w:rPr>
      <w:rFonts w:eastAsia="Times New Roman" w:cs="Times New Roman"/>
      <w:sz w:val="22"/>
      <w:lang w:eastAsia="en-AU"/>
    </w:rPr>
  </w:style>
  <w:style w:type="paragraph" w:customStyle="1" w:styleId="ShortTP1">
    <w:name w:val="ShortTP1"/>
    <w:basedOn w:val="ShortT"/>
    <w:link w:val="ShortTP1Char"/>
    <w:rsid w:val="00BD6724"/>
    <w:pPr>
      <w:spacing w:before="800"/>
    </w:pPr>
  </w:style>
  <w:style w:type="character" w:customStyle="1" w:styleId="ShortTP1Char">
    <w:name w:val="ShortTP1 Char"/>
    <w:basedOn w:val="DefaultParagraphFont"/>
    <w:link w:val="ShortTP1"/>
    <w:rsid w:val="00BD6724"/>
    <w:rPr>
      <w:rFonts w:eastAsia="Times New Roman" w:cs="Times New Roman"/>
      <w:b/>
      <w:sz w:val="40"/>
      <w:lang w:eastAsia="en-AU"/>
    </w:rPr>
  </w:style>
  <w:style w:type="paragraph" w:customStyle="1" w:styleId="ActNoP1">
    <w:name w:val="ActNoP1"/>
    <w:basedOn w:val="Actno"/>
    <w:link w:val="ActNoP1Char"/>
    <w:rsid w:val="00BD6724"/>
    <w:pPr>
      <w:spacing w:before="800"/>
    </w:pPr>
    <w:rPr>
      <w:sz w:val="28"/>
    </w:rPr>
  </w:style>
  <w:style w:type="character" w:customStyle="1" w:styleId="ActNoP1Char">
    <w:name w:val="ActNoP1 Char"/>
    <w:basedOn w:val="DefaultParagraphFont"/>
    <w:link w:val="ActNoP1"/>
    <w:rsid w:val="00BD6724"/>
    <w:rPr>
      <w:rFonts w:eastAsia="Times New Roman" w:cs="Times New Roman"/>
      <w:b/>
      <w:sz w:val="28"/>
      <w:lang w:eastAsia="en-AU"/>
    </w:rPr>
  </w:style>
  <w:style w:type="paragraph" w:customStyle="1" w:styleId="AssentBk">
    <w:name w:val="AssentBk"/>
    <w:basedOn w:val="Normal"/>
    <w:rsid w:val="00BD6724"/>
    <w:pPr>
      <w:spacing w:line="240" w:lineRule="auto"/>
    </w:pPr>
    <w:rPr>
      <w:rFonts w:eastAsia="Times New Roman" w:cs="Times New Roman"/>
      <w:sz w:val="20"/>
      <w:lang w:eastAsia="en-AU"/>
    </w:rPr>
  </w:style>
  <w:style w:type="paragraph" w:customStyle="1" w:styleId="AssentDt">
    <w:name w:val="AssentDt"/>
    <w:basedOn w:val="Normal"/>
    <w:rsid w:val="001552BD"/>
    <w:pPr>
      <w:spacing w:line="240" w:lineRule="auto"/>
    </w:pPr>
    <w:rPr>
      <w:rFonts w:eastAsia="Times New Roman" w:cs="Times New Roman"/>
      <w:sz w:val="20"/>
      <w:lang w:eastAsia="en-AU"/>
    </w:rPr>
  </w:style>
  <w:style w:type="paragraph" w:customStyle="1" w:styleId="2ndRd">
    <w:name w:val="2ndRd"/>
    <w:basedOn w:val="Normal"/>
    <w:rsid w:val="001552BD"/>
    <w:pPr>
      <w:spacing w:line="240" w:lineRule="auto"/>
    </w:pPr>
    <w:rPr>
      <w:rFonts w:eastAsia="Times New Roman" w:cs="Times New Roman"/>
      <w:sz w:val="20"/>
      <w:lang w:eastAsia="en-AU"/>
    </w:rPr>
  </w:style>
  <w:style w:type="paragraph" w:customStyle="1" w:styleId="ScalePlusRef">
    <w:name w:val="ScalePlusRef"/>
    <w:basedOn w:val="Normal"/>
    <w:rsid w:val="001552B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Pages>
  <Words>1160</Words>
  <Characters>6231</Characters>
  <Application>Microsoft Office Word</Application>
  <DocSecurity>0</DocSecurity>
  <PresentationFormat/>
  <Lines>124</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2022-02-08T22:34:00Z</dcterms:created>
  <dcterms:modified xsi:type="dcterms:W3CDTF">2022-02-24T22:57:00Z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Parliamentary Workplace Reform (Set the Standard Measures No. 1) Act 2022</vt:lpwstr>
  </property>
  <property fmtid="{D5CDD505-2E9C-101B-9397-08002B2CF9AE}" pid="3" name="ActNo">
    <vt:lpwstr>No. 7,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OPC7947</vt:lpwstr>
  </property>
  <property fmtid="{D5CDD505-2E9C-101B-9397-08002B2CF9AE}" pid="10" name="DoNotAsk">
    <vt:lpwstr>0</vt:lpwstr>
  </property>
  <property fmtid="{D5CDD505-2E9C-101B-9397-08002B2CF9AE}" pid="11" name="ChangedTitle">
    <vt:lpwstr/>
  </property>
</Properties>
</file>