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AD50A" w14:textId="157242A4" w:rsidR="00ED427F" w:rsidRDefault="00ED427F" w:rsidP="00ED427F">
      <w:r>
        <w:object w:dxaOrig="2146" w:dyaOrig="1561" w14:anchorId="21320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8" o:title=""/>
          </v:shape>
          <o:OLEObject Type="Embed" ProgID="Word.Picture.8" ShapeID="_x0000_i1026" DrawAspect="Content" ObjectID="_1710597250" r:id="rId9"/>
        </w:object>
      </w:r>
    </w:p>
    <w:p w14:paraId="6D06B12D" w14:textId="77777777" w:rsidR="00ED427F" w:rsidRDefault="00ED427F" w:rsidP="00ED427F">
      <w:bookmarkStart w:id="0" w:name="_GoBack"/>
      <w:bookmarkEnd w:id="0"/>
    </w:p>
    <w:p w14:paraId="07B195AA" w14:textId="77777777" w:rsidR="00ED427F" w:rsidRDefault="00ED427F" w:rsidP="00ED427F"/>
    <w:p w14:paraId="28662273" w14:textId="77777777" w:rsidR="00ED427F" w:rsidRDefault="00ED427F" w:rsidP="00ED427F"/>
    <w:p w14:paraId="2621896C" w14:textId="77777777" w:rsidR="00ED427F" w:rsidRDefault="00ED427F" w:rsidP="00ED427F"/>
    <w:p w14:paraId="159E9928" w14:textId="77777777" w:rsidR="00ED427F" w:rsidRDefault="00ED427F" w:rsidP="00ED427F"/>
    <w:p w14:paraId="62DCEAAE" w14:textId="77777777" w:rsidR="00ED427F" w:rsidRDefault="00ED427F" w:rsidP="00ED427F"/>
    <w:p w14:paraId="42A372EA" w14:textId="40A2F91B" w:rsidR="00A966CA" w:rsidRDefault="00ED427F" w:rsidP="00A966CA">
      <w:pPr>
        <w:pStyle w:val="ShortT"/>
      </w:pPr>
      <w:r>
        <w:t>Data Availability and Transparency (Consequential Amendments) Act 2022</w:t>
      </w:r>
    </w:p>
    <w:p w14:paraId="42CE5122" w14:textId="0F90D762" w:rsidR="0048364F" w:rsidRPr="000123C7" w:rsidRDefault="0048364F" w:rsidP="0048364F"/>
    <w:p w14:paraId="70CA39CD" w14:textId="7C568765" w:rsidR="00A966CA" w:rsidRDefault="00A966CA" w:rsidP="00ED427F">
      <w:pPr>
        <w:pStyle w:val="Actno"/>
        <w:spacing w:before="400"/>
      </w:pPr>
      <w:r>
        <w:t>No.</w:t>
      </w:r>
      <w:r w:rsidR="00100956">
        <w:t xml:space="preserve"> 12</w:t>
      </w:r>
      <w:r>
        <w:t>, 2022</w:t>
      </w:r>
    </w:p>
    <w:p w14:paraId="4C7E2CEF" w14:textId="4771B8C5" w:rsidR="0048364F" w:rsidRPr="000123C7" w:rsidRDefault="0048364F" w:rsidP="0048364F"/>
    <w:p w14:paraId="347C5FC2" w14:textId="77777777" w:rsidR="00A966CA" w:rsidRDefault="00A966CA" w:rsidP="00A966CA">
      <w:pPr>
        <w:rPr>
          <w:lang w:eastAsia="en-AU"/>
        </w:rPr>
      </w:pPr>
    </w:p>
    <w:p w14:paraId="3E54CA4D" w14:textId="57500929" w:rsidR="0048364F" w:rsidRPr="000123C7" w:rsidRDefault="0048364F" w:rsidP="0048364F"/>
    <w:p w14:paraId="55E1BB8C" w14:textId="77777777" w:rsidR="0048364F" w:rsidRPr="000123C7" w:rsidRDefault="0048364F" w:rsidP="0048364F"/>
    <w:p w14:paraId="4FE4BFF4" w14:textId="77777777" w:rsidR="0048364F" w:rsidRPr="000123C7" w:rsidRDefault="0048364F" w:rsidP="0048364F"/>
    <w:p w14:paraId="28BFE457" w14:textId="77777777" w:rsidR="00ED427F" w:rsidRDefault="00ED427F" w:rsidP="00ED427F">
      <w:pPr>
        <w:pStyle w:val="LongT"/>
      </w:pPr>
      <w:r>
        <w:t xml:space="preserve">An Act to deal with consequential matters in connection with the </w:t>
      </w:r>
      <w:r w:rsidRPr="00ED427F">
        <w:rPr>
          <w:i/>
        </w:rPr>
        <w:t>Data Availability and Transparency Act 2022</w:t>
      </w:r>
      <w:r>
        <w:t>, and for related purposes</w:t>
      </w:r>
    </w:p>
    <w:p w14:paraId="6CB9ACE2" w14:textId="0096802D" w:rsidR="0048364F" w:rsidRPr="00754A5F" w:rsidRDefault="0048364F" w:rsidP="0048364F">
      <w:pPr>
        <w:pStyle w:val="Header"/>
        <w:tabs>
          <w:tab w:val="clear" w:pos="4150"/>
          <w:tab w:val="clear" w:pos="8307"/>
        </w:tabs>
      </w:pPr>
      <w:r w:rsidRPr="00754A5F">
        <w:rPr>
          <w:rStyle w:val="CharAmSchNo"/>
        </w:rPr>
        <w:t xml:space="preserve"> </w:t>
      </w:r>
      <w:r w:rsidRPr="00754A5F">
        <w:rPr>
          <w:rStyle w:val="CharAmSchText"/>
        </w:rPr>
        <w:t xml:space="preserve"> </w:t>
      </w:r>
    </w:p>
    <w:p w14:paraId="2A2A3BF6" w14:textId="77777777" w:rsidR="0048364F" w:rsidRPr="00754A5F" w:rsidRDefault="0048364F" w:rsidP="0048364F">
      <w:pPr>
        <w:pStyle w:val="Header"/>
        <w:tabs>
          <w:tab w:val="clear" w:pos="4150"/>
          <w:tab w:val="clear" w:pos="8307"/>
        </w:tabs>
      </w:pPr>
      <w:r w:rsidRPr="00754A5F">
        <w:rPr>
          <w:rStyle w:val="CharAmPartNo"/>
        </w:rPr>
        <w:t xml:space="preserve"> </w:t>
      </w:r>
      <w:r w:rsidRPr="00754A5F">
        <w:rPr>
          <w:rStyle w:val="CharAmPartText"/>
        </w:rPr>
        <w:t xml:space="preserve"> </w:t>
      </w:r>
    </w:p>
    <w:p w14:paraId="314B0889" w14:textId="77777777" w:rsidR="0048364F" w:rsidRPr="000123C7" w:rsidRDefault="0048364F" w:rsidP="0048364F">
      <w:pPr>
        <w:sectPr w:rsidR="0048364F" w:rsidRPr="000123C7" w:rsidSect="00ED427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docGrid w:linePitch="360"/>
        </w:sectPr>
      </w:pPr>
    </w:p>
    <w:p w14:paraId="26934424" w14:textId="77777777" w:rsidR="0048364F" w:rsidRPr="000123C7" w:rsidRDefault="0048364F" w:rsidP="0048364F">
      <w:pPr>
        <w:outlineLvl w:val="0"/>
        <w:rPr>
          <w:sz w:val="36"/>
        </w:rPr>
      </w:pPr>
      <w:r w:rsidRPr="000123C7">
        <w:rPr>
          <w:sz w:val="36"/>
        </w:rPr>
        <w:lastRenderedPageBreak/>
        <w:t>Contents</w:t>
      </w:r>
    </w:p>
    <w:p w14:paraId="704F19DF" w14:textId="12349B7E" w:rsidR="00B42884" w:rsidRDefault="00B42884">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B42884">
        <w:rPr>
          <w:noProof/>
        </w:rPr>
        <w:tab/>
      </w:r>
      <w:r w:rsidRPr="00B42884">
        <w:rPr>
          <w:noProof/>
        </w:rPr>
        <w:fldChar w:fldCharType="begin"/>
      </w:r>
      <w:r w:rsidRPr="00B42884">
        <w:rPr>
          <w:noProof/>
        </w:rPr>
        <w:instrText xml:space="preserve"> PAGEREF _Toc99983994 \h </w:instrText>
      </w:r>
      <w:r w:rsidRPr="00B42884">
        <w:rPr>
          <w:noProof/>
        </w:rPr>
      </w:r>
      <w:r w:rsidRPr="00B42884">
        <w:rPr>
          <w:noProof/>
        </w:rPr>
        <w:fldChar w:fldCharType="separate"/>
      </w:r>
      <w:r w:rsidR="00356A25">
        <w:rPr>
          <w:noProof/>
        </w:rPr>
        <w:t>1</w:t>
      </w:r>
      <w:r w:rsidRPr="00B42884">
        <w:rPr>
          <w:noProof/>
        </w:rPr>
        <w:fldChar w:fldCharType="end"/>
      </w:r>
    </w:p>
    <w:p w14:paraId="25A07547" w14:textId="6B0E6C91" w:rsidR="00B42884" w:rsidRDefault="00B42884">
      <w:pPr>
        <w:pStyle w:val="TOC5"/>
        <w:rPr>
          <w:rFonts w:asciiTheme="minorHAnsi" w:eastAsiaTheme="minorEastAsia" w:hAnsiTheme="minorHAnsi" w:cstheme="minorBidi"/>
          <w:noProof/>
          <w:kern w:val="0"/>
          <w:sz w:val="22"/>
          <w:szCs w:val="22"/>
        </w:rPr>
      </w:pPr>
      <w:r>
        <w:rPr>
          <w:noProof/>
        </w:rPr>
        <w:t>2</w:t>
      </w:r>
      <w:r>
        <w:rPr>
          <w:noProof/>
        </w:rPr>
        <w:tab/>
        <w:t>Commencement</w:t>
      </w:r>
      <w:r w:rsidRPr="00B42884">
        <w:rPr>
          <w:noProof/>
        </w:rPr>
        <w:tab/>
      </w:r>
      <w:r w:rsidRPr="00B42884">
        <w:rPr>
          <w:noProof/>
        </w:rPr>
        <w:fldChar w:fldCharType="begin"/>
      </w:r>
      <w:r w:rsidRPr="00B42884">
        <w:rPr>
          <w:noProof/>
        </w:rPr>
        <w:instrText xml:space="preserve"> PAGEREF _Toc99983995 \h </w:instrText>
      </w:r>
      <w:r w:rsidRPr="00B42884">
        <w:rPr>
          <w:noProof/>
        </w:rPr>
      </w:r>
      <w:r w:rsidRPr="00B42884">
        <w:rPr>
          <w:noProof/>
        </w:rPr>
        <w:fldChar w:fldCharType="separate"/>
      </w:r>
      <w:r w:rsidR="00356A25">
        <w:rPr>
          <w:noProof/>
        </w:rPr>
        <w:t>2</w:t>
      </w:r>
      <w:r w:rsidRPr="00B42884">
        <w:rPr>
          <w:noProof/>
        </w:rPr>
        <w:fldChar w:fldCharType="end"/>
      </w:r>
    </w:p>
    <w:p w14:paraId="17BFE29D" w14:textId="6662C850" w:rsidR="00B42884" w:rsidRDefault="00B42884">
      <w:pPr>
        <w:pStyle w:val="TOC5"/>
        <w:rPr>
          <w:rFonts w:asciiTheme="minorHAnsi" w:eastAsiaTheme="minorEastAsia" w:hAnsiTheme="minorHAnsi" w:cstheme="minorBidi"/>
          <w:noProof/>
          <w:kern w:val="0"/>
          <w:sz w:val="22"/>
          <w:szCs w:val="22"/>
        </w:rPr>
      </w:pPr>
      <w:r>
        <w:rPr>
          <w:noProof/>
        </w:rPr>
        <w:t>3</w:t>
      </w:r>
      <w:r>
        <w:rPr>
          <w:noProof/>
        </w:rPr>
        <w:tab/>
        <w:t>Schedules</w:t>
      </w:r>
      <w:r w:rsidRPr="00B42884">
        <w:rPr>
          <w:noProof/>
        </w:rPr>
        <w:tab/>
      </w:r>
      <w:r w:rsidRPr="00B42884">
        <w:rPr>
          <w:noProof/>
        </w:rPr>
        <w:fldChar w:fldCharType="begin"/>
      </w:r>
      <w:r w:rsidRPr="00B42884">
        <w:rPr>
          <w:noProof/>
        </w:rPr>
        <w:instrText xml:space="preserve"> PAGEREF _Toc99983996 \h </w:instrText>
      </w:r>
      <w:r w:rsidRPr="00B42884">
        <w:rPr>
          <w:noProof/>
        </w:rPr>
      </w:r>
      <w:r w:rsidRPr="00B42884">
        <w:rPr>
          <w:noProof/>
        </w:rPr>
        <w:fldChar w:fldCharType="separate"/>
      </w:r>
      <w:r w:rsidR="00356A25">
        <w:rPr>
          <w:noProof/>
        </w:rPr>
        <w:t>2</w:t>
      </w:r>
      <w:r w:rsidRPr="00B42884">
        <w:rPr>
          <w:noProof/>
        </w:rPr>
        <w:fldChar w:fldCharType="end"/>
      </w:r>
    </w:p>
    <w:p w14:paraId="37654EE4" w14:textId="3071A494" w:rsidR="00B42884" w:rsidRDefault="00B42884">
      <w:pPr>
        <w:pStyle w:val="TOC6"/>
        <w:rPr>
          <w:rFonts w:asciiTheme="minorHAnsi" w:eastAsiaTheme="minorEastAsia" w:hAnsiTheme="minorHAnsi" w:cstheme="minorBidi"/>
          <w:b w:val="0"/>
          <w:noProof/>
          <w:kern w:val="0"/>
          <w:sz w:val="22"/>
          <w:szCs w:val="22"/>
        </w:rPr>
      </w:pPr>
      <w:r>
        <w:rPr>
          <w:noProof/>
        </w:rPr>
        <w:t>Schedule 1—Amendments</w:t>
      </w:r>
      <w:r w:rsidRPr="00B42884">
        <w:rPr>
          <w:b w:val="0"/>
          <w:noProof/>
          <w:sz w:val="18"/>
        </w:rPr>
        <w:tab/>
      </w:r>
      <w:r w:rsidRPr="00B42884">
        <w:rPr>
          <w:b w:val="0"/>
          <w:noProof/>
          <w:sz w:val="18"/>
        </w:rPr>
        <w:fldChar w:fldCharType="begin"/>
      </w:r>
      <w:r w:rsidRPr="00B42884">
        <w:rPr>
          <w:b w:val="0"/>
          <w:noProof/>
          <w:sz w:val="18"/>
        </w:rPr>
        <w:instrText xml:space="preserve"> PAGEREF _Toc99983997 \h </w:instrText>
      </w:r>
      <w:r w:rsidRPr="00B42884">
        <w:rPr>
          <w:b w:val="0"/>
          <w:noProof/>
          <w:sz w:val="18"/>
        </w:rPr>
      </w:r>
      <w:r w:rsidRPr="00B42884">
        <w:rPr>
          <w:b w:val="0"/>
          <w:noProof/>
          <w:sz w:val="18"/>
        </w:rPr>
        <w:fldChar w:fldCharType="separate"/>
      </w:r>
      <w:r w:rsidR="00356A25">
        <w:rPr>
          <w:b w:val="0"/>
          <w:noProof/>
          <w:sz w:val="18"/>
        </w:rPr>
        <w:t>3</w:t>
      </w:r>
      <w:r w:rsidRPr="00B42884">
        <w:rPr>
          <w:b w:val="0"/>
          <w:noProof/>
          <w:sz w:val="18"/>
        </w:rPr>
        <w:fldChar w:fldCharType="end"/>
      </w:r>
    </w:p>
    <w:p w14:paraId="449060F6" w14:textId="710DCAD4" w:rsidR="00B42884" w:rsidRDefault="00B42884">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B42884">
        <w:rPr>
          <w:i w:val="0"/>
          <w:noProof/>
          <w:sz w:val="18"/>
        </w:rPr>
        <w:tab/>
      </w:r>
      <w:r w:rsidRPr="00B42884">
        <w:rPr>
          <w:i w:val="0"/>
          <w:noProof/>
          <w:sz w:val="18"/>
        </w:rPr>
        <w:fldChar w:fldCharType="begin"/>
      </w:r>
      <w:r w:rsidRPr="00B42884">
        <w:rPr>
          <w:i w:val="0"/>
          <w:noProof/>
          <w:sz w:val="18"/>
        </w:rPr>
        <w:instrText xml:space="preserve"> PAGEREF _Toc99983998 \h </w:instrText>
      </w:r>
      <w:r w:rsidRPr="00B42884">
        <w:rPr>
          <w:i w:val="0"/>
          <w:noProof/>
          <w:sz w:val="18"/>
        </w:rPr>
      </w:r>
      <w:r w:rsidRPr="00B42884">
        <w:rPr>
          <w:i w:val="0"/>
          <w:noProof/>
          <w:sz w:val="18"/>
        </w:rPr>
        <w:fldChar w:fldCharType="separate"/>
      </w:r>
      <w:r w:rsidR="00356A25">
        <w:rPr>
          <w:i w:val="0"/>
          <w:noProof/>
          <w:sz w:val="18"/>
        </w:rPr>
        <w:t>3</w:t>
      </w:r>
      <w:r w:rsidRPr="00B42884">
        <w:rPr>
          <w:i w:val="0"/>
          <w:noProof/>
          <w:sz w:val="18"/>
        </w:rPr>
        <w:fldChar w:fldCharType="end"/>
      </w:r>
    </w:p>
    <w:p w14:paraId="71E498ED" w14:textId="460572AE" w:rsidR="00B42884" w:rsidRDefault="00B42884">
      <w:pPr>
        <w:pStyle w:val="TOC9"/>
        <w:rPr>
          <w:rFonts w:asciiTheme="minorHAnsi" w:eastAsiaTheme="minorEastAsia" w:hAnsiTheme="minorHAnsi" w:cstheme="minorBidi"/>
          <w:i w:val="0"/>
          <w:noProof/>
          <w:kern w:val="0"/>
          <w:sz w:val="22"/>
          <w:szCs w:val="22"/>
        </w:rPr>
      </w:pPr>
      <w:r>
        <w:rPr>
          <w:noProof/>
        </w:rPr>
        <w:t>Freedom of Information Act 1982</w:t>
      </w:r>
      <w:r w:rsidRPr="00B42884">
        <w:rPr>
          <w:i w:val="0"/>
          <w:noProof/>
          <w:sz w:val="18"/>
        </w:rPr>
        <w:tab/>
      </w:r>
      <w:r w:rsidRPr="00B42884">
        <w:rPr>
          <w:i w:val="0"/>
          <w:noProof/>
          <w:sz w:val="18"/>
        </w:rPr>
        <w:fldChar w:fldCharType="begin"/>
      </w:r>
      <w:r w:rsidRPr="00B42884">
        <w:rPr>
          <w:i w:val="0"/>
          <w:noProof/>
          <w:sz w:val="18"/>
        </w:rPr>
        <w:instrText xml:space="preserve"> PAGEREF _Toc99983999 \h </w:instrText>
      </w:r>
      <w:r w:rsidRPr="00B42884">
        <w:rPr>
          <w:i w:val="0"/>
          <w:noProof/>
          <w:sz w:val="18"/>
        </w:rPr>
      </w:r>
      <w:r w:rsidRPr="00B42884">
        <w:rPr>
          <w:i w:val="0"/>
          <w:noProof/>
          <w:sz w:val="18"/>
        </w:rPr>
        <w:fldChar w:fldCharType="separate"/>
      </w:r>
      <w:r w:rsidR="00356A25">
        <w:rPr>
          <w:i w:val="0"/>
          <w:noProof/>
          <w:sz w:val="18"/>
        </w:rPr>
        <w:t>3</w:t>
      </w:r>
      <w:r w:rsidRPr="00B42884">
        <w:rPr>
          <w:i w:val="0"/>
          <w:noProof/>
          <w:sz w:val="18"/>
        </w:rPr>
        <w:fldChar w:fldCharType="end"/>
      </w:r>
    </w:p>
    <w:p w14:paraId="69CBBAF3" w14:textId="4B8C8E02" w:rsidR="00B42884" w:rsidRDefault="00B42884">
      <w:pPr>
        <w:pStyle w:val="TOC9"/>
        <w:rPr>
          <w:rFonts w:asciiTheme="minorHAnsi" w:eastAsiaTheme="minorEastAsia" w:hAnsiTheme="minorHAnsi" w:cstheme="minorBidi"/>
          <w:i w:val="0"/>
          <w:noProof/>
          <w:kern w:val="0"/>
          <w:sz w:val="22"/>
          <w:szCs w:val="22"/>
        </w:rPr>
      </w:pPr>
      <w:r>
        <w:rPr>
          <w:noProof/>
        </w:rPr>
        <w:t>Privacy Act 1988</w:t>
      </w:r>
      <w:r w:rsidRPr="00B42884">
        <w:rPr>
          <w:i w:val="0"/>
          <w:noProof/>
          <w:sz w:val="18"/>
        </w:rPr>
        <w:tab/>
      </w:r>
      <w:r w:rsidRPr="00B42884">
        <w:rPr>
          <w:i w:val="0"/>
          <w:noProof/>
          <w:sz w:val="18"/>
        </w:rPr>
        <w:fldChar w:fldCharType="begin"/>
      </w:r>
      <w:r w:rsidRPr="00B42884">
        <w:rPr>
          <w:i w:val="0"/>
          <w:noProof/>
          <w:sz w:val="18"/>
        </w:rPr>
        <w:instrText xml:space="preserve"> PAGEREF _Toc99984000 \h </w:instrText>
      </w:r>
      <w:r w:rsidRPr="00B42884">
        <w:rPr>
          <w:i w:val="0"/>
          <w:noProof/>
          <w:sz w:val="18"/>
        </w:rPr>
      </w:r>
      <w:r w:rsidRPr="00B42884">
        <w:rPr>
          <w:i w:val="0"/>
          <w:noProof/>
          <w:sz w:val="18"/>
        </w:rPr>
        <w:fldChar w:fldCharType="separate"/>
      </w:r>
      <w:r w:rsidR="00356A25">
        <w:rPr>
          <w:i w:val="0"/>
          <w:noProof/>
          <w:sz w:val="18"/>
        </w:rPr>
        <w:t>3</w:t>
      </w:r>
      <w:r w:rsidRPr="00B42884">
        <w:rPr>
          <w:i w:val="0"/>
          <w:noProof/>
          <w:sz w:val="18"/>
        </w:rPr>
        <w:fldChar w:fldCharType="end"/>
      </w:r>
    </w:p>
    <w:p w14:paraId="0E52AC2C" w14:textId="6B79AFF0" w:rsidR="00B42884" w:rsidRDefault="00B42884">
      <w:pPr>
        <w:pStyle w:val="TOC6"/>
        <w:rPr>
          <w:rFonts w:asciiTheme="minorHAnsi" w:eastAsiaTheme="minorEastAsia" w:hAnsiTheme="minorHAnsi" w:cstheme="minorBidi"/>
          <w:b w:val="0"/>
          <w:noProof/>
          <w:kern w:val="0"/>
          <w:sz w:val="22"/>
          <w:szCs w:val="22"/>
        </w:rPr>
      </w:pPr>
      <w:r>
        <w:rPr>
          <w:noProof/>
        </w:rPr>
        <w:t>Schedule 2—Application provisions</w:t>
      </w:r>
      <w:r w:rsidRPr="00B42884">
        <w:rPr>
          <w:b w:val="0"/>
          <w:noProof/>
          <w:sz w:val="18"/>
        </w:rPr>
        <w:tab/>
      </w:r>
      <w:r w:rsidRPr="00B42884">
        <w:rPr>
          <w:b w:val="0"/>
          <w:noProof/>
          <w:sz w:val="18"/>
        </w:rPr>
        <w:fldChar w:fldCharType="begin"/>
      </w:r>
      <w:r w:rsidRPr="00B42884">
        <w:rPr>
          <w:b w:val="0"/>
          <w:noProof/>
          <w:sz w:val="18"/>
        </w:rPr>
        <w:instrText xml:space="preserve"> PAGEREF _Toc99984002 \h </w:instrText>
      </w:r>
      <w:r w:rsidRPr="00B42884">
        <w:rPr>
          <w:b w:val="0"/>
          <w:noProof/>
          <w:sz w:val="18"/>
        </w:rPr>
      </w:r>
      <w:r w:rsidRPr="00B42884">
        <w:rPr>
          <w:b w:val="0"/>
          <w:noProof/>
          <w:sz w:val="18"/>
        </w:rPr>
        <w:fldChar w:fldCharType="separate"/>
      </w:r>
      <w:r w:rsidR="00356A25">
        <w:rPr>
          <w:b w:val="0"/>
          <w:noProof/>
          <w:sz w:val="18"/>
        </w:rPr>
        <w:t>5</w:t>
      </w:r>
      <w:r w:rsidRPr="00B42884">
        <w:rPr>
          <w:b w:val="0"/>
          <w:noProof/>
          <w:sz w:val="18"/>
        </w:rPr>
        <w:fldChar w:fldCharType="end"/>
      </w:r>
    </w:p>
    <w:p w14:paraId="14A3D759" w14:textId="0A558FC4" w:rsidR="00B42884" w:rsidRDefault="00B42884">
      <w:pPr>
        <w:pStyle w:val="TOC6"/>
        <w:rPr>
          <w:rFonts w:asciiTheme="minorHAnsi" w:eastAsiaTheme="minorEastAsia" w:hAnsiTheme="minorHAnsi" w:cstheme="minorBidi"/>
          <w:b w:val="0"/>
          <w:noProof/>
          <w:kern w:val="0"/>
          <w:sz w:val="22"/>
          <w:szCs w:val="22"/>
        </w:rPr>
      </w:pPr>
      <w:r>
        <w:rPr>
          <w:noProof/>
        </w:rPr>
        <w:t>Schedule 3—Transitional provisions</w:t>
      </w:r>
      <w:r w:rsidRPr="00B42884">
        <w:rPr>
          <w:b w:val="0"/>
          <w:noProof/>
          <w:sz w:val="18"/>
        </w:rPr>
        <w:tab/>
      </w:r>
      <w:r w:rsidRPr="00B42884">
        <w:rPr>
          <w:b w:val="0"/>
          <w:noProof/>
          <w:sz w:val="18"/>
        </w:rPr>
        <w:fldChar w:fldCharType="begin"/>
      </w:r>
      <w:r w:rsidRPr="00B42884">
        <w:rPr>
          <w:b w:val="0"/>
          <w:noProof/>
          <w:sz w:val="18"/>
        </w:rPr>
        <w:instrText xml:space="preserve"> PAGEREF _Toc99984003 \h </w:instrText>
      </w:r>
      <w:r w:rsidRPr="00B42884">
        <w:rPr>
          <w:b w:val="0"/>
          <w:noProof/>
          <w:sz w:val="18"/>
        </w:rPr>
      </w:r>
      <w:r w:rsidRPr="00B42884">
        <w:rPr>
          <w:b w:val="0"/>
          <w:noProof/>
          <w:sz w:val="18"/>
        </w:rPr>
        <w:fldChar w:fldCharType="separate"/>
      </w:r>
      <w:r w:rsidR="00356A25">
        <w:rPr>
          <w:b w:val="0"/>
          <w:noProof/>
          <w:sz w:val="18"/>
        </w:rPr>
        <w:t>6</w:t>
      </w:r>
      <w:r w:rsidRPr="00B42884">
        <w:rPr>
          <w:b w:val="0"/>
          <w:noProof/>
          <w:sz w:val="18"/>
        </w:rPr>
        <w:fldChar w:fldCharType="end"/>
      </w:r>
    </w:p>
    <w:p w14:paraId="08E72E74" w14:textId="07735789" w:rsidR="00060FF9" w:rsidRPr="000123C7" w:rsidRDefault="00B42884" w:rsidP="0048364F">
      <w:r>
        <w:rPr>
          <w:rFonts w:cs="Times New Roman"/>
          <w:sz w:val="18"/>
        </w:rPr>
        <w:fldChar w:fldCharType="end"/>
      </w:r>
    </w:p>
    <w:p w14:paraId="27EDBA9C" w14:textId="77777777" w:rsidR="00FE7F93" w:rsidRPr="000123C7" w:rsidRDefault="00FE7F93" w:rsidP="0048364F">
      <w:pPr>
        <w:sectPr w:rsidR="00FE7F93" w:rsidRPr="000123C7" w:rsidSect="00ED427F">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p>
    <w:p w14:paraId="02857D9D" w14:textId="77777777" w:rsidR="00ED427F" w:rsidRDefault="00ED427F">
      <w:r>
        <w:object w:dxaOrig="2146" w:dyaOrig="1561" w14:anchorId="0CD5D628">
          <v:shape id="_x0000_i1027" type="#_x0000_t75" alt="Commonwealth Coat of Arms of Australia" style="width:110.25pt;height:80.25pt" o:ole="" fillcolor="window">
            <v:imagedata r:id="rId8" o:title=""/>
          </v:shape>
          <o:OLEObject Type="Embed" ProgID="Word.Picture.8" ShapeID="_x0000_i1027" DrawAspect="Content" ObjectID="_1710597251" r:id="rId21"/>
        </w:object>
      </w:r>
    </w:p>
    <w:p w14:paraId="5630926D" w14:textId="77777777" w:rsidR="00ED427F" w:rsidRDefault="00ED427F"/>
    <w:p w14:paraId="206E47C1" w14:textId="77777777" w:rsidR="00ED427F" w:rsidRDefault="00ED427F" w:rsidP="000178F8">
      <w:pPr>
        <w:spacing w:line="240" w:lineRule="auto"/>
      </w:pPr>
    </w:p>
    <w:p w14:paraId="41C36DA9" w14:textId="3106D3F2" w:rsidR="00ED427F" w:rsidRDefault="00356A25" w:rsidP="000178F8">
      <w:pPr>
        <w:pStyle w:val="ShortTP1"/>
      </w:pPr>
      <w:r>
        <w:fldChar w:fldCharType="begin"/>
      </w:r>
      <w:r>
        <w:instrText xml:space="preserve"> STYLEREF ShortT </w:instrText>
      </w:r>
      <w:r>
        <w:fldChar w:fldCharType="separate"/>
      </w:r>
      <w:r>
        <w:rPr>
          <w:noProof/>
        </w:rPr>
        <w:t>Data Availability and Transparency (Consequential Amendments) Act 2022</w:t>
      </w:r>
      <w:r>
        <w:rPr>
          <w:noProof/>
        </w:rPr>
        <w:fldChar w:fldCharType="end"/>
      </w:r>
    </w:p>
    <w:p w14:paraId="0152CF3B" w14:textId="37DCFB0A" w:rsidR="00ED427F" w:rsidRDefault="00356A25" w:rsidP="000178F8">
      <w:pPr>
        <w:pStyle w:val="ActNoP1"/>
      </w:pPr>
      <w:r>
        <w:fldChar w:fldCharType="begin"/>
      </w:r>
      <w:r>
        <w:instrText xml:space="preserve"> STYLEREF Actno </w:instrText>
      </w:r>
      <w:r>
        <w:fldChar w:fldCharType="separate"/>
      </w:r>
      <w:r>
        <w:rPr>
          <w:noProof/>
        </w:rPr>
        <w:t>No. 12, 2022</w:t>
      </w:r>
      <w:r>
        <w:rPr>
          <w:noProof/>
        </w:rPr>
        <w:fldChar w:fldCharType="end"/>
      </w:r>
    </w:p>
    <w:p w14:paraId="60E4ADF3" w14:textId="77777777" w:rsidR="00ED427F" w:rsidRPr="009A0728" w:rsidRDefault="00ED427F" w:rsidP="009A0728">
      <w:pPr>
        <w:pBdr>
          <w:bottom w:val="single" w:sz="6" w:space="0" w:color="auto"/>
        </w:pBdr>
        <w:spacing w:before="400" w:line="240" w:lineRule="auto"/>
        <w:rPr>
          <w:rFonts w:eastAsia="Times New Roman"/>
          <w:b/>
          <w:sz w:val="28"/>
        </w:rPr>
      </w:pPr>
    </w:p>
    <w:p w14:paraId="3FF220DD" w14:textId="77777777" w:rsidR="00ED427F" w:rsidRPr="009A0728" w:rsidRDefault="00ED427F" w:rsidP="009A0728">
      <w:pPr>
        <w:spacing w:line="40" w:lineRule="exact"/>
        <w:rPr>
          <w:rFonts w:eastAsia="Calibri"/>
          <w:b/>
          <w:sz w:val="28"/>
        </w:rPr>
      </w:pPr>
    </w:p>
    <w:p w14:paraId="46E39E91" w14:textId="77777777" w:rsidR="00ED427F" w:rsidRPr="009A0728" w:rsidRDefault="00ED427F" w:rsidP="009A0728">
      <w:pPr>
        <w:pBdr>
          <w:top w:val="single" w:sz="12" w:space="0" w:color="auto"/>
        </w:pBdr>
        <w:spacing w:line="240" w:lineRule="auto"/>
        <w:rPr>
          <w:rFonts w:eastAsia="Times New Roman"/>
          <w:b/>
          <w:sz w:val="28"/>
        </w:rPr>
      </w:pPr>
    </w:p>
    <w:p w14:paraId="39B52631" w14:textId="77777777" w:rsidR="00ED427F" w:rsidRDefault="00ED427F" w:rsidP="00ED427F">
      <w:pPr>
        <w:pStyle w:val="Page1"/>
        <w:spacing w:before="400"/>
      </w:pPr>
      <w:r>
        <w:t xml:space="preserve">An Act to deal with consequential matters in connection with the </w:t>
      </w:r>
      <w:r w:rsidRPr="00ED427F">
        <w:rPr>
          <w:i/>
        </w:rPr>
        <w:t>Data Availability and Transparency Act 2022</w:t>
      </w:r>
      <w:r>
        <w:t>, and for related purposes</w:t>
      </w:r>
    </w:p>
    <w:p w14:paraId="55842F84" w14:textId="08B4E8F7" w:rsidR="00100956" w:rsidRDefault="00100956" w:rsidP="000C5962">
      <w:pPr>
        <w:pStyle w:val="AssentDt"/>
        <w:spacing w:before="240"/>
        <w:rPr>
          <w:sz w:val="24"/>
        </w:rPr>
      </w:pPr>
      <w:r>
        <w:rPr>
          <w:sz w:val="24"/>
        </w:rPr>
        <w:t>[</w:t>
      </w:r>
      <w:r>
        <w:rPr>
          <w:i/>
          <w:sz w:val="24"/>
        </w:rPr>
        <w:t>Assented to 31 March 2022</w:t>
      </w:r>
      <w:r>
        <w:rPr>
          <w:sz w:val="24"/>
        </w:rPr>
        <w:t>]</w:t>
      </w:r>
    </w:p>
    <w:p w14:paraId="774F2CBF" w14:textId="5472DC8F" w:rsidR="0048364F" w:rsidRPr="000123C7" w:rsidRDefault="0048364F" w:rsidP="000123C7">
      <w:pPr>
        <w:spacing w:before="240" w:line="240" w:lineRule="auto"/>
        <w:rPr>
          <w:sz w:val="32"/>
        </w:rPr>
      </w:pPr>
      <w:r w:rsidRPr="000123C7">
        <w:rPr>
          <w:sz w:val="32"/>
        </w:rPr>
        <w:t>The Parliament of Australia enacts:</w:t>
      </w:r>
    </w:p>
    <w:p w14:paraId="337487A9" w14:textId="77777777" w:rsidR="0048364F" w:rsidRPr="000123C7" w:rsidRDefault="0048364F" w:rsidP="000123C7">
      <w:pPr>
        <w:pStyle w:val="ActHead5"/>
      </w:pPr>
      <w:bookmarkStart w:id="1" w:name="_Toc99983994"/>
      <w:r w:rsidRPr="00754A5F">
        <w:rPr>
          <w:rStyle w:val="CharSectno"/>
        </w:rPr>
        <w:t>1</w:t>
      </w:r>
      <w:r w:rsidRPr="000123C7">
        <w:t xml:space="preserve">  Short title</w:t>
      </w:r>
      <w:bookmarkEnd w:id="1"/>
    </w:p>
    <w:p w14:paraId="21E118B8" w14:textId="77777777" w:rsidR="00A966CA" w:rsidRDefault="00A966CA" w:rsidP="00A966CA">
      <w:pPr>
        <w:pStyle w:val="subsection"/>
      </w:pPr>
      <w:r>
        <w:tab/>
      </w:r>
      <w:r>
        <w:tab/>
        <w:t xml:space="preserve">This Act is the </w:t>
      </w:r>
      <w:r w:rsidRPr="00A966CA">
        <w:rPr>
          <w:i/>
        </w:rPr>
        <w:t>Data Availability and Transparency (Consequential Amendments) Act 2022</w:t>
      </w:r>
      <w:r>
        <w:t>.</w:t>
      </w:r>
    </w:p>
    <w:p w14:paraId="46C30A63" w14:textId="3C9B0379" w:rsidR="0048364F" w:rsidRPr="000123C7" w:rsidRDefault="0048364F" w:rsidP="000123C7">
      <w:pPr>
        <w:pStyle w:val="ActHead5"/>
      </w:pPr>
      <w:bookmarkStart w:id="2" w:name="_Toc99983995"/>
      <w:r w:rsidRPr="00754A5F">
        <w:rPr>
          <w:rStyle w:val="CharSectno"/>
        </w:rPr>
        <w:t>2</w:t>
      </w:r>
      <w:r w:rsidRPr="000123C7">
        <w:t xml:space="preserve">  Commencement</w:t>
      </w:r>
      <w:bookmarkEnd w:id="2"/>
    </w:p>
    <w:p w14:paraId="43725181" w14:textId="77777777" w:rsidR="0048364F" w:rsidRPr="000123C7" w:rsidRDefault="0048364F" w:rsidP="000123C7">
      <w:pPr>
        <w:pStyle w:val="subsection"/>
      </w:pPr>
      <w:r w:rsidRPr="000123C7">
        <w:tab/>
        <w:t>(1)</w:t>
      </w:r>
      <w:r w:rsidRPr="000123C7">
        <w:tab/>
        <w:t xml:space="preserve">Each provision of this Act specified in column 1 of the table commences, or is taken to have commenced, in accordance with </w:t>
      </w:r>
      <w:r w:rsidRPr="000123C7">
        <w:lastRenderedPageBreak/>
        <w:t>column 2 of the table. Any other statement in column 2 has effect according to its terms.</w:t>
      </w:r>
    </w:p>
    <w:p w14:paraId="13AD9E07" w14:textId="77777777" w:rsidR="0048364F" w:rsidRPr="000123C7" w:rsidRDefault="0048364F" w:rsidP="000123C7">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0123C7" w14:paraId="7EEA83CF" w14:textId="77777777" w:rsidTr="00B359D5">
        <w:trPr>
          <w:tblHeader/>
        </w:trPr>
        <w:tc>
          <w:tcPr>
            <w:tcW w:w="7111" w:type="dxa"/>
            <w:gridSpan w:val="3"/>
            <w:tcBorders>
              <w:top w:val="single" w:sz="12" w:space="0" w:color="auto"/>
              <w:bottom w:val="single" w:sz="6" w:space="0" w:color="auto"/>
            </w:tcBorders>
            <w:shd w:val="clear" w:color="auto" w:fill="auto"/>
          </w:tcPr>
          <w:p w14:paraId="0694360F" w14:textId="77777777" w:rsidR="0048364F" w:rsidRPr="000123C7" w:rsidRDefault="0048364F" w:rsidP="000123C7">
            <w:pPr>
              <w:pStyle w:val="TableHeading"/>
            </w:pPr>
            <w:r w:rsidRPr="000123C7">
              <w:t>Commencement information</w:t>
            </w:r>
          </w:p>
        </w:tc>
      </w:tr>
      <w:tr w:rsidR="0048364F" w:rsidRPr="000123C7" w14:paraId="50972B80" w14:textId="77777777" w:rsidTr="00B359D5">
        <w:trPr>
          <w:tblHeader/>
        </w:trPr>
        <w:tc>
          <w:tcPr>
            <w:tcW w:w="1701" w:type="dxa"/>
            <w:tcBorders>
              <w:top w:val="single" w:sz="6" w:space="0" w:color="auto"/>
              <w:bottom w:val="single" w:sz="6" w:space="0" w:color="auto"/>
            </w:tcBorders>
            <w:shd w:val="clear" w:color="auto" w:fill="auto"/>
          </w:tcPr>
          <w:p w14:paraId="05CF9C68" w14:textId="77777777" w:rsidR="0048364F" w:rsidRPr="000123C7" w:rsidRDefault="0048364F" w:rsidP="000123C7">
            <w:pPr>
              <w:pStyle w:val="TableHeading"/>
            </w:pPr>
            <w:r w:rsidRPr="000123C7">
              <w:t>Column 1</w:t>
            </w:r>
          </w:p>
        </w:tc>
        <w:tc>
          <w:tcPr>
            <w:tcW w:w="3828" w:type="dxa"/>
            <w:tcBorders>
              <w:top w:val="single" w:sz="6" w:space="0" w:color="auto"/>
              <w:bottom w:val="single" w:sz="6" w:space="0" w:color="auto"/>
            </w:tcBorders>
            <w:shd w:val="clear" w:color="auto" w:fill="auto"/>
          </w:tcPr>
          <w:p w14:paraId="08AFED2B" w14:textId="77777777" w:rsidR="0048364F" w:rsidRPr="000123C7" w:rsidRDefault="0048364F" w:rsidP="000123C7">
            <w:pPr>
              <w:pStyle w:val="TableHeading"/>
            </w:pPr>
            <w:r w:rsidRPr="000123C7">
              <w:t>Column 2</w:t>
            </w:r>
          </w:p>
        </w:tc>
        <w:tc>
          <w:tcPr>
            <w:tcW w:w="1582" w:type="dxa"/>
            <w:tcBorders>
              <w:top w:val="single" w:sz="6" w:space="0" w:color="auto"/>
              <w:bottom w:val="single" w:sz="6" w:space="0" w:color="auto"/>
            </w:tcBorders>
            <w:shd w:val="clear" w:color="auto" w:fill="auto"/>
          </w:tcPr>
          <w:p w14:paraId="602A449D" w14:textId="77777777" w:rsidR="0048364F" w:rsidRPr="000123C7" w:rsidRDefault="0048364F" w:rsidP="000123C7">
            <w:pPr>
              <w:pStyle w:val="TableHeading"/>
            </w:pPr>
            <w:r w:rsidRPr="000123C7">
              <w:t>Column 3</w:t>
            </w:r>
          </w:p>
        </w:tc>
      </w:tr>
      <w:tr w:rsidR="0048364F" w:rsidRPr="000123C7" w14:paraId="12D08B03" w14:textId="77777777" w:rsidTr="00B359D5">
        <w:trPr>
          <w:tblHeader/>
        </w:trPr>
        <w:tc>
          <w:tcPr>
            <w:tcW w:w="1701" w:type="dxa"/>
            <w:tcBorders>
              <w:top w:val="single" w:sz="6" w:space="0" w:color="auto"/>
              <w:bottom w:val="single" w:sz="12" w:space="0" w:color="auto"/>
            </w:tcBorders>
            <w:shd w:val="clear" w:color="auto" w:fill="auto"/>
          </w:tcPr>
          <w:p w14:paraId="526CBFFD" w14:textId="77777777" w:rsidR="0048364F" w:rsidRPr="000123C7" w:rsidRDefault="0048364F" w:rsidP="000123C7">
            <w:pPr>
              <w:pStyle w:val="TableHeading"/>
            </w:pPr>
            <w:r w:rsidRPr="000123C7">
              <w:t>Provisions</w:t>
            </w:r>
          </w:p>
        </w:tc>
        <w:tc>
          <w:tcPr>
            <w:tcW w:w="3828" w:type="dxa"/>
            <w:tcBorders>
              <w:top w:val="single" w:sz="6" w:space="0" w:color="auto"/>
              <w:bottom w:val="single" w:sz="12" w:space="0" w:color="auto"/>
            </w:tcBorders>
            <w:shd w:val="clear" w:color="auto" w:fill="auto"/>
          </w:tcPr>
          <w:p w14:paraId="310E3BBB" w14:textId="77777777" w:rsidR="0048364F" w:rsidRPr="000123C7" w:rsidRDefault="0048364F" w:rsidP="000123C7">
            <w:pPr>
              <w:pStyle w:val="TableHeading"/>
            </w:pPr>
            <w:r w:rsidRPr="000123C7">
              <w:t>Commencement</w:t>
            </w:r>
          </w:p>
        </w:tc>
        <w:tc>
          <w:tcPr>
            <w:tcW w:w="1582" w:type="dxa"/>
            <w:tcBorders>
              <w:top w:val="single" w:sz="6" w:space="0" w:color="auto"/>
              <w:bottom w:val="single" w:sz="12" w:space="0" w:color="auto"/>
            </w:tcBorders>
            <w:shd w:val="clear" w:color="auto" w:fill="auto"/>
          </w:tcPr>
          <w:p w14:paraId="0A164137" w14:textId="77777777" w:rsidR="0048364F" w:rsidRPr="000123C7" w:rsidRDefault="0048364F" w:rsidP="000123C7">
            <w:pPr>
              <w:pStyle w:val="TableHeading"/>
            </w:pPr>
            <w:r w:rsidRPr="000123C7">
              <w:t>Date/Details</w:t>
            </w:r>
          </w:p>
        </w:tc>
      </w:tr>
      <w:tr w:rsidR="0048364F" w:rsidRPr="000123C7" w14:paraId="7733BDB2" w14:textId="77777777" w:rsidTr="00B359D5">
        <w:tc>
          <w:tcPr>
            <w:tcW w:w="1701" w:type="dxa"/>
            <w:tcBorders>
              <w:top w:val="single" w:sz="12" w:space="0" w:color="auto"/>
              <w:bottom w:val="single" w:sz="12" w:space="0" w:color="auto"/>
            </w:tcBorders>
            <w:shd w:val="clear" w:color="auto" w:fill="auto"/>
          </w:tcPr>
          <w:p w14:paraId="6571B61F" w14:textId="77777777" w:rsidR="0048364F" w:rsidRPr="000123C7" w:rsidRDefault="0048364F" w:rsidP="000123C7">
            <w:pPr>
              <w:pStyle w:val="Tabletext"/>
            </w:pPr>
            <w:r w:rsidRPr="000123C7">
              <w:t xml:space="preserve">1.  </w:t>
            </w:r>
            <w:r w:rsidR="00B359D5" w:rsidRPr="000123C7">
              <w:t>The whole of this Act</w:t>
            </w:r>
          </w:p>
        </w:tc>
        <w:tc>
          <w:tcPr>
            <w:tcW w:w="3828" w:type="dxa"/>
            <w:tcBorders>
              <w:top w:val="single" w:sz="12" w:space="0" w:color="auto"/>
              <w:bottom w:val="single" w:sz="12" w:space="0" w:color="auto"/>
            </w:tcBorders>
            <w:shd w:val="clear" w:color="auto" w:fill="auto"/>
          </w:tcPr>
          <w:p w14:paraId="5664C0C4" w14:textId="1CA63C9F" w:rsidR="00B359D5" w:rsidRPr="000123C7" w:rsidRDefault="00B359D5" w:rsidP="000123C7">
            <w:pPr>
              <w:pStyle w:val="Tabletext"/>
            </w:pPr>
            <w:r w:rsidRPr="000123C7">
              <w:t xml:space="preserve">At the same time as the </w:t>
            </w:r>
            <w:r w:rsidR="00542D9C" w:rsidRPr="000123C7">
              <w:rPr>
                <w:i/>
              </w:rPr>
              <w:t>Data Availability</w:t>
            </w:r>
            <w:r w:rsidRPr="000123C7">
              <w:rPr>
                <w:i/>
              </w:rPr>
              <w:t xml:space="preserve"> and Transparency Act 202</w:t>
            </w:r>
            <w:r w:rsidR="00EF7AB0">
              <w:rPr>
                <w:i/>
              </w:rPr>
              <w:t>2</w:t>
            </w:r>
            <w:r w:rsidRPr="000123C7">
              <w:rPr>
                <w:i/>
              </w:rPr>
              <w:t xml:space="preserve"> </w:t>
            </w:r>
            <w:r w:rsidRPr="000123C7">
              <w:t>commences.</w:t>
            </w:r>
          </w:p>
          <w:p w14:paraId="7244028E" w14:textId="77777777" w:rsidR="0048364F" w:rsidRPr="000123C7" w:rsidRDefault="00B359D5" w:rsidP="000123C7">
            <w:pPr>
              <w:pStyle w:val="Tabletext"/>
            </w:pPr>
            <w:r w:rsidRPr="000123C7">
              <w:t>However, the provisions do not commence at all if that Act does not commence.</w:t>
            </w:r>
          </w:p>
        </w:tc>
        <w:tc>
          <w:tcPr>
            <w:tcW w:w="1582" w:type="dxa"/>
            <w:tcBorders>
              <w:top w:val="single" w:sz="12" w:space="0" w:color="auto"/>
              <w:bottom w:val="single" w:sz="12" w:space="0" w:color="auto"/>
            </w:tcBorders>
            <w:shd w:val="clear" w:color="auto" w:fill="auto"/>
          </w:tcPr>
          <w:p w14:paraId="3622FC3F" w14:textId="34E47606" w:rsidR="0048364F" w:rsidRPr="000123C7" w:rsidRDefault="00B42884" w:rsidP="000123C7">
            <w:pPr>
              <w:pStyle w:val="Tabletext"/>
            </w:pPr>
            <w:r>
              <w:t>1 April 2022</w:t>
            </w:r>
          </w:p>
        </w:tc>
      </w:tr>
    </w:tbl>
    <w:p w14:paraId="17015A71" w14:textId="77777777" w:rsidR="0048364F" w:rsidRPr="000123C7" w:rsidRDefault="00201D27" w:rsidP="000123C7">
      <w:pPr>
        <w:pStyle w:val="notetext"/>
      </w:pPr>
      <w:r w:rsidRPr="000123C7">
        <w:t>Note:</w:t>
      </w:r>
      <w:r w:rsidRPr="000123C7">
        <w:tab/>
        <w:t>This table relates only to the provisions of this Act as originally enacted. It will not be amended to deal with any later amendments of this Act.</w:t>
      </w:r>
    </w:p>
    <w:p w14:paraId="29F74F6F" w14:textId="77777777" w:rsidR="0048364F" w:rsidRPr="000123C7" w:rsidRDefault="0048364F" w:rsidP="000123C7">
      <w:pPr>
        <w:pStyle w:val="subsection"/>
      </w:pPr>
      <w:r w:rsidRPr="000123C7">
        <w:tab/>
        <w:t>(2)</w:t>
      </w:r>
      <w:r w:rsidRPr="000123C7">
        <w:tab/>
      </w:r>
      <w:r w:rsidR="00201D27" w:rsidRPr="000123C7">
        <w:t xml:space="preserve">Any information in </w:t>
      </w:r>
      <w:r w:rsidR="00877D48" w:rsidRPr="000123C7">
        <w:t>c</w:t>
      </w:r>
      <w:r w:rsidR="00201D27" w:rsidRPr="000123C7">
        <w:t>olumn 3 of the table is not part of this Act. Information may be inserted in this column, or information in it may be edited, in any published version of this Act.</w:t>
      </w:r>
    </w:p>
    <w:p w14:paraId="0FAF1983" w14:textId="77777777" w:rsidR="0048364F" w:rsidRPr="000123C7" w:rsidRDefault="0048364F" w:rsidP="000123C7">
      <w:pPr>
        <w:pStyle w:val="ActHead5"/>
      </w:pPr>
      <w:bookmarkStart w:id="3" w:name="_Toc99983996"/>
      <w:r w:rsidRPr="00754A5F">
        <w:rPr>
          <w:rStyle w:val="CharSectno"/>
        </w:rPr>
        <w:t>3</w:t>
      </w:r>
      <w:r w:rsidRPr="000123C7">
        <w:t xml:space="preserve">  Schedules</w:t>
      </w:r>
      <w:bookmarkEnd w:id="3"/>
    </w:p>
    <w:p w14:paraId="4B72754E" w14:textId="77777777" w:rsidR="0048364F" w:rsidRPr="000123C7" w:rsidRDefault="0048364F" w:rsidP="000123C7">
      <w:pPr>
        <w:pStyle w:val="subsection"/>
      </w:pPr>
      <w:r w:rsidRPr="000123C7">
        <w:tab/>
      </w:r>
      <w:r w:rsidRPr="000123C7">
        <w:tab/>
      </w:r>
      <w:r w:rsidR="00202618" w:rsidRPr="000123C7">
        <w:t>Legislation that is specified in a Schedule to this Act is amended or repealed as set out in the applicable items in the Schedule concerned, and any other item in a Schedule to this Act has effect according to its terms.</w:t>
      </w:r>
    </w:p>
    <w:p w14:paraId="010B0C74" w14:textId="77777777" w:rsidR="008D3E94" w:rsidRPr="000123C7" w:rsidRDefault="00722138" w:rsidP="000123C7">
      <w:pPr>
        <w:pStyle w:val="ActHead6"/>
        <w:pageBreakBefore/>
      </w:pPr>
      <w:bookmarkStart w:id="4" w:name="opcAmSched"/>
      <w:bookmarkStart w:id="5" w:name="opcCurrentFind"/>
      <w:bookmarkStart w:id="6" w:name="_Toc99983997"/>
      <w:r w:rsidRPr="00754A5F">
        <w:rPr>
          <w:rStyle w:val="CharAmSchNo"/>
        </w:rPr>
        <w:lastRenderedPageBreak/>
        <w:t>Schedule 1</w:t>
      </w:r>
      <w:r w:rsidR="0048364F" w:rsidRPr="000123C7">
        <w:t>—</w:t>
      </w:r>
      <w:r w:rsidR="009D5036" w:rsidRPr="00754A5F">
        <w:rPr>
          <w:rStyle w:val="CharAmSchText"/>
        </w:rPr>
        <w:t>Amendments</w:t>
      </w:r>
      <w:bookmarkEnd w:id="6"/>
    </w:p>
    <w:bookmarkEnd w:id="4"/>
    <w:bookmarkEnd w:id="5"/>
    <w:p w14:paraId="1FE96CD3" w14:textId="77777777" w:rsidR="007636DF" w:rsidRPr="00754A5F" w:rsidRDefault="007636DF" w:rsidP="000123C7">
      <w:pPr>
        <w:pStyle w:val="Header"/>
      </w:pPr>
      <w:r w:rsidRPr="00754A5F">
        <w:rPr>
          <w:rStyle w:val="CharAmPartNo"/>
        </w:rPr>
        <w:t xml:space="preserve"> </w:t>
      </w:r>
      <w:r w:rsidRPr="00754A5F">
        <w:rPr>
          <w:rStyle w:val="CharAmPartText"/>
        </w:rPr>
        <w:t xml:space="preserve"> </w:t>
      </w:r>
    </w:p>
    <w:p w14:paraId="73916EE4" w14:textId="77777777" w:rsidR="002A25E5" w:rsidRPr="000123C7" w:rsidRDefault="00051127" w:rsidP="000123C7">
      <w:pPr>
        <w:pStyle w:val="ActHead9"/>
        <w:rPr>
          <w:i w:val="0"/>
        </w:rPr>
      </w:pPr>
      <w:bookmarkStart w:id="7" w:name="_Toc99983998"/>
      <w:r w:rsidRPr="000123C7">
        <w:t>Australian Security Intelligence Organisation Act 1979</w:t>
      </w:r>
      <w:bookmarkEnd w:id="7"/>
    </w:p>
    <w:p w14:paraId="2D58102C" w14:textId="77777777" w:rsidR="000B2AB1" w:rsidRPr="000123C7" w:rsidRDefault="00E91322" w:rsidP="000123C7">
      <w:pPr>
        <w:pStyle w:val="ItemHead"/>
      </w:pPr>
      <w:r w:rsidRPr="000123C7">
        <w:t>2</w:t>
      </w:r>
      <w:r w:rsidR="000B2AB1" w:rsidRPr="000123C7">
        <w:t xml:space="preserve">  </w:t>
      </w:r>
      <w:r w:rsidR="002E36DF" w:rsidRPr="000123C7">
        <w:t>Subsection 3</w:t>
      </w:r>
      <w:r w:rsidR="000B2AB1" w:rsidRPr="000123C7">
        <w:t xml:space="preserve">5(1) (at the end of </w:t>
      </w:r>
      <w:r w:rsidR="00722138" w:rsidRPr="000123C7">
        <w:t>paragraph (</w:t>
      </w:r>
      <w:r w:rsidR="000B2AB1" w:rsidRPr="000123C7">
        <w:t xml:space="preserve">a) of the definition of </w:t>
      </w:r>
      <w:r w:rsidR="000B2AB1" w:rsidRPr="000123C7">
        <w:rPr>
          <w:i/>
        </w:rPr>
        <w:t>prescribed administrative action</w:t>
      </w:r>
      <w:r w:rsidR="000B2AB1" w:rsidRPr="000123C7">
        <w:t>)</w:t>
      </w:r>
    </w:p>
    <w:p w14:paraId="26713ED4" w14:textId="77777777" w:rsidR="000B2AB1" w:rsidRPr="000123C7" w:rsidRDefault="002A25E5" w:rsidP="000123C7">
      <w:pPr>
        <w:pStyle w:val="Item"/>
      </w:pPr>
      <w:r w:rsidRPr="000123C7">
        <w:t>Add</w:t>
      </w:r>
      <w:r w:rsidR="000B2AB1" w:rsidRPr="000123C7">
        <w:t xml:space="preserve"> “or”.</w:t>
      </w:r>
    </w:p>
    <w:p w14:paraId="6184127F" w14:textId="77777777" w:rsidR="007E4E5B" w:rsidRPr="000123C7" w:rsidRDefault="00E91322" w:rsidP="000123C7">
      <w:pPr>
        <w:pStyle w:val="ItemHead"/>
      </w:pPr>
      <w:r w:rsidRPr="000123C7">
        <w:t>3</w:t>
      </w:r>
      <w:r w:rsidR="007E4E5B" w:rsidRPr="000123C7">
        <w:t xml:space="preserve">  </w:t>
      </w:r>
      <w:r w:rsidR="002E36DF" w:rsidRPr="000123C7">
        <w:t>Subsection 3</w:t>
      </w:r>
      <w:r w:rsidR="002A25E5" w:rsidRPr="000123C7">
        <w:t xml:space="preserve">5(1) (after </w:t>
      </w:r>
      <w:r w:rsidR="00722138" w:rsidRPr="000123C7">
        <w:t>paragraph (</w:t>
      </w:r>
      <w:r w:rsidR="002A25E5" w:rsidRPr="000123C7">
        <w:t xml:space="preserve">e) </w:t>
      </w:r>
      <w:r w:rsidR="0050146A" w:rsidRPr="000123C7">
        <w:t xml:space="preserve">of the </w:t>
      </w:r>
      <w:r w:rsidR="007E4E5B" w:rsidRPr="000123C7">
        <w:t xml:space="preserve">definition of </w:t>
      </w:r>
      <w:r w:rsidR="007E4E5B" w:rsidRPr="000123C7">
        <w:rPr>
          <w:i/>
        </w:rPr>
        <w:t>prescribed administrative action</w:t>
      </w:r>
      <w:r w:rsidR="007E4E5B" w:rsidRPr="000123C7">
        <w:t>)</w:t>
      </w:r>
    </w:p>
    <w:p w14:paraId="22C676EB" w14:textId="77777777" w:rsidR="0050146A" w:rsidRPr="000123C7" w:rsidRDefault="002A25E5" w:rsidP="000123C7">
      <w:pPr>
        <w:pStyle w:val="Item"/>
      </w:pPr>
      <w:r w:rsidRPr="000123C7">
        <w:t>Insert</w:t>
      </w:r>
      <w:r w:rsidR="007E4E5B" w:rsidRPr="000123C7">
        <w:t>:</w:t>
      </w:r>
    </w:p>
    <w:p w14:paraId="32CCD49D" w14:textId="31A8CBE7" w:rsidR="003E55FE" w:rsidRPr="000123C7" w:rsidRDefault="003E55FE" w:rsidP="000123C7">
      <w:pPr>
        <w:pStyle w:val="paragraph"/>
      </w:pPr>
      <w:r w:rsidRPr="000123C7">
        <w:tab/>
        <w:t>; or (f)</w:t>
      </w:r>
      <w:r w:rsidRPr="000123C7">
        <w:tab/>
        <w:t>the exercise of a power</w:t>
      </w:r>
      <w:r w:rsidR="001E1ADE" w:rsidRPr="000123C7">
        <w:t xml:space="preserve"> under </w:t>
      </w:r>
      <w:r w:rsidR="00722138" w:rsidRPr="000123C7">
        <w:t>Part 5</w:t>
      </w:r>
      <w:r w:rsidR="007879CE" w:rsidRPr="000123C7">
        <w:t>.2 (accreditation framework) of</w:t>
      </w:r>
      <w:r w:rsidRPr="000123C7">
        <w:t xml:space="preserve"> the </w:t>
      </w:r>
      <w:r w:rsidRPr="000123C7">
        <w:rPr>
          <w:i/>
        </w:rPr>
        <w:t>Data Availability and Transparency Act 202</w:t>
      </w:r>
      <w:r w:rsidR="003A740E">
        <w:rPr>
          <w:i/>
        </w:rPr>
        <w:t>2</w:t>
      </w:r>
      <w:r w:rsidRPr="000123C7">
        <w:t>.</w:t>
      </w:r>
    </w:p>
    <w:p w14:paraId="6E9D6B87" w14:textId="77777777" w:rsidR="006B0737" w:rsidRPr="000123C7" w:rsidRDefault="006B0737" w:rsidP="000123C7">
      <w:pPr>
        <w:pStyle w:val="ActHead9"/>
      </w:pPr>
      <w:bookmarkStart w:id="8" w:name="_Toc99983999"/>
      <w:r w:rsidRPr="000123C7">
        <w:t>Freedom of Information Act 1982</w:t>
      </w:r>
      <w:bookmarkEnd w:id="8"/>
    </w:p>
    <w:p w14:paraId="28331DFE" w14:textId="77777777" w:rsidR="006B0737" w:rsidRPr="000123C7" w:rsidRDefault="00E91322" w:rsidP="000123C7">
      <w:pPr>
        <w:pStyle w:val="ItemHead"/>
      </w:pPr>
      <w:r w:rsidRPr="000123C7">
        <w:t>5</w:t>
      </w:r>
      <w:r w:rsidR="006B0737" w:rsidRPr="000123C7">
        <w:t xml:space="preserve">  After </w:t>
      </w:r>
      <w:r w:rsidR="00722138" w:rsidRPr="000123C7">
        <w:t>subsection 7</w:t>
      </w:r>
      <w:r w:rsidR="006B0737" w:rsidRPr="000123C7">
        <w:t>(2E)</w:t>
      </w:r>
    </w:p>
    <w:p w14:paraId="4C126E2B" w14:textId="77777777" w:rsidR="006B0737" w:rsidRPr="000123C7" w:rsidRDefault="006B0737" w:rsidP="000123C7">
      <w:pPr>
        <w:pStyle w:val="Item"/>
      </w:pPr>
      <w:r w:rsidRPr="000123C7">
        <w:t>Insert:</w:t>
      </w:r>
    </w:p>
    <w:p w14:paraId="00E73DDC" w14:textId="77777777" w:rsidR="004221BA" w:rsidRPr="00AD3AAE" w:rsidRDefault="004221BA" w:rsidP="004221BA">
      <w:pPr>
        <w:pStyle w:val="subsection"/>
      </w:pPr>
      <w:r w:rsidRPr="00AD3AAE">
        <w:tab/>
      </w:r>
      <w:bookmarkStart w:id="9" w:name="_Hlk95310249"/>
      <w:r w:rsidRPr="00AD3AAE">
        <w:t>(2F)</w:t>
      </w:r>
      <w:r w:rsidRPr="00AD3AAE">
        <w:tab/>
        <w:t xml:space="preserve">An agency that is a data scheme entity within the meaning of the </w:t>
      </w:r>
      <w:r w:rsidRPr="00AD3AAE">
        <w:rPr>
          <w:i/>
        </w:rPr>
        <w:t>Data Availability and Transparency Act 2022</w:t>
      </w:r>
      <w:r w:rsidRPr="00AD3AAE">
        <w:t xml:space="preserve"> is exempt from the operation of this Act in relation to a document that contains scheme data within the meaning of that Act, to the extent the document contains such data.</w:t>
      </w:r>
      <w:bookmarkEnd w:id="9"/>
    </w:p>
    <w:p w14:paraId="290FD43B" w14:textId="77777777" w:rsidR="004726C7" w:rsidRPr="000123C7" w:rsidRDefault="004726C7" w:rsidP="000123C7">
      <w:pPr>
        <w:pStyle w:val="ActHead9"/>
      </w:pPr>
      <w:bookmarkStart w:id="10" w:name="_Toc99984000"/>
      <w:r w:rsidRPr="000123C7">
        <w:t>Privacy Act 1988</w:t>
      </w:r>
      <w:bookmarkEnd w:id="10"/>
    </w:p>
    <w:p w14:paraId="1C83BB6E" w14:textId="77777777" w:rsidR="00EC7D8E" w:rsidRPr="00AD3AAE" w:rsidRDefault="00EC7D8E" w:rsidP="00EC7D8E">
      <w:pPr>
        <w:pStyle w:val="ItemHead"/>
      </w:pPr>
      <w:r w:rsidRPr="00AD3AAE">
        <w:t>5A  After section 36</w:t>
      </w:r>
    </w:p>
    <w:p w14:paraId="04BA2928" w14:textId="77777777" w:rsidR="00EC7D8E" w:rsidRPr="00AD3AAE" w:rsidRDefault="00EC7D8E" w:rsidP="00EC7D8E">
      <w:pPr>
        <w:pStyle w:val="Item"/>
      </w:pPr>
      <w:r w:rsidRPr="00AD3AAE">
        <w:t>Insert:</w:t>
      </w:r>
    </w:p>
    <w:p w14:paraId="74C98DDD" w14:textId="77777777" w:rsidR="00EC7D8E" w:rsidRPr="00AD3AAE" w:rsidRDefault="00EC7D8E" w:rsidP="00EC7D8E">
      <w:pPr>
        <w:pStyle w:val="ActHead5"/>
      </w:pPr>
      <w:bookmarkStart w:id="11" w:name="_Toc99984001"/>
      <w:r w:rsidRPr="00C12946">
        <w:rPr>
          <w:rStyle w:val="CharSectno"/>
        </w:rPr>
        <w:t>36B</w:t>
      </w:r>
      <w:r w:rsidRPr="00AD3AAE">
        <w:t xml:space="preserve">  Complaints relating to the data sharing scheme</w:t>
      </w:r>
      <w:bookmarkEnd w:id="11"/>
    </w:p>
    <w:p w14:paraId="7354492C" w14:textId="77777777" w:rsidR="00EC7D8E" w:rsidRPr="00AD3AAE" w:rsidRDefault="00EC7D8E" w:rsidP="00EC7D8E">
      <w:pPr>
        <w:pStyle w:val="subsection"/>
      </w:pPr>
      <w:r w:rsidRPr="00AD3AAE">
        <w:tab/>
        <w:t>(1)</w:t>
      </w:r>
      <w:r w:rsidRPr="00AD3AAE">
        <w:tab/>
        <w:t xml:space="preserve">If a complaint relates to the data sharing scheme within the meaning of the </w:t>
      </w:r>
      <w:r w:rsidRPr="00AD3AAE">
        <w:rPr>
          <w:i/>
        </w:rPr>
        <w:t>Data Availability and Transparency Act 2022</w:t>
      </w:r>
      <w:r w:rsidRPr="00AD3AAE">
        <w:t xml:space="preserve">, the Commissioner may share information and documents about the </w:t>
      </w:r>
      <w:r w:rsidRPr="00AD3AAE">
        <w:lastRenderedPageBreak/>
        <w:t xml:space="preserve">complaint with the National Data Commissioner (the </w:t>
      </w:r>
      <w:proofErr w:type="spellStart"/>
      <w:r w:rsidRPr="00AD3AAE">
        <w:rPr>
          <w:b/>
          <w:i/>
        </w:rPr>
        <w:t>NDC</w:t>
      </w:r>
      <w:proofErr w:type="spellEnd"/>
      <w:r w:rsidRPr="00AD3AAE">
        <w:t xml:space="preserve">), for the purposes of the </w:t>
      </w:r>
      <w:proofErr w:type="spellStart"/>
      <w:r w:rsidRPr="00AD3AAE">
        <w:t>NDC</w:t>
      </w:r>
      <w:proofErr w:type="spellEnd"/>
      <w:r w:rsidRPr="00AD3AAE">
        <w:t xml:space="preserve"> exercising powers, or performing functions or duties, under that Act.</w:t>
      </w:r>
    </w:p>
    <w:p w14:paraId="038820CA" w14:textId="77777777" w:rsidR="00EC7D8E" w:rsidRPr="00AD3AAE" w:rsidRDefault="00EC7D8E" w:rsidP="00EC7D8E">
      <w:pPr>
        <w:pStyle w:val="subsection"/>
      </w:pPr>
      <w:r w:rsidRPr="00AD3AAE">
        <w:tab/>
        <w:t>(2)</w:t>
      </w:r>
      <w:r w:rsidRPr="00AD3AAE">
        <w:tab/>
        <w:t>The Commissioner may share only information and documents under subsection (1) that were acquired by the Commissioner in the course of exercising powers, or performing functions or duties, under this Act.</w:t>
      </w:r>
    </w:p>
    <w:p w14:paraId="185E85FB" w14:textId="77777777" w:rsidR="00EC7D8E" w:rsidRPr="00AD3AAE" w:rsidRDefault="00EC7D8E" w:rsidP="00EC7D8E">
      <w:pPr>
        <w:pStyle w:val="subsection"/>
      </w:pPr>
      <w:r w:rsidRPr="00AD3AAE">
        <w:tab/>
        <w:t>(3)</w:t>
      </w:r>
      <w:r w:rsidRPr="00AD3AAE">
        <w:tab/>
        <w:t xml:space="preserve">To avoid doubt, the Commissioner may share information or documents with the </w:t>
      </w:r>
      <w:proofErr w:type="spellStart"/>
      <w:r w:rsidRPr="00AD3AAE">
        <w:t>NDC</w:t>
      </w:r>
      <w:proofErr w:type="spellEnd"/>
      <w:r w:rsidRPr="00AD3AAE">
        <w:t xml:space="preserve"> under this section whether or not the Commissioner is transferring the complaint or part of the complaint to the </w:t>
      </w:r>
      <w:proofErr w:type="spellStart"/>
      <w:r w:rsidRPr="00AD3AAE">
        <w:t>NDC</w:t>
      </w:r>
      <w:proofErr w:type="spellEnd"/>
      <w:r w:rsidRPr="00AD3AAE">
        <w:t>.</w:t>
      </w:r>
    </w:p>
    <w:p w14:paraId="7D46A22E" w14:textId="77777777" w:rsidR="00EC7D8E" w:rsidRPr="00AD3AAE" w:rsidRDefault="00EC7D8E" w:rsidP="00EC7D8E">
      <w:pPr>
        <w:pStyle w:val="notetext"/>
      </w:pPr>
      <w:r w:rsidRPr="00AD3AAE">
        <w:t>Note:</w:t>
      </w:r>
      <w:r w:rsidRPr="00AD3AAE">
        <w:tab/>
        <w:t xml:space="preserve">The Commissioner may transfer the complaint to the </w:t>
      </w:r>
      <w:proofErr w:type="spellStart"/>
      <w:r w:rsidRPr="00AD3AAE">
        <w:t>NDC</w:t>
      </w:r>
      <w:proofErr w:type="spellEnd"/>
      <w:r w:rsidRPr="00AD3AAE">
        <w:t xml:space="preserve"> under section 50, if the Commissioner is of the opinion that the complaint could have been made to the </w:t>
      </w:r>
      <w:proofErr w:type="spellStart"/>
      <w:r w:rsidRPr="00AD3AAE">
        <w:t>NDC</w:t>
      </w:r>
      <w:proofErr w:type="spellEnd"/>
      <w:r w:rsidRPr="00AD3AAE">
        <w:t>.</w:t>
      </w:r>
    </w:p>
    <w:p w14:paraId="5F4DA5E9" w14:textId="77777777" w:rsidR="000A183F" w:rsidRPr="000123C7" w:rsidRDefault="00E91322" w:rsidP="000123C7">
      <w:pPr>
        <w:pStyle w:val="ItemHead"/>
      </w:pPr>
      <w:r w:rsidRPr="000123C7">
        <w:t>6</w:t>
      </w:r>
      <w:r w:rsidR="00986F94" w:rsidRPr="000123C7">
        <w:t xml:space="preserve">  </w:t>
      </w:r>
      <w:r w:rsidR="00722138" w:rsidRPr="000123C7">
        <w:t>Subsection 5</w:t>
      </w:r>
      <w:r w:rsidR="00CE0D64" w:rsidRPr="000123C7">
        <w:t xml:space="preserve">0(1) (after </w:t>
      </w:r>
      <w:r w:rsidR="00722138" w:rsidRPr="000123C7">
        <w:t>paragraph (</w:t>
      </w:r>
      <w:r w:rsidR="00CE0D64" w:rsidRPr="000123C7">
        <w:t>a</w:t>
      </w:r>
      <w:r w:rsidR="00986F94" w:rsidRPr="000123C7">
        <w:t>)</w:t>
      </w:r>
      <w:r w:rsidR="000A183F" w:rsidRPr="000123C7">
        <w:t xml:space="preserve"> of the definition of </w:t>
      </w:r>
      <w:r w:rsidR="000A183F" w:rsidRPr="000123C7">
        <w:rPr>
          <w:i/>
        </w:rPr>
        <w:t>alternative complaint body</w:t>
      </w:r>
      <w:r w:rsidR="000A183F" w:rsidRPr="000123C7">
        <w:t>)</w:t>
      </w:r>
    </w:p>
    <w:p w14:paraId="40E2CA9D" w14:textId="77777777" w:rsidR="000A183F" w:rsidRPr="000123C7" w:rsidRDefault="00986F94" w:rsidP="000123C7">
      <w:pPr>
        <w:pStyle w:val="Item"/>
      </w:pPr>
      <w:r w:rsidRPr="000123C7">
        <w:t>Insert</w:t>
      </w:r>
      <w:r w:rsidR="000A183F" w:rsidRPr="000123C7">
        <w:t>:</w:t>
      </w:r>
    </w:p>
    <w:p w14:paraId="5783C33F" w14:textId="77777777" w:rsidR="000A183F" w:rsidRPr="000123C7" w:rsidRDefault="000A183F" w:rsidP="000123C7">
      <w:pPr>
        <w:pStyle w:val="paragraph"/>
      </w:pPr>
      <w:r w:rsidRPr="000123C7">
        <w:tab/>
      </w:r>
      <w:r w:rsidR="00CE0D64" w:rsidRPr="000123C7">
        <w:t>(a</w:t>
      </w:r>
      <w:r w:rsidR="00986F94" w:rsidRPr="000123C7">
        <w:t>a</w:t>
      </w:r>
      <w:r w:rsidRPr="000123C7">
        <w:t>)</w:t>
      </w:r>
      <w:r w:rsidR="00986F94" w:rsidRPr="000123C7">
        <w:tab/>
        <w:t>the National Data Commissioner; or</w:t>
      </w:r>
    </w:p>
    <w:p w14:paraId="74E63C66" w14:textId="77777777" w:rsidR="001A683B" w:rsidRPr="000123C7" w:rsidRDefault="00E91322" w:rsidP="000123C7">
      <w:pPr>
        <w:pStyle w:val="ItemHead"/>
      </w:pPr>
      <w:r w:rsidRPr="000123C7">
        <w:t>7</w:t>
      </w:r>
      <w:r w:rsidR="00986F94" w:rsidRPr="000123C7">
        <w:t xml:space="preserve">  After </w:t>
      </w:r>
      <w:r w:rsidR="00722138" w:rsidRPr="000123C7">
        <w:t>subparagraph 5</w:t>
      </w:r>
      <w:r w:rsidR="001A683B" w:rsidRPr="000123C7">
        <w:t>0(2)(a)</w:t>
      </w:r>
      <w:r w:rsidR="00CE0D64" w:rsidRPr="000123C7">
        <w:t>(i</w:t>
      </w:r>
      <w:r w:rsidR="00986F94" w:rsidRPr="000123C7">
        <w:t>)</w:t>
      </w:r>
    </w:p>
    <w:p w14:paraId="3FA80034" w14:textId="77777777" w:rsidR="001A683B" w:rsidRPr="000123C7" w:rsidRDefault="00986F94" w:rsidP="000123C7">
      <w:pPr>
        <w:pStyle w:val="Item"/>
      </w:pPr>
      <w:r w:rsidRPr="000123C7">
        <w:t>Insert</w:t>
      </w:r>
      <w:r w:rsidR="001A683B" w:rsidRPr="000123C7">
        <w:t>:</w:t>
      </w:r>
    </w:p>
    <w:p w14:paraId="2B1C9B24" w14:textId="6EEC6661" w:rsidR="001A683B" w:rsidRPr="000123C7" w:rsidRDefault="001A683B" w:rsidP="000123C7">
      <w:pPr>
        <w:pStyle w:val="paragraphsub"/>
      </w:pPr>
      <w:r w:rsidRPr="000123C7">
        <w:tab/>
      </w:r>
      <w:r w:rsidR="00CE0D64" w:rsidRPr="000123C7">
        <w:t>(</w:t>
      </w:r>
      <w:proofErr w:type="spellStart"/>
      <w:r w:rsidR="00CE0D64" w:rsidRPr="000123C7">
        <w:t>ia</w:t>
      </w:r>
      <w:proofErr w:type="spellEnd"/>
      <w:r w:rsidRPr="000123C7">
        <w:t>)</w:t>
      </w:r>
      <w:r w:rsidRPr="000123C7">
        <w:tab/>
        <w:t xml:space="preserve">to the National Data Commissioner under </w:t>
      </w:r>
      <w:r w:rsidR="00722138" w:rsidRPr="000123C7">
        <w:t>Part 5</w:t>
      </w:r>
      <w:r w:rsidR="00377A4A" w:rsidRPr="000123C7">
        <w:t xml:space="preserve">.3 of the </w:t>
      </w:r>
      <w:r w:rsidR="00377A4A" w:rsidRPr="000123C7">
        <w:rPr>
          <w:i/>
        </w:rPr>
        <w:t>Data Availability and Transparency Act 202</w:t>
      </w:r>
      <w:r w:rsidR="00EC7D8E">
        <w:rPr>
          <w:i/>
        </w:rPr>
        <w:t>2</w:t>
      </w:r>
      <w:r w:rsidR="00377A4A" w:rsidRPr="000123C7">
        <w:t>; or</w:t>
      </w:r>
    </w:p>
    <w:p w14:paraId="03787C2A" w14:textId="77777777" w:rsidR="005125E4" w:rsidRPr="000123C7" w:rsidRDefault="00E91322" w:rsidP="000123C7">
      <w:pPr>
        <w:pStyle w:val="ItemHead"/>
      </w:pPr>
      <w:r w:rsidRPr="000123C7">
        <w:t>8</w:t>
      </w:r>
      <w:r w:rsidR="00986F94" w:rsidRPr="000123C7">
        <w:t xml:space="preserve">  After </w:t>
      </w:r>
      <w:r w:rsidR="00722138" w:rsidRPr="000123C7">
        <w:t>subparagraph 5</w:t>
      </w:r>
      <w:r w:rsidR="005125E4" w:rsidRPr="000123C7">
        <w:t>0(3)(a)</w:t>
      </w:r>
      <w:r w:rsidR="00CE0D64" w:rsidRPr="000123C7">
        <w:t>(i</w:t>
      </w:r>
      <w:r w:rsidR="00986F94" w:rsidRPr="000123C7">
        <w:t>)</w:t>
      </w:r>
    </w:p>
    <w:p w14:paraId="404000B2" w14:textId="77777777" w:rsidR="005125E4" w:rsidRPr="000123C7" w:rsidRDefault="00986F94" w:rsidP="000123C7">
      <w:pPr>
        <w:pStyle w:val="Item"/>
      </w:pPr>
      <w:r w:rsidRPr="000123C7">
        <w:t>Insert</w:t>
      </w:r>
      <w:r w:rsidR="005125E4" w:rsidRPr="000123C7">
        <w:t>:</w:t>
      </w:r>
    </w:p>
    <w:p w14:paraId="7267714C" w14:textId="347F6F00" w:rsidR="005125E4" w:rsidRDefault="005125E4" w:rsidP="000123C7">
      <w:pPr>
        <w:pStyle w:val="paragraphsub"/>
      </w:pPr>
      <w:r w:rsidRPr="000123C7">
        <w:tab/>
      </w:r>
      <w:r w:rsidR="00CE0D64" w:rsidRPr="000123C7">
        <w:t>(</w:t>
      </w:r>
      <w:proofErr w:type="spellStart"/>
      <w:r w:rsidR="00CE0D64" w:rsidRPr="000123C7">
        <w:t>ia</w:t>
      </w:r>
      <w:proofErr w:type="spellEnd"/>
      <w:r w:rsidRPr="000123C7">
        <w:t>)</w:t>
      </w:r>
      <w:r w:rsidRPr="000123C7">
        <w:tab/>
        <w:t xml:space="preserve">to the National Data Commissioner under </w:t>
      </w:r>
      <w:r w:rsidR="00722138" w:rsidRPr="000123C7">
        <w:t>Part 5</w:t>
      </w:r>
      <w:r w:rsidRPr="000123C7">
        <w:t xml:space="preserve">.3 of the </w:t>
      </w:r>
      <w:r w:rsidRPr="000123C7">
        <w:rPr>
          <w:i/>
        </w:rPr>
        <w:t>Data Availability and Transparency Act 202</w:t>
      </w:r>
      <w:r w:rsidR="00EC7D8E">
        <w:rPr>
          <w:i/>
        </w:rPr>
        <w:t>2</w:t>
      </w:r>
      <w:r w:rsidR="0013044B" w:rsidRPr="000123C7">
        <w:t>; or</w:t>
      </w:r>
    </w:p>
    <w:p w14:paraId="375D7CE2" w14:textId="77777777" w:rsidR="00EC7D8E" w:rsidRPr="00AD3AAE" w:rsidRDefault="00EC7D8E" w:rsidP="00B31D93">
      <w:pPr>
        <w:pStyle w:val="ActHead6"/>
        <w:pageBreakBefore/>
      </w:pPr>
      <w:bookmarkStart w:id="12" w:name="_Toc99984002"/>
      <w:r w:rsidRPr="00C12946">
        <w:rPr>
          <w:rStyle w:val="CharAmSchNo"/>
        </w:rPr>
        <w:lastRenderedPageBreak/>
        <w:t>Schedule 2</w:t>
      </w:r>
      <w:r w:rsidRPr="00AD3AAE">
        <w:t>—</w:t>
      </w:r>
      <w:r w:rsidRPr="00C12946">
        <w:rPr>
          <w:rStyle w:val="CharAmSchText"/>
        </w:rPr>
        <w:t>Application provisions</w:t>
      </w:r>
      <w:bookmarkEnd w:id="12"/>
    </w:p>
    <w:p w14:paraId="188CCB96" w14:textId="77777777" w:rsidR="00EC7D8E" w:rsidRPr="00C12946" w:rsidRDefault="00EC7D8E" w:rsidP="00EC7D8E">
      <w:pPr>
        <w:pStyle w:val="Header"/>
      </w:pPr>
      <w:r w:rsidRPr="00C12946">
        <w:rPr>
          <w:rStyle w:val="CharAmPartNo"/>
        </w:rPr>
        <w:t xml:space="preserve"> </w:t>
      </w:r>
      <w:r w:rsidRPr="00C12946">
        <w:rPr>
          <w:rStyle w:val="CharAmPartText"/>
        </w:rPr>
        <w:t xml:space="preserve"> </w:t>
      </w:r>
    </w:p>
    <w:p w14:paraId="6C6AF907" w14:textId="77777777" w:rsidR="00EC7D8E" w:rsidRPr="00AD3AAE" w:rsidRDefault="00EC7D8E" w:rsidP="00EC7D8E">
      <w:pPr>
        <w:pStyle w:val="Transitional"/>
        <w:rPr>
          <w:i/>
        </w:rPr>
      </w:pPr>
      <w:r w:rsidRPr="00AD3AAE">
        <w:t xml:space="preserve">1  Applications for accreditation under the </w:t>
      </w:r>
      <w:r w:rsidRPr="00AD3AAE">
        <w:rPr>
          <w:i/>
        </w:rPr>
        <w:t>Data Availability and Transparency Act 2022</w:t>
      </w:r>
    </w:p>
    <w:p w14:paraId="5EE082F1" w14:textId="77777777" w:rsidR="00EC7D8E" w:rsidRPr="00AD3AAE" w:rsidRDefault="00EC7D8E" w:rsidP="00EC7D8E">
      <w:pPr>
        <w:pStyle w:val="Subitem"/>
      </w:pPr>
      <w:r w:rsidRPr="00AD3AAE">
        <w:t>(1)</w:t>
      </w:r>
      <w:r w:rsidRPr="00AD3AAE">
        <w:tab/>
        <w:t xml:space="preserve">An entity may apply for accreditation as an accredited user or an </w:t>
      </w:r>
      <w:proofErr w:type="spellStart"/>
      <w:r w:rsidRPr="00AD3AAE">
        <w:t>ADSP</w:t>
      </w:r>
      <w:proofErr w:type="spellEnd"/>
      <w:r w:rsidRPr="00AD3AAE">
        <w:t xml:space="preserve"> under section 76 of the </w:t>
      </w:r>
      <w:r w:rsidRPr="00AD3AAE">
        <w:rPr>
          <w:i/>
        </w:rPr>
        <w:t>Data Availability and Transparency Act 2022</w:t>
      </w:r>
      <w:r w:rsidRPr="00AD3AAE">
        <w:t xml:space="preserve"> on or after the day after the end of the period of 4 months beginning on the day this Act receives the Royal Assent.</w:t>
      </w:r>
    </w:p>
    <w:p w14:paraId="660C4C10" w14:textId="77777777" w:rsidR="00EC7D8E" w:rsidRPr="00AD3AAE" w:rsidRDefault="00EC7D8E" w:rsidP="00EC7D8E">
      <w:pPr>
        <w:pStyle w:val="Subitem"/>
      </w:pPr>
      <w:r w:rsidRPr="00AD3AAE">
        <w:t>(2)</w:t>
      </w:r>
      <w:r w:rsidRPr="00AD3AAE">
        <w:tab/>
        <w:t xml:space="preserve">However, an entity that is a Commonwealth body, a State body or a Territory body may apply for accreditation as an accredited user under section 76 of the </w:t>
      </w:r>
      <w:r w:rsidRPr="00AD3AAE">
        <w:rPr>
          <w:i/>
        </w:rPr>
        <w:t>Data Availability and Transparency Act 2022</w:t>
      </w:r>
      <w:r w:rsidRPr="00AD3AAE">
        <w:t xml:space="preserve"> on or after the day after the end of the period of 2 months beginning on the day this Act receives the Royal Assent.</w:t>
      </w:r>
    </w:p>
    <w:p w14:paraId="00CEECF7" w14:textId="77777777" w:rsidR="00EC7D8E" w:rsidRPr="00AD3AAE" w:rsidRDefault="00EC7D8E" w:rsidP="00EC7D8E">
      <w:pPr>
        <w:pStyle w:val="Subitem"/>
      </w:pPr>
      <w:r w:rsidRPr="00AD3AAE">
        <w:t>(3)</w:t>
      </w:r>
      <w:r w:rsidRPr="00AD3AAE">
        <w:tab/>
        <w:t xml:space="preserve">Applications for accreditation as an accredited user or an </w:t>
      </w:r>
      <w:proofErr w:type="spellStart"/>
      <w:r w:rsidRPr="00AD3AAE">
        <w:t>ADSP</w:t>
      </w:r>
      <w:proofErr w:type="spellEnd"/>
      <w:r w:rsidRPr="00AD3AAE">
        <w:t xml:space="preserve"> under section 76 of the </w:t>
      </w:r>
      <w:r w:rsidRPr="00AD3AAE">
        <w:rPr>
          <w:i/>
        </w:rPr>
        <w:t>Data Availability and Transparency Act 2022</w:t>
      </w:r>
      <w:r w:rsidRPr="00AD3AAE">
        <w:t xml:space="preserve"> may not be made except in accordance with subitems (1) and (2).</w:t>
      </w:r>
    </w:p>
    <w:p w14:paraId="1D656978" w14:textId="77777777" w:rsidR="00EC7D8E" w:rsidRPr="00AD3AAE" w:rsidRDefault="00EC7D8E" w:rsidP="003A740E">
      <w:pPr>
        <w:pStyle w:val="ActHead6"/>
        <w:keepLines w:val="0"/>
        <w:pageBreakBefore/>
      </w:pPr>
      <w:bookmarkStart w:id="13" w:name="_Toc99984003"/>
      <w:r w:rsidRPr="00C12946">
        <w:rPr>
          <w:rStyle w:val="CharAmSchNo"/>
        </w:rPr>
        <w:lastRenderedPageBreak/>
        <w:t>Schedule 3</w:t>
      </w:r>
      <w:r w:rsidRPr="00AD3AAE">
        <w:t>—</w:t>
      </w:r>
      <w:r w:rsidRPr="00C12946">
        <w:rPr>
          <w:rStyle w:val="CharAmSchText"/>
        </w:rPr>
        <w:t>Transitional provisions</w:t>
      </w:r>
      <w:bookmarkEnd w:id="13"/>
    </w:p>
    <w:p w14:paraId="568BDABD" w14:textId="77777777" w:rsidR="00EC7D8E" w:rsidRPr="00C12946" w:rsidRDefault="00EC7D8E" w:rsidP="00EC7D8E">
      <w:pPr>
        <w:pStyle w:val="Header"/>
      </w:pPr>
      <w:r w:rsidRPr="00C12946">
        <w:rPr>
          <w:rStyle w:val="CharAmPartNo"/>
        </w:rPr>
        <w:t xml:space="preserve"> </w:t>
      </w:r>
      <w:r w:rsidRPr="00C12946">
        <w:rPr>
          <w:rStyle w:val="CharAmPartText"/>
        </w:rPr>
        <w:t xml:space="preserve"> </w:t>
      </w:r>
    </w:p>
    <w:p w14:paraId="4E536834" w14:textId="77777777" w:rsidR="00EC7D8E" w:rsidRPr="00AD3AAE" w:rsidRDefault="00EC7D8E" w:rsidP="00EC7D8E">
      <w:pPr>
        <w:pStyle w:val="Transitional"/>
      </w:pPr>
      <w:r w:rsidRPr="00AD3AAE">
        <w:t>1  Definitions</w:t>
      </w:r>
    </w:p>
    <w:p w14:paraId="70D16575" w14:textId="77777777" w:rsidR="00EC7D8E" w:rsidRPr="00AD3AAE" w:rsidRDefault="00EC7D8E" w:rsidP="00EC7D8E">
      <w:pPr>
        <w:pStyle w:val="Subitem"/>
      </w:pPr>
      <w:r w:rsidRPr="00AD3AAE">
        <w:t>(1)</w:t>
      </w:r>
      <w:r w:rsidRPr="00AD3AAE">
        <w:tab/>
        <w:t>In this Schedule:</w:t>
      </w:r>
    </w:p>
    <w:p w14:paraId="2C2E4027" w14:textId="77777777" w:rsidR="00EC7D8E" w:rsidRPr="00AD3AAE" w:rsidRDefault="00EC7D8E" w:rsidP="00EC7D8E">
      <w:pPr>
        <w:pStyle w:val="Item"/>
      </w:pPr>
      <w:r w:rsidRPr="00AD3AAE">
        <w:rPr>
          <w:b/>
          <w:i/>
        </w:rPr>
        <w:t xml:space="preserve">DAT Act </w:t>
      </w:r>
      <w:r w:rsidRPr="00AD3AAE">
        <w:t xml:space="preserve">means the </w:t>
      </w:r>
      <w:r w:rsidRPr="00AD3AAE">
        <w:rPr>
          <w:i/>
        </w:rPr>
        <w:t>Data Availability and Transparency Act 2022</w:t>
      </w:r>
      <w:r w:rsidRPr="00AD3AAE">
        <w:t>.</w:t>
      </w:r>
    </w:p>
    <w:p w14:paraId="055FDB62" w14:textId="77777777" w:rsidR="00EC7D8E" w:rsidRPr="00AD3AAE" w:rsidRDefault="00EC7D8E" w:rsidP="00EC7D8E">
      <w:pPr>
        <w:pStyle w:val="Item"/>
      </w:pPr>
      <w:r w:rsidRPr="00AD3AAE">
        <w:rPr>
          <w:b/>
          <w:i/>
        </w:rPr>
        <w:t>rules</w:t>
      </w:r>
      <w:r w:rsidRPr="00AD3AAE">
        <w:t xml:space="preserve"> means rules made by the Minister under item 4.</w:t>
      </w:r>
    </w:p>
    <w:p w14:paraId="496FEF74" w14:textId="77777777" w:rsidR="00EC7D8E" w:rsidRPr="00AD3AAE" w:rsidRDefault="00EC7D8E" w:rsidP="00EC7D8E">
      <w:pPr>
        <w:pStyle w:val="Item"/>
      </w:pPr>
      <w:r w:rsidRPr="00AD3AAE">
        <w:rPr>
          <w:b/>
          <w:i/>
        </w:rPr>
        <w:t>transitional entity</w:t>
      </w:r>
      <w:r w:rsidRPr="00AD3AAE">
        <w:t xml:space="preserve"> means an Australian entity prescribed by the rules.</w:t>
      </w:r>
    </w:p>
    <w:p w14:paraId="66421F76" w14:textId="77777777" w:rsidR="00EC7D8E" w:rsidRPr="00AD3AAE" w:rsidRDefault="00EC7D8E" w:rsidP="00EC7D8E">
      <w:pPr>
        <w:pStyle w:val="Item"/>
      </w:pPr>
      <w:r w:rsidRPr="00AD3AAE">
        <w:rPr>
          <w:b/>
          <w:i/>
        </w:rPr>
        <w:t>transition period</w:t>
      </w:r>
      <w:r w:rsidRPr="00AD3AAE">
        <w:t>, for a transitional entity, means the period prescribed for the entity by the rules.</w:t>
      </w:r>
    </w:p>
    <w:p w14:paraId="11BDE868" w14:textId="77777777" w:rsidR="00EC7D8E" w:rsidRPr="00AD3AAE" w:rsidRDefault="00EC7D8E" w:rsidP="00EC7D8E">
      <w:pPr>
        <w:pStyle w:val="Subitem"/>
      </w:pPr>
      <w:r w:rsidRPr="00AD3AAE">
        <w:t>(2)</w:t>
      </w:r>
      <w:r w:rsidRPr="00AD3AAE">
        <w:tab/>
        <w:t>Other expressions used in this Schedule that are also used in the DAT Act have the same meaning in this Schedule as they have in the DAT Act.</w:t>
      </w:r>
    </w:p>
    <w:p w14:paraId="3D899EE5" w14:textId="77777777" w:rsidR="00EC7D8E" w:rsidRPr="00AD3AAE" w:rsidRDefault="00EC7D8E" w:rsidP="00EC7D8E">
      <w:pPr>
        <w:pStyle w:val="Transitional"/>
      </w:pPr>
      <w:r w:rsidRPr="00AD3AAE">
        <w:t>2  Transitional provisions</w:t>
      </w:r>
    </w:p>
    <w:p w14:paraId="63A18B1C" w14:textId="77777777" w:rsidR="00EC7D8E" w:rsidRPr="00AD3AAE" w:rsidRDefault="00EC7D8E" w:rsidP="00EC7D8E">
      <w:pPr>
        <w:pStyle w:val="Subitem"/>
      </w:pPr>
      <w:r w:rsidRPr="00AD3AAE">
        <w:t>(1)</w:t>
      </w:r>
      <w:r w:rsidRPr="00AD3AAE">
        <w:tab/>
        <w:t xml:space="preserve">For the purposes of the data sharing scheme, a transitional entity </w:t>
      </w:r>
      <w:bookmarkStart w:id="14" w:name="_Hlk87604428"/>
      <w:r w:rsidRPr="00AD3AAE">
        <w:t xml:space="preserve">is taken, during its transition period, to be </w:t>
      </w:r>
      <w:bookmarkEnd w:id="14"/>
      <w:r w:rsidRPr="00AD3AAE">
        <w:t xml:space="preserve">accredited as an </w:t>
      </w:r>
      <w:proofErr w:type="spellStart"/>
      <w:r w:rsidRPr="00AD3AAE">
        <w:t>ADSP</w:t>
      </w:r>
      <w:proofErr w:type="spellEnd"/>
      <w:r w:rsidRPr="00AD3AAE">
        <w:t xml:space="preserve"> under the DAT Act.</w:t>
      </w:r>
    </w:p>
    <w:p w14:paraId="47629BCB" w14:textId="77777777" w:rsidR="00EC7D8E" w:rsidRPr="00AD3AAE" w:rsidRDefault="00EC7D8E" w:rsidP="00EC7D8E">
      <w:pPr>
        <w:pStyle w:val="Subitem"/>
      </w:pPr>
      <w:r w:rsidRPr="00AD3AAE">
        <w:t>(2)</w:t>
      </w:r>
      <w:r w:rsidRPr="00AD3AAE">
        <w:tab/>
        <w:t>The rules may prescribe conditions of accreditation applicable to a transitional entity. For the purposes of the data sharing scheme as it applies because of subitem (1), any such condition is taken to have been imposed by the Commissioner under section 78 of the DAT Act.</w:t>
      </w:r>
    </w:p>
    <w:p w14:paraId="2CFFA6CB" w14:textId="77777777" w:rsidR="00EC7D8E" w:rsidRPr="00AD3AAE" w:rsidRDefault="00EC7D8E" w:rsidP="00EC7D8E">
      <w:pPr>
        <w:pStyle w:val="notemargin"/>
      </w:pPr>
      <w:r w:rsidRPr="00AD3AAE">
        <w:t>Note:</w:t>
      </w:r>
      <w:r w:rsidRPr="00AD3AAE">
        <w:tab/>
        <w:t>Under section 78 of the DAT Act as it applies because of subitem (1), the Commissioner may vary or remove a condition prescribed by the rules, or impose other conditions.</w:t>
      </w:r>
    </w:p>
    <w:p w14:paraId="66AE90BC" w14:textId="77777777" w:rsidR="00EC7D8E" w:rsidRPr="00AD3AAE" w:rsidRDefault="00EC7D8E" w:rsidP="00EC7D8E">
      <w:pPr>
        <w:pStyle w:val="Subitem"/>
      </w:pPr>
      <w:r w:rsidRPr="00AD3AAE">
        <w:t>(3)</w:t>
      </w:r>
      <w:r w:rsidRPr="00AD3AAE">
        <w:tab/>
        <w:t>The transition period for a transitional entity must end no later than the earlier of the following:</w:t>
      </w:r>
    </w:p>
    <w:p w14:paraId="51F37814" w14:textId="77777777" w:rsidR="00EC7D8E" w:rsidRPr="00AD3AAE" w:rsidRDefault="00EC7D8E" w:rsidP="00EC7D8E">
      <w:pPr>
        <w:pStyle w:val="paragraph"/>
      </w:pPr>
      <w:r w:rsidRPr="00AD3AAE">
        <w:tab/>
        <w:t>(a)</w:t>
      </w:r>
      <w:r w:rsidRPr="00AD3AAE">
        <w:tab/>
        <w:t xml:space="preserve">if the Commissioner cancels the entity’s accreditation as an </w:t>
      </w:r>
      <w:proofErr w:type="spellStart"/>
      <w:r w:rsidRPr="00AD3AAE">
        <w:t>ADSP</w:t>
      </w:r>
      <w:proofErr w:type="spellEnd"/>
      <w:r w:rsidRPr="00AD3AAE">
        <w:t xml:space="preserve"> under section 81 of the DAT Act—the day the cancellation takes effect;</w:t>
      </w:r>
    </w:p>
    <w:p w14:paraId="045273CE" w14:textId="77777777" w:rsidR="00EC7D8E" w:rsidRPr="00AD3AAE" w:rsidRDefault="00EC7D8E" w:rsidP="00EC7D8E">
      <w:pPr>
        <w:pStyle w:val="paragraph"/>
      </w:pPr>
      <w:r w:rsidRPr="00AD3AAE">
        <w:tab/>
        <w:t>(b)</w:t>
      </w:r>
      <w:r w:rsidRPr="00AD3AAE">
        <w:tab/>
        <w:t>the end of the period of 40 months beginning on the day this Act receives the Royal Assent.</w:t>
      </w:r>
    </w:p>
    <w:p w14:paraId="6A3165D3" w14:textId="77777777" w:rsidR="00EC7D8E" w:rsidRPr="00AD3AAE" w:rsidRDefault="00EC7D8E" w:rsidP="00EC7D8E">
      <w:pPr>
        <w:pStyle w:val="Transitional"/>
      </w:pPr>
      <w:r w:rsidRPr="00AD3AAE">
        <w:lastRenderedPageBreak/>
        <w:t>3  This Schedule is part of the data sharing scheme</w:t>
      </w:r>
    </w:p>
    <w:p w14:paraId="041C2E24" w14:textId="77777777" w:rsidR="00EC7D8E" w:rsidRPr="00AD3AAE" w:rsidRDefault="00EC7D8E" w:rsidP="00EC7D8E">
      <w:pPr>
        <w:pStyle w:val="Item"/>
      </w:pPr>
      <w:r w:rsidRPr="00AD3AAE">
        <w:t>The data sharing scheme is taken to include this Schedule and the rules.</w:t>
      </w:r>
    </w:p>
    <w:p w14:paraId="4822D06D" w14:textId="77777777" w:rsidR="00EC7D8E" w:rsidRPr="00AD3AAE" w:rsidRDefault="00EC7D8E" w:rsidP="00EC7D8E">
      <w:pPr>
        <w:pStyle w:val="Transitional"/>
      </w:pPr>
      <w:r w:rsidRPr="00AD3AAE">
        <w:t>4  Rules</w:t>
      </w:r>
    </w:p>
    <w:p w14:paraId="7AA2CC05" w14:textId="77777777" w:rsidR="00EC7D8E" w:rsidRPr="00AD3AAE" w:rsidRDefault="00EC7D8E" w:rsidP="00EC7D8E">
      <w:pPr>
        <w:pStyle w:val="Subitem"/>
      </w:pPr>
      <w:r w:rsidRPr="00AD3AAE">
        <w:t>(1)</w:t>
      </w:r>
      <w:r w:rsidRPr="00AD3AAE">
        <w:tab/>
        <w:t>The Minister may, by legislative instrument, make rules prescribing matters:</w:t>
      </w:r>
    </w:p>
    <w:p w14:paraId="5279E7A2" w14:textId="77777777" w:rsidR="00EC7D8E" w:rsidRPr="00AD3AAE" w:rsidRDefault="00EC7D8E" w:rsidP="00EC7D8E">
      <w:pPr>
        <w:pStyle w:val="paragraph"/>
      </w:pPr>
      <w:r w:rsidRPr="00AD3AAE">
        <w:tab/>
        <w:t>(a)</w:t>
      </w:r>
      <w:r w:rsidRPr="00AD3AAE">
        <w:tab/>
        <w:t>required or permitted by this Schedule to be prescribed by the rules; or</w:t>
      </w:r>
    </w:p>
    <w:p w14:paraId="29B80998" w14:textId="77777777" w:rsidR="00EC7D8E" w:rsidRPr="00AD3AAE" w:rsidRDefault="00EC7D8E" w:rsidP="00EC7D8E">
      <w:pPr>
        <w:pStyle w:val="paragraph"/>
      </w:pPr>
      <w:r w:rsidRPr="00AD3AAE">
        <w:tab/>
        <w:t>(b)</w:t>
      </w:r>
      <w:r w:rsidRPr="00AD3AAE">
        <w:tab/>
        <w:t>necessary or convenient to be prescribed for carrying out or giving effect to this Schedule.</w:t>
      </w:r>
    </w:p>
    <w:p w14:paraId="1454DA99" w14:textId="77777777" w:rsidR="00EC7D8E" w:rsidRPr="00AD3AAE" w:rsidRDefault="00EC7D8E" w:rsidP="00EC7D8E">
      <w:pPr>
        <w:pStyle w:val="Subitem"/>
      </w:pPr>
      <w:r w:rsidRPr="00AD3AAE">
        <w:t>(2)</w:t>
      </w:r>
      <w:r w:rsidRPr="00AD3AAE">
        <w:tab/>
        <w:t>To avoid doubt, the rules may not do the following:</w:t>
      </w:r>
    </w:p>
    <w:p w14:paraId="1652D2E9" w14:textId="77777777" w:rsidR="00EC7D8E" w:rsidRPr="00AD3AAE" w:rsidRDefault="00EC7D8E" w:rsidP="00EC7D8E">
      <w:pPr>
        <w:pStyle w:val="paragraph"/>
      </w:pPr>
      <w:r w:rsidRPr="00AD3AAE">
        <w:tab/>
        <w:t>(a)</w:t>
      </w:r>
      <w:r w:rsidRPr="00AD3AAE">
        <w:tab/>
        <w:t>create an offence or civil penalty;</w:t>
      </w:r>
    </w:p>
    <w:p w14:paraId="0271F862" w14:textId="77777777" w:rsidR="00EC7D8E" w:rsidRPr="00AD3AAE" w:rsidRDefault="00EC7D8E" w:rsidP="00EC7D8E">
      <w:pPr>
        <w:pStyle w:val="paragraph"/>
      </w:pPr>
      <w:r w:rsidRPr="00AD3AAE">
        <w:tab/>
        <w:t>(b)</w:t>
      </w:r>
      <w:r w:rsidRPr="00AD3AAE">
        <w:tab/>
        <w:t>provide powers of:</w:t>
      </w:r>
    </w:p>
    <w:p w14:paraId="695282DE" w14:textId="77777777" w:rsidR="00EC7D8E" w:rsidRPr="00AD3AAE" w:rsidRDefault="00EC7D8E" w:rsidP="00EC7D8E">
      <w:pPr>
        <w:pStyle w:val="paragraphsub"/>
      </w:pPr>
      <w:r w:rsidRPr="00AD3AAE">
        <w:tab/>
        <w:t>(i)</w:t>
      </w:r>
      <w:r w:rsidRPr="00AD3AAE">
        <w:tab/>
        <w:t>arrest or detention; or</w:t>
      </w:r>
    </w:p>
    <w:p w14:paraId="1D73727E" w14:textId="77777777" w:rsidR="00EC7D8E" w:rsidRPr="00AD3AAE" w:rsidRDefault="00EC7D8E" w:rsidP="00EC7D8E">
      <w:pPr>
        <w:pStyle w:val="paragraphsub"/>
      </w:pPr>
      <w:r w:rsidRPr="00AD3AAE">
        <w:tab/>
        <w:t>(ii)</w:t>
      </w:r>
      <w:r w:rsidRPr="00AD3AAE">
        <w:tab/>
        <w:t>entry, search or seizure;</w:t>
      </w:r>
    </w:p>
    <w:p w14:paraId="70FC0F35" w14:textId="77777777" w:rsidR="00EC7D8E" w:rsidRPr="00AD3AAE" w:rsidRDefault="00EC7D8E" w:rsidP="00EC7D8E">
      <w:pPr>
        <w:pStyle w:val="paragraph"/>
      </w:pPr>
      <w:r w:rsidRPr="00AD3AAE">
        <w:tab/>
        <w:t>(c)</w:t>
      </w:r>
      <w:r w:rsidRPr="00AD3AAE">
        <w:tab/>
        <w:t>impose a tax;</w:t>
      </w:r>
    </w:p>
    <w:p w14:paraId="10E05061" w14:textId="77777777" w:rsidR="00EC7D8E" w:rsidRPr="00AD3AAE" w:rsidRDefault="00EC7D8E" w:rsidP="00EC7D8E">
      <w:pPr>
        <w:pStyle w:val="paragraph"/>
      </w:pPr>
      <w:r w:rsidRPr="00AD3AAE">
        <w:tab/>
        <w:t>(d)</w:t>
      </w:r>
      <w:r w:rsidRPr="00AD3AAE">
        <w:tab/>
        <w:t>set an amount to be appropriated from the Consolidated Revenue Fund under an appropriation in this Act;</w:t>
      </w:r>
    </w:p>
    <w:p w14:paraId="087850EA" w14:textId="1B1BF0E3" w:rsidR="00EC7D8E" w:rsidRDefault="00EC7D8E" w:rsidP="00EC7D8E">
      <w:pPr>
        <w:pStyle w:val="paragraph"/>
      </w:pPr>
      <w:r w:rsidRPr="00AD3AAE">
        <w:tab/>
        <w:t>(e)</w:t>
      </w:r>
      <w:r w:rsidRPr="00AD3AAE">
        <w:tab/>
        <w:t>directly amend the text of this Act.</w:t>
      </w:r>
    </w:p>
    <w:p w14:paraId="656F7BBC" w14:textId="77777777" w:rsidR="00100956" w:rsidRDefault="00100956" w:rsidP="00100956"/>
    <w:p w14:paraId="00EAB849" w14:textId="77777777" w:rsidR="00100956" w:rsidRDefault="00100956" w:rsidP="00100956">
      <w:pPr>
        <w:pStyle w:val="AssentBk"/>
        <w:keepNext/>
      </w:pPr>
    </w:p>
    <w:p w14:paraId="47AC8BF4" w14:textId="77777777" w:rsidR="00100956" w:rsidRDefault="00100956" w:rsidP="00100956">
      <w:pPr>
        <w:pStyle w:val="AssentBk"/>
        <w:keepNext/>
      </w:pPr>
    </w:p>
    <w:p w14:paraId="4181FBC3" w14:textId="77777777" w:rsidR="00100956" w:rsidRDefault="00100956" w:rsidP="00100956">
      <w:pPr>
        <w:pStyle w:val="2ndRd"/>
        <w:keepNext/>
        <w:pBdr>
          <w:top w:val="single" w:sz="2" w:space="1" w:color="auto"/>
        </w:pBdr>
      </w:pPr>
    </w:p>
    <w:p w14:paraId="47CD02AE" w14:textId="77777777" w:rsidR="00100956" w:rsidRDefault="00100956" w:rsidP="000C5962">
      <w:pPr>
        <w:pStyle w:val="2ndRd"/>
        <w:keepNext/>
        <w:spacing w:line="260" w:lineRule="atLeast"/>
        <w:rPr>
          <w:i/>
        </w:rPr>
      </w:pPr>
      <w:r>
        <w:t>[</w:t>
      </w:r>
      <w:r>
        <w:rPr>
          <w:i/>
        </w:rPr>
        <w:t>Minister’s second reading speech made in—</w:t>
      </w:r>
    </w:p>
    <w:p w14:paraId="1EECB451" w14:textId="09FC2B7F" w:rsidR="00100956" w:rsidRDefault="00100956" w:rsidP="000C5962">
      <w:pPr>
        <w:pStyle w:val="2ndRd"/>
        <w:keepNext/>
        <w:spacing w:line="260" w:lineRule="atLeast"/>
        <w:rPr>
          <w:i/>
        </w:rPr>
      </w:pPr>
      <w:r>
        <w:rPr>
          <w:i/>
        </w:rPr>
        <w:t>House of Representatives on 9 December 2020</w:t>
      </w:r>
    </w:p>
    <w:p w14:paraId="79CE3880" w14:textId="368C6B81" w:rsidR="00100956" w:rsidRDefault="00100956" w:rsidP="000C5962">
      <w:pPr>
        <w:pStyle w:val="2ndRd"/>
        <w:keepNext/>
        <w:spacing w:line="260" w:lineRule="atLeast"/>
        <w:rPr>
          <w:i/>
        </w:rPr>
      </w:pPr>
      <w:r>
        <w:rPr>
          <w:i/>
        </w:rPr>
        <w:t>Senate on 30 March 2022</w:t>
      </w:r>
      <w:r>
        <w:t>]</w:t>
      </w:r>
    </w:p>
    <w:p w14:paraId="775A85BA" w14:textId="77777777" w:rsidR="00100956" w:rsidRDefault="00100956" w:rsidP="000C5962"/>
    <w:p w14:paraId="4C19C512" w14:textId="5E91F731" w:rsidR="00ED427F" w:rsidRPr="00100956" w:rsidRDefault="00100956" w:rsidP="00100956">
      <w:pPr>
        <w:framePr w:hSpace="180" w:wrap="around" w:vAnchor="text" w:hAnchor="page" w:x="2566" w:y="3129"/>
      </w:pPr>
      <w:r>
        <w:t>(175/20)</w:t>
      </w:r>
    </w:p>
    <w:p w14:paraId="365B106D" w14:textId="77777777" w:rsidR="00100956" w:rsidRDefault="00100956"/>
    <w:sectPr w:rsidR="00100956" w:rsidSect="00ED427F">
      <w:headerReference w:type="even" r:id="rId22"/>
      <w:headerReference w:type="default" r:id="rId23"/>
      <w:footerReference w:type="even" r:id="rId24"/>
      <w:footerReference w:type="default" r:id="rId25"/>
      <w:headerReference w:type="first" r:id="rId26"/>
      <w:footerReference w:type="first" r:id="rId27"/>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901C" w14:textId="77777777" w:rsidR="00986F94" w:rsidRDefault="00986F94" w:rsidP="0048364F">
      <w:pPr>
        <w:spacing w:line="240" w:lineRule="auto"/>
      </w:pPr>
      <w:r>
        <w:separator/>
      </w:r>
    </w:p>
  </w:endnote>
  <w:endnote w:type="continuationSeparator" w:id="0">
    <w:p w14:paraId="66821EBB" w14:textId="77777777" w:rsidR="00986F94" w:rsidRDefault="00986F9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4F80B" w14:textId="77777777" w:rsidR="00986F94" w:rsidRPr="005F1388" w:rsidRDefault="00986F94" w:rsidP="000123C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5FFA" w14:textId="6C9BE0D0" w:rsidR="00100956" w:rsidRDefault="00100956" w:rsidP="00CD12A5">
    <w:pPr>
      <w:pStyle w:val="ScalePlusRef"/>
    </w:pPr>
    <w:r>
      <w:t>Note: An electronic version of this Act is available on the Federal Register of Legislation (</w:t>
    </w:r>
    <w:hyperlink r:id="rId1" w:history="1">
      <w:r>
        <w:t>https://www.legislation.gov.au/</w:t>
      </w:r>
    </w:hyperlink>
    <w:r>
      <w:t>)</w:t>
    </w:r>
  </w:p>
  <w:p w14:paraId="0C81DA2E" w14:textId="77777777" w:rsidR="00100956" w:rsidRDefault="00100956" w:rsidP="00CD12A5"/>
  <w:p w14:paraId="1E97C280" w14:textId="59B60D76" w:rsidR="00986F94" w:rsidRDefault="00986F94" w:rsidP="000123C7">
    <w:pPr>
      <w:pStyle w:val="Footer"/>
      <w:spacing w:before="120"/>
    </w:pPr>
  </w:p>
  <w:p w14:paraId="3F0D5A67" w14:textId="77777777" w:rsidR="00986F94" w:rsidRPr="005F1388" w:rsidRDefault="00986F9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C510D" w14:textId="77777777" w:rsidR="00986F94" w:rsidRPr="00ED79B6" w:rsidRDefault="00986F94" w:rsidP="000123C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60540" w14:textId="77777777" w:rsidR="00986F94" w:rsidRDefault="00986F94" w:rsidP="000123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6F94" w14:paraId="1090DC52" w14:textId="77777777" w:rsidTr="003B202D">
      <w:tc>
        <w:tcPr>
          <w:tcW w:w="646" w:type="dxa"/>
        </w:tcPr>
        <w:p w14:paraId="362420D2" w14:textId="77777777" w:rsidR="00986F94" w:rsidRDefault="00986F94" w:rsidP="003B202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56E3">
            <w:rPr>
              <w:i/>
              <w:noProof/>
              <w:sz w:val="18"/>
            </w:rPr>
            <w:t>iv</w:t>
          </w:r>
          <w:r w:rsidRPr="00ED79B6">
            <w:rPr>
              <w:i/>
              <w:sz w:val="18"/>
            </w:rPr>
            <w:fldChar w:fldCharType="end"/>
          </w:r>
        </w:p>
      </w:tc>
      <w:tc>
        <w:tcPr>
          <w:tcW w:w="5387" w:type="dxa"/>
        </w:tcPr>
        <w:p w14:paraId="230BF774" w14:textId="26BFF52E" w:rsidR="00986F94" w:rsidRDefault="00986F94" w:rsidP="003B202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56A25">
            <w:rPr>
              <w:i/>
              <w:sz w:val="18"/>
            </w:rPr>
            <w:t>Data Availability and Transparency (Consequential Amendments) Act 2022</w:t>
          </w:r>
          <w:r w:rsidRPr="00ED79B6">
            <w:rPr>
              <w:i/>
              <w:sz w:val="18"/>
            </w:rPr>
            <w:fldChar w:fldCharType="end"/>
          </w:r>
        </w:p>
      </w:tc>
      <w:tc>
        <w:tcPr>
          <w:tcW w:w="1270" w:type="dxa"/>
        </w:tcPr>
        <w:p w14:paraId="1D20DB7C" w14:textId="497A36B0" w:rsidR="00986F94" w:rsidRDefault="00986F94" w:rsidP="003B202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6A25">
            <w:rPr>
              <w:i/>
              <w:sz w:val="18"/>
            </w:rPr>
            <w:t>No. 12, 2022</w:t>
          </w:r>
          <w:r w:rsidRPr="00ED79B6">
            <w:rPr>
              <w:i/>
              <w:sz w:val="18"/>
            </w:rPr>
            <w:fldChar w:fldCharType="end"/>
          </w:r>
        </w:p>
      </w:tc>
    </w:tr>
  </w:tbl>
  <w:p w14:paraId="2060F914" w14:textId="77777777" w:rsidR="00986F94" w:rsidRDefault="00986F9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2E33" w14:textId="77777777" w:rsidR="00986F94" w:rsidRDefault="00986F94" w:rsidP="000123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6F94" w14:paraId="653F707A" w14:textId="77777777" w:rsidTr="003B202D">
      <w:tc>
        <w:tcPr>
          <w:tcW w:w="1247" w:type="dxa"/>
        </w:tcPr>
        <w:p w14:paraId="594104B6" w14:textId="7E962BC4" w:rsidR="00986F94" w:rsidRDefault="00986F94" w:rsidP="003B202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356A25">
            <w:rPr>
              <w:i/>
              <w:sz w:val="18"/>
            </w:rPr>
            <w:t>No. 12, 2022</w:t>
          </w:r>
          <w:r w:rsidRPr="00ED79B6">
            <w:rPr>
              <w:i/>
              <w:sz w:val="18"/>
            </w:rPr>
            <w:fldChar w:fldCharType="end"/>
          </w:r>
        </w:p>
      </w:tc>
      <w:tc>
        <w:tcPr>
          <w:tcW w:w="5387" w:type="dxa"/>
        </w:tcPr>
        <w:p w14:paraId="2E5E9E13" w14:textId="1819C65D" w:rsidR="00986F94" w:rsidRDefault="00986F94" w:rsidP="003B202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356A25">
            <w:rPr>
              <w:i/>
              <w:sz w:val="18"/>
            </w:rPr>
            <w:t>Data Availability and Transparency (Consequential Amendments) Act 2022</w:t>
          </w:r>
          <w:r w:rsidRPr="00ED79B6">
            <w:rPr>
              <w:i/>
              <w:sz w:val="18"/>
            </w:rPr>
            <w:fldChar w:fldCharType="end"/>
          </w:r>
        </w:p>
      </w:tc>
      <w:tc>
        <w:tcPr>
          <w:tcW w:w="669" w:type="dxa"/>
        </w:tcPr>
        <w:p w14:paraId="7EE2FE37" w14:textId="77777777" w:rsidR="00986F94" w:rsidRDefault="00986F94" w:rsidP="003B202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8416E">
            <w:rPr>
              <w:i/>
              <w:noProof/>
              <w:sz w:val="18"/>
            </w:rPr>
            <w:t>i</w:t>
          </w:r>
          <w:r w:rsidRPr="00ED79B6">
            <w:rPr>
              <w:i/>
              <w:sz w:val="18"/>
            </w:rPr>
            <w:fldChar w:fldCharType="end"/>
          </w:r>
        </w:p>
      </w:tc>
    </w:tr>
  </w:tbl>
  <w:p w14:paraId="4DCAD2C2" w14:textId="77777777" w:rsidR="00986F94" w:rsidRPr="00ED79B6" w:rsidRDefault="00986F9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1FE4C" w14:textId="77777777" w:rsidR="00986F94" w:rsidRPr="00A961C4" w:rsidRDefault="00986F94" w:rsidP="000123C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6F94" w14:paraId="3F3D6F6D" w14:textId="77777777" w:rsidTr="00754A5F">
      <w:tc>
        <w:tcPr>
          <w:tcW w:w="646" w:type="dxa"/>
        </w:tcPr>
        <w:p w14:paraId="08659330" w14:textId="77777777" w:rsidR="00986F94" w:rsidRDefault="00986F94" w:rsidP="003B202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416E">
            <w:rPr>
              <w:i/>
              <w:noProof/>
              <w:sz w:val="18"/>
            </w:rPr>
            <w:t>2</w:t>
          </w:r>
          <w:r w:rsidRPr="007A1328">
            <w:rPr>
              <w:i/>
              <w:sz w:val="18"/>
            </w:rPr>
            <w:fldChar w:fldCharType="end"/>
          </w:r>
        </w:p>
      </w:tc>
      <w:tc>
        <w:tcPr>
          <w:tcW w:w="5387" w:type="dxa"/>
        </w:tcPr>
        <w:p w14:paraId="3BCC494B" w14:textId="14335C1F" w:rsidR="00986F94" w:rsidRDefault="00986F94" w:rsidP="003B202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6A25">
            <w:rPr>
              <w:i/>
              <w:sz w:val="18"/>
            </w:rPr>
            <w:t>Data Availability and Transparency (Consequential Amendments) Act 2022</w:t>
          </w:r>
          <w:r w:rsidRPr="007A1328">
            <w:rPr>
              <w:i/>
              <w:sz w:val="18"/>
            </w:rPr>
            <w:fldChar w:fldCharType="end"/>
          </w:r>
        </w:p>
      </w:tc>
      <w:tc>
        <w:tcPr>
          <w:tcW w:w="1270" w:type="dxa"/>
        </w:tcPr>
        <w:p w14:paraId="27248635" w14:textId="6E7A9BB1" w:rsidR="00986F94" w:rsidRDefault="00986F94" w:rsidP="003B202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6A25">
            <w:rPr>
              <w:i/>
              <w:sz w:val="18"/>
            </w:rPr>
            <w:t>No. 12, 2022</w:t>
          </w:r>
          <w:r w:rsidRPr="007A1328">
            <w:rPr>
              <w:i/>
              <w:sz w:val="18"/>
            </w:rPr>
            <w:fldChar w:fldCharType="end"/>
          </w:r>
        </w:p>
      </w:tc>
    </w:tr>
  </w:tbl>
  <w:p w14:paraId="32E89013" w14:textId="77777777" w:rsidR="00986F94" w:rsidRPr="00A961C4" w:rsidRDefault="00986F9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EEEE9" w14:textId="77777777" w:rsidR="00986F94" w:rsidRPr="00A961C4" w:rsidRDefault="00986F94" w:rsidP="000123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6F94" w14:paraId="1373614C" w14:textId="77777777" w:rsidTr="00754A5F">
      <w:tc>
        <w:tcPr>
          <w:tcW w:w="1247" w:type="dxa"/>
        </w:tcPr>
        <w:p w14:paraId="15304CB2" w14:textId="3CD09618" w:rsidR="00986F94" w:rsidRDefault="00986F94" w:rsidP="003B202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6A25">
            <w:rPr>
              <w:i/>
              <w:sz w:val="18"/>
            </w:rPr>
            <w:t>No. 12, 2022</w:t>
          </w:r>
          <w:r w:rsidRPr="007A1328">
            <w:rPr>
              <w:i/>
              <w:sz w:val="18"/>
            </w:rPr>
            <w:fldChar w:fldCharType="end"/>
          </w:r>
        </w:p>
      </w:tc>
      <w:tc>
        <w:tcPr>
          <w:tcW w:w="5387" w:type="dxa"/>
        </w:tcPr>
        <w:p w14:paraId="78FAF94A" w14:textId="0AB6622D" w:rsidR="00986F94" w:rsidRDefault="00986F94" w:rsidP="003B202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6A25">
            <w:rPr>
              <w:i/>
              <w:sz w:val="18"/>
            </w:rPr>
            <w:t>Data Availability and Transparency (Consequential Amendments) Act 2022</w:t>
          </w:r>
          <w:r w:rsidRPr="007A1328">
            <w:rPr>
              <w:i/>
              <w:sz w:val="18"/>
            </w:rPr>
            <w:fldChar w:fldCharType="end"/>
          </w:r>
        </w:p>
      </w:tc>
      <w:tc>
        <w:tcPr>
          <w:tcW w:w="669" w:type="dxa"/>
        </w:tcPr>
        <w:p w14:paraId="4F3A87AA" w14:textId="77777777" w:rsidR="00986F94" w:rsidRDefault="00986F94" w:rsidP="003B202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416E">
            <w:rPr>
              <w:i/>
              <w:noProof/>
              <w:sz w:val="18"/>
            </w:rPr>
            <w:t>3</w:t>
          </w:r>
          <w:r w:rsidRPr="007A1328">
            <w:rPr>
              <w:i/>
              <w:sz w:val="18"/>
            </w:rPr>
            <w:fldChar w:fldCharType="end"/>
          </w:r>
        </w:p>
      </w:tc>
    </w:tr>
  </w:tbl>
  <w:p w14:paraId="4C686099" w14:textId="77777777" w:rsidR="00986F94" w:rsidRPr="00055B5C" w:rsidRDefault="00986F9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4D5B" w14:textId="77777777" w:rsidR="00986F94" w:rsidRPr="00A961C4" w:rsidRDefault="00986F94" w:rsidP="000123C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6F94" w14:paraId="3007C9A6" w14:textId="77777777" w:rsidTr="00754A5F">
      <w:tc>
        <w:tcPr>
          <w:tcW w:w="1247" w:type="dxa"/>
        </w:tcPr>
        <w:p w14:paraId="2F5E7A9F" w14:textId="00813B7C" w:rsidR="00986F94" w:rsidRDefault="00986F94" w:rsidP="003B202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356A25">
            <w:rPr>
              <w:i/>
              <w:sz w:val="18"/>
            </w:rPr>
            <w:t>No. 12, 2022</w:t>
          </w:r>
          <w:r w:rsidRPr="007A1328">
            <w:rPr>
              <w:i/>
              <w:sz w:val="18"/>
            </w:rPr>
            <w:fldChar w:fldCharType="end"/>
          </w:r>
        </w:p>
      </w:tc>
      <w:tc>
        <w:tcPr>
          <w:tcW w:w="5387" w:type="dxa"/>
        </w:tcPr>
        <w:p w14:paraId="5692E23A" w14:textId="6DB2DBA9" w:rsidR="00986F94" w:rsidRDefault="00986F94" w:rsidP="003B202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356A25">
            <w:rPr>
              <w:i/>
              <w:sz w:val="18"/>
            </w:rPr>
            <w:t>Data Availability and Transparency (Consequential Amendments) Act 2022</w:t>
          </w:r>
          <w:r w:rsidRPr="007A1328">
            <w:rPr>
              <w:i/>
              <w:sz w:val="18"/>
            </w:rPr>
            <w:fldChar w:fldCharType="end"/>
          </w:r>
        </w:p>
      </w:tc>
      <w:tc>
        <w:tcPr>
          <w:tcW w:w="669" w:type="dxa"/>
        </w:tcPr>
        <w:p w14:paraId="5BFDBB50" w14:textId="77777777" w:rsidR="00986F94" w:rsidRDefault="00986F94" w:rsidP="003B202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8416E">
            <w:rPr>
              <w:i/>
              <w:noProof/>
              <w:sz w:val="18"/>
            </w:rPr>
            <w:t>1</w:t>
          </w:r>
          <w:r w:rsidRPr="007A1328">
            <w:rPr>
              <w:i/>
              <w:sz w:val="18"/>
            </w:rPr>
            <w:fldChar w:fldCharType="end"/>
          </w:r>
        </w:p>
      </w:tc>
    </w:tr>
  </w:tbl>
  <w:p w14:paraId="35CFBA20" w14:textId="77777777" w:rsidR="00986F94" w:rsidRPr="00A961C4" w:rsidRDefault="00986F9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25923" w14:textId="77777777" w:rsidR="00986F94" w:rsidRDefault="00986F94" w:rsidP="0048364F">
      <w:pPr>
        <w:spacing w:line="240" w:lineRule="auto"/>
      </w:pPr>
      <w:r>
        <w:separator/>
      </w:r>
    </w:p>
  </w:footnote>
  <w:footnote w:type="continuationSeparator" w:id="0">
    <w:p w14:paraId="3640DA9C" w14:textId="77777777" w:rsidR="00986F94" w:rsidRDefault="00986F9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DA5EF" w14:textId="77777777" w:rsidR="00986F94" w:rsidRPr="005F1388" w:rsidRDefault="00986F9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3C60E" w14:textId="77777777" w:rsidR="00986F94" w:rsidRPr="005F1388" w:rsidRDefault="00986F9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A676" w14:textId="77777777" w:rsidR="00986F94" w:rsidRPr="005F1388" w:rsidRDefault="00986F9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606B" w14:textId="77777777" w:rsidR="00986F94" w:rsidRPr="00ED79B6" w:rsidRDefault="00986F9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B2E6" w14:textId="77777777" w:rsidR="00986F94" w:rsidRPr="00ED79B6" w:rsidRDefault="00986F9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2331" w14:textId="77777777" w:rsidR="00986F94" w:rsidRPr="00ED79B6" w:rsidRDefault="00986F9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FBFF" w14:textId="2685DAA3" w:rsidR="00986F94" w:rsidRPr="00A961C4" w:rsidRDefault="00986F94" w:rsidP="0048364F">
    <w:pPr>
      <w:rPr>
        <w:b/>
        <w:sz w:val="20"/>
      </w:rPr>
    </w:pPr>
    <w:r>
      <w:rPr>
        <w:b/>
        <w:sz w:val="20"/>
      </w:rPr>
      <w:fldChar w:fldCharType="begin"/>
    </w:r>
    <w:r>
      <w:rPr>
        <w:b/>
        <w:sz w:val="20"/>
      </w:rPr>
      <w:instrText xml:space="preserve"> STYLEREF CharAmSchNo </w:instrText>
    </w:r>
    <w:r w:rsidR="00356A25">
      <w:rPr>
        <w:b/>
        <w:sz w:val="20"/>
      </w:rPr>
      <w:fldChar w:fldCharType="separate"/>
    </w:r>
    <w:r w:rsidR="00356A25">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56A25">
      <w:rPr>
        <w:sz w:val="20"/>
      </w:rPr>
      <w:fldChar w:fldCharType="separate"/>
    </w:r>
    <w:r w:rsidR="00356A25">
      <w:rPr>
        <w:noProof/>
        <w:sz w:val="20"/>
      </w:rPr>
      <w:t>Transitional provisions</w:t>
    </w:r>
    <w:r>
      <w:rPr>
        <w:sz w:val="20"/>
      </w:rPr>
      <w:fldChar w:fldCharType="end"/>
    </w:r>
  </w:p>
  <w:p w14:paraId="46CD221B" w14:textId="392579A6" w:rsidR="00986F94" w:rsidRPr="00A961C4" w:rsidRDefault="00986F94"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6A22FB0" w14:textId="77777777" w:rsidR="00986F94" w:rsidRPr="00A961C4" w:rsidRDefault="00986F9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9F980" w14:textId="12BEA345" w:rsidR="00986F94" w:rsidRPr="00A961C4" w:rsidRDefault="00986F94" w:rsidP="0048364F">
    <w:pPr>
      <w:jc w:val="right"/>
      <w:rPr>
        <w:sz w:val="20"/>
      </w:rPr>
    </w:pPr>
    <w:r w:rsidRPr="00A961C4">
      <w:rPr>
        <w:sz w:val="20"/>
      </w:rPr>
      <w:fldChar w:fldCharType="begin"/>
    </w:r>
    <w:r w:rsidRPr="00A961C4">
      <w:rPr>
        <w:sz w:val="20"/>
      </w:rPr>
      <w:instrText xml:space="preserve"> STYLEREF CharAmSchText </w:instrText>
    </w:r>
    <w:r w:rsidR="00356A25">
      <w:rPr>
        <w:sz w:val="20"/>
      </w:rPr>
      <w:fldChar w:fldCharType="separate"/>
    </w:r>
    <w:r w:rsidR="00356A25">
      <w:rPr>
        <w:noProof/>
        <w:sz w:val="20"/>
      </w:rPr>
      <w:t>Transitional provisions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56A25">
      <w:rPr>
        <w:b/>
        <w:sz w:val="20"/>
      </w:rPr>
      <w:fldChar w:fldCharType="separate"/>
    </w:r>
    <w:r w:rsidR="00356A25">
      <w:rPr>
        <w:b/>
        <w:noProof/>
        <w:sz w:val="20"/>
      </w:rPr>
      <w:t>Schedule 3</w:t>
    </w:r>
    <w:r>
      <w:rPr>
        <w:b/>
        <w:sz w:val="20"/>
      </w:rPr>
      <w:fldChar w:fldCharType="end"/>
    </w:r>
  </w:p>
  <w:p w14:paraId="78656EA6" w14:textId="133594F1" w:rsidR="00986F94" w:rsidRPr="00A961C4" w:rsidRDefault="00986F94"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652DDA0" w14:textId="77777777" w:rsidR="00986F94" w:rsidRPr="00A961C4" w:rsidRDefault="00986F9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E3E3" w14:textId="77777777" w:rsidR="00986F94" w:rsidRPr="00A961C4" w:rsidRDefault="00986F9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A30BB"/>
    <w:multiLevelType w:val="hybridMultilevel"/>
    <w:tmpl w:val="A6C8B7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3E735B"/>
    <w:multiLevelType w:val="hybridMultilevel"/>
    <w:tmpl w:val="8E68C9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606D7200"/>
    <w:multiLevelType w:val="hybridMultilevel"/>
    <w:tmpl w:val="9AC29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AE3BC5"/>
    <w:multiLevelType w:val="hybridMultilevel"/>
    <w:tmpl w:val="4ADE98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5"/>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hideSpellingErrors/>
  <w:hideGrammaticalError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036"/>
    <w:rsid w:val="00000FD6"/>
    <w:rsid w:val="000113BC"/>
    <w:rsid w:val="000123C7"/>
    <w:rsid w:val="00012EB9"/>
    <w:rsid w:val="000136AF"/>
    <w:rsid w:val="0001455F"/>
    <w:rsid w:val="00015BB5"/>
    <w:rsid w:val="00025C41"/>
    <w:rsid w:val="000417C9"/>
    <w:rsid w:val="0005046E"/>
    <w:rsid w:val="000504DF"/>
    <w:rsid w:val="00051127"/>
    <w:rsid w:val="00052378"/>
    <w:rsid w:val="000526A1"/>
    <w:rsid w:val="00055B5C"/>
    <w:rsid w:val="00056391"/>
    <w:rsid w:val="00060FF9"/>
    <w:rsid w:val="000614BF"/>
    <w:rsid w:val="0007102E"/>
    <w:rsid w:val="000A183F"/>
    <w:rsid w:val="000B1FD2"/>
    <w:rsid w:val="000B2AB1"/>
    <w:rsid w:val="000C3746"/>
    <w:rsid w:val="000C3CEF"/>
    <w:rsid w:val="000C5115"/>
    <w:rsid w:val="000D05EF"/>
    <w:rsid w:val="000D3ABB"/>
    <w:rsid w:val="000F21C1"/>
    <w:rsid w:val="000F2B96"/>
    <w:rsid w:val="000F7171"/>
    <w:rsid w:val="00100956"/>
    <w:rsid w:val="00100CFF"/>
    <w:rsid w:val="00101D90"/>
    <w:rsid w:val="0010238C"/>
    <w:rsid w:val="0010745C"/>
    <w:rsid w:val="00113BD1"/>
    <w:rsid w:val="0012181D"/>
    <w:rsid w:val="00122206"/>
    <w:rsid w:val="00125521"/>
    <w:rsid w:val="0013044B"/>
    <w:rsid w:val="0013089F"/>
    <w:rsid w:val="0014760A"/>
    <w:rsid w:val="0015646E"/>
    <w:rsid w:val="001643C9"/>
    <w:rsid w:val="00165568"/>
    <w:rsid w:val="00166C2F"/>
    <w:rsid w:val="001716C9"/>
    <w:rsid w:val="00173363"/>
    <w:rsid w:val="00173B94"/>
    <w:rsid w:val="001854B4"/>
    <w:rsid w:val="00191478"/>
    <w:rsid w:val="001939E1"/>
    <w:rsid w:val="00195382"/>
    <w:rsid w:val="00197870"/>
    <w:rsid w:val="001A3658"/>
    <w:rsid w:val="001A683B"/>
    <w:rsid w:val="001A759A"/>
    <w:rsid w:val="001B19C0"/>
    <w:rsid w:val="001B633C"/>
    <w:rsid w:val="001B7A5D"/>
    <w:rsid w:val="001C2418"/>
    <w:rsid w:val="001C69C4"/>
    <w:rsid w:val="001E1ADE"/>
    <w:rsid w:val="001E3590"/>
    <w:rsid w:val="001E7407"/>
    <w:rsid w:val="001F7736"/>
    <w:rsid w:val="00201D27"/>
    <w:rsid w:val="00202618"/>
    <w:rsid w:val="00215BFF"/>
    <w:rsid w:val="00223BA9"/>
    <w:rsid w:val="00240749"/>
    <w:rsid w:val="00263820"/>
    <w:rsid w:val="00266408"/>
    <w:rsid w:val="00270013"/>
    <w:rsid w:val="00270728"/>
    <w:rsid w:val="00275197"/>
    <w:rsid w:val="00291F89"/>
    <w:rsid w:val="00293B89"/>
    <w:rsid w:val="00297ECB"/>
    <w:rsid w:val="002A25E5"/>
    <w:rsid w:val="002B5A30"/>
    <w:rsid w:val="002B7902"/>
    <w:rsid w:val="002C2B0D"/>
    <w:rsid w:val="002C5A1F"/>
    <w:rsid w:val="002D043A"/>
    <w:rsid w:val="002D395A"/>
    <w:rsid w:val="002E36DF"/>
    <w:rsid w:val="002E58E7"/>
    <w:rsid w:val="00304146"/>
    <w:rsid w:val="003063B2"/>
    <w:rsid w:val="00307C8D"/>
    <w:rsid w:val="0031132B"/>
    <w:rsid w:val="00312DBE"/>
    <w:rsid w:val="0031450E"/>
    <w:rsid w:val="003206F0"/>
    <w:rsid w:val="0032663C"/>
    <w:rsid w:val="003415D3"/>
    <w:rsid w:val="00350417"/>
    <w:rsid w:val="00351569"/>
    <w:rsid w:val="00352B0F"/>
    <w:rsid w:val="00355275"/>
    <w:rsid w:val="00356A25"/>
    <w:rsid w:val="0036484C"/>
    <w:rsid w:val="00373874"/>
    <w:rsid w:val="00375C6C"/>
    <w:rsid w:val="00377A4A"/>
    <w:rsid w:val="0038416E"/>
    <w:rsid w:val="003A393C"/>
    <w:rsid w:val="003A740E"/>
    <w:rsid w:val="003A7B3C"/>
    <w:rsid w:val="003B202D"/>
    <w:rsid w:val="003B4E3D"/>
    <w:rsid w:val="003C5F2B"/>
    <w:rsid w:val="003C6235"/>
    <w:rsid w:val="003D0BFE"/>
    <w:rsid w:val="003D3D2B"/>
    <w:rsid w:val="003D406C"/>
    <w:rsid w:val="003D5700"/>
    <w:rsid w:val="003E1E7B"/>
    <w:rsid w:val="003E55FE"/>
    <w:rsid w:val="003F718C"/>
    <w:rsid w:val="00400C89"/>
    <w:rsid w:val="00405579"/>
    <w:rsid w:val="00410B8E"/>
    <w:rsid w:val="004116CD"/>
    <w:rsid w:val="00421FC1"/>
    <w:rsid w:val="004221BA"/>
    <w:rsid w:val="004229C7"/>
    <w:rsid w:val="00424CA9"/>
    <w:rsid w:val="00434166"/>
    <w:rsid w:val="00436785"/>
    <w:rsid w:val="00436BD5"/>
    <w:rsid w:val="00437D42"/>
    <w:rsid w:val="00437E4B"/>
    <w:rsid w:val="00440A20"/>
    <w:rsid w:val="0044291A"/>
    <w:rsid w:val="00443169"/>
    <w:rsid w:val="004531FE"/>
    <w:rsid w:val="004562FF"/>
    <w:rsid w:val="00461592"/>
    <w:rsid w:val="004709B3"/>
    <w:rsid w:val="004726C7"/>
    <w:rsid w:val="0048196B"/>
    <w:rsid w:val="0048364F"/>
    <w:rsid w:val="00483DB1"/>
    <w:rsid w:val="00486D05"/>
    <w:rsid w:val="00496F97"/>
    <w:rsid w:val="004A268B"/>
    <w:rsid w:val="004C7C8C"/>
    <w:rsid w:val="004E2A4A"/>
    <w:rsid w:val="004F0D23"/>
    <w:rsid w:val="004F1FAC"/>
    <w:rsid w:val="004F290E"/>
    <w:rsid w:val="0050146A"/>
    <w:rsid w:val="00501DBC"/>
    <w:rsid w:val="00504ECD"/>
    <w:rsid w:val="005125E4"/>
    <w:rsid w:val="00516B8D"/>
    <w:rsid w:val="00537FBC"/>
    <w:rsid w:val="00542D9C"/>
    <w:rsid w:val="00543469"/>
    <w:rsid w:val="00551B54"/>
    <w:rsid w:val="005812AB"/>
    <w:rsid w:val="00584811"/>
    <w:rsid w:val="005926BA"/>
    <w:rsid w:val="00593AA6"/>
    <w:rsid w:val="00594161"/>
    <w:rsid w:val="00594749"/>
    <w:rsid w:val="00595A63"/>
    <w:rsid w:val="005A0D92"/>
    <w:rsid w:val="005B22F1"/>
    <w:rsid w:val="005B4067"/>
    <w:rsid w:val="005B52F8"/>
    <w:rsid w:val="005C0B96"/>
    <w:rsid w:val="005C3F41"/>
    <w:rsid w:val="005C5BB0"/>
    <w:rsid w:val="005C5C76"/>
    <w:rsid w:val="005C5D39"/>
    <w:rsid w:val="005D2CEC"/>
    <w:rsid w:val="005E152A"/>
    <w:rsid w:val="005E21D0"/>
    <w:rsid w:val="005E7C8D"/>
    <w:rsid w:val="00600219"/>
    <w:rsid w:val="00634D37"/>
    <w:rsid w:val="00641DE5"/>
    <w:rsid w:val="00644019"/>
    <w:rsid w:val="00656F0C"/>
    <w:rsid w:val="00677CC2"/>
    <w:rsid w:val="006809AE"/>
    <w:rsid w:val="00681F92"/>
    <w:rsid w:val="006842C2"/>
    <w:rsid w:val="00685F42"/>
    <w:rsid w:val="0069207B"/>
    <w:rsid w:val="00696B90"/>
    <w:rsid w:val="006A4B23"/>
    <w:rsid w:val="006B0737"/>
    <w:rsid w:val="006C2874"/>
    <w:rsid w:val="006C7868"/>
    <w:rsid w:val="006C7F8C"/>
    <w:rsid w:val="006D380D"/>
    <w:rsid w:val="006D54F1"/>
    <w:rsid w:val="006E0135"/>
    <w:rsid w:val="006E303A"/>
    <w:rsid w:val="006F7E19"/>
    <w:rsid w:val="00700B2C"/>
    <w:rsid w:val="00712D8D"/>
    <w:rsid w:val="00713084"/>
    <w:rsid w:val="00714B26"/>
    <w:rsid w:val="00722138"/>
    <w:rsid w:val="00731E00"/>
    <w:rsid w:val="00733B8C"/>
    <w:rsid w:val="00740691"/>
    <w:rsid w:val="007440B7"/>
    <w:rsid w:val="0075425B"/>
    <w:rsid w:val="00754A5F"/>
    <w:rsid w:val="0076218A"/>
    <w:rsid w:val="007634AD"/>
    <w:rsid w:val="007636DF"/>
    <w:rsid w:val="007715C9"/>
    <w:rsid w:val="00774AC5"/>
    <w:rsid w:val="00774EDD"/>
    <w:rsid w:val="0077533F"/>
    <w:rsid w:val="007757EC"/>
    <w:rsid w:val="007852CF"/>
    <w:rsid w:val="007879CE"/>
    <w:rsid w:val="007B0BB8"/>
    <w:rsid w:val="007B30AA"/>
    <w:rsid w:val="007B6121"/>
    <w:rsid w:val="007D32B5"/>
    <w:rsid w:val="007E4E5B"/>
    <w:rsid w:val="007E7D4A"/>
    <w:rsid w:val="008006CC"/>
    <w:rsid w:val="00807F18"/>
    <w:rsid w:val="00822FE2"/>
    <w:rsid w:val="00826A46"/>
    <w:rsid w:val="00830B11"/>
    <w:rsid w:val="00831E8D"/>
    <w:rsid w:val="00835815"/>
    <w:rsid w:val="00856A31"/>
    <w:rsid w:val="00857D6B"/>
    <w:rsid w:val="008709EE"/>
    <w:rsid w:val="00870B7A"/>
    <w:rsid w:val="008738D3"/>
    <w:rsid w:val="008754D0"/>
    <w:rsid w:val="00877D48"/>
    <w:rsid w:val="00883781"/>
    <w:rsid w:val="00885570"/>
    <w:rsid w:val="00887C8B"/>
    <w:rsid w:val="00893958"/>
    <w:rsid w:val="00895E5B"/>
    <w:rsid w:val="008A2D9E"/>
    <w:rsid w:val="008A2E77"/>
    <w:rsid w:val="008B6275"/>
    <w:rsid w:val="008C6F6F"/>
    <w:rsid w:val="008D0EE0"/>
    <w:rsid w:val="008D3E94"/>
    <w:rsid w:val="008D6521"/>
    <w:rsid w:val="008D7C22"/>
    <w:rsid w:val="008E618E"/>
    <w:rsid w:val="008F1ADE"/>
    <w:rsid w:val="008F2B81"/>
    <w:rsid w:val="008F4F1C"/>
    <w:rsid w:val="008F77C4"/>
    <w:rsid w:val="009059A4"/>
    <w:rsid w:val="009103F3"/>
    <w:rsid w:val="00917621"/>
    <w:rsid w:val="00932377"/>
    <w:rsid w:val="009529BE"/>
    <w:rsid w:val="009537B4"/>
    <w:rsid w:val="0095401A"/>
    <w:rsid w:val="009638B7"/>
    <w:rsid w:val="00967042"/>
    <w:rsid w:val="009675B7"/>
    <w:rsid w:val="0098255A"/>
    <w:rsid w:val="009845BE"/>
    <w:rsid w:val="00986F94"/>
    <w:rsid w:val="009969C9"/>
    <w:rsid w:val="009A3582"/>
    <w:rsid w:val="009B08D5"/>
    <w:rsid w:val="009D0020"/>
    <w:rsid w:val="009D2330"/>
    <w:rsid w:val="009D2E53"/>
    <w:rsid w:val="009D5036"/>
    <w:rsid w:val="009E0265"/>
    <w:rsid w:val="009E0C3C"/>
    <w:rsid w:val="009E4BFF"/>
    <w:rsid w:val="009F7BD0"/>
    <w:rsid w:val="00A0229B"/>
    <w:rsid w:val="00A048FF"/>
    <w:rsid w:val="00A07933"/>
    <w:rsid w:val="00A10775"/>
    <w:rsid w:val="00A12C37"/>
    <w:rsid w:val="00A231E2"/>
    <w:rsid w:val="00A36C48"/>
    <w:rsid w:val="00A41E0B"/>
    <w:rsid w:val="00A54266"/>
    <w:rsid w:val="00A55631"/>
    <w:rsid w:val="00A64912"/>
    <w:rsid w:val="00A70A74"/>
    <w:rsid w:val="00A966CA"/>
    <w:rsid w:val="00AA3795"/>
    <w:rsid w:val="00AB56E3"/>
    <w:rsid w:val="00AC1E75"/>
    <w:rsid w:val="00AC6D82"/>
    <w:rsid w:val="00AD41D1"/>
    <w:rsid w:val="00AD5641"/>
    <w:rsid w:val="00AE1088"/>
    <w:rsid w:val="00AE5753"/>
    <w:rsid w:val="00AF1BA4"/>
    <w:rsid w:val="00AF6125"/>
    <w:rsid w:val="00B032D8"/>
    <w:rsid w:val="00B31D93"/>
    <w:rsid w:val="00B32D5D"/>
    <w:rsid w:val="00B33B3C"/>
    <w:rsid w:val="00B359D5"/>
    <w:rsid w:val="00B42884"/>
    <w:rsid w:val="00B469FC"/>
    <w:rsid w:val="00B62344"/>
    <w:rsid w:val="00B6382D"/>
    <w:rsid w:val="00B732BC"/>
    <w:rsid w:val="00B87118"/>
    <w:rsid w:val="00BA5026"/>
    <w:rsid w:val="00BB1100"/>
    <w:rsid w:val="00BB40BF"/>
    <w:rsid w:val="00BC0CD1"/>
    <w:rsid w:val="00BD1394"/>
    <w:rsid w:val="00BE6475"/>
    <w:rsid w:val="00BE719A"/>
    <w:rsid w:val="00BE720A"/>
    <w:rsid w:val="00BF0461"/>
    <w:rsid w:val="00BF4944"/>
    <w:rsid w:val="00BF56D4"/>
    <w:rsid w:val="00BF72B8"/>
    <w:rsid w:val="00C00DCF"/>
    <w:rsid w:val="00C04409"/>
    <w:rsid w:val="00C067E5"/>
    <w:rsid w:val="00C164CA"/>
    <w:rsid w:val="00C176CF"/>
    <w:rsid w:val="00C42BF8"/>
    <w:rsid w:val="00C460AE"/>
    <w:rsid w:val="00C50043"/>
    <w:rsid w:val="00C5476E"/>
    <w:rsid w:val="00C54E84"/>
    <w:rsid w:val="00C56DEF"/>
    <w:rsid w:val="00C74B57"/>
    <w:rsid w:val="00C7573B"/>
    <w:rsid w:val="00C76CF3"/>
    <w:rsid w:val="00C9713D"/>
    <w:rsid w:val="00CB19A7"/>
    <w:rsid w:val="00CD7826"/>
    <w:rsid w:val="00CE0D64"/>
    <w:rsid w:val="00CE1E31"/>
    <w:rsid w:val="00CF0BB2"/>
    <w:rsid w:val="00CF3BF8"/>
    <w:rsid w:val="00CF4341"/>
    <w:rsid w:val="00D00EAA"/>
    <w:rsid w:val="00D06F76"/>
    <w:rsid w:val="00D10FFE"/>
    <w:rsid w:val="00D11B6D"/>
    <w:rsid w:val="00D13441"/>
    <w:rsid w:val="00D243A3"/>
    <w:rsid w:val="00D307A6"/>
    <w:rsid w:val="00D30A60"/>
    <w:rsid w:val="00D32B2A"/>
    <w:rsid w:val="00D40ADD"/>
    <w:rsid w:val="00D477C3"/>
    <w:rsid w:val="00D52EFE"/>
    <w:rsid w:val="00D632E2"/>
    <w:rsid w:val="00D63EF6"/>
    <w:rsid w:val="00D70DFB"/>
    <w:rsid w:val="00D73029"/>
    <w:rsid w:val="00D757F3"/>
    <w:rsid w:val="00D766DF"/>
    <w:rsid w:val="00D95E54"/>
    <w:rsid w:val="00DA456F"/>
    <w:rsid w:val="00DC2696"/>
    <w:rsid w:val="00DD167C"/>
    <w:rsid w:val="00DD790E"/>
    <w:rsid w:val="00DE2002"/>
    <w:rsid w:val="00DF1210"/>
    <w:rsid w:val="00DF6F6D"/>
    <w:rsid w:val="00DF7AE9"/>
    <w:rsid w:val="00E05704"/>
    <w:rsid w:val="00E11B8E"/>
    <w:rsid w:val="00E23F63"/>
    <w:rsid w:val="00E24D66"/>
    <w:rsid w:val="00E36081"/>
    <w:rsid w:val="00E52FE0"/>
    <w:rsid w:val="00E54292"/>
    <w:rsid w:val="00E74DC7"/>
    <w:rsid w:val="00E87699"/>
    <w:rsid w:val="00E91322"/>
    <w:rsid w:val="00E947C6"/>
    <w:rsid w:val="00EB3BC3"/>
    <w:rsid w:val="00EC7D8E"/>
    <w:rsid w:val="00ED427F"/>
    <w:rsid w:val="00ED47C3"/>
    <w:rsid w:val="00ED492F"/>
    <w:rsid w:val="00EE3E36"/>
    <w:rsid w:val="00EF05CE"/>
    <w:rsid w:val="00EF2E3A"/>
    <w:rsid w:val="00EF7AB0"/>
    <w:rsid w:val="00F047E2"/>
    <w:rsid w:val="00F078DC"/>
    <w:rsid w:val="00F10B3C"/>
    <w:rsid w:val="00F13E86"/>
    <w:rsid w:val="00F1426A"/>
    <w:rsid w:val="00F17B00"/>
    <w:rsid w:val="00F23D18"/>
    <w:rsid w:val="00F677A9"/>
    <w:rsid w:val="00F7172F"/>
    <w:rsid w:val="00F84CF5"/>
    <w:rsid w:val="00F92D35"/>
    <w:rsid w:val="00FA420B"/>
    <w:rsid w:val="00FB1DCA"/>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57E4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966CA"/>
    <w:pPr>
      <w:spacing w:line="260" w:lineRule="atLeast"/>
    </w:pPr>
    <w:rPr>
      <w:sz w:val="22"/>
    </w:rPr>
  </w:style>
  <w:style w:type="paragraph" w:styleId="Heading1">
    <w:name w:val="heading 1"/>
    <w:basedOn w:val="Normal"/>
    <w:next w:val="Normal"/>
    <w:link w:val="Heading1Char"/>
    <w:uiPriority w:val="9"/>
    <w:qFormat/>
    <w:rsid w:val="00B359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59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359D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359D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359D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59D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59D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59D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359D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966CA"/>
  </w:style>
  <w:style w:type="paragraph" w:customStyle="1" w:styleId="OPCParaBase">
    <w:name w:val="OPCParaBase"/>
    <w:qFormat/>
    <w:rsid w:val="00A966CA"/>
    <w:pPr>
      <w:spacing w:line="260" w:lineRule="atLeast"/>
    </w:pPr>
    <w:rPr>
      <w:rFonts w:eastAsia="Times New Roman" w:cs="Times New Roman"/>
      <w:sz w:val="22"/>
      <w:lang w:eastAsia="en-AU"/>
    </w:rPr>
  </w:style>
  <w:style w:type="paragraph" w:customStyle="1" w:styleId="ShortT">
    <w:name w:val="ShortT"/>
    <w:basedOn w:val="OPCParaBase"/>
    <w:next w:val="Normal"/>
    <w:qFormat/>
    <w:rsid w:val="00A966CA"/>
    <w:pPr>
      <w:spacing w:line="240" w:lineRule="auto"/>
    </w:pPr>
    <w:rPr>
      <w:b/>
      <w:sz w:val="40"/>
    </w:rPr>
  </w:style>
  <w:style w:type="paragraph" w:customStyle="1" w:styleId="ActHead1">
    <w:name w:val="ActHead 1"/>
    <w:aliases w:val="c"/>
    <w:basedOn w:val="OPCParaBase"/>
    <w:next w:val="Normal"/>
    <w:qFormat/>
    <w:rsid w:val="00A96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96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96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96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96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96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96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96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96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966CA"/>
  </w:style>
  <w:style w:type="paragraph" w:customStyle="1" w:styleId="Blocks">
    <w:name w:val="Blocks"/>
    <w:aliases w:val="bb"/>
    <w:basedOn w:val="OPCParaBase"/>
    <w:qFormat/>
    <w:rsid w:val="00A966CA"/>
    <w:pPr>
      <w:spacing w:line="240" w:lineRule="auto"/>
    </w:pPr>
    <w:rPr>
      <w:sz w:val="24"/>
    </w:rPr>
  </w:style>
  <w:style w:type="paragraph" w:customStyle="1" w:styleId="BoxText">
    <w:name w:val="BoxText"/>
    <w:aliases w:val="bt"/>
    <w:basedOn w:val="OPCParaBase"/>
    <w:qFormat/>
    <w:rsid w:val="00A96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966CA"/>
    <w:rPr>
      <w:b/>
    </w:rPr>
  </w:style>
  <w:style w:type="paragraph" w:customStyle="1" w:styleId="BoxHeadItalic">
    <w:name w:val="BoxHeadItalic"/>
    <w:aliases w:val="bhi"/>
    <w:basedOn w:val="BoxText"/>
    <w:next w:val="BoxStep"/>
    <w:qFormat/>
    <w:rsid w:val="00A966CA"/>
    <w:rPr>
      <w:i/>
    </w:rPr>
  </w:style>
  <w:style w:type="paragraph" w:customStyle="1" w:styleId="BoxList">
    <w:name w:val="BoxList"/>
    <w:aliases w:val="bl"/>
    <w:basedOn w:val="BoxText"/>
    <w:qFormat/>
    <w:rsid w:val="00A966CA"/>
    <w:pPr>
      <w:ind w:left="1559" w:hanging="425"/>
    </w:pPr>
  </w:style>
  <w:style w:type="paragraph" w:customStyle="1" w:styleId="BoxNote">
    <w:name w:val="BoxNote"/>
    <w:aliases w:val="bn"/>
    <w:basedOn w:val="BoxText"/>
    <w:qFormat/>
    <w:rsid w:val="00A966CA"/>
    <w:pPr>
      <w:tabs>
        <w:tab w:val="left" w:pos="1985"/>
      </w:tabs>
      <w:spacing w:before="122" w:line="198" w:lineRule="exact"/>
      <w:ind w:left="2948" w:hanging="1814"/>
    </w:pPr>
    <w:rPr>
      <w:sz w:val="18"/>
    </w:rPr>
  </w:style>
  <w:style w:type="paragraph" w:customStyle="1" w:styleId="BoxPara">
    <w:name w:val="BoxPara"/>
    <w:aliases w:val="bp"/>
    <w:basedOn w:val="BoxText"/>
    <w:qFormat/>
    <w:rsid w:val="00A966CA"/>
    <w:pPr>
      <w:tabs>
        <w:tab w:val="right" w:pos="2268"/>
      </w:tabs>
      <w:ind w:left="2552" w:hanging="1418"/>
    </w:pPr>
  </w:style>
  <w:style w:type="paragraph" w:customStyle="1" w:styleId="BoxStep">
    <w:name w:val="BoxStep"/>
    <w:aliases w:val="bs"/>
    <w:basedOn w:val="BoxText"/>
    <w:qFormat/>
    <w:rsid w:val="00A966CA"/>
    <w:pPr>
      <w:ind w:left="1985" w:hanging="851"/>
    </w:pPr>
  </w:style>
  <w:style w:type="character" w:customStyle="1" w:styleId="CharAmPartNo">
    <w:name w:val="CharAmPartNo"/>
    <w:basedOn w:val="OPCCharBase"/>
    <w:qFormat/>
    <w:rsid w:val="00A966CA"/>
  </w:style>
  <w:style w:type="character" w:customStyle="1" w:styleId="CharAmPartText">
    <w:name w:val="CharAmPartText"/>
    <w:basedOn w:val="OPCCharBase"/>
    <w:qFormat/>
    <w:rsid w:val="00A966CA"/>
  </w:style>
  <w:style w:type="character" w:customStyle="1" w:styleId="CharAmSchNo">
    <w:name w:val="CharAmSchNo"/>
    <w:basedOn w:val="OPCCharBase"/>
    <w:qFormat/>
    <w:rsid w:val="00A966CA"/>
  </w:style>
  <w:style w:type="character" w:customStyle="1" w:styleId="CharAmSchText">
    <w:name w:val="CharAmSchText"/>
    <w:basedOn w:val="OPCCharBase"/>
    <w:qFormat/>
    <w:rsid w:val="00A966CA"/>
  </w:style>
  <w:style w:type="character" w:customStyle="1" w:styleId="CharBoldItalic">
    <w:name w:val="CharBoldItalic"/>
    <w:basedOn w:val="OPCCharBase"/>
    <w:uiPriority w:val="1"/>
    <w:qFormat/>
    <w:rsid w:val="00A966CA"/>
    <w:rPr>
      <w:b/>
      <w:i/>
    </w:rPr>
  </w:style>
  <w:style w:type="character" w:customStyle="1" w:styleId="CharChapNo">
    <w:name w:val="CharChapNo"/>
    <w:basedOn w:val="OPCCharBase"/>
    <w:uiPriority w:val="1"/>
    <w:qFormat/>
    <w:rsid w:val="00A966CA"/>
  </w:style>
  <w:style w:type="character" w:customStyle="1" w:styleId="CharChapText">
    <w:name w:val="CharChapText"/>
    <w:basedOn w:val="OPCCharBase"/>
    <w:uiPriority w:val="1"/>
    <w:qFormat/>
    <w:rsid w:val="00A966CA"/>
  </w:style>
  <w:style w:type="character" w:customStyle="1" w:styleId="CharDivNo">
    <w:name w:val="CharDivNo"/>
    <w:basedOn w:val="OPCCharBase"/>
    <w:uiPriority w:val="1"/>
    <w:qFormat/>
    <w:rsid w:val="00A966CA"/>
  </w:style>
  <w:style w:type="character" w:customStyle="1" w:styleId="CharDivText">
    <w:name w:val="CharDivText"/>
    <w:basedOn w:val="OPCCharBase"/>
    <w:uiPriority w:val="1"/>
    <w:qFormat/>
    <w:rsid w:val="00A966CA"/>
  </w:style>
  <w:style w:type="character" w:customStyle="1" w:styleId="CharItalic">
    <w:name w:val="CharItalic"/>
    <w:basedOn w:val="OPCCharBase"/>
    <w:uiPriority w:val="1"/>
    <w:qFormat/>
    <w:rsid w:val="00A966CA"/>
    <w:rPr>
      <w:i/>
    </w:rPr>
  </w:style>
  <w:style w:type="character" w:customStyle="1" w:styleId="CharPartNo">
    <w:name w:val="CharPartNo"/>
    <w:basedOn w:val="OPCCharBase"/>
    <w:uiPriority w:val="1"/>
    <w:qFormat/>
    <w:rsid w:val="00A966CA"/>
  </w:style>
  <w:style w:type="character" w:customStyle="1" w:styleId="CharPartText">
    <w:name w:val="CharPartText"/>
    <w:basedOn w:val="OPCCharBase"/>
    <w:uiPriority w:val="1"/>
    <w:qFormat/>
    <w:rsid w:val="00A966CA"/>
  </w:style>
  <w:style w:type="character" w:customStyle="1" w:styleId="CharSectno">
    <w:name w:val="CharSectno"/>
    <w:basedOn w:val="OPCCharBase"/>
    <w:qFormat/>
    <w:rsid w:val="00A966CA"/>
  </w:style>
  <w:style w:type="character" w:customStyle="1" w:styleId="CharSubdNo">
    <w:name w:val="CharSubdNo"/>
    <w:basedOn w:val="OPCCharBase"/>
    <w:uiPriority w:val="1"/>
    <w:qFormat/>
    <w:rsid w:val="00A966CA"/>
  </w:style>
  <w:style w:type="character" w:customStyle="1" w:styleId="CharSubdText">
    <w:name w:val="CharSubdText"/>
    <w:basedOn w:val="OPCCharBase"/>
    <w:uiPriority w:val="1"/>
    <w:qFormat/>
    <w:rsid w:val="00A966CA"/>
  </w:style>
  <w:style w:type="paragraph" w:customStyle="1" w:styleId="CTA--">
    <w:name w:val="CTA --"/>
    <w:basedOn w:val="OPCParaBase"/>
    <w:next w:val="Normal"/>
    <w:rsid w:val="00A966CA"/>
    <w:pPr>
      <w:spacing w:before="60" w:line="240" w:lineRule="atLeast"/>
      <w:ind w:left="142" w:hanging="142"/>
    </w:pPr>
    <w:rPr>
      <w:sz w:val="20"/>
    </w:rPr>
  </w:style>
  <w:style w:type="paragraph" w:customStyle="1" w:styleId="CTA-">
    <w:name w:val="CTA -"/>
    <w:basedOn w:val="OPCParaBase"/>
    <w:rsid w:val="00A966CA"/>
    <w:pPr>
      <w:spacing w:before="60" w:line="240" w:lineRule="atLeast"/>
      <w:ind w:left="85" w:hanging="85"/>
    </w:pPr>
    <w:rPr>
      <w:sz w:val="20"/>
    </w:rPr>
  </w:style>
  <w:style w:type="paragraph" w:customStyle="1" w:styleId="CTA---">
    <w:name w:val="CTA ---"/>
    <w:basedOn w:val="OPCParaBase"/>
    <w:next w:val="Normal"/>
    <w:rsid w:val="00A966CA"/>
    <w:pPr>
      <w:spacing w:before="60" w:line="240" w:lineRule="atLeast"/>
      <w:ind w:left="198" w:hanging="198"/>
    </w:pPr>
    <w:rPr>
      <w:sz w:val="20"/>
    </w:rPr>
  </w:style>
  <w:style w:type="paragraph" w:customStyle="1" w:styleId="CTA----">
    <w:name w:val="CTA ----"/>
    <w:basedOn w:val="OPCParaBase"/>
    <w:next w:val="Normal"/>
    <w:rsid w:val="00A966CA"/>
    <w:pPr>
      <w:spacing w:before="60" w:line="240" w:lineRule="atLeast"/>
      <w:ind w:left="255" w:hanging="255"/>
    </w:pPr>
    <w:rPr>
      <w:sz w:val="20"/>
    </w:rPr>
  </w:style>
  <w:style w:type="paragraph" w:customStyle="1" w:styleId="CTA1a">
    <w:name w:val="CTA 1(a)"/>
    <w:basedOn w:val="OPCParaBase"/>
    <w:rsid w:val="00A966CA"/>
    <w:pPr>
      <w:tabs>
        <w:tab w:val="right" w:pos="414"/>
      </w:tabs>
      <w:spacing w:before="40" w:line="240" w:lineRule="atLeast"/>
      <w:ind w:left="675" w:hanging="675"/>
    </w:pPr>
    <w:rPr>
      <w:sz w:val="20"/>
    </w:rPr>
  </w:style>
  <w:style w:type="paragraph" w:customStyle="1" w:styleId="CTA1ai">
    <w:name w:val="CTA 1(a)(i)"/>
    <w:basedOn w:val="OPCParaBase"/>
    <w:rsid w:val="00A966CA"/>
    <w:pPr>
      <w:tabs>
        <w:tab w:val="right" w:pos="1004"/>
      </w:tabs>
      <w:spacing w:before="40" w:line="240" w:lineRule="atLeast"/>
      <w:ind w:left="1253" w:hanging="1253"/>
    </w:pPr>
    <w:rPr>
      <w:sz w:val="20"/>
    </w:rPr>
  </w:style>
  <w:style w:type="paragraph" w:customStyle="1" w:styleId="CTA2a">
    <w:name w:val="CTA 2(a)"/>
    <w:basedOn w:val="OPCParaBase"/>
    <w:rsid w:val="00A966CA"/>
    <w:pPr>
      <w:tabs>
        <w:tab w:val="right" w:pos="482"/>
      </w:tabs>
      <w:spacing w:before="40" w:line="240" w:lineRule="atLeast"/>
      <w:ind w:left="748" w:hanging="748"/>
    </w:pPr>
    <w:rPr>
      <w:sz w:val="20"/>
    </w:rPr>
  </w:style>
  <w:style w:type="paragraph" w:customStyle="1" w:styleId="CTA2ai">
    <w:name w:val="CTA 2(a)(i)"/>
    <w:basedOn w:val="OPCParaBase"/>
    <w:rsid w:val="00A966CA"/>
    <w:pPr>
      <w:tabs>
        <w:tab w:val="right" w:pos="1089"/>
      </w:tabs>
      <w:spacing w:before="40" w:line="240" w:lineRule="atLeast"/>
      <w:ind w:left="1327" w:hanging="1327"/>
    </w:pPr>
    <w:rPr>
      <w:sz w:val="20"/>
    </w:rPr>
  </w:style>
  <w:style w:type="paragraph" w:customStyle="1" w:styleId="CTA3a">
    <w:name w:val="CTA 3(a)"/>
    <w:basedOn w:val="OPCParaBase"/>
    <w:rsid w:val="00A966CA"/>
    <w:pPr>
      <w:tabs>
        <w:tab w:val="right" w:pos="556"/>
      </w:tabs>
      <w:spacing w:before="40" w:line="240" w:lineRule="atLeast"/>
      <w:ind w:left="805" w:hanging="805"/>
    </w:pPr>
    <w:rPr>
      <w:sz w:val="20"/>
    </w:rPr>
  </w:style>
  <w:style w:type="paragraph" w:customStyle="1" w:styleId="CTA3ai">
    <w:name w:val="CTA 3(a)(i)"/>
    <w:basedOn w:val="OPCParaBase"/>
    <w:rsid w:val="00A966CA"/>
    <w:pPr>
      <w:tabs>
        <w:tab w:val="right" w:pos="1140"/>
      </w:tabs>
      <w:spacing w:before="40" w:line="240" w:lineRule="atLeast"/>
      <w:ind w:left="1361" w:hanging="1361"/>
    </w:pPr>
    <w:rPr>
      <w:sz w:val="20"/>
    </w:rPr>
  </w:style>
  <w:style w:type="paragraph" w:customStyle="1" w:styleId="CTA4a">
    <w:name w:val="CTA 4(a)"/>
    <w:basedOn w:val="OPCParaBase"/>
    <w:rsid w:val="00A966CA"/>
    <w:pPr>
      <w:tabs>
        <w:tab w:val="right" w:pos="624"/>
      </w:tabs>
      <w:spacing w:before="40" w:line="240" w:lineRule="atLeast"/>
      <w:ind w:left="873" w:hanging="873"/>
    </w:pPr>
    <w:rPr>
      <w:sz w:val="20"/>
    </w:rPr>
  </w:style>
  <w:style w:type="paragraph" w:customStyle="1" w:styleId="CTA4ai">
    <w:name w:val="CTA 4(a)(i)"/>
    <w:basedOn w:val="OPCParaBase"/>
    <w:rsid w:val="00A966CA"/>
    <w:pPr>
      <w:tabs>
        <w:tab w:val="right" w:pos="1213"/>
      </w:tabs>
      <w:spacing w:before="40" w:line="240" w:lineRule="atLeast"/>
      <w:ind w:left="1452" w:hanging="1452"/>
    </w:pPr>
    <w:rPr>
      <w:sz w:val="20"/>
    </w:rPr>
  </w:style>
  <w:style w:type="paragraph" w:customStyle="1" w:styleId="CTACAPS">
    <w:name w:val="CTA CAPS"/>
    <w:basedOn w:val="OPCParaBase"/>
    <w:rsid w:val="00A966CA"/>
    <w:pPr>
      <w:spacing w:before="60" w:line="240" w:lineRule="atLeast"/>
    </w:pPr>
    <w:rPr>
      <w:sz w:val="20"/>
    </w:rPr>
  </w:style>
  <w:style w:type="paragraph" w:customStyle="1" w:styleId="CTAright">
    <w:name w:val="CTA right"/>
    <w:basedOn w:val="OPCParaBase"/>
    <w:rsid w:val="00A966CA"/>
    <w:pPr>
      <w:spacing w:before="60" w:line="240" w:lineRule="auto"/>
      <w:jc w:val="right"/>
    </w:pPr>
    <w:rPr>
      <w:sz w:val="20"/>
    </w:rPr>
  </w:style>
  <w:style w:type="paragraph" w:customStyle="1" w:styleId="subsection">
    <w:name w:val="subsection"/>
    <w:aliases w:val="ss,Subsection"/>
    <w:basedOn w:val="OPCParaBase"/>
    <w:link w:val="subsectionChar"/>
    <w:rsid w:val="00A966CA"/>
    <w:pPr>
      <w:tabs>
        <w:tab w:val="right" w:pos="1021"/>
      </w:tabs>
      <w:spacing w:before="180" w:line="240" w:lineRule="auto"/>
      <w:ind w:left="1134" w:hanging="1134"/>
    </w:pPr>
  </w:style>
  <w:style w:type="paragraph" w:customStyle="1" w:styleId="Definition">
    <w:name w:val="Definition"/>
    <w:aliases w:val="dd"/>
    <w:basedOn w:val="OPCParaBase"/>
    <w:rsid w:val="00A966CA"/>
    <w:pPr>
      <w:spacing w:before="180" w:line="240" w:lineRule="auto"/>
      <w:ind w:left="1134"/>
    </w:pPr>
  </w:style>
  <w:style w:type="paragraph" w:customStyle="1" w:styleId="ETAsubitem">
    <w:name w:val="ETA(subitem)"/>
    <w:basedOn w:val="OPCParaBase"/>
    <w:rsid w:val="00A966CA"/>
    <w:pPr>
      <w:tabs>
        <w:tab w:val="right" w:pos="340"/>
      </w:tabs>
      <w:spacing w:before="60" w:line="240" w:lineRule="auto"/>
      <w:ind w:left="454" w:hanging="454"/>
    </w:pPr>
    <w:rPr>
      <w:sz w:val="20"/>
    </w:rPr>
  </w:style>
  <w:style w:type="paragraph" w:customStyle="1" w:styleId="ETApara">
    <w:name w:val="ETA(para)"/>
    <w:basedOn w:val="OPCParaBase"/>
    <w:rsid w:val="00A966CA"/>
    <w:pPr>
      <w:tabs>
        <w:tab w:val="right" w:pos="754"/>
      </w:tabs>
      <w:spacing w:before="60" w:line="240" w:lineRule="auto"/>
      <w:ind w:left="828" w:hanging="828"/>
    </w:pPr>
    <w:rPr>
      <w:sz w:val="20"/>
    </w:rPr>
  </w:style>
  <w:style w:type="paragraph" w:customStyle="1" w:styleId="ETAsubpara">
    <w:name w:val="ETA(subpara)"/>
    <w:basedOn w:val="OPCParaBase"/>
    <w:rsid w:val="00A966CA"/>
    <w:pPr>
      <w:tabs>
        <w:tab w:val="right" w:pos="1083"/>
      </w:tabs>
      <w:spacing w:before="60" w:line="240" w:lineRule="auto"/>
      <w:ind w:left="1191" w:hanging="1191"/>
    </w:pPr>
    <w:rPr>
      <w:sz w:val="20"/>
    </w:rPr>
  </w:style>
  <w:style w:type="paragraph" w:customStyle="1" w:styleId="ETAsub-subpara">
    <w:name w:val="ETA(sub-subpara)"/>
    <w:basedOn w:val="OPCParaBase"/>
    <w:rsid w:val="00A966CA"/>
    <w:pPr>
      <w:tabs>
        <w:tab w:val="right" w:pos="1412"/>
      </w:tabs>
      <w:spacing w:before="60" w:line="240" w:lineRule="auto"/>
      <w:ind w:left="1525" w:hanging="1525"/>
    </w:pPr>
    <w:rPr>
      <w:sz w:val="20"/>
    </w:rPr>
  </w:style>
  <w:style w:type="paragraph" w:customStyle="1" w:styleId="Formula">
    <w:name w:val="Formula"/>
    <w:basedOn w:val="OPCParaBase"/>
    <w:rsid w:val="00A966CA"/>
    <w:pPr>
      <w:spacing w:line="240" w:lineRule="auto"/>
      <w:ind w:left="1134"/>
    </w:pPr>
    <w:rPr>
      <w:sz w:val="20"/>
    </w:rPr>
  </w:style>
  <w:style w:type="paragraph" w:styleId="Header">
    <w:name w:val="header"/>
    <w:basedOn w:val="OPCParaBase"/>
    <w:link w:val="HeaderChar"/>
    <w:unhideWhenUsed/>
    <w:rsid w:val="00A96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966CA"/>
    <w:rPr>
      <w:rFonts w:eastAsia="Times New Roman" w:cs="Times New Roman"/>
      <w:sz w:val="16"/>
      <w:lang w:eastAsia="en-AU"/>
    </w:rPr>
  </w:style>
  <w:style w:type="paragraph" w:customStyle="1" w:styleId="House">
    <w:name w:val="House"/>
    <w:basedOn w:val="OPCParaBase"/>
    <w:rsid w:val="00A966CA"/>
    <w:pPr>
      <w:spacing w:line="240" w:lineRule="auto"/>
    </w:pPr>
    <w:rPr>
      <w:sz w:val="28"/>
    </w:rPr>
  </w:style>
  <w:style w:type="paragraph" w:customStyle="1" w:styleId="Item">
    <w:name w:val="Item"/>
    <w:aliases w:val="i"/>
    <w:basedOn w:val="OPCParaBase"/>
    <w:next w:val="ItemHead"/>
    <w:rsid w:val="00A966CA"/>
    <w:pPr>
      <w:keepLines/>
      <w:spacing w:before="80" w:line="240" w:lineRule="auto"/>
      <w:ind w:left="709"/>
    </w:pPr>
  </w:style>
  <w:style w:type="paragraph" w:customStyle="1" w:styleId="ItemHead">
    <w:name w:val="ItemHead"/>
    <w:aliases w:val="ih"/>
    <w:basedOn w:val="OPCParaBase"/>
    <w:next w:val="Item"/>
    <w:rsid w:val="00A96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966CA"/>
    <w:pPr>
      <w:spacing w:line="240" w:lineRule="auto"/>
    </w:pPr>
    <w:rPr>
      <w:b/>
      <w:sz w:val="32"/>
    </w:rPr>
  </w:style>
  <w:style w:type="paragraph" w:customStyle="1" w:styleId="notedraft">
    <w:name w:val="note(draft)"/>
    <w:aliases w:val="nd"/>
    <w:basedOn w:val="OPCParaBase"/>
    <w:rsid w:val="00A966CA"/>
    <w:pPr>
      <w:spacing w:before="240" w:line="240" w:lineRule="auto"/>
      <w:ind w:left="284" w:hanging="284"/>
    </w:pPr>
    <w:rPr>
      <w:i/>
      <w:sz w:val="24"/>
    </w:rPr>
  </w:style>
  <w:style w:type="paragraph" w:customStyle="1" w:styleId="notemargin">
    <w:name w:val="note(margin)"/>
    <w:aliases w:val="nm"/>
    <w:basedOn w:val="OPCParaBase"/>
    <w:rsid w:val="00A966CA"/>
    <w:pPr>
      <w:tabs>
        <w:tab w:val="left" w:pos="709"/>
      </w:tabs>
      <w:spacing w:before="122" w:line="198" w:lineRule="exact"/>
      <w:ind w:left="709" w:hanging="709"/>
    </w:pPr>
    <w:rPr>
      <w:sz w:val="18"/>
    </w:rPr>
  </w:style>
  <w:style w:type="paragraph" w:customStyle="1" w:styleId="noteToPara">
    <w:name w:val="noteToPara"/>
    <w:aliases w:val="ntp"/>
    <w:basedOn w:val="OPCParaBase"/>
    <w:rsid w:val="00A966CA"/>
    <w:pPr>
      <w:spacing w:before="122" w:line="198" w:lineRule="exact"/>
      <w:ind w:left="2353" w:hanging="709"/>
    </w:pPr>
    <w:rPr>
      <w:sz w:val="18"/>
    </w:rPr>
  </w:style>
  <w:style w:type="paragraph" w:customStyle="1" w:styleId="noteParlAmend">
    <w:name w:val="note(ParlAmend)"/>
    <w:aliases w:val="npp"/>
    <w:basedOn w:val="OPCParaBase"/>
    <w:next w:val="ParlAmend"/>
    <w:rsid w:val="00A966CA"/>
    <w:pPr>
      <w:spacing w:line="240" w:lineRule="auto"/>
      <w:jc w:val="right"/>
    </w:pPr>
    <w:rPr>
      <w:rFonts w:ascii="Arial" w:hAnsi="Arial"/>
      <w:b/>
      <w:i/>
    </w:rPr>
  </w:style>
  <w:style w:type="paragraph" w:customStyle="1" w:styleId="Page1">
    <w:name w:val="Page1"/>
    <w:basedOn w:val="OPCParaBase"/>
    <w:rsid w:val="00A966CA"/>
    <w:pPr>
      <w:spacing w:before="5600" w:line="240" w:lineRule="auto"/>
    </w:pPr>
    <w:rPr>
      <w:b/>
      <w:sz w:val="32"/>
    </w:rPr>
  </w:style>
  <w:style w:type="paragraph" w:customStyle="1" w:styleId="PageBreak">
    <w:name w:val="PageBreak"/>
    <w:aliases w:val="pb"/>
    <w:basedOn w:val="OPCParaBase"/>
    <w:rsid w:val="00A966CA"/>
    <w:pPr>
      <w:spacing w:line="240" w:lineRule="auto"/>
    </w:pPr>
    <w:rPr>
      <w:sz w:val="20"/>
    </w:rPr>
  </w:style>
  <w:style w:type="paragraph" w:customStyle="1" w:styleId="paragraphsub">
    <w:name w:val="paragraph(sub)"/>
    <w:aliases w:val="aa"/>
    <w:basedOn w:val="OPCParaBase"/>
    <w:rsid w:val="00A966CA"/>
    <w:pPr>
      <w:tabs>
        <w:tab w:val="right" w:pos="1985"/>
      </w:tabs>
      <w:spacing w:before="40" w:line="240" w:lineRule="auto"/>
      <w:ind w:left="2098" w:hanging="2098"/>
    </w:pPr>
  </w:style>
  <w:style w:type="paragraph" w:customStyle="1" w:styleId="paragraphsub-sub">
    <w:name w:val="paragraph(sub-sub)"/>
    <w:aliases w:val="aaa"/>
    <w:basedOn w:val="OPCParaBase"/>
    <w:rsid w:val="00A966CA"/>
    <w:pPr>
      <w:tabs>
        <w:tab w:val="right" w:pos="2722"/>
      </w:tabs>
      <w:spacing w:before="40" w:line="240" w:lineRule="auto"/>
      <w:ind w:left="2835" w:hanging="2835"/>
    </w:pPr>
  </w:style>
  <w:style w:type="paragraph" w:customStyle="1" w:styleId="paragraph">
    <w:name w:val="paragraph"/>
    <w:aliases w:val="a"/>
    <w:basedOn w:val="OPCParaBase"/>
    <w:link w:val="paragraphChar"/>
    <w:rsid w:val="00A966CA"/>
    <w:pPr>
      <w:tabs>
        <w:tab w:val="right" w:pos="1531"/>
      </w:tabs>
      <w:spacing w:before="40" w:line="240" w:lineRule="auto"/>
      <w:ind w:left="1644" w:hanging="1644"/>
    </w:pPr>
  </w:style>
  <w:style w:type="paragraph" w:customStyle="1" w:styleId="ParlAmend">
    <w:name w:val="ParlAmend"/>
    <w:aliases w:val="pp"/>
    <w:basedOn w:val="OPCParaBase"/>
    <w:rsid w:val="00A966CA"/>
    <w:pPr>
      <w:spacing w:before="240" w:line="240" w:lineRule="atLeast"/>
      <w:ind w:hanging="567"/>
    </w:pPr>
    <w:rPr>
      <w:sz w:val="24"/>
    </w:rPr>
  </w:style>
  <w:style w:type="paragraph" w:customStyle="1" w:styleId="Penalty">
    <w:name w:val="Penalty"/>
    <w:basedOn w:val="OPCParaBase"/>
    <w:rsid w:val="00A966CA"/>
    <w:pPr>
      <w:tabs>
        <w:tab w:val="left" w:pos="2977"/>
      </w:tabs>
      <w:spacing w:before="180" w:line="240" w:lineRule="auto"/>
      <w:ind w:left="1985" w:hanging="851"/>
    </w:pPr>
  </w:style>
  <w:style w:type="paragraph" w:customStyle="1" w:styleId="Portfolio">
    <w:name w:val="Portfolio"/>
    <w:basedOn w:val="OPCParaBase"/>
    <w:rsid w:val="00A966CA"/>
    <w:pPr>
      <w:spacing w:line="240" w:lineRule="auto"/>
    </w:pPr>
    <w:rPr>
      <w:i/>
      <w:sz w:val="20"/>
    </w:rPr>
  </w:style>
  <w:style w:type="paragraph" w:customStyle="1" w:styleId="Preamble">
    <w:name w:val="Preamble"/>
    <w:basedOn w:val="OPCParaBase"/>
    <w:next w:val="Normal"/>
    <w:rsid w:val="00A96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966CA"/>
    <w:pPr>
      <w:spacing w:line="240" w:lineRule="auto"/>
    </w:pPr>
    <w:rPr>
      <w:i/>
      <w:sz w:val="20"/>
    </w:rPr>
  </w:style>
  <w:style w:type="paragraph" w:customStyle="1" w:styleId="Session">
    <w:name w:val="Session"/>
    <w:basedOn w:val="OPCParaBase"/>
    <w:rsid w:val="00A966CA"/>
    <w:pPr>
      <w:spacing w:line="240" w:lineRule="auto"/>
    </w:pPr>
    <w:rPr>
      <w:sz w:val="28"/>
    </w:rPr>
  </w:style>
  <w:style w:type="paragraph" w:customStyle="1" w:styleId="Sponsor">
    <w:name w:val="Sponsor"/>
    <w:basedOn w:val="OPCParaBase"/>
    <w:rsid w:val="00A966CA"/>
    <w:pPr>
      <w:spacing w:line="240" w:lineRule="auto"/>
    </w:pPr>
    <w:rPr>
      <w:i/>
    </w:rPr>
  </w:style>
  <w:style w:type="paragraph" w:customStyle="1" w:styleId="Subitem">
    <w:name w:val="Subitem"/>
    <w:aliases w:val="iss"/>
    <w:basedOn w:val="OPCParaBase"/>
    <w:rsid w:val="00A966CA"/>
    <w:pPr>
      <w:spacing w:before="180" w:line="240" w:lineRule="auto"/>
      <w:ind w:left="709" w:hanging="709"/>
    </w:pPr>
  </w:style>
  <w:style w:type="paragraph" w:customStyle="1" w:styleId="SubitemHead">
    <w:name w:val="SubitemHead"/>
    <w:aliases w:val="issh"/>
    <w:basedOn w:val="OPCParaBase"/>
    <w:rsid w:val="00A96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966CA"/>
    <w:pPr>
      <w:spacing w:before="40" w:line="240" w:lineRule="auto"/>
      <w:ind w:left="1134"/>
    </w:pPr>
  </w:style>
  <w:style w:type="paragraph" w:customStyle="1" w:styleId="SubsectionHead">
    <w:name w:val="SubsectionHead"/>
    <w:aliases w:val="ssh"/>
    <w:basedOn w:val="OPCParaBase"/>
    <w:next w:val="subsection"/>
    <w:rsid w:val="00A966CA"/>
    <w:pPr>
      <w:keepNext/>
      <w:keepLines/>
      <w:spacing w:before="240" w:line="240" w:lineRule="auto"/>
      <w:ind w:left="1134"/>
    </w:pPr>
    <w:rPr>
      <w:i/>
    </w:rPr>
  </w:style>
  <w:style w:type="paragraph" w:customStyle="1" w:styleId="Tablea">
    <w:name w:val="Table(a)"/>
    <w:aliases w:val="ta"/>
    <w:basedOn w:val="OPCParaBase"/>
    <w:rsid w:val="00A966CA"/>
    <w:pPr>
      <w:spacing w:before="60" w:line="240" w:lineRule="auto"/>
      <w:ind w:left="284" w:hanging="284"/>
    </w:pPr>
    <w:rPr>
      <w:sz w:val="20"/>
    </w:rPr>
  </w:style>
  <w:style w:type="paragraph" w:customStyle="1" w:styleId="TableAA">
    <w:name w:val="Table(AA)"/>
    <w:aliases w:val="taaa"/>
    <w:basedOn w:val="OPCParaBase"/>
    <w:rsid w:val="00A96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96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966CA"/>
    <w:pPr>
      <w:spacing w:before="60" w:line="240" w:lineRule="atLeast"/>
    </w:pPr>
    <w:rPr>
      <w:sz w:val="20"/>
    </w:rPr>
  </w:style>
  <w:style w:type="paragraph" w:customStyle="1" w:styleId="TLPBoxTextnote">
    <w:name w:val="TLPBoxText(note"/>
    <w:aliases w:val="right)"/>
    <w:basedOn w:val="OPCParaBase"/>
    <w:rsid w:val="00A96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96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966CA"/>
    <w:pPr>
      <w:spacing w:before="122" w:line="198" w:lineRule="exact"/>
      <w:ind w:left="1985" w:hanging="851"/>
      <w:jc w:val="right"/>
    </w:pPr>
    <w:rPr>
      <w:sz w:val="18"/>
    </w:rPr>
  </w:style>
  <w:style w:type="paragraph" w:customStyle="1" w:styleId="TLPTableBullet">
    <w:name w:val="TLPTableBullet"/>
    <w:aliases w:val="ttb"/>
    <w:basedOn w:val="OPCParaBase"/>
    <w:rsid w:val="00A966CA"/>
    <w:pPr>
      <w:spacing w:line="240" w:lineRule="exact"/>
      <w:ind w:left="284" w:hanging="284"/>
    </w:pPr>
    <w:rPr>
      <w:sz w:val="20"/>
    </w:rPr>
  </w:style>
  <w:style w:type="paragraph" w:styleId="TOC1">
    <w:name w:val="toc 1"/>
    <w:basedOn w:val="OPCParaBase"/>
    <w:next w:val="Normal"/>
    <w:uiPriority w:val="39"/>
    <w:semiHidden/>
    <w:unhideWhenUsed/>
    <w:rsid w:val="00A966CA"/>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966CA"/>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966CA"/>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966CA"/>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966C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966C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A966C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966C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966C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966CA"/>
    <w:pPr>
      <w:keepLines/>
      <w:spacing w:before="240" w:after="120" w:line="240" w:lineRule="auto"/>
      <w:ind w:left="794"/>
    </w:pPr>
    <w:rPr>
      <w:b/>
      <w:kern w:val="28"/>
      <w:sz w:val="20"/>
    </w:rPr>
  </w:style>
  <w:style w:type="paragraph" w:customStyle="1" w:styleId="TofSectsHeading">
    <w:name w:val="TofSects(Heading)"/>
    <w:basedOn w:val="OPCParaBase"/>
    <w:rsid w:val="00A966CA"/>
    <w:pPr>
      <w:spacing w:before="240" w:after="120" w:line="240" w:lineRule="auto"/>
    </w:pPr>
    <w:rPr>
      <w:b/>
      <w:sz w:val="24"/>
    </w:rPr>
  </w:style>
  <w:style w:type="paragraph" w:customStyle="1" w:styleId="TofSectsSection">
    <w:name w:val="TofSects(Section)"/>
    <w:basedOn w:val="OPCParaBase"/>
    <w:rsid w:val="00A966CA"/>
    <w:pPr>
      <w:keepLines/>
      <w:spacing w:before="40" w:line="240" w:lineRule="auto"/>
      <w:ind w:left="1588" w:hanging="794"/>
    </w:pPr>
    <w:rPr>
      <w:kern w:val="28"/>
      <w:sz w:val="18"/>
    </w:rPr>
  </w:style>
  <w:style w:type="paragraph" w:customStyle="1" w:styleId="TofSectsSubdiv">
    <w:name w:val="TofSects(Subdiv)"/>
    <w:basedOn w:val="OPCParaBase"/>
    <w:rsid w:val="00A966CA"/>
    <w:pPr>
      <w:keepLines/>
      <w:spacing w:before="80" w:line="240" w:lineRule="auto"/>
      <w:ind w:left="1588" w:hanging="794"/>
    </w:pPr>
    <w:rPr>
      <w:kern w:val="28"/>
    </w:rPr>
  </w:style>
  <w:style w:type="paragraph" w:customStyle="1" w:styleId="WRStyle">
    <w:name w:val="WR Style"/>
    <w:aliases w:val="WR"/>
    <w:basedOn w:val="OPCParaBase"/>
    <w:rsid w:val="00A966CA"/>
    <w:pPr>
      <w:spacing w:before="240" w:line="240" w:lineRule="auto"/>
      <w:ind w:left="284" w:hanging="284"/>
    </w:pPr>
    <w:rPr>
      <w:b/>
      <w:i/>
      <w:kern w:val="28"/>
      <w:sz w:val="24"/>
    </w:rPr>
  </w:style>
  <w:style w:type="paragraph" w:customStyle="1" w:styleId="notepara">
    <w:name w:val="note(para)"/>
    <w:aliases w:val="na"/>
    <w:basedOn w:val="OPCParaBase"/>
    <w:rsid w:val="00A966CA"/>
    <w:pPr>
      <w:spacing w:before="40" w:line="198" w:lineRule="exact"/>
      <w:ind w:left="2354" w:hanging="369"/>
    </w:pPr>
    <w:rPr>
      <w:sz w:val="18"/>
    </w:rPr>
  </w:style>
  <w:style w:type="paragraph" w:styleId="Footer">
    <w:name w:val="footer"/>
    <w:link w:val="FooterChar"/>
    <w:rsid w:val="00A966C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966CA"/>
    <w:rPr>
      <w:rFonts w:eastAsia="Times New Roman" w:cs="Times New Roman"/>
      <w:sz w:val="22"/>
      <w:szCs w:val="24"/>
      <w:lang w:eastAsia="en-AU"/>
    </w:rPr>
  </w:style>
  <w:style w:type="character" w:styleId="LineNumber">
    <w:name w:val="line number"/>
    <w:basedOn w:val="OPCCharBase"/>
    <w:uiPriority w:val="99"/>
    <w:semiHidden/>
    <w:unhideWhenUsed/>
    <w:rsid w:val="00A966CA"/>
    <w:rPr>
      <w:sz w:val="16"/>
    </w:rPr>
  </w:style>
  <w:style w:type="table" w:customStyle="1" w:styleId="CFlag">
    <w:name w:val="CFlag"/>
    <w:basedOn w:val="TableNormal"/>
    <w:uiPriority w:val="99"/>
    <w:rsid w:val="00A966CA"/>
    <w:rPr>
      <w:rFonts w:eastAsia="Times New Roman" w:cs="Times New Roman"/>
      <w:lang w:eastAsia="en-AU"/>
    </w:rPr>
    <w:tblPr/>
  </w:style>
  <w:style w:type="paragraph" w:customStyle="1" w:styleId="NotesHeading1">
    <w:name w:val="NotesHeading 1"/>
    <w:basedOn w:val="OPCParaBase"/>
    <w:next w:val="Normal"/>
    <w:rsid w:val="00A966CA"/>
    <w:rPr>
      <w:b/>
      <w:sz w:val="28"/>
      <w:szCs w:val="28"/>
    </w:rPr>
  </w:style>
  <w:style w:type="paragraph" w:customStyle="1" w:styleId="NotesHeading2">
    <w:name w:val="NotesHeading 2"/>
    <w:basedOn w:val="OPCParaBase"/>
    <w:next w:val="Normal"/>
    <w:rsid w:val="00A966CA"/>
    <w:rPr>
      <w:b/>
      <w:sz w:val="28"/>
      <w:szCs w:val="28"/>
    </w:rPr>
  </w:style>
  <w:style w:type="paragraph" w:customStyle="1" w:styleId="SignCoverPageEnd">
    <w:name w:val="SignCoverPageEnd"/>
    <w:basedOn w:val="OPCParaBase"/>
    <w:next w:val="Normal"/>
    <w:rsid w:val="00A966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966CA"/>
    <w:pPr>
      <w:pBdr>
        <w:top w:val="single" w:sz="4" w:space="1" w:color="auto"/>
      </w:pBdr>
      <w:spacing w:before="360"/>
      <w:ind w:right="397"/>
      <w:jc w:val="both"/>
    </w:pPr>
  </w:style>
  <w:style w:type="paragraph" w:customStyle="1" w:styleId="Paragraphsub-sub-sub">
    <w:name w:val="Paragraph(sub-sub-sub)"/>
    <w:aliases w:val="aaaa"/>
    <w:basedOn w:val="OPCParaBase"/>
    <w:rsid w:val="00A966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96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96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96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966CA"/>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966CA"/>
    <w:pPr>
      <w:spacing w:before="120"/>
    </w:pPr>
  </w:style>
  <w:style w:type="paragraph" w:customStyle="1" w:styleId="TableTextEndNotes">
    <w:name w:val="TableTextEndNotes"/>
    <w:aliases w:val="Tten"/>
    <w:basedOn w:val="Normal"/>
    <w:rsid w:val="00A966CA"/>
    <w:pPr>
      <w:spacing w:before="60" w:line="240" w:lineRule="auto"/>
    </w:pPr>
    <w:rPr>
      <w:rFonts w:cs="Arial"/>
      <w:sz w:val="20"/>
      <w:szCs w:val="22"/>
    </w:rPr>
  </w:style>
  <w:style w:type="paragraph" w:customStyle="1" w:styleId="TableHeading">
    <w:name w:val="TableHeading"/>
    <w:aliases w:val="th"/>
    <w:basedOn w:val="OPCParaBase"/>
    <w:next w:val="Tabletext"/>
    <w:rsid w:val="00A966CA"/>
    <w:pPr>
      <w:keepNext/>
      <w:spacing w:before="60" w:line="240" w:lineRule="atLeast"/>
    </w:pPr>
    <w:rPr>
      <w:b/>
      <w:sz w:val="20"/>
    </w:rPr>
  </w:style>
  <w:style w:type="paragraph" w:customStyle="1" w:styleId="NoteToSubpara">
    <w:name w:val="NoteToSubpara"/>
    <w:aliases w:val="nts"/>
    <w:basedOn w:val="OPCParaBase"/>
    <w:rsid w:val="00A966CA"/>
    <w:pPr>
      <w:spacing w:before="40" w:line="198" w:lineRule="exact"/>
      <w:ind w:left="2835" w:hanging="709"/>
    </w:pPr>
    <w:rPr>
      <w:sz w:val="18"/>
    </w:rPr>
  </w:style>
  <w:style w:type="paragraph" w:customStyle="1" w:styleId="ENoteTableHeading">
    <w:name w:val="ENoteTableHeading"/>
    <w:aliases w:val="enth"/>
    <w:basedOn w:val="OPCParaBase"/>
    <w:rsid w:val="00A966CA"/>
    <w:pPr>
      <w:keepNext/>
      <w:spacing w:before="60" w:line="240" w:lineRule="atLeast"/>
    </w:pPr>
    <w:rPr>
      <w:rFonts w:ascii="Arial" w:hAnsi="Arial"/>
      <w:b/>
      <w:sz w:val="16"/>
    </w:rPr>
  </w:style>
  <w:style w:type="paragraph" w:customStyle="1" w:styleId="ENoteTTi">
    <w:name w:val="ENoteTTi"/>
    <w:aliases w:val="entti"/>
    <w:basedOn w:val="OPCParaBase"/>
    <w:rsid w:val="00A966CA"/>
    <w:pPr>
      <w:keepNext/>
      <w:spacing w:before="60" w:line="240" w:lineRule="atLeast"/>
      <w:ind w:left="170"/>
    </w:pPr>
    <w:rPr>
      <w:sz w:val="16"/>
    </w:rPr>
  </w:style>
  <w:style w:type="paragraph" w:customStyle="1" w:styleId="ENotesHeading1">
    <w:name w:val="ENotesHeading 1"/>
    <w:aliases w:val="Enh1"/>
    <w:basedOn w:val="OPCParaBase"/>
    <w:next w:val="Normal"/>
    <w:rsid w:val="00A966CA"/>
    <w:pPr>
      <w:spacing w:before="120"/>
      <w:outlineLvl w:val="1"/>
    </w:pPr>
    <w:rPr>
      <w:b/>
      <w:sz w:val="28"/>
      <w:szCs w:val="28"/>
    </w:rPr>
  </w:style>
  <w:style w:type="paragraph" w:customStyle="1" w:styleId="ENotesHeading2">
    <w:name w:val="ENotesHeading 2"/>
    <w:aliases w:val="Enh2"/>
    <w:basedOn w:val="OPCParaBase"/>
    <w:next w:val="Normal"/>
    <w:rsid w:val="00A966CA"/>
    <w:pPr>
      <w:spacing w:before="120" w:after="120"/>
      <w:outlineLvl w:val="2"/>
    </w:pPr>
    <w:rPr>
      <w:b/>
      <w:sz w:val="24"/>
      <w:szCs w:val="28"/>
    </w:rPr>
  </w:style>
  <w:style w:type="paragraph" w:customStyle="1" w:styleId="ENoteTTIndentHeading">
    <w:name w:val="ENoteTTIndentHeading"/>
    <w:aliases w:val="enTTHi"/>
    <w:basedOn w:val="OPCParaBase"/>
    <w:rsid w:val="00A96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966CA"/>
    <w:pPr>
      <w:spacing w:before="60" w:line="240" w:lineRule="atLeast"/>
    </w:pPr>
    <w:rPr>
      <w:sz w:val="16"/>
    </w:rPr>
  </w:style>
  <w:style w:type="paragraph" w:customStyle="1" w:styleId="MadeunderText">
    <w:name w:val="MadeunderText"/>
    <w:basedOn w:val="OPCParaBase"/>
    <w:next w:val="Normal"/>
    <w:rsid w:val="00A966CA"/>
    <w:pPr>
      <w:spacing w:before="240"/>
    </w:pPr>
    <w:rPr>
      <w:sz w:val="24"/>
      <w:szCs w:val="24"/>
    </w:rPr>
  </w:style>
  <w:style w:type="paragraph" w:customStyle="1" w:styleId="ENotesHeading3">
    <w:name w:val="ENotesHeading 3"/>
    <w:aliases w:val="Enh3"/>
    <w:basedOn w:val="OPCParaBase"/>
    <w:next w:val="Normal"/>
    <w:rsid w:val="00A966CA"/>
    <w:pPr>
      <w:keepNext/>
      <w:spacing w:before="120" w:line="240" w:lineRule="auto"/>
      <w:outlineLvl w:val="4"/>
    </w:pPr>
    <w:rPr>
      <w:b/>
      <w:szCs w:val="24"/>
    </w:rPr>
  </w:style>
  <w:style w:type="paragraph" w:customStyle="1" w:styleId="SubPartCASA">
    <w:name w:val="SubPart(CASA)"/>
    <w:aliases w:val="csp"/>
    <w:basedOn w:val="OPCParaBase"/>
    <w:next w:val="ActHead3"/>
    <w:rsid w:val="00A966CA"/>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966CA"/>
  </w:style>
  <w:style w:type="character" w:customStyle="1" w:styleId="CharSubPartNoCASA">
    <w:name w:val="CharSubPartNo(CASA)"/>
    <w:basedOn w:val="OPCCharBase"/>
    <w:uiPriority w:val="1"/>
    <w:rsid w:val="00A966CA"/>
  </w:style>
  <w:style w:type="paragraph" w:customStyle="1" w:styleId="ENoteTTIndentHeadingSub">
    <w:name w:val="ENoteTTIndentHeadingSub"/>
    <w:aliases w:val="enTTHis"/>
    <w:basedOn w:val="OPCParaBase"/>
    <w:rsid w:val="00A966CA"/>
    <w:pPr>
      <w:keepNext/>
      <w:spacing w:before="60" w:line="240" w:lineRule="atLeast"/>
      <w:ind w:left="340"/>
    </w:pPr>
    <w:rPr>
      <w:b/>
      <w:sz w:val="16"/>
    </w:rPr>
  </w:style>
  <w:style w:type="paragraph" w:customStyle="1" w:styleId="ENoteTTiSub">
    <w:name w:val="ENoteTTiSub"/>
    <w:aliases w:val="enttis"/>
    <w:basedOn w:val="OPCParaBase"/>
    <w:rsid w:val="00A966CA"/>
    <w:pPr>
      <w:keepNext/>
      <w:spacing w:before="60" w:line="240" w:lineRule="atLeast"/>
      <w:ind w:left="340"/>
    </w:pPr>
    <w:rPr>
      <w:sz w:val="16"/>
    </w:rPr>
  </w:style>
  <w:style w:type="paragraph" w:customStyle="1" w:styleId="SubDivisionMigration">
    <w:name w:val="SubDivisionMigration"/>
    <w:aliases w:val="sdm"/>
    <w:basedOn w:val="OPCParaBase"/>
    <w:rsid w:val="00A96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966CA"/>
    <w:pPr>
      <w:keepNext/>
      <w:keepLines/>
      <w:spacing w:before="240" w:line="240" w:lineRule="auto"/>
      <w:ind w:left="1134" w:hanging="1134"/>
    </w:pPr>
    <w:rPr>
      <w:b/>
      <w:sz w:val="28"/>
    </w:rPr>
  </w:style>
  <w:style w:type="table" w:styleId="TableGrid">
    <w:name w:val="Table Grid"/>
    <w:basedOn w:val="TableNormal"/>
    <w:uiPriority w:val="59"/>
    <w:rsid w:val="00A9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966CA"/>
    <w:pPr>
      <w:spacing w:before="122" w:line="240" w:lineRule="auto"/>
      <w:ind w:left="1985" w:hanging="851"/>
    </w:pPr>
    <w:rPr>
      <w:sz w:val="18"/>
    </w:rPr>
  </w:style>
  <w:style w:type="paragraph" w:customStyle="1" w:styleId="FreeForm">
    <w:name w:val="FreeForm"/>
    <w:rsid w:val="00A966CA"/>
    <w:rPr>
      <w:rFonts w:ascii="Arial" w:hAnsi="Arial"/>
      <w:sz w:val="22"/>
    </w:rPr>
  </w:style>
  <w:style w:type="paragraph" w:customStyle="1" w:styleId="SOText">
    <w:name w:val="SO Text"/>
    <w:aliases w:val="sot"/>
    <w:link w:val="SOTextChar"/>
    <w:rsid w:val="00A966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966CA"/>
    <w:rPr>
      <w:sz w:val="22"/>
    </w:rPr>
  </w:style>
  <w:style w:type="paragraph" w:customStyle="1" w:styleId="SOTextNote">
    <w:name w:val="SO TextNote"/>
    <w:aliases w:val="sont"/>
    <w:basedOn w:val="SOText"/>
    <w:qFormat/>
    <w:rsid w:val="00A966CA"/>
    <w:pPr>
      <w:spacing w:before="122" w:line="198" w:lineRule="exact"/>
      <w:ind w:left="1843" w:hanging="709"/>
    </w:pPr>
    <w:rPr>
      <w:sz w:val="18"/>
    </w:rPr>
  </w:style>
  <w:style w:type="paragraph" w:customStyle="1" w:styleId="SOPara">
    <w:name w:val="SO Para"/>
    <w:aliases w:val="soa"/>
    <w:basedOn w:val="SOText"/>
    <w:link w:val="SOParaChar"/>
    <w:qFormat/>
    <w:rsid w:val="00A966CA"/>
    <w:pPr>
      <w:tabs>
        <w:tab w:val="right" w:pos="1786"/>
      </w:tabs>
      <w:spacing w:before="40"/>
      <w:ind w:left="2070" w:hanging="936"/>
    </w:pPr>
  </w:style>
  <w:style w:type="character" w:customStyle="1" w:styleId="SOParaChar">
    <w:name w:val="SO Para Char"/>
    <w:aliases w:val="soa Char"/>
    <w:basedOn w:val="DefaultParagraphFont"/>
    <w:link w:val="SOPara"/>
    <w:rsid w:val="00A966CA"/>
    <w:rPr>
      <w:sz w:val="22"/>
    </w:rPr>
  </w:style>
  <w:style w:type="paragraph" w:customStyle="1" w:styleId="FileName">
    <w:name w:val="FileName"/>
    <w:basedOn w:val="Normal"/>
    <w:rsid w:val="00A966CA"/>
  </w:style>
  <w:style w:type="paragraph" w:customStyle="1" w:styleId="SOHeadBold">
    <w:name w:val="SO HeadBold"/>
    <w:aliases w:val="sohb"/>
    <w:basedOn w:val="SOText"/>
    <w:next w:val="SOText"/>
    <w:link w:val="SOHeadBoldChar"/>
    <w:qFormat/>
    <w:rsid w:val="00A966CA"/>
    <w:rPr>
      <w:b/>
    </w:rPr>
  </w:style>
  <w:style w:type="character" w:customStyle="1" w:styleId="SOHeadBoldChar">
    <w:name w:val="SO HeadBold Char"/>
    <w:aliases w:val="sohb Char"/>
    <w:basedOn w:val="DefaultParagraphFont"/>
    <w:link w:val="SOHeadBold"/>
    <w:rsid w:val="00A966CA"/>
    <w:rPr>
      <w:b/>
      <w:sz w:val="22"/>
    </w:rPr>
  </w:style>
  <w:style w:type="paragraph" w:customStyle="1" w:styleId="SOHeadItalic">
    <w:name w:val="SO HeadItalic"/>
    <w:aliases w:val="sohi"/>
    <w:basedOn w:val="SOText"/>
    <w:next w:val="SOText"/>
    <w:link w:val="SOHeadItalicChar"/>
    <w:qFormat/>
    <w:rsid w:val="00A966CA"/>
    <w:rPr>
      <w:i/>
    </w:rPr>
  </w:style>
  <w:style w:type="character" w:customStyle="1" w:styleId="SOHeadItalicChar">
    <w:name w:val="SO HeadItalic Char"/>
    <w:aliases w:val="sohi Char"/>
    <w:basedOn w:val="DefaultParagraphFont"/>
    <w:link w:val="SOHeadItalic"/>
    <w:rsid w:val="00A966CA"/>
    <w:rPr>
      <w:i/>
      <w:sz w:val="22"/>
    </w:rPr>
  </w:style>
  <w:style w:type="paragraph" w:customStyle="1" w:styleId="SOBullet">
    <w:name w:val="SO Bullet"/>
    <w:aliases w:val="sotb"/>
    <w:basedOn w:val="SOText"/>
    <w:link w:val="SOBulletChar"/>
    <w:qFormat/>
    <w:rsid w:val="00A966CA"/>
    <w:pPr>
      <w:ind w:left="1559" w:hanging="425"/>
    </w:pPr>
  </w:style>
  <w:style w:type="character" w:customStyle="1" w:styleId="SOBulletChar">
    <w:name w:val="SO Bullet Char"/>
    <w:aliases w:val="sotb Char"/>
    <w:basedOn w:val="DefaultParagraphFont"/>
    <w:link w:val="SOBullet"/>
    <w:rsid w:val="00A966CA"/>
    <w:rPr>
      <w:sz w:val="22"/>
    </w:rPr>
  </w:style>
  <w:style w:type="paragraph" w:customStyle="1" w:styleId="SOBulletNote">
    <w:name w:val="SO BulletNote"/>
    <w:aliases w:val="sonb"/>
    <w:basedOn w:val="SOTextNote"/>
    <w:link w:val="SOBulletNoteChar"/>
    <w:qFormat/>
    <w:rsid w:val="00A966CA"/>
    <w:pPr>
      <w:tabs>
        <w:tab w:val="left" w:pos="1560"/>
      </w:tabs>
      <w:ind w:left="2268" w:hanging="1134"/>
    </w:pPr>
  </w:style>
  <w:style w:type="character" w:customStyle="1" w:styleId="SOBulletNoteChar">
    <w:name w:val="SO BulletNote Char"/>
    <w:aliases w:val="sonb Char"/>
    <w:basedOn w:val="DefaultParagraphFont"/>
    <w:link w:val="SOBulletNote"/>
    <w:rsid w:val="00A966CA"/>
    <w:rPr>
      <w:sz w:val="18"/>
    </w:rPr>
  </w:style>
  <w:style w:type="paragraph" w:customStyle="1" w:styleId="SOText2">
    <w:name w:val="SO Text2"/>
    <w:aliases w:val="sot2"/>
    <w:basedOn w:val="Normal"/>
    <w:next w:val="SOText"/>
    <w:link w:val="SOText2Char"/>
    <w:rsid w:val="00A96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966CA"/>
    <w:rPr>
      <w:sz w:val="22"/>
    </w:rPr>
  </w:style>
  <w:style w:type="paragraph" w:customStyle="1" w:styleId="Transitional">
    <w:name w:val="Transitional"/>
    <w:aliases w:val="tr"/>
    <w:basedOn w:val="ItemHead"/>
    <w:next w:val="Item"/>
    <w:rsid w:val="00A966CA"/>
  </w:style>
  <w:style w:type="character" w:customStyle="1" w:styleId="Heading1Char">
    <w:name w:val="Heading 1 Char"/>
    <w:basedOn w:val="DefaultParagraphFont"/>
    <w:link w:val="Heading1"/>
    <w:uiPriority w:val="9"/>
    <w:rsid w:val="00B359D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359D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359D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359D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359D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359D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359D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359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359D5"/>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E3608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081"/>
    <w:rPr>
      <w:rFonts w:ascii="Tahoma" w:hAnsi="Tahoma" w:cs="Tahoma"/>
      <w:sz w:val="16"/>
      <w:szCs w:val="16"/>
    </w:rPr>
  </w:style>
  <w:style w:type="character" w:styleId="Hyperlink">
    <w:name w:val="Hyperlink"/>
    <w:basedOn w:val="DefaultParagraphFont"/>
    <w:uiPriority w:val="99"/>
    <w:semiHidden/>
    <w:unhideWhenUsed/>
    <w:rsid w:val="00EF7AB0"/>
    <w:rPr>
      <w:color w:val="0000FF" w:themeColor="hyperlink"/>
      <w:u w:val="single"/>
    </w:rPr>
  </w:style>
  <w:style w:type="character" w:styleId="FollowedHyperlink">
    <w:name w:val="FollowedHyperlink"/>
    <w:basedOn w:val="DefaultParagraphFont"/>
    <w:uiPriority w:val="99"/>
    <w:semiHidden/>
    <w:unhideWhenUsed/>
    <w:rsid w:val="00EF7AB0"/>
    <w:rPr>
      <w:color w:val="0000FF" w:themeColor="hyperlink"/>
      <w:u w:val="single"/>
    </w:rPr>
  </w:style>
  <w:style w:type="character" w:customStyle="1" w:styleId="subsectionChar">
    <w:name w:val="subsection Char"/>
    <w:aliases w:val="ss Char"/>
    <w:basedOn w:val="DefaultParagraphFont"/>
    <w:link w:val="subsection"/>
    <w:locked/>
    <w:rsid w:val="004221BA"/>
    <w:rPr>
      <w:rFonts w:eastAsia="Times New Roman" w:cs="Times New Roman"/>
      <w:sz w:val="22"/>
      <w:lang w:eastAsia="en-AU"/>
    </w:rPr>
  </w:style>
  <w:style w:type="character" w:customStyle="1" w:styleId="ActHead5Char">
    <w:name w:val="ActHead 5 Char"/>
    <w:aliases w:val="s Char"/>
    <w:link w:val="ActHead5"/>
    <w:locked/>
    <w:rsid w:val="00EC7D8E"/>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EC7D8E"/>
    <w:rPr>
      <w:rFonts w:eastAsia="Times New Roman" w:cs="Times New Roman"/>
      <w:sz w:val="18"/>
      <w:lang w:eastAsia="en-AU"/>
    </w:rPr>
  </w:style>
  <w:style w:type="character" w:customStyle="1" w:styleId="paragraphChar">
    <w:name w:val="paragraph Char"/>
    <w:aliases w:val="a Char"/>
    <w:link w:val="paragraph"/>
    <w:rsid w:val="00EC7D8E"/>
    <w:rPr>
      <w:rFonts w:eastAsia="Times New Roman" w:cs="Times New Roman"/>
      <w:sz w:val="22"/>
      <w:lang w:eastAsia="en-AU"/>
    </w:rPr>
  </w:style>
  <w:style w:type="paragraph" w:customStyle="1" w:styleId="ClerkBlock">
    <w:name w:val="ClerkBlock"/>
    <w:basedOn w:val="Normal"/>
    <w:rsid w:val="00A966CA"/>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ED427F"/>
    <w:pPr>
      <w:spacing w:before="800"/>
    </w:pPr>
  </w:style>
  <w:style w:type="character" w:customStyle="1" w:styleId="ShortTP1Char">
    <w:name w:val="ShortTP1 Char"/>
    <w:basedOn w:val="DefaultParagraphFont"/>
    <w:link w:val="ShortTP1"/>
    <w:rsid w:val="00ED427F"/>
    <w:rPr>
      <w:rFonts w:eastAsia="Times New Roman" w:cs="Times New Roman"/>
      <w:b/>
      <w:sz w:val="40"/>
      <w:lang w:eastAsia="en-AU"/>
    </w:rPr>
  </w:style>
  <w:style w:type="paragraph" w:customStyle="1" w:styleId="ActNoP1">
    <w:name w:val="ActNoP1"/>
    <w:basedOn w:val="Actno"/>
    <w:link w:val="ActNoP1Char"/>
    <w:rsid w:val="00ED427F"/>
    <w:pPr>
      <w:spacing w:before="800"/>
    </w:pPr>
    <w:rPr>
      <w:sz w:val="28"/>
    </w:rPr>
  </w:style>
  <w:style w:type="character" w:customStyle="1" w:styleId="ActNoP1Char">
    <w:name w:val="ActNoP1 Char"/>
    <w:basedOn w:val="DefaultParagraphFont"/>
    <w:link w:val="ActNoP1"/>
    <w:rsid w:val="00ED427F"/>
    <w:rPr>
      <w:rFonts w:eastAsia="Times New Roman" w:cs="Times New Roman"/>
      <w:b/>
      <w:sz w:val="28"/>
      <w:lang w:eastAsia="en-AU"/>
    </w:rPr>
  </w:style>
  <w:style w:type="paragraph" w:customStyle="1" w:styleId="AssentBk">
    <w:name w:val="AssentBk"/>
    <w:basedOn w:val="Normal"/>
    <w:rsid w:val="00ED427F"/>
    <w:pPr>
      <w:spacing w:line="240" w:lineRule="auto"/>
    </w:pPr>
    <w:rPr>
      <w:rFonts w:eastAsia="Times New Roman" w:cs="Times New Roman"/>
      <w:sz w:val="20"/>
      <w:lang w:eastAsia="en-AU"/>
    </w:rPr>
  </w:style>
  <w:style w:type="paragraph" w:customStyle="1" w:styleId="AssentDt">
    <w:name w:val="AssentDt"/>
    <w:basedOn w:val="Normal"/>
    <w:rsid w:val="00100956"/>
    <w:pPr>
      <w:spacing w:line="240" w:lineRule="auto"/>
    </w:pPr>
    <w:rPr>
      <w:rFonts w:eastAsia="Times New Roman" w:cs="Times New Roman"/>
      <w:sz w:val="20"/>
      <w:lang w:eastAsia="en-AU"/>
    </w:rPr>
  </w:style>
  <w:style w:type="paragraph" w:customStyle="1" w:styleId="2ndRd">
    <w:name w:val="2ndRd"/>
    <w:basedOn w:val="Normal"/>
    <w:rsid w:val="00100956"/>
    <w:pPr>
      <w:spacing w:line="240" w:lineRule="auto"/>
    </w:pPr>
    <w:rPr>
      <w:rFonts w:eastAsia="Times New Roman" w:cs="Times New Roman"/>
      <w:sz w:val="20"/>
      <w:lang w:eastAsia="en-AU"/>
    </w:rPr>
  </w:style>
  <w:style w:type="paragraph" w:customStyle="1" w:styleId="ScalePlusRef">
    <w:name w:val="ScalePlusRef"/>
    <w:basedOn w:val="Normal"/>
    <w:rsid w:val="0010095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EAF0D-63E2-4CDF-9BCC-FCE93D4B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11</Pages>
  <Words>1329</Words>
  <Characters>6556</Characters>
  <Application>Microsoft Office Word</Application>
  <DocSecurity>0</DocSecurity>
  <PresentationFormat/>
  <Lines>546</Lines>
  <Paragraphs>238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2020-09-01T00:45:00Z</cp:lastPrinted>
  <dcterms:created xsi:type="dcterms:W3CDTF">2022-04-04T06:47:00Z</dcterms:created>
  <dcterms:modified xsi:type="dcterms:W3CDTF">2022-04-04T07:06:00Z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Data Availability and Transparency (Consequential Amendments) Act 2022</vt:lpwstr>
  </property>
  <property fmtid="{D5CDD505-2E9C-101B-9397-08002B2CF9AE}" pid="5" name="ActNo">
    <vt:lpwstr>No. 12, 2022</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OPC7574</vt:lpwstr>
  </property>
  <property fmtid="{D5CDD505-2E9C-101B-9397-08002B2CF9AE}" pid="10" name="MSIP_Label_234ea0fa-41da-4eb0-b95e-07c328641c0b_Enabled">
    <vt:lpwstr>true</vt:lpwstr>
  </property>
  <property fmtid="{D5CDD505-2E9C-101B-9397-08002B2CF9AE}" pid="11" name="MSIP_Label_234ea0fa-41da-4eb0-b95e-07c328641c0b_SetDate">
    <vt:lpwstr>2022-02-09T03:20:32Z</vt:lpwstr>
  </property>
  <property fmtid="{D5CDD505-2E9C-101B-9397-08002B2CF9AE}" pid="12" name="MSIP_Label_234ea0fa-41da-4eb0-b95e-07c328641c0b_Method">
    <vt:lpwstr>Privileged</vt:lpwstr>
  </property>
  <property fmtid="{D5CDD505-2E9C-101B-9397-08002B2CF9AE}" pid="13" name="MSIP_Label_234ea0fa-41da-4eb0-b95e-07c328641c0b_Name">
    <vt:lpwstr>BLANK</vt:lpwstr>
  </property>
  <property fmtid="{D5CDD505-2E9C-101B-9397-08002B2CF9AE}" pid="14" name="MSIP_Label_234ea0fa-41da-4eb0-b95e-07c328641c0b_SiteId">
    <vt:lpwstr>f6214c15-3a99-47d1-b862-c9648e927316</vt:lpwstr>
  </property>
  <property fmtid="{D5CDD505-2E9C-101B-9397-08002B2CF9AE}" pid="15" name="MSIP_Label_234ea0fa-41da-4eb0-b95e-07c328641c0b_ActionId">
    <vt:lpwstr>ddc7e255-91aa-4fa2-be17-66786dd4cb23</vt:lpwstr>
  </property>
  <property fmtid="{D5CDD505-2E9C-101B-9397-08002B2CF9AE}" pid="16" name="MSIP_Label_234ea0fa-41da-4eb0-b95e-07c328641c0b_ContentBits">
    <vt:lpwstr>0</vt:lpwstr>
  </property>
</Properties>
</file>