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B39AC" w14:textId="57811D10" w:rsidR="00AC4D0F" w:rsidRDefault="00AC4D0F" w:rsidP="00AC4D0F">
      <w:r>
        <w:object w:dxaOrig="2146" w:dyaOrig="1561" w14:anchorId="3F0CF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75pt" o:ole="" fillcolor="window">
            <v:imagedata r:id="rId8" o:title=""/>
          </v:shape>
          <o:OLEObject Type="Embed" ProgID="Word.Picture.8" ShapeID="_x0000_i1026" DrawAspect="Content" ObjectID="_1710659847" r:id="rId9"/>
        </w:object>
      </w:r>
    </w:p>
    <w:p w14:paraId="14E15EA4" w14:textId="77777777" w:rsidR="00AC4D0F" w:rsidRDefault="00AC4D0F" w:rsidP="00AC4D0F"/>
    <w:p w14:paraId="2DFB107D" w14:textId="77777777" w:rsidR="00AC4D0F" w:rsidRDefault="00AC4D0F" w:rsidP="00AC4D0F"/>
    <w:p w14:paraId="69737444" w14:textId="77777777" w:rsidR="00AC4D0F" w:rsidRDefault="00AC4D0F" w:rsidP="00AC4D0F"/>
    <w:p w14:paraId="113E6F4D" w14:textId="77777777" w:rsidR="00AC4D0F" w:rsidRDefault="00AC4D0F" w:rsidP="00AC4D0F"/>
    <w:p w14:paraId="3E865E76" w14:textId="77777777" w:rsidR="00AC4D0F" w:rsidRDefault="00AC4D0F" w:rsidP="00AC4D0F"/>
    <w:p w14:paraId="20E8B951" w14:textId="77777777" w:rsidR="00AC4D0F" w:rsidRDefault="00AC4D0F" w:rsidP="00AC4D0F"/>
    <w:p w14:paraId="38C7609F" w14:textId="6DD38044" w:rsidR="00C062F4" w:rsidRDefault="00AC4D0F" w:rsidP="00C062F4">
      <w:pPr>
        <w:pStyle w:val="ShortT"/>
      </w:pPr>
      <w:r>
        <w:t>Offshore Petroleum (Laminaria and Corallina Decommissioning Cost Recovery Levy) Act 2022</w:t>
      </w:r>
    </w:p>
    <w:p w14:paraId="1977444A" w14:textId="7A736A71" w:rsidR="00715914" w:rsidRPr="00674DAF" w:rsidRDefault="00715914" w:rsidP="00715914"/>
    <w:p w14:paraId="345C1BDC" w14:textId="4724B0BB" w:rsidR="00C062F4" w:rsidRDefault="00C062F4" w:rsidP="00AC4D0F">
      <w:pPr>
        <w:pStyle w:val="Actno"/>
        <w:spacing w:before="400"/>
      </w:pPr>
      <w:r>
        <w:t>No.</w:t>
      </w:r>
      <w:r w:rsidR="00482CFA">
        <w:t xml:space="preserve"> 18</w:t>
      </w:r>
      <w:r>
        <w:t>, 2022</w:t>
      </w:r>
    </w:p>
    <w:p w14:paraId="450604E7" w14:textId="26E4D8C1" w:rsidR="00715914" w:rsidRPr="00674DAF" w:rsidRDefault="00715914" w:rsidP="00715914"/>
    <w:p w14:paraId="27F93CE2" w14:textId="77777777" w:rsidR="00C062F4" w:rsidRDefault="00C062F4" w:rsidP="00C062F4">
      <w:pPr>
        <w:rPr>
          <w:lang w:eastAsia="en-AU"/>
        </w:rPr>
      </w:pPr>
    </w:p>
    <w:p w14:paraId="2346DF9A" w14:textId="03D1F038" w:rsidR="00990ED3" w:rsidRPr="00674DAF" w:rsidRDefault="00990ED3" w:rsidP="00715914"/>
    <w:p w14:paraId="70FCE23F" w14:textId="77777777" w:rsidR="00990ED3" w:rsidRPr="00674DAF" w:rsidRDefault="00990ED3" w:rsidP="00715914"/>
    <w:p w14:paraId="308079C8" w14:textId="77777777" w:rsidR="00990ED3" w:rsidRPr="00674DAF" w:rsidRDefault="00990ED3" w:rsidP="00715914"/>
    <w:p w14:paraId="7CF5E90A" w14:textId="77777777" w:rsidR="00AC4D0F" w:rsidRDefault="00AC4D0F" w:rsidP="00AC4D0F">
      <w:pPr>
        <w:pStyle w:val="LongT"/>
      </w:pPr>
      <w:r>
        <w:t>An Act to impose a levy on registered holders of petroleum production licences, and for related purposes</w:t>
      </w:r>
    </w:p>
    <w:p w14:paraId="09113031" w14:textId="09E6F948" w:rsidR="00715914" w:rsidRPr="005B1182" w:rsidRDefault="00715914" w:rsidP="00715914">
      <w:pPr>
        <w:pStyle w:val="Header"/>
        <w:tabs>
          <w:tab w:val="clear" w:pos="4150"/>
          <w:tab w:val="clear" w:pos="8307"/>
        </w:tabs>
      </w:pPr>
      <w:r w:rsidRPr="005B1182">
        <w:rPr>
          <w:rStyle w:val="CharChapNo"/>
        </w:rPr>
        <w:t xml:space="preserve"> </w:t>
      </w:r>
      <w:r w:rsidRPr="005B1182">
        <w:rPr>
          <w:rStyle w:val="CharChapText"/>
        </w:rPr>
        <w:t xml:space="preserve"> </w:t>
      </w:r>
    </w:p>
    <w:p w14:paraId="73728C35" w14:textId="77777777" w:rsidR="00715914" w:rsidRPr="005B1182" w:rsidRDefault="00715914" w:rsidP="00715914">
      <w:pPr>
        <w:pStyle w:val="Header"/>
        <w:tabs>
          <w:tab w:val="clear" w:pos="4150"/>
          <w:tab w:val="clear" w:pos="8307"/>
        </w:tabs>
      </w:pPr>
      <w:r w:rsidRPr="005B1182">
        <w:rPr>
          <w:rStyle w:val="CharPartNo"/>
        </w:rPr>
        <w:t xml:space="preserve"> </w:t>
      </w:r>
      <w:r w:rsidRPr="005B1182">
        <w:rPr>
          <w:rStyle w:val="CharPartText"/>
        </w:rPr>
        <w:t xml:space="preserve"> </w:t>
      </w:r>
    </w:p>
    <w:p w14:paraId="0C79C73E" w14:textId="77777777" w:rsidR="00715914" w:rsidRPr="005B1182" w:rsidRDefault="00715914" w:rsidP="00715914">
      <w:pPr>
        <w:pStyle w:val="Header"/>
        <w:tabs>
          <w:tab w:val="clear" w:pos="4150"/>
          <w:tab w:val="clear" w:pos="8307"/>
        </w:tabs>
      </w:pPr>
      <w:r w:rsidRPr="005B1182">
        <w:rPr>
          <w:rStyle w:val="CharDivNo"/>
        </w:rPr>
        <w:t xml:space="preserve"> </w:t>
      </w:r>
      <w:r w:rsidRPr="005B1182">
        <w:rPr>
          <w:rStyle w:val="CharDivText"/>
        </w:rPr>
        <w:t xml:space="preserve"> </w:t>
      </w:r>
    </w:p>
    <w:p w14:paraId="36DD3DE9" w14:textId="77777777" w:rsidR="00715914" w:rsidRPr="00674DAF" w:rsidRDefault="00715914" w:rsidP="00715914">
      <w:pPr>
        <w:sectPr w:rsidR="00715914" w:rsidRPr="00674DAF" w:rsidSect="00AC4D0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609CE9CF" w14:textId="77777777" w:rsidR="00715914" w:rsidRPr="00674DAF" w:rsidRDefault="00715914" w:rsidP="00715914">
      <w:pPr>
        <w:outlineLvl w:val="0"/>
        <w:rPr>
          <w:sz w:val="36"/>
        </w:rPr>
      </w:pPr>
      <w:r w:rsidRPr="00674DAF">
        <w:rPr>
          <w:sz w:val="36"/>
        </w:rPr>
        <w:lastRenderedPageBreak/>
        <w:t>Contents</w:t>
      </w:r>
    </w:p>
    <w:p w14:paraId="6F9B042C" w14:textId="6189D3A7" w:rsidR="005803FB" w:rsidRDefault="005803F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803FB">
        <w:rPr>
          <w:noProof/>
        </w:rPr>
        <w:tab/>
      </w:r>
      <w:r w:rsidRPr="005803FB">
        <w:rPr>
          <w:noProof/>
        </w:rPr>
        <w:fldChar w:fldCharType="begin"/>
      </w:r>
      <w:r w:rsidRPr="005803FB">
        <w:rPr>
          <w:noProof/>
        </w:rPr>
        <w:instrText xml:space="preserve"> PAGEREF _Toc100046597 \h </w:instrText>
      </w:r>
      <w:r w:rsidRPr="005803FB">
        <w:rPr>
          <w:noProof/>
        </w:rPr>
      </w:r>
      <w:r w:rsidRPr="005803FB">
        <w:rPr>
          <w:noProof/>
        </w:rPr>
        <w:fldChar w:fldCharType="separate"/>
      </w:r>
      <w:r w:rsidR="00A60D08">
        <w:rPr>
          <w:noProof/>
        </w:rPr>
        <w:t>2</w:t>
      </w:r>
      <w:r w:rsidRPr="005803FB">
        <w:rPr>
          <w:noProof/>
        </w:rPr>
        <w:fldChar w:fldCharType="end"/>
      </w:r>
    </w:p>
    <w:p w14:paraId="28FC06CB" w14:textId="5B202C63" w:rsidR="005803FB" w:rsidRDefault="005803FB">
      <w:pPr>
        <w:pStyle w:val="TOC5"/>
        <w:rPr>
          <w:rFonts w:asciiTheme="minorHAnsi" w:eastAsiaTheme="minorEastAsia" w:hAnsiTheme="minorHAnsi" w:cstheme="minorBidi"/>
          <w:noProof/>
          <w:kern w:val="0"/>
          <w:sz w:val="22"/>
          <w:szCs w:val="22"/>
        </w:rPr>
      </w:pPr>
      <w:r>
        <w:rPr>
          <w:noProof/>
        </w:rPr>
        <w:t>2</w:t>
      </w:r>
      <w:r>
        <w:rPr>
          <w:noProof/>
        </w:rPr>
        <w:tab/>
        <w:t>Commencement</w:t>
      </w:r>
      <w:r w:rsidRPr="005803FB">
        <w:rPr>
          <w:noProof/>
        </w:rPr>
        <w:tab/>
      </w:r>
      <w:r w:rsidRPr="005803FB">
        <w:rPr>
          <w:noProof/>
        </w:rPr>
        <w:fldChar w:fldCharType="begin"/>
      </w:r>
      <w:r w:rsidRPr="005803FB">
        <w:rPr>
          <w:noProof/>
        </w:rPr>
        <w:instrText xml:space="preserve"> PAGEREF _Toc100046598 \h </w:instrText>
      </w:r>
      <w:r w:rsidRPr="005803FB">
        <w:rPr>
          <w:noProof/>
        </w:rPr>
      </w:r>
      <w:r w:rsidRPr="005803FB">
        <w:rPr>
          <w:noProof/>
        </w:rPr>
        <w:fldChar w:fldCharType="separate"/>
      </w:r>
      <w:r w:rsidR="00A60D08">
        <w:rPr>
          <w:noProof/>
        </w:rPr>
        <w:t>2</w:t>
      </w:r>
      <w:r w:rsidRPr="005803FB">
        <w:rPr>
          <w:noProof/>
        </w:rPr>
        <w:fldChar w:fldCharType="end"/>
      </w:r>
    </w:p>
    <w:p w14:paraId="679D687E" w14:textId="336B330F" w:rsidR="005803FB" w:rsidRDefault="005803FB">
      <w:pPr>
        <w:pStyle w:val="TOC5"/>
        <w:rPr>
          <w:rFonts w:asciiTheme="minorHAnsi" w:eastAsiaTheme="minorEastAsia" w:hAnsiTheme="minorHAnsi" w:cstheme="minorBidi"/>
          <w:noProof/>
          <w:kern w:val="0"/>
          <w:sz w:val="22"/>
          <w:szCs w:val="22"/>
        </w:rPr>
      </w:pPr>
      <w:r>
        <w:rPr>
          <w:noProof/>
        </w:rPr>
        <w:t>3</w:t>
      </w:r>
      <w:r>
        <w:rPr>
          <w:noProof/>
        </w:rPr>
        <w:tab/>
        <w:t>Act binds the Crown</w:t>
      </w:r>
      <w:r w:rsidRPr="005803FB">
        <w:rPr>
          <w:noProof/>
        </w:rPr>
        <w:tab/>
      </w:r>
      <w:r w:rsidRPr="005803FB">
        <w:rPr>
          <w:noProof/>
        </w:rPr>
        <w:fldChar w:fldCharType="begin"/>
      </w:r>
      <w:r w:rsidRPr="005803FB">
        <w:rPr>
          <w:noProof/>
        </w:rPr>
        <w:instrText xml:space="preserve"> PAGEREF _Toc100046599 \h </w:instrText>
      </w:r>
      <w:r w:rsidRPr="005803FB">
        <w:rPr>
          <w:noProof/>
        </w:rPr>
      </w:r>
      <w:r w:rsidRPr="005803FB">
        <w:rPr>
          <w:noProof/>
        </w:rPr>
        <w:fldChar w:fldCharType="separate"/>
      </w:r>
      <w:r w:rsidR="00A60D08">
        <w:rPr>
          <w:noProof/>
        </w:rPr>
        <w:t>2</w:t>
      </w:r>
      <w:r w:rsidRPr="005803FB">
        <w:rPr>
          <w:noProof/>
        </w:rPr>
        <w:fldChar w:fldCharType="end"/>
      </w:r>
    </w:p>
    <w:p w14:paraId="1CBEA64F" w14:textId="3A6D32F9" w:rsidR="005803FB" w:rsidRDefault="005803FB">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5803FB">
        <w:rPr>
          <w:noProof/>
        </w:rPr>
        <w:tab/>
      </w:r>
      <w:r w:rsidRPr="005803FB">
        <w:rPr>
          <w:noProof/>
        </w:rPr>
        <w:fldChar w:fldCharType="begin"/>
      </w:r>
      <w:r w:rsidRPr="005803FB">
        <w:rPr>
          <w:noProof/>
        </w:rPr>
        <w:instrText xml:space="preserve"> PAGEREF _Toc100046600 \h </w:instrText>
      </w:r>
      <w:r w:rsidRPr="005803FB">
        <w:rPr>
          <w:noProof/>
        </w:rPr>
      </w:r>
      <w:r w:rsidRPr="005803FB">
        <w:rPr>
          <w:noProof/>
        </w:rPr>
        <w:fldChar w:fldCharType="separate"/>
      </w:r>
      <w:r w:rsidR="00A60D08">
        <w:rPr>
          <w:noProof/>
        </w:rPr>
        <w:t>2</w:t>
      </w:r>
      <w:r w:rsidRPr="005803FB">
        <w:rPr>
          <w:noProof/>
        </w:rPr>
        <w:fldChar w:fldCharType="end"/>
      </w:r>
    </w:p>
    <w:p w14:paraId="58FED3D4" w14:textId="3B7B6A8A" w:rsidR="005803FB" w:rsidRDefault="005803FB">
      <w:pPr>
        <w:pStyle w:val="TOC5"/>
        <w:rPr>
          <w:rFonts w:asciiTheme="minorHAnsi" w:eastAsiaTheme="minorEastAsia" w:hAnsiTheme="minorHAnsi" w:cstheme="minorBidi"/>
          <w:noProof/>
          <w:kern w:val="0"/>
          <w:sz w:val="22"/>
          <w:szCs w:val="22"/>
        </w:rPr>
      </w:pPr>
      <w:r>
        <w:rPr>
          <w:noProof/>
        </w:rPr>
        <w:t>5</w:t>
      </w:r>
      <w:r>
        <w:rPr>
          <w:noProof/>
        </w:rPr>
        <w:tab/>
        <w:t>Extra</w:t>
      </w:r>
      <w:r>
        <w:rPr>
          <w:noProof/>
        </w:rPr>
        <w:noBreakHyphen/>
        <w:t>territorial application</w:t>
      </w:r>
      <w:r w:rsidRPr="005803FB">
        <w:rPr>
          <w:noProof/>
        </w:rPr>
        <w:tab/>
      </w:r>
      <w:r w:rsidRPr="005803FB">
        <w:rPr>
          <w:noProof/>
        </w:rPr>
        <w:fldChar w:fldCharType="begin"/>
      </w:r>
      <w:r w:rsidRPr="005803FB">
        <w:rPr>
          <w:noProof/>
        </w:rPr>
        <w:instrText xml:space="preserve"> PAGEREF _Toc100046601 \h </w:instrText>
      </w:r>
      <w:r w:rsidRPr="005803FB">
        <w:rPr>
          <w:noProof/>
        </w:rPr>
      </w:r>
      <w:r w:rsidRPr="005803FB">
        <w:rPr>
          <w:noProof/>
        </w:rPr>
        <w:fldChar w:fldCharType="separate"/>
      </w:r>
      <w:r w:rsidR="00A60D08">
        <w:rPr>
          <w:noProof/>
        </w:rPr>
        <w:t>3</w:t>
      </w:r>
      <w:r w:rsidRPr="005803FB">
        <w:rPr>
          <w:noProof/>
        </w:rPr>
        <w:fldChar w:fldCharType="end"/>
      </w:r>
    </w:p>
    <w:p w14:paraId="43114F85" w14:textId="5616F833" w:rsidR="005803FB" w:rsidRDefault="005803FB">
      <w:pPr>
        <w:pStyle w:val="TOC5"/>
        <w:rPr>
          <w:rFonts w:asciiTheme="minorHAnsi" w:eastAsiaTheme="minorEastAsia" w:hAnsiTheme="minorHAnsi" w:cstheme="minorBidi"/>
          <w:noProof/>
          <w:kern w:val="0"/>
          <w:sz w:val="22"/>
          <w:szCs w:val="22"/>
        </w:rPr>
      </w:pPr>
      <w:r>
        <w:rPr>
          <w:noProof/>
        </w:rPr>
        <w:t>6</w:t>
      </w:r>
      <w:r>
        <w:rPr>
          <w:noProof/>
        </w:rPr>
        <w:tab/>
        <w:t>Definitions</w:t>
      </w:r>
      <w:r w:rsidRPr="005803FB">
        <w:rPr>
          <w:noProof/>
        </w:rPr>
        <w:tab/>
      </w:r>
      <w:r w:rsidRPr="005803FB">
        <w:rPr>
          <w:noProof/>
        </w:rPr>
        <w:fldChar w:fldCharType="begin"/>
      </w:r>
      <w:r w:rsidRPr="005803FB">
        <w:rPr>
          <w:noProof/>
        </w:rPr>
        <w:instrText xml:space="preserve"> PAGEREF _Toc100046602 \h </w:instrText>
      </w:r>
      <w:r w:rsidRPr="005803FB">
        <w:rPr>
          <w:noProof/>
        </w:rPr>
      </w:r>
      <w:r w:rsidRPr="005803FB">
        <w:rPr>
          <w:noProof/>
        </w:rPr>
        <w:fldChar w:fldCharType="separate"/>
      </w:r>
      <w:r w:rsidR="00A60D08">
        <w:rPr>
          <w:noProof/>
        </w:rPr>
        <w:t>3</w:t>
      </w:r>
      <w:r w:rsidRPr="005803FB">
        <w:rPr>
          <w:noProof/>
        </w:rPr>
        <w:fldChar w:fldCharType="end"/>
      </w:r>
    </w:p>
    <w:p w14:paraId="0A24838D" w14:textId="12589AB4" w:rsidR="005803FB" w:rsidRDefault="005803FB">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9B1255">
        <w:rPr>
          <w:i/>
          <w:noProof/>
        </w:rPr>
        <w:t>levy year</w:t>
      </w:r>
      <w:r w:rsidRPr="005803FB">
        <w:rPr>
          <w:noProof/>
        </w:rPr>
        <w:tab/>
      </w:r>
      <w:r w:rsidRPr="005803FB">
        <w:rPr>
          <w:noProof/>
        </w:rPr>
        <w:fldChar w:fldCharType="begin"/>
      </w:r>
      <w:r w:rsidRPr="005803FB">
        <w:rPr>
          <w:noProof/>
        </w:rPr>
        <w:instrText xml:space="preserve"> PAGEREF _Toc100046603 \h </w:instrText>
      </w:r>
      <w:r w:rsidRPr="005803FB">
        <w:rPr>
          <w:noProof/>
        </w:rPr>
      </w:r>
      <w:r w:rsidRPr="005803FB">
        <w:rPr>
          <w:noProof/>
        </w:rPr>
        <w:fldChar w:fldCharType="separate"/>
      </w:r>
      <w:r w:rsidR="00A60D08">
        <w:rPr>
          <w:noProof/>
        </w:rPr>
        <w:t>4</w:t>
      </w:r>
      <w:r w:rsidRPr="005803FB">
        <w:rPr>
          <w:noProof/>
        </w:rPr>
        <w:fldChar w:fldCharType="end"/>
      </w:r>
    </w:p>
    <w:p w14:paraId="35D770B8" w14:textId="11F28CE1" w:rsidR="005803FB" w:rsidRDefault="005803FB">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9B1255">
        <w:rPr>
          <w:i/>
          <w:noProof/>
        </w:rPr>
        <w:t>Commonwealth’s unrecovered costs</w:t>
      </w:r>
      <w:r>
        <w:rPr>
          <w:noProof/>
        </w:rPr>
        <w:t xml:space="preserve"> for a levy year</w:t>
      </w:r>
      <w:r w:rsidRPr="005803FB">
        <w:rPr>
          <w:noProof/>
        </w:rPr>
        <w:tab/>
      </w:r>
      <w:r w:rsidRPr="005803FB">
        <w:rPr>
          <w:noProof/>
        </w:rPr>
        <w:fldChar w:fldCharType="begin"/>
      </w:r>
      <w:r w:rsidRPr="005803FB">
        <w:rPr>
          <w:noProof/>
        </w:rPr>
        <w:instrText xml:space="preserve"> PAGEREF _Toc100046604 \h </w:instrText>
      </w:r>
      <w:r w:rsidRPr="005803FB">
        <w:rPr>
          <w:noProof/>
        </w:rPr>
      </w:r>
      <w:r w:rsidRPr="005803FB">
        <w:rPr>
          <w:noProof/>
        </w:rPr>
        <w:fldChar w:fldCharType="separate"/>
      </w:r>
      <w:r w:rsidR="00A60D08">
        <w:rPr>
          <w:noProof/>
        </w:rPr>
        <w:t>5</w:t>
      </w:r>
      <w:r w:rsidRPr="005803FB">
        <w:rPr>
          <w:noProof/>
        </w:rPr>
        <w:fldChar w:fldCharType="end"/>
      </w:r>
    </w:p>
    <w:p w14:paraId="250C1B09" w14:textId="7A246BB8" w:rsidR="005803FB" w:rsidRDefault="005803FB">
      <w:pPr>
        <w:pStyle w:val="TOC5"/>
        <w:rPr>
          <w:rFonts w:asciiTheme="minorHAnsi" w:eastAsiaTheme="minorEastAsia" w:hAnsiTheme="minorHAnsi" w:cstheme="minorBidi"/>
          <w:noProof/>
          <w:kern w:val="0"/>
          <w:sz w:val="22"/>
          <w:szCs w:val="22"/>
        </w:rPr>
      </w:pPr>
      <w:r>
        <w:rPr>
          <w:noProof/>
        </w:rPr>
        <w:t>9</w:t>
      </w:r>
      <w:r>
        <w:rPr>
          <w:noProof/>
        </w:rPr>
        <w:tab/>
        <w:t>Act does not impose levy on property of a State</w:t>
      </w:r>
      <w:r w:rsidRPr="005803FB">
        <w:rPr>
          <w:noProof/>
        </w:rPr>
        <w:tab/>
      </w:r>
      <w:r w:rsidRPr="005803FB">
        <w:rPr>
          <w:noProof/>
        </w:rPr>
        <w:fldChar w:fldCharType="begin"/>
      </w:r>
      <w:r w:rsidRPr="005803FB">
        <w:rPr>
          <w:noProof/>
        </w:rPr>
        <w:instrText xml:space="preserve"> PAGEREF _Toc100046605 \h </w:instrText>
      </w:r>
      <w:r w:rsidRPr="005803FB">
        <w:rPr>
          <w:noProof/>
        </w:rPr>
      </w:r>
      <w:r w:rsidRPr="005803FB">
        <w:rPr>
          <w:noProof/>
        </w:rPr>
        <w:fldChar w:fldCharType="separate"/>
      </w:r>
      <w:r w:rsidR="00A60D08">
        <w:rPr>
          <w:noProof/>
        </w:rPr>
        <w:t>6</w:t>
      </w:r>
      <w:r w:rsidRPr="005803FB">
        <w:rPr>
          <w:noProof/>
        </w:rPr>
        <w:fldChar w:fldCharType="end"/>
      </w:r>
    </w:p>
    <w:p w14:paraId="5C75FA17" w14:textId="1E2C3CFD" w:rsidR="005803FB" w:rsidRDefault="005803FB">
      <w:pPr>
        <w:pStyle w:val="TOC5"/>
        <w:rPr>
          <w:rFonts w:asciiTheme="minorHAnsi" w:eastAsiaTheme="minorEastAsia" w:hAnsiTheme="minorHAnsi" w:cstheme="minorBidi"/>
          <w:noProof/>
          <w:kern w:val="0"/>
          <w:sz w:val="22"/>
          <w:szCs w:val="22"/>
        </w:rPr>
      </w:pPr>
      <w:r>
        <w:rPr>
          <w:noProof/>
        </w:rPr>
        <w:t>10</w:t>
      </w:r>
      <w:r>
        <w:rPr>
          <w:noProof/>
        </w:rPr>
        <w:tab/>
        <w:t>Imposition of levy</w:t>
      </w:r>
      <w:r w:rsidRPr="005803FB">
        <w:rPr>
          <w:noProof/>
        </w:rPr>
        <w:tab/>
      </w:r>
      <w:r w:rsidRPr="005803FB">
        <w:rPr>
          <w:noProof/>
        </w:rPr>
        <w:fldChar w:fldCharType="begin"/>
      </w:r>
      <w:r w:rsidRPr="005803FB">
        <w:rPr>
          <w:noProof/>
        </w:rPr>
        <w:instrText xml:space="preserve"> PAGEREF _Toc100046606 \h </w:instrText>
      </w:r>
      <w:r w:rsidRPr="005803FB">
        <w:rPr>
          <w:noProof/>
        </w:rPr>
      </w:r>
      <w:r w:rsidRPr="005803FB">
        <w:rPr>
          <w:noProof/>
        </w:rPr>
        <w:fldChar w:fldCharType="separate"/>
      </w:r>
      <w:r w:rsidR="00A60D08">
        <w:rPr>
          <w:noProof/>
        </w:rPr>
        <w:t>6</w:t>
      </w:r>
      <w:r w:rsidRPr="005803FB">
        <w:rPr>
          <w:noProof/>
        </w:rPr>
        <w:fldChar w:fldCharType="end"/>
      </w:r>
    </w:p>
    <w:p w14:paraId="35082BAF" w14:textId="1C6F312A" w:rsidR="005803FB" w:rsidRDefault="005803FB">
      <w:pPr>
        <w:pStyle w:val="TOC5"/>
        <w:rPr>
          <w:rFonts w:asciiTheme="minorHAnsi" w:eastAsiaTheme="minorEastAsia" w:hAnsiTheme="minorHAnsi" w:cstheme="minorBidi"/>
          <w:noProof/>
          <w:kern w:val="0"/>
          <w:sz w:val="22"/>
          <w:szCs w:val="22"/>
        </w:rPr>
      </w:pPr>
      <w:r>
        <w:rPr>
          <w:noProof/>
        </w:rPr>
        <w:t>11</w:t>
      </w:r>
      <w:r>
        <w:rPr>
          <w:noProof/>
        </w:rPr>
        <w:tab/>
        <w:t>Amount of levy</w:t>
      </w:r>
      <w:r w:rsidRPr="005803FB">
        <w:rPr>
          <w:noProof/>
        </w:rPr>
        <w:tab/>
      </w:r>
      <w:r w:rsidRPr="005803FB">
        <w:rPr>
          <w:noProof/>
        </w:rPr>
        <w:fldChar w:fldCharType="begin"/>
      </w:r>
      <w:r w:rsidRPr="005803FB">
        <w:rPr>
          <w:noProof/>
        </w:rPr>
        <w:instrText xml:space="preserve"> PAGEREF _Toc100046607 \h </w:instrText>
      </w:r>
      <w:r w:rsidRPr="005803FB">
        <w:rPr>
          <w:noProof/>
        </w:rPr>
      </w:r>
      <w:r w:rsidRPr="005803FB">
        <w:rPr>
          <w:noProof/>
        </w:rPr>
        <w:fldChar w:fldCharType="separate"/>
      </w:r>
      <w:r w:rsidR="00A60D08">
        <w:rPr>
          <w:noProof/>
        </w:rPr>
        <w:t>6</w:t>
      </w:r>
      <w:r w:rsidRPr="005803FB">
        <w:rPr>
          <w:noProof/>
        </w:rPr>
        <w:fldChar w:fldCharType="end"/>
      </w:r>
    </w:p>
    <w:p w14:paraId="15809E8F" w14:textId="408AAB70" w:rsidR="005803FB" w:rsidRDefault="005803FB">
      <w:pPr>
        <w:pStyle w:val="TOC5"/>
        <w:rPr>
          <w:rFonts w:asciiTheme="minorHAnsi" w:eastAsiaTheme="minorEastAsia" w:hAnsiTheme="minorHAnsi" w:cstheme="minorBidi"/>
          <w:noProof/>
          <w:kern w:val="0"/>
          <w:sz w:val="22"/>
          <w:szCs w:val="22"/>
        </w:rPr>
      </w:pPr>
      <w:r>
        <w:rPr>
          <w:noProof/>
        </w:rPr>
        <w:t>12</w:t>
      </w:r>
      <w:r>
        <w:rPr>
          <w:noProof/>
        </w:rPr>
        <w:tab/>
        <w:t>When instrument takes effect</w:t>
      </w:r>
      <w:r w:rsidRPr="005803FB">
        <w:rPr>
          <w:noProof/>
        </w:rPr>
        <w:tab/>
      </w:r>
      <w:r w:rsidRPr="005803FB">
        <w:rPr>
          <w:noProof/>
        </w:rPr>
        <w:fldChar w:fldCharType="begin"/>
      </w:r>
      <w:r w:rsidRPr="005803FB">
        <w:rPr>
          <w:noProof/>
        </w:rPr>
        <w:instrText xml:space="preserve"> PAGEREF _Toc100046608 \h </w:instrText>
      </w:r>
      <w:r w:rsidRPr="005803FB">
        <w:rPr>
          <w:noProof/>
        </w:rPr>
      </w:r>
      <w:r w:rsidRPr="005803FB">
        <w:rPr>
          <w:noProof/>
        </w:rPr>
        <w:fldChar w:fldCharType="separate"/>
      </w:r>
      <w:r w:rsidR="00A60D08">
        <w:rPr>
          <w:noProof/>
        </w:rPr>
        <w:t>8</w:t>
      </w:r>
      <w:r w:rsidRPr="005803FB">
        <w:rPr>
          <w:noProof/>
        </w:rPr>
        <w:fldChar w:fldCharType="end"/>
      </w:r>
    </w:p>
    <w:p w14:paraId="024FA075" w14:textId="7C2FF3CD" w:rsidR="005803FB" w:rsidRDefault="005803FB">
      <w:pPr>
        <w:pStyle w:val="TOC5"/>
        <w:rPr>
          <w:rFonts w:asciiTheme="minorHAnsi" w:eastAsiaTheme="minorEastAsia" w:hAnsiTheme="minorHAnsi" w:cstheme="minorBidi"/>
          <w:noProof/>
          <w:kern w:val="0"/>
          <w:sz w:val="22"/>
          <w:szCs w:val="22"/>
        </w:rPr>
      </w:pPr>
      <w:r>
        <w:rPr>
          <w:noProof/>
        </w:rPr>
        <w:t>13</w:t>
      </w:r>
      <w:r>
        <w:rPr>
          <w:noProof/>
        </w:rPr>
        <w:tab/>
        <w:t>Regulations</w:t>
      </w:r>
      <w:r w:rsidRPr="005803FB">
        <w:rPr>
          <w:noProof/>
        </w:rPr>
        <w:tab/>
      </w:r>
      <w:r w:rsidRPr="005803FB">
        <w:rPr>
          <w:noProof/>
        </w:rPr>
        <w:fldChar w:fldCharType="begin"/>
      </w:r>
      <w:r w:rsidRPr="005803FB">
        <w:rPr>
          <w:noProof/>
        </w:rPr>
        <w:instrText xml:space="preserve"> PAGEREF _Toc100046609 \h </w:instrText>
      </w:r>
      <w:r w:rsidRPr="005803FB">
        <w:rPr>
          <w:noProof/>
        </w:rPr>
      </w:r>
      <w:r w:rsidRPr="005803FB">
        <w:rPr>
          <w:noProof/>
        </w:rPr>
        <w:fldChar w:fldCharType="separate"/>
      </w:r>
      <w:r w:rsidR="00A60D08">
        <w:rPr>
          <w:noProof/>
        </w:rPr>
        <w:t>8</w:t>
      </w:r>
      <w:r w:rsidRPr="005803FB">
        <w:rPr>
          <w:noProof/>
        </w:rPr>
        <w:fldChar w:fldCharType="end"/>
      </w:r>
    </w:p>
    <w:p w14:paraId="0970E2B1" w14:textId="3C0DC283" w:rsidR="005D7042" w:rsidRPr="00674DAF" w:rsidRDefault="005803FB" w:rsidP="00715914">
      <w:r>
        <w:fldChar w:fldCharType="end"/>
      </w:r>
    </w:p>
    <w:p w14:paraId="4AB54DEF" w14:textId="77777777" w:rsidR="00374B0A" w:rsidRPr="00674DAF" w:rsidRDefault="00374B0A" w:rsidP="00715914">
      <w:pPr>
        <w:sectPr w:rsidR="00374B0A" w:rsidRPr="00674DAF" w:rsidSect="00AC4D0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429FD61" w14:textId="77777777" w:rsidR="00AC4D0F" w:rsidRDefault="00AC4D0F">
      <w:r>
        <w:object w:dxaOrig="2146" w:dyaOrig="1561" w14:anchorId="597EE527">
          <v:shape id="_x0000_i1027" type="#_x0000_t75" alt="Commonwealth Coat of Arms of Australia" style="width:109.5pt;height:80.25pt" o:ole="" fillcolor="window">
            <v:imagedata r:id="rId8" o:title=""/>
          </v:shape>
          <o:OLEObject Type="Embed" ProgID="Word.Picture.8" ShapeID="_x0000_i1027" DrawAspect="Content" ObjectID="_1710659848" r:id="rId21"/>
        </w:object>
      </w:r>
    </w:p>
    <w:p w14:paraId="09EA67E1" w14:textId="77777777" w:rsidR="00AC4D0F" w:rsidRDefault="00AC4D0F"/>
    <w:p w14:paraId="009FDD1D" w14:textId="77777777" w:rsidR="00AC4D0F" w:rsidRDefault="00AC4D0F" w:rsidP="000178F8">
      <w:pPr>
        <w:spacing w:line="240" w:lineRule="auto"/>
      </w:pPr>
    </w:p>
    <w:p w14:paraId="0FF241C2" w14:textId="28C20B7F" w:rsidR="00AC4D0F" w:rsidRDefault="00346D75" w:rsidP="000178F8">
      <w:pPr>
        <w:pStyle w:val="ShortTP1"/>
      </w:pPr>
      <w:r>
        <w:fldChar w:fldCharType="begin"/>
      </w:r>
      <w:r>
        <w:instrText xml:space="preserve"> STYLEREF ShortT </w:instrText>
      </w:r>
      <w:r>
        <w:fldChar w:fldCharType="separate"/>
      </w:r>
      <w:r w:rsidR="00A60D08">
        <w:rPr>
          <w:noProof/>
        </w:rPr>
        <w:t>Offshore Petroleum (Laminaria and Corallina Decommissioning Cost Recovery Levy) Act 2022</w:t>
      </w:r>
      <w:r>
        <w:rPr>
          <w:noProof/>
        </w:rPr>
        <w:fldChar w:fldCharType="end"/>
      </w:r>
    </w:p>
    <w:p w14:paraId="5BD16700" w14:textId="28814A2D" w:rsidR="00AC4D0F" w:rsidRDefault="00346D75" w:rsidP="000178F8">
      <w:pPr>
        <w:pStyle w:val="ActNoP1"/>
      </w:pPr>
      <w:r>
        <w:fldChar w:fldCharType="begin"/>
      </w:r>
      <w:r>
        <w:instrText xml:space="preserve"> STYLEREF Actno </w:instrText>
      </w:r>
      <w:r>
        <w:fldChar w:fldCharType="separate"/>
      </w:r>
      <w:r w:rsidR="00A60D08">
        <w:rPr>
          <w:noProof/>
        </w:rPr>
        <w:t>No. 18, 2022</w:t>
      </w:r>
      <w:r>
        <w:rPr>
          <w:noProof/>
        </w:rPr>
        <w:fldChar w:fldCharType="end"/>
      </w:r>
    </w:p>
    <w:p w14:paraId="0B6940D5" w14:textId="77777777" w:rsidR="00AC4D0F" w:rsidRPr="009A0728" w:rsidRDefault="00AC4D0F" w:rsidP="009A0728">
      <w:pPr>
        <w:pBdr>
          <w:bottom w:val="single" w:sz="6" w:space="0" w:color="auto"/>
        </w:pBdr>
        <w:spacing w:before="400" w:line="240" w:lineRule="auto"/>
        <w:rPr>
          <w:rFonts w:eastAsia="Times New Roman"/>
          <w:b/>
          <w:sz w:val="28"/>
        </w:rPr>
      </w:pPr>
    </w:p>
    <w:p w14:paraId="5FE8F4A8" w14:textId="77777777" w:rsidR="00AC4D0F" w:rsidRPr="009A0728" w:rsidRDefault="00AC4D0F" w:rsidP="009A0728">
      <w:pPr>
        <w:spacing w:line="40" w:lineRule="exact"/>
        <w:rPr>
          <w:rFonts w:eastAsia="Calibri"/>
          <w:b/>
          <w:sz w:val="28"/>
        </w:rPr>
      </w:pPr>
    </w:p>
    <w:p w14:paraId="06FEC39A" w14:textId="77777777" w:rsidR="00AC4D0F" w:rsidRPr="009A0728" w:rsidRDefault="00AC4D0F" w:rsidP="009A0728">
      <w:pPr>
        <w:pBdr>
          <w:top w:val="single" w:sz="12" w:space="0" w:color="auto"/>
        </w:pBdr>
        <w:spacing w:line="240" w:lineRule="auto"/>
        <w:rPr>
          <w:rFonts w:eastAsia="Times New Roman"/>
          <w:b/>
          <w:sz w:val="28"/>
        </w:rPr>
      </w:pPr>
    </w:p>
    <w:p w14:paraId="40BC0A3C" w14:textId="77777777" w:rsidR="00AC4D0F" w:rsidRDefault="00AC4D0F" w:rsidP="00AC4D0F">
      <w:pPr>
        <w:pStyle w:val="Page1"/>
        <w:spacing w:before="400"/>
      </w:pPr>
      <w:r>
        <w:t>An Act to impose a levy on registered holders of petroleum production licences, and for related purposes</w:t>
      </w:r>
    </w:p>
    <w:p w14:paraId="4375B938" w14:textId="6C74A7CC" w:rsidR="00482CFA" w:rsidRDefault="00482CFA" w:rsidP="005803FB">
      <w:pPr>
        <w:pStyle w:val="AssentDt"/>
        <w:spacing w:before="240"/>
      </w:pPr>
      <w:r>
        <w:rPr>
          <w:sz w:val="24"/>
        </w:rPr>
        <w:t>[</w:t>
      </w:r>
      <w:r>
        <w:rPr>
          <w:i/>
          <w:sz w:val="24"/>
        </w:rPr>
        <w:t>Assented to 1 April 2022</w:t>
      </w:r>
      <w:r>
        <w:rPr>
          <w:sz w:val="24"/>
        </w:rPr>
        <w:t>]</w:t>
      </w:r>
    </w:p>
    <w:p w14:paraId="2811FBA6" w14:textId="297F6E8F" w:rsidR="00715914" w:rsidRPr="00674DAF" w:rsidRDefault="00715914" w:rsidP="00437C10">
      <w:pPr>
        <w:spacing w:before="240" w:line="240" w:lineRule="auto"/>
        <w:outlineLvl w:val="0"/>
        <w:rPr>
          <w:sz w:val="32"/>
        </w:rPr>
      </w:pPr>
      <w:r w:rsidRPr="00674DAF">
        <w:rPr>
          <w:sz w:val="32"/>
        </w:rPr>
        <w:t>The Parliament of Australia enacts:</w:t>
      </w:r>
    </w:p>
    <w:p w14:paraId="54EFE6AC" w14:textId="77777777" w:rsidR="00715914" w:rsidRPr="00674DAF" w:rsidRDefault="009D52E0" w:rsidP="00437C10">
      <w:pPr>
        <w:pStyle w:val="ActHead5"/>
      </w:pPr>
      <w:bookmarkStart w:id="0" w:name="_Toc100046597"/>
      <w:r w:rsidRPr="005B1182">
        <w:rPr>
          <w:rStyle w:val="CharSectno"/>
        </w:rPr>
        <w:t>1</w:t>
      </w:r>
      <w:r w:rsidR="00715914" w:rsidRPr="00674DAF">
        <w:t xml:space="preserve">  Short title</w:t>
      </w:r>
      <w:bookmarkEnd w:id="0"/>
    </w:p>
    <w:p w14:paraId="34C351F5" w14:textId="77777777" w:rsidR="00C062F4" w:rsidRDefault="00C062F4" w:rsidP="00C062F4">
      <w:pPr>
        <w:pStyle w:val="subsection"/>
      </w:pPr>
      <w:r>
        <w:tab/>
      </w:r>
      <w:r>
        <w:tab/>
        <w:t xml:space="preserve">This Act is the </w:t>
      </w:r>
      <w:r w:rsidRPr="00C062F4">
        <w:rPr>
          <w:i/>
        </w:rPr>
        <w:t>Offshore Petroleum (Laminaria and Corallina Decommissioning Cost Recovery Levy) Act 2022</w:t>
      </w:r>
      <w:r>
        <w:t>.</w:t>
      </w:r>
    </w:p>
    <w:p w14:paraId="19DA4589" w14:textId="39881611" w:rsidR="00715914" w:rsidRPr="00674DAF" w:rsidRDefault="009D52E0" w:rsidP="00437C10">
      <w:pPr>
        <w:pStyle w:val="ActHead5"/>
      </w:pPr>
      <w:bookmarkStart w:id="1" w:name="_Toc100046598"/>
      <w:r w:rsidRPr="005B1182">
        <w:rPr>
          <w:rStyle w:val="CharSectno"/>
        </w:rPr>
        <w:t>2</w:t>
      </w:r>
      <w:r w:rsidR="00715914" w:rsidRPr="00674DAF">
        <w:t xml:space="preserve">  Commencement</w:t>
      </w:r>
      <w:bookmarkEnd w:id="1"/>
    </w:p>
    <w:p w14:paraId="65AA5AA1" w14:textId="77777777" w:rsidR="00715914" w:rsidRPr="00674DAF" w:rsidRDefault="00715914" w:rsidP="00437C10">
      <w:pPr>
        <w:pStyle w:val="subsection"/>
      </w:pPr>
      <w:r w:rsidRPr="00674DAF">
        <w:tab/>
        <w:t>(1)</w:t>
      </w:r>
      <w:r w:rsidRPr="00674DAF">
        <w:tab/>
        <w:t xml:space="preserve">Each provision of this Act specified in column 1 of the table commences, or is taken to have commenced, in accordance with </w:t>
      </w:r>
      <w:r w:rsidRPr="00674DAF">
        <w:lastRenderedPageBreak/>
        <w:t>column 2 of the table. Any other statement in column 2 has effect according to its terms.</w:t>
      </w:r>
    </w:p>
    <w:p w14:paraId="5363C5BA" w14:textId="77777777" w:rsidR="007D5546" w:rsidRPr="00674DAF" w:rsidRDefault="007D5546" w:rsidP="00437C1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674DAF" w14:paraId="233B17C4" w14:textId="77777777" w:rsidTr="00321FB9">
        <w:trPr>
          <w:tblHeader/>
        </w:trPr>
        <w:tc>
          <w:tcPr>
            <w:tcW w:w="7111" w:type="dxa"/>
            <w:gridSpan w:val="3"/>
            <w:tcBorders>
              <w:top w:val="single" w:sz="12" w:space="0" w:color="auto"/>
              <w:bottom w:val="single" w:sz="6" w:space="0" w:color="auto"/>
            </w:tcBorders>
            <w:shd w:val="clear" w:color="auto" w:fill="auto"/>
          </w:tcPr>
          <w:p w14:paraId="35A55859" w14:textId="77777777" w:rsidR="00715914" w:rsidRPr="00674DAF" w:rsidRDefault="00715914" w:rsidP="00437C10">
            <w:pPr>
              <w:pStyle w:val="TableHeading"/>
            </w:pPr>
            <w:r w:rsidRPr="00674DAF">
              <w:t>Commencement information</w:t>
            </w:r>
          </w:p>
        </w:tc>
      </w:tr>
      <w:tr w:rsidR="00715914" w:rsidRPr="00674DAF" w14:paraId="40B190CF" w14:textId="77777777" w:rsidTr="00321FB9">
        <w:trPr>
          <w:tblHeader/>
        </w:trPr>
        <w:tc>
          <w:tcPr>
            <w:tcW w:w="1701" w:type="dxa"/>
            <w:tcBorders>
              <w:top w:val="single" w:sz="6" w:space="0" w:color="auto"/>
              <w:bottom w:val="single" w:sz="6" w:space="0" w:color="auto"/>
            </w:tcBorders>
            <w:shd w:val="clear" w:color="auto" w:fill="auto"/>
          </w:tcPr>
          <w:p w14:paraId="2D0B6DFB" w14:textId="77777777" w:rsidR="00715914" w:rsidRPr="00674DAF" w:rsidRDefault="00715914" w:rsidP="00437C10">
            <w:pPr>
              <w:pStyle w:val="TableHeading"/>
            </w:pPr>
            <w:r w:rsidRPr="00674DAF">
              <w:t>Column 1</w:t>
            </w:r>
          </w:p>
        </w:tc>
        <w:tc>
          <w:tcPr>
            <w:tcW w:w="3828" w:type="dxa"/>
            <w:tcBorders>
              <w:top w:val="single" w:sz="6" w:space="0" w:color="auto"/>
              <w:bottom w:val="single" w:sz="6" w:space="0" w:color="auto"/>
            </w:tcBorders>
            <w:shd w:val="clear" w:color="auto" w:fill="auto"/>
          </w:tcPr>
          <w:p w14:paraId="2A86FD5E" w14:textId="77777777" w:rsidR="00715914" w:rsidRPr="00674DAF" w:rsidRDefault="00715914" w:rsidP="00437C10">
            <w:pPr>
              <w:pStyle w:val="TableHeading"/>
            </w:pPr>
            <w:r w:rsidRPr="00674DAF">
              <w:t>Column 2</w:t>
            </w:r>
          </w:p>
        </w:tc>
        <w:tc>
          <w:tcPr>
            <w:tcW w:w="1582" w:type="dxa"/>
            <w:tcBorders>
              <w:top w:val="single" w:sz="6" w:space="0" w:color="auto"/>
              <w:bottom w:val="single" w:sz="6" w:space="0" w:color="auto"/>
            </w:tcBorders>
            <w:shd w:val="clear" w:color="auto" w:fill="auto"/>
          </w:tcPr>
          <w:p w14:paraId="17B2C80E" w14:textId="77777777" w:rsidR="00715914" w:rsidRPr="00674DAF" w:rsidRDefault="00715914" w:rsidP="00437C10">
            <w:pPr>
              <w:pStyle w:val="TableHeading"/>
            </w:pPr>
            <w:r w:rsidRPr="00674DAF">
              <w:t>Column 3</w:t>
            </w:r>
          </w:p>
        </w:tc>
      </w:tr>
      <w:tr w:rsidR="00715914" w:rsidRPr="00674DAF" w14:paraId="73FD521C" w14:textId="77777777" w:rsidTr="00321FB9">
        <w:trPr>
          <w:tblHeader/>
        </w:trPr>
        <w:tc>
          <w:tcPr>
            <w:tcW w:w="1701" w:type="dxa"/>
            <w:tcBorders>
              <w:top w:val="single" w:sz="6" w:space="0" w:color="auto"/>
              <w:bottom w:val="single" w:sz="12" w:space="0" w:color="auto"/>
            </w:tcBorders>
            <w:shd w:val="clear" w:color="auto" w:fill="auto"/>
          </w:tcPr>
          <w:p w14:paraId="770D393A" w14:textId="77777777" w:rsidR="00715914" w:rsidRPr="00674DAF" w:rsidRDefault="00715914" w:rsidP="00437C10">
            <w:pPr>
              <w:pStyle w:val="TableHeading"/>
            </w:pPr>
            <w:r w:rsidRPr="00674DAF">
              <w:t>Provisions</w:t>
            </w:r>
          </w:p>
        </w:tc>
        <w:tc>
          <w:tcPr>
            <w:tcW w:w="3828" w:type="dxa"/>
            <w:tcBorders>
              <w:top w:val="single" w:sz="6" w:space="0" w:color="auto"/>
              <w:bottom w:val="single" w:sz="12" w:space="0" w:color="auto"/>
            </w:tcBorders>
            <w:shd w:val="clear" w:color="auto" w:fill="auto"/>
          </w:tcPr>
          <w:p w14:paraId="515952B7" w14:textId="77777777" w:rsidR="00715914" w:rsidRPr="00674DAF" w:rsidRDefault="00715914" w:rsidP="00437C10">
            <w:pPr>
              <w:pStyle w:val="TableHeading"/>
            </w:pPr>
            <w:r w:rsidRPr="00674DAF">
              <w:t>Commencement</w:t>
            </w:r>
          </w:p>
        </w:tc>
        <w:tc>
          <w:tcPr>
            <w:tcW w:w="1582" w:type="dxa"/>
            <w:tcBorders>
              <w:top w:val="single" w:sz="6" w:space="0" w:color="auto"/>
              <w:bottom w:val="single" w:sz="12" w:space="0" w:color="auto"/>
            </w:tcBorders>
            <w:shd w:val="clear" w:color="auto" w:fill="auto"/>
          </w:tcPr>
          <w:p w14:paraId="6AC71F01" w14:textId="77777777" w:rsidR="00715914" w:rsidRPr="00674DAF" w:rsidRDefault="00715914" w:rsidP="00437C10">
            <w:pPr>
              <w:pStyle w:val="TableHeading"/>
            </w:pPr>
            <w:r w:rsidRPr="00674DAF">
              <w:t>Date/Details</w:t>
            </w:r>
          </w:p>
        </w:tc>
      </w:tr>
      <w:tr w:rsidR="00715914" w:rsidRPr="00674DAF" w14:paraId="34888CE1" w14:textId="77777777" w:rsidTr="00321FB9">
        <w:tc>
          <w:tcPr>
            <w:tcW w:w="1701" w:type="dxa"/>
            <w:tcBorders>
              <w:top w:val="single" w:sz="12" w:space="0" w:color="auto"/>
              <w:bottom w:val="single" w:sz="12" w:space="0" w:color="auto"/>
            </w:tcBorders>
            <w:shd w:val="clear" w:color="auto" w:fill="auto"/>
          </w:tcPr>
          <w:p w14:paraId="5843F9FA" w14:textId="77777777" w:rsidR="00715914" w:rsidRPr="00674DAF" w:rsidRDefault="00715914" w:rsidP="00437C10">
            <w:pPr>
              <w:pStyle w:val="Tabletext"/>
            </w:pPr>
            <w:r w:rsidRPr="00674DAF">
              <w:t xml:space="preserve">1.  </w:t>
            </w:r>
            <w:r w:rsidR="00321FB9" w:rsidRPr="00674DAF">
              <w:t>The whole of this Act.</w:t>
            </w:r>
          </w:p>
        </w:tc>
        <w:tc>
          <w:tcPr>
            <w:tcW w:w="3828" w:type="dxa"/>
            <w:tcBorders>
              <w:top w:val="single" w:sz="12" w:space="0" w:color="auto"/>
              <w:bottom w:val="single" w:sz="12" w:space="0" w:color="auto"/>
            </w:tcBorders>
            <w:shd w:val="clear" w:color="auto" w:fill="auto"/>
          </w:tcPr>
          <w:p w14:paraId="42D9C4C3" w14:textId="77777777" w:rsidR="00715914" w:rsidRPr="00674DAF" w:rsidRDefault="00715914" w:rsidP="00437C10">
            <w:pPr>
              <w:pStyle w:val="Tabletext"/>
            </w:pPr>
            <w:r w:rsidRPr="00674DAF">
              <w:t xml:space="preserve">The day </w:t>
            </w:r>
            <w:r w:rsidR="00321FB9" w:rsidRPr="00674DAF">
              <w:t xml:space="preserve">after </w:t>
            </w:r>
            <w:r w:rsidRPr="00674DAF">
              <w:t>this Act receives the Royal Assent.</w:t>
            </w:r>
          </w:p>
        </w:tc>
        <w:tc>
          <w:tcPr>
            <w:tcW w:w="1582" w:type="dxa"/>
            <w:tcBorders>
              <w:top w:val="single" w:sz="12" w:space="0" w:color="auto"/>
              <w:bottom w:val="single" w:sz="12" w:space="0" w:color="auto"/>
            </w:tcBorders>
            <w:shd w:val="clear" w:color="auto" w:fill="auto"/>
          </w:tcPr>
          <w:p w14:paraId="375E379E" w14:textId="6DA4FCF9" w:rsidR="00715914" w:rsidRPr="00674DAF" w:rsidRDefault="00D924A7" w:rsidP="00437C10">
            <w:pPr>
              <w:pStyle w:val="Tabletext"/>
            </w:pPr>
            <w:r>
              <w:t>2 April 2022</w:t>
            </w:r>
          </w:p>
        </w:tc>
      </w:tr>
    </w:tbl>
    <w:p w14:paraId="75915D77" w14:textId="77777777" w:rsidR="00715914" w:rsidRPr="00674DAF" w:rsidRDefault="00B80199" w:rsidP="00437C10">
      <w:pPr>
        <w:pStyle w:val="notetext"/>
      </w:pPr>
      <w:r w:rsidRPr="00674DAF">
        <w:t>Note:</w:t>
      </w:r>
      <w:r w:rsidRPr="00674DAF">
        <w:tab/>
        <w:t>This table relates only to the provisions of this Act as originally enacted. It will not be amended to deal with any later amendments of this Act.</w:t>
      </w:r>
    </w:p>
    <w:p w14:paraId="64BB943E" w14:textId="77777777" w:rsidR="00715914" w:rsidRPr="00674DAF" w:rsidRDefault="00715914" w:rsidP="00437C10">
      <w:pPr>
        <w:pStyle w:val="subsection"/>
      </w:pPr>
      <w:r w:rsidRPr="00674DAF">
        <w:tab/>
        <w:t>(2)</w:t>
      </w:r>
      <w:r w:rsidRPr="00674DAF">
        <w:tab/>
      </w:r>
      <w:r w:rsidR="00B80199" w:rsidRPr="00674DAF">
        <w:t xml:space="preserve">Any information in </w:t>
      </w:r>
      <w:r w:rsidR="009532A5" w:rsidRPr="00674DAF">
        <w:t>c</w:t>
      </w:r>
      <w:r w:rsidR="00B80199" w:rsidRPr="00674DAF">
        <w:t>olumn 3 of the table is not part of this Act. Information may be inserted in this column, or information in it may be edited, in any published version of this Act.</w:t>
      </w:r>
    </w:p>
    <w:p w14:paraId="0B32EBAA" w14:textId="77777777" w:rsidR="00F06B09" w:rsidRPr="00674DAF" w:rsidRDefault="009D52E0" w:rsidP="00437C10">
      <w:pPr>
        <w:pStyle w:val="ActHead5"/>
      </w:pPr>
      <w:bookmarkStart w:id="2" w:name="_Toc100046599"/>
      <w:r w:rsidRPr="005B1182">
        <w:rPr>
          <w:rStyle w:val="CharSectno"/>
        </w:rPr>
        <w:t>3</w:t>
      </w:r>
      <w:r w:rsidR="00F06B09" w:rsidRPr="00674DAF">
        <w:t xml:space="preserve">  Act binds the Crown</w:t>
      </w:r>
      <w:bookmarkEnd w:id="2"/>
    </w:p>
    <w:p w14:paraId="3B8783C4" w14:textId="77777777" w:rsidR="0090347A" w:rsidRPr="00674DAF" w:rsidRDefault="0090347A" w:rsidP="00437C10">
      <w:pPr>
        <w:pStyle w:val="subsection"/>
      </w:pPr>
      <w:r w:rsidRPr="00674DAF">
        <w:tab/>
      </w:r>
      <w:r w:rsidRPr="00674DAF">
        <w:tab/>
        <w:t>This Act binds the Crown in right of each of the States, of the Australian Capital Territory and of the Northern Territory. However, it does not bind the Crown in right of the Commonwealth.</w:t>
      </w:r>
    </w:p>
    <w:p w14:paraId="58D6DA15" w14:textId="77777777" w:rsidR="00A47AD3" w:rsidRPr="00674DAF" w:rsidRDefault="009D52E0" w:rsidP="00437C10">
      <w:pPr>
        <w:pStyle w:val="ActHead5"/>
      </w:pPr>
      <w:bookmarkStart w:id="3" w:name="_Toc100046600"/>
      <w:r w:rsidRPr="005B1182">
        <w:rPr>
          <w:rStyle w:val="CharSectno"/>
        </w:rPr>
        <w:t>4</w:t>
      </w:r>
      <w:r w:rsidR="00A47AD3" w:rsidRPr="00674DAF">
        <w:t xml:space="preserve">  </w:t>
      </w:r>
      <w:r w:rsidR="00713978" w:rsidRPr="00674DAF">
        <w:t>Extension to external Territories</w:t>
      </w:r>
      <w:bookmarkEnd w:id="3"/>
    </w:p>
    <w:p w14:paraId="45793657" w14:textId="77777777" w:rsidR="00713978" w:rsidRPr="00674DAF" w:rsidRDefault="00A47AD3" w:rsidP="00437C10">
      <w:pPr>
        <w:pStyle w:val="subsection"/>
      </w:pPr>
      <w:r w:rsidRPr="00674DAF">
        <w:tab/>
      </w:r>
      <w:r w:rsidRPr="00674DAF">
        <w:tab/>
      </w:r>
      <w:r w:rsidR="00713978" w:rsidRPr="00674DAF">
        <w:t xml:space="preserve">This Act extends to each external Territory to which the </w:t>
      </w:r>
      <w:r w:rsidR="00713978" w:rsidRPr="00674DAF">
        <w:rPr>
          <w:i/>
        </w:rPr>
        <w:t>Offshore Petroleum and Greenhouse Gas Storage Act 2006</w:t>
      </w:r>
      <w:r w:rsidR="00713978" w:rsidRPr="00674DAF">
        <w:t xml:space="preserve"> extends.</w:t>
      </w:r>
    </w:p>
    <w:p w14:paraId="562671DC" w14:textId="77777777" w:rsidR="00713978" w:rsidRPr="00674DAF" w:rsidRDefault="00713978" w:rsidP="00437C10">
      <w:pPr>
        <w:pStyle w:val="notetext"/>
      </w:pPr>
      <w:r w:rsidRPr="00674DAF">
        <w:t>Note:</w:t>
      </w:r>
      <w:r w:rsidRPr="00674DAF">
        <w:tab/>
        <w:t xml:space="preserve">See </w:t>
      </w:r>
      <w:r w:rsidR="00A156FF" w:rsidRPr="00674DAF">
        <w:t>section 3</w:t>
      </w:r>
      <w:r w:rsidRPr="00674DAF">
        <w:t xml:space="preserve">4 of the </w:t>
      </w:r>
      <w:r w:rsidRPr="00674DAF">
        <w:rPr>
          <w:i/>
        </w:rPr>
        <w:t>Offshore Petroleum and Greenhouse Gas Storage Act 2006</w:t>
      </w:r>
      <w:r w:rsidRPr="00674DAF">
        <w:t>.</w:t>
      </w:r>
    </w:p>
    <w:p w14:paraId="1BEADEFD" w14:textId="77777777" w:rsidR="00E03151" w:rsidRPr="00674DAF" w:rsidRDefault="009D52E0" w:rsidP="00437C10">
      <w:pPr>
        <w:pStyle w:val="ActHead5"/>
      </w:pPr>
      <w:bookmarkStart w:id="4" w:name="_Toc100046601"/>
      <w:r w:rsidRPr="005B1182">
        <w:rPr>
          <w:rStyle w:val="CharSectno"/>
        </w:rPr>
        <w:t>5</w:t>
      </w:r>
      <w:r w:rsidR="00E03151" w:rsidRPr="00674DAF">
        <w:t xml:space="preserve">  Extra</w:t>
      </w:r>
      <w:r w:rsidR="00437C10">
        <w:noBreakHyphen/>
      </w:r>
      <w:r w:rsidR="00E03151" w:rsidRPr="00674DAF">
        <w:t>territorial application</w:t>
      </w:r>
      <w:bookmarkEnd w:id="4"/>
    </w:p>
    <w:p w14:paraId="1C795020" w14:textId="77777777" w:rsidR="00E03151" w:rsidRPr="00674DAF" w:rsidRDefault="00E03151" w:rsidP="00437C10">
      <w:pPr>
        <w:pStyle w:val="subsection"/>
      </w:pPr>
      <w:r w:rsidRPr="00674DAF">
        <w:tab/>
      </w:r>
      <w:r w:rsidRPr="00674DAF">
        <w:tab/>
        <w:t>This Act extends to acts, omissions, matters and things outside Australia.</w:t>
      </w:r>
    </w:p>
    <w:p w14:paraId="7503A8A6" w14:textId="77777777" w:rsidR="00321FB9" w:rsidRPr="00674DAF" w:rsidRDefault="009D52E0" w:rsidP="00437C10">
      <w:pPr>
        <w:pStyle w:val="ActHead5"/>
      </w:pPr>
      <w:bookmarkStart w:id="5" w:name="_Toc100046602"/>
      <w:r w:rsidRPr="005B1182">
        <w:rPr>
          <w:rStyle w:val="CharSectno"/>
        </w:rPr>
        <w:lastRenderedPageBreak/>
        <w:t>6</w:t>
      </w:r>
      <w:r w:rsidR="00F06B09" w:rsidRPr="00674DAF">
        <w:t xml:space="preserve">  Definitions</w:t>
      </w:r>
      <w:bookmarkEnd w:id="5"/>
    </w:p>
    <w:p w14:paraId="2869DE05" w14:textId="77777777" w:rsidR="00E81CDE" w:rsidRPr="00674DAF" w:rsidRDefault="00E81CDE" w:rsidP="00437C10">
      <w:pPr>
        <w:pStyle w:val="subsection"/>
      </w:pPr>
      <w:r w:rsidRPr="00674DAF">
        <w:tab/>
      </w:r>
      <w:r w:rsidRPr="00674DAF">
        <w:tab/>
        <w:t>In this Act:</w:t>
      </w:r>
    </w:p>
    <w:p w14:paraId="00772715" w14:textId="77777777" w:rsidR="001B292A" w:rsidRPr="00674DAF" w:rsidRDefault="001B292A" w:rsidP="00437C10">
      <w:pPr>
        <w:pStyle w:val="Definition"/>
      </w:pPr>
      <w:r w:rsidRPr="00674DAF">
        <w:rPr>
          <w:b/>
          <w:i/>
        </w:rPr>
        <w:t>amount</w:t>
      </w:r>
      <w:r w:rsidRPr="00674DAF">
        <w:t xml:space="preserve"> includes a nil amount.</w:t>
      </w:r>
    </w:p>
    <w:p w14:paraId="76230C1E" w14:textId="77777777" w:rsidR="00B21A5B" w:rsidRPr="00674DAF" w:rsidRDefault="00B21A5B" w:rsidP="00437C10">
      <w:pPr>
        <w:pStyle w:val="Definition"/>
      </w:pPr>
      <w:r w:rsidRPr="00674DAF">
        <w:rPr>
          <w:b/>
          <w:i/>
        </w:rPr>
        <w:t>decommissioning</w:t>
      </w:r>
      <w:r w:rsidRPr="00674DAF">
        <w:t xml:space="preserve"> includes all activities associated with or connected to the decommissioning of the Northern Endeavour, including:</w:t>
      </w:r>
    </w:p>
    <w:p w14:paraId="3994E3A5" w14:textId="77777777" w:rsidR="00B21A5B" w:rsidRPr="00674DAF" w:rsidRDefault="00B21A5B" w:rsidP="00437C10">
      <w:pPr>
        <w:pStyle w:val="paragraph"/>
      </w:pPr>
      <w:r w:rsidRPr="00674DAF">
        <w:tab/>
        <w:t>(a)</w:t>
      </w:r>
      <w:r w:rsidRPr="00674DAF">
        <w:tab/>
        <w:t>the disconnection, removal and disposal of the Northern Endeavour; and</w:t>
      </w:r>
    </w:p>
    <w:p w14:paraId="1FEE02FD" w14:textId="77777777" w:rsidR="00B21A5B" w:rsidRPr="00674DAF" w:rsidRDefault="00B21A5B" w:rsidP="00437C10">
      <w:pPr>
        <w:pStyle w:val="paragraph"/>
      </w:pPr>
      <w:r w:rsidRPr="00674DAF">
        <w:tab/>
        <w:t>(b)</w:t>
      </w:r>
      <w:r w:rsidRPr="00674DAF">
        <w:tab/>
        <w:t>the suspension, plugging</w:t>
      </w:r>
      <w:r w:rsidR="007B4ED5" w:rsidRPr="00674DAF">
        <w:t xml:space="preserve"> (whether temporary or permanent)</w:t>
      </w:r>
      <w:r w:rsidRPr="00674DAF">
        <w:t xml:space="preserve"> and abandonment of wells in the Laminaria</w:t>
      </w:r>
      <w:r w:rsidR="0054190E" w:rsidRPr="00674DAF">
        <w:t xml:space="preserve"> and </w:t>
      </w:r>
      <w:r w:rsidRPr="00674DAF">
        <w:t xml:space="preserve">Corallina </w:t>
      </w:r>
      <w:r w:rsidR="0054190E" w:rsidRPr="00674DAF">
        <w:t xml:space="preserve">oil </w:t>
      </w:r>
      <w:r w:rsidRPr="00674DAF">
        <w:t>fields and flushing of associated pipelines; and</w:t>
      </w:r>
    </w:p>
    <w:p w14:paraId="08F579C8" w14:textId="77777777" w:rsidR="00B21A5B" w:rsidRPr="00674DAF" w:rsidRDefault="00B21A5B" w:rsidP="00437C10">
      <w:pPr>
        <w:pStyle w:val="paragraph"/>
      </w:pPr>
      <w:r w:rsidRPr="00674DAF">
        <w:tab/>
        <w:t>(c)</w:t>
      </w:r>
      <w:r w:rsidRPr="00674DAF">
        <w:tab/>
        <w:t xml:space="preserve">removal </w:t>
      </w:r>
      <w:r w:rsidR="00B858A3" w:rsidRPr="00674DAF">
        <w:t xml:space="preserve">or </w:t>
      </w:r>
      <w:r w:rsidR="004679F0" w:rsidRPr="00674DAF">
        <w:t xml:space="preserve">any </w:t>
      </w:r>
      <w:r w:rsidR="00B858A3" w:rsidRPr="00674DAF">
        <w:t xml:space="preserve">other treatment </w:t>
      </w:r>
      <w:r w:rsidRPr="00674DAF">
        <w:t>of subsea infrastructure from the Laminaria</w:t>
      </w:r>
      <w:r w:rsidR="0054190E" w:rsidRPr="00674DAF">
        <w:t xml:space="preserve"> and </w:t>
      </w:r>
      <w:r w:rsidRPr="00674DAF">
        <w:t xml:space="preserve">Corallina </w:t>
      </w:r>
      <w:r w:rsidR="0054190E" w:rsidRPr="00674DAF">
        <w:t xml:space="preserve">oil </w:t>
      </w:r>
      <w:r w:rsidRPr="00674DAF">
        <w:t>fields</w:t>
      </w:r>
      <w:r w:rsidR="002A63A4" w:rsidRPr="00674DAF">
        <w:t>; and</w:t>
      </w:r>
    </w:p>
    <w:p w14:paraId="4C4DA747" w14:textId="77777777" w:rsidR="002A63A4" w:rsidRPr="00674DAF" w:rsidRDefault="002A63A4" w:rsidP="00437C10">
      <w:pPr>
        <w:pStyle w:val="paragraph"/>
      </w:pPr>
      <w:r w:rsidRPr="00674DAF">
        <w:tab/>
        <w:t>(d)</w:t>
      </w:r>
      <w:r w:rsidRPr="00674DAF">
        <w:tab/>
        <w:t>associated environmental remediation.</w:t>
      </w:r>
    </w:p>
    <w:p w14:paraId="5A171C6B" w14:textId="77777777" w:rsidR="00A749D2" w:rsidRPr="00674DAF" w:rsidRDefault="00A749D2" w:rsidP="00437C10">
      <w:pPr>
        <w:pStyle w:val="Definition"/>
      </w:pPr>
      <w:r w:rsidRPr="00674DAF">
        <w:rPr>
          <w:b/>
          <w:i/>
        </w:rPr>
        <w:t>decommissioning</w:t>
      </w:r>
      <w:r w:rsidR="00437C10">
        <w:rPr>
          <w:b/>
          <w:i/>
        </w:rPr>
        <w:noBreakHyphen/>
      </w:r>
      <w:r w:rsidRPr="00674DAF">
        <w:rPr>
          <w:b/>
          <w:i/>
        </w:rPr>
        <w:t>related activities</w:t>
      </w:r>
      <w:r w:rsidRPr="00674DAF">
        <w:t xml:space="preserve"> means </w:t>
      </w:r>
      <w:r w:rsidR="0045510F" w:rsidRPr="00674DAF">
        <w:t>a</w:t>
      </w:r>
      <w:r w:rsidR="00D85AB2" w:rsidRPr="00674DAF">
        <w:t>ll</w:t>
      </w:r>
      <w:r w:rsidR="0045510F" w:rsidRPr="00674DAF">
        <w:t xml:space="preserve"> activities</w:t>
      </w:r>
      <w:r w:rsidR="00551342" w:rsidRPr="00674DAF">
        <w:t xml:space="preserve"> </w:t>
      </w:r>
      <w:r w:rsidR="00204A22" w:rsidRPr="00674DAF">
        <w:t>carried out by, or on behalf of, the Commonwealth</w:t>
      </w:r>
      <w:r w:rsidR="0045510F" w:rsidRPr="00674DAF">
        <w:t xml:space="preserve"> </w:t>
      </w:r>
      <w:r w:rsidR="001D68BF" w:rsidRPr="00674DAF">
        <w:t>that relate</w:t>
      </w:r>
      <w:r w:rsidRPr="00674DAF">
        <w:t xml:space="preserve"> (whether directly or indirectly) to the Northern Endeavour and the wells and subsea infrastructure in the Laminaria and Corallina oil fields, including:</w:t>
      </w:r>
    </w:p>
    <w:p w14:paraId="43AA159B" w14:textId="77777777" w:rsidR="00A749D2" w:rsidRPr="00674DAF" w:rsidRDefault="00A749D2" w:rsidP="00437C10">
      <w:pPr>
        <w:pStyle w:val="paragraph"/>
      </w:pPr>
      <w:r w:rsidRPr="00674DAF">
        <w:tab/>
        <w:t>(a)</w:t>
      </w:r>
      <w:r w:rsidRPr="00674DAF">
        <w:tab/>
      </w:r>
      <w:r w:rsidR="003E12FD" w:rsidRPr="00674DAF">
        <w:t>operating</w:t>
      </w:r>
      <w:r w:rsidRPr="00674DAF">
        <w:t xml:space="preserve"> (in any mode) and maint</w:t>
      </w:r>
      <w:r w:rsidR="003E12FD" w:rsidRPr="00674DAF">
        <w:t xml:space="preserve">aining </w:t>
      </w:r>
      <w:r w:rsidR="001E7891" w:rsidRPr="00674DAF">
        <w:t>the Northern Endeavou</w:t>
      </w:r>
      <w:r w:rsidR="001D68BF" w:rsidRPr="00674DAF">
        <w:t xml:space="preserve">r, </w:t>
      </w:r>
      <w:r w:rsidR="001E7891" w:rsidRPr="00674DAF">
        <w:t>wells and infrastructure</w:t>
      </w:r>
      <w:r w:rsidRPr="00674DAF">
        <w:t>;</w:t>
      </w:r>
      <w:r w:rsidR="00B25210" w:rsidRPr="00674DAF">
        <w:t xml:space="preserve"> and</w:t>
      </w:r>
    </w:p>
    <w:p w14:paraId="6F0BA1E3" w14:textId="77777777" w:rsidR="00A749D2" w:rsidRPr="00674DAF" w:rsidRDefault="00A749D2" w:rsidP="00437C10">
      <w:pPr>
        <w:pStyle w:val="paragraph"/>
      </w:pPr>
      <w:r w:rsidRPr="00674DAF">
        <w:tab/>
        <w:t>(b)</w:t>
      </w:r>
      <w:r w:rsidRPr="00674DAF">
        <w:tab/>
        <w:t>decommissioning and activities in preparation for decommissioning;</w:t>
      </w:r>
      <w:r w:rsidR="00B25210" w:rsidRPr="00674DAF">
        <w:t xml:space="preserve"> and</w:t>
      </w:r>
    </w:p>
    <w:p w14:paraId="2C4E85B7" w14:textId="77777777" w:rsidR="00A749D2" w:rsidRPr="00674DAF" w:rsidRDefault="00A749D2" w:rsidP="00437C10">
      <w:pPr>
        <w:pStyle w:val="paragraph"/>
      </w:pPr>
      <w:r w:rsidRPr="00674DAF">
        <w:rPr>
          <w:i/>
        </w:rPr>
        <w:tab/>
      </w:r>
      <w:r w:rsidRPr="00674DAF">
        <w:t>(c)</w:t>
      </w:r>
      <w:r w:rsidRPr="00674DAF">
        <w:tab/>
        <w:t>obtaining insurance in relation to the matters mentioned in paragraphs (a) and (b)</w:t>
      </w:r>
      <w:r w:rsidR="008149F5" w:rsidRPr="00674DAF">
        <w:t>.</w:t>
      </w:r>
    </w:p>
    <w:p w14:paraId="5B6C87E2" w14:textId="77777777" w:rsidR="00C44242" w:rsidRPr="00674DAF" w:rsidRDefault="00C44242" w:rsidP="00437C10">
      <w:pPr>
        <w:pStyle w:val="Definition"/>
        <w:rPr>
          <w:bCs/>
          <w:iCs/>
          <w:shd w:val="clear" w:color="auto" w:fill="FFFFFF"/>
        </w:rPr>
      </w:pPr>
      <w:r w:rsidRPr="00674DAF">
        <w:rPr>
          <w:b/>
          <w:bCs/>
          <w:i/>
          <w:iCs/>
          <w:shd w:val="clear" w:color="auto" w:fill="FFFFFF"/>
        </w:rPr>
        <w:t>distributed levy rate</w:t>
      </w:r>
      <w:r w:rsidR="00446E75" w:rsidRPr="00674DAF">
        <w:rPr>
          <w:bCs/>
          <w:iCs/>
          <w:shd w:val="clear" w:color="auto" w:fill="FFFFFF"/>
        </w:rPr>
        <w:t>,</w:t>
      </w:r>
      <w:r w:rsidRPr="00674DAF">
        <w:rPr>
          <w:bCs/>
          <w:iCs/>
          <w:shd w:val="clear" w:color="auto" w:fill="FFFFFF"/>
        </w:rPr>
        <w:t xml:space="preserve"> for a levy year</w:t>
      </w:r>
      <w:r w:rsidR="00446E75" w:rsidRPr="00674DAF">
        <w:rPr>
          <w:bCs/>
          <w:iCs/>
          <w:shd w:val="clear" w:color="auto" w:fill="FFFFFF"/>
        </w:rPr>
        <w:t>,</w:t>
      </w:r>
      <w:r w:rsidRPr="00674DAF">
        <w:rPr>
          <w:bCs/>
          <w:iCs/>
          <w:shd w:val="clear" w:color="auto" w:fill="FFFFFF"/>
        </w:rPr>
        <w:t xml:space="preserve"> has the meaning given by subsection 11(2).</w:t>
      </w:r>
    </w:p>
    <w:p w14:paraId="6DA5D119" w14:textId="77777777" w:rsidR="00974BCD" w:rsidRPr="00674DAF" w:rsidRDefault="00974BCD" w:rsidP="00437C10">
      <w:pPr>
        <w:pStyle w:val="Definition"/>
        <w:rPr>
          <w:shd w:val="clear" w:color="auto" w:fill="FFFFFF"/>
        </w:rPr>
      </w:pPr>
      <w:r w:rsidRPr="00674DAF">
        <w:rPr>
          <w:b/>
          <w:bCs/>
          <w:i/>
          <w:iCs/>
          <w:shd w:val="clear" w:color="auto" w:fill="FFFFFF"/>
        </w:rPr>
        <w:t>Laminaria and Corallina oil fields</w:t>
      </w:r>
      <w:r w:rsidRPr="00674DAF">
        <w:rPr>
          <w:shd w:val="clear" w:color="auto" w:fill="FFFFFF"/>
        </w:rPr>
        <w:t> means the areas covered by petroleum production licences AC/L5 and WA</w:t>
      </w:r>
      <w:r w:rsidR="00437C10">
        <w:rPr>
          <w:shd w:val="clear" w:color="auto" w:fill="FFFFFF"/>
        </w:rPr>
        <w:noBreakHyphen/>
      </w:r>
      <w:r w:rsidRPr="00674DAF">
        <w:rPr>
          <w:shd w:val="clear" w:color="auto" w:fill="FFFFFF"/>
        </w:rPr>
        <w:t>18</w:t>
      </w:r>
      <w:r w:rsidR="00437C10">
        <w:rPr>
          <w:shd w:val="clear" w:color="auto" w:fill="FFFFFF"/>
        </w:rPr>
        <w:noBreakHyphen/>
      </w:r>
      <w:r w:rsidRPr="00674DAF">
        <w:rPr>
          <w:shd w:val="clear" w:color="auto" w:fill="FFFFFF"/>
        </w:rPr>
        <w:t>L.</w:t>
      </w:r>
    </w:p>
    <w:p w14:paraId="0D53B0C9" w14:textId="77777777" w:rsidR="002F6990" w:rsidRPr="00674DAF" w:rsidRDefault="002F6990" w:rsidP="00437C10">
      <w:pPr>
        <w:pStyle w:val="Definition"/>
      </w:pPr>
      <w:r w:rsidRPr="00674DAF">
        <w:rPr>
          <w:b/>
          <w:i/>
        </w:rPr>
        <w:lastRenderedPageBreak/>
        <w:t>l</w:t>
      </w:r>
      <w:r w:rsidR="00293ADF" w:rsidRPr="00674DAF">
        <w:rPr>
          <w:b/>
          <w:i/>
        </w:rPr>
        <w:t>eviable entity</w:t>
      </w:r>
      <w:r w:rsidR="00EE5315" w:rsidRPr="00674DAF">
        <w:t>, for a levy year,</w:t>
      </w:r>
      <w:r w:rsidR="007F3811" w:rsidRPr="00674DAF">
        <w:t xml:space="preserve"> </w:t>
      </w:r>
      <w:r w:rsidR="00C557FB" w:rsidRPr="00674DAF">
        <w:t xml:space="preserve">means a person who is </w:t>
      </w:r>
      <w:r w:rsidR="003A6246" w:rsidRPr="00674DAF">
        <w:t>the</w:t>
      </w:r>
      <w:r w:rsidR="00C557FB" w:rsidRPr="00674DAF">
        <w:t xml:space="preserve"> registered holder of a petroleum production licence at any time during the levy year</w:t>
      </w:r>
      <w:r w:rsidR="004F59B7" w:rsidRPr="00674DAF">
        <w:t>.</w:t>
      </w:r>
    </w:p>
    <w:p w14:paraId="5EB1B681" w14:textId="77777777" w:rsidR="00F52449" w:rsidRPr="00674DAF" w:rsidRDefault="00F52449" w:rsidP="00437C10">
      <w:pPr>
        <w:pStyle w:val="Definition"/>
      </w:pPr>
      <w:r w:rsidRPr="00674DAF">
        <w:rPr>
          <w:b/>
          <w:i/>
        </w:rPr>
        <w:t>levy</w:t>
      </w:r>
      <w:r w:rsidRPr="00674DAF">
        <w:t xml:space="preserve"> means levy imposed by this Act.</w:t>
      </w:r>
    </w:p>
    <w:p w14:paraId="62B36880" w14:textId="77777777" w:rsidR="003E64D4" w:rsidRPr="00674DAF" w:rsidRDefault="003E64D4" w:rsidP="00437C10">
      <w:pPr>
        <w:pStyle w:val="Definition"/>
      </w:pPr>
      <w:r w:rsidRPr="00674DAF">
        <w:rPr>
          <w:b/>
          <w:i/>
        </w:rPr>
        <w:t>levy year</w:t>
      </w:r>
      <w:r w:rsidR="002F6990" w:rsidRPr="00674DAF">
        <w:t xml:space="preserve"> has the meaning given by section </w:t>
      </w:r>
      <w:r w:rsidR="009D52E0" w:rsidRPr="00674DAF">
        <w:t>7</w:t>
      </w:r>
      <w:r w:rsidR="002F6990" w:rsidRPr="00674DAF">
        <w:t>.</w:t>
      </w:r>
    </w:p>
    <w:p w14:paraId="17BCD716" w14:textId="77777777" w:rsidR="00974BCD" w:rsidRPr="00674DAF" w:rsidRDefault="00974BCD" w:rsidP="00437C10">
      <w:pPr>
        <w:pStyle w:val="Definition"/>
      </w:pPr>
      <w:r w:rsidRPr="00674DAF">
        <w:rPr>
          <w:b/>
          <w:bCs/>
          <w:i/>
          <w:iCs/>
          <w:color w:val="000000"/>
          <w:szCs w:val="22"/>
          <w:shd w:val="clear" w:color="auto" w:fill="FFFFFF"/>
        </w:rPr>
        <w:t>Northern Endeavour </w:t>
      </w:r>
      <w:r w:rsidRPr="00674DAF">
        <w:rPr>
          <w:color w:val="000000"/>
          <w:szCs w:val="22"/>
          <w:shd w:val="clear" w:color="auto" w:fill="FFFFFF"/>
        </w:rPr>
        <w:t>means the Northern Endeavour floating production storage and offtake facility (Australian General Shipping Register official number 860769).</w:t>
      </w:r>
    </w:p>
    <w:p w14:paraId="42941FA3" w14:textId="77777777" w:rsidR="00E81CDE" w:rsidRPr="00674DAF" w:rsidRDefault="00E81CDE" w:rsidP="00437C10">
      <w:pPr>
        <w:pStyle w:val="Definition"/>
      </w:pPr>
      <w:r w:rsidRPr="00674DAF">
        <w:rPr>
          <w:b/>
          <w:i/>
        </w:rPr>
        <w:t>petroleum</w:t>
      </w:r>
      <w:r w:rsidRPr="00674DAF">
        <w:t xml:space="preserve"> has the same meaning as in the </w:t>
      </w:r>
      <w:r w:rsidRPr="00674DAF">
        <w:rPr>
          <w:i/>
        </w:rPr>
        <w:t>Offshore Petroleum and Greenhouse Gas Storage Act 2006</w:t>
      </w:r>
      <w:r w:rsidRPr="00674DAF">
        <w:t>.</w:t>
      </w:r>
    </w:p>
    <w:p w14:paraId="478E9658" w14:textId="77777777" w:rsidR="00A66661" w:rsidRPr="00674DAF" w:rsidRDefault="00A66661" w:rsidP="00437C10">
      <w:pPr>
        <w:pStyle w:val="Definition"/>
      </w:pPr>
      <w:r w:rsidRPr="00674DAF">
        <w:rPr>
          <w:b/>
          <w:i/>
        </w:rPr>
        <w:t>petroleum amount</w:t>
      </w:r>
      <w:r w:rsidR="00446E75" w:rsidRPr="00674DAF">
        <w:t>,</w:t>
      </w:r>
      <w:r w:rsidRPr="00674DAF">
        <w:t xml:space="preserve"> </w:t>
      </w:r>
      <w:r w:rsidR="00102FCA" w:rsidRPr="00674DAF">
        <w:t xml:space="preserve">for a </w:t>
      </w:r>
      <w:r w:rsidR="00244803" w:rsidRPr="00674DAF">
        <w:t xml:space="preserve">leviable entity for a </w:t>
      </w:r>
      <w:r w:rsidR="00102FCA" w:rsidRPr="00674DAF">
        <w:t>levy year</w:t>
      </w:r>
      <w:r w:rsidR="00446E75" w:rsidRPr="00674DAF">
        <w:t>,</w:t>
      </w:r>
      <w:r w:rsidR="00102FCA" w:rsidRPr="00674DAF">
        <w:t xml:space="preserve"> </w:t>
      </w:r>
      <w:r w:rsidRPr="00674DAF">
        <w:t>has the meaning given by subsection 11(1).</w:t>
      </w:r>
    </w:p>
    <w:p w14:paraId="442A778C" w14:textId="77777777" w:rsidR="00622E42" w:rsidRPr="00674DAF" w:rsidRDefault="00622E42" w:rsidP="00437C10">
      <w:pPr>
        <w:pStyle w:val="Definition"/>
      </w:pPr>
      <w:r w:rsidRPr="00674DAF">
        <w:rPr>
          <w:b/>
          <w:i/>
        </w:rPr>
        <w:t>petroleum production licence</w:t>
      </w:r>
      <w:r w:rsidRPr="00674DAF">
        <w:t xml:space="preserve"> has the same meaning as in the </w:t>
      </w:r>
      <w:r w:rsidRPr="00674DAF">
        <w:rPr>
          <w:i/>
        </w:rPr>
        <w:t>Offshore Petroleum and Greenhouse Gas Storage Act 2006</w:t>
      </w:r>
      <w:r w:rsidRPr="00674DAF">
        <w:t>.</w:t>
      </w:r>
    </w:p>
    <w:p w14:paraId="2C391DF0" w14:textId="77777777" w:rsidR="001C36A6" w:rsidRPr="00674DAF" w:rsidRDefault="001C36A6" w:rsidP="00437C10">
      <w:pPr>
        <w:pStyle w:val="Definition"/>
      </w:pPr>
      <w:r w:rsidRPr="00674DAF">
        <w:rPr>
          <w:b/>
          <w:i/>
        </w:rPr>
        <w:t>registered holder</w:t>
      </w:r>
      <w:r w:rsidRPr="00674DAF">
        <w:t xml:space="preserve"> has the same meaning as in the </w:t>
      </w:r>
      <w:r w:rsidRPr="00674DAF">
        <w:rPr>
          <w:i/>
        </w:rPr>
        <w:t>Offshore Petroleum and Greenhouse Gas Storage Act 2006</w:t>
      </w:r>
      <w:r w:rsidRPr="00674DAF">
        <w:t>.</w:t>
      </w:r>
    </w:p>
    <w:p w14:paraId="263E3F21" w14:textId="77777777" w:rsidR="005C21B0" w:rsidRPr="00674DAF" w:rsidRDefault="005C21B0" w:rsidP="00437C10">
      <w:pPr>
        <w:pStyle w:val="Definition"/>
      </w:pPr>
      <w:r w:rsidRPr="00674DAF">
        <w:rPr>
          <w:b/>
          <w:i/>
        </w:rPr>
        <w:t>Resources Minister</w:t>
      </w:r>
      <w:r w:rsidRPr="00674DAF">
        <w:t xml:space="preserve"> means the Minister administering the </w:t>
      </w:r>
      <w:r w:rsidRPr="00674DAF">
        <w:rPr>
          <w:i/>
        </w:rPr>
        <w:t>Offshore Petroleum and Greenhouse Gas Storage Act 2006</w:t>
      </w:r>
      <w:r w:rsidRPr="00674DAF">
        <w:t>.</w:t>
      </w:r>
    </w:p>
    <w:p w14:paraId="3D089EA5" w14:textId="77777777" w:rsidR="006E1872" w:rsidRPr="00674DAF" w:rsidRDefault="00420017" w:rsidP="00437C10">
      <w:pPr>
        <w:pStyle w:val="Definition"/>
      </w:pPr>
      <w:r w:rsidRPr="00674DAF">
        <w:rPr>
          <w:b/>
          <w:i/>
        </w:rPr>
        <w:t>total decommissioning cost</w:t>
      </w:r>
      <w:r w:rsidRPr="00674DAF">
        <w:t xml:space="preserve"> means the total amount</w:t>
      </w:r>
      <w:r w:rsidR="004742C4" w:rsidRPr="00674DAF">
        <w:t xml:space="preserve"> in dollars</w:t>
      </w:r>
      <w:r w:rsidRPr="00674DAF">
        <w:t xml:space="preserve"> of </w:t>
      </w:r>
      <w:r w:rsidR="00E955AB" w:rsidRPr="00674DAF">
        <w:t xml:space="preserve">net </w:t>
      </w:r>
      <w:r w:rsidRPr="00674DAF">
        <w:t>costs reasonably incurred by the Commonwealth</w:t>
      </w:r>
      <w:r w:rsidR="003A21C9" w:rsidRPr="00674DAF">
        <w:t xml:space="preserve"> </w:t>
      </w:r>
      <w:r w:rsidRPr="00674DAF">
        <w:t>in relation to</w:t>
      </w:r>
      <w:r w:rsidR="009C353A" w:rsidRPr="00674DAF">
        <w:t xml:space="preserve"> </w:t>
      </w:r>
      <w:r w:rsidR="00B21A5B" w:rsidRPr="00674DAF">
        <w:t xml:space="preserve">the </w:t>
      </w:r>
      <w:r w:rsidR="00A749D2" w:rsidRPr="00674DAF">
        <w:t>decommissioning</w:t>
      </w:r>
      <w:r w:rsidR="00437C10">
        <w:noBreakHyphen/>
      </w:r>
      <w:r w:rsidR="00A749D2" w:rsidRPr="00674DAF">
        <w:t xml:space="preserve">related </w:t>
      </w:r>
      <w:r w:rsidR="00271E7B" w:rsidRPr="00674DAF">
        <w:t>activities</w:t>
      </w:r>
      <w:r w:rsidR="006E1872" w:rsidRPr="00674DAF">
        <w:t>.</w:t>
      </w:r>
    </w:p>
    <w:p w14:paraId="0EBAE8A0" w14:textId="77777777" w:rsidR="006B4BB3" w:rsidRPr="00674DAF" w:rsidRDefault="009D52E0" w:rsidP="00437C10">
      <w:pPr>
        <w:pStyle w:val="ActHead5"/>
      </w:pPr>
      <w:bookmarkStart w:id="6" w:name="_Toc100046603"/>
      <w:r w:rsidRPr="005B1182">
        <w:rPr>
          <w:rStyle w:val="CharSectno"/>
        </w:rPr>
        <w:t>7</w:t>
      </w:r>
      <w:r w:rsidR="006B4BB3" w:rsidRPr="00674DAF">
        <w:t xml:space="preserve">  Meaning of </w:t>
      </w:r>
      <w:r w:rsidR="006B4BB3" w:rsidRPr="00674DAF">
        <w:rPr>
          <w:i/>
        </w:rPr>
        <w:t>levy year</w:t>
      </w:r>
      <w:bookmarkEnd w:id="6"/>
    </w:p>
    <w:p w14:paraId="337AFCF2" w14:textId="77777777" w:rsidR="00807CB9" w:rsidRPr="00674DAF" w:rsidRDefault="006B4BB3" w:rsidP="00437C10">
      <w:pPr>
        <w:pStyle w:val="subsection"/>
      </w:pPr>
      <w:r w:rsidRPr="00674DAF">
        <w:tab/>
        <w:t>(1)</w:t>
      </w:r>
      <w:r w:rsidRPr="00674DAF">
        <w:tab/>
      </w:r>
      <w:r w:rsidR="004742C4" w:rsidRPr="00674DAF">
        <w:t xml:space="preserve">Each of the following is a </w:t>
      </w:r>
      <w:r w:rsidR="004742C4" w:rsidRPr="00674DAF">
        <w:rPr>
          <w:b/>
          <w:i/>
        </w:rPr>
        <w:t>levy year</w:t>
      </w:r>
      <w:r w:rsidR="004742C4" w:rsidRPr="00674DAF">
        <w:t>:</w:t>
      </w:r>
    </w:p>
    <w:p w14:paraId="104699F2" w14:textId="77777777" w:rsidR="004742C4" w:rsidRPr="00674DAF" w:rsidRDefault="004742C4" w:rsidP="00437C10">
      <w:pPr>
        <w:pStyle w:val="paragraph"/>
      </w:pPr>
      <w:r w:rsidRPr="00674DAF">
        <w:tab/>
        <w:t>(a)</w:t>
      </w:r>
      <w:r w:rsidRPr="00674DAF">
        <w:tab/>
        <w:t xml:space="preserve">the financial year beginning on </w:t>
      </w:r>
      <w:r w:rsidR="006255F7" w:rsidRPr="00674DAF">
        <w:t>1 July</w:t>
      </w:r>
      <w:r w:rsidRPr="00674DAF">
        <w:t xml:space="preserve"> 2021;</w:t>
      </w:r>
    </w:p>
    <w:p w14:paraId="7F8C9E12" w14:textId="77777777" w:rsidR="004742C4" w:rsidRPr="00674DAF" w:rsidRDefault="004742C4" w:rsidP="00437C10">
      <w:pPr>
        <w:pStyle w:val="paragraph"/>
      </w:pPr>
      <w:r w:rsidRPr="00674DAF">
        <w:tab/>
        <w:t>(b)</w:t>
      </w:r>
      <w:r w:rsidRPr="00674DAF">
        <w:tab/>
        <w:t xml:space="preserve">each subsequent financial year, ending with the financial year beginning on </w:t>
      </w:r>
      <w:r w:rsidR="006255F7" w:rsidRPr="00674DAF">
        <w:t>1 July</w:t>
      </w:r>
      <w:r w:rsidRPr="00674DAF">
        <w:t xml:space="preserve"> 2029.</w:t>
      </w:r>
    </w:p>
    <w:p w14:paraId="50990B7A" w14:textId="77777777" w:rsidR="00807CB9" w:rsidRPr="00674DAF" w:rsidRDefault="00807CB9" w:rsidP="00437C10">
      <w:pPr>
        <w:pStyle w:val="SubsectionHead"/>
      </w:pPr>
      <w:r w:rsidRPr="00674DAF">
        <w:lastRenderedPageBreak/>
        <w:t>Termination of levy</w:t>
      </w:r>
    </w:p>
    <w:p w14:paraId="1A5A39BD" w14:textId="77777777" w:rsidR="006B4BB3" w:rsidRPr="00674DAF" w:rsidRDefault="006B4BB3" w:rsidP="00437C10">
      <w:pPr>
        <w:pStyle w:val="subsection"/>
      </w:pPr>
      <w:r w:rsidRPr="00674DAF">
        <w:tab/>
        <w:t>(</w:t>
      </w:r>
      <w:r w:rsidR="007440C5" w:rsidRPr="00674DAF">
        <w:t>2</w:t>
      </w:r>
      <w:r w:rsidRPr="00674DAF">
        <w:t>)</w:t>
      </w:r>
      <w:r w:rsidRPr="00674DAF">
        <w:tab/>
      </w:r>
      <w:r w:rsidR="00807CB9" w:rsidRPr="00674DAF">
        <w:t xml:space="preserve">Despite </w:t>
      </w:r>
      <w:r w:rsidR="00335B72" w:rsidRPr="00674DAF">
        <w:t>subsection (</w:t>
      </w:r>
      <w:r w:rsidR="00807CB9" w:rsidRPr="00674DAF">
        <w:t>1)</w:t>
      </w:r>
      <w:r w:rsidR="007440C5" w:rsidRPr="00674DAF">
        <w:t>, a</w:t>
      </w:r>
      <w:r w:rsidRPr="00674DAF">
        <w:t xml:space="preserve">t any time during a financial year (the </w:t>
      </w:r>
      <w:r w:rsidRPr="00674DAF">
        <w:rPr>
          <w:b/>
          <w:i/>
        </w:rPr>
        <w:t>current year</w:t>
      </w:r>
      <w:r w:rsidRPr="00674DAF">
        <w:t xml:space="preserve">) beginning on or before </w:t>
      </w:r>
      <w:r w:rsidR="006255F7" w:rsidRPr="00674DAF">
        <w:t>1 July</w:t>
      </w:r>
      <w:r w:rsidRPr="00674DAF">
        <w:t xml:space="preserve"> 202</w:t>
      </w:r>
      <w:r w:rsidR="00C648E0" w:rsidRPr="00674DAF">
        <w:t>8</w:t>
      </w:r>
      <w:r w:rsidRPr="00674DAF">
        <w:t xml:space="preserve">, the </w:t>
      </w:r>
      <w:r w:rsidR="005C21B0" w:rsidRPr="00674DAF">
        <w:t xml:space="preserve">Resources </w:t>
      </w:r>
      <w:r w:rsidRPr="00674DAF">
        <w:t xml:space="preserve">Minister may determine, by legislative instrument, that no financial year after the current year </w:t>
      </w:r>
      <w:r w:rsidR="00BB2111" w:rsidRPr="00674DAF">
        <w:t>is</w:t>
      </w:r>
      <w:r w:rsidRPr="00674DAF">
        <w:t xml:space="preserve"> a </w:t>
      </w:r>
      <w:r w:rsidRPr="00674DAF">
        <w:rPr>
          <w:b/>
          <w:i/>
        </w:rPr>
        <w:t xml:space="preserve">levy year </w:t>
      </w:r>
      <w:r w:rsidRPr="00674DAF">
        <w:t>for the purposes of this Act.</w:t>
      </w:r>
    </w:p>
    <w:p w14:paraId="1265C927" w14:textId="77777777" w:rsidR="006B4BB3" w:rsidRPr="00674DAF" w:rsidRDefault="006B4BB3" w:rsidP="00437C10">
      <w:pPr>
        <w:pStyle w:val="subsection"/>
      </w:pPr>
      <w:r w:rsidRPr="00674DAF">
        <w:tab/>
        <w:t>(</w:t>
      </w:r>
      <w:r w:rsidR="007440C5" w:rsidRPr="00674DAF">
        <w:t>3)</w:t>
      </w:r>
      <w:r w:rsidRPr="00674DAF">
        <w:tab/>
        <w:t xml:space="preserve">A determination made under </w:t>
      </w:r>
      <w:r w:rsidR="00335B72" w:rsidRPr="00674DAF">
        <w:t>subsection (</w:t>
      </w:r>
      <w:r w:rsidR="007440C5" w:rsidRPr="00674DAF">
        <w:t>2</w:t>
      </w:r>
      <w:r w:rsidRPr="00674DAF">
        <w:t>) has effect accordingly</w:t>
      </w:r>
      <w:r w:rsidR="007440C5" w:rsidRPr="00674DAF">
        <w:t>.</w:t>
      </w:r>
    </w:p>
    <w:p w14:paraId="65E28733" w14:textId="77777777" w:rsidR="006B0C25" w:rsidRPr="00674DAF" w:rsidRDefault="006B0C25" w:rsidP="00437C10">
      <w:pPr>
        <w:pStyle w:val="notetext"/>
      </w:pPr>
      <w:r w:rsidRPr="00674DAF">
        <w:t>Note:</w:t>
      </w:r>
      <w:r w:rsidRPr="00674DAF">
        <w:tab/>
        <w:t xml:space="preserve">For when the determination takes effect, see section </w:t>
      </w:r>
      <w:r w:rsidR="009D52E0" w:rsidRPr="00674DAF">
        <w:t>12</w:t>
      </w:r>
      <w:r w:rsidRPr="00674DAF">
        <w:t>.</w:t>
      </w:r>
    </w:p>
    <w:p w14:paraId="3E69ABE9" w14:textId="77777777" w:rsidR="006B4BB3" w:rsidRPr="00674DAF" w:rsidRDefault="006B4BB3" w:rsidP="00437C10">
      <w:pPr>
        <w:pStyle w:val="subsection"/>
      </w:pPr>
      <w:r w:rsidRPr="00674DAF">
        <w:tab/>
        <w:t>(</w:t>
      </w:r>
      <w:r w:rsidR="007440C5" w:rsidRPr="00674DAF">
        <w:t>4</w:t>
      </w:r>
      <w:r w:rsidRPr="00674DAF">
        <w:t>)</w:t>
      </w:r>
      <w:r w:rsidRPr="00674DAF">
        <w:tab/>
        <w:t xml:space="preserve">The </w:t>
      </w:r>
      <w:r w:rsidR="005C21B0" w:rsidRPr="00674DAF">
        <w:t xml:space="preserve">Resources </w:t>
      </w:r>
      <w:r w:rsidRPr="00674DAF">
        <w:t xml:space="preserve">Minister may only make a determination under </w:t>
      </w:r>
      <w:r w:rsidR="00335B72" w:rsidRPr="00674DAF">
        <w:t>subsection (</w:t>
      </w:r>
      <w:r w:rsidR="007440C5" w:rsidRPr="00674DAF">
        <w:t>2</w:t>
      </w:r>
      <w:r w:rsidRPr="00674DAF">
        <w:t>) if the</w:t>
      </w:r>
      <w:r w:rsidR="005C21B0" w:rsidRPr="00674DAF">
        <w:t xml:space="preserve"> Resources</w:t>
      </w:r>
      <w:r w:rsidRPr="00674DAF">
        <w:t xml:space="preserve"> Minister is satisfied that:</w:t>
      </w:r>
    </w:p>
    <w:p w14:paraId="76F4D133" w14:textId="77777777" w:rsidR="006B4BB3" w:rsidRPr="00674DAF" w:rsidRDefault="006B4BB3" w:rsidP="00437C10">
      <w:pPr>
        <w:pStyle w:val="paragraph"/>
      </w:pPr>
      <w:r w:rsidRPr="00674DAF">
        <w:tab/>
        <w:t>(a)</w:t>
      </w:r>
      <w:r w:rsidRPr="00674DAF">
        <w:tab/>
        <w:t>the total decommissioning cost,</w:t>
      </w:r>
      <w:r w:rsidR="00977662" w:rsidRPr="00674DAF">
        <w:t xml:space="preserve"> if</w:t>
      </w:r>
      <w:r w:rsidR="00A77FF7" w:rsidRPr="00674DAF">
        <w:t xml:space="preserve"> </w:t>
      </w:r>
      <w:r w:rsidR="009D52E0" w:rsidRPr="00674DAF">
        <w:t>calculated</w:t>
      </w:r>
      <w:r w:rsidRPr="00674DAF">
        <w:t xml:space="preserve"> at the end of the current year, w</w:t>
      </w:r>
      <w:r w:rsidR="00977662" w:rsidRPr="00674DAF">
        <w:t>ould</w:t>
      </w:r>
      <w:r w:rsidRPr="00674DAF">
        <w:t xml:space="preserve"> not exceed the total of the following:</w:t>
      </w:r>
    </w:p>
    <w:p w14:paraId="290A7D47" w14:textId="77777777" w:rsidR="006B4BB3" w:rsidRPr="00674DAF" w:rsidRDefault="006B4BB3" w:rsidP="00437C10">
      <w:pPr>
        <w:pStyle w:val="paragraphsub"/>
      </w:pPr>
      <w:r w:rsidRPr="00674DAF">
        <w:tab/>
        <w:t>(i)</w:t>
      </w:r>
      <w:r w:rsidRPr="00674DAF">
        <w:tab/>
        <w:t xml:space="preserve">the amount of levy that is likely to be </w:t>
      </w:r>
      <w:r w:rsidR="00E03ACB" w:rsidRPr="00674DAF">
        <w:t>assessed</w:t>
      </w:r>
      <w:r w:rsidRPr="00674DAF">
        <w:t xml:space="preserve"> for the current year;</w:t>
      </w:r>
    </w:p>
    <w:p w14:paraId="1274C810" w14:textId="77777777" w:rsidR="006B4BB3" w:rsidRPr="00674DAF" w:rsidRDefault="006B4BB3" w:rsidP="00437C10">
      <w:pPr>
        <w:pStyle w:val="paragraphsub"/>
      </w:pPr>
      <w:r w:rsidRPr="00674DAF">
        <w:tab/>
        <w:t>(ii)</w:t>
      </w:r>
      <w:r w:rsidRPr="00674DAF">
        <w:tab/>
        <w:t xml:space="preserve">the amount of levy that has been </w:t>
      </w:r>
      <w:r w:rsidR="004742C4" w:rsidRPr="00674DAF">
        <w:t>assessed</w:t>
      </w:r>
      <w:r w:rsidRPr="00674DAF">
        <w:t xml:space="preserve"> for previous levy years; and</w:t>
      </w:r>
    </w:p>
    <w:p w14:paraId="252BDB4A" w14:textId="77777777" w:rsidR="006B4BB3" w:rsidRPr="00674DAF" w:rsidRDefault="006B4BB3" w:rsidP="00437C10">
      <w:pPr>
        <w:pStyle w:val="paragraph"/>
      </w:pPr>
      <w:r w:rsidRPr="00674DAF">
        <w:tab/>
        <w:t>(b)</w:t>
      </w:r>
      <w:r w:rsidRPr="00674DAF">
        <w:tab/>
        <w:t xml:space="preserve">the Commonwealth is unlikely to incur costs in relation to </w:t>
      </w:r>
      <w:r w:rsidR="00A749D2" w:rsidRPr="00674DAF">
        <w:t>decommissioning</w:t>
      </w:r>
      <w:r w:rsidR="00437C10">
        <w:noBreakHyphen/>
      </w:r>
      <w:r w:rsidR="00A749D2" w:rsidRPr="00674DAF">
        <w:t>related</w:t>
      </w:r>
      <w:r w:rsidR="009D52E0" w:rsidRPr="00674DAF">
        <w:t xml:space="preserve"> activities after the end of the current year.</w:t>
      </w:r>
    </w:p>
    <w:p w14:paraId="1E8878AE" w14:textId="77777777" w:rsidR="00CA4FCE" w:rsidRPr="00674DAF" w:rsidRDefault="00CA4FCE" w:rsidP="00437C10">
      <w:pPr>
        <w:pStyle w:val="ActHead5"/>
      </w:pPr>
      <w:bookmarkStart w:id="7" w:name="_Toc100046604"/>
      <w:r w:rsidRPr="005B1182">
        <w:rPr>
          <w:rStyle w:val="CharSectno"/>
        </w:rPr>
        <w:t>8</w:t>
      </w:r>
      <w:r w:rsidRPr="00674DAF">
        <w:t xml:space="preserve">  Meaning of </w:t>
      </w:r>
      <w:r w:rsidRPr="00674DAF">
        <w:rPr>
          <w:i/>
        </w:rPr>
        <w:t>Commonwealth’s unrecovered costs</w:t>
      </w:r>
      <w:r w:rsidRPr="00674DAF">
        <w:t xml:space="preserve"> for a levy year</w:t>
      </w:r>
      <w:bookmarkEnd w:id="7"/>
    </w:p>
    <w:p w14:paraId="748A7A08" w14:textId="77777777" w:rsidR="00CA4FCE" w:rsidRPr="00674DAF" w:rsidRDefault="00CA4FCE" w:rsidP="00437C10">
      <w:pPr>
        <w:pStyle w:val="subsection"/>
      </w:pPr>
      <w:r w:rsidRPr="00674DAF">
        <w:tab/>
        <w:t>(1)</w:t>
      </w:r>
      <w:r w:rsidRPr="00674DAF">
        <w:tab/>
        <w:t>If the</w:t>
      </w:r>
      <w:r w:rsidR="005C21B0" w:rsidRPr="00674DAF">
        <w:t xml:space="preserve"> Resources</w:t>
      </w:r>
      <w:r w:rsidRPr="00674DAF">
        <w:t xml:space="preserve"> Minister makes a determination for a levy year under </w:t>
      </w:r>
      <w:r w:rsidR="00335B72" w:rsidRPr="00674DAF">
        <w:t>subsection (</w:t>
      </w:r>
      <w:r w:rsidRPr="00674DAF">
        <w:t xml:space="preserve">2), the </w:t>
      </w:r>
      <w:r w:rsidRPr="00674DAF">
        <w:rPr>
          <w:b/>
          <w:i/>
        </w:rPr>
        <w:t>Commonwealth’s unrecovered costs</w:t>
      </w:r>
      <w:r w:rsidRPr="00674DAF">
        <w:t xml:space="preserve"> for the levy year are the amount specified in the determination.</w:t>
      </w:r>
    </w:p>
    <w:p w14:paraId="7F788867" w14:textId="77777777" w:rsidR="00CA4FCE" w:rsidRPr="00674DAF" w:rsidRDefault="00CA4FCE" w:rsidP="00437C10">
      <w:pPr>
        <w:pStyle w:val="notetext"/>
      </w:pPr>
      <w:r w:rsidRPr="00674DAF">
        <w:t>Note:</w:t>
      </w:r>
      <w:r w:rsidRPr="00674DAF">
        <w:tab/>
        <w:t>For the timing of when instruments take effect, see section 12.</w:t>
      </w:r>
    </w:p>
    <w:p w14:paraId="4E15CF3A" w14:textId="77777777" w:rsidR="00CA4FCE" w:rsidRPr="00674DAF" w:rsidRDefault="00CA4FCE" w:rsidP="00437C10">
      <w:pPr>
        <w:pStyle w:val="subsection"/>
      </w:pPr>
      <w:r w:rsidRPr="00674DAF">
        <w:tab/>
        <w:t>(2)</w:t>
      </w:r>
      <w:r w:rsidRPr="00674DAF">
        <w:tab/>
        <w:t xml:space="preserve">The </w:t>
      </w:r>
      <w:r w:rsidR="005C21B0" w:rsidRPr="00674DAF">
        <w:t xml:space="preserve">Resources </w:t>
      </w:r>
      <w:r w:rsidRPr="00674DAF">
        <w:t xml:space="preserve">Minister may, by legislative instrument, make a determination for a levy year specifying the amount </w:t>
      </w:r>
      <w:r w:rsidR="004742C4" w:rsidRPr="00674DAF">
        <w:t xml:space="preserve">in dollars </w:t>
      </w:r>
      <w:r w:rsidRPr="00674DAF">
        <w:t xml:space="preserve">by which the total amount of levy </w:t>
      </w:r>
      <w:r w:rsidR="004742C4" w:rsidRPr="00674DAF">
        <w:t>assessed</w:t>
      </w:r>
      <w:r w:rsidRPr="00674DAF">
        <w:t xml:space="preserve"> for previous levy years falls short of the total decommissioning cost, as that cost is calculated at the end of the levy year for which the determination is made.</w:t>
      </w:r>
    </w:p>
    <w:p w14:paraId="35BBCEFE" w14:textId="77777777" w:rsidR="00CA4FCE" w:rsidRPr="00674DAF" w:rsidRDefault="00CA4FCE" w:rsidP="00437C10">
      <w:pPr>
        <w:pStyle w:val="subsection"/>
      </w:pPr>
      <w:r w:rsidRPr="00674DAF">
        <w:tab/>
        <w:t>(3)</w:t>
      </w:r>
      <w:r w:rsidRPr="00674DAF">
        <w:tab/>
        <w:t xml:space="preserve">A determination for a levy year under </w:t>
      </w:r>
      <w:r w:rsidR="00335B72" w:rsidRPr="00674DAF">
        <w:t>subsection (</w:t>
      </w:r>
      <w:r w:rsidRPr="00674DAF">
        <w:t>2):</w:t>
      </w:r>
    </w:p>
    <w:p w14:paraId="0100C7D6" w14:textId="77777777" w:rsidR="00CA4FCE" w:rsidRPr="00674DAF" w:rsidRDefault="00CA4FCE" w:rsidP="00437C10">
      <w:pPr>
        <w:pStyle w:val="paragraph"/>
      </w:pPr>
      <w:r w:rsidRPr="00674DAF">
        <w:lastRenderedPageBreak/>
        <w:tab/>
        <w:t>(a)</w:t>
      </w:r>
      <w:r w:rsidRPr="00674DAF">
        <w:tab/>
      </w:r>
      <w:r w:rsidR="00121BE9" w:rsidRPr="00674DAF">
        <w:t>must not be made unless the</w:t>
      </w:r>
      <w:r w:rsidR="005C21B0" w:rsidRPr="00674DAF">
        <w:t xml:space="preserve"> Resources</w:t>
      </w:r>
      <w:r w:rsidR="00121BE9" w:rsidRPr="00674DAF">
        <w:t xml:space="preserve"> Minister considers that the levy rate of $0.48 that would otherwise apply under subsection 11(1) would result in the total amount of levy </w:t>
      </w:r>
      <w:r w:rsidR="009D7DDE" w:rsidRPr="00674DAF">
        <w:t xml:space="preserve">to be </w:t>
      </w:r>
      <w:r w:rsidR="00121BE9" w:rsidRPr="00674DAF">
        <w:t>assessed for the levy year exceeding the amount to be specified in the determination</w:t>
      </w:r>
      <w:r w:rsidRPr="00674DAF">
        <w:t>; and</w:t>
      </w:r>
    </w:p>
    <w:p w14:paraId="15FEFCE4" w14:textId="77777777" w:rsidR="00CA4FCE" w:rsidRPr="00674DAF" w:rsidRDefault="00CA4FCE" w:rsidP="00437C10">
      <w:pPr>
        <w:pStyle w:val="paragraph"/>
      </w:pPr>
      <w:r w:rsidRPr="00674DAF">
        <w:tab/>
        <w:t>(b)</w:t>
      </w:r>
      <w:r w:rsidRPr="00674DAF">
        <w:tab/>
        <w:t>may only be made within the period of 6 months after the end of the levy year.</w:t>
      </w:r>
    </w:p>
    <w:p w14:paraId="72386761" w14:textId="77777777" w:rsidR="009D52E0" w:rsidRPr="00674DAF" w:rsidRDefault="009D52E0" w:rsidP="00437C10">
      <w:pPr>
        <w:pStyle w:val="ActHead5"/>
      </w:pPr>
      <w:bookmarkStart w:id="8" w:name="_Toc100046605"/>
      <w:r w:rsidRPr="005B1182">
        <w:rPr>
          <w:rStyle w:val="CharSectno"/>
        </w:rPr>
        <w:t>9</w:t>
      </w:r>
      <w:r w:rsidRPr="00674DAF">
        <w:t xml:space="preserve">  Act does not impose levy on property of a State</w:t>
      </w:r>
      <w:bookmarkEnd w:id="8"/>
    </w:p>
    <w:p w14:paraId="78E2F48D" w14:textId="77777777" w:rsidR="009D52E0" w:rsidRPr="00674DAF" w:rsidRDefault="009D52E0" w:rsidP="00437C10">
      <w:pPr>
        <w:pStyle w:val="subsection"/>
      </w:pPr>
      <w:r w:rsidRPr="00674DAF">
        <w:tab/>
        <w:t>(1)</w:t>
      </w:r>
      <w:r w:rsidRPr="00674DAF">
        <w:tab/>
        <w:t>This Act does not impose a tax on property of any kind belonging to a State.</w:t>
      </w:r>
    </w:p>
    <w:p w14:paraId="35CCB4A4" w14:textId="77777777" w:rsidR="009D52E0" w:rsidRPr="00674DAF" w:rsidRDefault="009D52E0" w:rsidP="00437C10">
      <w:pPr>
        <w:pStyle w:val="subsection"/>
      </w:pPr>
      <w:r w:rsidRPr="00674DAF">
        <w:tab/>
        <w:t>(2)</w:t>
      </w:r>
      <w:r w:rsidRPr="00674DAF">
        <w:tab/>
        <w:t xml:space="preserve">In this section, </w:t>
      </w:r>
      <w:r w:rsidRPr="00674DAF">
        <w:rPr>
          <w:b/>
          <w:i/>
        </w:rPr>
        <w:t>property of any kind belonging to a State</w:t>
      </w:r>
      <w:r w:rsidRPr="00674DAF">
        <w:t xml:space="preserve"> has the same meaning as in </w:t>
      </w:r>
      <w:r w:rsidR="00C01828" w:rsidRPr="00674DAF">
        <w:t>section 1</w:t>
      </w:r>
      <w:r w:rsidRPr="00674DAF">
        <w:t>14 of the Constitution.</w:t>
      </w:r>
    </w:p>
    <w:p w14:paraId="093AD551" w14:textId="77777777" w:rsidR="009D52E0" w:rsidRPr="00674DAF" w:rsidRDefault="009D52E0" w:rsidP="00437C10">
      <w:pPr>
        <w:pStyle w:val="subsection"/>
      </w:pPr>
      <w:r w:rsidRPr="00674DAF">
        <w:rPr>
          <w:i/>
        </w:rPr>
        <w:tab/>
      </w:r>
      <w:r w:rsidRPr="00674DAF">
        <w:t>(3)</w:t>
      </w:r>
      <w:r w:rsidRPr="00674DAF">
        <w:tab/>
        <w:t xml:space="preserve">For the purposes of this section, assume that a reference in </w:t>
      </w:r>
      <w:r w:rsidR="00C01828" w:rsidRPr="00674DAF">
        <w:t>section 1</w:t>
      </w:r>
      <w:r w:rsidRPr="00674DAF">
        <w:t>14 of the Constitution to a State includes a reference to the Australian Capital Territory and the Northern Territory.</w:t>
      </w:r>
    </w:p>
    <w:p w14:paraId="311640D2" w14:textId="77777777" w:rsidR="00F06B09" w:rsidRPr="00674DAF" w:rsidRDefault="009D52E0" w:rsidP="00437C10">
      <w:pPr>
        <w:pStyle w:val="ActHead5"/>
      </w:pPr>
      <w:bookmarkStart w:id="9" w:name="_Toc100046606"/>
      <w:r w:rsidRPr="005B1182">
        <w:rPr>
          <w:rStyle w:val="CharSectno"/>
        </w:rPr>
        <w:t>10</w:t>
      </w:r>
      <w:r w:rsidR="00F06B09" w:rsidRPr="00674DAF">
        <w:t xml:space="preserve">  Imposition of levy</w:t>
      </w:r>
      <w:bookmarkEnd w:id="9"/>
    </w:p>
    <w:p w14:paraId="3DC17B33" w14:textId="77777777" w:rsidR="00F06B09" w:rsidRPr="00674DAF" w:rsidRDefault="00F06B09" w:rsidP="00437C10">
      <w:pPr>
        <w:pStyle w:val="subsection"/>
      </w:pPr>
      <w:r w:rsidRPr="00674DAF">
        <w:tab/>
      </w:r>
      <w:r w:rsidRPr="00674DAF">
        <w:tab/>
      </w:r>
      <w:r w:rsidR="001F6A6A" w:rsidRPr="00674DAF">
        <w:t>Levy</w:t>
      </w:r>
      <w:r w:rsidR="0025711E" w:rsidRPr="00674DAF">
        <w:t xml:space="preserve"> is imposed on </w:t>
      </w:r>
      <w:r w:rsidR="00C255E9" w:rsidRPr="00674DAF">
        <w:t xml:space="preserve">a </w:t>
      </w:r>
      <w:r w:rsidR="00A0547B" w:rsidRPr="00674DAF">
        <w:t>leviable entity for a levy year</w:t>
      </w:r>
      <w:r w:rsidR="0025711E" w:rsidRPr="00674DAF">
        <w:t>.</w:t>
      </w:r>
    </w:p>
    <w:p w14:paraId="42A0353C" w14:textId="77777777" w:rsidR="00F06B09" w:rsidRPr="00674DAF" w:rsidRDefault="009D52E0" w:rsidP="00437C10">
      <w:pPr>
        <w:pStyle w:val="ActHead5"/>
      </w:pPr>
      <w:bookmarkStart w:id="10" w:name="_Toc100046607"/>
      <w:r w:rsidRPr="005B1182">
        <w:rPr>
          <w:rStyle w:val="CharSectno"/>
        </w:rPr>
        <w:t>11</w:t>
      </w:r>
      <w:r w:rsidR="00F06B09" w:rsidRPr="00674DAF">
        <w:t xml:space="preserve">  Amount of levy</w:t>
      </w:r>
      <w:bookmarkEnd w:id="10"/>
    </w:p>
    <w:p w14:paraId="1727133E" w14:textId="77777777" w:rsidR="00121BE9" w:rsidRPr="00674DAF" w:rsidRDefault="00121BE9" w:rsidP="00437C10">
      <w:pPr>
        <w:pStyle w:val="subsection"/>
      </w:pPr>
      <w:r w:rsidRPr="00674DAF">
        <w:tab/>
        <w:t>(1)</w:t>
      </w:r>
      <w:r w:rsidRPr="00674DAF">
        <w:tab/>
        <w:t>The amount of levy payable by a leviable entity for a levy year is worked out using the following formula:</w:t>
      </w:r>
    </w:p>
    <w:p w14:paraId="511A0033" w14:textId="5A645FCB" w:rsidR="00611B9E" w:rsidRPr="00674DAF" w:rsidRDefault="006842F2" w:rsidP="00437C10">
      <w:pPr>
        <w:pStyle w:val="subsection2"/>
      </w:pPr>
      <w:r w:rsidRPr="00674DAF">
        <w:rPr>
          <w:position w:val="-20"/>
        </w:rPr>
        <w:object w:dxaOrig="3220" w:dyaOrig="620" w14:anchorId="3FC2B09C">
          <v:shape id="_x0000_i1028" type="#_x0000_t75" alt="Start formula Petroleum amount for the entity for the levy year times Levy rate end formula" style="width:159.75pt;height:31.5pt" o:ole="">
            <v:imagedata r:id="rId22" o:title=""/>
          </v:shape>
          <o:OLEObject Type="Embed" ProgID="Equation.DSMT4" ShapeID="_x0000_i1028" DrawAspect="Content" ObjectID="_1710659849" r:id="rId23"/>
        </w:object>
      </w:r>
    </w:p>
    <w:p w14:paraId="6D8673B9" w14:textId="77777777" w:rsidR="00121BE9" w:rsidRPr="00674DAF" w:rsidRDefault="00121BE9" w:rsidP="00437C10">
      <w:pPr>
        <w:pStyle w:val="subsection2"/>
      </w:pPr>
      <w:r w:rsidRPr="00674DAF">
        <w:t>where:</w:t>
      </w:r>
    </w:p>
    <w:p w14:paraId="5A12802F" w14:textId="77777777" w:rsidR="00121BE9" w:rsidRPr="00674DAF" w:rsidRDefault="00121BE9" w:rsidP="00437C10">
      <w:pPr>
        <w:pStyle w:val="Definition"/>
      </w:pPr>
      <w:r w:rsidRPr="00674DAF">
        <w:rPr>
          <w:b/>
          <w:i/>
        </w:rPr>
        <w:t>levy rate</w:t>
      </w:r>
      <w:r w:rsidRPr="00674DAF">
        <w:t xml:space="preserve"> is the lesser of the following:</w:t>
      </w:r>
    </w:p>
    <w:p w14:paraId="12CC6E35" w14:textId="77777777" w:rsidR="00121BE9" w:rsidRPr="00674DAF" w:rsidRDefault="00121BE9" w:rsidP="00437C10">
      <w:pPr>
        <w:pStyle w:val="paragraph"/>
      </w:pPr>
      <w:r w:rsidRPr="00674DAF">
        <w:tab/>
        <w:t>(a)</w:t>
      </w:r>
      <w:r w:rsidRPr="00674DAF">
        <w:tab/>
        <w:t>$0.48;</w:t>
      </w:r>
    </w:p>
    <w:p w14:paraId="47ACA6A5" w14:textId="77777777" w:rsidR="00121BE9" w:rsidRPr="00674DAF" w:rsidRDefault="00121BE9" w:rsidP="00437C10">
      <w:pPr>
        <w:pStyle w:val="paragraph"/>
      </w:pPr>
      <w:r w:rsidRPr="00674DAF">
        <w:tab/>
        <w:t>(b)</w:t>
      </w:r>
      <w:r w:rsidRPr="00674DAF">
        <w:tab/>
        <w:t xml:space="preserve">if a determination of the Commonwealth’s unrecovered costs for the levy year is in effect under section 8—the distributed levy rate for the levy year (see </w:t>
      </w:r>
      <w:r w:rsidR="00335B72" w:rsidRPr="00674DAF">
        <w:t>subsection (</w:t>
      </w:r>
      <w:r w:rsidRPr="00674DAF">
        <w:t>2) of this section).</w:t>
      </w:r>
    </w:p>
    <w:p w14:paraId="4581D50B" w14:textId="77777777" w:rsidR="00121BE9" w:rsidRPr="00674DAF" w:rsidRDefault="00121BE9" w:rsidP="00437C10">
      <w:pPr>
        <w:pStyle w:val="Definition"/>
      </w:pPr>
      <w:r w:rsidRPr="00674DAF">
        <w:rPr>
          <w:b/>
          <w:i/>
        </w:rPr>
        <w:lastRenderedPageBreak/>
        <w:t>petroleum amount</w:t>
      </w:r>
      <w:r w:rsidR="001B537B" w:rsidRPr="00674DAF">
        <w:t>,</w:t>
      </w:r>
      <w:r w:rsidRPr="00674DAF">
        <w:rPr>
          <w:b/>
        </w:rPr>
        <w:t xml:space="preserve"> </w:t>
      </w:r>
      <w:r w:rsidRPr="00674DAF">
        <w:t>for the</w:t>
      </w:r>
      <w:r w:rsidR="00244803" w:rsidRPr="00674DAF">
        <w:t xml:space="preserve"> entity for the</w:t>
      </w:r>
      <w:r w:rsidRPr="00674DAF">
        <w:t xml:space="preserve"> levy year</w:t>
      </w:r>
      <w:r w:rsidR="001B537B" w:rsidRPr="00674DAF">
        <w:t>,</w:t>
      </w:r>
      <w:r w:rsidRPr="00674DAF">
        <w:t xml:space="preserve"> is the total quantity of all petroleum, in barrels of oil equivalent </w:t>
      </w:r>
      <w:r w:rsidR="00277B82" w:rsidRPr="00674DAF">
        <w:t xml:space="preserve">and </w:t>
      </w:r>
      <w:r w:rsidRPr="00674DAF">
        <w:t xml:space="preserve">as measured at the wellhead, recovered </w:t>
      </w:r>
      <w:r w:rsidR="00F5098A" w:rsidRPr="00674DAF">
        <w:t xml:space="preserve">by the entity </w:t>
      </w:r>
      <w:r w:rsidRPr="00674DAF">
        <w:t>during the levy year under any petroleum production licences held by the entity.</w:t>
      </w:r>
    </w:p>
    <w:p w14:paraId="20D6DD51" w14:textId="77777777" w:rsidR="00121BE9" w:rsidRPr="00674DAF" w:rsidRDefault="00121BE9" w:rsidP="00437C10">
      <w:pPr>
        <w:pStyle w:val="subsection"/>
      </w:pPr>
      <w:r w:rsidRPr="00674DAF">
        <w:tab/>
        <w:t>(2)</w:t>
      </w:r>
      <w:r w:rsidRPr="00674DAF">
        <w:tab/>
        <w:t xml:space="preserve">The </w:t>
      </w:r>
      <w:r w:rsidRPr="00674DAF">
        <w:rPr>
          <w:b/>
          <w:i/>
        </w:rPr>
        <w:t>distributed levy rate</w:t>
      </w:r>
      <w:r w:rsidRPr="00674DAF">
        <w:t xml:space="preserve"> for a levy year is the amount worked out using the following formula:</w:t>
      </w:r>
    </w:p>
    <w:p w14:paraId="6DF5297D" w14:textId="10E47822" w:rsidR="00121BE9" w:rsidRPr="00674DAF" w:rsidRDefault="006842F2" w:rsidP="00437C10">
      <w:pPr>
        <w:pStyle w:val="subsection2"/>
      </w:pPr>
      <w:r w:rsidRPr="00674DAF">
        <w:object w:dxaOrig="2520" w:dyaOrig="1180" w14:anchorId="2AFE3035">
          <v:shape id="_x0000_i1029" type="#_x0000_t75" alt="Start formula start fraction Commonwealth’s unrecovered costs for the levy year over Total petroleum amount for the levy year end fraction end formula" style="width:126.75pt;height:59.25pt" o:ole="">
            <v:imagedata r:id="rId24" o:title=""/>
          </v:shape>
          <o:OLEObject Type="Embed" ProgID="Equation.DSMT4" ShapeID="_x0000_i1029" DrawAspect="Content" ObjectID="_1710659850" r:id="rId25"/>
        </w:object>
      </w:r>
    </w:p>
    <w:p w14:paraId="7145A209" w14:textId="77777777" w:rsidR="00121BE9" w:rsidRPr="00674DAF" w:rsidRDefault="00121BE9" w:rsidP="00437C10">
      <w:pPr>
        <w:pStyle w:val="subsection2"/>
      </w:pPr>
      <w:r w:rsidRPr="00674DAF">
        <w:t>where:</w:t>
      </w:r>
    </w:p>
    <w:p w14:paraId="17661667" w14:textId="77777777" w:rsidR="00121BE9" w:rsidRPr="00674DAF" w:rsidRDefault="00121BE9" w:rsidP="00437C10">
      <w:pPr>
        <w:pStyle w:val="Definition"/>
      </w:pPr>
      <w:r w:rsidRPr="00674DAF">
        <w:rPr>
          <w:b/>
          <w:i/>
        </w:rPr>
        <w:t>total petroleum amount</w:t>
      </w:r>
      <w:r w:rsidRPr="00674DAF">
        <w:t xml:space="preserve"> </w:t>
      </w:r>
      <w:r w:rsidR="00E461A1" w:rsidRPr="00674DAF">
        <w:t xml:space="preserve">for the levy year is the total of petroleum amounts for </w:t>
      </w:r>
      <w:r w:rsidR="00102FCA" w:rsidRPr="00674DAF">
        <w:t xml:space="preserve">all </w:t>
      </w:r>
      <w:r w:rsidR="00E461A1" w:rsidRPr="00674DAF">
        <w:t xml:space="preserve">leviable entities for the levy year, assuming that the only information relevant to </w:t>
      </w:r>
      <w:r w:rsidR="00482656" w:rsidRPr="00674DAF">
        <w:t>working out</w:t>
      </w:r>
      <w:r w:rsidR="00E461A1" w:rsidRPr="00674DAF">
        <w:t xml:space="preserve"> that </w:t>
      </w:r>
      <w:r w:rsidR="00371DD8" w:rsidRPr="00674DAF">
        <w:t xml:space="preserve">total </w:t>
      </w:r>
      <w:r w:rsidR="00E461A1" w:rsidRPr="00674DAF">
        <w:t xml:space="preserve">amount </w:t>
      </w:r>
      <w:r w:rsidR="00371DD8" w:rsidRPr="00674DAF">
        <w:t>is</w:t>
      </w:r>
      <w:r w:rsidR="00E461A1" w:rsidRPr="00674DAF">
        <w:t>:</w:t>
      </w:r>
    </w:p>
    <w:p w14:paraId="42762CE2" w14:textId="77777777" w:rsidR="00B31B0C" w:rsidRPr="00674DAF" w:rsidRDefault="00D12501" w:rsidP="00437C10">
      <w:pPr>
        <w:pStyle w:val="paragraph"/>
      </w:pPr>
      <w:r w:rsidRPr="00674DAF">
        <w:tab/>
        <w:t>(a)</w:t>
      </w:r>
      <w:r w:rsidRPr="00674DAF">
        <w:tab/>
      </w:r>
      <w:r w:rsidR="00B31B0C" w:rsidRPr="00674DAF">
        <w:t>information reported in returns give</w:t>
      </w:r>
      <w:r w:rsidR="00883953" w:rsidRPr="00674DAF">
        <w:t>n</w:t>
      </w:r>
      <w:r w:rsidR="00B31B0C" w:rsidRPr="00674DAF">
        <w:t xml:space="preserve"> to the Commissioner of Taxation under </w:t>
      </w:r>
      <w:r w:rsidR="00C01828" w:rsidRPr="00674DAF">
        <w:t>section 1</w:t>
      </w:r>
      <w:r w:rsidR="00B31B0C" w:rsidRPr="00674DAF">
        <w:t>25</w:t>
      </w:r>
      <w:r w:rsidR="00437C10">
        <w:noBreakHyphen/>
      </w:r>
      <w:r w:rsidR="00B31B0C" w:rsidRPr="00674DAF">
        <w:t xml:space="preserve">5 </w:t>
      </w:r>
      <w:r w:rsidR="000B64FE" w:rsidRPr="00674DAF">
        <w:t>in</w:t>
      </w:r>
      <w:r w:rsidR="006B0C25" w:rsidRPr="00674DAF">
        <w:t xml:space="preserve"> </w:t>
      </w:r>
      <w:r w:rsidR="001870D2" w:rsidRPr="00674DAF">
        <w:t>Schedule 1</w:t>
      </w:r>
      <w:r w:rsidR="00F27BD4" w:rsidRPr="00674DAF">
        <w:t xml:space="preserve"> to </w:t>
      </w:r>
      <w:r w:rsidR="006B0C25" w:rsidRPr="00674DAF">
        <w:t xml:space="preserve">the </w:t>
      </w:r>
      <w:r w:rsidR="006B0C25" w:rsidRPr="00674DAF">
        <w:rPr>
          <w:i/>
        </w:rPr>
        <w:t>Taxation Administration Act 1953</w:t>
      </w:r>
      <w:r w:rsidR="006B0C25" w:rsidRPr="00674DAF">
        <w:t xml:space="preserve"> on or before the </w:t>
      </w:r>
      <w:r w:rsidR="006255F7" w:rsidRPr="00674DAF">
        <w:t>31 December</w:t>
      </w:r>
      <w:r w:rsidR="006B0C25" w:rsidRPr="00674DAF">
        <w:t xml:space="preserve"> following the levy year</w:t>
      </w:r>
      <w:r w:rsidR="00B31B0C" w:rsidRPr="00674DAF">
        <w:t>; an</w:t>
      </w:r>
      <w:r w:rsidRPr="00674DAF">
        <w:t>d</w:t>
      </w:r>
    </w:p>
    <w:p w14:paraId="4AA4AE2C" w14:textId="77777777" w:rsidR="00B31B0C" w:rsidRPr="00674DAF" w:rsidRDefault="00D12501" w:rsidP="00437C10">
      <w:pPr>
        <w:pStyle w:val="paragraph"/>
      </w:pPr>
      <w:r w:rsidRPr="00674DAF">
        <w:tab/>
        <w:t>(b)</w:t>
      </w:r>
      <w:r w:rsidRPr="00674DAF">
        <w:tab/>
      </w:r>
      <w:r w:rsidR="00B31B0C" w:rsidRPr="00674DAF">
        <w:t xml:space="preserve">any other </w:t>
      </w:r>
      <w:r w:rsidR="004777E8" w:rsidRPr="00674DAF">
        <w:t xml:space="preserve">relevant </w:t>
      </w:r>
      <w:r w:rsidR="00B31B0C" w:rsidRPr="00674DAF">
        <w:t>information</w:t>
      </w:r>
      <w:r w:rsidR="004777E8" w:rsidRPr="00674DAF">
        <w:t xml:space="preserve"> </w:t>
      </w:r>
      <w:r w:rsidR="00B31B0C" w:rsidRPr="00674DAF">
        <w:t xml:space="preserve">reasonably available to the Commissioner </w:t>
      </w:r>
      <w:r w:rsidR="003422CE" w:rsidRPr="00674DAF">
        <w:t>before</w:t>
      </w:r>
      <w:r w:rsidR="00C0399A" w:rsidRPr="00674DAF">
        <w:t xml:space="preserve"> </w:t>
      </w:r>
      <w:r w:rsidR="00D16058" w:rsidRPr="00674DAF">
        <w:t xml:space="preserve">the Commissioner first </w:t>
      </w:r>
      <w:r w:rsidR="00C03045" w:rsidRPr="00674DAF">
        <w:t xml:space="preserve">makes an assessment of </w:t>
      </w:r>
      <w:r w:rsidR="00D16058" w:rsidRPr="00674DAF">
        <w:t>an amount of levy for the levy year</w:t>
      </w:r>
      <w:r w:rsidR="00B31B0C" w:rsidRPr="00674DAF">
        <w:t>.</w:t>
      </w:r>
    </w:p>
    <w:p w14:paraId="2ABAA02F" w14:textId="77777777" w:rsidR="004974C0" w:rsidRPr="00674DAF" w:rsidRDefault="004974C0" w:rsidP="00437C10">
      <w:pPr>
        <w:pStyle w:val="SubsectionHead"/>
      </w:pPr>
      <w:r w:rsidRPr="00674DAF">
        <w:t>Rounding of amounts</w:t>
      </w:r>
      <w:bookmarkStart w:id="11" w:name="_GoBack"/>
      <w:bookmarkEnd w:id="11"/>
    </w:p>
    <w:p w14:paraId="549FE884" w14:textId="77777777" w:rsidR="004974C0" w:rsidRPr="00674DAF" w:rsidRDefault="004974C0" w:rsidP="00437C10">
      <w:pPr>
        <w:pStyle w:val="subsection"/>
      </w:pPr>
      <w:r w:rsidRPr="00674DAF">
        <w:tab/>
        <w:t>(</w:t>
      </w:r>
      <w:r w:rsidR="00605102" w:rsidRPr="00674DAF">
        <w:t>3</w:t>
      </w:r>
      <w:r w:rsidRPr="00674DAF">
        <w:t>)</w:t>
      </w:r>
      <w:r w:rsidRPr="00674DAF">
        <w:tab/>
      </w:r>
      <w:r w:rsidR="002829D8" w:rsidRPr="00674DAF">
        <w:t>An</w:t>
      </w:r>
      <w:r w:rsidRPr="00674DAF">
        <w:t xml:space="preserve"> amount of levy worked out under </w:t>
      </w:r>
      <w:r w:rsidR="00335B72" w:rsidRPr="00674DAF">
        <w:t>subsection (</w:t>
      </w:r>
      <w:r w:rsidRPr="00674DAF">
        <w:t>1) must be rounded to the nearest whole dollar (rounding up in the case of 50 cents).</w:t>
      </w:r>
    </w:p>
    <w:p w14:paraId="15A7E7B2" w14:textId="77777777" w:rsidR="00C44242" w:rsidRPr="00674DAF" w:rsidRDefault="00C44242" w:rsidP="00437C10">
      <w:pPr>
        <w:pStyle w:val="subsection"/>
      </w:pPr>
      <w:r w:rsidRPr="00674DAF">
        <w:tab/>
        <w:t>(</w:t>
      </w:r>
      <w:r w:rsidR="00605102" w:rsidRPr="00674DAF">
        <w:t>4</w:t>
      </w:r>
      <w:r w:rsidRPr="00674DAF">
        <w:t>)</w:t>
      </w:r>
      <w:r w:rsidRPr="00674DAF">
        <w:tab/>
      </w:r>
      <w:r w:rsidR="003C2931" w:rsidRPr="00674DAF">
        <w:t xml:space="preserve">The following </w:t>
      </w:r>
      <w:r w:rsidRPr="00674DAF">
        <w:t>must be rounded to 2 decimal places (rounding up if the third decimal place is 5 or more)</w:t>
      </w:r>
      <w:r w:rsidR="003C2931" w:rsidRPr="00674DAF">
        <w:t>:</w:t>
      </w:r>
    </w:p>
    <w:p w14:paraId="65706609" w14:textId="77777777" w:rsidR="00FB7866" w:rsidRPr="00674DAF" w:rsidRDefault="003C2931" w:rsidP="00437C10">
      <w:pPr>
        <w:pStyle w:val="paragraph"/>
      </w:pPr>
      <w:r w:rsidRPr="00674DAF">
        <w:tab/>
        <w:t>(a)</w:t>
      </w:r>
      <w:r w:rsidRPr="00674DAF">
        <w:tab/>
      </w:r>
      <w:r w:rsidR="00FB7866" w:rsidRPr="00674DAF">
        <w:t>a petroleum amount for a leviable entity for a levy year</w:t>
      </w:r>
      <w:r w:rsidR="002A572D" w:rsidRPr="00674DAF">
        <w:t>;</w:t>
      </w:r>
    </w:p>
    <w:p w14:paraId="24076753" w14:textId="77777777" w:rsidR="003C2931" w:rsidRPr="00674DAF" w:rsidRDefault="00244803" w:rsidP="00437C10">
      <w:pPr>
        <w:pStyle w:val="paragraph"/>
      </w:pPr>
      <w:r w:rsidRPr="00674DAF">
        <w:tab/>
        <w:t>(b)</w:t>
      </w:r>
      <w:r w:rsidRPr="00674DAF">
        <w:tab/>
      </w:r>
      <w:r w:rsidR="00FB7866" w:rsidRPr="00674DAF">
        <w:t>the distributed levy rate for a levy year</w:t>
      </w:r>
      <w:r w:rsidR="007D27B0" w:rsidRPr="00674DAF">
        <w:t>.</w:t>
      </w:r>
    </w:p>
    <w:p w14:paraId="4B139EE3" w14:textId="77777777" w:rsidR="009F301A" w:rsidRPr="00674DAF" w:rsidRDefault="009D52E0" w:rsidP="00437C10">
      <w:pPr>
        <w:pStyle w:val="ActHead5"/>
      </w:pPr>
      <w:bookmarkStart w:id="12" w:name="_Toc100046608"/>
      <w:r w:rsidRPr="005B1182">
        <w:rPr>
          <w:rStyle w:val="CharSectno"/>
        </w:rPr>
        <w:t>12</w:t>
      </w:r>
      <w:r w:rsidR="009F301A" w:rsidRPr="00674DAF">
        <w:t xml:space="preserve">  </w:t>
      </w:r>
      <w:r w:rsidR="00B07FAA" w:rsidRPr="00674DAF">
        <w:t>When instrument takes effect</w:t>
      </w:r>
      <w:bookmarkEnd w:id="12"/>
    </w:p>
    <w:p w14:paraId="4AC34C19" w14:textId="77777777" w:rsidR="00B07FAA" w:rsidRPr="00674DAF" w:rsidRDefault="00B07FAA" w:rsidP="00437C10">
      <w:pPr>
        <w:pStyle w:val="subsection"/>
      </w:pPr>
      <w:r w:rsidRPr="00674DAF">
        <w:tab/>
        <w:t>(1)</w:t>
      </w:r>
      <w:r w:rsidRPr="00674DAF">
        <w:tab/>
        <w:t>This section applies to</w:t>
      </w:r>
      <w:r w:rsidR="00BD47BE" w:rsidRPr="00674DAF">
        <w:t xml:space="preserve"> an instrument</w:t>
      </w:r>
      <w:r w:rsidRPr="00674DAF">
        <w:t xml:space="preserve"> made by the </w:t>
      </w:r>
      <w:r w:rsidR="005C21B0" w:rsidRPr="00674DAF">
        <w:t xml:space="preserve">Resources </w:t>
      </w:r>
      <w:r w:rsidRPr="00674DAF">
        <w:t xml:space="preserve">Minister under subsection </w:t>
      </w:r>
      <w:r w:rsidR="009D52E0" w:rsidRPr="00674DAF">
        <w:t>7</w:t>
      </w:r>
      <w:r w:rsidR="008A4AA4" w:rsidRPr="00674DAF">
        <w:t>(</w:t>
      </w:r>
      <w:r w:rsidR="00D0379E" w:rsidRPr="00674DAF">
        <w:t>2</w:t>
      </w:r>
      <w:r w:rsidR="008A4AA4" w:rsidRPr="00674DAF">
        <w:t xml:space="preserve">) (termination of levy) or </w:t>
      </w:r>
      <w:r w:rsidR="009D52E0" w:rsidRPr="00674DAF">
        <w:t>8</w:t>
      </w:r>
      <w:r w:rsidR="008A4AA4" w:rsidRPr="00674DAF">
        <w:t>(2) (Commonwealth’s unrecovered costs)</w:t>
      </w:r>
      <w:r w:rsidRPr="00674DAF">
        <w:t>.</w:t>
      </w:r>
    </w:p>
    <w:p w14:paraId="414B288F" w14:textId="77777777" w:rsidR="002A6427" w:rsidRPr="00674DAF" w:rsidRDefault="002A6427" w:rsidP="00437C10">
      <w:pPr>
        <w:pStyle w:val="subsection"/>
      </w:pPr>
      <w:r w:rsidRPr="00674DAF">
        <w:lastRenderedPageBreak/>
        <w:tab/>
        <w:t>(</w:t>
      </w:r>
      <w:r w:rsidR="00B07FAA" w:rsidRPr="00674DAF">
        <w:t>2</w:t>
      </w:r>
      <w:r w:rsidRPr="00674DAF">
        <w:t>)</w:t>
      </w:r>
      <w:r w:rsidRPr="00674DAF">
        <w:tab/>
        <w:t>If neither House of Parliament passes a resolution disallowing the instrument, the instrument takes effect:</w:t>
      </w:r>
    </w:p>
    <w:p w14:paraId="7B5FC8BE" w14:textId="77777777" w:rsidR="002A6427" w:rsidRPr="00674DAF" w:rsidRDefault="002A6427" w:rsidP="00437C10">
      <w:pPr>
        <w:pStyle w:val="paragraph"/>
      </w:pPr>
      <w:r w:rsidRPr="00674DAF">
        <w:tab/>
        <w:t>(a)</w:t>
      </w:r>
      <w:r w:rsidRPr="00674DAF">
        <w:tab/>
        <w:t>on the day immediately after the last day upon which such a resolution could have been passed; or</w:t>
      </w:r>
    </w:p>
    <w:p w14:paraId="24A51637" w14:textId="77777777" w:rsidR="002A6427" w:rsidRPr="00674DAF" w:rsidRDefault="002A6427" w:rsidP="00437C10">
      <w:pPr>
        <w:pStyle w:val="paragraph"/>
      </w:pPr>
      <w:r w:rsidRPr="00674DAF">
        <w:tab/>
        <w:t>(b)</w:t>
      </w:r>
      <w:r w:rsidRPr="00674DAF">
        <w:tab/>
        <w:t>if a later day is specified in the instrument—on that later day.</w:t>
      </w:r>
    </w:p>
    <w:p w14:paraId="6C51F2C0" w14:textId="77777777" w:rsidR="002A6427" w:rsidRPr="00674DAF" w:rsidRDefault="002A6427" w:rsidP="00437C10">
      <w:pPr>
        <w:pStyle w:val="subsection"/>
      </w:pPr>
      <w:r w:rsidRPr="00674DAF">
        <w:tab/>
        <w:t>(</w:t>
      </w:r>
      <w:r w:rsidR="00DD1090" w:rsidRPr="00674DAF">
        <w:t>3</w:t>
      </w:r>
      <w:r w:rsidRPr="00674DAF">
        <w:t>)</w:t>
      </w:r>
      <w:r w:rsidRPr="00674DAF">
        <w:tab/>
        <w:t>If either House of Parliament passes a resolution disallowing the instrument, the instrument does not take effect.</w:t>
      </w:r>
    </w:p>
    <w:p w14:paraId="1EDAA77D" w14:textId="77777777" w:rsidR="00B001FF" w:rsidRPr="00674DAF" w:rsidRDefault="009D52E0" w:rsidP="00437C10">
      <w:pPr>
        <w:pStyle w:val="ActHead5"/>
      </w:pPr>
      <w:bookmarkStart w:id="13" w:name="_Toc100046609"/>
      <w:r w:rsidRPr="005B1182">
        <w:rPr>
          <w:rStyle w:val="CharSectno"/>
        </w:rPr>
        <w:t>13</w:t>
      </w:r>
      <w:r w:rsidR="00B001FF" w:rsidRPr="00674DAF">
        <w:t xml:space="preserve">  Regulations</w:t>
      </w:r>
      <w:bookmarkEnd w:id="13"/>
    </w:p>
    <w:p w14:paraId="45582413" w14:textId="77777777" w:rsidR="00D44BEF" w:rsidRPr="00674DAF" w:rsidRDefault="00D44BEF" w:rsidP="00437C10">
      <w:pPr>
        <w:pStyle w:val="subsection"/>
      </w:pPr>
      <w:r w:rsidRPr="00674DAF">
        <w:tab/>
      </w:r>
      <w:r w:rsidRPr="00674DAF">
        <w:tab/>
        <w:t>The Governor</w:t>
      </w:r>
      <w:r w:rsidR="00437C10">
        <w:noBreakHyphen/>
      </w:r>
      <w:r w:rsidRPr="00674DAF">
        <w:t>General may make regulations prescribing matters:</w:t>
      </w:r>
    </w:p>
    <w:p w14:paraId="616CD98C" w14:textId="77777777" w:rsidR="00D44BEF" w:rsidRPr="00674DAF" w:rsidRDefault="00D44BEF" w:rsidP="00437C10">
      <w:pPr>
        <w:pStyle w:val="paragraph"/>
      </w:pPr>
      <w:r w:rsidRPr="00674DAF">
        <w:tab/>
        <w:t>(a)</w:t>
      </w:r>
      <w:r w:rsidRPr="00674DAF">
        <w:tab/>
        <w:t>required or permitted by this Act to be prescribed by the regulations; or</w:t>
      </w:r>
    </w:p>
    <w:p w14:paraId="27E2B83C" w14:textId="6058ACE5" w:rsidR="00B001FF" w:rsidRDefault="00D44BEF" w:rsidP="00437C10">
      <w:pPr>
        <w:pStyle w:val="paragraph"/>
      </w:pPr>
      <w:r w:rsidRPr="00674DAF">
        <w:tab/>
        <w:t>(b)</w:t>
      </w:r>
      <w:r w:rsidRPr="00674DAF">
        <w:tab/>
        <w:t>necessary or convenient to be prescribed for carrying out or giving effect to this Act.</w:t>
      </w:r>
    </w:p>
    <w:p w14:paraId="5D631F9A" w14:textId="77777777" w:rsidR="00482CFA" w:rsidRDefault="00482CFA" w:rsidP="00482CFA">
      <w:pPr>
        <w:pStyle w:val="AssentBk"/>
        <w:keepNext/>
      </w:pPr>
    </w:p>
    <w:p w14:paraId="3EC045D7" w14:textId="77777777" w:rsidR="00482CFA" w:rsidRDefault="00482CFA" w:rsidP="00482CFA">
      <w:pPr>
        <w:pStyle w:val="AssentBk"/>
        <w:keepNext/>
      </w:pPr>
    </w:p>
    <w:p w14:paraId="71441C59" w14:textId="77777777" w:rsidR="00482CFA" w:rsidRDefault="00482CFA" w:rsidP="00482CFA">
      <w:pPr>
        <w:pStyle w:val="2ndRd"/>
        <w:keepNext/>
        <w:pBdr>
          <w:top w:val="single" w:sz="2" w:space="1" w:color="auto"/>
        </w:pBdr>
      </w:pPr>
    </w:p>
    <w:p w14:paraId="10F5CBDB" w14:textId="77777777" w:rsidR="00482CFA" w:rsidRDefault="00482CFA" w:rsidP="00482CFA">
      <w:pPr>
        <w:pStyle w:val="2ndRd"/>
        <w:keepNext/>
        <w:spacing w:line="260" w:lineRule="atLeast"/>
        <w:rPr>
          <w:i/>
        </w:rPr>
      </w:pPr>
      <w:r>
        <w:t>[</w:t>
      </w:r>
      <w:r>
        <w:rPr>
          <w:i/>
        </w:rPr>
        <w:t>Minister’s second reading speech made in—</w:t>
      </w:r>
    </w:p>
    <w:p w14:paraId="409A5A37" w14:textId="77777777" w:rsidR="00482CFA" w:rsidRDefault="00482CFA" w:rsidP="00482CFA">
      <w:pPr>
        <w:pStyle w:val="2ndRd"/>
        <w:keepNext/>
        <w:spacing w:line="260" w:lineRule="atLeast"/>
        <w:rPr>
          <w:i/>
        </w:rPr>
      </w:pPr>
      <w:r>
        <w:rPr>
          <w:i/>
        </w:rPr>
        <w:t>House of Representatives on 20 October 2021</w:t>
      </w:r>
    </w:p>
    <w:p w14:paraId="7C83B8A8" w14:textId="77777777" w:rsidR="00482CFA" w:rsidRDefault="00482CFA" w:rsidP="00482CFA">
      <w:pPr>
        <w:pStyle w:val="2ndRd"/>
        <w:keepNext/>
        <w:spacing w:line="260" w:lineRule="atLeast"/>
        <w:rPr>
          <w:i/>
        </w:rPr>
      </w:pPr>
      <w:r>
        <w:rPr>
          <w:i/>
        </w:rPr>
        <w:t>Senate on 30 March 2022</w:t>
      </w:r>
      <w:r>
        <w:t>]</w:t>
      </w:r>
    </w:p>
    <w:p w14:paraId="64500C93" w14:textId="77777777" w:rsidR="00482CFA" w:rsidRDefault="00482CFA" w:rsidP="00A53EA0">
      <w:pPr>
        <w:framePr w:hSpace="180" w:wrap="around" w:vAnchor="text" w:hAnchor="page" w:x="2386" w:y="2708"/>
      </w:pPr>
      <w:r>
        <w:t>(127/21)</w:t>
      </w:r>
    </w:p>
    <w:p w14:paraId="6DFF53DE" w14:textId="77777777" w:rsidR="00482CFA" w:rsidRDefault="00482CFA" w:rsidP="00482CFA"/>
    <w:p w14:paraId="0043EDFF" w14:textId="77777777" w:rsidR="00482CFA" w:rsidRDefault="00482CFA" w:rsidP="00AC4D0F">
      <w:pPr>
        <w:pBdr>
          <w:bottom w:val="single" w:sz="4" w:space="1" w:color="auto"/>
        </w:pBdr>
        <w:sectPr w:rsidR="00482CFA" w:rsidSect="00AC4D0F">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pgNumType w:start="1"/>
          <w:cols w:space="708"/>
          <w:titlePg/>
          <w:docGrid w:linePitch="360"/>
        </w:sectPr>
      </w:pPr>
    </w:p>
    <w:p w14:paraId="6259DC98" w14:textId="77777777" w:rsidR="00482CFA" w:rsidRDefault="00482CFA" w:rsidP="00482CFA"/>
    <w:sectPr w:rsidR="00482CFA" w:rsidSect="00482CFA">
      <w:headerReference w:type="even" r:id="rId32"/>
      <w:headerReference w:type="default" r:id="rId33"/>
      <w:headerReference w:type="first" r:id="rId34"/>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3FAFA" w14:textId="77777777" w:rsidR="00814543" w:rsidRDefault="00814543" w:rsidP="00715914">
      <w:pPr>
        <w:spacing w:line="240" w:lineRule="auto"/>
      </w:pPr>
      <w:r>
        <w:separator/>
      </w:r>
    </w:p>
  </w:endnote>
  <w:endnote w:type="continuationSeparator" w:id="0">
    <w:p w14:paraId="1447845B" w14:textId="77777777" w:rsidR="00814543" w:rsidRDefault="0081454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D76F" w14:textId="77777777" w:rsidR="00814543" w:rsidRPr="005F1388" w:rsidRDefault="00814543" w:rsidP="00437C1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9E0D" w14:textId="0630283F" w:rsidR="00482CFA" w:rsidRDefault="00482CFA" w:rsidP="00CD12A5">
    <w:pPr>
      <w:pStyle w:val="ScalePlusRef"/>
    </w:pPr>
    <w:r>
      <w:t>Note: An electronic version of this Act is available on the Federal Register of Legislation (</w:t>
    </w:r>
    <w:hyperlink r:id="rId1" w:history="1">
      <w:r>
        <w:t>https://www.legislation.gov.au/</w:t>
      </w:r>
    </w:hyperlink>
    <w:r>
      <w:t>)</w:t>
    </w:r>
  </w:p>
  <w:p w14:paraId="5F1A11F7" w14:textId="77777777" w:rsidR="00482CFA" w:rsidRDefault="00482CFA" w:rsidP="00CD12A5"/>
  <w:p w14:paraId="2AC9A2ED" w14:textId="5C28955B" w:rsidR="00814543" w:rsidRDefault="00814543" w:rsidP="00437C10">
    <w:pPr>
      <w:pStyle w:val="Footer"/>
      <w:spacing w:before="120"/>
    </w:pPr>
  </w:p>
  <w:p w14:paraId="147C1639" w14:textId="77777777" w:rsidR="00814543" w:rsidRPr="005F1388" w:rsidRDefault="0081454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D576" w14:textId="77777777" w:rsidR="00814543" w:rsidRPr="00ED79B6" w:rsidRDefault="00814543" w:rsidP="00437C1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446F" w14:textId="77777777" w:rsidR="00814543" w:rsidRDefault="00814543" w:rsidP="00437C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4543" w14:paraId="0B5636BF" w14:textId="77777777" w:rsidTr="00AC4BB2">
      <w:tc>
        <w:tcPr>
          <w:tcW w:w="646" w:type="dxa"/>
        </w:tcPr>
        <w:p w14:paraId="49DA2E11" w14:textId="77777777" w:rsidR="00814543" w:rsidRDefault="0081454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226108D" w14:textId="50CCB5D0" w:rsidR="00814543" w:rsidRDefault="0081454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0D08">
            <w:rPr>
              <w:i/>
              <w:sz w:val="18"/>
            </w:rPr>
            <w:t>Offshore Petroleum (Laminaria and Corallina Decommissioning Cost Recovery Levy) Act 2022</w:t>
          </w:r>
          <w:r w:rsidRPr="00ED79B6">
            <w:rPr>
              <w:i/>
              <w:sz w:val="18"/>
            </w:rPr>
            <w:fldChar w:fldCharType="end"/>
          </w:r>
        </w:p>
      </w:tc>
      <w:tc>
        <w:tcPr>
          <w:tcW w:w="1270" w:type="dxa"/>
        </w:tcPr>
        <w:p w14:paraId="1955CAEA" w14:textId="2277D4F8" w:rsidR="00814543" w:rsidRDefault="0081454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0D08">
            <w:rPr>
              <w:i/>
              <w:sz w:val="18"/>
            </w:rPr>
            <w:t>No. 18, 2022</w:t>
          </w:r>
          <w:r w:rsidRPr="00ED79B6">
            <w:rPr>
              <w:i/>
              <w:sz w:val="18"/>
            </w:rPr>
            <w:fldChar w:fldCharType="end"/>
          </w:r>
        </w:p>
      </w:tc>
    </w:tr>
  </w:tbl>
  <w:p w14:paraId="057EF8A9" w14:textId="77777777" w:rsidR="00814543" w:rsidRPr="00ED79B6" w:rsidRDefault="0081454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D806" w14:textId="77777777" w:rsidR="00814543" w:rsidRPr="00ED79B6" w:rsidRDefault="00814543" w:rsidP="00437C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4543" w14:paraId="1B777E19" w14:textId="77777777" w:rsidTr="00340F07">
      <w:tc>
        <w:tcPr>
          <w:tcW w:w="1247" w:type="dxa"/>
        </w:tcPr>
        <w:p w14:paraId="56FC2D14" w14:textId="1850DC93" w:rsidR="00814543" w:rsidRDefault="0081454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60D08">
            <w:rPr>
              <w:i/>
              <w:sz w:val="18"/>
            </w:rPr>
            <w:t>No. 18, 2022</w:t>
          </w:r>
          <w:r w:rsidRPr="00ED79B6">
            <w:rPr>
              <w:i/>
              <w:sz w:val="18"/>
            </w:rPr>
            <w:fldChar w:fldCharType="end"/>
          </w:r>
        </w:p>
      </w:tc>
      <w:tc>
        <w:tcPr>
          <w:tcW w:w="5387" w:type="dxa"/>
        </w:tcPr>
        <w:p w14:paraId="235A3C5F" w14:textId="0CD51177" w:rsidR="00814543" w:rsidRDefault="0081454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60D08">
            <w:rPr>
              <w:i/>
              <w:sz w:val="18"/>
            </w:rPr>
            <w:t>Offshore Petroleum (Laminaria and Corallina Decommissioning Cost Recovery Levy) Act 2022</w:t>
          </w:r>
          <w:r w:rsidRPr="00ED79B6">
            <w:rPr>
              <w:i/>
              <w:sz w:val="18"/>
            </w:rPr>
            <w:fldChar w:fldCharType="end"/>
          </w:r>
        </w:p>
      </w:tc>
      <w:tc>
        <w:tcPr>
          <w:tcW w:w="669" w:type="dxa"/>
        </w:tcPr>
        <w:p w14:paraId="57CAD5C3" w14:textId="77777777" w:rsidR="00814543" w:rsidRDefault="00814543" w:rsidP="00321FB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22D39E8" w14:textId="77777777" w:rsidR="00814543" w:rsidRPr="00ED79B6" w:rsidRDefault="0081454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19EA" w14:textId="77777777" w:rsidR="00814543" w:rsidRDefault="00814543" w:rsidP="00437C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4543" w14:paraId="2D1898BD" w14:textId="77777777" w:rsidTr="005B1182">
      <w:tc>
        <w:tcPr>
          <w:tcW w:w="646" w:type="dxa"/>
        </w:tcPr>
        <w:p w14:paraId="2C9907F1" w14:textId="77777777" w:rsidR="00814543" w:rsidRDefault="0081454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5D26B8A" w14:textId="13422F7B" w:rsidR="00814543" w:rsidRDefault="0081454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0D08">
            <w:rPr>
              <w:i/>
              <w:sz w:val="18"/>
            </w:rPr>
            <w:t>Offshore Petroleum (Laminaria and Corallina Decommissioning Cost Recovery Levy) Act 2022</w:t>
          </w:r>
          <w:r w:rsidRPr="007A1328">
            <w:rPr>
              <w:i/>
              <w:sz w:val="18"/>
            </w:rPr>
            <w:fldChar w:fldCharType="end"/>
          </w:r>
        </w:p>
      </w:tc>
      <w:tc>
        <w:tcPr>
          <w:tcW w:w="1270" w:type="dxa"/>
        </w:tcPr>
        <w:p w14:paraId="74744F71" w14:textId="20B68778" w:rsidR="00814543" w:rsidRDefault="0081454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0D08">
            <w:rPr>
              <w:i/>
              <w:sz w:val="18"/>
            </w:rPr>
            <w:t>No. 18, 2022</w:t>
          </w:r>
          <w:r w:rsidRPr="007A1328">
            <w:rPr>
              <w:i/>
              <w:sz w:val="18"/>
            </w:rPr>
            <w:fldChar w:fldCharType="end"/>
          </w:r>
        </w:p>
      </w:tc>
    </w:tr>
  </w:tbl>
  <w:p w14:paraId="23A859B6" w14:textId="77777777" w:rsidR="00814543" w:rsidRPr="007A1328" w:rsidRDefault="00814543"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651F" w14:textId="77777777" w:rsidR="00814543" w:rsidRDefault="00814543" w:rsidP="00437C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4543" w14:paraId="73C0C280" w14:textId="77777777" w:rsidTr="005B1182">
      <w:tc>
        <w:tcPr>
          <w:tcW w:w="1247" w:type="dxa"/>
        </w:tcPr>
        <w:p w14:paraId="118E14E8" w14:textId="2D4C94A9" w:rsidR="00814543" w:rsidRDefault="0081454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0D08">
            <w:rPr>
              <w:i/>
              <w:sz w:val="18"/>
            </w:rPr>
            <w:t>No. 18, 2022</w:t>
          </w:r>
          <w:r w:rsidRPr="007A1328">
            <w:rPr>
              <w:i/>
              <w:sz w:val="18"/>
            </w:rPr>
            <w:fldChar w:fldCharType="end"/>
          </w:r>
        </w:p>
      </w:tc>
      <w:tc>
        <w:tcPr>
          <w:tcW w:w="5387" w:type="dxa"/>
        </w:tcPr>
        <w:p w14:paraId="12C4B611" w14:textId="274BB063" w:rsidR="00814543" w:rsidRDefault="0081454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0D08">
            <w:rPr>
              <w:i/>
              <w:sz w:val="18"/>
            </w:rPr>
            <w:t>Offshore Petroleum (Laminaria and Corallina Decommissioning Cost Recovery Levy) Act 2022</w:t>
          </w:r>
          <w:r w:rsidRPr="007A1328">
            <w:rPr>
              <w:i/>
              <w:sz w:val="18"/>
            </w:rPr>
            <w:fldChar w:fldCharType="end"/>
          </w:r>
        </w:p>
      </w:tc>
      <w:tc>
        <w:tcPr>
          <w:tcW w:w="669" w:type="dxa"/>
        </w:tcPr>
        <w:p w14:paraId="1F895CFB" w14:textId="77777777" w:rsidR="00814543" w:rsidRDefault="0081454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4F2A6FB" w14:textId="77777777" w:rsidR="00814543" w:rsidRPr="007A1328" w:rsidRDefault="00814543"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1C2A" w14:textId="77777777" w:rsidR="00814543" w:rsidRDefault="00814543" w:rsidP="00437C1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814543" w14:paraId="4B3A1847" w14:textId="77777777" w:rsidTr="005B1182">
      <w:tc>
        <w:tcPr>
          <w:tcW w:w="1247" w:type="dxa"/>
        </w:tcPr>
        <w:p w14:paraId="430E50CC" w14:textId="18DF928C" w:rsidR="00814543" w:rsidRDefault="0081454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60D08">
            <w:rPr>
              <w:i/>
              <w:sz w:val="18"/>
            </w:rPr>
            <w:t>No. 18, 2022</w:t>
          </w:r>
          <w:r w:rsidRPr="007A1328">
            <w:rPr>
              <w:i/>
              <w:sz w:val="18"/>
            </w:rPr>
            <w:fldChar w:fldCharType="end"/>
          </w:r>
        </w:p>
      </w:tc>
      <w:tc>
        <w:tcPr>
          <w:tcW w:w="5387" w:type="dxa"/>
        </w:tcPr>
        <w:p w14:paraId="173E7E46" w14:textId="7EEA19F5" w:rsidR="00814543" w:rsidRDefault="0081454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60D08">
            <w:rPr>
              <w:i/>
              <w:sz w:val="18"/>
            </w:rPr>
            <w:t>Offshore Petroleum (Laminaria and Corallina Decommissioning Cost Recovery Levy) Act 2022</w:t>
          </w:r>
          <w:r w:rsidRPr="007A1328">
            <w:rPr>
              <w:i/>
              <w:sz w:val="18"/>
            </w:rPr>
            <w:fldChar w:fldCharType="end"/>
          </w:r>
        </w:p>
      </w:tc>
      <w:tc>
        <w:tcPr>
          <w:tcW w:w="669" w:type="dxa"/>
        </w:tcPr>
        <w:p w14:paraId="537F06F0" w14:textId="77777777" w:rsidR="00814543" w:rsidRDefault="0081454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EC235A3" w14:textId="77777777" w:rsidR="00814543" w:rsidRPr="007A1328" w:rsidRDefault="00814543"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B146C" w14:textId="77777777" w:rsidR="00814543" w:rsidRDefault="00814543" w:rsidP="00715914">
      <w:pPr>
        <w:spacing w:line="240" w:lineRule="auto"/>
      </w:pPr>
      <w:r>
        <w:separator/>
      </w:r>
    </w:p>
  </w:footnote>
  <w:footnote w:type="continuationSeparator" w:id="0">
    <w:p w14:paraId="4E928890" w14:textId="77777777" w:rsidR="00814543" w:rsidRDefault="0081454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2CF6" w14:textId="77777777" w:rsidR="00814543" w:rsidRPr="005F1388" w:rsidRDefault="00814543"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4ED2" w14:textId="56270798" w:rsidR="00AC4D0F" w:rsidRDefault="00AC4D0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51EDB8D6" w14:textId="6A3F44AF" w:rsidR="00AC4D0F" w:rsidRDefault="00AC4D0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27D8CED2" w14:textId="4F0FE303" w:rsidR="00AC4D0F" w:rsidRPr="007A1328" w:rsidRDefault="00AC4D0F"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43832967" w14:textId="77777777" w:rsidR="00AC4D0F" w:rsidRPr="007A1328" w:rsidRDefault="00AC4D0F" w:rsidP="00715914">
    <w:pPr>
      <w:rPr>
        <w:b/>
        <w:sz w:val="24"/>
      </w:rPr>
    </w:pPr>
  </w:p>
  <w:p w14:paraId="19D82977" w14:textId="7ADD3874" w:rsidR="00AC4D0F" w:rsidRPr="007A1328" w:rsidRDefault="00AC4D0F"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4C84" w14:textId="5DFEDACE" w:rsidR="00AC4D0F" w:rsidRPr="007A1328" w:rsidRDefault="00AC4D0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51F44E6D" w14:textId="03C8328D" w:rsidR="00AC4D0F" w:rsidRPr="007A1328" w:rsidRDefault="00AC4D0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247189B6" w14:textId="28C849D6" w:rsidR="00AC4D0F" w:rsidRPr="007A1328" w:rsidRDefault="00AC4D0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32BCC3FD" w14:textId="77777777" w:rsidR="00AC4D0F" w:rsidRPr="007A1328" w:rsidRDefault="00AC4D0F" w:rsidP="00715914">
    <w:pPr>
      <w:jc w:val="right"/>
      <w:rPr>
        <w:b/>
        <w:sz w:val="24"/>
      </w:rPr>
    </w:pPr>
  </w:p>
  <w:p w14:paraId="0EB79595" w14:textId="4BF02D81" w:rsidR="00AC4D0F" w:rsidRPr="007A1328" w:rsidRDefault="00AC4D0F"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6A16" w14:textId="77777777" w:rsidR="00AC4D0F" w:rsidRPr="007A1328" w:rsidRDefault="00AC4D0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CEFC" w14:textId="77777777" w:rsidR="00814543" w:rsidRPr="005F1388" w:rsidRDefault="0081454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8584" w14:textId="77777777" w:rsidR="00814543" w:rsidRPr="005F1388" w:rsidRDefault="0081454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0962" w14:textId="77777777" w:rsidR="00814543" w:rsidRPr="00ED79B6" w:rsidRDefault="0081454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C440" w14:textId="77777777" w:rsidR="00814543" w:rsidRPr="00ED79B6" w:rsidRDefault="0081454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FA2E" w14:textId="77777777" w:rsidR="00814543" w:rsidRPr="00ED79B6" w:rsidRDefault="0081454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293D" w14:textId="722B318B" w:rsidR="00814543" w:rsidRDefault="0081454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E2AC972" w14:textId="40DD1FC6" w:rsidR="00814543" w:rsidRDefault="0081454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A7F14C6" w14:textId="48062D33" w:rsidR="00814543" w:rsidRPr="007A1328" w:rsidRDefault="0081454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84CBB3D" w14:textId="77777777" w:rsidR="00814543" w:rsidRPr="007A1328" w:rsidRDefault="00814543" w:rsidP="00715914">
    <w:pPr>
      <w:rPr>
        <w:b/>
        <w:sz w:val="24"/>
      </w:rPr>
    </w:pPr>
  </w:p>
  <w:p w14:paraId="02B7B555" w14:textId="2A5BCDF2" w:rsidR="00814543" w:rsidRPr="007A1328" w:rsidRDefault="0081454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0D08">
      <w:rPr>
        <w:noProof/>
        <w:sz w:val="24"/>
      </w:rPr>
      <w:t>12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4D1E" w14:textId="1081B769" w:rsidR="00814543" w:rsidRPr="007A1328" w:rsidRDefault="0081454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9702CF2" w14:textId="61E01D00" w:rsidR="00814543" w:rsidRPr="007A1328" w:rsidRDefault="0081454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F7930D5" w14:textId="0F2C468F" w:rsidR="00814543" w:rsidRPr="007A1328" w:rsidRDefault="0081454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7532AF4" w14:textId="77777777" w:rsidR="00814543" w:rsidRPr="007A1328" w:rsidRDefault="00814543" w:rsidP="00715914">
    <w:pPr>
      <w:jc w:val="right"/>
      <w:rPr>
        <w:b/>
        <w:sz w:val="24"/>
      </w:rPr>
    </w:pPr>
  </w:p>
  <w:p w14:paraId="3CA3A8BC" w14:textId="5B41959D" w:rsidR="00814543" w:rsidRPr="007A1328" w:rsidRDefault="0081454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0D08">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62B8" w14:textId="77777777" w:rsidR="00814543" w:rsidRPr="007A1328" w:rsidRDefault="0081454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7061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46EA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BA3C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F09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A49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400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6AB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8F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74C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245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9976CDB"/>
    <w:multiLevelType w:val="hybridMultilevel"/>
    <w:tmpl w:val="D7463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A2"/>
    <w:rsid w:val="0000118E"/>
    <w:rsid w:val="00003530"/>
    <w:rsid w:val="0000705D"/>
    <w:rsid w:val="000136AF"/>
    <w:rsid w:val="000161E0"/>
    <w:rsid w:val="000210C5"/>
    <w:rsid w:val="0002128B"/>
    <w:rsid w:val="00026538"/>
    <w:rsid w:val="00030673"/>
    <w:rsid w:val="0003377B"/>
    <w:rsid w:val="0004029F"/>
    <w:rsid w:val="00041419"/>
    <w:rsid w:val="00043417"/>
    <w:rsid w:val="00043EB0"/>
    <w:rsid w:val="000457E6"/>
    <w:rsid w:val="00052671"/>
    <w:rsid w:val="000614BF"/>
    <w:rsid w:val="0006458E"/>
    <w:rsid w:val="000664F1"/>
    <w:rsid w:val="0008461D"/>
    <w:rsid w:val="00084CF3"/>
    <w:rsid w:val="00087D46"/>
    <w:rsid w:val="0009370F"/>
    <w:rsid w:val="000938F1"/>
    <w:rsid w:val="00097E7F"/>
    <w:rsid w:val="000A5521"/>
    <w:rsid w:val="000A556A"/>
    <w:rsid w:val="000A5865"/>
    <w:rsid w:val="000A7112"/>
    <w:rsid w:val="000B01E8"/>
    <w:rsid w:val="000B49E6"/>
    <w:rsid w:val="000B64FE"/>
    <w:rsid w:val="000C070B"/>
    <w:rsid w:val="000C3349"/>
    <w:rsid w:val="000C5C4D"/>
    <w:rsid w:val="000D05EF"/>
    <w:rsid w:val="000D0EB7"/>
    <w:rsid w:val="000E2261"/>
    <w:rsid w:val="000E3F92"/>
    <w:rsid w:val="000E6FD6"/>
    <w:rsid w:val="000F1915"/>
    <w:rsid w:val="000F21C1"/>
    <w:rsid w:val="000F3D32"/>
    <w:rsid w:val="000F3F86"/>
    <w:rsid w:val="00102FCA"/>
    <w:rsid w:val="0010745C"/>
    <w:rsid w:val="001106E7"/>
    <w:rsid w:val="00112A38"/>
    <w:rsid w:val="00113216"/>
    <w:rsid w:val="0011695B"/>
    <w:rsid w:val="00121BE9"/>
    <w:rsid w:val="00122FE1"/>
    <w:rsid w:val="0012674F"/>
    <w:rsid w:val="001269D1"/>
    <w:rsid w:val="00126AF4"/>
    <w:rsid w:val="0013072E"/>
    <w:rsid w:val="00135995"/>
    <w:rsid w:val="00136065"/>
    <w:rsid w:val="001439D5"/>
    <w:rsid w:val="001464BD"/>
    <w:rsid w:val="00152068"/>
    <w:rsid w:val="00166633"/>
    <w:rsid w:val="00166C2F"/>
    <w:rsid w:val="001671E9"/>
    <w:rsid w:val="00174E13"/>
    <w:rsid w:val="001846C4"/>
    <w:rsid w:val="001847B7"/>
    <w:rsid w:val="001864BB"/>
    <w:rsid w:val="0018678F"/>
    <w:rsid w:val="001870D2"/>
    <w:rsid w:val="001939E1"/>
    <w:rsid w:val="00195382"/>
    <w:rsid w:val="001A3C11"/>
    <w:rsid w:val="001A45D5"/>
    <w:rsid w:val="001A661F"/>
    <w:rsid w:val="001B292A"/>
    <w:rsid w:val="001B452D"/>
    <w:rsid w:val="001B4B3E"/>
    <w:rsid w:val="001B537B"/>
    <w:rsid w:val="001B782B"/>
    <w:rsid w:val="001C0D19"/>
    <w:rsid w:val="001C36A6"/>
    <w:rsid w:val="001C3E9A"/>
    <w:rsid w:val="001C6101"/>
    <w:rsid w:val="001C69C4"/>
    <w:rsid w:val="001C74C4"/>
    <w:rsid w:val="001D08F7"/>
    <w:rsid w:val="001D11E9"/>
    <w:rsid w:val="001D3297"/>
    <w:rsid w:val="001D37EF"/>
    <w:rsid w:val="001D68BF"/>
    <w:rsid w:val="001D6B11"/>
    <w:rsid w:val="001E152E"/>
    <w:rsid w:val="001E29DA"/>
    <w:rsid w:val="001E3590"/>
    <w:rsid w:val="001E7407"/>
    <w:rsid w:val="001E7891"/>
    <w:rsid w:val="001E7F6E"/>
    <w:rsid w:val="001F4F03"/>
    <w:rsid w:val="001F5D5E"/>
    <w:rsid w:val="001F6219"/>
    <w:rsid w:val="001F6A6A"/>
    <w:rsid w:val="0020376F"/>
    <w:rsid w:val="00204A22"/>
    <w:rsid w:val="002065DA"/>
    <w:rsid w:val="00207F29"/>
    <w:rsid w:val="00212DDD"/>
    <w:rsid w:val="0021403E"/>
    <w:rsid w:val="00214215"/>
    <w:rsid w:val="002173F3"/>
    <w:rsid w:val="00217A47"/>
    <w:rsid w:val="002201FF"/>
    <w:rsid w:val="00227B9D"/>
    <w:rsid w:val="0023205F"/>
    <w:rsid w:val="002325E2"/>
    <w:rsid w:val="00233121"/>
    <w:rsid w:val="0024010F"/>
    <w:rsid w:val="00240749"/>
    <w:rsid w:val="00243E70"/>
    <w:rsid w:val="00244803"/>
    <w:rsid w:val="00253691"/>
    <w:rsid w:val="0025388A"/>
    <w:rsid w:val="00255DA4"/>
    <w:rsid w:val="002564A4"/>
    <w:rsid w:val="0025711E"/>
    <w:rsid w:val="00265FCC"/>
    <w:rsid w:val="00271E7B"/>
    <w:rsid w:val="00277ACD"/>
    <w:rsid w:val="00277B82"/>
    <w:rsid w:val="00277EAE"/>
    <w:rsid w:val="002829D8"/>
    <w:rsid w:val="00282FD6"/>
    <w:rsid w:val="00290F6B"/>
    <w:rsid w:val="00293ADF"/>
    <w:rsid w:val="00294EB6"/>
    <w:rsid w:val="00297ECB"/>
    <w:rsid w:val="002A2AE7"/>
    <w:rsid w:val="002A36D4"/>
    <w:rsid w:val="002A3C08"/>
    <w:rsid w:val="002A572D"/>
    <w:rsid w:val="002A63A4"/>
    <w:rsid w:val="002A6427"/>
    <w:rsid w:val="002B4753"/>
    <w:rsid w:val="002B4948"/>
    <w:rsid w:val="002B7B38"/>
    <w:rsid w:val="002C3064"/>
    <w:rsid w:val="002C4439"/>
    <w:rsid w:val="002C4DC1"/>
    <w:rsid w:val="002C74F2"/>
    <w:rsid w:val="002D043A"/>
    <w:rsid w:val="002D1446"/>
    <w:rsid w:val="002D2CAE"/>
    <w:rsid w:val="002D6224"/>
    <w:rsid w:val="002E2003"/>
    <w:rsid w:val="002E7C78"/>
    <w:rsid w:val="002F6990"/>
    <w:rsid w:val="003051FB"/>
    <w:rsid w:val="00305BB2"/>
    <w:rsid w:val="00307E8B"/>
    <w:rsid w:val="00311776"/>
    <w:rsid w:val="00311CE6"/>
    <w:rsid w:val="0031397E"/>
    <w:rsid w:val="003213F0"/>
    <w:rsid w:val="00321FB9"/>
    <w:rsid w:val="003245D2"/>
    <w:rsid w:val="00324BDF"/>
    <w:rsid w:val="00324EF5"/>
    <w:rsid w:val="0032591D"/>
    <w:rsid w:val="00326F84"/>
    <w:rsid w:val="003304A9"/>
    <w:rsid w:val="00334CF0"/>
    <w:rsid w:val="00335B72"/>
    <w:rsid w:val="00340567"/>
    <w:rsid w:val="00340F07"/>
    <w:rsid w:val="003410E2"/>
    <w:rsid w:val="003415D3"/>
    <w:rsid w:val="003422CE"/>
    <w:rsid w:val="0034382B"/>
    <w:rsid w:val="003446E9"/>
    <w:rsid w:val="00346D75"/>
    <w:rsid w:val="00352B0F"/>
    <w:rsid w:val="00355469"/>
    <w:rsid w:val="00355FE7"/>
    <w:rsid w:val="00356B3D"/>
    <w:rsid w:val="00360459"/>
    <w:rsid w:val="00361352"/>
    <w:rsid w:val="0036368D"/>
    <w:rsid w:val="00364EFF"/>
    <w:rsid w:val="00370F4B"/>
    <w:rsid w:val="00371DD8"/>
    <w:rsid w:val="0037318C"/>
    <w:rsid w:val="00374B0A"/>
    <w:rsid w:val="00382335"/>
    <w:rsid w:val="003A0D2A"/>
    <w:rsid w:val="003A21C9"/>
    <w:rsid w:val="003A411C"/>
    <w:rsid w:val="003A6246"/>
    <w:rsid w:val="003B6FE0"/>
    <w:rsid w:val="003B71AD"/>
    <w:rsid w:val="003C2931"/>
    <w:rsid w:val="003C30A5"/>
    <w:rsid w:val="003C6935"/>
    <w:rsid w:val="003C7144"/>
    <w:rsid w:val="003D0BFE"/>
    <w:rsid w:val="003D5700"/>
    <w:rsid w:val="003E12FD"/>
    <w:rsid w:val="003E25AD"/>
    <w:rsid w:val="003E4745"/>
    <w:rsid w:val="003E64D4"/>
    <w:rsid w:val="003F37A9"/>
    <w:rsid w:val="003F7224"/>
    <w:rsid w:val="003F7D5F"/>
    <w:rsid w:val="00400999"/>
    <w:rsid w:val="00405E98"/>
    <w:rsid w:val="00410A84"/>
    <w:rsid w:val="004116CD"/>
    <w:rsid w:val="004148DE"/>
    <w:rsid w:val="00415924"/>
    <w:rsid w:val="00417EB9"/>
    <w:rsid w:val="00420017"/>
    <w:rsid w:val="00421EBB"/>
    <w:rsid w:val="00424CA9"/>
    <w:rsid w:val="00431482"/>
    <w:rsid w:val="00431A1F"/>
    <w:rsid w:val="00433336"/>
    <w:rsid w:val="004334AF"/>
    <w:rsid w:val="00437C10"/>
    <w:rsid w:val="004420A4"/>
    <w:rsid w:val="0044291A"/>
    <w:rsid w:val="00444A79"/>
    <w:rsid w:val="0044590E"/>
    <w:rsid w:val="00446812"/>
    <w:rsid w:val="00446E75"/>
    <w:rsid w:val="00450E8E"/>
    <w:rsid w:val="004511D0"/>
    <w:rsid w:val="0045510F"/>
    <w:rsid w:val="00455BA4"/>
    <w:rsid w:val="004574C1"/>
    <w:rsid w:val="004574F2"/>
    <w:rsid w:val="004616C5"/>
    <w:rsid w:val="00463EC0"/>
    <w:rsid w:val="004649DC"/>
    <w:rsid w:val="0046561C"/>
    <w:rsid w:val="004679F0"/>
    <w:rsid w:val="0047280B"/>
    <w:rsid w:val="00474290"/>
    <w:rsid w:val="004742C4"/>
    <w:rsid w:val="004777E8"/>
    <w:rsid w:val="00477FB9"/>
    <w:rsid w:val="00481861"/>
    <w:rsid w:val="00482656"/>
    <w:rsid w:val="00482CFA"/>
    <w:rsid w:val="004852AC"/>
    <w:rsid w:val="0048585C"/>
    <w:rsid w:val="00490CCE"/>
    <w:rsid w:val="00491862"/>
    <w:rsid w:val="00496F97"/>
    <w:rsid w:val="004974C0"/>
    <w:rsid w:val="004A11F7"/>
    <w:rsid w:val="004B2FB9"/>
    <w:rsid w:val="004B38C1"/>
    <w:rsid w:val="004C4FAC"/>
    <w:rsid w:val="004D6C8D"/>
    <w:rsid w:val="004E0615"/>
    <w:rsid w:val="004E193A"/>
    <w:rsid w:val="004E4735"/>
    <w:rsid w:val="004E7BEC"/>
    <w:rsid w:val="004F59B7"/>
    <w:rsid w:val="00502192"/>
    <w:rsid w:val="005061F7"/>
    <w:rsid w:val="0050664B"/>
    <w:rsid w:val="00510E06"/>
    <w:rsid w:val="00511061"/>
    <w:rsid w:val="005163CA"/>
    <w:rsid w:val="005164F9"/>
    <w:rsid w:val="00516B8D"/>
    <w:rsid w:val="005258F2"/>
    <w:rsid w:val="00537FBC"/>
    <w:rsid w:val="0054190E"/>
    <w:rsid w:val="00544776"/>
    <w:rsid w:val="0054617E"/>
    <w:rsid w:val="005465B8"/>
    <w:rsid w:val="00546CBF"/>
    <w:rsid w:val="00551342"/>
    <w:rsid w:val="00552CF6"/>
    <w:rsid w:val="0055599F"/>
    <w:rsid w:val="005573EF"/>
    <w:rsid w:val="0056174D"/>
    <w:rsid w:val="00565A9A"/>
    <w:rsid w:val="00576768"/>
    <w:rsid w:val="005803FB"/>
    <w:rsid w:val="00580B11"/>
    <w:rsid w:val="00583803"/>
    <w:rsid w:val="00584811"/>
    <w:rsid w:val="0059358E"/>
    <w:rsid w:val="00593AA6"/>
    <w:rsid w:val="00594161"/>
    <w:rsid w:val="00594749"/>
    <w:rsid w:val="00596D90"/>
    <w:rsid w:val="005A0E72"/>
    <w:rsid w:val="005A6928"/>
    <w:rsid w:val="005B1182"/>
    <w:rsid w:val="005B19EB"/>
    <w:rsid w:val="005B4067"/>
    <w:rsid w:val="005B43F3"/>
    <w:rsid w:val="005C04E0"/>
    <w:rsid w:val="005C21B0"/>
    <w:rsid w:val="005C3DCA"/>
    <w:rsid w:val="005C3F41"/>
    <w:rsid w:val="005C7F18"/>
    <w:rsid w:val="005D3471"/>
    <w:rsid w:val="005D4663"/>
    <w:rsid w:val="005D6D84"/>
    <w:rsid w:val="005D7042"/>
    <w:rsid w:val="005D74DB"/>
    <w:rsid w:val="005D7D02"/>
    <w:rsid w:val="005E014D"/>
    <w:rsid w:val="005E02F1"/>
    <w:rsid w:val="005F0A35"/>
    <w:rsid w:val="005F1574"/>
    <w:rsid w:val="005F19D0"/>
    <w:rsid w:val="005F51F4"/>
    <w:rsid w:val="005F7D3F"/>
    <w:rsid w:val="00600219"/>
    <w:rsid w:val="00601309"/>
    <w:rsid w:val="00602388"/>
    <w:rsid w:val="00605102"/>
    <w:rsid w:val="006051A8"/>
    <w:rsid w:val="00611B9E"/>
    <w:rsid w:val="00614DE8"/>
    <w:rsid w:val="0061640E"/>
    <w:rsid w:val="00616E1E"/>
    <w:rsid w:val="006202F1"/>
    <w:rsid w:val="00622E42"/>
    <w:rsid w:val="006255F7"/>
    <w:rsid w:val="00627376"/>
    <w:rsid w:val="00632224"/>
    <w:rsid w:val="00643093"/>
    <w:rsid w:val="00660190"/>
    <w:rsid w:val="006715A7"/>
    <w:rsid w:val="0067167D"/>
    <w:rsid w:val="00674DAF"/>
    <w:rsid w:val="00676102"/>
    <w:rsid w:val="00676D09"/>
    <w:rsid w:val="00677794"/>
    <w:rsid w:val="0067799E"/>
    <w:rsid w:val="00677BC0"/>
    <w:rsid w:val="00677CC2"/>
    <w:rsid w:val="00683310"/>
    <w:rsid w:val="006842F2"/>
    <w:rsid w:val="00687902"/>
    <w:rsid w:val="006905DE"/>
    <w:rsid w:val="00691A5F"/>
    <w:rsid w:val="00691A9D"/>
    <w:rsid w:val="0069207B"/>
    <w:rsid w:val="0069210F"/>
    <w:rsid w:val="006A3197"/>
    <w:rsid w:val="006A3431"/>
    <w:rsid w:val="006A7606"/>
    <w:rsid w:val="006B09D7"/>
    <w:rsid w:val="006B0C25"/>
    <w:rsid w:val="006B1554"/>
    <w:rsid w:val="006B1F41"/>
    <w:rsid w:val="006B4BB3"/>
    <w:rsid w:val="006B57CE"/>
    <w:rsid w:val="006B63E4"/>
    <w:rsid w:val="006B6E88"/>
    <w:rsid w:val="006C2748"/>
    <w:rsid w:val="006C41FA"/>
    <w:rsid w:val="006C7F8C"/>
    <w:rsid w:val="006D085A"/>
    <w:rsid w:val="006D7AEE"/>
    <w:rsid w:val="006E0BE9"/>
    <w:rsid w:val="006E1872"/>
    <w:rsid w:val="006F318F"/>
    <w:rsid w:val="006F6D10"/>
    <w:rsid w:val="006F78DC"/>
    <w:rsid w:val="00700B2C"/>
    <w:rsid w:val="0070215B"/>
    <w:rsid w:val="00703CD5"/>
    <w:rsid w:val="00706E57"/>
    <w:rsid w:val="0070712B"/>
    <w:rsid w:val="00713084"/>
    <w:rsid w:val="00713978"/>
    <w:rsid w:val="00714BD7"/>
    <w:rsid w:val="00715914"/>
    <w:rsid w:val="007163AC"/>
    <w:rsid w:val="00716598"/>
    <w:rsid w:val="00720D9A"/>
    <w:rsid w:val="00720E5E"/>
    <w:rsid w:val="007232E6"/>
    <w:rsid w:val="00724786"/>
    <w:rsid w:val="007249F2"/>
    <w:rsid w:val="0072698D"/>
    <w:rsid w:val="00731E00"/>
    <w:rsid w:val="00735130"/>
    <w:rsid w:val="00736263"/>
    <w:rsid w:val="00741E5B"/>
    <w:rsid w:val="007439C7"/>
    <w:rsid w:val="007440B7"/>
    <w:rsid w:val="007440C5"/>
    <w:rsid w:val="00745090"/>
    <w:rsid w:val="00746C1A"/>
    <w:rsid w:val="007539A6"/>
    <w:rsid w:val="00755771"/>
    <w:rsid w:val="0076749E"/>
    <w:rsid w:val="007715C9"/>
    <w:rsid w:val="00774A69"/>
    <w:rsid w:val="00774EDD"/>
    <w:rsid w:val="007757EC"/>
    <w:rsid w:val="00781C2A"/>
    <w:rsid w:val="007864D5"/>
    <w:rsid w:val="007924FC"/>
    <w:rsid w:val="00796E02"/>
    <w:rsid w:val="007A0990"/>
    <w:rsid w:val="007A514D"/>
    <w:rsid w:val="007B4ED5"/>
    <w:rsid w:val="007B75F4"/>
    <w:rsid w:val="007C6D12"/>
    <w:rsid w:val="007C708E"/>
    <w:rsid w:val="007D1EC1"/>
    <w:rsid w:val="007D27B0"/>
    <w:rsid w:val="007D5546"/>
    <w:rsid w:val="007D6360"/>
    <w:rsid w:val="007D70AE"/>
    <w:rsid w:val="007E5BD9"/>
    <w:rsid w:val="007F079A"/>
    <w:rsid w:val="007F20FF"/>
    <w:rsid w:val="007F3811"/>
    <w:rsid w:val="007F415A"/>
    <w:rsid w:val="007F5C98"/>
    <w:rsid w:val="00806F04"/>
    <w:rsid w:val="00807CB9"/>
    <w:rsid w:val="00812F13"/>
    <w:rsid w:val="00814543"/>
    <w:rsid w:val="008149F5"/>
    <w:rsid w:val="00815719"/>
    <w:rsid w:val="00824F26"/>
    <w:rsid w:val="00827BDF"/>
    <w:rsid w:val="00833408"/>
    <w:rsid w:val="008422C3"/>
    <w:rsid w:val="0084395C"/>
    <w:rsid w:val="00844B26"/>
    <w:rsid w:val="00846EFA"/>
    <w:rsid w:val="008508C5"/>
    <w:rsid w:val="00852367"/>
    <w:rsid w:val="00852747"/>
    <w:rsid w:val="0085473A"/>
    <w:rsid w:val="00856A31"/>
    <w:rsid w:val="00857C8A"/>
    <w:rsid w:val="00862B11"/>
    <w:rsid w:val="00864DB8"/>
    <w:rsid w:val="00866945"/>
    <w:rsid w:val="0087239D"/>
    <w:rsid w:val="008754D0"/>
    <w:rsid w:val="00876705"/>
    <w:rsid w:val="00877A7E"/>
    <w:rsid w:val="00881B8F"/>
    <w:rsid w:val="00883938"/>
    <w:rsid w:val="00883953"/>
    <w:rsid w:val="008906F1"/>
    <w:rsid w:val="00890EF5"/>
    <w:rsid w:val="0089107B"/>
    <w:rsid w:val="00892DD3"/>
    <w:rsid w:val="00896917"/>
    <w:rsid w:val="008A27FC"/>
    <w:rsid w:val="008A4AA4"/>
    <w:rsid w:val="008A5B53"/>
    <w:rsid w:val="008B14B7"/>
    <w:rsid w:val="008C43A3"/>
    <w:rsid w:val="008D0EE0"/>
    <w:rsid w:val="008D165D"/>
    <w:rsid w:val="008D2DF7"/>
    <w:rsid w:val="008D35A6"/>
    <w:rsid w:val="008D67F6"/>
    <w:rsid w:val="008E55F2"/>
    <w:rsid w:val="008E6BC9"/>
    <w:rsid w:val="008F2662"/>
    <w:rsid w:val="008F379B"/>
    <w:rsid w:val="008F54E7"/>
    <w:rsid w:val="008F5A60"/>
    <w:rsid w:val="008F5ED1"/>
    <w:rsid w:val="008F6B51"/>
    <w:rsid w:val="00901A1A"/>
    <w:rsid w:val="00901CEB"/>
    <w:rsid w:val="0090313A"/>
    <w:rsid w:val="00903422"/>
    <w:rsid w:val="0090347A"/>
    <w:rsid w:val="00904A28"/>
    <w:rsid w:val="00910C5E"/>
    <w:rsid w:val="00913EEB"/>
    <w:rsid w:val="00921169"/>
    <w:rsid w:val="009213B7"/>
    <w:rsid w:val="0092165F"/>
    <w:rsid w:val="0092274D"/>
    <w:rsid w:val="00923C2D"/>
    <w:rsid w:val="009265BF"/>
    <w:rsid w:val="0093095B"/>
    <w:rsid w:val="00932377"/>
    <w:rsid w:val="009375DB"/>
    <w:rsid w:val="00940885"/>
    <w:rsid w:val="009418B1"/>
    <w:rsid w:val="00942A5D"/>
    <w:rsid w:val="00943C05"/>
    <w:rsid w:val="00947D5A"/>
    <w:rsid w:val="00951D0F"/>
    <w:rsid w:val="00952653"/>
    <w:rsid w:val="009532A5"/>
    <w:rsid w:val="00954E14"/>
    <w:rsid w:val="009579C5"/>
    <w:rsid w:val="00960FE8"/>
    <w:rsid w:val="0096345A"/>
    <w:rsid w:val="009659D5"/>
    <w:rsid w:val="009709AD"/>
    <w:rsid w:val="00971081"/>
    <w:rsid w:val="00972FED"/>
    <w:rsid w:val="00973598"/>
    <w:rsid w:val="00974BCD"/>
    <w:rsid w:val="00976C9A"/>
    <w:rsid w:val="00977662"/>
    <w:rsid w:val="00984EF1"/>
    <w:rsid w:val="009851AC"/>
    <w:rsid w:val="009868E6"/>
    <w:rsid w:val="009868E9"/>
    <w:rsid w:val="00990ED3"/>
    <w:rsid w:val="0099419D"/>
    <w:rsid w:val="00994874"/>
    <w:rsid w:val="009955C5"/>
    <w:rsid w:val="0099574D"/>
    <w:rsid w:val="00997036"/>
    <w:rsid w:val="009A0921"/>
    <w:rsid w:val="009A2D11"/>
    <w:rsid w:val="009A62E3"/>
    <w:rsid w:val="009B0278"/>
    <w:rsid w:val="009B56A7"/>
    <w:rsid w:val="009C2F58"/>
    <w:rsid w:val="009C353A"/>
    <w:rsid w:val="009C6470"/>
    <w:rsid w:val="009D006B"/>
    <w:rsid w:val="009D1A60"/>
    <w:rsid w:val="009D21BA"/>
    <w:rsid w:val="009D2385"/>
    <w:rsid w:val="009D37DC"/>
    <w:rsid w:val="009D381F"/>
    <w:rsid w:val="009D52E0"/>
    <w:rsid w:val="009D7DDE"/>
    <w:rsid w:val="009E1F3F"/>
    <w:rsid w:val="009E2175"/>
    <w:rsid w:val="009E6036"/>
    <w:rsid w:val="009E7250"/>
    <w:rsid w:val="009F301A"/>
    <w:rsid w:val="009F374D"/>
    <w:rsid w:val="00A002A2"/>
    <w:rsid w:val="00A00A9F"/>
    <w:rsid w:val="00A03DF4"/>
    <w:rsid w:val="00A0547B"/>
    <w:rsid w:val="00A156FF"/>
    <w:rsid w:val="00A15C98"/>
    <w:rsid w:val="00A16204"/>
    <w:rsid w:val="00A1729F"/>
    <w:rsid w:val="00A22C98"/>
    <w:rsid w:val="00A231E2"/>
    <w:rsid w:val="00A31510"/>
    <w:rsid w:val="00A325BD"/>
    <w:rsid w:val="00A402D8"/>
    <w:rsid w:val="00A4181C"/>
    <w:rsid w:val="00A472D2"/>
    <w:rsid w:val="00A47AD3"/>
    <w:rsid w:val="00A50DEB"/>
    <w:rsid w:val="00A50E83"/>
    <w:rsid w:val="00A51857"/>
    <w:rsid w:val="00A53EA0"/>
    <w:rsid w:val="00A561DD"/>
    <w:rsid w:val="00A60D08"/>
    <w:rsid w:val="00A62FCC"/>
    <w:rsid w:val="00A63D0D"/>
    <w:rsid w:val="00A64912"/>
    <w:rsid w:val="00A66661"/>
    <w:rsid w:val="00A668CE"/>
    <w:rsid w:val="00A70A74"/>
    <w:rsid w:val="00A72A68"/>
    <w:rsid w:val="00A749D2"/>
    <w:rsid w:val="00A75AB6"/>
    <w:rsid w:val="00A75F25"/>
    <w:rsid w:val="00A764E5"/>
    <w:rsid w:val="00A77F09"/>
    <w:rsid w:val="00A77FF7"/>
    <w:rsid w:val="00A81A96"/>
    <w:rsid w:val="00A81B9B"/>
    <w:rsid w:val="00A81C46"/>
    <w:rsid w:val="00A852AA"/>
    <w:rsid w:val="00A90EE4"/>
    <w:rsid w:val="00A930F1"/>
    <w:rsid w:val="00AA15FD"/>
    <w:rsid w:val="00AA3D3B"/>
    <w:rsid w:val="00AA5F32"/>
    <w:rsid w:val="00AB0439"/>
    <w:rsid w:val="00AB7572"/>
    <w:rsid w:val="00AC21C8"/>
    <w:rsid w:val="00AC49B7"/>
    <w:rsid w:val="00AC4BB2"/>
    <w:rsid w:val="00AC4D0F"/>
    <w:rsid w:val="00AC4E85"/>
    <w:rsid w:val="00AC719E"/>
    <w:rsid w:val="00AC72F8"/>
    <w:rsid w:val="00AC78EE"/>
    <w:rsid w:val="00AC7982"/>
    <w:rsid w:val="00AD03BC"/>
    <w:rsid w:val="00AD5641"/>
    <w:rsid w:val="00AE329F"/>
    <w:rsid w:val="00AE3647"/>
    <w:rsid w:val="00AE5CA2"/>
    <w:rsid w:val="00AF06CF"/>
    <w:rsid w:val="00AF33AF"/>
    <w:rsid w:val="00AF3C55"/>
    <w:rsid w:val="00AF6637"/>
    <w:rsid w:val="00B001FF"/>
    <w:rsid w:val="00B02ADD"/>
    <w:rsid w:val="00B02AE2"/>
    <w:rsid w:val="00B047A3"/>
    <w:rsid w:val="00B07FAA"/>
    <w:rsid w:val="00B116F8"/>
    <w:rsid w:val="00B1466A"/>
    <w:rsid w:val="00B155BD"/>
    <w:rsid w:val="00B17C08"/>
    <w:rsid w:val="00B20224"/>
    <w:rsid w:val="00B21173"/>
    <w:rsid w:val="00B21556"/>
    <w:rsid w:val="00B21A5B"/>
    <w:rsid w:val="00B25210"/>
    <w:rsid w:val="00B25695"/>
    <w:rsid w:val="00B31B0C"/>
    <w:rsid w:val="00B3270E"/>
    <w:rsid w:val="00B33B3C"/>
    <w:rsid w:val="00B42AAE"/>
    <w:rsid w:val="00B43B53"/>
    <w:rsid w:val="00B44E98"/>
    <w:rsid w:val="00B465EA"/>
    <w:rsid w:val="00B50BAC"/>
    <w:rsid w:val="00B541E3"/>
    <w:rsid w:val="00B579BC"/>
    <w:rsid w:val="00B63834"/>
    <w:rsid w:val="00B646E3"/>
    <w:rsid w:val="00B70822"/>
    <w:rsid w:val="00B71A67"/>
    <w:rsid w:val="00B73AB8"/>
    <w:rsid w:val="00B77E81"/>
    <w:rsid w:val="00B80199"/>
    <w:rsid w:val="00B81A3D"/>
    <w:rsid w:val="00B82680"/>
    <w:rsid w:val="00B82B3A"/>
    <w:rsid w:val="00B8499E"/>
    <w:rsid w:val="00B858A3"/>
    <w:rsid w:val="00B86188"/>
    <w:rsid w:val="00B90642"/>
    <w:rsid w:val="00B93F3D"/>
    <w:rsid w:val="00B9706F"/>
    <w:rsid w:val="00B972EE"/>
    <w:rsid w:val="00BA220B"/>
    <w:rsid w:val="00BA69B2"/>
    <w:rsid w:val="00BA7A82"/>
    <w:rsid w:val="00BB2111"/>
    <w:rsid w:val="00BB5A89"/>
    <w:rsid w:val="00BB5F5B"/>
    <w:rsid w:val="00BC5077"/>
    <w:rsid w:val="00BD0BB6"/>
    <w:rsid w:val="00BD2DE9"/>
    <w:rsid w:val="00BD47BE"/>
    <w:rsid w:val="00BD7581"/>
    <w:rsid w:val="00BE2FA0"/>
    <w:rsid w:val="00BE6C6E"/>
    <w:rsid w:val="00BE719A"/>
    <w:rsid w:val="00BE720A"/>
    <w:rsid w:val="00BF1A91"/>
    <w:rsid w:val="00BF6BCB"/>
    <w:rsid w:val="00C01828"/>
    <w:rsid w:val="00C03045"/>
    <w:rsid w:val="00C0399A"/>
    <w:rsid w:val="00C048D2"/>
    <w:rsid w:val="00C062F4"/>
    <w:rsid w:val="00C12182"/>
    <w:rsid w:val="00C122FF"/>
    <w:rsid w:val="00C231FE"/>
    <w:rsid w:val="00C25299"/>
    <w:rsid w:val="00C255E9"/>
    <w:rsid w:val="00C33D37"/>
    <w:rsid w:val="00C3558B"/>
    <w:rsid w:val="00C42BF8"/>
    <w:rsid w:val="00C44242"/>
    <w:rsid w:val="00C50043"/>
    <w:rsid w:val="00C5509A"/>
    <w:rsid w:val="00C5578F"/>
    <w:rsid w:val="00C557FB"/>
    <w:rsid w:val="00C648E0"/>
    <w:rsid w:val="00C66CF9"/>
    <w:rsid w:val="00C6734A"/>
    <w:rsid w:val="00C72430"/>
    <w:rsid w:val="00C736A4"/>
    <w:rsid w:val="00C74FD3"/>
    <w:rsid w:val="00C7573B"/>
    <w:rsid w:val="00C806D2"/>
    <w:rsid w:val="00C831D7"/>
    <w:rsid w:val="00C84C29"/>
    <w:rsid w:val="00C8631A"/>
    <w:rsid w:val="00C86865"/>
    <w:rsid w:val="00C9011E"/>
    <w:rsid w:val="00C9390A"/>
    <w:rsid w:val="00C93A37"/>
    <w:rsid w:val="00CA0E60"/>
    <w:rsid w:val="00CA12B0"/>
    <w:rsid w:val="00CA17E7"/>
    <w:rsid w:val="00CA2379"/>
    <w:rsid w:val="00CA34EB"/>
    <w:rsid w:val="00CA4010"/>
    <w:rsid w:val="00CA4FCE"/>
    <w:rsid w:val="00CA59A5"/>
    <w:rsid w:val="00CB333F"/>
    <w:rsid w:val="00CB3F2A"/>
    <w:rsid w:val="00CB4821"/>
    <w:rsid w:val="00CB4D6E"/>
    <w:rsid w:val="00CB73A3"/>
    <w:rsid w:val="00CC0BFC"/>
    <w:rsid w:val="00CC2BAB"/>
    <w:rsid w:val="00CC5988"/>
    <w:rsid w:val="00CC6F7F"/>
    <w:rsid w:val="00CC7C7B"/>
    <w:rsid w:val="00CD02A7"/>
    <w:rsid w:val="00CD3FD9"/>
    <w:rsid w:val="00CD7A36"/>
    <w:rsid w:val="00CE1A7A"/>
    <w:rsid w:val="00CE3F49"/>
    <w:rsid w:val="00CF0BB2"/>
    <w:rsid w:val="00CF3EE8"/>
    <w:rsid w:val="00CF6318"/>
    <w:rsid w:val="00D02B70"/>
    <w:rsid w:val="00D0379E"/>
    <w:rsid w:val="00D04D96"/>
    <w:rsid w:val="00D0535F"/>
    <w:rsid w:val="00D12501"/>
    <w:rsid w:val="00D13141"/>
    <w:rsid w:val="00D13441"/>
    <w:rsid w:val="00D16058"/>
    <w:rsid w:val="00D162E7"/>
    <w:rsid w:val="00D1683D"/>
    <w:rsid w:val="00D256F3"/>
    <w:rsid w:val="00D31633"/>
    <w:rsid w:val="00D356A4"/>
    <w:rsid w:val="00D4452F"/>
    <w:rsid w:val="00D44BEF"/>
    <w:rsid w:val="00D45A1E"/>
    <w:rsid w:val="00D473B5"/>
    <w:rsid w:val="00D62583"/>
    <w:rsid w:val="00D63B10"/>
    <w:rsid w:val="00D6533C"/>
    <w:rsid w:val="00D67056"/>
    <w:rsid w:val="00D70DFB"/>
    <w:rsid w:val="00D72CFF"/>
    <w:rsid w:val="00D74249"/>
    <w:rsid w:val="00D766DF"/>
    <w:rsid w:val="00D8280A"/>
    <w:rsid w:val="00D84EF8"/>
    <w:rsid w:val="00D85AB2"/>
    <w:rsid w:val="00D86F32"/>
    <w:rsid w:val="00D908BD"/>
    <w:rsid w:val="00D90CD1"/>
    <w:rsid w:val="00D924A7"/>
    <w:rsid w:val="00D927CE"/>
    <w:rsid w:val="00D96E36"/>
    <w:rsid w:val="00D96F2E"/>
    <w:rsid w:val="00D97AC5"/>
    <w:rsid w:val="00DA0E88"/>
    <w:rsid w:val="00DA6185"/>
    <w:rsid w:val="00DA6795"/>
    <w:rsid w:val="00DA7E72"/>
    <w:rsid w:val="00DB14BC"/>
    <w:rsid w:val="00DB1741"/>
    <w:rsid w:val="00DC15C9"/>
    <w:rsid w:val="00DC2A75"/>
    <w:rsid w:val="00DC4F88"/>
    <w:rsid w:val="00DD1090"/>
    <w:rsid w:val="00DD51EA"/>
    <w:rsid w:val="00DD645C"/>
    <w:rsid w:val="00DD6E87"/>
    <w:rsid w:val="00DE1B18"/>
    <w:rsid w:val="00DE533D"/>
    <w:rsid w:val="00DE54A9"/>
    <w:rsid w:val="00DE64EF"/>
    <w:rsid w:val="00DE6B1C"/>
    <w:rsid w:val="00DF01F9"/>
    <w:rsid w:val="00DF2145"/>
    <w:rsid w:val="00DF6A55"/>
    <w:rsid w:val="00E03151"/>
    <w:rsid w:val="00E03ACB"/>
    <w:rsid w:val="00E05704"/>
    <w:rsid w:val="00E07F40"/>
    <w:rsid w:val="00E114CE"/>
    <w:rsid w:val="00E118B9"/>
    <w:rsid w:val="00E159D1"/>
    <w:rsid w:val="00E16BBE"/>
    <w:rsid w:val="00E16F63"/>
    <w:rsid w:val="00E17108"/>
    <w:rsid w:val="00E219A6"/>
    <w:rsid w:val="00E23E7C"/>
    <w:rsid w:val="00E261C0"/>
    <w:rsid w:val="00E27736"/>
    <w:rsid w:val="00E30FAA"/>
    <w:rsid w:val="00E30FCA"/>
    <w:rsid w:val="00E338EF"/>
    <w:rsid w:val="00E409BB"/>
    <w:rsid w:val="00E40E86"/>
    <w:rsid w:val="00E418C4"/>
    <w:rsid w:val="00E42BE2"/>
    <w:rsid w:val="00E43ECB"/>
    <w:rsid w:val="00E461A1"/>
    <w:rsid w:val="00E62FA8"/>
    <w:rsid w:val="00E74DC7"/>
    <w:rsid w:val="00E75815"/>
    <w:rsid w:val="00E75AEA"/>
    <w:rsid w:val="00E80BB0"/>
    <w:rsid w:val="00E81CDE"/>
    <w:rsid w:val="00E83197"/>
    <w:rsid w:val="00E87BDF"/>
    <w:rsid w:val="00E9159C"/>
    <w:rsid w:val="00E94D5E"/>
    <w:rsid w:val="00E955AB"/>
    <w:rsid w:val="00E963D7"/>
    <w:rsid w:val="00E96FA3"/>
    <w:rsid w:val="00EA07AC"/>
    <w:rsid w:val="00EA3880"/>
    <w:rsid w:val="00EA7100"/>
    <w:rsid w:val="00EB1780"/>
    <w:rsid w:val="00EB3146"/>
    <w:rsid w:val="00EB3D55"/>
    <w:rsid w:val="00EB490B"/>
    <w:rsid w:val="00EB7AC1"/>
    <w:rsid w:val="00EC350D"/>
    <w:rsid w:val="00EC3721"/>
    <w:rsid w:val="00EC3F63"/>
    <w:rsid w:val="00EC4ECE"/>
    <w:rsid w:val="00EC75A3"/>
    <w:rsid w:val="00ED2C04"/>
    <w:rsid w:val="00ED77A7"/>
    <w:rsid w:val="00EE5315"/>
    <w:rsid w:val="00EE7DAC"/>
    <w:rsid w:val="00EF2E3A"/>
    <w:rsid w:val="00EF67B7"/>
    <w:rsid w:val="00EF7010"/>
    <w:rsid w:val="00F0069F"/>
    <w:rsid w:val="00F0228A"/>
    <w:rsid w:val="00F03D63"/>
    <w:rsid w:val="00F06B09"/>
    <w:rsid w:val="00F072A7"/>
    <w:rsid w:val="00F07354"/>
    <w:rsid w:val="00F078DC"/>
    <w:rsid w:val="00F12083"/>
    <w:rsid w:val="00F20F94"/>
    <w:rsid w:val="00F2367D"/>
    <w:rsid w:val="00F27BD4"/>
    <w:rsid w:val="00F3299C"/>
    <w:rsid w:val="00F33DDB"/>
    <w:rsid w:val="00F3406A"/>
    <w:rsid w:val="00F37FED"/>
    <w:rsid w:val="00F44C1D"/>
    <w:rsid w:val="00F5098A"/>
    <w:rsid w:val="00F5139E"/>
    <w:rsid w:val="00F52330"/>
    <w:rsid w:val="00F52449"/>
    <w:rsid w:val="00F5350D"/>
    <w:rsid w:val="00F56634"/>
    <w:rsid w:val="00F56E23"/>
    <w:rsid w:val="00F67E22"/>
    <w:rsid w:val="00F7100D"/>
    <w:rsid w:val="00F71650"/>
    <w:rsid w:val="00F73BD6"/>
    <w:rsid w:val="00F80C91"/>
    <w:rsid w:val="00F836AF"/>
    <w:rsid w:val="00F83989"/>
    <w:rsid w:val="00F86C91"/>
    <w:rsid w:val="00F91403"/>
    <w:rsid w:val="00F91DF5"/>
    <w:rsid w:val="00F95A47"/>
    <w:rsid w:val="00F972DB"/>
    <w:rsid w:val="00F97BA2"/>
    <w:rsid w:val="00FA43F4"/>
    <w:rsid w:val="00FA7810"/>
    <w:rsid w:val="00FB40BA"/>
    <w:rsid w:val="00FB6DF3"/>
    <w:rsid w:val="00FB7866"/>
    <w:rsid w:val="00FB79C6"/>
    <w:rsid w:val="00FC03D3"/>
    <w:rsid w:val="00FC272B"/>
    <w:rsid w:val="00FC305C"/>
    <w:rsid w:val="00FC5D02"/>
    <w:rsid w:val="00FC6E0E"/>
    <w:rsid w:val="00FD2923"/>
    <w:rsid w:val="00FD3AB0"/>
    <w:rsid w:val="00FD520F"/>
    <w:rsid w:val="00FD53C3"/>
    <w:rsid w:val="00FD73D1"/>
    <w:rsid w:val="00FE6714"/>
    <w:rsid w:val="00FF00F1"/>
    <w:rsid w:val="00FF6BF0"/>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18A4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7C10"/>
    <w:pPr>
      <w:spacing w:line="260" w:lineRule="atLeast"/>
    </w:pPr>
    <w:rPr>
      <w:sz w:val="22"/>
    </w:rPr>
  </w:style>
  <w:style w:type="paragraph" w:styleId="Heading1">
    <w:name w:val="heading 1"/>
    <w:basedOn w:val="Normal"/>
    <w:next w:val="Normal"/>
    <w:link w:val="Heading1Char"/>
    <w:uiPriority w:val="9"/>
    <w:qFormat/>
    <w:rsid w:val="00D44B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4B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4B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4BE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4BE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4BE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4BE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4B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B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37C10"/>
  </w:style>
  <w:style w:type="paragraph" w:customStyle="1" w:styleId="OPCParaBase">
    <w:name w:val="OPCParaBase"/>
    <w:qFormat/>
    <w:rsid w:val="00437C10"/>
    <w:pPr>
      <w:spacing w:line="260" w:lineRule="atLeast"/>
    </w:pPr>
    <w:rPr>
      <w:rFonts w:eastAsia="Times New Roman" w:cs="Times New Roman"/>
      <w:sz w:val="22"/>
      <w:lang w:eastAsia="en-AU"/>
    </w:rPr>
  </w:style>
  <w:style w:type="paragraph" w:customStyle="1" w:styleId="ShortT">
    <w:name w:val="ShortT"/>
    <w:basedOn w:val="OPCParaBase"/>
    <w:next w:val="Normal"/>
    <w:qFormat/>
    <w:rsid w:val="00437C10"/>
    <w:pPr>
      <w:spacing w:line="240" w:lineRule="auto"/>
    </w:pPr>
    <w:rPr>
      <w:b/>
      <w:sz w:val="40"/>
    </w:rPr>
  </w:style>
  <w:style w:type="paragraph" w:customStyle="1" w:styleId="ActHead1">
    <w:name w:val="ActHead 1"/>
    <w:aliases w:val="c"/>
    <w:basedOn w:val="OPCParaBase"/>
    <w:next w:val="Normal"/>
    <w:qFormat/>
    <w:rsid w:val="00437C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37C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37C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37C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37C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37C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37C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37C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37C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37C10"/>
  </w:style>
  <w:style w:type="paragraph" w:customStyle="1" w:styleId="Blocks">
    <w:name w:val="Blocks"/>
    <w:aliases w:val="bb"/>
    <w:basedOn w:val="OPCParaBase"/>
    <w:qFormat/>
    <w:rsid w:val="00437C10"/>
    <w:pPr>
      <w:spacing w:line="240" w:lineRule="auto"/>
    </w:pPr>
    <w:rPr>
      <w:sz w:val="24"/>
    </w:rPr>
  </w:style>
  <w:style w:type="paragraph" w:customStyle="1" w:styleId="BoxText">
    <w:name w:val="BoxText"/>
    <w:aliases w:val="bt"/>
    <w:basedOn w:val="OPCParaBase"/>
    <w:qFormat/>
    <w:rsid w:val="00437C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37C10"/>
    <w:rPr>
      <w:b/>
    </w:rPr>
  </w:style>
  <w:style w:type="paragraph" w:customStyle="1" w:styleId="BoxHeadItalic">
    <w:name w:val="BoxHeadItalic"/>
    <w:aliases w:val="bhi"/>
    <w:basedOn w:val="BoxText"/>
    <w:next w:val="BoxStep"/>
    <w:qFormat/>
    <w:rsid w:val="00437C10"/>
    <w:rPr>
      <w:i/>
    </w:rPr>
  </w:style>
  <w:style w:type="paragraph" w:customStyle="1" w:styleId="BoxList">
    <w:name w:val="BoxList"/>
    <w:aliases w:val="bl"/>
    <w:basedOn w:val="BoxText"/>
    <w:qFormat/>
    <w:rsid w:val="00437C10"/>
    <w:pPr>
      <w:ind w:left="1559" w:hanging="425"/>
    </w:pPr>
  </w:style>
  <w:style w:type="paragraph" w:customStyle="1" w:styleId="BoxNote">
    <w:name w:val="BoxNote"/>
    <w:aliases w:val="bn"/>
    <w:basedOn w:val="BoxText"/>
    <w:qFormat/>
    <w:rsid w:val="00437C10"/>
    <w:pPr>
      <w:tabs>
        <w:tab w:val="left" w:pos="1985"/>
      </w:tabs>
      <w:spacing w:before="122" w:line="198" w:lineRule="exact"/>
      <w:ind w:left="2948" w:hanging="1814"/>
    </w:pPr>
    <w:rPr>
      <w:sz w:val="18"/>
    </w:rPr>
  </w:style>
  <w:style w:type="paragraph" w:customStyle="1" w:styleId="BoxPara">
    <w:name w:val="BoxPara"/>
    <w:aliases w:val="bp"/>
    <w:basedOn w:val="BoxText"/>
    <w:qFormat/>
    <w:rsid w:val="00437C10"/>
    <w:pPr>
      <w:tabs>
        <w:tab w:val="right" w:pos="2268"/>
      </w:tabs>
      <w:ind w:left="2552" w:hanging="1418"/>
    </w:pPr>
  </w:style>
  <w:style w:type="paragraph" w:customStyle="1" w:styleId="BoxStep">
    <w:name w:val="BoxStep"/>
    <w:aliases w:val="bs"/>
    <w:basedOn w:val="BoxText"/>
    <w:qFormat/>
    <w:rsid w:val="00437C10"/>
    <w:pPr>
      <w:ind w:left="1985" w:hanging="851"/>
    </w:pPr>
  </w:style>
  <w:style w:type="character" w:customStyle="1" w:styleId="CharAmPartNo">
    <w:name w:val="CharAmPartNo"/>
    <w:basedOn w:val="OPCCharBase"/>
    <w:qFormat/>
    <w:rsid w:val="00437C10"/>
  </w:style>
  <w:style w:type="character" w:customStyle="1" w:styleId="CharAmPartText">
    <w:name w:val="CharAmPartText"/>
    <w:basedOn w:val="OPCCharBase"/>
    <w:qFormat/>
    <w:rsid w:val="00437C10"/>
  </w:style>
  <w:style w:type="character" w:customStyle="1" w:styleId="CharAmSchNo">
    <w:name w:val="CharAmSchNo"/>
    <w:basedOn w:val="OPCCharBase"/>
    <w:qFormat/>
    <w:rsid w:val="00437C10"/>
  </w:style>
  <w:style w:type="character" w:customStyle="1" w:styleId="CharAmSchText">
    <w:name w:val="CharAmSchText"/>
    <w:basedOn w:val="OPCCharBase"/>
    <w:qFormat/>
    <w:rsid w:val="00437C10"/>
  </w:style>
  <w:style w:type="character" w:customStyle="1" w:styleId="CharBoldItalic">
    <w:name w:val="CharBoldItalic"/>
    <w:basedOn w:val="OPCCharBase"/>
    <w:uiPriority w:val="1"/>
    <w:qFormat/>
    <w:rsid w:val="00437C10"/>
    <w:rPr>
      <w:b/>
      <w:i/>
    </w:rPr>
  </w:style>
  <w:style w:type="character" w:customStyle="1" w:styleId="CharChapNo">
    <w:name w:val="CharChapNo"/>
    <w:basedOn w:val="OPCCharBase"/>
    <w:uiPriority w:val="1"/>
    <w:qFormat/>
    <w:rsid w:val="00437C10"/>
  </w:style>
  <w:style w:type="character" w:customStyle="1" w:styleId="CharChapText">
    <w:name w:val="CharChapText"/>
    <w:basedOn w:val="OPCCharBase"/>
    <w:uiPriority w:val="1"/>
    <w:qFormat/>
    <w:rsid w:val="00437C10"/>
  </w:style>
  <w:style w:type="character" w:customStyle="1" w:styleId="CharDivNo">
    <w:name w:val="CharDivNo"/>
    <w:basedOn w:val="OPCCharBase"/>
    <w:uiPriority w:val="1"/>
    <w:qFormat/>
    <w:rsid w:val="00437C10"/>
  </w:style>
  <w:style w:type="character" w:customStyle="1" w:styleId="CharDivText">
    <w:name w:val="CharDivText"/>
    <w:basedOn w:val="OPCCharBase"/>
    <w:uiPriority w:val="1"/>
    <w:qFormat/>
    <w:rsid w:val="00437C10"/>
  </w:style>
  <w:style w:type="character" w:customStyle="1" w:styleId="CharItalic">
    <w:name w:val="CharItalic"/>
    <w:basedOn w:val="OPCCharBase"/>
    <w:uiPriority w:val="1"/>
    <w:qFormat/>
    <w:rsid w:val="00437C10"/>
    <w:rPr>
      <w:i/>
    </w:rPr>
  </w:style>
  <w:style w:type="character" w:customStyle="1" w:styleId="CharPartNo">
    <w:name w:val="CharPartNo"/>
    <w:basedOn w:val="OPCCharBase"/>
    <w:uiPriority w:val="1"/>
    <w:qFormat/>
    <w:rsid w:val="00437C10"/>
  </w:style>
  <w:style w:type="character" w:customStyle="1" w:styleId="CharPartText">
    <w:name w:val="CharPartText"/>
    <w:basedOn w:val="OPCCharBase"/>
    <w:uiPriority w:val="1"/>
    <w:qFormat/>
    <w:rsid w:val="00437C10"/>
  </w:style>
  <w:style w:type="character" w:customStyle="1" w:styleId="CharSectno">
    <w:name w:val="CharSectno"/>
    <w:basedOn w:val="OPCCharBase"/>
    <w:qFormat/>
    <w:rsid w:val="00437C10"/>
  </w:style>
  <w:style w:type="character" w:customStyle="1" w:styleId="CharSubdNo">
    <w:name w:val="CharSubdNo"/>
    <w:basedOn w:val="OPCCharBase"/>
    <w:uiPriority w:val="1"/>
    <w:qFormat/>
    <w:rsid w:val="00437C10"/>
  </w:style>
  <w:style w:type="character" w:customStyle="1" w:styleId="CharSubdText">
    <w:name w:val="CharSubdText"/>
    <w:basedOn w:val="OPCCharBase"/>
    <w:uiPriority w:val="1"/>
    <w:qFormat/>
    <w:rsid w:val="00437C10"/>
  </w:style>
  <w:style w:type="paragraph" w:customStyle="1" w:styleId="CTA--">
    <w:name w:val="CTA --"/>
    <w:basedOn w:val="OPCParaBase"/>
    <w:next w:val="Normal"/>
    <w:rsid w:val="00437C10"/>
    <w:pPr>
      <w:spacing w:before="60" w:line="240" w:lineRule="atLeast"/>
      <w:ind w:left="142" w:hanging="142"/>
    </w:pPr>
    <w:rPr>
      <w:sz w:val="20"/>
    </w:rPr>
  </w:style>
  <w:style w:type="paragraph" w:customStyle="1" w:styleId="CTA-">
    <w:name w:val="CTA -"/>
    <w:basedOn w:val="OPCParaBase"/>
    <w:rsid w:val="00437C10"/>
    <w:pPr>
      <w:spacing w:before="60" w:line="240" w:lineRule="atLeast"/>
      <w:ind w:left="85" w:hanging="85"/>
    </w:pPr>
    <w:rPr>
      <w:sz w:val="20"/>
    </w:rPr>
  </w:style>
  <w:style w:type="paragraph" w:customStyle="1" w:styleId="CTA---">
    <w:name w:val="CTA ---"/>
    <w:basedOn w:val="OPCParaBase"/>
    <w:next w:val="Normal"/>
    <w:rsid w:val="00437C10"/>
    <w:pPr>
      <w:spacing w:before="60" w:line="240" w:lineRule="atLeast"/>
      <w:ind w:left="198" w:hanging="198"/>
    </w:pPr>
    <w:rPr>
      <w:sz w:val="20"/>
    </w:rPr>
  </w:style>
  <w:style w:type="paragraph" w:customStyle="1" w:styleId="CTA----">
    <w:name w:val="CTA ----"/>
    <w:basedOn w:val="OPCParaBase"/>
    <w:next w:val="Normal"/>
    <w:rsid w:val="00437C10"/>
    <w:pPr>
      <w:spacing w:before="60" w:line="240" w:lineRule="atLeast"/>
      <w:ind w:left="255" w:hanging="255"/>
    </w:pPr>
    <w:rPr>
      <w:sz w:val="20"/>
    </w:rPr>
  </w:style>
  <w:style w:type="paragraph" w:customStyle="1" w:styleId="CTA1a">
    <w:name w:val="CTA 1(a)"/>
    <w:basedOn w:val="OPCParaBase"/>
    <w:rsid w:val="00437C10"/>
    <w:pPr>
      <w:tabs>
        <w:tab w:val="right" w:pos="414"/>
      </w:tabs>
      <w:spacing w:before="40" w:line="240" w:lineRule="atLeast"/>
      <w:ind w:left="675" w:hanging="675"/>
    </w:pPr>
    <w:rPr>
      <w:sz w:val="20"/>
    </w:rPr>
  </w:style>
  <w:style w:type="paragraph" w:customStyle="1" w:styleId="CTA1ai">
    <w:name w:val="CTA 1(a)(i)"/>
    <w:basedOn w:val="OPCParaBase"/>
    <w:rsid w:val="00437C10"/>
    <w:pPr>
      <w:tabs>
        <w:tab w:val="right" w:pos="1004"/>
      </w:tabs>
      <w:spacing w:before="40" w:line="240" w:lineRule="atLeast"/>
      <w:ind w:left="1253" w:hanging="1253"/>
    </w:pPr>
    <w:rPr>
      <w:sz w:val="20"/>
    </w:rPr>
  </w:style>
  <w:style w:type="paragraph" w:customStyle="1" w:styleId="CTA2a">
    <w:name w:val="CTA 2(a)"/>
    <w:basedOn w:val="OPCParaBase"/>
    <w:rsid w:val="00437C10"/>
    <w:pPr>
      <w:tabs>
        <w:tab w:val="right" w:pos="482"/>
      </w:tabs>
      <w:spacing w:before="40" w:line="240" w:lineRule="atLeast"/>
      <w:ind w:left="748" w:hanging="748"/>
    </w:pPr>
    <w:rPr>
      <w:sz w:val="20"/>
    </w:rPr>
  </w:style>
  <w:style w:type="paragraph" w:customStyle="1" w:styleId="CTA2ai">
    <w:name w:val="CTA 2(a)(i)"/>
    <w:basedOn w:val="OPCParaBase"/>
    <w:rsid w:val="00437C10"/>
    <w:pPr>
      <w:tabs>
        <w:tab w:val="right" w:pos="1089"/>
      </w:tabs>
      <w:spacing w:before="40" w:line="240" w:lineRule="atLeast"/>
      <w:ind w:left="1327" w:hanging="1327"/>
    </w:pPr>
    <w:rPr>
      <w:sz w:val="20"/>
    </w:rPr>
  </w:style>
  <w:style w:type="paragraph" w:customStyle="1" w:styleId="CTA3a">
    <w:name w:val="CTA 3(a)"/>
    <w:basedOn w:val="OPCParaBase"/>
    <w:rsid w:val="00437C10"/>
    <w:pPr>
      <w:tabs>
        <w:tab w:val="right" w:pos="556"/>
      </w:tabs>
      <w:spacing w:before="40" w:line="240" w:lineRule="atLeast"/>
      <w:ind w:left="805" w:hanging="805"/>
    </w:pPr>
    <w:rPr>
      <w:sz w:val="20"/>
    </w:rPr>
  </w:style>
  <w:style w:type="paragraph" w:customStyle="1" w:styleId="CTA3ai">
    <w:name w:val="CTA 3(a)(i)"/>
    <w:basedOn w:val="OPCParaBase"/>
    <w:rsid w:val="00437C10"/>
    <w:pPr>
      <w:tabs>
        <w:tab w:val="right" w:pos="1140"/>
      </w:tabs>
      <w:spacing w:before="40" w:line="240" w:lineRule="atLeast"/>
      <w:ind w:left="1361" w:hanging="1361"/>
    </w:pPr>
    <w:rPr>
      <w:sz w:val="20"/>
    </w:rPr>
  </w:style>
  <w:style w:type="paragraph" w:customStyle="1" w:styleId="CTA4a">
    <w:name w:val="CTA 4(a)"/>
    <w:basedOn w:val="OPCParaBase"/>
    <w:rsid w:val="00437C10"/>
    <w:pPr>
      <w:tabs>
        <w:tab w:val="right" w:pos="624"/>
      </w:tabs>
      <w:spacing w:before="40" w:line="240" w:lineRule="atLeast"/>
      <w:ind w:left="873" w:hanging="873"/>
    </w:pPr>
    <w:rPr>
      <w:sz w:val="20"/>
    </w:rPr>
  </w:style>
  <w:style w:type="paragraph" w:customStyle="1" w:styleId="CTA4ai">
    <w:name w:val="CTA 4(a)(i)"/>
    <w:basedOn w:val="OPCParaBase"/>
    <w:rsid w:val="00437C10"/>
    <w:pPr>
      <w:tabs>
        <w:tab w:val="right" w:pos="1213"/>
      </w:tabs>
      <w:spacing w:before="40" w:line="240" w:lineRule="atLeast"/>
      <w:ind w:left="1452" w:hanging="1452"/>
    </w:pPr>
    <w:rPr>
      <w:sz w:val="20"/>
    </w:rPr>
  </w:style>
  <w:style w:type="paragraph" w:customStyle="1" w:styleId="CTACAPS">
    <w:name w:val="CTA CAPS"/>
    <w:basedOn w:val="OPCParaBase"/>
    <w:rsid w:val="00437C10"/>
    <w:pPr>
      <w:spacing w:before="60" w:line="240" w:lineRule="atLeast"/>
    </w:pPr>
    <w:rPr>
      <w:sz w:val="20"/>
    </w:rPr>
  </w:style>
  <w:style w:type="paragraph" w:customStyle="1" w:styleId="CTAright">
    <w:name w:val="CTA right"/>
    <w:basedOn w:val="OPCParaBase"/>
    <w:rsid w:val="00437C10"/>
    <w:pPr>
      <w:spacing w:before="60" w:line="240" w:lineRule="auto"/>
      <w:jc w:val="right"/>
    </w:pPr>
    <w:rPr>
      <w:sz w:val="20"/>
    </w:rPr>
  </w:style>
  <w:style w:type="paragraph" w:customStyle="1" w:styleId="subsection">
    <w:name w:val="subsection"/>
    <w:aliases w:val="ss"/>
    <w:basedOn w:val="OPCParaBase"/>
    <w:link w:val="subsectionChar"/>
    <w:rsid w:val="00437C10"/>
    <w:pPr>
      <w:tabs>
        <w:tab w:val="right" w:pos="1021"/>
      </w:tabs>
      <w:spacing w:before="180" w:line="240" w:lineRule="auto"/>
      <w:ind w:left="1134" w:hanging="1134"/>
    </w:pPr>
  </w:style>
  <w:style w:type="paragraph" w:customStyle="1" w:styleId="Definition">
    <w:name w:val="Definition"/>
    <w:aliases w:val="dd"/>
    <w:basedOn w:val="OPCParaBase"/>
    <w:rsid w:val="00437C10"/>
    <w:pPr>
      <w:spacing w:before="180" w:line="240" w:lineRule="auto"/>
      <w:ind w:left="1134"/>
    </w:pPr>
  </w:style>
  <w:style w:type="paragraph" w:customStyle="1" w:styleId="Formula">
    <w:name w:val="Formula"/>
    <w:basedOn w:val="OPCParaBase"/>
    <w:rsid w:val="00437C10"/>
    <w:pPr>
      <w:spacing w:line="240" w:lineRule="auto"/>
      <w:ind w:left="1134"/>
    </w:pPr>
    <w:rPr>
      <w:sz w:val="20"/>
    </w:rPr>
  </w:style>
  <w:style w:type="paragraph" w:styleId="Header">
    <w:name w:val="header"/>
    <w:basedOn w:val="OPCParaBase"/>
    <w:link w:val="HeaderChar"/>
    <w:unhideWhenUsed/>
    <w:rsid w:val="00437C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37C10"/>
    <w:rPr>
      <w:rFonts w:eastAsia="Times New Roman" w:cs="Times New Roman"/>
      <w:sz w:val="16"/>
      <w:lang w:eastAsia="en-AU"/>
    </w:rPr>
  </w:style>
  <w:style w:type="paragraph" w:customStyle="1" w:styleId="House">
    <w:name w:val="House"/>
    <w:basedOn w:val="OPCParaBase"/>
    <w:rsid w:val="00437C10"/>
    <w:pPr>
      <w:spacing w:line="240" w:lineRule="auto"/>
    </w:pPr>
    <w:rPr>
      <w:sz w:val="28"/>
    </w:rPr>
  </w:style>
  <w:style w:type="paragraph" w:customStyle="1" w:styleId="Item">
    <w:name w:val="Item"/>
    <w:aliases w:val="i"/>
    <w:basedOn w:val="OPCParaBase"/>
    <w:next w:val="ItemHead"/>
    <w:rsid w:val="00437C10"/>
    <w:pPr>
      <w:keepLines/>
      <w:spacing w:before="80" w:line="240" w:lineRule="auto"/>
      <w:ind w:left="709"/>
    </w:pPr>
  </w:style>
  <w:style w:type="paragraph" w:customStyle="1" w:styleId="ItemHead">
    <w:name w:val="ItemHead"/>
    <w:aliases w:val="ih"/>
    <w:basedOn w:val="OPCParaBase"/>
    <w:next w:val="Item"/>
    <w:rsid w:val="00437C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37C10"/>
    <w:pPr>
      <w:spacing w:line="240" w:lineRule="auto"/>
    </w:pPr>
    <w:rPr>
      <w:b/>
      <w:sz w:val="32"/>
    </w:rPr>
  </w:style>
  <w:style w:type="paragraph" w:customStyle="1" w:styleId="notedraft">
    <w:name w:val="note(draft)"/>
    <w:aliases w:val="nd"/>
    <w:basedOn w:val="OPCParaBase"/>
    <w:rsid w:val="00437C10"/>
    <w:pPr>
      <w:spacing w:before="240" w:line="240" w:lineRule="auto"/>
      <w:ind w:left="284" w:hanging="284"/>
    </w:pPr>
    <w:rPr>
      <w:i/>
      <w:sz w:val="24"/>
    </w:rPr>
  </w:style>
  <w:style w:type="paragraph" w:customStyle="1" w:styleId="notemargin">
    <w:name w:val="note(margin)"/>
    <w:aliases w:val="nm"/>
    <w:basedOn w:val="OPCParaBase"/>
    <w:rsid w:val="00437C10"/>
    <w:pPr>
      <w:tabs>
        <w:tab w:val="left" w:pos="709"/>
      </w:tabs>
      <w:spacing w:before="122" w:line="198" w:lineRule="exact"/>
      <w:ind w:left="709" w:hanging="709"/>
    </w:pPr>
    <w:rPr>
      <w:sz w:val="18"/>
    </w:rPr>
  </w:style>
  <w:style w:type="paragraph" w:customStyle="1" w:styleId="noteToPara">
    <w:name w:val="noteToPara"/>
    <w:aliases w:val="ntp"/>
    <w:basedOn w:val="OPCParaBase"/>
    <w:rsid w:val="00437C10"/>
    <w:pPr>
      <w:spacing w:before="122" w:line="198" w:lineRule="exact"/>
      <w:ind w:left="2353" w:hanging="709"/>
    </w:pPr>
    <w:rPr>
      <w:sz w:val="18"/>
    </w:rPr>
  </w:style>
  <w:style w:type="paragraph" w:customStyle="1" w:styleId="noteParlAmend">
    <w:name w:val="note(ParlAmend)"/>
    <w:aliases w:val="npp"/>
    <w:basedOn w:val="OPCParaBase"/>
    <w:next w:val="ParlAmend"/>
    <w:rsid w:val="00437C10"/>
    <w:pPr>
      <w:spacing w:line="240" w:lineRule="auto"/>
      <w:jc w:val="right"/>
    </w:pPr>
    <w:rPr>
      <w:rFonts w:ascii="Arial" w:hAnsi="Arial"/>
      <w:b/>
      <w:i/>
    </w:rPr>
  </w:style>
  <w:style w:type="paragraph" w:customStyle="1" w:styleId="Page1">
    <w:name w:val="Page1"/>
    <w:basedOn w:val="OPCParaBase"/>
    <w:rsid w:val="00437C10"/>
    <w:pPr>
      <w:spacing w:before="5600" w:line="240" w:lineRule="auto"/>
    </w:pPr>
    <w:rPr>
      <w:b/>
      <w:sz w:val="32"/>
    </w:rPr>
  </w:style>
  <w:style w:type="paragraph" w:customStyle="1" w:styleId="PageBreak">
    <w:name w:val="PageBreak"/>
    <w:aliases w:val="pb"/>
    <w:basedOn w:val="OPCParaBase"/>
    <w:rsid w:val="00437C10"/>
    <w:pPr>
      <w:spacing w:line="240" w:lineRule="auto"/>
    </w:pPr>
    <w:rPr>
      <w:sz w:val="20"/>
    </w:rPr>
  </w:style>
  <w:style w:type="paragraph" w:customStyle="1" w:styleId="paragraphsub">
    <w:name w:val="paragraph(sub)"/>
    <w:aliases w:val="aa"/>
    <w:basedOn w:val="OPCParaBase"/>
    <w:rsid w:val="00437C10"/>
    <w:pPr>
      <w:tabs>
        <w:tab w:val="right" w:pos="1985"/>
      </w:tabs>
      <w:spacing w:before="40" w:line="240" w:lineRule="auto"/>
      <w:ind w:left="2098" w:hanging="2098"/>
    </w:pPr>
  </w:style>
  <w:style w:type="paragraph" w:customStyle="1" w:styleId="paragraphsub-sub">
    <w:name w:val="paragraph(sub-sub)"/>
    <w:aliases w:val="aaa"/>
    <w:basedOn w:val="OPCParaBase"/>
    <w:rsid w:val="00437C10"/>
    <w:pPr>
      <w:tabs>
        <w:tab w:val="right" w:pos="2722"/>
      </w:tabs>
      <w:spacing w:before="40" w:line="240" w:lineRule="auto"/>
      <w:ind w:left="2835" w:hanging="2835"/>
    </w:pPr>
  </w:style>
  <w:style w:type="paragraph" w:customStyle="1" w:styleId="paragraph">
    <w:name w:val="paragraph"/>
    <w:aliases w:val="a"/>
    <w:basedOn w:val="OPCParaBase"/>
    <w:link w:val="paragraphChar"/>
    <w:rsid w:val="00437C10"/>
    <w:pPr>
      <w:tabs>
        <w:tab w:val="right" w:pos="1531"/>
      </w:tabs>
      <w:spacing w:before="40" w:line="240" w:lineRule="auto"/>
      <w:ind w:left="1644" w:hanging="1644"/>
    </w:pPr>
  </w:style>
  <w:style w:type="paragraph" w:customStyle="1" w:styleId="ParlAmend">
    <w:name w:val="ParlAmend"/>
    <w:aliases w:val="pp"/>
    <w:basedOn w:val="OPCParaBase"/>
    <w:rsid w:val="00437C10"/>
    <w:pPr>
      <w:spacing w:before="240" w:line="240" w:lineRule="atLeast"/>
      <w:ind w:hanging="567"/>
    </w:pPr>
    <w:rPr>
      <w:sz w:val="24"/>
    </w:rPr>
  </w:style>
  <w:style w:type="paragraph" w:customStyle="1" w:styleId="Penalty">
    <w:name w:val="Penalty"/>
    <w:basedOn w:val="OPCParaBase"/>
    <w:rsid w:val="00437C10"/>
    <w:pPr>
      <w:tabs>
        <w:tab w:val="left" w:pos="2977"/>
      </w:tabs>
      <w:spacing w:before="180" w:line="240" w:lineRule="auto"/>
      <w:ind w:left="1985" w:hanging="851"/>
    </w:pPr>
  </w:style>
  <w:style w:type="paragraph" w:customStyle="1" w:styleId="Portfolio">
    <w:name w:val="Portfolio"/>
    <w:basedOn w:val="OPCParaBase"/>
    <w:rsid w:val="00437C10"/>
    <w:pPr>
      <w:spacing w:line="240" w:lineRule="auto"/>
    </w:pPr>
    <w:rPr>
      <w:i/>
      <w:sz w:val="20"/>
    </w:rPr>
  </w:style>
  <w:style w:type="paragraph" w:customStyle="1" w:styleId="Preamble">
    <w:name w:val="Preamble"/>
    <w:basedOn w:val="OPCParaBase"/>
    <w:next w:val="Normal"/>
    <w:rsid w:val="00437C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37C10"/>
    <w:pPr>
      <w:spacing w:line="240" w:lineRule="auto"/>
    </w:pPr>
    <w:rPr>
      <w:i/>
      <w:sz w:val="20"/>
    </w:rPr>
  </w:style>
  <w:style w:type="paragraph" w:customStyle="1" w:styleId="Session">
    <w:name w:val="Session"/>
    <w:basedOn w:val="OPCParaBase"/>
    <w:rsid w:val="00437C10"/>
    <w:pPr>
      <w:spacing w:line="240" w:lineRule="auto"/>
    </w:pPr>
    <w:rPr>
      <w:sz w:val="28"/>
    </w:rPr>
  </w:style>
  <w:style w:type="paragraph" w:customStyle="1" w:styleId="Sponsor">
    <w:name w:val="Sponsor"/>
    <w:basedOn w:val="OPCParaBase"/>
    <w:rsid w:val="00437C10"/>
    <w:pPr>
      <w:spacing w:line="240" w:lineRule="auto"/>
    </w:pPr>
    <w:rPr>
      <w:i/>
    </w:rPr>
  </w:style>
  <w:style w:type="paragraph" w:customStyle="1" w:styleId="Subitem">
    <w:name w:val="Subitem"/>
    <w:aliases w:val="iss"/>
    <w:basedOn w:val="OPCParaBase"/>
    <w:rsid w:val="00437C10"/>
    <w:pPr>
      <w:spacing w:before="180" w:line="240" w:lineRule="auto"/>
      <w:ind w:left="709" w:hanging="709"/>
    </w:pPr>
  </w:style>
  <w:style w:type="paragraph" w:customStyle="1" w:styleId="SubitemHead">
    <w:name w:val="SubitemHead"/>
    <w:aliases w:val="issh"/>
    <w:basedOn w:val="OPCParaBase"/>
    <w:rsid w:val="00437C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37C10"/>
    <w:pPr>
      <w:spacing w:before="40" w:line="240" w:lineRule="auto"/>
      <w:ind w:left="1134"/>
    </w:pPr>
  </w:style>
  <w:style w:type="paragraph" w:customStyle="1" w:styleId="SubsectionHead">
    <w:name w:val="SubsectionHead"/>
    <w:aliases w:val="ssh"/>
    <w:basedOn w:val="OPCParaBase"/>
    <w:next w:val="subsection"/>
    <w:rsid w:val="00437C10"/>
    <w:pPr>
      <w:keepNext/>
      <w:keepLines/>
      <w:spacing w:before="240" w:line="240" w:lineRule="auto"/>
      <w:ind w:left="1134"/>
    </w:pPr>
    <w:rPr>
      <w:i/>
    </w:rPr>
  </w:style>
  <w:style w:type="paragraph" w:customStyle="1" w:styleId="Tablea">
    <w:name w:val="Table(a)"/>
    <w:aliases w:val="ta"/>
    <w:basedOn w:val="OPCParaBase"/>
    <w:rsid w:val="00437C10"/>
    <w:pPr>
      <w:spacing w:before="60" w:line="240" w:lineRule="auto"/>
      <w:ind w:left="284" w:hanging="284"/>
    </w:pPr>
    <w:rPr>
      <w:sz w:val="20"/>
    </w:rPr>
  </w:style>
  <w:style w:type="paragraph" w:customStyle="1" w:styleId="TableAA">
    <w:name w:val="Table(AA)"/>
    <w:aliases w:val="taaa"/>
    <w:basedOn w:val="OPCParaBase"/>
    <w:rsid w:val="00437C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37C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37C10"/>
    <w:pPr>
      <w:spacing w:before="60" w:line="240" w:lineRule="atLeast"/>
    </w:pPr>
    <w:rPr>
      <w:sz w:val="20"/>
    </w:rPr>
  </w:style>
  <w:style w:type="paragraph" w:customStyle="1" w:styleId="TLPBoxTextnote">
    <w:name w:val="TLPBoxText(note"/>
    <w:aliases w:val="right)"/>
    <w:basedOn w:val="OPCParaBase"/>
    <w:rsid w:val="00437C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37C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37C10"/>
    <w:pPr>
      <w:spacing w:before="122" w:line="198" w:lineRule="exact"/>
      <w:ind w:left="1985" w:hanging="851"/>
      <w:jc w:val="right"/>
    </w:pPr>
    <w:rPr>
      <w:sz w:val="18"/>
    </w:rPr>
  </w:style>
  <w:style w:type="paragraph" w:customStyle="1" w:styleId="TLPTableBullet">
    <w:name w:val="TLPTableBullet"/>
    <w:aliases w:val="ttb"/>
    <w:basedOn w:val="OPCParaBase"/>
    <w:rsid w:val="00437C10"/>
    <w:pPr>
      <w:spacing w:line="240" w:lineRule="exact"/>
      <w:ind w:left="284" w:hanging="284"/>
    </w:pPr>
    <w:rPr>
      <w:sz w:val="20"/>
    </w:rPr>
  </w:style>
  <w:style w:type="paragraph" w:styleId="TOC1">
    <w:name w:val="toc 1"/>
    <w:basedOn w:val="OPCParaBase"/>
    <w:next w:val="Normal"/>
    <w:uiPriority w:val="39"/>
    <w:semiHidden/>
    <w:unhideWhenUsed/>
    <w:rsid w:val="00437C1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37C1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37C1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37C1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37C1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37C1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37C1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37C1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37C1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37C10"/>
    <w:pPr>
      <w:keepLines/>
      <w:spacing w:before="240" w:after="120" w:line="240" w:lineRule="auto"/>
      <w:ind w:left="794"/>
    </w:pPr>
    <w:rPr>
      <w:b/>
      <w:kern w:val="28"/>
      <w:sz w:val="20"/>
    </w:rPr>
  </w:style>
  <w:style w:type="paragraph" w:customStyle="1" w:styleId="TofSectsHeading">
    <w:name w:val="TofSects(Heading)"/>
    <w:basedOn w:val="OPCParaBase"/>
    <w:rsid w:val="00437C10"/>
    <w:pPr>
      <w:spacing w:before="240" w:after="120" w:line="240" w:lineRule="auto"/>
    </w:pPr>
    <w:rPr>
      <w:b/>
      <w:sz w:val="24"/>
    </w:rPr>
  </w:style>
  <w:style w:type="paragraph" w:customStyle="1" w:styleId="TofSectsSection">
    <w:name w:val="TofSects(Section)"/>
    <w:basedOn w:val="OPCParaBase"/>
    <w:rsid w:val="00437C10"/>
    <w:pPr>
      <w:keepLines/>
      <w:spacing w:before="40" w:line="240" w:lineRule="auto"/>
      <w:ind w:left="1588" w:hanging="794"/>
    </w:pPr>
    <w:rPr>
      <w:kern w:val="28"/>
      <w:sz w:val="18"/>
    </w:rPr>
  </w:style>
  <w:style w:type="paragraph" w:customStyle="1" w:styleId="TofSectsSubdiv">
    <w:name w:val="TofSects(Subdiv)"/>
    <w:basedOn w:val="OPCParaBase"/>
    <w:rsid w:val="00437C10"/>
    <w:pPr>
      <w:keepLines/>
      <w:spacing w:before="80" w:line="240" w:lineRule="auto"/>
      <w:ind w:left="1588" w:hanging="794"/>
    </w:pPr>
    <w:rPr>
      <w:kern w:val="28"/>
    </w:rPr>
  </w:style>
  <w:style w:type="paragraph" w:customStyle="1" w:styleId="WRStyle">
    <w:name w:val="WR Style"/>
    <w:aliases w:val="WR"/>
    <w:basedOn w:val="OPCParaBase"/>
    <w:rsid w:val="00437C10"/>
    <w:pPr>
      <w:spacing w:before="240" w:line="240" w:lineRule="auto"/>
      <w:ind w:left="284" w:hanging="284"/>
    </w:pPr>
    <w:rPr>
      <w:b/>
      <w:i/>
      <w:kern w:val="28"/>
      <w:sz w:val="24"/>
    </w:rPr>
  </w:style>
  <w:style w:type="paragraph" w:customStyle="1" w:styleId="notepara">
    <w:name w:val="note(para)"/>
    <w:aliases w:val="na"/>
    <w:basedOn w:val="OPCParaBase"/>
    <w:rsid w:val="00437C10"/>
    <w:pPr>
      <w:spacing w:before="40" w:line="198" w:lineRule="exact"/>
      <w:ind w:left="2354" w:hanging="369"/>
    </w:pPr>
    <w:rPr>
      <w:sz w:val="18"/>
    </w:rPr>
  </w:style>
  <w:style w:type="paragraph" w:styleId="Footer">
    <w:name w:val="footer"/>
    <w:link w:val="FooterChar"/>
    <w:rsid w:val="00437C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37C10"/>
    <w:rPr>
      <w:rFonts w:eastAsia="Times New Roman" w:cs="Times New Roman"/>
      <w:sz w:val="22"/>
      <w:szCs w:val="24"/>
      <w:lang w:eastAsia="en-AU"/>
    </w:rPr>
  </w:style>
  <w:style w:type="character" w:styleId="LineNumber">
    <w:name w:val="line number"/>
    <w:basedOn w:val="OPCCharBase"/>
    <w:uiPriority w:val="99"/>
    <w:semiHidden/>
    <w:unhideWhenUsed/>
    <w:rsid w:val="00437C10"/>
    <w:rPr>
      <w:sz w:val="16"/>
    </w:rPr>
  </w:style>
  <w:style w:type="table" w:customStyle="1" w:styleId="CFlag">
    <w:name w:val="CFlag"/>
    <w:basedOn w:val="TableNormal"/>
    <w:uiPriority w:val="99"/>
    <w:rsid w:val="00437C10"/>
    <w:rPr>
      <w:rFonts w:eastAsia="Times New Roman" w:cs="Times New Roman"/>
      <w:lang w:eastAsia="en-AU"/>
    </w:rPr>
    <w:tblPr/>
  </w:style>
  <w:style w:type="paragraph" w:customStyle="1" w:styleId="SignCoverPageEnd">
    <w:name w:val="SignCoverPageEnd"/>
    <w:basedOn w:val="OPCParaBase"/>
    <w:next w:val="Normal"/>
    <w:rsid w:val="00437C1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37C10"/>
    <w:pPr>
      <w:pBdr>
        <w:top w:val="single" w:sz="4" w:space="1" w:color="auto"/>
      </w:pBdr>
      <w:spacing w:before="360"/>
      <w:ind w:right="397"/>
      <w:jc w:val="both"/>
    </w:pPr>
  </w:style>
  <w:style w:type="paragraph" w:customStyle="1" w:styleId="CompiledActNo">
    <w:name w:val="CompiledActNo"/>
    <w:basedOn w:val="OPCParaBase"/>
    <w:next w:val="Normal"/>
    <w:rsid w:val="00437C10"/>
    <w:rPr>
      <w:b/>
      <w:sz w:val="24"/>
      <w:szCs w:val="24"/>
    </w:rPr>
  </w:style>
  <w:style w:type="paragraph" w:customStyle="1" w:styleId="ENotesText">
    <w:name w:val="ENotesText"/>
    <w:aliases w:val="Ent"/>
    <w:basedOn w:val="OPCParaBase"/>
    <w:next w:val="Normal"/>
    <w:rsid w:val="00437C10"/>
    <w:pPr>
      <w:spacing w:before="120"/>
    </w:pPr>
  </w:style>
  <w:style w:type="paragraph" w:customStyle="1" w:styleId="CompiledMadeUnder">
    <w:name w:val="CompiledMadeUnder"/>
    <w:basedOn w:val="OPCParaBase"/>
    <w:next w:val="Normal"/>
    <w:rsid w:val="00437C10"/>
    <w:rPr>
      <w:i/>
      <w:sz w:val="24"/>
      <w:szCs w:val="24"/>
    </w:rPr>
  </w:style>
  <w:style w:type="paragraph" w:customStyle="1" w:styleId="Paragraphsub-sub-sub">
    <w:name w:val="Paragraph(sub-sub-sub)"/>
    <w:aliases w:val="aaaa"/>
    <w:basedOn w:val="OPCParaBase"/>
    <w:rsid w:val="00437C1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37C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37C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37C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37C1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37C10"/>
    <w:pPr>
      <w:spacing w:before="60" w:line="240" w:lineRule="auto"/>
    </w:pPr>
    <w:rPr>
      <w:rFonts w:cs="Arial"/>
      <w:sz w:val="20"/>
      <w:szCs w:val="22"/>
    </w:rPr>
  </w:style>
  <w:style w:type="paragraph" w:customStyle="1" w:styleId="TableHeading">
    <w:name w:val="TableHeading"/>
    <w:aliases w:val="th"/>
    <w:basedOn w:val="OPCParaBase"/>
    <w:next w:val="Tabletext"/>
    <w:rsid w:val="00437C10"/>
    <w:pPr>
      <w:keepNext/>
      <w:spacing w:before="60" w:line="240" w:lineRule="atLeast"/>
    </w:pPr>
    <w:rPr>
      <w:b/>
      <w:sz w:val="20"/>
    </w:rPr>
  </w:style>
  <w:style w:type="paragraph" w:customStyle="1" w:styleId="NoteToSubpara">
    <w:name w:val="NoteToSubpara"/>
    <w:aliases w:val="nts"/>
    <w:basedOn w:val="OPCParaBase"/>
    <w:rsid w:val="00437C10"/>
    <w:pPr>
      <w:spacing w:before="40" w:line="198" w:lineRule="exact"/>
      <w:ind w:left="2835" w:hanging="709"/>
    </w:pPr>
    <w:rPr>
      <w:sz w:val="18"/>
    </w:rPr>
  </w:style>
  <w:style w:type="paragraph" w:customStyle="1" w:styleId="ENoteTableHeading">
    <w:name w:val="ENoteTableHeading"/>
    <w:aliases w:val="enth"/>
    <w:basedOn w:val="OPCParaBase"/>
    <w:rsid w:val="00437C10"/>
    <w:pPr>
      <w:keepNext/>
      <w:spacing w:before="60" w:line="240" w:lineRule="atLeast"/>
    </w:pPr>
    <w:rPr>
      <w:rFonts w:ascii="Arial" w:hAnsi="Arial"/>
      <w:b/>
      <w:sz w:val="16"/>
    </w:rPr>
  </w:style>
  <w:style w:type="paragraph" w:customStyle="1" w:styleId="ENoteTableText">
    <w:name w:val="ENoteTableText"/>
    <w:aliases w:val="entt"/>
    <w:basedOn w:val="OPCParaBase"/>
    <w:rsid w:val="00437C10"/>
    <w:pPr>
      <w:spacing w:before="60" w:line="240" w:lineRule="atLeast"/>
    </w:pPr>
    <w:rPr>
      <w:sz w:val="16"/>
    </w:rPr>
  </w:style>
  <w:style w:type="paragraph" w:customStyle="1" w:styleId="ENoteTTi">
    <w:name w:val="ENoteTTi"/>
    <w:aliases w:val="entti"/>
    <w:basedOn w:val="OPCParaBase"/>
    <w:rsid w:val="00437C10"/>
    <w:pPr>
      <w:keepNext/>
      <w:spacing w:before="60" w:line="240" w:lineRule="atLeast"/>
      <w:ind w:left="170"/>
    </w:pPr>
    <w:rPr>
      <w:sz w:val="16"/>
    </w:rPr>
  </w:style>
  <w:style w:type="paragraph" w:customStyle="1" w:styleId="ENoteTTIndentHeading">
    <w:name w:val="ENoteTTIndentHeading"/>
    <w:aliases w:val="enTTHi"/>
    <w:basedOn w:val="OPCParaBase"/>
    <w:rsid w:val="00437C1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37C10"/>
    <w:pPr>
      <w:spacing w:before="120"/>
      <w:outlineLvl w:val="1"/>
    </w:pPr>
    <w:rPr>
      <w:b/>
      <w:sz w:val="28"/>
      <w:szCs w:val="28"/>
    </w:rPr>
  </w:style>
  <w:style w:type="paragraph" w:customStyle="1" w:styleId="ENotesHeading2">
    <w:name w:val="ENotesHeading 2"/>
    <w:aliases w:val="Enh2"/>
    <w:basedOn w:val="OPCParaBase"/>
    <w:next w:val="Normal"/>
    <w:rsid w:val="00437C10"/>
    <w:pPr>
      <w:spacing w:before="120" w:after="120"/>
      <w:outlineLvl w:val="2"/>
    </w:pPr>
    <w:rPr>
      <w:b/>
      <w:sz w:val="24"/>
      <w:szCs w:val="28"/>
    </w:rPr>
  </w:style>
  <w:style w:type="paragraph" w:customStyle="1" w:styleId="MadeunderText">
    <w:name w:val="MadeunderText"/>
    <w:basedOn w:val="OPCParaBase"/>
    <w:next w:val="Normal"/>
    <w:rsid w:val="00437C10"/>
    <w:pPr>
      <w:spacing w:before="240"/>
    </w:pPr>
    <w:rPr>
      <w:sz w:val="24"/>
      <w:szCs w:val="24"/>
    </w:rPr>
  </w:style>
  <w:style w:type="paragraph" w:customStyle="1" w:styleId="ENotesHeading3">
    <w:name w:val="ENotesHeading 3"/>
    <w:aliases w:val="Enh3"/>
    <w:basedOn w:val="OPCParaBase"/>
    <w:next w:val="Normal"/>
    <w:rsid w:val="00437C10"/>
    <w:pPr>
      <w:keepNext/>
      <w:spacing w:before="120" w:line="240" w:lineRule="auto"/>
      <w:outlineLvl w:val="4"/>
    </w:pPr>
    <w:rPr>
      <w:b/>
      <w:szCs w:val="24"/>
    </w:rPr>
  </w:style>
  <w:style w:type="character" w:customStyle="1" w:styleId="CharSubPartNoCASA">
    <w:name w:val="CharSubPartNo(CASA)"/>
    <w:basedOn w:val="OPCCharBase"/>
    <w:uiPriority w:val="1"/>
    <w:rsid w:val="00437C10"/>
  </w:style>
  <w:style w:type="character" w:customStyle="1" w:styleId="CharSubPartTextCASA">
    <w:name w:val="CharSubPartText(CASA)"/>
    <w:basedOn w:val="OPCCharBase"/>
    <w:uiPriority w:val="1"/>
    <w:rsid w:val="00437C10"/>
  </w:style>
  <w:style w:type="paragraph" w:customStyle="1" w:styleId="SubPartCASA">
    <w:name w:val="SubPart(CASA)"/>
    <w:aliases w:val="csp"/>
    <w:basedOn w:val="OPCParaBase"/>
    <w:next w:val="ActHead3"/>
    <w:rsid w:val="00437C1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37C10"/>
    <w:pPr>
      <w:keepNext/>
      <w:spacing w:before="60" w:line="240" w:lineRule="atLeast"/>
      <w:ind w:left="340"/>
    </w:pPr>
    <w:rPr>
      <w:b/>
      <w:sz w:val="16"/>
    </w:rPr>
  </w:style>
  <w:style w:type="paragraph" w:customStyle="1" w:styleId="ENoteTTiSub">
    <w:name w:val="ENoteTTiSub"/>
    <w:aliases w:val="enttis"/>
    <w:basedOn w:val="OPCParaBase"/>
    <w:rsid w:val="00437C10"/>
    <w:pPr>
      <w:keepNext/>
      <w:spacing w:before="60" w:line="240" w:lineRule="atLeast"/>
      <w:ind w:left="340"/>
    </w:pPr>
    <w:rPr>
      <w:sz w:val="16"/>
    </w:rPr>
  </w:style>
  <w:style w:type="paragraph" w:customStyle="1" w:styleId="SubDivisionMigration">
    <w:name w:val="SubDivisionMigration"/>
    <w:aliases w:val="sdm"/>
    <w:basedOn w:val="OPCParaBase"/>
    <w:rsid w:val="00437C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37C10"/>
    <w:pPr>
      <w:keepNext/>
      <w:keepLines/>
      <w:spacing w:before="240" w:line="240" w:lineRule="auto"/>
      <w:ind w:left="1134" w:hanging="1134"/>
    </w:pPr>
    <w:rPr>
      <w:b/>
      <w:sz w:val="28"/>
    </w:rPr>
  </w:style>
  <w:style w:type="table" w:styleId="TableGrid">
    <w:name w:val="Table Grid"/>
    <w:basedOn w:val="TableNormal"/>
    <w:uiPriority w:val="59"/>
    <w:rsid w:val="0043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37C10"/>
    <w:pPr>
      <w:spacing w:before="122" w:line="240" w:lineRule="auto"/>
      <w:ind w:left="1985" w:hanging="851"/>
    </w:pPr>
    <w:rPr>
      <w:sz w:val="18"/>
    </w:rPr>
  </w:style>
  <w:style w:type="paragraph" w:customStyle="1" w:styleId="FreeForm">
    <w:name w:val="FreeForm"/>
    <w:rsid w:val="00437C10"/>
    <w:rPr>
      <w:rFonts w:ascii="Arial" w:hAnsi="Arial"/>
      <w:sz w:val="22"/>
    </w:rPr>
  </w:style>
  <w:style w:type="paragraph" w:customStyle="1" w:styleId="SOText">
    <w:name w:val="SO Text"/>
    <w:aliases w:val="sot"/>
    <w:link w:val="SOTextChar"/>
    <w:rsid w:val="00437C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37C10"/>
    <w:rPr>
      <w:sz w:val="22"/>
    </w:rPr>
  </w:style>
  <w:style w:type="paragraph" w:customStyle="1" w:styleId="SOTextNote">
    <w:name w:val="SO TextNote"/>
    <w:aliases w:val="sont"/>
    <w:basedOn w:val="SOText"/>
    <w:qFormat/>
    <w:rsid w:val="00437C10"/>
    <w:pPr>
      <w:spacing w:before="122" w:line="198" w:lineRule="exact"/>
      <w:ind w:left="1843" w:hanging="709"/>
    </w:pPr>
    <w:rPr>
      <w:sz w:val="18"/>
    </w:rPr>
  </w:style>
  <w:style w:type="paragraph" w:customStyle="1" w:styleId="SOPara">
    <w:name w:val="SO Para"/>
    <w:aliases w:val="soa"/>
    <w:basedOn w:val="SOText"/>
    <w:link w:val="SOParaChar"/>
    <w:qFormat/>
    <w:rsid w:val="00437C10"/>
    <w:pPr>
      <w:tabs>
        <w:tab w:val="right" w:pos="1786"/>
      </w:tabs>
      <w:spacing w:before="40"/>
      <w:ind w:left="2070" w:hanging="936"/>
    </w:pPr>
  </w:style>
  <w:style w:type="character" w:customStyle="1" w:styleId="SOParaChar">
    <w:name w:val="SO Para Char"/>
    <w:aliases w:val="soa Char"/>
    <w:basedOn w:val="DefaultParagraphFont"/>
    <w:link w:val="SOPara"/>
    <w:rsid w:val="00437C10"/>
    <w:rPr>
      <w:sz w:val="22"/>
    </w:rPr>
  </w:style>
  <w:style w:type="paragraph" w:customStyle="1" w:styleId="SOBullet">
    <w:name w:val="SO Bullet"/>
    <w:aliases w:val="sotb"/>
    <w:basedOn w:val="SOText"/>
    <w:link w:val="SOBulletChar"/>
    <w:qFormat/>
    <w:rsid w:val="00437C10"/>
    <w:pPr>
      <w:ind w:left="1559" w:hanging="425"/>
    </w:pPr>
  </w:style>
  <w:style w:type="character" w:customStyle="1" w:styleId="SOBulletChar">
    <w:name w:val="SO Bullet Char"/>
    <w:aliases w:val="sotb Char"/>
    <w:basedOn w:val="DefaultParagraphFont"/>
    <w:link w:val="SOBullet"/>
    <w:rsid w:val="00437C10"/>
    <w:rPr>
      <w:sz w:val="22"/>
    </w:rPr>
  </w:style>
  <w:style w:type="paragraph" w:customStyle="1" w:styleId="SOBulletNote">
    <w:name w:val="SO BulletNote"/>
    <w:aliases w:val="sonb"/>
    <w:basedOn w:val="SOTextNote"/>
    <w:link w:val="SOBulletNoteChar"/>
    <w:qFormat/>
    <w:rsid w:val="00437C10"/>
    <w:pPr>
      <w:tabs>
        <w:tab w:val="left" w:pos="1560"/>
      </w:tabs>
      <w:ind w:left="2268" w:hanging="1134"/>
    </w:pPr>
  </w:style>
  <w:style w:type="character" w:customStyle="1" w:styleId="SOBulletNoteChar">
    <w:name w:val="SO BulletNote Char"/>
    <w:aliases w:val="sonb Char"/>
    <w:basedOn w:val="DefaultParagraphFont"/>
    <w:link w:val="SOBulletNote"/>
    <w:rsid w:val="00437C10"/>
    <w:rPr>
      <w:sz w:val="18"/>
    </w:rPr>
  </w:style>
  <w:style w:type="paragraph" w:customStyle="1" w:styleId="FileName">
    <w:name w:val="FileName"/>
    <w:basedOn w:val="Normal"/>
    <w:rsid w:val="00437C10"/>
  </w:style>
  <w:style w:type="paragraph" w:customStyle="1" w:styleId="SOHeadBold">
    <w:name w:val="SO HeadBold"/>
    <w:aliases w:val="sohb"/>
    <w:basedOn w:val="SOText"/>
    <w:next w:val="SOText"/>
    <w:link w:val="SOHeadBoldChar"/>
    <w:qFormat/>
    <w:rsid w:val="00437C10"/>
    <w:rPr>
      <w:b/>
    </w:rPr>
  </w:style>
  <w:style w:type="character" w:customStyle="1" w:styleId="SOHeadBoldChar">
    <w:name w:val="SO HeadBold Char"/>
    <w:aliases w:val="sohb Char"/>
    <w:basedOn w:val="DefaultParagraphFont"/>
    <w:link w:val="SOHeadBold"/>
    <w:rsid w:val="00437C10"/>
    <w:rPr>
      <w:b/>
      <w:sz w:val="22"/>
    </w:rPr>
  </w:style>
  <w:style w:type="paragraph" w:customStyle="1" w:styleId="SOHeadItalic">
    <w:name w:val="SO HeadItalic"/>
    <w:aliases w:val="sohi"/>
    <w:basedOn w:val="SOText"/>
    <w:next w:val="SOText"/>
    <w:link w:val="SOHeadItalicChar"/>
    <w:qFormat/>
    <w:rsid w:val="00437C10"/>
    <w:rPr>
      <w:i/>
    </w:rPr>
  </w:style>
  <w:style w:type="character" w:customStyle="1" w:styleId="SOHeadItalicChar">
    <w:name w:val="SO HeadItalic Char"/>
    <w:aliases w:val="sohi Char"/>
    <w:basedOn w:val="DefaultParagraphFont"/>
    <w:link w:val="SOHeadItalic"/>
    <w:rsid w:val="00437C10"/>
    <w:rPr>
      <w:i/>
      <w:sz w:val="22"/>
    </w:rPr>
  </w:style>
  <w:style w:type="paragraph" w:customStyle="1" w:styleId="SOText2">
    <w:name w:val="SO Text2"/>
    <w:aliases w:val="sot2"/>
    <w:basedOn w:val="Normal"/>
    <w:next w:val="SOText"/>
    <w:link w:val="SOText2Char"/>
    <w:rsid w:val="00437C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37C10"/>
    <w:rPr>
      <w:sz w:val="22"/>
    </w:rPr>
  </w:style>
  <w:style w:type="paragraph" w:customStyle="1" w:styleId="ETAsubitem">
    <w:name w:val="ETA(subitem)"/>
    <w:basedOn w:val="OPCParaBase"/>
    <w:rsid w:val="00437C10"/>
    <w:pPr>
      <w:tabs>
        <w:tab w:val="right" w:pos="340"/>
      </w:tabs>
      <w:spacing w:before="60" w:line="240" w:lineRule="auto"/>
      <w:ind w:left="454" w:hanging="454"/>
    </w:pPr>
    <w:rPr>
      <w:sz w:val="20"/>
    </w:rPr>
  </w:style>
  <w:style w:type="paragraph" w:customStyle="1" w:styleId="ETApara">
    <w:name w:val="ETA(para)"/>
    <w:basedOn w:val="OPCParaBase"/>
    <w:rsid w:val="00437C10"/>
    <w:pPr>
      <w:tabs>
        <w:tab w:val="right" w:pos="754"/>
      </w:tabs>
      <w:spacing w:before="60" w:line="240" w:lineRule="auto"/>
      <w:ind w:left="828" w:hanging="828"/>
    </w:pPr>
    <w:rPr>
      <w:sz w:val="20"/>
    </w:rPr>
  </w:style>
  <w:style w:type="paragraph" w:customStyle="1" w:styleId="ETAsubpara">
    <w:name w:val="ETA(subpara)"/>
    <w:basedOn w:val="OPCParaBase"/>
    <w:rsid w:val="00437C10"/>
    <w:pPr>
      <w:tabs>
        <w:tab w:val="right" w:pos="1083"/>
      </w:tabs>
      <w:spacing w:before="60" w:line="240" w:lineRule="auto"/>
      <w:ind w:left="1191" w:hanging="1191"/>
    </w:pPr>
    <w:rPr>
      <w:sz w:val="20"/>
    </w:rPr>
  </w:style>
  <w:style w:type="paragraph" w:customStyle="1" w:styleId="ETAsub-subpara">
    <w:name w:val="ETA(sub-subpara)"/>
    <w:basedOn w:val="OPCParaBase"/>
    <w:rsid w:val="00437C1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37C10"/>
    <w:rPr>
      <w:b/>
      <w:sz w:val="28"/>
      <w:szCs w:val="28"/>
    </w:rPr>
  </w:style>
  <w:style w:type="paragraph" w:customStyle="1" w:styleId="NotesHeading2">
    <w:name w:val="NotesHeading 2"/>
    <w:basedOn w:val="OPCParaBase"/>
    <w:next w:val="Normal"/>
    <w:rsid w:val="00437C10"/>
    <w:rPr>
      <w:b/>
      <w:sz w:val="28"/>
      <w:szCs w:val="28"/>
    </w:rPr>
  </w:style>
  <w:style w:type="paragraph" w:customStyle="1" w:styleId="Transitional">
    <w:name w:val="Transitional"/>
    <w:aliases w:val="tr"/>
    <w:basedOn w:val="ItemHead"/>
    <w:next w:val="Item"/>
    <w:rsid w:val="00437C10"/>
  </w:style>
  <w:style w:type="character" w:customStyle="1" w:styleId="subsectionChar">
    <w:name w:val="subsection Char"/>
    <w:aliases w:val="ss Char"/>
    <w:basedOn w:val="DefaultParagraphFont"/>
    <w:link w:val="subsection"/>
    <w:locked/>
    <w:rsid w:val="00D44BEF"/>
    <w:rPr>
      <w:rFonts w:eastAsia="Times New Roman" w:cs="Times New Roman"/>
      <w:sz w:val="22"/>
      <w:lang w:eastAsia="en-AU"/>
    </w:rPr>
  </w:style>
  <w:style w:type="character" w:customStyle="1" w:styleId="paragraphChar">
    <w:name w:val="paragraph Char"/>
    <w:aliases w:val="a Char"/>
    <w:basedOn w:val="DefaultParagraphFont"/>
    <w:link w:val="paragraph"/>
    <w:locked/>
    <w:rsid w:val="00D44BEF"/>
    <w:rPr>
      <w:rFonts w:eastAsia="Times New Roman" w:cs="Times New Roman"/>
      <w:sz w:val="22"/>
      <w:lang w:eastAsia="en-AU"/>
    </w:rPr>
  </w:style>
  <w:style w:type="character" w:customStyle="1" w:styleId="Heading1Char">
    <w:name w:val="Heading 1 Char"/>
    <w:basedOn w:val="DefaultParagraphFont"/>
    <w:link w:val="Heading1"/>
    <w:uiPriority w:val="9"/>
    <w:rsid w:val="00D44B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44B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4BE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4BE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44BE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44BE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44BE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44B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4BEF"/>
    <w:rPr>
      <w:rFonts w:asciiTheme="majorHAnsi" w:eastAsiaTheme="majorEastAsia" w:hAnsiTheme="majorHAnsi" w:cstheme="majorBidi"/>
      <w:i/>
      <w:iCs/>
      <w:color w:val="272727" w:themeColor="text1" w:themeTint="D8"/>
      <w:sz w:val="21"/>
      <w:szCs w:val="21"/>
    </w:rPr>
  </w:style>
  <w:style w:type="paragraph" w:customStyle="1" w:styleId="paragraphsub0">
    <w:name w:val="paragraphsub"/>
    <w:basedOn w:val="Normal"/>
    <w:rsid w:val="00271E7B"/>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0B49E6"/>
    <w:pPr>
      <w:spacing w:line="240" w:lineRule="auto"/>
      <w:ind w:left="720"/>
    </w:pPr>
    <w:rPr>
      <w:rFonts w:ascii="Calibri" w:hAnsi="Calibri" w:cs="Calibri"/>
      <w:szCs w:val="22"/>
    </w:rPr>
  </w:style>
  <w:style w:type="character" w:styleId="Hyperlink">
    <w:name w:val="Hyperlink"/>
    <w:basedOn w:val="DefaultParagraphFont"/>
    <w:uiPriority w:val="99"/>
    <w:semiHidden/>
    <w:unhideWhenUsed/>
    <w:rsid w:val="00AC4D0F"/>
    <w:rPr>
      <w:color w:val="0000FF" w:themeColor="hyperlink"/>
      <w:u w:val="single"/>
    </w:rPr>
  </w:style>
  <w:style w:type="character" w:styleId="FollowedHyperlink">
    <w:name w:val="FollowedHyperlink"/>
    <w:basedOn w:val="DefaultParagraphFont"/>
    <w:uiPriority w:val="99"/>
    <w:semiHidden/>
    <w:unhideWhenUsed/>
    <w:rsid w:val="00AC4D0F"/>
    <w:rPr>
      <w:color w:val="0000FF" w:themeColor="hyperlink"/>
      <w:u w:val="single"/>
    </w:rPr>
  </w:style>
  <w:style w:type="paragraph" w:customStyle="1" w:styleId="ShortTP1">
    <w:name w:val="ShortTP1"/>
    <w:basedOn w:val="ShortT"/>
    <w:link w:val="ShortTP1Char"/>
    <w:rsid w:val="00AC4D0F"/>
    <w:pPr>
      <w:spacing w:before="800"/>
    </w:pPr>
  </w:style>
  <w:style w:type="character" w:customStyle="1" w:styleId="ShortTP1Char">
    <w:name w:val="ShortTP1 Char"/>
    <w:basedOn w:val="DefaultParagraphFont"/>
    <w:link w:val="ShortTP1"/>
    <w:rsid w:val="00AC4D0F"/>
    <w:rPr>
      <w:rFonts w:eastAsia="Times New Roman" w:cs="Times New Roman"/>
      <w:b/>
      <w:sz w:val="40"/>
      <w:lang w:eastAsia="en-AU"/>
    </w:rPr>
  </w:style>
  <w:style w:type="paragraph" w:customStyle="1" w:styleId="ActNoP1">
    <w:name w:val="ActNoP1"/>
    <w:basedOn w:val="Actno"/>
    <w:link w:val="ActNoP1Char"/>
    <w:rsid w:val="00AC4D0F"/>
    <w:pPr>
      <w:spacing w:before="800"/>
    </w:pPr>
    <w:rPr>
      <w:sz w:val="28"/>
    </w:rPr>
  </w:style>
  <w:style w:type="character" w:customStyle="1" w:styleId="ActNoP1Char">
    <w:name w:val="ActNoP1 Char"/>
    <w:basedOn w:val="DefaultParagraphFont"/>
    <w:link w:val="ActNoP1"/>
    <w:rsid w:val="00AC4D0F"/>
    <w:rPr>
      <w:rFonts w:eastAsia="Times New Roman" w:cs="Times New Roman"/>
      <w:b/>
      <w:sz w:val="28"/>
      <w:lang w:eastAsia="en-AU"/>
    </w:rPr>
  </w:style>
  <w:style w:type="paragraph" w:customStyle="1" w:styleId="AssentBk">
    <w:name w:val="AssentBk"/>
    <w:basedOn w:val="Normal"/>
    <w:rsid w:val="00AC4D0F"/>
    <w:pPr>
      <w:spacing w:line="240" w:lineRule="auto"/>
    </w:pPr>
    <w:rPr>
      <w:rFonts w:eastAsia="Times New Roman" w:cs="Times New Roman"/>
      <w:sz w:val="20"/>
      <w:lang w:eastAsia="en-AU"/>
    </w:rPr>
  </w:style>
  <w:style w:type="paragraph" w:customStyle="1" w:styleId="AssentDt">
    <w:name w:val="AssentDt"/>
    <w:basedOn w:val="Normal"/>
    <w:rsid w:val="00482CFA"/>
    <w:pPr>
      <w:spacing w:line="240" w:lineRule="auto"/>
    </w:pPr>
    <w:rPr>
      <w:rFonts w:eastAsia="Times New Roman" w:cs="Times New Roman"/>
      <w:sz w:val="20"/>
      <w:lang w:eastAsia="en-AU"/>
    </w:rPr>
  </w:style>
  <w:style w:type="paragraph" w:customStyle="1" w:styleId="2ndRd">
    <w:name w:val="2ndRd"/>
    <w:basedOn w:val="Normal"/>
    <w:rsid w:val="00482CFA"/>
    <w:pPr>
      <w:spacing w:line="240" w:lineRule="auto"/>
    </w:pPr>
    <w:rPr>
      <w:rFonts w:eastAsia="Times New Roman" w:cs="Times New Roman"/>
      <w:sz w:val="20"/>
      <w:lang w:eastAsia="en-AU"/>
    </w:rPr>
  </w:style>
  <w:style w:type="paragraph" w:customStyle="1" w:styleId="ScalePlusRef">
    <w:name w:val="ScalePlusRef"/>
    <w:basedOn w:val="Normal"/>
    <w:rsid w:val="00482CF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79897">
      <w:bodyDiv w:val="1"/>
      <w:marLeft w:val="0"/>
      <w:marRight w:val="0"/>
      <w:marTop w:val="0"/>
      <w:marBottom w:val="0"/>
      <w:divBdr>
        <w:top w:val="none" w:sz="0" w:space="0" w:color="auto"/>
        <w:left w:val="none" w:sz="0" w:space="0" w:color="auto"/>
        <w:bottom w:val="none" w:sz="0" w:space="0" w:color="auto"/>
        <w:right w:val="none" w:sz="0" w:space="0" w:color="auto"/>
      </w:divBdr>
    </w:div>
    <w:div w:id="5501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E05F-5BC7-495F-AF74-3F9F6116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12</Pages>
  <Words>1677</Words>
  <Characters>9112</Characters>
  <Application>Microsoft Office Word</Application>
  <DocSecurity>0</DocSecurity>
  <PresentationFormat/>
  <Lines>185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2021-07-20T04:26:00Z</cp:lastPrinted>
  <dcterms:created xsi:type="dcterms:W3CDTF">2022-04-04T23:59:00Z</dcterms:created>
  <dcterms:modified xsi:type="dcterms:W3CDTF">2022-04-05T00:29:00Z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Offshore Petroleum (Laminaria and Corallina Decommissioning Cost Recovery Levy) Act 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OPC7787</vt:lpwstr>
  </property>
  <property fmtid="{D5CDD505-2E9C-101B-9397-08002B2CF9AE}" pid="8" name="ActNo">
    <vt:lpwstr>No. 18, 2022</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2022-03-31T04:23:22Z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a20d2315-35c3-4cfb-8837-11bd87b88768</vt:lpwstr>
  </property>
  <property fmtid="{D5CDD505-2E9C-101B-9397-08002B2CF9AE}" pid="19" name="MSIP_Label_234ea0fa-41da-4eb0-b95e-07c328641c0b_ContentBits">
    <vt:lpwstr>0</vt:lpwstr>
  </property>
</Properties>
</file>