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225769"/>
    <w:p w14:paraId="65DAEE21" w14:textId="3EA0ECF1" w:rsidR="0063527D" w:rsidRDefault="0063527D" w:rsidP="0063527D">
      <w:r>
        <w:object w:dxaOrig="2146" w:dyaOrig="1561" w14:anchorId="63228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21564461" r:id="rId8"/>
        </w:object>
      </w:r>
    </w:p>
    <w:p w14:paraId="44E9AAA2" w14:textId="77777777" w:rsidR="0063527D" w:rsidRDefault="0063527D" w:rsidP="0063527D"/>
    <w:p w14:paraId="59D95E4E" w14:textId="77777777" w:rsidR="0063527D" w:rsidRDefault="0063527D" w:rsidP="0063527D"/>
    <w:p w14:paraId="1E42CFB3" w14:textId="77777777" w:rsidR="0063527D" w:rsidRDefault="0063527D" w:rsidP="0063527D"/>
    <w:p w14:paraId="22C4397B" w14:textId="77777777" w:rsidR="0063527D" w:rsidRDefault="0063527D" w:rsidP="0063527D"/>
    <w:p w14:paraId="126FC930" w14:textId="77777777" w:rsidR="0063527D" w:rsidRDefault="0063527D" w:rsidP="0063527D"/>
    <w:p w14:paraId="09017D90" w14:textId="77777777" w:rsidR="0063527D" w:rsidRDefault="0063527D" w:rsidP="0063527D"/>
    <w:p w14:paraId="01D2090F" w14:textId="50B9413A" w:rsidR="0048364F" w:rsidRPr="00421AEE" w:rsidRDefault="0063527D" w:rsidP="0048364F">
      <w:pPr>
        <w:pStyle w:val="ShortT"/>
      </w:pPr>
      <w:r>
        <w:t>Treasury Laws Amendment (2022 Measures No. 1) Act 2022</w:t>
      </w:r>
    </w:p>
    <w:bookmarkEnd w:id="0"/>
    <w:p w14:paraId="71B230BB" w14:textId="77777777" w:rsidR="0048364F" w:rsidRPr="00421AEE" w:rsidRDefault="0048364F" w:rsidP="0048364F"/>
    <w:p w14:paraId="5C045D30" w14:textId="44664CEE" w:rsidR="0048364F" w:rsidRPr="00421AEE" w:rsidRDefault="00C164CA" w:rsidP="0063527D">
      <w:pPr>
        <w:pStyle w:val="Actno"/>
        <w:spacing w:before="400"/>
      </w:pPr>
      <w:r w:rsidRPr="00421AEE">
        <w:t>No.</w:t>
      </w:r>
      <w:r w:rsidR="001066D2">
        <w:t xml:space="preserve"> 35</w:t>
      </w:r>
      <w:r w:rsidRPr="00421AEE">
        <w:t>, 20</w:t>
      </w:r>
      <w:r w:rsidR="009E186E" w:rsidRPr="00421AEE">
        <w:t>2</w:t>
      </w:r>
      <w:r w:rsidR="005F11B1" w:rsidRPr="00421AEE">
        <w:t>2</w:t>
      </w:r>
    </w:p>
    <w:p w14:paraId="2E77D088" w14:textId="77777777" w:rsidR="0048364F" w:rsidRPr="00421AEE" w:rsidRDefault="0048364F" w:rsidP="0048364F"/>
    <w:p w14:paraId="7902880E" w14:textId="77777777" w:rsidR="006C6678" w:rsidRDefault="006C6678" w:rsidP="006C6678">
      <w:pPr>
        <w:rPr>
          <w:lang w:eastAsia="en-AU"/>
        </w:rPr>
      </w:pPr>
    </w:p>
    <w:p w14:paraId="03DAF517" w14:textId="54987D0F" w:rsidR="0048364F" w:rsidRPr="00421AEE" w:rsidRDefault="0048364F" w:rsidP="0048364F"/>
    <w:p w14:paraId="01F92EDA" w14:textId="77777777" w:rsidR="0048364F" w:rsidRPr="00421AEE" w:rsidRDefault="0048364F" w:rsidP="0048364F"/>
    <w:p w14:paraId="4F871D36" w14:textId="77777777" w:rsidR="0048364F" w:rsidRPr="00421AEE" w:rsidRDefault="0048364F" w:rsidP="0048364F"/>
    <w:p w14:paraId="2D114649" w14:textId="77777777" w:rsidR="0063527D" w:rsidRDefault="0063527D" w:rsidP="0063527D">
      <w:pPr>
        <w:pStyle w:val="LongT"/>
      </w:pPr>
      <w:r>
        <w:t>An Act to amend the law relating to taxation and superannuation, to make miscellaneous and technical amendments of the statute law of the Commonwealth, and for related purposes</w:t>
      </w:r>
    </w:p>
    <w:p w14:paraId="64D60275" w14:textId="24DF7ED4" w:rsidR="0048364F" w:rsidRPr="00961C41" w:rsidRDefault="0048364F" w:rsidP="0048364F">
      <w:pPr>
        <w:pStyle w:val="Header"/>
        <w:tabs>
          <w:tab w:val="clear" w:pos="4150"/>
          <w:tab w:val="clear" w:pos="8307"/>
        </w:tabs>
      </w:pPr>
      <w:r w:rsidRPr="001830B5">
        <w:rPr>
          <w:rStyle w:val="CharAmSchNo"/>
        </w:rPr>
        <w:t xml:space="preserve"> </w:t>
      </w:r>
      <w:r w:rsidRPr="001830B5">
        <w:rPr>
          <w:rStyle w:val="CharAmSchText"/>
        </w:rPr>
        <w:t xml:space="preserve"> </w:t>
      </w:r>
    </w:p>
    <w:p w14:paraId="01293260" w14:textId="77777777" w:rsidR="0048364F" w:rsidRPr="00961C41" w:rsidRDefault="0048364F" w:rsidP="0048364F">
      <w:pPr>
        <w:pStyle w:val="Header"/>
        <w:tabs>
          <w:tab w:val="clear" w:pos="4150"/>
          <w:tab w:val="clear" w:pos="8307"/>
        </w:tabs>
      </w:pPr>
      <w:r w:rsidRPr="001830B5">
        <w:rPr>
          <w:rStyle w:val="CharAmPartNo"/>
        </w:rPr>
        <w:t xml:space="preserve"> </w:t>
      </w:r>
      <w:r w:rsidRPr="001830B5">
        <w:rPr>
          <w:rStyle w:val="CharAmPartText"/>
        </w:rPr>
        <w:t xml:space="preserve"> </w:t>
      </w:r>
    </w:p>
    <w:p w14:paraId="247E479F" w14:textId="77777777" w:rsidR="0048364F" w:rsidRPr="00421AEE" w:rsidRDefault="0048364F" w:rsidP="0048364F">
      <w:pPr>
        <w:sectPr w:rsidR="0048364F" w:rsidRPr="00421AEE" w:rsidSect="0063527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B8E61D4" w14:textId="77777777" w:rsidR="0048364F" w:rsidRPr="00421AEE" w:rsidRDefault="0048364F" w:rsidP="0048364F">
      <w:pPr>
        <w:outlineLvl w:val="0"/>
        <w:rPr>
          <w:sz w:val="36"/>
        </w:rPr>
      </w:pPr>
      <w:r w:rsidRPr="00421AEE">
        <w:rPr>
          <w:sz w:val="36"/>
        </w:rPr>
        <w:lastRenderedPageBreak/>
        <w:t>Contents</w:t>
      </w:r>
    </w:p>
    <w:p w14:paraId="21733FB3" w14:textId="6F68D389" w:rsidR="001066D2" w:rsidRDefault="001066D2" w:rsidP="001066D2">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066D2">
        <w:rPr>
          <w:noProof/>
        </w:rPr>
        <w:tab/>
      </w:r>
      <w:r w:rsidRPr="001066D2">
        <w:rPr>
          <w:noProof/>
        </w:rPr>
        <w:fldChar w:fldCharType="begin"/>
      </w:r>
      <w:r w:rsidRPr="001066D2">
        <w:rPr>
          <w:noProof/>
        </w:rPr>
        <w:instrText xml:space="preserve"> PAGEREF _Toc110951142 \h </w:instrText>
      </w:r>
      <w:r w:rsidRPr="001066D2">
        <w:rPr>
          <w:noProof/>
        </w:rPr>
      </w:r>
      <w:r w:rsidRPr="001066D2">
        <w:rPr>
          <w:noProof/>
        </w:rPr>
        <w:fldChar w:fldCharType="separate"/>
      </w:r>
      <w:r w:rsidR="00695455">
        <w:rPr>
          <w:noProof/>
        </w:rPr>
        <w:t>1</w:t>
      </w:r>
      <w:r w:rsidRPr="001066D2">
        <w:rPr>
          <w:noProof/>
        </w:rPr>
        <w:fldChar w:fldCharType="end"/>
      </w:r>
    </w:p>
    <w:p w14:paraId="5D5F77F6" w14:textId="36EFA147" w:rsidR="001066D2" w:rsidRDefault="001066D2" w:rsidP="001066D2">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1066D2">
        <w:rPr>
          <w:noProof/>
        </w:rPr>
        <w:tab/>
      </w:r>
      <w:r w:rsidRPr="001066D2">
        <w:rPr>
          <w:noProof/>
        </w:rPr>
        <w:fldChar w:fldCharType="begin"/>
      </w:r>
      <w:r w:rsidRPr="001066D2">
        <w:rPr>
          <w:noProof/>
        </w:rPr>
        <w:instrText xml:space="preserve"> PAGEREF _Toc110951143 \h </w:instrText>
      </w:r>
      <w:r w:rsidRPr="001066D2">
        <w:rPr>
          <w:noProof/>
        </w:rPr>
      </w:r>
      <w:r w:rsidRPr="001066D2">
        <w:rPr>
          <w:noProof/>
        </w:rPr>
        <w:fldChar w:fldCharType="separate"/>
      </w:r>
      <w:r w:rsidR="00695455">
        <w:rPr>
          <w:noProof/>
        </w:rPr>
        <w:t>2</w:t>
      </w:r>
      <w:r w:rsidRPr="001066D2">
        <w:rPr>
          <w:noProof/>
        </w:rPr>
        <w:fldChar w:fldCharType="end"/>
      </w:r>
    </w:p>
    <w:p w14:paraId="328A1294" w14:textId="16D131F8" w:rsidR="001066D2" w:rsidRDefault="001066D2" w:rsidP="001066D2">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1066D2">
        <w:rPr>
          <w:noProof/>
        </w:rPr>
        <w:tab/>
      </w:r>
      <w:r w:rsidRPr="001066D2">
        <w:rPr>
          <w:noProof/>
        </w:rPr>
        <w:fldChar w:fldCharType="begin"/>
      </w:r>
      <w:r w:rsidRPr="001066D2">
        <w:rPr>
          <w:noProof/>
        </w:rPr>
        <w:instrText xml:space="preserve"> PAGEREF _Toc110951144 \h </w:instrText>
      </w:r>
      <w:r w:rsidRPr="001066D2">
        <w:rPr>
          <w:noProof/>
        </w:rPr>
      </w:r>
      <w:r w:rsidRPr="001066D2">
        <w:rPr>
          <w:noProof/>
        </w:rPr>
        <w:fldChar w:fldCharType="separate"/>
      </w:r>
      <w:r w:rsidR="00695455">
        <w:rPr>
          <w:noProof/>
        </w:rPr>
        <w:t>3</w:t>
      </w:r>
      <w:r w:rsidRPr="001066D2">
        <w:rPr>
          <w:noProof/>
        </w:rPr>
        <w:fldChar w:fldCharType="end"/>
      </w:r>
    </w:p>
    <w:p w14:paraId="75F7750E" w14:textId="51CD22EB" w:rsidR="001066D2" w:rsidRDefault="001066D2">
      <w:pPr>
        <w:pStyle w:val="TOC6"/>
        <w:rPr>
          <w:rFonts w:asciiTheme="minorHAnsi" w:eastAsiaTheme="minorEastAsia" w:hAnsiTheme="minorHAnsi" w:cstheme="minorBidi"/>
          <w:b w:val="0"/>
          <w:noProof/>
          <w:kern w:val="0"/>
          <w:sz w:val="22"/>
          <w:szCs w:val="22"/>
        </w:rPr>
      </w:pPr>
      <w:r>
        <w:rPr>
          <w:noProof/>
        </w:rPr>
        <w:t>Schedule 1—Recovery grants for Cyclone Seroja</w:t>
      </w:r>
      <w:r w:rsidRPr="001066D2">
        <w:rPr>
          <w:b w:val="0"/>
          <w:noProof/>
          <w:sz w:val="18"/>
        </w:rPr>
        <w:tab/>
      </w:r>
      <w:r w:rsidRPr="001066D2">
        <w:rPr>
          <w:b w:val="0"/>
          <w:noProof/>
          <w:sz w:val="18"/>
        </w:rPr>
        <w:fldChar w:fldCharType="begin"/>
      </w:r>
      <w:r w:rsidRPr="001066D2">
        <w:rPr>
          <w:b w:val="0"/>
          <w:noProof/>
          <w:sz w:val="18"/>
        </w:rPr>
        <w:instrText xml:space="preserve"> PAGEREF _Toc110951145 \h </w:instrText>
      </w:r>
      <w:r w:rsidRPr="001066D2">
        <w:rPr>
          <w:b w:val="0"/>
          <w:noProof/>
          <w:sz w:val="18"/>
        </w:rPr>
      </w:r>
      <w:r w:rsidRPr="001066D2">
        <w:rPr>
          <w:b w:val="0"/>
          <w:noProof/>
          <w:sz w:val="18"/>
        </w:rPr>
        <w:fldChar w:fldCharType="separate"/>
      </w:r>
      <w:r w:rsidR="00695455">
        <w:rPr>
          <w:b w:val="0"/>
          <w:noProof/>
          <w:sz w:val="18"/>
        </w:rPr>
        <w:t>4</w:t>
      </w:r>
      <w:r w:rsidRPr="001066D2">
        <w:rPr>
          <w:b w:val="0"/>
          <w:noProof/>
          <w:sz w:val="18"/>
        </w:rPr>
        <w:fldChar w:fldCharType="end"/>
      </w:r>
    </w:p>
    <w:p w14:paraId="31528A41" w14:textId="2BDE1E64" w:rsidR="001066D2" w:rsidRDefault="001066D2">
      <w:pPr>
        <w:pStyle w:val="TOC9"/>
        <w:rPr>
          <w:rFonts w:asciiTheme="minorHAnsi" w:eastAsiaTheme="minorEastAsia" w:hAnsiTheme="minorHAnsi" w:cstheme="minorBidi"/>
          <w:i w:val="0"/>
          <w:noProof/>
          <w:kern w:val="0"/>
          <w:sz w:val="22"/>
          <w:szCs w:val="22"/>
        </w:rPr>
      </w:pPr>
      <w:r>
        <w:rPr>
          <w:noProof/>
        </w:rPr>
        <w:t>Income Tax Assessment Act 1997</w:t>
      </w:r>
      <w:r w:rsidRPr="001066D2">
        <w:rPr>
          <w:i w:val="0"/>
          <w:noProof/>
          <w:sz w:val="18"/>
        </w:rPr>
        <w:tab/>
      </w:r>
      <w:r w:rsidRPr="001066D2">
        <w:rPr>
          <w:i w:val="0"/>
          <w:noProof/>
          <w:sz w:val="18"/>
        </w:rPr>
        <w:fldChar w:fldCharType="begin"/>
      </w:r>
      <w:r w:rsidRPr="001066D2">
        <w:rPr>
          <w:i w:val="0"/>
          <w:noProof/>
          <w:sz w:val="18"/>
        </w:rPr>
        <w:instrText xml:space="preserve"> PAGEREF _Toc110951146 \h </w:instrText>
      </w:r>
      <w:r w:rsidRPr="001066D2">
        <w:rPr>
          <w:i w:val="0"/>
          <w:noProof/>
          <w:sz w:val="18"/>
        </w:rPr>
      </w:r>
      <w:r w:rsidRPr="001066D2">
        <w:rPr>
          <w:i w:val="0"/>
          <w:noProof/>
          <w:sz w:val="18"/>
        </w:rPr>
        <w:fldChar w:fldCharType="separate"/>
      </w:r>
      <w:r w:rsidR="00695455">
        <w:rPr>
          <w:i w:val="0"/>
          <w:noProof/>
          <w:sz w:val="18"/>
        </w:rPr>
        <w:t>4</w:t>
      </w:r>
      <w:r w:rsidRPr="001066D2">
        <w:rPr>
          <w:i w:val="0"/>
          <w:noProof/>
          <w:sz w:val="18"/>
        </w:rPr>
        <w:fldChar w:fldCharType="end"/>
      </w:r>
    </w:p>
    <w:p w14:paraId="6BF4AE3E" w14:textId="60CE0559" w:rsidR="001066D2" w:rsidRDefault="001066D2">
      <w:pPr>
        <w:pStyle w:val="TOC6"/>
        <w:rPr>
          <w:rFonts w:asciiTheme="minorHAnsi" w:eastAsiaTheme="minorEastAsia" w:hAnsiTheme="minorHAnsi" w:cstheme="minorBidi"/>
          <w:b w:val="0"/>
          <w:noProof/>
          <w:kern w:val="0"/>
          <w:sz w:val="22"/>
          <w:szCs w:val="22"/>
        </w:rPr>
      </w:pPr>
      <w:r>
        <w:rPr>
          <w:noProof/>
        </w:rPr>
        <w:t>Schedule 2—Transitional provisions relating to the repeal of the Superannuation (Resolution of Complaints) Act 1993</w:t>
      </w:r>
      <w:r w:rsidRPr="001066D2">
        <w:rPr>
          <w:b w:val="0"/>
          <w:noProof/>
          <w:sz w:val="18"/>
        </w:rPr>
        <w:tab/>
      </w:r>
      <w:r w:rsidRPr="001066D2">
        <w:rPr>
          <w:b w:val="0"/>
          <w:noProof/>
          <w:sz w:val="18"/>
        </w:rPr>
        <w:fldChar w:fldCharType="begin"/>
      </w:r>
      <w:r w:rsidRPr="001066D2">
        <w:rPr>
          <w:b w:val="0"/>
          <w:noProof/>
          <w:sz w:val="18"/>
        </w:rPr>
        <w:instrText xml:space="preserve"> PAGEREF _Toc110951148 \h </w:instrText>
      </w:r>
      <w:r w:rsidRPr="001066D2">
        <w:rPr>
          <w:b w:val="0"/>
          <w:noProof/>
          <w:sz w:val="18"/>
        </w:rPr>
      </w:r>
      <w:r w:rsidRPr="001066D2">
        <w:rPr>
          <w:b w:val="0"/>
          <w:noProof/>
          <w:sz w:val="18"/>
        </w:rPr>
        <w:fldChar w:fldCharType="separate"/>
      </w:r>
      <w:r w:rsidR="00695455">
        <w:rPr>
          <w:b w:val="0"/>
          <w:noProof/>
          <w:sz w:val="18"/>
        </w:rPr>
        <w:t>5</w:t>
      </w:r>
      <w:r w:rsidRPr="001066D2">
        <w:rPr>
          <w:b w:val="0"/>
          <w:noProof/>
          <w:sz w:val="18"/>
        </w:rPr>
        <w:fldChar w:fldCharType="end"/>
      </w:r>
    </w:p>
    <w:p w14:paraId="24CD6D8C" w14:textId="3248A2B0" w:rsidR="001066D2" w:rsidRDefault="001066D2">
      <w:pPr>
        <w:pStyle w:val="TOC9"/>
        <w:rPr>
          <w:rFonts w:asciiTheme="minorHAnsi" w:eastAsiaTheme="minorEastAsia" w:hAnsiTheme="minorHAnsi" w:cstheme="minorBidi"/>
          <w:i w:val="0"/>
          <w:noProof/>
          <w:kern w:val="0"/>
          <w:sz w:val="22"/>
          <w:szCs w:val="22"/>
        </w:rPr>
      </w:pPr>
      <w:r>
        <w:rPr>
          <w:noProof/>
        </w:rPr>
        <w:t>Treasury Laws Amendment (Putting Consumers First—Establishment of the Australian Financial Complaints Authority) Act 2018</w:t>
      </w:r>
      <w:r w:rsidRPr="001066D2">
        <w:rPr>
          <w:i w:val="0"/>
          <w:noProof/>
          <w:sz w:val="18"/>
        </w:rPr>
        <w:tab/>
      </w:r>
      <w:r w:rsidRPr="001066D2">
        <w:rPr>
          <w:i w:val="0"/>
          <w:noProof/>
          <w:sz w:val="18"/>
        </w:rPr>
        <w:fldChar w:fldCharType="begin"/>
      </w:r>
      <w:r w:rsidRPr="001066D2">
        <w:rPr>
          <w:i w:val="0"/>
          <w:noProof/>
          <w:sz w:val="18"/>
        </w:rPr>
        <w:instrText xml:space="preserve"> PAGEREF _Toc110951149 \h </w:instrText>
      </w:r>
      <w:r w:rsidRPr="001066D2">
        <w:rPr>
          <w:i w:val="0"/>
          <w:noProof/>
          <w:sz w:val="18"/>
        </w:rPr>
      </w:r>
      <w:r w:rsidRPr="001066D2">
        <w:rPr>
          <w:i w:val="0"/>
          <w:noProof/>
          <w:sz w:val="18"/>
        </w:rPr>
        <w:fldChar w:fldCharType="separate"/>
      </w:r>
      <w:r w:rsidR="00695455">
        <w:rPr>
          <w:i w:val="0"/>
          <w:noProof/>
          <w:sz w:val="18"/>
        </w:rPr>
        <w:t>5</w:t>
      </w:r>
      <w:r w:rsidRPr="001066D2">
        <w:rPr>
          <w:i w:val="0"/>
          <w:noProof/>
          <w:sz w:val="18"/>
        </w:rPr>
        <w:fldChar w:fldCharType="end"/>
      </w:r>
    </w:p>
    <w:p w14:paraId="77F0526C" w14:textId="422B7A5B" w:rsidR="001066D2" w:rsidRDefault="001066D2">
      <w:pPr>
        <w:pStyle w:val="TOC6"/>
        <w:rPr>
          <w:rFonts w:asciiTheme="minorHAnsi" w:eastAsiaTheme="minorEastAsia" w:hAnsiTheme="minorHAnsi" w:cstheme="minorBidi"/>
          <w:b w:val="0"/>
          <w:noProof/>
          <w:kern w:val="0"/>
          <w:sz w:val="22"/>
          <w:szCs w:val="22"/>
        </w:rPr>
      </w:pPr>
      <w:r>
        <w:rPr>
          <w:noProof/>
        </w:rPr>
        <w:t>Schedule 3—Income tax and withholding exemptions for the FIFA Women’s World Cup</w:t>
      </w:r>
      <w:r w:rsidRPr="001066D2">
        <w:rPr>
          <w:b w:val="0"/>
          <w:noProof/>
          <w:sz w:val="18"/>
        </w:rPr>
        <w:tab/>
      </w:r>
      <w:r w:rsidRPr="001066D2">
        <w:rPr>
          <w:b w:val="0"/>
          <w:noProof/>
          <w:sz w:val="18"/>
        </w:rPr>
        <w:fldChar w:fldCharType="begin"/>
      </w:r>
      <w:r w:rsidRPr="001066D2">
        <w:rPr>
          <w:b w:val="0"/>
          <w:noProof/>
          <w:sz w:val="18"/>
        </w:rPr>
        <w:instrText xml:space="preserve"> PAGEREF _Toc110951150 \h </w:instrText>
      </w:r>
      <w:r w:rsidRPr="001066D2">
        <w:rPr>
          <w:b w:val="0"/>
          <w:noProof/>
          <w:sz w:val="18"/>
        </w:rPr>
      </w:r>
      <w:r w:rsidRPr="001066D2">
        <w:rPr>
          <w:b w:val="0"/>
          <w:noProof/>
          <w:sz w:val="18"/>
        </w:rPr>
        <w:fldChar w:fldCharType="separate"/>
      </w:r>
      <w:r w:rsidR="00695455">
        <w:rPr>
          <w:b w:val="0"/>
          <w:noProof/>
          <w:sz w:val="18"/>
        </w:rPr>
        <w:t>7</w:t>
      </w:r>
      <w:r w:rsidRPr="001066D2">
        <w:rPr>
          <w:b w:val="0"/>
          <w:noProof/>
          <w:sz w:val="18"/>
        </w:rPr>
        <w:fldChar w:fldCharType="end"/>
      </w:r>
    </w:p>
    <w:p w14:paraId="5996ECC6" w14:textId="741ACE5B" w:rsidR="001066D2" w:rsidRDefault="001066D2">
      <w:pPr>
        <w:pStyle w:val="TOC9"/>
        <w:rPr>
          <w:rFonts w:asciiTheme="minorHAnsi" w:eastAsiaTheme="minorEastAsia" w:hAnsiTheme="minorHAnsi" w:cstheme="minorBidi"/>
          <w:i w:val="0"/>
          <w:noProof/>
          <w:kern w:val="0"/>
          <w:sz w:val="22"/>
          <w:szCs w:val="22"/>
        </w:rPr>
      </w:pPr>
      <w:r>
        <w:rPr>
          <w:noProof/>
        </w:rPr>
        <w:t>Income Tax Assessment Act 1936</w:t>
      </w:r>
      <w:r w:rsidRPr="001066D2">
        <w:rPr>
          <w:i w:val="0"/>
          <w:noProof/>
          <w:sz w:val="18"/>
        </w:rPr>
        <w:tab/>
      </w:r>
      <w:r w:rsidRPr="001066D2">
        <w:rPr>
          <w:i w:val="0"/>
          <w:noProof/>
          <w:sz w:val="18"/>
        </w:rPr>
        <w:fldChar w:fldCharType="begin"/>
      </w:r>
      <w:r w:rsidRPr="001066D2">
        <w:rPr>
          <w:i w:val="0"/>
          <w:noProof/>
          <w:sz w:val="18"/>
        </w:rPr>
        <w:instrText xml:space="preserve"> PAGEREF _Toc110951151 \h </w:instrText>
      </w:r>
      <w:r w:rsidRPr="001066D2">
        <w:rPr>
          <w:i w:val="0"/>
          <w:noProof/>
          <w:sz w:val="18"/>
        </w:rPr>
      </w:r>
      <w:r w:rsidRPr="001066D2">
        <w:rPr>
          <w:i w:val="0"/>
          <w:noProof/>
          <w:sz w:val="18"/>
        </w:rPr>
        <w:fldChar w:fldCharType="separate"/>
      </w:r>
      <w:r w:rsidR="00695455">
        <w:rPr>
          <w:i w:val="0"/>
          <w:noProof/>
          <w:sz w:val="18"/>
        </w:rPr>
        <w:t>7</w:t>
      </w:r>
      <w:r w:rsidRPr="001066D2">
        <w:rPr>
          <w:i w:val="0"/>
          <w:noProof/>
          <w:sz w:val="18"/>
        </w:rPr>
        <w:fldChar w:fldCharType="end"/>
      </w:r>
    </w:p>
    <w:p w14:paraId="0E06455E" w14:textId="0A8B4E5F" w:rsidR="001066D2" w:rsidRDefault="001066D2">
      <w:pPr>
        <w:pStyle w:val="TOC9"/>
        <w:rPr>
          <w:rFonts w:asciiTheme="minorHAnsi" w:eastAsiaTheme="minorEastAsia" w:hAnsiTheme="minorHAnsi" w:cstheme="minorBidi"/>
          <w:i w:val="0"/>
          <w:noProof/>
          <w:kern w:val="0"/>
          <w:sz w:val="22"/>
          <w:szCs w:val="22"/>
        </w:rPr>
      </w:pPr>
      <w:r>
        <w:rPr>
          <w:noProof/>
        </w:rPr>
        <w:t>Income Tax Assessment Act 1997</w:t>
      </w:r>
      <w:r w:rsidRPr="001066D2">
        <w:rPr>
          <w:i w:val="0"/>
          <w:noProof/>
          <w:sz w:val="18"/>
        </w:rPr>
        <w:tab/>
      </w:r>
      <w:r w:rsidRPr="001066D2">
        <w:rPr>
          <w:i w:val="0"/>
          <w:noProof/>
          <w:sz w:val="18"/>
        </w:rPr>
        <w:fldChar w:fldCharType="begin"/>
      </w:r>
      <w:r w:rsidRPr="001066D2">
        <w:rPr>
          <w:i w:val="0"/>
          <w:noProof/>
          <w:sz w:val="18"/>
        </w:rPr>
        <w:instrText xml:space="preserve"> PAGEREF _Toc110951152 \h </w:instrText>
      </w:r>
      <w:r w:rsidRPr="001066D2">
        <w:rPr>
          <w:i w:val="0"/>
          <w:noProof/>
          <w:sz w:val="18"/>
        </w:rPr>
      </w:r>
      <w:r w:rsidRPr="001066D2">
        <w:rPr>
          <w:i w:val="0"/>
          <w:noProof/>
          <w:sz w:val="18"/>
        </w:rPr>
        <w:fldChar w:fldCharType="separate"/>
      </w:r>
      <w:r w:rsidR="00695455">
        <w:rPr>
          <w:i w:val="0"/>
          <w:noProof/>
          <w:sz w:val="18"/>
        </w:rPr>
        <w:t>7</w:t>
      </w:r>
      <w:r w:rsidRPr="001066D2">
        <w:rPr>
          <w:i w:val="0"/>
          <w:noProof/>
          <w:sz w:val="18"/>
        </w:rPr>
        <w:fldChar w:fldCharType="end"/>
      </w:r>
    </w:p>
    <w:p w14:paraId="219FEE08" w14:textId="4790D3E1" w:rsidR="001066D2" w:rsidRDefault="001066D2">
      <w:pPr>
        <w:pStyle w:val="TOC6"/>
        <w:rPr>
          <w:rFonts w:asciiTheme="minorHAnsi" w:eastAsiaTheme="minorEastAsia" w:hAnsiTheme="minorHAnsi" w:cstheme="minorBidi"/>
          <w:b w:val="0"/>
          <w:noProof/>
          <w:kern w:val="0"/>
          <w:sz w:val="22"/>
          <w:szCs w:val="22"/>
        </w:rPr>
      </w:pPr>
      <w:r>
        <w:rPr>
          <w:noProof/>
        </w:rPr>
        <w:t>Schedule 4—Minor and technical amendments</w:t>
      </w:r>
      <w:r w:rsidRPr="001066D2">
        <w:rPr>
          <w:b w:val="0"/>
          <w:noProof/>
          <w:sz w:val="18"/>
        </w:rPr>
        <w:tab/>
      </w:r>
      <w:r w:rsidRPr="001066D2">
        <w:rPr>
          <w:b w:val="0"/>
          <w:noProof/>
          <w:sz w:val="18"/>
        </w:rPr>
        <w:fldChar w:fldCharType="begin"/>
      </w:r>
      <w:r w:rsidRPr="001066D2">
        <w:rPr>
          <w:b w:val="0"/>
          <w:noProof/>
          <w:sz w:val="18"/>
        </w:rPr>
        <w:instrText xml:space="preserve"> PAGEREF _Toc110951153 \h </w:instrText>
      </w:r>
      <w:r w:rsidRPr="001066D2">
        <w:rPr>
          <w:b w:val="0"/>
          <w:noProof/>
          <w:sz w:val="18"/>
        </w:rPr>
      </w:r>
      <w:r w:rsidRPr="001066D2">
        <w:rPr>
          <w:b w:val="0"/>
          <w:noProof/>
          <w:sz w:val="18"/>
        </w:rPr>
        <w:fldChar w:fldCharType="separate"/>
      </w:r>
      <w:r w:rsidR="00695455">
        <w:rPr>
          <w:b w:val="0"/>
          <w:noProof/>
          <w:sz w:val="18"/>
        </w:rPr>
        <w:t>9</w:t>
      </w:r>
      <w:r w:rsidRPr="001066D2">
        <w:rPr>
          <w:b w:val="0"/>
          <w:noProof/>
          <w:sz w:val="18"/>
        </w:rPr>
        <w:fldChar w:fldCharType="end"/>
      </w:r>
    </w:p>
    <w:p w14:paraId="0F7B7C4E" w14:textId="70C51844" w:rsidR="001066D2" w:rsidRDefault="001066D2">
      <w:pPr>
        <w:pStyle w:val="TOC7"/>
        <w:rPr>
          <w:rFonts w:asciiTheme="minorHAnsi" w:eastAsiaTheme="minorEastAsia" w:hAnsiTheme="minorHAnsi" w:cstheme="minorBidi"/>
          <w:noProof/>
          <w:kern w:val="0"/>
          <w:sz w:val="22"/>
          <w:szCs w:val="22"/>
        </w:rPr>
      </w:pPr>
      <w:r>
        <w:rPr>
          <w:noProof/>
        </w:rPr>
        <w:t>Part 1—Commencement of registries modernisation amendments</w:t>
      </w:r>
      <w:r w:rsidRPr="001066D2">
        <w:rPr>
          <w:noProof/>
          <w:sz w:val="18"/>
        </w:rPr>
        <w:tab/>
      </w:r>
      <w:r w:rsidRPr="001066D2">
        <w:rPr>
          <w:noProof/>
          <w:sz w:val="18"/>
        </w:rPr>
        <w:fldChar w:fldCharType="begin"/>
      </w:r>
      <w:r w:rsidRPr="001066D2">
        <w:rPr>
          <w:noProof/>
          <w:sz w:val="18"/>
        </w:rPr>
        <w:instrText xml:space="preserve"> PAGEREF _Toc110951154 \h </w:instrText>
      </w:r>
      <w:r w:rsidRPr="001066D2">
        <w:rPr>
          <w:noProof/>
          <w:sz w:val="18"/>
        </w:rPr>
      </w:r>
      <w:r w:rsidRPr="001066D2">
        <w:rPr>
          <w:noProof/>
          <w:sz w:val="18"/>
        </w:rPr>
        <w:fldChar w:fldCharType="separate"/>
      </w:r>
      <w:r w:rsidR="00695455">
        <w:rPr>
          <w:noProof/>
          <w:sz w:val="18"/>
        </w:rPr>
        <w:t>9</w:t>
      </w:r>
      <w:r w:rsidRPr="001066D2">
        <w:rPr>
          <w:noProof/>
          <w:sz w:val="18"/>
        </w:rPr>
        <w:fldChar w:fldCharType="end"/>
      </w:r>
    </w:p>
    <w:p w14:paraId="0F5C762F" w14:textId="59C67782" w:rsidR="001066D2" w:rsidRDefault="001066D2">
      <w:pPr>
        <w:pStyle w:val="TOC9"/>
        <w:rPr>
          <w:rFonts w:asciiTheme="minorHAnsi" w:eastAsiaTheme="minorEastAsia" w:hAnsiTheme="minorHAnsi" w:cstheme="minorBidi"/>
          <w:i w:val="0"/>
          <w:noProof/>
          <w:kern w:val="0"/>
          <w:sz w:val="22"/>
          <w:szCs w:val="22"/>
        </w:rPr>
      </w:pPr>
      <w:r>
        <w:rPr>
          <w:noProof/>
        </w:rPr>
        <w:t>Business Names Registration (Fees) Amendment (Registries Modernisation) Act 2020</w:t>
      </w:r>
      <w:r w:rsidRPr="001066D2">
        <w:rPr>
          <w:i w:val="0"/>
          <w:noProof/>
          <w:sz w:val="18"/>
        </w:rPr>
        <w:tab/>
      </w:r>
      <w:r w:rsidRPr="001066D2">
        <w:rPr>
          <w:i w:val="0"/>
          <w:noProof/>
          <w:sz w:val="18"/>
        </w:rPr>
        <w:fldChar w:fldCharType="begin"/>
      </w:r>
      <w:r w:rsidRPr="001066D2">
        <w:rPr>
          <w:i w:val="0"/>
          <w:noProof/>
          <w:sz w:val="18"/>
        </w:rPr>
        <w:instrText xml:space="preserve"> PAGEREF _Toc110951155 \h </w:instrText>
      </w:r>
      <w:r w:rsidRPr="001066D2">
        <w:rPr>
          <w:i w:val="0"/>
          <w:noProof/>
          <w:sz w:val="18"/>
        </w:rPr>
      </w:r>
      <w:r w:rsidRPr="001066D2">
        <w:rPr>
          <w:i w:val="0"/>
          <w:noProof/>
          <w:sz w:val="18"/>
        </w:rPr>
        <w:fldChar w:fldCharType="separate"/>
      </w:r>
      <w:r w:rsidR="00695455">
        <w:rPr>
          <w:i w:val="0"/>
          <w:noProof/>
          <w:sz w:val="18"/>
        </w:rPr>
        <w:t>9</w:t>
      </w:r>
      <w:r w:rsidRPr="001066D2">
        <w:rPr>
          <w:i w:val="0"/>
          <w:noProof/>
          <w:sz w:val="18"/>
        </w:rPr>
        <w:fldChar w:fldCharType="end"/>
      </w:r>
    </w:p>
    <w:p w14:paraId="692EA53D" w14:textId="0D5FD642" w:rsidR="001066D2" w:rsidRDefault="001066D2">
      <w:pPr>
        <w:pStyle w:val="TOC9"/>
        <w:rPr>
          <w:rFonts w:asciiTheme="minorHAnsi" w:eastAsiaTheme="minorEastAsia" w:hAnsiTheme="minorHAnsi" w:cstheme="minorBidi"/>
          <w:i w:val="0"/>
          <w:noProof/>
          <w:kern w:val="0"/>
          <w:sz w:val="22"/>
          <w:szCs w:val="22"/>
        </w:rPr>
      </w:pPr>
      <w:r>
        <w:rPr>
          <w:noProof/>
        </w:rPr>
        <w:t>Corporations (Fees) Amendment (Registries Modernisation) Act 2020</w:t>
      </w:r>
      <w:r w:rsidRPr="001066D2">
        <w:rPr>
          <w:i w:val="0"/>
          <w:noProof/>
          <w:sz w:val="18"/>
        </w:rPr>
        <w:tab/>
      </w:r>
      <w:r w:rsidRPr="001066D2">
        <w:rPr>
          <w:i w:val="0"/>
          <w:noProof/>
          <w:sz w:val="18"/>
        </w:rPr>
        <w:fldChar w:fldCharType="begin"/>
      </w:r>
      <w:r w:rsidRPr="001066D2">
        <w:rPr>
          <w:i w:val="0"/>
          <w:noProof/>
          <w:sz w:val="18"/>
        </w:rPr>
        <w:instrText xml:space="preserve"> PAGEREF _Toc110951156 \h </w:instrText>
      </w:r>
      <w:r w:rsidRPr="001066D2">
        <w:rPr>
          <w:i w:val="0"/>
          <w:noProof/>
          <w:sz w:val="18"/>
        </w:rPr>
      </w:r>
      <w:r w:rsidRPr="001066D2">
        <w:rPr>
          <w:i w:val="0"/>
          <w:noProof/>
          <w:sz w:val="18"/>
        </w:rPr>
        <w:fldChar w:fldCharType="separate"/>
      </w:r>
      <w:r w:rsidR="00695455">
        <w:rPr>
          <w:i w:val="0"/>
          <w:noProof/>
          <w:sz w:val="18"/>
        </w:rPr>
        <w:t>9</w:t>
      </w:r>
      <w:r w:rsidRPr="001066D2">
        <w:rPr>
          <w:i w:val="0"/>
          <w:noProof/>
          <w:sz w:val="18"/>
        </w:rPr>
        <w:fldChar w:fldCharType="end"/>
      </w:r>
    </w:p>
    <w:p w14:paraId="3D860FE5" w14:textId="37CEF6C1" w:rsidR="001066D2" w:rsidRDefault="001066D2">
      <w:pPr>
        <w:pStyle w:val="TOC9"/>
        <w:rPr>
          <w:rFonts w:asciiTheme="minorHAnsi" w:eastAsiaTheme="minorEastAsia" w:hAnsiTheme="minorHAnsi" w:cstheme="minorBidi"/>
          <w:i w:val="0"/>
          <w:noProof/>
          <w:kern w:val="0"/>
          <w:sz w:val="22"/>
          <w:szCs w:val="22"/>
        </w:rPr>
      </w:pPr>
      <w:r>
        <w:rPr>
          <w:noProof/>
        </w:rPr>
        <w:t>Financial Sector Reform (Hayne Royal Commission Response—Better Advice) Act 2021</w:t>
      </w:r>
      <w:r w:rsidRPr="001066D2">
        <w:rPr>
          <w:i w:val="0"/>
          <w:noProof/>
          <w:sz w:val="18"/>
        </w:rPr>
        <w:tab/>
      </w:r>
      <w:r w:rsidRPr="001066D2">
        <w:rPr>
          <w:i w:val="0"/>
          <w:noProof/>
          <w:sz w:val="18"/>
        </w:rPr>
        <w:fldChar w:fldCharType="begin"/>
      </w:r>
      <w:r w:rsidRPr="001066D2">
        <w:rPr>
          <w:i w:val="0"/>
          <w:noProof/>
          <w:sz w:val="18"/>
        </w:rPr>
        <w:instrText xml:space="preserve"> PAGEREF _Toc110951157 \h </w:instrText>
      </w:r>
      <w:r w:rsidRPr="001066D2">
        <w:rPr>
          <w:i w:val="0"/>
          <w:noProof/>
          <w:sz w:val="18"/>
        </w:rPr>
      </w:r>
      <w:r w:rsidRPr="001066D2">
        <w:rPr>
          <w:i w:val="0"/>
          <w:noProof/>
          <w:sz w:val="18"/>
        </w:rPr>
        <w:fldChar w:fldCharType="separate"/>
      </w:r>
      <w:r w:rsidR="00695455">
        <w:rPr>
          <w:i w:val="0"/>
          <w:noProof/>
          <w:sz w:val="18"/>
        </w:rPr>
        <w:t>9</w:t>
      </w:r>
      <w:r w:rsidRPr="001066D2">
        <w:rPr>
          <w:i w:val="0"/>
          <w:noProof/>
          <w:sz w:val="18"/>
        </w:rPr>
        <w:fldChar w:fldCharType="end"/>
      </w:r>
    </w:p>
    <w:p w14:paraId="5B1C8BE5" w14:textId="516BD3D3" w:rsidR="001066D2" w:rsidRDefault="001066D2">
      <w:pPr>
        <w:pStyle w:val="TOC9"/>
        <w:rPr>
          <w:rFonts w:asciiTheme="minorHAnsi" w:eastAsiaTheme="minorEastAsia" w:hAnsiTheme="minorHAnsi" w:cstheme="minorBidi"/>
          <w:i w:val="0"/>
          <w:noProof/>
          <w:kern w:val="0"/>
          <w:sz w:val="22"/>
          <w:szCs w:val="22"/>
        </w:rPr>
      </w:pPr>
      <w:r>
        <w:rPr>
          <w:noProof/>
        </w:rPr>
        <w:t>National Consumer Credit Protection (Fees) Amendment (Registries Modernisation) Act 2020</w:t>
      </w:r>
      <w:r w:rsidRPr="001066D2">
        <w:rPr>
          <w:i w:val="0"/>
          <w:noProof/>
          <w:sz w:val="18"/>
        </w:rPr>
        <w:tab/>
      </w:r>
      <w:r w:rsidRPr="001066D2">
        <w:rPr>
          <w:i w:val="0"/>
          <w:noProof/>
          <w:sz w:val="18"/>
        </w:rPr>
        <w:fldChar w:fldCharType="begin"/>
      </w:r>
      <w:r w:rsidRPr="001066D2">
        <w:rPr>
          <w:i w:val="0"/>
          <w:noProof/>
          <w:sz w:val="18"/>
        </w:rPr>
        <w:instrText xml:space="preserve"> PAGEREF _Toc110951158 \h </w:instrText>
      </w:r>
      <w:r w:rsidRPr="001066D2">
        <w:rPr>
          <w:i w:val="0"/>
          <w:noProof/>
          <w:sz w:val="18"/>
        </w:rPr>
      </w:r>
      <w:r w:rsidRPr="001066D2">
        <w:rPr>
          <w:i w:val="0"/>
          <w:noProof/>
          <w:sz w:val="18"/>
        </w:rPr>
        <w:fldChar w:fldCharType="separate"/>
      </w:r>
      <w:r w:rsidR="00695455">
        <w:rPr>
          <w:i w:val="0"/>
          <w:noProof/>
          <w:sz w:val="18"/>
        </w:rPr>
        <w:t>10</w:t>
      </w:r>
      <w:r w:rsidRPr="001066D2">
        <w:rPr>
          <w:i w:val="0"/>
          <w:noProof/>
          <w:sz w:val="18"/>
        </w:rPr>
        <w:fldChar w:fldCharType="end"/>
      </w:r>
    </w:p>
    <w:p w14:paraId="712FC9DF" w14:textId="099555CD" w:rsidR="001066D2" w:rsidRDefault="001066D2">
      <w:pPr>
        <w:pStyle w:val="TOC9"/>
        <w:rPr>
          <w:rFonts w:asciiTheme="minorHAnsi" w:eastAsiaTheme="minorEastAsia" w:hAnsiTheme="minorHAnsi" w:cstheme="minorBidi"/>
          <w:i w:val="0"/>
          <w:noProof/>
          <w:kern w:val="0"/>
          <w:sz w:val="22"/>
          <w:szCs w:val="22"/>
        </w:rPr>
      </w:pPr>
      <w:r>
        <w:rPr>
          <w:noProof/>
        </w:rPr>
        <w:t>Treasury Laws Amendment (2021 Measures No. 1) Act 2021</w:t>
      </w:r>
      <w:r w:rsidRPr="001066D2">
        <w:rPr>
          <w:i w:val="0"/>
          <w:noProof/>
          <w:sz w:val="18"/>
        </w:rPr>
        <w:tab/>
      </w:r>
      <w:r w:rsidRPr="001066D2">
        <w:rPr>
          <w:i w:val="0"/>
          <w:noProof/>
          <w:sz w:val="18"/>
        </w:rPr>
        <w:fldChar w:fldCharType="begin"/>
      </w:r>
      <w:r w:rsidRPr="001066D2">
        <w:rPr>
          <w:i w:val="0"/>
          <w:noProof/>
          <w:sz w:val="18"/>
        </w:rPr>
        <w:instrText xml:space="preserve"> PAGEREF _Toc110951159 \h </w:instrText>
      </w:r>
      <w:r w:rsidRPr="001066D2">
        <w:rPr>
          <w:i w:val="0"/>
          <w:noProof/>
          <w:sz w:val="18"/>
        </w:rPr>
      </w:r>
      <w:r w:rsidRPr="001066D2">
        <w:rPr>
          <w:i w:val="0"/>
          <w:noProof/>
          <w:sz w:val="18"/>
        </w:rPr>
        <w:fldChar w:fldCharType="separate"/>
      </w:r>
      <w:r w:rsidR="00695455">
        <w:rPr>
          <w:i w:val="0"/>
          <w:noProof/>
          <w:sz w:val="18"/>
        </w:rPr>
        <w:t>10</w:t>
      </w:r>
      <w:r w:rsidRPr="001066D2">
        <w:rPr>
          <w:i w:val="0"/>
          <w:noProof/>
          <w:sz w:val="18"/>
        </w:rPr>
        <w:fldChar w:fldCharType="end"/>
      </w:r>
    </w:p>
    <w:p w14:paraId="51606F9D" w14:textId="1F71DA14" w:rsidR="001066D2" w:rsidRDefault="001066D2">
      <w:pPr>
        <w:pStyle w:val="TOC9"/>
        <w:rPr>
          <w:rFonts w:asciiTheme="minorHAnsi" w:eastAsiaTheme="minorEastAsia" w:hAnsiTheme="minorHAnsi" w:cstheme="minorBidi"/>
          <w:i w:val="0"/>
          <w:noProof/>
          <w:kern w:val="0"/>
          <w:sz w:val="22"/>
          <w:szCs w:val="22"/>
        </w:rPr>
      </w:pPr>
      <w:r>
        <w:rPr>
          <w:noProof/>
        </w:rPr>
        <w:t>Treasury Laws Amendment (Registries Modernisation and Other Measures) Act 2020</w:t>
      </w:r>
      <w:r w:rsidRPr="001066D2">
        <w:rPr>
          <w:i w:val="0"/>
          <w:noProof/>
          <w:sz w:val="18"/>
        </w:rPr>
        <w:tab/>
      </w:r>
      <w:r w:rsidRPr="001066D2">
        <w:rPr>
          <w:i w:val="0"/>
          <w:noProof/>
          <w:sz w:val="18"/>
        </w:rPr>
        <w:fldChar w:fldCharType="begin"/>
      </w:r>
      <w:r w:rsidRPr="001066D2">
        <w:rPr>
          <w:i w:val="0"/>
          <w:noProof/>
          <w:sz w:val="18"/>
        </w:rPr>
        <w:instrText xml:space="preserve"> PAGEREF _Toc110951160 \h </w:instrText>
      </w:r>
      <w:r w:rsidRPr="001066D2">
        <w:rPr>
          <w:i w:val="0"/>
          <w:noProof/>
          <w:sz w:val="18"/>
        </w:rPr>
      </w:r>
      <w:r w:rsidRPr="001066D2">
        <w:rPr>
          <w:i w:val="0"/>
          <w:noProof/>
          <w:sz w:val="18"/>
        </w:rPr>
        <w:fldChar w:fldCharType="separate"/>
      </w:r>
      <w:r w:rsidR="00695455">
        <w:rPr>
          <w:i w:val="0"/>
          <w:noProof/>
          <w:sz w:val="18"/>
        </w:rPr>
        <w:t>10</w:t>
      </w:r>
      <w:r w:rsidRPr="001066D2">
        <w:rPr>
          <w:i w:val="0"/>
          <w:noProof/>
          <w:sz w:val="18"/>
        </w:rPr>
        <w:fldChar w:fldCharType="end"/>
      </w:r>
    </w:p>
    <w:p w14:paraId="7BA6C0C2" w14:textId="299EF330" w:rsidR="001066D2" w:rsidRDefault="001066D2">
      <w:pPr>
        <w:pStyle w:val="TOC7"/>
        <w:rPr>
          <w:rFonts w:asciiTheme="minorHAnsi" w:eastAsiaTheme="minorEastAsia" w:hAnsiTheme="minorHAnsi" w:cstheme="minorBidi"/>
          <w:noProof/>
          <w:kern w:val="0"/>
          <w:sz w:val="22"/>
          <w:szCs w:val="22"/>
        </w:rPr>
      </w:pPr>
      <w:r>
        <w:rPr>
          <w:noProof/>
        </w:rPr>
        <w:t>Part 2—Application of registries modernisation amendments</w:t>
      </w:r>
      <w:r w:rsidRPr="001066D2">
        <w:rPr>
          <w:noProof/>
          <w:sz w:val="18"/>
        </w:rPr>
        <w:tab/>
      </w:r>
      <w:r w:rsidRPr="001066D2">
        <w:rPr>
          <w:noProof/>
          <w:sz w:val="18"/>
        </w:rPr>
        <w:fldChar w:fldCharType="begin"/>
      </w:r>
      <w:r w:rsidRPr="001066D2">
        <w:rPr>
          <w:noProof/>
          <w:sz w:val="18"/>
        </w:rPr>
        <w:instrText xml:space="preserve"> PAGEREF _Toc110951161 \h </w:instrText>
      </w:r>
      <w:r w:rsidRPr="001066D2">
        <w:rPr>
          <w:noProof/>
          <w:sz w:val="18"/>
        </w:rPr>
      </w:r>
      <w:r w:rsidRPr="001066D2">
        <w:rPr>
          <w:noProof/>
          <w:sz w:val="18"/>
        </w:rPr>
        <w:fldChar w:fldCharType="separate"/>
      </w:r>
      <w:r w:rsidR="00695455">
        <w:rPr>
          <w:noProof/>
          <w:sz w:val="18"/>
        </w:rPr>
        <w:t>12</w:t>
      </w:r>
      <w:r w:rsidRPr="001066D2">
        <w:rPr>
          <w:noProof/>
          <w:sz w:val="18"/>
        </w:rPr>
        <w:fldChar w:fldCharType="end"/>
      </w:r>
    </w:p>
    <w:p w14:paraId="473DD3CD" w14:textId="3BEDE53B" w:rsidR="001066D2" w:rsidRDefault="001066D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1066D2">
        <w:rPr>
          <w:i w:val="0"/>
          <w:noProof/>
          <w:sz w:val="18"/>
        </w:rPr>
        <w:tab/>
      </w:r>
      <w:r w:rsidRPr="001066D2">
        <w:rPr>
          <w:i w:val="0"/>
          <w:noProof/>
          <w:sz w:val="18"/>
        </w:rPr>
        <w:fldChar w:fldCharType="begin"/>
      </w:r>
      <w:r w:rsidRPr="001066D2">
        <w:rPr>
          <w:i w:val="0"/>
          <w:noProof/>
          <w:sz w:val="18"/>
        </w:rPr>
        <w:instrText xml:space="preserve"> PAGEREF _Toc110951162 \h </w:instrText>
      </w:r>
      <w:r w:rsidRPr="001066D2">
        <w:rPr>
          <w:i w:val="0"/>
          <w:noProof/>
          <w:sz w:val="18"/>
        </w:rPr>
      </w:r>
      <w:r w:rsidRPr="001066D2">
        <w:rPr>
          <w:i w:val="0"/>
          <w:noProof/>
          <w:sz w:val="18"/>
        </w:rPr>
        <w:fldChar w:fldCharType="separate"/>
      </w:r>
      <w:r w:rsidR="00695455">
        <w:rPr>
          <w:i w:val="0"/>
          <w:noProof/>
          <w:sz w:val="18"/>
        </w:rPr>
        <w:t>12</w:t>
      </w:r>
      <w:r w:rsidRPr="001066D2">
        <w:rPr>
          <w:i w:val="0"/>
          <w:noProof/>
          <w:sz w:val="18"/>
        </w:rPr>
        <w:fldChar w:fldCharType="end"/>
      </w:r>
    </w:p>
    <w:p w14:paraId="63D6424B" w14:textId="3163D3C8" w:rsidR="001066D2" w:rsidRDefault="001066D2">
      <w:pPr>
        <w:pStyle w:val="TOC9"/>
        <w:rPr>
          <w:rFonts w:asciiTheme="minorHAnsi" w:eastAsiaTheme="minorEastAsia" w:hAnsiTheme="minorHAnsi" w:cstheme="minorBidi"/>
          <w:i w:val="0"/>
          <w:noProof/>
          <w:kern w:val="0"/>
          <w:sz w:val="22"/>
          <w:szCs w:val="22"/>
        </w:rPr>
      </w:pPr>
      <w:r>
        <w:rPr>
          <w:noProof/>
        </w:rPr>
        <w:t>Business Names Registration (Fees) Amendment (Registries Modernisation) Act 2020</w:t>
      </w:r>
      <w:r w:rsidRPr="001066D2">
        <w:rPr>
          <w:i w:val="0"/>
          <w:noProof/>
          <w:sz w:val="18"/>
        </w:rPr>
        <w:tab/>
      </w:r>
      <w:r w:rsidRPr="001066D2">
        <w:rPr>
          <w:i w:val="0"/>
          <w:noProof/>
          <w:sz w:val="18"/>
        </w:rPr>
        <w:fldChar w:fldCharType="begin"/>
      </w:r>
      <w:r w:rsidRPr="001066D2">
        <w:rPr>
          <w:i w:val="0"/>
          <w:noProof/>
          <w:sz w:val="18"/>
        </w:rPr>
        <w:instrText xml:space="preserve"> PAGEREF _Toc110951167 \h </w:instrText>
      </w:r>
      <w:r w:rsidRPr="001066D2">
        <w:rPr>
          <w:i w:val="0"/>
          <w:noProof/>
          <w:sz w:val="18"/>
        </w:rPr>
      </w:r>
      <w:r w:rsidRPr="001066D2">
        <w:rPr>
          <w:i w:val="0"/>
          <w:noProof/>
          <w:sz w:val="18"/>
        </w:rPr>
        <w:fldChar w:fldCharType="separate"/>
      </w:r>
      <w:r w:rsidR="00695455">
        <w:rPr>
          <w:i w:val="0"/>
          <w:noProof/>
          <w:sz w:val="18"/>
        </w:rPr>
        <w:t>15</w:t>
      </w:r>
      <w:r w:rsidRPr="001066D2">
        <w:rPr>
          <w:i w:val="0"/>
          <w:noProof/>
          <w:sz w:val="18"/>
        </w:rPr>
        <w:fldChar w:fldCharType="end"/>
      </w:r>
    </w:p>
    <w:p w14:paraId="2DBA2D42" w14:textId="38C5F40E" w:rsidR="001066D2" w:rsidRDefault="001066D2">
      <w:pPr>
        <w:pStyle w:val="TOC9"/>
        <w:rPr>
          <w:rFonts w:asciiTheme="minorHAnsi" w:eastAsiaTheme="minorEastAsia" w:hAnsiTheme="minorHAnsi" w:cstheme="minorBidi"/>
          <w:i w:val="0"/>
          <w:noProof/>
          <w:kern w:val="0"/>
          <w:sz w:val="22"/>
          <w:szCs w:val="22"/>
        </w:rPr>
      </w:pPr>
      <w:r>
        <w:rPr>
          <w:noProof/>
        </w:rPr>
        <w:t>Business Names Registration (Transitional and Consequential Provisions) Act 2011</w:t>
      </w:r>
      <w:r w:rsidRPr="001066D2">
        <w:rPr>
          <w:i w:val="0"/>
          <w:noProof/>
          <w:sz w:val="18"/>
        </w:rPr>
        <w:tab/>
      </w:r>
      <w:r w:rsidRPr="001066D2">
        <w:rPr>
          <w:i w:val="0"/>
          <w:noProof/>
          <w:sz w:val="18"/>
        </w:rPr>
        <w:fldChar w:fldCharType="begin"/>
      </w:r>
      <w:r w:rsidRPr="001066D2">
        <w:rPr>
          <w:i w:val="0"/>
          <w:noProof/>
          <w:sz w:val="18"/>
        </w:rPr>
        <w:instrText xml:space="preserve"> PAGEREF _Toc110951168 \h </w:instrText>
      </w:r>
      <w:r w:rsidRPr="001066D2">
        <w:rPr>
          <w:i w:val="0"/>
          <w:noProof/>
          <w:sz w:val="18"/>
        </w:rPr>
      </w:r>
      <w:r w:rsidRPr="001066D2">
        <w:rPr>
          <w:i w:val="0"/>
          <w:noProof/>
          <w:sz w:val="18"/>
        </w:rPr>
        <w:fldChar w:fldCharType="separate"/>
      </w:r>
      <w:r w:rsidR="00695455">
        <w:rPr>
          <w:i w:val="0"/>
          <w:noProof/>
          <w:sz w:val="18"/>
        </w:rPr>
        <w:t>17</w:t>
      </w:r>
      <w:r w:rsidRPr="001066D2">
        <w:rPr>
          <w:i w:val="0"/>
          <w:noProof/>
          <w:sz w:val="18"/>
        </w:rPr>
        <w:fldChar w:fldCharType="end"/>
      </w:r>
    </w:p>
    <w:p w14:paraId="5A671A09" w14:textId="6BAD98AE" w:rsidR="001066D2" w:rsidRDefault="001066D2">
      <w:pPr>
        <w:pStyle w:val="TOC9"/>
        <w:rPr>
          <w:rFonts w:asciiTheme="minorHAnsi" w:eastAsiaTheme="minorEastAsia" w:hAnsiTheme="minorHAnsi" w:cstheme="minorBidi"/>
          <w:i w:val="0"/>
          <w:noProof/>
          <w:kern w:val="0"/>
          <w:sz w:val="22"/>
          <w:szCs w:val="22"/>
        </w:rPr>
      </w:pPr>
      <w:r>
        <w:rPr>
          <w:noProof/>
        </w:rPr>
        <w:t>Corporations Act 2001</w:t>
      </w:r>
      <w:r w:rsidRPr="001066D2">
        <w:rPr>
          <w:i w:val="0"/>
          <w:noProof/>
          <w:sz w:val="18"/>
        </w:rPr>
        <w:tab/>
      </w:r>
      <w:r w:rsidRPr="001066D2">
        <w:rPr>
          <w:i w:val="0"/>
          <w:noProof/>
          <w:sz w:val="18"/>
        </w:rPr>
        <w:fldChar w:fldCharType="begin"/>
      </w:r>
      <w:r w:rsidRPr="001066D2">
        <w:rPr>
          <w:i w:val="0"/>
          <w:noProof/>
          <w:sz w:val="18"/>
        </w:rPr>
        <w:instrText xml:space="preserve"> PAGEREF _Toc110951169 \h </w:instrText>
      </w:r>
      <w:r w:rsidRPr="001066D2">
        <w:rPr>
          <w:i w:val="0"/>
          <w:noProof/>
          <w:sz w:val="18"/>
        </w:rPr>
      </w:r>
      <w:r w:rsidRPr="001066D2">
        <w:rPr>
          <w:i w:val="0"/>
          <w:noProof/>
          <w:sz w:val="18"/>
        </w:rPr>
        <w:fldChar w:fldCharType="separate"/>
      </w:r>
      <w:r w:rsidR="00695455">
        <w:rPr>
          <w:i w:val="0"/>
          <w:noProof/>
          <w:sz w:val="18"/>
        </w:rPr>
        <w:t>22</w:t>
      </w:r>
      <w:r w:rsidRPr="001066D2">
        <w:rPr>
          <w:i w:val="0"/>
          <w:noProof/>
          <w:sz w:val="18"/>
        </w:rPr>
        <w:fldChar w:fldCharType="end"/>
      </w:r>
    </w:p>
    <w:p w14:paraId="1191973F" w14:textId="620C6E99" w:rsidR="001066D2" w:rsidRDefault="001066D2">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1066D2">
        <w:rPr>
          <w:i w:val="0"/>
          <w:noProof/>
          <w:sz w:val="18"/>
        </w:rPr>
        <w:tab/>
      </w:r>
      <w:r w:rsidRPr="001066D2">
        <w:rPr>
          <w:i w:val="0"/>
          <w:noProof/>
          <w:sz w:val="18"/>
        </w:rPr>
        <w:fldChar w:fldCharType="begin"/>
      </w:r>
      <w:r w:rsidRPr="001066D2">
        <w:rPr>
          <w:i w:val="0"/>
          <w:noProof/>
          <w:sz w:val="18"/>
        </w:rPr>
        <w:instrText xml:space="preserve"> PAGEREF _Toc110951176 \h </w:instrText>
      </w:r>
      <w:r w:rsidRPr="001066D2">
        <w:rPr>
          <w:i w:val="0"/>
          <w:noProof/>
          <w:sz w:val="18"/>
        </w:rPr>
      </w:r>
      <w:r w:rsidRPr="001066D2">
        <w:rPr>
          <w:i w:val="0"/>
          <w:noProof/>
          <w:sz w:val="18"/>
        </w:rPr>
        <w:fldChar w:fldCharType="separate"/>
      </w:r>
      <w:r w:rsidR="00695455">
        <w:rPr>
          <w:i w:val="0"/>
          <w:noProof/>
          <w:sz w:val="18"/>
        </w:rPr>
        <w:t>27</w:t>
      </w:r>
      <w:r w:rsidRPr="001066D2">
        <w:rPr>
          <w:i w:val="0"/>
          <w:noProof/>
          <w:sz w:val="18"/>
        </w:rPr>
        <w:fldChar w:fldCharType="end"/>
      </w:r>
    </w:p>
    <w:p w14:paraId="19640F2D" w14:textId="035F15BC" w:rsidR="001066D2" w:rsidRDefault="001066D2">
      <w:pPr>
        <w:pStyle w:val="TOC9"/>
        <w:rPr>
          <w:rFonts w:asciiTheme="minorHAnsi" w:eastAsiaTheme="minorEastAsia" w:hAnsiTheme="minorHAnsi" w:cstheme="minorBidi"/>
          <w:i w:val="0"/>
          <w:noProof/>
          <w:kern w:val="0"/>
          <w:sz w:val="22"/>
          <w:szCs w:val="22"/>
        </w:rPr>
      </w:pPr>
      <w:r>
        <w:rPr>
          <w:noProof/>
        </w:rPr>
        <w:t>Treasury Laws Amendment (Registries Modernisation and Other Measures) Act 2020</w:t>
      </w:r>
      <w:r w:rsidRPr="001066D2">
        <w:rPr>
          <w:i w:val="0"/>
          <w:noProof/>
          <w:sz w:val="18"/>
        </w:rPr>
        <w:tab/>
      </w:r>
      <w:r w:rsidRPr="001066D2">
        <w:rPr>
          <w:i w:val="0"/>
          <w:noProof/>
          <w:sz w:val="18"/>
        </w:rPr>
        <w:fldChar w:fldCharType="begin"/>
      </w:r>
      <w:r w:rsidRPr="001066D2">
        <w:rPr>
          <w:i w:val="0"/>
          <w:noProof/>
          <w:sz w:val="18"/>
        </w:rPr>
        <w:instrText xml:space="preserve"> PAGEREF _Toc110951177 \h </w:instrText>
      </w:r>
      <w:r w:rsidRPr="001066D2">
        <w:rPr>
          <w:i w:val="0"/>
          <w:noProof/>
          <w:sz w:val="18"/>
        </w:rPr>
      </w:r>
      <w:r w:rsidRPr="001066D2">
        <w:rPr>
          <w:i w:val="0"/>
          <w:noProof/>
          <w:sz w:val="18"/>
        </w:rPr>
        <w:fldChar w:fldCharType="separate"/>
      </w:r>
      <w:r w:rsidR="00695455">
        <w:rPr>
          <w:i w:val="0"/>
          <w:noProof/>
          <w:sz w:val="18"/>
        </w:rPr>
        <w:t>31</w:t>
      </w:r>
      <w:r w:rsidRPr="001066D2">
        <w:rPr>
          <w:i w:val="0"/>
          <w:noProof/>
          <w:sz w:val="18"/>
        </w:rPr>
        <w:fldChar w:fldCharType="end"/>
      </w:r>
    </w:p>
    <w:p w14:paraId="2EA6E92C" w14:textId="0E992E58" w:rsidR="001066D2" w:rsidRDefault="001066D2">
      <w:pPr>
        <w:pStyle w:val="TOC7"/>
        <w:rPr>
          <w:rFonts w:asciiTheme="minorHAnsi" w:eastAsiaTheme="minorEastAsia" w:hAnsiTheme="minorHAnsi" w:cstheme="minorBidi"/>
          <w:noProof/>
          <w:kern w:val="0"/>
          <w:sz w:val="22"/>
          <w:szCs w:val="22"/>
        </w:rPr>
      </w:pPr>
      <w:r>
        <w:rPr>
          <w:noProof/>
        </w:rPr>
        <w:t>Part 3—Amendments commencing first day of next quarter</w:t>
      </w:r>
      <w:r w:rsidRPr="001066D2">
        <w:rPr>
          <w:noProof/>
          <w:sz w:val="18"/>
        </w:rPr>
        <w:tab/>
      </w:r>
      <w:r w:rsidRPr="001066D2">
        <w:rPr>
          <w:noProof/>
          <w:sz w:val="18"/>
        </w:rPr>
        <w:fldChar w:fldCharType="begin"/>
      </w:r>
      <w:r w:rsidRPr="001066D2">
        <w:rPr>
          <w:noProof/>
          <w:sz w:val="18"/>
        </w:rPr>
        <w:instrText xml:space="preserve"> PAGEREF _Toc110951178 \h </w:instrText>
      </w:r>
      <w:r w:rsidRPr="001066D2">
        <w:rPr>
          <w:noProof/>
          <w:sz w:val="18"/>
        </w:rPr>
      </w:r>
      <w:r w:rsidRPr="001066D2">
        <w:rPr>
          <w:noProof/>
          <w:sz w:val="18"/>
        </w:rPr>
        <w:fldChar w:fldCharType="separate"/>
      </w:r>
      <w:r w:rsidR="00695455">
        <w:rPr>
          <w:noProof/>
          <w:sz w:val="18"/>
        </w:rPr>
        <w:t>37</w:t>
      </w:r>
      <w:r w:rsidRPr="001066D2">
        <w:rPr>
          <w:noProof/>
          <w:sz w:val="18"/>
        </w:rPr>
        <w:fldChar w:fldCharType="end"/>
      </w:r>
    </w:p>
    <w:p w14:paraId="544BFCD3" w14:textId="2C3E6765" w:rsidR="001066D2" w:rsidRDefault="001066D2">
      <w:pPr>
        <w:pStyle w:val="TOC9"/>
        <w:rPr>
          <w:rFonts w:asciiTheme="minorHAnsi" w:eastAsiaTheme="minorEastAsia" w:hAnsiTheme="minorHAnsi" w:cstheme="minorBidi"/>
          <w:i w:val="0"/>
          <w:noProof/>
          <w:kern w:val="0"/>
          <w:sz w:val="22"/>
          <w:szCs w:val="22"/>
        </w:rPr>
      </w:pPr>
      <w:r>
        <w:rPr>
          <w:noProof/>
        </w:rPr>
        <w:t>Fringe Benefits Tax Assessment Act 1986</w:t>
      </w:r>
      <w:r w:rsidRPr="001066D2">
        <w:rPr>
          <w:i w:val="0"/>
          <w:noProof/>
          <w:sz w:val="18"/>
        </w:rPr>
        <w:tab/>
      </w:r>
      <w:r w:rsidRPr="001066D2">
        <w:rPr>
          <w:i w:val="0"/>
          <w:noProof/>
          <w:sz w:val="18"/>
        </w:rPr>
        <w:fldChar w:fldCharType="begin"/>
      </w:r>
      <w:r w:rsidRPr="001066D2">
        <w:rPr>
          <w:i w:val="0"/>
          <w:noProof/>
          <w:sz w:val="18"/>
        </w:rPr>
        <w:instrText xml:space="preserve"> PAGEREF _Toc110951179 \h </w:instrText>
      </w:r>
      <w:r w:rsidRPr="001066D2">
        <w:rPr>
          <w:i w:val="0"/>
          <w:noProof/>
          <w:sz w:val="18"/>
        </w:rPr>
      </w:r>
      <w:r w:rsidRPr="001066D2">
        <w:rPr>
          <w:i w:val="0"/>
          <w:noProof/>
          <w:sz w:val="18"/>
        </w:rPr>
        <w:fldChar w:fldCharType="separate"/>
      </w:r>
      <w:r w:rsidR="00695455">
        <w:rPr>
          <w:i w:val="0"/>
          <w:noProof/>
          <w:sz w:val="18"/>
        </w:rPr>
        <w:t>37</w:t>
      </w:r>
      <w:r w:rsidRPr="001066D2">
        <w:rPr>
          <w:i w:val="0"/>
          <w:noProof/>
          <w:sz w:val="18"/>
        </w:rPr>
        <w:fldChar w:fldCharType="end"/>
      </w:r>
    </w:p>
    <w:p w14:paraId="022EFB34" w14:textId="42986B45" w:rsidR="001066D2" w:rsidRDefault="001066D2">
      <w:pPr>
        <w:pStyle w:val="TOC7"/>
        <w:rPr>
          <w:rFonts w:asciiTheme="minorHAnsi" w:eastAsiaTheme="minorEastAsia" w:hAnsiTheme="minorHAnsi" w:cstheme="minorBidi"/>
          <w:noProof/>
          <w:kern w:val="0"/>
          <w:sz w:val="22"/>
          <w:szCs w:val="22"/>
        </w:rPr>
      </w:pPr>
      <w:r>
        <w:rPr>
          <w:noProof/>
        </w:rPr>
        <w:t>Part 4—Other amendments</w:t>
      </w:r>
      <w:r w:rsidRPr="001066D2">
        <w:rPr>
          <w:noProof/>
          <w:sz w:val="18"/>
        </w:rPr>
        <w:tab/>
      </w:r>
      <w:r w:rsidRPr="001066D2">
        <w:rPr>
          <w:noProof/>
          <w:sz w:val="18"/>
        </w:rPr>
        <w:fldChar w:fldCharType="begin"/>
      </w:r>
      <w:r w:rsidRPr="001066D2">
        <w:rPr>
          <w:noProof/>
          <w:sz w:val="18"/>
        </w:rPr>
        <w:instrText xml:space="preserve"> PAGEREF _Toc110951180 \h </w:instrText>
      </w:r>
      <w:r w:rsidRPr="001066D2">
        <w:rPr>
          <w:noProof/>
          <w:sz w:val="18"/>
        </w:rPr>
      </w:r>
      <w:r w:rsidRPr="001066D2">
        <w:rPr>
          <w:noProof/>
          <w:sz w:val="18"/>
        </w:rPr>
        <w:fldChar w:fldCharType="separate"/>
      </w:r>
      <w:r w:rsidR="00695455">
        <w:rPr>
          <w:noProof/>
          <w:sz w:val="18"/>
        </w:rPr>
        <w:t>38</w:t>
      </w:r>
      <w:r w:rsidRPr="001066D2">
        <w:rPr>
          <w:noProof/>
          <w:sz w:val="18"/>
        </w:rPr>
        <w:fldChar w:fldCharType="end"/>
      </w:r>
    </w:p>
    <w:p w14:paraId="5F67B77B" w14:textId="09168C94" w:rsidR="001066D2" w:rsidRDefault="001066D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1066D2">
        <w:rPr>
          <w:i w:val="0"/>
          <w:noProof/>
          <w:sz w:val="18"/>
        </w:rPr>
        <w:tab/>
      </w:r>
      <w:r w:rsidRPr="001066D2">
        <w:rPr>
          <w:i w:val="0"/>
          <w:noProof/>
          <w:sz w:val="18"/>
        </w:rPr>
        <w:fldChar w:fldCharType="begin"/>
      </w:r>
      <w:r w:rsidRPr="001066D2">
        <w:rPr>
          <w:i w:val="0"/>
          <w:noProof/>
          <w:sz w:val="18"/>
        </w:rPr>
        <w:instrText xml:space="preserve"> PAGEREF _Toc110951181 \h </w:instrText>
      </w:r>
      <w:r w:rsidRPr="001066D2">
        <w:rPr>
          <w:i w:val="0"/>
          <w:noProof/>
          <w:sz w:val="18"/>
        </w:rPr>
      </w:r>
      <w:r w:rsidRPr="001066D2">
        <w:rPr>
          <w:i w:val="0"/>
          <w:noProof/>
          <w:sz w:val="18"/>
        </w:rPr>
        <w:fldChar w:fldCharType="separate"/>
      </w:r>
      <w:r w:rsidR="00695455">
        <w:rPr>
          <w:i w:val="0"/>
          <w:noProof/>
          <w:sz w:val="18"/>
        </w:rPr>
        <w:t>38</w:t>
      </w:r>
      <w:r w:rsidRPr="001066D2">
        <w:rPr>
          <w:i w:val="0"/>
          <w:noProof/>
          <w:sz w:val="18"/>
        </w:rPr>
        <w:fldChar w:fldCharType="end"/>
      </w:r>
    </w:p>
    <w:p w14:paraId="1F7DFFEC" w14:textId="6037C532" w:rsidR="001066D2" w:rsidRDefault="001066D2">
      <w:pPr>
        <w:pStyle w:val="TOC9"/>
        <w:rPr>
          <w:rFonts w:asciiTheme="minorHAnsi" w:eastAsiaTheme="minorEastAsia" w:hAnsiTheme="minorHAnsi" w:cstheme="minorBidi"/>
          <w:i w:val="0"/>
          <w:noProof/>
          <w:kern w:val="0"/>
          <w:sz w:val="22"/>
          <w:szCs w:val="22"/>
        </w:rPr>
      </w:pPr>
      <w:r>
        <w:rPr>
          <w:noProof/>
        </w:rPr>
        <w:t>Corporations Act 2001</w:t>
      </w:r>
      <w:r w:rsidRPr="001066D2">
        <w:rPr>
          <w:i w:val="0"/>
          <w:noProof/>
          <w:sz w:val="18"/>
        </w:rPr>
        <w:tab/>
      </w:r>
      <w:r w:rsidRPr="001066D2">
        <w:rPr>
          <w:i w:val="0"/>
          <w:noProof/>
          <w:sz w:val="18"/>
        </w:rPr>
        <w:fldChar w:fldCharType="begin"/>
      </w:r>
      <w:r w:rsidRPr="001066D2">
        <w:rPr>
          <w:i w:val="0"/>
          <w:noProof/>
          <w:sz w:val="18"/>
        </w:rPr>
        <w:instrText xml:space="preserve"> PAGEREF _Toc110951183 \h </w:instrText>
      </w:r>
      <w:r w:rsidRPr="001066D2">
        <w:rPr>
          <w:i w:val="0"/>
          <w:noProof/>
          <w:sz w:val="18"/>
        </w:rPr>
      </w:r>
      <w:r w:rsidRPr="001066D2">
        <w:rPr>
          <w:i w:val="0"/>
          <w:noProof/>
          <w:sz w:val="18"/>
        </w:rPr>
        <w:fldChar w:fldCharType="separate"/>
      </w:r>
      <w:r w:rsidR="00695455">
        <w:rPr>
          <w:i w:val="0"/>
          <w:noProof/>
          <w:sz w:val="18"/>
        </w:rPr>
        <w:t>38</w:t>
      </w:r>
      <w:r w:rsidRPr="001066D2">
        <w:rPr>
          <w:i w:val="0"/>
          <w:noProof/>
          <w:sz w:val="18"/>
        </w:rPr>
        <w:fldChar w:fldCharType="end"/>
      </w:r>
    </w:p>
    <w:p w14:paraId="29FDF3A6" w14:textId="29AA5DD0" w:rsidR="001066D2" w:rsidRDefault="001066D2">
      <w:pPr>
        <w:pStyle w:val="TOC7"/>
        <w:rPr>
          <w:rFonts w:asciiTheme="minorHAnsi" w:eastAsiaTheme="minorEastAsia" w:hAnsiTheme="minorHAnsi" w:cstheme="minorBidi"/>
          <w:noProof/>
          <w:kern w:val="0"/>
          <w:sz w:val="22"/>
          <w:szCs w:val="22"/>
        </w:rPr>
      </w:pPr>
      <w:r>
        <w:rPr>
          <w:noProof/>
        </w:rPr>
        <w:t>Part 5—Amendments of Acts in other portfolios to allow commutation of certain income streams</w:t>
      </w:r>
      <w:r w:rsidRPr="001066D2">
        <w:rPr>
          <w:noProof/>
          <w:sz w:val="18"/>
        </w:rPr>
        <w:tab/>
      </w:r>
      <w:r w:rsidRPr="001066D2">
        <w:rPr>
          <w:noProof/>
          <w:sz w:val="18"/>
        </w:rPr>
        <w:fldChar w:fldCharType="begin"/>
      </w:r>
      <w:r w:rsidRPr="001066D2">
        <w:rPr>
          <w:noProof/>
          <w:sz w:val="18"/>
        </w:rPr>
        <w:instrText xml:space="preserve"> PAGEREF _Toc110951186 \h </w:instrText>
      </w:r>
      <w:r w:rsidRPr="001066D2">
        <w:rPr>
          <w:noProof/>
          <w:sz w:val="18"/>
        </w:rPr>
      </w:r>
      <w:r w:rsidRPr="001066D2">
        <w:rPr>
          <w:noProof/>
          <w:sz w:val="18"/>
        </w:rPr>
        <w:fldChar w:fldCharType="separate"/>
      </w:r>
      <w:r w:rsidR="00695455">
        <w:rPr>
          <w:noProof/>
          <w:sz w:val="18"/>
        </w:rPr>
        <w:t>41</w:t>
      </w:r>
      <w:r w:rsidRPr="001066D2">
        <w:rPr>
          <w:noProof/>
          <w:sz w:val="18"/>
        </w:rPr>
        <w:fldChar w:fldCharType="end"/>
      </w:r>
    </w:p>
    <w:p w14:paraId="0E78F190" w14:textId="6127AF67" w:rsidR="001066D2" w:rsidRDefault="001066D2">
      <w:pPr>
        <w:pStyle w:val="TOC9"/>
        <w:rPr>
          <w:rFonts w:asciiTheme="minorHAnsi" w:eastAsiaTheme="minorEastAsia" w:hAnsiTheme="minorHAnsi" w:cstheme="minorBidi"/>
          <w:i w:val="0"/>
          <w:noProof/>
          <w:kern w:val="0"/>
          <w:sz w:val="22"/>
          <w:szCs w:val="22"/>
        </w:rPr>
      </w:pPr>
      <w:r>
        <w:rPr>
          <w:noProof/>
        </w:rPr>
        <w:t>Social Security Act 1991</w:t>
      </w:r>
      <w:r w:rsidRPr="001066D2">
        <w:rPr>
          <w:i w:val="0"/>
          <w:noProof/>
          <w:sz w:val="18"/>
        </w:rPr>
        <w:tab/>
      </w:r>
      <w:r w:rsidRPr="001066D2">
        <w:rPr>
          <w:i w:val="0"/>
          <w:noProof/>
          <w:sz w:val="18"/>
        </w:rPr>
        <w:fldChar w:fldCharType="begin"/>
      </w:r>
      <w:r w:rsidRPr="001066D2">
        <w:rPr>
          <w:i w:val="0"/>
          <w:noProof/>
          <w:sz w:val="18"/>
        </w:rPr>
        <w:instrText xml:space="preserve"> PAGEREF _Toc110951187 \h </w:instrText>
      </w:r>
      <w:r w:rsidRPr="001066D2">
        <w:rPr>
          <w:i w:val="0"/>
          <w:noProof/>
          <w:sz w:val="18"/>
        </w:rPr>
      </w:r>
      <w:r w:rsidRPr="001066D2">
        <w:rPr>
          <w:i w:val="0"/>
          <w:noProof/>
          <w:sz w:val="18"/>
        </w:rPr>
        <w:fldChar w:fldCharType="separate"/>
      </w:r>
      <w:r w:rsidR="00695455">
        <w:rPr>
          <w:i w:val="0"/>
          <w:noProof/>
          <w:sz w:val="18"/>
        </w:rPr>
        <w:t>41</w:t>
      </w:r>
      <w:r w:rsidRPr="001066D2">
        <w:rPr>
          <w:i w:val="0"/>
          <w:noProof/>
          <w:sz w:val="18"/>
        </w:rPr>
        <w:fldChar w:fldCharType="end"/>
      </w:r>
    </w:p>
    <w:p w14:paraId="50D7D503" w14:textId="4D9CD57E" w:rsidR="001066D2" w:rsidRDefault="001066D2">
      <w:pPr>
        <w:pStyle w:val="TOC9"/>
        <w:rPr>
          <w:rFonts w:asciiTheme="minorHAnsi" w:eastAsiaTheme="minorEastAsia" w:hAnsiTheme="minorHAnsi" w:cstheme="minorBidi"/>
          <w:i w:val="0"/>
          <w:noProof/>
          <w:kern w:val="0"/>
          <w:sz w:val="22"/>
          <w:szCs w:val="22"/>
        </w:rPr>
      </w:pPr>
      <w:r>
        <w:rPr>
          <w:noProof/>
        </w:rPr>
        <w:t>Veterans’ Entitlements Act 1986</w:t>
      </w:r>
      <w:r w:rsidRPr="001066D2">
        <w:rPr>
          <w:i w:val="0"/>
          <w:noProof/>
          <w:sz w:val="18"/>
        </w:rPr>
        <w:tab/>
      </w:r>
      <w:r w:rsidRPr="001066D2">
        <w:rPr>
          <w:i w:val="0"/>
          <w:noProof/>
          <w:sz w:val="18"/>
        </w:rPr>
        <w:fldChar w:fldCharType="begin"/>
      </w:r>
      <w:r w:rsidRPr="001066D2">
        <w:rPr>
          <w:i w:val="0"/>
          <w:noProof/>
          <w:sz w:val="18"/>
        </w:rPr>
        <w:instrText xml:space="preserve"> PAGEREF _Toc110951188 \h </w:instrText>
      </w:r>
      <w:r w:rsidRPr="001066D2">
        <w:rPr>
          <w:i w:val="0"/>
          <w:noProof/>
          <w:sz w:val="18"/>
        </w:rPr>
      </w:r>
      <w:r w:rsidRPr="001066D2">
        <w:rPr>
          <w:i w:val="0"/>
          <w:noProof/>
          <w:sz w:val="18"/>
        </w:rPr>
        <w:fldChar w:fldCharType="separate"/>
      </w:r>
      <w:r w:rsidR="00695455">
        <w:rPr>
          <w:i w:val="0"/>
          <w:noProof/>
          <w:sz w:val="18"/>
        </w:rPr>
        <w:t>41</w:t>
      </w:r>
      <w:r w:rsidRPr="001066D2">
        <w:rPr>
          <w:i w:val="0"/>
          <w:noProof/>
          <w:sz w:val="18"/>
        </w:rPr>
        <w:fldChar w:fldCharType="end"/>
      </w:r>
    </w:p>
    <w:p w14:paraId="0313BAAC" w14:textId="4F308BF3" w:rsidR="001066D2" w:rsidRDefault="001066D2">
      <w:pPr>
        <w:pStyle w:val="TOC7"/>
        <w:rPr>
          <w:rFonts w:asciiTheme="minorHAnsi" w:eastAsiaTheme="minorEastAsia" w:hAnsiTheme="minorHAnsi" w:cstheme="minorBidi"/>
          <w:noProof/>
          <w:kern w:val="0"/>
          <w:sz w:val="22"/>
          <w:szCs w:val="22"/>
        </w:rPr>
      </w:pPr>
      <w:r>
        <w:rPr>
          <w:noProof/>
        </w:rPr>
        <w:t>Part 6—Corporate tax transparency</w:t>
      </w:r>
      <w:r w:rsidRPr="001066D2">
        <w:rPr>
          <w:noProof/>
          <w:sz w:val="18"/>
        </w:rPr>
        <w:tab/>
      </w:r>
      <w:r w:rsidRPr="001066D2">
        <w:rPr>
          <w:noProof/>
          <w:sz w:val="18"/>
        </w:rPr>
        <w:fldChar w:fldCharType="begin"/>
      </w:r>
      <w:r w:rsidRPr="001066D2">
        <w:rPr>
          <w:noProof/>
          <w:sz w:val="18"/>
        </w:rPr>
        <w:instrText xml:space="preserve"> PAGEREF _Toc110951189 \h </w:instrText>
      </w:r>
      <w:r w:rsidRPr="001066D2">
        <w:rPr>
          <w:noProof/>
          <w:sz w:val="18"/>
        </w:rPr>
      </w:r>
      <w:r w:rsidRPr="001066D2">
        <w:rPr>
          <w:noProof/>
          <w:sz w:val="18"/>
        </w:rPr>
        <w:fldChar w:fldCharType="separate"/>
      </w:r>
      <w:r w:rsidR="00695455">
        <w:rPr>
          <w:noProof/>
          <w:sz w:val="18"/>
        </w:rPr>
        <w:t>42</w:t>
      </w:r>
      <w:r w:rsidRPr="001066D2">
        <w:rPr>
          <w:noProof/>
          <w:sz w:val="18"/>
        </w:rPr>
        <w:fldChar w:fldCharType="end"/>
      </w:r>
    </w:p>
    <w:p w14:paraId="26ECFF26" w14:textId="04D0E751" w:rsidR="001066D2" w:rsidRDefault="001066D2">
      <w:pPr>
        <w:pStyle w:val="TOC9"/>
        <w:rPr>
          <w:rFonts w:asciiTheme="minorHAnsi" w:eastAsiaTheme="minorEastAsia" w:hAnsiTheme="minorHAnsi" w:cstheme="minorBidi"/>
          <w:i w:val="0"/>
          <w:noProof/>
          <w:kern w:val="0"/>
          <w:sz w:val="22"/>
          <w:szCs w:val="22"/>
        </w:rPr>
      </w:pPr>
      <w:r>
        <w:rPr>
          <w:noProof/>
        </w:rPr>
        <w:t>Taxation Administration Act 1953</w:t>
      </w:r>
      <w:r w:rsidRPr="001066D2">
        <w:rPr>
          <w:i w:val="0"/>
          <w:noProof/>
          <w:sz w:val="18"/>
        </w:rPr>
        <w:tab/>
      </w:r>
      <w:r w:rsidRPr="001066D2">
        <w:rPr>
          <w:i w:val="0"/>
          <w:noProof/>
          <w:sz w:val="18"/>
        </w:rPr>
        <w:fldChar w:fldCharType="begin"/>
      </w:r>
      <w:r w:rsidRPr="001066D2">
        <w:rPr>
          <w:i w:val="0"/>
          <w:noProof/>
          <w:sz w:val="18"/>
        </w:rPr>
        <w:instrText xml:space="preserve"> PAGEREF _Toc110951190 \h </w:instrText>
      </w:r>
      <w:r w:rsidRPr="001066D2">
        <w:rPr>
          <w:i w:val="0"/>
          <w:noProof/>
          <w:sz w:val="18"/>
        </w:rPr>
      </w:r>
      <w:r w:rsidRPr="001066D2">
        <w:rPr>
          <w:i w:val="0"/>
          <w:noProof/>
          <w:sz w:val="18"/>
        </w:rPr>
        <w:fldChar w:fldCharType="separate"/>
      </w:r>
      <w:r w:rsidR="00695455">
        <w:rPr>
          <w:i w:val="0"/>
          <w:noProof/>
          <w:sz w:val="18"/>
        </w:rPr>
        <w:t>42</w:t>
      </w:r>
      <w:r w:rsidRPr="001066D2">
        <w:rPr>
          <w:i w:val="0"/>
          <w:noProof/>
          <w:sz w:val="18"/>
        </w:rPr>
        <w:fldChar w:fldCharType="end"/>
      </w:r>
    </w:p>
    <w:p w14:paraId="6D052427" w14:textId="7D3C1B97" w:rsidR="001066D2" w:rsidRDefault="001066D2">
      <w:pPr>
        <w:pStyle w:val="TOC7"/>
        <w:rPr>
          <w:rFonts w:asciiTheme="minorHAnsi" w:eastAsiaTheme="minorEastAsia" w:hAnsiTheme="minorHAnsi" w:cstheme="minorBidi"/>
          <w:noProof/>
          <w:kern w:val="0"/>
          <w:sz w:val="22"/>
          <w:szCs w:val="22"/>
        </w:rPr>
      </w:pPr>
      <w:r>
        <w:rPr>
          <w:noProof/>
        </w:rPr>
        <w:t>Part 7—Financial reporting obligations</w:t>
      </w:r>
      <w:r w:rsidRPr="001066D2">
        <w:rPr>
          <w:noProof/>
          <w:sz w:val="18"/>
        </w:rPr>
        <w:tab/>
      </w:r>
      <w:r w:rsidRPr="001066D2">
        <w:rPr>
          <w:noProof/>
          <w:sz w:val="18"/>
        </w:rPr>
        <w:fldChar w:fldCharType="begin"/>
      </w:r>
      <w:r w:rsidRPr="001066D2">
        <w:rPr>
          <w:noProof/>
          <w:sz w:val="18"/>
        </w:rPr>
        <w:instrText xml:space="preserve"> PAGEREF _Toc110951191 \h </w:instrText>
      </w:r>
      <w:r w:rsidRPr="001066D2">
        <w:rPr>
          <w:noProof/>
          <w:sz w:val="18"/>
        </w:rPr>
      </w:r>
      <w:r w:rsidRPr="001066D2">
        <w:rPr>
          <w:noProof/>
          <w:sz w:val="18"/>
        </w:rPr>
        <w:fldChar w:fldCharType="separate"/>
      </w:r>
      <w:r w:rsidR="00695455">
        <w:rPr>
          <w:noProof/>
          <w:sz w:val="18"/>
        </w:rPr>
        <w:t>43</w:t>
      </w:r>
      <w:r w:rsidRPr="001066D2">
        <w:rPr>
          <w:noProof/>
          <w:sz w:val="18"/>
        </w:rPr>
        <w:fldChar w:fldCharType="end"/>
      </w:r>
    </w:p>
    <w:p w14:paraId="7948EAB8" w14:textId="16DC25AB" w:rsidR="001066D2" w:rsidRDefault="001066D2">
      <w:pPr>
        <w:pStyle w:val="TOC9"/>
        <w:rPr>
          <w:rFonts w:asciiTheme="minorHAnsi" w:eastAsiaTheme="minorEastAsia" w:hAnsiTheme="minorHAnsi" w:cstheme="minorBidi"/>
          <w:i w:val="0"/>
          <w:noProof/>
          <w:kern w:val="0"/>
          <w:sz w:val="22"/>
          <w:szCs w:val="22"/>
        </w:rPr>
      </w:pPr>
      <w:r>
        <w:rPr>
          <w:noProof/>
        </w:rPr>
        <w:t>ASIC Corporations (Exempt Proprietary Companies) Instrument 2015/840</w:t>
      </w:r>
      <w:r w:rsidRPr="001066D2">
        <w:rPr>
          <w:i w:val="0"/>
          <w:noProof/>
          <w:sz w:val="18"/>
        </w:rPr>
        <w:tab/>
      </w:r>
      <w:r w:rsidRPr="001066D2">
        <w:rPr>
          <w:i w:val="0"/>
          <w:noProof/>
          <w:sz w:val="18"/>
        </w:rPr>
        <w:fldChar w:fldCharType="begin"/>
      </w:r>
      <w:r w:rsidRPr="001066D2">
        <w:rPr>
          <w:i w:val="0"/>
          <w:noProof/>
          <w:sz w:val="18"/>
        </w:rPr>
        <w:instrText xml:space="preserve"> PAGEREF _Toc110951192 \h </w:instrText>
      </w:r>
      <w:r w:rsidRPr="001066D2">
        <w:rPr>
          <w:i w:val="0"/>
          <w:noProof/>
          <w:sz w:val="18"/>
        </w:rPr>
      </w:r>
      <w:r w:rsidRPr="001066D2">
        <w:rPr>
          <w:i w:val="0"/>
          <w:noProof/>
          <w:sz w:val="18"/>
        </w:rPr>
        <w:fldChar w:fldCharType="separate"/>
      </w:r>
      <w:r w:rsidR="00695455">
        <w:rPr>
          <w:i w:val="0"/>
          <w:noProof/>
          <w:sz w:val="18"/>
        </w:rPr>
        <w:t>43</w:t>
      </w:r>
      <w:r w:rsidRPr="001066D2">
        <w:rPr>
          <w:i w:val="0"/>
          <w:noProof/>
          <w:sz w:val="18"/>
        </w:rPr>
        <w:fldChar w:fldCharType="end"/>
      </w:r>
    </w:p>
    <w:p w14:paraId="7D618D1A" w14:textId="4035349B" w:rsidR="001066D2" w:rsidRDefault="001066D2">
      <w:pPr>
        <w:pStyle w:val="TOC9"/>
        <w:rPr>
          <w:rFonts w:asciiTheme="minorHAnsi" w:eastAsiaTheme="minorEastAsia" w:hAnsiTheme="minorHAnsi" w:cstheme="minorBidi"/>
          <w:i w:val="0"/>
          <w:noProof/>
          <w:kern w:val="0"/>
          <w:sz w:val="22"/>
          <w:szCs w:val="22"/>
        </w:rPr>
      </w:pPr>
      <w:r>
        <w:rPr>
          <w:noProof/>
        </w:rPr>
        <w:t>Corporations Act 2001</w:t>
      </w:r>
      <w:r w:rsidRPr="001066D2">
        <w:rPr>
          <w:i w:val="0"/>
          <w:noProof/>
          <w:sz w:val="18"/>
        </w:rPr>
        <w:tab/>
      </w:r>
      <w:r w:rsidRPr="001066D2">
        <w:rPr>
          <w:i w:val="0"/>
          <w:noProof/>
          <w:sz w:val="18"/>
        </w:rPr>
        <w:fldChar w:fldCharType="begin"/>
      </w:r>
      <w:r w:rsidRPr="001066D2">
        <w:rPr>
          <w:i w:val="0"/>
          <w:noProof/>
          <w:sz w:val="18"/>
        </w:rPr>
        <w:instrText xml:space="preserve"> PAGEREF _Toc110951193 \h </w:instrText>
      </w:r>
      <w:r w:rsidRPr="001066D2">
        <w:rPr>
          <w:i w:val="0"/>
          <w:noProof/>
          <w:sz w:val="18"/>
        </w:rPr>
      </w:r>
      <w:r w:rsidRPr="001066D2">
        <w:rPr>
          <w:i w:val="0"/>
          <w:noProof/>
          <w:sz w:val="18"/>
        </w:rPr>
        <w:fldChar w:fldCharType="separate"/>
      </w:r>
      <w:r w:rsidR="00695455">
        <w:rPr>
          <w:i w:val="0"/>
          <w:noProof/>
          <w:sz w:val="18"/>
        </w:rPr>
        <w:t>43</w:t>
      </w:r>
      <w:r w:rsidRPr="001066D2">
        <w:rPr>
          <w:i w:val="0"/>
          <w:noProof/>
          <w:sz w:val="18"/>
        </w:rPr>
        <w:fldChar w:fldCharType="end"/>
      </w:r>
    </w:p>
    <w:p w14:paraId="263D4FD4" w14:textId="12CC4873" w:rsidR="00060FF9" w:rsidRPr="00421AEE" w:rsidRDefault="001066D2" w:rsidP="0048364F">
      <w:r>
        <w:fldChar w:fldCharType="end"/>
      </w:r>
    </w:p>
    <w:p w14:paraId="192C365C" w14:textId="77777777" w:rsidR="00FE7F93" w:rsidRPr="00421AEE" w:rsidRDefault="00FE7F93" w:rsidP="0048364F">
      <w:pPr>
        <w:sectPr w:rsidR="00FE7F93" w:rsidRPr="00421AEE" w:rsidSect="0063527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B28857D" w14:textId="77777777" w:rsidR="0063527D" w:rsidRDefault="0063527D">
      <w:r>
        <w:object w:dxaOrig="2146" w:dyaOrig="1561" w14:anchorId="4DBBDD60">
          <v:shape id="_x0000_i1027" type="#_x0000_t75" alt="Commonwealth Coat of Arms of Australia" style="width:110.25pt;height:80.25pt" o:ole="" fillcolor="window">
            <v:imagedata r:id="rId7" o:title=""/>
          </v:shape>
          <o:OLEObject Type="Embed" ProgID="Word.Picture.8" ShapeID="_x0000_i1027" DrawAspect="Content" ObjectID="_1721564462" r:id="rId20"/>
        </w:object>
      </w:r>
    </w:p>
    <w:p w14:paraId="1C95EF8B" w14:textId="77777777" w:rsidR="0063527D" w:rsidRDefault="0063527D"/>
    <w:p w14:paraId="3F1366E3" w14:textId="77777777" w:rsidR="0063527D" w:rsidRDefault="0063527D" w:rsidP="001066D2">
      <w:pPr>
        <w:spacing w:line="240" w:lineRule="auto"/>
      </w:pPr>
    </w:p>
    <w:p w14:paraId="665EDF90" w14:textId="4C9ADAA5" w:rsidR="0063527D" w:rsidRDefault="006D1826" w:rsidP="001066D2">
      <w:pPr>
        <w:pStyle w:val="ShortTP1"/>
      </w:pPr>
      <w:fldSimple w:instr=" STYLEREF ShortT ">
        <w:r w:rsidR="00695455">
          <w:rPr>
            <w:noProof/>
          </w:rPr>
          <w:t>Treasury Laws Amendment (2022 Measures No. 1) Act 2022</w:t>
        </w:r>
      </w:fldSimple>
    </w:p>
    <w:p w14:paraId="60B393FE" w14:textId="2975437A" w:rsidR="0063527D" w:rsidRDefault="006D1826" w:rsidP="001066D2">
      <w:pPr>
        <w:pStyle w:val="ActNoP1"/>
      </w:pPr>
      <w:fldSimple w:instr=" STYLEREF Actno ">
        <w:r w:rsidR="00695455">
          <w:rPr>
            <w:noProof/>
          </w:rPr>
          <w:t>No. 35, 2022</w:t>
        </w:r>
      </w:fldSimple>
    </w:p>
    <w:p w14:paraId="64415AB4" w14:textId="77777777" w:rsidR="0063527D" w:rsidRPr="009A0728" w:rsidRDefault="0063527D" w:rsidP="001066D2">
      <w:pPr>
        <w:pBdr>
          <w:bottom w:val="single" w:sz="6" w:space="0" w:color="auto"/>
        </w:pBdr>
        <w:spacing w:before="400" w:line="240" w:lineRule="auto"/>
        <w:rPr>
          <w:rFonts w:eastAsia="Times New Roman"/>
          <w:b/>
          <w:sz w:val="28"/>
        </w:rPr>
      </w:pPr>
    </w:p>
    <w:p w14:paraId="3A4186A7" w14:textId="77777777" w:rsidR="0063527D" w:rsidRPr="009A0728" w:rsidRDefault="0063527D" w:rsidP="001066D2">
      <w:pPr>
        <w:spacing w:line="40" w:lineRule="exact"/>
        <w:rPr>
          <w:rFonts w:eastAsia="Calibri"/>
          <w:b/>
          <w:sz w:val="28"/>
        </w:rPr>
      </w:pPr>
    </w:p>
    <w:p w14:paraId="7ED797A5" w14:textId="77777777" w:rsidR="0063527D" w:rsidRPr="009A0728" w:rsidRDefault="0063527D" w:rsidP="001066D2">
      <w:pPr>
        <w:pBdr>
          <w:top w:val="single" w:sz="12" w:space="0" w:color="auto"/>
        </w:pBdr>
        <w:spacing w:line="240" w:lineRule="auto"/>
        <w:rPr>
          <w:rFonts w:eastAsia="Times New Roman"/>
          <w:b/>
          <w:sz w:val="28"/>
        </w:rPr>
      </w:pPr>
    </w:p>
    <w:p w14:paraId="7B448BC4" w14:textId="77777777" w:rsidR="0063527D" w:rsidRDefault="0063527D" w:rsidP="0063527D">
      <w:pPr>
        <w:pStyle w:val="Page1"/>
        <w:spacing w:before="400"/>
      </w:pPr>
      <w:r>
        <w:t>An Act to amend the law relating to taxation and superannuation, to make miscellaneous and technical amendments of the statute law of the Commonwealth, and for related purposes</w:t>
      </w:r>
    </w:p>
    <w:p w14:paraId="3FB7B5E1" w14:textId="24C13331" w:rsidR="001066D2" w:rsidRDefault="001066D2" w:rsidP="001066D2">
      <w:pPr>
        <w:pStyle w:val="AssentDt"/>
        <w:spacing w:before="240"/>
        <w:rPr>
          <w:sz w:val="24"/>
        </w:rPr>
      </w:pPr>
      <w:r>
        <w:rPr>
          <w:sz w:val="24"/>
        </w:rPr>
        <w:t>[</w:t>
      </w:r>
      <w:r>
        <w:rPr>
          <w:i/>
          <w:sz w:val="24"/>
        </w:rPr>
        <w:t>Assented to 9 August 2022</w:t>
      </w:r>
      <w:r>
        <w:rPr>
          <w:sz w:val="24"/>
        </w:rPr>
        <w:t>]</w:t>
      </w:r>
    </w:p>
    <w:p w14:paraId="1482B2F4" w14:textId="51F1AE47" w:rsidR="0048364F" w:rsidRPr="00421AEE" w:rsidRDefault="0048364F" w:rsidP="001830B5">
      <w:pPr>
        <w:spacing w:before="240" w:line="240" w:lineRule="auto"/>
        <w:rPr>
          <w:sz w:val="32"/>
        </w:rPr>
      </w:pPr>
      <w:r w:rsidRPr="00421AEE">
        <w:rPr>
          <w:sz w:val="32"/>
        </w:rPr>
        <w:t>The Parliament of Australia enacts:</w:t>
      </w:r>
    </w:p>
    <w:p w14:paraId="7517F276" w14:textId="77777777" w:rsidR="0048364F" w:rsidRPr="00421AEE" w:rsidRDefault="0048364F" w:rsidP="001830B5">
      <w:pPr>
        <w:pStyle w:val="ActHead5"/>
      </w:pPr>
      <w:bookmarkStart w:id="1" w:name="_Toc110951142"/>
      <w:r w:rsidRPr="001830B5">
        <w:rPr>
          <w:rStyle w:val="CharSectno"/>
        </w:rPr>
        <w:t>1</w:t>
      </w:r>
      <w:r w:rsidRPr="00421AEE">
        <w:t xml:space="preserve">  Short title</w:t>
      </w:r>
      <w:bookmarkEnd w:id="1"/>
    </w:p>
    <w:p w14:paraId="32BD7F12" w14:textId="77777777" w:rsidR="0048364F" w:rsidRPr="00421AEE" w:rsidRDefault="0048364F" w:rsidP="001830B5">
      <w:pPr>
        <w:pStyle w:val="subsection"/>
      </w:pPr>
      <w:r w:rsidRPr="00421AEE">
        <w:tab/>
      </w:r>
      <w:r w:rsidRPr="00421AEE">
        <w:tab/>
        <w:t xml:space="preserve">This Act </w:t>
      </w:r>
      <w:r w:rsidR="00275197" w:rsidRPr="00421AEE">
        <w:t xml:space="preserve">is </w:t>
      </w:r>
      <w:r w:rsidRPr="00421AEE">
        <w:t xml:space="preserve">the </w:t>
      </w:r>
      <w:r w:rsidR="006B20E6" w:rsidRPr="00421AEE">
        <w:rPr>
          <w:i/>
        </w:rPr>
        <w:t>Treasury Laws Amendment (2022 Measures No. 1)</w:t>
      </w:r>
      <w:r w:rsidR="00EE3E36" w:rsidRPr="00421AEE">
        <w:rPr>
          <w:i/>
        </w:rPr>
        <w:t xml:space="preserve"> Act 20</w:t>
      </w:r>
      <w:r w:rsidR="009E186E" w:rsidRPr="00421AEE">
        <w:rPr>
          <w:i/>
        </w:rPr>
        <w:t>2</w:t>
      </w:r>
      <w:r w:rsidR="00545D52" w:rsidRPr="00421AEE">
        <w:rPr>
          <w:i/>
        </w:rPr>
        <w:t>2</w:t>
      </w:r>
      <w:r w:rsidRPr="00421AEE">
        <w:t>.</w:t>
      </w:r>
    </w:p>
    <w:p w14:paraId="2AC0A617" w14:textId="77777777" w:rsidR="0048364F" w:rsidRPr="00421AEE" w:rsidRDefault="0048364F" w:rsidP="001830B5">
      <w:pPr>
        <w:pStyle w:val="ActHead5"/>
      </w:pPr>
      <w:bookmarkStart w:id="2" w:name="_Toc110951143"/>
      <w:r w:rsidRPr="001830B5">
        <w:rPr>
          <w:rStyle w:val="CharSectno"/>
        </w:rPr>
        <w:t>2</w:t>
      </w:r>
      <w:r w:rsidRPr="00421AEE">
        <w:t xml:space="preserve">  Commencement</w:t>
      </w:r>
      <w:bookmarkEnd w:id="2"/>
    </w:p>
    <w:p w14:paraId="3BB07DF2" w14:textId="77777777" w:rsidR="0048364F" w:rsidRPr="00421AEE" w:rsidRDefault="0048364F" w:rsidP="001830B5">
      <w:pPr>
        <w:pStyle w:val="subsection"/>
      </w:pPr>
      <w:r w:rsidRPr="00421AEE">
        <w:tab/>
        <w:t>(1)</w:t>
      </w:r>
      <w:r w:rsidRPr="00421AEE">
        <w:tab/>
        <w:t xml:space="preserve">Each provision of this Act specified in column 1 of the table commences, or is taken to have commenced, in accordance with </w:t>
      </w:r>
      <w:r w:rsidRPr="00421AEE">
        <w:lastRenderedPageBreak/>
        <w:t>column 2 of the table. Any other statement in column 2 has effect according to its terms.</w:t>
      </w:r>
    </w:p>
    <w:p w14:paraId="7CDC9297" w14:textId="77777777" w:rsidR="0048364F" w:rsidRPr="00421AEE" w:rsidRDefault="0048364F" w:rsidP="001830B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21AEE" w14:paraId="0CEB3223" w14:textId="77777777" w:rsidTr="004C7C8C">
        <w:trPr>
          <w:tblHeader/>
        </w:trPr>
        <w:tc>
          <w:tcPr>
            <w:tcW w:w="7111" w:type="dxa"/>
            <w:gridSpan w:val="3"/>
            <w:tcBorders>
              <w:top w:val="single" w:sz="12" w:space="0" w:color="auto"/>
              <w:bottom w:val="single" w:sz="6" w:space="0" w:color="auto"/>
            </w:tcBorders>
            <w:shd w:val="clear" w:color="auto" w:fill="auto"/>
          </w:tcPr>
          <w:p w14:paraId="34F0975A" w14:textId="77777777" w:rsidR="0048364F" w:rsidRPr="00421AEE" w:rsidRDefault="0048364F" w:rsidP="000F1B01">
            <w:pPr>
              <w:pStyle w:val="TableHeading"/>
              <w:keepNext w:val="0"/>
            </w:pPr>
            <w:r w:rsidRPr="00421AEE">
              <w:t>Commencement information</w:t>
            </w:r>
          </w:p>
        </w:tc>
      </w:tr>
      <w:tr w:rsidR="0048364F" w:rsidRPr="00421AEE" w14:paraId="4FEC997F" w14:textId="77777777" w:rsidTr="004C7C8C">
        <w:trPr>
          <w:tblHeader/>
        </w:trPr>
        <w:tc>
          <w:tcPr>
            <w:tcW w:w="1701" w:type="dxa"/>
            <w:tcBorders>
              <w:top w:val="single" w:sz="6" w:space="0" w:color="auto"/>
              <w:bottom w:val="single" w:sz="6" w:space="0" w:color="auto"/>
            </w:tcBorders>
            <w:shd w:val="clear" w:color="auto" w:fill="auto"/>
          </w:tcPr>
          <w:p w14:paraId="35EF2568" w14:textId="77777777" w:rsidR="0048364F" w:rsidRPr="00421AEE" w:rsidRDefault="0048364F" w:rsidP="000F1B01">
            <w:pPr>
              <w:pStyle w:val="TableHeading"/>
              <w:keepNext w:val="0"/>
            </w:pPr>
            <w:r w:rsidRPr="00421AEE">
              <w:t>Column 1</w:t>
            </w:r>
          </w:p>
        </w:tc>
        <w:tc>
          <w:tcPr>
            <w:tcW w:w="3828" w:type="dxa"/>
            <w:tcBorders>
              <w:top w:val="single" w:sz="6" w:space="0" w:color="auto"/>
              <w:bottom w:val="single" w:sz="6" w:space="0" w:color="auto"/>
            </w:tcBorders>
            <w:shd w:val="clear" w:color="auto" w:fill="auto"/>
          </w:tcPr>
          <w:p w14:paraId="327AE591" w14:textId="77777777" w:rsidR="0048364F" w:rsidRPr="00421AEE" w:rsidRDefault="0048364F" w:rsidP="000F1B01">
            <w:pPr>
              <w:pStyle w:val="TableHeading"/>
              <w:keepNext w:val="0"/>
            </w:pPr>
            <w:r w:rsidRPr="00421AEE">
              <w:t>Column 2</w:t>
            </w:r>
          </w:p>
        </w:tc>
        <w:tc>
          <w:tcPr>
            <w:tcW w:w="1582" w:type="dxa"/>
            <w:tcBorders>
              <w:top w:val="single" w:sz="6" w:space="0" w:color="auto"/>
              <w:bottom w:val="single" w:sz="6" w:space="0" w:color="auto"/>
            </w:tcBorders>
            <w:shd w:val="clear" w:color="auto" w:fill="auto"/>
          </w:tcPr>
          <w:p w14:paraId="2FC5BCE6" w14:textId="77777777" w:rsidR="0048364F" w:rsidRPr="00421AEE" w:rsidRDefault="0048364F" w:rsidP="000F1B01">
            <w:pPr>
              <w:pStyle w:val="TableHeading"/>
              <w:keepNext w:val="0"/>
            </w:pPr>
            <w:r w:rsidRPr="00421AEE">
              <w:t>Column 3</w:t>
            </w:r>
          </w:p>
        </w:tc>
      </w:tr>
      <w:tr w:rsidR="0048364F" w:rsidRPr="00421AEE" w14:paraId="1248B1F8" w14:textId="77777777" w:rsidTr="004C7C8C">
        <w:trPr>
          <w:tblHeader/>
        </w:trPr>
        <w:tc>
          <w:tcPr>
            <w:tcW w:w="1701" w:type="dxa"/>
            <w:tcBorders>
              <w:top w:val="single" w:sz="6" w:space="0" w:color="auto"/>
              <w:bottom w:val="single" w:sz="12" w:space="0" w:color="auto"/>
            </w:tcBorders>
            <w:shd w:val="clear" w:color="auto" w:fill="auto"/>
          </w:tcPr>
          <w:p w14:paraId="42C98417" w14:textId="77777777" w:rsidR="0048364F" w:rsidRPr="00421AEE" w:rsidRDefault="0048364F" w:rsidP="000F1B01">
            <w:pPr>
              <w:pStyle w:val="TableHeading"/>
              <w:keepNext w:val="0"/>
            </w:pPr>
            <w:r w:rsidRPr="00421AEE">
              <w:t>Provisions</w:t>
            </w:r>
          </w:p>
        </w:tc>
        <w:tc>
          <w:tcPr>
            <w:tcW w:w="3828" w:type="dxa"/>
            <w:tcBorders>
              <w:top w:val="single" w:sz="6" w:space="0" w:color="auto"/>
              <w:bottom w:val="single" w:sz="12" w:space="0" w:color="auto"/>
            </w:tcBorders>
            <w:shd w:val="clear" w:color="auto" w:fill="auto"/>
          </w:tcPr>
          <w:p w14:paraId="47DD2FDC" w14:textId="77777777" w:rsidR="0048364F" w:rsidRPr="00421AEE" w:rsidRDefault="0048364F" w:rsidP="000F1B01">
            <w:pPr>
              <w:pStyle w:val="TableHeading"/>
              <w:keepNext w:val="0"/>
            </w:pPr>
            <w:r w:rsidRPr="00421AEE">
              <w:t>Commencement</w:t>
            </w:r>
          </w:p>
        </w:tc>
        <w:tc>
          <w:tcPr>
            <w:tcW w:w="1582" w:type="dxa"/>
            <w:tcBorders>
              <w:top w:val="single" w:sz="6" w:space="0" w:color="auto"/>
              <w:bottom w:val="single" w:sz="12" w:space="0" w:color="auto"/>
            </w:tcBorders>
            <w:shd w:val="clear" w:color="auto" w:fill="auto"/>
          </w:tcPr>
          <w:p w14:paraId="0B81EC08" w14:textId="77777777" w:rsidR="0048364F" w:rsidRPr="00421AEE" w:rsidRDefault="0048364F" w:rsidP="000F1B01">
            <w:pPr>
              <w:pStyle w:val="TableHeading"/>
              <w:keepNext w:val="0"/>
            </w:pPr>
            <w:r w:rsidRPr="00421AEE">
              <w:t>Date/Details</w:t>
            </w:r>
          </w:p>
        </w:tc>
      </w:tr>
      <w:tr w:rsidR="0048364F" w:rsidRPr="00421AEE" w14:paraId="56E54B75" w14:textId="77777777" w:rsidTr="004C7C8C">
        <w:tc>
          <w:tcPr>
            <w:tcW w:w="1701" w:type="dxa"/>
            <w:tcBorders>
              <w:top w:val="single" w:sz="12" w:space="0" w:color="auto"/>
            </w:tcBorders>
            <w:shd w:val="clear" w:color="auto" w:fill="auto"/>
          </w:tcPr>
          <w:p w14:paraId="09E04061" w14:textId="77777777" w:rsidR="0048364F" w:rsidRPr="00421AEE" w:rsidRDefault="0048364F" w:rsidP="000F1B01">
            <w:pPr>
              <w:pStyle w:val="Tabletext"/>
            </w:pPr>
            <w:r w:rsidRPr="00421AEE">
              <w:t xml:space="preserve">1.  </w:t>
            </w:r>
            <w:r w:rsidR="0095795B" w:rsidRPr="00421AEE">
              <w:t>Sections 1</w:t>
            </w:r>
            <w:r w:rsidRPr="00421AEE">
              <w:t xml:space="preserve"> to 3 and anything in this Act not elsewhere covered by this table</w:t>
            </w:r>
          </w:p>
        </w:tc>
        <w:tc>
          <w:tcPr>
            <w:tcW w:w="3828" w:type="dxa"/>
            <w:tcBorders>
              <w:top w:val="single" w:sz="12" w:space="0" w:color="auto"/>
            </w:tcBorders>
            <w:shd w:val="clear" w:color="auto" w:fill="auto"/>
          </w:tcPr>
          <w:p w14:paraId="7B126F13" w14:textId="77777777" w:rsidR="0048364F" w:rsidRPr="00421AEE" w:rsidRDefault="0048364F" w:rsidP="000F1B01">
            <w:pPr>
              <w:pStyle w:val="Tabletext"/>
            </w:pPr>
            <w:r w:rsidRPr="00421AEE">
              <w:t>The day this Act receives the Royal Assent.</w:t>
            </w:r>
          </w:p>
        </w:tc>
        <w:tc>
          <w:tcPr>
            <w:tcW w:w="1582" w:type="dxa"/>
            <w:tcBorders>
              <w:top w:val="single" w:sz="12" w:space="0" w:color="auto"/>
            </w:tcBorders>
            <w:shd w:val="clear" w:color="auto" w:fill="auto"/>
          </w:tcPr>
          <w:p w14:paraId="0D3C21B1" w14:textId="35C5BAEE" w:rsidR="0048364F" w:rsidRPr="00421AEE" w:rsidRDefault="001066D2" w:rsidP="000F1B01">
            <w:pPr>
              <w:pStyle w:val="Tabletext"/>
            </w:pPr>
            <w:r>
              <w:t>9 August 2022</w:t>
            </w:r>
          </w:p>
        </w:tc>
      </w:tr>
      <w:tr w:rsidR="00A20FF2" w:rsidRPr="00421AEE" w14:paraId="54484A01" w14:textId="77777777" w:rsidTr="004C7C8C">
        <w:tc>
          <w:tcPr>
            <w:tcW w:w="1701" w:type="dxa"/>
            <w:shd w:val="clear" w:color="auto" w:fill="auto"/>
          </w:tcPr>
          <w:p w14:paraId="358C9E46" w14:textId="77777777" w:rsidR="00A20FF2" w:rsidRPr="00421AEE" w:rsidRDefault="00A20FF2" w:rsidP="000F1B01">
            <w:pPr>
              <w:pStyle w:val="Tabletext"/>
            </w:pPr>
            <w:r w:rsidRPr="00421AEE">
              <w:t>2.  Schedule 1</w:t>
            </w:r>
          </w:p>
        </w:tc>
        <w:tc>
          <w:tcPr>
            <w:tcW w:w="3828" w:type="dxa"/>
            <w:shd w:val="clear" w:color="auto" w:fill="auto"/>
          </w:tcPr>
          <w:p w14:paraId="6EA0A3F1" w14:textId="77777777" w:rsidR="00A20FF2" w:rsidRPr="00421AEE" w:rsidRDefault="00A20FF2" w:rsidP="000F1B01">
            <w:pPr>
              <w:pStyle w:val="Tabletext"/>
            </w:pPr>
            <w:r w:rsidRPr="00421AEE">
              <w:t xml:space="preserve">The first </w:t>
            </w:r>
            <w:r w:rsidR="0095795B" w:rsidRPr="00421AEE">
              <w:t>1 January</w:t>
            </w:r>
            <w:r w:rsidRPr="00421AEE">
              <w:t xml:space="preserve">, </w:t>
            </w:r>
            <w:r w:rsidR="0095795B" w:rsidRPr="00421AEE">
              <w:t>1 April</w:t>
            </w:r>
            <w:r w:rsidRPr="00421AEE">
              <w:t xml:space="preserve">, </w:t>
            </w:r>
            <w:r w:rsidR="0095795B" w:rsidRPr="00421AEE">
              <w:t>1 July</w:t>
            </w:r>
            <w:r w:rsidRPr="00421AEE">
              <w:t xml:space="preserve"> or </w:t>
            </w:r>
            <w:r w:rsidR="0095795B" w:rsidRPr="00421AEE">
              <w:t>1 October</w:t>
            </w:r>
            <w:r w:rsidRPr="00421AEE">
              <w:t xml:space="preserve"> to occur after the day this Act receives the Royal Assent.</w:t>
            </w:r>
          </w:p>
        </w:tc>
        <w:tc>
          <w:tcPr>
            <w:tcW w:w="1582" w:type="dxa"/>
            <w:shd w:val="clear" w:color="auto" w:fill="auto"/>
          </w:tcPr>
          <w:p w14:paraId="23BE3D74" w14:textId="49324D56" w:rsidR="00A20FF2" w:rsidRPr="00421AEE" w:rsidRDefault="001066D2" w:rsidP="000F1B01">
            <w:pPr>
              <w:pStyle w:val="Tabletext"/>
            </w:pPr>
            <w:r>
              <w:t>1 October 2022</w:t>
            </w:r>
          </w:p>
        </w:tc>
      </w:tr>
      <w:tr w:rsidR="00754A86" w:rsidRPr="00421AEE" w14:paraId="62C3BFA5" w14:textId="77777777" w:rsidTr="004C7C8C">
        <w:tc>
          <w:tcPr>
            <w:tcW w:w="1701" w:type="dxa"/>
            <w:shd w:val="clear" w:color="auto" w:fill="auto"/>
          </w:tcPr>
          <w:p w14:paraId="744BF169" w14:textId="77777777" w:rsidR="00754A86" w:rsidRPr="00421AEE" w:rsidRDefault="00754A86" w:rsidP="000F1B01">
            <w:pPr>
              <w:pStyle w:val="Tabletext"/>
            </w:pPr>
            <w:r w:rsidRPr="00421AEE">
              <w:t xml:space="preserve">3.  </w:t>
            </w:r>
            <w:r w:rsidR="0095795B" w:rsidRPr="00421AEE">
              <w:t>Schedule 2</w:t>
            </w:r>
          </w:p>
        </w:tc>
        <w:tc>
          <w:tcPr>
            <w:tcW w:w="3828" w:type="dxa"/>
            <w:shd w:val="clear" w:color="auto" w:fill="auto"/>
          </w:tcPr>
          <w:p w14:paraId="20793C50" w14:textId="77777777" w:rsidR="00754A86" w:rsidRPr="00421AEE" w:rsidRDefault="00754A86" w:rsidP="000F1B01">
            <w:pPr>
              <w:pStyle w:val="Tabletext"/>
            </w:pPr>
            <w:r w:rsidRPr="00421AEE">
              <w:t>The day after this Act receives the Royal Assent.</w:t>
            </w:r>
          </w:p>
        </w:tc>
        <w:tc>
          <w:tcPr>
            <w:tcW w:w="1582" w:type="dxa"/>
            <w:shd w:val="clear" w:color="auto" w:fill="auto"/>
          </w:tcPr>
          <w:p w14:paraId="660B8394" w14:textId="31756A99" w:rsidR="00754A86" w:rsidRPr="00421AEE" w:rsidRDefault="001066D2" w:rsidP="000F1B01">
            <w:pPr>
              <w:pStyle w:val="Tabletext"/>
            </w:pPr>
            <w:r>
              <w:t>10 August 2022</w:t>
            </w:r>
          </w:p>
        </w:tc>
      </w:tr>
      <w:tr w:rsidR="00433AAC" w:rsidRPr="00421AEE" w14:paraId="0ACC29F9" w14:textId="77777777" w:rsidTr="004C7C8C">
        <w:tc>
          <w:tcPr>
            <w:tcW w:w="1701" w:type="dxa"/>
            <w:shd w:val="clear" w:color="auto" w:fill="auto"/>
          </w:tcPr>
          <w:p w14:paraId="0A9C18F4" w14:textId="77777777" w:rsidR="00433AAC" w:rsidRPr="00421AEE" w:rsidRDefault="00CB58F6" w:rsidP="000F1B01">
            <w:pPr>
              <w:pStyle w:val="Tabletext"/>
            </w:pPr>
            <w:r w:rsidRPr="00421AEE">
              <w:t>4</w:t>
            </w:r>
            <w:r w:rsidR="00433AAC" w:rsidRPr="00421AEE">
              <w:t xml:space="preserve">.  </w:t>
            </w:r>
            <w:r w:rsidR="0095795B" w:rsidRPr="00421AEE">
              <w:t>Schedule 3</w:t>
            </w:r>
          </w:p>
        </w:tc>
        <w:tc>
          <w:tcPr>
            <w:tcW w:w="3828" w:type="dxa"/>
            <w:shd w:val="clear" w:color="auto" w:fill="auto"/>
          </w:tcPr>
          <w:p w14:paraId="2175ED5C" w14:textId="77777777" w:rsidR="00433AAC" w:rsidRPr="00421AEE" w:rsidRDefault="00433AAC" w:rsidP="000F1B01">
            <w:pPr>
              <w:pStyle w:val="Tabletext"/>
            </w:pPr>
            <w:r w:rsidRPr="00421AEE">
              <w:t xml:space="preserve">The first </w:t>
            </w:r>
            <w:r w:rsidR="0095795B" w:rsidRPr="00421AEE">
              <w:t>1 January</w:t>
            </w:r>
            <w:r w:rsidRPr="00421AEE">
              <w:t xml:space="preserve">, </w:t>
            </w:r>
            <w:r w:rsidR="0095795B" w:rsidRPr="00421AEE">
              <w:t>1 April</w:t>
            </w:r>
            <w:r w:rsidRPr="00421AEE">
              <w:t xml:space="preserve">, </w:t>
            </w:r>
            <w:r w:rsidR="0095795B" w:rsidRPr="00421AEE">
              <w:t>1 July</w:t>
            </w:r>
            <w:r w:rsidRPr="00421AEE">
              <w:t xml:space="preserve"> or </w:t>
            </w:r>
            <w:r w:rsidR="0095795B" w:rsidRPr="00421AEE">
              <w:t>1 October</w:t>
            </w:r>
            <w:r w:rsidRPr="00421AEE">
              <w:t xml:space="preserve"> to occur after the day this Act receives the Royal Assent.</w:t>
            </w:r>
          </w:p>
        </w:tc>
        <w:tc>
          <w:tcPr>
            <w:tcW w:w="1582" w:type="dxa"/>
            <w:shd w:val="clear" w:color="auto" w:fill="auto"/>
          </w:tcPr>
          <w:p w14:paraId="441F960C" w14:textId="575D573A" w:rsidR="00433AAC" w:rsidRPr="00421AEE" w:rsidRDefault="001066D2" w:rsidP="000F1B01">
            <w:pPr>
              <w:pStyle w:val="Tabletext"/>
            </w:pPr>
            <w:r>
              <w:t>1 October 2022</w:t>
            </w:r>
          </w:p>
        </w:tc>
      </w:tr>
      <w:tr w:rsidR="00CB58F6" w:rsidRPr="00421AEE" w14:paraId="79CF28BE" w14:textId="77777777" w:rsidTr="004C7C8C">
        <w:tc>
          <w:tcPr>
            <w:tcW w:w="1701" w:type="dxa"/>
            <w:shd w:val="clear" w:color="auto" w:fill="auto"/>
          </w:tcPr>
          <w:p w14:paraId="5572E03D" w14:textId="77777777" w:rsidR="00CB58F6" w:rsidRPr="00421AEE" w:rsidRDefault="00CB58F6" w:rsidP="000F1B01">
            <w:pPr>
              <w:pStyle w:val="Tabletext"/>
            </w:pPr>
            <w:r w:rsidRPr="00421AEE">
              <w:t xml:space="preserve">5.  </w:t>
            </w:r>
            <w:r w:rsidR="009F7539" w:rsidRPr="00421AEE">
              <w:t>Schedule 4</w:t>
            </w:r>
            <w:r w:rsidRPr="00421AEE">
              <w:t>, Part 1</w:t>
            </w:r>
          </w:p>
        </w:tc>
        <w:tc>
          <w:tcPr>
            <w:tcW w:w="3828" w:type="dxa"/>
            <w:shd w:val="clear" w:color="auto" w:fill="auto"/>
          </w:tcPr>
          <w:p w14:paraId="33117980" w14:textId="77777777" w:rsidR="00CB58F6" w:rsidRPr="00421AEE" w:rsidRDefault="00CB58F6" w:rsidP="000F1B01">
            <w:pPr>
              <w:pStyle w:val="Tabletext"/>
            </w:pPr>
            <w:r w:rsidRPr="00421AEE">
              <w:t>21 June 2022.</w:t>
            </w:r>
          </w:p>
        </w:tc>
        <w:tc>
          <w:tcPr>
            <w:tcW w:w="1582" w:type="dxa"/>
            <w:shd w:val="clear" w:color="auto" w:fill="auto"/>
          </w:tcPr>
          <w:p w14:paraId="406EE836" w14:textId="77777777" w:rsidR="00CB58F6" w:rsidRPr="00421AEE" w:rsidRDefault="00CB58F6" w:rsidP="000F1B01">
            <w:pPr>
              <w:pStyle w:val="Tabletext"/>
            </w:pPr>
            <w:r w:rsidRPr="00421AEE">
              <w:t>21 June 2022</w:t>
            </w:r>
          </w:p>
        </w:tc>
      </w:tr>
      <w:tr w:rsidR="00CB58F6" w:rsidRPr="00421AEE" w14:paraId="7BEB18D2" w14:textId="77777777" w:rsidTr="004C7C8C">
        <w:tc>
          <w:tcPr>
            <w:tcW w:w="1701" w:type="dxa"/>
            <w:shd w:val="clear" w:color="auto" w:fill="auto"/>
          </w:tcPr>
          <w:p w14:paraId="1B5B0C05" w14:textId="77777777" w:rsidR="00CB58F6" w:rsidRPr="00421AEE" w:rsidRDefault="00CB58F6" w:rsidP="000F1B01">
            <w:pPr>
              <w:pStyle w:val="Tabletext"/>
            </w:pPr>
            <w:r w:rsidRPr="00421AEE">
              <w:t xml:space="preserve">6.  </w:t>
            </w:r>
            <w:r w:rsidR="009F7539" w:rsidRPr="00421AEE">
              <w:t>Schedule 4</w:t>
            </w:r>
            <w:r w:rsidRPr="00421AEE">
              <w:t>, Part 2</w:t>
            </w:r>
          </w:p>
        </w:tc>
        <w:tc>
          <w:tcPr>
            <w:tcW w:w="3828" w:type="dxa"/>
            <w:shd w:val="clear" w:color="auto" w:fill="auto"/>
          </w:tcPr>
          <w:p w14:paraId="0EE8CD33" w14:textId="77777777" w:rsidR="00CB58F6" w:rsidRPr="00421AEE" w:rsidRDefault="00CB58F6" w:rsidP="000F1B01">
            <w:pPr>
              <w:pStyle w:val="Tabletext"/>
              <w:rPr>
                <w:highlight w:val="yellow"/>
              </w:rPr>
            </w:pPr>
            <w:r w:rsidRPr="00421AEE">
              <w:t>The day after this Act receives the Royal Assent.</w:t>
            </w:r>
          </w:p>
        </w:tc>
        <w:tc>
          <w:tcPr>
            <w:tcW w:w="1582" w:type="dxa"/>
            <w:shd w:val="clear" w:color="auto" w:fill="auto"/>
          </w:tcPr>
          <w:p w14:paraId="1414C58B" w14:textId="23DDFF0D" w:rsidR="00CB58F6" w:rsidRPr="00421AEE" w:rsidRDefault="001066D2" w:rsidP="000F1B01">
            <w:pPr>
              <w:pStyle w:val="Tabletext"/>
            </w:pPr>
            <w:r>
              <w:t>10 August 2022</w:t>
            </w:r>
          </w:p>
        </w:tc>
      </w:tr>
      <w:tr w:rsidR="00CB58F6" w:rsidRPr="00421AEE" w14:paraId="48AE323F" w14:textId="77777777" w:rsidTr="004C7C8C">
        <w:tc>
          <w:tcPr>
            <w:tcW w:w="1701" w:type="dxa"/>
            <w:tcBorders>
              <w:bottom w:val="single" w:sz="4" w:space="0" w:color="auto"/>
            </w:tcBorders>
            <w:shd w:val="clear" w:color="auto" w:fill="auto"/>
          </w:tcPr>
          <w:p w14:paraId="05241A64" w14:textId="77777777" w:rsidR="00CB58F6" w:rsidRPr="00421AEE" w:rsidRDefault="00CB58F6" w:rsidP="000F1B01">
            <w:pPr>
              <w:pStyle w:val="Tabletext"/>
            </w:pPr>
            <w:r w:rsidRPr="00421AEE">
              <w:t xml:space="preserve">7.  </w:t>
            </w:r>
            <w:r w:rsidR="009F7539" w:rsidRPr="00421AEE">
              <w:t>Schedule 4</w:t>
            </w:r>
            <w:r w:rsidRPr="00421AEE">
              <w:t>, Part 3</w:t>
            </w:r>
          </w:p>
        </w:tc>
        <w:tc>
          <w:tcPr>
            <w:tcW w:w="3828" w:type="dxa"/>
            <w:tcBorders>
              <w:bottom w:val="single" w:sz="4" w:space="0" w:color="auto"/>
            </w:tcBorders>
            <w:shd w:val="clear" w:color="auto" w:fill="auto"/>
          </w:tcPr>
          <w:p w14:paraId="55152998" w14:textId="77777777" w:rsidR="00CB58F6" w:rsidRPr="00421AEE" w:rsidRDefault="00CB58F6" w:rsidP="000F1B01">
            <w:pPr>
              <w:pStyle w:val="Tabletext"/>
            </w:pPr>
            <w:r w:rsidRPr="00421AEE">
              <w:t xml:space="preserve">The first </w:t>
            </w:r>
            <w:r w:rsidR="0095795B" w:rsidRPr="00421AEE">
              <w:t>1 January</w:t>
            </w:r>
            <w:r w:rsidRPr="00421AEE">
              <w:t xml:space="preserve">, </w:t>
            </w:r>
            <w:r w:rsidR="0095795B" w:rsidRPr="00421AEE">
              <w:t>1 April</w:t>
            </w:r>
            <w:r w:rsidRPr="00421AEE">
              <w:t xml:space="preserve">, </w:t>
            </w:r>
            <w:r w:rsidR="0095795B" w:rsidRPr="00421AEE">
              <w:t>1 July</w:t>
            </w:r>
            <w:r w:rsidRPr="00421AEE">
              <w:t xml:space="preserve"> or </w:t>
            </w:r>
            <w:r w:rsidR="0095795B" w:rsidRPr="00421AEE">
              <w:t>1 October</w:t>
            </w:r>
            <w:r w:rsidRPr="00421AEE">
              <w:t xml:space="preserve"> to occur after the day this Act receives the Royal Assent.</w:t>
            </w:r>
          </w:p>
        </w:tc>
        <w:tc>
          <w:tcPr>
            <w:tcW w:w="1582" w:type="dxa"/>
            <w:tcBorders>
              <w:bottom w:val="single" w:sz="4" w:space="0" w:color="auto"/>
            </w:tcBorders>
            <w:shd w:val="clear" w:color="auto" w:fill="auto"/>
          </w:tcPr>
          <w:p w14:paraId="27E9A00F" w14:textId="3808FB04" w:rsidR="00CB58F6" w:rsidRPr="00421AEE" w:rsidRDefault="001066D2" w:rsidP="000F1B01">
            <w:pPr>
              <w:pStyle w:val="Tabletext"/>
            </w:pPr>
            <w:r>
              <w:t>1 October 2022</w:t>
            </w:r>
          </w:p>
        </w:tc>
      </w:tr>
      <w:tr w:rsidR="00CB58F6" w:rsidRPr="00421AEE" w14:paraId="5ECEC56D" w14:textId="77777777" w:rsidTr="00CB58F6">
        <w:tc>
          <w:tcPr>
            <w:tcW w:w="1701" w:type="dxa"/>
            <w:tcBorders>
              <w:bottom w:val="single" w:sz="4" w:space="0" w:color="auto"/>
            </w:tcBorders>
            <w:shd w:val="clear" w:color="auto" w:fill="auto"/>
          </w:tcPr>
          <w:p w14:paraId="5DCA69B6" w14:textId="77777777" w:rsidR="00CB58F6" w:rsidRPr="00421AEE" w:rsidRDefault="00CB58F6" w:rsidP="000F1B01">
            <w:pPr>
              <w:pStyle w:val="Tabletext"/>
            </w:pPr>
            <w:r w:rsidRPr="00421AEE">
              <w:t xml:space="preserve">8.  </w:t>
            </w:r>
            <w:r w:rsidR="009F7539" w:rsidRPr="00421AEE">
              <w:t>Schedule 4</w:t>
            </w:r>
            <w:r w:rsidRPr="00421AEE">
              <w:t>, Part 4</w:t>
            </w:r>
          </w:p>
        </w:tc>
        <w:tc>
          <w:tcPr>
            <w:tcW w:w="3828" w:type="dxa"/>
            <w:tcBorders>
              <w:bottom w:val="single" w:sz="4" w:space="0" w:color="auto"/>
            </w:tcBorders>
            <w:shd w:val="clear" w:color="auto" w:fill="auto"/>
          </w:tcPr>
          <w:p w14:paraId="39464841" w14:textId="77777777" w:rsidR="00CB58F6" w:rsidRPr="00421AEE" w:rsidRDefault="00CB58F6" w:rsidP="000F1B01">
            <w:pPr>
              <w:pStyle w:val="Tabletext"/>
            </w:pPr>
            <w:r w:rsidRPr="00421AEE">
              <w:t>The day after this Act receives the Royal Assent.</w:t>
            </w:r>
          </w:p>
        </w:tc>
        <w:tc>
          <w:tcPr>
            <w:tcW w:w="1582" w:type="dxa"/>
            <w:tcBorders>
              <w:bottom w:val="single" w:sz="4" w:space="0" w:color="auto"/>
            </w:tcBorders>
            <w:shd w:val="clear" w:color="auto" w:fill="auto"/>
          </w:tcPr>
          <w:p w14:paraId="584EB6FC" w14:textId="7B121626" w:rsidR="00CB58F6" w:rsidRPr="00421AEE" w:rsidRDefault="001066D2" w:rsidP="000F1B01">
            <w:pPr>
              <w:pStyle w:val="Tabletext"/>
            </w:pPr>
            <w:r>
              <w:t>10 August 2022</w:t>
            </w:r>
          </w:p>
        </w:tc>
      </w:tr>
      <w:tr w:rsidR="00CB58F6" w:rsidRPr="00421AEE" w14:paraId="1290DAF8" w14:textId="77777777" w:rsidTr="00984039">
        <w:tc>
          <w:tcPr>
            <w:tcW w:w="1701" w:type="dxa"/>
            <w:shd w:val="clear" w:color="auto" w:fill="auto"/>
          </w:tcPr>
          <w:p w14:paraId="3D78C54F" w14:textId="77777777" w:rsidR="00CB58F6" w:rsidRPr="00421AEE" w:rsidRDefault="00CB58F6" w:rsidP="000F1B01">
            <w:pPr>
              <w:pStyle w:val="Tabletext"/>
            </w:pPr>
            <w:r w:rsidRPr="00421AEE">
              <w:t xml:space="preserve">9.  </w:t>
            </w:r>
            <w:r w:rsidR="009F7539" w:rsidRPr="00421AEE">
              <w:t>Schedule 4</w:t>
            </w:r>
            <w:r w:rsidRPr="00421AEE">
              <w:t xml:space="preserve">, </w:t>
            </w:r>
            <w:r w:rsidR="009F7539" w:rsidRPr="00421AEE">
              <w:t>Part 5</w:t>
            </w:r>
          </w:p>
        </w:tc>
        <w:tc>
          <w:tcPr>
            <w:tcW w:w="3828" w:type="dxa"/>
            <w:shd w:val="clear" w:color="auto" w:fill="auto"/>
          </w:tcPr>
          <w:p w14:paraId="5D3631F4" w14:textId="77777777" w:rsidR="00CB58F6" w:rsidRPr="00421AEE" w:rsidRDefault="00CB58F6" w:rsidP="000F1B01">
            <w:pPr>
              <w:pStyle w:val="Tabletext"/>
            </w:pPr>
            <w:r w:rsidRPr="00421AEE">
              <w:t>5 April 2022.</w:t>
            </w:r>
          </w:p>
        </w:tc>
        <w:tc>
          <w:tcPr>
            <w:tcW w:w="1582" w:type="dxa"/>
            <w:shd w:val="clear" w:color="auto" w:fill="auto"/>
          </w:tcPr>
          <w:p w14:paraId="032737B5" w14:textId="77777777" w:rsidR="00CB58F6" w:rsidRPr="00421AEE" w:rsidRDefault="00CB58F6" w:rsidP="000F1B01">
            <w:pPr>
              <w:pStyle w:val="Tabletext"/>
            </w:pPr>
            <w:r w:rsidRPr="00421AEE">
              <w:t>5 April 2022</w:t>
            </w:r>
          </w:p>
        </w:tc>
      </w:tr>
      <w:tr w:rsidR="00984039" w:rsidRPr="00421AEE" w14:paraId="0D2B1237" w14:textId="77777777" w:rsidTr="00984039">
        <w:tc>
          <w:tcPr>
            <w:tcW w:w="1701" w:type="dxa"/>
            <w:shd w:val="clear" w:color="auto" w:fill="auto"/>
          </w:tcPr>
          <w:p w14:paraId="6568B606" w14:textId="64D8DD0C" w:rsidR="00984039" w:rsidRPr="00421AEE" w:rsidRDefault="00984039" w:rsidP="000F1B01">
            <w:pPr>
              <w:pStyle w:val="Tabletext"/>
            </w:pPr>
            <w:r>
              <w:t>10.  Schedule 4, Part 6</w:t>
            </w:r>
          </w:p>
        </w:tc>
        <w:tc>
          <w:tcPr>
            <w:tcW w:w="3828" w:type="dxa"/>
            <w:shd w:val="clear" w:color="auto" w:fill="auto"/>
          </w:tcPr>
          <w:p w14:paraId="7D1BF265" w14:textId="6EA509B8" w:rsidR="00984039" w:rsidRPr="00421AEE" w:rsidRDefault="00984039" w:rsidP="000F1B01">
            <w:pPr>
              <w:pStyle w:val="Tabletext"/>
            </w:pPr>
            <w:r>
              <w:t>The day after this Act receives the Royal Assent.</w:t>
            </w:r>
          </w:p>
        </w:tc>
        <w:tc>
          <w:tcPr>
            <w:tcW w:w="1582" w:type="dxa"/>
            <w:shd w:val="clear" w:color="auto" w:fill="auto"/>
          </w:tcPr>
          <w:p w14:paraId="342F1450" w14:textId="44F6B536" w:rsidR="00984039" w:rsidRPr="00421AEE" w:rsidRDefault="001066D2" w:rsidP="000F1B01">
            <w:pPr>
              <w:pStyle w:val="Tabletext"/>
            </w:pPr>
            <w:r>
              <w:t>10 August 2022</w:t>
            </w:r>
          </w:p>
        </w:tc>
      </w:tr>
      <w:tr w:rsidR="00984039" w:rsidRPr="00421AEE" w14:paraId="73A96256" w14:textId="77777777" w:rsidTr="004C7C8C">
        <w:tc>
          <w:tcPr>
            <w:tcW w:w="1701" w:type="dxa"/>
            <w:tcBorders>
              <w:bottom w:val="single" w:sz="12" w:space="0" w:color="auto"/>
            </w:tcBorders>
            <w:shd w:val="clear" w:color="auto" w:fill="auto"/>
          </w:tcPr>
          <w:p w14:paraId="54365F77" w14:textId="64EFB267" w:rsidR="00984039" w:rsidRPr="00421AEE" w:rsidRDefault="00984039" w:rsidP="000F1B01">
            <w:pPr>
              <w:pStyle w:val="Tabletext"/>
            </w:pPr>
            <w:r>
              <w:t>11.  Schedule 4, Part 7</w:t>
            </w:r>
          </w:p>
        </w:tc>
        <w:tc>
          <w:tcPr>
            <w:tcW w:w="3828" w:type="dxa"/>
            <w:tcBorders>
              <w:bottom w:val="single" w:sz="12" w:space="0" w:color="auto"/>
            </w:tcBorders>
            <w:shd w:val="clear" w:color="auto" w:fill="auto"/>
          </w:tcPr>
          <w:p w14:paraId="44F936A4" w14:textId="5A9BF92D" w:rsidR="00984039" w:rsidRPr="00421AEE" w:rsidRDefault="00984039" w:rsidP="000F1B01">
            <w:pPr>
              <w:pStyle w:val="Tabletext"/>
            </w:pPr>
            <w:r>
              <w:t>The day after this Act receives the Royal Assent.</w:t>
            </w:r>
          </w:p>
        </w:tc>
        <w:tc>
          <w:tcPr>
            <w:tcW w:w="1582" w:type="dxa"/>
            <w:tcBorders>
              <w:bottom w:val="single" w:sz="12" w:space="0" w:color="auto"/>
            </w:tcBorders>
            <w:shd w:val="clear" w:color="auto" w:fill="auto"/>
          </w:tcPr>
          <w:p w14:paraId="27B20653" w14:textId="60CC8BBD" w:rsidR="00984039" w:rsidRPr="00421AEE" w:rsidRDefault="001066D2" w:rsidP="000F1B01">
            <w:pPr>
              <w:pStyle w:val="Tabletext"/>
            </w:pPr>
            <w:r>
              <w:t>10 August 2022</w:t>
            </w:r>
          </w:p>
        </w:tc>
      </w:tr>
    </w:tbl>
    <w:p w14:paraId="5A2D291F" w14:textId="77777777" w:rsidR="0048364F" w:rsidRPr="00421AEE" w:rsidRDefault="00201D27" w:rsidP="001830B5">
      <w:pPr>
        <w:pStyle w:val="notetext"/>
      </w:pPr>
      <w:r w:rsidRPr="00421AEE">
        <w:t>Note:</w:t>
      </w:r>
      <w:r w:rsidRPr="00421AEE">
        <w:tab/>
        <w:t>This table relates only to the provisions of this Act as originally enacted. It will not be amended to deal with any later amendments of this Act.</w:t>
      </w:r>
    </w:p>
    <w:p w14:paraId="118F709E" w14:textId="77777777" w:rsidR="0048364F" w:rsidRPr="00421AEE" w:rsidRDefault="0048364F" w:rsidP="001830B5">
      <w:pPr>
        <w:pStyle w:val="subsection"/>
      </w:pPr>
      <w:r w:rsidRPr="00421AEE">
        <w:lastRenderedPageBreak/>
        <w:tab/>
        <w:t>(2)</w:t>
      </w:r>
      <w:r w:rsidRPr="00421AEE">
        <w:tab/>
      </w:r>
      <w:r w:rsidR="00201D27" w:rsidRPr="00421AEE">
        <w:t xml:space="preserve">Any information in </w:t>
      </w:r>
      <w:r w:rsidR="00877D48" w:rsidRPr="00421AEE">
        <w:t>c</w:t>
      </w:r>
      <w:r w:rsidR="00201D27" w:rsidRPr="00421AEE">
        <w:t>olumn 3 of the table is not part of this Act. Information may be inserted in this column, or information in it may be edited, in any published version of this Act.</w:t>
      </w:r>
    </w:p>
    <w:p w14:paraId="46E01585" w14:textId="77777777" w:rsidR="0048364F" w:rsidRPr="00421AEE" w:rsidRDefault="0048364F" w:rsidP="001830B5">
      <w:pPr>
        <w:pStyle w:val="ActHead5"/>
      </w:pPr>
      <w:bookmarkStart w:id="3" w:name="_Toc110951144"/>
      <w:r w:rsidRPr="001830B5">
        <w:rPr>
          <w:rStyle w:val="CharSectno"/>
        </w:rPr>
        <w:t>3</w:t>
      </w:r>
      <w:r w:rsidRPr="00421AEE">
        <w:t xml:space="preserve">  Schedules</w:t>
      </w:r>
      <w:bookmarkEnd w:id="3"/>
    </w:p>
    <w:p w14:paraId="1DA66B08" w14:textId="77777777" w:rsidR="0048364F" w:rsidRPr="00421AEE" w:rsidRDefault="0048364F" w:rsidP="001830B5">
      <w:pPr>
        <w:pStyle w:val="subsection"/>
      </w:pPr>
      <w:r w:rsidRPr="00421AEE">
        <w:tab/>
      </w:r>
      <w:r w:rsidRPr="00421AEE">
        <w:tab/>
      </w:r>
      <w:r w:rsidR="00202618" w:rsidRPr="00421AEE">
        <w:t>Legislation that is specified in a Schedule to this Act is amended or repealed as set out in the applicable items in the Schedule concerned, and any other item in a Schedule to this Act has effect according to its terms.</w:t>
      </w:r>
    </w:p>
    <w:p w14:paraId="1464D1F9" w14:textId="77777777" w:rsidR="00A20FF2" w:rsidRPr="00421AEE" w:rsidRDefault="00A20FF2" w:rsidP="001830B5">
      <w:pPr>
        <w:pStyle w:val="ActHead6"/>
        <w:pageBreakBefore/>
      </w:pPr>
      <w:bookmarkStart w:id="4" w:name="_Toc110951145"/>
      <w:r w:rsidRPr="001830B5">
        <w:rPr>
          <w:rStyle w:val="CharAmSchNo"/>
        </w:rPr>
        <w:lastRenderedPageBreak/>
        <w:t>Schedule 1</w:t>
      </w:r>
      <w:r w:rsidRPr="00421AEE">
        <w:t>—</w:t>
      </w:r>
      <w:r w:rsidRPr="001830B5">
        <w:rPr>
          <w:rStyle w:val="CharAmSchText"/>
        </w:rPr>
        <w:t>Recovery grants for Cyclone Seroja</w:t>
      </w:r>
      <w:bookmarkEnd w:id="4"/>
    </w:p>
    <w:p w14:paraId="7AD7FC8B" w14:textId="77777777" w:rsidR="00A20FF2" w:rsidRPr="00961C41" w:rsidRDefault="00A20FF2" w:rsidP="001830B5">
      <w:pPr>
        <w:pStyle w:val="Header"/>
      </w:pPr>
      <w:r w:rsidRPr="001830B5">
        <w:rPr>
          <w:rStyle w:val="CharAmPartNo"/>
        </w:rPr>
        <w:t xml:space="preserve"> </w:t>
      </w:r>
      <w:r w:rsidRPr="001830B5">
        <w:rPr>
          <w:rStyle w:val="CharAmPartText"/>
        </w:rPr>
        <w:t xml:space="preserve"> </w:t>
      </w:r>
    </w:p>
    <w:p w14:paraId="4B005E73" w14:textId="77777777" w:rsidR="00A20FF2" w:rsidRPr="00421AEE" w:rsidRDefault="00A20FF2" w:rsidP="001830B5">
      <w:pPr>
        <w:pStyle w:val="ActHead9"/>
      </w:pPr>
      <w:bookmarkStart w:id="5" w:name="_Toc110951146"/>
      <w:r w:rsidRPr="00421AEE">
        <w:t>Income Tax Assessment Act 1997</w:t>
      </w:r>
      <w:bookmarkEnd w:id="5"/>
    </w:p>
    <w:p w14:paraId="683448A7" w14:textId="2F2D29F6" w:rsidR="00A20FF2" w:rsidRPr="00421AEE" w:rsidRDefault="00A20FF2" w:rsidP="001830B5">
      <w:pPr>
        <w:pStyle w:val="ItemHead"/>
      </w:pPr>
      <w:r w:rsidRPr="00421AEE">
        <w:t>1  Section </w:t>
      </w:r>
      <w:r w:rsidR="009E2538" w:rsidRPr="00421AEE">
        <w:t>11</w:t>
      </w:r>
      <w:r w:rsidR="009E2538" w:rsidRPr="00421AEE">
        <w:rPr>
          <w:rFonts w:ascii="Cambria Math" w:hAnsi="Cambria Math" w:cs="Cambria Math"/>
        </w:rPr>
        <w:t>‑</w:t>
      </w:r>
      <w:r w:rsidR="009E2538" w:rsidRPr="00421AEE">
        <w:t>55</w:t>
      </w:r>
      <w:r w:rsidRPr="00421AEE">
        <w:t xml:space="preserve"> (at the end of the table item headed </w:t>
      </w:r>
      <w:r w:rsidRPr="00421AEE">
        <w:rPr>
          <w:rFonts w:cs="Arial"/>
        </w:rPr>
        <w:t>“</w:t>
      </w:r>
      <w:r w:rsidRPr="00421AEE">
        <w:t>disasters</w:t>
      </w:r>
      <w:r w:rsidRPr="00421AEE">
        <w:rPr>
          <w:rFonts w:cs="Arial"/>
        </w:rPr>
        <w:t>”</w:t>
      </w:r>
      <w:r w:rsidRPr="00421AEE">
        <w:t>)</w:t>
      </w:r>
    </w:p>
    <w:p w14:paraId="38D41791" w14:textId="77777777" w:rsidR="00A20FF2" w:rsidRPr="00421AEE" w:rsidRDefault="00A20FF2" w:rsidP="001830B5">
      <w:pPr>
        <w:pStyle w:val="Item"/>
      </w:pPr>
      <w:r w:rsidRPr="00421AEE">
        <w:t>Add:</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A20FF2" w:rsidRPr="00421AEE" w14:paraId="4B07EEE5" w14:textId="77777777" w:rsidTr="00433AAC">
        <w:tc>
          <w:tcPr>
            <w:tcW w:w="5223" w:type="dxa"/>
            <w:tcBorders>
              <w:top w:val="nil"/>
              <w:bottom w:val="nil"/>
            </w:tcBorders>
            <w:shd w:val="clear" w:color="auto" w:fill="auto"/>
          </w:tcPr>
          <w:p w14:paraId="3B98FAE8" w14:textId="77777777" w:rsidR="00A20FF2" w:rsidRPr="00421AEE" w:rsidRDefault="00A20FF2" w:rsidP="001830B5">
            <w:pPr>
              <w:tabs>
                <w:tab w:val="left" w:leader="dot" w:pos="5245"/>
              </w:tabs>
              <w:spacing w:before="24" w:after="24" w:line="240" w:lineRule="auto"/>
              <w:ind w:left="851" w:hanging="284"/>
              <w:rPr>
                <w:rFonts w:eastAsia="Times New Roman" w:cs="Times New Roman"/>
                <w:sz w:val="20"/>
              </w:rPr>
            </w:pPr>
            <w:r w:rsidRPr="00421AEE">
              <w:rPr>
                <w:rFonts w:eastAsia="Times New Roman" w:cs="Times New Roman"/>
                <w:sz w:val="20"/>
              </w:rPr>
              <w:t>Cyclone Seroja—recovery grants</w:t>
            </w:r>
            <w:r w:rsidRPr="00421AEE">
              <w:rPr>
                <w:rFonts w:eastAsia="Times New Roman" w:cs="Times New Roman"/>
                <w:sz w:val="20"/>
              </w:rPr>
              <w:tab/>
            </w:r>
          </w:p>
        </w:tc>
        <w:tc>
          <w:tcPr>
            <w:tcW w:w="1979" w:type="dxa"/>
            <w:tcBorders>
              <w:top w:val="nil"/>
              <w:bottom w:val="nil"/>
            </w:tcBorders>
            <w:shd w:val="clear" w:color="auto" w:fill="auto"/>
          </w:tcPr>
          <w:p w14:paraId="76DE58F7" w14:textId="65CA788E" w:rsidR="00A20FF2" w:rsidRPr="00421AEE" w:rsidRDefault="00A20FF2" w:rsidP="001830B5">
            <w:pPr>
              <w:spacing w:before="24" w:after="24" w:line="240" w:lineRule="auto"/>
              <w:rPr>
                <w:rFonts w:eastAsia="Calibri" w:cs="Times New Roman"/>
                <w:sz w:val="20"/>
              </w:rPr>
            </w:pPr>
            <w:r w:rsidRPr="00421AEE">
              <w:rPr>
                <w:rFonts w:eastAsia="Calibri" w:cs="Times New Roman"/>
                <w:sz w:val="20"/>
              </w:rPr>
              <w:t>59</w:t>
            </w:r>
            <w:r w:rsidR="001830B5">
              <w:rPr>
                <w:rFonts w:eastAsia="Calibri" w:cs="Times New Roman"/>
                <w:sz w:val="20"/>
              </w:rPr>
              <w:noBreakHyphen/>
            </w:r>
            <w:r w:rsidRPr="00421AEE">
              <w:rPr>
                <w:rFonts w:eastAsia="Calibri" w:cs="Times New Roman"/>
                <w:sz w:val="20"/>
              </w:rPr>
              <w:t>105</w:t>
            </w:r>
          </w:p>
        </w:tc>
      </w:tr>
    </w:tbl>
    <w:p w14:paraId="0A64A814" w14:textId="77358E0A" w:rsidR="00A20FF2" w:rsidRPr="00421AEE" w:rsidRDefault="00A20FF2" w:rsidP="001830B5">
      <w:pPr>
        <w:pStyle w:val="ItemHead"/>
      </w:pPr>
      <w:r w:rsidRPr="00421AEE">
        <w:t>2  After section 59</w:t>
      </w:r>
      <w:r w:rsidR="001830B5">
        <w:noBreakHyphen/>
      </w:r>
      <w:r w:rsidRPr="00421AEE">
        <w:t>100</w:t>
      </w:r>
    </w:p>
    <w:p w14:paraId="5290B56C" w14:textId="77777777" w:rsidR="00A20FF2" w:rsidRPr="00421AEE" w:rsidRDefault="00A20FF2" w:rsidP="001830B5">
      <w:pPr>
        <w:pStyle w:val="Item"/>
      </w:pPr>
      <w:r w:rsidRPr="00421AEE">
        <w:t>Insert:</w:t>
      </w:r>
    </w:p>
    <w:p w14:paraId="148CC5E1" w14:textId="2C2A791C" w:rsidR="00A20FF2" w:rsidRPr="00421AEE" w:rsidRDefault="00A20FF2" w:rsidP="001830B5">
      <w:pPr>
        <w:pStyle w:val="ActHead5"/>
      </w:pPr>
      <w:bookmarkStart w:id="6" w:name="_Toc110951147"/>
      <w:r w:rsidRPr="001830B5">
        <w:rPr>
          <w:rStyle w:val="CharSectno"/>
        </w:rPr>
        <w:t>59</w:t>
      </w:r>
      <w:r w:rsidR="001830B5" w:rsidRPr="001830B5">
        <w:rPr>
          <w:rStyle w:val="CharSectno"/>
        </w:rPr>
        <w:noBreakHyphen/>
      </w:r>
      <w:r w:rsidRPr="001830B5">
        <w:rPr>
          <w:rStyle w:val="CharSectno"/>
        </w:rPr>
        <w:t>105</w:t>
      </w:r>
      <w:r w:rsidRPr="00421AEE">
        <w:t xml:space="preserve">  Cyclone Seroja—recovery grants</w:t>
      </w:r>
      <w:bookmarkEnd w:id="6"/>
    </w:p>
    <w:p w14:paraId="779013D0" w14:textId="61771029" w:rsidR="00A20FF2" w:rsidRPr="00421AEE" w:rsidRDefault="00A20FF2" w:rsidP="001830B5">
      <w:pPr>
        <w:pStyle w:val="subsection"/>
      </w:pPr>
      <w:r w:rsidRPr="00421AEE">
        <w:tab/>
      </w:r>
      <w:r w:rsidRPr="00421AEE">
        <w:tab/>
        <w:t xml:space="preserve">A payment is not assessable income and is not </w:t>
      </w:r>
      <w:r w:rsidR="001830B5" w:rsidRPr="001830B5">
        <w:rPr>
          <w:position w:val="6"/>
          <w:sz w:val="16"/>
        </w:rPr>
        <w:t>*</w:t>
      </w:r>
      <w:r w:rsidRPr="00421AEE">
        <w:t>exempt income if:</w:t>
      </w:r>
    </w:p>
    <w:p w14:paraId="6D5512EA" w14:textId="77777777" w:rsidR="00A20FF2" w:rsidRPr="00421AEE" w:rsidRDefault="00A20FF2" w:rsidP="001830B5">
      <w:pPr>
        <w:pStyle w:val="paragraph"/>
      </w:pPr>
      <w:r w:rsidRPr="00421AEE">
        <w:tab/>
        <w:t>(a)</w:t>
      </w:r>
      <w:r w:rsidRPr="00421AEE">
        <w:tab/>
        <w:t>for the purposes of the Disaster Recovery Funding Arrangements 2018 (set out in a determination made by the Minister for Law Enforcement and Cyber Security on 5 June 2018), the payment is a recovery grant made to a small business or primary producer as part of a Category C measure; and</w:t>
      </w:r>
    </w:p>
    <w:p w14:paraId="73C37AB0" w14:textId="77777777" w:rsidR="00A20FF2" w:rsidRPr="00421AEE" w:rsidRDefault="00A20FF2" w:rsidP="001830B5">
      <w:pPr>
        <w:pStyle w:val="paragraph"/>
      </w:pPr>
      <w:r w:rsidRPr="00421AEE">
        <w:tab/>
        <w:t>(b)</w:t>
      </w:r>
      <w:r w:rsidRPr="00421AEE">
        <w:tab/>
        <w:t>the payment relates to Cyclone Seroja.</w:t>
      </w:r>
    </w:p>
    <w:p w14:paraId="2D46B07E" w14:textId="77777777" w:rsidR="00A20FF2" w:rsidRPr="00421AEE" w:rsidRDefault="00A20FF2" w:rsidP="001830B5">
      <w:pPr>
        <w:pStyle w:val="Transitional"/>
      </w:pPr>
      <w:r w:rsidRPr="00421AEE">
        <w:t>3  Application of amendments</w:t>
      </w:r>
    </w:p>
    <w:p w14:paraId="0BEDA3AC" w14:textId="0ED69A8F" w:rsidR="00A20FF2" w:rsidRPr="00421AEE" w:rsidRDefault="00A20FF2" w:rsidP="001830B5">
      <w:pPr>
        <w:pStyle w:val="Item"/>
      </w:pPr>
      <w:r w:rsidRPr="00421AEE">
        <w:t>The amendments made by this Schedule apply to assessments for the 2021</w:t>
      </w:r>
      <w:r w:rsidR="001830B5">
        <w:noBreakHyphen/>
      </w:r>
      <w:r w:rsidRPr="00421AEE">
        <w:t>2022 income year and later income years.</w:t>
      </w:r>
    </w:p>
    <w:p w14:paraId="36ACC56B" w14:textId="77777777" w:rsidR="00754A86" w:rsidRPr="00421AEE" w:rsidRDefault="0095795B" w:rsidP="001830B5">
      <w:pPr>
        <w:pStyle w:val="ActHead6"/>
        <w:pageBreakBefore/>
      </w:pPr>
      <w:bookmarkStart w:id="7" w:name="_Toc110951148"/>
      <w:r w:rsidRPr="001830B5">
        <w:rPr>
          <w:rStyle w:val="CharAmSchNo"/>
        </w:rPr>
        <w:lastRenderedPageBreak/>
        <w:t>Schedule 2</w:t>
      </w:r>
      <w:r w:rsidR="00754A86" w:rsidRPr="00421AEE">
        <w:t>—</w:t>
      </w:r>
      <w:r w:rsidR="00754A86" w:rsidRPr="001830B5">
        <w:rPr>
          <w:rStyle w:val="CharAmSchText"/>
        </w:rPr>
        <w:t>Transitional provisions relating to the repeal of the Superannuation (Resolution of Complaints) Act 1993</w:t>
      </w:r>
      <w:bookmarkEnd w:id="7"/>
    </w:p>
    <w:p w14:paraId="1D1E5BBC" w14:textId="77777777" w:rsidR="00754A86" w:rsidRPr="00961C41" w:rsidRDefault="00754A86" w:rsidP="001830B5">
      <w:pPr>
        <w:pStyle w:val="Header"/>
      </w:pPr>
      <w:r w:rsidRPr="001830B5">
        <w:rPr>
          <w:rStyle w:val="CharAmPartNo"/>
        </w:rPr>
        <w:t xml:space="preserve"> </w:t>
      </w:r>
      <w:r w:rsidRPr="001830B5">
        <w:rPr>
          <w:rStyle w:val="CharAmPartText"/>
        </w:rPr>
        <w:t xml:space="preserve"> </w:t>
      </w:r>
    </w:p>
    <w:p w14:paraId="30B2082D" w14:textId="77777777" w:rsidR="00754A86" w:rsidRPr="00421AEE" w:rsidRDefault="00754A86" w:rsidP="001830B5">
      <w:pPr>
        <w:pStyle w:val="ActHead9"/>
        <w:rPr>
          <w:i w:val="0"/>
        </w:rPr>
      </w:pPr>
      <w:bookmarkStart w:id="8" w:name="_Toc110951149"/>
      <w:r w:rsidRPr="00421AEE">
        <w:t>Treasury Laws Amendment (Putting Consumers First—Establishment of the Australian Financial Complaints Authority) Act 2018</w:t>
      </w:r>
      <w:bookmarkEnd w:id="8"/>
    </w:p>
    <w:p w14:paraId="38F067C3" w14:textId="77777777" w:rsidR="00754A86" w:rsidRPr="00421AEE" w:rsidRDefault="00754A86" w:rsidP="001830B5">
      <w:pPr>
        <w:pStyle w:val="ItemHead"/>
      </w:pPr>
      <w:r w:rsidRPr="00421AEE">
        <w:t xml:space="preserve">1  Part 3 of </w:t>
      </w:r>
      <w:r w:rsidR="0095795B" w:rsidRPr="00421AEE">
        <w:t>Schedule 3</w:t>
      </w:r>
      <w:r w:rsidRPr="00421AEE">
        <w:t xml:space="preserve"> (heading)</w:t>
      </w:r>
    </w:p>
    <w:p w14:paraId="79C96D44" w14:textId="77777777" w:rsidR="00754A86" w:rsidRPr="00421AEE" w:rsidRDefault="00754A86" w:rsidP="001830B5">
      <w:pPr>
        <w:pStyle w:val="Item"/>
      </w:pPr>
      <w:r w:rsidRPr="00421AEE">
        <w:t>Omit “</w:t>
      </w:r>
      <w:r w:rsidRPr="00421AEE">
        <w:rPr>
          <w:b/>
        </w:rPr>
        <w:t>Application</w:t>
      </w:r>
      <w:r w:rsidRPr="00421AEE">
        <w:t>”, substitute “</w:t>
      </w:r>
      <w:r w:rsidRPr="00421AEE">
        <w:rPr>
          <w:b/>
        </w:rPr>
        <w:t>Application, saving and transitional</w:t>
      </w:r>
      <w:r w:rsidRPr="00421AEE">
        <w:t>”.</w:t>
      </w:r>
    </w:p>
    <w:p w14:paraId="3F71CA35" w14:textId="77777777" w:rsidR="00754A86" w:rsidRPr="00421AEE" w:rsidRDefault="00754A86" w:rsidP="001830B5">
      <w:pPr>
        <w:pStyle w:val="ItemHead"/>
      </w:pPr>
      <w:r w:rsidRPr="00421AEE">
        <w:t xml:space="preserve">2  At the end of Part 3 of </w:t>
      </w:r>
      <w:r w:rsidR="0095795B" w:rsidRPr="00421AEE">
        <w:t>Schedule 3</w:t>
      </w:r>
    </w:p>
    <w:p w14:paraId="0B671A84" w14:textId="77777777" w:rsidR="00754A86" w:rsidRPr="00421AEE" w:rsidRDefault="00754A86" w:rsidP="001830B5">
      <w:pPr>
        <w:pStyle w:val="Item"/>
      </w:pPr>
      <w:r w:rsidRPr="00421AEE">
        <w:t>Add:</w:t>
      </w:r>
    </w:p>
    <w:p w14:paraId="0D70E378" w14:textId="77777777" w:rsidR="00754A86" w:rsidRPr="00421AEE" w:rsidRDefault="00754A86" w:rsidP="001830B5">
      <w:pPr>
        <w:pStyle w:val="Transitional"/>
      </w:pPr>
      <w:r w:rsidRPr="00421AEE">
        <w:t>33  Transfer of records</w:t>
      </w:r>
    </w:p>
    <w:p w14:paraId="3ED317D5" w14:textId="77777777" w:rsidR="00754A86" w:rsidRPr="00421AEE" w:rsidRDefault="00754A86" w:rsidP="001830B5">
      <w:pPr>
        <w:pStyle w:val="Subitem"/>
      </w:pPr>
      <w:r w:rsidRPr="00421AEE">
        <w:t>(1)</w:t>
      </w:r>
      <w:r w:rsidRPr="00421AEE">
        <w:tab/>
        <w:t>This item applies to any records or documents that were in the possession of the following immediately before the commencement of Part 1 of this Schedule:</w:t>
      </w:r>
    </w:p>
    <w:p w14:paraId="43462AC8" w14:textId="77777777" w:rsidR="00754A86" w:rsidRPr="00421AEE" w:rsidRDefault="00754A86" w:rsidP="001830B5">
      <w:pPr>
        <w:pStyle w:val="paragraph"/>
      </w:pPr>
      <w:r w:rsidRPr="00421AEE">
        <w:tab/>
        <w:t>(a)</w:t>
      </w:r>
      <w:r w:rsidRPr="00421AEE">
        <w:tab/>
        <w:t>a member of the Superannuation Complaints Tribunal;</w:t>
      </w:r>
    </w:p>
    <w:p w14:paraId="75E423C7" w14:textId="77777777" w:rsidR="00754A86" w:rsidRPr="00421AEE" w:rsidRDefault="00754A86" w:rsidP="001830B5">
      <w:pPr>
        <w:pStyle w:val="paragraph"/>
      </w:pPr>
      <w:r w:rsidRPr="00421AEE">
        <w:tab/>
        <w:t>(b)</w:t>
      </w:r>
      <w:r w:rsidRPr="00421AEE">
        <w:tab/>
        <w:t xml:space="preserve">a member of the staff of the Australian Securities and Investments Commission who had been made available to the Superannuation Complaints Tribunal under section 62 of the </w:t>
      </w:r>
      <w:r w:rsidRPr="00421AEE">
        <w:rPr>
          <w:i/>
        </w:rPr>
        <w:t>Superannuation (Resolution of Complaints) Act 1993</w:t>
      </w:r>
      <w:r w:rsidRPr="00421AEE">
        <w:t>.</w:t>
      </w:r>
    </w:p>
    <w:p w14:paraId="4C3D836D" w14:textId="77777777" w:rsidR="00754A86" w:rsidRPr="00421AEE" w:rsidRDefault="00754A86" w:rsidP="001830B5">
      <w:pPr>
        <w:pStyle w:val="Subitem"/>
      </w:pPr>
      <w:r w:rsidRPr="00421AEE">
        <w:t>(2)</w:t>
      </w:r>
      <w:r w:rsidRPr="00421AEE">
        <w:tab/>
        <w:t>The records and documents are to be transferred to the Australian Securities and Investments Commission after that commencement.</w:t>
      </w:r>
    </w:p>
    <w:p w14:paraId="6EE7C96E" w14:textId="77777777" w:rsidR="00754A86" w:rsidRPr="00421AEE" w:rsidRDefault="00754A86" w:rsidP="001830B5">
      <w:pPr>
        <w:pStyle w:val="notemargin"/>
      </w:pPr>
      <w:r w:rsidRPr="00421AEE">
        <w:t>Note:</w:t>
      </w:r>
      <w:r w:rsidRPr="00421AEE">
        <w:tab/>
        <w:t xml:space="preserve">The records and documents are Commonwealth records for the purposes of the </w:t>
      </w:r>
      <w:r w:rsidRPr="00421AEE">
        <w:rPr>
          <w:i/>
        </w:rPr>
        <w:t>Archives Act 1983</w:t>
      </w:r>
      <w:r w:rsidRPr="00421AEE">
        <w:t>.</w:t>
      </w:r>
    </w:p>
    <w:p w14:paraId="4D278330" w14:textId="77777777" w:rsidR="00754A86" w:rsidRPr="00421AEE" w:rsidRDefault="00754A86" w:rsidP="001830B5">
      <w:pPr>
        <w:pStyle w:val="SubitemHead"/>
      </w:pPr>
      <w:r w:rsidRPr="00421AEE">
        <w:t>Records and documents taken to be protected information</w:t>
      </w:r>
    </w:p>
    <w:p w14:paraId="7FE09696" w14:textId="77777777" w:rsidR="00754A86" w:rsidRPr="00421AEE" w:rsidRDefault="00754A86" w:rsidP="001830B5">
      <w:pPr>
        <w:pStyle w:val="Subitem"/>
      </w:pPr>
      <w:r w:rsidRPr="00421AEE">
        <w:t>(3)</w:t>
      </w:r>
      <w:r w:rsidRPr="00421AEE">
        <w:tab/>
        <w:t xml:space="preserve">For the purposes of section 127 of the </w:t>
      </w:r>
      <w:r w:rsidRPr="00421AEE">
        <w:rPr>
          <w:i/>
        </w:rPr>
        <w:t>Australian Securities and Investments Commission Act 2001</w:t>
      </w:r>
      <w:r w:rsidRPr="00421AEE">
        <w:t xml:space="preserve">, a record or document transferred to the Australian Securities and Investments Commission under subitem (2) of this item is taken to be protected information, unless the </w:t>
      </w:r>
      <w:r w:rsidRPr="00421AEE">
        <w:lastRenderedPageBreak/>
        <w:t>document or record has already been lawfully made available to the public.</w:t>
      </w:r>
    </w:p>
    <w:p w14:paraId="65FDE3A3" w14:textId="77777777" w:rsidR="00754A86" w:rsidRPr="00421AEE" w:rsidRDefault="00754A86" w:rsidP="001830B5">
      <w:pPr>
        <w:pStyle w:val="Transitional"/>
      </w:pPr>
      <w:r w:rsidRPr="00421AEE">
        <w:t>34  Remittal of matters by the Federal Court</w:t>
      </w:r>
    </w:p>
    <w:p w14:paraId="5812DAD3" w14:textId="77777777" w:rsidR="00754A86" w:rsidRPr="00421AEE" w:rsidRDefault="00754A86" w:rsidP="001830B5">
      <w:pPr>
        <w:pStyle w:val="Subitem"/>
      </w:pPr>
      <w:r w:rsidRPr="00421AEE">
        <w:t>(1)</w:t>
      </w:r>
      <w:r w:rsidRPr="00421AEE">
        <w:tab/>
        <w:t xml:space="preserve">This item applies in relation to an appeal to the Federal Court under section 46 of the </w:t>
      </w:r>
      <w:r w:rsidRPr="00421AEE">
        <w:rPr>
          <w:i/>
        </w:rPr>
        <w:t>Superannuation (Resolution of Complaints) Act 1993</w:t>
      </w:r>
      <w:r w:rsidRPr="00421AEE">
        <w:t>, as in force immediately before the commencement of Part 1 of this Schedule, from a determination of the Superannuation Complaints Tribunal, if the appeal was not finally determined before that commencement.</w:t>
      </w:r>
    </w:p>
    <w:p w14:paraId="6661BF18" w14:textId="77777777" w:rsidR="00754A86" w:rsidRPr="00421AEE" w:rsidRDefault="00754A86" w:rsidP="001830B5">
      <w:pPr>
        <w:pStyle w:val="Subitem"/>
      </w:pPr>
      <w:r w:rsidRPr="00421AEE">
        <w:t>(2)</w:t>
      </w:r>
      <w:r w:rsidRPr="00421AEE">
        <w:tab/>
        <w:t>Without limiting the powers of the Federal Court, the Federal Court may make an order remitting the matter to be determined by the Australian Financial Complaints Authority in accordance with the directions of the Court.</w:t>
      </w:r>
    </w:p>
    <w:p w14:paraId="4EECF1E1" w14:textId="77777777" w:rsidR="00754A86" w:rsidRPr="00421AEE" w:rsidRDefault="00754A86" w:rsidP="001830B5">
      <w:pPr>
        <w:pStyle w:val="Transitional"/>
      </w:pPr>
      <w:r w:rsidRPr="00421AEE">
        <w:t>35  Transitional rules</w:t>
      </w:r>
    </w:p>
    <w:p w14:paraId="73082FBC" w14:textId="77777777" w:rsidR="00754A86" w:rsidRPr="00421AEE" w:rsidRDefault="00754A86" w:rsidP="001830B5">
      <w:pPr>
        <w:pStyle w:val="Subitem"/>
      </w:pPr>
      <w:r w:rsidRPr="00421AEE">
        <w:t>(1)</w:t>
      </w:r>
      <w:r w:rsidRPr="00421AEE">
        <w:tab/>
        <w:t>The Minister may, by legislative instrument, make rules prescribing matters of a transitional nature (including prescribing any saving or application provisions) relating to the amendments or repeals made by this Schedule.</w:t>
      </w:r>
    </w:p>
    <w:p w14:paraId="1C1C27D3" w14:textId="77777777" w:rsidR="00754A86" w:rsidRPr="00421AEE" w:rsidRDefault="00754A86" w:rsidP="001830B5">
      <w:pPr>
        <w:pStyle w:val="Subitem"/>
      </w:pPr>
      <w:r w:rsidRPr="00421AEE">
        <w:t>(2)</w:t>
      </w:r>
      <w:r w:rsidRPr="00421AEE">
        <w:tab/>
        <w:t>To avoid doubt, the rules may not do the following:</w:t>
      </w:r>
    </w:p>
    <w:p w14:paraId="7F308C1C" w14:textId="77777777" w:rsidR="00754A86" w:rsidRPr="00421AEE" w:rsidRDefault="00754A86" w:rsidP="001830B5">
      <w:pPr>
        <w:pStyle w:val="paragraph"/>
      </w:pPr>
      <w:r w:rsidRPr="00421AEE">
        <w:tab/>
        <w:t>(a)</w:t>
      </w:r>
      <w:r w:rsidRPr="00421AEE">
        <w:tab/>
        <w:t>create an offence or civil penalty;</w:t>
      </w:r>
    </w:p>
    <w:p w14:paraId="047C12CD" w14:textId="77777777" w:rsidR="00754A86" w:rsidRPr="00421AEE" w:rsidRDefault="00754A86" w:rsidP="001830B5">
      <w:pPr>
        <w:pStyle w:val="paragraph"/>
      </w:pPr>
      <w:r w:rsidRPr="00421AEE">
        <w:tab/>
        <w:t>(b)</w:t>
      </w:r>
      <w:r w:rsidRPr="00421AEE">
        <w:tab/>
        <w:t>provide powers of:</w:t>
      </w:r>
    </w:p>
    <w:p w14:paraId="26E9E311" w14:textId="77777777" w:rsidR="00754A86" w:rsidRPr="00421AEE" w:rsidRDefault="00754A86" w:rsidP="001830B5">
      <w:pPr>
        <w:pStyle w:val="paragraphsub"/>
      </w:pPr>
      <w:r w:rsidRPr="00421AEE">
        <w:tab/>
        <w:t>(i)</w:t>
      </w:r>
      <w:r w:rsidRPr="00421AEE">
        <w:tab/>
        <w:t>arrest or detention; or</w:t>
      </w:r>
    </w:p>
    <w:p w14:paraId="75B8DD89" w14:textId="77777777" w:rsidR="00754A86" w:rsidRPr="00421AEE" w:rsidRDefault="00754A86" w:rsidP="001830B5">
      <w:pPr>
        <w:pStyle w:val="paragraphsub"/>
      </w:pPr>
      <w:r w:rsidRPr="00421AEE">
        <w:tab/>
        <w:t>(ii)</w:t>
      </w:r>
      <w:r w:rsidRPr="00421AEE">
        <w:tab/>
        <w:t>entry, search or seizure;</w:t>
      </w:r>
    </w:p>
    <w:p w14:paraId="5017D338" w14:textId="77777777" w:rsidR="00754A86" w:rsidRPr="00421AEE" w:rsidRDefault="00754A86" w:rsidP="001830B5">
      <w:pPr>
        <w:pStyle w:val="paragraph"/>
      </w:pPr>
      <w:r w:rsidRPr="00421AEE">
        <w:tab/>
        <w:t>(c)</w:t>
      </w:r>
      <w:r w:rsidRPr="00421AEE">
        <w:tab/>
        <w:t>impose a tax;</w:t>
      </w:r>
    </w:p>
    <w:p w14:paraId="3D0EEE53" w14:textId="77777777" w:rsidR="00754A86" w:rsidRPr="00421AEE" w:rsidRDefault="00754A86" w:rsidP="001830B5">
      <w:pPr>
        <w:pStyle w:val="paragraph"/>
      </w:pPr>
      <w:r w:rsidRPr="00421AEE">
        <w:tab/>
        <w:t>(d)</w:t>
      </w:r>
      <w:r w:rsidRPr="00421AEE">
        <w:tab/>
        <w:t>set an amount to be appropriated from the Consolidated Revenue Fund under an appropriation in this Act;</w:t>
      </w:r>
    </w:p>
    <w:p w14:paraId="00D9BDF9" w14:textId="77777777" w:rsidR="00754A86" w:rsidRPr="00421AEE" w:rsidRDefault="00754A86" w:rsidP="001830B5">
      <w:pPr>
        <w:pStyle w:val="paragraph"/>
      </w:pPr>
      <w:r w:rsidRPr="00421AEE">
        <w:tab/>
        <w:t>(e)</w:t>
      </w:r>
      <w:r w:rsidRPr="00421AEE">
        <w:tab/>
        <w:t>directly amend the text of this Act.</w:t>
      </w:r>
    </w:p>
    <w:p w14:paraId="3C59A870" w14:textId="77777777" w:rsidR="00433AAC" w:rsidRPr="00421AEE" w:rsidRDefault="0095795B" w:rsidP="001830B5">
      <w:pPr>
        <w:pStyle w:val="ActHead6"/>
        <w:pageBreakBefore/>
      </w:pPr>
      <w:bookmarkStart w:id="9" w:name="_Toc110951150"/>
      <w:r w:rsidRPr="001830B5">
        <w:rPr>
          <w:rStyle w:val="CharAmSchNo"/>
        </w:rPr>
        <w:lastRenderedPageBreak/>
        <w:t>Schedule 3</w:t>
      </w:r>
      <w:r w:rsidR="00433AAC" w:rsidRPr="00421AEE">
        <w:t>—</w:t>
      </w:r>
      <w:r w:rsidR="00433AAC" w:rsidRPr="001830B5">
        <w:rPr>
          <w:rStyle w:val="CharAmSchText"/>
        </w:rPr>
        <w:t>Income tax and withholding exemptions for the FIFA Women’s World Cup</w:t>
      </w:r>
      <w:bookmarkEnd w:id="9"/>
    </w:p>
    <w:p w14:paraId="569FA641" w14:textId="77777777" w:rsidR="00433AAC" w:rsidRPr="00961C41" w:rsidRDefault="00433AAC" w:rsidP="001830B5">
      <w:pPr>
        <w:pStyle w:val="Header"/>
      </w:pPr>
      <w:r w:rsidRPr="001830B5">
        <w:rPr>
          <w:rStyle w:val="CharAmPartNo"/>
        </w:rPr>
        <w:t xml:space="preserve"> </w:t>
      </w:r>
      <w:r w:rsidRPr="001830B5">
        <w:rPr>
          <w:rStyle w:val="CharAmPartText"/>
        </w:rPr>
        <w:t xml:space="preserve"> </w:t>
      </w:r>
    </w:p>
    <w:p w14:paraId="63EF5CB1" w14:textId="77777777" w:rsidR="003D3E61" w:rsidRPr="00421AEE" w:rsidRDefault="003D3E61" w:rsidP="003D3E61">
      <w:pPr>
        <w:pStyle w:val="ActHead9"/>
      </w:pPr>
      <w:bookmarkStart w:id="10" w:name="_Toc110951151"/>
      <w:r w:rsidRPr="00421AEE">
        <w:t>Income Tax Assessment Act 1936</w:t>
      </w:r>
      <w:bookmarkEnd w:id="10"/>
    </w:p>
    <w:p w14:paraId="70C3D0DC" w14:textId="77777777" w:rsidR="003D3E61" w:rsidRPr="00421AEE" w:rsidRDefault="003D3E61" w:rsidP="003D3E61">
      <w:pPr>
        <w:pStyle w:val="ItemHead"/>
      </w:pPr>
      <w:r w:rsidRPr="00421AEE">
        <w:t>1  Subparagraph 128B(3)(a)(i)</w:t>
      </w:r>
    </w:p>
    <w:p w14:paraId="23306A9B" w14:textId="77777777" w:rsidR="003D3E61" w:rsidRPr="00421AEE" w:rsidRDefault="003D3E61" w:rsidP="003D3E61">
      <w:pPr>
        <w:pStyle w:val="Item"/>
      </w:pPr>
      <w:r w:rsidRPr="00421AEE">
        <w:t>Omit “or 9.3”, substitute “, 9.3, 9.4 or 9.5”.</w:t>
      </w:r>
    </w:p>
    <w:p w14:paraId="1F781AA6" w14:textId="77777777" w:rsidR="00CF0897" w:rsidRPr="00421AEE" w:rsidRDefault="00CF0897" w:rsidP="00CF0897">
      <w:pPr>
        <w:pStyle w:val="ActHead9"/>
      </w:pPr>
      <w:bookmarkStart w:id="11" w:name="_Toc110951152"/>
      <w:r w:rsidRPr="00421AEE">
        <w:t>Income Tax Assessment Act 1997</w:t>
      </w:r>
      <w:bookmarkEnd w:id="11"/>
    </w:p>
    <w:p w14:paraId="5DA31D28" w14:textId="77777777" w:rsidR="00CF0897" w:rsidRPr="00421AEE" w:rsidRDefault="00CF0897" w:rsidP="00CF0897">
      <w:pPr>
        <w:pStyle w:val="ItemHead"/>
        <w:rPr>
          <w:rFonts w:cs="Arial"/>
        </w:rPr>
      </w:pPr>
      <w:r w:rsidRPr="00421AEE">
        <w:rPr>
          <w:rFonts w:cs="Arial"/>
        </w:rPr>
        <w:t>2  Section 11</w:t>
      </w:r>
      <w:r>
        <w:rPr>
          <w:rFonts w:cs="Arial"/>
        </w:rPr>
        <w:noBreakHyphen/>
      </w:r>
      <w:r w:rsidRPr="00421AEE">
        <w:rPr>
          <w:rFonts w:cs="Arial"/>
        </w:rPr>
        <w:t>5 (table item headed “sports, culture or recreation”)</w:t>
      </w:r>
    </w:p>
    <w:p w14:paraId="55A272FA" w14:textId="77777777" w:rsidR="00CF0897" w:rsidRPr="00421AEE" w:rsidRDefault="00CF0897" w:rsidP="00CF0897">
      <w:pPr>
        <w:pStyle w:val="Item"/>
      </w:pPr>
      <w:r w:rsidRPr="00421AEE">
        <w:t>After:</w:t>
      </w:r>
    </w:p>
    <w:tbl>
      <w:tblPr>
        <w:tblW w:w="7201" w:type="dxa"/>
        <w:tblInd w:w="108" w:type="dxa"/>
        <w:tblLayout w:type="fixed"/>
        <w:tblCellMar>
          <w:left w:w="54" w:type="dxa"/>
          <w:right w:w="54" w:type="dxa"/>
        </w:tblCellMar>
        <w:tblLook w:val="0000" w:firstRow="0" w:lastRow="0" w:firstColumn="0" w:lastColumn="0" w:noHBand="0" w:noVBand="0"/>
      </w:tblPr>
      <w:tblGrid>
        <w:gridCol w:w="5208"/>
        <w:gridCol w:w="1993"/>
      </w:tblGrid>
      <w:tr w:rsidR="00CF0897" w:rsidRPr="00421AEE" w14:paraId="1AC5FA1C" w14:textId="77777777" w:rsidTr="001066D2">
        <w:tc>
          <w:tcPr>
            <w:tcW w:w="5208" w:type="dxa"/>
            <w:shd w:val="clear" w:color="auto" w:fill="auto"/>
          </w:tcPr>
          <w:p w14:paraId="5421CCCB" w14:textId="77777777" w:rsidR="00CF0897" w:rsidRPr="00421AEE" w:rsidRDefault="00CF0897" w:rsidP="001066D2">
            <w:pPr>
              <w:pStyle w:val="tableIndentText"/>
              <w:rPr>
                <w:rFonts w:ascii="Times New Roman" w:hAnsi="Times New Roman"/>
              </w:rPr>
            </w:pPr>
            <w:r w:rsidRPr="00421AEE">
              <w:rPr>
                <w:rFonts w:ascii="Times New Roman" w:hAnsi="Times New Roman"/>
              </w:rPr>
              <w:t xml:space="preserve">art society etc. </w:t>
            </w:r>
            <w:r w:rsidRPr="00421AEE">
              <w:rPr>
                <w:rFonts w:ascii="Times New Roman" w:hAnsi="Times New Roman"/>
              </w:rPr>
              <w:tab/>
            </w:r>
          </w:p>
        </w:tc>
        <w:tc>
          <w:tcPr>
            <w:tcW w:w="1993" w:type="dxa"/>
            <w:shd w:val="clear" w:color="auto" w:fill="auto"/>
          </w:tcPr>
          <w:p w14:paraId="2FBA57C5" w14:textId="77777777" w:rsidR="00CF0897" w:rsidRPr="00421AEE" w:rsidRDefault="00CF0897" w:rsidP="001066D2">
            <w:pPr>
              <w:pStyle w:val="tableText0"/>
              <w:tabs>
                <w:tab w:val="left" w:leader="dot" w:pos="5245"/>
              </w:tabs>
              <w:spacing w:line="240" w:lineRule="auto"/>
            </w:pPr>
            <w:r w:rsidRPr="00421AEE">
              <w:t>50</w:t>
            </w:r>
            <w:r>
              <w:noBreakHyphen/>
            </w:r>
            <w:r w:rsidRPr="00421AEE">
              <w:t>45</w:t>
            </w:r>
          </w:p>
        </w:tc>
      </w:tr>
    </w:tbl>
    <w:p w14:paraId="3818B9F9" w14:textId="77777777" w:rsidR="00CF0897" w:rsidRPr="00421AEE" w:rsidRDefault="00CF0897" w:rsidP="00CF0897">
      <w:pPr>
        <w:pStyle w:val="Item"/>
      </w:pPr>
      <w:r w:rsidRPr="00421AEE">
        <w:t>insert:</w:t>
      </w:r>
    </w:p>
    <w:tbl>
      <w:tblPr>
        <w:tblW w:w="7201" w:type="dxa"/>
        <w:tblInd w:w="108" w:type="dxa"/>
        <w:tblBorders>
          <w:top w:val="single" w:sz="4" w:space="0" w:color="auto"/>
          <w:bottom w:val="single" w:sz="2" w:space="0" w:color="auto"/>
          <w:insideH w:val="single" w:sz="4" w:space="0" w:color="auto"/>
        </w:tblBorders>
        <w:tblLayout w:type="fixed"/>
        <w:tblCellMar>
          <w:left w:w="54" w:type="dxa"/>
          <w:right w:w="54" w:type="dxa"/>
        </w:tblCellMar>
        <w:tblLook w:val="0000" w:firstRow="0" w:lastRow="0" w:firstColumn="0" w:lastColumn="0" w:noHBand="0" w:noVBand="0"/>
      </w:tblPr>
      <w:tblGrid>
        <w:gridCol w:w="5208"/>
        <w:gridCol w:w="1993"/>
      </w:tblGrid>
      <w:tr w:rsidR="00CF0897" w:rsidRPr="00421AEE" w14:paraId="4A323821" w14:textId="77777777" w:rsidTr="001066D2">
        <w:tc>
          <w:tcPr>
            <w:tcW w:w="5208" w:type="dxa"/>
            <w:tcBorders>
              <w:top w:val="nil"/>
              <w:bottom w:val="nil"/>
            </w:tcBorders>
            <w:shd w:val="clear" w:color="auto" w:fill="auto"/>
          </w:tcPr>
          <w:p w14:paraId="27A348F8" w14:textId="77777777" w:rsidR="00CF0897" w:rsidRPr="00421AEE" w:rsidRDefault="00CF0897" w:rsidP="001066D2">
            <w:pPr>
              <w:pStyle w:val="tableIndentText"/>
              <w:rPr>
                <w:rFonts w:ascii="Times New Roman" w:hAnsi="Times New Roman"/>
              </w:rPr>
            </w:pPr>
            <w:r w:rsidRPr="00421AEE">
              <w:t>Fédération Internationale de Football Association</w:t>
            </w:r>
            <w:r w:rsidRPr="00421AEE">
              <w:rPr>
                <w:rFonts w:ascii="Times New Roman" w:hAnsi="Times New Roman"/>
              </w:rPr>
              <w:tab/>
            </w:r>
          </w:p>
        </w:tc>
        <w:tc>
          <w:tcPr>
            <w:tcW w:w="1993" w:type="dxa"/>
            <w:tcBorders>
              <w:top w:val="nil"/>
              <w:bottom w:val="nil"/>
            </w:tcBorders>
            <w:shd w:val="clear" w:color="auto" w:fill="auto"/>
          </w:tcPr>
          <w:p w14:paraId="3E331ED2" w14:textId="77777777" w:rsidR="00CF0897" w:rsidRPr="00421AEE" w:rsidRDefault="00CF0897" w:rsidP="001066D2">
            <w:pPr>
              <w:pStyle w:val="tableText0"/>
              <w:tabs>
                <w:tab w:val="left" w:leader="dot" w:pos="5245"/>
              </w:tabs>
              <w:spacing w:line="240" w:lineRule="auto"/>
            </w:pPr>
            <w:r w:rsidRPr="00421AEE">
              <w:t>50</w:t>
            </w:r>
            <w:r>
              <w:noBreakHyphen/>
            </w:r>
            <w:r w:rsidRPr="00421AEE">
              <w:t>45</w:t>
            </w:r>
          </w:p>
        </w:tc>
      </w:tr>
      <w:tr w:rsidR="00CF0897" w:rsidRPr="00421AEE" w14:paraId="54351C3E" w14:textId="77777777" w:rsidTr="001066D2">
        <w:tc>
          <w:tcPr>
            <w:tcW w:w="5208" w:type="dxa"/>
            <w:tcBorders>
              <w:top w:val="nil"/>
              <w:bottom w:val="nil"/>
            </w:tcBorders>
            <w:shd w:val="clear" w:color="auto" w:fill="auto"/>
          </w:tcPr>
          <w:p w14:paraId="03A01BAA" w14:textId="77777777" w:rsidR="00CF0897" w:rsidRPr="00421AEE" w:rsidRDefault="00CF0897" w:rsidP="001066D2">
            <w:pPr>
              <w:pStyle w:val="tableIndentText"/>
              <w:rPr>
                <w:rFonts w:ascii="Times New Roman" w:hAnsi="Times New Roman"/>
              </w:rPr>
            </w:pPr>
            <w:r w:rsidRPr="00421AEE">
              <w:t>FWWC2023 Pty Ltd</w:t>
            </w:r>
            <w:r w:rsidRPr="00421AEE">
              <w:rPr>
                <w:rFonts w:ascii="Times New Roman" w:hAnsi="Times New Roman"/>
              </w:rPr>
              <w:tab/>
            </w:r>
          </w:p>
        </w:tc>
        <w:tc>
          <w:tcPr>
            <w:tcW w:w="1993" w:type="dxa"/>
            <w:tcBorders>
              <w:top w:val="nil"/>
              <w:bottom w:val="nil"/>
            </w:tcBorders>
            <w:shd w:val="clear" w:color="auto" w:fill="auto"/>
          </w:tcPr>
          <w:p w14:paraId="3051FBC9" w14:textId="77777777" w:rsidR="00CF0897" w:rsidRPr="00421AEE" w:rsidRDefault="00CF0897" w:rsidP="001066D2">
            <w:pPr>
              <w:pStyle w:val="tableText0"/>
              <w:tabs>
                <w:tab w:val="left" w:leader="dot" w:pos="5245"/>
              </w:tabs>
              <w:spacing w:line="240" w:lineRule="auto"/>
            </w:pPr>
            <w:r w:rsidRPr="00421AEE">
              <w:t>50</w:t>
            </w:r>
            <w:r>
              <w:noBreakHyphen/>
            </w:r>
            <w:r w:rsidRPr="00421AEE">
              <w:t>45</w:t>
            </w:r>
          </w:p>
        </w:tc>
      </w:tr>
    </w:tbl>
    <w:p w14:paraId="6C75ACA8" w14:textId="6928EA94" w:rsidR="00433AAC" w:rsidRPr="00421AEE" w:rsidRDefault="00433AAC" w:rsidP="001830B5">
      <w:pPr>
        <w:pStyle w:val="ItemHead"/>
      </w:pPr>
      <w:r w:rsidRPr="00421AEE">
        <w:t xml:space="preserve">3  </w:t>
      </w:r>
      <w:r w:rsidR="0095795B" w:rsidRPr="00421AEE">
        <w:t>Section 5</w:t>
      </w:r>
      <w:r w:rsidRPr="00421AEE">
        <w:t>0</w:t>
      </w:r>
      <w:r w:rsidR="001830B5">
        <w:noBreakHyphen/>
      </w:r>
      <w:r w:rsidRPr="00421AEE">
        <w:t>45 (at the end of the table)</w:t>
      </w:r>
    </w:p>
    <w:p w14:paraId="796DABEE" w14:textId="77777777" w:rsidR="00433AAC" w:rsidRPr="00421AEE" w:rsidRDefault="00433AAC" w:rsidP="001830B5">
      <w:pPr>
        <w:pStyle w:val="Item"/>
      </w:pPr>
      <w:r w:rsidRPr="00421AEE">
        <w:t>Add:</w:t>
      </w:r>
    </w:p>
    <w:tbl>
      <w:tblPr>
        <w:tblW w:w="0" w:type="auto"/>
        <w:tblInd w:w="108" w:type="dxa"/>
        <w:tblBorders>
          <w:insideH w:val="single" w:sz="2" w:space="0" w:color="auto"/>
        </w:tblBorders>
        <w:tblLayout w:type="fixed"/>
        <w:tblLook w:val="0000" w:firstRow="0" w:lastRow="0" w:firstColumn="0" w:lastColumn="0" w:noHBand="0" w:noVBand="0"/>
      </w:tblPr>
      <w:tblGrid>
        <w:gridCol w:w="868"/>
        <w:gridCol w:w="3037"/>
        <w:gridCol w:w="3183"/>
      </w:tblGrid>
      <w:tr w:rsidR="00433AAC" w:rsidRPr="00421AEE" w14:paraId="6843D3F0" w14:textId="77777777" w:rsidTr="00433AAC">
        <w:trPr>
          <w:cantSplit/>
        </w:trPr>
        <w:tc>
          <w:tcPr>
            <w:tcW w:w="868" w:type="dxa"/>
            <w:shd w:val="clear" w:color="auto" w:fill="auto"/>
          </w:tcPr>
          <w:p w14:paraId="7F69AFE2" w14:textId="77777777" w:rsidR="00433AAC" w:rsidRPr="00421AEE" w:rsidRDefault="00433AAC" w:rsidP="001830B5">
            <w:pPr>
              <w:pStyle w:val="Tabletext"/>
            </w:pPr>
            <w:r w:rsidRPr="00421AEE">
              <w:lastRenderedPageBreak/>
              <w:t>9.4</w:t>
            </w:r>
          </w:p>
        </w:tc>
        <w:tc>
          <w:tcPr>
            <w:tcW w:w="3037" w:type="dxa"/>
            <w:shd w:val="clear" w:color="auto" w:fill="auto"/>
          </w:tcPr>
          <w:p w14:paraId="148D7CFF" w14:textId="77777777" w:rsidR="00433AAC" w:rsidRPr="00421AEE" w:rsidRDefault="00433AAC" w:rsidP="001830B5">
            <w:pPr>
              <w:pStyle w:val="Tabletext"/>
              <w:keepNext/>
              <w:keepLines/>
            </w:pPr>
            <w:r w:rsidRPr="00421AEE">
              <w:t>Fédération Internationale de Football Association</w:t>
            </w:r>
          </w:p>
        </w:tc>
        <w:tc>
          <w:tcPr>
            <w:tcW w:w="3183" w:type="dxa"/>
            <w:shd w:val="clear" w:color="auto" w:fill="auto"/>
          </w:tcPr>
          <w:p w14:paraId="1300FAE9" w14:textId="77777777" w:rsidR="00433AAC" w:rsidRPr="00421AEE" w:rsidRDefault="00433AAC" w:rsidP="001830B5">
            <w:pPr>
              <w:pStyle w:val="Tabletext"/>
            </w:pPr>
            <w:r w:rsidRPr="00421AEE">
              <w:t>both of the following:</w:t>
            </w:r>
          </w:p>
          <w:p w14:paraId="27A67FEF" w14:textId="36D2D863" w:rsidR="00433AAC" w:rsidRPr="00421AEE" w:rsidRDefault="00433AAC" w:rsidP="001830B5">
            <w:pPr>
              <w:pStyle w:val="Tablea"/>
            </w:pPr>
            <w:r w:rsidRPr="00421AEE">
              <w:t xml:space="preserve">(a) only amounts included as </w:t>
            </w:r>
            <w:r w:rsidR="001830B5" w:rsidRPr="001830B5">
              <w:rPr>
                <w:position w:val="6"/>
                <w:sz w:val="16"/>
              </w:rPr>
              <w:t>*</w:t>
            </w:r>
            <w:r w:rsidRPr="00421AEE">
              <w:t xml:space="preserve">ordinary income or </w:t>
            </w:r>
            <w:r w:rsidR="001830B5" w:rsidRPr="001830B5">
              <w:rPr>
                <w:position w:val="6"/>
                <w:sz w:val="16"/>
              </w:rPr>
              <w:t>*</w:t>
            </w:r>
            <w:r w:rsidRPr="00421AEE">
              <w:t>statutory income:</w:t>
            </w:r>
          </w:p>
          <w:p w14:paraId="3986ABA6" w14:textId="77777777" w:rsidR="00433AAC" w:rsidRPr="00421AEE" w:rsidRDefault="00433AAC" w:rsidP="001830B5">
            <w:pPr>
              <w:pStyle w:val="Tablei"/>
            </w:pPr>
            <w:r w:rsidRPr="00421AEE">
              <w:t xml:space="preserve">(i) on or after </w:t>
            </w:r>
            <w:r w:rsidR="0095795B" w:rsidRPr="00421AEE">
              <w:t>1 July</w:t>
            </w:r>
            <w:r w:rsidRPr="00421AEE">
              <w:t xml:space="preserve"> 2020; and</w:t>
            </w:r>
          </w:p>
          <w:p w14:paraId="7E73BF24" w14:textId="77777777" w:rsidR="00433AAC" w:rsidRPr="00421AEE" w:rsidRDefault="00433AAC" w:rsidP="001830B5">
            <w:pPr>
              <w:pStyle w:val="Tablei"/>
            </w:pPr>
            <w:r w:rsidRPr="00421AEE">
              <w:t xml:space="preserve">(ii) before </w:t>
            </w:r>
            <w:r w:rsidR="0095795B" w:rsidRPr="00421AEE">
              <w:t>1 January</w:t>
            </w:r>
            <w:r w:rsidRPr="00421AEE">
              <w:t xml:space="preserve"> 2029;</w:t>
            </w:r>
          </w:p>
          <w:p w14:paraId="3978BEFD" w14:textId="6EA4EB15" w:rsidR="00433AAC" w:rsidRPr="00421AEE" w:rsidRDefault="00433AAC" w:rsidP="001830B5">
            <w:pPr>
              <w:pStyle w:val="Tablea"/>
            </w:pPr>
            <w:r w:rsidRPr="00421AEE">
              <w:t xml:space="preserve">(b) the ordinary income is </w:t>
            </w:r>
            <w:r w:rsidR="001830B5" w:rsidRPr="001830B5">
              <w:rPr>
                <w:position w:val="6"/>
                <w:sz w:val="16"/>
              </w:rPr>
              <w:t>*</w:t>
            </w:r>
            <w:r w:rsidRPr="00421AEE">
              <w:t>derived from, or the statutory income is from, activities relating to the Fédération Internationale de Football Association (FIFA) Women’s World Cup Australia New Zealand 2023</w:t>
            </w:r>
          </w:p>
        </w:tc>
      </w:tr>
      <w:tr w:rsidR="00433AAC" w:rsidRPr="00421AEE" w14:paraId="2278F061" w14:textId="77777777" w:rsidTr="00433AAC">
        <w:trPr>
          <w:cantSplit/>
        </w:trPr>
        <w:tc>
          <w:tcPr>
            <w:tcW w:w="868" w:type="dxa"/>
            <w:shd w:val="clear" w:color="auto" w:fill="auto"/>
          </w:tcPr>
          <w:p w14:paraId="0D268AD6" w14:textId="77777777" w:rsidR="00433AAC" w:rsidRPr="00421AEE" w:rsidRDefault="00433AAC" w:rsidP="001830B5">
            <w:pPr>
              <w:pStyle w:val="Tabletext"/>
            </w:pPr>
            <w:r w:rsidRPr="00421AEE">
              <w:t>9.5</w:t>
            </w:r>
          </w:p>
        </w:tc>
        <w:tc>
          <w:tcPr>
            <w:tcW w:w="3037" w:type="dxa"/>
            <w:shd w:val="clear" w:color="auto" w:fill="auto"/>
          </w:tcPr>
          <w:p w14:paraId="1AA8F5C2" w14:textId="77777777" w:rsidR="00433AAC" w:rsidRPr="00421AEE" w:rsidRDefault="00433AAC" w:rsidP="001830B5">
            <w:pPr>
              <w:pStyle w:val="Tabletext"/>
              <w:keepNext/>
              <w:keepLines/>
            </w:pPr>
            <w:r w:rsidRPr="00421AEE">
              <w:t>FWWC2023 Pty Ltd</w:t>
            </w:r>
          </w:p>
        </w:tc>
        <w:tc>
          <w:tcPr>
            <w:tcW w:w="3183" w:type="dxa"/>
            <w:shd w:val="clear" w:color="auto" w:fill="auto"/>
          </w:tcPr>
          <w:p w14:paraId="5EE8C7ED" w14:textId="77777777" w:rsidR="00433AAC" w:rsidRPr="00421AEE" w:rsidRDefault="00433AAC" w:rsidP="001830B5">
            <w:pPr>
              <w:pStyle w:val="Tabletext"/>
            </w:pPr>
            <w:r w:rsidRPr="00421AEE">
              <w:t>all of the following:</w:t>
            </w:r>
          </w:p>
          <w:p w14:paraId="234AAEA2" w14:textId="47C0BC60" w:rsidR="00433AAC" w:rsidRPr="00421AEE" w:rsidRDefault="00433AAC" w:rsidP="001830B5">
            <w:pPr>
              <w:pStyle w:val="Tablea"/>
            </w:pPr>
            <w:r w:rsidRPr="00421AEE">
              <w:t xml:space="preserve">(a) the entity is a </w:t>
            </w:r>
            <w:r w:rsidR="001830B5" w:rsidRPr="001830B5">
              <w:rPr>
                <w:position w:val="6"/>
                <w:sz w:val="16"/>
              </w:rPr>
              <w:t>*</w:t>
            </w:r>
            <w:r w:rsidRPr="00421AEE">
              <w:t>wholly</w:t>
            </w:r>
            <w:r w:rsidR="001830B5">
              <w:noBreakHyphen/>
            </w:r>
            <w:r w:rsidRPr="00421AEE">
              <w:t>owned subsidiary of the Fédération Internationale de Football Association;</w:t>
            </w:r>
          </w:p>
          <w:p w14:paraId="031A4709" w14:textId="3916CC8A" w:rsidR="00433AAC" w:rsidRPr="00421AEE" w:rsidRDefault="00433AAC" w:rsidP="001830B5">
            <w:pPr>
              <w:pStyle w:val="Tablea"/>
            </w:pPr>
            <w:r w:rsidRPr="00421AEE">
              <w:t xml:space="preserve">(b) only amounts included as </w:t>
            </w:r>
            <w:r w:rsidR="001830B5" w:rsidRPr="001830B5">
              <w:rPr>
                <w:position w:val="6"/>
                <w:sz w:val="16"/>
              </w:rPr>
              <w:t>*</w:t>
            </w:r>
            <w:r w:rsidRPr="00421AEE">
              <w:t xml:space="preserve">ordinary income or </w:t>
            </w:r>
            <w:r w:rsidR="001830B5" w:rsidRPr="001830B5">
              <w:rPr>
                <w:position w:val="6"/>
                <w:sz w:val="16"/>
              </w:rPr>
              <w:t>*</w:t>
            </w:r>
            <w:r w:rsidRPr="00421AEE">
              <w:t>statutory income:</w:t>
            </w:r>
          </w:p>
          <w:p w14:paraId="2223D101" w14:textId="77777777" w:rsidR="00433AAC" w:rsidRPr="00421AEE" w:rsidRDefault="00433AAC" w:rsidP="001830B5">
            <w:pPr>
              <w:pStyle w:val="Tablei"/>
            </w:pPr>
            <w:r w:rsidRPr="00421AEE">
              <w:t xml:space="preserve">(i) on or after </w:t>
            </w:r>
            <w:r w:rsidR="0095795B" w:rsidRPr="00421AEE">
              <w:t>1 July</w:t>
            </w:r>
            <w:r w:rsidRPr="00421AEE">
              <w:t xml:space="preserve"> 2020; and</w:t>
            </w:r>
          </w:p>
          <w:p w14:paraId="5315D7B3" w14:textId="77777777" w:rsidR="00433AAC" w:rsidRPr="00421AEE" w:rsidRDefault="00433AAC" w:rsidP="001830B5">
            <w:pPr>
              <w:pStyle w:val="Tablei"/>
            </w:pPr>
            <w:r w:rsidRPr="00421AEE">
              <w:t xml:space="preserve">(ii) before </w:t>
            </w:r>
            <w:r w:rsidR="0095795B" w:rsidRPr="00421AEE">
              <w:t>1 January</w:t>
            </w:r>
            <w:r w:rsidRPr="00421AEE">
              <w:t xml:space="preserve"> 2029;</w:t>
            </w:r>
          </w:p>
          <w:p w14:paraId="0800D1B0" w14:textId="4AEF6482" w:rsidR="00433AAC" w:rsidRPr="00421AEE" w:rsidRDefault="00433AAC" w:rsidP="001830B5">
            <w:pPr>
              <w:pStyle w:val="Tablea"/>
            </w:pPr>
            <w:r w:rsidRPr="00421AEE">
              <w:t xml:space="preserve">(c) the ordinary income is </w:t>
            </w:r>
            <w:r w:rsidR="001830B5" w:rsidRPr="001830B5">
              <w:rPr>
                <w:position w:val="6"/>
                <w:sz w:val="16"/>
              </w:rPr>
              <w:t>*</w:t>
            </w:r>
            <w:r w:rsidRPr="00421AEE">
              <w:t>derived from, or the statutory income is from, activities relating to the Fédération Internationale de Football Association (FIFA) Women’s World Cup Australia New Zealand 2023</w:t>
            </w:r>
          </w:p>
        </w:tc>
      </w:tr>
    </w:tbl>
    <w:p w14:paraId="14AA8FDC" w14:textId="77777777" w:rsidR="00CB58F6" w:rsidRPr="00421AEE" w:rsidRDefault="009F7539" w:rsidP="001830B5">
      <w:pPr>
        <w:pStyle w:val="ActHead6"/>
        <w:pageBreakBefore/>
      </w:pPr>
      <w:bookmarkStart w:id="12" w:name="_Toc110951153"/>
      <w:r w:rsidRPr="001830B5">
        <w:rPr>
          <w:rStyle w:val="CharAmSchNo"/>
        </w:rPr>
        <w:t>Schedule 4</w:t>
      </w:r>
      <w:r w:rsidR="00CB58F6" w:rsidRPr="00421AEE">
        <w:t>—</w:t>
      </w:r>
      <w:bookmarkStart w:id="13" w:name="_Hlk90369250"/>
      <w:r w:rsidR="00CB58F6" w:rsidRPr="001830B5">
        <w:rPr>
          <w:rStyle w:val="CharAmSchText"/>
        </w:rPr>
        <w:t>Minor and technical amendments</w:t>
      </w:r>
      <w:bookmarkEnd w:id="13"/>
      <w:bookmarkEnd w:id="12"/>
    </w:p>
    <w:p w14:paraId="6E5D9D7F" w14:textId="77777777" w:rsidR="00CB58F6" w:rsidRPr="00421AEE" w:rsidRDefault="00CB58F6" w:rsidP="001830B5">
      <w:pPr>
        <w:pStyle w:val="ActHead7"/>
      </w:pPr>
      <w:bookmarkStart w:id="14" w:name="_Toc110951154"/>
      <w:r w:rsidRPr="001830B5">
        <w:rPr>
          <w:rStyle w:val="CharAmPartNo"/>
        </w:rPr>
        <w:t>Part 1</w:t>
      </w:r>
      <w:r w:rsidRPr="00421AEE">
        <w:t>—</w:t>
      </w:r>
      <w:r w:rsidRPr="001830B5">
        <w:rPr>
          <w:rStyle w:val="CharAmPartText"/>
        </w:rPr>
        <w:t>Commencement of registries modernisation amendments</w:t>
      </w:r>
      <w:bookmarkEnd w:id="14"/>
    </w:p>
    <w:p w14:paraId="18700248" w14:textId="77777777" w:rsidR="00CB58F6" w:rsidRPr="00421AEE" w:rsidRDefault="00CB58F6" w:rsidP="001830B5">
      <w:pPr>
        <w:pStyle w:val="ActHead9"/>
        <w:rPr>
          <w:i w:val="0"/>
        </w:rPr>
      </w:pPr>
      <w:bookmarkStart w:id="15" w:name="_Hlk90388841"/>
      <w:bookmarkStart w:id="16" w:name="_Toc110951155"/>
      <w:r w:rsidRPr="00421AEE">
        <w:t>Business Names Registration (Fees) Amendment (Registries Modernisation) Act 2020</w:t>
      </w:r>
      <w:bookmarkEnd w:id="16"/>
    </w:p>
    <w:p w14:paraId="1C14426D" w14:textId="77777777" w:rsidR="00CB58F6" w:rsidRPr="00421AEE" w:rsidRDefault="00CB58F6" w:rsidP="001830B5">
      <w:pPr>
        <w:pStyle w:val="ItemHead"/>
      </w:pPr>
      <w:r w:rsidRPr="00421AEE">
        <w:t>1  Subsection 2(1) (table item 2)</w:t>
      </w:r>
    </w:p>
    <w:p w14:paraId="504500E6" w14:textId="77777777" w:rsidR="00CB58F6" w:rsidRPr="00421AEE" w:rsidRDefault="00CB58F6" w:rsidP="001830B5">
      <w:pPr>
        <w:pStyle w:val="Item"/>
      </w:pPr>
      <w:r w:rsidRPr="00421AEE">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B58F6" w:rsidRPr="00421AEE" w14:paraId="1548A59C" w14:textId="77777777" w:rsidTr="009F7539">
        <w:tc>
          <w:tcPr>
            <w:tcW w:w="1701" w:type="dxa"/>
            <w:shd w:val="clear" w:color="auto" w:fill="auto"/>
          </w:tcPr>
          <w:p w14:paraId="02406554" w14:textId="77777777" w:rsidR="00CB58F6" w:rsidRPr="00421AEE" w:rsidRDefault="00CB58F6" w:rsidP="001830B5">
            <w:pPr>
              <w:pStyle w:val="Tabletext"/>
            </w:pPr>
            <w:r w:rsidRPr="00421AEE">
              <w:t>2.  Schedule 1</w:t>
            </w:r>
          </w:p>
        </w:tc>
        <w:tc>
          <w:tcPr>
            <w:tcW w:w="3828" w:type="dxa"/>
            <w:shd w:val="clear" w:color="auto" w:fill="auto"/>
          </w:tcPr>
          <w:p w14:paraId="7B7BFEF6" w14:textId="77777777" w:rsidR="00CB58F6" w:rsidRPr="00421AEE" w:rsidRDefault="00CB58F6" w:rsidP="001830B5">
            <w:pPr>
              <w:pStyle w:val="Tabletext"/>
            </w:pPr>
            <w:r w:rsidRPr="00421AEE">
              <w:t>A day or days to be fixed by Proclamation.</w:t>
            </w:r>
          </w:p>
          <w:p w14:paraId="5EF10D17" w14:textId="77777777" w:rsidR="00CB58F6" w:rsidRPr="00421AEE" w:rsidRDefault="00CB58F6" w:rsidP="001830B5">
            <w:pPr>
              <w:pStyle w:val="Tabletext"/>
            </w:pPr>
            <w:r w:rsidRPr="00421AEE">
              <w:t xml:space="preserve">However, if any of the provisions do not commence before </w:t>
            </w:r>
            <w:r w:rsidR="0095795B" w:rsidRPr="00421AEE">
              <w:t>1 July</w:t>
            </w:r>
            <w:r w:rsidRPr="00421AEE">
              <w:t xml:space="preserve"> 2026, they commence on that day.</w:t>
            </w:r>
          </w:p>
        </w:tc>
        <w:tc>
          <w:tcPr>
            <w:tcW w:w="1582" w:type="dxa"/>
            <w:shd w:val="clear" w:color="auto" w:fill="auto"/>
          </w:tcPr>
          <w:p w14:paraId="60902783" w14:textId="77777777" w:rsidR="00CB58F6" w:rsidRPr="00421AEE" w:rsidRDefault="00CB58F6" w:rsidP="001830B5">
            <w:pPr>
              <w:pStyle w:val="Tabletext"/>
            </w:pPr>
          </w:p>
        </w:tc>
      </w:tr>
    </w:tbl>
    <w:p w14:paraId="1F05FD0F" w14:textId="77777777" w:rsidR="00CB58F6" w:rsidRPr="00421AEE" w:rsidRDefault="00CB58F6" w:rsidP="001830B5">
      <w:pPr>
        <w:pStyle w:val="ActHead9"/>
        <w:rPr>
          <w:i w:val="0"/>
        </w:rPr>
      </w:pPr>
      <w:bookmarkStart w:id="17" w:name="_Hlk90389009"/>
      <w:bookmarkStart w:id="18" w:name="_Hlk90285253"/>
      <w:bookmarkStart w:id="19" w:name="_Toc110951156"/>
      <w:bookmarkEnd w:id="15"/>
      <w:r w:rsidRPr="00421AEE">
        <w:t>Corporations (Fees) Amendment (Registries Modernisation) Act 2020</w:t>
      </w:r>
      <w:bookmarkEnd w:id="19"/>
    </w:p>
    <w:p w14:paraId="43C9E272" w14:textId="77777777" w:rsidR="00CB58F6" w:rsidRPr="00421AEE" w:rsidRDefault="00CB58F6" w:rsidP="001830B5">
      <w:pPr>
        <w:pStyle w:val="ItemHead"/>
      </w:pPr>
      <w:r w:rsidRPr="00421AEE">
        <w:t>2  Subsection 2(1) (table item 2)</w:t>
      </w:r>
    </w:p>
    <w:p w14:paraId="3300F985" w14:textId="77777777" w:rsidR="00CB58F6" w:rsidRPr="00421AEE" w:rsidRDefault="00CB58F6" w:rsidP="001830B5">
      <w:pPr>
        <w:pStyle w:val="Item"/>
      </w:pPr>
      <w:r w:rsidRPr="00421AEE">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B58F6" w:rsidRPr="00421AEE" w14:paraId="3F685FD4" w14:textId="77777777" w:rsidTr="009F7539">
        <w:tc>
          <w:tcPr>
            <w:tcW w:w="1701" w:type="dxa"/>
            <w:shd w:val="clear" w:color="auto" w:fill="auto"/>
          </w:tcPr>
          <w:p w14:paraId="47712F72" w14:textId="77777777" w:rsidR="00CB58F6" w:rsidRPr="00421AEE" w:rsidRDefault="00CB58F6" w:rsidP="001830B5">
            <w:pPr>
              <w:pStyle w:val="Tabletext"/>
            </w:pPr>
            <w:r w:rsidRPr="00421AEE">
              <w:t>2.  Schedule 1</w:t>
            </w:r>
          </w:p>
        </w:tc>
        <w:tc>
          <w:tcPr>
            <w:tcW w:w="3828" w:type="dxa"/>
            <w:shd w:val="clear" w:color="auto" w:fill="auto"/>
          </w:tcPr>
          <w:p w14:paraId="5C35F0DE" w14:textId="77777777" w:rsidR="00CB58F6" w:rsidRPr="00421AEE" w:rsidRDefault="00CB58F6" w:rsidP="001830B5">
            <w:pPr>
              <w:pStyle w:val="Tabletext"/>
            </w:pPr>
            <w:r w:rsidRPr="00421AEE">
              <w:t>A day or days to be fixed by Proclamation.</w:t>
            </w:r>
          </w:p>
          <w:p w14:paraId="1C66674B" w14:textId="77777777" w:rsidR="00CB58F6" w:rsidRPr="00421AEE" w:rsidRDefault="00CB58F6" w:rsidP="001830B5">
            <w:pPr>
              <w:pStyle w:val="Tabletext"/>
            </w:pPr>
            <w:r w:rsidRPr="00421AEE">
              <w:t xml:space="preserve">However, if any of the provisions do not commence before </w:t>
            </w:r>
            <w:r w:rsidR="0095795B" w:rsidRPr="00421AEE">
              <w:t>1 July</w:t>
            </w:r>
            <w:r w:rsidRPr="00421AEE">
              <w:t xml:space="preserve"> 2026, they commence on that day.</w:t>
            </w:r>
          </w:p>
        </w:tc>
        <w:tc>
          <w:tcPr>
            <w:tcW w:w="1582" w:type="dxa"/>
            <w:shd w:val="clear" w:color="auto" w:fill="auto"/>
          </w:tcPr>
          <w:p w14:paraId="1F955847" w14:textId="77777777" w:rsidR="00CB58F6" w:rsidRPr="00421AEE" w:rsidRDefault="00CB58F6" w:rsidP="001830B5">
            <w:pPr>
              <w:pStyle w:val="Tabletext"/>
            </w:pPr>
          </w:p>
        </w:tc>
      </w:tr>
    </w:tbl>
    <w:p w14:paraId="22311F29" w14:textId="77777777" w:rsidR="00CB58F6" w:rsidRPr="00421AEE" w:rsidRDefault="00CB58F6" w:rsidP="001830B5">
      <w:pPr>
        <w:pStyle w:val="ActHead9"/>
        <w:rPr>
          <w:i w:val="0"/>
        </w:rPr>
      </w:pPr>
      <w:bookmarkStart w:id="20" w:name="_Toc110951157"/>
      <w:r w:rsidRPr="00421AEE">
        <w:t>Financial Sector Reform (Hayne Royal Commission Response—Better Advice) Act 2021</w:t>
      </w:r>
      <w:bookmarkEnd w:id="20"/>
    </w:p>
    <w:p w14:paraId="518524E3" w14:textId="77777777" w:rsidR="00CB58F6" w:rsidRPr="00421AEE" w:rsidRDefault="00CB58F6" w:rsidP="001830B5">
      <w:pPr>
        <w:pStyle w:val="ItemHead"/>
      </w:pPr>
      <w:r w:rsidRPr="00421AEE">
        <w:t>3  Subsection 2(1) (table items 3 and 4)</w:t>
      </w:r>
    </w:p>
    <w:p w14:paraId="7BE4ECC1" w14:textId="77777777" w:rsidR="00CB58F6" w:rsidRPr="00421AEE" w:rsidRDefault="00CB58F6" w:rsidP="001830B5">
      <w:pPr>
        <w:pStyle w:val="Item"/>
      </w:pPr>
      <w:r w:rsidRPr="00421AEE">
        <w:t>Repeal the items, substitute:</w:t>
      </w: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B58F6" w:rsidRPr="00421AEE" w14:paraId="43B63824" w14:textId="77777777" w:rsidTr="009F7539">
        <w:tc>
          <w:tcPr>
            <w:tcW w:w="1701" w:type="dxa"/>
            <w:tcBorders>
              <w:top w:val="nil"/>
              <w:bottom w:val="single" w:sz="2" w:space="0" w:color="auto"/>
            </w:tcBorders>
            <w:shd w:val="clear" w:color="auto" w:fill="auto"/>
          </w:tcPr>
          <w:p w14:paraId="185BB595" w14:textId="77777777" w:rsidR="00CB58F6" w:rsidRPr="00421AEE" w:rsidRDefault="00CB58F6" w:rsidP="001830B5">
            <w:pPr>
              <w:pStyle w:val="Tabletext"/>
            </w:pPr>
            <w:r w:rsidRPr="00421AEE">
              <w:t>3.  Schedule 1, Part 3</w:t>
            </w:r>
          </w:p>
        </w:tc>
        <w:tc>
          <w:tcPr>
            <w:tcW w:w="3828" w:type="dxa"/>
            <w:tcBorders>
              <w:top w:val="nil"/>
              <w:bottom w:val="single" w:sz="2" w:space="0" w:color="auto"/>
            </w:tcBorders>
            <w:shd w:val="clear" w:color="auto" w:fill="auto"/>
          </w:tcPr>
          <w:p w14:paraId="1151C636" w14:textId="77777777" w:rsidR="00CB58F6" w:rsidRPr="00421AEE" w:rsidRDefault="00CB58F6" w:rsidP="001830B5">
            <w:pPr>
              <w:pStyle w:val="Tabletext"/>
            </w:pPr>
            <w:r w:rsidRPr="00421AEE">
              <w:t>A day or days to be fixed by Proclamation.</w:t>
            </w:r>
          </w:p>
          <w:p w14:paraId="092DB81F" w14:textId="77777777" w:rsidR="00CB58F6" w:rsidRPr="00421AEE" w:rsidRDefault="00CB58F6" w:rsidP="001830B5">
            <w:pPr>
              <w:pStyle w:val="Tabletext"/>
            </w:pPr>
            <w:r w:rsidRPr="00421AEE">
              <w:t xml:space="preserve">However, if any of the provisions do not commence before </w:t>
            </w:r>
            <w:r w:rsidR="0095795B" w:rsidRPr="00421AEE">
              <w:t>1 July</w:t>
            </w:r>
            <w:r w:rsidRPr="00421AEE">
              <w:t xml:space="preserve"> 2026, they commence on that day.</w:t>
            </w:r>
          </w:p>
        </w:tc>
        <w:tc>
          <w:tcPr>
            <w:tcW w:w="1582" w:type="dxa"/>
            <w:tcBorders>
              <w:top w:val="nil"/>
              <w:bottom w:val="single" w:sz="2" w:space="0" w:color="auto"/>
            </w:tcBorders>
            <w:shd w:val="clear" w:color="auto" w:fill="auto"/>
          </w:tcPr>
          <w:p w14:paraId="39FD4113" w14:textId="77777777" w:rsidR="00CB58F6" w:rsidRPr="00421AEE" w:rsidRDefault="00CB58F6" w:rsidP="001830B5">
            <w:pPr>
              <w:pStyle w:val="Tabletext"/>
            </w:pPr>
          </w:p>
        </w:tc>
      </w:tr>
      <w:tr w:rsidR="00CB58F6" w:rsidRPr="00421AEE" w14:paraId="4B02FC60" w14:textId="77777777" w:rsidTr="009F7539">
        <w:tc>
          <w:tcPr>
            <w:tcW w:w="1701" w:type="dxa"/>
            <w:tcBorders>
              <w:top w:val="single" w:sz="2" w:space="0" w:color="auto"/>
              <w:bottom w:val="nil"/>
            </w:tcBorders>
            <w:shd w:val="clear" w:color="auto" w:fill="auto"/>
          </w:tcPr>
          <w:p w14:paraId="4094866F" w14:textId="77777777" w:rsidR="00CB58F6" w:rsidRPr="00421AEE" w:rsidRDefault="00CB58F6" w:rsidP="001830B5">
            <w:pPr>
              <w:pStyle w:val="Tabletext"/>
            </w:pPr>
            <w:r w:rsidRPr="00421AEE">
              <w:t xml:space="preserve">4.  </w:t>
            </w:r>
            <w:r w:rsidR="0095795B" w:rsidRPr="00421AEE">
              <w:t>Schedule 2</w:t>
            </w:r>
          </w:p>
        </w:tc>
        <w:tc>
          <w:tcPr>
            <w:tcW w:w="3828" w:type="dxa"/>
            <w:tcBorders>
              <w:top w:val="single" w:sz="2" w:space="0" w:color="auto"/>
              <w:bottom w:val="nil"/>
            </w:tcBorders>
            <w:shd w:val="clear" w:color="auto" w:fill="auto"/>
          </w:tcPr>
          <w:p w14:paraId="1CF6237F" w14:textId="77777777" w:rsidR="00CB58F6" w:rsidRPr="00421AEE" w:rsidRDefault="00CB58F6" w:rsidP="001830B5">
            <w:pPr>
              <w:pStyle w:val="Tabletext"/>
            </w:pPr>
            <w:r w:rsidRPr="00421AEE">
              <w:t>A day or days to be fixed by Proclamation.</w:t>
            </w:r>
          </w:p>
          <w:p w14:paraId="29BC8A71" w14:textId="77777777" w:rsidR="00CB58F6" w:rsidRPr="00421AEE" w:rsidRDefault="00CB58F6" w:rsidP="001830B5">
            <w:pPr>
              <w:pStyle w:val="Tabletext"/>
            </w:pPr>
            <w:r w:rsidRPr="00421AEE">
              <w:t xml:space="preserve">However, if any of the provisions do not commence before </w:t>
            </w:r>
            <w:r w:rsidR="0095795B" w:rsidRPr="00421AEE">
              <w:t>1 July</w:t>
            </w:r>
            <w:r w:rsidRPr="00421AEE">
              <w:t xml:space="preserve"> 2026, they commence on that day.</w:t>
            </w:r>
          </w:p>
        </w:tc>
        <w:tc>
          <w:tcPr>
            <w:tcW w:w="1582" w:type="dxa"/>
            <w:tcBorders>
              <w:top w:val="single" w:sz="2" w:space="0" w:color="auto"/>
              <w:bottom w:val="nil"/>
            </w:tcBorders>
            <w:shd w:val="clear" w:color="auto" w:fill="auto"/>
          </w:tcPr>
          <w:p w14:paraId="4117D995" w14:textId="77777777" w:rsidR="00CB58F6" w:rsidRPr="00421AEE" w:rsidRDefault="00CB58F6" w:rsidP="001830B5">
            <w:pPr>
              <w:pStyle w:val="Tabletext"/>
            </w:pPr>
          </w:p>
        </w:tc>
      </w:tr>
    </w:tbl>
    <w:p w14:paraId="4C98C125" w14:textId="77777777" w:rsidR="00CB58F6" w:rsidRPr="00421AEE" w:rsidRDefault="00CB58F6" w:rsidP="001830B5">
      <w:pPr>
        <w:pStyle w:val="ActHead9"/>
        <w:rPr>
          <w:i w:val="0"/>
        </w:rPr>
      </w:pPr>
      <w:bookmarkStart w:id="21" w:name="_Toc110951158"/>
      <w:r w:rsidRPr="00421AEE">
        <w:t>National Consumer Credit Protection (Fees) Amendment (Registries Modernisation) Act 2020</w:t>
      </w:r>
      <w:bookmarkEnd w:id="21"/>
    </w:p>
    <w:p w14:paraId="1B369337" w14:textId="77777777" w:rsidR="00CB58F6" w:rsidRPr="00421AEE" w:rsidRDefault="00CB58F6" w:rsidP="001830B5">
      <w:pPr>
        <w:pStyle w:val="ItemHead"/>
      </w:pPr>
      <w:r w:rsidRPr="00421AEE">
        <w:t>4  Subsection 2(1) (table item 2)</w:t>
      </w:r>
    </w:p>
    <w:p w14:paraId="17BA789A" w14:textId="77777777" w:rsidR="00CB58F6" w:rsidRPr="00421AEE" w:rsidRDefault="00CB58F6" w:rsidP="001830B5">
      <w:pPr>
        <w:pStyle w:val="Item"/>
      </w:pPr>
      <w:r w:rsidRPr="00421AEE">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B58F6" w:rsidRPr="00421AEE" w14:paraId="55B9E42F" w14:textId="77777777" w:rsidTr="009F7539">
        <w:tc>
          <w:tcPr>
            <w:tcW w:w="1701" w:type="dxa"/>
            <w:shd w:val="clear" w:color="auto" w:fill="auto"/>
          </w:tcPr>
          <w:p w14:paraId="67B17AB1" w14:textId="77777777" w:rsidR="00CB58F6" w:rsidRPr="00421AEE" w:rsidRDefault="00CB58F6" w:rsidP="001830B5">
            <w:pPr>
              <w:pStyle w:val="Tabletext"/>
            </w:pPr>
            <w:r w:rsidRPr="00421AEE">
              <w:t>2.  Schedule 1</w:t>
            </w:r>
          </w:p>
        </w:tc>
        <w:tc>
          <w:tcPr>
            <w:tcW w:w="3828" w:type="dxa"/>
            <w:shd w:val="clear" w:color="auto" w:fill="auto"/>
          </w:tcPr>
          <w:p w14:paraId="1EBCD4D5" w14:textId="77777777" w:rsidR="00CB58F6" w:rsidRPr="00421AEE" w:rsidRDefault="00CB58F6" w:rsidP="001830B5">
            <w:pPr>
              <w:pStyle w:val="Tabletext"/>
            </w:pPr>
            <w:r w:rsidRPr="00421AEE">
              <w:t>A day or days to be fixed by Proclamation.</w:t>
            </w:r>
          </w:p>
          <w:p w14:paraId="4D3DC4DF" w14:textId="77777777" w:rsidR="00CB58F6" w:rsidRPr="00421AEE" w:rsidRDefault="00CB58F6" w:rsidP="001830B5">
            <w:pPr>
              <w:pStyle w:val="Tabletext"/>
            </w:pPr>
            <w:r w:rsidRPr="00421AEE">
              <w:t xml:space="preserve">However, if any of the provisions do not commence before </w:t>
            </w:r>
            <w:r w:rsidR="0095795B" w:rsidRPr="00421AEE">
              <w:t>1 July</w:t>
            </w:r>
            <w:r w:rsidRPr="00421AEE">
              <w:t xml:space="preserve"> 2026, they commence on that day.</w:t>
            </w:r>
          </w:p>
        </w:tc>
        <w:tc>
          <w:tcPr>
            <w:tcW w:w="1582" w:type="dxa"/>
            <w:shd w:val="clear" w:color="auto" w:fill="auto"/>
          </w:tcPr>
          <w:p w14:paraId="55B68284" w14:textId="77777777" w:rsidR="00CB58F6" w:rsidRPr="00421AEE" w:rsidRDefault="00CB58F6" w:rsidP="001830B5">
            <w:pPr>
              <w:pStyle w:val="Tabletext"/>
            </w:pPr>
          </w:p>
        </w:tc>
      </w:tr>
    </w:tbl>
    <w:p w14:paraId="5773BDEF" w14:textId="77777777" w:rsidR="00CB58F6" w:rsidRPr="00421AEE" w:rsidRDefault="00CB58F6" w:rsidP="001830B5">
      <w:pPr>
        <w:pStyle w:val="ActHead9"/>
        <w:rPr>
          <w:i w:val="0"/>
        </w:rPr>
      </w:pPr>
      <w:bookmarkStart w:id="22" w:name="_Toc110951159"/>
      <w:r w:rsidRPr="00421AEE">
        <w:t>Treasury Laws Amendment (2021 Measures No. 1) Act 2021</w:t>
      </w:r>
      <w:bookmarkEnd w:id="22"/>
    </w:p>
    <w:p w14:paraId="0E4A5205" w14:textId="77777777" w:rsidR="00CB58F6" w:rsidRPr="00421AEE" w:rsidRDefault="00CB58F6" w:rsidP="001830B5">
      <w:pPr>
        <w:pStyle w:val="ItemHead"/>
      </w:pPr>
      <w:r w:rsidRPr="00421AEE">
        <w:t>5  Subsection 2(1) (table item 4)</w:t>
      </w:r>
    </w:p>
    <w:p w14:paraId="54393546" w14:textId="77777777" w:rsidR="00CB58F6" w:rsidRPr="00421AEE" w:rsidRDefault="00CB58F6" w:rsidP="001830B5">
      <w:pPr>
        <w:pStyle w:val="Item"/>
      </w:pPr>
      <w:r w:rsidRPr="00421AEE">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B58F6" w:rsidRPr="00421AEE" w14:paraId="5098D073" w14:textId="77777777" w:rsidTr="009F7539">
        <w:tc>
          <w:tcPr>
            <w:tcW w:w="1701" w:type="dxa"/>
            <w:shd w:val="clear" w:color="auto" w:fill="auto"/>
          </w:tcPr>
          <w:p w14:paraId="31BDA5C2" w14:textId="77777777" w:rsidR="00CB58F6" w:rsidRPr="00421AEE" w:rsidRDefault="00CB58F6" w:rsidP="001830B5">
            <w:pPr>
              <w:pStyle w:val="Tabletext"/>
            </w:pPr>
            <w:r w:rsidRPr="00421AEE">
              <w:t xml:space="preserve">4.  </w:t>
            </w:r>
            <w:r w:rsidR="0095795B" w:rsidRPr="00421AEE">
              <w:t>Schedule 2</w:t>
            </w:r>
            <w:r w:rsidRPr="00421AEE">
              <w:t>, Part 4</w:t>
            </w:r>
          </w:p>
        </w:tc>
        <w:tc>
          <w:tcPr>
            <w:tcW w:w="3828" w:type="dxa"/>
            <w:shd w:val="clear" w:color="auto" w:fill="auto"/>
          </w:tcPr>
          <w:p w14:paraId="538CC975" w14:textId="77777777" w:rsidR="00CB58F6" w:rsidRPr="00421AEE" w:rsidRDefault="00CB58F6" w:rsidP="001830B5">
            <w:pPr>
              <w:pStyle w:val="Tabletext"/>
            </w:pPr>
            <w:r w:rsidRPr="00421AEE">
              <w:t>A day or days to be fixed by Proclamation.</w:t>
            </w:r>
          </w:p>
          <w:p w14:paraId="5B19805E" w14:textId="77777777" w:rsidR="00CB58F6" w:rsidRPr="00421AEE" w:rsidRDefault="00CB58F6" w:rsidP="001830B5">
            <w:pPr>
              <w:pStyle w:val="Tabletext"/>
            </w:pPr>
            <w:r w:rsidRPr="00421AEE">
              <w:t xml:space="preserve">However, if any of the provisions do not commence before </w:t>
            </w:r>
            <w:r w:rsidR="0095795B" w:rsidRPr="00421AEE">
              <w:t>1 July</w:t>
            </w:r>
            <w:r w:rsidRPr="00421AEE">
              <w:t xml:space="preserve"> 2026, they commence on that day.</w:t>
            </w:r>
          </w:p>
        </w:tc>
        <w:tc>
          <w:tcPr>
            <w:tcW w:w="1582" w:type="dxa"/>
            <w:shd w:val="clear" w:color="auto" w:fill="auto"/>
          </w:tcPr>
          <w:p w14:paraId="7C5E8171" w14:textId="77777777" w:rsidR="00CB58F6" w:rsidRPr="00421AEE" w:rsidRDefault="00CB58F6" w:rsidP="001830B5">
            <w:pPr>
              <w:pStyle w:val="Tabletext"/>
            </w:pPr>
          </w:p>
        </w:tc>
      </w:tr>
    </w:tbl>
    <w:p w14:paraId="1181A41F" w14:textId="77777777" w:rsidR="00CB58F6" w:rsidRPr="00421AEE" w:rsidRDefault="00CB58F6" w:rsidP="001830B5">
      <w:pPr>
        <w:pStyle w:val="ActHead9"/>
        <w:rPr>
          <w:i w:val="0"/>
        </w:rPr>
      </w:pPr>
      <w:bookmarkStart w:id="23" w:name="_Toc110951160"/>
      <w:r w:rsidRPr="00421AEE">
        <w:t>Treasury Laws Amendment (Registries Modernisation and Other Measures) Act 2020</w:t>
      </w:r>
      <w:bookmarkEnd w:id="23"/>
    </w:p>
    <w:bookmarkEnd w:id="17"/>
    <w:p w14:paraId="3581F2A8" w14:textId="77777777" w:rsidR="00CB58F6" w:rsidRPr="00421AEE" w:rsidRDefault="00CB58F6" w:rsidP="001830B5">
      <w:pPr>
        <w:pStyle w:val="ItemHead"/>
      </w:pPr>
      <w:r w:rsidRPr="00421AEE">
        <w:t>6  Subsection 2(1) (table item 2)</w:t>
      </w:r>
    </w:p>
    <w:p w14:paraId="5546F61D" w14:textId="77777777" w:rsidR="00CB58F6" w:rsidRPr="00421AEE" w:rsidRDefault="00CB58F6" w:rsidP="001830B5">
      <w:pPr>
        <w:pStyle w:val="Item"/>
      </w:pPr>
      <w:r w:rsidRPr="00421AEE">
        <w:t>Repeal the item, substitute:</w:t>
      </w:r>
    </w:p>
    <w:tbl>
      <w:tblPr>
        <w:tblW w:w="7111" w:type="dxa"/>
        <w:tblInd w:w="214" w:type="dxa"/>
        <w:tblLayout w:type="fixed"/>
        <w:tblCellMar>
          <w:left w:w="107" w:type="dxa"/>
          <w:right w:w="107" w:type="dxa"/>
        </w:tblCellMar>
        <w:tblLook w:val="0000" w:firstRow="0" w:lastRow="0" w:firstColumn="0" w:lastColumn="0" w:noHBand="0" w:noVBand="0"/>
      </w:tblPr>
      <w:tblGrid>
        <w:gridCol w:w="1701"/>
        <w:gridCol w:w="3828"/>
        <w:gridCol w:w="1582"/>
      </w:tblGrid>
      <w:tr w:rsidR="00CB58F6" w:rsidRPr="00421AEE" w14:paraId="22FD48D6" w14:textId="77777777" w:rsidTr="009F7539">
        <w:tc>
          <w:tcPr>
            <w:tcW w:w="1701" w:type="dxa"/>
            <w:shd w:val="clear" w:color="auto" w:fill="auto"/>
          </w:tcPr>
          <w:p w14:paraId="1E5CA3A2" w14:textId="77777777" w:rsidR="00CB58F6" w:rsidRPr="00421AEE" w:rsidRDefault="00CB58F6" w:rsidP="001830B5">
            <w:pPr>
              <w:pStyle w:val="Tabletext"/>
            </w:pPr>
            <w:r w:rsidRPr="00421AEE">
              <w:t>2.  Schedule 1, items 1 to 1258</w:t>
            </w:r>
          </w:p>
        </w:tc>
        <w:tc>
          <w:tcPr>
            <w:tcW w:w="3828" w:type="dxa"/>
            <w:shd w:val="clear" w:color="auto" w:fill="auto"/>
          </w:tcPr>
          <w:p w14:paraId="62FE434F" w14:textId="77777777" w:rsidR="00CB58F6" w:rsidRPr="00421AEE" w:rsidRDefault="00CB58F6" w:rsidP="001830B5">
            <w:pPr>
              <w:pStyle w:val="Tabletext"/>
            </w:pPr>
            <w:r w:rsidRPr="00421AEE">
              <w:t>A day or days to be fixed by Proclamation.</w:t>
            </w:r>
          </w:p>
          <w:p w14:paraId="4F691626" w14:textId="77777777" w:rsidR="00CB58F6" w:rsidRPr="00421AEE" w:rsidRDefault="00CB58F6" w:rsidP="001830B5">
            <w:pPr>
              <w:pStyle w:val="Tabletext"/>
            </w:pPr>
            <w:r w:rsidRPr="00421AEE">
              <w:t xml:space="preserve">However, if any of the provisions do not commence before </w:t>
            </w:r>
            <w:r w:rsidR="0095795B" w:rsidRPr="00421AEE">
              <w:t>1 July</w:t>
            </w:r>
            <w:r w:rsidRPr="00421AEE">
              <w:t xml:space="preserve"> 2026, they commence on that day.</w:t>
            </w:r>
          </w:p>
        </w:tc>
        <w:tc>
          <w:tcPr>
            <w:tcW w:w="1582" w:type="dxa"/>
            <w:shd w:val="clear" w:color="auto" w:fill="auto"/>
          </w:tcPr>
          <w:p w14:paraId="0D839197" w14:textId="701E3D28" w:rsidR="00CB58F6" w:rsidRPr="00421AEE" w:rsidRDefault="00CB58F6" w:rsidP="001830B5">
            <w:pPr>
              <w:pStyle w:val="Tabletext"/>
            </w:pPr>
            <w:r w:rsidRPr="00421AEE">
              <w:t>Items 1</w:t>
            </w:r>
            <w:r w:rsidR="001830B5">
              <w:noBreakHyphen/>
            </w:r>
            <w:r w:rsidRPr="00421AEE">
              <w:t>19, 103: 4 April 2021</w:t>
            </w:r>
          </w:p>
          <w:p w14:paraId="0B7502E9" w14:textId="77777777" w:rsidR="00CB58F6" w:rsidRPr="00421AEE" w:rsidRDefault="00CB58F6" w:rsidP="001830B5">
            <w:pPr>
              <w:pStyle w:val="Tabletext"/>
            </w:pPr>
            <w:r w:rsidRPr="00421AEE">
              <w:t>(F2021N00065)</w:t>
            </w:r>
          </w:p>
        </w:tc>
      </w:tr>
    </w:tbl>
    <w:p w14:paraId="69E00950" w14:textId="77777777" w:rsidR="00CB58F6" w:rsidRPr="00421AEE" w:rsidRDefault="00CB58F6" w:rsidP="001830B5">
      <w:pPr>
        <w:pStyle w:val="ItemHead"/>
      </w:pPr>
      <w:r w:rsidRPr="00421AEE">
        <w:t>7  Subsection 2(1) (table item 5)</w:t>
      </w:r>
    </w:p>
    <w:p w14:paraId="52D23E84" w14:textId="77777777" w:rsidR="00CB58F6" w:rsidRPr="00421AEE" w:rsidRDefault="00CB58F6" w:rsidP="001830B5">
      <w:pPr>
        <w:pStyle w:val="Item"/>
      </w:pPr>
      <w:r w:rsidRPr="00421AEE">
        <w:t>Repeal the item, substitute:</w:t>
      </w:r>
    </w:p>
    <w:tbl>
      <w:tblPr>
        <w:tblW w:w="7111" w:type="dxa"/>
        <w:tblInd w:w="214" w:type="dxa"/>
        <w:tblLayout w:type="fixed"/>
        <w:tblCellMar>
          <w:left w:w="107" w:type="dxa"/>
          <w:right w:w="107" w:type="dxa"/>
        </w:tblCellMar>
        <w:tblLook w:val="0000" w:firstRow="0" w:lastRow="0" w:firstColumn="0" w:lastColumn="0" w:noHBand="0" w:noVBand="0"/>
      </w:tblPr>
      <w:tblGrid>
        <w:gridCol w:w="1701"/>
        <w:gridCol w:w="3828"/>
        <w:gridCol w:w="1582"/>
      </w:tblGrid>
      <w:tr w:rsidR="00CB58F6" w:rsidRPr="00421AEE" w14:paraId="1CEC2CA3" w14:textId="77777777" w:rsidTr="009F7539">
        <w:tc>
          <w:tcPr>
            <w:tcW w:w="1701" w:type="dxa"/>
            <w:shd w:val="clear" w:color="auto" w:fill="auto"/>
          </w:tcPr>
          <w:p w14:paraId="66B542D7" w14:textId="77777777" w:rsidR="00CB58F6" w:rsidRPr="00421AEE" w:rsidRDefault="00CB58F6" w:rsidP="001830B5">
            <w:pPr>
              <w:pStyle w:val="Tabletext"/>
            </w:pPr>
            <w:r w:rsidRPr="00421AEE">
              <w:t>5.  Schedule 1, items 1262 to 1467</w:t>
            </w:r>
          </w:p>
        </w:tc>
        <w:tc>
          <w:tcPr>
            <w:tcW w:w="3828" w:type="dxa"/>
            <w:shd w:val="clear" w:color="auto" w:fill="auto"/>
          </w:tcPr>
          <w:p w14:paraId="52D219BB" w14:textId="77777777" w:rsidR="00CB58F6" w:rsidRPr="00421AEE" w:rsidRDefault="00CB58F6" w:rsidP="001830B5">
            <w:pPr>
              <w:pStyle w:val="Tabletext"/>
            </w:pPr>
            <w:r w:rsidRPr="00421AEE">
              <w:t>A day or days to be fixed by Proclamation.</w:t>
            </w:r>
          </w:p>
          <w:p w14:paraId="6131FCCA" w14:textId="77777777" w:rsidR="00CB58F6" w:rsidRPr="00421AEE" w:rsidRDefault="00CB58F6" w:rsidP="001830B5">
            <w:pPr>
              <w:pStyle w:val="Tabletext"/>
            </w:pPr>
            <w:r w:rsidRPr="00421AEE">
              <w:t xml:space="preserve">However, if any of the provisions do not commence before </w:t>
            </w:r>
            <w:r w:rsidR="0095795B" w:rsidRPr="00421AEE">
              <w:t>1 July</w:t>
            </w:r>
            <w:r w:rsidRPr="00421AEE">
              <w:t xml:space="preserve"> 2026, they commence on that day.</w:t>
            </w:r>
          </w:p>
        </w:tc>
        <w:tc>
          <w:tcPr>
            <w:tcW w:w="1582" w:type="dxa"/>
            <w:shd w:val="clear" w:color="auto" w:fill="auto"/>
          </w:tcPr>
          <w:p w14:paraId="55BBB3C3" w14:textId="77777777" w:rsidR="00CB58F6" w:rsidRPr="00421AEE" w:rsidRDefault="00CB58F6" w:rsidP="001830B5">
            <w:pPr>
              <w:pStyle w:val="Tabletext"/>
            </w:pPr>
          </w:p>
        </w:tc>
      </w:tr>
    </w:tbl>
    <w:p w14:paraId="2B79392A" w14:textId="77777777" w:rsidR="00CB58F6" w:rsidRPr="00421AEE" w:rsidRDefault="00CB58F6" w:rsidP="001830B5">
      <w:pPr>
        <w:pStyle w:val="ItemHead"/>
      </w:pPr>
      <w:r w:rsidRPr="00421AEE">
        <w:t>8  Items 359, 1315 and 1414 of Schedule 1</w:t>
      </w:r>
    </w:p>
    <w:p w14:paraId="6492D2D4" w14:textId="77777777" w:rsidR="00CB58F6" w:rsidRPr="00421AEE" w:rsidRDefault="00CB58F6" w:rsidP="001830B5">
      <w:pPr>
        <w:pStyle w:val="Item"/>
      </w:pPr>
      <w:r w:rsidRPr="00421AEE">
        <w:t>Repeal the items.</w:t>
      </w:r>
    </w:p>
    <w:p w14:paraId="6FAEEF4C" w14:textId="77777777" w:rsidR="00CB58F6" w:rsidRPr="00421AEE" w:rsidRDefault="00CB58F6" w:rsidP="001830B5">
      <w:pPr>
        <w:pStyle w:val="Transitional"/>
      </w:pPr>
      <w:r w:rsidRPr="00421AEE">
        <w:t>9  Application of amendments of commencement table</w:t>
      </w:r>
    </w:p>
    <w:p w14:paraId="251F201C" w14:textId="77777777" w:rsidR="00CB58F6" w:rsidRPr="00421AEE" w:rsidRDefault="00CB58F6" w:rsidP="001830B5">
      <w:pPr>
        <w:pStyle w:val="Item"/>
      </w:pPr>
      <w:r w:rsidRPr="00421AEE">
        <w:t xml:space="preserve">If, before 22 June 2022, an item of Schedule 1 to the </w:t>
      </w:r>
      <w:r w:rsidRPr="00421AEE">
        <w:rPr>
          <w:i/>
        </w:rPr>
        <w:t>Treasury Laws Amendment (Registries Modernisation and Other Measures) Act 2020</w:t>
      </w:r>
      <w:r w:rsidRPr="00421AEE">
        <w:t xml:space="preserve"> has commenced, the amendments of subsection 2(1) of that Act made by this Part do not affect the commencement of that item.</w:t>
      </w:r>
    </w:p>
    <w:p w14:paraId="361FA26C" w14:textId="77777777" w:rsidR="00CB58F6" w:rsidRPr="00421AEE" w:rsidRDefault="00CB58F6" w:rsidP="001830B5">
      <w:pPr>
        <w:pStyle w:val="ActHead7"/>
        <w:pageBreakBefore/>
      </w:pPr>
      <w:bookmarkStart w:id="24" w:name="_Toc110951161"/>
      <w:bookmarkEnd w:id="18"/>
      <w:r w:rsidRPr="001830B5">
        <w:rPr>
          <w:rStyle w:val="CharAmPartNo"/>
        </w:rPr>
        <w:t>Part 2</w:t>
      </w:r>
      <w:r w:rsidRPr="00421AEE">
        <w:t>—</w:t>
      </w:r>
      <w:r w:rsidRPr="001830B5">
        <w:rPr>
          <w:rStyle w:val="CharAmPartText"/>
        </w:rPr>
        <w:t>Application of registries modernisation amendments</w:t>
      </w:r>
      <w:bookmarkEnd w:id="24"/>
    </w:p>
    <w:p w14:paraId="76A6D150" w14:textId="77777777" w:rsidR="00CB58F6" w:rsidRPr="00421AEE" w:rsidRDefault="00CB58F6" w:rsidP="001830B5">
      <w:pPr>
        <w:pStyle w:val="ActHead9"/>
      </w:pPr>
      <w:bookmarkStart w:id="25" w:name="_Toc110951162"/>
      <w:r w:rsidRPr="00421AEE">
        <w:t>Australian Securities and Investments Commission Act 2001</w:t>
      </w:r>
      <w:bookmarkEnd w:id="25"/>
    </w:p>
    <w:p w14:paraId="78B8E039" w14:textId="77777777" w:rsidR="00CB58F6" w:rsidRPr="00421AEE" w:rsidRDefault="00CB58F6" w:rsidP="001830B5">
      <w:pPr>
        <w:pStyle w:val="ItemHead"/>
      </w:pPr>
      <w:r w:rsidRPr="00421AEE">
        <w:t>10  In the appropriate position</w:t>
      </w:r>
    </w:p>
    <w:p w14:paraId="677ED5C7" w14:textId="77777777" w:rsidR="00CB58F6" w:rsidRPr="00421AEE" w:rsidRDefault="00CB58F6" w:rsidP="001830B5">
      <w:pPr>
        <w:pStyle w:val="Item"/>
      </w:pPr>
      <w:r w:rsidRPr="00421AEE">
        <w:t>Insert:</w:t>
      </w:r>
    </w:p>
    <w:p w14:paraId="07DC22DD" w14:textId="77777777" w:rsidR="00CB58F6" w:rsidRPr="00421AEE" w:rsidRDefault="00CB58F6" w:rsidP="001830B5">
      <w:pPr>
        <w:pStyle w:val="ActHead2"/>
      </w:pPr>
      <w:bookmarkStart w:id="26" w:name="_Toc110951163"/>
      <w:r w:rsidRPr="001830B5">
        <w:rPr>
          <w:rStyle w:val="CharPartNo"/>
        </w:rPr>
        <w:t>Part 37</w:t>
      </w:r>
      <w:r w:rsidRPr="00421AEE">
        <w:t>—</w:t>
      </w:r>
      <w:r w:rsidRPr="001830B5">
        <w:rPr>
          <w:rStyle w:val="CharPartText"/>
        </w:rPr>
        <w:t>Application and transitional provisions for the Treasury Laws Amendment (Registries Modernisation and Other Measures) Act 2020</w:t>
      </w:r>
      <w:bookmarkEnd w:id="26"/>
    </w:p>
    <w:p w14:paraId="23323D85" w14:textId="77777777" w:rsidR="00CB58F6" w:rsidRPr="00961C41" w:rsidRDefault="00CB58F6" w:rsidP="001830B5">
      <w:pPr>
        <w:pStyle w:val="Header"/>
      </w:pPr>
      <w:r w:rsidRPr="001830B5">
        <w:rPr>
          <w:rStyle w:val="CharDivNo"/>
        </w:rPr>
        <w:t xml:space="preserve"> </w:t>
      </w:r>
      <w:r w:rsidRPr="001830B5">
        <w:rPr>
          <w:rStyle w:val="CharDivText"/>
        </w:rPr>
        <w:t xml:space="preserve"> </w:t>
      </w:r>
    </w:p>
    <w:p w14:paraId="596EEADC" w14:textId="77777777" w:rsidR="00CB58F6" w:rsidRPr="00421AEE" w:rsidRDefault="00CB58F6" w:rsidP="001830B5">
      <w:pPr>
        <w:pStyle w:val="ActHead5"/>
      </w:pPr>
      <w:bookmarkStart w:id="27" w:name="_Toc110951164"/>
      <w:r w:rsidRPr="001830B5">
        <w:rPr>
          <w:rStyle w:val="CharSectno"/>
        </w:rPr>
        <w:t>337</w:t>
      </w:r>
      <w:r w:rsidRPr="00421AEE">
        <w:t xml:space="preserve">  Definitions</w:t>
      </w:r>
      <w:bookmarkEnd w:id="27"/>
    </w:p>
    <w:p w14:paraId="0F34E812" w14:textId="77777777" w:rsidR="00CB58F6" w:rsidRPr="00421AEE" w:rsidRDefault="00CB58F6" w:rsidP="001830B5">
      <w:pPr>
        <w:pStyle w:val="subsection"/>
      </w:pPr>
      <w:r w:rsidRPr="00421AEE">
        <w:tab/>
      </w:r>
      <w:r w:rsidRPr="00421AEE">
        <w:tab/>
        <w:t>In this Part:</w:t>
      </w:r>
    </w:p>
    <w:p w14:paraId="7BB7AE76" w14:textId="77777777" w:rsidR="00CB58F6" w:rsidRPr="00421AEE" w:rsidRDefault="00CB58F6" w:rsidP="001830B5">
      <w:pPr>
        <w:pStyle w:val="Definition"/>
      </w:pPr>
      <w:r w:rsidRPr="00421AEE">
        <w:rPr>
          <w:b/>
          <w:i/>
        </w:rPr>
        <w:t>interim period</w:t>
      </w:r>
      <w:r w:rsidRPr="00421AEE">
        <w:t xml:space="preserve"> means the period:</w:t>
      </w:r>
    </w:p>
    <w:p w14:paraId="50ACE059" w14:textId="77777777" w:rsidR="00CB58F6" w:rsidRPr="00421AEE" w:rsidRDefault="00CB58F6" w:rsidP="001830B5">
      <w:pPr>
        <w:pStyle w:val="paragraph"/>
      </w:pPr>
      <w:r w:rsidRPr="00421AEE">
        <w:tab/>
        <w:t>(a)</w:t>
      </w:r>
      <w:r w:rsidRPr="00421AEE">
        <w:tab/>
        <w:t>starting at the start of 22 June 2022; and</w:t>
      </w:r>
    </w:p>
    <w:p w14:paraId="13279D5D" w14:textId="77777777" w:rsidR="00CB58F6" w:rsidRPr="00421AEE" w:rsidRDefault="00CB58F6" w:rsidP="001830B5">
      <w:pPr>
        <w:pStyle w:val="paragraph"/>
      </w:pPr>
      <w:r w:rsidRPr="00421AEE">
        <w:tab/>
        <w:t>(b)</w:t>
      </w:r>
      <w:r w:rsidRPr="00421AEE">
        <w:tab/>
        <w:t xml:space="preserve">ending at the end of the day before the day on which Part 2 of </w:t>
      </w:r>
      <w:r w:rsidR="009F7539" w:rsidRPr="00421AEE">
        <w:t>Schedule 4</w:t>
      </w:r>
      <w:r w:rsidRPr="00421AEE">
        <w:t xml:space="preserve"> to the </w:t>
      </w:r>
      <w:r w:rsidRPr="00421AEE">
        <w:rPr>
          <w:i/>
        </w:rPr>
        <w:t>Treasury Laws Amendment (2022 Measures No. 1) Act 2022</w:t>
      </w:r>
      <w:r w:rsidRPr="00421AEE">
        <w:t xml:space="preserve"> commences.</w:t>
      </w:r>
    </w:p>
    <w:p w14:paraId="71CCA2E4" w14:textId="77777777" w:rsidR="00CB58F6" w:rsidRPr="00421AEE" w:rsidRDefault="00CB58F6" w:rsidP="001830B5">
      <w:pPr>
        <w:pStyle w:val="Definition"/>
      </w:pPr>
      <w:r w:rsidRPr="00421AEE">
        <w:rPr>
          <w:b/>
          <w:i/>
        </w:rPr>
        <w:t>postponed item</w:t>
      </w:r>
      <w:r w:rsidRPr="00421AEE">
        <w:t xml:space="preserve"> means any of the following that commenced on 22 June 2022 (disregarding Part 1 of </w:t>
      </w:r>
      <w:r w:rsidR="009F7539" w:rsidRPr="00421AEE">
        <w:t>Schedule 4</w:t>
      </w:r>
      <w:r w:rsidRPr="00421AEE">
        <w:t xml:space="preserve"> to the </w:t>
      </w:r>
      <w:r w:rsidRPr="00421AEE">
        <w:rPr>
          <w:i/>
        </w:rPr>
        <w:t>Treasury Laws Amendment (2022 Measures No. 1) Act 2022</w:t>
      </w:r>
      <w:r w:rsidRPr="00421AEE">
        <w:t>):</w:t>
      </w:r>
    </w:p>
    <w:p w14:paraId="5292082D" w14:textId="77777777" w:rsidR="00CB58F6" w:rsidRPr="00421AEE" w:rsidRDefault="00CB58F6" w:rsidP="001830B5">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47509039" w14:textId="77777777" w:rsidR="00CB58F6" w:rsidRPr="00421AEE" w:rsidRDefault="00CB58F6" w:rsidP="001830B5">
      <w:pPr>
        <w:pStyle w:val="paragraph"/>
      </w:pPr>
      <w:r w:rsidRPr="00421AEE">
        <w:tab/>
        <w:t>(b)</w:t>
      </w:r>
      <w:r w:rsidRPr="00421AEE">
        <w:tab/>
        <w:t>an item of Part 3 of Schedule 1 to the</w:t>
      </w:r>
      <w:bookmarkStart w:id="28" w:name="_Hlk107229233"/>
      <w:r w:rsidRPr="00421AEE">
        <w:t xml:space="preserve"> </w:t>
      </w:r>
      <w:r w:rsidRPr="00421AEE">
        <w:rPr>
          <w:i/>
        </w:rPr>
        <w:t>Financial Sector Reform (Hayne Royal Commission Response—Better Advice) Act 2021</w:t>
      </w:r>
      <w:bookmarkEnd w:id="28"/>
      <w:r w:rsidRPr="00421AEE">
        <w:t>;</w:t>
      </w:r>
    </w:p>
    <w:p w14:paraId="78B9A76E" w14:textId="77777777" w:rsidR="00CB58F6" w:rsidRPr="00421AEE" w:rsidRDefault="00CB58F6" w:rsidP="001830B5">
      <w:pPr>
        <w:pStyle w:val="paragraph"/>
      </w:pPr>
      <w:r w:rsidRPr="00421AEE">
        <w:tab/>
        <w:t>(c)</w:t>
      </w:r>
      <w:r w:rsidRPr="00421AEE">
        <w:tab/>
        <w:t xml:space="preserve">an item of Part 4 of </w:t>
      </w:r>
      <w:r w:rsidR="0095795B" w:rsidRPr="00421AEE">
        <w:t>Schedule 2</w:t>
      </w:r>
      <w:r w:rsidRPr="00421AEE">
        <w:t xml:space="preserve"> to the </w:t>
      </w:r>
      <w:r w:rsidRPr="00421AEE">
        <w:rPr>
          <w:i/>
        </w:rPr>
        <w:t>Treasury Laws Amendment (2021 Measures No. 1) Act 2021</w:t>
      </w:r>
      <w:r w:rsidRPr="00421AEE">
        <w:t>.</w:t>
      </w:r>
    </w:p>
    <w:p w14:paraId="0559272B" w14:textId="77777777" w:rsidR="00CB58F6" w:rsidRPr="00421AEE" w:rsidRDefault="00CB58F6" w:rsidP="001830B5">
      <w:pPr>
        <w:pStyle w:val="notetext"/>
      </w:pPr>
      <w:r w:rsidRPr="00421AEE">
        <w:t>Note</w:t>
      </w:r>
      <w:r w:rsidRPr="00421AEE">
        <w:tab/>
        <w:t xml:space="preserve">Item 103 of Schedule 1 to the </w:t>
      </w:r>
      <w:r w:rsidRPr="00421AEE">
        <w:rPr>
          <w:i/>
        </w:rPr>
        <w:t xml:space="preserve">Treasury Laws Amendment (Registries Modernisation and Other Measures) Act 2020 </w:t>
      </w:r>
      <w:r w:rsidRPr="00421AEE">
        <w:t>is not covered by paragraph (a) because that item commenced on 4 April 2021.</w:t>
      </w:r>
    </w:p>
    <w:p w14:paraId="48404801" w14:textId="77777777" w:rsidR="00CB58F6" w:rsidRPr="00421AEE" w:rsidRDefault="00CB58F6" w:rsidP="001830B5">
      <w:pPr>
        <w:pStyle w:val="ActHead5"/>
      </w:pPr>
      <w:bookmarkStart w:id="29" w:name="_Toc110951165"/>
      <w:r w:rsidRPr="001830B5">
        <w:rPr>
          <w:rStyle w:val="CharSectno"/>
        </w:rPr>
        <w:t>338</w:t>
      </w:r>
      <w:r w:rsidRPr="00421AEE">
        <w:t xml:space="preserve">  Validation of acts or things done during interim period</w:t>
      </w:r>
      <w:bookmarkEnd w:id="29"/>
    </w:p>
    <w:p w14:paraId="65172EB8" w14:textId="77777777" w:rsidR="00CB58F6" w:rsidRPr="00421AEE" w:rsidRDefault="00CB58F6" w:rsidP="001830B5">
      <w:pPr>
        <w:pStyle w:val="SubsectionHead"/>
      </w:pPr>
      <w:r w:rsidRPr="00421AEE">
        <w:t>Object</w:t>
      </w:r>
    </w:p>
    <w:p w14:paraId="45683950" w14:textId="77777777" w:rsidR="00CB58F6" w:rsidRPr="00421AEE" w:rsidRDefault="00CB58F6" w:rsidP="001830B5">
      <w:pPr>
        <w:pStyle w:val="subsection"/>
      </w:pPr>
      <w:r w:rsidRPr="00421AEE">
        <w:tab/>
        <w:t>(1)</w:t>
      </w:r>
      <w:r w:rsidRPr="00421AEE">
        <w:tab/>
        <w:t>The object of this section is to treat all situations during the interim period in every respect as if:</w:t>
      </w:r>
    </w:p>
    <w:p w14:paraId="4A6B7E30"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18D4E642" w14:textId="77777777" w:rsidR="00CB58F6" w:rsidRPr="00421AEE" w:rsidRDefault="00CB58F6" w:rsidP="001830B5">
      <w:pPr>
        <w:pStyle w:val="paragraph"/>
      </w:pPr>
      <w:r w:rsidRPr="00421AEE">
        <w:tab/>
        <w:t>(b)</w:t>
      </w:r>
      <w:r w:rsidRPr="00421AEE">
        <w:tab/>
        <w:t>the amendments made by the postponed items had not been made at the start of 22 June 2022 and had had no effect during the interim period.</w:t>
      </w:r>
    </w:p>
    <w:p w14:paraId="3A923E41" w14:textId="77777777" w:rsidR="00CB58F6" w:rsidRPr="00421AEE" w:rsidRDefault="00CB58F6" w:rsidP="001830B5">
      <w:pPr>
        <w:pStyle w:val="SubsectionHead"/>
      </w:pPr>
      <w:r w:rsidRPr="00421AEE">
        <w:t>Validation of acts and things done in interim period</w:t>
      </w:r>
    </w:p>
    <w:p w14:paraId="176B1A02" w14:textId="77777777" w:rsidR="00CB58F6" w:rsidRPr="00421AEE" w:rsidRDefault="00CB58F6" w:rsidP="001830B5">
      <w:pPr>
        <w:pStyle w:val="subsection"/>
      </w:pPr>
      <w:r w:rsidRPr="00421AEE">
        <w:tab/>
        <w:t>(2)</w:t>
      </w:r>
      <w:r w:rsidRPr="00421AEE">
        <w:tab/>
        <w:t>An act or thing that was done at any time during the interim period is as valid, and is taken always to have been as valid, as it would have been if:</w:t>
      </w:r>
    </w:p>
    <w:p w14:paraId="02D182C4"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3A9249FB" w14:textId="77777777" w:rsidR="00CB58F6" w:rsidRPr="00421AEE" w:rsidRDefault="00CB58F6" w:rsidP="001830B5">
      <w:pPr>
        <w:pStyle w:val="paragraph"/>
      </w:pPr>
      <w:r w:rsidRPr="00421AEE">
        <w:tab/>
        <w:t>(b)</w:t>
      </w:r>
      <w:r w:rsidRPr="00421AEE">
        <w:tab/>
        <w:t>in particular, the amendments made by the postponed items had not been made at the start of 22 June 2022 and had had no effect during the interim period.</w:t>
      </w:r>
    </w:p>
    <w:p w14:paraId="192D058B" w14:textId="77777777" w:rsidR="00CB58F6" w:rsidRPr="00421AEE" w:rsidRDefault="00CB58F6" w:rsidP="001830B5">
      <w:pPr>
        <w:pStyle w:val="SubsectionHead"/>
      </w:pPr>
      <w:r w:rsidRPr="00421AEE">
        <w:t>Continuation of delegations</w:t>
      </w:r>
    </w:p>
    <w:p w14:paraId="6F3A6A6D" w14:textId="77777777" w:rsidR="00CB58F6" w:rsidRPr="00421AEE" w:rsidRDefault="00CB58F6" w:rsidP="001830B5">
      <w:pPr>
        <w:pStyle w:val="subsection"/>
      </w:pPr>
      <w:r w:rsidRPr="00421AEE">
        <w:tab/>
        <w:t>(3)</w:t>
      </w:r>
      <w:r w:rsidRPr="00421AEE">
        <w:tab/>
        <w:t>Without limiting subsection (2), if:</w:t>
      </w:r>
    </w:p>
    <w:p w14:paraId="2F11DBFF" w14:textId="77777777" w:rsidR="00CB58F6" w:rsidRPr="00421AEE" w:rsidRDefault="00CB58F6" w:rsidP="001830B5">
      <w:pPr>
        <w:pStyle w:val="paragraph"/>
      </w:pPr>
      <w:r w:rsidRPr="00421AEE">
        <w:tab/>
        <w:t>(a)</w:t>
      </w:r>
      <w:r w:rsidRPr="00421AEE">
        <w:tab/>
        <w:t xml:space="preserve">a function or power conferred by this Act or the </w:t>
      </w:r>
      <w:r w:rsidRPr="00421AEE">
        <w:rPr>
          <w:i/>
        </w:rPr>
        <w:t>Public Governance, Performance and Accountability Act 2013</w:t>
      </w:r>
      <w:r w:rsidRPr="00421AEE">
        <w:t xml:space="preserve"> was delegated to a person; and</w:t>
      </w:r>
    </w:p>
    <w:p w14:paraId="5B319DFA" w14:textId="77777777" w:rsidR="00CB58F6" w:rsidRPr="00421AEE" w:rsidRDefault="00CB58F6" w:rsidP="001830B5">
      <w:pPr>
        <w:pStyle w:val="paragraph"/>
      </w:pPr>
      <w:r w:rsidRPr="00421AEE">
        <w:tab/>
        <w:t>(b)</w:t>
      </w:r>
      <w:r w:rsidRPr="00421AEE">
        <w:tab/>
        <w:t>the delegation was in force immediately before 22 June 2022; and</w:t>
      </w:r>
    </w:p>
    <w:p w14:paraId="19865F95" w14:textId="77777777" w:rsidR="00CB58F6" w:rsidRPr="00421AEE" w:rsidRDefault="00CB58F6" w:rsidP="001830B5">
      <w:pPr>
        <w:pStyle w:val="paragraph"/>
      </w:pPr>
      <w:r w:rsidRPr="00421AEE">
        <w:tab/>
        <w:t>(c)</w:t>
      </w:r>
      <w:r w:rsidRPr="00421AEE">
        <w:tab/>
        <w:t>but for this subsection, the delegation would have ceased to have effect at the start of 22 June 2022 because of any of the amendments made by the postponed items;</w:t>
      </w:r>
    </w:p>
    <w:p w14:paraId="530D8FD9" w14:textId="77777777" w:rsidR="00CB58F6" w:rsidRPr="00421AEE" w:rsidRDefault="00CB58F6" w:rsidP="001830B5">
      <w:pPr>
        <w:pStyle w:val="subsection2"/>
      </w:pPr>
      <w:r w:rsidRPr="00421AEE">
        <w:t>then:</w:t>
      </w:r>
    </w:p>
    <w:p w14:paraId="4A5464ED" w14:textId="77777777" w:rsidR="00CB58F6" w:rsidRPr="00421AEE" w:rsidRDefault="00CB58F6" w:rsidP="001830B5">
      <w:pPr>
        <w:pStyle w:val="paragraph"/>
      </w:pPr>
      <w:r w:rsidRPr="00421AEE">
        <w:tab/>
        <w:t>(d)</w:t>
      </w:r>
      <w:r w:rsidRPr="00421AEE">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22B0C3EC" w14:textId="77777777" w:rsidR="00CB58F6" w:rsidRPr="00421AEE" w:rsidRDefault="00CB58F6" w:rsidP="001830B5">
      <w:pPr>
        <w:pStyle w:val="paragraph"/>
      </w:pPr>
      <w:r w:rsidRPr="00421AEE">
        <w:tab/>
        <w:t>(e)</w:t>
      </w:r>
      <w:r w:rsidRPr="00421AEE">
        <w:tab/>
        <w:t xml:space="preserve">the delegation has effect, on and after the day section 1 of the </w:t>
      </w:r>
      <w:r w:rsidRPr="00421AEE">
        <w:rPr>
          <w:i/>
        </w:rPr>
        <w:t>Treasury Laws Amendment (2022 Measures No. 1) Act 2022</w:t>
      </w:r>
      <w:r w:rsidRPr="00421AEE">
        <w:t xml:space="preserve"> commences, as if it had been made at the time that section commences.</w:t>
      </w:r>
    </w:p>
    <w:p w14:paraId="7258F6D2" w14:textId="77777777" w:rsidR="00CB58F6" w:rsidRPr="00421AEE" w:rsidRDefault="00CB58F6" w:rsidP="001830B5">
      <w:pPr>
        <w:pStyle w:val="SubsectionHead"/>
      </w:pPr>
      <w:r w:rsidRPr="00421AEE">
        <w:t>Acts and things to which this section applies</w:t>
      </w:r>
    </w:p>
    <w:p w14:paraId="5A01B812" w14:textId="77777777" w:rsidR="00CB58F6" w:rsidRPr="00421AEE" w:rsidRDefault="00CB58F6" w:rsidP="001830B5">
      <w:pPr>
        <w:pStyle w:val="subsection"/>
      </w:pPr>
      <w:r w:rsidRPr="00421AEE">
        <w:tab/>
        <w:t>(4)</w:t>
      </w:r>
      <w:r w:rsidRPr="00421AEE">
        <w:tab/>
        <w:t>This section applies to an act or thing, regardless of the basis on which, or capacity in which, the act or thing was done or purported to be done.</w:t>
      </w:r>
    </w:p>
    <w:p w14:paraId="0EFF6608" w14:textId="77777777" w:rsidR="00CB58F6" w:rsidRPr="00421AEE" w:rsidRDefault="00CB58F6" w:rsidP="001830B5">
      <w:pPr>
        <w:pStyle w:val="ActHead5"/>
      </w:pPr>
      <w:bookmarkStart w:id="30" w:name="_Toc110951166"/>
      <w:r w:rsidRPr="001830B5">
        <w:rPr>
          <w:rStyle w:val="CharSectno"/>
        </w:rPr>
        <w:t>339</w:t>
      </w:r>
      <w:r w:rsidRPr="00421AEE">
        <w:t xml:space="preserve">  Application of </w:t>
      </w:r>
      <w:r w:rsidR="009F7539" w:rsidRPr="00421AEE">
        <w:t>item 1</w:t>
      </w:r>
      <w:r w:rsidRPr="00421AEE">
        <w:t>02 of Schedule 1 to the Treasury Laws Amendment (Registries Modernisation and Other Measures) Act 2020</w:t>
      </w:r>
      <w:bookmarkEnd w:id="30"/>
    </w:p>
    <w:p w14:paraId="76F9EC10" w14:textId="77777777" w:rsidR="00CB58F6" w:rsidRPr="00421AEE" w:rsidRDefault="00CB58F6" w:rsidP="001830B5">
      <w:pPr>
        <w:pStyle w:val="subsection"/>
      </w:pPr>
      <w:r w:rsidRPr="00421AEE">
        <w:tab/>
        <w:t>(1)</w:t>
      </w:r>
      <w:r w:rsidRPr="00421AEE">
        <w:tab/>
        <w:t xml:space="preserve">The amendment of section 12A made by </w:t>
      </w:r>
      <w:r w:rsidR="009F7539" w:rsidRPr="00421AEE">
        <w:t>item 1</w:t>
      </w:r>
      <w:r w:rsidRPr="00421AEE">
        <w:t xml:space="preserve">02 of Schedule 1 to the </w:t>
      </w:r>
      <w:r w:rsidRPr="00421AEE">
        <w:rPr>
          <w:i/>
        </w:rPr>
        <w:t>Treasury Laws Amendment (Registries Modernisation and Other Measures) Act 2020</w:t>
      </w:r>
      <w:r w:rsidRPr="00421AEE">
        <w:t xml:space="preserve"> applies, in relation to a matter (the </w:t>
      </w:r>
      <w:r w:rsidRPr="00421AEE">
        <w:rPr>
          <w:b/>
          <w:i/>
        </w:rPr>
        <w:t>relevant matter</w:t>
      </w:r>
      <w:r w:rsidRPr="00421AEE">
        <w:t>), on and after the earliest of the following days:</w:t>
      </w:r>
    </w:p>
    <w:p w14:paraId="6CE213A0" w14:textId="77777777" w:rsidR="00CB58F6" w:rsidRPr="00421AEE" w:rsidRDefault="00CB58F6" w:rsidP="001830B5">
      <w:pPr>
        <w:pStyle w:val="paragraph"/>
      </w:pPr>
      <w:r w:rsidRPr="00421AEE">
        <w:tab/>
        <w:t>(a)</w:t>
      </w:r>
      <w:r w:rsidRPr="00421AEE">
        <w:tab/>
        <w:t>if a notifiable instrument is in force under paragraph (2)(a) of this section—the day the instrument specifies;</w:t>
      </w:r>
    </w:p>
    <w:p w14:paraId="3817DE08" w14:textId="77777777" w:rsidR="00CB58F6" w:rsidRPr="00421AEE" w:rsidRDefault="00CB58F6" w:rsidP="001830B5">
      <w:pPr>
        <w:pStyle w:val="paragraph"/>
      </w:pPr>
      <w:r w:rsidRPr="00421AEE">
        <w:tab/>
        <w:t>(b)</w:t>
      </w:r>
      <w:r w:rsidRPr="00421AEE">
        <w:tab/>
        <w:t>if a notifiable instrument is in force under paragraph (2)(b) of this section that specifies matters that include the relevant matter—the day the instrument specifies in relation to those matters;</w:t>
      </w:r>
    </w:p>
    <w:p w14:paraId="06ADAAF5" w14:textId="77777777" w:rsidR="00CB58F6" w:rsidRPr="00421AEE" w:rsidRDefault="00CB58F6" w:rsidP="001830B5">
      <w:pPr>
        <w:pStyle w:val="paragraph"/>
      </w:pPr>
      <w:r w:rsidRPr="00421AEE">
        <w:tab/>
        <w:t>(c)</w:t>
      </w:r>
      <w:r w:rsidRPr="00421AEE">
        <w:tab/>
      </w:r>
      <w:r w:rsidR="0095795B" w:rsidRPr="00421AEE">
        <w:t>1 July</w:t>
      </w:r>
      <w:r w:rsidRPr="00421AEE">
        <w:t xml:space="preserve"> 2026.</w:t>
      </w:r>
    </w:p>
    <w:p w14:paraId="4F842882" w14:textId="77777777" w:rsidR="00CB58F6" w:rsidRPr="00421AEE" w:rsidRDefault="00CB58F6" w:rsidP="001830B5">
      <w:pPr>
        <w:pStyle w:val="notetext"/>
      </w:pPr>
      <w:r w:rsidRPr="00421AEE">
        <w:t>Note:</w:t>
      </w:r>
      <w:r w:rsidRPr="00421AEE">
        <w:tab/>
        <w:t>Section 12A, as in force immediately before the commencement day for the amending item, will continue to apply in relation to the relevant matter until the day that applies under this subsection.</w:t>
      </w:r>
    </w:p>
    <w:p w14:paraId="1C12E336" w14:textId="77777777" w:rsidR="00CB58F6" w:rsidRPr="00421AEE" w:rsidRDefault="00CB58F6" w:rsidP="001830B5">
      <w:pPr>
        <w:pStyle w:val="subsection"/>
      </w:pPr>
      <w:r w:rsidRPr="00421AEE">
        <w:tab/>
        <w:t>(2)</w:t>
      </w:r>
      <w:r w:rsidRPr="00421AEE">
        <w:tab/>
        <w:t>The Minister:</w:t>
      </w:r>
    </w:p>
    <w:p w14:paraId="1BA35C3F" w14:textId="77777777" w:rsidR="00CB58F6" w:rsidRPr="00421AEE" w:rsidRDefault="00CB58F6" w:rsidP="001830B5">
      <w:pPr>
        <w:pStyle w:val="paragraph"/>
      </w:pPr>
      <w:r w:rsidRPr="00421AEE">
        <w:tab/>
        <w:t>(a)</w:t>
      </w:r>
      <w:r w:rsidRPr="00421AEE">
        <w:tab/>
        <w:t>may by notifiable instrument specify a day for the purposes of paragraph (1)(a); and</w:t>
      </w:r>
    </w:p>
    <w:p w14:paraId="65169741" w14:textId="77777777" w:rsidR="00CB58F6" w:rsidRPr="00421AEE" w:rsidRDefault="00CB58F6" w:rsidP="001830B5">
      <w:pPr>
        <w:pStyle w:val="paragraph"/>
      </w:pPr>
      <w:r w:rsidRPr="00421AEE">
        <w:tab/>
        <w:t>(b)</w:t>
      </w:r>
      <w:r w:rsidRPr="00421AEE">
        <w:tab/>
        <w:t>may by notifiable instrument specify days and matters for the purposes of paragraph (1)(b).</w:t>
      </w:r>
    </w:p>
    <w:p w14:paraId="2EB5858F" w14:textId="77777777" w:rsidR="00CB58F6" w:rsidRPr="00421AEE" w:rsidRDefault="00CB58F6" w:rsidP="001830B5">
      <w:pPr>
        <w:pStyle w:val="notetext"/>
      </w:pPr>
      <w:r w:rsidRPr="00421AEE">
        <w:t>Note:</w:t>
      </w:r>
      <w:r w:rsidRPr="00421AEE">
        <w:tab/>
        <w:t xml:space="preserve">For specification by class, see subsection 13(3) of the </w:t>
      </w:r>
      <w:r w:rsidRPr="00421AEE">
        <w:rPr>
          <w:i/>
        </w:rPr>
        <w:t>Legislation Act 2003</w:t>
      </w:r>
      <w:r w:rsidRPr="00421AEE">
        <w:t>.</w:t>
      </w:r>
    </w:p>
    <w:p w14:paraId="04D19CD7" w14:textId="77777777" w:rsidR="00CB58F6" w:rsidRPr="00421AEE" w:rsidRDefault="00CB58F6" w:rsidP="001830B5">
      <w:pPr>
        <w:pStyle w:val="subsection"/>
      </w:pPr>
      <w:r w:rsidRPr="00421AEE">
        <w:tab/>
        <w:t>(3)</w:t>
      </w:r>
      <w:r w:rsidRPr="00421AEE">
        <w:tab/>
        <w:t>A day specified in a notifiable instrument made under subsection (2) must be:</w:t>
      </w:r>
    </w:p>
    <w:p w14:paraId="787A8811" w14:textId="77777777" w:rsidR="00CB58F6" w:rsidRPr="00421AEE" w:rsidRDefault="00CB58F6" w:rsidP="001830B5">
      <w:pPr>
        <w:pStyle w:val="paragraph"/>
      </w:pPr>
      <w:r w:rsidRPr="00421AEE">
        <w:tab/>
        <w:t>(a)</w:t>
      </w:r>
      <w:r w:rsidRPr="00421AEE">
        <w:tab/>
        <w:t>on or after the day that the instrument is made; and</w:t>
      </w:r>
    </w:p>
    <w:p w14:paraId="0FC2FB93" w14:textId="77777777" w:rsidR="00CB58F6" w:rsidRPr="00421AEE" w:rsidRDefault="00CB58F6" w:rsidP="001830B5">
      <w:pPr>
        <w:pStyle w:val="paragraph"/>
      </w:pPr>
      <w:r w:rsidRPr="00421AEE">
        <w:tab/>
        <w:t>(b)</w:t>
      </w:r>
      <w:r w:rsidRPr="00421AEE">
        <w:tab/>
        <w:t xml:space="preserve">on or after the day on which </w:t>
      </w:r>
      <w:r w:rsidR="009F7539" w:rsidRPr="00421AEE">
        <w:t>item 1</w:t>
      </w:r>
      <w:r w:rsidRPr="00421AEE">
        <w:t xml:space="preserve">02 of Schedule 1 to the </w:t>
      </w:r>
      <w:r w:rsidRPr="00421AEE">
        <w:rPr>
          <w:i/>
        </w:rPr>
        <w:t xml:space="preserve">Treasury Laws Amendment (Registries Modernisation and Other Measures) Act 2020 </w:t>
      </w:r>
      <w:r w:rsidRPr="00421AEE">
        <w:t>commences.</w:t>
      </w:r>
    </w:p>
    <w:p w14:paraId="4639F292" w14:textId="77777777" w:rsidR="00CB58F6" w:rsidRPr="00421AEE" w:rsidRDefault="00CB58F6" w:rsidP="001830B5">
      <w:pPr>
        <w:pStyle w:val="ActHead9"/>
        <w:rPr>
          <w:i w:val="0"/>
        </w:rPr>
      </w:pPr>
      <w:bookmarkStart w:id="31" w:name="_Toc110951167"/>
      <w:r w:rsidRPr="00421AEE">
        <w:t>Business Names Registration (Fees) Amendment (Registries Modernisation) Act 2020</w:t>
      </w:r>
      <w:bookmarkEnd w:id="31"/>
    </w:p>
    <w:p w14:paraId="381B9F69" w14:textId="77777777" w:rsidR="00CB58F6" w:rsidRPr="00421AEE" w:rsidRDefault="00CB58F6" w:rsidP="001830B5">
      <w:pPr>
        <w:pStyle w:val="ItemHead"/>
      </w:pPr>
      <w:r w:rsidRPr="00421AEE">
        <w:t>11  At the end of Schedule 1</w:t>
      </w:r>
    </w:p>
    <w:p w14:paraId="16BF46DB" w14:textId="77777777" w:rsidR="00CB58F6" w:rsidRPr="00421AEE" w:rsidRDefault="00CB58F6" w:rsidP="001830B5">
      <w:pPr>
        <w:pStyle w:val="Item"/>
      </w:pPr>
      <w:r w:rsidRPr="00421AEE">
        <w:t>Add:</w:t>
      </w:r>
    </w:p>
    <w:p w14:paraId="430DEC84" w14:textId="77777777" w:rsidR="00CB58F6" w:rsidRPr="00421AEE" w:rsidRDefault="00CB58F6" w:rsidP="001830B5">
      <w:pPr>
        <w:pStyle w:val="Specialih"/>
      </w:pPr>
      <w:r w:rsidRPr="00421AEE">
        <w:t>2  Validation of acts or things done during interim period</w:t>
      </w:r>
    </w:p>
    <w:p w14:paraId="08375D32" w14:textId="77777777" w:rsidR="00CB58F6" w:rsidRPr="00421AEE" w:rsidRDefault="00CB58F6" w:rsidP="001830B5">
      <w:pPr>
        <w:pStyle w:val="SubitemHead"/>
      </w:pPr>
      <w:r w:rsidRPr="00421AEE">
        <w:t>Object</w:t>
      </w:r>
    </w:p>
    <w:p w14:paraId="4EFF0774" w14:textId="77777777" w:rsidR="00CB58F6" w:rsidRPr="00421AEE" w:rsidRDefault="00CB58F6" w:rsidP="001830B5">
      <w:pPr>
        <w:pStyle w:val="Subitem"/>
      </w:pPr>
      <w:r w:rsidRPr="00421AEE">
        <w:t>(1)</w:t>
      </w:r>
      <w:r w:rsidRPr="00421AEE">
        <w:tab/>
        <w:t>The object of this item is to treat all situations during the interim period in every respect as if:</w:t>
      </w:r>
    </w:p>
    <w:p w14:paraId="28CDC123"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787726F1" w14:textId="77777777" w:rsidR="00CB58F6" w:rsidRPr="00421AEE" w:rsidRDefault="00CB58F6" w:rsidP="001830B5">
      <w:pPr>
        <w:pStyle w:val="paragraph"/>
      </w:pPr>
      <w:r w:rsidRPr="00421AEE">
        <w:tab/>
        <w:t>(b)</w:t>
      </w:r>
      <w:r w:rsidRPr="00421AEE">
        <w:tab/>
        <w:t>the amendments made by the postponed items had not been made at the start of 22 June 2022 and had had no effect during the interim period.</w:t>
      </w:r>
    </w:p>
    <w:p w14:paraId="0E1DD37B" w14:textId="77777777" w:rsidR="00CB58F6" w:rsidRPr="00421AEE" w:rsidRDefault="00CB58F6" w:rsidP="001830B5">
      <w:pPr>
        <w:pStyle w:val="SubitemHead"/>
      </w:pPr>
      <w:r w:rsidRPr="00421AEE">
        <w:t>Validation of acts and things done in interim period</w:t>
      </w:r>
    </w:p>
    <w:p w14:paraId="2946C6C3" w14:textId="77777777" w:rsidR="00CB58F6" w:rsidRPr="00421AEE" w:rsidRDefault="00CB58F6" w:rsidP="001830B5">
      <w:pPr>
        <w:pStyle w:val="Subitem"/>
      </w:pPr>
      <w:r w:rsidRPr="00421AEE">
        <w:t>(2)</w:t>
      </w:r>
      <w:r w:rsidRPr="00421AEE">
        <w:tab/>
        <w:t>An act or thing that was done at any time during the interim period is as valid, and is taken always to have been as valid, as it would have been if:</w:t>
      </w:r>
    </w:p>
    <w:p w14:paraId="1B43FFB5"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1AB58691" w14:textId="77777777" w:rsidR="00CB58F6" w:rsidRPr="00421AEE" w:rsidRDefault="00CB58F6" w:rsidP="001830B5">
      <w:pPr>
        <w:pStyle w:val="paragraph"/>
      </w:pPr>
      <w:r w:rsidRPr="00421AEE">
        <w:tab/>
        <w:t>(b)</w:t>
      </w:r>
      <w:r w:rsidRPr="00421AEE">
        <w:tab/>
        <w:t>in particular, the amendments made by the postponed items had not been made at the start of 22 June 2022 and had had no effect during the interim period.</w:t>
      </w:r>
    </w:p>
    <w:p w14:paraId="40F82AEA" w14:textId="77777777" w:rsidR="00CB58F6" w:rsidRPr="00421AEE" w:rsidRDefault="00CB58F6" w:rsidP="001830B5">
      <w:pPr>
        <w:pStyle w:val="SubitemHead"/>
      </w:pPr>
      <w:r w:rsidRPr="00421AEE">
        <w:t>Acts and things to which this item applies</w:t>
      </w:r>
    </w:p>
    <w:p w14:paraId="0B931C5E" w14:textId="77777777" w:rsidR="00CB58F6" w:rsidRPr="00421AEE" w:rsidRDefault="00CB58F6" w:rsidP="001830B5">
      <w:pPr>
        <w:pStyle w:val="Subitem"/>
      </w:pPr>
      <w:r w:rsidRPr="00421AEE">
        <w:t>(3)</w:t>
      </w:r>
      <w:r w:rsidRPr="00421AEE">
        <w:tab/>
        <w:t>This item applies to an act or thing, regardless of the basis on which, or capacity in which, the act or thing was done or purported to be done.</w:t>
      </w:r>
    </w:p>
    <w:p w14:paraId="25B3EEF5" w14:textId="77777777" w:rsidR="00CB58F6" w:rsidRPr="00421AEE" w:rsidRDefault="00CB58F6" w:rsidP="001830B5">
      <w:pPr>
        <w:pStyle w:val="SubitemHead"/>
      </w:pPr>
      <w:r w:rsidRPr="00421AEE">
        <w:t>Definitions</w:t>
      </w:r>
    </w:p>
    <w:p w14:paraId="02E2F850" w14:textId="77777777" w:rsidR="00CB58F6" w:rsidRPr="00421AEE" w:rsidRDefault="00CB58F6" w:rsidP="001830B5">
      <w:pPr>
        <w:pStyle w:val="Subitem"/>
      </w:pPr>
      <w:r w:rsidRPr="00421AEE">
        <w:t>(4)</w:t>
      </w:r>
      <w:r w:rsidRPr="00421AEE">
        <w:tab/>
        <w:t>In this item:</w:t>
      </w:r>
    </w:p>
    <w:p w14:paraId="585CB73B" w14:textId="77777777" w:rsidR="00CB58F6" w:rsidRPr="00421AEE" w:rsidRDefault="00CB58F6" w:rsidP="001830B5">
      <w:pPr>
        <w:pStyle w:val="Item"/>
      </w:pPr>
      <w:r w:rsidRPr="00421AEE">
        <w:rPr>
          <w:b/>
          <w:i/>
        </w:rPr>
        <w:t>interim period</w:t>
      </w:r>
      <w:r w:rsidRPr="00421AEE">
        <w:t xml:space="preserve"> means the period:</w:t>
      </w:r>
    </w:p>
    <w:p w14:paraId="77EE25AE" w14:textId="77777777" w:rsidR="00CB58F6" w:rsidRPr="00421AEE" w:rsidRDefault="00CB58F6" w:rsidP="001830B5">
      <w:pPr>
        <w:pStyle w:val="paragraph"/>
      </w:pPr>
      <w:r w:rsidRPr="00421AEE">
        <w:tab/>
        <w:t>(a)</w:t>
      </w:r>
      <w:r w:rsidRPr="00421AEE">
        <w:tab/>
        <w:t>starting at the start of 22 June 2022; and</w:t>
      </w:r>
    </w:p>
    <w:p w14:paraId="06286D7D" w14:textId="77777777" w:rsidR="00CB58F6" w:rsidRPr="00421AEE" w:rsidRDefault="00CB58F6" w:rsidP="001830B5">
      <w:pPr>
        <w:pStyle w:val="paragraph"/>
      </w:pPr>
      <w:r w:rsidRPr="00421AEE">
        <w:tab/>
        <w:t>(b)</w:t>
      </w:r>
      <w:r w:rsidRPr="00421AEE">
        <w:tab/>
        <w:t xml:space="preserve">ending at the end of the day before the day on which Part 2 of </w:t>
      </w:r>
      <w:r w:rsidR="009F7539" w:rsidRPr="00421AEE">
        <w:t>Schedule 4</w:t>
      </w:r>
      <w:r w:rsidRPr="00421AEE">
        <w:t xml:space="preserve"> to the </w:t>
      </w:r>
      <w:r w:rsidRPr="00421AEE">
        <w:rPr>
          <w:i/>
        </w:rPr>
        <w:t>Treasury Laws Amendment (2022 Measures No. 1) Act 2022</w:t>
      </w:r>
      <w:r w:rsidRPr="00421AEE">
        <w:t xml:space="preserve"> commences.</w:t>
      </w:r>
    </w:p>
    <w:p w14:paraId="57FD0FD4" w14:textId="77777777" w:rsidR="00CB58F6" w:rsidRPr="00421AEE" w:rsidRDefault="00CB58F6" w:rsidP="001830B5">
      <w:pPr>
        <w:pStyle w:val="Item"/>
      </w:pPr>
      <w:r w:rsidRPr="00421AEE">
        <w:rPr>
          <w:b/>
          <w:i/>
        </w:rPr>
        <w:t>postponed item</w:t>
      </w:r>
      <w:r w:rsidRPr="00421AEE">
        <w:t xml:space="preserve"> means any of the following that commenced on 22 June 2022 (disregarding Part 1 of </w:t>
      </w:r>
      <w:r w:rsidR="009F7539" w:rsidRPr="00421AEE">
        <w:t>Schedule 4</w:t>
      </w:r>
      <w:r w:rsidRPr="00421AEE">
        <w:t xml:space="preserve"> to the </w:t>
      </w:r>
      <w:r w:rsidRPr="00421AEE">
        <w:rPr>
          <w:i/>
        </w:rPr>
        <w:t>Treasury Laws Amendment (2022 Measures No. 1) Act 2022</w:t>
      </w:r>
      <w:r w:rsidRPr="00421AEE">
        <w:t>):</w:t>
      </w:r>
    </w:p>
    <w:p w14:paraId="2255136E" w14:textId="77777777" w:rsidR="00CB58F6" w:rsidRPr="00421AEE" w:rsidRDefault="00CB58F6" w:rsidP="001830B5">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34D72D84" w14:textId="77777777" w:rsidR="00CB58F6" w:rsidRPr="00421AEE" w:rsidRDefault="00CB58F6" w:rsidP="001830B5">
      <w:pPr>
        <w:pStyle w:val="paragraph"/>
      </w:pPr>
      <w:r w:rsidRPr="00421AEE">
        <w:tab/>
        <w:t>(b)</w:t>
      </w:r>
      <w:r w:rsidRPr="00421AEE">
        <w:tab/>
        <w:t xml:space="preserve">an item of Part 3 of Schedule 1 to the </w:t>
      </w:r>
      <w:r w:rsidRPr="00421AEE">
        <w:rPr>
          <w:i/>
        </w:rPr>
        <w:t>Financial Sector Reform (Hayne Royal Commission Response—Better Advice) Act 2021</w:t>
      </w:r>
      <w:r w:rsidRPr="00421AEE">
        <w:t>;</w:t>
      </w:r>
    </w:p>
    <w:p w14:paraId="3DF9F087" w14:textId="77777777" w:rsidR="00CB58F6" w:rsidRPr="00421AEE" w:rsidRDefault="00CB58F6" w:rsidP="001830B5">
      <w:pPr>
        <w:pStyle w:val="paragraph"/>
      </w:pPr>
      <w:r w:rsidRPr="00421AEE">
        <w:tab/>
        <w:t>(c)</w:t>
      </w:r>
      <w:r w:rsidRPr="00421AEE">
        <w:tab/>
        <w:t xml:space="preserve">an item of Part 4 of </w:t>
      </w:r>
      <w:r w:rsidR="0095795B" w:rsidRPr="00421AEE">
        <w:t>Schedule 2</w:t>
      </w:r>
      <w:r w:rsidRPr="00421AEE">
        <w:t xml:space="preserve"> to the </w:t>
      </w:r>
      <w:r w:rsidRPr="00421AEE">
        <w:rPr>
          <w:i/>
        </w:rPr>
        <w:t>Treasury Laws Amendment (2021 Measures No. 1) Act 2021</w:t>
      </w:r>
      <w:r w:rsidRPr="00421AEE">
        <w:t>.</w:t>
      </w:r>
    </w:p>
    <w:p w14:paraId="388D4123" w14:textId="77777777" w:rsidR="00CB58F6" w:rsidRPr="00421AEE" w:rsidRDefault="00CB58F6" w:rsidP="001830B5">
      <w:pPr>
        <w:pStyle w:val="notetext"/>
      </w:pPr>
      <w:r w:rsidRPr="00421AEE">
        <w:t>Note</w:t>
      </w:r>
      <w:r w:rsidRPr="00421AEE">
        <w:tab/>
        <w:t xml:space="preserve">Item 103 of Schedule 1 to the </w:t>
      </w:r>
      <w:r w:rsidRPr="00421AEE">
        <w:rPr>
          <w:i/>
        </w:rPr>
        <w:t xml:space="preserve">Treasury Laws Amendment (Registries Modernisation and Other Measures) Act 2020 </w:t>
      </w:r>
      <w:r w:rsidRPr="00421AEE">
        <w:t>is not covered by paragraph (a) because that item commenced on 4 April 2021.</w:t>
      </w:r>
    </w:p>
    <w:p w14:paraId="1E08AA3E" w14:textId="77777777" w:rsidR="00CB58F6" w:rsidRPr="00421AEE" w:rsidRDefault="00CB58F6" w:rsidP="001830B5">
      <w:pPr>
        <w:pStyle w:val="Specialih"/>
      </w:pPr>
      <w:r w:rsidRPr="00421AEE">
        <w:t xml:space="preserve">3  Application of </w:t>
      </w:r>
      <w:r w:rsidR="009F7539" w:rsidRPr="00421AEE">
        <w:t>item 1</w:t>
      </w:r>
    </w:p>
    <w:p w14:paraId="4D77CDC9" w14:textId="77777777" w:rsidR="00CB58F6" w:rsidRPr="00421AEE" w:rsidRDefault="00CB58F6" w:rsidP="001830B5">
      <w:pPr>
        <w:pStyle w:val="Subitem"/>
      </w:pPr>
      <w:r w:rsidRPr="00421AEE">
        <w:t>(1)</w:t>
      </w:r>
      <w:r w:rsidRPr="00421AEE">
        <w:tab/>
        <w:t xml:space="preserve">The amendment made by </w:t>
      </w:r>
      <w:r w:rsidR="009F7539" w:rsidRPr="00421AEE">
        <w:t>item 1</w:t>
      </w:r>
      <w:r w:rsidRPr="00421AEE">
        <w:t xml:space="preserve"> applies, in relation to a matter (the </w:t>
      </w:r>
      <w:r w:rsidRPr="00421AEE">
        <w:rPr>
          <w:b/>
          <w:i/>
        </w:rPr>
        <w:t>relevant matter</w:t>
      </w:r>
      <w:r w:rsidRPr="00421AEE">
        <w:t>), on and after the earliest of the following days:</w:t>
      </w:r>
    </w:p>
    <w:p w14:paraId="081E79E1" w14:textId="77777777" w:rsidR="00CB58F6" w:rsidRPr="00421AEE" w:rsidRDefault="00CB58F6" w:rsidP="001830B5">
      <w:pPr>
        <w:pStyle w:val="paragraph"/>
      </w:pPr>
      <w:r w:rsidRPr="00421AEE">
        <w:tab/>
        <w:t>(a)</w:t>
      </w:r>
      <w:r w:rsidRPr="00421AEE">
        <w:tab/>
        <w:t>if a notifiable instrument is in force under paragraph (2)(a) of this item—the day the instrument specifies;</w:t>
      </w:r>
    </w:p>
    <w:p w14:paraId="143668C2" w14:textId="77777777" w:rsidR="00CB58F6" w:rsidRPr="00421AEE" w:rsidRDefault="00CB58F6" w:rsidP="001830B5">
      <w:pPr>
        <w:pStyle w:val="paragraph"/>
      </w:pPr>
      <w:r w:rsidRPr="00421AEE">
        <w:tab/>
        <w:t>(b)</w:t>
      </w:r>
      <w:r w:rsidRPr="00421AEE">
        <w:tab/>
        <w:t>if a notifiable instrument is in force under paragraph (2)(b) of this item that specifies matters that include the relevant matter—the day the instrument specifies in relation to those matters;</w:t>
      </w:r>
    </w:p>
    <w:p w14:paraId="065DA0EA" w14:textId="77777777" w:rsidR="00CB58F6" w:rsidRPr="00421AEE" w:rsidRDefault="00CB58F6" w:rsidP="001830B5">
      <w:pPr>
        <w:pStyle w:val="paragraph"/>
      </w:pPr>
      <w:r w:rsidRPr="00421AEE">
        <w:tab/>
        <w:t>(c)</w:t>
      </w:r>
      <w:r w:rsidRPr="00421AEE">
        <w:tab/>
      </w:r>
      <w:r w:rsidR="0095795B" w:rsidRPr="00421AEE">
        <w:t>1 July</w:t>
      </w:r>
      <w:r w:rsidRPr="00421AEE">
        <w:t xml:space="preserve"> 2026.</w:t>
      </w:r>
    </w:p>
    <w:p w14:paraId="50F2DA98" w14:textId="77777777" w:rsidR="00CB58F6" w:rsidRPr="00421AEE" w:rsidRDefault="00CB58F6" w:rsidP="001830B5">
      <w:pPr>
        <w:pStyle w:val="notetext"/>
      </w:pPr>
      <w:r w:rsidRPr="00421AEE">
        <w:t>Note:</w:t>
      </w:r>
      <w:r w:rsidRPr="00421AEE">
        <w:tab/>
        <w:t xml:space="preserve">The provision amended by </w:t>
      </w:r>
      <w:r w:rsidR="009F7539" w:rsidRPr="00421AEE">
        <w:t>item 1</w:t>
      </w:r>
      <w:r w:rsidRPr="00421AEE">
        <w:t>, as in force immediately before the commencement day for the amending item, will continue to apply in relation to the relevant matter until the day that applies under this subitem.</w:t>
      </w:r>
    </w:p>
    <w:p w14:paraId="0FB8CBCB" w14:textId="77777777" w:rsidR="00CB58F6" w:rsidRPr="00421AEE" w:rsidRDefault="00CB58F6" w:rsidP="001830B5">
      <w:pPr>
        <w:pStyle w:val="Subitem"/>
      </w:pPr>
      <w:r w:rsidRPr="00421AEE">
        <w:t>(2)</w:t>
      </w:r>
      <w:r w:rsidRPr="00421AEE">
        <w:tab/>
        <w:t>The Minister:</w:t>
      </w:r>
    </w:p>
    <w:p w14:paraId="3F6EE4AB" w14:textId="77777777" w:rsidR="00CB58F6" w:rsidRPr="00421AEE" w:rsidRDefault="00CB58F6" w:rsidP="001830B5">
      <w:pPr>
        <w:pStyle w:val="paragraph"/>
      </w:pPr>
      <w:r w:rsidRPr="00421AEE">
        <w:tab/>
        <w:t>(a)</w:t>
      </w:r>
      <w:r w:rsidRPr="00421AEE">
        <w:tab/>
        <w:t>may by notifiable instrument specify a day for the purposes of paragraph (1)(a); and</w:t>
      </w:r>
    </w:p>
    <w:p w14:paraId="1C473742" w14:textId="77777777" w:rsidR="00CB58F6" w:rsidRPr="00421AEE" w:rsidRDefault="00CB58F6" w:rsidP="001830B5">
      <w:pPr>
        <w:pStyle w:val="paragraph"/>
      </w:pPr>
      <w:r w:rsidRPr="00421AEE">
        <w:tab/>
        <w:t>(b)</w:t>
      </w:r>
      <w:r w:rsidRPr="00421AEE">
        <w:tab/>
        <w:t>may by notifiable instrument specify days and matters for the purposes of paragraph (1)(b).</w:t>
      </w:r>
    </w:p>
    <w:p w14:paraId="731FAF39" w14:textId="77777777" w:rsidR="00CB58F6" w:rsidRPr="00421AEE" w:rsidRDefault="00CB58F6" w:rsidP="001830B5">
      <w:pPr>
        <w:pStyle w:val="notetext"/>
      </w:pPr>
      <w:r w:rsidRPr="00421AEE">
        <w:t>Note:</w:t>
      </w:r>
      <w:r w:rsidRPr="00421AEE">
        <w:tab/>
        <w:t xml:space="preserve">For specification by class, see subsection 13(3) of the </w:t>
      </w:r>
      <w:r w:rsidRPr="00421AEE">
        <w:rPr>
          <w:i/>
        </w:rPr>
        <w:t>Legislation Act 2003</w:t>
      </w:r>
      <w:r w:rsidRPr="00421AEE">
        <w:t>.</w:t>
      </w:r>
    </w:p>
    <w:p w14:paraId="21920C27" w14:textId="77777777" w:rsidR="00CB58F6" w:rsidRPr="00421AEE" w:rsidRDefault="00CB58F6" w:rsidP="001830B5">
      <w:pPr>
        <w:pStyle w:val="Subitem"/>
      </w:pPr>
      <w:r w:rsidRPr="00421AEE">
        <w:t>(3)</w:t>
      </w:r>
      <w:r w:rsidRPr="00421AEE">
        <w:tab/>
        <w:t>A day specified in a notifiable instrument made under subitem (2) must be:</w:t>
      </w:r>
    </w:p>
    <w:p w14:paraId="7AE9041D" w14:textId="77777777" w:rsidR="00CB58F6" w:rsidRPr="00421AEE" w:rsidRDefault="00CB58F6" w:rsidP="001830B5">
      <w:pPr>
        <w:pStyle w:val="paragraph"/>
      </w:pPr>
      <w:r w:rsidRPr="00421AEE">
        <w:tab/>
        <w:t>(a)</w:t>
      </w:r>
      <w:r w:rsidRPr="00421AEE">
        <w:tab/>
        <w:t>on or after the day that the instrument is made; and</w:t>
      </w:r>
    </w:p>
    <w:p w14:paraId="584FC578" w14:textId="77777777" w:rsidR="00CB58F6" w:rsidRPr="00421AEE" w:rsidRDefault="00CB58F6" w:rsidP="001830B5">
      <w:pPr>
        <w:pStyle w:val="paragraph"/>
      </w:pPr>
      <w:r w:rsidRPr="00421AEE">
        <w:tab/>
        <w:t>(b)</w:t>
      </w:r>
      <w:r w:rsidRPr="00421AEE">
        <w:tab/>
        <w:t>on or after the day on which this Schedule commences.</w:t>
      </w:r>
    </w:p>
    <w:p w14:paraId="07576D08" w14:textId="77777777" w:rsidR="00CB58F6" w:rsidRPr="00421AEE" w:rsidRDefault="00CB58F6" w:rsidP="001830B5">
      <w:pPr>
        <w:pStyle w:val="ActHead9"/>
        <w:rPr>
          <w:i w:val="0"/>
        </w:rPr>
      </w:pPr>
      <w:bookmarkStart w:id="32" w:name="_Toc110951168"/>
      <w:r w:rsidRPr="00421AEE">
        <w:t>Business Names Registration (Transitional and Consequential Provisions) Act 2011</w:t>
      </w:r>
      <w:bookmarkEnd w:id="32"/>
    </w:p>
    <w:p w14:paraId="3FFE769E" w14:textId="77777777" w:rsidR="00CB58F6" w:rsidRPr="00421AEE" w:rsidRDefault="00CB58F6" w:rsidP="001830B5">
      <w:pPr>
        <w:pStyle w:val="ItemHead"/>
      </w:pPr>
      <w:r w:rsidRPr="00421AEE">
        <w:t>12  At the end of the Act</w:t>
      </w:r>
    </w:p>
    <w:p w14:paraId="20195368" w14:textId="77777777" w:rsidR="00CB58F6" w:rsidRPr="00421AEE" w:rsidRDefault="00CB58F6" w:rsidP="001830B5">
      <w:pPr>
        <w:pStyle w:val="Item"/>
      </w:pPr>
      <w:r w:rsidRPr="00421AEE">
        <w:t>Add:</w:t>
      </w:r>
    </w:p>
    <w:p w14:paraId="06A1859E" w14:textId="77777777" w:rsidR="00CB58F6" w:rsidRPr="00421AEE" w:rsidRDefault="009F7539" w:rsidP="001830B5">
      <w:pPr>
        <w:pStyle w:val="Specialas"/>
      </w:pPr>
      <w:r w:rsidRPr="00421AEE">
        <w:t>Schedule 4</w:t>
      </w:r>
      <w:r w:rsidR="00CB58F6" w:rsidRPr="00421AEE">
        <w:t>—Application and transitional provisions for the Treasury Laws Amendment (Registries Modernisation and Other Measures) Act 2020</w:t>
      </w:r>
    </w:p>
    <w:p w14:paraId="7D8FA0C9" w14:textId="77777777" w:rsidR="00CB58F6" w:rsidRPr="00421AEE" w:rsidRDefault="00CB58F6" w:rsidP="001830B5">
      <w:pPr>
        <w:pStyle w:val="Header"/>
      </w:pPr>
      <w:r w:rsidRPr="00421AEE">
        <w:t xml:space="preserve">  </w:t>
      </w:r>
    </w:p>
    <w:p w14:paraId="0A184D89" w14:textId="77777777" w:rsidR="00CB58F6" w:rsidRPr="00421AEE" w:rsidRDefault="00CB58F6" w:rsidP="001830B5">
      <w:pPr>
        <w:pStyle w:val="Specialih"/>
      </w:pPr>
      <w:r w:rsidRPr="00421AEE">
        <w:t>1  Definitions</w:t>
      </w:r>
    </w:p>
    <w:p w14:paraId="616346D3" w14:textId="77777777" w:rsidR="00CB58F6" w:rsidRPr="00421AEE" w:rsidRDefault="00CB58F6" w:rsidP="001830B5">
      <w:pPr>
        <w:pStyle w:val="Item"/>
      </w:pPr>
      <w:r w:rsidRPr="00421AEE">
        <w:t>In this Schedule:</w:t>
      </w:r>
    </w:p>
    <w:p w14:paraId="38A1067D" w14:textId="77777777" w:rsidR="00CB58F6" w:rsidRPr="00421AEE" w:rsidRDefault="00CB58F6" w:rsidP="001830B5">
      <w:pPr>
        <w:pStyle w:val="Item"/>
      </w:pPr>
      <w:r w:rsidRPr="00421AEE">
        <w:rPr>
          <w:b/>
          <w:i/>
        </w:rPr>
        <w:t>amending item</w:t>
      </w:r>
      <w:r w:rsidRPr="00421AEE">
        <w:t xml:space="preserve"> means an item of Part 2 of Schedule 1 to the </w:t>
      </w:r>
      <w:r w:rsidRPr="00421AEE">
        <w:rPr>
          <w:i/>
        </w:rPr>
        <w:t>Treasury Laws Amendment (Registries Modernisation and Other Measures) Act 2020</w:t>
      </w:r>
      <w:r w:rsidRPr="00421AEE">
        <w:t xml:space="preserve"> that amends a provision of the Business Names Registration Act or of this Act.</w:t>
      </w:r>
    </w:p>
    <w:p w14:paraId="1482AA3A" w14:textId="77777777" w:rsidR="00CB58F6" w:rsidRPr="00421AEE" w:rsidRDefault="00CB58F6" w:rsidP="001830B5">
      <w:pPr>
        <w:pStyle w:val="Item"/>
      </w:pPr>
      <w:r w:rsidRPr="00421AEE">
        <w:rPr>
          <w:b/>
          <w:i/>
        </w:rPr>
        <w:t>application day</w:t>
      </w:r>
      <w:r w:rsidRPr="00421AEE">
        <w:t>, for an amendment made by an amending item, as applying in relation to a matter, means the day on and after which the amendment applies in relation to that matter because of item 3 of this Schedule.</w:t>
      </w:r>
    </w:p>
    <w:p w14:paraId="73C92B1D" w14:textId="77777777" w:rsidR="00CB58F6" w:rsidRPr="00421AEE" w:rsidRDefault="00CB58F6" w:rsidP="001830B5">
      <w:pPr>
        <w:pStyle w:val="Item"/>
      </w:pPr>
      <w:r w:rsidRPr="00421AEE">
        <w:rPr>
          <w:b/>
          <w:i/>
        </w:rPr>
        <w:t>commencement day</w:t>
      </w:r>
      <w:r w:rsidRPr="00421AEE">
        <w:t xml:space="preserve">, for an amending item, means the day on which the item commences (taking into account Part 1 of </w:t>
      </w:r>
      <w:r w:rsidR="009F7539" w:rsidRPr="00421AEE">
        <w:t>Schedule 4</w:t>
      </w:r>
      <w:r w:rsidRPr="00421AEE">
        <w:t xml:space="preserve"> to the </w:t>
      </w:r>
      <w:r w:rsidRPr="00421AEE">
        <w:rPr>
          <w:i/>
        </w:rPr>
        <w:t>Treasury Laws Amendment (2022 Measures No. 1) Act 2022</w:t>
      </w:r>
      <w:r w:rsidRPr="00421AEE">
        <w:t>).</w:t>
      </w:r>
    </w:p>
    <w:p w14:paraId="0787F2A5" w14:textId="77777777" w:rsidR="00CB58F6" w:rsidRPr="00421AEE" w:rsidRDefault="00CB58F6" w:rsidP="001830B5">
      <w:pPr>
        <w:pStyle w:val="Item"/>
      </w:pPr>
      <w:r w:rsidRPr="00421AEE">
        <w:rPr>
          <w:b/>
          <w:i/>
        </w:rPr>
        <w:t>interim period</w:t>
      </w:r>
      <w:r w:rsidRPr="00421AEE">
        <w:t xml:space="preserve"> means the period:</w:t>
      </w:r>
    </w:p>
    <w:p w14:paraId="05746834" w14:textId="77777777" w:rsidR="00CB58F6" w:rsidRPr="00421AEE" w:rsidRDefault="00CB58F6" w:rsidP="001830B5">
      <w:pPr>
        <w:pStyle w:val="paragraph"/>
      </w:pPr>
      <w:r w:rsidRPr="00421AEE">
        <w:tab/>
        <w:t>(a)</w:t>
      </w:r>
      <w:r w:rsidRPr="00421AEE">
        <w:tab/>
        <w:t>starting at the start of 22 June 2022; and</w:t>
      </w:r>
    </w:p>
    <w:p w14:paraId="5DCE5893" w14:textId="77777777" w:rsidR="00CB58F6" w:rsidRPr="00421AEE" w:rsidRDefault="00CB58F6" w:rsidP="001830B5">
      <w:pPr>
        <w:pStyle w:val="paragraph"/>
      </w:pPr>
      <w:r w:rsidRPr="00421AEE">
        <w:tab/>
        <w:t>(b)</w:t>
      </w:r>
      <w:r w:rsidRPr="00421AEE">
        <w:tab/>
        <w:t xml:space="preserve">ending at the end of the day before the day on which Part 2 of </w:t>
      </w:r>
      <w:r w:rsidR="009F7539" w:rsidRPr="00421AEE">
        <w:t>Schedule 4</w:t>
      </w:r>
      <w:r w:rsidRPr="00421AEE">
        <w:t xml:space="preserve"> to the </w:t>
      </w:r>
      <w:r w:rsidRPr="00421AEE">
        <w:rPr>
          <w:i/>
        </w:rPr>
        <w:t>Treasury Laws Amendment (2022 Measures No. 1) Act 2022</w:t>
      </w:r>
      <w:r w:rsidRPr="00421AEE">
        <w:t xml:space="preserve"> commences.</w:t>
      </w:r>
    </w:p>
    <w:p w14:paraId="5028D665" w14:textId="77777777" w:rsidR="00CB58F6" w:rsidRPr="00421AEE" w:rsidRDefault="00CB58F6" w:rsidP="001830B5">
      <w:pPr>
        <w:pStyle w:val="Item"/>
      </w:pPr>
      <w:r w:rsidRPr="00421AEE">
        <w:rPr>
          <w:b/>
          <w:i/>
        </w:rPr>
        <w:t>postponed item</w:t>
      </w:r>
      <w:r w:rsidRPr="00421AEE">
        <w:t xml:space="preserve"> means any of the following that commenced on 22 June 2022 (disregarding Part 1 of </w:t>
      </w:r>
      <w:r w:rsidR="009F7539" w:rsidRPr="00421AEE">
        <w:t>Schedule 4</w:t>
      </w:r>
      <w:r w:rsidRPr="00421AEE">
        <w:t xml:space="preserve"> to the </w:t>
      </w:r>
      <w:r w:rsidRPr="00421AEE">
        <w:rPr>
          <w:i/>
        </w:rPr>
        <w:t>Treasury Laws Amendment (2022 Measures No. 1) Act 2022</w:t>
      </w:r>
      <w:r w:rsidRPr="00421AEE">
        <w:t>):</w:t>
      </w:r>
    </w:p>
    <w:p w14:paraId="49B5B61C" w14:textId="77777777" w:rsidR="00CB58F6" w:rsidRPr="00421AEE" w:rsidRDefault="00CB58F6" w:rsidP="001830B5">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5B182CB5" w14:textId="77777777" w:rsidR="00CB58F6" w:rsidRPr="00421AEE" w:rsidRDefault="00CB58F6" w:rsidP="001830B5">
      <w:pPr>
        <w:pStyle w:val="paragraph"/>
      </w:pPr>
      <w:r w:rsidRPr="00421AEE">
        <w:tab/>
        <w:t>(b)</w:t>
      </w:r>
      <w:r w:rsidRPr="00421AEE">
        <w:tab/>
        <w:t xml:space="preserve">an item of Part 3 of Schedule 1 to the </w:t>
      </w:r>
      <w:r w:rsidRPr="00421AEE">
        <w:rPr>
          <w:i/>
        </w:rPr>
        <w:t>Financial Sector Reform (Hayne Royal Commission Response—Better Advice) Act 2021</w:t>
      </w:r>
      <w:r w:rsidRPr="00421AEE">
        <w:t>;</w:t>
      </w:r>
    </w:p>
    <w:p w14:paraId="4978021B" w14:textId="77777777" w:rsidR="00CB58F6" w:rsidRPr="00421AEE" w:rsidRDefault="00CB58F6" w:rsidP="001830B5">
      <w:pPr>
        <w:pStyle w:val="paragraph"/>
      </w:pPr>
      <w:r w:rsidRPr="00421AEE">
        <w:tab/>
        <w:t>(c)</w:t>
      </w:r>
      <w:r w:rsidRPr="00421AEE">
        <w:tab/>
        <w:t xml:space="preserve">an item of Part 4 of </w:t>
      </w:r>
      <w:r w:rsidR="0095795B" w:rsidRPr="00421AEE">
        <w:t>Schedule 2</w:t>
      </w:r>
      <w:r w:rsidRPr="00421AEE">
        <w:t xml:space="preserve"> to the </w:t>
      </w:r>
      <w:r w:rsidRPr="00421AEE">
        <w:rPr>
          <w:i/>
        </w:rPr>
        <w:t>Treasury Laws Amendment (2021 Measures No. 1) Act 2021</w:t>
      </w:r>
      <w:r w:rsidRPr="00421AEE">
        <w:t>.</w:t>
      </w:r>
    </w:p>
    <w:p w14:paraId="1BF5A44C" w14:textId="77777777" w:rsidR="00CB58F6" w:rsidRPr="00421AEE" w:rsidRDefault="00CB58F6" w:rsidP="001830B5">
      <w:pPr>
        <w:pStyle w:val="notetext"/>
      </w:pPr>
      <w:r w:rsidRPr="00421AEE">
        <w:t>Note</w:t>
      </w:r>
      <w:r w:rsidRPr="00421AEE">
        <w:tab/>
        <w:t xml:space="preserve">Item 103 of Schedule 1 to the </w:t>
      </w:r>
      <w:r w:rsidRPr="00421AEE">
        <w:rPr>
          <w:i/>
        </w:rPr>
        <w:t xml:space="preserve">Treasury Laws Amendment (Registries Modernisation and Other Measures) Act 2020 </w:t>
      </w:r>
      <w:r w:rsidRPr="00421AEE">
        <w:t>is not covered by paragraph (a) because that item commenced on 4 April 2021.</w:t>
      </w:r>
    </w:p>
    <w:p w14:paraId="39ACACF6" w14:textId="77777777" w:rsidR="00CB58F6" w:rsidRPr="00421AEE" w:rsidRDefault="00CB58F6" w:rsidP="001830B5">
      <w:pPr>
        <w:pStyle w:val="Specialih"/>
      </w:pPr>
      <w:r w:rsidRPr="00421AEE">
        <w:t>2  Validation of acts or things done during interim period</w:t>
      </w:r>
    </w:p>
    <w:p w14:paraId="3074196F" w14:textId="77777777" w:rsidR="00CB58F6" w:rsidRPr="00421AEE" w:rsidRDefault="00CB58F6" w:rsidP="001830B5">
      <w:pPr>
        <w:pStyle w:val="SubitemHead"/>
      </w:pPr>
      <w:r w:rsidRPr="00421AEE">
        <w:t>Object</w:t>
      </w:r>
    </w:p>
    <w:p w14:paraId="71007669" w14:textId="77777777" w:rsidR="00CB58F6" w:rsidRPr="00421AEE" w:rsidRDefault="00CB58F6" w:rsidP="001830B5">
      <w:pPr>
        <w:pStyle w:val="Subitem"/>
      </w:pPr>
      <w:r w:rsidRPr="00421AEE">
        <w:t>(1)</w:t>
      </w:r>
      <w:r w:rsidRPr="00421AEE">
        <w:tab/>
        <w:t>The object of this item is to treat all situations during the interim period in every respect as if:</w:t>
      </w:r>
    </w:p>
    <w:p w14:paraId="39CB981A"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5296DDF5" w14:textId="77777777" w:rsidR="00CB58F6" w:rsidRPr="00421AEE" w:rsidRDefault="00CB58F6" w:rsidP="001830B5">
      <w:pPr>
        <w:pStyle w:val="paragraph"/>
      </w:pPr>
      <w:r w:rsidRPr="00421AEE">
        <w:tab/>
        <w:t>(b)</w:t>
      </w:r>
      <w:r w:rsidRPr="00421AEE">
        <w:tab/>
        <w:t>the amendments made by the postponed items had not been made at the start of 22 June 2022 and had had no effect during the interim period.</w:t>
      </w:r>
    </w:p>
    <w:p w14:paraId="00CDE8E8" w14:textId="77777777" w:rsidR="00CB58F6" w:rsidRPr="00421AEE" w:rsidRDefault="00CB58F6" w:rsidP="001830B5">
      <w:pPr>
        <w:pStyle w:val="SubitemHead"/>
      </w:pPr>
      <w:r w:rsidRPr="00421AEE">
        <w:t>Validation of acts and things done in interim period</w:t>
      </w:r>
    </w:p>
    <w:p w14:paraId="766CCB25" w14:textId="77777777" w:rsidR="00CB58F6" w:rsidRPr="00421AEE" w:rsidRDefault="00CB58F6" w:rsidP="001830B5">
      <w:pPr>
        <w:pStyle w:val="Subitem"/>
      </w:pPr>
      <w:r w:rsidRPr="00421AEE">
        <w:t>(2)</w:t>
      </w:r>
      <w:r w:rsidRPr="00421AEE">
        <w:tab/>
        <w:t>An act or thing that was done at any time during the interim period is as valid, and is taken always to have been as valid, as it would have been if:</w:t>
      </w:r>
    </w:p>
    <w:p w14:paraId="46BA337E"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7056411C" w14:textId="77777777" w:rsidR="00CB58F6" w:rsidRPr="00421AEE" w:rsidRDefault="00CB58F6" w:rsidP="001830B5">
      <w:pPr>
        <w:pStyle w:val="paragraph"/>
      </w:pPr>
      <w:r w:rsidRPr="00421AEE">
        <w:tab/>
        <w:t>(b)</w:t>
      </w:r>
      <w:r w:rsidRPr="00421AEE">
        <w:tab/>
        <w:t>in particular, the amendments made by the postponed items had not been made at the start of 22 June 2022 and had had no effect during the interim period.</w:t>
      </w:r>
    </w:p>
    <w:p w14:paraId="380CD54B" w14:textId="77777777" w:rsidR="00CB58F6" w:rsidRPr="00421AEE" w:rsidRDefault="00CB58F6" w:rsidP="001830B5">
      <w:pPr>
        <w:pStyle w:val="SubitemHead"/>
      </w:pPr>
      <w:r w:rsidRPr="00421AEE">
        <w:t>Continuation of delegations</w:t>
      </w:r>
    </w:p>
    <w:p w14:paraId="5F5F7D7A" w14:textId="77777777" w:rsidR="00CB58F6" w:rsidRPr="00421AEE" w:rsidRDefault="00CB58F6" w:rsidP="001830B5">
      <w:pPr>
        <w:pStyle w:val="Subitem"/>
      </w:pPr>
      <w:r w:rsidRPr="00421AEE">
        <w:t>(3)</w:t>
      </w:r>
      <w:r w:rsidRPr="00421AEE">
        <w:tab/>
        <w:t>Without limiting subitem (2), if:</w:t>
      </w:r>
    </w:p>
    <w:p w14:paraId="6D5DAC5A" w14:textId="77777777" w:rsidR="00CB58F6" w:rsidRPr="00421AEE" w:rsidRDefault="00CB58F6" w:rsidP="001830B5">
      <w:pPr>
        <w:pStyle w:val="paragraph"/>
      </w:pPr>
      <w:r w:rsidRPr="00421AEE">
        <w:tab/>
        <w:t>(a)</w:t>
      </w:r>
      <w:r w:rsidRPr="00421AEE">
        <w:tab/>
        <w:t>a function or power conferred by the Business Names Registration Act or this Act was delegated to a person; and</w:t>
      </w:r>
    </w:p>
    <w:p w14:paraId="3DA9DC47" w14:textId="77777777" w:rsidR="00CB58F6" w:rsidRPr="00421AEE" w:rsidRDefault="00CB58F6" w:rsidP="001830B5">
      <w:pPr>
        <w:pStyle w:val="paragraph"/>
      </w:pPr>
      <w:r w:rsidRPr="00421AEE">
        <w:tab/>
        <w:t>(b)</w:t>
      </w:r>
      <w:r w:rsidRPr="00421AEE">
        <w:tab/>
        <w:t>the delegation was in force immediately before 22 June 2022; and</w:t>
      </w:r>
    </w:p>
    <w:p w14:paraId="387452B4" w14:textId="77777777" w:rsidR="00CB58F6" w:rsidRPr="00421AEE" w:rsidRDefault="00CB58F6" w:rsidP="001830B5">
      <w:pPr>
        <w:pStyle w:val="paragraph"/>
      </w:pPr>
      <w:r w:rsidRPr="00421AEE">
        <w:tab/>
        <w:t>(c)</w:t>
      </w:r>
      <w:r w:rsidRPr="00421AEE">
        <w:tab/>
        <w:t>but for this subitem, the delegation would have ceased to have effect at the start of 22 June 2022 because of any of the amendments made by the postponed items;</w:t>
      </w:r>
    </w:p>
    <w:p w14:paraId="6195A518" w14:textId="77777777" w:rsidR="00CB58F6" w:rsidRPr="00421AEE" w:rsidRDefault="00CB58F6" w:rsidP="001830B5">
      <w:pPr>
        <w:pStyle w:val="Subitem"/>
      </w:pPr>
      <w:r w:rsidRPr="00421AEE">
        <w:tab/>
        <w:t>then:</w:t>
      </w:r>
    </w:p>
    <w:p w14:paraId="44EB8487" w14:textId="77777777" w:rsidR="00CB58F6" w:rsidRPr="00421AEE" w:rsidRDefault="00CB58F6" w:rsidP="001830B5">
      <w:pPr>
        <w:pStyle w:val="paragraph"/>
      </w:pPr>
      <w:r w:rsidRPr="00421AEE">
        <w:tab/>
        <w:t>(d)</w:t>
      </w:r>
      <w:r w:rsidRPr="00421AEE">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1A47FDB8" w14:textId="77777777" w:rsidR="00CB58F6" w:rsidRPr="00421AEE" w:rsidRDefault="00CB58F6" w:rsidP="001830B5">
      <w:pPr>
        <w:pStyle w:val="paragraph"/>
      </w:pPr>
      <w:r w:rsidRPr="00421AEE">
        <w:tab/>
        <w:t>(e)</w:t>
      </w:r>
      <w:r w:rsidRPr="00421AEE">
        <w:tab/>
        <w:t>the delegation has effect, on and after the day section 1 of the</w:t>
      </w:r>
      <w:r w:rsidRPr="00421AEE">
        <w:rPr>
          <w:i/>
        </w:rPr>
        <w:t xml:space="preserve"> Treasury Laws Amendment (2022 Measures No. 1) Act 2022</w:t>
      </w:r>
      <w:r w:rsidRPr="00421AEE">
        <w:t xml:space="preserve"> commences, as if it had been made at the time that section commences.</w:t>
      </w:r>
    </w:p>
    <w:p w14:paraId="56DD4B0B" w14:textId="77777777" w:rsidR="00CB58F6" w:rsidRPr="00421AEE" w:rsidRDefault="00CB58F6" w:rsidP="001830B5">
      <w:pPr>
        <w:pStyle w:val="SubitemHead"/>
      </w:pPr>
      <w:r w:rsidRPr="00421AEE">
        <w:t>Acts and things to which this item applies</w:t>
      </w:r>
    </w:p>
    <w:p w14:paraId="0294BE9D" w14:textId="77777777" w:rsidR="00CB58F6" w:rsidRPr="00421AEE" w:rsidRDefault="00CB58F6" w:rsidP="001830B5">
      <w:pPr>
        <w:pStyle w:val="Subitem"/>
      </w:pPr>
      <w:r w:rsidRPr="00421AEE">
        <w:t>(4)</w:t>
      </w:r>
      <w:r w:rsidRPr="00421AEE">
        <w:tab/>
        <w:t>This item applies to an act or thing, regardless of the basis on which, or capacity in which, the act or thing was done or purported to be done.</w:t>
      </w:r>
    </w:p>
    <w:p w14:paraId="1F6149CE" w14:textId="77777777" w:rsidR="00CB58F6" w:rsidRPr="00421AEE" w:rsidRDefault="00CB58F6" w:rsidP="001830B5">
      <w:pPr>
        <w:pStyle w:val="Specialih"/>
      </w:pPr>
      <w:r w:rsidRPr="00421AEE">
        <w:t>3  Application of amendments</w:t>
      </w:r>
    </w:p>
    <w:p w14:paraId="7259233A" w14:textId="77777777" w:rsidR="00CB58F6" w:rsidRPr="00421AEE" w:rsidRDefault="00CB58F6" w:rsidP="001830B5">
      <w:pPr>
        <w:pStyle w:val="Subitem"/>
      </w:pPr>
      <w:r w:rsidRPr="00421AEE">
        <w:t>(1)</w:t>
      </w:r>
      <w:r w:rsidRPr="00421AEE">
        <w:tab/>
        <w:t xml:space="preserve">An amendment of a provision of the Business Names Registration Act or this Act that is made by an amending item applies, in relation to a matter (the </w:t>
      </w:r>
      <w:r w:rsidRPr="00421AEE">
        <w:rPr>
          <w:b/>
          <w:i/>
        </w:rPr>
        <w:t>relevant matter</w:t>
      </w:r>
      <w:r w:rsidRPr="00421AEE">
        <w:t>), on and after the earliest of the following days:</w:t>
      </w:r>
    </w:p>
    <w:p w14:paraId="60A94C2C" w14:textId="77777777" w:rsidR="00CB58F6" w:rsidRPr="00421AEE" w:rsidRDefault="00CB58F6" w:rsidP="001830B5">
      <w:pPr>
        <w:pStyle w:val="paragraph"/>
      </w:pPr>
      <w:r w:rsidRPr="00421AEE">
        <w:tab/>
        <w:t>(a)</w:t>
      </w:r>
      <w:r w:rsidRPr="00421AEE">
        <w:tab/>
        <w:t>if the amending item is covered by a notifiable instrument in force under paragraph (2)(a) of this item—the day the instrument specifies for the item;</w:t>
      </w:r>
    </w:p>
    <w:p w14:paraId="59DC2799" w14:textId="77777777" w:rsidR="00CB58F6" w:rsidRPr="00421AEE" w:rsidRDefault="00CB58F6" w:rsidP="001830B5">
      <w:pPr>
        <w:pStyle w:val="paragraph"/>
      </w:pPr>
      <w:r w:rsidRPr="00421AEE">
        <w:tab/>
        <w:t>(b)</w:t>
      </w:r>
      <w:r w:rsidRPr="00421AEE">
        <w:tab/>
        <w:t>if the amending item is covered by a notifiable instrument in force under paragraph (2)(b) of this item that specifies matters for the item that include the relevant matter—the day the instrument specifies for the item in relation to those matters;</w:t>
      </w:r>
    </w:p>
    <w:p w14:paraId="6DE7FCD5" w14:textId="77777777" w:rsidR="00CB58F6" w:rsidRPr="00421AEE" w:rsidRDefault="00CB58F6" w:rsidP="001830B5">
      <w:pPr>
        <w:pStyle w:val="paragraph"/>
      </w:pPr>
      <w:r w:rsidRPr="00421AEE">
        <w:tab/>
        <w:t>(c)</w:t>
      </w:r>
      <w:r w:rsidRPr="00421AEE">
        <w:tab/>
      </w:r>
      <w:r w:rsidR="0095795B" w:rsidRPr="00421AEE">
        <w:t>1 July</w:t>
      </w:r>
      <w:r w:rsidRPr="00421AEE">
        <w:t xml:space="preserve"> 2026.</w:t>
      </w:r>
    </w:p>
    <w:p w14:paraId="77DB78ED" w14:textId="77777777" w:rsidR="00CB58F6" w:rsidRPr="00421AEE" w:rsidRDefault="00CB58F6" w:rsidP="001830B5">
      <w:pPr>
        <w:pStyle w:val="notetext"/>
      </w:pPr>
      <w:r w:rsidRPr="00421AEE">
        <w:t>Note:</w:t>
      </w:r>
      <w:r w:rsidRPr="00421AEE">
        <w:tab/>
        <w:t>The provision, as in force immediately before the commencement day for the amending item, will continue to apply in relation to the relevant matter until the day that applies under this subitem.</w:t>
      </w:r>
    </w:p>
    <w:p w14:paraId="39BB1E8C" w14:textId="77777777" w:rsidR="00CB58F6" w:rsidRPr="00421AEE" w:rsidRDefault="00CB58F6" w:rsidP="001830B5">
      <w:pPr>
        <w:pStyle w:val="Subitem"/>
      </w:pPr>
      <w:r w:rsidRPr="00421AEE">
        <w:t>(2)</w:t>
      </w:r>
      <w:r w:rsidRPr="00421AEE">
        <w:tab/>
        <w:t>The Minister:</w:t>
      </w:r>
    </w:p>
    <w:p w14:paraId="5A8FC3D7" w14:textId="77777777" w:rsidR="00CB58F6" w:rsidRPr="00421AEE" w:rsidRDefault="00CB58F6" w:rsidP="001830B5">
      <w:pPr>
        <w:pStyle w:val="paragraph"/>
      </w:pPr>
      <w:r w:rsidRPr="00421AEE">
        <w:tab/>
        <w:t>(a)</w:t>
      </w:r>
      <w:r w:rsidRPr="00421AEE">
        <w:tab/>
        <w:t>may by notifiable instrument specify days for amending items for the purposes of paragraph (1)(a); and</w:t>
      </w:r>
    </w:p>
    <w:p w14:paraId="5858E6EC" w14:textId="77777777" w:rsidR="00CB58F6" w:rsidRPr="00421AEE" w:rsidRDefault="00CB58F6" w:rsidP="001830B5">
      <w:pPr>
        <w:pStyle w:val="paragraph"/>
      </w:pPr>
      <w:r w:rsidRPr="00421AEE">
        <w:tab/>
        <w:t>(b)</w:t>
      </w:r>
      <w:r w:rsidRPr="00421AEE">
        <w:tab/>
        <w:t>may by notifiable instrument specify days and matters for amending items for the purposes of paragraph (1)(b).</w:t>
      </w:r>
    </w:p>
    <w:p w14:paraId="659FC113" w14:textId="77777777" w:rsidR="00CB58F6" w:rsidRPr="00421AEE" w:rsidRDefault="00CB58F6" w:rsidP="001830B5">
      <w:pPr>
        <w:pStyle w:val="notetext"/>
      </w:pPr>
      <w:r w:rsidRPr="00421AEE">
        <w:t>Note:</w:t>
      </w:r>
      <w:r w:rsidRPr="00421AEE">
        <w:tab/>
        <w:t xml:space="preserve">For specification by class, see subsection 13(3) of the </w:t>
      </w:r>
      <w:r w:rsidRPr="00421AEE">
        <w:rPr>
          <w:i/>
        </w:rPr>
        <w:t>Legislation Act 2003</w:t>
      </w:r>
      <w:r w:rsidRPr="00421AEE">
        <w:t>.</w:t>
      </w:r>
    </w:p>
    <w:p w14:paraId="3CBEF1D6" w14:textId="77777777" w:rsidR="00CB58F6" w:rsidRPr="00421AEE" w:rsidRDefault="00CB58F6" w:rsidP="001830B5">
      <w:pPr>
        <w:pStyle w:val="Subitem"/>
      </w:pPr>
      <w:r w:rsidRPr="00421AEE">
        <w:t>(3)</w:t>
      </w:r>
      <w:r w:rsidRPr="00421AEE">
        <w:tab/>
        <w:t>A day specified for an amending item in a notifiable instrument made under subitem (2) must be:</w:t>
      </w:r>
    </w:p>
    <w:p w14:paraId="045062DB" w14:textId="77777777" w:rsidR="00CB58F6" w:rsidRPr="00421AEE" w:rsidRDefault="00CB58F6" w:rsidP="001830B5">
      <w:pPr>
        <w:pStyle w:val="paragraph"/>
      </w:pPr>
      <w:r w:rsidRPr="00421AEE">
        <w:tab/>
        <w:t>(a)</w:t>
      </w:r>
      <w:r w:rsidRPr="00421AEE">
        <w:tab/>
        <w:t>on or after the day that the instrument is made; and</w:t>
      </w:r>
    </w:p>
    <w:p w14:paraId="1AED234F" w14:textId="77777777" w:rsidR="00CB58F6" w:rsidRPr="00421AEE" w:rsidRDefault="00CB58F6" w:rsidP="001830B5">
      <w:pPr>
        <w:pStyle w:val="paragraph"/>
      </w:pPr>
      <w:r w:rsidRPr="00421AEE">
        <w:tab/>
        <w:t>(b)</w:t>
      </w:r>
      <w:r w:rsidRPr="00421AEE">
        <w:tab/>
        <w:t>on or after the commencement day for the amending item.</w:t>
      </w:r>
    </w:p>
    <w:p w14:paraId="16704693" w14:textId="77777777" w:rsidR="00CB58F6" w:rsidRPr="00421AEE" w:rsidRDefault="00CB58F6" w:rsidP="001830B5">
      <w:pPr>
        <w:pStyle w:val="Subitem"/>
      </w:pPr>
      <w:r w:rsidRPr="00421AEE">
        <w:t>(4)</w:t>
      </w:r>
      <w:r w:rsidRPr="00421AEE">
        <w:tab/>
        <w:t xml:space="preserve">Without limiting subsection 13(3) of the </w:t>
      </w:r>
      <w:r w:rsidRPr="00421AEE">
        <w:rPr>
          <w:i/>
        </w:rPr>
        <w:t>Legislation Act 2003</w:t>
      </w:r>
      <w:r w:rsidRPr="00421AEE">
        <w:t>, an instrument made under subitem (2) of this item may specify all amending items as a class of amending items.</w:t>
      </w:r>
    </w:p>
    <w:p w14:paraId="6C5023B5" w14:textId="77777777" w:rsidR="00CB58F6" w:rsidRPr="00421AEE" w:rsidRDefault="00CB58F6" w:rsidP="001830B5">
      <w:pPr>
        <w:pStyle w:val="Specialih"/>
      </w:pPr>
      <w:r w:rsidRPr="00421AEE">
        <w:t>4  Liability for damages</w:t>
      </w:r>
    </w:p>
    <w:p w14:paraId="5976BA55" w14:textId="77777777" w:rsidR="00CB58F6" w:rsidRPr="00421AEE" w:rsidRDefault="00CB58F6" w:rsidP="001830B5">
      <w:pPr>
        <w:pStyle w:val="Item"/>
      </w:pPr>
      <w:r w:rsidRPr="00421AEE">
        <w:t>Section 78 of the Business Names Registration Act, as in force immediately before the commencement day for amending item 322, continues to apply, on and after that day, in relation to an act that relates to a matter and is done or omitted to be done:</w:t>
      </w:r>
    </w:p>
    <w:p w14:paraId="3AD73827" w14:textId="77777777" w:rsidR="00CB58F6" w:rsidRPr="00421AEE" w:rsidRDefault="00CB58F6" w:rsidP="001830B5">
      <w:pPr>
        <w:pStyle w:val="paragraph"/>
      </w:pPr>
      <w:r w:rsidRPr="00421AEE">
        <w:tab/>
        <w:t>(a)</w:t>
      </w:r>
      <w:r w:rsidRPr="00421AEE">
        <w:tab/>
        <w:t>by ASIC or a person mentioned in any of paragraphs (c) to (e) of that section; and</w:t>
      </w:r>
    </w:p>
    <w:p w14:paraId="6D9211DF" w14:textId="77777777" w:rsidR="00CB58F6" w:rsidRPr="00421AEE" w:rsidRDefault="00CB58F6" w:rsidP="001830B5">
      <w:pPr>
        <w:pStyle w:val="paragraph"/>
      </w:pPr>
      <w:r w:rsidRPr="00421AEE">
        <w:tab/>
        <w:t>(b)</w:t>
      </w:r>
      <w:r w:rsidRPr="00421AEE">
        <w:tab/>
        <w:t>either:</w:t>
      </w:r>
    </w:p>
    <w:p w14:paraId="17C492D2" w14:textId="77777777" w:rsidR="00CB58F6" w:rsidRPr="00421AEE" w:rsidRDefault="00CB58F6" w:rsidP="001830B5">
      <w:pPr>
        <w:pStyle w:val="paragraphsub"/>
      </w:pPr>
      <w:r w:rsidRPr="00421AEE">
        <w:tab/>
        <w:t>(i)</w:t>
      </w:r>
      <w:r w:rsidRPr="00421AEE">
        <w:tab/>
        <w:t>before the application day for the amendment made by that amending item, as applying in relation to that matter; or</w:t>
      </w:r>
    </w:p>
    <w:p w14:paraId="6B415109" w14:textId="77777777" w:rsidR="00CB58F6" w:rsidRPr="00421AEE" w:rsidRDefault="00CB58F6" w:rsidP="001830B5">
      <w:pPr>
        <w:pStyle w:val="paragraphsub"/>
      </w:pPr>
      <w:r w:rsidRPr="00421AEE">
        <w:tab/>
        <w:t>(ii)</w:t>
      </w:r>
      <w:r w:rsidRPr="00421AEE">
        <w:tab/>
        <w:t>in accordance with item 6 of this Schedule.</w:t>
      </w:r>
    </w:p>
    <w:p w14:paraId="43CEC2CD" w14:textId="77777777" w:rsidR="00CB58F6" w:rsidRPr="00421AEE" w:rsidRDefault="00CB58F6" w:rsidP="001830B5">
      <w:pPr>
        <w:pStyle w:val="Specialih"/>
      </w:pPr>
      <w:r w:rsidRPr="00421AEE">
        <w:t>5  Notice nominating or withdrawing nomination of principal contact</w:t>
      </w:r>
    </w:p>
    <w:p w14:paraId="6E14081D" w14:textId="77777777" w:rsidR="00CB58F6" w:rsidRPr="00421AEE" w:rsidRDefault="00CB58F6" w:rsidP="001830B5">
      <w:pPr>
        <w:pStyle w:val="Item"/>
      </w:pPr>
      <w:r w:rsidRPr="00421AEE">
        <w:t>A notice that:</w:t>
      </w:r>
    </w:p>
    <w:p w14:paraId="118831FB" w14:textId="77777777" w:rsidR="00CB58F6" w:rsidRPr="00421AEE" w:rsidRDefault="00CB58F6" w:rsidP="001830B5">
      <w:pPr>
        <w:pStyle w:val="paragraph"/>
      </w:pPr>
      <w:r w:rsidRPr="00421AEE">
        <w:tab/>
        <w:t>(a)</w:t>
      </w:r>
      <w:r w:rsidRPr="00421AEE">
        <w:tab/>
        <w:t>nominates, or withdraws the nomination of, a person as the principal contact in relation to an entity under section 82, 84, 86 or 87 of the Business Names Registration Act; and</w:t>
      </w:r>
    </w:p>
    <w:p w14:paraId="30F21DF6" w14:textId="77777777" w:rsidR="00CB58F6" w:rsidRPr="00421AEE" w:rsidRDefault="00CB58F6" w:rsidP="001830B5">
      <w:pPr>
        <w:pStyle w:val="paragraph"/>
      </w:pPr>
      <w:r w:rsidRPr="00421AEE">
        <w:tab/>
        <w:t>(b)</w:t>
      </w:r>
      <w:r w:rsidRPr="00421AEE">
        <w:tab/>
        <w:t>is validly lodged with ASIC under that section;</w:t>
      </w:r>
    </w:p>
    <w:p w14:paraId="53742D8C" w14:textId="77777777" w:rsidR="00CB58F6" w:rsidRPr="00421AEE" w:rsidRDefault="00CB58F6" w:rsidP="001830B5">
      <w:pPr>
        <w:pStyle w:val="Item"/>
      </w:pPr>
      <w:r w:rsidRPr="00421AEE">
        <w:t>continues in force (and may be dealt with) as if the notice had been lodged with the Registrar.</w:t>
      </w:r>
    </w:p>
    <w:p w14:paraId="2B044321" w14:textId="77777777" w:rsidR="00CB58F6" w:rsidRPr="00421AEE" w:rsidRDefault="00CB58F6" w:rsidP="001830B5">
      <w:pPr>
        <w:pStyle w:val="notetext"/>
      </w:pPr>
      <w:r w:rsidRPr="00421AEE">
        <w:t>Note:</w:t>
      </w:r>
      <w:r w:rsidRPr="00421AEE">
        <w:tab/>
        <w:t>Whether a notice is validly lodged will be affected by whether an amending item that amends that section has commenced and how the amendment made by that amending item applies to the circumstances in which the notice is lodged. For the application of amending items, see item 3 of this Schedule.</w:t>
      </w:r>
    </w:p>
    <w:p w14:paraId="5D9018B6" w14:textId="77777777" w:rsidR="00CB58F6" w:rsidRPr="00421AEE" w:rsidRDefault="00CB58F6" w:rsidP="001830B5">
      <w:pPr>
        <w:pStyle w:val="Specialih"/>
      </w:pPr>
      <w:r w:rsidRPr="00421AEE">
        <w:t>6  Things started but not finished by ASIC</w:t>
      </w:r>
    </w:p>
    <w:p w14:paraId="7C10E225" w14:textId="77777777" w:rsidR="00CB58F6" w:rsidRPr="00421AEE" w:rsidRDefault="00CB58F6" w:rsidP="001830B5">
      <w:pPr>
        <w:pStyle w:val="Item"/>
      </w:pPr>
      <w:r w:rsidRPr="00421AEE">
        <w:t>If:</w:t>
      </w:r>
    </w:p>
    <w:p w14:paraId="2EC09217" w14:textId="77777777" w:rsidR="00CB58F6" w:rsidRPr="00421AEE" w:rsidRDefault="00CB58F6" w:rsidP="001830B5">
      <w:pPr>
        <w:pStyle w:val="paragraph"/>
      </w:pPr>
      <w:r w:rsidRPr="00421AEE">
        <w:tab/>
        <w:t>(a)</w:t>
      </w:r>
      <w:r w:rsidRPr="00421AEE">
        <w:tab/>
        <w:t>an amending item amends a provision of the Business Names Registration Act or this Act; and</w:t>
      </w:r>
    </w:p>
    <w:p w14:paraId="2CB13E85" w14:textId="77777777" w:rsidR="00CB58F6" w:rsidRPr="00421AEE" w:rsidRDefault="00CB58F6" w:rsidP="001830B5">
      <w:pPr>
        <w:pStyle w:val="paragraph"/>
      </w:pPr>
      <w:r w:rsidRPr="00421AEE">
        <w:tab/>
        <w:t>(b)</w:t>
      </w:r>
      <w:r w:rsidRPr="00421AEE">
        <w:tab/>
        <w:t>before the application day for the amendment made by the amending item, as applying in relation to a matter, ASIC started doing a thing that relates to that matter under the provision as in force immediately before the commencement day for the amending item; and</w:t>
      </w:r>
    </w:p>
    <w:p w14:paraId="26B836B4" w14:textId="77777777" w:rsidR="00CB58F6" w:rsidRPr="00421AEE" w:rsidRDefault="00CB58F6" w:rsidP="001830B5">
      <w:pPr>
        <w:pStyle w:val="paragraph"/>
      </w:pPr>
      <w:r w:rsidRPr="00421AEE">
        <w:tab/>
        <w:t>(c)</w:t>
      </w:r>
      <w:r w:rsidRPr="00421AEE">
        <w:tab/>
        <w:t>immediately before that application day, ASIC had not finished doing that thing; and</w:t>
      </w:r>
    </w:p>
    <w:p w14:paraId="04176EB0" w14:textId="77777777" w:rsidR="00CB58F6" w:rsidRPr="00421AEE" w:rsidRDefault="00CB58F6" w:rsidP="001830B5">
      <w:pPr>
        <w:pStyle w:val="paragraph"/>
      </w:pPr>
      <w:r w:rsidRPr="00421AEE">
        <w:tab/>
        <w:t>(d)</w:t>
      </w:r>
      <w:r w:rsidRPr="00421AEE">
        <w:tab/>
        <w:t>on and after that application day, doing that thing is within the powers or functions of the Registrar;</w:t>
      </w:r>
    </w:p>
    <w:p w14:paraId="11FDFA81" w14:textId="77777777" w:rsidR="00CB58F6" w:rsidRPr="00421AEE" w:rsidRDefault="00CB58F6" w:rsidP="001830B5">
      <w:pPr>
        <w:pStyle w:val="Item"/>
      </w:pPr>
      <w:r w:rsidRPr="00421AEE">
        <w:t>then, on and after that application day:</w:t>
      </w:r>
    </w:p>
    <w:p w14:paraId="577FF2EA" w14:textId="77777777" w:rsidR="00CB58F6" w:rsidRPr="00421AEE" w:rsidRDefault="00CB58F6" w:rsidP="001830B5">
      <w:pPr>
        <w:pStyle w:val="paragraph"/>
      </w:pPr>
      <w:r w:rsidRPr="00421AEE">
        <w:tab/>
        <w:t>(e)</w:t>
      </w:r>
      <w:r w:rsidRPr="00421AEE">
        <w:tab/>
        <w:t>ASIC may finish doing that thing as if that thing were being done by the Registrar in performing or exercising the Registrar’s functions or powers; and</w:t>
      </w:r>
    </w:p>
    <w:p w14:paraId="6296E2DB" w14:textId="77777777" w:rsidR="00CB58F6" w:rsidRPr="00421AEE" w:rsidRDefault="00CB58F6" w:rsidP="001830B5">
      <w:pPr>
        <w:pStyle w:val="paragraph"/>
      </w:pPr>
      <w:r w:rsidRPr="00421AEE">
        <w:tab/>
        <w:t>(f)</w:t>
      </w:r>
      <w:r w:rsidRPr="00421AEE">
        <w:tab/>
        <w:t>to the extent that ASIC does not finish doing that thing under paragraph (e), the Registrar may finish doing that thing in performing and exercising the Registrar’s functions and powers.</w:t>
      </w:r>
    </w:p>
    <w:p w14:paraId="5189E252" w14:textId="77777777" w:rsidR="00CB58F6" w:rsidRPr="00421AEE" w:rsidRDefault="00CB58F6" w:rsidP="001830B5">
      <w:pPr>
        <w:pStyle w:val="ActHead9"/>
        <w:rPr>
          <w:i w:val="0"/>
        </w:rPr>
      </w:pPr>
      <w:bookmarkStart w:id="33" w:name="_Toc110951169"/>
      <w:r w:rsidRPr="00421AEE">
        <w:t>Corporations Act 2001</w:t>
      </w:r>
      <w:bookmarkEnd w:id="33"/>
    </w:p>
    <w:p w14:paraId="31BC39CF" w14:textId="77777777" w:rsidR="00CB58F6" w:rsidRPr="00421AEE" w:rsidRDefault="00CB58F6" w:rsidP="001830B5">
      <w:pPr>
        <w:pStyle w:val="ItemHead"/>
      </w:pPr>
      <w:r w:rsidRPr="00421AEE">
        <w:t>13  Before Part 10.35A</w:t>
      </w:r>
    </w:p>
    <w:p w14:paraId="1D0281C2" w14:textId="77777777" w:rsidR="00CB58F6" w:rsidRPr="00421AEE" w:rsidRDefault="00CB58F6" w:rsidP="001830B5">
      <w:pPr>
        <w:pStyle w:val="Item"/>
      </w:pPr>
      <w:r w:rsidRPr="00421AEE">
        <w:t>Insert:</w:t>
      </w:r>
    </w:p>
    <w:p w14:paraId="0438B4DD" w14:textId="77777777" w:rsidR="00CB58F6" w:rsidRPr="00421AEE" w:rsidRDefault="00CB58F6" w:rsidP="001830B5">
      <w:pPr>
        <w:pStyle w:val="ActHead2"/>
      </w:pPr>
      <w:bookmarkStart w:id="34" w:name="_Toc110951170"/>
      <w:r w:rsidRPr="001830B5">
        <w:rPr>
          <w:rStyle w:val="CharPartNo"/>
        </w:rPr>
        <w:t>Part 10.35</w:t>
      </w:r>
      <w:r w:rsidRPr="00421AEE">
        <w:t>—</w:t>
      </w:r>
      <w:r w:rsidRPr="001830B5">
        <w:rPr>
          <w:rStyle w:val="CharPartText"/>
        </w:rPr>
        <w:t>Application and transitional provisions relating to registries modernisation amendments</w:t>
      </w:r>
      <w:bookmarkEnd w:id="34"/>
    </w:p>
    <w:p w14:paraId="0E7F3D68" w14:textId="77777777" w:rsidR="00CB58F6" w:rsidRPr="00961C41" w:rsidRDefault="00CB58F6" w:rsidP="001830B5">
      <w:pPr>
        <w:pStyle w:val="Header"/>
      </w:pPr>
      <w:r w:rsidRPr="001830B5">
        <w:rPr>
          <w:rStyle w:val="CharDivNo"/>
        </w:rPr>
        <w:t xml:space="preserve"> </w:t>
      </w:r>
      <w:r w:rsidRPr="001830B5">
        <w:rPr>
          <w:rStyle w:val="CharDivText"/>
        </w:rPr>
        <w:t xml:space="preserve"> </w:t>
      </w:r>
    </w:p>
    <w:p w14:paraId="42637E52" w14:textId="77777777" w:rsidR="00CB58F6" w:rsidRPr="00421AEE" w:rsidRDefault="00CB58F6" w:rsidP="001830B5">
      <w:pPr>
        <w:pStyle w:val="ActHead5"/>
      </w:pPr>
      <w:bookmarkStart w:id="35" w:name="_Toc110951171"/>
      <w:r w:rsidRPr="001830B5">
        <w:rPr>
          <w:rStyle w:val="CharSectno"/>
        </w:rPr>
        <w:t>1650</w:t>
      </w:r>
      <w:r w:rsidRPr="00421AEE">
        <w:t xml:space="preserve">  Definitions</w:t>
      </w:r>
      <w:bookmarkEnd w:id="35"/>
    </w:p>
    <w:p w14:paraId="7DF1EAD3" w14:textId="77777777" w:rsidR="00CB58F6" w:rsidRPr="00421AEE" w:rsidRDefault="00CB58F6" w:rsidP="001830B5">
      <w:pPr>
        <w:pStyle w:val="subsection"/>
      </w:pPr>
      <w:r w:rsidRPr="00421AEE">
        <w:tab/>
        <w:t>(1)</w:t>
      </w:r>
      <w:r w:rsidRPr="00421AEE">
        <w:tab/>
        <w:t>In this Part:</w:t>
      </w:r>
    </w:p>
    <w:p w14:paraId="44CA9517" w14:textId="77777777" w:rsidR="00CB58F6" w:rsidRPr="00421AEE" w:rsidRDefault="00CB58F6" w:rsidP="001830B5">
      <w:pPr>
        <w:pStyle w:val="Definition"/>
      </w:pPr>
      <w:r w:rsidRPr="00421AEE">
        <w:rPr>
          <w:b/>
          <w:i/>
        </w:rPr>
        <w:t>amending item</w:t>
      </w:r>
      <w:r w:rsidRPr="00421AEE">
        <w:t xml:space="preserve"> means any of the following that amends a provision of this Act:</w:t>
      </w:r>
    </w:p>
    <w:p w14:paraId="2AC677B0" w14:textId="77777777" w:rsidR="00CB58F6" w:rsidRPr="00421AEE" w:rsidRDefault="00CB58F6" w:rsidP="001830B5">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1AEA56BC" w14:textId="77777777" w:rsidR="00CB58F6" w:rsidRPr="00421AEE" w:rsidRDefault="00CB58F6" w:rsidP="001830B5">
      <w:pPr>
        <w:pStyle w:val="paragraph"/>
      </w:pPr>
      <w:r w:rsidRPr="00421AEE">
        <w:tab/>
        <w:t>(b)</w:t>
      </w:r>
      <w:r w:rsidRPr="00421AEE">
        <w:tab/>
        <w:t xml:space="preserve">an item of Part 3 of Schedule 1, or of </w:t>
      </w:r>
      <w:r w:rsidR="0095795B" w:rsidRPr="00421AEE">
        <w:t>Schedule 2</w:t>
      </w:r>
      <w:r w:rsidRPr="00421AEE">
        <w:t xml:space="preserve">, to the </w:t>
      </w:r>
      <w:r w:rsidRPr="00421AEE">
        <w:rPr>
          <w:i/>
        </w:rPr>
        <w:t>Financial Sector Reform (Hayne Royal Commission Response—Better Advice) Act 2021</w:t>
      </w:r>
      <w:r w:rsidRPr="00421AEE">
        <w:t>;</w:t>
      </w:r>
    </w:p>
    <w:p w14:paraId="2B0E1BD3" w14:textId="77777777" w:rsidR="00CB58F6" w:rsidRPr="00421AEE" w:rsidRDefault="00CB58F6" w:rsidP="001830B5">
      <w:pPr>
        <w:pStyle w:val="paragraph"/>
      </w:pPr>
      <w:r w:rsidRPr="00421AEE">
        <w:tab/>
        <w:t>(c)</w:t>
      </w:r>
      <w:r w:rsidRPr="00421AEE">
        <w:tab/>
        <w:t xml:space="preserve">an item of Part 4 of </w:t>
      </w:r>
      <w:r w:rsidR="0095795B" w:rsidRPr="00421AEE">
        <w:t>Schedule 2</w:t>
      </w:r>
      <w:r w:rsidRPr="00421AEE">
        <w:t xml:space="preserve"> to the </w:t>
      </w:r>
      <w:r w:rsidRPr="00421AEE">
        <w:rPr>
          <w:i/>
        </w:rPr>
        <w:t>Treasury Laws Amendment (2021 Measures No. 1) Act 2021</w:t>
      </w:r>
      <w:r w:rsidRPr="00421AEE">
        <w:t>;</w:t>
      </w:r>
    </w:p>
    <w:p w14:paraId="574E49F7" w14:textId="77777777" w:rsidR="00CB58F6" w:rsidRPr="00421AEE" w:rsidRDefault="00CB58F6" w:rsidP="001830B5">
      <w:pPr>
        <w:pStyle w:val="paragraph"/>
      </w:pPr>
      <w:r w:rsidRPr="00421AEE">
        <w:tab/>
        <w:t>(d)</w:t>
      </w:r>
      <w:r w:rsidRPr="00421AEE">
        <w:tab/>
        <w:t>an item specified under subsection (2).</w:t>
      </w:r>
    </w:p>
    <w:p w14:paraId="71785A2D" w14:textId="77777777" w:rsidR="00CB58F6" w:rsidRPr="00421AEE" w:rsidRDefault="00CB58F6" w:rsidP="001830B5">
      <w:pPr>
        <w:pStyle w:val="Definition"/>
      </w:pPr>
      <w:r w:rsidRPr="00421AEE">
        <w:rPr>
          <w:b/>
          <w:i/>
        </w:rPr>
        <w:t>application day</w:t>
      </w:r>
      <w:r w:rsidRPr="00421AEE">
        <w:t>, for an amendment made by an amending item, as applying in relation to a matter, means the day on and after which the amendment applies in relation to that matter because of section 1650B.</w:t>
      </w:r>
    </w:p>
    <w:p w14:paraId="31285B32" w14:textId="77777777" w:rsidR="00CB58F6" w:rsidRPr="00421AEE" w:rsidRDefault="00CB58F6" w:rsidP="001830B5">
      <w:pPr>
        <w:pStyle w:val="Definition"/>
      </w:pPr>
      <w:r w:rsidRPr="00421AEE">
        <w:rPr>
          <w:b/>
          <w:i/>
        </w:rPr>
        <w:t>commencement day</w:t>
      </w:r>
      <w:r w:rsidRPr="00421AEE">
        <w:t xml:space="preserve">, for an amending item, means the day on which the amending item commences (taking into account Part 1 of </w:t>
      </w:r>
      <w:r w:rsidR="009F7539" w:rsidRPr="00421AEE">
        <w:t>Schedule 4</w:t>
      </w:r>
      <w:r w:rsidRPr="00421AEE">
        <w:t xml:space="preserve"> to the </w:t>
      </w:r>
      <w:r w:rsidRPr="00421AEE">
        <w:rPr>
          <w:i/>
        </w:rPr>
        <w:t>Treasury Laws Amendment (2022 Measures No. 1) Act 2022</w:t>
      </w:r>
      <w:r w:rsidRPr="00421AEE">
        <w:t>).</w:t>
      </w:r>
    </w:p>
    <w:p w14:paraId="743F67E6" w14:textId="77777777" w:rsidR="00CB58F6" w:rsidRPr="00421AEE" w:rsidRDefault="00CB58F6" w:rsidP="001830B5">
      <w:pPr>
        <w:pStyle w:val="Definition"/>
      </w:pPr>
      <w:r w:rsidRPr="00421AEE">
        <w:rPr>
          <w:b/>
          <w:i/>
        </w:rPr>
        <w:t>interim period</w:t>
      </w:r>
      <w:r w:rsidRPr="00421AEE">
        <w:t xml:space="preserve"> means the period:</w:t>
      </w:r>
    </w:p>
    <w:p w14:paraId="3F81E17C" w14:textId="77777777" w:rsidR="00CB58F6" w:rsidRPr="00421AEE" w:rsidRDefault="00CB58F6" w:rsidP="001830B5">
      <w:pPr>
        <w:pStyle w:val="paragraph"/>
      </w:pPr>
      <w:r w:rsidRPr="00421AEE">
        <w:tab/>
        <w:t>(a)</w:t>
      </w:r>
      <w:r w:rsidRPr="00421AEE">
        <w:tab/>
        <w:t>starting at the start of 22 June 2022; and</w:t>
      </w:r>
    </w:p>
    <w:p w14:paraId="74B4207E" w14:textId="77777777" w:rsidR="00CB58F6" w:rsidRPr="00421AEE" w:rsidRDefault="00CB58F6" w:rsidP="001830B5">
      <w:pPr>
        <w:pStyle w:val="paragraph"/>
      </w:pPr>
      <w:r w:rsidRPr="00421AEE">
        <w:tab/>
        <w:t>(b)</w:t>
      </w:r>
      <w:r w:rsidRPr="00421AEE">
        <w:tab/>
        <w:t xml:space="preserve">ending at the end of the day before the day on which Part 2 of </w:t>
      </w:r>
      <w:r w:rsidR="009F7539" w:rsidRPr="00421AEE">
        <w:t>Schedule 4</w:t>
      </w:r>
      <w:r w:rsidRPr="00421AEE">
        <w:t xml:space="preserve"> to the </w:t>
      </w:r>
      <w:r w:rsidRPr="00421AEE">
        <w:rPr>
          <w:i/>
        </w:rPr>
        <w:t>Treasury Laws Amendment (2022 Measures No. 1) Act 2022</w:t>
      </w:r>
      <w:r w:rsidRPr="00421AEE">
        <w:t xml:space="preserve"> commences.</w:t>
      </w:r>
    </w:p>
    <w:p w14:paraId="3D4F88CB" w14:textId="77777777" w:rsidR="00CB58F6" w:rsidRPr="00421AEE" w:rsidRDefault="00CB58F6" w:rsidP="001830B5">
      <w:pPr>
        <w:pStyle w:val="Definition"/>
      </w:pPr>
      <w:r w:rsidRPr="00421AEE">
        <w:rPr>
          <w:b/>
          <w:i/>
        </w:rPr>
        <w:t>postponed item</w:t>
      </w:r>
      <w:r w:rsidRPr="00421AEE">
        <w:t xml:space="preserve"> means any of the following that commenced on 22 June 2022 (disregarding Part 1 of </w:t>
      </w:r>
      <w:r w:rsidR="009F7539" w:rsidRPr="00421AEE">
        <w:t>Schedule 4</w:t>
      </w:r>
      <w:r w:rsidRPr="00421AEE">
        <w:t xml:space="preserve"> to the </w:t>
      </w:r>
      <w:r w:rsidRPr="00421AEE">
        <w:rPr>
          <w:i/>
        </w:rPr>
        <w:t>Treasury Laws Amendment (2022 Measures No. 1) Act 2022</w:t>
      </w:r>
      <w:r w:rsidRPr="00421AEE">
        <w:t>):</w:t>
      </w:r>
    </w:p>
    <w:p w14:paraId="2F3FB9E0" w14:textId="77777777" w:rsidR="00CB58F6" w:rsidRPr="00421AEE" w:rsidRDefault="00CB58F6" w:rsidP="001830B5">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3ACA8FF5" w14:textId="77777777" w:rsidR="00CB58F6" w:rsidRPr="00421AEE" w:rsidRDefault="00CB58F6" w:rsidP="001830B5">
      <w:pPr>
        <w:pStyle w:val="paragraph"/>
      </w:pPr>
      <w:r w:rsidRPr="00421AEE">
        <w:tab/>
        <w:t>(b)</w:t>
      </w:r>
      <w:r w:rsidRPr="00421AEE">
        <w:tab/>
        <w:t xml:space="preserve">an item of Part 3 of Schedule 1 to the </w:t>
      </w:r>
      <w:r w:rsidRPr="00421AEE">
        <w:rPr>
          <w:i/>
        </w:rPr>
        <w:t>Financial Sector Reform (Hayne Royal Commission Response—Better Advice) Act 2021</w:t>
      </w:r>
      <w:r w:rsidRPr="00421AEE">
        <w:t>;</w:t>
      </w:r>
    </w:p>
    <w:p w14:paraId="08016BB8" w14:textId="77777777" w:rsidR="00CB58F6" w:rsidRPr="00421AEE" w:rsidRDefault="00CB58F6" w:rsidP="001830B5">
      <w:pPr>
        <w:pStyle w:val="paragraph"/>
      </w:pPr>
      <w:r w:rsidRPr="00421AEE">
        <w:tab/>
        <w:t>(c)</w:t>
      </w:r>
      <w:r w:rsidRPr="00421AEE">
        <w:tab/>
        <w:t xml:space="preserve">an item of Part 4 of </w:t>
      </w:r>
      <w:r w:rsidR="0095795B" w:rsidRPr="00421AEE">
        <w:t>Schedule 2</w:t>
      </w:r>
      <w:r w:rsidRPr="00421AEE">
        <w:t xml:space="preserve"> to the </w:t>
      </w:r>
      <w:r w:rsidRPr="00421AEE">
        <w:rPr>
          <w:i/>
        </w:rPr>
        <w:t>Treasury Laws Amendment (2021 Measures No. 1) Act 2021</w:t>
      </w:r>
      <w:r w:rsidRPr="00421AEE">
        <w:t>.</w:t>
      </w:r>
    </w:p>
    <w:p w14:paraId="398E30C9" w14:textId="77777777" w:rsidR="00CB58F6" w:rsidRPr="00421AEE" w:rsidRDefault="00CB58F6" w:rsidP="001830B5">
      <w:pPr>
        <w:pStyle w:val="notetext"/>
      </w:pPr>
      <w:r w:rsidRPr="00421AEE">
        <w:t>Note</w:t>
      </w:r>
      <w:r w:rsidRPr="00421AEE">
        <w:tab/>
        <w:t xml:space="preserve">Item 103 of Schedule 1 to the </w:t>
      </w:r>
      <w:r w:rsidRPr="00421AEE">
        <w:rPr>
          <w:i/>
        </w:rPr>
        <w:t xml:space="preserve">Treasury Laws Amendment (Registries Modernisation and Other Measures) Act 2020 </w:t>
      </w:r>
      <w:r w:rsidRPr="00421AEE">
        <w:t>is not covered by paragraph (a) because that item commenced on 4 April 2021.</w:t>
      </w:r>
    </w:p>
    <w:p w14:paraId="1EF258AD" w14:textId="77777777" w:rsidR="00CB58F6" w:rsidRPr="00421AEE" w:rsidRDefault="00CB58F6" w:rsidP="001830B5">
      <w:pPr>
        <w:pStyle w:val="subsection"/>
      </w:pPr>
      <w:r w:rsidRPr="00421AEE">
        <w:tab/>
        <w:t>(2)</w:t>
      </w:r>
      <w:r w:rsidRPr="00421AEE">
        <w:tab/>
        <w:t xml:space="preserve">For the purposes of paragraph (d) of the definition of </w:t>
      </w:r>
      <w:r w:rsidRPr="00421AEE">
        <w:rPr>
          <w:b/>
          <w:i/>
        </w:rPr>
        <w:t>amending item</w:t>
      </w:r>
      <w:r w:rsidRPr="00421AEE">
        <w:t xml:space="preserve"> in subsection (1), the Minister may, by legislative instrument, specify items that:</w:t>
      </w:r>
    </w:p>
    <w:p w14:paraId="5240AD87" w14:textId="77777777" w:rsidR="00CB58F6" w:rsidRPr="00421AEE" w:rsidRDefault="00CB58F6" w:rsidP="001830B5">
      <w:pPr>
        <w:pStyle w:val="paragraph"/>
      </w:pPr>
      <w:r w:rsidRPr="00421AEE">
        <w:tab/>
        <w:t>(a)</w:t>
      </w:r>
      <w:r w:rsidRPr="00421AEE">
        <w:tab/>
        <w:t>are in a Schedule to any Act and amend a provision of this Act that deals with a matter related to a government registry regime; and</w:t>
      </w:r>
    </w:p>
    <w:p w14:paraId="164DF53A" w14:textId="77777777" w:rsidR="00CB58F6" w:rsidRPr="00421AEE" w:rsidRDefault="00CB58F6" w:rsidP="001830B5">
      <w:pPr>
        <w:pStyle w:val="paragraph"/>
      </w:pPr>
      <w:r w:rsidRPr="00421AEE">
        <w:tab/>
        <w:t>(b)</w:t>
      </w:r>
      <w:r w:rsidRPr="00421AEE">
        <w:tab/>
        <w:t xml:space="preserve">are to commence after the end of the interim period but before </w:t>
      </w:r>
      <w:r w:rsidR="0095795B" w:rsidRPr="00421AEE">
        <w:t>1 July</w:t>
      </w:r>
      <w:r w:rsidRPr="00421AEE">
        <w:t xml:space="preserve"> 2026.</w:t>
      </w:r>
    </w:p>
    <w:p w14:paraId="47C57C19" w14:textId="77777777" w:rsidR="00CB58F6" w:rsidRPr="00421AEE" w:rsidRDefault="00CB58F6" w:rsidP="001830B5">
      <w:pPr>
        <w:pStyle w:val="subsection"/>
      </w:pPr>
      <w:r w:rsidRPr="00421AEE">
        <w:tab/>
        <w:t>(3)</w:t>
      </w:r>
      <w:r w:rsidRPr="00421AEE">
        <w:tab/>
        <w:t xml:space="preserve">For the purposes of subparagraph 1650B(1)(c)(ii), the Minister may, by legislative instrument, specify a day for an item specified under subsection (2) of this section. The day must occur after the end of the interim period but before </w:t>
      </w:r>
      <w:r w:rsidR="0095795B" w:rsidRPr="00421AEE">
        <w:t>1 July</w:t>
      </w:r>
      <w:r w:rsidRPr="00421AEE">
        <w:t xml:space="preserve"> 2026.</w:t>
      </w:r>
    </w:p>
    <w:p w14:paraId="7E36B69A" w14:textId="77777777" w:rsidR="00CB58F6" w:rsidRPr="00421AEE" w:rsidRDefault="00CB58F6" w:rsidP="001830B5">
      <w:pPr>
        <w:pStyle w:val="ActHead5"/>
      </w:pPr>
      <w:bookmarkStart w:id="36" w:name="_Toc110951172"/>
      <w:r w:rsidRPr="001830B5">
        <w:rPr>
          <w:rStyle w:val="CharSectno"/>
        </w:rPr>
        <w:t>1650A</w:t>
      </w:r>
      <w:r w:rsidRPr="00421AEE">
        <w:t xml:space="preserve">  Validation of acts or things done during interim period</w:t>
      </w:r>
      <w:bookmarkEnd w:id="36"/>
    </w:p>
    <w:p w14:paraId="140824E3" w14:textId="77777777" w:rsidR="00CB58F6" w:rsidRPr="00421AEE" w:rsidRDefault="00CB58F6" w:rsidP="001830B5">
      <w:pPr>
        <w:pStyle w:val="SubsectionHead"/>
      </w:pPr>
      <w:r w:rsidRPr="00421AEE">
        <w:t>Object</w:t>
      </w:r>
    </w:p>
    <w:p w14:paraId="177BE485" w14:textId="77777777" w:rsidR="00CB58F6" w:rsidRPr="00421AEE" w:rsidRDefault="00CB58F6" w:rsidP="001830B5">
      <w:pPr>
        <w:pStyle w:val="subsection"/>
      </w:pPr>
      <w:r w:rsidRPr="00421AEE">
        <w:tab/>
        <w:t>(1)</w:t>
      </w:r>
      <w:r w:rsidRPr="00421AEE">
        <w:tab/>
        <w:t>The object of this section is to treat all situations during the interim period in every respect as if:</w:t>
      </w:r>
    </w:p>
    <w:p w14:paraId="06FA83CF"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539F463C" w14:textId="77777777" w:rsidR="00CB58F6" w:rsidRPr="00421AEE" w:rsidRDefault="00CB58F6" w:rsidP="001830B5">
      <w:pPr>
        <w:pStyle w:val="paragraph"/>
      </w:pPr>
      <w:r w:rsidRPr="00421AEE">
        <w:tab/>
        <w:t>(b)</w:t>
      </w:r>
      <w:r w:rsidRPr="00421AEE">
        <w:tab/>
        <w:t>the amendments made by the postponed items had not been made at the start of 22 June 2022 and had had no effect during the interim period.</w:t>
      </w:r>
    </w:p>
    <w:p w14:paraId="205641D1" w14:textId="77777777" w:rsidR="00CB58F6" w:rsidRPr="00421AEE" w:rsidRDefault="00CB58F6" w:rsidP="001830B5">
      <w:pPr>
        <w:pStyle w:val="SubsectionHead"/>
      </w:pPr>
      <w:r w:rsidRPr="00421AEE">
        <w:t>Validation of acts and things done in interim period</w:t>
      </w:r>
    </w:p>
    <w:p w14:paraId="2827B67C" w14:textId="77777777" w:rsidR="00CB58F6" w:rsidRPr="00421AEE" w:rsidRDefault="00CB58F6" w:rsidP="001830B5">
      <w:pPr>
        <w:pStyle w:val="subsection"/>
      </w:pPr>
      <w:r w:rsidRPr="00421AEE">
        <w:tab/>
        <w:t>(2)</w:t>
      </w:r>
      <w:r w:rsidRPr="00421AEE">
        <w:tab/>
        <w:t>An act or thing that was done at any time during the interim period is as valid, and is taken always to have been as valid, as it would have been if:</w:t>
      </w:r>
    </w:p>
    <w:p w14:paraId="1690786F"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3F68F571" w14:textId="77777777" w:rsidR="00CB58F6" w:rsidRPr="00421AEE" w:rsidRDefault="00CB58F6" w:rsidP="001830B5">
      <w:pPr>
        <w:pStyle w:val="paragraph"/>
      </w:pPr>
      <w:r w:rsidRPr="00421AEE">
        <w:tab/>
        <w:t>(b)</w:t>
      </w:r>
      <w:r w:rsidRPr="00421AEE">
        <w:tab/>
        <w:t>in particular, the amendments made by the postponed items had not been made at the start of 22 June 2022 and had had no effect during the interim period.</w:t>
      </w:r>
    </w:p>
    <w:p w14:paraId="389CD5F4" w14:textId="77777777" w:rsidR="00CB58F6" w:rsidRPr="00421AEE" w:rsidRDefault="00CB58F6" w:rsidP="001830B5">
      <w:pPr>
        <w:pStyle w:val="SubsectionHead"/>
      </w:pPr>
      <w:r w:rsidRPr="00421AEE">
        <w:t>Continuation of delegations</w:t>
      </w:r>
    </w:p>
    <w:p w14:paraId="73C8CCAD" w14:textId="77777777" w:rsidR="00CB58F6" w:rsidRPr="00421AEE" w:rsidRDefault="00CB58F6" w:rsidP="001830B5">
      <w:pPr>
        <w:pStyle w:val="subsection"/>
      </w:pPr>
      <w:r w:rsidRPr="00421AEE">
        <w:tab/>
        <w:t>(3)</w:t>
      </w:r>
      <w:r w:rsidRPr="00421AEE">
        <w:tab/>
        <w:t>Without limiting subsection (2), if:</w:t>
      </w:r>
    </w:p>
    <w:p w14:paraId="7960FD48" w14:textId="77777777" w:rsidR="00CB58F6" w:rsidRPr="00421AEE" w:rsidRDefault="00CB58F6" w:rsidP="001830B5">
      <w:pPr>
        <w:pStyle w:val="paragraph"/>
      </w:pPr>
      <w:r w:rsidRPr="00421AEE">
        <w:tab/>
        <w:t>(a)</w:t>
      </w:r>
      <w:r w:rsidRPr="00421AEE">
        <w:tab/>
        <w:t>a function or power conferred by this Act was delegated to a person; and</w:t>
      </w:r>
    </w:p>
    <w:p w14:paraId="18E1BDDA" w14:textId="77777777" w:rsidR="00CB58F6" w:rsidRPr="00421AEE" w:rsidRDefault="00CB58F6" w:rsidP="001830B5">
      <w:pPr>
        <w:pStyle w:val="paragraph"/>
      </w:pPr>
      <w:r w:rsidRPr="00421AEE">
        <w:tab/>
        <w:t>(b)</w:t>
      </w:r>
      <w:r w:rsidRPr="00421AEE">
        <w:tab/>
        <w:t>the delegation was in force immediately before 22 June 2022; and</w:t>
      </w:r>
    </w:p>
    <w:p w14:paraId="273D1011" w14:textId="77777777" w:rsidR="00CB58F6" w:rsidRPr="00421AEE" w:rsidRDefault="00CB58F6" w:rsidP="001830B5">
      <w:pPr>
        <w:pStyle w:val="paragraph"/>
      </w:pPr>
      <w:r w:rsidRPr="00421AEE">
        <w:tab/>
        <w:t>(c)</w:t>
      </w:r>
      <w:r w:rsidRPr="00421AEE">
        <w:tab/>
        <w:t>but for this subsection, the delegation would have ceased to have effect at the start of 22 June 2022 because of any of the amendments made by the postponed items;</w:t>
      </w:r>
    </w:p>
    <w:p w14:paraId="6C9E14AB" w14:textId="77777777" w:rsidR="00CB58F6" w:rsidRPr="00421AEE" w:rsidRDefault="00CB58F6" w:rsidP="001830B5">
      <w:pPr>
        <w:pStyle w:val="subsection2"/>
      </w:pPr>
      <w:r w:rsidRPr="00421AEE">
        <w:t>then:</w:t>
      </w:r>
    </w:p>
    <w:p w14:paraId="078BE2AE" w14:textId="77777777" w:rsidR="00CB58F6" w:rsidRPr="00421AEE" w:rsidRDefault="00CB58F6" w:rsidP="001830B5">
      <w:pPr>
        <w:pStyle w:val="paragraph"/>
      </w:pPr>
      <w:r w:rsidRPr="00421AEE">
        <w:tab/>
        <w:t>(d)</w:t>
      </w:r>
      <w:r w:rsidRPr="00421AEE">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1C83D8BF" w14:textId="77777777" w:rsidR="00CB58F6" w:rsidRPr="00421AEE" w:rsidRDefault="00CB58F6" w:rsidP="001830B5">
      <w:pPr>
        <w:pStyle w:val="paragraph"/>
      </w:pPr>
      <w:r w:rsidRPr="00421AEE">
        <w:tab/>
        <w:t>(e)</w:t>
      </w:r>
      <w:r w:rsidRPr="00421AEE">
        <w:tab/>
        <w:t xml:space="preserve">the delegation has effect, on and after the day section 1 of the </w:t>
      </w:r>
      <w:r w:rsidRPr="00421AEE">
        <w:rPr>
          <w:i/>
        </w:rPr>
        <w:t>Treasury Laws Amendment (2022 Measures No. 1) Act 2022</w:t>
      </w:r>
      <w:r w:rsidRPr="00421AEE">
        <w:t xml:space="preserve"> commences, as if it had been made at the time that section commences.</w:t>
      </w:r>
    </w:p>
    <w:p w14:paraId="091EDF52" w14:textId="77777777" w:rsidR="00CB58F6" w:rsidRPr="00421AEE" w:rsidRDefault="00CB58F6" w:rsidP="001830B5">
      <w:pPr>
        <w:pStyle w:val="SubsectionHead"/>
      </w:pPr>
      <w:r w:rsidRPr="00421AEE">
        <w:t>Acts and things to which this section applies</w:t>
      </w:r>
    </w:p>
    <w:p w14:paraId="006A0EA8" w14:textId="77777777" w:rsidR="00CB58F6" w:rsidRPr="00421AEE" w:rsidRDefault="00CB58F6" w:rsidP="001830B5">
      <w:pPr>
        <w:pStyle w:val="subsection"/>
      </w:pPr>
      <w:r w:rsidRPr="00421AEE">
        <w:tab/>
        <w:t>(4)</w:t>
      </w:r>
      <w:r w:rsidRPr="00421AEE">
        <w:tab/>
        <w:t>This section applies to an act or thing, regardless of the basis on which, or capacity in which, the act or thing was done or purported to be done.</w:t>
      </w:r>
    </w:p>
    <w:p w14:paraId="7FC0E98A" w14:textId="77777777" w:rsidR="00CB58F6" w:rsidRPr="00421AEE" w:rsidRDefault="00CB58F6" w:rsidP="001830B5">
      <w:pPr>
        <w:pStyle w:val="ActHead5"/>
      </w:pPr>
      <w:bookmarkStart w:id="37" w:name="_Toc110951173"/>
      <w:r w:rsidRPr="001830B5">
        <w:rPr>
          <w:rStyle w:val="CharSectno"/>
        </w:rPr>
        <w:t>1650B</w:t>
      </w:r>
      <w:r w:rsidRPr="00421AEE">
        <w:t xml:space="preserve">  Application of amendments</w:t>
      </w:r>
      <w:bookmarkEnd w:id="37"/>
    </w:p>
    <w:p w14:paraId="26CC6146" w14:textId="77777777" w:rsidR="00CB58F6" w:rsidRPr="00421AEE" w:rsidRDefault="00CB58F6" w:rsidP="001830B5">
      <w:pPr>
        <w:pStyle w:val="subsection"/>
      </w:pPr>
      <w:r w:rsidRPr="00421AEE">
        <w:tab/>
        <w:t>(1)</w:t>
      </w:r>
      <w:r w:rsidRPr="00421AEE">
        <w:tab/>
        <w:t xml:space="preserve">An amendment of a provision of this Act that is made by an amending item applies, in relation to a matter (the </w:t>
      </w:r>
      <w:r w:rsidRPr="00421AEE">
        <w:rPr>
          <w:b/>
          <w:i/>
        </w:rPr>
        <w:t>relevant matter</w:t>
      </w:r>
      <w:r w:rsidRPr="00421AEE">
        <w:t>), on and after the earliest of the following days:</w:t>
      </w:r>
    </w:p>
    <w:p w14:paraId="09BC9253" w14:textId="77777777" w:rsidR="00CB58F6" w:rsidRPr="00421AEE" w:rsidRDefault="00CB58F6" w:rsidP="001830B5">
      <w:pPr>
        <w:pStyle w:val="paragraph"/>
      </w:pPr>
      <w:r w:rsidRPr="00421AEE">
        <w:tab/>
        <w:t>(a)</w:t>
      </w:r>
      <w:r w:rsidRPr="00421AEE">
        <w:tab/>
        <w:t>if the amending item is covered by a notifiable instrument in force under paragraph (2)(a) of this section—the day the instrument specifies for the item;</w:t>
      </w:r>
    </w:p>
    <w:p w14:paraId="2246301A" w14:textId="77777777" w:rsidR="00CB58F6" w:rsidRPr="00421AEE" w:rsidRDefault="00CB58F6" w:rsidP="001830B5">
      <w:pPr>
        <w:pStyle w:val="paragraph"/>
      </w:pPr>
      <w:r w:rsidRPr="00421AEE">
        <w:tab/>
        <w:t>(b)</w:t>
      </w:r>
      <w:r w:rsidRPr="00421AEE">
        <w:tab/>
        <w:t>if the amending item is covered by a notifiable instrument in force under paragraph (2)(b) of this section that specifies matters for the item that include the relevant matter—the day the instrument specifies for the item in relation to those matters;</w:t>
      </w:r>
    </w:p>
    <w:p w14:paraId="79B026E4" w14:textId="77777777" w:rsidR="00CB58F6" w:rsidRPr="00421AEE" w:rsidRDefault="00CB58F6" w:rsidP="001830B5">
      <w:pPr>
        <w:pStyle w:val="paragraph"/>
      </w:pPr>
      <w:r w:rsidRPr="00421AEE">
        <w:tab/>
        <w:t>(c)</w:t>
      </w:r>
      <w:r w:rsidRPr="00421AEE">
        <w:tab/>
        <w:t>whichever of the following is applicable:</w:t>
      </w:r>
    </w:p>
    <w:p w14:paraId="75D0E3AC" w14:textId="77777777" w:rsidR="00CB58F6" w:rsidRPr="00421AEE" w:rsidRDefault="00CB58F6" w:rsidP="001830B5">
      <w:pPr>
        <w:pStyle w:val="paragraphsub"/>
      </w:pPr>
      <w:r w:rsidRPr="00421AEE">
        <w:tab/>
        <w:t>(i)</w:t>
      </w:r>
      <w:r w:rsidRPr="00421AEE">
        <w:tab/>
        <w:t>if a day is specified for the amending item under subsection 1650(3)—that day;</w:t>
      </w:r>
    </w:p>
    <w:p w14:paraId="69BB3E95" w14:textId="77777777" w:rsidR="00CB58F6" w:rsidRPr="00421AEE" w:rsidRDefault="00CB58F6" w:rsidP="001830B5">
      <w:pPr>
        <w:pStyle w:val="paragraphsub"/>
      </w:pPr>
      <w:r w:rsidRPr="00421AEE">
        <w:tab/>
        <w:t>(ii)</w:t>
      </w:r>
      <w:r w:rsidRPr="00421AEE">
        <w:tab/>
        <w:t>otherwise—</w:t>
      </w:r>
      <w:r w:rsidR="0095795B" w:rsidRPr="00421AEE">
        <w:t>1 July</w:t>
      </w:r>
      <w:r w:rsidRPr="00421AEE">
        <w:t xml:space="preserve"> 2026.</w:t>
      </w:r>
    </w:p>
    <w:p w14:paraId="4F5CD922" w14:textId="77777777" w:rsidR="00CB58F6" w:rsidRPr="00421AEE" w:rsidRDefault="00CB58F6" w:rsidP="001830B5">
      <w:pPr>
        <w:pStyle w:val="notetext"/>
      </w:pPr>
      <w:r w:rsidRPr="00421AEE">
        <w:t>Note:</w:t>
      </w:r>
      <w:r w:rsidRPr="00421AEE">
        <w:tab/>
        <w:t>The provision, as in force immediately before the commencement day for the amending item, will continue to apply in relation to the relevant matter until the day that applies under this subsection.</w:t>
      </w:r>
    </w:p>
    <w:p w14:paraId="3802C29F" w14:textId="77777777" w:rsidR="00CB58F6" w:rsidRPr="00421AEE" w:rsidRDefault="00CB58F6" w:rsidP="001830B5">
      <w:pPr>
        <w:pStyle w:val="subsection"/>
      </w:pPr>
      <w:r w:rsidRPr="00421AEE">
        <w:tab/>
        <w:t>(2)</w:t>
      </w:r>
      <w:r w:rsidRPr="00421AEE">
        <w:tab/>
        <w:t>The Minister:</w:t>
      </w:r>
    </w:p>
    <w:p w14:paraId="5CF11C5C" w14:textId="77777777" w:rsidR="00CB58F6" w:rsidRPr="00421AEE" w:rsidRDefault="00CB58F6" w:rsidP="001830B5">
      <w:pPr>
        <w:pStyle w:val="paragraph"/>
      </w:pPr>
      <w:r w:rsidRPr="00421AEE">
        <w:tab/>
        <w:t>(a)</w:t>
      </w:r>
      <w:r w:rsidRPr="00421AEE">
        <w:tab/>
        <w:t>may by notifiable instrument specify days for amending items for the purposes of paragraph (1)(a); and</w:t>
      </w:r>
    </w:p>
    <w:p w14:paraId="28D9E405" w14:textId="77777777" w:rsidR="00CB58F6" w:rsidRPr="00421AEE" w:rsidRDefault="00CB58F6" w:rsidP="001830B5">
      <w:pPr>
        <w:pStyle w:val="paragraph"/>
      </w:pPr>
      <w:r w:rsidRPr="00421AEE">
        <w:tab/>
        <w:t>(b)</w:t>
      </w:r>
      <w:r w:rsidRPr="00421AEE">
        <w:tab/>
        <w:t>may by notifiable instrument specify days and matters for amending items for the purposes of paragraph (1)(b).</w:t>
      </w:r>
    </w:p>
    <w:p w14:paraId="4A0D4B30" w14:textId="77777777" w:rsidR="00CB58F6" w:rsidRPr="00421AEE" w:rsidRDefault="00CB58F6" w:rsidP="001830B5">
      <w:pPr>
        <w:pStyle w:val="notetext"/>
      </w:pPr>
      <w:r w:rsidRPr="00421AEE">
        <w:t>Note:</w:t>
      </w:r>
      <w:r w:rsidRPr="00421AEE">
        <w:tab/>
        <w:t xml:space="preserve">For specification by class, see subsection 13(3) of the </w:t>
      </w:r>
      <w:r w:rsidRPr="00421AEE">
        <w:rPr>
          <w:i/>
        </w:rPr>
        <w:t>Legislation Act 2003</w:t>
      </w:r>
      <w:r w:rsidRPr="00421AEE">
        <w:t>.</w:t>
      </w:r>
    </w:p>
    <w:p w14:paraId="7B0A5331" w14:textId="77777777" w:rsidR="00CB58F6" w:rsidRPr="00421AEE" w:rsidRDefault="00CB58F6" w:rsidP="001830B5">
      <w:pPr>
        <w:pStyle w:val="subsection"/>
      </w:pPr>
      <w:r w:rsidRPr="00421AEE">
        <w:tab/>
        <w:t>(3)</w:t>
      </w:r>
      <w:r w:rsidRPr="00421AEE">
        <w:tab/>
        <w:t>A day specified for an amending item in a notifiable instrument made under subsection (2) must be:</w:t>
      </w:r>
    </w:p>
    <w:p w14:paraId="56266813" w14:textId="77777777" w:rsidR="00CB58F6" w:rsidRPr="00421AEE" w:rsidRDefault="00CB58F6" w:rsidP="001830B5">
      <w:pPr>
        <w:pStyle w:val="paragraph"/>
      </w:pPr>
      <w:r w:rsidRPr="00421AEE">
        <w:tab/>
        <w:t>(a)</w:t>
      </w:r>
      <w:r w:rsidRPr="00421AEE">
        <w:tab/>
        <w:t>on or after the day that the instrument is made; and</w:t>
      </w:r>
    </w:p>
    <w:p w14:paraId="1A7382B0" w14:textId="77777777" w:rsidR="00CB58F6" w:rsidRPr="00421AEE" w:rsidRDefault="00CB58F6" w:rsidP="001830B5">
      <w:pPr>
        <w:pStyle w:val="paragraph"/>
      </w:pPr>
      <w:r w:rsidRPr="00421AEE">
        <w:tab/>
        <w:t>(b)</w:t>
      </w:r>
      <w:r w:rsidRPr="00421AEE">
        <w:tab/>
        <w:t>on or after the commencement day for the amending item.</w:t>
      </w:r>
    </w:p>
    <w:p w14:paraId="5C694EFC" w14:textId="77777777" w:rsidR="00CB58F6" w:rsidRPr="00421AEE" w:rsidRDefault="00CB58F6" w:rsidP="001830B5">
      <w:pPr>
        <w:pStyle w:val="subsection"/>
      </w:pPr>
      <w:r w:rsidRPr="00421AEE">
        <w:tab/>
        <w:t>(4)</w:t>
      </w:r>
      <w:r w:rsidRPr="00421AEE">
        <w:tab/>
        <w:t xml:space="preserve">Without limiting subsection 13(3) of the </w:t>
      </w:r>
      <w:r w:rsidRPr="00421AEE">
        <w:rPr>
          <w:i/>
        </w:rPr>
        <w:t>Legislation Act 2003</w:t>
      </w:r>
      <w:r w:rsidRPr="00421AEE">
        <w:t>, an instrument made under subsection (2) of this section may specify all amending items as a class of amending items.</w:t>
      </w:r>
    </w:p>
    <w:p w14:paraId="4F080A77" w14:textId="77777777" w:rsidR="00CB58F6" w:rsidRPr="00421AEE" w:rsidRDefault="00CB58F6" w:rsidP="001830B5">
      <w:pPr>
        <w:pStyle w:val="ActHead5"/>
      </w:pPr>
      <w:bookmarkStart w:id="38" w:name="_Toc110951174"/>
      <w:r w:rsidRPr="001830B5">
        <w:rPr>
          <w:rStyle w:val="CharSectno"/>
        </w:rPr>
        <w:t>1650C</w:t>
      </w:r>
      <w:r w:rsidRPr="00421AEE">
        <w:t xml:space="preserve">  Things started but not finished by ASIC</w:t>
      </w:r>
      <w:bookmarkEnd w:id="38"/>
    </w:p>
    <w:p w14:paraId="028646CF" w14:textId="77777777" w:rsidR="00CB58F6" w:rsidRPr="00421AEE" w:rsidRDefault="00CB58F6" w:rsidP="001830B5">
      <w:pPr>
        <w:pStyle w:val="subsection"/>
      </w:pPr>
      <w:r w:rsidRPr="00421AEE">
        <w:tab/>
      </w:r>
      <w:r w:rsidRPr="00421AEE">
        <w:tab/>
        <w:t>If:</w:t>
      </w:r>
    </w:p>
    <w:p w14:paraId="745722ED" w14:textId="77777777" w:rsidR="00CB58F6" w:rsidRPr="00421AEE" w:rsidRDefault="00CB58F6" w:rsidP="001830B5">
      <w:pPr>
        <w:pStyle w:val="paragraph"/>
      </w:pPr>
      <w:r w:rsidRPr="00421AEE">
        <w:tab/>
        <w:t>(a)</w:t>
      </w:r>
      <w:r w:rsidRPr="00421AEE">
        <w:tab/>
        <w:t>an amending item amends a provision of this Act; and</w:t>
      </w:r>
    </w:p>
    <w:p w14:paraId="4DE3D2FD" w14:textId="77777777" w:rsidR="00CB58F6" w:rsidRPr="00421AEE" w:rsidRDefault="00CB58F6" w:rsidP="001830B5">
      <w:pPr>
        <w:pStyle w:val="paragraph"/>
      </w:pPr>
      <w:r w:rsidRPr="00421AEE">
        <w:tab/>
        <w:t>(b)</w:t>
      </w:r>
      <w:r w:rsidRPr="00421AEE">
        <w:tab/>
        <w:t>before the application day for the amendment made by the amending item, as applying in relation to a matter, ASIC started doing a thing that relates to that matter under the provision as in force immediately before the commencement day for the amending item; and</w:t>
      </w:r>
    </w:p>
    <w:p w14:paraId="38220C40" w14:textId="77777777" w:rsidR="00CB58F6" w:rsidRPr="00421AEE" w:rsidRDefault="00CB58F6" w:rsidP="001830B5">
      <w:pPr>
        <w:pStyle w:val="paragraph"/>
      </w:pPr>
      <w:r w:rsidRPr="00421AEE">
        <w:tab/>
        <w:t>(c)</w:t>
      </w:r>
      <w:r w:rsidRPr="00421AEE">
        <w:tab/>
        <w:t>immediately before that application day, ASIC had not finished doing that thing; and</w:t>
      </w:r>
    </w:p>
    <w:p w14:paraId="0D3CD303" w14:textId="77777777" w:rsidR="00CB58F6" w:rsidRPr="00421AEE" w:rsidRDefault="00CB58F6" w:rsidP="001830B5">
      <w:pPr>
        <w:pStyle w:val="paragraph"/>
      </w:pPr>
      <w:r w:rsidRPr="00421AEE">
        <w:tab/>
        <w:t>(d)</w:t>
      </w:r>
      <w:r w:rsidRPr="00421AEE">
        <w:tab/>
        <w:t>on and after that application day, doing that thing is within the powers or functions of the Registrar;</w:t>
      </w:r>
    </w:p>
    <w:p w14:paraId="7177D2CF" w14:textId="77777777" w:rsidR="00CB58F6" w:rsidRPr="00421AEE" w:rsidRDefault="00CB58F6" w:rsidP="001830B5">
      <w:pPr>
        <w:pStyle w:val="subsection2"/>
      </w:pPr>
      <w:r w:rsidRPr="00421AEE">
        <w:t>then, on and after that application day:</w:t>
      </w:r>
    </w:p>
    <w:p w14:paraId="1CDF3C4C" w14:textId="77777777" w:rsidR="00CB58F6" w:rsidRPr="00421AEE" w:rsidRDefault="00CB58F6" w:rsidP="001830B5">
      <w:pPr>
        <w:pStyle w:val="paragraph"/>
      </w:pPr>
      <w:r w:rsidRPr="00421AEE">
        <w:tab/>
        <w:t>(e)</w:t>
      </w:r>
      <w:r w:rsidRPr="00421AEE">
        <w:tab/>
        <w:t>ASIC may finish doing that thing as if that thing were being done by the Registrar in performing or exercising the Registrar’s functions or powers; and</w:t>
      </w:r>
    </w:p>
    <w:p w14:paraId="3B18F512" w14:textId="77777777" w:rsidR="00CB58F6" w:rsidRPr="00421AEE" w:rsidRDefault="00CB58F6" w:rsidP="001830B5">
      <w:pPr>
        <w:pStyle w:val="paragraph"/>
      </w:pPr>
      <w:r w:rsidRPr="00421AEE">
        <w:tab/>
        <w:t>(f)</w:t>
      </w:r>
      <w:r w:rsidRPr="00421AEE">
        <w:tab/>
        <w:t>to the extent that ASIC does not finish doing that thing under paragraph (e), the Registrar may finish doing that thing in performing and exercising the Registrar’s functions and powers.</w:t>
      </w:r>
    </w:p>
    <w:p w14:paraId="477E75A0" w14:textId="77777777" w:rsidR="00CB58F6" w:rsidRPr="00421AEE" w:rsidRDefault="00CB58F6" w:rsidP="001830B5">
      <w:pPr>
        <w:pStyle w:val="ActHead5"/>
      </w:pPr>
      <w:bookmarkStart w:id="39" w:name="_Toc110951175"/>
      <w:r w:rsidRPr="001830B5">
        <w:rPr>
          <w:rStyle w:val="CharSectno"/>
        </w:rPr>
        <w:t>1650D</w:t>
      </w:r>
      <w:r w:rsidRPr="00421AEE">
        <w:t xml:space="preserve">  Register of Liquidators</w:t>
      </w:r>
      <w:bookmarkEnd w:id="39"/>
    </w:p>
    <w:p w14:paraId="59735CE8" w14:textId="466235F9" w:rsidR="00CB58F6" w:rsidRPr="00421AEE" w:rsidRDefault="00CB58F6" w:rsidP="001830B5">
      <w:pPr>
        <w:pStyle w:val="subsection"/>
      </w:pPr>
      <w:r w:rsidRPr="00421AEE">
        <w:tab/>
        <w:t>(1)</w:t>
      </w:r>
      <w:r w:rsidRPr="00421AEE">
        <w:tab/>
        <w:t>The Registrar must include in the record maintained under section 15</w:t>
      </w:r>
      <w:r w:rsidR="001830B5">
        <w:noBreakHyphen/>
      </w:r>
      <w:r w:rsidRPr="00421AEE">
        <w:t xml:space="preserve">1 of </w:t>
      </w:r>
      <w:r w:rsidR="0095795B" w:rsidRPr="00421AEE">
        <w:t>Schedule 2</w:t>
      </w:r>
      <w:r w:rsidRPr="00421AEE">
        <w:t xml:space="preserve">, as substituted by amending </w:t>
      </w:r>
      <w:r w:rsidR="009F7539" w:rsidRPr="00421AEE">
        <w:rPr>
          <w:lang w:eastAsia="en-US"/>
        </w:rPr>
        <w:t>item 1</w:t>
      </w:r>
      <w:r w:rsidRPr="00421AEE">
        <w:rPr>
          <w:lang w:eastAsia="en-US"/>
        </w:rPr>
        <w:t>317</w:t>
      </w:r>
      <w:r w:rsidRPr="00421AEE">
        <w:t>, all details that, immediately before the application day for that item, were contained in the Register of Liquidators formerly established and maintained under section 15</w:t>
      </w:r>
      <w:r w:rsidR="001830B5">
        <w:noBreakHyphen/>
      </w:r>
      <w:r w:rsidRPr="00421AEE">
        <w:t xml:space="preserve">1 of </w:t>
      </w:r>
      <w:r w:rsidR="0095795B" w:rsidRPr="00421AEE">
        <w:t>Schedule 2</w:t>
      </w:r>
      <w:r w:rsidRPr="00421AEE">
        <w:t xml:space="preserve"> to this Act as in force immediately before the commencement of that item.</w:t>
      </w:r>
    </w:p>
    <w:p w14:paraId="39C00BB2" w14:textId="77777777" w:rsidR="00CB58F6" w:rsidRPr="00421AEE" w:rsidRDefault="00CB58F6" w:rsidP="001830B5">
      <w:pPr>
        <w:pStyle w:val="subsection"/>
      </w:pPr>
      <w:r w:rsidRPr="00421AEE">
        <w:tab/>
        <w:t>(2)</w:t>
      </w:r>
      <w:r w:rsidRPr="00421AEE">
        <w:tab/>
        <w:t xml:space="preserve">Paragraph 1650B(1)(b) does not apply in relation to amending </w:t>
      </w:r>
      <w:r w:rsidR="009F7539" w:rsidRPr="00421AEE">
        <w:rPr>
          <w:lang w:eastAsia="en-US"/>
        </w:rPr>
        <w:t>item 1</w:t>
      </w:r>
      <w:r w:rsidRPr="00421AEE">
        <w:rPr>
          <w:lang w:eastAsia="en-US"/>
        </w:rPr>
        <w:t>317.</w:t>
      </w:r>
    </w:p>
    <w:p w14:paraId="178D7638" w14:textId="77777777" w:rsidR="00CB58F6" w:rsidRPr="00421AEE" w:rsidRDefault="00CB58F6" w:rsidP="001830B5">
      <w:pPr>
        <w:pStyle w:val="subsection"/>
      </w:pPr>
      <w:r w:rsidRPr="00421AEE">
        <w:tab/>
        <w:t>(3)</w:t>
      </w:r>
      <w:r w:rsidRPr="00421AEE">
        <w:tab/>
        <w:t>In this section:</w:t>
      </w:r>
    </w:p>
    <w:p w14:paraId="28FD11EB" w14:textId="77777777" w:rsidR="00CB58F6" w:rsidRPr="00421AEE" w:rsidRDefault="00CB58F6" w:rsidP="001830B5">
      <w:pPr>
        <w:pStyle w:val="Definition"/>
      </w:pPr>
      <w:r w:rsidRPr="00421AEE">
        <w:rPr>
          <w:b/>
          <w:i/>
        </w:rPr>
        <w:t xml:space="preserve">amending </w:t>
      </w:r>
      <w:r w:rsidR="009F7539" w:rsidRPr="00421AEE">
        <w:rPr>
          <w:b/>
          <w:i/>
        </w:rPr>
        <w:t>item 1</w:t>
      </w:r>
      <w:r w:rsidRPr="00421AEE">
        <w:rPr>
          <w:b/>
          <w:i/>
        </w:rPr>
        <w:t>317</w:t>
      </w:r>
      <w:r w:rsidRPr="00421AEE">
        <w:t xml:space="preserve"> means </w:t>
      </w:r>
      <w:r w:rsidR="009F7539" w:rsidRPr="00421AEE">
        <w:t>item 1</w:t>
      </w:r>
      <w:r w:rsidRPr="00421AEE">
        <w:t xml:space="preserve">317 of Schedule 1 to the </w:t>
      </w:r>
      <w:r w:rsidRPr="00421AEE">
        <w:rPr>
          <w:i/>
        </w:rPr>
        <w:t>Treasury Laws Amendment (Registries Modernisation and Other Measures) Act 2020</w:t>
      </w:r>
      <w:r w:rsidRPr="00421AEE">
        <w:t>.</w:t>
      </w:r>
    </w:p>
    <w:p w14:paraId="0FA53A78" w14:textId="77777777" w:rsidR="00CB58F6" w:rsidRPr="00421AEE" w:rsidRDefault="00CB58F6" w:rsidP="001830B5">
      <w:pPr>
        <w:pStyle w:val="Definition"/>
      </w:pPr>
      <w:r w:rsidRPr="00421AEE">
        <w:rPr>
          <w:b/>
          <w:i/>
        </w:rPr>
        <w:t>application day</w:t>
      </w:r>
      <w:r w:rsidRPr="00421AEE">
        <w:t xml:space="preserve">, for amending </w:t>
      </w:r>
      <w:r w:rsidR="009F7539" w:rsidRPr="00421AEE">
        <w:t>item 1</w:t>
      </w:r>
      <w:r w:rsidRPr="00421AEE">
        <w:t>317, means the day on and after which the amendment made by that item applies because of paragraph 1650B(1)(a) or (c), as the case requires.</w:t>
      </w:r>
    </w:p>
    <w:p w14:paraId="50C0B5C1" w14:textId="77777777" w:rsidR="00CB58F6" w:rsidRPr="00421AEE" w:rsidRDefault="00CB58F6" w:rsidP="001830B5">
      <w:pPr>
        <w:pStyle w:val="ActHead9"/>
        <w:rPr>
          <w:i w:val="0"/>
        </w:rPr>
      </w:pPr>
      <w:bookmarkStart w:id="40" w:name="_Toc110951176"/>
      <w:r w:rsidRPr="00421AEE">
        <w:t>National Consumer Credit Protection (Transitional and Consequential Provisions) Act 2009</w:t>
      </w:r>
      <w:bookmarkEnd w:id="40"/>
    </w:p>
    <w:p w14:paraId="0C0994BE" w14:textId="77777777" w:rsidR="00CB58F6" w:rsidRPr="00421AEE" w:rsidRDefault="00CB58F6" w:rsidP="001830B5">
      <w:pPr>
        <w:pStyle w:val="ItemHead"/>
      </w:pPr>
      <w:r w:rsidRPr="00421AEE">
        <w:t>14  Before Schedule 8</w:t>
      </w:r>
    </w:p>
    <w:p w14:paraId="669BF884" w14:textId="77777777" w:rsidR="00CB58F6" w:rsidRPr="00421AEE" w:rsidRDefault="00CB58F6" w:rsidP="001830B5">
      <w:pPr>
        <w:pStyle w:val="Item"/>
      </w:pPr>
      <w:r w:rsidRPr="00421AEE">
        <w:t>Insert:</w:t>
      </w:r>
    </w:p>
    <w:p w14:paraId="0899C256" w14:textId="77777777" w:rsidR="00CB58F6" w:rsidRPr="00421AEE" w:rsidRDefault="00CB58F6" w:rsidP="001830B5">
      <w:pPr>
        <w:pStyle w:val="Specialas"/>
      </w:pPr>
      <w:r w:rsidRPr="00421AEE">
        <w:t>Schedule 7—Application and transitional provisions for the Treasury Laws Amendment (Registries Modernisation and Other Measures) Act 2020</w:t>
      </w:r>
    </w:p>
    <w:p w14:paraId="0DC123AE" w14:textId="77777777" w:rsidR="00CB58F6" w:rsidRPr="00421AEE" w:rsidRDefault="00CB58F6" w:rsidP="001830B5">
      <w:pPr>
        <w:pStyle w:val="Header"/>
      </w:pPr>
      <w:r w:rsidRPr="00421AEE">
        <w:t xml:space="preserve">  </w:t>
      </w:r>
    </w:p>
    <w:p w14:paraId="458273CC" w14:textId="77777777" w:rsidR="00CB58F6" w:rsidRPr="00421AEE" w:rsidRDefault="00CB58F6" w:rsidP="001830B5">
      <w:pPr>
        <w:pStyle w:val="Specialih"/>
      </w:pPr>
      <w:r w:rsidRPr="00421AEE">
        <w:t>1  Definitions</w:t>
      </w:r>
    </w:p>
    <w:p w14:paraId="38A12BAE" w14:textId="77777777" w:rsidR="00CB58F6" w:rsidRPr="00421AEE" w:rsidRDefault="00CB58F6" w:rsidP="001830B5">
      <w:pPr>
        <w:pStyle w:val="Item"/>
      </w:pPr>
      <w:r w:rsidRPr="00421AEE">
        <w:t>In this Schedule:</w:t>
      </w:r>
    </w:p>
    <w:p w14:paraId="1A15927F" w14:textId="77777777" w:rsidR="00CB58F6" w:rsidRPr="00421AEE" w:rsidRDefault="00CB58F6" w:rsidP="001830B5">
      <w:pPr>
        <w:pStyle w:val="Item"/>
      </w:pPr>
      <w:r w:rsidRPr="00421AEE">
        <w:rPr>
          <w:b/>
          <w:i/>
        </w:rPr>
        <w:t>amending item</w:t>
      </w:r>
      <w:r w:rsidRPr="00421AEE">
        <w:t xml:space="preserve"> means an item of Part 2 of Schedule 1 to the </w:t>
      </w:r>
      <w:r w:rsidRPr="00421AEE">
        <w:rPr>
          <w:i/>
        </w:rPr>
        <w:t>Treasury Laws Amendment (Registries Modernisation and Other Measures) Act 2020</w:t>
      </w:r>
      <w:r w:rsidRPr="00421AEE">
        <w:t xml:space="preserve"> that amends a provision of the National Credit Act.</w:t>
      </w:r>
    </w:p>
    <w:p w14:paraId="48A1D546" w14:textId="77777777" w:rsidR="00CB58F6" w:rsidRPr="00421AEE" w:rsidRDefault="00CB58F6" w:rsidP="001830B5">
      <w:pPr>
        <w:pStyle w:val="Item"/>
      </w:pPr>
      <w:r w:rsidRPr="00421AEE">
        <w:rPr>
          <w:b/>
          <w:i/>
        </w:rPr>
        <w:t>application day</w:t>
      </w:r>
      <w:r w:rsidRPr="00421AEE">
        <w:t>, for an amendment made by an amending item, as applying in relation to a matter, means the day on and after which the amendment applies in relation to that matter because of item 3.</w:t>
      </w:r>
    </w:p>
    <w:p w14:paraId="037FAEAF" w14:textId="77777777" w:rsidR="00CB58F6" w:rsidRPr="00421AEE" w:rsidRDefault="00CB58F6" w:rsidP="001830B5">
      <w:pPr>
        <w:pStyle w:val="Item"/>
      </w:pPr>
      <w:r w:rsidRPr="00421AEE">
        <w:rPr>
          <w:b/>
          <w:i/>
        </w:rPr>
        <w:t>commencement day</w:t>
      </w:r>
      <w:r w:rsidRPr="00421AEE">
        <w:t xml:space="preserve">, for an amending item, means the day on which the amending item commences (taking into account Part 1 of </w:t>
      </w:r>
      <w:r w:rsidR="009F7539" w:rsidRPr="00421AEE">
        <w:t>Schedule 4</w:t>
      </w:r>
      <w:r w:rsidRPr="00421AEE">
        <w:t xml:space="preserve"> to the </w:t>
      </w:r>
      <w:r w:rsidRPr="00421AEE">
        <w:rPr>
          <w:i/>
        </w:rPr>
        <w:t>Treasury Laws Amendment (2022 Measures No. 1) Act 2022</w:t>
      </w:r>
      <w:r w:rsidRPr="00421AEE">
        <w:t>).</w:t>
      </w:r>
    </w:p>
    <w:p w14:paraId="545D114B" w14:textId="77777777" w:rsidR="00CB58F6" w:rsidRPr="00421AEE" w:rsidRDefault="00CB58F6" w:rsidP="001830B5">
      <w:pPr>
        <w:pStyle w:val="Item"/>
      </w:pPr>
      <w:r w:rsidRPr="00421AEE">
        <w:rPr>
          <w:b/>
          <w:i/>
        </w:rPr>
        <w:t>interim period</w:t>
      </w:r>
      <w:r w:rsidRPr="00421AEE">
        <w:t xml:space="preserve"> means the period:</w:t>
      </w:r>
    </w:p>
    <w:p w14:paraId="116D3A0C" w14:textId="77777777" w:rsidR="00CB58F6" w:rsidRPr="00421AEE" w:rsidRDefault="00CB58F6" w:rsidP="001830B5">
      <w:pPr>
        <w:pStyle w:val="paragraph"/>
      </w:pPr>
      <w:r w:rsidRPr="00421AEE">
        <w:tab/>
        <w:t>(a)</w:t>
      </w:r>
      <w:r w:rsidRPr="00421AEE">
        <w:tab/>
        <w:t>starting at the start of 22 June 2022; and</w:t>
      </w:r>
    </w:p>
    <w:p w14:paraId="2658A2FF" w14:textId="77777777" w:rsidR="00CB58F6" w:rsidRPr="00421AEE" w:rsidRDefault="00CB58F6" w:rsidP="001830B5">
      <w:pPr>
        <w:pStyle w:val="paragraph"/>
      </w:pPr>
      <w:r w:rsidRPr="00421AEE">
        <w:tab/>
        <w:t>(b)</w:t>
      </w:r>
      <w:r w:rsidRPr="00421AEE">
        <w:tab/>
        <w:t xml:space="preserve">ending at the end of the day before the day on which Part 2 of </w:t>
      </w:r>
      <w:r w:rsidR="009F7539" w:rsidRPr="00421AEE">
        <w:t>Schedule 4</w:t>
      </w:r>
      <w:r w:rsidRPr="00421AEE">
        <w:t xml:space="preserve"> to the </w:t>
      </w:r>
      <w:r w:rsidRPr="00421AEE">
        <w:rPr>
          <w:i/>
        </w:rPr>
        <w:t>Treasury Laws Amendment (2022 Measures No. 1) Act 2022</w:t>
      </w:r>
      <w:r w:rsidRPr="00421AEE">
        <w:t xml:space="preserve"> commences.</w:t>
      </w:r>
    </w:p>
    <w:p w14:paraId="3171D2CD" w14:textId="77777777" w:rsidR="00CB58F6" w:rsidRPr="00421AEE" w:rsidRDefault="00CB58F6" w:rsidP="001830B5">
      <w:pPr>
        <w:pStyle w:val="Item"/>
      </w:pPr>
      <w:r w:rsidRPr="00421AEE">
        <w:rPr>
          <w:b/>
          <w:i/>
        </w:rPr>
        <w:t>postponed item</w:t>
      </w:r>
      <w:r w:rsidRPr="00421AEE">
        <w:t xml:space="preserve"> means any of the following that commenced on 22 June 2022 (disregarding Part 1 of </w:t>
      </w:r>
      <w:r w:rsidR="009F7539" w:rsidRPr="00421AEE">
        <w:t>Schedule 4</w:t>
      </w:r>
      <w:r w:rsidRPr="00421AEE">
        <w:t xml:space="preserve"> to the </w:t>
      </w:r>
      <w:r w:rsidRPr="00421AEE">
        <w:rPr>
          <w:i/>
        </w:rPr>
        <w:t>Treasury Laws Amendment (2022 Measures No. 1) Act 2022</w:t>
      </w:r>
      <w:r w:rsidRPr="00421AEE">
        <w:t>):</w:t>
      </w:r>
    </w:p>
    <w:p w14:paraId="76B0C4DB" w14:textId="77777777" w:rsidR="00CB58F6" w:rsidRPr="00421AEE" w:rsidRDefault="00CB58F6" w:rsidP="001830B5">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767D0336" w14:textId="77777777" w:rsidR="00CB58F6" w:rsidRPr="00421AEE" w:rsidRDefault="00CB58F6" w:rsidP="001830B5">
      <w:pPr>
        <w:pStyle w:val="paragraph"/>
      </w:pPr>
      <w:r w:rsidRPr="00421AEE">
        <w:tab/>
        <w:t>(b)</w:t>
      </w:r>
      <w:r w:rsidRPr="00421AEE">
        <w:tab/>
        <w:t xml:space="preserve">an item of Part 3 of Schedule 1 to the </w:t>
      </w:r>
      <w:r w:rsidRPr="00421AEE">
        <w:rPr>
          <w:i/>
        </w:rPr>
        <w:t>Financial Sector Reform (Hayne Royal Commission Response—Better Advice) Act 2021</w:t>
      </w:r>
      <w:r w:rsidRPr="00421AEE">
        <w:t>;</w:t>
      </w:r>
    </w:p>
    <w:p w14:paraId="34F11FFC" w14:textId="77777777" w:rsidR="00CB58F6" w:rsidRPr="00421AEE" w:rsidRDefault="00CB58F6" w:rsidP="001830B5">
      <w:pPr>
        <w:pStyle w:val="paragraph"/>
      </w:pPr>
      <w:r w:rsidRPr="00421AEE">
        <w:tab/>
        <w:t>(c)</w:t>
      </w:r>
      <w:r w:rsidRPr="00421AEE">
        <w:tab/>
        <w:t xml:space="preserve">an item of Part 4 of </w:t>
      </w:r>
      <w:r w:rsidR="0095795B" w:rsidRPr="00421AEE">
        <w:t>Schedule 2</w:t>
      </w:r>
      <w:r w:rsidRPr="00421AEE">
        <w:t xml:space="preserve"> to the </w:t>
      </w:r>
      <w:r w:rsidRPr="00421AEE">
        <w:rPr>
          <w:i/>
        </w:rPr>
        <w:t>Treasury Laws Amendment (2021 Measures No. 1) Act 2021</w:t>
      </w:r>
      <w:r w:rsidRPr="00421AEE">
        <w:t>.</w:t>
      </w:r>
    </w:p>
    <w:p w14:paraId="2164D9A5" w14:textId="77777777" w:rsidR="00CB58F6" w:rsidRPr="00421AEE" w:rsidRDefault="00CB58F6" w:rsidP="001830B5">
      <w:pPr>
        <w:pStyle w:val="notetext"/>
      </w:pPr>
      <w:r w:rsidRPr="00421AEE">
        <w:t>Note</w:t>
      </w:r>
      <w:r w:rsidRPr="00421AEE">
        <w:tab/>
        <w:t xml:space="preserve">Item 103 of Schedule 1 to the </w:t>
      </w:r>
      <w:r w:rsidRPr="00421AEE">
        <w:rPr>
          <w:i/>
        </w:rPr>
        <w:t xml:space="preserve">Treasury Laws Amendment (Registries Modernisation and Other Measures) Act 2020 </w:t>
      </w:r>
      <w:r w:rsidRPr="00421AEE">
        <w:t>is not covered by paragraph (a) because that item commenced on 4 April 2021.</w:t>
      </w:r>
    </w:p>
    <w:p w14:paraId="34FE5347" w14:textId="77777777" w:rsidR="00CB58F6" w:rsidRPr="00421AEE" w:rsidRDefault="00CB58F6" w:rsidP="001830B5">
      <w:pPr>
        <w:pStyle w:val="Specialih"/>
      </w:pPr>
      <w:r w:rsidRPr="00421AEE">
        <w:t>2  Validation of acts or things done during interim period</w:t>
      </w:r>
    </w:p>
    <w:p w14:paraId="1BCD9772" w14:textId="77777777" w:rsidR="00CB58F6" w:rsidRPr="00421AEE" w:rsidRDefault="00CB58F6" w:rsidP="001830B5">
      <w:pPr>
        <w:pStyle w:val="SubitemHead"/>
      </w:pPr>
      <w:r w:rsidRPr="00421AEE">
        <w:t>Object</w:t>
      </w:r>
    </w:p>
    <w:p w14:paraId="3937C349" w14:textId="77777777" w:rsidR="00CB58F6" w:rsidRPr="00421AEE" w:rsidRDefault="00CB58F6" w:rsidP="001830B5">
      <w:pPr>
        <w:pStyle w:val="Subitem"/>
      </w:pPr>
      <w:r w:rsidRPr="00421AEE">
        <w:t>(1)</w:t>
      </w:r>
      <w:r w:rsidRPr="00421AEE">
        <w:tab/>
        <w:t>The object of this item is to treat all situations during the interim period in every respect as if:</w:t>
      </w:r>
    </w:p>
    <w:p w14:paraId="2B4B9D50"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0EDEDF15" w14:textId="77777777" w:rsidR="00CB58F6" w:rsidRPr="00421AEE" w:rsidRDefault="00CB58F6" w:rsidP="001830B5">
      <w:pPr>
        <w:pStyle w:val="paragraph"/>
      </w:pPr>
      <w:r w:rsidRPr="00421AEE">
        <w:tab/>
        <w:t>(b)</w:t>
      </w:r>
      <w:r w:rsidRPr="00421AEE">
        <w:tab/>
        <w:t>the amendments made by the postponed items had not been made at the start of 22 June 2022 and had had no effect during the interim period.</w:t>
      </w:r>
    </w:p>
    <w:p w14:paraId="1720D404" w14:textId="77777777" w:rsidR="00CB58F6" w:rsidRPr="00421AEE" w:rsidRDefault="00CB58F6" w:rsidP="001830B5">
      <w:pPr>
        <w:pStyle w:val="SubitemHead"/>
      </w:pPr>
      <w:r w:rsidRPr="00421AEE">
        <w:t>Validation of acts and things done in interim period</w:t>
      </w:r>
    </w:p>
    <w:p w14:paraId="61725772" w14:textId="77777777" w:rsidR="00CB58F6" w:rsidRPr="00421AEE" w:rsidRDefault="00CB58F6" w:rsidP="001830B5">
      <w:pPr>
        <w:pStyle w:val="Subitem"/>
      </w:pPr>
      <w:r w:rsidRPr="00421AEE">
        <w:t>(2)</w:t>
      </w:r>
      <w:r w:rsidRPr="00421AEE">
        <w:tab/>
        <w:t>An act or thing that was done at any time during the interim period is as valid, and is taken always to have been as valid, as it would have been if:</w:t>
      </w:r>
    </w:p>
    <w:p w14:paraId="7A91A0E1"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3FD5CA3B" w14:textId="77777777" w:rsidR="00CB58F6" w:rsidRPr="00421AEE" w:rsidRDefault="00CB58F6" w:rsidP="001830B5">
      <w:pPr>
        <w:pStyle w:val="paragraph"/>
      </w:pPr>
      <w:r w:rsidRPr="00421AEE">
        <w:tab/>
        <w:t>(b)</w:t>
      </w:r>
      <w:r w:rsidRPr="00421AEE">
        <w:tab/>
        <w:t>in particular, the amendments made by the postponed items had not been made at the start of 22 June 2022 and had had no effect during the interim period.</w:t>
      </w:r>
    </w:p>
    <w:p w14:paraId="07BC01E5" w14:textId="77777777" w:rsidR="00CB58F6" w:rsidRPr="00421AEE" w:rsidRDefault="00CB58F6" w:rsidP="001830B5">
      <w:pPr>
        <w:pStyle w:val="SubitemHead"/>
      </w:pPr>
      <w:r w:rsidRPr="00421AEE">
        <w:t>Continuation of delegations</w:t>
      </w:r>
    </w:p>
    <w:p w14:paraId="52A1541B" w14:textId="77777777" w:rsidR="00CB58F6" w:rsidRPr="00421AEE" w:rsidRDefault="00CB58F6" w:rsidP="001830B5">
      <w:pPr>
        <w:pStyle w:val="Subitem"/>
      </w:pPr>
      <w:r w:rsidRPr="00421AEE">
        <w:t>(3)</w:t>
      </w:r>
      <w:r w:rsidRPr="00421AEE">
        <w:tab/>
        <w:t>Without limiting subitem (2), if:</w:t>
      </w:r>
    </w:p>
    <w:p w14:paraId="12246634" w14:textId="77777777" w:rsidR="00CB58F6" w:rsidRPr="00421AEE" w:rsidRDefault="00CB58F6" w:rsidP="001830B5">
      <w:pPr>
        <w:pStyle w:val="paragraph"/>
      </w:pPr>
      <w:r w:rsidRPr="00421AEE">
        <w:tab/>
        <w:t>(a)</w:t>
      </w:r>
      <w:r w:rsidRPr="00421AEE">
        <w:tab/>
        <w:t>a function or power conferred by the National Credit Act or this Act was delegated to a person; and</w:t>
      </w:r>
    </w:p>
    <w:p w14:paraId="19719CEE" w14:textId="77777777" w:rsidR="00CB58F6" w:rsidRPr="00421AEE" w:rsidRDefault="00CB58F6" w:rsidP="001830B5">
      <w:pPr>
        <w:pStyle w:val="paragraph"/>
      </w:pPr>
      <w:r w:rsidRPr="00421AEE">
        <w:tab/>
        <w:t>(b)</w:t>
      </w:r>
      <w:r w:rsidRPr="00421AEE">
        <w:tab/>
        <w:t>the delegation was in force immediately before 22 June 2022; and</w:t>
      </w:r>
    </w:p>
    <w:p w14:paraId="369E073D" w14:textId="77777777" w:rsidR="00CB58F6" w:rsidRPr="00421AEE" w:rsidRDefault="00CB58F6" w:rsidP="001830B5">
      <w:pPr>
        <w:pStyle w:val="paragraph"/>
      </w:pPr>
      <w:r w:rsidRPr="00421AEE">
        <w:tab/>
        <w:t>(c)</w:t>
      </w:r>
      <w:r w:rsidRPr="00421AEE">
        <w:tab/>
        <w:t>but for this subitem, the delegation would have ceased to have effect at the start of 22 June 2022 because of any of the amendments made by the postponed items;</w:t>
      </w:r>
    </w:p>
    <w:p w14:paraId="67889283" w14:textId="77777777" w:rsidR="00CB58F6" w:rsidRPr="00421AEE" w:rsidRDefault="00CB58F6" w:rsidP="001830B5">
      <w:pPr>
        <w:pStyle w:val="Subitem"/>
      </w:pPr>
      <w:r w:rsidRPr="00421AEE">
        <w:tab/>
        <w:t>then:</w:t>
      </w:r>
    </w:p>
    <w:p w14:paraId="7D69A63E" w14:textId="77777777" w:rsidR="00CB58F6" w:rsidRPr="00421AEE" w:rsidRDefault="00CB58F6" w:rsidP="001830B5">
      <w:pPr>
        <w:pStyle w:val="paragraph"/>
      </w:pPr>
      <w:r w:rsidRPr="00421AEE">
        <w:tab/>
        <w:t>(d)</w:t>
      </w:r>
      <w:r w:rsidRPr="00421AEE">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591BA5FD" w14:textId="77777777" w:rsidR="00CB58F6" w:rsidRPr="00421AEE" w:rsidRDefault="00CB58F6" w:rsidP="001830B5">
      <w:pPr>
        <w:pStyle w:val="paragraph"/>
      </w:pPr>
      <w:r w:rsidRPr="00421AEE">
        <w:tab/>
        <w:t>(e)</w:t>
      </w:r>
      <w:r w:rsidRPr="00421AEE">
        <w:tab/>
        <w:t>the delegation has effect, on and after the day section 1 of the</w:t>
      </w:r>
      <w:r w:rsidRPr="00421AEE">
        <w:rPr>
          <w:i/>
        </w:rPr>
        <w:t xml:space="preserve"> Treasury Laws Amendment (2022 Measures No. 1) Act 2022</w:t>
      </w:r>
      <w:r w:rsidRPr="00421AEE">
        <w:t xml:space="preserve"> commences, as if it had been made at the time that section commences.</w:t>
      </w:r>
    </w:p>
    <w:p w14:paraId="14BBB25B" w14:textId="77777777" w:rsidR="00CB58F6" w:rsidRPr="00421AEE" w:rsidRDefault="00CB58F6" w:rsidP="001830B5">
      <w:pPr>
        <w:pStyle w:val="SubitemHead"/>
      </w:pPr>
      <w:r w:rsidRPr="00421AEE">
        <w:t>Acts and things to which this item applies</w:t>
      </w:r>
    </w:p>
    <w:p w14:paraId="7FB5FF8F" w14:textId="77777777" w:rsidR="00CB58F6" w:rsidRPr="00421AEE" w:rsidRDefault="00CB58F6" w:rsidP="001830B5">
      <w:pPr>
        <w:pStyle w:val="Subitem"/>
      </w:pPr>
      <w:r w:rsidRPr="00421AEE">
        <w:t>(4)</w:t>
      </w:r>
      <w:r w:rsidRPr="00421AEE">
        <w:tab/>
        <w:t>This item applies to an act or thing, regardless of the basis on which, or capacity in which, the act or thing was done or purported to be done.</w:t>
      </w:r>
    </w:p>
    <w:p w14:paraId="0419FB20" w14:textId="77777777" w:rsidR="00CB58F6" w:rsidRPr="00421AEE" w:rsidRDefault="00CB58F6" w:rsidP="001830B5">
      <w:pPr>
        <w:pStyle w:val="Specialih"/>
      </w:pPr>
      <w:r w:rsidRPr="00421AEE">
        <w:t>3  Application of amendments</w:t>
      </w:r>
    </w:p>
    <w:p w14:paraId="73C3BCEF" w14:textId="77777777" w:rsidR="00CB58F6" w:rsidRPr="00421AEE" w:rsidRDefault="00CB58F6" w:rsidP="001830B5">
      <w:pPr>
        <w:pStyle w:val="Subitem"/>
      </w:pPr>
      <w:r w:rsidRPr="00421AEE">
        <w:t>(1)</w:t>
      </w:r>
      <w:r w:rsidRPr="00421AEE">
        <w:tab/>
        <w:t xml:space="preserve">An amendment of a provision of the National Credit Act that is made by an amending item applies, in relation to a matter (the </w:t>
      </w:r>
      <w:r w:rsidRPr="00421AEE">
        <w:rPr>
          <w:b/>
          <w:i/>
        </w:rPr>
        <w:t>relevant matter</w:t>
      </w:r>
      <w:r w:rsidRPr="00421AEE">
        <w:t>), on and after the earliest of the following days:</w:t>
      </w:r>
    </w:p>
    <w:p w14:paraId="37341383" w14:textId="77777777" w:rsidR="00CB58F6" w:rsidRPr="00421AEE" w:rsidRDefault="00CB58F6" w:rsidP="001830B5">
      <w:pPr>
        <w:pStyle w:val="paragraph"/>
      </w:pPr>
      <w:r w:rsidRPr="00421AEE">
        <w:tab/>
        <w:t>(a)</w:t>
      </w:r>
      <w:r w:rsidRPr="00421AEE">
        <w:tab/>
        <w:t>if the amending item is covered by a notifiable instrument in force under paragraph (2)(a) of this item—the day the instrument specifies for the item;</w:t>
      </w:r>
    </w:p>
    <w:p w14:paraId="63DD57A3" w14:textId="77777777" w:rsidR="00CB58F6" w:rsidRPr="00421AEE" w:rsidRDefault="00CB58F6" w:rsidP="001830B5">
      <w:pPr>
        <w:pStyle w:val="paragraph"/>
      </w:pPr>
      <w:r w:rsidRPr="00421AEE">
        <w:tab/>
        <w:t>(b)</w:t>
      </w:r>
      <w:r w:rsidRPr="00421AEE">
        <w:tab/>
        <w:t>if the amending item is covered by a notifiable instrument in force under paragraph (2)(b) of this item that specifies matters for the item that include the relevant matter—the day the instrument specifies for the item in relation to those matters;</w:t>
      </w:r>
    </w:p>
    <w:p w14:paraId="3D77FA42" w14:textId="77777777" w:rsidR="00CB58F6" w:rsidRPr="00421AEE" w:rsidRDefault="00CB58F6" w:rsidP="001830B5">
      <w:pPr>
        <w:pStyle w:val="paragraph"/>
      </w:pPr>
      <w:r w:rsidRPr="00421AEE">
        <w:tab/>
        <w:t>(c)</w:t>
      </w:r>
      <w:r w:rsidRPr="00421AEE">
        <w:tab/>
      </w:r>
      <w:r w:rsidR="0095795B" w:rsidRPr="00421AEE">
        <w:t>1 July</w:t>
      </w:r>
      <w:r w:rsidRPr="00421AEE">
        <w:t xml:space="preserve"> 2026.</w:t>
      </w:r>
    </w:p>
    <w:p w14:paraId="3EC87AFC" w14:textId="77777777" w:rsidR="00CB58F6" w:rsidRPr="00421AEE" w:rsidRDefault="00CB58F6" w:rsidP="001830B5">
      <w:pPr>
        <w:pStyle w:val="notetext"/>
      </w:pPr>
      <w:r w:rsidRPr="00421AEE">
        <w:t>Note:</w:t>
      </w:r>
      <w:r w:rsidRPr="00421AEE">
        <w:tab/>
        <w:t>The provision, as in force immediately before the commencement day for the amending item, will continue to apply in relation to the relevant matter until the day that applies under this subitem.</w:t>
      </w:r>
    </w:p>
    <w:p w14:paraId="2C22FA8D" w14:textId="77777777" w:rsidR="00CB58F6" w:rsidRPr="00421AEE" w:rsidRDefault="00CB58F6" w:rsidP="001830B5">
      <w:pPr>
        <w:pStyle w:val="Subitem"/>
      </w:pPr>
      <w:r w:rsidRPr="00421AEE">
        <w:t>(2)</w:t>
      </w:r>
      <w:r w:rsidRPr="00421AEE">
        <w:tab/>
        <w:t>The Minister:</w:t>
      </w:r>
    </w:p>
    <w:p w14:paraId="54F2C75E" w14:textId="77777777" w:rsidR="00CB58F6" w:rsidRPr="00421AEE" w:rsidRDefault="00CB58F6" w:rsidP="001830B5">
      <w:pPr>
        <w:pStyle w:val="paragraph"/>
      </w:pPr>
      <w:r w:rsidRPr="00421AEE">
        <w:tab/>
        <w:t>(a)</w:t>
      </w:r>
      <w:r w:rsidRPr="00421AEE">
        <w:tab/>
        <w:t>may by notifiable instrument specify days for amending items for the purposes of paragraph (1)(a); and</w:t>
      </w:r>
    </w:p>
    <w:p w14:paraId="00D73A51" w14:textId="77777777" w:rsidR="00CB58F6" w:rsidRPr="00421AEE" w:rsidRDefault="00CB58F6" w:rsidP="001830B5">
      <w:pPr>
        <w:pStyle w:val="paragraph"/>
      </w:pPr>
      <w:r w:rsidRPr="00421AEE">
        <w:tab/>
        <w:t>(b)</w:t>
      </w:r>
      <w:r w:rsidRPr="00421AEE">
        <w:tab/>
        <w:t>may by notifiable instrument specify days and matters for amending items for the purposes of paragraph (1)(b).</w:t>
      </w:r>
    </w:p>
    <w:p w14:paraId="5BE4EEBF" w14:textId="77777777" w:rsidR="00CB58F6" w:rsidRPr="00421AEE" w:rsidRDefault="00CB58F6" w:rsidP="001830B5">
      <w:pPr>
        <w:pStyle w:val="notetext"/>
      </w:pPr>
      <w:r w:rsidRPr="00421AEE">
        <w:t>Note:</w:t>
      </w:r>
      <w:r w:rsidRPr="00421AEE">
        <w:tab/>
        <w:t xml:space="preserve">For specification by class, see subsection 13(3) of the </w:t>
      </w:r>
      <w:r w:rsidRPr="00421AEE">
        <w:rPr>
          <w:i/>
        </w:rPr>
        <w:t>Legislation Act 2003</w:t>
      </w:r>
      <w:r w:rsidRPr="00421AEE">
        <w:t>.</w:t>
      </w:r>
    </w:p>
    <w:p w14:paraId="78A7ED80" w14:textId="77777777" w:rsidR="00CB58F6" w:rsidRPr="00421AEE" w:rsidRDefault="00CB58F6" w:rsidP="001830B5">
      <w:pPr>
        <w:pStyle w:val="Subitem"/>
      </w:pPr>
      <w:r w:rsidRPr="00421AEE">
        <w:t>(3)</w:t>
      </w:r>
      <w:r w:rsidRPr="00421AEE">
        <w:tab/>
        <w:t>A day specified for an amending item in a notifiable instrument made under subitem (2) must be:</w:t>
      </w:r>
    </w:p>
    <w:p w14:paraId="5D4F442E" w14:textId="77777777" w:rsidR="00CB58F6" w:rsidRPr="00421AEE" w:rsidRDefault="00CB58F6" w:rsidP="001830B5">
      <w:pPr>
        <w:pStyle w:val="paragraph"/>
      </w:pPr>
      <w:r w:rsidRPr="00421AEE">
        <w:tab/>
        <w:t>(a)</w:t>
      </w:r>
      <w:r w:rsidRPr="00421AEE">
        <w:tab/>
        <w:t>on or after the day that the instrument is made; and</w:t>
      </w:r>
    </w:p>
    <w:p w14:paraId="44F77C24" w14:textId="77777777" w:rsidR="00CB58F6" w:rsidRPr="00421AEE" w:rsidRDefault="00CB58F6" w:rsidP="001830B5">
      <w:pPr>
        <w:pStyle w:val="paragraph"/>
      </w:pPr>
      <w:r w:rsidRPr="00421AEE">
        <w:tab/>
        <w:t>(b)</w:t>
      </w:r>
      <w:r w:rsidRPr="00421AEE">
        <w:tab/>
        <w:t>on or after the commencement day for the amending item.</w:t>
      </w:r>
    </w:p>
    <w:p w14:paraId="65624C57" w14:textId="77777777" w:rsidR="00CB58F6" w:rsidRPr="00421AEE" w:rsidRDefault="00CB58F6" w:rsidP="001830B5">
      <w:pPr>
        <w:pStyle w:val="Subitem"/>
      </w:pPr>
      <w:r w:rsidRPr="00421AEE">
        <w:t>(4)</w:t>
      </w:r>
      <w:r w:rsidRPr="00421AEE">
        <w:tab/>
        <w:t xml:space="preserve">Without limiting subsection 13(3) of the </w:t>
      </w:r>
      <w:r w:rsidRPr="00421AEE">
        <w:rPr>
          <w:i/>
        </w:rPr>
        <w:t>Legislation Act 2003</w:t>
      </w:r>
      <w:r w:rsidRPr="00421AEE">
        <w:t>, an instrument made under subitem (2) of this item may specify all amending items as a class of amending items.</w:t>
      </w:r>
    </w:p>
    <w:p w14:paraId="07178897" w14:textId="77777777" w:rsidR="00CB58F6" w:rsidRPr="00421AEE" w:rsidRDefault="00CB58F6" w:rsidP="001830B5">
      <w:pPr>
        <w:pStyle w:val="Specialih"/>
      </w:pPr>
      <w:r w:rsidRPr="00421AEE">
        <w:t>4  Things started but not finished by ASIC</w:t>
      </w:r>
    </w:p>
    <w:p w14:paraId="2CDFBA4F" w14:textId="77777777" w:rsidR="00CB58F6" w:rsidRPr="00421AEE" w:rsidRDefault="00CB58F6" w:rsidP="001830B5">
      <w:pPr>
        <w:pStyle w:val="Item"/>
      </w:pPr>
      <w:r w:rsidRPr="00421AEE">
        <w:t>If:</w:t>
      </w:r>
    </w:p>
    <w:p w14:paraId="1DFB3E0C" w14:textId="77777777" w:rsidR="00CB58F6" w:rsidRPr="00421AEE" w:rsidRDefault="00CB58F6" w:rsidP="001830B5">
      <w:pPr>
        <w:pStyle w:val="paragraph"/>
      </w:pPr>
      <w:r w:rsidRPr="00421AEE">
        <w:tab/>
        <w:t>(a)</w:t>
      </w:r>
      <w:r w:rsidRPr="00421AEE">
        <w:tab/>
        <w:t>an amending item amends a provision of the National Credit Act; and</w:t>
      </w:r>
    </w:p>
    <w:p w14:paraId="4A880190" w14:textId="77777777" w:rsidR="00CB58F6" w:rsidRPr="00421AEE" w:rsidRDefault="00CB58F6" w:rsidP="001830B5">
      <w:pPr>
        <w:pStyle w:val="paragraph"/>
      </w:pPr>
      <w:r w:rsidRPr="00421AEE">
        <w:tab/>
        <w:t>(b)</w:t>
      </w:r>
      <w:r w:rsidRPr="00421AEE">
        <w:tab/>
        <w:t>before the application day for the amendment made by the amending item, as applying in relation to a matter, ASIC started doing a thing that relates to that matter under the provision as in force immediately before the commencement day for the amending item; and</w:t>
      </w:r>
    </w:p>
    <w:p w14:paraId="5EB0DBC9" w14:textId="77777777" w:rsidR="00CB58F6" w:rsidRPr="00421AEE" w:rsidRDefault="00CB58F6" w:rsidP="001830B5">
      <w:pPr>
        <w:pStyle w:val="paragraph"/>
      </w:pPr>
      <w:r w:rsidRPr="00421AEE">
        <w:tab/>
        <w:t>(c)</w:t>
      </w:r>
      <w:r w:rsidRPr="00421AEE">
        <w:tab/>
        <w:t>immediately before that application day, ASIC had not finished doing that thing; and</w:t>
      </w:r>
    </w:p>
    <w:p w14:paraId="41EC8C21" w14:textId="77777777" w:rsidR="00CB58F6" w:rsidRPr="00421AEE" w:rsidRDefault="00CB58F6" w:rsidP="001830B5">
      <w:pPr>
        <w:pStyle w:val="paragraph"/>
      </w:pPr>
      <w:r w:rsidRPr="00421AEE">
        <w:tab/>
        <w:t>(d)</w:t>
      </w:r>
      <w:r w:rsidRPr="00421AEE">
        <w:tab/>
        <w:t>on and after that application day, doing that thing is within the powers or functions of the Registrar;</w:t>
      </w:r>
    </w:p>
    <w:p w14:paraId="2AC8AD39" w14:textId="77777777" w:rsidR="00CB58F6" w:rsidRPr="00421AEE" w:rsidRDefault="00CB58F6" w:rsidP="001830B5">
      <w:pPr>
        <w:pStyle w:val="Item"/>
      </w:pPr>
      <w:r w:rsidRPr="00421AEE">
        <w:t>then, on and after that application day:</w:t>
      </w:r>
    </w:p>
    <w:p w14:paraId="6FAA3860" w14:textId="77777777" w:rsidR="00CB58F6" w:rsidRPr="00421AEE" w:rsidRDefault="00CB58F6" w:rsidP="001830B5">
      <w:pPr>
        <w:pStyle w:val="paragraph"/>
      </w:pPr>
      <w:r w:rsidRPr="00421AEE">
        <w:tab/>
        <w:t>(e)</w:t>
      </w:r>
      <w:r w:rsidRPr="00421AEE">
        <w:tab/>
        <w:t>ASIC may finish doing that thing as if that thing were being done by the Registrar in performing or exercising the Registrar’s functions or powers; and</w:t>
      </w:r>
    </w:p>
    <w:p w14:paraId="70419E74" w14:textId="77777777" w:rsidR="00CB58F6" w:rsidRPr="00421AEE" w:rsidRDefault="00CB58F6" w:rsidP="001830B5">
      <w:pPr>
        <w:pStyle w:val="paragraph"/>
      </w:pPr>
      <w:r w:rsidRPr="00421AEE">
        <w:tab/>
        <w:t>(f)</w:t>
      </w:r>
      <w:r w:rsidRPr="00421AEE">
        <w:tab/>
        <w:t>to the extent that ASIC does not finish doing that thing under paragraph (e), the Registrar may finish doing that thing in performing and exercising the Registrar’s functions and powers.</w:t>
      </w:r>
    </w:p>
    <w:p w14:paraId="2068B16B" w14:textId="77777777" w:rsidR="00CB58F6" w:rsidRPr="00421AEE" w:rsidRDefault="00CB58F6" w:rsidP="001830B5">
      <w:pPr>
        <w:pStyle w:val="ActHead9"/>
        <w:rPr>
          <w:i w:val="0"/>
        </w:rPr>
      </w:pPr>
      <w:bookmarkStart w:id="41" w:name="_Hlk90627379"/>
      <w:bookmarkStart w:id="42" w:name="_Toc110951177"/>
      <w:r w:rsidRPr="00421AEE">
        <w:t>Treasury Laws Amendment (Registries Modernisation and Other Measures) Act 2020</w:t>
      </w:r>
      <w:bookmarkEnd w:id="42"/>
    </w:p>
    <w:bookmarkEnd w:id="41"/>
    <w:p w14:paraId="6B6B1149" w14:textId="77777777" w:rsidR="00CB58F6" w:rsidRPr="00421AEE" w:rsidRDefault="00CB58F6" w:rsidP="001830B5">
      <w:pPr>
        <w:pStyle w:val="ItemHead"/>
      </w:pPr>
      <w:r w:rsidRPr="00421AEE">
        <w:t>15  Part 3 of Schedule 1</w:t>
      </w:r>
    </w:p>
    <w:p w14:paraId="05831F4D" w14:textId="77777777" w:rsidR="00CB58F6" w:rsidRPr="00421AEE" w:rsidRDefault="00CB58F6" w:rsidP="001830B5">
      <w:pPr>
        <w:pStyle w:val="Item"/>
      </w:pPr>
      <w:r w:rsidRPr="00421AEE">
        <w:t>Repeal the Part, substitute:</w:t>
      </w:r>
    </w:p>
    <w:p w14:paraId="1254712B" w14:textId="77777777" w:rsidR="00CB58F6" w:rsidRPr="00421AEE" w:rsidRDefault="00CB58F6" w:rsidP="001830B5">
      <w:pPr>
        <w:pStyle w:val="Specialap"/>
      </w:pPr>
      <w:r w:rsidRPr="00421AEE">
        <w:t>Part 3—Application and transitional provisions</w:t>
      </w:r>
    </w:p>
    <w:p w14:paraId="4C8627D5" w14:textId="77777777" w:rsidR="00CB58F6" w:rsidRPr="00421AEE" w:rsidRDefault="00CB58F6" w:rsidP="001830B5">
      <w:pPr>
        <w:pStyle w:val="Specialih"/>
      </w:pPr>
      <w:r w:rsidRPr="00421AEE">
        <w:t>1465  Definitions</w:t>
      </w:r>
    </w:p>
    <w:p w14:paraId="51B2EC79" w14:textId="77777777" w:rsidR="00CB58F6" w:rsidRPr="00421AEE" w:rsidRDefault="00CB58F6" w:rsidP="001830B5">
      <w:pPr>
        <w:pStyle w:val="Subitem"/>
      </w:pPr>
      <w:r w:rsidRPr="00421AEE">
        <w:t>(1)</w:t>
      </w:r>
      <w:r w:rsidRPr="00421AEE">
        <w:tab/>
        <w:t>In this Part:</w:t>
      </w:r>
    </w:p>
    <w:p w14:paraId="5826AC7B" w14:textId="77777777" w:rsidR="00CB58F6" w:rsidRPr="00421AEE" w:rsidRDefault="00CB58F6" w:rsidP="001830B5">
      <w:pPr>
        <w:pStyle w:val="Item"/>
      </w:pPr>
      <w:r w:rsidRPr="00421AEE">
        <w:rPr>
          <w:b/>
          <w:i/>
        </w:rPr>
        <w:t>amending item</w:t>
      </w:r>
      <w:r w:rsidRPr="00421AEE">
        <w:t xml:space="preserve"> means:</w:t>
      </w:r>
    </w:p>
    <w:p w14:paraId="5EB3D24F" w14:textId="77777777" w:rsidR="00CB58F6" w:rsidRPr="00421AEE" w:rsidRDefault="00CB58F6" w:rsidP="001830B5">
      <w:pPr>
        <w:pStyle w:val="paragraph"/>
      </w:pPr>
      <w:r w:rsidRPr="00421AEE">
        <w:tab/>
        <w:t>(a)</w:t>
      </w:r>
      <w:r w:rsidRPr="00421AEE">
        <w:tab/>
        <w:t xml:space="preserve">an item (other than </w:t>
      </w:r>
      <w:r w:rsidR="009F7539" w:rsidRPr="00421AEE">
        <w:t>item 1</w:t>
      </w:r>
      <w:r w:rsidRPr="00421AEE">
        <w:t>03) of Part 2 of this Schedule that amends a provision of any of the following:</w:t>
      </w:r>
    </w:p>
    <w:p w14:paraId="3398028F" w14:textId="77777777" w:rsidR="00CB58F6" w:rsidRPr="00421AEE" w:rsidRDefault="00CB58F6" w:rsidP="001830B5">
      <w:pPr>
        <w:pStyle w:val="paragraphsub"/>
      </w:pPr>
      <w:r w:rsidRPr="00421AEE">
        <w:tab/>
        <w:t>(i)</w:t>
      </w:r>
      <w:r w:rsidRPr="00421AEE">
        <w:tab/>
        <w:t xml:space="preserve">the </w:t>
      </w:r>
      <w:r w:rsidRPr="00421AEE">
        <w:rPr>
          <w:i/>
        </w:rPr>
        <w:t>A New Tax System (Australian Business Number) Act 1999</w:t>
      </w:r>
      <w:r w:rsidRPr="00421AEE">
        <w:t>;</w:t>
      </w:r>
    </w:p>
    <w:p w14:paraId="69A6E3F7" w14:textId="77777777" w:rsidR="00CB58F6" w:rsidRPr="00421AEE" w:rsidRDefault="00CB58F6" w:rsidP="001830B5">
      <w:pPr>
        <w:pStyle w:val="paragraphsub"/>
      </w:pPr>
      <w:r w:rsidRPr="00421AEE">
        <w:tab/>
        <w:t>(ii)</w:t>
      </w:r>
      <w:r w:rsidRPr="00421AEE">
        <w:tab/>
        <w:t xml:space="preserve">the </w:t>
      </w:r>
      <w:r w:rsidRPr="00421AEE">
        <w:rPr>
          <w:i/>
        </w:rPr>
        <w:t>A New Tax System (Goods and Services Tax) Act 1999</w:t>
      </w:r>
      <w:r w:rsidRPr="00421AEE">
        <w:t>;</w:t>
      </w:r>
    </w:p>
    <w:p w14:paraId="42846787" w14:textId="77777777" w:rsidR="00CB58F6" w:rsidRPr="00421AEE" w:rsidRDefault="00CB58F6" w:rsidP="001830B5">
      <w:pPr>
        <w:pStyle w:val="paragraphsub"/>
      </w:pPr>
      <w:r w:rsidRPr="00421AEE">
        <w:tab/>
        <w:t>(iii)</w:t>
      </w:r>
      <w:r w:rsidRPr="00421AEE">
        <w:tab/>
        <w:t xml:space="preserve">the </w:t>
      </w:r>
      <w:r w:rsidRPr="00421AEE">
        <w:rPr>
          <w:i/>
        </w:rPr>
        <w:t>Australian Prudential Regulation Authority Act 1998</w:t>
      </w:r>
      <w:r w:rsidRPr="00421AEE">
        <w:t>;</w:t>
      </w:r>
    </w:p>
    <w:p w14:paraId="6C8475FD" w14:textId="77777777" w:rsidR="00CB58F6" w:rsidRPr="00421AEE" w:rsidRDefault="00CB58F6" w:rsidP="001830B5">
      <w:pPr>
        <w:pStyle w:val="paragraphsub"/>
      </w:pPr>
      <w:r w:rsidRPr="00421AEE">
        <w:tab/>
        <w:t>(iv)</w:t>
      </w:r>
      <w:r w:rsidRPr="00421AEE">
        <w:tab/>
        <w:t xml:space="preserve">the </w:t>
      </w:r>
      <w:r w:rsidRPr="00421AEE">
        <w:rPr>
          <w:i/>
        </w:rPr>
        <w:t>Income Tax Assessment Act 1997</w:t>
      </w:r>
      <w:r w:rsidRPr="00421AEE">
        <w:t>;</w:t>
      </w:r>
    </w:p>
    <w:p w14:paraId="30AF63D8" w14:textId="77777777" w:rsidR="00CB58F6" w:rsidRPr="00421AEE" w:rsidRDefault="00CB58F6" w:rsidP="001830B5">
      <w:pPr>
        <w:pStyle w:val="paragraphsub"/>
      </w:pPr>
      <w:r w:rsidRPr="00421AEE">
        <w:tab/>
        <w:t>(v)</w:t>
      </w:r>
      <w:r w:rsidRPr="00421AEE">
        <w:tab/>
        <w:t xml:space="preserve">the </w:t>
      </w:r>
      <w:r w:rsidRPr="00421AEE">
        <w:rPr>
          <w:i/>
        </w:rPr>
        <w:t>Superannuation Industry (Supervision) Act 1993</w:t>
      </w:r>
      <w:r w:rsidRPr="00421AEE">
        <w:t>;</w:t>
      </w:r>
    </w:p>
    <w:p w14:paraId="539635E7" w14:textId="77777777" w:rsidR="00CB58F6" w:rsidRPr="00421AEE" w:rsidRDefault="00CB58F6" w:rsidP="001830B5">
      <w:pPr>
        <w:pStyle w:val="paragraphsub"/>
      </w:pPr>
      <w:r w:rsidRPr="00421AEE">
        <w:tab/>
        <w:t>(vi)</w:t>
      </w:r>
      <w:r w:rsidRPr="00421AEE">
        <w:tab/>
        <w:t xml:space="preserve">the </w:t>
      </w:r>
      <w:r w:rsidRPr="00421AEE">
        <w:rPr>
          <w:i/>
        </w:rPr>
        <w:t>Taxation Administration Act 1953</w:t>
      </w:r>
      <w:r w:rsidRPr="00421AEE">
        <w:t>; or</w:t>
      </w:r>
    </w:p>
    <w:p w14:paraId="449EAFFE" w14:textId="77777777" w:rsidR="00CB58F6" w:rsidRPr="00421AEE" w:rsidRDefault="00CB58F6" w:rsidP="001830B5">
      <w:pPr>
        <w:pStyle w:val="paragraph"/>
      </w:pPr>
      <w:r w:rsidRPr="00421AEE">
        <w:tab/>
        <w:t>(b)</w:t>
      </w:r>
      <w:r w:rsidRPr="00421AEE">
        <w:tab/>
        <w:t>an item specified under subitem (2).</w:t>
      </w:r>
    </w:p>
    <w:p w14:paraId="16D26B48" w14:textId="77777777" w:rsidR="00CB58F6" w:rsidRPr="00421AEE" w:rsidRDefault="00CB58F6" w:rsidP="001830B5">
      <w:pPr>
        <w:pStyle w:val="Item"/>
      </w:pPr>
      <w:r w:rsidRPr="00421AEE">
        <w:rPr>
          <w:b/>
          <w:i/>
        </w:rPr>
        <w:t>application day</w:t>
      </w:r>
      <w:r w:rsidRPr="00421AEE">
        <w:t xml:space="preserve">, for an amendment made by an amending item, as applying in relation to a matter, means the day on and after which the amendment applies in relation to that matter because of </w:t>
      </w:r>
      <w:r w:rsidR="009F7539" w:rsidRPr="00421AEE">
        <w:t>item 1</w:t>
      </w:r>
      <w:r w:rsidRPr="00421AEE">
        <w:t>467.</w:t>
      </w:r>
    </w:p>
    <w:p w14:paraId="216A71FD" w14:textId="77777777" w:rsidR="00CB58F6" w:rsidRPr="00421AEE" w:rsidRDefault="00CB58F6" w:rsidP="001830B5">
      <w:pPr>
        <w:pStyle w:val="Item"/>
      </w:pPr>
      <w:r w:rsidRPr="00421AEE">
        <w:rPr>
          <w:b/>
          <w:i/>
        </w:rPr>
        <w:t>commencement day</w:t>
      </w:r>
      <w:r w:rsidRPr="00421AEE">
        <w:t xml:space="preserve">, for an amending item, means the day on which the item commences (taking into account Part 1 of </w:t>
      </w:r>
      <w:r w:rsidR="009F7539" w:rsidRPr="00421AEE">
        <w:t>Schedule 4</w:t>
      </w:r>
      <w:r w:rsidRPr="00421AEE">
        <w:t xml:space="preserve"> to the </w:t>
      </w:r>
      <w:r w:rsidRPr="00421AEE">
        <w:rPr>
          <w:i/>
        </w:rPr>
        <w:t>Treasury Laws Amendment (2022 Measures No. 1) Act 2022</w:t>
      </w:r>
      <w:r w:rsidRPr="00421AEE">
        <w:t>).</w:t>
      </w:r>
    </w:p>
    <w:p w14:paraId="0BA3BFAB" w14:textId="77777777" w:rsidR="00CB58F6" w:rsidRPr="00421AEE" w:rsidRDefault="00CB58F6" w:rsidP="001830B5">
      <w:pPr>
        <w:pStyle w:val="Item"/>
      </w:pPr>
      <w:r w:rsidRPr="00421AEE">
        <w:rPr>
          <w:b/>
          <w:i/>
        </w:rPr>
        <w:t>interim period</w:t>
      </w:r>
      <w:r w:rsidRPr="00421AEE">
        <w:t xml:space="preserve"> means the period:</w:t>
      </w:r>
    </w:p>
    <w:p w14:paraId="23FCC4E9" w14:textId="77777777" w:rsidR="00CB58F6" w:rsidRPr="00421AEE" w:rsidRDefault="00CB58F6" w:rsidP="001830B5">
      <w:pPr>
        <w:pStyle w:val="paragraph"/>
      </w:pPr>
      <w:r w:rsidRPr="00421AEE">
        <w:tab/>
        <w:t>(a)</w:t>
      </w:r>
      <w:r w:rsidRPr="00421AEE">
        <w:tab/>
        <w:t>starting at the start of 22 June 2022; and</w:t>
      </w:r>
    </w:p>
    <w:p w14:paraId="331AE48E" w14:textId="77777777" w:rsidR="00CB58F6" w:rsidRPr="00421AEE" w:rsidRDefault="00CB58F6" w:rsidP="001830B5">
      <w:pPr>
        <w:pStyle w:val="paragraph"/>
      </w:pPr>
      <w:r w:rsidRPr="00421AEE">
        <w:tab/>
        <w:t>(b)</w:t>
      </w:r>
      <w:r w:rsidRPr="00421AEE">
        <w:tab/>
        <w:t xml:space="preserve">ending at the end of the day before the day on which Part 2 of </w:t>
      </w:r>
      <w:r w:rsidR="009F7539" w:rsidRPr="00421AEE">
        <w:t>Schedule 4</w:t>
      </w:r>
      <w:r w:rsidRPr="00421AEE">
        <w:t xml:space="preserve"> to the </w:t>
      </w:r>
      <w:r w:rsidRPr="00421AEE">
        <w:rPr>
          <w:i/>
        </w:rPr>
        <w:t>Treasury Laws Amendment (2022 Measures No. 1) Act 2022</w:t>
      </w:r>
      <w:r w:rsidRPr="00421AEE">
        <w:t xml:space="preserve"> commences.</w:t>
      </w:r>
    </w:p>
    <w:p w14:paraId="29BEE11F" w14:textId="77777777" w:rsidR="00CB58F6" w:rsidRPr="00421AEE" w:rsidRDefault="00CB58F6" w:rsidP="001830B5">
      <w:pPr>
        <w:pStyle w:val="Item"/>
      </w:pPr>
      <w:r w:rsidRPr="00421AEE">
        <w:rPr>
          <w:b/>
          <w:i/>
        </w:rPr>
        <w:t>postponed item</w:t>
      </w:r>
      <w:r w:rsidRPr="00421AEE">
        <w:t xml:space="preserve"> means any of the following that commenced on 22 June 2022 (disregarding Part 1 of </w:t>
      </w:r>
      <w:r w:rsidR="009F7539" w:rsidRPr="00421AEE">
        <w:t>Schedule 4</w:t>
      </w:r>
      <w:r w:rsidRPr="00421AEE">
        <w:t xml:space="preserve"> to the </w:t>
      </w:r>
      <w:r w:rsidRPr="00421AEE">
        <w:rPr>
          <w:i/>
        </w:rPr>
        <w:t>Treasury Laws Amendment (2022 Measures No. 1) Act 2022</w:t>
      </w:r>
      <w:r w:rsidRPr="00421AEE">
        <w:t>):</w:t>
      </w:r>
    </w:p>
    <w:p w14:paraId="1ACF2B52" w14:textId="77777777" w:rsidR="00CB58F6" w:rsidRPr="00421AEE" w:rsidRDefault="00CB58F6" w:rsidP="001830B5">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18BDA017" w14:textId="77777777" w:rsidR="00CB58F6" w:rsidRPr="00421AEE" w:rsidRDefault="00CB58F6" w:rsidP="001830B5">
      <w:pPr>
        <w:pStyle w:val="paragraph"/>
      </w:pPr>
      <w:r w:rsidRPr="00421AEE">
        <w:tab/>
        <w:t>(b)</w:t>
      </w:r>
      <w:r w:rsidRPr="00421AEE">
        <w:tab/>
        <w:t xml:space="preserve">an item of Part 3 of Schedule 1 to the </w:t>
      </w:r>
      <w:r w:rsidRPr="00421AEE">
        <w:rPr>
          <w:i/>
        </w:rPr>
        <w:t>Financial Sector Reform (Hayne Royal Commission Response—Better Advice) Act 2021</w:t>
      </w:r>
      <w:r w:rsidRPr="00421AEE">
        <w:t>;</w:t>
      </w:r>
    </w:p>
    <w:p w14:paraId="3DB347C8" w14:textId="77777777" w:rsidR="00CB58F6" w:rsidRPr="00421AEE" w:rsidRDefault="00CB58F6" w:rsidP="001830B5">
      <w:pPr>
        <w:pStyle w:val="paragraph"/>
      </w:pPr>
      <w:r w:rsidRPr="00421AEE">
        <w:tab/>
        <w:t>(c)</w:t>
      </w:r>
      <w:r w:rsidRPr="00421AEE">
        <w:tab/>
        <w:t xml:space="preserve">an item of Part 4 of </w:t>
      </w:r>
      <w:r w:rsidR="0095795B" w:rsidRPr="00421AEE">
        <w:t>Schedule 2</w:t>
      </w:r>
      <w:r w:rsidRPr="00421AEE">
        <w:t xml:space="preserve"> to the </w:t>
      </w:r>
      <w:r w:rsidRPr="00421AEE">
        <w:rPr>
          <w:i/>
        </w:rPr>
        <w:t>Treasury Laws Amendment (2021 Measures No. 1) Act 2021</w:t>
      </w:r>
      <w:r w:rsidRPr="00421AEE">
        <w:t>.</w:t>
      </w:r>
    </w:p>
    <w:p w14:paraId="21D58AB1" w14:textId="77777777" w:rsidR="00CB58F6" w:rsidRPr="00421AEE" w:rsidRDefault="00CB58F6" w:rsidP="001830B5">
      <w:pPr>
        <w:pStyle w:val="notetext"/>
      </w:pPr>
      <w:r w:rsidRPr="00421AEE">
        <w:t>Note</w:t>
      </w:r>
      <w:r w:rsidRPr="00421AEE">
        <w:tab/>
        <w:t xml:space="preserve">Item 103 of Schedule 1 to the </w:t>
      </w:r>
      <w:r w:rsidRPr="00421AEE">
        <w:rPr>
          <w:i/>
        </w:rPr>
        <w:t xml:space="preserve">Treasury Laws Amendment (Registries Modernisation and Other Measures) Act 2020 </w:t>
      </w:r>
      <w:r w:rsidRPr="00421AEE">
        <w:t>is not covered by paragraph (a) because that item commenced on 4 April 2021.</w:t>
      </w:r>
    </w:p>
    <w:p w14:paraId="18366346" w14:textId="77777777" w:rsidR="00CB58F6" w:rsidRPr="00421AEE" w:rsidRDefault="00CB58F6" w:rsidP="001830B5">
      <w:pPr>
        <w:pStyle w:val="Subitem"/>
      </w:pPr>
      <w:r w:rsidRPr="00421AEE">
        <w:t>(2)</w:t>
      </w:r>
      <w:r w:rsidRPr="00421AEE">
        <w:tab/>
        <w:t xml:space="preserve">For the purposes of paragraph (b) of the definition of </w:t>
      </w:r>
      <w:r w:rsidRPr="00421AEE">
        <w:rPr>
          <w:b/>
          <w:i/>
        </w:rPr>
        <w:t>amending item</w:t>
      </w:r>
      <w:r w:rsidRPr="00421AEE">
        <w:t xml:space="preserve"> in subitem (1), the Minister may, by legislative instrument, specify items that:</w:t>
      </w:r>
    </w:p>
    <w:p w14:paraId="798B2607" w14:textId="77777777" w:rsidR="00CB58F6" w:rsidRPr="00421AEE" w:rsidRDefault="00CB58F6" w:rsidP="001830B5">
      <w:pPr>
        <w:pStyle w:val="paragraph"/>
      </w:pPr>
      <w:r w:rsidRPr="00421AEE">
        <w:tab/>
        <w:t>(a)</w:t>
      </w:r>
      <w:r w:rsidRPr="00421AEE">
        <w:tab/>
        <w:t>are in a Schedule to any Act and amend a provision that:</w:t>
      </w:r>
    </w:p>
    <w:p w14:paraId="6A3EE42F" w14:textId="77777777" w:rsidR="00CB58F6" w:rsidRPr="00421AEE" w:rsidRDefault="00CB58F6" w:rsidP="001830B5">
      <w:pPr>
        <w:pStyle w:val="paragraphsub"/>
      </w:pPr>
      <w:r w:rsidRPr="00421AEE">
        <w:tab/>
        <w:t>(i)</w:t>
      </w:r>
      <w:r w:rsidRPr="00421AEE">
        <w:tab/>
        <w:t>is a provision of an Act referred to in paragraph (a) of that definition; and</w:t>
      </w:r>
    </w:p>
    <w:p w14:paraId="09C4D2D8" w14:textId="77777777" w:rsidR="00CB58F6" w:rsidRPr="00421AEE" w:rsidRDefault="00CB58F6" w:rsidP="001830B5">
      <w:pPr>
        <w:pStyle w:val="paragraphsub"/>
      </w:pPr>
      <w:r w:rsidRPr="00421AEE">
        <w:tab/>
        <w:t>(ii)</w:t>
      </w:r>
      <w:r w:rsidRPr="00421AEE">
        <w:tab/>
        <w:t>deals with a matter related to a government registry regime; and</w:t>
      </w:r>
    </w:p>
    <w:p w14:paraId="5ED94DEE" w14:textId="77777777" w:rsidR="00CB58F6" w:rsidRPr="00421AEE" w:rsidRDefault="00CB58F6" w:rsidP="001830B5">
      <w:pPr>
        <w:pStyle w:val="paragraph"/>
      </w:pPr>
      <w:r w:rsidRPr="00421AEE">
        <w:tab/>
        <w:t>(b)</w:t>
      </w:r>
      <w:r w:rsidRPr="00421AEE">
        <w:tab/>
        <w:t xml:space="preserve">are to commence on a day after the end of the interim period but before </w:t>
      </w:r>
      <w:r w:rsidR="0095795B" w:rsidRPr="00421AEE">
        <w:t>1 July</w:t>
      </w:r>
      <w:r w:rsidRPr="00421AEE">
        <w:t xml:space="preserve"> 2026.</w:t>
      </w:r>
    </w:p>
    <w:p w14:paraId="518F9CC5" w14:textId="77777777" w:rsidR="00CB58F6" w:rsidRPr="00421AEE" w:rsidRDefault="00CB58F6" w:rsidP="001830B5">
      <w:pPr>
        <w:pStyle w:val="Subitem"/>
      </w:pPr>
      <w:r w:rsidRPr="00421AEE">
        <w:t>(3)</w:t>
      </w:r>
      <w:r w:rsidRPr="00421AEE">
        <w:tab/>
        <w:t xml:space="preserve">For the purposes of subparagraph 1467(1)(c)(i), the Minister may, by legislative instrument, specify a day for an item specified under subitem (2) of this item. The day must occur after the end of the interim period but before </w:t>
      </w:r>
      <w:r w:rsidR="0095795B" w:rsidRPr="00421AEE">
        <w:t>1 July</w:t>
      </w:r>
      <w:r w:rsidRPr="00421AEE">
        <w:t xml:space="preserve"> 2026.</w:t>
      </w:r>
    </w:p>
    <w:p w14:paraId="0D7E0E55" w14:textId="77777777" w:rsidR="00CB58F6" w:rsidRPr="00421AEE" w:rsidRDefault="00CB58F6" w:rsidP="001830B5">
      <w:pPr>
        <w:pStyle w:val="Specialih"/>
      </w:pPr>
      <w:r w:rsidRPr="00421AEE">
        <w:t>1466  Validation of acts or things done during interim period</w:t>
      </w:r>
    </w:p>
    <w:p w14:paraId="37F88169" w14:textId="77777777" w:rsidR="00CB58F6" w:rsidRPr="00421AEE" w:rsidRDefault="00CB58F6" w:rsidP="001830B5">
      <w:pPr>
        <w:pStyle w:val="SubitemHead"/>
      </w:pPr>
      <w:r w:rsidRPr="00421AEE">
        <w:t>Object</w:t>
      </w:r>
    </w:p>
    <w:p w14:paraId="53896B44" w14:textId="77777777" w:rsidR="00CB58F6" w:rsidRPr="00421AEE" w:rsidRDefault="00CB58F6" w:rsidP="001830B5">
      <w:pPr>
        <w:pStyle w:val="Subitem"/>
      </w:pPr>
      <w:r w:rsidRPr="00421AEE">
        <w:t>(1)</w:t>
      </w:r>
      <w:r w:rsidRPr="00421AEE">
        <w:tab/>
        <w:t>The object of this item is to treat all situations during the interim period in every respect as if:</w:t>
      </w:r>
    </w:p>
    <w:p w14:paraId="59E4EC8A"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3E5345FF" w14:textId="77777777" w:rsidR="00CB58F6" w:rsidRPr="00421AEE" w:rsidRDefault="00CB58F6" w:rsidP="001830B5">
      <w:pPr>
        <w:pStyle w:val="paragraph"/>
      </w:pPr>
      <w:r w:rsidRPr="00421AEE">
        <w:tab/>
        <w:t>(b)</w:t>
      </w:r>
      <w:r w:rsidRPr="00421AEE">
        <w:tab/>
        <w:t>the amendments made by the postponed items had not been made at the start of 22 June 2022 and had had no effect during the interim period.</w:t>
      </w:r>
    </w:p>
    <w:p w14:paraId="1BB115A4" w14:textId="77777777" w:rsidR="00CB58F6" w:rsidRPr="00421AEE" w:rsidRDefault="00CB58F6" w:rsidP="001830B5">
      <w:pPr>
        <w:pStyle w:val="SubitemHead"/>
      </w:pPr>
      <w:r w:rsidRPr="00421AEE">
        <w:t>Validation of acts and things done in interim period</w:t>
      </w:r>
    </w:p>
    <w:p w14:paraId="7397EB6C" w14:textId="77777777" w:rsidR="00CB58F6" w:rsidRPr="00421AEE" w:rsidRDefault="00CB58F6" w:rsidP="001830B5">
      <w:pPr>
        <w:pStyle w:val="Subitem"/>
      </w:pPr>
      <w:r w:rsidRPr="00421AEE">
        <w:t>(2)</w:t>
      </w:r>
      <w:r w:rsidRPr="00421AEE">
        <w:tab/>
        <w:t>An act or thing that was done at any time during the interim period is as valid, and is taken always to have been as valid, as it would have been if:</w:t>
      </w:r>
    </w:p>
    <w:p w14:paraId="262F8CF1" w14:textId="77777777" w:rsidR="00CB58F6" w:rsidRPr="00421AEE" w:rsidRDefault="00CB58F6" w:rsidP="001830B5">
      <w:pPr>
        <w:pStyle w:val="paragraph"/>
      </w:pPr>
      <w:r w:rsidRPr="00421AEE">
        <w:tab/>
        <w:t>(a)</w:t>
      </w:r>
      <w:r w:rsidRPr="00421AEE">
        <w:tab/>
        <w:t xml:space="preserve">the amendments made by Part 1 of </w:t>
      </w:r>
      <w:r w:rsidR="009F7539" w:rsidRPr="00421AEE">
        <w:t>Schedule 4</w:t>
      </w:r>
      <w:r w:rsidRPr="00421AEE">
        <w:t xml:space="preserve"> to the </w:t>
      </w:r>
      <w:r w:rsidRPr="00421AEE">
        <w:rPr>
          <w:i/>
        </w:rPr>
        <w:t>Treasury Laws Amendment (2022 Measures No. 1) Act 2022</w:t>
      </w:r>
      <w:r w:rsidRPr="00421AEE">
        <w:t xml:space="preserve"> had been made at the start of 21 June 2022; and</w:t>
      </w:r>
    </w:p>
    <w:p w14:paraId="093EB306" w14:textId="77777777" w:rsidR="00CB58F6" w:rsidRPr="00421AEE" w:rsidRDefault="00CB58F6" w:rsidP="001830B5">
      <w:pPr>
        <w:pStyle w:val="paragraph"/>
      </w:pPr>
      <w:r w:rsidRPr="00421AEE">
        <w:tab/>
        <w:t>(b)</w:t>
      </w:r>
      <w:r w:rsidRPr="00421AEE">
        <w:tab/>
        <w:t>in particular, the amendments made by the postponed items had not been made at the start of 22 June 2022 and had had no effect during the interim period.</w:t>
      </w:r>
    </w:p>
    <w:p w14:paraId="4566ACDE" w14:textId="77777777" w:rsidR="00CB58F6" w:rsidRPr="00421AEE" w:rsidRDefault="00CB58F6" w:rsidP="001830B5">
      <w:pPr>
        <w:pStyle w:val="SubitemHead"/>
      </w:pPr>
      <w:r w:rsidRPr="00421AEE">
        <w:t>Continuation of delegations</w:t>
      </w:r>
    </w:p>
    <w:p w14:paraId="0F02A9A0" w14:textId="77777777" w:rsidR="00CB58F6" w:rsidRPr="00421AEE" w:rsidRDefault="00CB58F6" w:rsidP="001830B5">
      <w:pPr>
        <w:pStyle w:val="Subitem"/>
      </w:pPr>
      <w:r w:rsidRPr="00421AEE">
        <w:t>(3)</w:t>
      </w:r>
      <w:r w:rsidRPr="00421AEE">
        <w:tab/>
        <w:t>Without limiting subitem (2), if:</w:t>
      </w:r>
    </w:p>
    <w:p w14:paraId="743224F5" w14:textId="77777777" w:rsidR="00CB58F6" w:rsidRPr="00421AEE" w:rsidRDefault="00CB58F6" w:rsidP="001830B5">
      <w:pPr>
        <w:pStyle w:val="paragraph"/>
      </w:pPr>
      <w:r w:rsidRPr="00421AEE">
        <w:tab/>
        <w:t>(a)</w:t>
      </w:r>
      <w:r w:rsidRPr="00421AEE">
        <w:tab/>
        <w:t>a function or power conferred by any of the following Acts was delegated to a person:</w:t>
      </w:r>
    </w:p>
    <w:p w14:paraId="42C0AFEF" w14:textId="77777777" w:rsidR="00CB58F6" w:rsidRPr="00421AEE" w:rsidRDefault="00CB58F6" w:rsidP="001830B5">
      <w:pPr>
        <w:pStyle w:val="paragraphsub"/>
      </w:pPr>
      <w:r w:rsidRPr="00421AEE">
        <w:tab/>
        <w:t>(i)</w:t>
      </w:r>
      <w:r w:rsidRPr="00421AEE">
        <w:tab/>
        <w:t xml:space="preserve">the </w:t>
      </w:r>
      <w:r w:rsidRPr="00421AEE">
        <w:rPr>
          <w:i/>
        </w:rPr>
        <w:t>A New Tax System (Australian Business Number) Act 1999</w:t>
      </w:r>
      <w:r w:rsidRPr="00421AEE">
        <w:t>;</w:t>
      </w:r>
    </w:p>
    <w:p w14:paraId="752A3113" w14:textId="77777777" w:rsidR="00CB58F6" w:rsidRPr="00421AEE" w:rsidRDefault="00CB58F6" w:rsidP="001830B5">
      <w:pPr>
        <w:pStyle w:val="paragraphsub"/>
      </w:pPr>
      <w:r w:rsidRPr="00421AEE">
        <w:tab/>
        <w:t>(ii)</w:t>
      </w:r>
      <w:r w:rsidRPr="00421AEE">
        <w:tab/>
        <w:t xml:space="preserve">the </w:t>
      </w:r>
      <w:r w:rsidRPr="00421AEE">
        <w:rPr>
          <w:i/>
        </w:rPr>
        <w:t>A New Tax System (Goods and Services Tax) Act 1999</w:t>
      </w:r>
      <w:r w:rsidRPr="00421AEE">
        <w:t>;</w:t>
      </w:r>
    </w:p>
    <w:p w14:paraId="6EA98A27" w14:textId="77777777" w:rsidR="00CB58F6" w:rsidRPr="00421AEE" w:rsidRDefault="00CB58F6" w:rsidP="001830B5">
      <w:pPr>
        <w:pStyle w:val="paragraphsub"/>
      </w:pPr>
      <w:r w:rsidRPr="00421AEE">
        <w:tab/>
        <w:t>(iii)</w:t>
      </w:r>
      <w:r w:rsidRPr="00421AEE">
        <w:tab/>
        <w:t xml:space="preserve">the </w:t>
      </w:r>
      <w:r w:rsidRPr="00421AEE">
        <w:rPr>
          <w:i/>
        </w:rPr>
        <w:t>Australian Prudential Regulation Authority Act 1998</w:t>
      </w:r>
      <w:r w:rsidRPr="00421AEE">
        <w:t>;</w:t>
      </w:r>
    </w:p>
    <w:p w14:paraId="7925FBDE" w14:textId="77777777" w:rsidR="00CB58F6" w:rsidRPr="00421AEE" w:rsidRDefault="00CB58F6" w:rsidP="001830B5">
      <w:pPr>
        <w:pStyle w:val="paragraphsub"/>
      </w:pPr>
      <w:r w:rsidRPr="00421AEE">
        <w:tab/>
        <w:t>(iv)</w:t>
      </w:r>
      <w:r w:rsidRPr="00421AEE">
        <w:tab/>
        <w:t xml:space="preserve">the </w:t>
      </w:r>
      <w:r w:rsidRPr="00421AEE">
        <w:rPr>
          <w:i/>
        </w:rPr>
        <w:t>Commonwealth Registers Act 2020</w:t>
      </w:r>
      <w:r w:rsidRPr="00421AEE">
        <w:t>;</w:t>
      </w:r>
    </w:p>
    <w:p w14:paraId="413C5DAC" w14:textId="77777777" w:rsidR="00CB58F6" w:rsidRPr="00421AEE" w:rsidRDefault="00CB58F6" w:rsidP="001830B5">
      <w:pPr>
        <w:pStyle w:val="paragraphsub"/>
      </w:pPr>
      <w:r w:rsidRPr="00421AEE">
        <w:tab/>
        <w:t>(v)</w:t>
      </w:r>
      <w:r w:rsidRPr="00421AEE">
        <w:tab/>
        <w:t xml:space="preserve">the </w:t>
      </w:r>
      <w:r w:rsidRPr="00421AEE">
        <w:rPr>
          <w:i/>
        </w:rPr>
        <w:t>Income Tax Assessment Act 1997</w:t>
      </w:r>
      <w:r w:rsidRPr="00421AEE">
        <w:t>;</w:t>
      </w:r>
    </w:p>
    <w:p w14:paraId="43E26A39" w14:textId="77777777" w:rsidR="00CB58F6" w:rsidRPr="00421AEE" w:rsidRDefault="00CB58F6" w:rsidP="001830B5">
      <w:pPr>
        <w:pStyle w:val="paragraphsub"/>
      </w:pPr>
      <w:r w:rsidRPr="00421AEE">
        <w:tab/>
        <w:t>(vi)</w:t>
      </w:r>
      <w:r w:rsidRPr="00421AEE">
        <w:tab/>
        <w:t xml:space="preserve">the </w:t>
      </w:r>
      <w:r w:rsidRPr="00421AEE">
        <w:rPr>
          <w:i/>
        </w:rPr>
        <w:t>Superannuation Industry (Supervision) Act 1993</w:t>
      </w:r>
      <w:r w:rsidRPr="00421AEE">
        <w:t>;</w:t>
      </w:r>
    </w:p>
    <w:p w14:paraId="6011E545" w14:textId="77777777" w:rsidR="00CB58F6" w:rsidRPr="00421AEE" w:rsidRDefault="00CB58F6" w:rsidP="001830B5">
      <w:pPr>
        <w:pStyle w:val="paragraphsub"/>
      </w:pPr>
      <w:r w:rsidRPr="00421AEE">
        <w:tab/>
        <w:t>(vii)</w:t>
      </w:r>
      <w:r w:rsidRPr="00421AEE">
        <w:tab/>
        <w:t xml:space="preserve">the </w:t>
      </w:r>
      <w:r w:rsidRPr="00421AEE">
        <w:rPr>
          <w:i/>
        </w:rPr>
        <w:t>Taxation Administration Act 1953</w:t>
      </w:r>
      <w:r w:rsidRPr="00421AEE">
        <w:t>; and</w:t>
      </w:r>
    </w:p>
    <w:p w14:paraId="29957CBB" w14:textId="77777777" w:rsidR="00CB58F6" w:rsidRPr="00421AEE" w:rsidRDefault="00CB58F6" w:rsidP="001830B5">
      <w:pPr>
        <w:pStyle w:val="paragraph"/>
      </w:pPr>
      <w:r w:rsidRPr="00421AEE">
        <w:tab/>
        <w:t>(b)</w:t>
      </w:r>
      <w:r w:rsidRPr="00421AEE">
        <w:tab/>
        <w:t>the delegation was in force immediately before 22 June 2022; and</w:t>
      </w:r>
    </w:p>
    <w:p w14:paraId="66DEE4A7" w14:textId="77777777" w:rsidR="00CB58F6" w:rsidRPr="00421AEE" w:rsidRDefault="00CB58F6" w:rsidP="001830B5">
      <w:pPr>
        <w:pStyle w:val="paragraph"/>
      </w:pPr>
      <w:r w:rsidRPr="00421AEE">
        <w:tab/>
        <w:t>(c)</w:t>
      </w:r>
      <w:r w:rsidRPr="00421AEE">
        <w:tab/>
        <w:t>but for this subitem, the delegation would have ceased to have effect at the start of 22 June 2022 because of any of the amendments made by the postponed items;</w:t>
      </w:r>
    </w:p>
    <w:p w14:paraId="0FF6C8E4" w14:textId="77777777" w:rsidR="00CB58F6" w:rsidRPr="00421AEE" w:rsidRDefault="00CB58F6" w:rsidP="001830B5">
      <w:pPr>
        <w:pStyle w:val="Subitem"/>
      </w:pPr>
      <w:r w:rsidRPr="00421AEE">
        <w:tab/>
        <w:t>then:</w:t>
      </w:r>
    </w:p>
    <w:p w14:paraId="09858DBA" w14:textId="77777777" w:rsidR="00CB58F6" w:rsidRPr="00421AEE" w:rsidRDefault="00CB58F6" w:rsidP="001830B5">
      <w:pPr>
        <w:pStyle w:val="paragraph"/>
      </w:pPr>
      <w:r w:rsidRPr="00421AEE">
        <w:tab/>
        <w:t>(d)</w:t>
      </w:r>
      <w:r w:rsidRPr="00421AEE">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639AC334" w14:textId="77777777" w:rsidR="00CB58F6" w:rsidRPr="00421AEE" w:rsidRDefault="00CB58F6" w:rsidP="001830B5">
      <w:pPr>
        <w:pStyle w:val="paragraph"/>
      </w:pPr>
      <w:r w:rsidRPr="00421AEE">
        <w:tab/>
        <w:t>(e)</w:t>
      </w:r>
      <w:r w:rsidRPr="00421AEE">
        <w:tab/>
        <w:t xml:space="preserve">the delegation has effect, on and after the day section 1 of the </w:t>
      </w:r>
      <w:r w:rsidRPr="00421AEE">
        <w:rPr>
          <w:i/>
        </w:rPr>
        <w:t>Treasury Laws Amendment (2022 Measures No. 1) Act 2022</w:t>
      </w:r>
      <w:r w:rsidRPr="00421AEE">
        <w:t xml:space="preserve"> commences, as if it had been made at the time that section commences.</w:t>
      </w:r>
    </w:p>
    <w:p w14:paraId="433F894B" w14:textId="77777777" w:rsidR="00CB58F6" w:rsidRPr="00421AEE" w:rsidRDefault="00CB58F6" w:rsidP="001830B5">
      <w:pPr>
        <w:pStyle w:val="SubitemHead"/>
      </w:pPr>
      <w:r w:rsidRPr="00421AEE">
        <w:t>Acts and things to which this item applies</w:t>
      </w:r>
    </w:p>
    <w:p w14:paraId="7782CF32" w14:textId="77777777" w:rsidR="00CB58F6" w:rsidRPr="00421AEE" w:rsidRDefault="00CB58F6" w:rsidP="001830B5">
      <w:pPr>
        <w:pStyle w:val="Subitem"/>
      </w:pPr>
      <w:r w:rsidRPr="00421AEE">
        <w:t>(4)</w:t>
      </w:r>
      <w:r w:rsidRPr="00421AEE">
        <w:tab/>
        <w:t>This item applies to an act or thing, regardless of the basis on which, or capacity in which, the act or thing was done or purported to be done.</w:t>
      </w:r>
    </w:p>
    <w:p w14:paraId="70539FE8" w14:textId="77777777" w:rsidR="00CB58F6" w:rsidRPr="00421AEE" w:rsidRDefault="00CB58F6" w:rsidP="001830B5">
      <w:pPr>
        <w:pStyle w:val="Specialih"/>
      </w:pPr>
      <w:r w:rsidRPr="00421AEE">
        <w:t>1467  Application of amendments</w:t>
      </w:r>
    </w:p>
    <w:p w14:paraId="532A731A" w14:textId="77777777" w:rsidR="00CB58F6" w:rsidRPr="00421AEE" w:rsidRDefault="00CB58F6" w:rsidP="001830B5">
      <w:pPr>
        <w:pStyle w:val="Subitem"/>
      </w:pPr>
      <w:r w:rsidRPr="00421AEE">
        <w:t>(1)</w:t>
      </w:r>
      <w:r w:rsidRPr="00421AEE">
        <w:tab/>
        <w:t xml:space="preserve">An amendment of a provision of an Act that is made by an amending item applies, in relation to a matter (the </w:t>
      </w:r>
      <w:r w:rsidRPr="00421AEE">
        <w:rPr>
          <w:b/>
          <w:i/>
        </w:rPr>
        <w:t>relevant matter</w:t>
      </w:r>
      <w:r w:rsidRPr="00421AEE">
        <w:t>), on and after the earliest of the following days:</w:t>
      </w:r>
    </w:p>
    <w:p w14:paraId="1E8E94F9" w14:textId="77777777" w:rsidR="00CB58F6" w:rsidRPr="00421AEE" w:rsidRDefault="00CB58F6" w:rsidP="001830B5">
      <w:pPr>
        <w:pStyle w:val="paragraph"/>
      </w:pPr>
      <w:r w:rsidRPr="00421AEE">
        <w:tab/>
        <w:t>(a)</w:t>
      </w:r>
      <w:r w:rsidRPr="00421AEE">
        <w:tab/>
        <w:t>if the amending item is covered by a notifiable instrument in force under paragraph (2)(a) of this item—the day the instrument specifies for the item;</w:t>
      </w:r>
    </w:p>
    <w:p w14:paraId="5EF5D6D8" w14:textId="77777777" w:rsidR="00CB58F6" w:rsidRPr="00421AEE" w:rsidRDefault="00CB58F6" w:rsidP="001830B5">
      <w:pPr>
        <w:pStyle w:val="paragraph"/>
      </w:pPr>
      <w:r w:rsidRPr="00421AEE">
        <w:tab/>
        <w:t>(b)</w:t>
      </w:r>
      <w:r w:rsidRPr="00421AEE">
        <w:tab/>
        <w:t>if the amending item is covered by a notifiable instrument in force under paragraph (2)(b) of this item that specifies matters for the item that include the relevant matter—the day the instrument specifies for the item in relation to those matters;</w:t>
      </w:r>
    </w:p>
    <w:p w14:paraId="183FF3C3" w14:textId="77777777" w:rsidR="00CB58F6" w:rsidRPr="00421AEE" w:rsidRDefault="00CB58F6" w:rsidP="001830B5">
      <w:pPr>
        <w:pStyle w:val="paragraph"/>
      </w:pPr>
      <w:r w:rsidRPr="00421AEE">
        <w:tab/>
        <w:t>(c)</w:t>
      </w:r>
      <w:r w:rsidRPr="00421AEE">
        <w:tab/>
        <w:t>whichever of the following is applicable:</w:t>
      </w:r>
    </w:p>
    <w:p w14:paraId="68774AC4" w14:textId="77777777" w:rsidR="00CB58F6" w:rsidRPr="00421AEE" w:rsidRDefault="00CB58F6" w:rsidP="001830B5">
      <w:pPr>
        <w:pStyle w:val="paragraphsub"/>
      </w:pPr>
      <w:r w:rsidRPr="00421AEE">
        <w:tab/>
        <w:t>(i)</w:t>
      </w:r>
      <w:r w:rsidRPr="00421AEE">
        <w:tab/>
        <w:t>if a day is specified for the amending item under sub</w:t>
      </w:r>
      <w:r w:rsidR="009F7539" w:rsidRPr="00421AEE">
        <w:t>item 1</w:t>
      </w:r>
      <w:r w:rsidRPr="00421AEE">
        <w:t>465(3)—that day;</w:t>
      </w:r>
    </w:p>
    <w:p w14:paraId="437C339E" w14:textId="77777777" w:rsidR="00CB58F6" w:rsidRPr="00421AEE" w:rsidRDefault="00CB58F6" w:rsidP="001830B5">
      <w:pPr>
        <w:pStyle w:val="paragraphsub"/>
      </w:pPr>
      <w:r w:rsidRPr="00421AEE">
        <w:tab/>
        <w:t>(ii)</w:t>
      </w:r>
      <w:r w:rsidRPr="00421AEE">
        <w:tab/>
        <w:t>otherwise—</w:t>
      </w:r>
      <w:r w:rsidR="0095795B" w:rsidRPr="00421AEE">
        <w:t>1 July</w:t>
      </w:r>
      <w:r w:rsidRPr="00421AEE">
        <w:t xml:space="preserve"> 2026.</w:t>
      </w:r>
    </w:p>
    <w:p w14:paraId="0ED51C41" w14:textId="77777777" w:rsidR="00CB58F6" w:rsidRPr="00421AEE" w:rsidRDefault="00CB58F6" w:rsidP="001830B5">
      <w:pPr>
        <w:pStyle w:val="notetext"/>
      </w:pPr>
      <w:r w:rsidRPr="00421AEE">
        <w:t>Note:</w:t>
      </w:r>
      <w:r w:rsidRPr="00421AEE">
        <w:tab/>
        <w:t>The provision, as in force immediately before the commencement day for the amending item, will continue to apply in relation to the relevant matter until the day that applies under this subitem.</w:t>
      </w:r>
    </w:p>
    <w:p w14:paraId="20A993A6" w14:textId="77777777" w:rsidR="00CB58F6" w:rsidRPr="00421AEE" w:rsidRDefault="00CB58F6" w:rsidP="001830B5">
      <w:pPr>
        <w:pStyle w:val="Subitem"/>
      </w:pPr>
      <w:r w:rsidRPr="00421AEE">
        <w:t>(2)</w:t>
      </w:r>
      <w:r w:rsidRPr="00421AEE">
        <w:tab/>
        <w:t>The Minister:</w:t>
      </w:r>
    </w:p>
    <w:p w14:paraId="24921D53" w14:textId="77777777" w:rsidR="00CB58F6" w:rsidRPr="00421AEE" w:rsidRDefault="00CB58F6" w:rsidP="001830B5">
      <w:pPr>
        <w:pStyle w:val="paragraph"/>
      </w:pPr>
      <w:r w:rsidRPr="00421AEE">
        <w:tab/>
        <w:t>(a)</w:t>
      </w:r>
      <w:r w:rsidRPr="00421AEE">
        <w:tab/>
        <w:t>may by notifiable instrument specify days for amending items for the purposes of paragraph (1)(a); and</w:t>
      </w:r>
    </w:p>
    <w:p w14:paraId="147BC0B6" w14:textId="77777777" w:rsidR="00CB58F6" w:rsidRPr="00421AEE" w:rsidRDefault="00CB58F6" w:rsidP="001830B5">
      <w:pPr>
        <w:pStyle w:val="paragraph"/>
      </w:pPr>
      <w:r w:rsidRPr="00421AEE">
        <w:tab/>
        <w:t>(b)</w:t>
      </w:r>
      <w:r w:rsidRPr="00421AEE">
        <w:tab/>
        <w:t>may by notifiable instrument specify days and matters for amending items for the purposes of paragraph (1)(b).</w:t>
      </w:r>
    </w:p>
    <w:p w14:paraId="6A9CCB80" w14:textId="77777777" w:rsidR="00CB58F6" w:rsidRPr="00421AEE" w:rsidRDefault="00CB58F6" w:rsidP="001830B5">
      <w:pPr>
        <w:pStyle w:val="notetext"/>
      </w:pPr>
      <w:r w:rsidRPr="00421AEE">
        <w:t>Note:</w:t>
      </w:r>
      <w:r w:rsidRPr="00421AEE">
        <w:tab/>
        <w:t xml:space="preserve">For specification by class, see subsection 13(3) of the </w:t>
      </w:r>
      <w:r w:rsidRPr="00421AEE">
        <w:rPr>
          <w:i/>
        </w:rPr>
        <w:t>Legislation Act 2003</w:t>
      </w:r>
      <w:r w:rsidRPr="00421AEE">
        <w:t>.</w:t>
      </w:r>
    </w:p>
    <w:p w14:paraId="1C37CEFC" w14:textId="77777777" w:rsidR="00CB58F6" w:rsidRPr="00421AEE" w:rsidRDefault="00CB58F6" w:rsidP="001830B5">
      <w:pPr>
        <w:pStyle w:val="Subitem"/>
      </w:pPr>
      <w:r w:rsidRPr="00421AEE">
        <w:t>(3)</w:t>
      </w:r>
      <w:r w:rsidRPr="00421AEE">
        <w:tab/>
        <w:t>A day specified for an amending item in a notifiable instrument made under subitem (2) must be:</w:t>
      </w:r>
    </w:p>
    <w:p w14:paraId="240C5917" w14:textId="77777777" w:rsidR="00CB58F6" w:rsidRPr="00421AEE" w:rsidRDefault="00CB58F6" w:rsidP="001830B5">
      <w:pPr>
        <w:pStyle w:val="paragraph"/>
      </w:pPr>
      <w:r w:rsidRPr="00421AEE">
        <w:tab/>
        <w:t>(a)</w:t>
      </w:r>
      <w:r w:rsidRPr="00421AEE">
        <w:tab/>
        <w:t>on or after the day that the instrument is made; and</w:t>
      </w:r>
    </w:p>
    <w:p w14:paraId="08C27C09" w14:textId="77777777" w:rsidR="00CB58F6" w:rsidRPr="00421AEE" w:rsidRDefault="00CB58F6" w:rsidP="001830B5">
      <w:pPr>
        <w:pStyle w:val="paragraph"/>
      </w:pPr>
      <w:r w:rsidRPr="00421AEE">
        <w:tab/>
        <w:t>(b)</w:t>
      </w:r>
      <w:r w:rsidRPr="00421AEE">
        <w:tab/>
        <w:t>on or after the commencement day for the amending item.</w:t>
      </w:r>
    </w:p>
    <w:p w14:paraId="281D0CFC" w14:textId="77777777" w:rsidR="00CB58F6" w:rsidRPr="00421AEE" w:rsidRDefault="00CB58F6" w:rsidP="001830B5">
      <w:pPr>
        <w:pStyle w:val="Subitem"/>
      </w:pPr>
      <w:r w:rsidRPr="00421AEE">
        <w:t>(4)</w:t>
      </w:r>
      <w:r w:rsidRPr="00421AEE">
        <w:tab/>
        <w:t xml:space="preserve">Without limiting subsection 13(3) of the </w:t>
      </w:r>
      <w:r w:rsidRPr="00421AEE">
        <w:rPr>
          <w:i/>
        </w:rPr>
        <w:t>Legislation Act 2003</w:t>
      </w:r>
      <w:r w:rsidRPr="00421AEE">
        <w:t>, an instrument made under subitem (2) of this item may specify all amending items as a class of amending items.</w:t>
      </w:r>
    </w:p>
    <w:p w14:paraId="7D87DD5C" w14:textId="77777777" w:rsidR="00CB58F6" w:rsidRPr="00421AEE" w:rsidRDefault="00CB58F6" w:rsidP="001830B5">
      <w:pPr>
        <w:pStyle w:val="Specialih"/>
      </w:pPr>
      <w:r w:rsidRPr="00421AEE">
        <w:t>1468  Things started but not finished by ASIC</w:t>
      </w:r>
    </w:p>
    <w:p w14:paraId="60440D01" w14:textId="77777777" w:rsidR="00CB58F6" w:rsidRPr="00421AEE" w:rsidRDefault="00CB58F6" w:rsidP="001830B5">
      <w:pPr>
        <w:pStyle w:val="Subitem"/>
      </w:pPr>
      <w:r w:rsidRPr="00421AEE">
        <w:tab/>
        <w:t>If:</w:t>
      </w:r>
    </w:p>
    <w:p w14:paraId="2DB3BF7F" w14:textId="77777777" w:rsidR="00CB58F6" w:rsidRPr="00421AEE" w:rsidRDefault="00CB58F6" w:rsidP="001830B5">
      <w:pPr>
        <w:pStyle w:val="paragraph"/>
      </w:pPr>
      <w:r w:rsidRPr="00421AEE">
        <w:tab/>
        <w:t>(a)</w:t>
      </w:r>
      <w:r w:rsidRPr="00421AEE">
        <w:tab/>
        <w:t>an amending item amends a provision of an Act; and</w:t>
      </w:r>
    </w:p>
    <w:p w14:paraId="63C646B2" w14:textId="77777777" w:rsidR="00CB58F6" w:rsidRPr="00421AEE" w:rsidRDefault="00CB58F6" w:rsidP="001830B5">
      <w:pPr>
        <w:pStyle w:val="paragraph"/>
      </w:pPr>
      <w:r w:rsidRPr="00421AEE">
        <w:tab/>
        <w:t>(b)</w:t>
      </w:r>
      <w:r w:rsidRPr="00421AEE">
        <w:tab/>
        <w:t>before the application day for the amendment made by the amending item, as applying in relation to a matter, ASIC started doing a thing that relates to that matter under the provision as in force immediately before the commencement day for the amending item; and</w:t>
      </w:r>
    </w:p>
    <w:p w14:paraId="48931984" w14:textId="77777777" w:rsidR="00CB58F6" w:rsidRPr="00421AEE" w:rsidRDefault="00CB58F6" w:rsidP="001830B5">
      <w:pPr>
        <w:pStyle w:val="paragraph"/>
      </w:pPr>
      <w:r w:rsidRPr="00421AEE">
        <w:tab/>
        <w:t>(c)</w:t>
      </w:r>
      <w:r w:rsidRPr="00421AEE">
        <w:tab/>
        <w:t>immediately before that application day, ASIC had not finished doing that thing; and</w:t>
      </w:r>
    </w:p>
    <w:p w14:paraId="4E46CAA6" w14:textId="77777777" w:rsidR="00CB58F6" w:rsidRPr="00421AEE" w:rsidRDefault="00CB58F6" w:rsidP="001830B5">
      <w:pPr>
        <w:pStyle w:val="paragraph"/>
      </w:pPr>
      <w:r w:rsidRPr="00421AEE">
        <w:tab/>
        <w:t>(d)</w:t>
      </w:r>
      <w:r w:rsidRPr="00421AEE">
        <w:tab/>
        <w:t>on and after that application day, doing that thing is within the powers or functions of the Registrar;</w:t>
      </w:r>
    </w:p>
    <w:p w14:paraId="0CD91926" w14:textId="77777777" w:rsidR="00CB58F6" w:rsidRPr="00421AEE" w:rsidRDefault="00CB58F6" w:rsidP="001830B5">
      <w:pPr>
        <w:pStyle w:val="Item"/>
      </w:pPr>
      <w:r w:rsidRPr="00421AEE">
        <w:t>then, on and after that application day:</w:t>
      </w:r>
    </w:p>
    <w:p w14:paraId="7FA68E48" w14:textId="77777777" w:rsidR="00CB58F6" w:rsidRPr="00421AEE" w:rsidRDefault="00CB58F6" w:rsidP="001830B5">
      <w:pPr>
        <w:pStyle w:val="paragraph"/>
      </w:pPr>
      <w:r w:rsidRPr="00421AEE">
        <w:tab/>
        <w:t>(e)</w:t>
      </w:r>
      <w:r w:rsidRPr="00421AEE">
        <w:tab/>
        <w:t>ASIC may finish doing that thing as if that thing were being done by the Registrar in performing or exercising the Registrar’s functions or powers; and</w:t>
      </w:r>
    </w:p>
    <w:p w14:paraId="33AD6B4D" w14:textId="77777777" w:rsidR="00CB58F6" w:rsidRPr="00421AEE" w:rsidRDefault="00CB58F6" w:rsidP="001830B5">
      <w:pPr>
        <w:pStyle w:val="paragraph"/>
      </w:pPr>
      <w:r w:rsidRPr="00421AEE">
        <w:tab/>
        <w:t>(f)</w:t>
      </w:r>
      <w:r w:rsidRPr="00421AEE">
        <w:tab/>
        <w:t>to the extent that ASIC does not finish doing that thing under paragraph (e), the Registrar may finish doing that thing in performing and exercising the Registrar’s functions and powers.</w:t>
      </w:r>
    </w:p>
    <w:p w14:paraId="1EFA284A" w14:textId="77777777" w:rsidR="00CB58F6" w:rsidRPr="00421AEE" w:rsidRDefault="00CB58F6" w:rsidP="001830B5">
      <w:pPr>
        <w:pStyle w:val="ActHead7"/>
        <w:pageBreakBefore/>
      </w:pPr>
      <w:bookmarkStart w:id="43" w:name="_Toc110951178"/>
      <w:r w:rsidRPr="001830B5">
        <w:rPr>
          <w:rStyle w:val="CharAmPartNo"/>
        </w:rPr>
        <w:t>Part 3</w:t>
      </w:r>
      <w:r w:rsidRPr="00421AEE">
        <w:t>—</w:t>
      </w:r>
      <w:r w:rsidRPr="001830B5">
        <w:rPr>
          <w:rStyle w:val="CharAmPartText"/>
        </w:rPr>
        <w:t>Amendments commencing first day of next quarter</w:t>
      </w:r>
      <w:bookmarkEnd w:id="43"/>
    </w:p>
    <w:p w14:paraId="7DE86503" w14:textId="77777777" w:rsidR="00CB58F6" w:rsidRPr="00421AEE" w:rsidRDefault="00CB58F6" w:rsidP="001830B5">
      <w:pPr>
        <w:pStyle w:val="ActHead9"/>
        <w:rPr>
          <w:i w:val="0"/>
        </w:rPr>
      </w:pPr>
      <w:bookmarkStart w:id="44" w:name="_Toc110951179"/>
      <w:r w:rsidRPr="00421AEE">
        <w:t>Fringe Benefits Tax Assessment Act 1986</w:t>
      </w:r>
      <w:bookmarkEnd w:id="44"/>
    </w:p>
    <w:p w14:paraId="577824E4" w14:textId="77777777" w:rsidR="00CB58F6" w:rsidRPr="00421AEE" w:rsidRDefault="00CB58F6" w:rsidP="001830B5">
      <w:pPr>
        <w:pStyle w:val="ItemHead"/>
      </w:pPr>
      <w:r w:rsidRPr="00421AEE">
        <w:t>16  Subsection 5B(1E) (method statement, paragraph (d) of step 2)</w:t>
      </w:r>
    </w:p>
    <w:p w14:paraId="372C21F6" w14:textId="77777777" w:rsidR="00CB58F6" w:rsidRPr="00421AEE" w:rsidRDefault="00CB58F6" w:rsidP="001830B5">
      <w:pPr>
        <w:pStyle w:val="Item"/>
      </w:pPr>
      <w:r w:rsidRPr="00421AEE">
        <w:t>Omit “societies and associations that are rebatable employers”, substitute “certain societies and associations that are exempt from income tax”.</w:t>
      </w:r>
    </w:p>
    <w:p w14:paraId="331F99C2" w14:textId="77777777" w:rsidR="00CB58F6" w:rsidRPr="00421AEE" w:rsidRDefault="00CB58F6" w:rsidP="001830B5">
      <w:pPr>
        <w:pStyle w:val="ItemHead"/>
      </w:pPr>
      <w:r w:rsidRPr="00421AEE">
        <w:t>17  Subsection 57A(4)</w:t>
      </w:r>
    </w:p>
    <w:p w14:paraId="5E5A7494" w14:textId="77777777" w:rsidR="00CB58F6" w:rsidRPr="00421AEE" w:rsidRDefault="00CB58F6" w:rsidP="001830B5">
      <w:pPr>
        <w:pStyle w:val="Item"/>
      </w:pPr>
      <w:r w:rsidRPr="00421AEE">
        <w:t>Omit “that is a rebatable employer”, substitute “that:</w:t>
      </w:r>
    </w:p>
    <w:p w14:paraId="4F372815" w14:textId="77777777" w:rsidR="00CB58F6" w:rsidRPr="00421AEE" w:rsidRDefault="00CB58F6" w:rsidP="001830B5">
      <w:pPr>
        <w:pStyle w:val="paragraph"/>
      </w:pPr>
      <w:r w:rsidRPr="00421AEE">
        <w:tab/>
        <w:t>(a)</w:t>
      </w:r>
      <w:r w:rsidRPr="00421AEE">
        <w:tab/>
        <w:t xml:space="preserve">is exempt from income tax under Division 50 of the </w:t>
      </w:r>
      <w:r w:rsidRPr="00421AEE">
        <w:rPr>
          <w:i/>
          <w:iCs/>
        </w:rPr>
        <w:t>Income Tax Assessment Act 1997</w:t>
      </w:r>
      <w:r w:rsidRPr="00421AEE">
        <w:t>; and</w:t>
      </w:r>
    </w:p>
    <w:p w14:paraId="12099110" w14:textId="77777777" w:rsidR="00CB58F6" w:rsidRPr="00421AEE" w:rsidRDefault="00CB58F6" w:rsidP="001830B5">
      <w:pPr>
        <w:pStyle w:val="paragraph"/>
      </w:pPr>
      <w:r w:rsidRPr="00421AEE">
        <w:tab/>
        <w:t>(b)</w:t>
      </w:r>
      <w:r w:rsidRPr="00421AEE">
        <w:tab/>
        <w:t>is not a company referred to in paragraph 65J(5)(a) or (b); and</w:t>
      </w:r>
    </w:p>
    <w:p w14:paraId="140EC7B7" w14:textId="77777777" w:rsidR="00CB58F6" w:rsidRPr="00421AEE" w:rsidRDefault="00CB58F6" w:rsidP="001830B5">
      <w:pPr>
        <w:pStyle w:val="paragraph"/>
      </w:pPr>
      <w:r w:rsidRPr="00421AEE">
        <w:tab/>
        <w:t>(c)</w:t>
      </w:r>
      <w:r w:rsidRPr="00421AEE">
        <w:tab/>
        <w:t>is not a registered public benevolent institution or registered health promotion charity.”.</w:t>
      </w:r>
    </w:p>
    <w:p w14:paraId="1610741A" w14:textId="77777777" w:rsidR="00CB58F6" w:rsidRPr="00421AEE" w:rsidRDefault="00CB58F6" w:rsidP="001830B5">
      <w:pPr>
        <w:pStyle w:val="Transitional"/>
      </w:pPr>
      <w:r w:rsidRPr="00421AEE">
        <w:t>18  Application of amendments</w:t>
      </w:r>
    </w:p>
    <w:p w14:paraId="1042BAE7" w14:textId="77777777" w:rsidR="00CB58F6" w:rsidRPr="00421AEE" w:rsidRDefault="00CB58F6" w:rsidP="001830B5">
      <w:pPr>
        <w:pStyle w:val="Item"/>
      </w:pPr>
      <w:r w:rsidRPr="00421AEE">
        <w:t xml:space="preserve">Subsection 57A(4) of the </w:t>
      </w:r>
      <w:r w:rsidRPr="00421AEE">
        <w:rPr>
          <w:i/>
        </w:rPr>
        <w:t>Fringe Benefits Tax Assessment Act 1986</w:t>
      </w:r>
      <w:r w:rsidRPr="00421AEE">
        <w:t xml:space="preserve">, as amended by this Part, applies in relation to FBT years beginning on or after </w:t>
      </w:r>
      <w:r w:rsidR="0095795B" w:rsidRPr="00421AEE">
        <w:t>1 April</w:t>
      </w:r>
      <w:r w:rsidRPr="00421AEE">
        <w:t xml:space="preserve"> 2017.</w:t>
      </w:r>
    </w:p>
    <w:p w14:paraId="6B08DEE5" w14:textId="77777777" w:rsidR="00CB58F6" w:rsidRPr="00421AEE" w:rsidRDefault="00CB58F6" w:rsidP="001830B5">
      <w:pPr>
        <w:pStyle w:val="ActHead7"/>
        <w:pageBreakBefore/>
      </w:pPr>
      <w:bookmarkStart w:id="45" w:name="_Toc110951180"/>
      <w:r w:rsidRPr="001830B5">
        <w:rPr>
          <w:rStyle w:val="CharAmPartNo"/>
        </w:rPr>
        <w:t>Part 4</w:t>
      </w:r>
      <w:r w:rsidRPr="00421AEE">
        <w:t>—</w:t>
      </w:r>
      <w:r w:rsidRPr="001830B5">
        <w:rPr>
          <w:rStyle w:val="CharAmPartText"/>
        </w:rPr>
        <w:t>Other amendments</w:t>
      </w:r>
      <w:bookmarkEnd w:id="45"/>
    </w:p>
    <w:p w14:paraId="4E5BF31F" w14:textId="77777777" w:rsidR="00CB58F6" w:rsidRPr="00421AEE" w:rsidRDefault="00CB58F6" w:rsidP="001830B5">
      <w:pPr>
        <w:pStyle w:val="ActHead9"/>
        <w:rPr>
          <w:i w:val="0"/>
        </w:rPr>
      </w:pPr>
      <w:bookmarkStart w:id="46" w:name="_Toc110951181"/>
      <w:r w:rsidRPr="00421AEE">
        <w:t>Australian Securities and Investments Commission Act 2001</w:t>
      </w:r>
      <w:bookmarkEnd w:id="46"/>
    </w:p>
    <w:p w14:paraId="388AD6E3" w14:textId="77777777" w:rsidR="00CB58F6" w:rsidRPr="00421AEE" w:rsidRDefault="00CB58F6" w:rsidP="001830B5">
      <w:pPr>
        <w:pStyle w:val="ItemHead"/>
      </w:pPr>
      <w:r w:rsidRPr="00421AEE">
        <w:t>19  Section 143</w:t>
      </w:r>
    </w:p>
    <w:p w14:paraId="41628826" w14:textId="77777777" w:rsidR="00CB58F6" w:rsidRPr="00421AEE" w:rsidRDefault="00CB58F6" w:rsidP="001830B5">
      <w:pPr>
        <w:pStyle w:val="Item"/>
      </w:pPr>
      <w:r w:rsidRPr="00421AEE">
        <w:t>Repeal the section, substitute:</w:t>
      </w:r>
    </w:p>
    <w:p w14:paraId="7C0DF0CB" w14:textId="77777777" w:rsidR="00CB58F6" w:rsidRPr="00421AEE" w:rsidRDefault="00CB58F6" w:rsidP="001830B5">
      <w:pPr>
        <w:pStyle w:val="ActHead5"/>
      </w:pPr>
      <w:bookmarkStart w:id="47" w:name="_Toc110951182"/>
      <w:r w:rsidRPr="001830B5">
        <w:rPr>
          <w:rStyle w:val="CharSectno"/>
        </w:rPr>
        <w:t>143</w:t>
      </w:r>
      <w:r w:rsidRPr="00421AEE">
        <w:t xml:space="preserve">  Remuneration</w:t>
      </w:r>
      <w:bookmarkEnd w:id="47"/>
    </w:p>
    <w:p w14:paraId="3DDB9787" w14:textId="77777777" w:rsidR="00CB58F6" w:rsidRPr="00421AEE" w:rsidRDefault="00CB58F6" w:rsidP="001830B5">
      <w:pPr>
        <w:pStyle w:val="subsection"/>
      </w:pPr>
      <w:r w:rsidRPr="00421AEE">
        <w:tab/>
        <w:t>(1)</w:t>
      </w:r>
      <w:r w:rsidRPr="00421AEE">
        <w:tab/>
        <w:t>A member of a Financial Services and Credit Panel is to be paid the remuneration that is determined by the Remuneration Tribunal. If no determination of that remuneration by the Tribunal is in operation, the member is to be paid the remuneration that is prescribed under subsection (4).</w:t>
      </w:r>
    </w:p>
    <w:p w14:paraId="2C50F295" w14:textId="77777777" w:rsidR="00CB58F6" w:rsidRPr="00421AEE" w:rsidRDefault="00CB58F6" w:rsidP="001830B5">
      <w:pPr>
        <w:pStyle w:val="subsection"/>
      </w:pPr>
      <w:r w:rsidRPr="00421AEE">
        <w:tab/>
        <w:t>(2)</w:t>
      </w:r>
      <w:r w:rsidRPr="00421AEE">
        <w:tab/>
        <w:t>A member of a Financial Services and Credit Panel is to be paid the allowances that are prescribed under subsection (4).</w:t>
      </w:r>
    </w:p>
    <w:p w14:paraId="3876FE1E" w14:textId="77777777" w:rsidR="00CB58F6" w:rsidRPr="00421AEE" w:rsidRDefault="00CB58F6" w:rsidP="001830B5">
      <w:pPr>
        <w:pStyle w:val="subsection"/>
      </w:pPr>
      <w:r w:rsidRPr="00421AEE">
        <w:tab/>
        <w:t>(3)</w:t>
      </w:r>
      <w:r w:rsidRPr="00421AEE">
        <w:tab/>
        <w:t xml:space="preserve">This section has effect subject to the </w:t>
      </w:r>
      <w:r w:rsidRPr="00421AEE">
        <w:rPr>
          <w:i/>
        </w:rPr>
        <w:t>Remuneration Tribunal Act 1973</w:t>
      </w:r>
      <w:r w:rsidRPr="00421AEE">
        <w:t>.</w:t>
      </w:r>
    </w:p>
    <w:p w14:paraId="47FFA362" w14:textId="77777777" w:rsidR="00CB58F6" w:rsidRPr="00421AEE" w:rsidRDefault="00CB58F6" w:rsidP="001830B5">
      <w:pPr>
        <w:pStyle w:val="subsection"/>
      </w:pPr>
      <w:r w:rsidRPr="00421AEE">
        <w:tab/>
        <w:t>(4)</w:t>
      </w:r>
      <w:r w:rsidRPr="00421AEE">
        <w:tab/>
        <w:t>The Minister may, by legislative instrument, prescribe:</w:t>
      </w:r>
    </w:p>
    <w:p w14:paraId="352BC251" w14:textId="77777777" w:rsidR="00CB58F6" w:rsidRPr="00421AEE" w:rsidRDefault="00CB58F6" w:rsidP="001830B5">
      <w:pPr>
        <w:pStyle w:val="paragraph"/>
      </w:pPr>
      <w:r w:rsidRPr="00421AEE">
        <w:tab/>
        <w:t>(a)</w:t>
      </w:r>
      <w:r w:rsidRPr="00421AEE">
        <w:tab/>
        <w:t>remuneration for the purposes of subsection (1); and</w:t>
      </w:r>
    </w:p>
    <w:p w14:paraId="6ACA5D7D" w14:textId="77777777" w:rsidR="00CB58F6" w:rsidRPr="00421AEE" w:rsidRDefault="00CB58F6" w:rsidP="001830B5">
      <w:pPr>
        <w:pStyle w:val="paragraph"/>
      </w:pPr>
      <w:r w:rsidRPr="00421AEE">
        <w:tab/>
        <w:t>(b)</w:t>
      </w:r>
      <w:r w:rsidRPr="00421AEE">
        <w:tab/>
        <w:t>allowances for the purposes of subsection (2).</w:t>
      </w:r>
    </w:p>
    <w:p w14:paraId="707169DC" w14:textId="77777777" w:rsidR="00CB58F6" w:rsidRPr="00421AEE" w:rsidRDefault="00CB58F6" w:rsidP="001830B5">
      <w:pPr>
        <w:pStyle w:val="ItemHead"/>
      </w:pPr>
      <w:r w:rsidRPr="00421AEE">
        <w:t>20  Paragraph 157(3)(b)</w:t>
      </w:r>
    </w:p>
    <w:p w14:paraId="49F71B07" w14:textId="77777777" w:rsidR="00CB58F6" w:rsidRPr="00421AEE" w:rsidRDefault="00CB58F6" w:rsidP="001830B5">
      <w:pPr>
        <w:pStyle w:val="Item"/>
      </w:pPr>
      <w:r w:rsidRPr="00421AEE">
        <w:t>Omit “affecting”, substitute “made in relation to”.</w:t>
      </w:r>
    </w:p>
    <w:p w14:paraId="27D4A9FF" w14:textId="77777777" w:rsidR="00CB58F6" w:rsidRPr="00421AEE" w:rsidRDefault="00CB58F6" w:rsidP="001830B5">
      <w:pPr>
        <w:pStyle w:val="ActHead9"/>
        <w:rPr>
          <w:i w:val="0"/>
        </w:rPr>
      </w:pPr>
      <w:bookmarkStart w:id="48" w:name="_Toc110951183"/>
      <w:r w:rsidRPr="00421AEE">
        <w:t>Corporations Act 2001</w:t>
      </w:r>
      <w:bookmarkEnd w:id="48"/>
    </w:p>
    <w:p w14:paraId="248A55EF" w14:textId="77777777" w:rsidR="00CB58F6" w:rsidRPr="00421AEE" w:rsidRDefault="00CB58F6" w:rsidP="001830B5">
      <w:pPr>
        <w:pStyle w:val="ItemHead"/>
      </w:pPr>
      <w:r w:rsidRPr="00421AEE">
        <w:t>21  Subparagraph 921L(1)(c)(ii)</w:t>
      </w:r>
    </w:p>
    <w:p w14:paraId="6A0F7170" w14:textId="77777777" w:rsidR="00CB58F6" w:rsidRPr="00421AEE" w:rsidRDefault="00CB58F6" w:rsidP="001830B5">
      <w:pPr>
        <w:pStyle w:val="Item"/>
      </w:pPr>
      <w:r w:rsidRPr="00421AEE">
        <w:t>Omit “relevant provider”, substitute “person who is or was the relevant provider”.</w:t>
      </w:r>
    </w:p>
    <w:p w14:paraId="6D7FB7B1" w14:textId="77777777" w:rsidR="00CB58F6" w:rsidRPr="00421AEE" w:rsidRDefault="00CB58F6" w:rsidP="001830B5">
      <w:pPr>
        <w:pStyle w:val="ItemHead"/>
      </w:pPr>
      <w:r w:rsidRPr="00421AEE">
        <w:t>22  Subsection 921L(1) (note)</w:t>
      </w:r>
    </w:p>
    <w:p w14:paraId="57B6F19E" w14:textId="77777777" w:rsidR="00CB58F6" w:rsidRPr="00421AEE" w:rsidRDefault="00CB58F6" w:rsidP="001830B5">
      <w:pPr>
        <w:pStyle w:val="Item"/>
      </w:pPr>
      <w:r w:rsidRPr="00421AEE">
        <w:t>Repeal the note, substitute:</w:t>
      </w:r>
    </w:p>
    <w:p w14:paraId="20601F08" w14:textId="77777777" w:rsidR="00CB58F6" w:rsidRPr="00421AEE" w:rsidRDefault="00CB58F6" w:rsidP="001830B5">
      <w:pPr>
        <w:pStyle w:val="notetext"/>
      </w:pPr>
      <w:r w:rsidRPr="00421AEE">
        <w:t>Note:</w:t>
      </w:r>
      <w:r w:rsidRPr="00421AEE">
        <w:tab/>
        <w:t>If a registration prohibition order is in force against a person who is or was a relevant provider:</w:t>
      </w:r>
    </w:p>
    <w:p w14:paraId="22932736" w14:textId="77777777" w:rsidR="00CB58F6" w:rsidRPr="00421AEE" w:rsidRDefault="00CB58F6" w:rsidP="001830B5">
      <w:pPr>
        <w:pStyle w:val="notepara"/>
      </w:pPr>
      <w:r w:rsidRPr="00421AEE">
        <w:t>(a)</w:t>
      </w:r>
      <w:r w:rsidRPr="00421AEE">
        <w:tab/>
        <w:t>the person’s registration under subsection 921ZC(1) will cease to be in force at the cancellation time specified in the order (unless the registration has ceased to be in force at an earlier time) (see sections 921ZD and 921ZE); and</w:t>
      </w:r>
    </w:p>
    <w:p w14:paraId="02540A07" w14:textId="77777777" w:rsidR="00CB58F6" w:rsidRPr="00421AEE" w:rsidRDefault="00CB58F6" w:rsidP="001830B5">
      <w:pPr>
        <w:pStyle w:val="notepara"/>
      </w:pPr>
      <w:r w:rsidRPr="00421AEE">
        <w:t>(b)</w:t>
      </w:r>
      <w:r w:rsidRPr="00421AEE">
        <w:tab/>
        <w:t>ASIC must refuse to register the person until after the prohibition end day specified in the order (see subsection 921ZC(3)).</w:t>
      </w:r>
    </w:p>
    <w:p w14:paraId="6D1165FD" w14:textId="77777777" w:rsidR="00CB58F6" w:rsidRPr="00421AEE" w:rsidRDefault="00CB58F6" w:rsidP="001830B5">
      <w:pPr>
        <w:pStyle w:val="ItemHead"/>
      </w:pPr>
      <w:r w:rsidRPr="00421AEE">
        <w:t>23  Section 921M (heading)</w:t>
      </w:r>
    </w:p>
    <w:p w14:paraId="4F8284A3" w14:textId="77777777" w:rsidR="00CB58F6" w:rsidRPr="00421AEE" w:rsidRDefault="00CB58F6" w:rsidP="001830B5">
      <w:pPr>
        <w:pStyle w:val="Item"/>
      </w:pPr>
      <w:r w:rsidRPr="00421AEE">
        <w:t>Omit “</w:t>
      </w:r>
      <w:r w:rsidRPr="00421AEE">
        <w:rPr>
          <w:b/>
        </w:rPr>
        <w:t>relevant provider</w:t>
      </w:r>
      <w:r w:rsidRPr="00421AEE">
        <w:t>”, substitute “</w:t>
      </w:r>
      <w:r w:rsidRPr="00421AEE">
        <w:rPr>
          <w:b/>
        </w:rPr>
        <w:t>affected person</w:t>
      </w:r>
      <w:r w:rsidRPr="00421AEE">
        <w:t>”.</w:t>
      </w:r>
    </w:p>
    <w:p w14:paraId="5D273702" w14:textId="77777777" w:rsidR="00CB58F6" w:rsidRPr="00421AEE" w:rsidRDefault="00CB58F6" w:rsidP="001830B5">
      <w:pPr>
        <w:pStyle w:val="ItemHead"/>
      </w:pPr>
      <w:r w:rsidRPr="00421AEE">
        <w:t>24  Subsection 921M(1)</w:t>
      </w:r>
    </w:p>
    <w:p w14:paraId="447620BE" w14:textId="77777777" w:rsidR="00CB58F6" w:rsidRPr="00421AEE" w:rsidRDefault="00CB58F6" w:rsidP="001830B5">
      <w:pPr>
        <w:pStyle w:val="Item"/>
      </w:pPr>
      <w:r w:rsidRPr="00421AEE">
        <w:t xml:space="preserve">Omit “a relevant provider”, substitute “a person (the </w:t>
      </w:r>
      <w:r w:rsidRPr="00421AEE">
        <w:rPr>
          <w:b/>
          <w:i/>
        </w:rPr>
        <w:t>affected person</w:t>
      </w:r>
      <w:r w:rsidRPr="00421AEE">
        <w:t>)”.</w:t>
      </w:r>
    </w:p>
    <w:p w14:paraId="02D2EAC6" w14:textId="77777777" w:rsidR="00CB58F6" w:rsidRPr="00421AEE" w:rsidRDefault="00CB58F6" w:rsidP="001830B5">
      <w:pPr>
        <w:pStyle w:val="ItemHead"/>
      </w:pPr>
      <w:r w:rsidRPr="00421AEE">
        <w:t>25  Paragraphs 921M(1)(a), (b) and (c)</w:t>
      </w:r>
    </w:p>
    <w:p w14:paraId="708567EC" w14:textId="77777777" w:rsidR="00CB58F6" w:rsidRPr="00421AEE" w:rsidRDefault="00CB58F6" w:rsidP="001830B5">
      <w:pPr>
        <w:pStyle w:val="Item"/>
      </w:pPr>
      <w:r w:rsidRPr="00421AEE">
        <w:t>Omit “relevant provider” (wherever occurring), substitute “affected person”.</w:t>
      </w:r>
    </w:p>
    <w:p w14:paraId="48F0B934" w14:textId="77777777" w:rsidR="00CB58F6" w:rsidRPr="00421AEE" w:rsidRDefault="00CB58F6" w:rsidP="001830B5">
      <w:pPr>
        <w:pStyle w:val="ItemHead"/>
      </w:pPr>
      <w:r w:rsidRPr="00421AEE">
        <w:t>26  Section 921N (heading)</w:t>
      </w:r>
    </w:p>
    <w:p w14:paraId="55FDE305" w14:textId="77777777" w:rsidR="00CB58F6" w:rsidRPr="00421AEE" w:rsidRDefault="00CB58F6" w:rsidP="001830B5">
      <w:pPr>
        <w:pStyle w:val="Item"/>
      </w:pPr>
      <w:r w:rsidRPr="00421AEE">
        <w:t>Omit “</w:t>
      </w:r>
      <w:r w:rsidRPr="00421AEE">
        <w:rPr>
          <w:b/>
        </w:rPr>
        <w:t>affecting</w:t>
      </w:r>
      <w:r w:rsidRPr="00421AEE">
        <w:t>”, substitute “</w:t>
      </w:r>
      <w:r w:rsidRPr="00421AEE">
        <w:rPr>
          <w:b/>
        </w:rPr>
        <w:t>made in relation to</w:t>
      </w:r>
      <w:r w:rsidRPr="00421AEE">
        <w:t>”.</w:t>
      </w:r>
    </w:p>
    <w:p w14:paraId="07FB1C93" w14:textId="77777777" w:rsidR="00CB58F6" w:rsidRPr="00421AEE" w:rsidRDefault="00CB58F6" w:rsidP="001830B5">
      <w:pPr>
        <w:pStyle w:val="ItemHead"/>
      </w:pPr>
      <w:r w:rsidRPr="00421AEE">
        <w:t>27  Subsection 921N(1)</w:t>
      </w:r>
    </w:p>
    <w:p w14:paraId="4783DA24" w14:textId="77777777" w:rsidR="00CB58F6" w:rsidRPr="00421AEE" w:rsidRDefault="00CB58F6" w:rsidP="001830B5">
      <w:pPr>
        <w:pStyle w:val="Item"/>
      </w:pPr>
      <w:r w:rsidRPr="00421AEE">
        <w:t xml:space="preserve">Omit “relevant provider”, substitute “person (the </w:t>
      </w:r>
      <w:r w:rsidRPr="00421AEE">
        <w:rPr>
          <w:b/>
          <w:i/>
        </w:rPr>
        <w:t>affected person</w:t>
      </w:r>
      <w:r w:rsidRPr="00421AEE">
        <w:t>)”.</w:t>
      </w:r>
    </w:p>
    <w:p w14:paraId="28546D66" w14:textId="77777777" w:rsidR="00CB58F6" w:rsidRPr="00421AEE" w:rsidRDefault="00CB58F6" w:rsidP="001830B5">
      <w:pPr>
        <w:pStyle w:val="ItemHead"/>
      </w:pPr>
      <w:r w:rsidRPr="00421AEE">
        <w:t>28  Subsection 921N(3) (heading)</w:t>
      </w:r>
    </w:p>
    <w:p w14:paraId="49F59F1F" w14:textId="77777777" w:rsidR="00CB58F6" w:rsidRPr="00421AEE" w:rsidRDefault="00CB58F6" w:rsidP="001830B5">
      <w:pPr>
        <w:pStyle w:val="Item"/>
      </w:pPr>
      <w:r w:rsidRPr="00421AEE">
        <w:t>Omit “</w:t>
      </w:r>
      <w:r w:rsidRPr="00421AEE">
        <w:rPr>
          <w:i/>
        </w:rPr>
        <w:t>relevant provider</w:t>
      </w:r>
      <w:r w:rsidRPr="00421AEE">
        <w:t>”, substitute “</w:t>
      </w:r>
      <w:r w:rsidRPr="00421AEE">
        <w:rPr>
          <w:i/>
        </w:rPr>
        <w:t>affected person</w:t>
      </w:r>
      <w:r w:rsidRPr="00421AEE">
        <w:t>”.</w:t>
      </w:r>
    </w:p>
    <w:p w14:paraId="6EE64386" w14:textId="77777777" w:rsidR="00CB58F6" w:rsidRPr="00421AEE" w:rsidRDefault="00CB58F6" w:rsidP="001830B5">
      <w:pPr>
        <w:pStyle w:val="ItemHead"/>
      </w:pPr>
      <w:r w:rsidRPr="00421AEE">
        <w:t>29  Subsections 921N(3), (4), (5) and (6)</w:t>
      </w:r>
    </w:p>
    <w:p w14:paraId="12B94EAA" w14:textId="77777777" w:rsidR="00CB58F6" w:rsidRPr="00421AEE" w:rsidRDefault="00CB58F6" w:rsidP="001830B5">
      <w:pPr>
        <w:pStyle w:val="Item"/>
      </w:pPr>
      <w:r w:rsidRPr="00421AEE">
        <w:t>Omit “relevant provider” (wherever occurring), substitute “affected person”.</w:t>
      </w:r>
    </w:p>
    <w:p w14:paraId="6A0B8148" w14:textId="77777777" w:rsidR="00CB58F6" w:rsidRPr="00421AEE" w:rsidRDefault="00CB58F6" w:rsidP="001830B5">
      <w:pPr>
        <w:pStyle w:val="ItemHead"/>
      </w:pPr>
      <w:r w:rsidRPr="00421AEE">
        <w:t>30  Subsection 921Q(1)</w:t>
      </w:r>
    </w:p>
    <w:p w14:paraId="566BA9D5" w14:textId="77777777" w:rsidR="00CB58F6" w:rsidRPr="00421AEE" w:rsidRDefault="00CB58F6" w:rsidP="001830B5">
      <w:pPr>
        <w:pStyle w:val="Item"/>
      </w:pPr>
      <w:r w:rsidRPr="00421AEE">
        <w:t>Repeal the subsection (not including the note), substitute:</w:t>
      </w:r>
    </w:p>
    <w:p w14:paraId="7B5F21D3" w14:textId="77777777" w:rsidR="00CB58F6" w:rsidRPr="00421AEE" w:rsidRDefault="00CB58F6" w:rsidP="001830B5">
      <w:pPr>
        <w:pStyle w:val="subsection"/>
      </w:pPr>
      <w:r w:rsidRPr="00421AEE">
        <w:tab/>
        <w:t>(1)</w:t>
      </w:r>
      <w:r w:rsidRPr="00421AEE">
        <w:tab/>
        <w:t>If a Financial Services and Credit Panel reasonably believes that:</w:t>
      </w:r>
    </w:p>
    <w:p w14:paraId="0BA18681" w14:textId="77777777" w:rsidR="00CB58F6" w:rsidRPr="00421AEE" w:rsidRDefault="00CB58F6" w:rsidP="001830B5">
      <w:pPr>
        <w:pStyle w:val="paragraph"/>
      </w:pPr>
      <w:r w:rsidRPr="00421AEE">
        <w:tab/>
        <w:t>(a)</w:t>
      </w:r>
      <w:r w:rsidRPr="00421AEE">
        <w:tab/>
        <w:t>a person has contravened a restricted civil penalty provision; and</w:t>
      </w:r>
    </w:p>
    <w:p w14:paraId="4EB1B73D" w14:textId="77777777" w:rsidR="00CB58F6" w:rsidRPr="00421AEE" w:rsidRDefault="00CB58F6" w:rsidP="001830B5">
      <w:pPr>
        <w:pStyle w:val="paragraph"/>
      </w:pPr>
      <w:r w:rsidRPr="00421AEE">
        <w:tab/>
        <w:t>(b)</w:t>
      </w:r>
      <w:r w:rsidRPr="00421AEE">
        <w:tab/>
        <w:t>the person was a relevant provider at the time of the alleged contravention;</w:t>
      </w:r>
    </w:p>
    <w:p w14:paraId="12CF77BA" w14:textId="77777777" w:rsidR="00CB58F6" w:rsidRPr="00421AEE" w:rsidRDefault="00CB58F6" w:rsidP="001830B5">
      <w:pPr>
        <w:pStyle w:val="subsection2"/>
      </w:pPr>
      <w:r w:rsidRPr="00421AEE">
        <w:t>the panel may, by written notice given to ASIC, recommend that ASIC make an application under subsection 1317J(1) in relation to the alleged contravention.</w:t>
      </w:r>
    </w:p>
    <w:p w14:paraId="3C30E8DF" w14:textId="77777777" w:rsidR="00CB58F6" w:rsidRPr="00421AEE" w:rsidRDefault="00CB58F6" w:rsidP="001830B5">
      <w:pPr>
        <w:pStyle w:val="ItemHead"/>
      </w:pPr>
      <w:r w:rsidRPr="00421AEE">
        <w:t>31  Subsection 921Q(2)</w:t>
      </w:r>
    </w:p>
    <w:p w14:paraId="3B6285BC" w14:textId="77777777" w:rsidR="00CB58F6" w:rsidRPr="00421AEE" w:rsidRDefault="00CB58F6" w:rsidP="001830B5">
      <w:pPr>
        <w:pStyle w:val="Item"/>
      </w:pPr>
      <w:r w:rsidRPr="00421AEE">
        <w:t>Omit “relevant provider”, substitute “person”.</w:t>
      </w:r>
    </w:p>
    <w:p w14:paraId="4DB14527" w14:textId="77777777" w:rsidR="00CB58F6" w:rsidRPr="00421AEE" w:rsidRDefault="00CB58F6" w:rsidP="001830B5">
      <w:pPr>
        <w:pStyle w:val="ItemHead"/>
      </w:pPr>
      <w:r w:rsidRPr="00421AEE">
        <w:t>32  Subsection 1017BA(1)</w:t>
      </w:r>
    </w:p>
    <w:p w14:paraId="24B6CA6D" w14:textId="77777777" w:rsidR="00CB58F6" w:rsidRPr="00421AEE" w:rsidRDefault="00CB58F6" w:rsidP="001830B5">
      <w:pPr>
        <w:pStyle w:val="Item"/>
      </w:pPr>
      <w:r w:rsidRPr="00421AEE">
        <w:t>Omit “5”, substitute “7”.</w:t>
      </w:r>
    </w:p>
    <w:p w14:paraId="13808899" w14:textId="77777777" w:rsidR="00CB58F6" w:rsidRPr="00421AEE" w:rsidRDefault="00CB58F6" w:rsidP="001830B5">
      <w:pPr>
        <w:pStyle w:val="ItemHead"/>
      </w:pPr>
      <w:r w:rsidRPr="00421AEE">
        <w:t>33  In the appropriate position in Chapter 10</w:t>
      </w:r>
    </w:p>
    <w:p w14:paraId="4505169F" w14:textId="77777777" w:rsidR="00CB58F6" w:rsidRPr="00421AEE" w:rsidRDefault="00CB58F6" w:rsidP="001830B5">
      <w:pPr>
        <w:pStyle w:val="Item"/>
      </w:pPr>
      <w:r w:rsidRPr="00421AEE">
        <w:t>Insert:</w:t>
      </w:r>
    </w:p>
    <w:p w14:paraId="6F419EB6" w14:textId="77777777" w:rsidR="00CB58F6" w:rsidRPr="00421AEE" w:rsidRDefault="00CB58F6" w:rsidP="001830B5">
      <w:pPr>
        <w:pStyle w:val="ActHead2"/>
      </w:pPr>
      <w:bookmarkStart w:id="49" w:name="f_Check_Lines_above"/>
      <w:bookmarkStart w:id="50" w:name="_Toc110951184"/>
      <w:bookmarkEnd w:id="49"/>
      <w:r w:rsidRPr="001830B5">
        <w:rPr>
          <w:rStyle w:val="CharPartNo"/>
        </w:rPr>
        <w:t>Part 10.67</w:t>
      </w:r>
      <w:r w:rsidRPr="00421AEE">
        <w:t>—</w:t>
      </w:r>
      <w:r w:rsidRPr="001830B5">
        <w:rPr>
          <w:rStyle w:val="CharPartText"/>
        </w:rPr>
        <w:t xml:space="preserve">Application provisions relating to </w:t>
      </w:r>
      <w:r w:rsidR="009F7539" w:rsidRPr="001830B5">
        <w:rPr>
          <w:rStyle w:val="CharPartText"/>
        </w:rPr>
        <w:t>Schedule 4</w:t>
      </w:r>
      <w:r w:rsidRPr="001830B5">
        <w:rPr>
          <w:rStyle w:val="CharPartText"/>
        </w:rPr>
        <w:t xml:space="preserve"> to the Treasury Laws Amendment (2022 Measures No. 1) Act 2022</w:t>
      </w:r>
      <w:bookmarkEnd w:id="50"/>
    </w:p>
    <w:p w14:paraId="43729ADD" w14:textId="77777777" w:rsidR="00CB58F6" w:rsidRPr="00961C41" w:rsidRDefault="00CB58F6" w:rsidP="001830B5">
      <w:pPr>
        <w:pStyle w:val="Header"/>
      </w:pPr>
      <w:r w:rsidRPr="001830B5">
        <w:rPr>
          <w:rStyle w:val="CharDivNo"/>
        </w:rPr>
        <w:t xml:space="preserve"> </w:t>
      </w:r>
      <w:r w:rsidRPr="001830B5">
        <w:rPr>
          <w:rStyle w:val="CharDivText"/>
        </w:rPr>
        <w:t xml:space="preserve"> </w:t>
      </w:r>
    </w:p>
    <w:p w14:paraId="1EABD5BF" w14:textId="77777777" w:rsidR="00CB58F6" w:rsidRPr="00421AEE" w:rsidRDefault="00CB58F6" w:rsidP="001830B5">
      <w:pPr>
        <w:pStyle w:val="ActHead5"/>
      </w:pPr>
      <w:bookmarkStart w:id="51" w:name="_Toc110951185"/>
      <w:r w:rsidRPr="001830B5">
        <w:rPr>
          <w:rStyle w:val="CharSectno"/>
        </w:rPr>
        <w:t>1697</w:t>
      </w:r>
      <w:r w:rsidRPr="00421AEE">
        <w:t xml:space="preserve">  Application of amendment to obligation to make product dashboard publicly available</w:t>
      </w:r>
      <w:bookmarkEnd w:id="51"/>
    </w:p>
    <w:p w14:paraId="4133C279" w14:textId="77777777" w:rsidR="00CB58F6" w:rsidRPr="00421AEE" w:rsidRDefault="00CB58F6" w:rsidP="001830B5">
      <w:pPr>
        <w:pStyle w:val="subsection"/>
      </w:pPr>
      <w:r w:rsidRPr="00421AEE">
        <w:tab/>
      </w:r>
      <w:r w:rsidRPr="00421AEE">
        <w:tab/>
        <w:t xml:space="preserve">Subsection 1017BA(1), as amended by Part 4 of </w:t>
      </w:r>
      <w:r w:rsidR="009F7539" w:rsidRPr="00421AEE">
        <w:t>Schedule 4</w:t>
      </w:r>
      <w:r w:rsidRPr="00421AEE">
        <w:t xml:space="preserve"> to the </w:t>
      </w:r>
      <w:r w:rsidRPr="00421AEE">
        <w:rPr>
          <w:i/>
        </w:rPr>
        <w:t>Treasury Laws Amendment (2022 Measures No. 1) Act 2022</w:t>
      </w:r>
      <w:r w:rsidRPr="00421AEE">
        <w:t xml:space="preserve">, applies, on and after </w:t>
      </w:r>
      <w:r w:rsidR="002C2887" w:rsidRPr="00421AEE">
        <w:t>the day after that Act receives the Royal Assent</w:t>
      </w:r>
      <w:r w:rsidRPr="00421AEE">
        <w:t>, in relation to a regulated superannuation fund that has 6 or fewer members.</w:t>
      </w:r>
    </w:p>
    <w:p w14:paraId="79B87DBC" w14:textId="77777777" w:rsidR="00CB58F6" w:rsidRPr="00421AEE" w:rsidRDefault="009F7539" w:rsidP="001830B5">
      <w:pPr>
        <w:pStyle w:val="ActHead7"/>
        <w:pageBreakBefore/>
      </w:pPr>
      <w:bookmarkStart w:id="52" w:name="_Toc110951186"/>
      <w:r w:rsidRPr="001830B5">
        <w:rPr>
          <w:rStyle w:val="CharAmPartNo"/>
        </w:rPr>
        <w:t>Part 5</w:t>
      </w:r>
      <w:r w:rsidR="00CB58F6" w:rsidRPr="00421AEE">
        <w:t>—</w:t>
      </w:r>
      <w:r w:rsidR="00CB58F6" w:rsidRPr="001830B5">
        <w:rPr>
          <w:rStyle w:val="CharAmPartText"/>
        </w:rPr>
        <w:t>Amendments of Acts in other portfolios to allow commutation of certain income streams</w:t>
      </w:r>
      <w:bookmarkEnd w:id="52"/>
    </w:p>
    <w:p w14:paraId="35BC9713" w14:textId="77777777" w:rsidR="00CB58F6" w:rsidRPr="00421AEE" w:rsidRDefault="00CB58F6" w:rsidP="001830B5">
      <w:pPr>
        <w:pStyle w:val="ActHead9"/>
        <w:rPr>
          <w:i w:val="0"/>
        </w:rPr>
      </w:pPr>
      <w:bookmarkStart w:id="53" w:name="_Toc110951187"/>
      <w:r w:rsidRPr="00421AEE">
        <w:t>Social Security Act 1991</w:t>
      </w:r>
      <w:bookmarkEnd w:id="53"/>
    </w:p>
    <w:p w14:paraId="1EFC7E75" w14:textId="77777777" w:rsidR="00CB58F6" w:rsidRPr="00421AEE" w:rsidRDefault="00CB58F6" w:rsidP="001830B5">
      <w:pPr>
        <w:pStyle w:val="ItemHead"/>
      </w:pPr>
      <w:r w:rsidRPr="00421AEE">
        <w:t>34  After subparagraph 9B(2)(h)(ivb)</w:t>
      </w:r>
    </w:p>
    <w:p w14:paraId="578C1E14" w14:textId="77777777" w:rsidR="00CB58F6" w:rsidRPr="00421AEE" w:rsidRDefault="00CB58F6" w:rsidP="001830B5">
      <w:pPr>
        <w:pStyle w:val="Item"/>
      </w:pPr>
      <w:r w:rsidRPr="00421AEE">
        <w:t>Insert:</w:t>
      </w:r>
    </w:p>
    <w:p w14:paraId="356ABB5C" w14:textId="3F1A6527" w:rsidR="00CB58F6" w:rsidRPr="00421AEE" w:rsidRDefault="00CB58F6" w:rsidP="001830B5">
      <w:pPr>
        <w:pStyle w:val="paragraphsub"/>
      </w:pPr>
      <w:r w:rsidRPr="00421AEE">
        <w:tab/>
        <w:t>(ivc)</w:t>
      </w:r>
      <w:r w:rsidRPr="00421AEE">
        <w:tab/>
        <w:t>to the extent necessary in order to comply with section 136</w:t>
      </w:r>
      <w:r w:rsidR="001830B5">
        <w:noBreakHyphen/>
      </w:r>
      <w:r w:rsidRPr="00421AEE">
        <w:t xml:space="preserve">80 in Schedule 1 to the </w:t>
      </w:r>
      <w:r w:rsidRPr="00421AEE">
        <w:rPr>
          <w:i/>
        </w:rPr>
        <w:t>Taxation Administration Act 1953</w:t>
      </w:r>
      <w:r w:rsidRPr="00421AEE">
        <w:t>; or</w:t>
      </w:r>
    </w:p>
    <w:p w14:paraId="5AA286F2" w14:textId="77777777" w:rsidR="00CB58F6" w:rsidRPr="00421AEE" w:rsidRDefault="00CB58F6" w:rsidP="001830B5">
      <w:pPr>
        <w:pStyle w:val="ItemHead"/>
      </w:pPr>
      <w:r w:rsidRPr="00421AEE">
        <w:t>35  After subparagraph 9BA(2)(f)(vi)</w:t>
      </w:r>
    </w:p>
    <w:p w14:paraId="281FD98B" w14:textId="77777777" w:rsidR="00CB58F6" w:rsidRPr="00421AEE" w:rsidRDefault="00CB58F6" w:rsidP="001830B5">
      <w:pPr>
        <w:pStyle w:val="Item"/>
      </w:pPr>
      <w:r w:rsidRPr="00421AEE">
        <w:t>Insert:</w:t>
      </w:r>
    </w:p>
    <w:p w14:paraId="68E964FD" w14:textId="17385BD0" w:rsidR="00CB58F6" w:rsidRPr="00421AEE" w:rsidRDefault="00CB58F6" w:rsidP="001830B5">
      <w:pPr>
        <w:pStyle w:val="paragraphsub"/>
      </w:pPr>
      <w:r w:rsidRPr="00421AEE">
        <w:tab/>
        <w:t>(via)</w:t>
      </w:r>
      <w:r w:rsidRPr="00421AEE">
        <w:tab/>
        <w:t>to the extent necessary in order to comply with section 136</w:t>
      </w:r>
      <w:r w:rsidR="001830B5">
        <w:noBreakHyphen/>
      </w:r>
      <w:r w:rsidRPr="00421AEE">
        <w:t xml:space="preserve">80 in Schedule 1 to the </w:t>
      </w:r>
      <w:r w:rsidRPr="00421AEE">
        <w:rPr>
          <w:i/>
        </w:rPr>
        <w:t>Taxation Administration Act 1953</w:t>
      </w:r>
      <w:r w:rsidRPr="00421AEE">
        <w:t>; or</w:t>
      </w:r>
    </w:p>
    <w:p w14:paraId="5CD4204A" w14:textId="77777777" w:rsidR="00CB58F6" w:rsidRPr="00421AEE" w:rsidRDefault="00CB58F6" w:rsidP="001830B5">
      <w:pPr>
        <w:pStyle w:val="ActHead9"/>
      </w:pPr>
      <w:bookmarkStart w:id="54" w:name="_Toc110951188"/>
      <w:r w:rsidRPr="00421AEE">
        <w:t>Veterans’ Entitlements Act 1986</w:t>
      </w:r>
      <w:bookmarkEnd w:id="54"/>
    </w:p>
    <w:p w14:paraId="50E7A3AE" w14:textId="77777777" w:rsidR="00CB58F6" w:rsidRPr="00421AEE" w:rsidRDefault="00CB58F6" w:rsidP="001830B5">
      <w:pPr>
        <w:pStyle w:val="ItemHead"/>
      </w:pPr>
      <w:r w:rsidRPr="00421AEE">
        <w:t>36  After subparagraph 5JB(2)(h)(ivb)</w:t>
      </w:r>
    </w:p>
    <w:p w14:paraId="617F1A28" w14:textId="77777777" w:rsidR="00CB58F6" w:rsidRPr="00421AEE" w:rsidRDefault="00CB58F6" w:rsidP="001830B5">
      <w:pPr>
        <w:pStyle w:val="Item"/>
      </w:pPr>
      <w:r w:rsidRPr="00421AEE">
        <w:t>Insert:</w:t>
      </w:r>
    </w:p>
    <w:p w14:paraId="641B6977" w14:textId="37EB8E4A" w:rsidR="00CB58F6" w:rsidRPr="00421AEE" w:rsidRDefault="00CB58F6" w:rsidP="001830B5">
      <w:pPr>
        <w:pStyle w:val="paragraphsub"/>
      </w:pPr>
      <w:r w:rsidRPr="00421AEE">
        <w:tab/>
        <w:t>(ivc)</w:t>
      </w:r>
      <w:r w:rsidRPr="00421AEE">
        <w:tab/>
        <w:t>to the extent necessary in order to comply with section 136</w:t>
      </w:r>
      <w:r w:rsidR="001830B5">
        <w:noBreakHyphen/>
      </w:r>
      <w:r w:rsidRPr="00421AEE">
        <w:t xml:space="preserve">80 in Schedule 1 to the </w:t>
      </w:r>
      <w:r w:rsidRPr="00421AEE">
        <w:rPr>
          <w:i/>
        </w:rPr>
        <w:t>Taxation Administration Act 1953</w:t>
      </w:r>
      <w:r w:rsidRPr="00421AEE">
        <w:t>; or</w:t>
      </w:r>
    </w:p>
    <w:p w14:paraId="0AA9DA84" w14:textId="77777777" w:rsidR="00CB58F6" w:rsidRPr="00421AEE" w:rsidRDefault="00CB58F6" w:rsidP="001830B5">
      <w:pPr>
        <w:pStyle w:val="ItemHead"/>
      </w:pPr>
      <w:r w:rsidRPr="00421AEE">
        <w:t>37  After subparagraph 5JBA(2)(f)(vi)</w:t>
      </w:r>
    </w:p>
    <w:p w14:paraId="3130BD17" w14:textId="77777777" w:rsidR="00CB58F6" w:rsidRPr="00421AEE" w:rsidRDefault="00CB58F6" w:rsidP="001830B5">
      <w:pPr>
        <w:pStyle w:val="Item"/>
      </w:pPr>
      <w:r w:rsidRPr="00421AEE">
        <w:t>Insert:</w:t>
      </w:r>
    </w:p>
    <w:p w14:paraId="35D2EB9B" w14:textId="410CC6D9" w:rsidR="00CB58F6" w:rsidRDefault="00CB58F6" w:rsidP="001830B5">
      <w:pPr>
        <w:pStyle w:val="paragraphsub"/>
      </w:pPr>
      <w:r w:rsidRPr="00421AEE">
        <w:tab/>
        <w:t>(via)</w:t>
      </w:r>
      <w:r w:rsidRPr="00421AEE">
        <w:tab/>
        <w:t>to the extent necessary in order to comply with section 136</w:t>
      </w:r>
      <w:r w:rsidR="001830B5">
        <w:noBreakHyphen/>
      </w:r>
      <w:r w:rsidRPr="00421AEE">
        <w:t xml:space="preserve">80 in Schedule 1 to the </w:t>
      </w:r>
      <w:r w:rsidRPr="00421AEE">
        <w:rPr>
          <w:i/>
        </w:rPr>
        <w:t>Taxation Administration Act 1953</w:t>
      </w:r>
      <w:r w:rsidRPr="00421AEE">
        <w:t>; or</w:t>
      </w:r>
    </w:p>
    <w:p w14:paraId="12BD7548" w14:textId="77777777" w:rsidR="00984039" w:rsidRPr="001830B5" w:rsidRDefault="00984039" w:rsidP="001830B5">
      <w:pPr>
        <w:pStyle w:val="ActHead7"/>
        <w:pageBreakBefore/>
      </w:pPr>
      <w:bookmarkStart w:id="55" w:name="_Toc110951189"/>
      <w:r w:rsidRPr="001830B5">
        <w:rPr>
          <w:rStyle w:val="CharAmPartNo"/>
        </w:rPr>
        <w:t>Part 6</w:t>
      </w:r>
      <w:r w:rsidRPr="001830B5">
        <w:t>—</w:t>
      </w:r>
      <w:r w:rsidRPr="001830B5">
        <w:rPr>
          <w:rStyle w:val="CharAmPartText"/>
        </w:rPr>
        <w:t>Corporate tax transparency</w:t>
      </w:r>
      <w:bookmarkEnd w:id="55"/>
    </w:p>
    <w:p w14:paraId="0948FF29" w14:textId="77777777" w:rsidR="00984039" w:rsidRDefault="00984039" w:rsidP="001830B5">
      <w:pPr>
        <w:pStyle w:val="ActHead9"/>
      </w:pPr>
      <w:bookmarkStart w:id="56" w:name="_Toc110951190"/>
      <w:r>
        <w:t>Taxation Administration Act 1953</w:t>
      </w:r>
      <w:bookmarkEnd w:id="56"/>
    </w:p>
    <w:p w14:paraId="50717D9E" w14:textId="77777777" w:rsidR="00984039" w:rsidRDefault="00984039" w:rsidP="001830B5">
      <w:pPr>
        <w:pStyle w:val="ItemHead"/>
      </w:pPr>
      <w:r>
        <w:t>1  Subsection 3C(1)</w:t>
      </w:r>
    </w:p>
    <w:p w14:paraId="2CECF94E" w14:textId="77777777" w:rsidR="00984039" w:rsidRPr="00283BC8" w:rsidRDefault="00984039" w:rsidP="001830B5">
      <w:pPr>
        <w:pStyle w:val="Item"/>
      </w:pPr>
      <w:r>
        <w:t>Repeal the subsection, substitute:</w:t>
      </w:r>
    </w:p>
    <w:p w14:paraId="1A24F630" w14:textId="77777777" w:rsidR="00984039" w:rsidRPr="00866707" w:rsidRDefault="00984039" w:rsidP="001830B5">
      <w:pPr>
        <w:pStyle w:val="subsection"/>
      </w:pPr>
      <w:r>
        <w:tab/>
        <w:t>(1)</w:t>
      </w:r>
      <w:r>
        <w:tab/>
        <w:t xml:space="preserve">This section applies to an entity </w:t>
      </w:r>
      <w:r w:rsidRPr="00866707">
        <w:t>for an income year if:</w:t>
      </w:r>
    </w:p>
    <w:p w14:paraId="1705428B" w14:textId="77777777" w:rsidR="00984039" w:rsidRPr="00866707" w:rsidRDefault="00984039" w:rsidP="001830B5">
      <w:pPr>
        <w:pStyle w:val="paragraph"/>
      </w:pPr>
      <w:r w:rsidRPr="00866707">
        <w:tab/>
        <w:t>(a)</w:t>
      </w:r>
      <w:r w:rsidRPr="00866707">
        <w:tab/>
        <w:t>the entity is a corporate tax entity; and</w:t>
      </w:r>
    </w:p>
    <w:p w14:paraId="3FD67D54" w14:textId="77777777" w:rsidR="00984039" w:rsidRPr="00866707" w:rsidRDefault="00984039" w:rsidP="001830B5">
      <w:pPr>
        <w:pStyle w:val="paragraph"/>
      </w:pPr>
      <w:r w:rsidRPr="00866707">
        <w:tab/>
        <w:t>(b)</w:t>
      </w:r>
      <w:r w:rsidRPr="00866707">
        <w:tab/>
        <w:t>the entity has total income equal to or exceeding $100 million for the income year, according to information reported to the Commissioner in the entity’s income tax return for the income year.</w:t>
      </w:r>
    </w:p>
    <w:p w14:paraId="2292C726" w14:textId="77777777" w:rsidR="00984039" w:rsidRDefault="00984039" w:rsidP="001830B5">
      <w:pPr>
        <w:pStyle w:val="subsection2"/>
      </w:pPr>
      <w:r w:rsidRPr="00866707">
        <w:t xml:space="preserve">An expression used in this subsection that is also used in the </w:t>
      </w:r>
      <w:r w:rsidRPr="00866707">
        <w:rPr>
          <w:i/>
          <w:iCs/>
        </w:rPr>
        <w:t>Income Tax Assessment Act 1997</w:t>
      </w:r>
      <w:r w:rsidRPr="00866707">
        <w:t xml:space="preserve"> has the same meaning as in that Act.</w:t>
      </w:r>
    </w:p>
    <w:p w14:paraId="73EEC927" w14:textId="77777777" w:rsidR="00984039" w:rsidRDefault="00984039" w:rsidP="001830B5">
      <w:pPr>
        <w:pStyle w:val="ItemHead"/>
      </w:pPr>
      <w:r>
        <w:t>2  Application of amendment</w:t>
      </w:r>
    </w:p>
    <w:p w14:paraId="2AA7E0E5" w14:textId="6F6F8F50" w:rsidR="00984039" w:rsidRDefault="00984039" w:rsidP="001830B5">
      <w:pPr>
        <w:pStyle w:val="Subitem"/>
      </w:pPr>
      <w:r>
        <w:tab/>
        <w:t xml:space="preserve">The amendment made by this Part applies in relation to an entity for </w:t>
      </w:r>
      <w:r w:rsidRPr="00B21481">
        <w:t>the 2022</w:t>
      </w:r>
      <w:r w:rsidR="001830B5">
        <w:noBreakHyphen/>
      </w:r>
      <w:r w:rsidRPr="00B21481">
        <w:t>23 income year and each later income year.</w:t>
      </w:r>
    </w:p>
    <w:p w14:paraId="4FEFC97B" w14:textId="77777777" w:rsidR="00984039" w:rsidRPr="001830B5" w:rsidRDefault="00984039" w:rsidP="001830B5">
      <w:pPr>
        <w:pStyle w:val="ActHead7"/>
        <w:pageBreakBefore/>
      </w:pPr>
      <w:bookmarkStart w:id="57" w:name="_Toc110951191"/>
      <w:r w:rsidRPr="001830B5">
        <w:rPr>
          <w:rStyle w:val="CharAmPartNo"/>
        </w:rPr>
        <w:t>Part 7</w:t>
      </w:r>
      <w:r w:rsidRPr="001830B5">
        <w:t>—</w:t>
      </w:r>
      <w:r w:rsidRPr="001830B5">
        <w:rPr>
          <w:rStyle w:val="CharAmPartText"/>
        </w:rPr>
        <w:t>Financial reporting obligations</w:t>
      </w:r>
      <w:bookmarkEnd w:id="57"/>
    </w:p>
    <w:p w14:paraId="3D1149DA" w14:textId="77777777" w:rsidR="00984039" w:rsidRDefault="00984039" w:rsidP="001830B5">
      <w:pPr>
        <w:pStyle w:val="ActHead9"/>
      </w:pPr>
      <w:bookmarkStart w:id="58" w:name="_Toc110951192"/>
      <w:r>
        <w:t>ASIC Corporations (Exempt Proprietary Companies) Instrument 2015/840</w:t>
      </w:r>
      <w:bookmarkEnd w:id="58"/>
    </w:p>
    <w:p w14:paraId="5B4B05B0" w14:textId="77777777" w:rsidR="00984039" w:rsidRDefault="00984039" w:rsidP="001830B5">
      <w:pPr>
        <w:pStyle w:val="ItemHead"/>
      </w:pPr>
      <w:r>
        <w:t>1  The whole of the instrument</w:t>
      </w:r>
    </w:p>
    <w:p w14:paraId="68261471" w14:textId="77777777" w:rsidR="00984039" w:rsidRDefault="00984039" w:rsidP="001830B5">
      <w:pPr>
        <w:pStyle w:val="Item"/>
      </w:pPr>
      <w:r>
        <w:t>Repeal the instrument.</w:t>
      </w:r>
    </w:p>
    <w:p w14:paraId="17EB1549" w14:textId="77777777" w:rsidR="00984039" w:rsidRDefault="00984039" w:rsidP="001830B5">
      <w:pPr>
        <w:pStyle w:val="ActHead9"/>
      </w:pPr>
      <w:bookmarkStart w:id="59" w:name="_Toc110951193"/>
      <w:r>
        <w:t>Corporations Act 2001</w:t>
      </w:r>
      <w:bookmarkEnd w:id="59"/>
    </w:p>
    <w:p w14:paraId="309C4A04" w14:textId="77777777" w:rsidR="00984039" w:rsidRDefault="00984039" w:rsidP="001830B5">
      <w:pPr>
        <w:pStyle w:val="ItemHead"/>
      </w:pPr>
      <w:r>
        <w:t>2  Subsection 285(1) (table item 5)</w:t>
      </w:r>
    </w:p>
    <w:p w14:paraId="76D053A4" w14:textId="77777777" w:rsidR="00984039" w:rsidRDefault="00984039" w:rsidP="001830B5">
      <w:pPr>
        <w:pStyle w:val="Item"/>
      </w:pPr>
      <w:r>
        <w:t>Omit “</w:t>
      </w:r>
      <w:r w:rsidRPr="00076F7D">
        <w:t xml:space="preserve">Companies that have the benefit of the grandfathering in the relevant </w:t>
      </w:r>
      <w:r>
        <w:t>Part 1</w:t>
      </w:r>
      <w:r w:rsidRPr="00076F7D">
        <w:t>0.1 transitionals do not have to lodge.</w:t>
      </w:r>
      <w:r>
        <w:t>”.</w:t>
      </w:r>
    </w:p>
    <w:p w14:paraId="3125B2C4" w14:textId="77777777" w:rsidR="00984039" w:rsidRDefault="00984039" w:rsidP="001830B5">
      <w:pPr>
        <w:pStyle w:val="ItemHead"/>
      </w:pPr>
      <w:r>
        <w:t>3  Subsection 1408(6) (table item 7)</w:t>
      </w:r>
    </w:p>
    <w:p w14:paraId="0E47CA2B" w14:textId="77777777" w:rsidR="00984039" w:rsidRDefault="00984039" w:rsidP="001830B5">
      <w:pPr>
        <w:pStyle w:val="Item"/>
      </w:pPr>
      <w:r>
        <w:t>Repeal the item.</w:t>
      </w:r>
    </w:p>
    <w:p w14:paraId="7323999A" w14:textId="77777777" w:rsidR="00984039" w:rsidRPr="00AF0D51" w:rsidRDefault="00984039" w:rsidP="001830B5">
      <w:pPr>
        <w:pStyle w:val="ItemHead"/>
      </w:pPr>
      <w:r>
        <w:t>4</w:t>
      </w:r>
      <w:r w:rsidRPr="00AF0D51">
        <w:t xml:space="preserve">  In the appropriate position in </w:t>
      </w:r>
      <w:r>
        <w:t>Chapter 1</w:t>
      </w:r>
      <w:r w:rsidRPr="00AF0D51">
        <w:t xml:space="preserve">0 </w:t>
      </w:r>
    </w:p>
    <w:p w14:paraId="37C89BD0" w14:textId="77777777" w:rsidR="00984039" w:rsidRPr="00AF0D51" w:rsidRDefault="00984039" w:rsidP="001830B5">
      <w:pPr>
        <w:pStyle w:val="Item"/>
      </w:pPr>
      <w:r w:rsidRPr="00AF0D51">
        <w:t>Insert:</w:t>
      </w:r>
    </w:p>
    <w:p w14:paraId="260E3F93" w14:textId="77777777" w:rsidR="00984039" w:rsidRDefault="00984039" w:rsidP="001830B5">
      <w:pPr>
        <w:pStyle w:val="ActHead2"/>
      </w:pPr>
      <w:bookmarkStart w:id="60" w:name="_Toc110951194"/>
      <w:r w:rsidRPr="001830B5">
        <w:rPr>
          <w:rStyle w:val="CharPartNo"/>
        </w:rPr>
        <w:t>Part 10.63</w:t>
      </w:r>
      <w:r w:rsidRPr="00AF0D51">
        <w:t>—</w:t>
      </w:r>
      <w:r w:rsidRPr="001830B5">
        <w:rPr>
          <w:rStyle w:val="CharPartText"/>
        </w:rPr>
        <w:t>Application provisions relating to Part 7 of Schedule 4 to the Treasury Laws Amendment (2022 Measures No. 1) Act 2022</w:t>
      </w:r>
      <w:bookmarkEnd w:id="60"/>
    </w:p>
    <w:p w14:paraId="0BA9A90C" w14:textId="77777777" w:rsidR="00984039" w:rsidRDefault="00984039" w:rsidP="001830B5">
      <w:pPr>
        <w:pStyle w:val="Header"/>
      </w:pPr>
      <w:r w:rsidRPr="001830B5">
        <w:rPr>
          <w:rStyle w:val="CharDivNo"/>
        </w:rPr>
        <w:t xml:space="preserve"> </w:t>
      </w:r>
      <w:r w:rsidRPr="001830B5">
        <w:rPr>
          <w:rStyle w:val="CharDivText"/>
        </w:rPr>
        <w:t xml:space="preserve"> </w:t>
      </w:r>
    </w:p>
    <w:p w14:paraId="06C6DF25" w14:textId="77777777" w:rsidR="00984039" w:rsidRPr="000539E6" w:rsidRDefault="00984039" w:rsidP="001830B5">
      <w:pPr>
        <w:pStyle w:val="ActHead5"/>
      </w:pPr>
      <w:bookmarkStart w:id="61" w:name="_Toc110951195"/>
      <w:r w:rsidRPr="001830B5">
        <w:rPr>
          <w:rStyle w:val="CharSectno"/>
        </w:rPr>
        <w:t>1693</w:t>
      </w:r>
      <w:r>
        <w:t xml:space="preserve">  Definitions</w:t>
      </w:r>
      <w:bookmarkEnd w:id="61"/>
    </w:p>
    <w:p w14:paraId="166B413F" w14:textId="77777777" w:rsidR="00984039" w:rsidRDefault="00984039" w:rsidP="001830B5">
      <w:pPr>
        <w:pStyle w:val="Item"/>
      </w:pPr>
      <w:r>
        <w:t>In this Part:</w:t>
      </w:r>
    </w:p>
    <w:p w14:paraId="2BB2C735" w14:textId="77777777" w:rsidR="00984039" w:rsidRDefault="00984039" w:rsidP="001830B5">
      <w:pPr>
        <w:pStyle w:val="Definition"/>
      </w:pPr>
      <w:r>
        <w:rPr>
          <w:b/>
          <w:bCs/>
          <w:i/>
          <w:iCs/>
        </w:rPr>
        <w:t xml:space="preserve">amending Part </w:t>
      </w:r>
      <w:r>
        <w:t xml:space="preserve">means Part 7 </w:t>
      </w:r>
      <w:r w:rsidRPr="000539E6">
        <w:t xml:space="preserve">of </w:t>
      </w:r>
      <w:r>
        <w:t>Schedule 4</w:t>
      </w:r>
      <w:r w:rsidRPr="000539E6">
        <w:t xml:space="preserve"> to the </w:t>
      </w:r>
      <w:r w:rsidRPr="000539E6">
        <w:rPr>
          <w:i/>
          <w:iCs/>
        </w:rPr>
        <w:t>Treasury Laws Amendment (2022 Measures No. 1) Act 2022</w:t>
      </w:r>
      <w:r>
        <w:t>.</w:t>
      </w:r>
    </w:p>
    <w:p w14:paraId="04911460" w14:textId="77777777" w:rsidR="00984039" w:rsidRDefault="00984039" w:rsidP="001830B5">
      <w:pPr>
        <w:pStyle w:val="Definition"/>
      </w:pPr>
      <w:r>
        <w:rPr>
          <w:b/>
          <w:bCs/>
          <w:i/>
          <w:iCs/>
        </w:rPr>
        <w:t>commencement day</w:t>
      </w:r>
      <w:r>
        <w:t xml:space="preserve"> means the day the amending Part commences.</w:t>
      </w:r>
    </w:p>
    <w:p w14:paraId="4CC74B5D" w14:textId="77777777" w:rsidR="00984039" w:rsidRDefault="00984039" w:rsidP="001830B5">
      <w:pPr>
        <w:pStyle w:val="ActHead5"/>
      </w:pPr>
      <w:bookmarkStart w:id="62" w:name="_Toc110951196"/>
      <w:r w:rsidRPr="001830B5">
        <w:rPr>
          <w:rStyle w:val="CharSectno"/>
        </w:rPr>
        <w:t>1693A</w:t>
      </w:r>
      <w:r>
        <w:t xml:space="preserve">  Application provision</w:t>
      </w:r>
      <w:bookmarkEnd w:id="62"/>
    </w:p>
    <w:p w14:paraId="14A31A3C" w14:textId="77777777" w:rsidR="00984039" w:rsidRDefault="00984039" w:rsidP="001830B5">
      <w:pPr>
        <w:pStyle w:val="subsection"/>
      </w:pPr>
      <w:r>
        <w:tab/>
        <w:t>(1)</w:t>
      </w:r>
      <w:r>
        <w:tab/>
        <w:t xml:space="preserve">This section applies to a company if, immediately before the commencement day, the company was exempted from complying with subsection 319(1) of this Act by the </w:t>
      </w:r>
      <w:r w:rsidRPr="009B49DD">
        <w:rPr>
          <w:i/>
          <w:iCs/>
        </w:rPr>
        <w:t>ASIC Corporations (Exempt Proprietary Companies) Instrument 2015/840</w:t>
      </w:r>
      <w:r>
        <w:t>.</w:t>
      </w:r>
    </w:p>
    <w:p w14:paraId="50323568" w14:textId="77777777" w:rsidR="00984039" w:rsidRDefault="00984039" w:rsidP="001830B5">
      <w:pPr>
        <w:pStyle w:val="subsection"/>
      </w:pPr>
      <w:r>
        <w:tab/>
        <w:t>(2)</w:t>
      </w:r>
      <w:r>
        <w:tab/>
        <w:t xml:space="preserve">Despite the repeals made </w:t>
      </w:r>
      <w:r w:rsidRPr="00FA377E">
        <w:t>by the amending Part, that</w:t>
      </w:r>
      <w:r>
        <w:t xml:space="preserve"> exemption continues to apply to </w:t>
      </w:r>
      <w:r w:rsidRPr="00085F1F">
        <w:t>the</w:t>
      </w:r>
      <w:r>
        <w:t xml:space="preserve"> company </w:t>
      </w:r>
      <w:r w:rsidRPr="00FA377E">
        <w:t>in relation to a financial year that ends before the commencement day.</w:t>
      </w:r>
    </w:p>
    <w:p w14:paraId="3137A6CE" w14:textId="77777777" w:rsidR="00984039" w:rsidRDefault="00984039" w:rsidP="001830B5">
      <w:pPr>
        <w:pStyle w:val="ActHead5"/>
      </w:pPr>
      <w:bookmarkStart w:id="63" w:name="_Toc110951197"/>
      <w:r w:rsidRPr="001830B5">
        <w:rPr>
          <w:rStyle w:val="CharSectno"/>
        </w:rPr>
        <w:t>1693B</w:t>
      </w:r>
      <w:r>
        <w:t xml:space="preserve">  </w:t>
      </w:r>
      <w:r w:rsidRPr="00FA377E">
        <w:t>Instruments that provide relief from requirements of</w:t>
      </w:r>
      <w:r>
        <w:t xml:space="preserve"> this</w:t>
      </w:r>
      <w:r w:rsidRPr="00FA377E">
        <w:t xml:space="preserve"> Act—Lodgement of annual reports by large proprietary companies</w:t>
      </w:r>
      <w:bookmarkEnd w:id="63"/>
    </w:p>
    <w:p w14:paraId="3F070660" w14:textId="77777777" w:rsidR="00984039" w:rsidRDefault="00984039" w:rsidP="001830B5">
      <w:pPr>
        <w:pStyle w:val="subsection"/>
      </w:pPr>
      <w:r>
        <w:tab/>
        <w:t>(1)</w:t>
      </w:r>
      <w:r>
        <w:tab/>
        <w:t xml:space="preserve">Despite anything contained in this Act, </w:t>
      </w:r>
      <w:r w:rsidRPr="0076554C">
        <w:t>ASIC may not make</w:t>
      </w:r>
      <w:r>
        <w:t xml:space="preserve"> a legislative instrument, however described, if that legislative instrument would have the effect of relieving the class of companies referred to in subsection (2) of the requirement to comply with subsection 319(1) of this Act for a financial year.</w:t>
      </w:r>
    </w:p>
    <w:p w14:paraId="253FDC25" w14:textId="77777777" w:rsidR="00984039" w:rsidRDefault="00984039" w:rsidP="001830B5">
      <w:pPr>
        <w:pStyle w:val="subsection"/>
      </w:pPr>
      <w:r>
        <w:tab/>
        <w:t>(2)</w:t>
      </w:r>
      <w:r>
        <w:tab/>
        <w:t xml:space="preserve">The class of companies is the class of large proprietary companies that was relieved from the requirement to comply with subsection 319(1) of this Act by the </w:t>
      </w:r>
      <w:r w:rsidRPr="00CF2973">
        <w:rPr>
          <w:i/>
          <w:iCs/>
        </w:rPr>
        <w:t>ASIC Corporations (Exempt Proprietary Companies) Instrument 2015/840</w:t>
      </w:r>
      <w:r>
        <w:t xml:space="preserve"> as in force immediately before the commencement day.</w:t>
      </w:r>
    </w:p>
    <w:p w14:paraId="08ABCF18" w14:textId="77777777" w:rsidR="001066D2" w:rsidRPr="00F02B56" w:rsidRDefault="001066D2" w:rsidP="001066D2"/>
    <w:p w14:paraId="423491A1" w14:textId="77777777" w:rsidR="001066D2" w:rsidRDefault="001066D2" w:rsidP="001066D2">
      <w:pPr>
        <w:pStyle w:val="AssentBk"/>
        <w:keepNext/>
      </w:pPr>
    </w:p>
    <w:p w14:paraId="75C39305" w14:textId="77777777" w:rsidR="001066D2" w:rsidRDefault="001066D2" w:rsidP="001066D2">
      <w:pPr>
        <w:pStyle w:val="AssentBk"/>
        <w:keepNext/>
      </w:pPr>
    </w:p>
    <w:p w14:paraId="6AEC163C" w14:textId="77777777" w:rsidR="001066D2" w:rsidRDefault="001066D2" w:rsidP="001066D2">
      <w:pPr>
        <w:pStyle w:val="2ndRd"/>
        <w:keepNext/>
        <w:pBdr>
          <w:top w:val="single" w:sz="2" w:space="1" w:color="auto"/>
        </w:pBdr>
      </w:pPr>
    </w:p>
    <w:p w14:paraId="240F7D93" w14:textId="77777777" w:rsidR="001066D2" w:rsidRDefault="001066D2" w:rsidP="001066D2">
      <w:pPr>
        <w:pStyle w:val="2ndRd"/>
        <w:keepNext/>
        <w:spacing w:line="260" w:lineRule="atLeast"/>
        <w:rPr>
          <w:i/>
        </w:rPr>
      </w:pPr>
      <w:r>
        <w:t>[</w:t>
      </w:r>
      <w:r>
        <w:rPr>
          <w:i/>
        </w:rPr>
        <w:t>Minister’s second reading speech made in—</w:t>
      </w:r>
    </w:p>
    <w:p w14:paraId="0151399D" w14:textId="77777777" w:rsidR="001066D2" w:rsidRDefault="001066D2" w:rsidP="001066D2">
      <w:pPr>
        <w:pStyle w:val="2ndRd"/>
        <w:keepNext/>
        <w:spacing w:line="260" w:lineRule="atLeast"/>
        <w:rPr>
          <w:i/>
        </w:rPr>
      </w:pPr>
      <w:r>
        <w:rPr>
          <w:i/>
        </w:rPr>
        <w:t>House of Representatives on 27 July 2022</w:t>
      </w:r>
    </w:p>
    <w:p w14:paraId="241BDAE8" w14:textId="77777777" w:rsidR="001066D2" w:rsidRDefault="001066D2" w:rsidP="001066D2">
      <w:pPr>
        <w:pStyle w:val="2ndRd"/>
        <w:keepNext/>
        <w:spacing w:line="260" w:lineRule="atLeast"/>
        <w:rPr>
          <w:i/>
        </w:rPr>
      </w:pPr>
      <w:r>
        <w:rPr>
          <w:i/>
        </w:rPr>
        <w:t>Senate on 3 August 2022</w:t>
      </w:r>
      <w:r>
        <w:t>]</w:t>
      </w:r>
    </w:p>
    <w:p w14:paraId="5BA9C9D3" w14:textId="77777777" w:rsidR="001066D2" w:rsidRDefault="001066D2" w:rsidP="001066D2">
      <w:pPr>
        <w:framePr w:hSpace="180" w:wrap="around" w:vAnchor="text" w:hAnchor="page" w:x="2431" w:y="2166"/>
      </w:pPr>
      <w:r>
        <w:t>(55/22)</w:t>
      </w:r>
    </w:p>
    <w:p w14:paraId="18660B2B" w14:textId="77777777" w:rsidR="001066D2" w:rsidRDefault="001066D2" w:rsidP="001830B5">
      <w:pPr>
        <w:pStyle w:val="paragraphsub"/>
        <w:ind w:left="0" w:firstLine="0"/>
      </w:pPr>
    </w:p>
    <w:p w14:paraId="63AD57AE" w14:textId="77777777" w:rsidR="001066D2" w:rsidRDefault="001066D2" w:rsidP="0063527D">
      <w:pPr>
        <w:pBdr>
          <w:bottom w:val="single" w:sz="4" w:space="1" w:color="auto"/>
        </w:pBdr>
        <w:sectPr w:rsidR="001066D2" w:rsidSect="0063527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9D88660" w14:textId="77777777" w:rsidR="001066D2" w:rsidRDefault="001066D2" w:rsidP="001066D2">
      <w:bookmarkStart w:id="64" w:name="_GoBack"/>
      <w:bookmarkEnd w:id="64"/>
    </w:p>
    <w:sectPr w:rsidR="001066D2" w:rsidSect="001066D2">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BD690" w14:textId="77777777" w:rsidR="001066D2" w:rsidRDefault="001066D2" w:rsidP="0048364F">
      <w:pPr>
        <w:spacing w:line="240" w:lineRule="auto"/>
      </w:pPr>
      <w:r>
        <w:separator/>
      </w:r>
    </w:p>
  </w:endnote>
  <w:endnote w:type="continuationSeparator" w:id="0">
    <w:p w14:paraId="2CEE85A8" w14:textId="77777777" w:rsidR="001066D2" w:rsidRDefault="001066D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embedRegular r:id="rId1" w:subsetted="1" w:fontKey="{EF3407A6-743A-45F5-BA97-B5A5C00F587B}"/>
  </w:font>
  <w:font w:name="Cambria Math">
    <w:panose1 w:val="02040503050406030204"/>
    <w:charset w:val="00"/>
    <w:family w:val="roman"/>
    <w:pitch w:val="variable"/>
    <w:sig w:usb0="E00006FF" w:usb1="420024FF" w:usb2="02000000" w:usb3="00000000" w:csb0="0000019F" w:csb1="00000000"/>
    <w:embedBold r:id="rId2" w:subsetted="1" w:fontKey="{B6DFDB27-4A64-44D9-A8F0-588AE6B8CA8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AA86" w14:textId="77777777" w:rsidR="001066D2" w:rsidRPr="005F1388" w:rsidRDefault="001066D2" w:rsidP="001830B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F71F" w14:textId="54D7035B" w:rsidR="001066D2" w:rsidRDefault="001066D2" w:rsidP="001066D2">
    <w:pPr>
      <w:pStyle w:val="ScalePlusRef"/>
    </w:pPr>
    <w:r>
      <w:t>Note: An electronic version of this Act is available on the Federal Register of Legislation (</w:t>
    </w:r>
    <w:hyperlink r:id="rId1" w:history="1">
      <w:r>
        <w:t>https://www.legislation.gov.au/</w:t>
      </w:r>
    </w:hyperlink>
    <w:r>
      <w:t>)</w:t>
    </w:r>
  </w:p>
  <w:p w14:paraId="7CC9628F" w14:textId="77777777" w:rsidR="001066D2" w:rsidRDefault="001066D2" w:rsidP="001066D2"/>
  <w:p w14:paraId="3F888EC5" w14:textId="6F4319E2" w:rsidR="001066D2" w:rsidRDefault="001066D2" w:rsidP="001830B5">
    <w:pPr>
      <w:pStyle w:val="Footer"/>
      <w:spacing w:before="120"/>
    </w:pPr>
  </w:p>
  <w:p w14:paraId="74D9E452" w14:textId="77777777" w:rsidR="001066D2" w:rsidRPr="005F1388" w:rsidRDefault="001066D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8441" w14:textId="77777777" w:rsidR="001066D2" w:rsidRPr="00ED79B6" w:rsidRDefault="001066D2" w:rsidP="001830B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049E" w14:textId="77777777" w:rsidR="001066D2" w:rsidRDefault="001066D2" w:rsidP="001830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66D2" w14:paraId="46C3345D" w14:textId="77777777" w:rsidTr="00BC5C41">
      <w:tc>
        <w:tcPr>
          <w:tcW w:w="646" w:type="dxa"/>
        </w:tcPr>
        <w:p w14:paraId="1C2C1025" w14:textId="77777777" w:rsidR="001066D2" w:rsidRDefault="001066D2" w:rsidP="00BC5C4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17420C0" w14:textId="5C11EA7C" w:rsidR="001066D2" w:rsidRDefault="001066D2" w:rsidP="00BC5C4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95455">
            <w:rPr>
              <w:i/>
              <w:sz w:val="18"/>
            </w:rPr>
            <w:t>Treasury Laws Amendment (2022 Measures No. 1) Act 2022</w:t>
          </w:r>
          <w:r w:rsidRPr="00ED79B6">
            <w:rPr>
              <w:i/>
              <w:sz w:val="18"/>
            </w:rPr>
            <w:fldChar w:fldCharType="end"/>
          </w:r>
        </w:p>
      </w:tc>
      <w:tc>
        <w:tcPr>
          <w:tcW w:w="1270" w:type="dxa"/>
        </w:tcPr>
        <w:p w14:paraId="3F194044" w14:textId="3A3C2094" w:rsidR="001066D2" w:rsidRDefault="001066D2" w:rsidP="00BC5C4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95455">
            <w:rPr>
              <w:i/>
              <w:sz w:val="18"/>
            </w:rPr>
            <w:t>No. 35, 2022</w:t>
          </w:r>
          <w:r w:rsidRPr="00ED79B6">
            <w:rPr>
              <w:i/>
              <w:sz w:val="18"/>
            </w:rPr>
            <w:fldChar w:fldCharType="end"/>
          </w:r>
        </w:p>
      </w:tc>
    </w:tr>
  </w:tbl>
  <w:p w14:paraId="49BCAE73" w14:textId="77777777" w:rsidR="001066D2" w:rsidRDefault="001066D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8C4B" w14:textId="77777777" w:rsidR="001066D2" w:rsidRDefault="001066D2" w:rsidP="001830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66D2" w14:paraId="189F8855" w14:textId="77777777" w:rsidTr="00BC5C41">
      <w:tc>
        <w:tcPr>
          <w:tcW w:w="1247" w:type="dxa"/>
        </w:tcPr>
        <w:p w14:paraId="6DA911F4" w14:textId="231C40C1" w:rsidR="001066D2" w:rsidRDefault="001066D2" w:rsidP="00BC5C4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95455">
            <w:rPr>
              <w:i/>
              <w:sz w:val="18"/>
            </w:rPr>
            <w:t>No. 35, 2022</w:t>
          </w:r>
          <w:r w:rsidRPr="00ED79B6">
            <w:rPr>
              <w:i/>
              <w:sz w:val="18"/>
            </w:rPr>
            <w:fldChar w:fldCharType="end"/>
          </w:r>
        </w:p>
      </w:tc>
      <w:tc>
        <w:tcPr>
          <w:tcW w:w="5387" w:type="dxa"/>
        </w:tcPr>
        <w:p w14:paraId="0A22AF76" w14:textId="573B6822" w:rsidR="001066D2" w:rsidRDefault="001066D2" w:rsidP="00BC5C4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95455">
            <w:rPr>
              <w:i/>
              <w:sz w:val="18"/>
            </w:rPr>
            <w:t>Treasury Laws Amendment (2022 Measures No. 1) Act 2022</w:t>
          </w:r>
          <w:r w:rsidRPr="00ED79B6">
            <w:rPr>
              <w:i/>
              <w:sz w:val="18"/>
            </w:rPr>
            <w:fldChar w:fldCharType="end"/>
          </w:r>
        </w:p>
      </w:tc>
      <w:tc>
        <w:tcPr>
          <w:tcW w:w="669" w:type="dxa"/>
        </w:tcPr>
        <w:p w14:paraId="6FB1F20B" w14:textId="77777777" w:rsidR="001066D2" w:rsidRDefault="001066D2" w:rsidP="00BC5C4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B3DF3EE" w14:textId="77777777" w:rsidR="001066D2" w:rsidRPr="00ED79B6" w:rsidRDefault="001066D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23B8" w14:textId="77777777" w:rsidR="001066D2" w:rsidRPr="00A961C4" w:rsidRDefault="001066D2" w:rsidP="001830B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66D2" w14:paraId="76E4A2C5" w14:textId="77777777" w:rsidTr="00961C41">
      <w:tc>
        <w:tcPr>
          <w:tcW w:w="646" w:type="dxa"/>
        </w:tcPr>
        <w:p w14:paraId="2F46227C" w14:textId="77777777" w:rsidR="001066D2" w:rsidRDefault="001066D2" w:rsidP="00BC5C4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0A5C451" w14:textId="1AADDB31" w:rsidR="001066D2" w:rsidRDefault="001066D2" w:rsidP="00BC5C4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5455">
            <w:rPr>
              <w:i/>
              <w:sz w:val="18"/>
            </w:rPr>
            <w:t>Treasury Laws Amendment (2022 Measures No. 1) Act 2022</w:t>
          </w:r>
          <w:r w:rsidRPr="007A1328">
            <w:rPr>
              <w:i/>
              <w:sz w:val="18"/>
            </w:rPr>
            <w:fldChar w:fldCharType="end"/>
          </w:r>
        </w:p>
      </w:tc>
      <w:tc>
        <w:tcPr>
          <w:tcW w:w="1270" w:type="dxa"/>
        </w:tcPr>
        <w:p w14:paraId="62692606" w14:textId="1E119D61" w:rsidR="001066D2" w:rsidRDefault="001066D2" w:rsidP="00BC5C4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5455">
            <w:rPr>
              <w:i/>
              <w:sz w:val="18"/>
            </w:rPr>
            <w:t>No. 35, 2022</w:t>
          </w:r>
          <w:r w:rsidRPr="007A1328">
            <w:rPr>
              <w:i/>
              <w:sz w:val="18"/>
            </w:rPr>
            <w:fldChar w:fldCharType="end"/>
          </w:r>
        </w:p>
      </w:tc>
    </w:tr>
  </w:tbl>
  <w:p w14:paraId="3C4563AA" w14:textId="77777777" w:rsidR="001066D2" w:rsidRPr="00A961C4" w:rsidRDefault="001066D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91BD" w14:textId="77777777" w:rsidR="001066D2" w:rsidRPr="00A961C4" w:rsidRDefault="001066D2" w:rsidP="001830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66D2" w14:paraId="725FBD7F" w14:textId="77777777" w:rsidTr="00961C41">
      <w:tc>
        <w:tcPr>
          <w:tcW w:w="1247" w:type="dxa"/>
        </w:tcPr>
        <w:p w14:paraId="7B7FB6E1" w14:textId="423326CE" w:rsidR="001066D2" w:rsidRDefault="001066D2" w:rsidP="00BC5C4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5455">
            <w:rPr>
              <w:i/>
              <w:sz w:val="18"/>
            </w:rPr>
            <w:t>No. 35, 2022</w:t>
          </w:r>
          <w:r w:rsidRPr="007A1328">
            <w:rPr>
              <w:i/>
              <w:sz w:val="18"/>
            </w:rPr>
            <w:fldChar w:fldCharType="end"/>
          </w:r>
        </w:p>
      </w:tc>
      <w:tc>
        <w:tcPr>
          <w:tcW w:w="5387" w:type="dxa"/>
        </w:tcPr>
        <w:p w14:paraId="6D97D0EB" w14:textId="0B874F71" w:rsidR="001066D2" w:rsidRDefault="001066D2" w:rsidP="00BC5C4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5455">
            <w:rPr>
              <w:i/>
              <w:sz w:val="18"/>
            </w:rPr>
            <w:t>Treasury Laws Amendment (2022 Measures No. 1) Act 2022</w:t>
          </w:r>
          <w:r w:rsidRPr="007A1328">
            <w:rPr>
              <w:i/>
              <w:sz w:val="18"/>
            </w:rPr>
            <w:fldChar w:fldCharType="end"/>
          </w:r>
        </w:p>
      </w:tc>
      <w:tc>
        <w:tcPr>
          <w:tcW w:w="669" w:type="dxa"/>
        </w:tcPr>
        <w:p w14:paraId="7436B8E2" w14:textId="77777777" w:rsidR="001066D2" w:rsidRDefault="001066D2" w:rsidP="00BC5C4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DF593AA" w14:textId="77777777" w:rsidR="001066D2" w:rsidRPr="00055B5C" w:rsidRDefault="001066D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41E1" w14:textId="77777777" w:rsidR="001066D2" w:rsidRPr="00A961C4" w:rsidRDefault="001066D2" w:rsidP="001830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1066D2" w14:paraId="256FA05D" w14:textId="77777777" w:rsidTr="00961C41">
      <w:tc>
        <w:tcPr>
          <w:tcW w:w="1247" w:type="dxa"/>
        </w:tcPr>
        <w:p w14:paraId="70A33ED6" w14:textId="3E756E3C" w:rsidR="001066D2" w:rsidRDefault="001066D2" w:rsidP="00BC5C4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5455">
            <w:rPr>
              <w:i/>
              <w:sz w:val="18"/>
            </w:rPr>
            <w:t>No. 35, 2022</w:t>
          </w:r>
          <w:r w:rsidRPr="007A1328">
            <w:rPr>
              <w:i/>
              <w:sz w:val="18"/>
            </w:rPr>
            <w:fldChar w:fldCharType="end"/>
          </w:r>
        </w:p>
      </w:tc>
      <w:tc>
        <w:tcPr>
          <w:tcW w:w="5387" w:type="dxa"/>
        </w:tcPr>
        <w:p w14:paraId="41AE7960" w14:textId="7B0F1E6C" w:rsidR="001066D2" w:rsidRDefault="001066D2" w:rsidP="00BC5C4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5455">
            <w:rPr>
              <w:i/>
              <w:sz w:val="18"/>
            </w:rPr>
            <w:t>Treasury Laws Amendment (2022 Measures No. 1) Act 2022</w:t>
          </w:r>
          <w:r w:rsidRPr="007A1328">
            <w:rPr>
              <w:i/>
              <w:sz w:val="18"/>
            </w:rPr>
            <w:fldChar w:fldCharType="end"/>
          </w:r>
        </w:p>
      </w:tc>
      <w:tc>
        <w:tcPr>
          <w:tcW w:w="669" w:type="dxa"/>
        </w:tcPr>
        <w:p w14:paraId="5D73256D" w14:textId="77777777" w:rsidR="001066D2" w:rsidRDefault="001066D2" w:rsidP="00BC5C4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667DA7D" w14:textId="77777777" w:rsidR="001066D2" w:rsidRPr="00A961C4" w:rsidRDefault="001066D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60921" w14:textId="77777777" w:rsidR="001066D2" w:rsidRDefault="001066D2" w:rsidP="0048364F">
      <w:pPr>
        <w:spacing w:line="240" w:lineRule="auto"/>
      </w:pPr>
      <w:r>
        <w:separator/>
      </w:r>
    </w:p>
  </w:footnote>
  <w:footnote w:type="continuationSeparator" w:id="0">
    <w:p w14:paraId="110CCB29" w14:textId="77777777" w:rsidR="001066D2" w:rsidRDefault="001066D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7E7B" w14:textId="77777777" w:rsidR="001066D2" w:rsidRPr="005F1388" w:rsidRDefault="001066D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B9923" w14:textId="3ECE90D4" w:rsidR="001066D2" w:rsidRPr="00A961C4" w:rsidRDefault="001066D2" w:rsidP="0048364F">
    <w:pPr>
      <w:rPr>
        <w:b/>
        <w:sz w:val="20"/>
      </w:rPr>
    </w:pPr>
    <w:r>
      <w:rPr>
        <w:b/>
        <w:sz w:val="20"/>
      </w:rPr>
      <w:fldChar w:fldCharType="begin"/>
    </w:r>
    <w:r>
      <w:rPr>
        <w:b/>
        <w:sz w:val="20"/>
      </w:rPr>
      <w:instrText xml:space="preserve"> STYLEREF CharAmSchNo </w:instrText>
    </w:r>
    <w:r>
      <w:rPr>
        <w:b/>
        <w:sz w:val="20"/>
      </w:rPr>
      <w:fldChar w:fldCharType="separate"/>
    </w:r>
    <w:r w:rsidR="00695455">
      <w:rPr>
        <w:b/>
        <w:noProof/>
        <w:sz w:val="20"/>
      </w:rPr>
      <w:t>Schedule 4</w:t>
    </w:r>
    <w:r>
      <w:rPr>
        <w:b/>
        <w:sz w:val="20"/>
      </w:rPr>
      <w:fldChar w:fldCharType="end"/>
    </w:r>
    <w:r>
      <w:rPr>
        <w:sz w:val="20"/>
      </w:rPr>
      <w:fldChar w:fldCharType="begin"/>
    </w:r>
    <w:r>
      <w:rPr>
        <w:sz w:val="20"/>
      </w:rPr>
      <w:instrText xml:space="preserve"> STYLEREF CharAmSchText </w:instrText>
    </w:r>
    <w:r>
      <w:rPr>
        <w:sz w:val="20"/>
      </w:rPr>
      <w:fldChar w:fldCharType="separate"/>
    </w:r>
    <w:r w:rsidR="00695455">
      <w:rPr>
        <w:noProof/>
        <w:sz w:val="20"/>
      </w:rPr>
      <w:t>Minor and technical amendments</w:t>
    </w:r>
    <w:r>
      <w:rPr>
        <w:sz w:val="20"/>
      </w:rPr>
      <w:fldChar w:fldCharType="end"/>
    </w:r>
  </w:p>
  <w:p w14:paraId="4C8EB679" w14:textId="5920EE7C" w:rsidR="001066D2" w:rsidRPr="00A961C4" w:rsidRDefault="001066D2" w:rsidP="0048364F">
    <w:pPr>
      <w:rPr>
        <w:b/>
        <w:sz w:val="20"/>
      </w:rPr>
    </w:pPr>
    <w:r>
      <w:rPr>
        <w:b/>
        <w:sz w:val="20"/>
      </w:rPr>
      <w:fldChar w:fldCharType="begin"/>
    </w:r>
    <w:r>
      <w:rPr>
        <w:b/>
        <w:sz w:val="20"/>
      </w:rPr>
      <w:instrText xml:space="preserve"> STYLEREF CharAmPartNo </w:instrText>
    </w:r>
    <w:r>
      <w:rPr>
        <w:b/>
        <w:sz w:val="20"/>
      </w:rPr>
      <w:fldChar w:fldCharType="separate"/>
    </w:r>
    <w:r w:rsidR="00695455">
      <w:rPr>
        <w:b/>
        <w:noProof/>
        <w:sz w:val="20"/>
      </w:rPr>
      <w:t>Part 7</w:t>
    </w:r>
    <w:r>
      <w:rPr>
        <w:b/>
        <w:sz w:val="20"/>
      </w:rPr>
      <w:fldChar w:fldCharType="end"/>
    </w:r>
    <w:r>
      <w:rPr>
        <w:sz w:val="20"/>
      </w:rPr>
      <w:fldChar w:fldCharType="begin"/>
    </w:r>
    <w:r>
      <w:rPr>
        <w:sz w:val="20"/>
      </w:rPr>
      <w:instrText xml:space="preserve"> STYLEREF CharAmPartText </w:instrText>
    </w:r>
    <w:r>
      <w:rPr>
        <w:sz w:val="20"/>
      </w:rPr>
      <w:fldChar w:fldCharType="separate"/>
    </w:r>
    <w:r w:rsidR="00695455">
      <w:rPr>
        <w:noProof/>
        <w:sz w:val="20"/>
      </w:rPr>
      <w:t>Financial reporting obligations</w:t>
    </w:r>
    <w:r>
      <w:rPr>
        <w:sz w:val="20"/>
      </w:rPr>
      <w:fldChar w:fldCharType="end"/>
    </w:r>
  </w:p>
  <w:p w14:paraId="19FB19E0" w14:textId="77777777" w:rsidR="001066D2" w:rsidRPr="00A961C4" w:rsidRDefault="001066D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50FF" w14:textId="0FAD3BF2" w:rsidR="001066D2" w:rsidRPr="00A961C4" w:rsidRDefault="001066D2" w:rsidP="0048364F">
    <w:pPr>
      <w:jc w:val="right"/>
      <w:rPr>
        <w:sz w:val="20"/>
      </w:rPr>
    </w:pPr>
  </w:p>
  <w:p w14:paraId="1FF8F612" w14:textId="548C2D92" w:rsidR="001066D2" w:rsidRPr="00A961C4" w:rsidRDefault="001066D2" w:rsidP="0048364F">
    <w:pPr>
      <w:jc w:val="right"/>
      <w:rPr>
        <w:b/>
        <w:sz w:val="20"/>
      </w:rPr>
    </w:pPr>
  </w:p>
  <w:p w14:paraId="2D04C331" w14:textId="77777777" w:rsidR="001066D2" w:rsidRPr="00A961C4" w:rsidRDefault="001066D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7F6B5" w14:textId="77777777" w:rsidR="001066D2" w:rsidRPr="00A961C4" w:rsidRDefault="001066D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2E21" w14:textId="77777777" w:rsidR="001066D2" w:rsidRPr="005F1388" w:rsidRDefault="001066D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B49B" w14:textId="77777777" w:rsidR="001066D2" w:rsidRPr="005F1388" w:rsidRDefault="001066D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0AEC" w14:textId="77777777" w:rsidR="001066D2" w:rsidRPr="00ED79B6" w:rsidRDefault="001066D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B162" w14:textId="77777777" w:rsidR="001066D2" w:rsidRPr="00ED79B6" w:rsidRDefault="001066D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D316" w14:textId="77777777" w:rsidR="001066D2" w:rsidRPr="00ED79B6" w:rsidRDefault="001066D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25C8" w14:textId="64CF2C6C" w:rsidR="001066D2" w:rsidRPr="00A961C4" w:rsidRDefault="001066D2" w:rsidP="0048364F">
    <w:pPr>
      <w:rPr>
        <w:b/>
        <w:sz w:val="20"/>
      </w:rPr>
    </w:pPr>
    <w:r>
      <w:rPr>
        <w:b/>
        <w:sz w:val="20"/>
      </w:rPr>
      <w:fldChar w:fldCharType="begin"/>
    </w:r>
    <w:r>
      <w:rPr>
        <w:b/>
        <w:sz w:val="20"/>
      </w:rPr>
      <w:instrText xml:space="preserve"> STYLEREF CharAmSchNo </w:instrText>
    </w:r>
    <w:r w:rsidR="00695455">
      <w:rPr>
        <w:b/>
        <w:sz w:val="20"/>
      </w:rPr>
      <w:fldChar w:fldCharType="separate"/>
    </w:r>
    <w:r w:rsidR="00695455">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95455">
      <w:rPr>
        <w:sz w:val="20"/>
      </w:rPr>
      <w:fldChar w:fldCharType="separate"/>
    </w:r>
    <w:r w:rsidR="00695455">
      <w:rPr>
        <w:noProof/>
        <w:sz w:val="20"/>
      </w:rPr>
      <w:t>Minor and technical amendments</w:t>
    </w:r>
    <w:r>
      <w:rPr>
        <w:sz w:val="20"/>
      </w:rPr>
      <w:fldChar w:fldCharType="end"/>
    </w:r>
  </w:p>
  <w:p w14:paraId="5C5A42D2" w14:textId="57A117FE" w:rsidR="001066D2" w:rsidRPr="00A961C4" w:rsidRDefault="001066D2" w:rsidP="0048364F">
    <w:pPr>
      <w:rPr>
        <w:b/>
        <w:sz w:val="20"/>
      </w:rPr>
    </w:pPr>
    <w:r>
      <w:rPr>
        <w:b/>
        <w:sz w:val="20"/>
      </w:rPr>
      <w:fldChar w:fldCharType="begin"/>
    </w:r>
    <w:r>
      <w:rPr>
        <w:b/>
        <w:sz w:val="20"/>
      </w:rPr>
      <w:instrText xml:space="preserve"> STYLEREF CharAmPartNo </w:instrText>
    </w:r>
    <w:r w:rsidR="00695455">
      <w:rPr>
        <w:b/>
        <w:sz w:val="20"/>
      </w:rPr>
      <w:fldChar w:fldCharType="separate"/>
    </w:r>
    <w:r w:rsidR="00695455">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95455">
      <w:rPr>
        <w:sz w:val="20"/>
      </w:rPr>
      <w:fldChar w:fldCharType="separate"/>
    </w:r>
    <w:r w:rsidR="00695455">
      <w:rPr>
        <w:noProof/>
        <w:sz w:val="20"/>
      </w:rPr>
      <w:t>Financial reporting obligations</w:t>
    </w:r>
    <w:r>
      <w:rPr>
        <w:sz w:val="20"/>
      </w:rPr>
      <w:fldChar w:fldCharType="end"/>
    </w:r>
  </w:p>
  <w:p w14:paraId="0DC251FA" w14:textId="77777777" w:rsidR="001066D2" w:rsidRPr="00A961C4" w:rsidRDefault="001066D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F342" w14:textId="3F3C034C" w:rsidR="001066D2" w:rsidRPr="00A961C4" w:rsidRDefault="001066D2" w:rsidP="0048364F">
    <w:pPr>
      <w:jc w:val="right"/>
      <w:rPr>
        <w:sz w:val="20"/>
      </w:rPr>
    </w:pPr>
    <w:r w:rsidRPr="00A961C4">
      <w:rPr>
        <w:sz w:val="20"/>
      </w:rPr>
      <w:fldChar w:fldCharType="begin"/>
    </w:r>
    <w:r w:rsidRPr="00A961C4">
      <w:rPr>
        <w:sz w:val="20"/>
      </w:rPr>
      <w:instrText xml:space="preserve"> STYLEREF CharAmSchText </w:instrText>
    </w:r>
    <w:r w:rsidR="00695455">
      <w:rPr>
        <w:sz w:val="20"/>
      </w:rPr>
      <w:fldChar w:fldCharType="separate"/>
    </w:r>
    <w:r w:rsidR="00695455">
      <w:rPr>
        <w:noProof/>
        <w:sz w:val="20"/>
      </w:rPr>
      <w:t>Minor and technical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95455">
      <w:rPr>
        <w:b/>
        <w:sz w:val="20"/>
      </w:rPr>
      <w:fldChar w:fldCharType="separate"/>
    </w:r>
    <w:r w:rsidR="00695455">
      <w:rPr>
        <w:b/>
        <w:noProof/>
        <w:sz w:val="20"/>
      </w:rPr>
      <w:t>Schedule 4</w:t>
    </w:r>
    <w:r>
      <w:rPr>
        <w:b/>
        <w:sz w:val="20"/>
      </w:rPr>
      <w:fldChar w:fldCharType="end"/>
    </w:r>
  </w:p>
  <w:p w14:paraId="32E5F023" w14:textId="087011EC" w:rsidR="001066D2" w:rsidRPr="00A961C4" w:rsidRDefault="001066D2" w:rsidP="0048364F">
    <w:pPr>
      <w:jc w:val="right"/>
      <w:rPr>
        <w:b/>
        <w:sz w:val="20"/>
      </w:rPr>
    </w:pPr>
    <w:r w:rsidRPr="00A961C4">
      <w:rPr>
        <w:sz w:val="20"/>
      </w:rPr>
      <w:fldChar w:fldCharType="begin"/>
    </w:r>
    <w:r w:rsidRPr="00A961C4">
      <w:rPr>
        <w:sz w:val="20"/>
      </w:rPr>
      <w:instrText xml:space="preserve"> STYLEREF CharAmPartText </w:instrText>
    </w:r>
    <w:r w:rsidR="00695455">
      <w:rPr>
        <w:sz w:val="20"/>
      </w:rPr>
      <w:fldChar w:fldCharType="separate"/>
    </w:r>
    <w:r w:rsidR="00695455">
      <w:rPr>
        <w:noProof/>
        <w:sz w:val="20"/>
      </w:rPr>
      <w:t>Financial reporting obligations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95455">
      <w:rPr>
        <w:b/>
        <w:sz w:val="20"/>
      </w:rPr>
      <w:fldChar w:fldCharType="separate"/>
    </w:r>
    <w:r w:rsidR="00695455">
      <w:rPr>
        <w:b/>
        <w:noProof/>
        <w:sz w:val="20"/>
      </w:rPr>
      <w:t>Part 7</w:t>
    </w:r>
    <w:r w:rsidRPr="00A961C4">
      <w:rPr>
        <w:b/>
        <w:sz w:val="20"/>
      </w:rPr>
      <w:fldChar w:fldCharType="end"/>
    </w:r>
  </w:p>
  <w:p w14:paraId="3A3A3B4B" w14:textId="77777777" w:rsidR="001066D2" w:rsidRPr="00A961C4" w:rsidRDefault="001066D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1859" w14:textId="77777777" w:rsidR="001066D2" w:rsidRPr="00A961C4" w:rsidRDefault="001066D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E47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0EB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FE87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411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0A1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0C87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7CEB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B239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1A0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9A0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119A"/>
    <w:multiLevelType w:val="hybridMultilevel"/>
    <w:tmpl w:val="0C9A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E6"/>
    <w:rsid w:val="000113BC"/>
    <w:rsid w:val="000136AF"/>
    <w:rsid w:val="000417C9"/>
    <w:rsid w:val="00055B5C"/>
    <w:rsid w:val="00056391"/>
    <w:rsid w:val="00060FF9"/>
    <w:rsid w:val="000614BF"/>
    <w:rsid w:val="00062279"/>
    <w:rsid w:val="00077AD9"/>
    <w:rsid w:val="000B1FD2"/>
    <w:rsid w:val="000C0DD4"/>
    <w:rsid w:val="000D05EF"/>
    <w:rsid w:val="000F1B01"/>
    <w:rsid w:val="000F21C1"/>
    <w:rsid w:val="000F316E"/>
    <w:rsid w:val="00101D90"/>
    <w:rsid w:val="001066D2"/>
    <w:rsid w:val="0010745C"/>
    <w:rsid w:val="00113BD1"/>
    <w:rsid w:val="00122206"/>
    <w:rsid w:val="0015646E"/>
    <w:rsid w:val="001643C9"/>
    <w:rsid w:val="00165568"/>
    <w:rsid w:val="00166C2F"/>
    <w:rsid w:val="001716C9"/>
    <w:rsid w:val="001719CC"/>
    <w:rsid w:val="00173363"/>
    <w:rsid w:val="00173B94"/>
    <w:rsid w:val="001830B5"/>
    <w:rsid w:val="001854B4"/>
    <w:rsid w:val="001939E1"/>
    <w:rsid w:val="00195382"/>
    <w:rsid w:val="001A3658"/>
    <w:rsid w:val="001A759A"/>
    <w:rsid w:val="001B633C"/>
    <w:rsid w:val="001B7A5D"/>
    <w:rsid w:val="001C2418"/>
    <w:rsid w:val="001C69C4"/>
    <w:rsid w:val="001D14D2"/>
    <w:rsid w:val="001D7F0D"/>
    <w:rsid w:val="001E3590"/>
    <w:rsid w:val="001E7407"/>
    <w:rsid w:val="00201D27"/>
    <w:rsid w:val="00202618"/>
    <w:rsid w:val="00240749"/>
    <w:rsid w:val="00263820"/>
    <w:rsid w:val="00275197"/>
    <w:rsid w:val="00293B89"/>
    <w:rsid w:val="0029431E"/>
    <w:rsid w:val="00297ECB"/>
    <w:rsid w:val="002B5A30"/>
    <w:rsid w:val="002C2887"/>
    <w:rsid w:val="002D043A"/>
    <w:rsid w:val="002D395A"/>
    <w:rsid w:val="002F5A80"/>
    <w:rsid w:val="003415D3"/>
    <w:rsid w:val="00350417"/>
    <w:rsid w:val="00352B0F"/>
    <w:rsid w:val="00367476"/>
    <w:rsid w:val="00373874"/>
    <w:rsid w:val="00375C6C"/>
    <w:rsid w:val="003A163F"/>
    <w:rsid w:val="003A7B3C"/>
    <w:rsid w:val="003B4E3D"/>
    <w:rsid w:val="003C5F2B"/>
    <w:rsid w:val="003D0BFE"/>
    <w:rsid w:val="003D3E61"/>
    <w:rsid w:val="003D5700"/>
    <w:rsid w:val="00405579"/>
    <w:rsid w:val="00410B8E"/>
    <w:rsid w:val="004116CD"/>
    <w:rsid w:val="00421AEE"/>
    <w:rsid w:val="00421FC1"/>
    <w:rsid w:val="004229C7"/>
    <w:rsid w:val="00424CA9"/>
    <w:rsid w:val="00433AAC"/>
    <w:rsid w:val="00434C0A"/>
    <w:rsid w:val="00436785"/>
    <w:rsid w:val="00436BD5"/>
    <w:rsid w:val="00437E4B"/>
    <w:rsid w:val="0044291A"/>
    <w:rsid w:val="00472335"/>
    <w:rsid w:val="0048196B"/>
    <w:rsid w:val="0048364F"/>
    <w:rsid w:val="00486BFF"/>
    <w:rsid w:val="00486D05"/>
    <w:rsid w:val="00496F97"/>
    <w:rsid w:val="004A7ED1"/>
    <w:rsid w:val="004B466B"/>
    <w:rsid w:val="004C7C8C"/>
    <w:rsid w:val="004E2A4A"/>
    <w:rsid w:val="004F0D23"/>
    <w:rsid w:val="004F1FAC"/>
    <w:rsid w:val="004F2787"/>
    <w:rsid w:val="00516B8D"/>
    <w:rsid w:val="00526607"/>
    <w:rsid w:val="00537FBC"/>
    <w:rsid w:val="00543469"/>
    <w:rsid w:val="00545D52"/>
    <w:rsid w:val="00551B54"/>
    <w:rsid w:val="00574655"/>
    <w:rsid w:val="00581B79"/>
    <w:rsid w:val="00584811"/>
    <w:rsid w:val="00593AA6"/>
    <w:rsid w:val="00594161"/>
    <w:rsid w:val="00594749"/>
    <w:rsid w:val="005A0D92"/>
    <w:rsid w:val="005A154B"/>
    <w:rsid w:val="005B4067"/>
    <w:rsid w:val="005C3F41"/>
    <w:rsid w:val="005E152A"/>
    <w:rsid w:val="005F11B1"/>
    <w:rsid w:val="00600219"/>
    <w:rsid w:val="006167FD"/>
    <w:rsid w:val="0063527D"/>
    <w:rsid w:val="00641DE5"/>
    <w:rsid w:val="0064312C"/>
    <w:rsid w:val="00656F0C"/>
    <w:rsid w:val="0066227F"/>
    <w:rsid w:val="00677CC2"/>
    <w:rsid w:val="00681F92"/>
    <w:rsid w:val="006842C2"/>
    <w:rsid w:val="00685F42"/>
    <w:rsid w:val="0069207B"/>
    <w:rsid w:val="00695455"/>
    <w:rsid w:val="006A4B23"/>
    <w:rsid w:val="006B20E6"/>
    <w:rsid w:val="006C2874"/>
    <w:rsid w:val="006C6678"/>
    <w:rsid w:val="006C7F8C"/>
    <w:rsid w:val="006D1826"/>
    <w:rsid w:val="006D380D"/>
    <w:rsid w:val="006E0135"/>
    <w:rsid w:val="006E303A"/>
    <w:rsid w:val="006F7E19"/>
    <w:rsid w:val="00700B2C"/>
    <w:rsid w:val="00712D8D"/>
    <w:rsid w:val="00713084"/>
    <w:rsid w:val="00714B26"/>
    <w:rsid w:val="00731E00"/>
    <w:rsid w:val="0073671E"/>
    <w:rsid w:val="007440B7"/>
    <w:rsid w:val="00754A86"/>
    <w:rsid w:val="007634AD"/>
    <w:rsid w:val="007715C9"/>
    <w:rsid w:val="00774EDD"/>
    <w:rsid w:val="007757EC"/>
    <w:rsid w:val="007A51D4"/>
    <w:rsid w:val="007B30AA"/>
    <w:rsid w:val="007B4EFD"/>
    <w:rsid w:val="007C7D7F"/>
    <w:rsid w:val="007E7D4A"/>
    <w:rsid w:val="008006CC"/>
    <w:rsid w:val="00807F18"/>
    <w:rsid w:val="00831E8D"/>
    <w:rsid w:val="00856A31"/>
    <w:rsid w:val="00857D6B"/>
    <w:rsid w:val="008749AA"/>
    <w:rsid w:val="008754D0"/>
    <w:rsid w:val="00876322"/>
    <w:rsid w:val="00877D48"/>
    <w:rsid w:val="00883781"/>
    <w:rsid w:val="00885570"/>
    <w:rsid w:val="00893958"/>
    <w:rsid w:val="008A2E77"/>
    <w:rsid w:val="008C6F6F"/>
    <w:rsid w:val="008D0EE0"/>
    <w:rsid w:val="008D3E94"/>
    <w:rsid w:val="008F4F1C"/>
    <w:rsid w:val="008F77C4"/>
    <w:rsid w:val="009103F3"/>
    <w:rsid w:val="00932377"/>
    <w:rsid w:val="00943221"/>
    <w:rsid w:val="0095795B"/>
    <w:rsid w:val="00961C41"/>
    <w:rsid w:val="00967042"/>
    <w:rsid w:val="0097348C"/>
    <w:rsid w:val="0098255A"/>
    <w:rsid w:val="00984039"/>
    <w:rsid w:val="009845BE"/>
    <w:rsid w:val="00992BF4"/>
    <w:rsid w:val="009969C9"/>
    <w:rsid w:val="009D1ADF"/>
    <w:rsid w:val="009E186E"/>
    <w:rsid w:val="009E2538"/>
    <w:rsid w:val="009F7539"/>
    <w:rsid w:val="009F7BD0"/>
    <w:rsid w:val="00A002C4"/>
    <w:rsid w:val="00A048FF"/>
    <w:rsid w:val="00A10775"/>
    <w:rsid w:val="00A20FF2"/>
    <w:rsid w:val="00A231E2"/>
    <w:rsid w:val="00A36C48"/>
    <w:rsid w:val="00A41E0B"/>
    <w:rsid w:val="00A46BCE"/>
    <w:rsid w:val="00A55631"/>
    <w:rsid w:val="00A64912"/>
    <w:rsid w:val="00A70A74"/>
    <w:rsid w:val="00AA3795"/>
    <w:rsid w:val="00AC1E75"/>
    <w:rsid w:val="00AD5641"/>
    <w:rsid w:val="00AE1088"/>
    <w:rsid w:val="00AF1BA4"/>
    <w:rsid w:val="00B032D8"/>
    <w:rsid w:val="00B203BB"/>
    <w:rsid w:val="00B22262"/>
    <w:rsid w:val="00B32BE2"/>
    <w:rsid w:val="00B33B3C"/>
    <w:rsid w:val="00B6382D"/>
    <w:rsid w:val="00B645AD"/>
    <w:rsid w:val="00BA5026"/>
    <w:rsid w:val="00BB40BF"/>
    <w:rsid w:val="00BC0CD1"/>
    <w:rsid w:val="00BC5C41"/>
    <w:rsid w:val="00BE719A"/>
    <w:rsid w:val="00BE720A"/>
    <w:rsid w:val="00BF0461"/>
    <w:rsid w:val="00BF4944"/>
    <w:rsid w:val="00BF56D4"/>
    <w:rsid w:val="00BF6FAD"/>
    <w:rsid w:val="00C04409"/>
    <w:rsid w:val="00C067E5"/>
    <w:rsid w:val="00C164CA"/>
    <w:rsid w:val="00C176CF"/>
    <w:rsid w:val="00C24EE9"/>
    <w:rsid w:val="00C42BF8"/>
    <w:rsid w:val="00C460AE"/>
    <w:rsid w:val="00C50043"/>
    <w:rsid w:val="00C50AA4"/>
    <w:rsid w:val="00C54E84"/>
    <w:rsid w:val="00C7573B"/>
    <w:rsid w:val="00C76CF3"/>
    <w:rsid w:val="00C814AD"/>
    <w:rsid w:val="00CB58F6"/>
    <w:rsid w:val="00CE1E31"/>
    <w:rsid w:val="00CF0897"/>
    <w:rsid w:val="00CF0BB2"/>
    <w:rsid w:val="00D00EAA"/>
    <w:rsid w:val="00D13441"/>
    <w:rsid w:val="00D243A3"/>
    <w:rsid w:val="00D477C3"/>
    <w:rsid w:val="00D52EFE"/>
    <w:rsid w:val="00D63EF6"/>
    <w:rsid w:val="00D70DFB"/>
    <w:rsid w:val="00D73029"/>
    <w:rsid w:val="00D766DF"/>
    <w:rsid w:val="00DA7721"/>
    <w:rsid w:val="00DB094F"/>
    <w:rsid w:val="00DD0677"/>
    <w:rsid w:val="00DE2002"/>
    <w:rsid w:val="00DE7703"/>
    <w:rsid w:val="00DF7AE9"/>
    <w:rsid w:val="00E05704"/>
    <w:rsid w:val="00E24D66"/>
    <w:rsid w:val="00E32EDC"/>
    <w:rsid w:val="00E37760"/>
    <w:rsid w:val="00E54292"/>
    <w:rsid w:val="00E7078B"/>
    <w:rsid w:val="00E74DC7"/>
    <w:rsid w:val="00E84ECA"/>
    <w:rsid w:val="00E87699"/>
    <w:rsid w:val="00E947C6"/>
    <w:rsid w:val="00EB510C"/>
    <w:rsid w:val="00ED492F"/>
    <w:rsid w:val="00ED705A"/>
    <w:rsid w:val="00EE39B7"/>
    <w:rsid w:val="00EE3E36"/>
    <w:rsid w:val="00EF2E3A"/>
    <w:rsid w:val="00F047E2"/>
    <w:rsid w:val="00F078DC"/>
    <w:rsid w:val="00F13E86"/>
    <w:rsid w:val="00F17B00"/>
    <w:rsid w:val="00F677A9"/>
    <w:rsid w:val="00F70522"/>
    <w:rsid w:val="00F84CF5"/>
    <w:rsid w:val="00F92D35"/>
    <w:rsid w:val="00FA420B"/>
    <w:rsid w:val="00FB55B2"/>
    <w:rsid w:val="00FD1E13"/>
    <w:rsid w:val="00FD7EB1"/>
    <w:rsid w:val="00FE41C9"/>
    <w:rsid w:val="00FE7624"/>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71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30B5"/>
    <w:pPr>
      <w:spacing w:line="260" w:lineRule="atLeast"/>
    </w:pPr>
    <w:rPr>
      <w:sz w:val="22"/>
    </w:rPr>
  </w:style>
  <w:style w:type="paragraph" w:styleId="Heading1">
    <w:name w:val="heading 1"/>
    <w:basedOn w:val="Normal"/>
    <w:next w:val="Normal"/>
    <w:link w:val="Heading1Char"/>
    <w:uiPriority w:val="9"/>
    <w:qFormat/>
    <w:rsid w:val="006352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52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52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352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3527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27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27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2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27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30B5"/>
  </w:style>
  <w:style w:type="paragraph" w:customStyle="1" w:styleId="OPCParaBase">
    <w:name w:val="OPCParaBase"/>
    <w:qFormat/>
    <w:rsid w:val="001830B5"/>
    <w:pPr>
      <w:spacing w:line="260" w:lineRule="atLeast"/>
    </w:pPr>
    <w:rPr>
      <w:rFonts w:eastAsia="Times New Roman" w:cs="Times New Roman"/>
      <w:sz w:val="22"/>
      <w:lang w:eastAsia="en-AU"/>
    </w:rPr>
  </w:style>
  <w:style w:type="paragraph" w:customStyle="1" w:styleId="ShortT">
    <w:name w:val="ShortT"/>
    <w:basedOn w:val="OPCParaBase"/>
    <w:next w:val="Normal"/>
    <w:qFormat/>
    <w:rsid w:val="001830B5"/>
    <w:pPr>
      <w:spacing w:line="240" w:lineRule="auto"/>
    </w:pPr>
    <w:rPr>
      <w:b/>
      <w:sz w:val="40"/>
    </w:rPr>
  </w:style>
  <w:style w:type="paragraph" w:customStyle="1" w:styleId="ActHead1">
    <w:name w:val="ActHead 1"/>
    <w:aliases w:val="c"/>
    <w:basedOn w:val="OPCParaBase"/>
    <w:next w:val="Normal"/>
    <w:qFormat/>
    <w:rsid w:val="001830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30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30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30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830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30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1830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30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30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30B5"/>
  </w:style>
  <w:style w:type="paragraph" w:customStyle="1" w:styleId="Blocks">
    <w:name w:val="Blocks"/>
    <w:aliases w:val="bb"/>
    <w:basedOn w:val="OPCParaBase"/>
    <w:qFormat/>
    <w:rsid w:val="001830B5"/>
    <w:pPr>
      <w:spacing w:line="240" w:lineRule="auto"/>
    </w:pPr>
    <w:rPr>
      <w:sz w:val="24"/>
    </w:rPr>
  </w:style>
  <w:style w:type="paragraph" w:customStyle="1" w:styleId="BoxText">
    <w:name w:val="BoxText"/>
    <w:aliases w:val="bt"/>
    <w:basedOn w:val="OPCParaBase"/>
    <w:qFormat/>
    <w:rsid w:val="001830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30B5"/>
    <w:rPr>
      <w:b/>
    </w:rPr>
  </w:style>
  <w:style w:type="paragraph" w:customStyle="1" w:styleId="BoxHeadItalic">
    <w:name w:val="BoxHeadItalic"/>
    <w:aliases w:val="bhi"/>
    <w:basedOn w:val="BoxText"/>
    <w:next w:val="BoxStep"/>
    <w:qFormat/>
    <w:rsid w:val="001830B5"/>
    <w:rPr>
      <w:i/>
    </w:rPr>
  </w:style>
  <w:style w:type="paragraph" w:customStyle="1" w:styleId="BoxList">
    <w:name w:val="BoxList"/>
    <w:aliases w:val="bl"/>
    <w:basedOn w:val="BoxText"/>
    <w:qFormat/>
    <w:rsid w:val="001830B5"/>
    <w:pPr>
      <w:ind w:left="1559" w:hanging="425"/>
    </w:pPr>
  </w:style>
  <w:style w:type="paragraph" w:customStyle="1" w:styleId="BoxNote">
    <w:name w:val="BoxNote"/>
    <w:aliases w:val="bn"/>
    <w:basedOn w:val="BoxText"/>
    <w:qFormat/>
    <w:rsid w:val="001830B5"/>
    <w:pPr>
      <w:tabs>
        <w:tab w:val="left" w:pos="1985"/>
      </w:tabs>
      <w:spacing w:before="122" w:line="198" w:lineRule="exact"/>
      <w:ind w:left="2948" w:hanging="1814"/>
    </w:pPr>
    <w:rPr>
      <w:sz w:val="18"/>
    </w:rPr>
  </w:style>
  <w:style w:type="paragraph" w:customStyle="1" w:styleId="BoxPara">
    <w:name w:val="BoxPara"/>
    <w:aliases w:val="bp"/>
    <w:basedOn w:val="BoxText"/>
    <w:qFormat/>
    <w:rsid w:val="001830B5"/>
    <w:pPr>
      <w:tabs>
        <w:tab w:val="right" w:pos="2268"/>
      </w:tabs>
      <w:ind w:left="2552" w:hanging="1418"/>
    </w:pPr>
  </w:style>
  <w:style w:type="paragraph" w:customStyle="1" w:styleId="BoxStep">
    <w:name w:val="BoxStep"/>
    <w:aliases w:val="bs"/>
    <w:basedOn w:val="BoxText"/>
    <w:qFormat/>
    <w:rsid w:val="001830B5"/>
    <w:pPr>
      <w:ind w:left="1985" w:hanging="851"/>
    </w:pPr>
  </w:style>
  <w:style w:type="character" w:customStyle="1" w:styleId="CharAmPartNo">
    <w:name w:val="CharAmPartNo"/>
    <w:basedOn w:val="OPCCharBase"/>
    <w:qFormat/>
    <w:rsid w:val="001830B5"/>
  </w:style>
  <w:style w:type="character" w:customStyle="1" w:styleId="CharAmPartText">
    <w:name w:val="CharAmPartText"/>
    <w:basedOn w:val="OPCCharBase"/>
    <w:qFormat/>
    <w:rsid w:val="001830B5"/>
  </w:style>
  <w:style w:type="character" w:customStyle="1" w:styleId="CharAmSchNo">
    <w:name w:val="CharAmSchNo"/>
    <w:basedOn w:val="OPCCharBase"/>
    <w:qFormat/>
    <w:rsid w:val="001830B5"/>
  </w:style>
  <w:style w:type="character" w:customStyle="1" w:styleId="CharAmSchText">
    <w:name w:val="CharAmSchText"/>
    <w:basedOn w:val="OPCCharBase"/>
    <w:qFormat/>
    <w:rsid w:val="001830B5"/>
  </w:style>
  <w:style w:type="character" w:customStyle="1" w:styleId="CharBoldItalic">
    <w:name w:val="CharBoldItalic"/>
    <w:basedOn w:val="OPCCharBase"/>
    <w:uiPriority w:val="1"/>
    <w:qFormat/>
    <w:rsid w:val="001830B5"/>
    <w:rPr>
      <w:b/>
      <w:i/>
    </w:rPr>
  </w:style>
  <w:style w:type="character" w:customStyle="1" w:styleId="CharChapNo">
    <w:name w:val="CharChapNo"/>
    <w:basedOn w:val="OPCCharBase"/>
    <w:uiPriority w:val="1"/>
    <w:qFormat/>
    <w:rsid w:val="001830B5"/>
  </w:style>
  <w:style w:type="character" w:customStyle="1" w:styleId="CharChapText">
    <w:name w:val="CharChapText"/>
    <w:basedOn w:val="OPCCharBase"/>
    <w:uiPriority w:val="1"/>
    <w:qFormat/>
    <w:rsid w:val="001830B5"/>
  </w:style>
  <w:style w:type="character" w:customStyle="1" w:styleId="CharDivNo">
    <w:name w:val="CharDivNo"/>
    <w:basedOn w:val="OPCCharBase"/>
    <w:uiPriority w:val="1"/>
    <w:qFormat/>
    <w:rsid w:val="001830B5"/>
  </w:style>
  <w:style w:type="character" w:customStyle="1" w:styleId="CharDivText">
    <w:name w:val="CharDivText"/>
    <w:basedOn w:val="OPCCharBase"/>
    <w:uiPriority w:val="1"/>
    <w:qFormat/>
    <w:rsid w:val="001830B5"/>
  </w:style>
  <w:style w:type="character" w:customStyle="1" w:styleId="CharItalic">
    <w:name w:val="CharItalic"/>
    <w:basedOn w:val="OPCCharBase"/>
    <w:uiPriority w:val="1"/>
    <w:qFormat/>
    <w:rsid w:val="001830B5"/>
    <w:rPr>
      <w:i/>
    </w:rPr>
  </w:style>
  <w:style w:type="character" w:customStyle="1" w:styleId="CharPartNo">
    <w:name w:val="CharPartNo"/>
    <w:basedOn w:val="OPCCharBase"/>
    <w:uiPriority w:val="1"/>
    <w:qFormat/>
    <w:rsid w:val="001830B5"/>
  </w:style>
  <w:style w:type="character" w:customStyle="1" w:styleId="CharPartText">
    <w:name w:val="CharPartText"/>
    <w:basedOn w:val="OPCCharBase"/>
    <w:uiPriority w:val="1"/>
    <w:qFormat/>
    <w:rsid w:val="001830B5"/>
  </w:style>
  <w:style w:type="character" w:customStyle="1" w:styleId="CharSectno">
    <w:name w:val="CharSectno"/>
    <w:basedOn w:val="OPCCharBase"/>
    <w:qFormat/>
    <w:rsid w:val="001830B5"/>
  </w:style>
  <w:style w:type="character" w:customStyle="1" w:styleId="CharSubdNo">
    <w:name w:val="CharSubdNo"/>
    <w:basedOn w:val="OPCCharBase"/>
    <w:uiPriority w:val="1"/>
    <w:qFormat/>
    <w:rsid w:val="001830B5"/>
  </w:style>
  <w:style w:type="character" w:customStyle="1" w:styleId="CharSubdText">
    <w:name w:val="CharSubdText"/>
    <w:basedOn w:val="OPCCharBase"/>
    <w:uiPriority w:val="1"/>
    <w:qFormat/>
    <w:rsid w:val="001830B5"/>
  </w:style>
  <w:style w:type="paragraph" w:customStyle="1" w:styleId="CTA--">
    <w:name w:val="CTA --"/>
    <w:basedOn w:val="OPCParaBase"/>
    <w:next w:val="Normal"/>
    <w:rsid w:val="001830B5"/>
    <w:pPr>
      <w:spacing w:before="60" w:line="240" w:lineRule="atLeast"/>
      <w:ind w:left="142" w:hanging="142"/>
    </w:pPr>
    <w:rPr>
      <w:sz w:val="20"/>
    </w:rPr>
  </w:style>
  <w:style w:type="paragraph" w:customStyle="1" w:styleId="CTA-">
    <w:name w:val="CTA -"/>
    <w:basedOn w:val="OPCParaBase"/>
    <w:rsid w:val="001830B5"/>
    <w:pPr>
      <w:spacing w:before="60" w:line="240" w:lineRule="atLeast"/>
      <w:ind w:left="85" w:hanging="85"/>
    </w:pPr>
    <w:rPr>
      <w:sz w:val="20"/>
    </w:rPr>
  </w:style>
  <w:style w:type="paragraph" w:customStyle="1" w:styleId="CTA---">
    <w:name w:val="CTA ---"/>
    <w:basedOn w:val="OPCParaBase"/>
    <w:next w:val="Normal"/>
    <w:rsid w:val="001830B5"/>
    <w:pPr>
      <w:spacing w:before="60" w:line="240" w:lineRule="atLeast"/>
      <w:ind w:left="198" w:hanging="198"/>
    </w:pPr>
    <w:rPr>
      <w:sz w:val="20"/>
    </w:rPr>
  </w:style>
  <w:style w:type="paragraph" w:customStyle="1" w:styleId="CTA----">
    <w:name w:val="CTA ----"/>
    <w:basedOn w:val="OPCParaBase"/>
    <w:next w:val="Normal"/>
    <w:rsid w:val="001830B5"/>
    <w:pPr>
      <w:spacing w:before="60" w:line="240" w:lineRule="atLeast"/>
      <w:ind w:left="255" w:hanging="255"/>
    </w:pPr>
    <w:rPr>
      <w:sz w:val="20"/>
    </w:rPr>
  </w:style>
  <w:style w:type="paragraph" w:customStyle="1" w:styleId="CTA1a">
    <w:name w:val="CTA 1(a)"/>
    <w:basedOn w:val="OPCParaBase"/>
    <w:rsid w:val="001830B5"/>
    <w:pPr>
      <w:tabs>
        <w:tab w:val="right" w:pos="414"/>
      </w:tabs>
      <w:spacing w:before="40" w:line="240" w:lineRule="atLeast"/>
      <w:ind w:left="675" w:hanging="675"/>
    </w:pPr>
    <w:rPr>
      <w:sz w:val="20"/>
    </w:rPr>
  </w:style>
  <w:style w:type="paragraph" w:customStyle="1" w:styleId="CTA1ai">
    <w:name w:val="CTA 1(a)(i)"/>
    <w:basedOn w:val="OPCParaBase"/>
    <w:rsid w:val="001830B5"/>
    <w:pPr>
      <w:tabs>
        <w:tab w:val="right" w:pos="1004"/>
      </w:tabs>
      <w:spacing w:before="40" w:line="240" w:lineRule="atLeast"/>
      <w:ind w:left="1253" w:hanging="1253"/>
    </w:pPr>
    <w:rPr>
      <w:sz w:val="20"/>
    </w:rPr>
  </w:style>
  <w:style w:type="paragraph" w:customStyle="1" w:styleId="CTA2a">
    <w:name w:val="CTA 2(a)"/>
    <w:basedOn w:val="OPCParaBase"/>
    <w:rsid w:val="001830B5"/>
    <w:pPr>
      <w:tabs>
        <w:tab w:val="right" w:pos="482"/>
      </w:tabs>
      <w:spacing w:before="40" w:line="240" w:lineRule="atLeast"/>
      <w:ind w:left="748" w:hanging="748"/>
    </w:pPr>
    <w:rPr>
      <w:sz w:val="20"/>
    </w:rPr>
  </w:style>
  <w:style w:type="paragraph" w:customStyle="1" w:styleId="CTA2ai">
    <w:name w:val="CTA 2(a)(i)"/>
    <w:basedOn w:val="OPCParaBase"/>
    <w:rsid w:val="001830B5"/>
    <w:pPr>
      <w:tabs>
        <w:tab w:val="right" w:pos="1089"/>
      </w:tabs>
      <w:spacing w:before="40" w:line="240" w:lineRule="atLeast"/>
      <w:ind w:left="1327" w:hanging="1327"/>
    </w:pPr>
    <w:rPr>
      <w:sz w:val="20"/>
    </w:rPr>
  </w:style>
  <w:style w:type="paragraph" w:customStyle="1" w:styleId="CTA3a">
    <w:name w:val="CTA 3(a)"/>
    <w:basedOn w:val="OPCParaBase"/>
    <w:rsid w:val="001830B5"/>
    <w:pPr>
      <w:tabs>
        <w:tab w:val="right" w:pos="556"/>
      </w:tabs>
      <w:spacing w:before="40" w:line="240" w:lineRule="atLeast"/>
      <w:ind w:left="805" w:hanging="805"/>
    </w:pPr>
    <w:rPr>
      <w:sz w:val="20"/>
    </w:rPr>
  </w:style>
  <w:style w:type="paragraph" w:customStyle="1" w:styleId="CTA3ai">
    <w:name w:val="CTA 3(a)(i)"/>
    <w:basedOn w:val="OPCParaBase"/>
    <w:rsid w:val="001830B5"/>
    <w:pPr>
      <w:tabs>
        <w:tab w:val="right" w:pos="1140"/>
      </w:tabs>
      <w:spacing w:before="40" w:line="240" w:lineRule="atLeast"/>
      <w:ind w:left="1361" w:hanging="1361"/>
    </w:pPr>
    <w:rPr>
      <w:sz w:val="20"/>
    </w:rPr>
  </w:style>
  <w:style w:type="paragraph" w:customStyle="1" w:styleId="CTA4a">
    <w:name w:val="CTA 4(a)"/>
    <w:basedOn w:val="OPCParaBase"/>
    <w:rsid w:val="001830B5"/>
    <w:pPr>
      <w:tabs>
        <w:tab w:val="right" w:pos="624"/>
      </w:tabs>
      <w:spacing w:before="40" w:line="240" w:lineRule="atLeast"/>
      <w:ind w:left="873" w:hanging="873"/>
    </w:pPr>
    <w:rPr>
      <w:sz w:val="20"/>
    </w:rPr>
  </w:style>
  <w:style w:type="paragraph" w:customStyle="1" w:styleId="CTA4ai">
    <w:name w:val="CTA 4(a)(i)"/>
    <w:basedOn w:val="OPCParaBase"/>
    <w:rsid w:val="001830B5"/>
    <w:pPr>
      <w:tabs>
        <w:tab w:val="right" w:pos="1213"/>
      </w:tabs>
      <w:spacing w:before="40" w:line="240" w:lineRule="atLeast"/>
      <w:ind w:left="1452" w:hanging="1452"/>
    </w:pPr>
    <w:rPr>
      <w:sz w:val="20"/>
    </w:rPr>
  </w:style>
  <w:style w:type="paragraph" w:customStyle="1" w:styleId="CTACAPS">
    <w:name w:val="CTA CAPS"/>
    <w:basedOn w:val="OPCParaBase"/>
    <w:rsid w:val="001830B5"/>
    <w:pPr>
      <w:spacing w:before="60" w:line="240" w:lineRule="atLeast"/>
    </w:pPr>
    <w:rPr>
      <w:sz w:val="20"/>
    </w:rPr>
  </w:style>
  <w:style w:type="paragraph" w:customStyle="1" w:styleId="CTAright">
    <w:name w:val="CTA right"/>
    <w:basedOn w:val="OPCParaBase"/>
    <w:rsid w:val="001830B5"/>
    <w:pPr>
      <w:spacing w:before="60" w:line="240" w:lineRule="auto"/>
      <w:jc w:val="right"/>
    </w:pPr>
    <w:rPr>
      <w:sz w:val="20"/>
    </w:rPr>
  </w:style>
  <w:style w:type="paragraph" w:customStyle="1" w:styleId="subsection">
    <w:name w:val="subsection"/>
    <w:aliases w:val="ss"/>
    <w:basedOn w:val="OPCParaBase"/>
    <w:link w:val="subsectionChar"/>
    <w:rsid w:val="001830B5"/>
    <w:pPr>
      <w:tabs>
        <w:tab w:val="right" w:pos="1021"/>
      </w:tabs>
      <w:spacing w:before="180" w:line="240" w:lineRule="auto"/>
      <w:ind w:left="1134" w:hanging="1134"/>
    </w:pPr>
  </w:style>
  <w:style w:type="paragraph" w:customStyle="1" w:styleId="Definition">
    <w:name w:val="Definition"/>
    <w:aliases w:val="dd"/>
    <w:basedOn w:val="OPCParaBase"/>
    <w:rsid w:val="001830B5"/>
    <w:pPr>
      <w:spacing w:before="180" w:line="240" w:lineRule="auto"/>
      <w:ind w:left="1134"/>
    </w:pPr>
  </w:style>
  <w:style w:type="paragraph" w:customStyle="1" w:styleId="ETAsubitem">
    <w:name w:val="ETA(subitem)"/>
    <w:basedOn w:val="OPCParaBase"/>
    <w:rsid w:val="001830B5"/>
    <w:pPr>
      <w:tabs>
        <w:tab w:val="right" w:pos="340"/>
      </w:tabs>
      <w:spacing w:before="60" w:line="240" w:lineRule="auto"/>
      <w:ind w:left="454" w:hanging="454"/>
    </w:pPr>
    <w:rPr>
      <w:sz w:val="20"/>
    </w:rPr>
  </w:style>
  <w:style w:type="paragraph" w:customStyle="1" w:styleId="ETApara">
    <w:name w:val="ETA(para)"/>
    <w:basedOn w:val="OPCParaBase"/>
    <w:rsid w:val="001830B5"/>
    <w:pPr>
      <w:tabs>
        <w:tab w:val="right" w:pos="754"/>
      </w:tabs>
      <w:spacing w:before="60" w:line="240" w:lineRule="auto"/>
      <w:ind w:left="828" w:hanging="828"/>
    </w:pPr>
    <w:rPr>
      <w:sz w:val="20"/>
    </w:rPr>
  </w:style>
  <w:style w:type="paragraph" w:customStyle="1" w:styleId="ETAsubpara">
    <w:name w:val="ETA(subpara)"/>
    <w:basedOn w:val="OPCParaBase"/>
    <w:rsid w:val="001830B5"/>
    <w:pPr>
      <w:tabs>
        <w:tab w:val="right" w:pos="1083"/>
      </w:tabs>
      <w:spacing w:before="60" w:line="240" w:lineRule="auto"/>
      <w:ind w:left="1191" w:hanging="1191"/>
    </w:pPr>
    <w:rPr>
      <w:sz w:val="20"/>
    </w:rPr>
  </w:style>
  <w:style w:type="paragraph" w:customStyle="1" w:styleId="ETAsub-subpara">
    <w:name w:val="ETA(sub-subpara)"/>
    <w:basedOn w:val="OPCParaBase"/>
    <w:rsid w:val="001830B5"/>
    <w:pPr>
      <w:tabs>
        <w:tab w:val="right" w:pos="1412"/>
      </w:tabs>
      <w:spacing w:before="60" w:line="240" w:lineRule="auto"/>
      <w:ind w:left="1525" w:hanging="1525"/>
    </w:pPr>
    <w:rPr>
      <w:sz w:val="20"/>
    </w:rPr>
  </w:style>
  <w:style w:type="paragraph" w:customStyle="1" w:styleId="Formula">
    <w:name w:val="Formula"/>
    <w:basedOn w:val="OPCParaBase"/>
    <w:rsid w:val="001830B5"/>
    <w:pPr>
      <w:spacing w:line="240" w:lineRule="auto"/>
      <w:ind w:left="1134"/>
    </w:pPr>
    <w:rPr>
      <w:sz w:val="20"/>
    </w:rPr>
  </w:style>
  <w:style w:type="paragraph" w:styleId="Header">
    <w:name w:val="header"/>
    <w:basedOn w:val="OPCParaBase"/>
    <w:link w:val="HeaderChar"/>
    <w:unhideWhenUsed/>
    <w:rsid w:val="001830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30B5"/>
    <w:rPr>
      <w:rFonts w:eastAsia="Times New Roman" w:cs="Times New Roman"/>
      <w:sz w:val="16"/>
      <w:lang w:eastAsia="en-AU"/>
    </w:rPr>
  </w:style>
  <w:style w:type="paragraph" w:customStyle="1" w:styleId="House">
    <w:name w:val="House"/>
    <w:basedOn w:val="OPCParaBase"/>
    <w:rsid w:val="001830B5"/>
    <w:pPr>
      <w:spacing w:line="240" w:lineRule="auto"/>
    </w:pPr>
    <w:rPr>
      <w:sz w:val="28"/>
    </w:rPr>
  </w:style>
  <w:style w:type="paragraph" w:customStyle="1" w:styleId="Item">
    <w:name w:val="Item"/>
    <w:aliases w:val="i"/>
    <w:basedOn w:val="OPCParaBase"/>
    <w:next w:val="ItemHead"/>
    <w:link w:val="ItemChar"/>
    <w:rsid w:val="001830B5"/>
    <w:pPr>
      <w:keepLines/>
      <w:spacing w:before="80" w:line="240" w:lineRule="auto"/>
      <w:ind w:left="709"/>
    </w:pPr>
  </w:style>
  <w:style w:type="paragraph" w:customStyle="1" w:styleId="ItemHead">
    <w:name w:val="ItemHead"/>
    <w:aliases w:val="ih"/>
    <w:basedOn w:val="OPCParaBase"/>
    <w:next w:val="Item"/>
    <w:link w:val="ItemHeadChar"/>
    <w:rsid w:val="001830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30B5"/>
    <w:pPr>
      <w:spacing w:line="240" w:lineRule="auto"/>
    </w:pPr>
    <w:rPr>
      <w:b/>
      <w:sz w:val="32"/>
    </w:rPr>
  </w:style>
  <w:style w:type="paragraph" w:customStyle="1" w:styleId="notedraft">
    <w:name w:val="note(draft)"/>
    <w:aliases w:val="nd"/>
    <w:basedOn w:val="OPCParaBase"/>
    <w:rsid w:val="001830B5"/>
    <w:pPr>
      <w:spacing w:before="240" w:line="240" w:lineRule="auto"/>
      <w:ind w:left="284" w:hanging="284"/>
    </w:pPr>
    <w:rPr>
      <w:i/>
      <w:sz w:val="24"/>
    </w:rPr>
  </w:style>
  <w:style w:type="paragraph" w:customStyle="1" w:styleId="notemargin">
    <w:name w:val="note(margin)"/>
    <w:aliases w:val="nm"/>
    <w:basedOn w:val="OPCParaBase"/>
    <w:rsid w:val="001830B5"/>
    <w:pPr>
      <w:tabs>
        <w:tab w:val="left" w:pos="709"/>
      </w:tabs>
      <w:spacing w:before="122" w:line="198" w:lineRule="exact"/>
      <w:ind w:left="709" w:hanging="709"/>
    </w:pPr>
    <w:rPr>
      <w:sz w:val="18"/>
    </w:rPr>
  </w:style>
  <w:style w:type="paragraph" w:customStyle="1" w:styleId="noteToPara">
    <w:name w:val="noteToPara"/>
    <w:aliases w:val="ntp"/>
    <w:basedOn w:val="OPCParaBase"/>
    <w:rsid w:val="001830B5"/>
    <w:pPr>
      <w:spacing w:before="122" w:line="198" w:lineRule="exact"/>
      <w:ind w:left="2353" w:hanging="709"/>
    </w:pPr>
    <w:rPr>
      <w:sz w:val="18"/>
    </w:rPr>
  </w:style>
  <w:style w:type="paragraph" w:customStyle="1" w:styleId="noteParlAmend">
    <w:name w:val="note(ParlAmend)"/>
    <w:aliases w:val="npp"/>
    <w:basedOn w:val="OPCParaBase"/>
    <w:next w:val="ParlAmend"/>
    <w:rsid w:val="001830B5"/>
    <w:pPr>
      <w:spacing w:line="240" w:lineRule="auto"/>
      <w:jc w:val="right"/>
    </w:pPr>
    <w:rPr>
      <w:rFonts w:ascii="Arial" w:hAnsi="Arial"/>
      <w:b/>
      <w:i/>
    </w:rPr>
  </w:style>
  <w:style w:type="paragraph" w:customStyle="1" w:styleId="Page1">
    <w:name w:val="Page1"/>
    <w:basedOn w:val="OPCParaBase"/>
    <w:rsid w:val="001830B5"/>
    <w:pPr>
      <w:spacing w:before="5600" w:line="240" w:lineRule="auto"/>
    </w:pPr>
    <w:rPr>
      <w:b/>
      <w:sz w:val="32"/>
    </w:rPr>
  </w:style>
  <w:style w:type="paragraph" w:customStyle="1" w:styleId="PageBreak">
    <w:name w:val="PageBreak"/>
    <w:aliases w:val="pb"/>
    <w:basedOn w:val="OPCParaBase"/>
    <w:rsid w:val="001830B5"/>
    <w:pPr>
      <w:spacing w:line="240" w:lineRule="auto"/>
    </w:pPr>
    <w:rPr>
      <w:sz w:val="20"/>
    </w:rPr>
  </w:style>
  <w:style w:type="paragraph" w:customStyle="1" w:styleId="paragraphsub">
    <w:name w:val="paragraph(sub)"/>
    <w:aliases w:val="aa"/>
    <w:basedOn w:val="OPCParaBase"/>
    <w:link w:val="paragraphsubChar"/>
    <w:rsid w:val="001830B5"/>
    <w:pPr>
      <w:tabs>
        <w:tab w:val="right" w:pos="1985"/>
      </w:tabs>
      <w:spacing w:before="40" w:line="240" w:lineRule="auto"/>
      <w:ind w:left="2098" w:hanging="2098"/>
    </w:pPr>
  </w:style>
  <w:style w:type="paragraph" w:customStyle="1" w:styleId="paragraphsub-sub">
    <w:name w:val="paragraph(sub-sub)"/>
    <w:aliases w:val="aaa"/>
    <w:basedOn w:val="OPCParaBase"/>
    <w:rsid w:val="001830B5"/>
    <w:pPr>
      <w:tabs>
        <w:tab w:val="right" w:pos="2722"/>
      </w:tabs>
      <w:spacing w:before="40" w:line="240" w:lineRule="auto"/>
      <w:ind w:left="2835" w:hanging="2835"/>
    </w:pPr>
  </w:style>
  <w:style w:type="paragraph" w:customStyle="1" w:styleId="paragraph">
    <w:name w:val="paragraph"/>
    <w:aliases w:val="a"/>
    <w:basedOn w:val="OPCParaBase"/>
    <w:link w:val="paragraphChar"/>
    <w:rsid w:val="001830B5"/>
    <w:pPr>
      <w:tabs>
        <w:tab w:val="right" w:pos="1531"/>
      </w:tabs>
      <w:spacing w:before="40" w:line="240" w:lineRule="auto"/>
      <w:ind w:left="1644" w:hanging="1644"/>
    </w:pPr>
  </w:style>
  <w:style w:type="paragraph" w:customStyle="1" w:styleId="ParlAmend">
    <w:name w:val="ParlAmend"/>
    <w:aliases w:val="pp"/>
    <w:basedOn w:val="OPCParaBase"/>
    <w:rsid w:val="001830B5"/>
    <w:pPr>
      <w:spacing w:before="240" w:line="240" w:lineRule="atLeast"/>
      <w:ind w:hanging="567"/>
    </w:pPr>
    <w:rPr>
      <w:sz w:val="24"/>
    </w:rPr>
  </w:style>
  <w:style w:type="paragraph" w:customStyle="1" w:styleId="Penalty">
    <w:name w:val="Penalty"/>
    <w:basedOn w:val="OPCParaBase"/>
    <w:rsid w:val="001830B5"/>
    <w:pPr>
      <w:tabs>
        <w:tab w:val="left" w:pos="2977"/>
      </w:tabs>
      <w:spacing w:before="180" w:line="240" w:lineRule="auto"/>
      <w:ind w:left="1985" w:hanging="851"/>
    </w:pPr>
  </w:style>
  <w:style w:type="paragraph" w:customStyle="1" w:styleId="Portfolio">
    <w:name w:val="Portfolio"/>
    <w:basedOn w:val="OPCParaBase"/>
    <w:rsid w:val="001830B5"/>
    <w:pPr>
      <w:spacing w:line="240" w:lineRule="auto"/>
    </w:pPr>
    <w:rPr>
      <w:i/>
      <w:sz w:val="20"/>
    </w:rPr>
  </w:style>
  <w:style w:type="paragraph" w:customStyle="1" w:styleId="Preamble">
    <w:name w:val="Preamble"/>
    <w:basedOn w:val="OPCParaBase"/>
    <w:next w:val="Normal"/>
    <w:rsid w:val="001830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30B5"/>
    <w:pPr>
      <w:spacing w:line="240" w:lineRule="auto"/>
    </w:pPr>
    <w:rPr>
      <w:i/>
      <w:sz w:val="20"/>
    </w:rPr>
  </w:style>
  <w:style w:type="paragraph" w:customStyle="1" w:styleId="Session">
    <w:name w:val="Session"/>
    <w:basedOn w:val="OPCParaBase"/>
    <w:rsid w:val="001830B5"/>
    <w:pPr>
      <w:spacing w:line="240" w:lineRule="auto"/>
    </w:pPr>
    <w:rPr>
      <w:sz w:val="28"/>
    </w:rPr>
  </w:style>
  <w:style w:type="paragraph" w:customStyle="1" w:styleId="Sponsor">
    <w:name w:val="Sponsor"/>
    <w:basedOn w:val="OPCParaBase"/>
    <w:rsid w:val="001830B5"/>
    <w:pPr>
      <w:spacing w:line="240" w:lineRule="auto"/>
    </w:pPr>
    <w:rPr>
      <w:i/>
    </w:rPr>
  </w:style>
  <w:style w:type="paragraph" w:customStyle="1" w:styleId="Subitem">
    <w:name w:val="Subitem"/>
    <w:aliases w:val="iss"/>
    <w:basedOn w:val="OPCParaBase"/>
    <w:rsid w:val="001830B5"/>
    <w:pPr>
      <w:spacing w:before="180" w:line="240" w:lineRule="auto"/>
      <w:ind w:left="709" w:hanging="709"/>
    </w:pPr>
  </w:style>
  <w:style w:type="paragraph" w:customStyle="1" w:styleId="SubitemHead">
    <w:name w:val="SubitemHead"/>
    <w:aliases w:val="issh"/>
    <w:basedOn w:val="OPCParaBase"/>
    <w:rsid w:val="001830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30B5"/>
    <w:pPr>
      <w:spacing w:before="40" w:line="240" w:lineRule="auto"/>
      <w:ind w:left="1134"/>
    </w:pPr>
  </w:style>
  <w:style w:type="paragraph" w:customStyle="1" w:styleId="SubsectionHead">
    <w:name w:val="SubsectionHead"/>
    <w:aliases w:val="ssh"/>
    <w:basedOn w:val="OPCParaBase"/>
    <w:next w:val="subsection"/>
    <w:rsid w:val="001830B5"/>
    <w:pPr>
      <w:keepNext/>
      <w:keepLines/>
      <w:spacing w:before="240" w:line="240" w:lineRule="auto"/>
      <w:ind w:left="1134"/>
    </w:pPr>
    <w:rPr>
      <w:i/>
    </w:rPr>
  </w:style>
  <w:style w:type="paragraph" w:customStyle="1" w:styleId="Tablea">
    <w:name w:val="Table(a)"/>
    <w:aliases w:val="ta"/>
    <w:basedOn w:val="OPCParaBase"/>
    <w:rsid w:val="001830B5"/>
    <w:pPr>
      <w:spacing w:before="60" w:line="240" w:lineRule="auto"/>
      <w:ind w:left="284" w:hanging="284"/>
    </w:pPr>
    <w:rPr>
      <w:sz w:val="20"/>
    </w:rPr>
  </w:style>
  <w:style w:type="paragraph" w:customStyle="1" w:styleId="TableAA">
    <w:name w:val="Table(AA)"/>
    <w:aliases w:val="taaa"/>
    <w:basedOn w:val="OPCParaBase"/>
    <w:rsid w:val="001830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30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30B5"/>
    <w:pPr>
      <w:spacing w:before="60" w:line="240" w:lineRule="atLeast"/>
    </w:pPr>
    <w:rPr>
      <w:sz w:val="20"/>
    </w:rPr>
  </w:style>
  <w:style w:type="paragraph" w:customStyle="1" w:styleId="TLPBoxTextnote">
    <w:name w:val="TLPBoxText(note"/>
    <w:aliases w:val="right)"/>
    <w:basedOn w:val="OPCParaBase"/>
    <w:rsid w:val="001830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30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30B5"/>
    <w:pPr>
      <w:spacing w:before="122" w:line="198" w:lineRule="exact"/>
      <w:ind w:left="1985" w:hanging="851"/>
      <w:jc w:val="right"/>
    </w:pPr>
    <w:rPr>
      <w:sz w:val="18"/>
    </w:rPr>
  </w:style>
  <w:style w:type="paragraph" w:customStyle="1" w:styleId="TLPTableBullet">
    <w:name w:val="TLPTableBullet"/>
    <w:aliases w:val="ttb"/>
    <w:basedOn w:val="OPCParaBase"/>
    <w:rsid w:val="001830B5"/>
    <w:pPr>
      <w:spacing w:line="240" w:lineRule="exact"/>
      <w:ind w:left="284" w:hanging="284"/>
    </w:pPr>
    <w:rPr>
      <w:sz w:val="20"/>
    </w:rPr>
  </w:style>
  <w:style w:type="paragraph" w:styleId="TOC1">
    <w:name w:val="toc 1"/>
    <w:basedOn w:val="OPCParaBase"/>
    <w:next w:val="Normal"/>
    <w:uiPriority w:val="39"/>
    <w:semiHidden/>
    <w:unhideWhenUsed/>
    <w:rsid w:val="001830B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30B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830B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830B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830B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830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30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830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30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30B5"/>
    <w:pPr>
      <w:keepLines/>
      <w:spacing w:before="240" w:after="120" w:line="240" w:lineRule="auto"/>
      <w:ind w:left="794"/>
    </w:pPr>
    <w:rPr>
      <w:b/>
      <w:kern w:val="28"/>
      <w:sz w:val="20"/>
    </w:rPr>
  </w:style>
  <w:style w:type="paragraph" w:customStyle="1" w:styleId="TofSectsHeading">
    <w:name w:val="TofSects(Heading)"/>
    <w:basedOn w:val="OPCParaBase"/>
    <w:rsid w:val="001830B5"/>
    <w:pPr>
      <w:spacing w:before="240" w:after="120" w:line="240" w:lineRule="auto"/>
    </w:pPr>
    <w:rPr>
      <w:b/>
      <w:sz w:val="24"/>
    </w:rPr>
  </w:style>
  <w:style w:type="paragraph" w:customStyle="1" w:styleId="TofSectsSection">
    <w:name w:val="TofSects(Section)"/>
    <w:basedOn w:val="OPCParaBase"/>
    <w:rsid w:val="001830B5"/>
    <w:pPr>
      <w:keepLines/>
      <w:spacing w:before="40" w:line="240" w:lineRule="auto"/>
      <w:ind w:left="1588" w:hanging="794"/>
    </w:pPr>
    <w:rPr>
      <w:kern w:val="28"/>
      <w:sz w:val="18"/>
    </w:rPr>
  </w:style>
  <w:style w:type="paragraph" w:customStyle="1" w:styleId="TofSectsSubdiv">
    <w:name w:val="TofSects(Subdiv)"/>
    <w:basedOn w:val="OPCParaBase"/>
    <w:rsid w:val="001830B5"/>
    <w:pPr>
      <w:keepLines/>
      <w:spacing w:before="80" w:line="240" w:lineRule="auto"/>
      <w:ind w:left="1588" w:hanging="794"/>
    </w:pPr>
    <w:rPr>
      <w:kern w:val="28"/>
    </w:rPr>
  </w:style>
  <w:style w:type="paragraph" w:customStyle="1" w:styleId="WRStyle">
    <w:name w:val="WR Style"/>
    <w:aliases w:val="WR"/>
    <w:basedOn w:val="OPCParaBase"/>
    <w:rsid w:val="001830B5"/>
    <w:pPr>
      <w:spacing w:before="240" w:line="240" w:lineRule="auto"/>
      <w:ind w:left="284" w:hanging="284"/>
    </w:pPr>
    <w:rPr>
      <w:b/>
      <w:i/>
      <w:kern w:val="28"/>
      <w:sz w:val="24"/>
    </w:rPr>
  </w:style>
  <w:style w:type="paragraph" w:customStyle="1" w:styleId="notepara">
    <w:name w:val="note(para)"/>
    <w:aliases w:val="na"/>
    <w:basedOn w:val="OPCParaBase"/>
    <w:rsid w:val="001830B5"/>
    <w:pPr>
      <w:spacing w:before="40" w:line="198" w:lineRule="exact"/>
      <w:ind w:left="2354" w:hanging="369"/>
    </w:pPr>
    <w:rPr>
      <w:sz w:val="18"/>
    </w:rPr>
  </w:style>
  <w:style w:type="paragraph" w:styleId="Footer">
    <w:name w:val="footer"/>
    <w:link w:val="FooterChar"/>
    <w:rsid w:val="001830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30B5"/>
    <w:rPr>
      <w:rFonts w:eastAsia="Times New Roman" w:cs="Times New Roman"/>
      <w:sz w:val="22"/>
      <w:szCs w:val="24"/>
      <w:lang w:eastAsia="en-AU"/>
    </w:rPr>
  </w:style>
  <w:style w:type="character" w:styleId="LineNumber">
    <w:name w:val="line number"/>
    <w:basedOn w:val="OPCCharBase"/>
    <w:uiPriority w:val="99"/>
    <w:semiHidden/>
    <w:unhideWhenUsed/>
    <w:rsid w:val="001830B5"/>
    <w:rPr>
      <w:sz w:val="16"/>
    </w:rPr>
  </w:style>
  <w:style w:type="table" w:customStyle="1" w:styleId="CFlag">
    <w:name w:val="CFlag"/>
    <w:basedOn w:val="TableNormal"/>
    <w:uiPriority w:val="99"/>
    <w:rsid w:val="001830B5"/>
    <w:rPr>
      <w:rFonts w:eastAsia="Times New Roman" w:cs="Times New Roman"/>
      <w:lang w:eastAsia="en-AU"/>
    </w:rPr>
    <w:tblPr/>
  </w:style>
  <w:style w:type="paragraph" w:customStyle="1" w:styleId="NotesHeading1">
    <w:name w:val="NotesHeading 1"/>
    <w:basedOn w:val="OPCParaBase"/>
    <w:next w:val="Normal"/>
    <w:rsid w:val="001830B5"/>
    <w:rPr>
      <w:b/>
      <w:sz w:val="28"/>
      <w:szCs w:val="28"/>
    </w:rPr>
  </w:style>
  <w:style w:type="paragraph" w:customStyle="1" w:styleId="NotesHeading2">
    <w:name w:val="NotesHeading 2"/>
    <w:basedOn w:val="OPCParaBase"/>
    <w:next w:val="Normal"/>
    <w:rsid w:val="001830B5"/>
    <w:rPr>
      <w:b/>
      <w:sz w:val="28"/>
      <w:szCs w:val="28"/>
    </w:rPr>
  </w:style>
  <w:style w:type="paragraph" w:customStyle="1" w:styleId="SignCoverPageEnd">
    <w:name w:val="SignCoverPageEnd"/>
    <w:basedOn w:val="OPCParaBase"/>
    <w:next w:val="Normal"/>
    <w:rsid w:val="001830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30B5"/>
    <w:pPr>
      <w:pBdr>
        <w:top w:val="single" w:sz="4" w:space="1" w:color="auto"/>
      </w:pBdr>
      <w:spacing w:before="360"/>
      <w:ind w:right="397"/>
      <w:jc w:val="both"/>
    </w:pPr>
  </w:style>
  <w:style w:type="paragraph" w:customStyle="1" w:styleId="Paragraphsub-sub-sub">
    <w:name w:val="Paragraph(sub-sub-sub)"/>
    <w:aliases w:val="aaaa"/>
    <w:basedOn w:val="OPCParaBase"/>
    <w:rsid w:val="001830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30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30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30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30B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830B5"/>
    <w:pPr>
      <w:spacing w:before="120"/>
    </w:pPr>
  </w:style>
  <w:style w:type="paragraph" w:customStyle="1" w:styleId="TableTextEndNotes">
    <w:name w:val="TableTextEndNotes"/>
    <w:aliases w:val="Tten"/>
    <w:basedOn w:val="Normal"/>
    <w:rsid w:val="001830B5"/>
    <w:pPr>
      <w:spacing w:before="60" w:line="240" w:lineRule="auto"/>
    </w:pPr>
    <w:rPr>
      <w:rFonts w:cs="Arial"/>
      <w:sz w:val="20"/>
      <w:szCs w:val="22"/>
    </w:rPr>
  </w:style>
  <w:style w:type="paragraph" w:customStyle="1" w:styleId="TableHeading">
    <w:name w:val="TableHeading"/>
    <w:aliases w:val="th"/>
    <w:basedOn w:val="OPCParaBase"/>
    <w:next w:val="Tabletext"/>
    <w:rsid w:val="001830B5"/>
    <w:pPr>
      <w:keepNext/>
      <w:spacing w:before="60" w:line="240" w:lineRule="atLeast"/>
    </w:pPr>
    <w:rPr>
      <w:b/>
      <w:sz w:val="20"/>
    </w:rPr>
  </w:style>
  <w:style w:type="paragraph" w:customStyle="1" w:styleId="NoteToSubpara">
    <w:name w:val="NoteToSubpara"/>
    <w:aliases w:val="nts"/>
    <w:basedOn w:val="OPCParaBase"/>
    <w:rsid w:val="001830B5"/>
    <w:pPr>
      <w:spacing w:before="40" w:line="198" w:lineRule="exact"/>
      <w:ind w:left="2835" w:hanging="709"/>
    </w:pPr>
    <w:rPr>
      <w:sz w:val="18"/>
    </w:rPr>
  </w:style>
  <w:style w:type="paragraph" w:customStyle="1" w:styleId="ENoteTableHeading">
    <w:name w:val="ENoteTableHeading"/>
    <w:aliases w:val="enth"/>
    <w:basedOn w:val="OPCParaBase"/>
    <w:rsid w:val="001830B5"/>
    <w:pPr>
      <w:keepNext/>
      <w:spacing w:before="60" w:line="240" w:lineRule="atLeast"/>
    </w:pPr>
    <w:rPr>
      <w:rFonts w:ascii="Arial" w:hAnsi="Arial"/>
      <w:b/>
      <w:sz w:val="16"/>
    </w:rPr>
  </w:style>
  <w:style w:type="paragraph" w:customStyle="1" w:styleId="ENoteTTi">
    <w:name w:val="ENoteTTi"/>
    <w:aliases w:val="entti"/>
    <w:basedOn w:val="OPCParaBase"/>
    <w:rsid w:val="001830B5"/>
    <w:pPr>
      <w:keepNext/>
      <w:spacing w:before="60" w:line="240" w:lineRule="atLeast"/>
      <w:ind w:left="170"/>
    </w:pPr>
    <w:rPr>
      <w:sz w:val="16"/>
    </w:rPr>
  </w:style>
  <w:style w:type="paragraph" w:customStyle="1" w:styleId="ENotesHeading1">
    <w:name w:val="ENotesHeading 1"/>
    <w:aliases w:val="Enh1"/>
    <w:basedOn w:val="OPCParaBase"/>
    <w:next w:val="Normal"/>
    <w:rsid w:val="001830B5"/>
    <w:pPr>
      <w:spacing w:before="120"/>
      <w:outlineLvl w:val="1"/>
    </w:pPr>
    <w:rPr>
      <w:b/>
      <w:sz w:val="28"/>
      <w:szCs w:val="28"/>
    </w:rPr>
  </w:style>
  <w:style w:type="paragraph" w:customStyle="1" w:styleId="ENotesHeading2">
    <w:name w:val="ENotesHeading 2"/>
    <w:aliases w:val="Enh2"/>
    <w:basedOn w:val="OPCParaBase"/>
    <w:next w:val="Normal"/>
    <w:rsid w:val="001830B5"/>
    <w:pPr>
      <w:spacing w:before="120" w:after="120"/>
      <w:outlineLvl w:val="2"/>
    </w:pPr>
    <w:rPr>
      <w:b/>
      <w:sz w:val="24"/>
      <w:szCs w:val="28"/>
    </w:rPr>
  </w:style>
  <w:style w:type="paragraph" w:customStyle="1" w:styleId="ENoteTTIndentHeading">
    <w:name w:val="ENoteTTIndentHeading"/>
    <w:aliases w:val="enTTHi"/>
    <w:basedOn w:val="OPCParaBase"/>
    <w:rsid w:val="001830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30B5"/>
    <w:pPr>
      <w:spacing w:before="60" w:line="240" w:lineRule="atLeast"/>
    </w:pPr>
    <w:rPr>
      <w:sz w:val="16"/>
    </w:rPr>
  </w:style>
  <w:style w:type="paragraph" w:customStyle="1" w:styleId="MadeunderText">
    <w:name w:val="MadeunderText"/>
    <w:basedOn w:val="OPCParaBase"/>
    <w:next w:val="Normal"/>
    <w:rsid w:val="001830B5"/>
    <w:pPr>
      <w:spacing w:before="240"/>
    </w:pPr>
    <w:rPr>
      <w:sz w:val="24"/>
      <w:szCs w:val="24"/>
    </w:rPr>
  </w:style>
  <w:style w:type="paragraph" w:customStyle="1" w:styleId="ENotesHeading3">
    <w:name w:val="ENotesHeading 3"/>
    <w:aliases w:val="Enh3"/>
    <w:basedOn w:val="OPCParaBase"/>
    <w:next w:val="Normal"/>
    <w:rsid w:val="001830B5"/>
    <w:pPr>
      <w:keepNext/>
      <w:spacing w:before="120" w:line="240" w:lineRule="auto"/>
      <w:outlineLvl w:val="4"/>
    </w:pPr>
    <w:rPr>
      <w:b/>
      <w:szCs w:val="24"/>
    </w:rPr>
  </w:style>
  <w:style w:type="paragraph" w:customStyle="1" w:styleId="SubPartCASA">
    <w:name w:val="SubPart(CASA)"/>
    <w:aliases w:val="csp"/>
    <w:basedOn w:val="OPCParaBase"/>
    <w:next w:val="ActHead3"/>
    <w:rsid w:val="001830B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830B5"/>
  </w:style>
  <w:style w:type="character" w:customStyle="1" w:styleId="CharSubPartNoCASA">
    <w:name w:val="CharSubPartNo(CASA)"/>
    <w:basedOn w:val="OPCCharBase"/>
    <w:uiPriority w:val="1"/>
    <w:rsid w:val="001830B5"/>
  </w:style>
  <w:style w:type="paragraph" w:customStyle="1" w:styleId="ENoteTTIndentHeadingSub">
    <w:name w:val="ENoteTTIndentHeadingSub"/>
    <w:aliases w:val="enTTHis"/>
    <w:basedOn w:val="OPCParaBase"/>
    <w:rsid w:val="001830B5"/>
    <w:pPr>
      <w:keepNext/>
      <w:spacing w:before="60" w:line="240" w:lineRule="atLeast"/>
      <w:ind w:left="340"/>
    </w:pPr>
    <w:rPr>
      <w:b/>
      <w:sz w:val="16"/>
    </w:rPr>
  </w:style>
  <w:style w:type="paragraph" w:customStyle="1" w:styleId="ENoteTTiSub">
    <w:name w:val="ENoteTTiSub"/>
    <w:aliases w:val="enttis"/>
    <w:basedOn w:val="OPCParaBase"/>
    <w:rsid w:val="001830B5"/>
    <w:pPr>
      <w:keepNext/>
      <w:spacing w:before="60" w:line="240" w:lineRule="atLeast"/>
      <w:ind w:left="340"/>
    </w:pPr>
    <w:rPr>
      <w:sz w:val="16"/>
    </w:rPr>
  </w:style>
  <w:style w:type="paragraph" w:customStyle="1" w:styleId="SubDivisionMigration">
    <w:name w:val="SubDivisionMigration"/>
    <w:aliases w:val="sdm"/>
    <w:basedOn w:val="OPCParaBase"/>
    <w:rsid w:val="001830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30B5"/>
    <w:pPr>
      <w:keepNext/>
      <w:keepLines/>
      <w:spacing w:before="240" w:line="240" w:lineRule="auto"/>
      <w:ind w:left="1134" w:hanging="1134"/>
    </w:pPr>
    <w:rPr>
      <w:b/>
      <w:sz w:val="28"/>
    </w:rPr>
  </w:style>
  <w:style w:type="table" w:styleId="TableGrid">
    <w:name w:val="Table Grid"/>
    <w:basedOn w:val="TableNormal"/>
    <w:uiPriority w:val="59"/>
    <w:rsid w:val="0018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830B5"/>
    <w:pPr>
      <w:spacing w:before="122" w:line="240" w:lineRule="auto"/>
      <w:ind w:left="1985" w:hanging="851"/>
    </w:pPr>
    <w:rPr>
      <w:sz w:val="18"/>
    </w:rPr>
  </w:style>
  <w:style w:type="paragraph" w:customStyle="1" w:styleId="FreeForm">
    <w:name w:val="FreeForm"/>
    <w:rsid w:val="001830B5"/>
    <w:rPr>
      <w:rFonts w:ascii="Arial" w:hAnsi="Arial"/>
      <w:sz w:val="22"/>
    </w:rPr>
  </w:style>
  <w:style w:type="paragraph" w:customStyle="1" w:styleId="SOText">
    <w:name w:val="SO Text"/>
    <w:aliases w:val="sot"/>
    <w:link w:val="SOTextChar"/>
    <w:rsid w:val="001830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30B5"/>
    <w:rPr>
      <w:sz w:val="22"/>
    </w:rPr>
  </w:style>
  <w:style w:type="paragraph" w:customStyle="1" w:styleId="SOTextNote">
    <w:name w:val="SO TextNote"/>
    <w:aliases w:val="sont"/>
    <w:basedOn w:val="SOText"/>
    <w:qFormat/>
    <w:rsid w:val="001830B5"/>
    <w:pPr>
      <w:spacing w:before="122" w:line="198" w:lineRule="exact"/>
      <w:ind w:left="1843" w:hanging="709"/>
    </w:pPr>
    <w:rPr>
      <w:sz w:val="18"/>
    </w:rPr>
  </w:style>
  <w:style w:type="paragraph" w:customStyle="1" w:styleId="SOPara">
    <w:name w:val="SO Para"/>
    <w:aliases w:val="soa"/>
    <w:basedOn w:val="SOText"/>
    <w:link w:val="SOParaChar"/>
    <w:qFormat/>
    <w:rsid w:val="001830B5"/>
    <w:pPr>
      <w:tabs>
        <w:tab w:val="right" w:pos="1786"/>
      </w:tabs>
      <w:spacing w:before="40"/>
      <w:ind w:left="2070" w:hanging="936"/>
    </w:pPr>
  </w:style>
  <w:style w:type="character" w:customStyle="1" w:styleId="SOParaChar">
    <w:name w:val="SO Para Char"/>
    <w:aliases w:val="soa Char"/>
    <w:basedOn w:val="DefaultParagraphFont"/>
    <w:link w:val="SOPara"/>
    <w:rsid w:val="001830B5"/>
    <w:rPr>
      <w:sz w:val="22"/>
    </w:rPr>
  </w:style>
  <w:style w:type="paragraph" w:customStyle="1" w:styleId="FileName">
    <w:name w:val="FileName"/>
    <w:basedOn w:val="Normal"/>
    <w:rsid w:val="001830B5"/>
  </w:style>
  <w:style w:type="paragraph" w:customStyle="1" w:styleId="SOHeadBold">
    <w:name w:val="SO HeadBold"/>
    <w:aliases w:val="sohb"/>
    <w:basedOn w:val="SOText"/>
    <w:next w:val="SOText"/>
    <w:link w:val="SOHeadBoldChar"/>
    <w:qFormat/>
    <w:rsid w:val="001830B5"/>
    <w:rPr>
      <w:b/>
    </w:rPr>
  </w:style>
  <w:style w:type="character" w:customStyle="1" w:styleId="SOHeadBoldChar">
    <w:name w:val="SO HeadBold Char"/>
    <w:aliases w:val="sohb Char"/>
    <w:basedOn w:val="DefaultParagraphFont"/>
    <w:link w:val="SOHeadBold"/>
    <w:rsid w:val="001830B5"/>
    <w:rPr>
      <w:b/>
      <w:sz w:val="22"/>
    </w:rPr>
  </w:style>
  <w:style w:type="paragraph" w:customStyle="1" w:styleId="SOHeadItalic">
    <w:name w:val="SO HeadItalic"/>
    <w:aliases w:val="sohi"/>
    <w:basedOn w:val="SOText"/>
    <w:next w:val="SOText"/>
    <w:link w:val="SOHeadItalicChar"/>
    <w:qFormat/>
    <w:rsid w:val="001830B5"/>
    <w:rPr>
      <w:i/>
    </w:rPr>
  </w:style>
  <w:style w:type="character" w:customStyle="1" w:styleId="SOHeadItalicChar">
    <w:name w:val="SO HeadItalic Char"/>
    <w:aliases w:val="sohi Char"/>
    <w:basedOn w:val="DefaultParagraphFont"/>
    <w:link w:val="SOHeadItalic"/>
    <w:rsid w:val="001830B5"/>
    <w:rPr>
      <w:i/>
      <w:sz w:val="22"/>
    </w:rPr>
  </w:style>
  <w:style w:type="paragraph" w:customStyle="1" w:styleId="SOBullet">
    <w:name w:val="SO Bullet"/>
    <w:aliases w:val="sotb"/>
    <w:basedOn w:val="SOText"/>
    <w:link w:val="SOBulletChar"/>
    <w:qFormat/>
    <w:rsid w:val="001830B5"/>
    <w:pPr>
      <w:ind w:left="1559" w:hanging="425"/>
    </w:pPr>
  </w:style>
  <w:style w:type="character" w:customStyle="1" w:styleId="SOBulletChar">
    <w:name w:val="SO Bullet Char"/>
    <w:aliases w:val="sotb Char"/>
    <w:basedOn w:val="DefaultParagraphFont"/>
    <w:link w:val="SOBullet"/>
    <w:rsid w:val="001830B5"/>
    <w:rPr>
      <w:sz w:val="22"/>
    </w:rPr>
  </w:style>
  <w:style w:type="paragraph" w:customStyle="1" w:styleId="SOBulletNote">
    <w:name w:val="SO BulletNote"/>
    <w:aliases w:val="sonb"/>
    <w:basedOn w:val="SOTextNote"/>
    <w:link w:val="SOBulletNoteChar"/>
    <w:qFormat/>
    <w:rsid w:val="001830B5"/>
    <w:pPr>
      <w:tabs>
        <w:tab w:val="left" w:pos="1560"/>
      </w:tabs>
      <w:ind w:left="2268" w:hanging="1134"/>
    </w:pPr>
  </w:style>
  <w:style w:type="character" w:customStyle="1" w:styleId="SOBulletNoteChar">
    <w:name w:val="SO BulletNote Char"/>
    <w:aliases w:val="sonb Char"/>
    <w:basedOn w:val="DefaultParagraphFont"/>
    <w:link w:val="SOBulletNote"/>
    <w:rsid w:val="001830B5"/>
    <w:rPr>
      <w:sz w:val="18"/>
    </w:rPr>
  </w:style>
  <w:style w:type="paragraph" w:customStyle="1" w:styleId="SOText2">
    <w:name w:val="SO Text2"/>
    <w:aliases w:val="sot2"/>
    <w:basedOn w:val="Normal"/>
    <w:next w:val="SOText"/>
    <w:link w:val="SOText2Char"/>
    <w:rsid w:val="001830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30B5"/>
    <w:rPr>
      <w:sz w:val="22"/>
    </w:rPr>
  </w:style>
  <w:style w:type="paragraph" w:customStyle="1" w:styleId="Transitional">
    <w:name w:val="Transitional"/>
    <w:aliases w:val="tr"/>
    <w:basedOn w:val="ItemHead"/>
    <w:next w:val="Item"/>
    <w:link w:val="TransitionalChar"/>
    <w:rsid w:val="001830B5"/>
  </w:style>
  <w:style w:type="character" w:customStyle="1" w:styleId="ItemHeadChar">
    <w:name w:val="ItemHead Char"/>
    <w:aliases w:val="ih Char"/>
    <w:basedOn w:val="DefaultParagraphFont"/>
    <w:link w:val="ItemHead"/>
    <w:rsid w:val="00754A86"/>
    <w:rPr>
      <w:rFonts w:ascii="Arial" w:eastAsia="Times New Roman" w:hAnsi="Arial" w:cs="Times New Roman"/>
      <w:b/>
      <w:kern w:val="28"/>
      <w:sz w:val="24"/>
      <w:lang w:eastAsia="en-AU"/>
    </w:rPr>
  </w:style>
  <w:style w:type="character" w:customStyle="1" w:styleId="paragraphChar">
    <w:name w:val="paragraph Char"/>
    <w:aliases w:val="a Char"/>
    <w:link w:val="paragraph"/>
    <w:rsid w:val="00754A86"/>
    <w:rPr>
      <w:rFonts w:eastAsia="Times New Roman" w:cs="Times New Roman"/>
      <w:sz w:val="22"/>
      <w:lang w:eastAsia="en-AU"/>
    </w:rPr>
  </w:style>
  <w:style w:type="character" w:customStyle="1" w:styleId="ItemChar">
    <w:name w:val="Item Char"/>
    <w:aliases w:val="i Char"/>
    <w:basedOn w:val="DefaultParagraphFont"/>
    <w:link w:val="Item"/>
    <w:rsid w:val="00433AAC"/>
    <w:rPr>
      <w:rFonts w:eastAsia="Times New Roman" w:cs="Times New Roman"/>
      <w:sz w:val="22"/>
      <w:lang w:eastAsia="en-AU"/>
    </w:rPr>
  </w:style>
  <w:style w:type="paragraph" w:customStyle="1" w:styleId="tableText0">
    <w:name w:val="table.Text"/>
    <w:basedOn w:val="Normal"/>
    <w:rsid w:val="00433AAC"/>
    <w:pPr>
      <w:spacing w:before="24" w:after="24"/>
    </w:pPr>
    <w:rPr>
      <w:rFonts w:eastAsia="Calibri" w:cs="Times New Roman"/>
      <w:sz w:val="20"/>
    </w:rPr>
  </w:style>
  <w:style w:type="paragraph" w:customStyle="1" w:styleId="tableIndentText">
    <w:name w:val="table.Indent.Text"/>
    <w:rsid w:val="00433AAC"/>
    <w:pPr>
      <w:tabs>
        <w:tab w:val="left" w:leader="dot" w:pos="5245"/>
      </w:tabs>
      <w:spacing w:before="24" w:after="24"/>
      <w:ind w:left="851" w:hanging="284"/>
    </w:pPr>
    <w:rPr>
      <w:rFonts w:ascii="Times" w:eastAsia="Times New Roman" w:hAnsi="Times" w:cs="Times New Roman"/>
    </w:rPr>
  </w:style>
  <w:style w:type="paragraph" w:customStyle="1" w:styleId="CompiledActNo">
    <w:name w:val="CompiledActNo"/>
    <w:basedOn w:val="OPCParaBase"/>
    <w:next w:val="Normal"/>
    <w:rsid w:val="00CB58F6"/>
    <w:rPr>
      <w:b/>
      <w:sz w:val="24"/>
      <w:szCs w:val="24"/>
    </w:rPr>
  </w:style>
  <w:style w:type="paragraph" w:customStyle="1" w:styleId="CompiledMadeUnder">
    <w:name w:val="CompiledMadeUnder"/>
    <w:basedOn w:val="OPCParaBase"/>
    <w:next w:val="Normal"/>
    <w:rsid w:val="00CB58F6"/>
    <w:rPr>
      <w:i/>
      <w:sz w:val="24"/>
      <w:szCs w:val="24"/>
    </w:rPr>
  </w:style>
  <w:style w:type="character" w:customStyle="1" w:styleId="paragraphsubChar">
    <w:name w:val="paragraph(sub) Char"/>
    <w:aliases w:val="aa Char"/>
    <w:basedOn w:val="DefaultParagraphFont"/>
    <w:link w:val="paragraphsub"/>
    <w:rsid w:val="00CB58F6"/>
    <w:rPr>
      <w:rFonts w:eastAsia="Times New Roman" w:cs="Times New Roman"/>
      <w:sz w:val="22"/>
      <w:lang w:eastAsia="en-AU"/>
    </w:rPr>
  </w:style>
  <w:style w:type="character" w:customStyle="1" w:styleId="subsectionChar">
    <w:name w:val="subsection Char"/>
    <w:aliases w:val="ss Char"/>
    <w:link w:val="subsection"/>
    <w:locked/>
    <w:rsid w:val="00CB58F6"/>
    <w:rPr>
      <w:rFonts w:eastAsia="Times New Roman" w:cs="Times New Roman"/>
      <w:sz w:val="22"/>
      <w:lang w:eastAsia="en-AU"/>
    </w:rPr>
  </w:style>
  <w:style w:type="character" w:customStyle="1" w:styleId="notetextChar">
    <w:name w:val="note(text) Char"/>
    <w:aliases w:val="n Char"/>
    <w:basedOn w:val="DefaultParagraphFont"/>
    <w:link w:val="notetext"/>
    <w:rsid w:val="00CB58F6"/>
    <w:rPr>
      <w:rFonts w:eastAsia="Times New Roman" w:cs="Times New Roman"/>
      <w:sz w:val="18"/>
      <w:lang w:eastAsia="en-AU"/>
    </w:rPr>
  </w:style>
  <w:style w:type="character" w:customStyle="1" w:styleId="ActHead5Char">
    <w:name w:val="ActHead 5 Char"/>
    <w:aliases w:val="s Char"/>
    <w:basedOn w:val="DefaultParagraphFont"/>
    <w:link w:val="ActHead5"/>
    <w:rsid w:val="00CB58F6"/>
    <w:rPr>
      <w:rFonts w:eastAsia="Times New Roman" w:cs="Times New Roman"/>
      <w:b/>
      <w:kern w:val="28"/>
      <w:sz w:val="24"/>
      <w:lang w:eastAsia="en-AU"/>
    </w:rPr>
  </w:style>
  <w:style w:type="character" w:customStyle="1" w:styleId="TransitionalChar">
    <w:name w:val="Transitional Char"/>
    <w:aliases w:val="tr Char"/>
    <w:basedOn w:val="ItemHeadChar"/>
    <w:link w:val="Transitional"/>
    <w:rsid w:val="00CB58F6"/>
    <w:rPr>
      <w:rFonts w:ascii="Arial" w:eastAsia="Times New Roman" w:hAnsi="Arial" w:cs="Times New Roman"/>
      <w:b/>
      <w:kern w:val="28"/>
      <w:sz w:val="24"/>
      <w:lang w:eastAsia="en-AU"/>
    </w:rPr>
  </w:style>
  <w:style w:type="character" w:customStyle="1" w:styleId="ActHead7Char">
    <w:name w:val="ActHead 7 Char"/>
    <w:aliases w:val="ap Char"/>
    <w:basedOn w:val="DefaultParagraphFont"/>
    <w:link w:val="ActHead7"/>
    <w:rsid w:val="00CB58F6"/>
    <w:rPr>
      <w:rFonts w:ascii="Arial" w:eastAsia="Times New Roman" w:hAnsi="Arial" w:cs="Times New Roman"/>
      <w:b/>
      <w:kern w:val="28"/>
      <w:sz w:val="28"/>
      <w:lang w:eastAsia="en-AU"/>
    </w:rPr>
  </w:style>
  <w:style w:type="paragraph" w:customStyle="1" w:styleId="Specialap">
    <w:name w:val="Special ap"/>
    <w:basedOn w:val="ActHead7"/>
    <w:link w:val="SpecialapChar"/>
    <w:rsid w:val="00CB58F6"/>
    <w:pPr>
      <w:outlineLvl w:val="9"/>
    </w:pPr>
  </w:style>
  <w:style w:type="character" w:customStyle="1" w:styleId="SpecialapChar">
    <w:name w:val="Special ap Char"/>
    <w:basedOn w:val="ActHead7Char"/>
    <w:link w:val="Specialap"/>
    <w:rsid w:val="00CB58F6"/>
    <w:rPr>
      <w:rFonts w:ascii="Arial" w:eastAsia="Times New Roman" w:hAnsi="Arial" w:cs="Times New Roman"/>
      <w:b/>
      <w:kern w:val="28"/>
      <w:sz w:val="28"/>
      <w:lang w:eastAsia="en-AU"/>
    </w:rPr>
  </w:style>
  <w:style w:type="paragraph" w:customStyle="1" w:styleId="Specialas">
    <w:name w:val="Special as"/>
    <w:basedOn w:val="ActHead6"/>
    <w:link w:val="SpecialasChar"/>
    <w:rsid w:val="00CB58F6"/>
    <w:pPr>
      <w:outlineLvl w:val="9"/>
    </w:pPr>
  </w:style>
  <w:style w:type="character" w:customStyle="1" w:styleId="SpecialasChar">
    <w:name w:val="Special as Char"/>
    <w:basedOn w:val="DefaultParagraphFont"/>
    <w:link w:val="Specialas"/>
    <w:rsid w:val="00CB58F6"/>
    <w:rPr>
      <w:rFonts w:ascii="Arial" w:eastAsia="Times New Roman" w:hAnsi="Arial" w:cs="Times New Roman"/>
      <w:b/>
      <w:kern w:val="28"/>
      <w:sz w:val="32"/>
      <w:lang w:eastAsia="en-AU"/>
    </w:rPr>
  </w:style>
  <w:style w:type="paragraph" w:customStyle="1" w:styleId="Specialih">
    <w:name w:val="Special ih"/>
    <w:basedOn w:val="ItemHead"/>
    <w:link w:val="SpecialihChar"/>
    <w:rsid w:val="00CB58F6"/>
  </w:style>
  <w:style w:type="character" w:customStyle="1" w:styleId="SpecialihChar">
    <w:name w:val="Special ih Char"/>
    <w:basedOn w:val="ItemHeadChar"/>
    <w:link w:val="Specialih"/>
    <w:rsid w:val="00CB58F6"/>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0F1B01"/>
    <w:rPr>
      <w:color w:val="0000FF" w:themeColor="hyperlink"/>
      <w:u w:val="single"/>
    </w:rPr>
  </w:style>
  <w:style w:type="character" w:styleId="FollowedHyperlink">
    <w:name w:val="FollowedHyperlink"/>
    <w:basedOn w:val="DefaultParagraphFont"/>
    <w:uiPriority w:val="99"/>
    <w:semiHidden/>
    <w:unhideWhenUsed/>
    <w:rsid w:val="000F1B01"/>
    <w:rPr>
      <w:color w:val="0000FF" w:themeColor="hyperlink"/>
      <w:u w:val="single"/>
    </w:rPr>
  </w:style>
  <w:style w:type="character" w:customStyle="1" w:styleId="Heading1Char">
    <w:name w:val="Heading 1 Char"/>
    <w:basedOn w:val="DefaultParagraphFont"/>
    <w:link w:val="Heading1"/>
    <w:uiPriority w:val="9"/>
    <w:rsid w:val="006352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3527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3527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3527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3527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3527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3527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352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27D"/>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63527D"/>
    <w:pPr>
      <w:spacing w:before="800"/>
    </w:pPr>
  </w:style>
  <w:style w:type="character" w:customStyle="1" w:styleId="ShortTP1Char">
    <w:name w:val="ShortTP1 Char"/>
    <w:basedOn w:val="DefaultParagraphFont"/>
    <w:link w:val="ShortTP1"/>
    <w:rsid w:val="0063527D"/>
    <w:rPr>
      <w:rFonts w:eastAsia="Times New Roman" w:cs="Times New Roman"/>
      <w:b/>
      <w:sz w:val="40"/>
      <w:lang w:eastAsia="en-AU"/>
    </w:rPr>
  </w:style>
  <w:style w:type="paragraph" w:customStyle="1" w:styleId="ActNoP1">
    <w:name w:val="ActNoP1"/>
    <w:basedOn w:val="Actno"/>
    <w:link w:val="ActNoP1Char"/>
    <w:rsid w:val="0063527D"/>
    <w:pPr>
      <w:spacing w:before="800"/>
    </w:pPr>
    <w:rPr>
      <w:sz w:val="28"/>
    </w:rPr>
  </w:style>
  <w:style w:type="character" w:customStyle="1" w:styleId="ActNoP1Char">
    <w:name w:val="ActNoP1 Char"/>
    <w:basedOn w:val="DefaultParagraphFont"/>
    <w:link w:val="ActNoP1"/>
    <w:rsid w:val="0063527D"/>
    <w:rPr>
      <w:rFonts w:eastAsia="Times New Roman" w:cs="Times New Roman"/>
      <w:b/>
      <w:sz w:val="28"/>
      <w:lang w:eastAsia="en-AU"/>
    </w:rPr>
  </w:style>
  <w:style w:type="paragraph" w:customStyle="1" w:styleId="AssentBk">
    <w:name w:val="AssentBk"/>
    <w:basedOn w:val="Normal"/>
    <w:rsid w:val="0063527D"/>
    <w:pPr>
      <w:spacing w:line="240" w:lineRule="auto"/>
    </w:pPr>
    <w:rPr>
      <w:rFonts w:eastAsia="Times New Roman" w:cs="Times New Roman"/>
      <w:sz w:val="20"/>
      <w:lang w:eastAsia="en-AU"/>
    </w:rPr>
  </w:style>
  <w:style w:type="paragraph" w:customStyle="1" w:styleId="AssentDt">
    <w:name w:val="AssentDt"/>
    <w:basedOn w:val="Normal"/>
    <w:rsid w:val="001066D2"/>
    <w:pPr>
      <w:spacing w:line="240" w:lineRule="auto"/>
    </w:pPr>
    <w:rPr>
      <w:rFonts w:eastAsia="Times New Roman" w:cs="Times New Roman"/>
      <w:sz w:val="20"/>
      <w:lang w:eastAsia="en-AU"/>
    </w:rPr>
  </w:style>
  <w:style w:type="paragraph" w:customStyle="1" w:styleId="2ndRd">
    <w:name w:val="2ndRd"/>
    <w:basedOn w:val="Normal"/>
    <w:rsid w:val="001066D2"/>
    <w:pPr>
      <w:spacing w:line="240" w:lineRule="auto"/>
    </w:pPr>
    <w:rPr>
      <w:rFonts w:eastAsia="Times New Roman" w:cs="Times New Roman"/>
      <w:sz w:val="20"/>
      <w:lang w:eastAsia="en-AU"/>
    </w:rPr>
  </w:style>
  <w:style w:type="paragraph" w:customStyle="1" w:styleId="ScalePlusRef">
    <w:name w:val="ScalePlusRef"/>
    <w:basedOn w:val="Normal"/>
    <w:rsid w:val="001066D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48</Pages>
  <Words>10043</Words>
  <Characters>50189</Characters>
  <Application>Microsoft Office Word</Application>
  <DocSecurity>0</DocSecurity>
  <PresentationFormat/>
  <Lines>1254</Lines>
  <Paragraphs>752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2022-07-04T06:56:00Z</cp:lastPrinted>
  <dcterms:created xsi:type="dcterms:W3CDTF">2022-08-09T05:21:00Z</dcterms:created>
  <dcterms:modified xsi:type="dcterms:W3CDTF">2022-08-09T05:32:00Z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(2022 Measures No. 1) Act 2022</vt:lpwstr>
  </property>
  <property fmtid="{D5CDD505-2E9C-101B-9397-08002B2CF9AE}" pid="3" name="ActNo">
    <vt:lpwstr>No. 35,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OPC7959</vt:lpwstr>
  </property>
  <property fmtid="{D5CDD505-2E9C-101B-9397-08002B2CF9AE}" pid="10" name="MSIP_Label_234ea0fa-41da-4eb0-b95e-07c328641c0b_Enabled">
    <vt:lpwstr>true</vt:lpwstr>
  </property>
  <property fmtid="{D5CDD505-2E9C-101B-9397-08002B2CF9AE}" pid="11" name="MSIP_Label_234ea0fa-41da-4eb0-b95e-07c328641c0b_SetDate">
    <vt:lpwstr>2022-08-04T04:30:01Z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3ccecbba-737b-4426-ab87-81cef3a308af</vt:lpwstr>
  </property>
  <property fmtid="{D5CDD505-2E9C-101B-9397-08002B2CF9AE}" pid="16" name="MSIP_Label_234ea0fa-41da-4eb0-b95e-07c328641c0b_ContentBits">
    <vt:lpwstr>0</vt:lpwstr>
  </property>
</Properties>
</file>