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09647415"/>
    <w:p w14:paraId="6E9A8FB7" w14:textId="47A18BC2" w:rsidR="00311609" w:rsidRDefault="00311609" w:rsidP="00311609">
      <w:r>
        <w:object w:dxaOrig="2146" w:dyaOrig="1561" w14:anchorId="1FD93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24658031" r:id="rId9"/>
        </w:object>
      </w:r>
    </w:p>
    <w:p w14:paraId="7E3FF0DF" w14:textId="77777777" w:rsidR="00311609" w:rsidRDefault="00311609" w:rsidP="00311609"/>
    <w:p w14:paraId="5F349AD6" w14:textId="77777777" w:rsidR="00311609" w:rsidRDefault="00311609" w:rsidP="00311609"/>
    <w:p w14:paraId="1A0ABF7A" w14:textId="77777777" w:rsidR="00311609" w:rsidRDefault="00311609" w:rsidP="00311609"/>
    <w:p w14:paraId="4D978806" w14:textId="77777777" w:rsidR="00311609" w:rsidRDefault="00311609" w:rsidP="00311609"/>
    <w:p w14:paraId="15425B78" w14:textId="77777777" w:rsidR="00311609" w:rsidRDefault="00311609" w:rsidP="00311609"/>
    <w:p w14:paraId="2AAD15BE" w14:textId="77777777" w:rsidR="00311609" w:rsidRDefault="00311609" w:rsidP="00311609"/>
    <w:p w14:paraId="66B96169" w14:textId="78D16CAA" w:rsidR="00715914" w:rsidRPr="001E75CA" w:rsidRDefault="00311609" w:rsidP="00715914">
      <w:pPr>
        <w:pStyle w:val="ShortT"/>
      </w:pPr>
      <w:r>
        <w:t>Climate Change Act 2022</w:t>
      </w:r>
    </w:p>
    <w:bookmarkEnd w:id="0"/>
    <w:p w14:paraId="70DAEE2E" w14:textId="77777777" w:rsidR="00715914" w:rsidRPr="001E75CA" w:rsidRDefault="00715914" w:rsidP="00715914"/>
    <w:p w14:paraId="19F05047" w14:textId="0159A832" w:rsidR="00715914" w:rsidRPr="001E75CA" w:rsidRDefault="00715914" w:rsidP="00311609">
      <w:pPr>
        <w:pStyle w:val="Actno"/>
        <w:spacing w:before="400"/>
      </w:pPr>
      <w:r w:rsidRPr="001E75CA">
        <w:t>No.</w:t>
      </w:r>
      <w:r w:rsidR="00ED3FF8">
        <w:t xml:space="preserve"> 37</w:t>
      </w:r>
      <w:r w:rsidR="006C41FA" w:rsidRPr="001E75CA">
        <w:t>, 202</w:t>
      </w:r>
      <w:r w:rsidR="003A504B" w:rsidRPr="001E75CA">
        <w:t>2</w:t>
      </w:r>
    </w:p>
    <w:p w14:paraId="3344671F" w14:textId="77777777" w:rsidR="00715914" w:rsidRPr="001E75CA" w:rsidRDefault="00715914" w:rsidP="00715914"/>
    <w:p w14:paraId="1B553005" w14:textId="77777777" w:rsidR="004C69D9" w:rsidRDefault="004C69D9" w:rsidP="004C69D9">
      <w:pPr>
        <w:rPr>
          <w:lang w:eastAsia="en-AU"/>
        </w:rPr>
      </w:pPr>
    </w:p>
    <w:p w14:paraId="1FB5BF45" w14:textId="520B6CAE" w:rsidR="00990ED3" w:rsidRPr="001E75CA" w:rsidRDefault="00990ED3" w:rsidP="00715914"/>
    <w:p w14:paraId="1A77878B" w14:textId="77777777" w:rsidR="00990ED3" w:rsidRPr="001E75CA" w:rsidRDefault="00990ED3" w:rsidP="00715914"/>
    <w:p w14:paraId="7697B24A" w14:textId="77777777" w:rsidR="00990ED3" w:rsidRPr="001E75CA" w:rsidRDefault="00990ED3" w:rsidP="00715914"/>
    <w:p w14:paraId="7C7B66F8" w14:textId="77777777" w:rsidR="00311609" w:rsidRDefault="00311609" w:rsidP="00311609">
      <w:pPr>
        <w:pStyle w:val="LongT"/>
      </w:pPr>
      <w:r>
        <w:t>An Act to set out Australia’s greenhouse gas emissions reduction targets, to provide for annual climate change statements, to confer advisory functions on the Climate Change Authority, and for related purposes</w:t>
      </w:r>
    </w:p>
    <w:p w14:paraId="6E18ADAC" w14:textId="7BE788E3" w:rsidR="00715914" w:rsidRPr="005C68A8" w:rsidRDefault="00715914" w:rsidP="00715914">
      <w:pPr>
        <w:pStyle w:val="Header"/>
        <w:tabs>
          <w:tab w:val="clear" w:pos="4150"/>
          <w:tab w:val="clear" w:pos="8307"/>
        </w:tabs>
      </w:pPr>
      <w:r w:rsidRPr="005C68A8">
        <w:rPr>
          <w:rStyle w:val="CharChapNo"/>
        </w:rPr>
        <w:t xml:space="preserve"> </w:t>
      </w:r>
      <w:r w:rsidRPr="005C68A8">
        <w:rPr>
          <w:rStyle w:val="CharChapText"/>
        </w:rPr>
        <w:t xml:space="preserve"> </w:t>
      </w:r>
    </w:p>
    <w:p w14:paraId="43CB9738" w14:textId="77777777" w:rsidR="00715914" w:rsidRPr="005C68A8" w:rsidRDefault="00715914" w:rsidP="00715914">
      <w:pPr>
        <w:pStyle w:val="Header"/>
        <w:tabs>
          <w:tab w:val="clear" w:pos="4150"/>
          <w:tab w:val="clear" w:pos="8307"/>
        </w:tabs>
      </w:pPr>
      <w:r w:rsidRPr="005C68A8">
        <w:rPr>
          <w:rStyle w:val="CharPartNo"/>
        </w:rPr>
        <w:t xml:space="preserve"> </w:t>
      </w:r>
      <w:r w:rsidRPr="005C68A8">
        <w:rPr>
          <w:rStyle w:val="CharPartText"/>
        </w:rPr>
        <w:t xml:space="preserve"> </w:t>
      </w:r>
    </w:p>
    <w:p w14:paraId="7475235F" w14:textId="77777777" w:rsidR="00715914" w:rsidRPr="005C68A8" w:rsidRDefault="00715914" w:rsidP="00715914">
      <w:pPr>
        <w:pStyle w:val="Header"/>
        <w:tabs>
          <w:tab w:val="clear" w:pos="4150"/>
          <w:tab w:val="clear" w:pos="8307"/>
        </w:tabs>
      </w:pPr>
      <w:r w:rsidRPr="005C68A8">
        <w:rPr>
          <w:rStyle w:val="CharDivNo"/>
        </w:rPr>
        <w:t xml:space="preserve"> </w:t>
      </w:r>
      <w:r w:rsidRPr="005C68A8">
        <w:rPr>
          <w:rStyle w:val="CharDivText"/>
        </w:rPr>
        <w:t xml:space="preserve"> </w:t>
      </w:r>
    </w:p>
    <w:p w14:paraId="4CDAE028" w14:textId="77777777" w:rsidR="00715914" w:rsidRPr="001E75CA" w:rsidRDefault="00715914" w:rsidP="00715914">
      <w:pPr>
        <w:sectPr w:rsidR="00715914" w:rsidRPr="001E75CA" w:rsidSect="0031160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03D6470F" w14:textId="77777777" w:rsidR="00715914" w:rsidRPr="001E75CA" w:rsidRDefault="00715914" w:rsidP="00715914">
      <w:pPr>
        <w:outlineLvl w:val="0"/>
        <w:rPr>
          <w:sz w:val="36"/>
        </w:rPr>
      </w:pPr>
      <w:r w:rsidRPr="001E75CA">
        <w:rPr>
          <w:sz w:val="36"/>
        </w:rPr>
        <w:lastRenderedPageBreak/>
        <w:t>Contents</w:t>
      </w:r>
    </w:p>
    <w:p w14:paraId="02C731C3" w14:textId="2FACF31D" w:rsidR="0023486F" w:rsidRDefault="0023486F">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23486F">
        <w:rPr>
          <w:b w:val="0"/>
          <w:noProof/>
          <w:sz w:val="18"/>
        </w:rPr>
        <w:tab/>
      </w:r>
      <w:r w:rsidRPr="0023486F">
        <w:rPr>
          <w:b w:val="0"/>
          <w:noProof/>
          <w:sz w:val="18"/>
        </w:rPr>
        <w:fldChar w:fldCharType="begin"/>
      </w:r>
      <w:r w:rsidRPr="0023486F">
        <w:rPr>
          <w:b w:val="0"/>
          <w:noProof/>
          <w:sz w:val="18"/>
        </w:rPr>
        <w:instrText xml:space="preserve"> PAGEREF _Toc114044707 \h </w:instrText>
      </w:r>
      <w:r w:rsidRPr="0023486F">
        <w:rPr>
          <w:b w:val="0"/>
          <w:noProof/>
          <w:sz w:val="18"/>
        </w:rPr>
      </w:r>
      <w:r w:rsidRPr="0023486F">
        <w:rPr>
          <w:b w:val="0"/>
          <w:noProof/>
          <w:sz w:val="18"/>
        </w:rPr>
        <w:fldChar w:fldCharType="separate"/>
      </w:r>
      <w:r w:rsidR="001F7122">
        <w:rPr>
          <w:b w:val="0"/>
          <w:noProof/>
          <w:sz w:val="18"/>
        </w:rPr>
        <w:t>2</w:t>
      </w:r>
      <w:r w:rsidRPr="0023486F">
        <w:rPr>
          <w:b w:val="0"/>
          <w:noProof/>
          <w:sz w:val="18"/>
        </w:rPr>
        <w:fldChar w:fldCharType="end"/>
      </w:r>
    </w:p>
    <w:p w14:paraId="2ECCA53C" w14:textId="6582D161" w:rsidR="0023486F" w:rsidRDefault="0023486F">
      <w:pPr>
        <w:pStyle w:val="TOC5"/>
        <w:rPr>
          <w:rFonts w:asciiTheme="minorHAnsi" w:eastAsiaTheme="minorEastAsia" w:hAnsiTheme="minorHAnsi" w:cstheme="minorBidi"/>
          <w:noProof/>
          <w:kern w:val="0"/>
          <w:sz w:val="22"/>
          <w:szCs w:val="22"/>
        </w:rPr>
      </w:pPr>
      <w:r>
        <w:rPr>
          <w:noProof/>
        </w:rPr>
        <w:t>1</w:t>
      </w:r>
      <w:r>
        <w:rPr>
          <w:noProof/>
        </w:rPr>
        <w:tab/>
        <w:t>Short title</w:t>
      </w:r>
      <w:r w:rsidRPr="0023486F">
        <w:rPr>
          <w:noProof/>
        </w:rPr>
        <w:tab/>
      </w:r>
      <w:r w:rsidRPr="0023486F">
        <w:rPr>
          <w:noProof/>
        </w:rPr>
        <w:fldChar w:fldCharType="begin"/>
      </w:r>
      <w:r w:rsidRPr="0023486F">
        <w:rPr>
          <w:noProof/>
        </w:rPr>
        <w:instrText xml:space="preserve"> PAGEREF _Toc114044708 \h </w:instrText>
      </w:r>
      <w:r w:rsidRPr="0023486F">
        <w:rPr>
          <w:noProof/>
        </w:rPr>
      </w:r>
      <w:r w:rsidRPr="0023486F">
        <w:rPr>
          <w:noProof/>
        </w:rPr>
        <w:fldChar w:fldCharType="separate"/>
      </w:r>
      <w:r w:rsidR="001F7122">
        <w:rPr>
          <w:noProof/>
        </w:rPr>
        <w:t>2</w:t>
      </w:r>
      <w:r w:rsidRPr="0023486F">
        <w:rPr>
          <w:noProof/>
        </w:rPr>
        <w:fldChar w:fldCharType="end"/>
      </w:r>
    </w:p>
    <w:p w14:paraId="7BEBCCC2" w14:textId="3C251C06" w:rsidR="0023486F" w:rsidRDefault="0023486F">
      <w:pPr>
        <w:pStyle w:val="TOC5"/>
        <w:rPr>
          <w:rFonts w:asciiTheme="minorHAnsi" w:eastAsiaTheme="minorEastAsia" w:hAnsiTheme="minorHAnsi" w:cstheme="minorBidi"/>
          <w:noProof/>
          <w:kern w:val="0"/>
          <w:sz w:val="22"/>
          <w:szCs w:val="22"/>
        </w:rPr>
      </w:pPr>
      <w:r>
        <w:rPr>
          <w:noProof/>
        </w:rPr>
        <w:t>2</w:t>
      </w:r>
      <w:r>
        <w:rPr>
          <w:noProof/>
        </w:rPr>
        <w:tab/>
        <w:t>Commencement</w:t>
      </w:r>
      <w:r w:rsidRPr="0023486F">
        <w:rPr>
          <w:noProof/>
        </w:rPr>
        <w:tab/>
      </w:r>
      <w:r w:rsidRPr="0023486F">
        <w:rPr>
          <w:noProof/>
        </w:rPr>
        <w:fldChar w:fldCharType="begin"/>
      </w:r>
      <w:r w:rsidRPr="0023486F">
        <w:rPr>
          <w:noProof/>
        </w:rPr>
        <w:instrText xml:space="preserve"> PAGEREF _Toc114044709 \h </w:instrText>
      </w:r>
      <w:r w:rsidRPr="0023486F">
        <w:rPr>
          <w:noProof/>
        </w:rPr>
      </w:r>
      <w:r w:rsidRPr="0023486F">
        <w:rPr>
          <w:noProof/>
        </w:rPr>
        <w:fldChar w:fldCharType="separate"/>
      </w:r>
      <w:r w:rsidR="001F7122">
        <w:rPr>
          <w:noProof/>
        </w:rPr>
        <w:t>2</w:t>
      </w:r>
      <w:r w:rsidRPr="0023486F">
        <w:rPr>
          <w:noProof/>
        </w:rPr>
        <w:fldChar w:fldCharType="end"/>
      </w:r>
    </w:p>
    <w:p w14:paraId="201B16C7" w14:textId="7BD153B1" w:rsidR="0023486F" w:rsidRDefault="0023486F">
      <w:pPr>
        <w:pStyle w:val="TOC5"/>
        <w:rPr>
          <w:rFonts w:asciiTheme="minorHAnsi" w:eastAsiaTheme="minorEastAsia" w:hAnsiTheme="minorHAnsi" w:cstheme="minorBidi"/>
          <w:noProof/>
          <w:kern w:val="0"/>
          <w:sz w:val="22"/>
          <w:szCs w:val="22"/>
        </w:rPr>
      </w:pPr>
      <w:r>
        <w:rPr>
          <w:noProof/>
        </w:rPr>
        <w:t>3</w:t>
      </w:r>
      <w:r>
        <w:rPr>
          <w:noProof/>
        </w:rPr>
        <w:tab/>
        <w:t>Objects</w:t>
      </w:r>
      <w:r w:rsidRPr="0023486F">
        <w:rPr>
          <w:noProof/>
        </w:rPr>
        <w:tab/>
      </w:r>
      <w:r w:rsidRPr="0023486F">
        <w:rPr>
          <w:noProof/>
        </w:rPr>
        <w:fldChar w:fldCharType="begin"/>
      </w:r>
      <w:r w:rsidRPr="0023486F">
        <w:rPr>
          <w:noProof/>
        </w:rPr>
        <w:instrText xml:space="preserve"> PAGEREF _Toc114044710 \h </w:instrText>
      </w:r>
      <w:r w:rsidRPr="0023486F">
        <w:rPr>
          <w:noProof/>
        </w:rPr>
      </w:r>
      <w:r w:rsidRPr="0023486F">
        <w:rPr>
          <w:noProof/>
        </w:rPr>
        <w:fldChar w:fldCharType="separate"/>
      </w:r>
      <w:r w:rsidR="001F7122">
        <w:rPr>
          <w:noProof/>
        </w:rPr>
        <w:t>2</w:t>
      </w:r>
      <w:r w:rsidRPr="0023486F">
        <w:rPr>
          <w:noProof/>
        </w:rPr>
        <w:fldChar w:fldCharType="end"/>
      </w:r>
    </w:p>
    <w:p w14:paraId="4A45A423" w14:textId="05DB75C9" w:rsidR="0023486F" w:rsidRDefault="0023486F">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23486F">
        <w:rPr>
          <w:noProof/>
        </w:rPr>
        <w:tab/>
      </w:r>
      <w:r w:rsidRPr="0023486F">
        <w:rPr>
          <w:noProof/>
        </w:rPr>
        <w:fldChar w:fldCharType="begin"/>
      </w:r>
      <w:r w:rsidRPr="0023486F">
        <w:rPr>
          <w:noProof/>
        </w:rPr>
        <w:instrText xml:space="preserve"> PAGEREF _Toc114044711 \h </w:instrText>
      </w:r>
      <w:r w:rsidRPr="0023486F">
        <w:rPr>
          <w:noProof/>
        </w:rPr>
      </w:r>
      <w:r w:rsidRPr="0023486F">
        <w:rPr>
          <w:noProof/>
        </w:rPr>
        <w:fldChar w:fldCharType="separate"/>
      </w:r>
      <w:r w:rsidR="001F7122">
        <w:rPr>
          <w:noProof/>
        </w:rPr>
        <w:t>3</w:t>
      </w:r>
      <w:r w:rsidRPr="0023486F">
        <w:rPr>
          <w:noProof/>
        </w:rPr>
        <w:fldChar w:fldCharType="end"/>
      </w:r>
    </w:p>
    <w:p w14:paraId="6CB6B65E" w14:textId="3E92A06C" w:rsidR="0023486F" w:rsidRDefault="0023486F">
      <w:pPr>
        <w:pStyle w:val="TOC5"/>
        <w:rPr>
          <w:rFonts w:asciiTheme="minorHAnsi" w:eastAsiaTheme="minorEastAsia" w:hAnsiTheme="minorHAnsi" w:cstheme="minorBidi"/>
          <w:noProof/>
          <w:kern w:val="0"/>
          <w:sz w:val="22"/>
          <w:szCs w:val="22"/>
        </w:rPr>
      </w:pPr>
      <w:r>
        <w:rPr>
          <w:noProof/>
        </w:rPr>
        <w:t>5</w:t>
      </w:r>
      <w:r>
        <w:rPr>
          <w:noProof/>
        </w:rPr>
        <w:tab/>
        <w:t>Definitions</w:t>
      </w:r>
      <w:r w:rsidRPr="0023486F">
        <w:rPr>
          <w:noProof/>
        </w:rPr>
        <w:tab/>
      </w:r>
      <w:r w:rsidRPr="0023486F">
        <w:rPr>
          <w:noProof/>
        </w:rPr>
        <w:fldChar w:fldCharType="begin"/>
      </w:r>
      <w:r w:rsidRPr="0023486F">
        <w:rPr>
          <w:noProof/>
        </w:rPr>
        <w:instrText xml:space="preserve"> PAGEREF _Toc114044712 \h </w:instrText>
      </w:r>
      <w:r w:rsidRPr="0023486F">
        <w:rPr>
          <w:noProof/>
        </w:rPr>
      </w:r>
      <w:r w:rsidRPr="0023486F">
        <w:rPr>
          <w:noProof/>
        </w:rPr>
        <w:fldChar w:fldCharType="separate"/>
      </w:r>
      <w:r w:rsidR="001F7122">
        <w:rPr>
          <w:noProof/>
        </w:rPr>
        <w:t>3</w:t>
      </w:r>
      <w:r w:rsidRPr="0023486F">
        <w:rPr>
          <w:noProof/>
        </w:rPr>
        <w:fldChar w:fldCharType="end"/>
      </w:r>
    </w:p>
    <w:p w14:paraId="387F2451" w14:textId="034605B1" w:rsidR="0023486F" w:rsidRDefault="0023486F">
      <w:pPr>
        <w:pStyle w:val="TOC5"/>
        <w:rPr>
          <w:rFonts w:asciiTheme="minorHAnsi" w:eastAsiaTheme="minorEastAsia" w:hAnsiTheme="minorHAnsi" w:cstheme="minorBidi"/>
          <w:noProof/>
          <w:kern w:val="0"/>
          <w:sz w:val="22"/>
          <w:szCs w:val="22"/>
        </w:rPr>
      </w:pPr>
      <w:r>
        <w:rPr>
          <w:noProof/>
        </w:rPr>
        <w:t>6</w:t>
      </w:r>
      <w:r>
        <w:rPr>
          <w:noProof/>
        </w:rPr>
        <w:tab/>
        <w:t>Act binds the Crown</w:t>
      </w:r>
      <w:r w:rsidRPr="0023486F">
        <w:rPr>
          <w:noProof/>
        </w:rPr>
        <w:tab/>
      </w:r>
      <w:r w:rsidRPr="0023486F">
        <w:rPr>
          <w:noProof/>
        </w:rPr>
        <w:fldChar w:fldCharType="begin"/>
      </w:r>
      <w:r w:rsidRPr="0023486F">
        <w:rPr>
          <w:noProof/>
        </w:rPr>
        <w:instrText xml:space="preserve"> PAGEREF _Toc114044713 \h </w:instrText>
      </w:r>
      <w:r w:rsidRPr="0023486F">
        <w:rPr>
          <w:noProof/>
        </w:rPr>
      </w:r>
      <w:r w:rsidRPr="0023486F">
        <w:rPr>
          <w:noProof/>
        </w:rPr>
        <w:fldChar w:fldCharType="separate"/>
      </w:r>
      <w:r w:rsidR="001F7122">
        <w:rPr>
          <w:noProof/>
        </w:rPr>
        <w:t>4</w:t>
      </w:r>
      <w:r w:rsidRPr="0023486F">
        <w:rPr>
          <w:noProof/>
        </w:rPr>
        <w:fldChar w:fldCharType="end"/>
      </w:r>
    </w:p>
    <w:p w14:paraId="00A10E1F" w14:textId="4B994E4D" w:rsidR="0023486F" w:rsidRDefault="0023486F">
      <w:pPr>
        <w:pStyle w:val="TOC5"/>
        <w:rPr>
          <w:rFonts w:asciiTheme="minorHAnsi" w:eastAsiaTheme="minorEastAsia" w:hAnsiTheme="minorHAnsi" w:cstheme="minorBidi"/>
          <w:noProof/>
          <w:kern w:val="0"/>
          <w:sz w:val="22"/>
          <w:szCs w:val="22"/>
        </w:rPr>
      </w:pPr>
      <w:r>
        <w:rPr>
          <w:noProof/>
        </w:rPr>
        <w:t>7</w:t>
      </w:r>
      <w:r>
        <w:rPr>
          <w:noProof/>
        </w:rPr>
        <w:tab/>
        <w:t>Extension to external Territories</w:t>
      </w:r>
      <w:r w:rsidRPr="0023486F">
        <w:rPr>
          <w:noProof/>
        </w:rPr>
        <w:tab/>
      </w:r>
      <w:r w:rsidRPr="0023486F">
        <w:rPr>
          <w:noProof/>
        </w:rPr>
        <w:fldChar w:fldCharType="begin"/>
      </w:r>
      <w:r w:rsidRPr="0023486F">
        <w:rPr>
          <w:noProof/>
        </w:rPr>
        <w:instrText xml:space="preserve"> PAGEREF _Toc114044714 \h </w:instrText>
      </w:r>
      <w:r w:rsidRPr="0023486F">
        <w:rPr>
          <w:noProof/>
        </w:rPr>
      </w:r>
      <w:r w:rsidRPr="0023486F">
        <w:rPr>
          <w:noProof/>
        </w:rPr>
        <w:fldChar w:fldCharType="separate"/>
      </w:r>
      <w:r w:rsidR="001F7122">
        <w:rPr>
          <w:noProof/>
        </w:rPr>
        <w:t>4</w:t>
      </w:r>
      <w:r w:rsidRPr="0023486F">
        <w:rPr>
          <w:noProof/>
        </w:rPr>
        <w:fldChar w:fldCharType="end"/>
      </w:r>
    </w:p>
    <w:p w14:paraId="3DA774CF" w14:textId="4D46B6E4" w:rsidR="0023486F" w:rsidRDefault="0023486F">
      <w:pPr>
        <w:pStyle w:val="TOC5"/>
        <w:rPr>
          <w:rFonts w:asciiTheme="minorHAnsi" w:eastAsiaTheme="minorEastAsia" w:hAnsiTheme="minorHAnsi" w:cstheme="minorBidi"/>
          <w:noProof/>
          <w:kern w:val="0"/>
          <w:sz w:val="22"/>
          <w:szCs w:val="22"/>
        </w:rPr>
      </w:pPr>
      <w:r>
        <w:rPr>
          <w:noProof/>
        </w:rPr>
        <w:t>8</w:t>
      </w:r>
      <w:r>
        <w:rPr>
          <w:noProof/>
        </w:rPr>
        <w:tab/>
        <w:t>Extension to exclusive economic zone and continental shelf</w:t>
      </w:r>
      <w:r w:rsidRPr="0023486F">
        <w:rPr>
          <w:noProof/>
        </w:rPr>
        <w:tab/>
      </w:r>
      <w:r w:rsidRPr="0023486F">
        <w:rPr>
          <w:noProof/>
        </w:rPr>
        <w:fldChar w:fldCharType="begin"/>
      </w:r>
      <w:r w:rsidRPr="0023486F">
        <w:rPr>
          <w:noProof/>
        </w:rPr>
        <w:instrText xml:space="preserve"> PAGEREF _Toc114044715 \h </w:instrText>
      </w:r>
      <w:r w:rsidRPr="0023486F">
        <w:rPr>
          <w:noProof/>
        </w:rPr>
      </w:r>
      <w:r w:rsidRPr="0023486F">
        <w:rPr>
          <w:noProof/>
        </w:rPr>
        <w:fldChar w:fldCharType="separate"/>
      </w:r>
      <w:r w:rsidR="001F7122">
        <w:rPr>
          <w:noProof/>
        </w:rPr>
        <w:t>4</w:t>
      </w:r>
      <w:r w:rsidRPr="0023486F">
        <w:rPr>
          <w:noProof/>
        </w:rPr>
        <w:fldChar w:fldCharType="end"/>
      </w:r>
    </w:p>
    <w:p w14:paraId="5C38EFDB" w14:textId="1FE1155E" w:rsidR="0023486F" w:rsidRDefault="0023486F">
      <w:pPr>
        <w:pStyle w:val="TOC2"/>
        <w:rPr>
          <w:rFonts w:asciiTheme="minorHAnsi" w:eastAsiaTheme="minorEastAsia" w:hAnsiTheme="minorHAnsi" w:cstheme="minorBidi"/>
          <w:b w:val="0"/>
          <w:noProof/>
          <w:kern w:val="0"/>
          <w:sz w:val="22"/>
          <w:szCs w:val="22"/>
        </w:rPr>
      </w:pPr>
      <w:r>
        <w:rPr>
          <w:noProof/>
        </w:rPr>
        <w:t>Part 2—Australia’s greenhouse gas emissions reduction targets</w:t>
      </w:r>
      <w:r w:rsidRPr="0023486F">
        <w:rPr>
          <w:b w:val="0"/>
          <w:noProof/>
          <w:sz w:val="18"/>
        </w:rPr>
        <w:tab/>
      </w:r>
      <w:r w:rsidRPr="0023486F">
        <w:rPr>
          <w:b w:val="0"/>
          <w:noProof/>
          <w:sz w:val="18"/>
        </w:rPr>
        <w:fldChar w:fldCharType="begin"/>
      </w:r>
      <w:r w:rsidRPr="0023486F">
        <w:rPr>
          <w:b w:val="0"/>
          <w:noProof/>
          <w:sz w:val="18"/>
        </w:rPr>
        <w:instrText xml:space="preserve"> PAGEREF _Toc114044716 \h </w:instrText>
      </w:r>
      <w:r w:rsidRPr="0023486F">
        <w:rPr>
          <w:b w:val="0"/>
          <w:noProof/>
          <w:sz w:val="18"/>
        </w:rPr>
      </w:r>
      <w:r w:rsidRPr="0023486F">
        <w:rPr>
          <w:b w:val="0"/>
          <w:noProof/>
          <w:sz w:val="18"/>
        </w:rPr>
        <w:fldChar w:fldCharType="separate"/>
      </w:r>
      <w:r w:rsidR="001F7122">
        <w:rPr>
          <w:b w:val="0"/>
          <w:noProof/>
          <w:sz w:val="18"/>
        </w:rPr>
        <w:t>5</w:t>
      </w:r>
      <w:r w:rsidRPr="0023486F">
        <w:rPr>
          <w:b w:val="0"/>
          <w:noProof/>
          <w:sz w:val="18"/>
        </w:rPr>
        <w:fldChar w:fldCharType="end"/>
      </w:r>
    </w:p>
    <w:p w14:paraId="0F5694E1" w14:textId="4C9451EF" w:rsidR="0023486F" w:rsidRDefault="0023486F">
      <w:pPr>
        <w:pStyle w:val="TOC5"/>
        <w:rPr>
          <w:rFonts w:asciiTheme="minorHAnsi" w:eastAsiaTheme="minorEastAsia" w:hAnsiTheme="minorHAnsi" w:cstheme="minorBidi"/>
          <w:noProof/>
          <w:kern w:val="0"/>
          <w:sz w:val="22"/>
          <w:szCs w:val="22"/>
        </w:rPr>
      </w:pPr>
      <w:r>
        <w:rPr>
          <w:noProof/>
        </w:rPr>
        <w:t>9</w:t>
      </w:r>
      <w:r>
        <w:rPr>
          <w:noProof/>
        </w:rPr>
        <w:tab/>
        <w:t>Simplified outline of this Part</w:t>
      </w:r>
      <w:r w:rsidRPr="0023486F">
        <w:rPr>
          <w:noProof/>
        </w:rPr>
        <w:tab/>
      </w:r>
      <w:r w:rsidRPr="0023486F">
        <w:rPr>
          <w:noProof/>
        </w:rPr>
        <w:fldChar w:fldCharType="begin"/>
      </w:r>
      <w:r w:rsidRPr="0023486F">
        <w:rPr>
          <w:noProof/>
        </w:rPr>
        <w:instrText xml:space="preserve"> PAGEREF _Toc114044717 \h </w:instrText>
      </w:r>
      <w:r w:rsidRPr="0023486F">
        <w:rPr>
          <w:noProof/>
        </w:rPr>
      </w:r>
      <w:r w:rsidRPr="0023486F">
        <w:rPr>
          <w:noProof/>
        </w:rPr>
        <w:fldChar w:fldCharType="separate"/>
      </w:r>
      <w:r w:rsidR="001F7122">
        <w:rPr>
          <w:noProof/>
        </w:rPr>
        <w:t>5</w:t>
      </w:r>
      <w:r w:rsidRPr="0023486F">
        <w:rPr>
          <w:noProof/>
        </w:rPr>
        <w:fldChar w:fldCharType="end"/>
      </w:r>
    </w:p>
    <w:p w14:paraId="079A39EF" w14:textId="46C34A3D" w:rsidR="0023486F" w:rsidRDefault="0023486F">
      <w:pPr>
        <w:pStyle w:val="TOC5"/>
        <w:rPr>
          <w:rFonts w:asciiTheme="minorHAnsi" w:eastAsiaTheme="minorEastAsia" w:hAnsiTheme="minorHAnsi" w:cstheme="minorBidi"/>
          <w:noProof/>
          <w:kern w:val="0"/>
          <w:sz w:val="22"/>
          <w:szCs w:val="22"/>
        </w:rPr>
      </w:pPr>
      <w:r>
        <w:rPr>
          <w:noProof/>
        </w:rPr>
        <w:t>10</w:t>
      </w:r>
      <w:r>
        <w:rPr>
          <w:noProof/>
        </w:rPr>
        <w:tab/>
        <w:t>Australia’s greenhouse gas emissions reduction targets</w:t>
      </w:r>
      <w:r w:rsidRPr="0023486F">
        <w:rPr>
          <w:noProof/>
        </w:rPr>
        <w:tab/>
      </w:r>
      <w:r w:rsidRPr="0023486F">
        <w:rPr>
          <w:noProof/>
        </w:rPr>
        <w:fldChar w:fldCharType="begin"/>
      </w:r>
      <w:r w:rsidRPr="0023486F">
        <w:rPr>
          <w:noProof/>
        </w:rPr>
        <w:instrText xml:space="preserve"> PAGEREF _Toc114044718 \h </w:instrText>
      </w:r>
      <w:r w:rsidRPr="0023486F">
        <w:rPr>
          <w:noProof/>
        </w:rPr>
      </w:r>
      <w:r w:rsidRPr="0023486F">
        <w:rPr>
          <w:noProof/>
        </w:rPr>
        <w:fldChar w:fldCharType="separate"/>
      </w:r>
      <w:r w:rsidR="001F7122">
        <w:rPr>
          <w:noProof/>
        </w:rPr>
        <w:t>5</w:t>
      </w:r>
      <w:r w:rsidRPr="0023486F">
        <w:rPr>
          <w:noProof/>
        </w:rPr>
        <w:fldChar w:fldCharType="end"/>
      </w:r>
    </w:p>
    <w:p w14:paraId="42AD3029" w14:textId="263CCE20" w:rsidR="0023486F" w:rsidRDefault="0023486F">
      <w:pPr>
        <w:pStyle w:val="TOC2"/>
        <w:rPr>
          <w:rFonts w:asciiTheme="minorHAnsi" w:eastAsiaTheme="minorEastAsia" w:hAnsiTheme="minorHAnsi" w:cstheme="minorBidi"/>
          <w:b w:val="0"/>
          <w:noProof/>
          <w:kern w:val="0"/>
          <w:sz w:val="22"/>
          <w:szCs w:val="22"/>
        </w:rPr>
      </w:pPr>
      <w:r>
        <w:rPr>
          <w:noProof/>
        </w:rPr>
        <w:t>Part 3—Annual climate change statement</w:t>
      </w:r>
      <w:r w:rsidRPr="0023486F">
        <w:rPr>
          <w:b w:val="0"/>
          <w:noProof/>
          <w:sz w:val="18"/>
        </w:rPr>
        <w:tab/>
      </w:r>
      <w:r w:rsidRPr="0023486F">
        <w:rPr>
          <w:b w:val="0"/>
          <w:noProof/>
          <w:sz w:val="18"/>
        </w:rPr>
        <w:fldChar w:fldCharType="begin"/>
      </w:r>
      <w:r w:rsidRPr="0023486F">
        <w:rPr>
          <w:b w:val="0"/>
          <w:noProof/>
          <w:sz w:val="18"/>
        </w:rPr>
        <w:instrText xml:space="preserve"> PAGEREF _Toc114044719 \h </w:instrText>
      </w:r>
      <w:r w:rsidRPr="0023486F">
        <w:rPr>
          <w:b w:val="0"/>
          <w:noProof/>
          <w:sz w:val="18"/>
        </w:rPr>
      </w:r>
      <w:r w:rsidRPr="0023486F">
        <w:rPr>
          <w:b w:val="0"/>
          <w:noProof/>
          <w:sz w:val="18"/>
        </w:rPr>
        <w:fldChar w:fldCharType="separate"/>
      </w:r>
      <w:r w:rsidR="001F7122">
        <w:rPr>
          <w:b w:val="0"/>
          <w:noProof/>
          <w:sz w:val="18"/>
        </w:rPr>
        <w:t>7</w:t>
      </w:r>
      <w:r w:rsidRPr="0023486F">
        <w:rPr>
          <w:b w:val="0"/>
          <w:noProof/>
          <w:sz w:val="18"/>
        </w:rPr>
        <w:fldChar w:fldCharType="end"/>
      </w:r>
    </w:p>
    <w:p w14:paraId="091D606D" w14:textId="28ABAEFE" w:rsidR="0023486F" w:rsidRDefault="0023486F">
      <w:pPr>
        <w:pStyle w:val="TOC5"/>
        <w:rPr>
          <w:rFonts w:asciiTheme="minorHAnsi" w:eastAsiaTheme="minorEastAsia" w:hAnsiTheme="minorHAnsi" w:cstheme="minorBidi"/>
          <w:noProof/>
          <w:kern w:val="0"/>
          <w:sz w:val="22"/>
          <w:szCs w:val="22"/>
        </w:rPr>
      </w:pPr>
      <w:r>
        <w:rPr>
          <w:noProof/>
        </w:rPr>
        <w:t>11</w:t>
      </w:r>
      <w:r>
        <w:rPr>
          <w:noProof/>
        </w:rPr>
        <w:tab/>
        <w:t>Simplified outline of this Part</w:t>
      </w:r>
      <w:r w:rsidRPr="0023486F">
        <w:rPr>
          <w:noProof/>
        </w:rPr>
        <w:tab/>
      </w:r>
      <w:r w:rsidRPr="0023486F">
        <w:rPr>
          <w:noProof/>
        </w:rPr>
        <w:fldChar w:fldCharType="begin"/>
      </w:r>
      <w:r w:rsidRPr="0023486F">
        <w:rPr>
          <w:noProof/>
        </w:rPr>
        <w:instrText xml:space="preserve"> PAGEREF _Toc114044720 \h </w:instrText>
      </w:r>
      <w:r w:rsidRPr="0023486F">
        <w:rPr>
          <w:noProof/>
        </w:rPr>
      </w:r>
      <w:r w:rsidRPr="0023486F">
        <w:rPr>
          <w:noProof/>
        </w:rPr>
        <w:fldChar w:fldCharType="separate"/>
      </w:r>
      <w:r w:rsidR="001F7122">
        <w:rPr>
          <w:noProof/>
        </w:rPr>
        <w:t>7</w:t>
      </w:r>
      <w:r w:rsidRPr="0023486F">
        <w:rPr>
          <w:noProof/>
        </w:rPr>
        <w:fldChar w:fldCharType="end"/>
      </w:r>
    </w:p>
    <w:p w14:paraId="4708ECAB" w14:textId="0A90D597" w:rsidR="0023486F" w:rsidRDefault="0023486F">
      <w:pPr>
        <w:pStyle w:val="TOC5"/>
        <w:rPr>
          <w:rFonts w:asciiTheme="minorHAnsi" w:eastAsiaTheme="minorEastAsia" w:hAnsiTheme="minorHAnsi" w:cstheme="minorBidi"/>
          <w:noProof/>
          <w:kern w:val="0"/>
          <w:sz w:val="22"/>
          <w:szCs w:val="22"/>
        </w:rPr>
      </w:pPr>
      <w:r>
        <w:rPr>
          <w:noProof/>
        </w:rPr>
        <w:t>12</w:t>
      </w:r>
      <w:r>
        <w:rPr>
          <w:noProof/>
        </w:rPr>
        <w:tab/>
        <w:t>Annual climate change statement</w:t>
      </w:r>
      <w:r w:rsidRPr="0023486F">
        <w:rPr>
          <w:noProof/>
        </w:rPr>
        <w:tab/>
      </w:r>
      <w:r w:rsidRPr="0023486F">
        <w:rPr>
          <w:noProof/>
        </w:rPr>
        <w:fldChar w:fldCharType="begin"/>
      </w:r>
      <w:r w:rsidRPr="0023486F">
        <w:rPr>
          <w:noProof/>
        </w:rPr>
        <w:instrText xml:space="preserve"> PAGEREF _Toc114044721 \h </w:instrText>
      </w:r>
      <w:r w:rsidRPr="0023486F">
        <w:rPr>
          <w:noProof/>
        </w:rPr>
      </w:r>
      <w:r w:rsidRPr="0023486F">
        <w:rPr>
          <w:noProof/>
        </w:rPr>
        <w:fldChar w:fldCharType="separate"/>
      </w:r>
      <w:r w:rsidR="001F7122">
        <w:rPr>
          <w:noProof/>
        </w:rPr>
        <w:t>7</w:t>
      </w:r>
      <w:r w:rsidRPr="0023486F">
        <w:rPr>
          <w:noProof/>
        </w:rPr>
        <w:fldChar w:fldCharType="end"/>
      </w:r>
    </w:p>
    <w:p w14:paraId="3C6C495E" w14:textId="5BE8F252" w:rsidR="0023486F" w:rsidRDefault="0023486F">
      <w:pPr>
        <w:pStyle w:val="TOC2"/>
        <w:rPr>
          <w:rFonts w:asciiTheme="minorHAnsi" w:eastAsiaTheme="minorEastAsia" w:hAnsiTheme="minorHAnsi" w:cstheme="minorBidi"/>
          <w:b w:val="0"/>
          <w:noProof/>
          <w:kern w:val="0"/>
          <w:sz w:val="22"/>
          <w:szCs w:val="22"/>
        </w:rPr>
      </w:pPr>
      <w:r>
        <w:rPr>
          <w:noProof/>
        </w:rPr>
        <w:t>Part 4—Advisory functions of the Climate Change Authority</w:t>
      </w:r>
      <w:r w:rsidRPr="0023486F">
        <w:rPr>
          <w:b w:val="0"/>
          <w:noProof/>
          <w:sz w:val="18"/>
        </w:rPr>
        <w:tab/>
      </w:r>
      <w:r w:rsidRPr="0023486F">
        <w:rPr>
          <w:b w:val="0"/>
          <w:noProof/>
          <w:sz w:val="18"/>
        </w:rPr>
        <w:fldChar w:fldCharType="begin"/>
      </w:r>
      <w:r w:rsidRPr="0023486F">
        <w:rPr>
          <w:b w:val="0"/>
          <w:noProof/>
          <w:sz w:val="18"/>
        </w:rPr>
        <w:instrText xml:space="preserve"> PAGEREF _Toc114044722 \h </w:instrText>
      </w:r>
      <w:r w:rsidRPr="0023486F">
        <w:rPr>
          <w:b w:val="0"/>
          <w:noProof/>
          <w:sz w:val="18"/>
        </w:rPr>
      </w:r>
      <w:r w:rsidRPr="0023486F">
        <w:rPr>
          <w:b w:val="0"/>
          <w:noProof/>
          <w:sz w:val="18"/>
        </w:rPr>
        <w:fldChar w:fldCharType="separate"/>
      </w:r>
      <w:r w:rsidR="001F7122">
        <w:rPr>
          <w:b w:val="0"/>
          <w:noProof/>
          <w:sz w:val="18"/>
        </w:rPr>
        <w:t>9</w:t>
      </w:r>
      <w:r w:rsidRPr="0023486F">
        <w:rPr>
          <w:b w:val="0"/>
          <w:noProof/>
          <w:sz w:val="18"/>
        </w:rPr>
        <w:fldChar w:fldCharType="end"/>
      </w:r>
    </w:p>
    <w:p w14:paraId="21476E8C" w14:textId="651EFC15" w:rsidR="0023486F" w:rsidRDefault="0023486F">
      <w:pPr>
        <w:pStyle w:val="TOC5"/>
        <w:rPr>
          <w:rFonts w:asciiTheme="minorHAnsi" w:eastAsiaTheme="minorEastAsia" w:hAnsiTheme="minorHAnsi" w:cstheme="minorBidi"/>
          <w:noProof/>
          <w:kern w:val="0"/>
          <w:sz w:val="22"/>
          <w:szCs w:val="22"/>
        </w:rPr>
      </w:pPr>
      <w:r>
        <w:rPr>
          <w:noProof/>
        </w:rPr>
        <w:t>13</w:t>
      </w:r>
      <w:r>
        <w:rPr>
          <w:noProof/>
        </w:rPr>
        <w:tab/>
        <w:t>Simplified outline of this Part</w:t>
      </w:r>
      <w:r w:rsidRPr="0023486F">
        <w:rPr>
          <w:noProof/>
        </w:rPr>
        <w:tab/>
      </w:r>
      <w:r w:rsidRPr="0023486F">
        <w:rPr>
          <w:noProof/>
        </w:rPr>
        <w:fldChar w:fldCharType="begin"/>
      </w:r>
      <w:r w:rsidRPr="0023486F">
        <w:rPr>
          <w:noProof/>
        </w:rPr>
        <w:instrText xml:space="preserve"> PAGEREF _Toc114044723 \h </w:instrText>
      </w:r>
      <w:r w:rsidRPr="0023486F">
        <w:rPr>
          <w:noProof/>
        </w:rPr>
      </w:r>
      <w:r w:rsidRPr="0023486F">
        <w:rPr>
          <w:noProof/>
        </w:rPr>
        <w:fldChar w:fldCharType="separate"/>
      </w:r>
      <w:r w:rsidR="001F7122">
        <w:rPr>
          <w:noProof/>
        </w:rPr>
        <w:t>9</w:t>
      </w:r>
      <w:r w:rsidRPr="0023486F">
        <w:rPr>
          <w:noProof/>
        </w:rPr>
        <w:fldChar w:fldCharType="end"/>
      </w:r>
    </w:p>
    <w:p w14:paraId="4C68AAB4" w14:textId="1E41518E" w:rsidR="0023486F" w:rsidRDefault="0023486F">
      <w:pPr>
        <w:pStyle w:val="TOC5"/>
        <w:rPr>
          <w:rFonts w:asciiTheme="minorHAnsi" w:eastAsiaTheme="minorEastAsia" w:hAnsiTheme="minorHAnsi" w:cstheme="minorBidi"/>
          <w:noProof/>
          <w:kern w:val="0"/>
          <w:sz w:val="22"/>
          <w:szCs w:val="22"/>
        </w:rPr>
      </w:pPr>
      <w:r>
        <w:rPr>
          <w:noProof/>
        </w:rPr>
        <w:t>14</w:t>
      </w:r>
      <w:r>
        <w:rPr>
          <w:noProof/>
        </w:rPr>
        <w:tab/>
        <w:t>Climate Change Authority to give the Minister advice that relates to the preparation of an annual climate change statement</w:t>
      </w:r>
      <w:r w:rsidRPr="0023486F">
        <w:rPr>
          <w:noProof/>
        </w:rPr>
        <w:tab/>
      </w:r>
      <w:r w:rsidRPr="0023486F">
        <w:rPr>
          <w:noProof/>
        </w:rPr>
        <w:fldChar w:fldCharType="begin"/>
      </w:r>
      <w:r w:rsidRPr="0023486F">
        <w:rPr>
          <w:noProof/>
        </w:rPr>
        <w:instrText xml:space="preserve"> PAGEREF _Toc114044724 \h </w:instrText>
      </w:r>
      <w:r w:rsidRPr="0023486F">
        <w:rPr>
          <w:noProof/>
        </w:rPr>
      </w:r>
      <w:r w:rsidRPr="0023486F">
        <w:rPr>
          <w:noProof/>
        </w:rPr>
        <w:fldChar w:fldCharType="separate"/>
      </w:r>
      <w:r w:rsidR="001F7122">
        <w:rPr>
          <w:noProof/>
        </w:rPr>
        <w:t>9</w:t>
      </w:r>
      <w:r w:rsidRPr="0023486F">
        <w:rPr>
          <w:noProof/>
        </w:rPr>
        <w:fldChar w:fldCharType="end"/>
      </w:r>
    </w:p>
    <w:p w14:paraId="66699DEB" w14:textId="6C00F0FF" w:rsidR="0023486F" w:rsidRDefault="0023486F">
      <w:pPr>
        <w:pStyle w:val="TOC5"/>
        <w:rPr>
          <w:rFonts w:asciiTheme="minorHAnsi" w:eastAsiaTheme="minorEastAsia" w:hAnsiTheme="minorHAnsi" w:cstheme="minorBidi"/>
          <w:noProof/>
          <w:kern w:val="0"/>
          <w:sz w:val="22"/>
          <w:szCs w:val="22"/>
        </w:rPr>
      </w:pPr>
      <w:r>
        <w:rPr>
          <w:noProof/>
        </w:rPr>
        <w:t>15</w:t>
      </w:r>
      <w:r>
        <w:rPr>
          <w:noProof/>
        </w:rPr>
        <w:tab/>
        <w:t>Climate Change Authority to advise the Minister on greenhouse gas emissions reduction targets to be included in a new or adjusted nationally determined contribution</w:t>
      </w:r>
      <w:r w:rsidRPr="0023486F">
        <w:rPr>
          <w:noProof/>
        </w:rPr>
        <w:tab/>
      </w:r>
      <w:r w:rsidRPr="0023486F">
        <w:rPr>
          <w:noProof/>
        </w:rPr>
        <w:fldChar w:fldCharType="begin"/>
      </w:r>
      <w:r w:rsidRPr="0023486F">
        <w:rPr>
          <w:noProof/>
        </w:rPr>
        <w:instrText xml:space="preserve"> PAGEREF _Toc114044725 \h </w:instrText>
      </w:r>
      <w:r w:rsidRPr="0023486F">
        <w:rPr>
          <w:noProof/>
        </w:rPr>
      </w:r>
      <w:r w:rsidRPr="0023486F">
        <w:rPr>
          <w:noProof/>
        </w:rPr>
        <w:fldChar w:fldCharType="separate"/>
      </w:r>
      <w:r w:rsidR="001F7122">
        <w:rPr>
          <w:noProof/>
        </w:rPr>
        <w:t>11</w:t>
      </w:r>
      <w:r w:rsidRPr="0023486F">
        <w:rPr>
          <w:noProof/>
        </w:rPr>
        <w:fldChar w:fldCharType="end"/>
      </w:r>
    </w:p>
    <w:p w14:paraId="7CDC3B1A" w14:textId="2478DAB3" w:rsidR="0023486F" w:rsidRDefault="0023486F">
      <w:pPr>
        <w:pStyle w:val="TOC2"/>
        <w:rPr>
          <w:rFonts w:asciiTheme="minorHAnsi" w:eastAsiaTheme="minorEastAsia" w:hAnsiTheme="minorHAnsi" w:cstheme="minorBidi"/>
          <w:b w:val="0"/>
          <w:noProof/>
          <w:kern w:val="0"/>
          <w:sz w:val="22"/>
          <w:szCs w:val="22"/>
        </w:rPr>
      </w:pPr>
      <w:r>
        <w:rPr>
          <w:noProof/>
        </w:rPr>
        <w:t>Part 5—Periodic reviews of the operation of this Act</w:t>
      </w:r>
      <w:r w:rsidRPr="0023486F">
        <w:rPr>
          <w:b w:val="0"/>
          <w:noProof/>
          <w:sz w:val="18"/>
        </w:rPr>
        <w:tab/>
      </w:r>
      <w:r w:rsidRPr="0023486F">
        <w:rPr>
          <w:b w:val="0"/>
          <w:noProof/>
          <w:sz w:val="18"/>
        </w:rPr>
        <w:fldChar w:fldCharType="begin"/>
      </w:r>
      <w:r w:rsidRPr="0023486F">
        <w:rPr>
          <w:b w:val="0"/>
          <w:noProof/>
          <w:sz w:val="18"/>
        </w:rPr>
        <w:instrText xml:space="preserve"> PAGEREF _Toc114044726 \h </w:instrText>
      </w:r>
      <w:r w:rsidRPr="0023486F">
        <w:rPr>
          <w:b w:val="0"/>
          <w:noProof/>
          <w:sz w:val="18"/>
        </w:rPr>
      </w:r>
      <w:r w:rsidRPr="0023486F">
        <w:rPr>
          <w:b w:val="0"/>
          <w:noProof/>
          <w:sz w:val="18"/>
        </w:rPr>
        <w:fldChar w:fldCharType="separate"/>
      </w:r>
      <w:r w:rsidR="001F7122">
        <w:rPr>
          <w:b w:val="0"/>
          <w:noProof/>
          <w:sz w:val="18"/>
        </w:rPr>
        <w:t>14</w:t>
      </w:r>
      <w:r w:rsidRPr="0023486F">
        <w:rPr>
          <w:b w:val="0"/>
          <w:noProof/>
          <w:sz w:val="18"/>
        </w:rPr>
        <w:fldChar w:fldCharType="end"/>
      </w:r>
    </w:p>
    <w:p w14:paraId="27D44284" w14:textId="5B489B19" w:rsidR="0023486F" w:rsidRDefault="0023486F">
      <w:pPr>
        <w:pStyle w:val="TOC5"/>
        <w:rPr>
          <w:rFonts w:asciiTheme="minorHAnsi" w:eastAsiaTheme="minorEastAsia" w:hAnsiTheme="minorHAnsi" w:cstheme="minorBidi"/>
          <w:noProof/>
          <w:kern w:val="0"/>
          <w:sz w:val="22"/>
          <w:szCs w:val="22"/>
        </w:rPr>
      </w:pPr>
      <w:r>
        <w:rPr>
          <w:noProof/>
        </w:rPr>
        <w:t>16</w:t>
      </w:r>
      <w:r>
        <w:rPr>
          <w:noProof/>
        </w:rPr>
        <w:tab/>
        <w:t>Simplified outline of this Part</w:t>
      </w:r>
      <w:r w:rsidRPr="0023486F">
        <w:rPr>
          <w:noProof/>
        </w:rPr>
        <w:tab/>
      </w:r>
      <w:r w:rsidRPr="0023486F">
        <w:rPr>
          <w:noProof/>
        </w:rPr>
        <w:fldChar w:fldCharType="begin"/>
      </w:r>
      <w:r w:rsidRPr="0023486F">
        <w:rPr>
          <w:noProof/>
        </w:rPr>
        <w:instrText xml:space="preserve"> PAGEREF _Toc114044727 \h </w:instrText>
      </w:r>
      <w:r w:rsidRPr="0023486F">
        <w:rPr>
          <w:noProof/>
        </w:rPr>
      </w:r>
      <w:r w:rsidRPr="0023486F">
        <w:rPr>
          <w:noProof/>
        </w:rPr>
        <w:fldChar w:fldCharType="separate"/>
      </w:r>
      <w:r w:rsidR="001F7122">
        <w:rPr>
          <w:noProof/>
        </w:rPr>
        <w:t>14</w:t>
      </w:r>
      <w:r w:rsidRPr="0023486F">
        <w:rPr>
          <w:noProof/>
        </w:rPr>
        <w:fldChar w:fldCharType="end"/>
      </w:r>
    </w:p>
    <w:p w14:paraId="1508955A" w14:textId="556875AD" w:rsidR="0023486F" w:rsidRDefault="0023486F">
      <w:pPr>
        <w:pStyle w:val="TOC5"/>
        <w:rPr>
          <w:rFonts w:asciiTheme="minorHAnsi" w:eastAsiaTheme="minorEastAsia" w:hAnsiTheme="minorHAnsi" w:cstheme="minorBidi"/>
          <w:noProof/>
          <w:kern w:val="0"/>
          <w:sz w:val="22"/>
          <w:szCs w:val="22"/>
        </w:rPr>
      </w:pPr>
      <w:r>
        <w:rPr>
          <w:noProof/>
        </w:rPr>
        <w:t>17</w:t>
      </w:r>
      <w:r>
        <w:rPr>
          <w:noProof/>
        </w:rPr>
        <w:tab/>
        <w:t>Periodic reviews of the operation of this Act</w:t>
      </w:r>
      <w:r w:rsidRPr="0023486F">
        <w:rPr>
          <w:noProof/>
        </w:rPr>
        <w:tab/>
      </w:r>
      <w:r w:rsidRPr="0023486F">
        <w:rPr>
          <w:noProof/>
        </w:rPr>
        <w:fldChar w:fldCharType="begin"/>
      </w:r>
      <w:r w:rsidRPr="0023486F">
        <w:rPr>
          <w:noProof/>
        </w:rPr>
        <w:instrText xml:space="preserve"> PAGEREF _Toc114044728 \h </w:instrText>
      </w:r>
      <w:r w:rsidRPr="0023486F">
        <w:rPr>
          <w:noProof/>
        </w:rPr>
      </w:r>
      <w:r w:rsidRPr="0023486F">
        <w:rPr>
          <w:noProof/>
        </w:rPr>
        <w:fldChar w:fldCharType="separate"/>
      </w:r>
      <w:r w:rsidR="001F7122">
        <w:rPr>
          <w:noProof/>
        </w:rPr>
        <w:t>14</w:t>
      </w:r>
      <w:r w:rsidRPr="0023486F">
        <w:rPr>
          <w:noProof/>
        </w:rPr>
        <w:fldChar w:fldCharType="end"/>
      </w:r>
    </w:p>
    <w:p w14:paraId="592ED0BD" w14:textId="2154BD5E" w:rsidR="005D7042" w:rsidRPr="001E75CA" w:rsidRDefault="0023486F" w:rsidP="00715914">
      <w:r>
        <w:fldChar w:fldCharType="end"/>
      </w:r>
    </w:p>
    <w:p w14:paraId="740AD7FF" w14:textId="77777777" w:rsidR="00374B0A" w:rsidRPr="001E75CA" w:rsidRDefault="00374B0A" w:rsidP="00715914">
      <w:pPr>
        <w:sectPr w:rsidR="00374B0A" w:rsidRPr="001E75CA" w:rsidSect="00311609">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6868E174" w14:textId="77777777" w:rsidR="00311609" w:rsidRDefault="00311609">
      <w:r>
        <w:object w:dxaOrig="2146" w:dyaOrig="1561" w14:anchorId="71A52AD3">
          <v:shape id="_x0000_i1027" type="#_x0000_t75" alt="Commonwealth Coat of Arms of Australia" style="width:110.25pt;height:80.25pt" o:ole="" fillcolor="window">
            <v:imagedata r:id="rId8" o:title=""/>
          </v:shape>
          <o:OLEObject Type="Embed" ProgID="Word.Picture.8" ShapeID="_x0000_i1027" DrawAspect="Content" ObjectID="_1724658032" r:id="rId21"/>
        </w:object>
      </w:r>
    </w:p>
    <w:p w14:paraId="1A9E0246" w14:textId="77777777" w:rsidR="00311609" w:rsidRDefault="00311609"/>
    <w:p w14:paraId="3AC9F6D2" w14:textId="77777777" w:rsidR="00311609" w:rsidRDefault="00311609" w:rsidP="000178F8">
      <w:pPr>
        <w:spacing w:line="240" w:lineRule="auto"/>
      </w:pPr>
    </w:p>
    <w:p w14:paraId="710EA363" w14:textId="34C91CCC" w:rsidR="00311609" w:rsidRDefault="00B47E3E" w:rsidP="000178F8">
      <w:pPr>
        <w:pStyle w:val="ShortTP1"/>
      </w:pPr>
      <w:r>
        <w:fldChar w:fldCharType="begin"/>
      </w:r>
      <w:r>
        <w:instrText xml:space="preserve"> STYLEREF ShortT </w:instrText>
      </w:r>
      <w:r>
        <w:fldChar w:fldCharType="separate"/>
      </w:r>
      <w:r w:rsidR="001F7122">
        <w:rPr>
          <w:noProof/>
        </w:rPr>
        <w:t>Climate Change Act 2022</w:t>
      </w:r>
      <w:r>
        <w:rPr>
          <w:noProof/>
        </w:rPr>
        <w:fldChar w:fldCharType="end"/>
      </w:r>
    </w:p>
    <w:p w14:paraId="599F09A5" w14:textId="38E833EB" w:rsidR="00311609" w:rsidRDefault="00B47E3E" w:rsidP="000178F8">
      <w:pPr>
        <w:pStyle w:val="ActNoP1"/>
      </w:pPr>
      <w:r>
        <w:fldChar w:fldCharType="begin"/>
      </w:r>
      <w:r>
        <w:instrText xml:space="preserve"> STYLEREF Actno </w:instrText>
      </w:r>
      <w:r>
        <w:fldChar w:fldCharType="separate"/>
      </w:r>
      <w:r w:rsidR="001F7122">
        <w:rPr>
          <w:noProof/>
        </w:rPr>
        <w:t>No. 37, 2022</w:t>
      </w:r>
      <w:r>
        <w:rPr>
          <w:noProof/>
        </w:rPr>
        <w:fldChar w:fldCharType="end"/>
      </w:r>
    </w:p>
    <w:p w14:paraId="4541E25F" w14:textId="77777777" w:rsidR="00311609" w:rsidRPr="009A0728" w:rsidRDefault="00311609" w:rsidP="009A0728">
      <w:pPr>
        <w:pBdr>
          <w:bottom w:val="single" w:sz="6" w:space="0" w:color="auto"/>
        </w:pBdr>
        <w:spacing w:before="400" w:line="240" w:lineRule="auto"/>
        <w:rPr>
          <w:rFonts w:eastAsia="Times New Roman"/>
          <w:b/>
          <w:sz w:val="28"/>
        </w:rPr>
      </w:pPr>
    </w:p>
    <w:p w14:paraId="0B9631C7" w14:textId="77777777" w:rsidR="00311609" w:rsidRPr="009A0728" w:rsidRDefault="00311609" w:rsidP="009A0728">
      <w:pPr>
        <w:spacing w:line="40" w:lineRule="exact"/>
        <w:rPr>
          <w:rFonts w:eastAsia="Calibri"/>
          <w:b/>
          <w:sz w:val="28"/>
        </w:rPr>
      </w:pPr>
    </w:p>
    <w:p w14:paraId="1C005BEA" w14:textId="77777777" w:rsidR="00311609" w:rsidRPr="009A0728" w:rsidRDefault="00311609" w:rsidP="009A0728">
      <w:pPr>
        <w:pBdr>
          <w:top w:val="single" w:sz="12" w:space="0" w:color="auto"/>
        </w:pBdr>
        <w:spacing w:line="240" w:lineRule="auto"/>
        <w:rPr>
          <w:rFonts w:eastAsia="Times New Roman"/>
          <w:b/>
          <w:sz w:val="28"/>
        </w:rPr>
      </w:pPr>
    </w:p>
    <w:p w14:paraId="391A1B40" w14:textId="77777777" w:rsidR="00311609" w:rsidRDefault="00311609" w:rsidP="00311609">
      <w:pPr>
        <w:pStyle w:val="Page1"/>
        <w:spacing w:before="400"/>
      </w:pPr>
      <w:r>
        <w:t>An Act to set out Australia’s greenhouse gas emissions reduction targets, to provide for annual climate change statements, to confer advisory functions on the Climate Change Authority, and for related purposes</w:t>
      </w:r>
    </w:p>
    <w:p w14:paraId="65C34D2A" w14:textId="60575929" w:rsidR="00ED3FF8" w:rsidRDefault="00ED3FF8" w:rsidP="000C5962">
      <w:pPr>
        <w:pStyle w:val="AssentDt"/>
        <w:spacing w:before="240"/>
        <w:rPr>
          <w:sz w:val="24"/>
        </w:rPr>
      </w:pPr>
      <w:r>
        <w:rPr>
          <w:sz w:val="24"/>
        </w:rPr>
        <w:t>[</w:t>
      </w:r>
      <w:r>
        <w:rPr>
          <w:i/>
          <w:sz w:val="24"/>
        </w:rPr>
        <w:t>Assented to 13 September 2022</w:t>
      </w:r>
      <w:r>
        <w:rPr>
          <w:sz w:val="24"/>
        </w:rPr>
        <w:t>]</w:t>
      </w:r>
    </w:p>
    <w:p w14:paraId="19DEDB53" w14:textId="79770337" w:rsidR="00715914" w:rsidRPr="001E75CA" w:rsidRDefault="00715914" w:rsidP="005C68A8">
      <w:pPr>
        <w:spacing w:before="240" w:line="240" w:lineRule="auto"/>
        <w:outlineLvl w:val="0"/>
        <w:rPr>
          <w:sz w:val="32"/>
        </w:rPr>
      </w:pPr>
      <w:r w:rsidRPr="001E75CA">
        <w:rPr>
          <w:sz w:val="32"/>
        </w:rPr>
        <w:t>The Parliament of Australia enacts:</w:t>
      </w:r>
    </w:p>
    <w:p w14:paraId="1590C464" w14:textId="77777777" w:rsidR="00715914" w:rsidRPr="001E75CA" w:rsidRDefault="00715914" w:rsidP="005C68A8">
      <w:pPr>
        <w:pStyle w:val="ActHead2"/>
      </w:pPr>
      <w:bookmarkStart w:id="1" w:name="_Toc114044707"/>
      <w:r w:rsidRPr="005C68A8">
        <w:rPr>
          <w:rStyle w:val="CharPartNo"/>
        </w:rPr>
        <w:t>Part 1</w:t>
      </w:r>
      <w:r w:rsidRPr="001E75CA">
        <w:t>—</w:t>
      </w:r>
      <w:r w:rsidRPr="005C68A8">
        <w:rPr>
          <w:rStyle w:val="CharPartText"/>
        </w:rPr>
        <w:t>Preliminary</w:t>
      </w:r>
      <w:bookmarkEnd w:id="1"/>
    </w:p>
    <w:p w14:paraId="6DCADD82" w14:textId="77777777" w:rsidR="00715914" w:rsidRPr="005C68A8" w:rsidRDefault="00715914" w:rsidP="005C68A8">
      <w:pPr>
        <w:pStyle w:val="Header"/>
      </w:pPr>
      <w:r w:rsidRPr="005C68A8">
        <w:rPr>
          <w:rStyle w:val="CharDivNo"/>
        </w:rPr>
        <w:t xml:space="preserve"> </w:t>
      </w:r>
      <w:r w:rsidRPr="005C68A8">
        <w:rPr>
          <w:rStyle w:val="CharDivText"/>
        </w:rPr>
        <w:t xml:space="preserve"> </w:t>
      </w:r>
    </w:p>
    <w:p w14:paraId="1AA0B260" w14:textId="77777777" w:rsidR="00715914" w:rsidRPr="001E75CA" w:rsidRDefault="00780FEF" w:rsidP="005C68A8">
      <w:pPr>
        <w:pStyle w:val="ActHead5"/>
      </w:pPr>
      <w:bookmarkStart w:id="2" w:name="_Toc114044708"/>
      <w:r w:rsidRPr="005C68A8">
        <w:rPr>
          <w:rStyle w:val="CharSectno"/>
        </w:rPr>
        <w:t>1</w:t>
      </w:r>
      <w:r w:rsidR="00715914" w:rsidRPr="001E75CA">
        <w:t xml:space="preserve">  Short title</w:t>
      </w:r>
      <w:bookmarkEnd w:id="2"/>
    </w:p>
    <w:p w14:paraId="21E7C0F4" w14:textId="77777777" w:rsidR="00715914" w:rsidRPr="001E75CA" w:rsidRDefault="00715914" w:rsidP="005C68A8">
      <w:pPr>
        <w:pStyle w:val="subsection"/>
      </w:pPr>
      <w:r w:rsidRPr="001E75CA">
        <w:tab/>
      </w:r>
      <w:r w:rsidRPr="001E75CA">
        <w:tab/>
        <w:t xml:space="preserve">This Act </w:t>
      </w:r>
      <w:r w:rsidR="00B20224" w:rsidRPr="001E75CA">
        <w:t>is</w:t>
      </w:r>
      <w:r w:rsidRPr="001E75CA">
        <w:t xml:space="preserve"> the </w:t>
      </w:r>
      <w:r w:rsidR="00AA2A40" w:rsidRPr="001E75CA">
        <w:rPr>
          <w:i/>
        </w:rPr>
        <w:t xml:space="preserve">Climate Change </w:t>
      </w:r>
      <w:r w:rsidR="00970489" w:rsidRPr="001E75CA">
        <w:rPr>
          <w:i/>
        </w:rPr>
        <w:t>Act</w:t>
      </w:r>
      <w:r w:rsidR="00AA2A40" w:rsidRPr="001E75CA">
        <w:rPr>
          <w:i/>
        </w:rPr>
        <w:t xml:space="preserve"> 2022</w:t>
      </w:r>
      <w:r w:rsidRPr="001E75CA">
        <w:t>.</w:t>
      </w:r>
    </w:p>
    <w:p w14:paraId="52E20D55" w14:textId="77777777" w:rsidR="00715914" w:rsidRPr="001E75CA" w:rsidRDefault="00780FEF" w:rsidP="005C68A8">
      <w:pPr>
        <w:pStyle w:val="ActHead5"/>
      </w:pPr>
      <w:bookmarkStart w:id="3" w:name="_Toc114044709"/>
      <w:r w:rsidRPr="005C68A8">
        <w:rPr>
          <w:rStyle w:val="CharSectno"/>
        </w:rPr>
        <w:lastRenderedPageBreak/>
        <w:t>2</w:t>
      </w:r>
      <w:r w:rsidR="00715914" w:rsidRPr="001E75CA">
        <w:t xml:space="preserve">  Commencement</w:t>
      </w:r>
      <w:bookmarkEnd w:id="3"/>
    </w:p>
    <w:p w14:paraId="452654AA" w14:textId="77777777" w:rsidR="00715914" w:rsidRPr="001E75CA" w:rsidRDefault="00715914" w:rsidP="005C68A8">
      <w:pPr>
        <w:pStyle w:val="subsection"/>
      </w:pPr>
      <w:r w:rsidRPr="001E75CA">
        <w:tab/>
        <w:t>(1)</w:t>
      </w:r>
      <w:r w:rsidRPr="001E75CA">
        <w:tab/>
        <w:t>Each provision of this Act specified in column 1 of the table commences, or is taken to have commenced, in accordance with column 2 of the table. Any other statement in column 2 has effect according to its terms.</w:t>
      </w:r>
    </w:p>
    <w:p w14:paraId="6A8ACEFA" w14:textId="77777777" w:rsidR="00715914" w:rsidRPr="001E75CA" w:rsidRDefault="00715914" w:rsidP="005C68A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1E75CA" w14:paraId="4C893793" w14:textId="77777777" w:rsidTr="00456784">
        <w:trPr>
          <w:tblHeader/>
        </w:trPr>
        <w:tc>
          <w:tcPr>
            <w:tcW w:w="7111" w:type="dxa"/>
            <w:gridSpan w:val="3"/>
            <w:tcBorders>
              <w:top w:val="single" w:sz="12" w:space="0" w:color="auto"/>
              <w:bottom w:val="single" w:sz="6" w:space="0" w:color="auto"/>
            </w:tcBorders>
            <w:shd w:val="clear" w:color="auto" w:fill="auto"/>
          </w:tcPr>
          <w:p w14:paraId="6A334920" w14:textId="77777777" w:rsidR="00715914" w:rsidRPr="001E75CA" w:rsidRDefault="00715914" w:rsidP="005C68A8">
            <w:pPr>
              <w:pStyle w:val="TableHeading"/>
            </w:pPr>
            <w:r w:rsidRPr="001E75CA">
              <w:t>Commencement information</w:t>
            </w:r>
          </w:p>
        </w:tc>
      </w:tr>
      <w:tr w:rsidR="00715914" w:rsidRPr="001E75CA" w14:paraId="06B9146E" w14:textId="77777777" w:rsidTr="00456784">
        <w:trPr>
          <w:tblHeader/>
        </w:trPr>
        <w:tc>
          <w:tcPr>
            <w:tcW w:w="1701" w:type="dxa"/>
            <w:tcBorders>
              <w:top w:val="single" w:sz="6" w:space="0" w:color="auto"/>
              <w:bottom w:val="single" w:sz="6" w:space="0" w:color="auto"/>
            </w:tcBorders>
            <w:shd w:val="clear" w:color="auto" w:fill="auto"/>
          </w:tcPr>
          <w:p w14:paraId="4725F245" w14:textId="77777777" w:rsidR="00715914" w:rsidRPr="001E75CA" w:rsidRDefault="00715914" w:rsidP="005C68A8">
            <w:pPr>
              <w:pStyle w:val="TableHeading"/>
            </w:pPr>
            <w:r w:rsidRPr="001E75CA">
              <w:t>Column 1</w:t>
            </w:r>
          </w:p>
        </w:tc>
        <w:tc>
          <w:tcPr>
            <w:tcW w:w="3828" w:type="dxa"/>
            <w:tcBorders>
              <w:top w:val="single" w:sz="6" w:space="0" w:color="auto"/>
              <w:bottom w:val="single" w:sz="6" w:space="0" w:color="auto"/>
            </w:tcBorders>
            <w:shd w:val="clear" w:color="auto" w:fill="auto"/>
          </w:tcPr>
          <w:p w14:paraId="15CC222D" w14:textId="77777777" w:rsidR="00715914" w:rsidRPr="001E75CA" w:rsidRDefault="00715914" w:rsidP="005C68A8">
            <w:pPr>
              <w:pStyle w:val="TableHeading"/>
            </w:pPr>
            <w:r w:rsidRPr="001E75CA">
              <w:t>Column 2</w:t>
            </w:r>
          </w:p>
        </w:tc>
        <w:tc>
          <w:tcPr>
            <w:tcW w:w="1582" w:type="dxa"/>
            <w:tcBorders>
              <w:top w:val="single" w:sz="6" w:space="0" w:color="auto"/>
              <w:bottom w:val="single" w:sz="6" w:space="0" w:color="auto"/>
            </w:tcBorders>
            <w:shd w:val="clear" w:color="auto" w:fill="auto"/>
          </w:tcPr>
          <w:p w14:paraId="5347DB68" w14:textId="77777777" w:rsidR="00715914" w:rsidRPr="001E75CA" w:rsidRDefault="00715914" w:rsidP="005C68A8">
            <w:pPr>
              <w:pStyle w:val="TableHeading"/>
            </w:pPr>
            <w:r w:rsidRPr="001E75CA">
              <w:t>Column 3</w:t>
            </w:r>
          </w:p>
        </w:tc>
      </w:tr>
      <w:tr w:rsidR="00715914" w:rsidRPr="001E75CA" w14:paraId="2002F7E3" w14:textId="77777777" w:rsidTr="00456784">
        <w:trPr>
          <w:tblHeader/>
        </w:trPr>
        <w:tc>
          <w:tcPr>
            <w:tcW w:w="1701" w:type="dxa"/>
            <w:tcBorders>
              <w:top w:val="single" w:sz="6" w:space="0" w:color="auto"/>
              <w:bottom w:val="single" w:sz="12" w:space="0" w:color="auto"/>
            </w:tcBorders>
            <w:shd w:val="clear" w:color="auto" w:fill="auto"/>
          </w:tcPr>
          <w:p w14:paraId="055165CE" w14:textId="77777777" w:rsidR="00715914" w:rsidRPr="001E75CA" w:rsidRDefault="00715914" w:rsidP="005C68A8">
            <w:pPr>
              <w:pStyle w:val="TableHeading"/>
            </w:pPr>
            <w:r w:rsidRPr="001E75CA">
              <w:t>Provisions</w:t>
            </w:r>
          </w:p>
        </w:tc>
        <w:tc>
          <w:tcPr>
            <w:tcW w:w="3828" w:type="dxa"/>
            <w:tcBorders>
              <w:top w:val="single" w:sz="6" w:space="0" w:color="auto"/>
              <w:bottom w:val="single" w:sz="12" w:space="0" w:color="auto"/>
            </w:tcBorders>
            <w:shd w:val="clear" w:color="auto" w:fill="auto"/>
          </w:tcPr>
          <w:p w14:paraId="1EBB38E6" w14:textId="77777777" w:rsidR="00715914" w:rsidRPr="001E75CA" w:rsidRDefault="00715914" w:rsidP="005C68A8">
            <w:pPr>
              <w:pStyle w:val="TableHeading"/>
            </w:pPr>
            <w:r w:rsidRPr="001E75CA">
              <w:t>Commencement</w:t>
            </w:r>
          </w:p>
        </w:tc>
        <w:tc>
          <w:tcPr>
            <w:tcW w:w="1582" w:type="dxa"/>
            <w:tcBorders>
              <w:top w:val="single" w:sz="6" w:space="0" w:color="auto"/>
              <w:bottom w:val="single" w:sz="12" w:space="0" w:color="auto"/>
            </w:tcBorders>
            <w:shd w:val="clear" w:color="auto" w:fill="auto"/>
          </w:tcPr>
          <w:p w14:paraId="0F8297B7" w14:textId="77777777" w:rsidR="00715914" w:rsidRPr="001E75CA" w:rsidRDefault="00715914" w:rsidP="005C68A8">
            <w:pPr>
              <w:pStyle w:val="TableHeading"/>
            </w:pPr>
            <w:r w:rsidRPr="001E75CA">
              <w:t>Date/Details</w:t>
            </w:r>
          </w:p>
        </w:tc>
      </w:tr>
      <w:tr w:rsidR="00456784" w:rsidRPr="001E75CA" w14:paraId="37194597" w14:textId="77777777" w:rsidTr="00456784">
        <w:tc>
          <w:tcPr>
            <w:tcW w:w="1701" w:type="dxa"/>
            <w:tcBorders>
              <w:top w:val="single" w:sz="12" w:space="0" w:color="auto"/>
              <w:bottom w:val="single" w:sz="12" w:space="0" w:color="auto"/>
            </w:tcBorders>
            <w:shd w:val="clear" w:color="auto" w:fill="auto"/>
          </w:tcPr>
          <w:p w14:paraId="2CEC7FFB" w14:textId="77777777" w:rsidR="00456784" w:rsidRPr="001E75CA" w:rsidRDefault="00456784" w:rsidP="005C68A8">
            <w:pPr>
              <w:pStyle w:val="Tabletext"/>
            </w:pPr>
            <w:r w:rsidRPr="001E75CA">
              <w:t>1.  The whole of this Act</w:t>
            </w:r>
          </w:p>
        </w:tc>
        <w:tc>
          <w:tcPr>
            <w:tcW w:w="3828" w:type="dxa"/>
            <w:tcBorders>
              <w:top w:val="single" w:sz="12" w:space="0" w:color="auto"/>
              <w:bottom w:val="single" w:sz="12" w:space="0" w:color="auto"/>
            </w:tcBorders>
            <w:shd w:val="clear" w:color="auto" w:fill="auto"/>
          </w:tcPr>
          <w:p w14:paraId="07F682B9" w14:textId="77777777" w:rsidR="00456784" w:rsidRPr="001E75CA" w:rsidRDefault="00456784" w:rsidP="005C68A8">
            <w:pPr>
              <w:pStyle w:val="Tabletext"/>
            </w:pPr>
            <w:r w:rsidRPr="001E75CA">
              <w:t>The day after this Act receives the Royal Assent.</w:t>
            </w:r>
          </w:p>
        </w:tc>
        <w:tc>
          <w:tcPr>
            <w:tcW w:w="1582" w:type="dxa"/>
            <w:tcBorders>
              <w:top w:val="single" w:sz="12" w:space="0" w:color="auto"/>
              <w:bottom w:val="single" w:sz="12" w:space="0" w:color="auto"/>
            </w:tcBorders>
            <w:shd w:val="clear" w:color="auto" w:fill="auto"/>
          </w:tcPr>
          <w:p w14:paraId="1701B213" w14:textId="0484162A" w:rsidR="00456784" w:rsidRPr="001E75CA" w:rsidRDefault="0023486F" w:rsidP="005C68A8">
            <w:pPr>
              <w:pStyle w:val="Tabletext"/>
            </w:pPr>
            <w:r>
              <w:t>14 September 2022</w:t>
            </w:r>
          </w:p>
        </w:tc>
      </w:tr>
    </w:tbl>
    <w:p w14:paraId="5F8F7EA8" w14:textId="77777777" w:rsidR="00715914" w:rsidRPr="001E75CA" w:rsidRDefault="00B80199" w:rsidP="005C68A8">
      <w:pPr>
        <w:pStyle w:val="notetext"/>
      </w:pPr>
      <w:r w:rsidRPr="001E75CA">
        <w:t>Note:</w:t>
      </w:r>
      <w:r w:rsidRPr="001E75CA">
        <w:tab/>
        <w:t>This table relates only to the provisions of this Act as originally enacted. It will not be amended to deal with any later amendments of this Act.</w:t>
      </w:r>
    </w:p>
    <w:p w14:paraId="1EFAD3D7" w14:textId="77777777" w:rsidR="00715914" w:rsidRPr="001E75CA" w:rsidRDefault="00715914" w:rsidP="005C68A8">
      <w:pPr>
        <w:pStyle w:val="subsection"/>
      </w:pPr>
      <w:r w:rsidRPr="001E75CA">
        <w:tab/>
        <w:t>(2)</w:t>
      </w:r>
      <w:r w:rsidRPr="001E75CA">
        <w:tab/>
      </w:r>
      <w:r w:rsidR="00B80199" w:rsidRPr="001E75CA">
        <w:t xml:space="preserve">Any information in </w:t>
      </w:r>
      <w:r w:rsidR="009532A5" w:rsidRPr="001E75CA">
        <w:t>c</w:t>
      </w:r>
      <w:r w:rsidR="00B80199" w:rsidRPr="001E75CA">
        <w:t>olumn 3 of the table is not part of this Act. Information may be inserted in this column, or information in it may be edited, in any published version of this Act.</w:t>
      </w:r>
    </w:p>
    <w:p w14:paraId="179DACA9" w14:textId="77777777" w:rsidR="00B93371" w:rsidRPr="001E75CA" w:rsidRDefault="00780FEF" w:rsidP="005C68A8">
      <w:pPr>
        <w:pStyle w:val="ActHead5"/>
      </w:pPr>
      <w:bookmarkStart w:id="4" w:name="_Toc114044710"/>
      <w:r w:rsidRPr="005C68A8">
        <w:rPr>
          <w:rStyle w:val="CharSectno"/>
        </w:rPr>
        <w:t>3</w:t>
      </w:r>
      <w:r w:rsidR="00B93371" w:rsidRPr="001E75CA">
        <w:t xml:space="preserve">  Objects</w:t>
      </w:r>
      <w:bookmarkEnd w:id="4"/>
    </w:p>
    <w:p w14:paraId="16F582CC" w14:textId="77777777" w:rsidR="00B93371" w:rsidRPr="001E75CA" w:rsidRDefault="00B93371" w:rsidP="005C68A8">
      <w:pPr>
        <w:pStyle w:val="subsection"/>
      </w:pPr>
      <w:r w:rsidRPr="001E75CA">
        <w:tab/>
      </w:r>
      <w:r w:rsidRPr="001E75CA">
        <w:tab/>
        <w:t xml:space="preserve">The objects of this </w:t>
      </w:r>
      <w:r w:rsidR="004D12A7" w:rsidRPr="001E75CA">
        <w:t xml:space="preserve">Act </w:t>
      </w:r>
      <w:r w:rsidRPr="001E75CA">
        <w:t>are:</w:t>
      </w:r>
    </w:p>
    <w:p w14:paraId="0C5D0C11" w14:textId="77777777" w:rsidR="00686DB5" w:rsidRDefault="00686DB5" w:rsidP="00686DB5">
      <w:pPr>
        <w:pStyle w:val="paragraph"/>
      </w:pPr>
      <w:r>
        <w:tab/>
        <w:t>(aa)</w:t>
      </w:r>
      <w:r>
        <w:tab/>
        <w:t>to advance an effective and progressive response to the urgent threat of climate change drawing on the best available scientific knowledge; and</w:t>
      </w:r>
    </w:p>
    <w:p w14:paraId="63A796D0" w14:textId="77777777" w:rsidR="00B93371" w:rsidRPr="001E75CA" w:rsidRDefault="00B93371" w:rsidP="005C68A8">
      <w:pPr>
        <w:pStyle w:val="paragraph"/>
      </w:pPr>
      <w:r w:rsidRPr="001E75CA">
        <w:tab/>
        <w:t>(a)</w:t>
      </w:r>
      <w:r w:rsidRPr="001E75CA">
        <w:tab/>
        <w:t xml:space="preserve">to set out Australia’s greenhouse gas emissions reduction targets </w:t>
      </w:r>
      <w:r w:rsidR="00B1439C" w:rsidRPr="001E75CA">
        <w:t>which</w:t>
      </w:r>
      <w:r w:rsidRPr="001E75CA">
        <w:t xml:space="preserve"> contribut</w:t>
      </w:r>
      <w:r w:rsidR="00240CC7" w:rsidRPr="001E75CA">
        <w:t>e</w:t>
      </w:r>
      <w:r w:rsidRPr="001E75CA">
        <w:t xml:space="preserve"> to the </w:t>
      </w:r>
      <w:r w:rsidR="00B1439C" w:rsidRPr="001E75CA">
        <w:t xml:space="preserve">global </w:t>
      </w:r>
      <w:r w:rsidRPr="001E75CA">
        <w:t>goal</w:t>
      </w:r>
      <w:r w:rsidR="00B1439C" w:rsidRPr="001E75CA">
        <w:t>s</w:t>
      </w:r>
      <w:r w:rsidRPr="001E75CA">
        <w:t xml:space="preserve"> of:</w:t>
      </w:r>
    </w:p>
    <w:p w14:paraId="2F518713" w14:textId="77777777" w:rsidR="00B93371" w:rsidRPr="001E75CA" w:rsidRDefault="00B93371" w:rsidP="005C68A8">
      <w:pPr>
        <w:pStyle w:val="paragraphsub"/>
      </w:pPr>
      <w:r w:rsidRPr="001E75CA">
        <w:tab/>
        <w:t>(i)</w:t>
      </w:r>
      <w:r w:rsidRPr="001E75CA">
        <w:tab/>
        <w:t xml:space="preserve">holding the increase in the global average temperature </w:t>
      </w:r>
      <w:bookmarkStart w:id="5" w:name="_GoBack"/>
      <w:r w:rsidRPr="001E75CA">
        <w:t>to well below 2°C above pre</w:t>
      </w:r>
      <w:r w:rsidR="005C68A8">
        <w:noBreakHyphen/>
      </w:r>
      <w:r w:rsidRPr="001E75CA">
        <w:t>industrial levels; and</w:t>
      </w:r>
    </w:p>
    <w:bookmarkEnd w:id="5"/>
    <w:p w14:paraId="65B7B1C0" w14:textId="77777777" w:rsidR="00B93371" w:rsidRPr="001E75CA" w:rsidRDefault="00B93371" w:rsidP="005C68A8">
      <w:pPr>
        <w:pStyle w:val="paragraphsub"/>
      </w:pPr>
      <w:r w:rsidRPr="001E75CA">
        <w:tab/>
        <w:t>(ii)</w:t>
      </w:r>
      <w:r w:rsidRPr="001E75CA">
        <w:tab/>
        <w:t>pursuing efforts to limit the temperature increase to 1.5°C above pre</w:t>
      </w:r>
      <w:r w:rsidR="005C68A8">
        <w:noBreakHyphen/>
      </w:r>
      <w:r w:rsidRPr="001E75CA">
        <w:t>industrial levels; and</w:t>
      </w:r>
    </w:p>
    <w:p w14:paraId="532B0863" w14:textId="3CE3A7BB" w:rsidR="00B93371" w:rsidRPr="001E75CA" w:rsidRDefault="00B93371" w:rsidP="005C68A8">
      <w:pPr>
        <w:pStyle w:val="paragraph"/>
      </w:pPr>
      <w:r w:rsidRPr="001E75CA">
        <w:tab/>
        <w:t>(b)</w:t>
      </w:r>
      <w:r w:rsidRPr="001E75CA">
        <w:tab/>
        <w:t xml:space="preserve">to promote accountability </w:t>
      </w:r>
      <w:r w:rsidR="00686DB5">
        <w:t>and ambition</w:t>
      </w:r>
      <w:r w:rsidR="00686DB5" w:rsidRPr="001E75CA">
        <w:t xml:space="preserve"> </w:t>
      </w:r>
      <w:r w:rsidRPr="001E75CA">
        <w:t>by requiring the Minister to:</w:t>
      </w:r>
    </w:p>
    <w:p w14:paraId="34ED9E8C" w14:textId="77777777" w:rsidR="00B93371" w:rsidRPr="001E75CA" w:rsidRDefault="00B93371" w:rsidP="005C68A8">
      <w:pPr>
        <w:pStyle w:val="paragraphsub"/>
      </w:pPr>
      <w:r w:rsidRPr="001E75CA">
        <w:tab/>
        <w:t>(i)</w:t>
      </w:r>
      <w:r w:rsidRPr="001E75CA">
        <w:tab/>
        <w:t>prepare annual climate change statements; and</w:t>
      </w:r>
    </w:p>
    <w:p w14:paraId="1AE83FDF" w14:textId="77777777" w:rsidR="00B93371" w:rsidRPr="001E75CA" w:rsidRDefault="00B93371" w:rsidP="005C68A8">
      <w:pPr>
        <w:pStyle w:val="paragraphsub"/>
      </w:pPr>
      <w:r w:rsidRPr="001E75CA">
        <w:lastRenderedPageBreak/>
        <w:tab/>
        <w:t>(ii)</w:t>
      </w:r>
      <w:r w:rsidRPr="001E75CA">
        <w:tab/>
      </w:r>
      <w:r w:rsidR="004D12A7" w:rsidRPr="001E75CA">
        <w:t>cause</w:t>
      </w:r>
      <w:r w:rsidRPr="001E75CA">
        <w:t xml:space="preserve"> </w:t>
      </w:r>
      <w:r w:rsidR="004D12A7" w:rsidRPr="001E75CA">
        <w:t xml:space="preserve">copies of </w:t>
      </w:r>
      <w:r w:rsidRPr="001E75CA">
        <w:t xml:space="preserve">those statements </w:t>
      </w:r>
      <w:r w:rsidR="004D12A7" w:rsidRPr="001E75CA">
        <w:t xml:space="preserve">to be tabled </w:t>
      </w:r>
      <w:r w:rsidRPr="001E75CA">
        <w:t xml:space="preserve">in </w:t>
      </w:r>
      <w:r w:rsidR="004D12A7" w:rsidRPr="001E75CA">
        <w:t xml:space="preserve">each House of the </w:t>
      </w:r>
      <w:r w:rsidRPr="001E75CA">
        <w:t>Parliament; and</w:t>
      </w:r>
    </w:p>
    <w:p w14:paraId="5AE70DC6" w14:textId="77777777" w:rsidR="00B93371" w:rsidRPr="001E75CA" w:rsidRDefault="00B93371" w:rsidP="005C68A8">
      <w:pPr>
        <w:pStyle w:val="paragraph"/>
      </w:pPr>
      <w:r w:rsidRPr="001E75CA">
        <w:tab/>
        <w:t>(c)</w:t>
      </w:r>
      <w:r w:rsidRPr="001E75CA">
        <w:tab/>
        <w:t>to ensure that independent advice from the Climate Change Authority informs:</w:t>
      </w:r>
    </w:p>
    <w:p w14:paraId="6D0854DF" w14:textId="77777777" w:rsidR="00B93371" w:rsidRPr="001E75CA" w:rsidRDefault="00B93371" w:rsidP="005C68A8">
      <w:pPr>
        <w:pStyle w:val="paragraphsub"/>
      </w:pPr>
      <w:r w:rsidRPr="001E75CA">
        <w:tab/>
        <w:t>(i)</w:t>
      </w:r>
      <w:r w:rsidRPr="001E75CA">
        <w:tab/>
        <w:t>the preparation of annual climate change statements; and</w:t>
      </w:r>
    </w:p>
    <w:p w14:paraId="73ACD716" w14:textId="77777777" w:rsidR="00B93371" w:rsidRPr="001E75CA" w:rsidRDefault="00B93371" w:rsidP="005C68A8">
      <w:pPr>
        <w:pStyle w:val="paragraphsub"/>
      </w:pPr>
      <w:r w:rsidRPr="001E75CA">
        <w:tab/>
        <w:t>(ii)</w:t>
      </w:r>
      <w:r w:rsidRPr="001E75CA">
        <w:tab/>
        <w:t>the greenhouse gas emissions reduction targets</w:t>
      </w:r>
      <w:r w:rsidR="004D12A7" w:rsidRPr="001E75CA">
        <w:t xml:space="preserve"> to be included in a new or adjusted nationally determined contribution.</w:t>
      </w:r>
    </w:p>
    <w:p w14:paraId="48C44C5F" w14:textId="77777777" w:rsidR="00F91403" w:rsidRPr="001E75CA" w:rsidRDefault="00780FEF" w:rsidP="005C68A8">
      <w:pPr>
        <w:pStyle w:val="ActHead5"/>
      </w:pPr>
      <w:bookmarkStart w:id="6" w:name="_Toc114044711"/>
      <w:r w:rsidRPr="005C68A8">
        <w:rPr>
          <w:rStyle w:val="CharSectno"/>
        </w:rPr>
        <w:t>4</w:t>
      </w:r>
      <w:r w:rsidR="00F91403" w:rsidRPr="001E75CA">
        <w:t xml:space="preserve">  Simplified outline of this Act</w:t>
      </w:r>
      <w:bookmarkEnd w:id="6"/>
    </w:p>
    <w:p w14:paraId="2DB2A936" w14:textId="77777777" w:rsidR="00B76B55" w:rsidRPr="001E75CA" w:rsidRDefault="00B76B55" w:rsidP="005C68A8">
      <w:pPr>
        <w:pStyle w:val="SOBullet"/>
      </w:pPr>
      <w:r w:rsidRPr="001E75CA">
        <w:t>•</w:t>
      </w:r>
      <w:r w:rsidRPr="001E75CA">
        <w:tab/>
        <w:t>This Act sets out Australia’s greenhouse gas emissions reduction targets.</w:t>
      </w:r>
    </w:p>
    <w:p w14:paraId="3A124825" w14:textId="77777777" w:rsidR="00B76B55" w:rsidRPr="001E75CA" w:rsidRDefault="00B76B55" w:rsidP="005C68A8">
      <w:pPr>
        <w:pStyle w:val="SOBullet"/>
      </w:pPr>
      <w:r w:rsidRPr="001E75CA">
        <w:t>•</w:t>
      </w:r>
      <w:r w:rsidRPr="001E75CA">
        <w:tab/>
        <w:t xml:space="preserve">The Minister must prepare an annual climate </w:t>
      </w:r>
      <w:r w:rsidR="00227A41" w:rsidRPr="001E75CA">
        <w:t>change statement</w:t>
      </w:r>
      <w:r w:rsidRPr="001E75CA">
        <w:t>.</w:t>
      </w:r>
    </w:p>
    <w:p w14:paraId="6A6690E0" w14:textId="77777777" w:rsidR="00E322F1" w:rsidRPr="001E75CA" w:rsidRDefault="00E322F1" w:rsidP="005C68A8">
      <w:pPr>
        <w:pStyle w:val="SOBullet"/>
      </w:pPr>
      <w:r w:rsidRPr="001E75CA">
        <w:t>•</w:t>
      </w:r>
      <w:r w:rsidRPr="001E75CA">
        <w:tab/>
        <w:t>The Climate Change Authority is to give the Minister advice that relates to the preparation of an annual climate change statement.</w:t>
      </w:r>
    </w:p>
    <w:p w14:paraId="7BD0CE9E" w14:textId="77777777" w:rsidR="00967EA5" w:rsidRPr="001E75CA" w:rsidRDefault="00967EA5" w:rsidP="005C68A8">
      <w:pPr>
        <w:pStyle w:val="SOBullet"/>
      </w:pPr>
      <w:r w:rsidRPr="001E75CA">
        <w:t>•</w:t>
      </w:r>
      <w:r w:rsidRPr="001E75CA">
        <w:tab/>
        <w:t>The Climate Change Authority is to advise the Minister on greenhouse gas emissions reduction targets to be included in a new or adjusted nationally determined contribution.</w:t>
      </w:r>
    </w:p>
    <w:p w14:paraId="14937D29" w14:textId="77777777" w:rsidR="00B918C7" w:rsidRPr="001E75CA" w:rsidRDefault="00B918C7" w:rsidP="005C68A8">
      <w:pPr>
        <w:pStyle w:val="SOBullet"/>
      </w:pPr>
      <w:r w:rsidRPr="001E75CA">
        <w:t>•</w:t>
      </w:r>
      <w:r w:rsidRPr="001E75CA">
        <w:tab/>
      </w:r>
      <w:r w:rsidR="009D2569" w:rsidRPr="001E75CA">
        <w:t>There are to be periodic reviews of the operation of this Act</w:t>
      </w:r>
      <w:r w:rsidRPr="001E75CA">
        <w:t>.</w:t>
      </w:r>
    </w:p>
    <w:p w14:paraId="793547D0" w14:textId="77777777" w:rsidR="00456784" w:rsidRPr="001E75CA" w:rsidRDefault="00780FEF" w:rsidP="005C68A8">
      <w:pPr>
        <w:pStyle w:val="ActHead5"/>
      </w:pPr>
      <w:bookmarkStart w:id="7" w:name="_Toc114044712"/>
      <w:r w:rsidRPr="005C68A8">
        <w:rPr>
          <w:rStyle w:val="CharSectno"/>
        </w:rPr>
        <w:t>5</w:t>
      </w:r>
      <w:r w:rsidR="004325F6" w:rsidRPr="001E75CA">
        <w:t xml:space="preserve">  </w:t>
      </w:r>
      <w:r w:rsidR="00F34923" w:rsidRPr="001E75CA">
        <w:t>Definitions</w:t>
      </w:r>
      <w:bookmarkEnd w:id="7"/>
    </w:p>
    <w:p w14:paraId="0C10E011" w14:textId="77777777" w:rsidR="00F34923" w:rsidRPr="001E75CA" w:rsidRDefault="00EA6873" w:rsidP="005C68A8">
      <w:pPr>
        <w:pStyle w:val="subsection"/>
      </w:pPr>
      <w:r w:rsidRPr="001E75CA">
        <w:tab/>
      </w:r>
      <w:r w:rsidRPr="001E75CA">
        <w:tab/>
      </w:r>
      <w:r w:rsidR="00F34923" w:rsidRPr="001E75CA">
        <w:t>In this Act:</w:t>
      </w:r>
    </w:p>
    <w:p w14:paraId="7E70960F" w14:textId="77777777" w:rsidR="00592BEA" w:rsidRPr="001E75CA" w:rsidRDefault="00592BEA" w:rsidP="005C68A8">
      <w:pPr>
        <w:pStyle w:val="Definition"/>
      </w:pPr>
      <w:r w:rsidRPr="001E75CA">
        <w:rPr>
          <w:b/>
          <w:i/>
        </w:rPr>
        <w:t xml:space="preserve">annual climate </w:t>
      </w:r>
      <w:r w:rsidR="00227A41" w:rsidRPr="001E75CA">
        <w:rPr>
          <w:b/>
          <w:i/>
        </w:rPr>
        <w:t>change statement</w:t>
      </w:r>
      <w:r w:rsidRPr="001E75CA">
        <w:t xml:space="preserve"> means a </w:t>
      </w:r>
      <w:r w:rsidR="00B525D2" w:rsidRPr="001E75CA">
        <w:t>statement</w:t>
      </w:r>
      <w:r w:rsidRPr="001E75CA">
        <w:t xml:space="preserve"> under </w:t>
      </w:r>
      <w:r w:rsidR="005C68A8">
        <w:t>subsection 1</w:t>
      </w:r>
      <w:r w:rsidR="00780FEF" w:rsidRPr="001E75CA">
        <w:t>2</w:t>
      </w:r>
      <w:r w:rsidRPr="001E75CA">
        <w:t>(1).</w:t>
      </w:r>
    </w:p>
    <w:p w14:paraId="4039ABE5" w14:textId="77777777" w:rsidR="00F34923" w:rsidRPr="001E75CA" w:rsidRDefault="00F34923" w:rsidP="005C68A8">
      <w:pPr>
        <w:pStyle w:val="Definition"/>
      </w:pPr>
      <w:r w:rsidRPr="001E75CA">
        <w:rPr>
          <w:b/>
          <w:i/>
        </w:rPr>
        <w:t>Australia</w:t>
      </w:r>
      <w:r w:rsidR="00592BEA" w:rsidRPr="001E75CA">
        <w:rPr>
          <w:b/>
          <w:i/>
        </w:rPr>
        <w:t>’</w:t>
      </w:r>
      <w:r w:rsidRPr="001E75CA">
        <w:rPr>
          <w:b/>
          <w:i/>
        </w:rPr>
        <w:t xml:space="preserve">s </w:t>
      </w:r>
      <w:r w:rsidR="00252E95" w:rsidRPr="001E75CA">
        <w:rPr>
          <w:b/>
          <w:i/>
        </w:rPr>
        <w:t>greenhouse gas emissions reduction targets</w:t>
      </w:r>
      <w:r w:rsidR="00EA6873" w:rsidRPr="001E75CA">
        <w:rPr>
          <w:b/>
          <w:i/>
        </w:rPr>
        <w:t xml:space="preserve"> </w:t>
      </w:r>
      <w:r w:rsidR="00EA6873" w:rsidRPr="001E75CA">
        <w:t xml:space="preserve">has the meaning given by </w:t>
      </w:r>
      <w:r w:rsidR="005C68A8">
        <w:t>section 1</w:t>
      </w:r>
      <w:r w:rsidR="00780FEF" w:rsidRPr="001E75CA">
        <w:t>0</w:t>
      </w:r>
      <w:r w:rsidR="00EA6873" w:rsidRPr="001E75CA">
        <w:t>.</w:t>
      </w:r>
    </w:p>
    <w:p w14:paraId="7F844023" w14:textId="77777777" w:rsidR="00083C1F" w:rsidRPr="001E75CA" w:rsidRDefault="00D72B94" w:rsidP="005C68A8">
      <w:pPr>
        <w:pStyle w:val="Definition"/>
      </w:pPr>
      <w:r w:rsidRPr="001E75CA">
        <w:rPr>
          <w:b/>
          <w:i/>
        </w:rPr>
        <w:lastRenderedPageBreak/>
        <w:t>Australia</w:t>
      </w:r>
      <w:r w:rsidR="00592BEA" w:rsidRPr="001E75CA">
        <w:rPr>
          <w:b/>
          <w:i/>
        </w:rPr>
        <w:t>’</w:t>
      </w:r>
      <w:r w:rsidRPr="001E75CA">
        <w:rPr>
          <w:b/>
          <w:i/>
        </w:rPr>
        <w:t xml:space="preserve">s nationally determined contribution </w:t>
      </w:r>
      <w:r w:rsidRPr="001E75CA">
        <w:t>means</w:t>
      </w:r>
      <w:r w:rsidR="00083C1F" w:rsidRPr="001E75CA">
        <w:t>:</w:t>
      </w:r>
    </w:p>
    <w:p w14:paraId="0F9D77A7" w14:textId="77777777" w:rsidR="00083C1F" w:rsidRPr="001E75CA" w:rsidRDefault="00083C1F" w:rsidP="005C68A8">
      <w:pPr>
        <w:pStyle w:val="paragraph"/>
      </w:pPr>
      <w:r w:rsidRPr="001E75CA">
        <w:tab/>
        <w:t>(a)</w:t>
      </w:r>
      <w:r w:rsidRPr="001E75CA">
        <w:tab/>
      </w:r>
      <w:r w:rsidR="00601F71" w:rsidRPr="001E75CA">
        <w:t>Australia</w:t>
      </w:r>
      <w:r w:rsidR="00592BEA" w:rsidRPr="001E75CA">
        <w:t>’</w:t>
      </w:r>
      <w:r w:rsidR="00601F71" w:rsidRPr="001E75CA">
        <w:t xml:space="preserve">s </w:t>
      </w:r>
      <w:r w:rsidR="00B520EB" w:rsidRPr="001E75CA">
        <w:t xml:space="preserve">current </w:t>
      </w:r>
      <w:r w:rsidR="00D72B94" w:rsidRPr="001E75CA">
        <w:t>nationally determined contribution</w:t>
      </w:r>
      <w:r w:rsidR="00AD5DA7" w:rsidRPr="001E75CA">
        <w:t xml:space="preserve"> </w:t>
      </w:r>
      <w:r w:rsidR="00D72B94" w:rsidRPr="001E75CA">
        <w:t xml:space="preserve">communicated </w:t>
      </w:r>
      <w:r w:rsidR="00592BEA" w:rsidRPr="001E75CA">
        <w:t xml:space="preserve">in accordance with </w:t>
      </w:r>
      <w:r w:rsidR="00AD5DA7" w:rsidRPr="001E75CA">
        <w:t xml:space="preserve">Article 4 of the Paris </w:t>
      </w:r>
      <w:r w:rsidR="00B50B18" w:rsidRPr="001E75CA">
        <w:t>A</w:t>
      </w:r>
      <w:r w:rsidR="00AD5DA7" w:rsidRPr="001E75CA">
        <w:t>greement</w:t>
      </w:r>
      <w:r w:rsidRPr="001E75CA">
        <w:t>; or</w:t>
      </w:r>
    </w:p>
    <w:p w14:paraId="2703FBBD" w14:textId="77777777" w:rsidR="00D72B94" w:rsidRPr="001E75CA" w:rsidRDefault="00083C1F" w:rsidP="005C68A8">
      <w:pPr>
        <w:pStyle w:val="paragraph"/>
      </w:pPr>
      <w:r w:rsidRPr="001E75CA">
        <w:tab/>
        <w:t>(b)</w:t>
      </w:r>
      <w:r w:rsidRPr="001E75CA">
        <w:tab/>
        <w:t xml:space="preserve">if that nationally determined contribution has been adjusted in accordance with </w:t>
      </w:r>
      <w:r w:rsidR="00BD3C49" w:rsidRPr="001E75CA">
        <w:t>paragraph 1</w:t>
      </w:r>
      <w:r w:rsidRPr="001E75CA">
        <w:t>1 of Article 4 of the Paris Agreement—that nationally determined contribution</w:t>
      </w:r>
      <w:r w:rsidR="00B50B18" w:rsidRPr="001E75CA">
        <w:t>, as adjusted and in force from time to time</w:t>
      </w:r>
      <w:r w:rsidR="00AD5DA7" w:rsidRPr="001E75CA">
        <w:t>.</w:t>
      </w:r>
    </w:p>
    <w:p w14:paraId="5EDD52BB" w14:textId="77777777" w:rsidR="00EA6873" w:rsidRPr="001E75CA" w:rsidRDefault="00EA6873" w:rsidP="005C68A8">
      <w:pPr>
        <w:pStyle w:val="Definition"/>
        <w:rPr>
          <w:b/>
          <w:i/>
        </w:rPr>
      </w:pPr>
      <w:r w:rsidRPr="001E75CA">
        <w:rPr>
          <w:b/>
          <w:i/>
        </w:rPr>
        <w:t xml:space="preserve">Paris Agreement </w:t>
      </w:r>
      <w:r w:rsidRPr="001E75CA">
        <w:t>means the Paris Agreement, done at Paris on 12 December 2015, as amended and in force for Australia from time to time.</w:t>
      </w:r>
    </w:p>
    <w:p w14:paraId="6BBBBE4D" w14:textId="77777777" w:rsidR="00EA6873" w:rsidRPr="001E75CA" w:rsidRDefault="00EA6873" w:rsidP="005C68A8">
      <w:pPr>
        <w:pStyle w:val="notetext"/>
      </w:pPr>
      <w:r w:rsidRPr="001E75CA">
        <w:t>Note:</w:t>
      </w:r>
      <w:r w:rsidRPr="001E75CA">
        <w:tab/>
        <w:t>The Agreement is in Australian Treaty Series 2016 No. 24 ([2016] ATS 24) and could in 20</w:t>
      </w:r>
      <w:r w:rsidR="00601F71" w:rsidRPr="001E75CA">
        <w:t>22</w:t>
      </w:r>
      <w:r w:rsidRPr="001E75CA">
        <w:t xml:space="preserve"> be viewed in the Australian Treaties Library on the </w:t>
      </w:r>
      <w:proofErr w:type="spellStart"/>
      <w:r w:rsidRPr="001E75CA">
        <w:t>AustLII</w:t>
      </w:r>
      <w:proofErr w:type="spellEnd"/>
      <w:r w:rsidRPr="001E75CA">
        <w:t xml:space="preserve"> website (http://www.austlii.edu.au).</w:t>
      </w:r>
    </w:p>
    <w:p w14:paraId="1C807F2B" w14:textId="77777777" w:rsidR="00CD472A" w:rsidRPr="001E75CA" w:rsidRDefault="00780FEF" w:rsidP="005C68A8">
      <w:pPr>
        <w:pStyle w:val="ActHead5"/>
      </w:pPr>
      <w:bookmarkStart w:id="8" w:name="_Toc114044713"/>
      <w:r w:rsidRPr="005C68A8">
        <w:rPr>
          <w:rStyle w:val="CharSectno"/>
        </w:rPr>
        <w:t>6</w:t>
      </w:r>
      <w:r w:rsidR="00CD472A" w:rsidRPr="001E75CA">
        <w:t xml:space="preserve">  Act binds the Crown</w:t>
      </w:r>
      <w:bookmarkEnd w:id="8"/>
    </w:p>
    <w:p w14:paraId="089B5D61" w14:textId="77777777" w:rsidR="00CD472A" w:rsidRPr="001E75CA" w:rsidRDefault="00CD472A" w:rsidP="005C68A8">
      <w:pPr>
        <w:pStyle w:val="subsection"/>
      </w:pPr>
      <w:r w:rsidRPr="001E75CA">
        <w:tab/>
      </w:r>
      <w:r w:rsidR="001512F6" w:rsidRPr="001E75CA">
        <w:tab/>
      </w:r>
      <w:r w:rsidRPr="001E75CA">
        <w:t>This Act binds the Crown in right of the Commonwealth. However, it does not bind the Crown in right of a State, of the Australian Capital Territory or of the Northern Territory.</w:t>
      </w:r>
    </w:p>
    <w:p w14:paraId="4B5A1406" w14:textId="77777777" w:rsidR="00DD39C3" w:rsidRPr="001E75CA" w:rsidRDefault="00780FEF" w:rsidP="005C68A8">
      <w:pPr>
        <w:pStyle w:val="ActHead5"/>
      </w:pPr>
      <w:bookmarkStart w:id="9" w:name="_Toc114044714"/>
      <w:r w:rsidRPr="005C68A8">
        <w:rPr>
          <w:rStyle w:val="CharSectno"/>
        </w:rPr>
        <w:t>7</w:t>
      </w:r>
      <w:r w:rsidR="00DD39C3" w:rsidRPr="001E75CA">
        <w:t xml:space="preserve">  Extension to external Territories</w:t>
      </w:r>
      <w:bookmarkEnd w:id="9"/>
    </w:p>
    <w:p w14:paraId="59BF1673" w14:textId="77777777" w:rsidR="00DD39C3" w:rsidRPr="001E75CA" w:rsidRDefault="00DD39C3" w:rsidP="005C68A8">
      <w:pPr>
        <w:pStyle w:val="subsection"/>
      </w:pPr>
      <w:r w:rsidRPr="001E75CA">
        <w:tab/>
      </w:r>
      <w:r w:rsidRPr="001E75CA">
        <w:tab/>
        <w:t>This Act extends to every external Territory.</w:t>
      </w:r>
    </w:p>
    <w:p w14:paraId="12CD25AD" w14:textId="77777777" w:rsidR="00DD39C3" w:rsidRPr="001E75CA" w:rsidRDefault="00780FEF" w:rsidP="005C68A8">
      <w:pPr>
        <w:pStyle w:val="ActHead5"/>
      </w:pPr>
      <w:bookmarkStart w:id="10" w:name="_Toc114044715"/>
      <w:r w:rsidRPr="005C68A8">
        <w:rPr>
          <w:rStyle w:val="CharSectno"/>
        </w:rPr>
        <w:t>8</w:t>
      </w:r>
      <w:r w:rsidR="00DD39C3" w:rsidRPr="001E75CA">
        <w:t xml:space="preserve">  Extension to exclusive economic zone and continental shelf</w:t>
      </w:r>
      <w:bookmarkEnd w:id="10"/>
    </w:p>
    <w:p w14:paraId="632B26E7" w14:textId="77777777" w:rsidR="00242868" w:rsidRPr="001E75CA" w:rsidRDefault="00DD39C3" w:rsidP="005C68A8">
      <w:pPr>
        <w:pStyle w:val="subsection"/>
      </w:pPr>
      <w:r w:rsidRPr="001E75CA">
        <w:tab/>
      </w:r>
      <w:r w:rsidRPr="001E75CA">
        <w:tab/>
        <w:t>This Act extends to a matter relating to the exercise of Australia</w:t>
      </w:r>
      <w:r w:rsidR="00592BEA" w:rsidRPr="001E75CA">
        <w:t>’</w:t>
      </w:r>
      <w:r w:rsidRPr="001E75CA">
        <w:t>s sovereign rights in the exclusive economic zone or the continental shelf.</w:t>
      </w:r>
    </w:p>
    <w:p w14:paraId="09804995" w14:textId="77777777" w:rsidR="00242868" w:rsidRPr="001E75CA" w:rsidRDefault="00242868" w:rsidP="005C68A8">
      <w:pPr>
        <w:pStyle w:val="ActHead2"/>
        <w:pageBreakBefore/>
      </w:pPr>
      <w:bookmarkStart w:id="11" w:name="_Toc114044716"/>
      <w:r w:rsidRPr="005C68A8">
        <w:rPr>
          <w:rStyle w:val="CharPartNo"/>
        </w:rPr>
        <w:lastRenderedPageBreak/>
        <w:t>Part 2</w:t>
      </w:r>
      <w:r w:rsidRPr="001E75CA">
        <w:t>—</w:t>
      </w:r>
      <w:r w:rsidR="00FA5E85" w:rsidRPr="005C68A8">
        <w:rPr>
          <w:rStyle w:val="CharPartText"/>
        </w:rPr>
        <w:t xml:space="preserve">Australia’s greenhouse </w:t>
      </w:r>
      <w:r w:rsidR="00252E95" w:rsidRPr="005C68A8">
        <w:rPr>
          <w:rStyle w:val="CharPartText"/>
        </w:rPr>
        <w:t>gas emissions reduction targets</w:t>
      </w:r>
      <w:bookmarkEnd w:id="11"/>
    </w:p>
    <w:p w14:paraId="19938E8E" w14:textId="77777777" w:rsidR="00BD3C49" w:rsidRPr="005C68A8" w:rsidRDefault="00BD3C49" w:rsidP="005C68A8">
      <w:pPr>
        <w:pStyle w:val="Header"/>
      </w:pPr>
      <w:r w:rsidRPr="005C68A8">
        <w:rPr>
          <w:rStyle w:val="CharDivNo"/>
        </w:rPr>
        <w:t xml:space="preserve"> </w:t>
      </w:r>
      <w:r w:rsidRPr="005C68A8">
        <w:rPr>
          <w:rStyle w:val="CharDivText"/>
        </w:rPr>
        <w:t xml:space="preserve"> </w:t>
      </w:r>
    </w:p>
    <w:p w14:paraId="4CD0A49E" w14:textId="77777777" w:rsidR="00B76B55" w:rsidRPr="001E75CA" w:rsidRDefault="00780FEF" w:rsidP="005C68A8">
      <w:pPr>
        <w:pStyle w:val="ActHead5"/>
      </w:pPr>
      <w:bookmarkStart w:id="12" w:name="_Toc114044717"/>
      <w:r w:rsidRPr="005C68A8">
        <w:rPr>
          <w:rStyle w:val="CharSectno"/>
        </w:rPr>
        <w:t>9</w:t>
      </w:r>
      <w:r w:rsidR="00B76B55" w:rsidRPr="001E75CA">
        <w:t xml:space="preserve">  Simplified outline of this Part</w:t>
      </w:r>
      <w:bookmarkEnd w:id="12"/>
    </w:p>
    <w:p w14:paraId="7B4822BA" w14:textId="77777777" w:rsidR="00B76B55" w:rsidRPr="001E75CA" w:rsidRDefault="00B76B55" w:rsidP="005C68A8">
      <w:pPr>
        <w:pStyle w:val="SOBullet"/>
      </w:pPr>
      <w:r w:rsidRPr="001E75CA">
        <w:t>•</w:t>
      </w:r>
      <w:r w:rsidRPr="001E75CA">
        <w:tab/>
        <w:t>This Part sets out Australia’s greenhouse gas emissions reduction targets.</w:t>
      </w:r>
    </w:p>
    <w:p w14:paraId="196937E7" w14:textId="77777777" w:rsidR="00830DBD" w:rsidRPr="001E75CA" w:rsidRDefault="00780FEF" w:rsidP="005C68A8">
      <w:pPr>
        <w:pStyle w:val="ActHead5"/>
      </w:pPr>
      <w:bookmarkStart w:id="13" w:name="_Toc114044718"/>
      <w:r w:rsidRPr="005C68A8">
        <w:rPr>
          <w:rStyle w:val="CharSectno"/>
        </w:rPr>
        <w:t>10</w:t>
      </w:r>
      <w:r w:rsidR="00830DBD" w:rsidRPr="001E75CA">
        <w:t xml:space="preserve">  Australia</w:t>
      </w:r>
      <w:r w:rsidR="00592BEA" w:rsidRPr="001E75CA">
        <w:t>’</w:t>
      </w:r>
      <w:r w:rsidR="00830DBD" w:rsidRPr="001E75CA">
        <w:t xml:space="preserve">s </w:t>
      </w:r>
      <w:r w:rsidR="00252E95" w:rsidRPr="001E75CA">
        <w:t>greenhouse gas emissions reduction targets</w:t>
      </w:r>
      <w:bookmarkEnd w:id="13"/>
    </w:p>
    <w:p w14:paraId="749255FB" w14:textId="77777777" w:rsidR="00F40B4F" w:rsidRPr="001E75CA" w:rsidRDefault="00830DBD" w:rsidP="005C68A8">
      <w:pPr>
        <w:pStyle w:val="subsection"/>
      </w:pPr>
      <w:r w:rsidRPr="001E75CA">
        <w:tab/>
      </w:r>
      <w:r w:rsidR="00A85DBD" w:rsidRPr="001E75CA">
        <w:t>(1)</w:t>
      </w:r>
      <w:r w:rsidR="00A85DBD" w:rsidRPr="001E75CA">
        <w:tab/>
      </w:r>
      <w:r w:rsidR="00F40B4F" w:rsidRPr="001E75CA">
        <w:t>Australia</w:t>
      </w:r>
      <w:r w:rsidR="00592BEA" w:rsidRPr="001E75CA">
        <w:t>’</w:t>
      </w:r>
      <w:r w:rsidR="00F40B4F" w:rsidRPr="001E75CA">
        <w:t xml:space="preserve">s </w:t>
      </w:r>
      <w:r w:rsidR="00252E95" w:rsidRPr="001E75CA">
        <w:t>greenhouse gas emissions reduction targets</w:t>
      </w:r>
      <w:r w:rsidR="00F40B4F" w:rsidRPr="001E75CA">
        <w:t xml:space="preserve"> are as follows:</w:t>
      </w:r>
    </w:p>
    <w:p w14:paraId="2CF97FD0" w14:textId="77777777" w:rsidR="00F40B4F" w:rsidRPr="001E75CA" w:rsidRDefault="00F40B4F" w:rsidP="005C68A8">
      <w:pPr>
        <w:pStyle w:val="paragraph"/>
      </w:pPr>
      <w:r w:rsidRPr="001E75CA">
        <w:tab/>
        <w:t>(a)</w:t>
      </w:r>
      <w:r w:rsidRPr="001E75CA">
        <w:tab/>
        <w:t>reducing Australia</w:t>
      </w:r>
      <w:r w:rsidR="00592BEA" w:rsidRPr="001E75CA">
        <w:t>’</w:t>
      </w:r>
      <w:r w:rsidRPr="001E75CA">
        <w:t>s net greenhouse gas emissions to</w:t>
      </w:r>
      <w:r w:rsidR="001955B0" w:rsidRPr="001E75CA">
        <w:t xml:space="preserve"> </w:t>
      </w:r>
      <w:r w:rsidRPr="001E75CA">
        <w:t>43% below 2005 levels by 2030</w:t>
      </w:r>
      <w:r w:rsidR="00601F71" w:rsidRPr="001E75CA">
        <w:t>:</w:t>
      </w:r>
    </w:p>
    <w:p w14:paraId="7AA90B53" w14:textId="77777777" w:rsidR="00601F71" w:rsidRPr="001E75CA" w:rsidRDefault="00601F71" w:rsidP="005C68A8">
      <w:pPr>
        <w:pStyle w:val="paragraphsub"/>
      </w:pPr>
      <w:r w:rsidRPr="001E75CA">
        <w:tab/>
        <w:t>(i)</w:t>
      </w:r>
      <w:r w:rsidRPr="001E75CA">
        <w:tab/>
        <w:t>implemented as a point target; and</w:t>
      </w:r>
    </w:p>
    <w:p w14:paraId="42247B45" w14:textId="77777777" w:rsidR="00601F71" w:rsidRPr="001E75CA" w:rsidRDefault="00601F71" w:rsidP="005C68A8">
      <w:pPr>
        <w:pStyle w:val="paragraphsub"/>
      </w:pPr>
      <w:r w:rsidRPr="001E75CA">
        <w:tab/>
        <w:t>(ii)</w:t>
      </w:r>
      <w:r w:rsidRPr="001E75CA">
        <w:tab/>
        <w:t xml:space="preserve">implemented as an emissions budget </w:t>
      </w:r>
      <w:r w:rsidR="00456092" w:rsidRPr="001E75CA">
        <w:t>covering</w:t>
      </w:r>
      <w:r w:rsidRPr="001E75CA">
        <w:t xml:space="preserve"> the period 2021</w:t>
      </w:r>
      <w:r w:rsidR="005C68A8">
        <w:noBreakHyphen/>
      </w:r>
      <w:r w:rsidRPr="001E75CA">
        <w:t>2030;</w:t>
      </w:r>
    </w:p>
    <w:p w14:paraId="0C99D352" w14:textId="77777777" w:rsidR="00A85DBD" w:rsidRPr="001E75CA" w:rsidRDefault="00A85DBD" w:rsidP="005C68A8">
      <w:pPr>
        <w:pStyle w:val="paragraph"/>
      </w:pPr>
      <w:r w:rsidRPr="001E75CA">
        <w:tab/>
        <w:t>(b)</w:t>
      </w:r>
      <w:r w:rsidRPr="001E75CA">
        <w:tab/>
        <w:t>reducing Australia</w:t>
      </w:r>
      <w:r w:rsidR="00592BEA" w:rsidRPr="001E75CA">
        <w:t>’</w:t>
      </w:r>
      <w:r w:rsidRPr="001E75CA">
        <w:t>s net greenhouse gas emissions to zero by 2050</w:t>
      </w:r>
      <w:r w:rsidR="00E257AC" w:rsidRPr="001E75CA">
        <w:t>.</w:t>
      </w:r>
    </w:p>
    <w:p w14:paraId="77850B7E" w14:textId="77777777" w:rsidR="00686DB5" w:rsidRDefault="00686DB5" w:rsidP="00686DB5">
      <w:pPr>
        <w:pStyle w:val="notetext"/>
      </w:pPr>
      <w:r w:rsidRPr="001E75CA">
        <w:t>Note:</w:t>
      </w:r>
      <w:r w:rsidRPr="001E75CA">
        <w:tab/>
        <w:t>The achievement of a target involves reducing Australia’s net greenhouse gas emissions to a level that is at or below the target.</w:t>
      </w:r>
      <w:r>
        <w:t xml:space="preserve"> Accordingly, nothing in subsection (1) limits Australia’s ability to reduce its </w:t>
      </w:r>
      <w:r w:rsidRPr="00D67627">
        <w:t xml:space="preserve">net </w:t>
      </w:r>
      <w:r>
        <w:t>greenhouse</w:t>
      </w:r>
      <w:r w:rsidRPr="00D67627">
        <w:t xml:space="preserve"> gas</w:t>
      </w:r>
      <w:r>
        <w:t xml:space="preserve"> emissions beyond 43% below 2005 levels by 2030.</w:t>
      </w:r>
    </w:p>
    <w:p w14:paraId="0CD62467" w14:textId="77777777" w:rsidR="00601F71" w:rsidRPr="001E75CA" w:rsidRDefault="006C2468" w:rsidP="005C68A8">
      <w:pPr>
        <w:pStyle w:val="subsection"/>
      </w:pPr>
      <w:r w:rsidRPr="001E75CA">
        <w:tab/>
        <w:t>(</w:t>
      </w:r>
      <w:r w:rsidR="00605899" w:rsidRPr="001E75CA">
        <w:t>2</w:t>
      </w:r>
      <w:r w:rsidRPr="001E75CA">
        <w:t>)</w:t>
      </w:r>
      <w:r w:rsidRPr="001E75CA">
        <w:tab/>
      </w:r>
      <w:r w:rsidR="00BD3C49" w:rsidRPr="001E75CA">
        <w:t>Subsection (</w:t>
      </w:r>
      <w:r w:rsidR="00601F71" w:rsidRPr="001E75CA">
        <w:t xml:space="preserve">1) </w:t>
      </w:r>
      <w:r w:rsidRPr="001E75CA">
        <w:t>is to be interpreted in a ma</w:t>
      </w:r>
      <w:r w:rsidR="00601F71" w:rsidRPr="001E75CA">
        <w:t>nn</w:t>
      </w:r>
      <w:r w:rsidRPr="001E75CA">
        <w:t>er consistent with</w:t>
      </w:r>
      <w:r w:rsidR="00601F71" w:rsidRPr="001E75CA">
        <w:t>:</w:t>
      </w:r>
    </w:p>
    <w:p w14:paraId="0E3F3912" w14:textId="77777777" w:rsidR="00601F71" w:rsidRPr="001E75CA" w:rsidRDefault="00601F71" w:rsidP="005C68A8">
      <w:pPr>
        <w:pStyle w:val="paragraph"/>
      </w:pPr>
      <w:r w:rsidRPr="001E75CA">
        <w:tab/>
        <w:t>(a)</w:t>
      </w:r>
      <w:r w:rsidRPr="001E75CA">
        <w:tab/>
      </w:r>
      <w:r w:rsidR="006C2468" w:rsidRPr="001E75CA">
        <w:t>the Paris Agreement</w:t>
      </w:r>
      <w:r w:rsidRPr="001E75CA">
        <w:t>;</w:t>
      </w:r>
      <w:r w:rsidR="006C2468" w:rsidRPr="001E75CA">
        <w:t xml:space="preserve"> and</w:t>
      </w:r>
    </w:p>
    <w:p w14:paraId="2A7D1D1D" w14:textId="77777777" w:rsidR="006C2468" w:rsidRPr="001E75CA" w:rsidRDefault="00601F71" w:rsidP="005C68A8">
      <w:pPr>
        <w:pStyle w:val="paragraph"/>
      </w:pPr>
      <w:r w:rsidRPr="001E75CA">
        <w:tab/>
        <w:t>(b)</w:t>
      </w:r>
      <w:r w:rsidRPr="001E75CA">
        <w:tab/>
      </w:r>
      <w:r w:rsidR="006C2468" w:rsidRPr="001E75CA">
        <w:t>Australia</w:t>
      </w:r>
      <w:r w:rsidR="00592BEA" w:rsidRPr="001E75CA">
        <w:t>’</w:t>
      </w:r>
      <w:r w:rsidR="006C2468" w:rsidRPr="001E75CA">
        <w:t>s nationally determined contribution.</w:t>
      </w:r>
    </w:p>
    <w:p w14:paraId="1CD2B682" w14:textId="77777777" w:rsidR="00083C1F" w:rsidRPr="001E75CA" w:rsidRDefault="00083C1F" w:rsidP="005C68A8">
      <w:pPr>
        <w:pStyle w:val="SubsectionHead"/>
      </w:pPr>
      <w:r w:rsidRPr="001E75CA">
        <w:t>Concurrent operation of State and Territory laws</w:t>
      </w:r>
    </w:p>
    <w:p w14:paraId="5AB04BF4" w14:textId="77777777" w:rsidR="00083C1F" w:rsidRPr="001E75CA" w:rsidRDefault="00083C1F" w:rsidP="005C68A8">
      <w:pPr>
        <w:pStyle w:val="subsection"/>
      </w:pPr>
      <w:r w:rsidRPr="001E75CA">
        <w:tab/>
        <w:t>(3)</w:t>
      </w:r>
      <w:r w:rsidRPr="001E75CA">
        <w:tab/>
      </w:r>
      <w:r w:rsidR="00BD3C49" w:rsidRPr="001E75CA">
        <w:t>Subsection (</w:t>
      </w:r>
      <w:r w:rsidRPr="001E75CA">
        <w:t>1) is not intended to exclude or limit the operation of a law of a State or Territory that is capable of operating concurrently with this Act.</w:t>
      </w:r>
    </w:p>
    <w:p w14:paraId="385EA85B" w14:textId="77777777" w:rsidR="00083C1F" w:rsidRPr="001E75CA" w:rsidRDefault="00083C1F" w:rsidP="005C68A8">
      <w:pPr>
        <w:pStyle w:val="SubsectionHead"/>
      </w:pPr>
      <w:r w:rsidRPr="001E75CA">
        <w:lastRenderedPageBreak/>
        <w:t>Executive power of the Commonwealth</w:t>
      </w:r>
    </w:p>
    <w:p w14:paraId="226D874C" w14:textId="77777777" w:rsidR="00083C1F" w:rsidRPr="001E75CA" w:rsidRDefault="00083C1F" w:rsidP="005C68A8">
      <w:pPr>
        <w:pStyle w:val="subsection"/>
      </w:pPr>
      <w:r w:rsidRPr="001E75CA">
        <w:tab/>
        <w:t>(4)</w:t>
      </w:r>
      <w:r w:rsidRPr="001E75CA">
        <w:tab/>
      </w:r>
      <w:r w:rsidR="00BD3C49" w:rsidRPr="001E75CA">
        <w:t>Subsection (</w:t>
      </w:r>
      <w:r w:rsidRPr="001E75CA">
        <w:t>1) does not prevent or limit the exercise of the executive power of the Commonwealth to:</w:t>
      </w:r>
    </w:p>
    <w:p w14:paraId="5EEC3916" w14:textId="77777777" w:rsidR="00083C1F" w:rsidRPr="001E75CA" w:rsidRDefault="00083C1F" w:rsidP="005C68A8">
      <w:pPr>
        <w:pStyle w:val="paragraph"/>
      </w:pPr>
      <w:r w:rsidRPr="001E75CA">
        <w:tab/>
        <w:t>(a)</w:t>
      </w:r>
      <w:r w:rsidRPr="001E75CA">
        <w:tab/>
        <w:t>prepare and communicate a new nationally determined contribution in accordance with Article 4 of the Paris Agreement; or</w:t>
      </w:r>
    </w:p>
    <w:p w14:paraId="2756EFF6" w14:textId="77777777" w:rsidR="00083C1F" w:rsidRPr="001E75CA" w:rsidRDefault="00083C1F" w:rsidP="005C68A8">
      <w:pPr>
        <w:pStyle w:val="paragraph"/>
      </w:pPr>
      <w:r w:rsidRPr="001E75CA">
        <w:tab/>
        <w:t>(b)</w:t>
      </w:r>
      <w:r w:rsidRPr="001E75CA">
        <w:tab/>
        <w:t xml:space="preserve">adjust Australia’s nationally determined contribution in accordance with </w:t>
      </w:r>
      <w:r w:rsidR="00BD3C49" w:rsidRPr="001E75CA">
        <w:t>paragraph 1</w:t>
      </w:r>
      <w:r w:rsidRPr="001E75CA">
        <w:t>1 of Article 4 of the Paris Agreement.</w:t>
      </w:r>
    </w:p>
    <w:p w14:paraId="4D408A95" w14:textId="77777777" w:rsidR="004560D8" w:rsidRPr="001E75CA" w:rsidRDefault="004C7130" w:rsidP="005C68A8">
      <w:pPr>
        <w:pStyle w:val="subsection"/>
      </w:pPr>
      <w:r w:rsidRPr="001E75CA">
        <w:tab/>
        <w:t>(5)</w:t>
      </w:r>
      <w:r w:rsidRPr="001E75CA">
        <w:tab/>
        <w:t>If the Commonwealth prepares and communicates a new nationally determined contribution in accordance with Article 4 of the Paris Agreement, the new nationally determined contribution must represent a progression beyond</w:t>
      </w:r>
      <w:r w:rsidR="004560D8" w:rsidRPr="001E75CA">
        <w:t>:</w:t>
      </w:r>
    </w:p>
    <w:p w14:paraId="40114448" w14:textId="77777777" w:rsidR="004560D8" w:rsidRPr="001E75CA" w:rsidRDefault="004560D8" w:rsidP="005C68A8">
      <w:pPr>
        <w:pStyle w:val="paragraph"/>
      </w:pPr>
      <w:r w:rsidRPr="001E75CA">
        <w:tab/>
        <w:t>(a)</w:t>
      </w:r>
      <w:r w:rsidRPr="001E75CA">
        <w:tab/>
        <w:t>Australia’s then current nationally determined contribution communicated in accordance with Article 4 of the Paris Agreement; or</w:t>
      </w:r>
    </w:p>
    <w:p w14:paraId="717542F0" w14:textId="77777777" w:rsidR="004560D8" w:rsidRPr="001E75CA" w:rsidRDefault="004560D8" w:rsidP="005C68A8">
      <w:pPr>
        <w:pStyle w:val="paragraph"/>
      </w:pPr>
      <w:r w:rsidRPr="001E75CA">
        <w:tab/>
        <w:t>(b)</w:t>
      </w:r>
      <w:r w:rsidRPr="001E75CA">
        <w:tab/>
        <w:t>if that nationally determined contribution has been adjusted in accordance with paragraph 11 of Article 4 of the Paris Agreement—that nationally determined contribution, as adjusted and in force from time to time.</w:t>
      </w:r>
    </w:p>
    <w:p w14:paraId="3A95E7A6" w14:textId="77777777" w:rsidR="004560D8" w:rsidRPr="001E75CA" w:rsidRDefault="004560D8" w:rsidP="005C68A8">
      <w:pPr>
        <w:pStyle w:val="subsection"/>
      </w:pPr>
      <w:r w:rsidRPr="001E75CA">
        <w:tab/>
        <w:t>(6)</w:t>
      </w:r>
      <w:r w:rsidRPr="001E75CA">
        <w:tab/>
        <w:t>If the Commonwealth adjusts Australia’s nationally determined contribution in accordance with paragraph 11 of Article 4 of the Paris Agreement, the adjusted nationally determined contribution must represent an enhancement of Australia’s level of ambition.</w:t>
      </w:r>
    </w:p>
    <w:p w14:paraId="23E4ABE4" w14:textId="77777777" w:rsidR="00242868" w:rsidRPr="001E75CA" w:rsidRDefault="00CB36FF" w:rsidP="005C68A8">
      <w:pPr>
        <w:pStyle w:val="ActHead2"/>
        <w:pageBreakBefore/>
      </w:pPr>
      <w:bookmarkStart w:id="14" w:name="_Toc114044719"/>
      <w:r w:rsidRPr="005C68A8">
        <w:rPr>
          <w:rStyle w:val="CharPartNo"/>
        </w:rPr>
        <w:lastRenderedPageBreak/>
        <w:t>Part 3</w:t>
      </w:r>
      <w:r w:rsidRPr="001E75CA">
        <w:t>—</w:t>
      </w:r>
      <w:r w:rsidR="00C94F1A" w:rsidRPr="005C68A8">
        <w:rPr>
          <w:rStyle w:val="CharPartText"/>
        </w:rPr>
        <w:t xml:space="preserve">Annual climate </w:t>
      </w:r>
      <w:r w:rsidR="00227A41" w:rsidRPr="005C68A8">
        <w:rPr>
          <w:rStyle w:val="CharPartText"/>
        </w:rPr>
        <w:t>change statement</w:t>
      </w:r>
      <w:bookmarkEnd w:id="14"/>
    </w:p>
    <w:p w14:paraId="16A3027A" w14:textId="77777777" w:rsidR="00BD3C49" w:rsidRPr="005C68A8" w:rsidRDefault="00BD3C49" w:rsidP="005C68A8">
      <w:pPr>
        <w:pStyle w:val="Header"/>
      </w:pPr>
      <w:r w:rsidRPr="005C68A8">
        <w:rPr>
          <w:rStyle w:val="CharDivNo"/>
        </w:rPr>
        <w:t xml:space="preserve"> </w:t>
      </w:r>
      <w:r w:rsidRPr="005C68A8">
        <w:rPr>
          <w:rStyle w:val="CharDivText"/>
        </w:rPr>
        <w:t xml:space="preserve"> </w:t>
      </w:r>
    </w:p>
    <w:p w14:paraId="06A2C217" w14:textId="77777777" w:rsidR="00B76B55" w:rsidRPr="001E75CA" w:rsidRDefault="00780FEF" w:rsidP="005C68A8">
      <w:pPr>
        <w:pStyle w:val="ActHead5"/>
      </w:pPr>
      <w:bookmarkStart w:id="15" w:name="_Toc114044720"/>
      <w:r w:rsidRPr="005C68A8">
        <w:rPr>
          <w:rStyle w:val="CharSectno"/>
        </w:rPr>
        <w:t>11</w:t>
      </w:r>
      <w:r w:rsidR="00B76B55" w:rsidRPr="001E75CA">
        <w:t xml:space="preserve">  Simplified outline of this Part</w:t>
      </w:r>
      <w:bookmarkEnd w:id="15"/>
    </w:p>
    <w:p w14:paraId="2CFC8F93" w14:textId="77777777" w:rsidR="00B76B55" w:rsidRPr="001E75CA" w:rsidRDefault="00B76B55" w:rsidP="005C68A8">
      <w:pPr>
        <w:pStyle w:val="SOBullet"/>
      </w:pPr>
      <w:r w:rsidRPr="001E75CA">
        <w:t>•</w:t>
      </w:r>
      <w:r w:rsidRPr="001E75CA">
        <w:tab/>
        <w:t xml:space="preserve">The Minister must prepare an annual climate </w:t>
      </w:r>
      <w:r w:rsidR="00227A41" w:rsidRPr="001E75CA">
        <w:t>change statement</w:t>
      </w:r>
      <w:r w:rsidRPr="001E75CA">
        <w:t>.</w:t>
      </w:r>
    </w:p>
    <w:p w14:paraId="701CBC1D" w14:textId="77777777" w:rsidR="00065CCD" w:rsidRPr="001E75CA" w:rsidRDefault="00065CCD" w:rsidP="005C68A8">
      <w:pPr>
        <w:pStyle w:val="SOBullet"/>
      </w:pPr>
      <w:r w:rsidRPr="001E75CA">
        <w:t>•</w:t>
      </w:r>
      <w:r w:rsidRPr="001E75CA">
        <w:tab/>
        <w:t>A copy of an annual climate change statement i</w:t>
      </w:r>
      <w:r w:rsidR="00BB4525" w:rsidRPr="001E75CA">
        <w:t>s</w:t>
      </w:r>
      <w:r w:rsidRPr="001E75CA">
        <w:t xml:space="preserve"> to be tabled in each House of the Parliament.</w:t>
      </w:r>
    </w:p>
    <w:p w14:paraId="196989D7" w14:textId="77777777" w:rsidR="008105DD" w:rsidRPr="001E75CA" w:rsidRDefault="00780FEF" w:rsidP="005C68A8">
      <w:pPr>
        <w:pStyle w:val="ActHead5"/>
      </w:pPr>
      <w:bookmarkStart w:id="16" w:name="_Toc114044721"/>
      <w:r w:rsidRPr="005C68A8">
        <w:rPr>
          <w:rStyle w:val="CharSectno"/>
        </w:rPr>
        <w:t>12</w:t>
      </w:r>
      <w:r w:rsidR="008105DD" w:rsidRPr="001E75CA">
        <w:t xml:space="preserve">  Annual climate </w:t>
      </w:r>
      <w:r w:rsidR="00227A41" w:rsidRPr="001E75CA">
        <w:t>change statement</w:t>
      </w:r>
      <w:bookmarkEnd w:id="16"/>
    </w:p>
    <w:p w14:paraId="00D9C6C4" w14:textId="77777777" w:rsidR="00C94F1A" w:rsidRPr="001E75CA" w:rsidRDefault="008105DD" w:rsidP="005C68A8">
      <w:pPr>
        <w:pStyle w:val="subsection"/>
      </w:pPr>
      <w:r w:rsidRPr="001E75CA">
        <w:tab/>
        <w:t>(1)</w:t>
      </w:r>
      <w:r w:rsidRPr="001E75CA">
        <w:tab/>
      </w:r>
      <w:r w:rsidR="00A20E53" w:rsidRPr="001E75CA">
        <w:t xml:space="preserve">Within </w:t>
      </w:r>
      <w:r w:rsidR="00580739" w:rsidRPr="001E75CA">
        <w:t>6</w:t>
      </w:r>
      <w:r w:rsidR="00A20E53" w:rsidRPr="001E75CA">
        <w:t xml:space="preserve"> months </w:t>
      </w:r>
      <w:r w:rsidRPr="001E75CA">
        <w:t xml:space="preserve">after the end of </w:t>
      </w:r>
      <w:r w:rsidR="00592BEA" w:rsidRPr="001E75CA">
        <w:t>e</w:t>
      </w:r>
      <w:r w:rsidRPr="001E75CA">
        <w:t>a</w:t>
      </w:r>
      <w:r w:rsidR="00592BEA" w:rsidRPr="001E75CA">
        <w:t>ch</w:t>
      </w:r>
      <w:r w:rsidRPr="001E75CA">
        <w:t xml:space="preserve"> </w:t>
      </w:r>
      <w:r w:rsidR="00A20E53" w:rsidRPr="001E75CA">
        <w:t>financial</w:t>
      </w:r>
      <w:r w:rsidRPr="001E75CA">
        <w:t xml:space="preserve"> year, the Minister must prepare a </w:t>
      </w:r>
      <w:r w:rsidR="00B525D2" w:rsidRPr="001E75CA">
        <w:t>statement</w:t>
      </w:r>
      <w:r w:rsidR="00913763" w:rsidRPr="001E75CA">
        <w:t xml:space="preserve"> </w:t>
      </w:r>
      <w:r w:rsidRPr="001E75CA">
        <w:t>that relates to:</w:t>
      </w:r>
    </w:p>
    <w:p w14:paraId="3DAAEF85" w14:textId="77777777" w:rsidR="008105DD" w:rsidRPr="001E75CA" w:rsidRDefault="008105DD" w:rsidP="005C68A8">
      <w:pPr>
        <w:pStyle w:val="paragraph"/>
      </w:pPr>
      <w:r w:rsidRPr="001E75CA">
        <w:tab/>
        <w:t>(a)</w:t>
      </w:r>
      <w:r w:rsidRPr="001E75CA">
        <w:tab/>
      </w:r>
      <w:r w:rsidR="002D4DF4" w:rsidRPr="001E75CA">
        <w:t xml:space="preserve">the progress made </w:t>
      </w:r>
      <w:r w:rsidR="00592BEA" w:rsidRPr="001E75CA">
        <w:t xml:space="preserve">during the year </w:t>
      </w:r>
      <w:r w:rsidR="002D4DF4" w:rsidRPr="001E75CA">
        <w:t xml:space="preserve">towards </w:t>
      </w:r>
      <w:r w:rsidR="0074061C" w:rsidRPr="001E75CA">
        <w:t>achieving</w:t>
      </w:r>
      <w:r w:rsidR="002D4DF4" w:rsidRPr="001E75CA">
        <w:t xml:space="preserve"> Australia</w:t>
      </w:r>
      <w:r w:rsidR="00592BEA" w:rsidRPr="001E75CA">
        <w:t>’</w:t>
      </w:r>
      <w:r w:rsidR="002D4DF4" w:rsidRPr="001E75CA">
        <w:t xml:space="preserve">s </w:t>
      </w:r>
      <w:r w:rsidR="00252E95" w:rsidRPr="001E75CA">
        <w:t>greenhouse gas emissions reduction targets</w:t>
      </w:r>
      <w:r w:rsidRPr="001E75CA">
        <w:t>;</w:t>
      </w:r>
      <w:r w:rsidR="002D4DF4" w:rsidRPr="001E75CA">
        <w:t xml:space="preserve"> and</w:t>
      </w:r>
    </w:p>
    <w:p w14:paraId="61B3A27F" w14:textId="77777777" w:rsidR="008105DD" w:rsidRPr="001E75CA" w:rsidRDefault="008105DD" w:rsidP="005C68A8">
      <w:pPr>
        <w:pStyle w:val="paragraph"/>
      </w:pPr>
      <w:r w:rsidRPr="001E75CA">
        <w:tab/>
        <w:t>(b)</w:t>
      </w:r>
      <w:r w:rsidRPr="001E75CA">
        <w:tab/>
        <w:t xml:space="preserve">international developments </w:t>
      </w:r>
      <w:r w:rsidR="00592BEA" w:rsidRPr="001E75CA">
        <w:t xml:space="preserve">during the year that are relevant to </w:t>
      </w:r>
      <w:r w:rsidRPr="001E75CA">
        <w:t>addressing climate change; and</w:t>
      </w:r>
    </w:p>
    <w:p w14:paraId="436DDDFE" w14:textId="77777777" w:rsidR="00323939" w:rsidRPr="001E75CA" w:rsidRDefault="002D4DF4" w:rsidP="005C68A8">
      <w:pPr>
        <w:pStyle w:val="paragraph"/>
      </w:pPr>
      <w:r w:rsidRPr="001E75CA">
        <w:tab/>
        <w:t>(c)</w:t>
      </w:r>
      <w:r w:rsidRPr="001E75CA">
        <w:tab/>
        <w:t>climate change policy</w:t>
      </w:r>
      <w:r w:rsidR="00323939" w:rsidRPr="001E75CA">
        <w:t>; and</w:t>
      </w:r>
    </w:p>
    <w:p w14:paraId="34E7B3AA" w14:textId="2A2A4DD1" w:rsidR="00686DB5" w:rsidRDefault="00686DB5" w:rsidP="00686DB5">
      <w:pPr>
        <w:pStyle w:val="paragraph"/>
      </w:pPr>
      <w:r>
        <w:tab/>
        <w:t>(d)</w:t>
      </w:r>
      <w:r>
        <w:tab/>
      </w:r>
      <w:r w:rsidRPr="00737842">
        <w:t>the effectiveness of the Commonwealth’s policies in contributing to the achievement of Australia’s greenhouse gas emissions reduction targets and reducing emissions in the sectors covered by those policies</w:t>
      </w:r>
      <w:r w:rsidR="00DC7CFB">
        <w:t>; and</w:t>
      </w:r>
    </w:p>
    <w:p w14:paraId="52EBFD41" w14:textId="20B07176" w:rsidR="00DC7CFB" w:rsidRDefault="00DC7CFB" w:rsidP="00DC7CFB">
      <w:pPr>
        <w:pStyle w:val="paragraph"/>
      </w:pPr>
      <w:r>
        <w:tab/>
        <w:t>(e)</w:t>
      </w:r>
      <w:r>
        <w:tab/>
        <w:t xml:space="preserve">the impact of the Commonwealth’s climate change policies to achieve Australia’s greenhouse gas emissions reduction targets on rural and regional Australia, including the social, employment and economic benefits being delivered by those policies in rural and regional </w:t>
      </w:r>
      <w:r w:rsidR="0084044D">
        <w:t>Australia</w:t>
      </w:r>
      <w:r w:rsidR="0084044D">
        <w:tab/>
      </w:r>
      <w:r w:rsidR="00D37742">
        <w:t xml:space="preserve">; </w:t>
      </w:r>
      <w:r w:rsidR="0084044D">
        <w:t>and</w:t>
      </w:r>
    </w:p>
    <w:p w14:paraId="69369510" w14:textId="77A4C882" w:rsidR="00CD6308" w:rsidRDefault="00CD6308" w:rsidP="00CD6308">
      <w:pPr>
        <w:pStyle w:val="paragraph"/>
      </w:pPr>
      <w:r>
        <w:tab/>
        <w:t>(f)</w:t>
      </w:r>
      <w:r>
        <w:tab/>
      </w:r>
      <w:r w:rsidRPr="003F0249">
        <w:t xml:space="preserve">risks </w:t>
      </w:r>
      <w:r>
        <w:t>to Australia from</w:t>
      </w:r>
      <w:r w:rsidRPr="003F0249">
        <w:t xml:space="preserve"> climate chang</w:t>
      </w:r>
      <w:r>
        <w:t>e impacts, such as those relating to Australia’s</w:t>
      </w:r>
      <w:r w:rsidRPr="003F0249">
        <w:t xml:space="preserve"> environment, </w:t>
      </w:r>
      <w:r>
        <w:t>biodiversity, health, infrastructure, agriculture, investment, economy or national security.</w:t>
      </w:r>
    </w:p>
    <w:p w14:paraId="7D2A8085" w14:textId="77777777" w:rsidR="00592BEA" w:rsidRPr="001E75CA" w:rsidRDefault="00592BEA" w:rsidP="005C68A8">
      <w:pPr>
        <w:pStyle w:val="subsection"/>
      </w:pPr>
      <w:r w:rsidRPr="001E75CA">
        <w:tab/>
        <w:t>(2)</w:t>
      </w:r>
      <w:r w:rsidRPr="001E75CA">
        <w:tab/>
        <w:t xml:space="preserve">A </w:t>
      </w:r>
      <w:r w:rsidR="00B525D2" w:rsidRPr="001E75CA">
        <w:t>statement</w:t>
      </w:r>
      <w:r w:rsidRPr="001E75CA">
        <w:t xml:space="preserve"> under </w:t>
      </w:r>
      <w:r w:rsidR="005312A1" w:rsidRPr="001E75CA">
        <w:t>subsection (</w:t>
      </w:r>
      <w:r w:rsidRPr="001E75CA">
        <w:t xml:space="preserve">1) is to be known as an </w:t>
      </w:r>
      <w:r w:rsidRPr="001E75CA">
        <w:rPr>
          <w:b/>
          <w:i/>
        </w:rPr>
        <w:t xml:space="preserve">annual climate </w:t>
      </w:r>
      <w:r w:rsidR="00227A41" w:rsidRPr="001E75CA">
        <w:rPr>
          <w:b/>
          <w:i/>
        </w:rPr>
        <w:t>change statement</w:t>
      </w:r>
      <w:r w:rsidRPr="001E75CA">
        <w:t>.</w:t>
      </w:r>
    </w:p>
    <w:p w14:paraId="6291738A" w14:textId="77777777" w:rsidR="008105DD" w:rsidRPr="001E75CA" w:rsidRDefault="008105DD" w:rsidP="005C68A8">
      <w:pPr>
        <w:pStyle w:val="subsection"/>
      </w:pPr>
      <w:r w:rsidRPr="001E75CA">
        <w:lastRenderedPageBreak/>
        <w:tab/>
        <w:t>(</w:t>
      </w:r>
      <w:r w:rsidR="00592BEA" w:rsidRPr="001E75CA">
        <w:t>3</w:t>
      </w:r>
      <w:r w:rsidRPr="001E75CA">
        <w:t>)</w:t>
      </w:r>
      <w:r w:rsidRPr="001E75CA">
        <w:tab/>
        <w:t>The Minister must cause a copy of</w:t>
      </w:r>
      <w:r w:rsidR="00592BEA" w:rsidRPr="001E75CA">
        <w:t xml:space="preserve"> an annual climate </w:t>
      </w:r>
      <w:r w:rsidR="00227A41" w:rsidRPr="001E75CA">
        <w:t>change statement</w:t>
      </w:r>
      <w:r w:rsidRPr="001E75CA">
        <w:t xml:space="preserve"> to be tabled in each House of the Parliament </w:t>
      </w:r>
      <w:r w:rsidR="000C7CF4" w:rsidRPr="001E75CA">
        <w:t xml:space="preserve">within 5 sitting days of that House after </w:t>
      </w:r>
      <w:r w:rsidR="00592BEA" w:rsidRPr="001E75CA">
        <w:t xml:space="preserve">the completion of the </w:t>
      </w:r>
      <w:r w:rsidR="003A2E04" w:rsidRPr="001E75CA">
        <w:t>prepar</w:t>
      </w:r>
      <w:r w:rsidR="00592BEA" w:rsidRPr="001E75CA">
        <w:t>ation of</w:t>
      </w:r>
      <w:r w:rsidR="003A2E04" w:rsidRPr="001E75CA">
        <w:t xml:space="preserve"> the </w:t>
      </w:r>
      <w:r w:rsidR="00B525D2" w:rsidRPr="001E75CA">
        <w:t>statement</w:t>
      </w:r>
      <w:r w:rsidRPr="001E75CA">
        <w:t>.</w:t>
      </w:r>
    </w:p>
    <w:p w14:paraId="010A4D7A" w14:textId="77777777" w:rsidR="00CB36FF" w:rsidRPr="001E75CA" w:rsidRDefault="001512F6" w:rsidP="005C68A8">
      <w:pPr>
        <w:pStyle w:val="ActHead2"/>
        <w:pageBreakBefore/>
      </w:pPr>
      <w:bookmarkStart w:id="17" w:name="f_Check_Lines_above"/>
      <w:bookmarkStart w:id="18" w:name="_Toc114044722"/>
      <w:bookmarkEnd w:id="17"/>
      <w:r w:rsidRPr="005C68A8">
        <w:rPr>
          <w:rStyle w:val="CharPartNo"/>
        </w:rPr>
        <w:lastRenderedPageBreak/>
        <w:t>Part </w:t>
      </w:r>
      <w:r w:rsidR="00AF0C57" w:rsidRPr="005C68A8">
        <w:rPr>
          <w:rStyle w:val="CharPartNo"/>
        </w:rPr>
        <w:t>4</w:t>
      </w:r>
      <w:r w:rsidR="00CB36FF" w:rsidRPr="001E75CA">
        <w:t>—</w:t>
      </w:r>
      <w:r w:rsidR="00AF0C57" w:rsidRPr="005C68A8">
        <w:rPr>
          <w:rStyle w:val="CharPartText"/>
        </w:rPr>
        <w:t>Ad</w:t>
      </w:r>
      <w:r w:rsidR="00B525D2" w:rsidRPr="005C68A8">
        <w:rPr>
          <w:rStyle w:val="CharPartText"/>
        </w:rPr>
        <w:t>visory</w:t>
      </w:r>
      <w:r w:rsidR="00AF0C57" w:rsidRPr="005C68A8">
        <w:rPr>
          <w:rStyle w:val="CharPartText"/>
        </w:rPr>
        <w:t xml:space="preserve"> functions of the Climate Change Authority</w:t>
      </w:r>
      <w:bookmarkEnd w:id="18"/>
    </w:p>
    <w:p w14:paraId="034AFAB8" w14:textId="77777777" w:rsidR="00BD3C49" w:rsidRPr="005C68A8" w:rsidRDefault="00BD3C49" w:rsidP="005C68A8">
      <w:pPr>
        <w:pStyle w:val="Header"/>
      </w:pPr>
      <w:r w:rsidRPr="005C68A8">
        <w:rPr>
          <w:rStyle w:val="CharDivNo"/>
        </w:rPr>
        <w:t xml:space="preserve"> </w:t>
      </w:r>
      <w:r w:rsidRPr="005C68A8">
        <w:rPr>
          <w:rStyle w:val="CharDivText"/>
        </w:rPr>
        <w:t xml:space="preserve"> </w:t>
      </w:r>
    </w:p>
    <w:p w14:paraId="6E811D90" w14:textId="77777777" w:rsidR="00B76B55" w:rsidRPr="001E75CA" w:rsidRDefault="00780FEF" w:rsidP="005C68A8">
      <w:pPr>
        <w:pStyle w:val="ActHead5"/>
      </w:pPr>
      <w:bookmarkStart w:id="19" w:name="_Toc114044723"/>
      <w:r w:rsidRPr="005C68A8">
        <w:rPr>
          <w:rStyle w:val="CharSectno"/>
        </w:rPr>
        <w:t>13</w:t>
      </w:r>
      <w:r w:rsidR="00B76B55" w:rsidRPr="001E75CA">
        <w:t xml:space="preserve">  Simplified outline of this Part</w:t>
      </w:r>
      <w:bookmarkEnd w:id="19"/>
    </w:p>
    <w:p w14:paraId="6A5815E8" w14:textId="77777777" w:rsidR="00083C1F" w:rsidRPr="001E75CA" w:rsidRDefault="00083C1F" w:rsidP="005C68A8">
      <w:pPr>
        <w:pStyle w:val="SOBullet"/>
      </w:pPr>
      <w:r w:rsidRPr="001E75CA">
        <w:t>•</w:t>
      </w:r>
      <w:r w:rsidRPr="001E75CA">
        <w:tab/>
        <w:t>The Climate Change Authority is to</w:t>
      </w:r>
      <w:r w:rsidR="00E322F1" w:rsidRPr="001E75CA">
        <w:t xml:space="preserve"> give the Minister advice that relates to the preparation of </w:t>
      </w:r>
      <w:r w:rsidRPr="001E75CA">
        <w:t xml:space="preserve">an annual climate </w:t>
      </w:r>
      <w:r w:rsidR="00227A41" w:rsidRPr="001E75CA">
        <w:t>change statement</w:t>
      </w:r>
      <w:r w:rsidRPr="001E75CA">
        <w:t>.</w:t>
      </w:r>
    </w:p>
    <w:p w14:paraId="504D48DC" w14:textId="77777777" w:rsidR="00B76B55" w:rsidRPr="001E75CA" w:rsidRDefault="00B76B55" w:rsidP="005C68A8">
      <w:pPr>
        <w:pStyle w:val="SOBullet"/>
      </w:pPr>
      <w:r w:rsidRPr="001E75CA">
        <w:t>•</w:t>
      </w:r>
      <w:r w:rsidRPr="001E75CA">
        <w:tab/>
      </w:r>
      <w:r w:rsidR="00AF0C57" w:rsidRPr="001E75CA">
        <w:t>T</w:t>
      </w:r>
      <w:r w:rsidRPr="001E75CA">
        <w:t>he Climate Change Authority</w:t>
      </w:r>
      <w:r w:rsidR="00AF0C57" w:rsidRPr="001E75CA">
        <w:t xml:space="preserve"> is to advise </w:t>
      </w:r>
      <w:r w:rsidR="00FA5E85" w:rsidRPr="001E75CA">
        <w:t xml:space="preserve">the Minister on </w:t>
      </w:r>
      <w:r w:rsidR="00967EA5" w:rsidRPr="001E75CA">
        <w:t>greenhouse gas emissions reduction targets to be included in a new or adjusted nationally determined contribution</w:t>
      </w:r>
      <w:r w:rsidRPr="001E75CA">
        <w:t>.</w:t>
      </w:r>
    </w:p>
    <w:p w14:paraId="3FF1091F" w14:textId="77777777" w:rsidR="00083C1F" w:rsidRPr="001E75CA" w:rsidRDefault="00780FEF" w:rsidP="005C68A8">
      <w:pPr>
        <w:pStyle w:val="ActHead5"/>
      </w:pPr>
      <w:bookmarkStart w:id="20" w:name="_Toc114044724"/>
      <w:r w:rsidRPr="005C68A8">
        <w:rPr>
          <w:rStyle w:val="CharSectno"/>
        </w:rPr>
        <w:t>14</w:t>
      </w:r>
      <w:r w:rsidR="00083C1F" w:rsidRPr="001E75CA">
        <w:t xml:space="preserve">  Climate Change Authority to </w:t>
      </w:r>
      <w:r w:rsidR="00E322F1" w:rsidRPr="001E75CA">
        <w:t xml:space="preserve">give the Minister advice that relates to the preparation of an </w:t>
      </w:r>
      <w:r w:rsidR="00083C1F" w:rsidRPr="001E75CA">
        <w:t xml:space="preserve">annual climate </w:t>
      </w:r>
      <w:r w:rsidR="00227A41" w:rsidRPr="001E75CA">
        <w:t>change statement</w:t>
      </w:r>
      <w:bookmarkEnd w:id="20"/>
    </w:p>
    <w:p w14:paraId="1CF7C501" w14:textId="77777777" w:rsidR="00083C1F" w:rsidRPr="001E75CA" w:rsidRDefault="00083C1F" w:rsidP="005C68A8">
      <w:pPr>
        <w:pStyle w:val="subsection"/>
      </w:pPr>
      <w:r w:rsidRPr="001E75CA">
        <w:tab/>
        <w:t>(1)</w:t>
      </w:r>
      <w:r w:rsidRPr="001E75CA">
        <w:tab/>
        <w:t>The Climate Change Authority mus</w:t>
      </w:r>
      <w:r w:rsidR="00227A41" w:rsidRPr="001E75CA">
        <w:t xml:space="preserve">t give the Minister advice that relates to the </w:t>
      </w:r>
      <w:r w:rsidRPr="001E75CA">
        <w:t>prepar</w:t>
      </w:r>
      <w:r w:rsidR="00227A41" w:rsidRPr="001E75CA">
        <w:t>ation of</w:t>
      </w:r>
      <w:r w:rsidRPr="001E75CA">
        <w:t xml:space="preserve"> an annual climate </w:t>
      </w:r>
      <w:r w:rsidR="00227A41" w:rsidRPr="001E75CA">
        <w:t>change statement.</w:t>
      </w:r>
    </w:p>
    <w:p w14:paraId="684D6990" w14:textId="77777777" w:rsidR="00CD5759" w:rsidRPr="001E75CA" w:rsidRDefault="00083C1F" w:rsidP="005C68A8">
      <w:pPr>
        <w:pStyle w:val="subsection"/>
      </w:pPr>
      <w:r w:rsidRPr="001E75CA">
        <w:tab/>
        <w:t>(2)</w:t>
      </w:r>
      <w:r w:rsidRPr="001E75CA">
        <w:tab/>
      </w:r>
      <w:r w:rsidR="00CD5759" w:rsidRPr="001E75CA">
        <w:t>If a period is:</w:t>
      </w:r>
    </w:p>
    <w:p w14:paraId="7CD7ADF9" w14:textId="77777777" w:rsidR="00E322F1" w:rsidRPr="001E75CA" w:rsidRDefault="00CD5759" w:rsidP="005C68A8">
      <w:pPr>
        <w:pStyle w:val="paragraph"/>
      </w:pPr>
      <w:r w:rsidRPr="001E75CA">
        <w:tab/>
        <w:t>(a)</w:t>
      </w:r>
      <w:r w:rsidRPr="001E75CA">
        <w:tab/>
        <w:t xml:space="preserve">specified in an agreement between the Minister and </w:t>
      </w:r>
      <w:r w:rsidR="00A60EA1" w:rsidRPr="001E75CA">
        <w:t xml:space="preserve">the </w:t>
      </w:r>
      <w:r w:rsidRPr="001E75CA">
        <w:t>Climate Change Authority; and</w:t>
      </w:r>
    </w:p>
    <w:p w14:paraId="793A228A" w14:textId="77777777" w:rsidR="00083C1F" w:rsidRPr="001E75CA" w:rsidRDefault="00E322F1" w:rsidP="005C68A8">
      <w:pPr>
        <w:pStyle w:val="paragraph"/>
      </w:pPr>
      <w:r w:rsidRPr="001E75CA">
        <w:tab/>
        <w:t>(b)</w:t>
      </w:r>
      <w:r w:rsidRPr="001E75CA">
        <w:tab/>
        <w:t xml:space="preserve">designated by the agreement as the advice period for </w:t>
      </w:r>
      <w:r w:rsidR="00CD5759" w:rsidRPr="001E75CA">
        <w:t>a particular annual climate change statement;</w:t>
      </w:r>
    </w:p>
    <w:p w14:paraId="464BF65A" w14:textId="77777777" w:rsidR="00CD5759" w:rsidRPr="001E75CA" w:rsidRDefault="00CD5759" w:rsidP="005C68A8">
      <w:pPr>
        <w:pStyle w:val="subsection2"/>
      </w:pPr>
      <w:r w:rsidRPr="001E75CA">
        <w:t xml:space="preserve">advice under </w:t>
      </w:r>
      <w:r w:rsidR="005312A1" w:rsidRPr="001E75CA">
        <w:t>subsection (</w:t>
      </w:r>
      <w:r w:rsidRPr="001E75CA">
        <w:t xml:space="preserve">1) that relates to the preparation of the </w:t>
      </w:r>
      <w:r w:rsidR="00ED29FF" w:rsidRPr="001E75CA">
        <w:t xml:space="preserve">annual </w:t>
      </w:r>
      <w:r w:rsidRPr="001E75CA">
        <w:t>climate change statement must be given within the advice period designated by the agreement.</w:t>
      </w:r>
    </w:p>
    <w:p w14:paraId="6B36BC06" w14:textId="3FC9289E" w:rsidR="00E7579B" w:rsidRPr="001E75CA" w:rsidRDefault="00E7579B" w:rsidP="005C68A8">
      <w:pPr>
        <w:pStyle w:val="subsection"/>
      </w:pPr>
      <w:r w:rsidRPr="001E75CA">
        <w:tab/>
        <w:t>(3)</w:t>
      </w:r>
      <w:r w:rsidRPr="001E75CA">
        <w:tab/>
        <w:t xml:space="preserve">In considering advice to be given to the Minister under </w:t>
      </w:r>
      <w:r w:rsidR="005312A1" w:rsidRPr="001E75CA">
        <w:t>subsection (</w:t>
      </w:r>
      <w:r w:rsidRPr="001E75CA">
        <w:t>1)</w:t>
      </w:r>
      <w:r w:rsidR="00CD6308">
        <w:t xml:space="preserve"> in relation to the first </w:t>
      </w:r>
      <w:r w:rsidR="00CD6308" w:rsidRPr="006A5A8A">
        <w:t>annual climate change statement</w:t>
      </w:r>
      <w:r w:rsidRPr="001E75CA">
        <w:t>, the Climate Change Authority may make provision for public consultation.</w:t>
      </w:r>
    </w:p>
    <w:p w14:paraId="21006AB0" w14:textId="77777777" w:rsidR="00CD6308" w:rsidRDefault="00CD6308" w:rsidP="00CD6308">
      <w:pPr>
        <w:pStyle w:val="subsection"/>
      </w:pPr>
      <w:r w:rsidRPr="001E75CA">
        <w:tab/>
        <w:t>(3</w:t>
      </w:r>
      <w:r>
        <w:t>A</w:t>
      </w:r>
      <w:r w:rsidRPr="001E75CA">
        <w:t>)</w:t>
      </w:r>
      <w:r w:rsidRPr="001E75CA">
        <w:tab/>
        <w:t xml:space="preserve">In considering advice to be given to the Minister under </w:t>
      </w:r>
      <w:r>
        <w:t>subsection (</w:t>
      </w:r>
      <w:r w:rsidRPr="001E75CA">
        <w:t>1)</w:t>
      </w:r>
      <w:r>
        <w:t xml:space="preserve"> in relation to:</w:t>
      </w:r>
    </w:p>
    <w:p w14:paraId="28099963" w14:textId="77777777" w:rsidR="00CD6308" w:rsidRDefault="00CD6308" w:rsidP="00CD6308">
      <w:pPr>
        <w:pStyle w:val="paragraph"/>
      </w:pPr>
      <w:r>
        <w:lastRenderedPageBreak/>
        <w:tab/>
        <w:t>(a)</w:t>
      </w:r>
      <w:r>
        <w:tab/>
        <w:t xml:space="preserve">the second </w:t>
      </w:r>
      <w:r w:rsidRPr="006A5A8A">
        <w:t>annual climate change statement</w:t>
      </w:r>
      <w:r>
        <w:t>; or</w:t>
      </w:r>
    </w:p>
    <w:p w14:paraId="134E2E54" w14:textId="77777777" w:rsidR="00CD6308" w:rsidRDefault="00CD6308" w:rsidP="00CD6308">
      <w:pPr>
        <w:pStyle w:val="paragraph"/>
      </w:pPr>
      <w:r>
        <w:tab/>
        <w:t>(b)</w:t>
      </w:r>
      <w:r>
        <w:tab/>
        <w:t xml:space="preserve">a subsequent </w:t>
      </w:r>
      <w:r w:rsidRPr="006A5A8A">
        <w:t>annual climate change statement</w:t>
      </w:r>
      <w:r>
        <w:t>;</w:t>
      </w:r>
    </w:p>
    <w:p w14:paraId="39540B4E" w14:textId="77777777" w:rsidR="00CD6308" w:rsidRPr="001E75CA" w:rsidRDefault="00CD6308" w:rsidP="00CD6308">
      <w:pPr>
        <w:pStyle w:val="subsection2"/>
      </w:pPr>
      <w:r w:rsidRPr="001E75CA">
        <w:t>the Climate Change Authority m</w:t>
      </w:r>
      <w:r>
        <w:t>ust</w:t>
      </w:r>
      <w:r w:rsidRPr="001E75CA">
        <w:t xml:space="preserve"> make provision for public consultation.</w:t>
      </w:r>
    </w:p>
    <w:p w14:paraId="2DD83083" w14:textId="77777777" w:rsidR="00083C1F" w:rsidRPr="001E75CA" w:rsidRDefault="00083C1F" w:rsidP="005C68A8">
      <w:pPr>
        <w:pStyle w:val="subsection"/>
      </w:pPr>
      <w:r w:rsidRPr="001E75CA">
        <w:tab/>
        <w:t>(4)</w:t>
      </w:r>
      <w:r w:rsidRPr="001E75CA">
        <w:tab/>
        <w:t xml:space="preserve">If the Climate Change Authority gives the Minister advice under </w:t>
      </w:r>
      <w:r w:rsidR="005312A1" w:rsidRPr="001E75CA">
        <w:t>subsection (</w:t>
      </w:r>
      <w:r w:rsidRPr="001E75CA">
        <w:t>1)</w:t>
      </w:r>
      <w:r w:rsidR="00E322F1" w:rsidRPr="001E75CA">
        <w:t xml:space="preserve"> that relates to the preparation of a particular annual climate change statement</w:t>
      </w:r>
      <w:r w:rsidRPr="001E75CA">
        <w:t>, the Minister must have regard to that advice</w:t>
      </w:r>
      <w:r w:rsidR="00E322F1" w:rsidRPr="001E75CA">
        <w:t xml:space="preserve"> in preparing that statement</w:t>
      </w:r>
      <w:r w:rsidRPr="001E75CA">
        <w:t>.</w:t>
      </w:r>
    </w:p>
    <w:p w14:paraId="59C9CEA8" w14:textId="77777777" w:rsidR="00083C1F" w:rsidRPr="001E75CA" w:rsidRDefault="00083C1F" w:rsidP="005C68A8">
      <w:pPr>
        <w:pStyle w:val="subsection"/>
      </w:pPr>
      <w:r w:rsidRPr="001E75CA">
        <w:tab/>
        <w:t>(5)</w:t>
      </w:r>
      <w:r w:rsidRPr="001E75CA">
        <w:tab/>
      </w:r>
      <w:r w:rsidR="00BD3C49" w:rsidRPr="001E75CA">
        <w:t>Subsection (</w:t>
      </w:r>
      <w:r w:rsidRPr="001E75CA">
        <w:t>4) does not prevent the Minister from having regard to other advice.</w:t>
      </w:r>
    </w:p>
    <w:p w14:paraId="64004DB7" w14:textId="2D3C12DA" w:rsidR="00DC7CFB" w:rsidRDefault="0023271C" w:rsidP="00DC7CFB">
      <w:pPr>
        <w:pStyle w:val="subsection"/>
      </w:pPr>
      <w:r w:rsidRPr="001E75CA">
        <w:tab/>
        <w:t>(6)</w:t>
      </w:r>
      <w:r w:rsidRPr="001E75CA">
        <w:tab/>
        <w:t xml:space="preserve">If the Climate Change Authority gives the Minister written advice under subsection (1), the Climate Change </w:t>
      </w:r>
      <w:r w:rsidR="0089148C">
        <w:t>Authority must:</w:t>
      </w:r>
    </w:p>
    <w:p w14:paraId="7AB25BF0" w14:textId="60605139" w:rsidR="00DC7CFB" w:rsidRPr="006E28D5" w:rsidRDefault="00DC7CFB" w:rsidP="00DC7CFB">
      <w:pPr>
        <w:pStyle w:val="paragraph"/>
        <w:rPr>
          <w:szCs w:val="22"/>
        </w:rPr>
      </w:pPr>
      <w:r>
        <w:tab/>
        <w:t>(a)</w:t>
      </w:r>
      <w:r>
        <w:tab/>
        <w:t>publish a copy of that advice on its website</w:t>
      </w:r>
      <w:r w:rsidR="00CD6308" w:rsidRPr="006E28D5">
        <w:t xml:space="preserve"> no later than the day the annual climate change statement to which the advice relates is tabled in a House of the Parliament in accordance with subsection 12(3)</w:t>
      </w:r>
      <w:r w:rsidRPr="006E28D5">
        <w:t>; and</w:t>
      </w:r>
    </w:p>
    <w:p w14:paraId="7EDCA0B3" w14:textId="19FAA4B9" w:rsidR="00CD6308" w:rsidRPr="001E75CA" w:rsidRDefault="00DC7CFB" w:rsidP="00CD6308">
      <w:pPr>
        <w:pStyle w:val="paragraph"/>
      </w:pPr>
      <w:r>
        <w:tab/>
        <w:t>(b)</w:t>
      </w:r>
      <w:r>
        <w:tab/>
        <w:t xml:space="preserve">cause a copy of that advice to be tabled in each House of the </w:t>
      </w:r>
      <w:r w:rsidR="00CD6308">
        <w:t>Parliament</w:t>
      </w:r>
      <w:r w:rsidR="00CD6308" w:rsidRPr="001E75CA">
        <w:t>:</w:t>
      </w:r>
    </w:p>
    <w:p w14:paraId="710DFA0C" w14:textId="77777777" w:rsidR="00CD6308" w:rsidRPr="001E75CA" w:rsidRDefault="00CD6308" w:rsidP="00CD6308">
      <w:pPr>
        <w:pStyle w:val="paragraphsub"/>
      </w:pPr>
      <w:r w:rsidRPr="001E75CA">
        <w:tab/>
        <w:t>(i)</w:t>
      </w:r>
      <w:r w:rsidRPr="001E75CA">
        <w:tab/>
      </w:r>
      <w:r>
        <w:t>within 15 sitting days of that House after giving the advice to the Minister</w:t>
      </w:r>
      <w:r w:rsidRPr="001E75CA">
        <w:t>; and</w:t>
      </w:r>
    </w:p>
    <w:p w14:paraId="403E847D" w14:textId="77777777" w:rsidR="00CD6308" w:rsidRDefault="00CD6308" w:rsidP="00CD6308">
      <w:pPr>
        <w:pStyle w:val="paragraphsub"/>
      </w:pPr>
      <w:r w:rsidRPr="001E75CA">
        <w:tab/>
        <w:t>(ii)</w:t>
      </w:r>
      <w:r w:rsidRPr="001E75CA">
        <w:tab/>
      </w:r>
      <w:r>
        <w:t>no later than the day the annual climate change statement to which the advice relates is tabled in that House in accordance with subsection 12(3).</w:t>
      </w:r>
    </w:p>
    <w:p w14:paraId="6C561DE7" w14:textId="77777777" w:rsidR="008E410B" w:rsidRPr="001E75CA" w:rsidRDefault="008E410B" w:rsidP="008E410B">
      <w:pPr>
        <w:pStyle w:val="subsection"/>
      </w:pPr>
      <w:r w:rsidRPr="001E75CA">
        <w:tab/>
        <w:t>(7)</w:t>
      </w:r>
      <w:r w:rsidRPr="001E75CA">
        <w:tab/>
        <w:t>If:</w:t>
      </w:r>
    </w:p>
    <w:p w14:paraId="183E76E4" w14:textId="77777777" w:rsidR="00AA4F01" w:rsidRPr="001E75CA" w:rsidRDefault="00AA4F01" w:rsidP="005C68A8">
      <w:pPr>
        <w:pStyle w:val="paragraph"/>
      </w:pPr>
      <w:r w:rsidRPr="001E75CA">
        <w:tab/>
        <w:t>(a)</w:t>
      </w:r>
      <w:r w:rsidRPr="001E75CA">
        <w:tab/>
      </w:r>
      <w:r w:rsidR="00E7579B" w:rsidRPr="001E75CA">
        <w:t xml:space="preserve">the Climate Change Authority gives the Minister written advice under </w:t>
      </w:r>
      <w:r w:rsidR="005312A1" w:rsidRPr="001E75CA">
        <w:t>subsection (</w:t>
      </w:r>
      <w:r w:rsidR="00E7579B" w:rsidRPr="001E75CA">
        <w:t>1)</w:t>
      </w:r>
      <w:r w:rsidRPr="001E75CA">
        <w:t xml:space="preserve"> that relates to the preparation of a particular annual climate change statement; and</w:t>
      </w:r>
    </w:p>
    <w:p w14:paraId="2F63B7CF" w14:textId="77777777" w:rsidR="00AA4F01" w:rsidRPr="001E75CA" w:rsidRDefault="00AA4F01" w:rsidP="005C68A8">
      <w:pPr>
        <w:pStyle w:val="paragraph"/>
      </w:pPr>
      <w:r w:rsidRPr="001E75CA">
        <w:tab/>
        <w:t>(b)</w:t>
      </w:r>
      <w:r w:rsidRPr="001E75CA">
        <w:tab/>
        <w:t>the Minister decides not to accept one or more material aspects of that advice;</w:t>
      </w:r>
    </w:p>
    <w:p w14:paraId="1F8F55C5" w14:textId="77777777" w:rsidR="00AA4F01" w:rsidRPr="001E75CA" w:rsidRDefault="00AA4F01" w:rsidP="005C68A8">
      <w:pPr>
        <w:pStyle w:val="subsection2"/>
      </w:pPr>
      <w:r w:rsidRPr="001E75CA">
        <w:t>t</w:t>
      </w:r>
      <w:r w:rsidR="00E7579B" w:rsidRPr="001E75CA">
        <w:t>he</w:t>
      </w:r>
      <w:r w:rsidRPr="001E75CA">
        <w:t>n:</w:t>
      </w:r>
    </w:p>
    <w:p w14:paraId="58DA2AAD" w14:textId="77777777" w:rsidR="00AA4F01" w:rsidRPr="001E75CA" w:rsidRDefault="00AA4F01" w:rsidP="005C68A8">
      <w:pPr>
        <w:pStyle w:val="paragraph"/>
      </w:pPr>
      <w:r w:rsidRPr="001E75CA">
        <w:tab/>
        <w:t>(c)</w:t>
      </w:r>
      <w:r w:rsidRPr="001E75CA">
        <w:tab/>
        <w:t xml:space="preserve">the Minister must prepare a written statement of reasons for the decision not to accept </w:t>
      </w:r>
      <w:r w:rsidR="00860764" w:rsidRPr="001E75CA">
        <w:t xml:space="preserve">those aspects of </w:t>
      </w:r>
      <w:r w:rsidRPr="001E75CA">
        <w:t>that advice; and</w:t>
      </w:r>
    </w:p>
    <w:p w14:paraId="44A40CF5" w14:textId="77777777" w:rsidR="00AA4F01" w:rsidRPr="001E75CA" w:rsidRDefault="00AA4F01" w:rsidP="005C68A8">
      <w:pPr>
        <w:pStyle w:val="paragraph"/>
      </w:pPr>
      <w:r w:rsidRPr="001E75CA">
        <w:lastRenderedPageBreak/>
        <w:tab/>
        <w:t>(d)</w:t>
      </w:r>
      <w:r w:rsidRPr="001E75CA">
        <w:tab/>
        <w:t>the Minister must cause a copy of the statement of reasons to be tabled in each House of the Parliament within 5 sitting days of that House after the completion of the preparation of the annual climate change statement.</w:t>
      </w:r>
    </w:p>
    <w:p w14:paraId="6491F23C" w14:textId="77777777" w:rsidR="00B76B55" w:rsidRPr="001E75CA" w:rsidRDefault="00780FEF" w:rsidP="005C68A8">
      <w:pPr>
        <w:pStyle w:val="ActHead5"/>
      </w:pPr>
      <w:bookmarkStart w:id="21" w:name="_Toc114044725"/>
      <w:r w:rsidRPr="005C68A8">
        <w:rPr>
          <w:rStyle w:val="CharSectno"/>
        </w:rPr>
        <w:t>15</w:t>
      </w:r>
      <w:r w:rsidR="00B76B55" w:rsidRPr="001E75CA">
        <w:t xml:space="preserve">  Climate Change Authority to advise </w:t>
      </w:r>
      <w:r w:rsidR="00FA5E85" w:rsidRPr="001E75CA">
        <w:t xml:space="preserve">the Minister on </w:t>
      </w:r>
      <w:r w:rsidR="008F4532" w:rsidRPr="001E75CA">
        <w:t xml:space="preserve">greenhouse gas emissions reduction targets to be included in a </w:t>
      </w:r>
      <w:r w:rsidR="00FA5E85" w:rsidRPr="001E75CA">
        <w:t>new</w:t>
      </w:r>
      <w:r w:rsidR="00456092" w:rsidRPr="001E75CA">
        <w:t xml:space="preserve"> or adjusted nationally determined contribution</w:t>
      </w:r>
      <w:bookmarkEnd w:id="21"/>
    </w:p>
    <w:p w14:paraId="4E06E2D4" w14:textId="77777777" w:rsidR="00B76B55" w:rsidRPr="001E75CA" w:rsidRDefault="00B76B55" w:rsidP="005C68A8">
      <w:pPr>
        <w:pStyle w:val="subsection"/>
      </w:pPr>
      <w:r w:rsidRPr="001E75CA">
        <w:tab/>
        <w:t>(</w:t>
      </w:r>
      <w:r w:rsidR="00E7579B" w:rsidRPr="001E75CA">
        <w:t>1</w:t>
      </w:r>
      <w:r w:rsidRPr="001E75CA">
        <w:t>)</w:t>
      </w:r>
      <w:r w:rsidRPr="001E75CA">
        <w:tab/>
        <w:t xml:space="preserve">The Climate Change Authority must, if requested </w:t>
      </w:r>
      <w:r w:rsidR="00CD4BFD" w:rsidRPr="001E75CA">
        <w:t xml:space="preserve">to do so </w:t>
      </w:r>
      <w:r w:rsidRPr="001E75CA">
        <w:t>by the Minister</w:t>
      </w:r>
      <w:r w:rsidR="00EE6176" w:rsidRPr="001E75CA">
        <w:t>, advise the Minister on either or both of the following matters</w:t>
      </w:r>
      <w:r w:rsidRPr="001E75CA">
        <w:t>:</w:t>
      </w:r>
    </w:p>
    <w:p w14:paraId="7938C298" w14:textId="77777777" w:rsidR="00B76B55" w:rsidRPr="001E75CA" w:rsidRDefault="00B76B55" w:rsidP="005C68A8">
      <w:pPr>
        <w:pStyle w:val="paragraph"/>
      </w:pPr>
      <w:r w:rsidRPr="001E75CA">
        <w:tab/>
        <w:t>(a)</w:t>
      </w:r>
      <w:r w:rsidRPr="001E75CA">
        <w:tab/>
      </w:r>
      <w:r w:rsidR="008F4532" w:rsidRPr="001E75CA">
        <w:t xml:space="preserve">the greenhouse gas emissions reduction targets that the Climate Change Authority considers should </w:t>
      </w:r>
      <w:r w:rsidR="00580739" w:rsidRPr="001E75CA">
        <w:t xml:space="preserve">be </w:t>
      </w:r>
      <w:r w:rsidR="008F4532" w:rsidRPr="001E75CA">
        <w:t>include</w:t>
      </w:r>
      <w:r w:rsidR="00580739" w:rsidRPr="001E75CA">
        <w:t>d</w:t>
      </w:r>
      <w:r w:rsidR="008F4532" w:rsidRPr="001E75CA">
        <w:t xml:space="preserve"> in </w:t>
      </w:r>
      <w:r w:rsidRPr="001E75CA">
        <w:t xml:space="preserve">a new nationally determined contribution </w:t>
      </w:r>
      <w:r w:rsidR="008F4532" w:rsidRPr="001E75CA">
        <w:t xml:space="preserve">to be communicated </w:t>
      </w:r>
      <w:r w:rsidR="00580739" w:rsidRPr="001E75CA">
        <w:t xml:space="preserve">by Australia </w:t>
      </w:r>
      <w:r w:rsidRPr="001E75CA">
        <w:t>in accordance with Article 4 of the Paris Agreement;</w:t>
      </w:r>
    </w:p>
    <w:p w14:paraId="118E2A6C" w14:textId="77777777" w:rsidR="00B76B55" w:rsidRPr="001E75CA" w:rsidRDefault="00B76B55" w:rsidP="005C68A8">
      <w:pPr>
        <w:pStyle w:val="paragraph"/>
      </w:pPr>
      <w:r w:rsidRPr="001E75CA">
        <w:tab/>
        <w:t>(b)</w:t>
      </w:r>
      <w:r w:rsidRPr="001E75CA">
        <w:tab/>
      </w:r>
      <w:r w:rsidR="00580739" w:rsidRPr="001E75CA">
        <w:t xml:space="preserve">the greenhouse gas emissions reduction targets that the Climate Change Authority considers should be included in </w:t>
      </w:r>
      <w:r w:rsidRPr="001E75CA">
        <w:t xml:space="preserve">Australia’s nationally determined contribution </w:t>
      </w:r>
      <w:r w:rsidR="00580739" w:rsidRPr="001E75CA">
        <w:t xml:space="preserve">as the result of an adjustment </w:t>
      </w:r>
      <w:r w:rsidR="00EE6176" w:rsidRPr="001E75CA">
        <w:t xml:space="preserve">to be made </w:t>
      </w:r>
      <w:r w:rsidRPr="001E75CA">
        <w:t xml:space="preserve">in accordance with </w:t>
      </w:r>
      <w:r w:rsidR="00BD3C49" w:rsidRPr="001E75CA">
        <w:t>paragraph 1</w:t>
      </w:r>
      <w:r w:rsidR="00B50B18" w:rsidRPr="001E75CA">
        <w:t xml:space="preserve">1 of </w:t>
      </w:r>
      <w:r w:rsidRPr="001E75CA">
        <w:t>Article 4 of the Paris Agreement.</w:t>
      </w:r>
    </w:p>
    <w:p w14:paraId="1E99259F" w14:textId="77777777" w:rsidR="00DC7CFB" w:rsidRDefault="00DC7CFB" w:rsidP="00DC7CFB">
      <w:pPr>
        <w:pStyle w:val="subsection"/>
      </w:pPr>
      <w:r>
        <w:tab/>
        <w:t>(1A)</w:t>
      </w:r>
      <w:r>
        <w:tab/>
        <w:t>The advice given under subsection (1) must include advice on:</w:t>
      </w:r>
    </w:p>
    <w:p w14:paraId="7444FB9B" w14:textId="77777777" w:rsidR="00DC7CFB" w:rsidRDefault="00DC7CFB" w:rsidP="00DC7CFB">
      <w:pPr>
        <w:pStyle w:val="paragraph"/>
      </w:pPr>
      <w:r w:rsidRPr="00DD02F7">
        <w:tab/>
        <w:t>(</w:t>
      </w:r>
      <w:r>
        <w:t>a)</w:t>
      </w:r>
      <w:r>
        <w:tab/>
        <w:t>the social, employment and economic benefits of any new or adjusted greenhouse gas emissions reduction targets and associated policies, including for rural and regional Australia; and</w:t>
      </w:r>
    </w:p>
    <w:p w14:paraId="15756804" w14:textId="77777777" w:rsidR="00DC7CFB" w:rsidRDefault="00DC7CFB" w:rsidP="00DC7CFB">
      <w:pPr>
        <w:pStyle w:val="paragraph"/>
      </w:pPr>
      <w:r>
        <w:tab/>
        <w:t>(b)</w:t>
      </w:r>
      <w:r>
        <w:tab/>
        <w:t>the physical impacts of climate change on Australia, including on rural and regional Australia.</w:t>
      </w:r>
    </w:p>
    <w:p w14:paraId="15FE259D" w14:textId="77777777" w:rsidR="00580739" w:rsidRPr="001E75CA" w:rsidRDefault="00580739" w:rsidP="005C68A8">
      <w:pPr>
        <w:pStyle w:val="subsection"/>
      </w:pPr>
      <w:r w:rsidRPr="001E75CA">
        <w:tab/>
        <w:t>(</w:t>
      </w:r>
      <w:r w:rsidR="00E7579B" w:rsidRPr="001E75CA">
        <w:t>2</w:t>
      </w:r>
      <w:r w:rsidRPr="001E75CA">
        <w:t>)</w:t>
      </w:r>
      <w:r w:rsidRPr="001E75CA">
        <w:tab/>
        <w:t xml:space="preserve">The Minister must request advice under </w:t>
      </w:r>
      <w:r w:rsidR="005312A1" w:rsidRPr="001E75CA">
        <w:t>subsection (</w:t>
      </w:r>
      <w:r w:rsidRPr="001E75CA">
        <w:t xml:space="preserve">1) </w:t>
      </w:r>
      <w:r w:rsidR="00B1439C" w:rsidRPr="001E75CA">
        <w:t xml:space="preserve">on the matter mentioned in </w:t>
      </w:r>
      <w:r w:rsidR="009D7A4E" w:rsidRPr="001E75CA">
        <w:t>paragraph (</w:t>
      </w:r>
      <w:r w:rsidR="00B1439C" w:rsidRPr="001E75CA">
        <w:t xml:space="preserve">1)(a) </w:t>
      </w:r>
      <w:r w:rsidRPr="001E75CA">
        <w:t>at least once every 5 years.</w:t>
      </w:r>
    </w:p>
    <w:p w14:paraId="1FD627EC" w14:textId="77777777" w:rsidR="00DC7CFB" w:rsidRDefault="00DC7CFB" w:rsidP="00DC7CFB">
      <w:pPr>
        <w:pStyle w:val="subsection"/>
      </w:pPr>
      <w:r>
        <w:tab/>
        <w:t>(2A)</w:t>
      </w:r>
      <w:r>
        <w:tab/>
        <w:t>The Commonwealth must only communicate a new nationally determined contribution in accordance with Article 4 of the Paris Agreement that first includes a greenhouse gas emissions reduction target for 2035, 2040 or 2045 if:</w:t>
      </w:r>
    </w:p>
    <w:p w14:paraId="75C64BA4" w14:textId="77777777" w:rsidR="00DC7CFB" w:rsidRDefault="00DC7CFB" w:rsidP="00DC7CFB">
      <w:pPr>
        <w:pStyle w:val="paragraph"/>
      </w:pPr>
      <w:r>
        <w:tab/>
        <w:t>(a)</w:t>
      </w:r>
      <w:r>
        <w:tab/>
        <w:t>the Climate Change Authority has given advice under subsection (1) on the target; or</w:t>
      </w:r>
    </w:p>
    <w:p w14:paraId="5350DAA6" w14:textId="77777777" w:rsidR="00DC7CFB" w:rsidRDefault="00DC7CFB" w:rsidP="00DC7CFB">
      <w:pPr>
        <w:pStyle w:val="paragraph"/>
      </w:pPr>
      <w:r>
        <w:tab/>
        <w:t>(b)</w:t>
      </w:r>
      <w:r>
        <w:tab/>
        <w:t>the Minister, after consultation with the Climate Change Authority, is satisfied that the new nationally determined contribution needs to be communicated urgently to further the matters set out in Article 2 of the Paris Agreement.</w:t>
      </w:r>
    </w:p>
    <w:p w14:paraId="5FE0E6BF" w14:textId="77777777" w:rsidR="00DC7CFB" w:rsidRDefault="00DC7CFB" w:rsidP="00DC7CFB">
      <w:pPr>
        <w:pStyle w:val="notetext"/>
      </w:pPr>
      <w:r>
        <w:t>Note:</w:t>
      </w:r>
      <w:r>
        <w:tab/>
        <w:t>This requirement does not apply to adjustments of nationally determined contributions. Such adjustments must represent an enhancement of Australia’s level of ambition under subsection 10(6) and advice on such adjustments may be requested under paragraph 15(1)(b).</w:t>
      </w:r>
    </w:p>
    <w:p w14:paraId="51F5AA3D" w14:textId="77777777" w:rsidR="00E7579B" w:rsidRPr="001E75CA" w:rsidRDefault="00E7579B" w:rsidP="005C68A8">
      <w:pPr>
        <w:pStyle w:val="subsection"/>
      </w:pPr>
      <w:r w:rsidRPr="001E75CA">
        <w:tab/>
        <w:t>(3)</w:t>
      </w:r>
      <w:r w:rsidRPr="001E75CA">
        <w:tab/>
        <w:t xml:space="preserve">In considering advice to be given to the Minister under </w:t>
      </w:r>
      <w:r w:rsidR="005312A1" w:rsidRPr="001E75CA">
        <w:t>subsection (</w:t>
      </w:r>
      <w:r w:rsidRPr="001E75CA">
        <w:t>1), the Climate Change Authority must make provision for public consultation.</w:t>
      </w:r>
    </w:p>
    <w:p w14:paraId="29534DBB" w14:textId="77777777" w:rsidR="00822C68" w:rsidRDefault="00822C68" w:rsidP="00822C68">
      <w:pPr>
        <w:pStyle w:val="subsection"/>
      </w:pPr>
      <w:r>
        <w:tab/>
        <w:t>(3A)</w:t>
      </w:r>
      <w:r>
        <w:tab/>
        <w:t>The advice given under subsection (1) must include an explanation of how the greenhouse gas emissions reductions targets have taken into account the matters set out in Article 2 of the Paris Agreement, including the global goals of:</w:t>
      </w:r>
    </w:p>
    <w:p w14:paraId="7BD9C4B0" w14:textId="77777777" w:rsidR="00822C68" w:rsidRDefault="00822C68" w:rsidP="00822C68">
      <w:pPr>
        <w:pStyle w:val="paragraph"/>
      </w:pPr>
      <w:r>
        <w:tab/>
        <w:t>(a)</w:t>
      </w:r>
      <w:r>
        <w:tab/>
      </w:r>
      <w:r w:rsidRPr="001E75CA">
        <w:t>holding the increase in the global average temperature to well below 2°C above pre</w:t>
      </w:r>
      <w:r>
        <w:noBreakHyphen/>
      </w:r>
      <w:r w:rsidRPr="001E75CA">
        <w:t>industrial levels</w:t>
      </w:r>
      <w:r>
        <w:t>; and</w:t>
      </w:r>
    </w:p>
    <w:p w14:paraId="6C5B9842" w14:textId="77777777" w:rsidR="00822C68" w:rsidRDefault="00822C68" w:rsidP="00822C68">
      <w:pPr>
        <w:pStyle w:val="paragraph"/>
      </w:pPr>
      <w:r>
        <w:tab/>
        <w:t>(b)</w:t>
      </w:r>
      <w:r>
        <w:tab/>
      </w:r>
      <w:r w:rsidRPr="001E75CA">
        <w:t>pursuing efforts to limit the temperature increase to 1.5°C above pre</w:t>
      </w:r>
      <w:r>
        <w:noBreakHyphen/>
      </w:r>
      <w:r w:rsidRPr="001E75CA">
        <w:t>industrial levels</w:t>
      </w:r>
      <w:r>
        <w:t>.</w:t>
      </w:r>
    </w:p>
    <w:p w14:paraId="5890B476" w14:textId="77777777" w:rsidR="00EE6176" w:rsidRPr="001E75CA" w:rsidRDefault="00B76B55" w:rsidP="005C68A8">
      <w:pPr>
        <w:pStyle w:val="subsection"/>
      </w:pPr>
      <w:r w:rsidRPr="001E75CA">
        <w:tab/>
        <w:t>(</w:t>
      </w:r>
      <w:r w:rsidR="00E7579B" w:rsidRPr="001E75CA">
        <w:t>4</w:t>
      </w:r>
      <w:r w:rsidRPr="001E75CA">
        <w:t>)</w:t>
      </w:r>
      <w:r w:rsidRPr="001E75CA">
        <w:tab/>
      </w:r>
      <w:r w:rsidR="000F31B7" w:rsidRPr="001E75CA">
        <w:t xml:space="preserve">In </w:t>
      </w:r>
      <w:r w:rsidR="00EE6176" w:rsidRPr="001E75CA">
        <w:t>considering:</w:t>
      </w:r>
    </w:p>
    <w:p w14:paraId="4267E597" w14:textId="77777777" w:rsidR="00B76B55" w:rsidRPr="001E75CA" w:rsidRDefault="00EE6176" w:rsidP="005C68A8">
      <w:pPr>
        <w:pStyle w:val="paragraph"/>
      </w:pPr>
      <w:r w:rsidRPr="001E75CA">
        <w:tab/>
        <w:t>(a)</w:t>
      </w:r>
      <w:r w:rsidRPr="001E75CA">
        <w:tab/>
        <w:t xml:space="preserve">the greenhouse gas emissions reduction targets that should be included in a new nationally determined contribution to be communicated by Australia in accordance with Article 4 of the Paris Agreement; </w:t>
      </w:r>
      <w:r w:rsidR="000F31B7" w:rsidRPr="001E75CA">
        <w:t>or</w:t>
      </w:r>
    </w:p>
    <w:p w14:paraId="26DF99B7" w14:textId="77777777" w:rsidR="00EE6176" w:rsidRPr="001E75CA" w:rsidRDefault="00EE6176" w:rsidP="005C68A8">
      <w:pPr>
        <w:pStyle w:val="paragraph"/>
      </w:pPr>
      <w:r w:rsidRPr="001E75CA">
        <w:tab/>
        <w:t>(b)</w:t>
      </w:r>
      <w:r w:rsidRPr="001E75CA">
        <w:tab/>
        <w:t>the greenhouse gas emissions reduction targets that</w:t>
      </w:r>
      <w:r w:rsidR="00E23981" w:rsidRPr="001E75CA">
        <w:t xml:space="preserve"> </w:t>
      </w:r>
      <w:r w:rsidRPr="001E75CA">
        <w:t>should be included in Australia’s nationally determined contribution as the result of an adjustment to be made in accordance with paragraph 11 of Article 4 of the Paris Agreement</w:t>
      </w:r>
      <w:r w:rsidR="000F31B7" w:rsidRPr="001E75CA">
        <w:t>;</w:t>
      </w:r>
    </w:p>
    <w:p w14:paraId="6B18BC5F" w14:textId="77777777" w:rsidR="000F31B7" w:rsidRPr="001E75CA" w:rsidRDefault="000F31B7" w:rsidP="005C68A8">
      <w:pPr>
        <w:pStyle w:val="subsection2"/>
      </w:pPr>
      <w:r w:rsidRPr="001E75CA">
        <w:t xml:space="preserve">the Minister must have regard to any relevant advice given by the Climate Change Authority under </w:t>
      </w:r>
      <w:r w:rsidR="005312A1" w:rsidRPr="001E75CA">
        <w:t>subsection (</w:t>
      </w:r>
      <w:r w:rsidRPr="001E75CA">
        <w:t>1).</w:t>
      </w:r>
    </w:p>
    <w:p w14:paraId="2EFF7FE0" w14:textId="77777777" w:rsidR="00B76B55" w:rsidRPr="001E75CA" w:rsidRDefault="00B76B55" w:rsidP="005C68A8">
      <w:pPr>
        <w:pStyle w:val="subsection"/>
      </w:pPr>
      <w:r w:rsidRPr="001E75CA">
        <w:tab/>
        <w:t>(</w:t>
      </w:r>
      <w:r w:rsidR="00E7579B" w:rsidRPr="001E75CA">
        <w:t>5</w:t>
      </w:r>
      <w:r w:rsidRPr="001E75CA">
        <w:t>)</w:t>
      </w:r>
      <w:r w:rsidRPr="001E75CA">
        <w:tab/>
      </w:r>
      <w:r w:rsidR="00BD3C49" w:rsidRPr="001E75CA">
        <w:t>Subsection (</w:t>
      </w:r>
      <w:r w:rsidR="00E7579B" w:rsidRPr="001E75CA">
        <w:t>4</w:t>
      </w:r>
      <w:r w:rsidRPr="001E75CA">
        <w:t>)</w:t>
      </w:r>
      <w:r w:rsidR="00EE6176" w:rsidRPr="001E75CA">
        <w:t xml:space="preserve"> </w:t>
      </w:r>
      <w:r w:rsidRPr="001E75CA">
        <w:t>do</w:t>
      </w:r>
      <w:r w:rsidR="00EE6176" w:rsidRPr="001E75CA">
        <w:t>es</w:t>
      </w:r>
      <w:r w:rsidRPr="001E75CA">
        <w:t xml:space="preserve"> not prevent the Minister from having regard to other advice.</w:t>
      </w:r>
    </w:p>
    <w:p w14:paraId="1AD9757E" w14:textId="77777777" w:rsidR="00B76B55" w:rsidRPr="001E75CA" w:rsidRDefault="00B76B55" w:rsidP="005C68A8">
      <w:pPr>
        <w:pStyle w:val="subsection"/>
      </w:pPr>
      <w:r w:rsidRPr="001E75CA">
        <w:tab/>
        <w:t>(</w:t>
      </w:r>
      <w:r w:rsidR="00E7579B" w:rsidRPr="001E75CA">
        <w:t>6</w:t>
      </w:r>
      <w:r w:rsidRPr="001E75CA">
        <w:t>)</w:t>
      </w:r>
      <w:r w:rsidRPr="001E75CA">
        <w:tab/>
        <w:t xml:space="preserve">If the Climate Change Authority gives the Minister written advice under </w:t>
      </w:r>
      <w:r w:rsidR="005312A1" w:rsidRPr="001E75CA">
        <w:t>subsection (</w:t>
      </w:r>
      <w:r w:rsidRPr="001E75CA">
        <w:t xml:space="preserve">1), the Climate Change Authority must publish </w:t>
      </w:r>
      <w:r w:rsidR="00BD3C49" w:rsidRPr="001E75CA">
        <w:t xml:space="preserve">a copy of </w:t>
      </w:r>
      <w:r w:rsidRPr="001E75CA">
        <w:t>that advice on its website.</w:t>
      </w:r>
    </w:p>
    <w:p w14:paraId="237D1055" w14:textId="77777777" w:rsidR="00B1439C" w:rsidRPr="001E75CA" w:rsidRDefault="00AA4F01" w:rsidP="005C68A8">
      <w:pPr>
        <w:pStyle w:val="subsection"/>
      </w:pPr>
      <w:r w:rsidRPr="001E75CA">
        <w:tab/>
        <w:t>(7)</w:t>
      </w:r>
      <w:r w:rsidRPr="001E75CA">
        <w:tab/>
        <w:t>If</w:t>
      </w:r>
      <w:r w:rsidR="00B1439C" w:rsidRPr="001E75CA">
        <w:t xml:space="preserve"> </w:t>
      </w:r>
      <w:r w:rsidRPr="001E75CA">
        <w:t>the Climate Change Authority gives the Minister written advice under subsection (1)</w:t>
      </w:r>
      <w:r w:rsidR="00D15925" w:rsidRPr="001E75CA">
        <w:t>:</w:t>
      </w:r>
    </w:p>
    <w:p w14:paraId="0FE85124" w14:textId="77777777" w:rsidR="0010043A" w:rsidRPr="001E75CA" w:rsidRDefault="00B1439C" w:rsidP="005C68A8">
      <w:pPr>
        <w:pStyle w:val="paragraph"/>
      </w:pPr>
      <w:r w:rsidRPr="001E75CA">
        <w:tab/>
        <w:t>(a)</w:t>
      </w:r>
      <w:r w:rsidRPr="001E75CA">
        <w:tab/>
      </w:r>
      <w:r w:rsidR="00AA4F01" w:rsidRPr="001E75CA">
        <w:t>the Minister must</w:t>
      </w:r>
      <w:r w:rsidRPr="001E75CA">
        <w:t xml:space="preserve">, within </w:t>
      </w:r>
      <w:r w:rsidR="0058183F" w:rsidRPr="001E75CA">
        <w:t>6</w:t>
      </w:r>
      <w:r w:rsidRPr="001E75CA">
        <w:t xml:space="preserve"> months after</w:t>
      </w:r>
      <w:r w:rsidR="00AA4F01" w:rsidRPr="001E75CA">
        <w:t xml:space="preserve"> </w:t>
      </w:r>
      <w:r w:rsidRPr="001E75CA">
        <w:t xml:space="preserve">that advice was given, </w:t>
      </w:r>
      <w:r w:rsidR="00AA4F01" w:rsidRPr="001E75CA">
        <w:t xml:space="preserve">prepare a written statement </w:t>
      </w:r>
      <w:r w:rsidRPr="001E75CA">
        <w:t>setting out</w:t>
      </w:r>
      <w:r w:rsidR="0010043A" w:rsidRPr="001E75CA">
        <w:t>:</w:t>
      </w:r>
    </w:p>
    <w:p w14:paraId="5E7D97C3" w14:textId="77777777" w:rsidR="00AA4F01" w:rsidRPr="001E75CA" w:rsidRDefault="0010043A" w:rsidP="005C68A8">
      <w:pPr>
        <w:pStyle w:val="paragraphsub"/>
      </w:pPr>
      <w:r w:rsidRPr="001E75CA">
        <w:tab/>
        <w:t>(i)</w:t>
      </w:r>
      <w:r w:rsidRPr="001E75CA">
        <w:tab/>
      </w:r>
      <w:r w:rsidR="00B1439C" w:rsidRPr="001E75CA">
        <w:t xml:space="preserve">the Minister’s response to </w:t>
      </w:r>
      <w:r w:rsidR="00860764" w:rsidRPr="001E75CA">
        <w:t>that advice</w:t>
      </w:r>
      <w:r w:rsidR="00AA4F01" w:rsidRPr="001E75CA">
        <w:t>; and</w:t>
      </w:r>
    </w:p>
    <w:p w14:paraId="1333EAD6" w14:textId="77777777" w:rsidR="0010043A" w:rsidRPr="001E75CA" w:rsidRDefault="0010043A" w:rsidP="005C68A8">
      <w:pPr>
        <w:pStyle w:val="paragraphsub"/>
      </w:pPr>
      <w:r w:rsidRPr="001E75CA">
        <w:tab/>
        <w:t>(ii)</w:t>
      </w:r>
      <w:r w:rsidRPr="001E75CA">
        <w:tab/>
        <w:t>if the Minister has decided not to accept that advice—the reasons for the decision not to accept that advice; and</w:t>
      </w:r>
    </w:p>
    <w:p w14:paraId="49C4C2CC" w14:textId="77777777" w:rsidR="00AA4F01" w:rsidRPr="001E75CA" w:rsidRDefault="00860764" w:rsidP="005C68A8">
      <w:pPr>
        <w:pStyle w:val="paragraph"/>
      </w:pPr>
      <w:r w:rsidRPr="001E75CA">
        <w:tab/>
        <w:t>(</w:t>
      </w:r>
      <w:r w:rsidR="00B1439C" w:rsidRPr="001E75CA">
        <w:t>b</w:t>
      </w:r>
      <w:r w:rsidRPr="001E75CA">
        <w:t>)</w:t>
      </w:r>
      <w:r w:rsidRPr="001E75CA">
        <w:tab/>
      </w:r>
      <w:r w:rsidR="00AA4F01" w:rsidRPr="001E75CA">
        <w:t xml:space="preserve">the Minister must cause a copy of the statement to be tabled in each House of the Parliament within </w:t>
      </w:r>
      <w:r w:rsidRPr="001E75CA">
        <w:t>1</w:t>
      </w:r>
      <w:r w:rsidR="00AA4F01" w:rsidRPr="001E75CA">
        <w:t xml:space="preserve">5 sitting days of that House after </w:t>
      </w:r>
      <w:r w:rsidRPr="001E75CA">
        <w:t>the</w:t>
      </w:r>
      <w:r w:rsidR="00B1439C" w:rsidRPr="001E75CA">
        <w:t xml:space="preserve"> preparation of the statement</w:t>
      </w:r>
      <w:r w:rsidR="00AA4F01" w:rsidRPr="001E75CA">
        <w:t>.</w:t>
      </w:r>
    </w:p>
    <w:p w14:paraId="1C71E8A6" w14:textId="77777777" w:rsidR="00B918C7" w:rsidRPr="001E75CA" w:rsidRDefault="009D7A4E" w:rsidP="005C68A8">
      <w:pPr>
        <w:pStyle w:val="ActHead2"/>
        <w:pageBreakBefore/>
      </w:pPr>
      <w:bookmarkStart w:id="22" w:name="_Toc114044726"/>
      <w:r w:rsidRPr="005C68A8">
        <w:rPr>
          <w:rStyle w:val="CharPartNo"/>
        </w:rPr>
        <w:t>Part 5</w:t>
      </w:r>
      <w:r w:rsidR="00B918C7" w:rsidRPr="001E75CA">
        <w:t>—</w:t>
      </w:r>
      <w:r w:rsidR="00B918C7" w:rsidRPr="005C68A8">
        <w:rPr>
          <w:rStyle w:val="CharPartText"/>
        </w:rPr>
        <w:t>Periodic reviews of the operation of this Act</w:t>
      </w:r>
      <w:bookmarkEnd w:id="22"/>
    </w:p>
    <w:p w14:paraId="58F6E84B" w14:textId="77777777" w:rsidR="001C70B4" w:rsidRPr="005C68A8" w:rsidRDefault="001C70B4" w:rsidP="005C68A8">
      <w:pPr>
        <w:pStyle w:val="Header"/>
      </w:pPr>
      <w:r w:rsidRPr="005C68A8">
        <w:rPr>
          <w:rStyle w:val="CharDivNo"/>
        </w:rPr>
        <w:t xml:space="preserve"> </w:t>
      </w:r>
      <w:r w:rsidRPr="005C68A8">
        <w:rPr>
          <w:rStyle w:val="CharDivText"/>
        </w:rPr>
        <w:t xml:space="preserve"> </w:t>
      </w:r>
    </w:p>
    <w:p w14:paraId="133A63BC" w14:textId="77777777" w:rsidR="009D2569" w:rsidRPr="001E75CA" w:rsidRDefault="00780FEF" w:rsidP="005C68A8">
      <w:pPr>
        <w:pStyle w:val="ActHead5"/>
      </w:pPr>
      <w:bookmarkStart w:id="23" w:name="_Toc114044727"/>
      <w:r w:rsidRPr="005C68A8">
        <w:rPr>
          <w:rStyle w:val="CharSectno"/>
        </w:rPr>
        <w:t>16</w:t>
      </w:r>
      <w:r w:rsidR="009D2569" w:rsidRPr="001E75CA">
        <w:t xml:space="preserve">  Simplified outline of this Part</w:t>
      </w:r>
      <w:bookmarkEnd w:id="23"/>
    </w:p>
    <w:p w14:paraId="4210D8A5" w14:textId="77777777" w:rsidR="009D2569" w:rsidRPr="001E75CA" w:rsidRDefault="009D2569" w:rsidP="005C68A8">
      <w:pPr>
        <w:pStyle w:val="SOBullet"/>
      </w:pPr>
      <w:r w:rsidRPr="001E75CA">
        <w:t>•</w:t>
      </w:r>
      <w:r w:rsidRPr="001E75CA">
        <w:tab/>
        <w:t>There are to be periodic reviews of the operation of this Act.</w:t>
      </w:r>
    </w:p>
    <w:p w14:paraId="1B54185F" w14:textId="77777777" w:rsidR="00E91129" w:rsidRPr="001E75CA" w:rsidRDefault="00780FEF" w:rsidP="005C68A8">
      <w:pPr>
        <w:pStyle w:val="ActHead5"/>
      </w:pPr>
      <w:bookmarkStart w:id="24" w:name="_Toc114044728"/>
      <w:r w:rsidRPr="005C68A8">
        <w:rPr>
          <w:rStyle w:val="CharSectno"/>
        </w:rPr>
        <w:t>17</w:t>
      </w:r>
      <w:r w:rsidR="00E91129" w:rsidRPr="001E75CA">
        <w:t xml:space="preserve">  </w:t>
      </w:r>
      <w:r w:rsidR="00B918C7" w:rsidRPr="001E75CA">
        <w:t>Periodic r</w:t>
      </w:r>
      <w:r w:rsidR="00E91129" w:rsidRPr="001E75CA">
        <w:t>eview</w:t>
      </w:r>
      <w:r w:rsidR="00B918C7" w:rsidRPr="001E75CA">
        <w:t>s</w:t>
      </w:r>
      <w:r w:rsidR="00E91129" w:rsidRPr="001E75CA">
        <w:t xml:space="preserve"> of </w:t>
      </w:r>
      <w:r w:rsidR="009D2569" w:rsidRPr="001E75CA">
        <w:t xml:space="preserve">the </w:t>
      </w:r>
      <w:r w:rsidR="00E91129" w:rsidRPr="001E75CA">
        <w:t>operation of this Act</w:t>
      </w:r>
      <w:bookmarkEnd w:id="24"/>
    </w:p>
    <w:p w14:paraId="0437B39B" w14:textId="77777777" w:rsidR="00E91129" w:rsidRPr="001E75CA" w:rsidRDefault="00E91129" w:rsidP="005C68A8">
      <w:pPr>
        <w:pStyle w:val="subsection"/>
      </w:pPr>
      <w:r w:rsidRPr="001E75CA">
        <w:tab/>
        <w:t>(1)</w:t>
      </w:r>
      <w:r w:rsidRPr="001E75CA">
        <w:tab/>
        <w:t xml:space="preserve">The Minister must cause </w:t>
      </w:r>
      <w:r w:rsidR="009D7A4E" w:rsidRPr="001E75CA">
        <w:t xml:space="preserve">independent </w:t>
      </w:r>
      <w:r w:rsidRPr="001E75CA">
        <w:t>review</w:t>
      </w:r>
      <w:r w:rsidR="00B918C7" w:rsidRPr="001E75CA">
        <w:t>s</w:t>
      </w:r>
      <w:r w:rsidRPr="001E75CA">
        <w:t xml:space="preserve"> to be conducted of the operation of this Act.</w:t>
      </w:r>
    </w:p>
    <w:p w14:paraId="67F1F289" w14:textId="77777777" w:rsidR="00B918C7" w:rsidRPr="001E75CA" w:rsidRDefault="00B918C7" w:rsidP="005C68A8">
      <w:pPr>
        <w:pStyle w:val="SubsectionHead"/>
      </w:pPr>
      <w:r w:rsidRPr="001E75CA">
        <w:t>Public consultation</w:t>
      </w:r>
    </w:p>
    <w:p w14:paraId="47F25892" w14:textId="77777777" w:rsidR="00B918C7" w:rsidRPr="001E75CA" w:rsidRDefault="00B918C7" w:rsidP="005C68A8">
      <w:pPr>
        <w:pStyle w:val="subsection"/>
      </w:pPr>
      <w:r w:rsidRPr="001E75CA">
        <w:tab/>
        <w:t>(2)</w:t>
      </w:r>
      <w:r w:rsidRPr="001E75CA">
        <w:tab/>
        <w:t>A review under subsection (1) must make provision for public consultation.</w:t>
      </w:r>
    </w:p>
    <w:p w14:paraId="373CBAF9" w14:textId="77777777" w:rsidR="00B918C7" w:rsidRPr="001E75CA" w:rsidRDefault="00B918C7" w:rsidP="005C68A8">
      <w:pPr>
        <w:pStyle w:val="SubsectionHead"/>
      </w:pPr>
      <w:r w:rsidRPr="001E75CA">
        <w:t>Report</w:t>
      </w:r>
    </w:p>
    <w:p w14:paraId="2FDDA572" w14:textId="77777777" w:rsidR="00B918C7" w:rsidRPr="001E75CA" w:rsidRDefault="00B918C7" w:rsidP="005C68A8">
      <w:pPr>
        <w:pStyle w:val="subsection"/>
      </w:pPr>
      <w:r w:rsidRPr="001E75CA">
        <w:tab/>
        <w:t>(3)</w:t>
      </w:r>
      <w:r w:rsidRPr="001E75CA">
        <w:tab/>
        <w:t>The person or persons who conduct the review must give the Minister a written report of the review.</w:t>
      </w:r>
    </w:p>
    <w:p w14:paraId="6520C8B9" w14:textId="77777777" w:rsidR="00B918C7" w:rsidRPr="001E75CA" w:rsidRDefault="00B918C7" w:rsidP="005C68A8">
      <w:pPr>
        <w:pStyle w:val="subsection"/>
      </w:pPr>
      <w:r w:rsidRPr="001E75CA">
        <w:tab/>
        <w:t>(4)</w:t>
      </w:r>
      <w:r w:rsidRPr="001E75CA">
        <w:tab/>
        <w:t xml:space="preserve">The Minister must cause </w:t>
      </w:r>
      <w:r w:rsidR="005151EA" w:rsidRPr="001E75CA">
        <w:t>copies of a</w:t>
      </w:r>
      <w:r w:rsidRPr="001E75CA">
        <w:t xml:space="preserve"> report under subsection (3) to be tabled in each House of the Parliament within 15 sitting days of that House after the review is completed.</w:t>
      </w:r>
    </w:p>
    <w:p w14:paraId="35C157E5" w14:textId="77777777" w:rsidR="00B918C7" w:rsidRPr="001E75CA" w:rsidRDefault="00B918C7" w:rsidP="005C68A8">
      <w:pPr>
        <w:pStyle w:val="SubsectionHead"/>
      </w:pPr>
      <w:r w:rsidRPr="001E75CA">
        <w:t>First review</w:t>
      </w:r>
    </w:p>
    <w:p w14:paraId="5555BB3D" w14:textId="77777777" w:rsidR="00B918C7" w:rsidRPr="001E75CA" w:rsidRDefault="00B918C7" w:rsidP="005C68A8">
      <w:pPr>
        <w:pStyle w:val="subsection"/>
      </w:pPr>
      <w:r w:rsidRPr="001E75CA">
        <w:tab/>
        <w:t>(5)</w:t>
      </w:r>
      <w:r w:rsidRPr="001E75CA">
        <w:tab/>
        <w:t>The first review under subsection (1) must be completed within 5 years after the commencement of this section.</w:t>
      </w:r>
    </w:p>
    <w:p w14:paraId="54FD0533" w14:textId="77777777" w:rsidR="00B918C7" w:rsidRPr="001E75CA" w:rsidRDefault="00B918C7" w:rsidP="005C68A8">
      <w:pPr>
        <w:pStyle w:val="SubsectionHead"/>
      </w:pPr>
      <w:r w:rsidRPr="001E75CA">
        <w:t>Subsequent reviews</w:t>
      </w:r>
    </w:p>
    <w:p w14:paraId="09BD60E7" w14:textId="77777777" w:rsidR="00B918C7" w:rsidRPr="001E75CA" w:rsidRDefault="00B918C7" w:rsidP="005C68A8">
      <w:pPr>
        <w:pStyle w:val="subsection"/>
      </w:pPr>
      <w:r w:rsidRPr="001E75CA">
        <w:tab/>
        <w:t>(6)</w:t>
      </w:r>
      <w:r w:rsidRPr="001E75CA">
        <w:tab/>
        <w:t xml:space="preserve">Each subsequent review under subsection (1) must be completed within </w:t>
      </w:r>
      <w:r w:rsidR="00E90D6B" w:rsidRPr="001E75CA">
        <w:t>10</w:t>
      </w:r>
      <w:r w:rsidRPr="001E75CA">
        <w:t xml:space="preserve"> years after the</w:t>
      </w:r>
      <w:r w:rsidR="0010043A" w:rsidRPr="001E75CA">
        <w:t xml:space="preserve"> </w:t>
      </w:r>
      <w:r w:rsidRPr="001E75CA">
        <w:t>completion of the previous review.</w:t>
      </w:r>
    </w:p>
    <w:p w14:paraId="413B3C8F" w14:textId="77777777" w:rsidR="00E90D6B" w:rsidRPr="001E75CA" w:rsidRDefault="00E90D6B" w:rsidP="005C68A8">
      <w:pPr>
        <w:pStyle w:val="SubsectionHead"/>
      </w:pPr>
      <w:r w:rsidRPr="001E75CA">
        <w:t>When review is completed</w:t>
      </w:r>
    </w:p>
    <w:p w14:paraId="188F0E19" w14:textId="7C764D51" w:rsidR="00B918C7" w:rsidRDefault="00B918C7" w:rsidP="005C68A8">
      <w:pPr>
        <w:pStyle w:val="subsection"/>
      </w:pPr>
      <w:r w:rsidRPr="001E75CA">
        <w:tab/>
        <w:t>(7)</w:t>
      </w:r>
      <w:r w:rsidRPr="001E75CA">
        <w:tab/>
        <w:t>For the purposes of subsections (4), (5) and (6), a review is completed when the report of the review is given to the Minister under subsection (3).</w:t>
      </w:r>
    </w:p>
    <w:p w14:paraId="234E4170" w14:textId="77777777" w:rsidR="00ED3FF8" w:rsidRPr="00F02B56" w:rsidRDefault="00ED3FF8" w:rsidP="00ED3FF8"/>
    <w:p w14:paraId="0C312947" w14:textId="77777777" w:rsidR="00ED3FF8" w:rsidRDefault="00ED3FF8" w:rsidP="00ED3FF8">
      <w:pPr>
        <w:pStyle w:val="AssentBk"/>
        <w:keepNext/>
      </w:pPr>
    </w:p>
    <w:p w14:paraId="55093620" w14:textId="77777777" w:rsidR="00ED3FF8" w:rsidRDefault="00ED3FF8" w:rsidP="00ED3FF8">
      <w:pPr>
        <w:pStyle w:val="AssentBk"/>
        <w:keepNext/>
      </w:pPr>
    </w:p>
    <w:p w14:paraId="5D6E3F57" w14:textId="77777777" w:rsidR="00ED3FF8" w:rsidRDefault="00ED3FF8" w:rsidP="00ED3FF8">
      <w:pPr>
        <w:pStyle w:val="2ndRd"/>
        <w:keepNext/>
        <w:pBdr>
          <w:top w:val="single" w:sz="2" w:space="1" w:color="auto"/>
        </w:pBdr>
      </w:pPr>
    </w:p>
    <w:p w14:paraId="4A038FBC" w14:textId="77777777" w:rsidR="00ED3FF8" w:rsidRDefault="00ED3FF8" w:rsidP="000C5962">
      <w:pPr>
        <w:pStyle w:val="2ndRd"/>
        <w:keepNext/>
        <w:spacing w:line="260" w:lineRule="atLeast"/>
        <w:rPr>
          <w:i/>
        </w:rPr>
      </w:pPr>
      <w:r>
        <w:t>[</w:t>
      </w:r>
      <w:r>
        <w:rPr>
          <w:i/>
        </w:rPr>
        <w:t>Minister’s second reading speech made in—</w:t>
      </w:r>
    </w:p>
    <w:p w14:paraId="05ADEFB3" w14:textId="1A245B25" w:rsidR="00ED3FF8" w:rsidRDefault="00ED3FF8" w:rsidP="000C5962">
      <w:pPr>
        <w:pStyle w:val="2ndRd"/>
        <w:keepNext/>
        <w:spacing w:line="260" w:lineRule="atLeast"/>
        <w:rPr>
          <w:i/>
        </w:rPr>
      </w:pPr>
      <w:r>
        <w:rPr>
          <w:i/>
        </w:rPr>
        <w:t>House of Representatives on 27 July 2022</w:t>
      </w:r>
    </w:p>
    <w:p w14:paraId="7CD155AE" w14:textId="1925D3CC" w:rsidR="00ED3FF8" w:rsidRDefault="00ED3FF8" w:rsidP="000C5962">
      <w:pPr>
        <w:pStyle w:val="2ndRd"/>
        <w:keepNext/>
        <w:spacing w:line="260" w:lineRule="atLeast"/>
        <w:rPr>
          <w:i/>
        </w:rPr>
      </w:pPr>
      <w:r>
        <w:rPr>
          <w:i/>
        </w:rPr>
        <w:t>Senate on 5 September 2022</w:t>
      </w:r>
      <w:r>
        <w:t>]</w:t>
      </w:r>
    </w:p>
    <w:p w14:paraId="05D0E222" w14:textId="77777777" w:rsidR="00ED3FF8" w:rsidRDefault="00ED3FF8" w:rsidP="000C5962"/>
    <w:p w14:paraId="3373CF91" w14:textId="08B7310C" w:rsidR="00311609" w:rsidRPr="00ED3FF8" w:rsidRDefault="00ED3FF8" w:rsidP="00ED3FF8">
      <w:pPr>
        <w:framePr w:hSpace="180" w:wrap="around" w:vAnchor="text" w:hAnchor="page" w:x="2461" w:y="6713"/>
      </w:pPr>
      <w:r>
        <w:t>(63/22)</w:t>
      </w:r>
    </w:p>
    <w:p w14:paraId="68B1D14C" w14:textId="77777777" w:rsidR="00ED3FF8" w:rsidRDefault="00ED3FF8"/>
    <w:sectPr w:rsidR="00ED3FF8" w:rsidSect="00311609">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90B3D" w14:textId="77777777" w:rsidR="005151EA" w:rsidRDefault="005151EA" w:rsidP="00715914">
      <w:pPr>
        <w:spacing w:line="240" w:lineRule="auto"/>
      </w:pPr>
      <w:r>
        <w:separator/>
      </w:r>
    </w:p>
  </w:endnote>
  <w:endnote w:type="continuationSeparator" w:id="0">
    <w:p w14:paraId="34614DB3" w14:textId="77777777" w:rsidR="005151EA" w:rsidRDefault="005151E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845D9" w14:textId="77777777" w:rsidR="005151EA" w:rsidRPr="005F1388" w:rsidRDefault="005151EA" w:rsidP="005C68A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E992" w14:textId="3BF70E7B" w:rsidR="00ED3FF8" w:rsidRDefault="00ED3FF8" w:rsidP="00CD12A5">
    <w:pPr>
      <w:pStyle w:val="ScalePlusRef"/>
    </w:pPr>
    <w:r>
      <w:t>Note: An electronic version of this Act is available on the Federal Register of Legislation (</w:t>
    </w:r>
    <w:hyperlink r:id="rId1" w:history="1">
      <w:r>
        <w:t>https://www.legislation.gov.au/</w:t>
      </w:r>
    </w:hyperlink>
    <w:r>
      <w:t>)</w:t>
    </w:r>
  </w:p>
  <w:p w14:paraId="7E025EAD" w14:textId="77777777" w:rsidR="00ED3FF8" w:rsidRDefault="00ED3FF8" w:rsidP="00CD12A5"/>
  <w:p w14:paraId="03817E5B" w14:textId="7D6212D8" w:rsidR="005151EA" w:rsidRDefault="005151EA" w:rsidP="005C68A8">
    <w:pPr>
      <w:pStyle w:val="Footer"/>
      <w:spacing w:before="120"/>
    </w:pPr>
  </w:p>
  <w:p w14:paraId="19D92A19" w14:textId="77777777" w:rsidR="005151EA" w:rsidRPr="005F1388" w:rsidRDefault="005151EA"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FF55" w14:textId="77777777" w:rsidR="005151EA" w:rsidRPr="00ED79B6" w:rsidRDefault="005151EA" w:rsidP="005C68A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CCF83" w14:textId="77777777" w:rsidR="005151EA" w:rsidRDefault="005151EA" w:rsidP="005C68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151EA" w14:paraId="7C883001" w14:textId="77777777" w:rsidTr="00AC4BB2">
      <w:tc>
        <w:tcPr>
          <w:tcW w:w="646" w:type="dxa"/>
        </w:tcPr>
        <w:p w14:paraId="25818F7C" w14:textId="77777777" w:rsidR="005151EA" w:rsidRDefault="005151EA"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66A590B" w14:textId="70B4181A" w:rsidR="005151EA" w:rsidRDefault="005151EA"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F7122">
            <w:rPr>
              <w:i/>
              <w:sz w:val="18"/>
            </w:rPr>
            <w:t>Climate Change Act 2022</w:t>
          </w:r>
          <w:r w:rsidRPr="00ED79B6">
            <w:rPr>
              <w:i/>
              <w:sz w:val="18"/>
            </w:rPr>
            <w:fldChar w:fldCharType="end"/>
          </w:r>
        </w:p>
      </w:tc>
      <w:tc>
        <w:tcPr>
          <w:tcW w:w="1270" w:type="dxa"/>
        </w:tcPr>
        <w:p w14:paraId="68E6E265" w14:textId="4B4C3329" w:rsidR="005151EA" w:rsidRDefault="005151EA"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F7122">
            <w:rPr>
              <w:i/>
              <w:sz w:val="18"/>
            </w:rPr>
            <w:t>No. 37, 2022</w:t>
          </w:r>
          <w:r w:rsidRPr="00ED79B6">
            <w:rPr>
              <w:i/>
              <w:sz w:val="18"/>
            </w:rPr>
            <w:fldChar w:fldCharType="end"/>
          </w:r>
        </w:p>
      </w:tc>
    </w:tr>
  </w:tbl>
  <w:p w14:paraId="0FA6851C" w14:textId="77777777" w:rsidR="005151EA" w:rsidRPr="00ED79B6" w:rsidRDefault="005151EA"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830F0" w14:textId="77777777" w:rsidR="005151EA" w:rsidRPr="00ED79B6" w:rsidRDefault="005151EA" w:rsidP="005C68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151EA" w14:paraId="1C1D2AAB" w14:textId="77777777" w:rsidTr="00340F07">
      <w:tc>
        <w:tcPr>
          <w:tcW w:w="1247" w:type="dxa"/>
        </w:tcPr>
        <w:p w14:paraId="0BAA48FA" w14:textId="30AE69ED" w:rsidR="005151EA" w:rsidRDefault="005151EA"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F7122">
            <w:rPr>
              <w:i/>
              <w:sz w:val="18"/>
            </w:rPr>
            <w:t>No. 37, 2022</w:t>
          </w:r>
          <w:r w:rsidRPr="00ED79B6">
            <w:rPr>
              <w:i/>
              <w:sz w:val="18"/>
            </w:rPr>
            <w:fldChar w:fldCharType="end"/>
          </w:r>
        </w:p>
      </w:tc>
      <w:tc>
        <w:tcPr>
          <w:tcW w:w="5387" w:type="dxa"/>
        </w:tcPr>
        <w:p w14:paraId="1EBE4483" w14:textId="7BDDF02D" w:rsidR="005151EA" w:rsidRDefault="005151EA"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F7122">
            <w:rPr>
              <w:i/>
              <w:sz w:val="18"/>
            </w:rPr>
            <w:t>Climate Change Act 2022</w:t>
          </w:r>
          <w:r w:rsidRPr="00ED79B6">
            <w:rPr>
              <w:i/>
              <w:sz w:val="18"/>
            </w:rPr>
            <w:fldChar w:fldCharType="end"/>
          </w:r>
        </w:p>
      </w:tc>
      <w:tc>
        <w:tcPr>
          <w:tcW w:w="669" w:type="dxa"/>
        </w:tcPr>
        <w:p w14:paraId="04571715" w14:textId="77777777" w:rsidR="005151EA" w:rsidRDefault="005151EA"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5FA91C7" w14:textId="77777777" w:rsidR="005151EA" w:rsidRPr="00ED79B6" w:rsidRDefault="005151EA"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B768B" w14:textId="77777777" w:rsidR="005151EA" w:rsidRDefault="005151EA" w:rsidP="005C68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151EA" w14:paraId="154BD1C3" w14:textId="77777777" w:rsidTr="00CC6671">
      <w:tc>
        <w:tcPr>
          <w:tcW w:w="646" w:type="dxa"/>
        </w:tcPr>
        <w:p w14:paraId="476F83A5" w14:textId="77777777" w:rsidR="005151EA" w:rsidRDefault="005151EA"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C1A1FEB" w14:textId="5137C5DE" w:rsidR="005151EA" w:rsidRDefault="005151EA"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F7122">
            <w:rPr>
              <w:i/>
              <w:sz w:val="18"/>
            </w:rPr>
            <w:t>Climate Change Act 2022</w:t>
          </w:r>
          <w:r w:rsidRPr="007A1328">
            <w:rPr>
              <w:i/>
              <w:sz w:val="18"/>
            </w:rPr>
            <w:fldChar w:fldCharType="end"/>
          </w:r>
        </w:p>
      </w:tc>
      <w:tc>
        <w:tcPr>
          <w:tcW w:w="1270" w:type="dxa"/>
        </w:tcPr>
        <w:p w14:paraId="31473F15" w14:textId="404437EF" w:rsidR="005151EA" w:rsidRDefault="005151EA"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F7122">
            <w:rPr>
              <w:i/>
              <w:sz w:val="18"/>
            </w:rPr>
            <w:t>No. 37, 2022</w:t>
          </w:r>
          <w:r w:rsidRPr="007A1328">
            <w:rPr>
              <w:i/>
              <w:sz w:val="18"/>
            </w:rPr>
            <w:fldChar w:fldCharType="end"/>
          </w:r>
        </w:p>
      </w:tc>
    </w:tr>
  </w:tbl>
  <w:p w14:paraId="18BAE41C" w14:textId="77777777" w:rsidR="005151EA" w:rsidRPr="007A1328" w:rsidRDefault="005151EA"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48AB9" w14:textId="77777777" w:rsidR="005151EA" w:rsidRDefault="005151EA" w:rsidP="005C68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151EA" w14:paraId="15652767" w14:textId="77777777" w:rsidTr="00CC6671">
      <w:tc>
        <w:tcPr>
          <w:tcW w:w="1247" w:type="dxa"/>
        </w:tcPr>
        <w:p w14:paraId="104ADF62" w14:textId="117F0DD2" w:rsidR="005151EA" w:rsidRDefault="005151EA"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F7122">
            <w:rPr>
              <w:i/>
              <w:sz w:val="18"/>
            </w:rPr>
            <w:t>No. 37, 2022</w:t>
          </w:r>
          <w:r w:rsidRPr="007A1328">
            <w:rPr>
              <w:i/>
              <w:sz w:val="18"/>
            </w:rPr>
            <w:fldChar w:fldCharType="end"/>
          </w:r>
        </w:p>
      </w:tc>
      <w:tc>
        <w:tcPr>
          <w:tcW w:w="5387" w:type="dxa"/>
        </w:tcPr>
        <w:p w14:paraId="236875F7" w14:textId="4414AED5" w:rsidR="005151EA" w:rsidRDefault="005151EA"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F7122">
            <w:rPr>
              <w:i/>
              <w:sz w:val="18"/>
            </w:rPr>
            <w:t>Climate Change Act 2022</w:t>
          </w:r>
          <w:r w:rsidRPr="007A1328">
            <w:rPr>
              <w:i/>
              <w:sz w:val="18"/>
            </w:rPr>
            <w:fldChar w:fldCharType="end"/>
          </w:r>
        </w:p>
      </w:tc>
      <w:tc>
        <w:tcPr>
          <w:tcW w:w="669" w:type="dxa"/>
        </w:tcPr>
        <w:p w14:paraId="79824384" w14:textId="77777777" w:rsidR="005151EA" w:rsidRDefault="005151EA"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4A5450D" w14:textId="77777777" w:rsidR="005151EA" w:rsidRPr="007A1328" w:rsidRDefault="005151EA"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CC41D" w14:textId="77777777" w:rsidR="005151EA" w:rsidRDefault="005151EA" w:rsidP="005C68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11"/>
      <w:gridCol w:w="655"/>
    </w:tblGrid>
    <w:tr w:rsidR="005151EA" w14:paraId="48850D4D" w14:textId="77777777" w:rsidTr="00CC6671">
      <w:tc>
        <w:tcPr>
          <w:tcW w:w="1247" w:type="dxa"/>
        </w:tcPr>
        <w:p w14:paraId="271C670D" w14:textId="2BC7B3D1" w:rsidR="005151EA" w:rsidRDefault="005151EA"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F7122">
            <w:rPr>
              <w:i/>
              <w:sz w:val="18"/>
            </w:rPr>
            <w:t>No. 37, 2022</w:t>
          </w:r>
          <w:r w:rsidRPr="007A1328">
            <w:rPr>
              <w:i/>
              <w:sz w:val="18"/>
            </w:rPr>
            <w:fldChar w:fldCharType="end"/>
          </w:r>
        </w:p>
      </w:tc>
      <w:tc>
        <w:tcPr>
          <w:tcW w:w="5387" w:type="dxa"/>
        </w:tcPr>
        <w:p w14:paraId="07AA2163" w14:textId="62D28EA9" w:rsidR="005151EA" w:rsidRDefault="005151EA"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F7122">
            <w:rPr>
              <w:i/>
              <w:sz w:val="18"/>
            </w:rPr>
            <w:t>Climate Change Act 2022</w:t>
          </w:r>
          <w:r w:rsidRPr="007A1328">
            <w:rPr>
              <w:i/>
              <w:sz w:val="18"/>
            </w:rPr>
            <w:fldChar w:fldCharType="end"/>
          </w:r>
        </w:p>
      </w:tc>
      <w:tc>
        <w:tcPr>
          <w:tcW w:w="669" w:type="dxa"/>
        </w:tcPr>
        <w:p w14:paraId="24CF8744" w14:textId="77777777" w:rsidR="005151EA" w:rsidRDefault="005151EA"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35C1565" w14:textId="77777777" w:rsidR="005151EA" w:rsidRPr="007A1328" w:rsidRDefault="005151EA"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5C8C9" w14:textId="77777777" w:rsidR="005151EA" w:rsidRDefault="005151EA" w:rsidP="00715914">
      <w:pPr>
        <w:spacing w:line="240" w:lineRule="auto"/>
      </w:pPr>
      <w:r>
        <w:separator/>
      </w:r>
    </w:p>
  </w:footnote>
  <w:footnote w:type="continuationSeparator" w:id="0">
    <w:p w14:paraId="1499CC92" w14:textId="77777777" w:rsidR="005151EA" w:rsidRDefault="005151E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90A6D" w14:textId="77777777" w:rsidR="005151EA" w:rsidRPr="005F1388" w:rsidRDefault="005151EA" w:rsidP="00EB178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E6411" w14:textId="77777777" w:rsidR="005151EA" w:rsidRPr="005F1388" w:rsidRDefault="005151EA"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CF7A6" w14:textId="77777777" w:rsidR="005151EA" w:rsidRPr="005F1388" w:rsidRDefault="005151EA"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FDA9" w14:textId="77777777" w:rsidR="005151EA" w:rsidRPr="00ED79B6" w:rsidRDefault="005151EA"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F31E3" w14:textId="77777777" w:rsidR="005151EA" w:rsidRPr="00ED79B6" w:rsidRDefault="005151EA"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5DE94" w14:textId="77777777" w:rsidR="005151EA" w:rsidRPr="00ED79B6" w:rsidRDefault="005151E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E17C9" w14:textId="728E5C5A" w:rsidR="005151EA" w:rsidRDefault="005151E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6D37B6C" w14:textId="71FCA93E" w:rsidR="005151EA" w:rsidRDefault="005151EA" w:rsidP="00715914">
    <w:pPr>
      <w:rPr>
        <w:sz w:val="20"/>
      </w:rPr>
    </w:pPr>
    <w:r w:rsidRPr="007A1328">
      <w:rPr>
        <w:b/>
        <w:sz w:val="20"/>
      </w:rPr>
      <w:fldChar w:fldCharType="begin"/>
    </w:r>
    <w:r w:rsidRPr="007A1328">
      <w:rPr>
        <w:b/>
        <w:sz w:val="20"/>
      </w:rPr>
      <w:instrText xml:space="preserve"> STYLEREF CharPartNo </w:instrText>
    </w:r>
    <w:r w:rsidR="001F7122">
      <w:rPr>
        <w:b/>
        <w:sz w:val="20"/>
      </w:rPr>
      <w:fldChar w:fldCharType="separate"/>
    </w:r>
    <w:r w:rsidR="00B47E3E">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F7122">
      <w:rPr>
        <w:sz w:val="20"/>
      </w:rPr>
      <w:fldChar w:fldCharType="separate"/>
    </w:r>
    <w:r w:rsidR="00B47E3E">
      <w:rPr>
        <w:noProof/>
        <w:sz w:val="20"/>
      </w:rPr>
      <w:t>Periodic reviews of the operation of this Act</w:t>
    </w:r>
    <w:r>
      <w:rPr>
        <w:sz w:val="20"/>
      </w:rPr>
      <w:fldChar w:fldCharType="end"/>
    </w:r>
  </w:p>
  <w:p w14:paraId="1A32AC63" w14:textId="3FF86D97" w:rsidR="005151EA" w:rsidRPr="007A1328" w:rsidRDefault="005151E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50C16C0" w14:textId="77777777" w:rsidR="005151EA" w:rsidRPr="007A1328" w:rsidRDefault="005151EA" w:rsidP="00715914">
    <w:pPr>
      <w:rPr>
        <w:b/>
        <w:sz w:val="24"/>
      </w:rPr>
    </w:pPr>
  </w:p>
  <w:p w14:paraId="5BD193D9" w14:textId="31319F63" w:rsidR="005151EA" w:rsidRPr="007A1328" w:rsidRDefault="005151EA"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47E3E">
      <w:rPr>
        <w:noProof/>
        <w:sz w:val="24"/>
      </w:rPr>
      <w:t>16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8FDA6" w14:textId="5D7DEE90" w:rsidR="005151EA" w:rsidRPr="007A1328" w:rsidRDefault="005151E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F178D31" w14:textId="28EC37D4" w:rsidR="005151EA" w:rsidRPr="007A1328" w:rsidRDefault="005C68A8" w:rsidP="00715914">
    <w:pPr>
      <w:jc w:val="right"/>
      <w:rPr>
        <w:sz w:val="20"/>
      </w:rPr>
    </w:pPr>
    <w:r>
      <w:rPr>
        <w:sz w:val="20"/>
      </w:rPr>
      <w:fldChar w:fldCharType="begin"/>
    </w:r>
    <w:r>
      <w:rPr>
        <w:sz w:val="20"/>
      </w:rPr>
      <w:instrText xml:space="preserve"> STYLEREF  CharPartText </w:instrText>
    </w:r>
    <w:r w:rsidR="001F7122">
      <w:rPr>
        <w:sz w:val="20"/>
      </w:rPr>
      <w:fldChar w:fldCharType="separate"/>
    </w:r>
    <w:r w:rsidR="00B47E3E">
      <w:rPr>
        <w:noProof/>
        <w:sz w:val="20"/>
      </w:rPr>
      <w:t>Periodic reviews of the operation of this Act</w:t>
    </w:r>
    <w:r>
      <w:rPr>
        <w:sz w:val="20"/>
      </w:rPr>
      <w:fldChar w:fldCharType="end"/>
    </w:r>
    <w:r w:rsidR="005151EA" w:rsidRPr="007A1328">
      <w:rPr>
        <w:sz w:val="20"/>
      </w:rPr>
      <w:t xml:space="preserve"> </w:t>
    </w:r>
    <w:r w:rsidR="005151EA">
      <w:rPr>
        <w:sz w:val="20"/>
      </w:rPr>
      <w:t xml:space="preserve"> </w:t>
    </w:r>
    <w:r w:rsidR="005151EA">
      <w:rPr>
        <w:b/>
        <w:sz w:val="20"/>
      </w:rPr>
      <w:fldChar w:fldCharType="begin"/>
    </w:r>
    <w:r w:rsidR="005151EA">
      <w:rPr>
        <w:b/>
        <w:sz w:val="20"/>
      </w:rPr>
      <w:instrText xml:space="preserve"> STYLEREF CharPartNo </w:instrText>
    </w:r>
    <w:r w:rsidR="001F7122">
      <w:rPr>
        <w:b/>
        <w:sz w:val="20"/>
      </w:rPr>
      <w:fldChar w:fldCharType="separate"/>
    </w:r>
    <w:r w:rsidR="00B47E3E">
      <w:rPr>
        <w:b/>
        <w:noProof/>
        <w:sz w:val="20"/>
      </w:rPr>
      <w:t>Part 5</w:t>
    </w:r>
    <w:r w:rsidR="005151EA">
      <w:rPr>
        <w:b/>
        <w:sz w:val="20"/>
      </w:rPr>
      <w:fldChar w:fldCharType="end"/>
    </w:r>
  </w:p>
  <w:p w14:paraId="35905A02" w14:textId="176E5A8A" w:rsidR="005151EA" w:rsidRPr="007A1328" w:rsidRDefault="005151E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DD9C3F5" w14:textId="77777777" w:rsidR="005151EA" w:rsidRPr="007A1328" w:rsidRDefault="005151EA" w:rsidP="00715914">
    <w:pPr>
      <w:jc w:val="right"/>
      <w:rPr>
        <w:b/>
        <w:sz w:val="24"/>
      </w:rPr>
    </w:pPr>
  </w:p>
  <w:p w14:paraId="263F87EA" w14:textId="708FE485" w:rsidR="005151EA" w:rsidRPr="007A1328" w:rsidRDefault="005151EA"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47E3E">
      <w:rPr>
        <w:noProof/>
        <w:sz w:val="24"/>
      </w:rPr>
      <w:t>17</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6F794" w14:textId="77777777" w:rsidR="005151EA" w:rsidRPr="007A1328" w:rsidRDefault="005151EA"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F42385C-AE10-432B-8D32-A9B0A4A900F3}"/>
    <w:docVar w:name="dgnword-eventsink" w:val="1069069984"/>
  </w:docVars>
  <w:rsids>
    <w:rsidRoot w:val="00AA2A40"/>
    <w:rsid w:val="000015A4"/>
    <w:rsid w:val="00004756"/>
    <w:rsid w:val="000136AF"/>
    <w:rsid w:val="0003377B"/>
    <w:rsid w:val="00052671"/>
    <w:rsid w:val="000614BF"/>
    <w:rsid w:val="00065CCD"/>
    <w:rsid w:val="000671E0"/>
    <w:rsid w:val="000700D8"/>
    <w:rsid w:val="00083C1F"/>
    <w:rsid w:val="00087D46"/>
    <w:rsid w:val="000A2F85"/>
    <w:rsid w:val="000A556A"/>
    <w:rsid w:val="000C7CF4"/>
    <w:rsid w:val="000D05EF"/>
    <w:rsid w:val="000D0EB7"/>
    <w:rsid w:val="000D296D"/>
    <w:rsid w:val="000E18CC"/>
    <w:rsid w:val="000E2261"/>
    <w:rsid w:val="000E3F92"/>
    <w:rsid w:val="000F21C1"/>
    <w:rsid w:val="000F31B7"/>
    <w:rsid w:val="0010043A"/>
    <w:rsid w:val="0010745C"/>
    <w:rsid w:val="00122FE1"/>
    <w:rsid w:val="0013072E"/>
    <w:rsid w:val="00133FC8"/>
    <w:rsid w:val="001464BD"/>
    <w:rsid w:val="001512F6"/>
    <w:rsid w:val="00152AF7"/>
    <w:rsid w:val="00155D17"/>
    <w:rsid w:val="00166C2F"/>
    <w:rsid w:val="001671E9"/>
    <w:rsid w:val="0017194E"/>
    <w:rsid w:val="00176058"/>
    <w:rsid w:val="00192C83"/>
    <w:rsid w:val="001939E1"/>
    <w:rsid w:val="00195382"/>
    <w:rsid w:val="001955B0"/>
    <w:rsid w:val="001A45D5"/>
    <w:rsid w:val="001B782B"/>
    <w:rsid w:val="001C12FA"/>
    <w:rsid w:val="001C69C4"/>
    <w:rsid w:val="001C70B4"/>
    <w:rsid w:val="001D11E9"/>
    <w:rsid w:val="001D37EF"/>
    <w:rsid w:val="001E3590"/>
    <w:rsid w:val="001E5FD6"/>
    <w:rsid w:val="001E7407"/>
    <w:rsid w:val="001E75CA"/>
    <w:rsid w:val="001E7F6E"/>
    <w:rsid w:val="001F0A55"/>
    <w:rsid w:val="001F5D5E"/>
    <w:rsid w:val="001F6219"/>
    <w:rsid w:val="001F7122"/>
    <w:rsid w:val="002065DA"/>
    <w:rsid w:val="00212DDD"/>
    <w:rsid w:val="00215B8E"/>
    <w:rsid w:val="00227A41"/>
    <w:rsid w:val="0023271C"/>
    <w:rsid w:val="0023486F"/>
    <w:rsid w:val="0024010F"/>
    <w:rsid w:val="00240749"/>
    <w:rsid w:val="00240CC7"/>
    <w:rsid w:val="00242868"/>
    <w:rsid w:val="00247B9C"/>
    <w:rsid w:val="00252E95"/>
    <w:rsid w:val="002564A4"/>
    <w:rsid w:val="00277EAE"/>
    <w:rsid w:val="00297ECB"/>
    <w:rsid w:val="002A7AED"/>
    <w:rsid w:val="002D043A"/>
    <w:rsid w:val="002D1446"/>
    <w:rsid w:val="002D4DF4"/>
    <w:rsid w:val="002D5759"/>
    <w:rsid w:val="002D6224"/>
    <w:rsid w:val="002F60D5"/>
    <w:rsid w:val="0030501D"/>
    <w:rsid w:val="003059B0"/>
    <w:rsid w:val="00311609"/>
    <w:rsid w:val="003213F0"/>
    <w:rsid w:val="00323939"/>
    <w:rsid w:val="00324BDF"/>
    <w:rsid w:val="0032591D"/>
    <w:rsid w:val="003304A9"/>
    <w:rsid w:val="00333521"/>
    <w:rsid w:val="00340F07"/>
    <w:rsid w:val="003415D3"/>
    <w:rsid w:val="003433E9"/>
    <w:rsid w:val="0034382B"/>
    <w:rsid w:val="003517F9"/>
    <w:rsid w:val="00352B0F"/>
    <w:rsid w:val="00355469"/>
    <w:rsid w:val="00356B3D"/>
    <w:rsid w:val="00360459"/>
    <w:rsid w:val="00360749"/>
    <w:rsid w:val="00364EFF"/>
    <w:rsid w:val="00374B0A"/>
    <w:rsid w:val="00390606"/>
    <w:rsid w:val="003A2E04"/>
    <w:rsid w:val="003A504B"/>
    <w:rsid w:val="003B3813"/>
    <w:rsid w:val="003C6F63"/>
    <w:rsid w:val="003D0BFE"/>
    <w:rsid w:val="003D5700"/>
    <w:rsid w:val="003F7D5F"/>
    <w:rsid w:val="00401E34"/>
    <w:rsid w:val="00410A84"/>
    <w:rsid w:val="004116CD"/>
    <w:rsid w:val="00417EB9"/>
    <w:rsid w:val="00424CA9"/>
    <w:rsid w:val="00431A1F"/>
    <w:rsid w:val="004325F6"/>
    <w:rsid w:val="0043779C"/>
    <w:rsid w:val="0044291A"/>
    <w:rsid w:val="00446812"/>
    <w:rsid w:val="004506EB"/>
    <w:rsid w:val="004511D0"/>
    <w:rsid w:val="00456092"/>
    <w:rsid w:val="004560D8"/>
    <w:rsid w:val="00456784"/>
    <w:rsid w:val="004568C2"/>
    <w:rsid w:val="00463EC0"/>
    <w:rsid w:val="00477D33"/>
    <w:rsid w:val="00477ED5"/>
    <w:rsid w:val="00477FB9"/>
    <w:rsid w:val="00481861"/>
    <w:rsid w:val="0048585C"/>
    <w:rsid w:val="0049364B"/>
    <w:rsid w:val="00496F97"/>
    <w:rsid w:val="004A4173"/>
    <w:rsid w:val="004B38C1"/>
    <w:rsid w:val="004C69D9"/>
    <w:rsid w:val="004C7130"/>
    <w:rsid w:val="004D12A7"/>
    <w:rsid w:val="004D59F7"/>
    <w:rsid w:val="004E01BF"/>
    <w:rsid w:val="004E0BB2"/>
    <w:rsid w:val="004E7BEC"/>
    <w:rsid w:val="004E7E31"/>
    <w:rsid w:val="00502192"/>
    <w:rsid w:val="005151EA"/>
    <w:rsid w:val="00516B8D"/>
    <w:rsid w:val="005312A1"/>
    <w:rsid w:val="00537DA7"/>
    <w:rsid w:val="00537FBC"/>
    <w:rsid w:val="00544776"/>
    <w:rsid w:val="00554498"/>
    <w:rsid w:val="00556112"/>
    <w:rsid w:val="00580739"/>
    <w:rsid w:val="00580B11"/>
    <w:rsid w:val="0058183F"/>
    <w:rsid w:val="00584811"/>
    <w:rsid w:val="00590300"/>
    <w:rsid w:val="00592BEA"/>
    <w:rsid w:val="00593AA6"/>
    <w:rsid w:val="00594161"/>
    <w:rsid w:val="00594749"/>
    <w:rsid w:val="005A0E72"/>
    <w:rsid w:val="005A6928"/>
    <w:rsid w:val="005B19EB"/>
    <w:rsid w:val="005B4067"/>
    <w:rsid w:val="005B5ED9"/>
    <w:rsid w:val="005C3F41"/>
    <w:rsid w:val="005C68A8"/>
    <w:rsid w:val="005D3471"/>
    <w:rsid w:val="005D4663"/>
    <w:rsid w:val="005D7042"/>
    <w:rsid w:val="005D74DB"/>
    <w:rsid w:val="005E04AA"/>
    <w:rsid w:val="005F0A35"/>
    <w:rsid w:val="00600219"/>
    <w:rsid w:val="00601309"/>
    <w:rsid w:val="00601F71"/>
    <w:rsid w:val="00602388"/>
    <w:rsid w:val="00605899"/>
    <w:rsid w:val="00637365"/>
    <w:rsid w:val="0066719C"/>
    <w:rsid w:val="00677CC2"/>
    <w:rsid w:val="00686DB5"/>
    <w:rsid w:val="006905DE"/>
    <w:rsid w:val="0069207B"/>
    <w:rsid w:val="0069210F"/>
    <w:rsid w:val="006A3DA2"/>
    <w:rsid w:val="006B6E88"/>
    <w:rsid w:val="006C2468"/>
    <w:rsid w:val="006C2748"/>
    <w:rsid w:val="006C41FA"/>
    <w:rsid w:val="006C7F8C"/>
    <w:rsid w:val="006E28D5"/>
    <w:rsid w:val="006F318F"/>
    <w:rsid w:val="006F6D10"/>
    <w:rsid w:val="00700B2C"/>
    <w:rsid w:val="00713084"/>
    <w:rsid w:val="00715914"/>
    <w:rsid w:val="00731E00"/>
    <w:rsid w:val="007322D5"/>
    <w:rsid w:val="0074061C"/>
    <w:rsid w:val="007440B7"/>
    <w:rsid w:val="00746C1A"/>
    <w:rsid w:val="0076749E"/>
    <w:rsid w:val="007715C9"/>
    <w:rsid w:val="00774EDD"/>
    <w:rsid w:val="007757EC"/>
    <w:rsid w:val="0077607B"/>
    <w:rsid w:val="0077648A"/>
    <w:rsid w:val="00780FEF"/>
    <w:rsid w:val="00791395"/>
    <w:rsid w:val="007924FC"/>
    <w:rsid w:val="007961F4"/>
    <w:rsid w:val="00796627"/>
    <w:rsid w:val="007970B3"/>
    <w:rsid w:val="007B6C93"/>
    <w:rsid w:val="007B75F4"/>
    <w:rsid w:val="007F1F79"/>
    <w:rsid w:val="007F3F79"/>
    <w:rsid w:val="008024E6"/>
    <w:rsid w:val="008105DD"/>
    <w:rsid w:val="00816DA3"/>
    <w:rsid w:val="00822C68"/>
    <w:rsid w:val="00830DBD"/>
    <w:rsid w:val="00836FE9"/>
    <w:rsid w:val="0084044D"/>
    <w:rsid w:val="008422C3"/>
    <w:rsid w:val="0084395C"/>
    <w:rsid w:val="008535F2"/>
    <w:rsid w:val="0085473A"/>
    <w:rsid w:val="00856A31"/>
    <w:rsid w:val="00860764"/>
    <w:rsid w:val="00872EF1"/>
    <w:rsid w:val="008754D0"/>
    <w:rsid w:val="008778AE"/>
    <w:rsid w:val="00881B8F"/>
    <w:rsid w:val="0089107B"/>
    <w:rsid w:val="0089148C"/>
    <w:rsid w:val="00892DD3"/>
    <w:rsid w:val="00892F7D"/>
    <w:rsid w:val="008A27FC"/>
    <w:rsid w:val="008D0EE0"/>
    <w:rsid w:val="008D165D"/>
    <w:rsid w:val="008D2DF7"/>
    <w:rsid w:val="008D7619"/>
    <w:rsid w:val="008E410B"/>
    <w:rsid w:val="008E7ABA"/>
    <w:rsid w:val="008F4532"/>
    <w:rsid w:val="008F54E7"/>
    <w:rsid w:val="00903422"/>
    <w:rsid w:val="00904A28"/>
    <w:rsid w:val="00913763"/>
    <w:rsid w:val="00913EEB"/>
    <w:rsid w:val="009213B7"/>
    <w:rsid w:val="00923156"/>
    <w:rsid w:val="009265BF"/>
    <w:rsid w:val="00932377"/>
    <w:rsid w:val="00940885"/>
    <w:rsid w:val="009436CC"/>
    <w:rsid w:val="00944D49"/>
    <w:rsid w:val="00945353"/>
    <w:rsid w:val="00947D5A"/>
    <w:rsid w:val="009532A5"/>
    <w:rsid w:val="00961E62"/>
    <w:rsid w:val="00967EA5"/>
    <w:rsid w:val="00970489"/>
    <w:rsid w:val="009851AC"/>
    <w:rsid w:val="009868E9"/>
    <w:rsid w:val="00990ED3"/>
    <w:rsid w:val="009C6470"/>
    <w:rsid w:val="009D006B"/>
    <w:rsid w:val="009D2569"/>
    <w:rsid w:val="009D7A4E"/>
    <w:rsid w:val="009E09DC"/>
    <w:rsid w:val="009F374D"/>
    <w:rsid w:val="00A02978"/>
    <w:rsid w:val="00A03DF4"/>
    <w:rsid w:val="00A076C9"/>
    <w:rsid w:val="00A15C98"/>
    <w:rsid w:val="00A20E53"/>
    <w:rsid w:val="00A22C98"/>
    <w:rsid w:val="00A231E2"/>
    <w:rsid w:val="00A277A0"/>
    <w:rsid w:val="00A27A8F"/>
    <w:rsid w:val="00A46663"/>
    <w:rsid w:val="00A51FF3"/>
    <w:rsid w:val="00A55B4E"/>
    <w:rsid w:val="00A60EA1"/>
    <w:rsid w:val="00A644EB"/>
    <w:rsid w:val="00A64912"/>
    <w:rsid w:val="00A70A74"/>
    <w:rsid w:val="00A7214D"/>
    <w:rsid w:val="00A81C46"/>
    <w:rsid w:val="00A85DBD"/>
    <w:rsid w:val="00A86492"/>
    <w:rsid w:val="00A930F1"/>
    <w:rsid w:val="00AA2A40"/>
    <w:rsid w:val="00AA4F01"/>
    <w:rsid w:val="00AB650A"/>
    <w:rsid w:val="00AC4BB2"/>
    <w:rsid w:val="00AC719E"/>
    <w:rsid w:val="00AC78EE"/>
    <w:rsid w:val="00AD31F0"/>
    <w:rsid w:val="00AD5641"/>
    <w:rsid w:val="00AD5DA7"/>
    <w:rsid w:val="00AE5CA2"/>
    <w:rsid w:val="00AE65C3"/>
    <w:rsid w:val="00AF06CF"/>
    <w:rsid w:val="00AF0C57"/>
    <w:rsid w:val="00AF48F5"/>
    <w:rsid w:val="00B12389"/>
    <w:rsid w:val="00B1439C"/>
    <w:rsid w:val="00B20224"/>
    <w:rsid w:val="00B2113A"/>
    <w:rsid w:val="00B2705D"/>
    <w:rsid w:val="00B33B3C"/>
    <w:rsid w:val="00B47E3E"/>
    <w:rsid w:val="00B50B18"/>
    <w:rsid w:val="00B520EB"/>
    <w:rsid w:val="00B525D2"/>
    <w:rsid w:val="00B62BA9"/>
    <w:rsid w:val="00B63834"/>
    <w:rsid w:val="00B646E3"/>
    <w:rsid w:val="00B76B55"/>
    <w:rsid w:val="00B7748C"/>
    <w:rsid w:val="00B80199"/>
    <w:rsid w:val="00B86188"/>
    <w:rsid w:val="00B918C7"/>
    <w:rsid w:val="00B93371"/>
    <w:rsid w:val="00B93F3D"/>
    <w:rsid w:val="00B9706F"/>
    <w:rsid w:val="00BA220B"/>
    <w:rsid w:val="00BA502C"/>
    <w:rsid w:val="00BB4525"/>
    <w:rsid w:val="00BD02DE"/>
    <w:rsid w:val="00BD3C49"/>
    <w:rsid w:val="00BE719A"/>
    <w:rsid w:val="00BE720A"/>
    <w:rsid w:val="00BF6BCB"/>
    <w:rsid w:val="00BF7940"/>
    <w:rsid w:val="00C122FF"/>
    <w:rsid w:val="00C16204"/>
    <w:rsid w:val="00C24079"/>
    <w:rsid w:val="00C25299"/>
    <w:rsid w:val="00C42BF8"/>
    <w:rsid w:val="00C50043"/>
    <w:rsid w:val="00C5509A"/>
    <w:rsid w:val="00C60581"/>
    <w:rsid w:val="00C74FD3"/>
    <w:rsid w:val="00C7573B"/>
    <w:rsid w:val="00C8711F"/>
    <w:rsid w:val="00C87827"/>
    <w:rsid w:val="00C94F1A"/>
    <w:rsid w:val="00CA0E60"/>
    <w:rsid w:val="00CA34EB"/>
    <w:rsid w:val="00CB1242"/>
    <w:rsid w:val="00CB36FF"/>
    <w:rsid w:val="00CB7283"/>
    <w:rsid w:val="00CC6671"/>
    <w:rsid w:val="00CC7ACD"/>
    <w:rsid w:val="00CD472A"/>
    <w:rsid w:val="00CD4BFD"/>
    <w:rsid w:val="00CD5759"/>
    <w:rsid w:val="00CD6308"/>
    <w:rsid w:val="00CF0BB2"/>
    <w:rsid w:val="00CF3EE8"/>
    <w:rsid w:val="00D05EE3"/>
    <w:rsid w:val="00D13141"/>
    <w:rsid w:val="00D13441"/>
    <w:rsid w:val="00D15925"/>
    <w:rsid w:val="00D256F3"/>
    <w:rsid w:val="00D37742"/>
    <w:rsid w:val="00D473B5"/>
    <w:rsid w:val="00D57858"/>
    <w:rsid w:val="00D70DFB"/>
    <w:rsid w:val="00D7157F"/>
    <w:rsid w:val="00D72B94"/>
    <w:rsid w:val="00D74249"/>
    <w:rsid w:val="00D766DF"/>
    <w:rsid w:val="00D8280A"/>
    <w:rsid w:val="00D84196"/>
    <w:rsid w:val="00D86CF7"/>
    <w:rsid w:val="00DA6185"/>
    <w:rsid w:val="00DC3B94"/>
    <w:rsid w:val="00DC4F88"/>
    <w:rsid w:val="00DC7CFB"/>
    <w:rsid w:val="00DD39C3"/>
    <w:rsid w:val="00DD51EA"/>
    <w:rsid w:val="00DE573B"/>
    <w:rsid w:val="00DF2145"/>
    <w:rsid w:val="00E05704"/>
    <w:rsid w:val="00E118B9"/>
    <w:rsid w:val="00E159D1"/>
    <w:rsid w:val="00E16F63"/>
    <w:rsid w:val="00E17108"/>
    <w:rsid w:val="00E23981"/>
    <w:rsid w:val="00E257AC"/>
    <w:rsid w:val="00E30FCA"/>
    <w:rsid w:val="00E322F1"/>
    <w:rsid w:val="00E335DC"/>
    <w:rsid w:val="00E338EF"/>
    <w:rsid w:val="00E404E0"/>
    <w:rsid w:val="00E63A73"/>
    <w:rsid w:val="00E675A8"/>
    <w:rsid w:val="00E74DC7"/>
    <w:rsid w:val="00E7579B"/>
    <w:rsid w:val="00E75AEA"/>
    <w:rsid w:val="00E81940"/>
    <w:rsid w:val="00E8687B"/>
    <w:rsid w:val="00E86EC5"/>
    <w:rsid w:val="00E87BDF"/>
    <w:rsid w:val="00E90D6B"/>
    <w:rsid w:val="00E91129"/>
    <w:rsid w:val="00E94D5E"/>
    <w:rsid w:val="00E958A7"/>
    <w:rsid w:val="00EA6071"/>
    <w:rsid w:val="00EA6873"/>
    <w:rsid w:val="00EA7100"/>
    <w:rsid w:val="00EB1780"/>
    <w:rsid w:val="00EB205D"/>
    <w:rsid w:val="00EB7AC1"/>
    <w:rsid w:val="00EC18E0"/>
    <w:rsid w:val="00EC3721"/>
    <w:rsid w:val="00EC4ECE"/>
    <w:rsid w:val="00ED29FF"/>
    <w:rsid w:val="00ED3FF8"/>
    <w:rsid w:val="00EE35D8"/>
    <w:rsid w:val="00EE6176"/>
    <w:rsid w:val="00EF2E3A"/>
    <w:rsid w:val="00EF4435"/>
    <w:rsid w:val="00F01D0D"/>
    <w:rsid w:val="00F0228A"/>
    <w:rsid w:val="00F05A82"/>
    <w:rsid w:val="00F072A7"/>
    <w:rsid w:val="00F078DC"/>
    <w:rsid w:val="00F12083"/>
    <w:rsid w:val="00F22EFE"/>
    <w:rsid w:val="00F3299C"/>
    <w:rsid w:val="00F34923"/>
    <w:rsid w:val="00F404C7"/>
    <w:rsid w:val="00F40B4F"/>
    <w:rsid w:val="00F52330"/>
    <w:rsid w:val="00F644CB"/>
    <w:rsid w:val="00F71650"/>
    <w:rsid w:val="00F73BD6"/>
    <w:rsid w:val="00F83989"/>
    <w:rsid w:val="00F86B96"/>
    <w:rsid w:val="00F91403"/>
    <w:rsid w:val="00F95A47"/>
    <w:rsid w:val="00FA5E85"/>
    <w:rsid w:val="00FA6F6C"/>
    <w:rsid w:val="00FB40BA"/>
    <w:rsid w:val="00FC2EB8"/>
    <w:rsid w:val="00FC6E0E"/>
    <w:rsid w:val="00FC75DE"/>
    <w:rsid w:val="00FD0915"/>
    <w:rsid w:val="00FD53C3"/>
    <w:rsid w:val="00FE37E6"/>
    <w:rsid w:val="00FE6714"/>
    <w:rsid w:val="00FF00F1"/>
    <w:rsid w:val="00FF1395"/>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4:docId w14:val="512C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C68A8"/>
    <w:pPr>
      <w:spacing w:line="260" w:lineRule="atLeast"/>
    </w:pPr>
    <w:rPr>
      <w:sz w:val="22"/>
    </w:rPr>
  </w:style>
  <w:style w:type="paragraph" w:styleId="Heading1">
    <w:name w:val="heading 1"/>
    <w:basedOn w:val="Normal"/>
    <w:next w:val="Normal"/>
    <w:link w:val="Heading1Char"/>
    <w:uiPriority w:val="9"/>
    <w:qFormat/>
    <w:rsid w:val="004C69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C69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C69D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C69D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C69D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C69D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C69D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C69D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6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C68A8"/>
  </w:style>
  <w:style w:type="paragraph" w:customStyle="1" w:styleId="OPCParaBase">
    <w:name w:val="OPCParaBase"/>
    <w:qFormat/>
    <w:rsid w:val="005C68A8"/>
    <w:pPr>
      <w:spacing w:line="260" w:lineRule="atLeast"/>
    </w:pPr>
    <w:rPr>
      <w:rFonts w:eastAsia="Times New Roman" w:cs="Times New Roman"/>
      <w:sz w:val="22"/>
      <w:lang w:eastAsia="en-AU"/>
    </w:rPr>
  </w:style>
  <w:style w:type="paragraph" w:customStyle="1" w:styleId="ShortT">
    <w:name w:val="ShortT"/>
    <w:basedOn w:val="OPCParaBase"/>
    <w:next w:val="Normal"/>
    <w:qFormat/>
    <w:rsid w:val="005C68A8"/>
    <w:pPr>
      <w:spacing w:line="240" w:lineRule="auto"/>
    </w:pPr>
    <w:rPr>
      <w:b/>
      <w:sz w:val="40"/>
    </w:rPr>
  </w:style>
  <w:style w:type="paragraph" w:customStyle="1" w:styleId="ActHead1">
    <w:name w:val="ActHead 1"/>
    <w:aliases w:val="c"/>
    <w:basedOn w:val="OPCParaBase"/>
    <w:next w:val="Normal"/>
    <w:qFormat/>
    <w:rsid w:val="005C68A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C68A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C68A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C68A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C68A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C68A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C68A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C68A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C68A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C68A8"/>
  </w:style>
  <w:style w:type="paragraph" w:customStyle="1" w:styleId="Blocks">
    <w:name w:val="Blocks"/>
    <w:aliases w:val="bb"/>
    <w:basedOn w:val="OPCParaBase"/>
    <w:qFormat/>
    <w:rsid w:val="005C68A8"/>
    <w:pPr>
      <w:spacing w:line="240" w:lineRule="auto"/>
    </w:pPr>
    <w:rPr>
      <w:sz w:val="24"/>
    </w:rPr>
  </w:style>
  <w:style w:type="paragraph" w:customStyle="1" w:styleId="BoxText">
    <w:name w:val="BoxText"/>
    <w:aliases w:val="bt"/>
    <w:basedOn w:val="OPCParaBase"/>
    <w:qFormat/>
    <w:rsid w:val="005C68A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C68A8"/>
    <w:rPr>
      <w:b/>
    </w:rPr>
  </w:style>
  <w:style w:type="paragraph" w:customStyle="1" w:styleId="BoxHeadItalic">
    <w:name w:val="BoxHeadItalic"/>
    <w:aliases w:val="bhi"/>
    <w:basedOn w:val="BoxText"/>
    <w:next w:val="BoxStep"/>
    <w:qFormat/>
    <w:rsid w:val="005C68A8"/>
    <w:rPr>
      <w:i/>
    </w:rPr>
  </w:style>
  <w:style w:type="paragraph" w:customStyle="1" w:styleId="BoxList">
    <w:name w:val="BoxList"/>
    <w:aliases w:val="bl"/>
    <w:basedOn w:val="BoxText"/>
    <w:qFormat/>
    <w:rsid w:val="005C68A8"/>
    <w:pPr>
      <w:ind w:left="1559" w:hanging="425"/>
    </w:pPr>
  </w:style>
  <w:style w:type="paragraph" w:customStyle="1" w:styleId="BoxNote">
    <w:name w:val="BoxNote"/>
    <w:aliases w:val="bn"/>
    <w:basedOn w:val="BoxText"/>
    <w:qFormat/>
    <w:rsid w:val="005C68A8"/>
    <w:pPr>
      <w:tabs>
        <w:tab w:val="left" w:pos="1985"/>
      </w:tabs>
      <w:spacing w:before="122" w:line="198" w:lineRule="exact"/>
      <w:ind w:left="2948" w:hanging="1814"/>
    </w:pPr>
    <w:rPr>
      <w:sz w:val="18"/>
    </w:rPr>
  </w:style>
  <w:style w:type="paragraph" w:customStyle="1" w:styleId="BoxPara">
    <w:name w:val="BoxPara"/>
    <w:aliases w:val="bp"/>
    <w:basedOn w:val="BoxText"/>
    <w:qFormat/>
    <w:rsid w:val="005C68A8"/>
    <w:pPr>
      <w:tabs>
        <w:tab w:val="right" w:pos="2268"/>
      </w:tabs>
      <w:ind w:left="2552" w:hanging="1418"/>
    </w:pPr>
  </w:style>
  <w:style w:type="paragraph" w:customStyle="1" w:styleId="BoxStep">
    <w:name w:val="BoxStep"/>
    <w:aliases w:val="bs"/>
    <w:basedOn w:val="BoxText"/>
    <w:qFormat/>
    <w:rsid w:val="005C68A8"/>
    <w:pPr>
      <w:ind w:left="1985" w:hanging="851"/>
    </w:pPr>
  </w:style>
  <w:style w:type="character" w:customStyle="1" w:styleId="CharAmPartNo">
    <w:name w:val="CharAmPartNo"/>
    <w:basedOn w:val="OPCCharBase"/>
    <w:qFormat/>
    <w:rsid w:val="005C68A8"/>
  </w:style>
  <w:style w:type="character" w:customStyle="1" w:styleId="CharAmPartText">
    <w:name w:val="CharAmPartText"/>
    <w:basedOn w:val="OPCCharBase"/>
    <w:qFormat/>
    <w:rsid w:val="005C68A8"/>
  </w:style>
  <w:style w:type="character" w:customStyle="1" w:styleId="CharAmSchNo">
    <w:name w:val="CharAmSchNo"/>
    <w:basedOn w:val="OPCCharBase"/>
    <w:qFormat/>
    <w:rsid w:val="005C68A8"/>
  </w:style>
  <w:style w:type="character" w:customStyle="1" w:styleId="CharAmSchText">
    <w:name w:val="CharAmSchText"/>
    <w:basedOn w:val="OPCCharBase"/>
    <w:qFormat/>
    <w:rsid w:val="005C68A8"/>
  </w:style>
  <w:style w:type="character" w:customStyle="1" w:styleId="CharBoldItalic">
    <w:name w:val="CharBoldItalic"/>
    <w:basedOn w:val="OPCCharBase"/>
    <w:uiPriority w:val="1"/>
    <w:qFormat/>
    <w:rsid w:val="005C68A8"/>
    <w:rPr>
      <w:b/>
      <w:i/>
    </w:rPr>
  </w:style>
  <w:style w:type="character" w:customStyle="1" w:styleId="CharChapNo">
    <w:name w:val="CharChapNo"/>
    <w:basedOn w:val="OPCCharBase"/>
    <w:uiPriority w:val="1"/>
    <w:qFormat/>
    <w:rsid w:val="005C68A8"/>
  </w:style>
  <w:style w:type="character" w:customStyle="1" w:styleId="CharChapText">
    <w:name w:val="CharChapText"/>
    <w:basedOn w:val="OPCCharBase"/>
    <w:uiPriority w:val="1"/>
    <w:qFormat/>
    <w:rsid w:val="005C68A8"/>
  </w:style>
  <w:style w:type="character" w:customStyle="1" w:styleId="CharDivNo">
    <w:name w:val="CharDivNo"/>
    <w:basedOn w:val="OPCCharBase"/>
    <w:uiPriority w:val="1"/>
    <w:qFormat/>
    <w:rsid w:val="005C68A8"/>
  </w:style>
  <w:style w:type="character" w:customStyle="1" w:styleId="CharDivText">
    <w:name w:val="CharDivText"/>
    <w:basedOn w:val="OPCCharBase"/>
    <w:uiPriority w:val="1"/>
    <w:qFormat/>
    <w:rsid w:val="005C68A8"/>
  </w:style>
  <w:style w:type="character" w:customStyle="1" w:styleId="CharItalic">
    <w:name w:val="CharItalic"/>
    <w:basedOn w:val="OPCCharBase"/>
    <w:uiPriority w:val="1"/>
    <w:qFormat/>
    <w:rsid w:val="005C68A8"/>
    <w:rPr>
      <w:i/>
    </w:rPr>
  </w:style>
  <w:style w:type="character" w:customStyle="1" w:styleId="CharPartNo">
    <w:name w:val="CharPartNo"/>
    <w:basedOn w:val="OPCCharBase"/>
    <w:uiPriority w:val="1"/>
    <w:qFormat/>
    <w:rsid w:val="005C68A8"/>
  </w:style>
  <w:style w:type="character" w:customStyle="1" w:styleId="CharPartText">
    <w:name w:val="CharPartText"/>
    <w:basedOn w:val="OPCCharBase"/>
    <w:uiPriority w:val="1"/>
    <w:qFormat/>
    <w:rsid w:val="005C68A8"/>
  </w:style>
  <w:style w:type="character" w:customStyle="1" w:styleId="CharSectno">
    <w:name w:val="CharSectno"/>
    <w:basedOn w:val="OPCCharBase"/>
    <w:qFormat/>
    <w:rsid w:val="005C68A8"/>
  </w:style>
  <w:style w:type="character" w:customStyle="1" w:styleId="CharSubdNo">
    <w:name w:val="CharSubdNo"/>
    <w:basedOn w:val="OPCCharBase"/>
    <w:uiPriority w:val="1"/>
    <w:qFormat/>
    <w:rsid w:val="005C68A8"/>
  </w:style>
  <w:style w:type="character" w:customStyle="1" w:styleId="CharSubdText">
    <w:name w:val="CharSubdText"/>
    <w:basedOn w:val="OPCCharBase"/>
    <w:uiPriority w:val="1"/>
    <w:qFormat/>
    <w:rsid w:val="005C68A8"/>
  </w:style>
  <w:style w:type="paragraph" w:customStyle="1" w:styleId="CTA--">
    <w:name w:val="CTA --"/>
    <w:basedOn w:val="OPCParaBase"/>
    <w:next w:val="Normal"/>
    <w:rsid w:val="005C68A8"/>
    <w:pPr>
      <w:spacing w:before="60" w:line="240" w:lineRule="atLeast"/>
      <w:ind w:left="142" w:hanging="142"/>
    </w:pPr>
    <w:rPr>
      <w:sz w:val="20"/>
    </w:rPr>
  </w:style>
  <w:style w:type="paragraph" w:customStyle="1" w:styleId="CTA-">
    <w:name w:val="CTA -"/>
    <w:basedOn w:val="OPCParaBase"/>
    <w:rsid w:val="005C68A8"/>
    <w:pPr>
      <w:spacing w:before="60" w:line="240" w:lineRule="atLeast"/>
      <w:ind w:left="85" w:hanging="85"/>
    </w:pPr>
    <w:rPr>
      <w:sz w:val="20"/>
    </w:rPr>
  </w:style>
  <w:style w:type="paragraph" w:customStyle="1" w:styleId="CTA---">
    <w:name w:val="CTA ---"/>
    <w:basedOn w:val="OPCParaBase"/>
    <w:next w:val="Normal"/>
    <w:rsid w:val="005C68A8"/>
    <w:pPr>
      <w:spacing w:before="60" w:line="240" w:lineRule="atLeast"/>
      <w:ind w:left="198" w:hanging="198"/>
    </w:pPr>
    <w:rPr>
      <w:sz w:val="20"/>
    </w:rPr>
  </w:style>
  <w:style w:type="paragraph" w:customStyle="1" w:styleId="CTA----">
    <w:name w:val="CTA ----"/>
    <w:basedOn w:val="OPCParaBase"/>
    <w:next w:val="Normal"/>
    <w:rsid w:val="005C68A8"/>
    <w:pPr>
      <w:spacing w:before="60" w:line="240" w:lineRule="atLeast"/>
      <w:ind w:left="255" w:hanging="255"/>
    </w:pPr>
    <w:rPr>
      <w:sz w:val="20"/>
    </w:rPr>
  </w:style>
  <w:style w:type="paragraph" w:customStyle="1" w:styleId="CTA1a">
    <w:name w:val="CTA 1(a)"/>
    <w:basedOn w:val="OPCParaBase"/>
    <w:rsid w:val="005C68A8"/>
    <w:pPr>
      <w:tabs>
        <w:tab w:val="right" w:pos="414"/>
      </w:tabs>
      <w:spacing w:before="40" w:line="240" w:lineRule="atLeast"/>
      <w:ind w:left="675" w:hanging="675"/>
    </w:pPr>
    <w:rPr>
      <w:sz w:val="20"/>
    </w:rPr>
  </w:style>
  <w:style w:type="paragraph" w:customStyle="1" w:styleId="CTA1ai">
    <w:name w:val="CTA 1(a)(i)"/>
    <w:basedOn w:val="OPCParaBase"/>
    <w:rsid w:val="005C68A8"/>
    <w:pPr>
      <w:tabs>
        <w:tab w:val="right" w:pos="1004"/>
      </w:tabs>
      <w:spacing w:before="40" w:line="240" w:lineRule="atLeast"/>
      <w:ind w:left="1253" w:hanging="1253"/>
    </w:pPr>
    <w:rPr>
      <w:sz w:val="20"/>
    </w:rPr>
  </w:style>
  <w:style w:type="paragraph" w:customStyle="1" w:styleId="CTA2a">
    <w:name w:val="CTA 2(a)"/>
    <w:basedOn w:val="OPCParaBase"/>
    <w:rsid w:val="005C68A8"/>
    <w:pPr>
      <w:tabs>
        <w:tab w:val="right" w:pos="482"/>
      </w:tabs>
      <w:spacing w:before="40" w:line="240" w:lineRule="atLeast"/>
      <w:ind w:left="748" w:hanging="748"/>
    </w:pPr>
    <w:rPr>
      <w:sz w:val="20"/>
    </w:rPr>
  </w:style>
  <w:style w:type="paragraph" w:customStyle="1" w:styleId="CTA2ai">
    <w:name w:val="CTA 2(a)(i)"/>
    <w:basedOn w:val="OPCParaBase"/>
    <w:rsid w:val="005C68A8"/>
    <w:pPr>
      <w:tabs>
        <w:tab w:val="right" w:pos="1089"/>
      </w:tabs>
      <w:spacing w:before="40" w:line="240" w:lineRule="atLeast"/>
      <w:ind w:left="1327" w:hanging="1327"/>
    </w:pPr>
    <w:rPr>
      <w:sz w:val="20"/>
    </w:rPr>
  </w:style>
  <w:style w:type="paragraph" w:customStyle="1" w:styleId="CTA3a">
    <w:name w:val="CTA 3(a)"/>
    <w:basedOn w:val="OPCParaBase"/>
    <w:rsid w:val="005C68A8"/>
    <w:pPr>
      <w:tabs>
        <w:tab w:val="right" w:pos="556"/>
      </w:tabs>
      <w:spacing w:before="40" w:line="240" w:lineRule="atLeast"/>
      <w:ind w:left="805" w:hanging="805"/>
    </w:pPr>
    <w:rPr>
      <w:sz w:val="20"/>
    </w:rPr>
  </w:style>
  <w:style w:type="paragraph" w:customStyle="1" w:styleId="CTA3ai">
    <w:name w:val="CTA 3(a)(i)"/>
    <w:basedOn w:val="OPCParaBase"/>
    <w:rsid w:val="005C68A8"/>
    <w:pPr>
      <w:tabs>
        <w:tab w:val="right" w:pos="1140"/>
      </w:tabs>
      <w:spacing w:before="40" w:line="240" w:lineRule="atLeast"/>
      <w:ind w:left="1361" w:hanging="1361"/>
    </w:pPr>
    <w:rPr>
      <w:sz w:val="20"/>
    </w:rPr>
  </w:style>
  <w:style w:type="paragraph" w:customStyle="1" w:styleId="CTA4a">
    <w:name w:val="CTA 4(a)"/>
    <w:basedOn w:val="OPCParaBase"/>
    <w:rsid w:val="005C68A8"/>
    <w:pPr>
      <w:tabs>
        <w:tab w:val="right" w:pos="624"/>
      </w:tabs>
      <w:spacing w:before="40" w:line="240" w:lineRule="atLeast"/>
      <w:ind w:left="873" w:hanging="873"/>
    </w:pPr>
    <w:rPr>
      <w:sz w:val="20"/>
    </w:rPr>
  </w:style>
  <w:style w:type="paragraph" w:customStyle="1" w:styleId="CTA4ai">
    <w:name w:val="CTA 4(a)(i)"/>
    <w:basedOn w:val="OPCParaBase"/>
    <w:rsid w:val="005C68A8"/>
    <w:pPr>
      <w:tabs>
        <w:tab w:val="right" w:pos="1213"/>
      </w:tabs>
      <w:spacing w:before="40" w:line="240" w:lineRule="atLeast"/>
      <w:ind w:left="1452" w:hanging="1452"/>
    </w:pPr>
    <w:rPr>
      <w:sz w:val="20"/>
    </w:rPr>
  </w:style>
  <w:style w:type="paragraph" w:customStyle="1" w:styleId="CTACAPS">
    <w:name w:val="CTA CAPS"/>
    <w:basedOn w:val="OPCParaBase"/>
    <w:rsid w:val="005C68A8"/>
    <w:pPr>
      <w:spacing w:before="60" w:line="240" w:lineRule="atLeast"/>
    </w:pPr>
    <w:rPr>
      <w:sz w:val="20"/>
    </w:rPr>
  </w:style>
  <w:style w:type="paragraph" w:customStyle="1" w:styleId="CTAright">
    <w:name w:val="CTA right"/>
    <w:basedOn w:val="OPCParaBase"/>
    <w:rsid w:val="005C68A8"/>
    <w:pPr>
      <w:spacing w:before="60" w:line="240" w:lineRule="auto"/>
      <w:jc w:val="right"/>
    </w:pPr>
    <w:rPr>
      <w:sz w:val="20"/>
    </w:rPr>
  </w:style>
  <w:style w:type="paragraph" w:customStyle="1" w:styleId="subsection">
    <w:name w:val="subsection"/>
    <w:aliases w:val="ss"/>
    <w:basedOn w:val="OPCParaBase"/>
    <w:link w:val="subsectionChar"/>
    <w:rsid w:val="005C68A8"/>
    <w:pPr>
      <w:tabs>
        <w:tab w:val="right" w:pos="1021"/>
      </w:tabs>
      <w:spacing w:before="180" w:line="240" w:lineRule="auto"/>
      <w:ind w:left="1134" w:hanging="1134"/>
    </w:pPr>
  </w:style>
  <w:style w:type="paragraph" w:customStyle="1" w:styleId="Definition">
    <w:name w:val="Definition"/>
    <w:aliases w:val="dd"/>
    <w:basedOn w:val="OPCParaBase"/>
    <w:rsid w:val="005C68A8"/>
    <w:pPr>
      <w:spacing w:before="180" w:line="240" w:lineRule="auto"/>
      <w:ind w:left="1134"/>
    </w:pPr>
  </w:style>
  <w:style w:type="paragraph" w:customStyle="1" w:styleId="Formula">
    <w:name w:val="Formula"/>
    <w:basedOn w:val="OPCParaBase"/>
    <w:rsid w:val="005C68A8"/>
    <w:pPr>
      <w:spacing w:line="240" w:lineRule="auto"/>
      <w:ind w:left="1134"/>
    </w:pPr>
    <w:rPr>
      <w:sz w:val="20"/>
    </w:rPr>
  </w:style>
  <w:style w:type="paragraph" w:styleId="Header">
    <w:name w:val="header"/>
    <w:basedOn w:val="OPCParaBase"/>
    <w:link w:val="HeaderChar"/>
    <w:unhideWhenUsed/>
    <w:rsid w:val="005C68A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C68A8"/>
    <w:rPr>
      <w:rFonts w:eastAsia="Times New Roman" w:cs="Times New Roman"/>
      <w:sz w:val="16"/>
      <w:lang w:eastAsia="en-AU"/>
    </w:rPr>
  </w:style>
  <w:style w:type="paragraph" w:customStyle="1" w:styleId="House">
    <w:name w:val="House"/>
    <w:basedOn w:val="OPCParaBase"/>
    <w:rsid w:val="005C68A8"/>
    <w:pPr>
      <w:spacing w:line="240" w:lineRule="auto"/>
    </w:pPr>
    <w:rPr>
      <w:sz w:val="28"/>
    </w:rPr>
  </w:style>
  <w:style w:type="paragraph" w:customStyle="1" w:styleId="Item">
    <w:name w:val="Item"/>
    <w:aliases w:val="i"/>
    <w:basedOn w:val="OPCParaBase"/>
    <w:next w:val="ItemHead"/>
    <w:link w:val="ItemChar"/>
    <w:rsid w:val="005C68A8"/>
    <w:pPr>
      <w:keepLines/>
      <w:spacing w:before="80" w:line="240" w:lineRule="auto"/>
      <w:ind w:left="709"/>
    </w:pPr>
  </w:style>
  <w:style w:type="paragraph" w:customStyle="1" w:styleId="ItemHead">
    <w:name w:val="ItemHead"/>
    <w:aliases w:val="ih"/>
    <w:basedOn w:val="OPCParaBase"/>
    <w:next w:val="Item"/>
    <w:link w:val="ItemHeadChar"/>
    <w:rsid w:val="005C68A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C68A8"/>
    <w:pPr>
      <w:spacing w:line="240" w:lineRule="auto"/>
    </w:pPr>
    <w:rPr>
      <w:b/>
      <w:sz w:val="32"/>
    </w:rPr>
  </w:style>
  <w:style w:type="paragraph" w:customStyle="1" w:styleId="notedraft">
    <w:name w:val="note(draft)"/>
    <w:aliases w:val="nd"/>
    <w:basedOn w:val="OPCParaBase"/>
    <w:rsid w:val="005C68A8"/>
    <w:pPr>
      <w:spacing w:before="240" w:line="240" w:lineRule="auto"/>
      <w:ind w:left="284" w:hanging="284"/>
    </w:pPr>
    <w:rPr>
      <w:i/>
      <w:sz w:val="24"/>
    </w:rPr>
  </w:style>
  <w:style w:type="paragraph" w:customStyle="1" w:styleId="notemargin">
    <w:name w:val="note(margin)"/>
    <w:aliases w:val="nm"/>
    <w:basedOn w:val="OPCParaBase"/>
    <w:rsid w:val="005C68A8"/>
    <w:pPr>
      <w:tabs>
        <w:tab w:val="left" w:pos="709"/>
      </w:tabs>
      <w:spacing w:before="122" w:line="198" w:lineRule="exact"/>
      <w:ind w:left="709" w:hanging="709"/>
    </w:pPr>
    <w:rPr>
      <w:sz w:val="18"/>
    </w:rPr>
  </w:style>
  <w:style w:type="paragraph" w:customStyle="1" w:styleId="noteToPara">
    <w:name w:val="noteToPara"/>
    <w:aliases w:val="ntp"/>
    <w:basedOn w:val="OPCParaBase"/>
    <w:rsid w:val="005C68A8"/>
    <w:pPr>
      <w:spacing w:before="122" w:line="198" w:lineRule="exact"/>
      <w:ind w:left="2353" w:hanging="709"/>
    </w:pPr>
    <w:rPr>
      <w:sz w:val="18"/>
    </w:rPr>
  </w:style>
  <w:style w:type="paragraph" w:customStyle="1" w:styleId="noteParlAmend">
    <w:name w:val="note(ParlAmend)"/>
    <w:aliases w:val="npp"/>
    <w:basedOn w:val="OPCParaBase"/>
    <w:next w:val="ParlAmend"/>
    <w:rsid w:val="005C68A8"/>
    <w:pPr>
      <w:spacing w:line="240" w:lineRule="auto"/>
      <w:jc w:val="right"/>
    </w:pPr>
    <w:rPr>
      <w:rFonts w:ascii="Arial" w:hAnsi="Arial"/>
      <w:b/>
      <w:i/>
    </w:rPr>
  </w:style>
  <w:style w:type="paragraph" w:customStyle="1" w:styleId="Page1">
    <w:name w:val="Page1"/>
    <w:basedOn w:val="OPCParaBase"/>
    <w:rsid w:val="005C68A8"/>
    <w:pPr>
      <w:spacing w:before="5600" w:line="240" w:lineRule="auto"/>
    </w:pPr>
    <w:rPr>
      <w:b/>
      <w:sz w:val="32"/>
    </w:rPr>
  </w:style>
  <w:style w:type="paragraph" w:customStyle="1" w:styleId="PageBreak">
    <w:name w:val="PageBreak"/>
    <w:aliases w:val="pb"/>
    <w:basedOn w:val="OPCParaBase"/>
    <w:rsid w:val="005C68A8"/>
    <w:pPr>
      <w:spacing w:line="240" w:lineRule="auto"/>
    </w:pPr>
    <w:rPr>
      <w:sz w:val="20"/>
    </w:rPr>
  </w:style>
  <w:style w:type="paragraph" w:customStyle="1" w:styleId="paragraphsub">
    <w:name w:val="paragraph(sub)"/>
    <w:aliases w:val="aa"/>
    <w:basedOn w:val="OPCParaBase"/>
    <w:rsid w:val="005C68A8"/>
    <w:pPr>
      <w:tabs>
        <w:tab w:val="right" w:pos="1985"/>
      </w:tabs>
      <w:spacing w:before="40" w:line="240" w:lineRule="auto"/>
      <w:ind w:left="2098" w:hanging="2098"/>
    </w:pPr>
  </w:style>
  <w:style w:type="paragraph" w:customStyle="1" w:styleId="paragraphsub-sub">
    <w:name w:val="paragraph(sub-sub)"/>
    <w:aliases w:val="aaa"/>
    <w:basedOn w:val="OPCParaBase"/>
    <w:rsid w:val="005C68A8"/>
    <w:pPr>
      <w:tabs>
        <w:tab w:val="right" w:pos="2722"/>
      </w:tabs>
      <w:spacing w:before="40" w:line="240" w:lineRule="auto"/>
      <w:ind w:left="2835" w:hanging="2835"/>
    </w:pPr>
  </w:style>
  <w:style w:type="paragraph" w:customStyle="1" w:styleId="paragraph">
    <w:name w:val="paragraph"/>
    <w:aliases w:val="a"/>
    <w:basedOn w:val="OPCParaBase"/>
    <w:link w:val="paragraphChar"/>
    <w:rsid w:val="005C68A8"/>
    <w:pPr>
      <w:tabs>
        <w:tab w:val="right" w:pos="1531"/>
      </w:tabs>
      <w:spacing w:before="40" w:line="240" w:lineRule="auto"/>
      <w:ind w:left="1644" w:hanging="1644"/>
    </w:pPr>
  </w:style>
  <w:style w:type="paragraph" w:customStyle="1" w:styleId="ParlAmend">
    <w:name w:val="ParlAmend"/>
    <w:aliases w:val="pp"/>
    <w:basedOn w:val="OPCParaBase"/>
    <w:rsid w:val="005C68A8"/>
    <w:pPr>
      <w:spacing w:before="240" w:line="240" w:lineRule="atLeast"/>
      <w:ind w:hanging="567"/>
    </w:pPr>
    <w:rPr>
      <w:sz w:val="24"/>
    </w:rPr>
  </w:style>
  <w:style w:type="paragraph" w:customStyle="1" w:styleId="Penalty">
    <w:name w:val="Penalty"/>
    <w:basedOn w:val="OPCParaBase"/>
    <w:rsid w:val="005C68A8"/>
    <w:pPr>
      <w:tabs>
        <w:tab w:val="left" w:pos="2977"/>
      </w:tabs>
      <w:spacing w:before="180" w:line="240" w:lineRule="auto"/>
      <w:ind w:left="1985" w:hanging="851"/>
    </w:pPr>
  </w:style>
  <w:style w:type="paragraph" w:customStyle="1" w:styleId="Portfolio">
    <w:name w:val="Portfolio"/>
    <w:basedOn w:val="OPCParaBase"/>
    <w:rsid w:val="005C68A8"/>
    <w:pPr>
      <w:spacing w:line="240" w:lineRule="auto"/>
    </w:pPr>
    <w:rPr>
      <w:i/>
      <w:sz w:val="20"/>
    </w:rPr>
  </w:style>
  <w:style w:type="paragraph" w:customStyle="1" w:styleId="Preamble">
    <w:name w:val="Preamble"/>
    <w:basedOn w:val="OPCParaBase"/>
    <w:next w:val="Normal"/>
    <w:rsid w:val="005C68A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C68A8"/>
    <w:pPr>
      <w:spacing w:line="240" w:lineRule="auto"/>
    </w:pPr>
    <w:rPr>
      <w:i/>
      <w:sz w:val="20"/>
    </w:rPr>
  </w:style>
  <w:style w:type="paragraph" w:customStyle="1" w:styleId="Session">
    <w:name w:val="Session"/>
    <w:basedOn w:val="OPCParaBase"/>
    <w:rsid w:val="005C68A8"/>
    <w:pPr>
      <w:spacing w:line="240" w:lineRule="auto"/>
    </w:pPr>
    <w:rPr>
      <w:sz w:val="28"/>
    </w:rPr>
  </w:style>
  <w:style w:type="paragraph" w:customStyle="1" w:styleId="Sponsor">
    <w:name w:val="Sponsor"/>
    <w:basedOn w:val="OPCParaBase"/>
    <w:rsid w:val="005C68A8"/>
    <w:pPr>
      <w:spacing w:line="240" w:lineRule="auto"/>
    </w:pPr>
    <w:rPr>
      <w:i/>
    </w:rPr>
  </w:style>
  <w:style w:type="paragraph" w:customStyle="1" w:styleId="Subitem">
    <w:name w:val="Subitem"/>
    <w:aliases w:val="iss"/>
    <w:basedOn w:val="OPCParaBase"/>
    <w:rsid w:val="005C68A8"/>
    <w:pPr>
      <w:spacing w:before="180" w:line="240" w:lineRule="auto"/>
      <w:ind w:left="709" w:hanging="709"/>
    </w:pPr>
  </w:style>
  <w:style w:type="paragraph" w:customStyle="1" w:styleId="SubitemHead">
    <w:name w:val="SubitemHead"/>
    <w:aliases w:val="issh"/>
    <w:basedOn w:val="OPCParaBase"/>
    <w:rsid w:val="005C68A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C68A8"/>
    <w:pPr>
      <w:spacing w:before="40" w:line="240" w:lineRule="auto"/>
      <w:ind w:left="1134"/>
    </w:pPr>
  </w:style>
  <w:style w:type="paragraph" w:customStyle="1" w:styleId="SubsectionHead">
    <w:name w:val="SubsectionHead"/>
    <w:aliases w:val="ssh"/>
    <w:basedOn w:val="OPCParaBase"/>
    <w:next w:val="subsection"/>
    <w:rsid w:val="005C68A8"/>
    <w:pPr>
      <w:keepNext/>
      <w:keepLines/>
      <w:spacing w:before="240" w:line="240" w:lineRule="auto"/>
      <w:ind w:left="1134"/>
    </w:pPr>
    <w:rPr>
      <w:i/>
    </w:rPr>
  </w:style>
  <w:style w:type="paragraph" w:customStyle="1" w:styleId="Tablea">
    <w:name w:val="Table(a)"/>
    <w:aliases w:val="ta"/>
    <w:basedOn w:val="OPCParaBase"/>
    <w:rsid w:val="005C68A8"/>
    <w:pPr>
      <w:spacing w:before="60" w:line="240" w:lineRule="auto"/>
      <w:ind w:left="284" w:hanging="284"/>
    </w:pPr>
    <w:rPr>
      <w:sz w:val="20"/>
    </w:rPr>
  </w:style>
  <w:style w:type="paragraph" w:customStyle="1" w:styleId="TableAA">
    <w:name w:val="Table(AA)"/>
    <w:aliases w:val="taaa"/>
    <w:basedOn w:val="OPCParaBase"/>
    <w:rsid w:val="005C68A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C68A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C68A8"/>
    <w:pPr>
      <w:spacing w:before="60" w:line="240" w:lineRule="atLeast"/>
    </w:pPr>
    <w:rPr>
      <w:sz w:val="20"/>
    </w:rPr>
  </w:style>
  <w:style w:type="paragraph" w:customStyle="1" w:styleId="TLPBoxTextnote">
    <w:name w:val="TLPBoxText(note"/>
    <w:aliases w:val="right)"/>
    <w:basedOn w:val="OPCParaBase"/>
    <w:rsid w:val="005C68A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C68A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C68A8"/>
    <w:pPr>
      <w:spacing w:before="122" w:line="198" w:lineRule="exact"/>
      <w:ind w:left="1985" w:hanging="851"/>
      <w:jc w:val="right"/>
    </w:pPr>
    <w:rPr>
      <w:sz w:val="18"/>
    </w:rPr>
  </w:style>
  <w:style w:type="paragraph" w:customStyle="1" w:styleId="TLPTableBullet">
    <w:name w:val="TLPTableBullet"/>
    <w:aliases w:val="ttb"/>
    <w:basedOn w:val="OPCParaBase"/>
    <w:rsid w:val="005C68A8"/>
    <w:pPr>
      <w:spacing w:line="240" w:lineRule="exact"/>
      <w:ind w:left="284" w:hanging="284"/>
    </w:pPr>
    <w:rPr>
      <w:sz w:val="20"/>
    </w:rPr>
  </w:style>
  <w:style w:type="paragraph" w:styleId="TOC1">
    <w:name w:val="toc 1"/>
    <w:basedOn w:val="OPCParaBase"/>
    <w:next w:val="Normal"/>
    <w:uiPriority w:val="39"/>
    <w:semiHidden/>
    <w:unhideWhenUsed/>
    <w:rsid w:val="005C68A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C68A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C68A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C68A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C68A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C68A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C68A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C68A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C68A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C68A8"/>
    <w:pPr>
      <w:keepLines/>
      <w:spacing w:before="240" w:after="120" w:line="240" w:lineRule="auto"/>
      <w:ind w:left="794"/>
    </w:pPr>
    <w:rPr>
      <w:b/>
      <w:kern w:val="28"/>
      <w:sz w:val="20"/>
    </w:rPr>
  </w:style>
  <w:style w:type="paragraph" w:customStyle="1" w:styleId="TofSectsHeading">
    <w:name w:val="TofSects(Heading)"/>
    <w:basedOn w:val="OPCParaBase"/>
    <w:rsid w:val="005C68A8"/>
    <w:pPr>
      <w:spacing w:before="240" w:after="120" w:line="240" w:lineRule="auto"/>
    </w:pPr>
    <w:rPr>
      <w:b/>
      <w:sz w:val="24"/>
    </w:rPr>
  </w:style>
  <w:style w:type="paragraph" w:customStyle="1" w:styleId="TofSectsSection">
    <w:name w:val="TofSects(Section)"/>
    <w:basedOn w:val="OPCParaBase"/>
    <w:rsid w:val="005C68A8"/>
    <w:pPr>
      <w:keepLines/>
      <w:spacing w:before="40" w:line="240" w:lineRule="auto"/>
      <w:ind w:left="1588" w:hanging="794"/>
    </w:pPr>
    <w:rPr>
      <w:kern w:val="28"/>
      <w:sz w:val="18"/>
    </w:rPr>
  </w:style>
  <w:style w:type="paragraph" w:customStyle="1" w:styleId="TofSectsSubdiv">
    <w:name w:val="TofSects(Subdiv)"/>
    <w:basedOn w:val="OPCParaBase"/>
    <w:rsid w:val="005C68A8"/>
    <w:pPr>
      <w:keepLines/>
      <w:spacing w:before="80" w:line="240" w:lineRule="auto"/>
      <w:ind w:left="1588" w:hanging="794"/>
    </w:pPr>
    <w:rPr>
      <w:kern w:val="28"/>
    </w:rPr>
  </w:style>
  <w:style w:type="paragraph" w:customStyle="1" w:styleId="WRStyle">
    <w:name w:val="WR Style"/>
    <w:aliases w:val="WR"/>
    <w:basedOn w:val="OPCParaBase"/>
    <w:rsid w:val="005C68A8"/>
    <w:pPr>
      <w:spacing w:before="240" w:line="240" w:lineRule="auto"/>
      <w:ind w:left="284" w:hanging="284"/>
    </w:pPr>
    <w:rPr>
      <w:b/>
      <w:i/>
      <w:kern w:val="28"/>
      <w:sz w:val="24"/>
    </w:rPr>
  </w:style>
  <w:style w:type="paragraph" w:customStyle="1" w:styleId="notepara">
    <w:name w:val="note(para)"/>
    <w:aliases w:val="na"/>
    <w:basedOn w:val="OPCParaBase"/>
    <w:rsid w:val="005C68A8"/>
    <w:pPr>
      <w:spacing w:before="40" w:line="198" w:lineRule="exact"/>
      <w:ind w:left="2354" w:hanging="369"/>
    </w:pPr>
    <w:rPr>
      <w:sz w:val="18"/>
    </w:rPr>
  </w:style>
  <w:style w:type="paragraph" w:styleId="Footer">
    <w:name w:val="footer"/>
    <w:link w:val="FooterChar"/>
    <w:rsid w:val="005C68A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C68A8"/>
    <w:rPr>
      <w:rFonts w:eastAsia="Times New Roman" w:cs="Times New Roman"/>
      <w:sz w:val="22"/>
      <w:szCs w:val="24"/>
      <w:lang w:eastAsia="en-AU"/>
    </w:rPr>
  </w:style>
  <w:style w:type="character" w:styleId="LineNumber">
    <w:name w:val="line number"/>
    <w:basedOn w:val="OPCCharBase"/>
    <w:uiPriority w:val="99"/>
    <w:semiHidden/>
    <w:unhideWhenUsed/>
    <w:rsid w:val="005C68A8"/>
    <w:rPr>
      <w:sz w:val="16"/>
    </w:rPr>
  </w:style>
  <w:style w:type="table" w:customStyle="1" w:styleId="CFlag">
    <w:name w:val="CFlag"/>
    <w:basedOn w:val="TableNormal"/>
    <w:uiPriority w:val="99"/>
    <w:rsid w:val="005C68A8"/>
    <w:rPr>
      <w:rFonts w:eastAsia="Times New Roman" w:cs="Times New Roman"/>
      <w:lang w:eastAsia="en-AU"/>
    </w:rPr>
    <w:tblPr/>
  </w:style>
  <w:style w:type="paragraph" w:customStyle="1" w:styleId="SignCoverPageEnd">
    <w:name w:val="SignCoverPageEnd"/>
    <w:basedOn w:val="OPCParaBase"/>
    <w:next w:val="Normal"/>
    <w:rsid w:val="005C68A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C68A8"/>
    <w:pPr>
      <w:pBdr>
        <w:top w:val="single" w:sz="4" w:space="1" w:color="auto"/>
      </w:pBdr>
      <w:spacing w:before="360"/>
      <w:ind w:right="397"/>
      <w:jc w:val="both"/>
    </w:pPr>
  </w:style>
  <w:style w:type="paragraph" w:customStyle="1" w:styleId="CompiledActNo">
    <w:name w:val="CompiledActNo"/>
    <w:basedOn w:val="OPCParaBase"/>
    <w:next w:val="Normal"/>
    <w:rsid w:val="005C68A8"/>
    <w:rPr>
      <w:b/>
      <w:sz w:val="24"/>
      <w:szCs w:val="24"/>
    </w:rPr>
  </w:style>
  <w:style w:type="paragraph" w:customStyle="1" w:styleId="ENotesText">
    <w:name w:val="ENotesText"/>
    <w:aliases w:val="Ent"/>
    <w:basedOn w:val="OPCParaBase"/>
    <w:next w:val="Normal"/>
    <w:rsid w:val="005C68A8"/>
    <w:pPr>
      <w:spacing w:before="120"/>
    </w:pPr>
  </w:style>
  <w:style w:type="paragraph" w:customStyle="1" w:styleId="CompiledMadeUnder">
    <w:name w:val="CompiledMadeUnder"/>
    <w:basedOn w:val="OPCParaBase"/>
    <w:next w:val="Normal"/>
    <w:rsid w:val="005C68A8"/>
    <w:rPr>
      <w:i/>
      <w:sz w:val="24"/>
      <w:szCs w:val="24"/>
    </w:rPr>
  </w:style>
  <w:style w:type="paragraph" w:customStyle="1" w:styleId="Paragraphsub-sub-sub">
    <w:name w:val="Paragraph(sub-sub-sub)"/>
    <w:aliases w:val="aaaa"/>
    <w:basedOn w:val="OPCParaBase"/>
    <w:rsid w:val="005C68A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C68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C68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C68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C68A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C68A8"/>
    <w:pPr>
      <w:spacing w:before="60" w:line="240" w:lineRule="auto"/>
    </w:pPr>
    <w:rPr>
      <w:rFonts w:cs="Arial"/>
      <w:sz w:val="20"/>
      <w:szCs w:val="22"/>
    </w:rPr>
  </w:style>
  <w:style w:type="paragraph" w:customStyle="1" w:styleId="TableHeading">
    <w:name w:val="TableHeading"/>
    <w:aliases w:val="th"/>
    <w:basedOn w:val="OPCParaBase"/>
    <w:next w:val="Tabletext"/>
    <w:rsid w:val="005C68A8"/>
    <w:pPr>
      <w:keepNext/>
      <w:spacing w:before="60" w:line="240" w:lineRule="atLeast"/>
    </w:pPr>
    <w:rPr>
      <w:b/>
      <w:sz w:val="20"/>
    </w:rPr>
  </w:style>
  <w:style w:type="paragraph" w:customStyle="1" w:styleId="NoteToSubpara">
    <w:name w:val="NoteToSubpara"/>
    <w:aliases w:val="nts"/>
    <w:basedOn w:val="OPCParaBase"/>
    <w:rsid w:val="005C68A8"/>
    <w:pPr>
      <w:spacing w:before="40" w:line="198" w:lineRule="exact"/>
      <w:ind w:left="2835" w:hanging="709"/>
    </w:pPr>
    <w:rPr>
      <w:sz w:val="18"/>
    </w:rPr>
  </w:style>
  <w:style w:type="paragraph" w:customStyle="1" w:styleId="ENoteTableHeading">
    <w:name w:val="ENoteTableHeading"/>
    <w:aliases w:val="enth"/>
    <w:basedOn w:val="OPCParaBase"/>
    <w:rsid w:val="005C68A8"/>
    <w:pPr>
      <w:keepNext/>
      <w:spacing w:before="60" w:line="240" w:lineRule="atLeast"/>
    </w:pPr>
    <w:rPr>
      <w:rFonts w:ascii="Arial" w:hAnsi="Arial"/>
      <w:b/>
      <w:sz w:val="16"/>
    </w:rPr>
  </w:style>
  <w:style w:type="paragraph" w:customStyle="1" w:styleId="ENoteTableText">
    <w:name w:val="ENoteTableText"/>
    <w:aliases w:val="entt"/>
    <w:basedOn w:val="OPCParaBase"/>
    <w:rsid w:val="005C68A8"/>
    <w:pPr>
      <w:spacing w:before="60" w:line="240" w:lineRule="atLeast"/>
    </w:pPr>
    <w:rPr>
      <w:sz w:val="16"/>
    </w:rPr>
  </w:style>
  <w:style w:type="paragraph" w:customStyle="1" w:styleId="ENoteTTi">
    <w:name w:val="ENoteTTi"/>
    <w:aliases w:val="entti"/>
    <w:basedOn w:val="OPCParaBase"/>
    <w:rsid w:val="005C68A8"/>
    <w:pPr>
      <w:keepNext/>
      <w:spacing w:before="60" w:line="240" w:lineRule="atLeast"/>
      <w:ind w:left="170"/>
    </w:pPr>
    <w:rPr>
      <w:sz w:val="16"/>
    </w:rPr>
  </w:style>
  <w:style w:type="paragraph" w:customStyle="1" w:styleId="ENoteTTIndentHeading">
    <w:name w:val="ENoteTTIndentHeading"/>
    <w:aliases w:val="enTTHi"/>
    <w:basedOn w:val="OPCParaBase"/>
    <w:rsid w:val="005C68A8"/>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5C68A8"/>
    <w:pPr>
      <w:spacing w:before="120"/>
      <w:outlineLvl w:val="1"/>
    </w:pPr>
    <w:rPr>
      <w:b/>
      <w:sz w:val="28"/>
      <w:szCs w:val="28"/>
    </w:rPr>
  </w:style>
  <w:style w:type="paragraph" w:customStyle="1" w:styleId="ENotesHeading2">
    <w:name w:val="ENotesHeading 2"/>
    <w:aliases w:val="Enh2"/>
    <w:basedOn w:val="OPCParaBase"/>
    <w:next w:val="Normal"/>
    <w:rsid w:val="005C68A8"/>
    <w:pPr>
      <w:spacing w:before="120" w:after="120"/>
      <w:outlineLvl w:val="2"/>
    </w:pPr>
    <w:rPr>
      <w:b/>
      <w:sz w:val="24"/>
      <w:szCs w:val="28"/>
    </w:rPr>
  </w:style>
  <w:style w:type="paragraph" w:customStyle="1" w:styleId="MadeunderText">
    <w:name w:val="MadeunderText"/>
    <w:basedOn w:val="OPCParaBase"/>
    <w:next w:val="Normal"/>
    <w:rsid w:val="005C68A8"/>
    <w:pPr>
      <w:spacing w:before="240"/>
    </w:pPr>
    <w:rPr>
      <w:sz w:val="24"/>
      <w:szCs w:val="24"/>
    </w:rPr>
  </w:style>
  <w:style w:type="paragraph" w:customStyle="1" w:styleId="ENotesHeading3">
    <w:name w:val="ENotesHeading 3"/>
    <w:aliases w:val="Enh3"/>
    <w:basedOn w:val="OPCParaBase"/>
    <w:next w:val="Normal"/>
    <w:rsid w:val="005C68A8"/>
    <w:pPr>
      <w:keepNext/>
      <w:spacing w:before="120" w:line="240" w:lineRule="auto"/>
      <w:outlineLvl w:val="4"/>
    </w:pPr>
    <w:rPr>
      <w:b/>
      <w:szCs w:val="24"/>
    </w:rPr>
  </w:style>
  <w:style w:type="character" w:customStyle="1" w:styleId="CharSubPartNoCASA">
    <w:name w:val="CharSubPartNo(CASA)"/>
    <w:basedOn w:val="OPCCharBase"/>
    <w:uiPriority w:val="1"/>
    <w:rsid w:val="005C68A8"/>
  </w:style>
  <w:style w:type="character" w:customStyle="1" w:styleId="CharSubPartTextCASA">
    <w:name w:val="CharSubPartText(CASA)"/>
    <w:basedOn w:val="OPCCharBase"/>
    <w:uiPriority w:val="1"/>
    <w:rsid w:val="005C68A8"/>
  </w:style>
  <w:style w:type="paragraph" w:customStyle="1" w:styleId="SubPartCASA">
    <w:name w:val="SubPart(CASA)"/>
    <w:aliases w:val="csp"/>
    <w:basedOn w:val="OPCParaBase"/>
    <w:next w:val="ActHead3"/>
    <w:rsid w:val="005C68A8"/>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5C68A8"/>
    <w:pPr>
      <w:keepNext/>
      <w:spacing w:before="60" w:line="240" w:lineRule="atLeast"/>
      <w:ind w:left="340"/>
    </w:pPr>
    <w:rPr>
      <w:b/>
      <w:sz w:val="16"/>
    </w:rPr>
  </w:style>
  <w:style w:type="paragraph" w:customStyle="1" w:styleId="ENoteTTiSub">
    <w:name w:val="ENoteTTiSub"/>
    <w:aliases w:val="enttis"/>
    <w:basedOn w:val="OPCParaBase"/>
    <w:rsid w:val="005C68A8"/>
    <w:pPr>
      <w:keepNext/>
      <w:spacing w:before="60" w:line="240" w:lineRule="atLeast"/>
      <w:ind w:left="340"/>
    </w:pPr>
    <w:rPr>
      <w:sz w:val="16"/>
    </w:rPr>
  </w:style>
  <w:style w:type="paragraph" w:customStyle="1" w:styleId="SubDivisionMigration">
    <w:name w:val="SubDivisionMigration"/>
    <w:aliases w:val="sdm"/>
    <w:basedOn w:val="OPCParaBase"/>
    <w:rsid w:val="005C68A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C68A8"/>
    <w:pPr>
      <w:keepNext/>
      <w:keepLines/>
      <w:spacing w:before="240" w:line="240" w:lineRule="auto"/>
      <w:ind w:left="1134" w:hanging="1134"/>
    </w:pPr>
    <w:rPr>
      <w:b/>
      <w:sz w:val="28"/>
    </w:rPr>
  </w:style>
  <w:style w:type="table" w:styleId="TableGrid">
    <w:name w:val="Table Grid"/>
    <w:basedOn w:val="TableNormal"/>
    <w:uiPriority w:val="59"/>
    <w:rsid w:val="005C6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5C68A8"/>
    <w:pPr>
      <w:spacing w:before="122" w:line="240" w:lineRule="auto"/>
      <w:ind w:left="1985" w:hanging="851"/>
    </w:pPr>
    <w:rPr>
      <w:sz w:val="18"/>
    </w:rPr>
  </w:style>
  <w:style w:type="paragraph" w:customStyle="1" w:styleId="FreeForm">
    <w:name w:val="FreeForm"/>
    <w:rsid w:val="005C68A8"/>
    <w:rPr>
      <w:rFonts w:ascii="Arial" w:hAnsi="Arial"/>
      <w:sz w:val="22"/>
    </w:rPr>
  </w:style>
  <w:style w:type="paragraph" w:customStyle="1" w:styleId="SOText">
    <w:name w:val="SO Text"/>
    <w:aliases w:val="sot"/>
    <w:link w:val="SOTextChar"/>
    <w:rsid w:val="005C68A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C68A8"/>
    <w:rPr>
      <w:sz w:val="22"/>
    </w:rPr>
  </w:style>
  <w:style w:type="paragraph" w:customStyle="1" w:styleId="SOTextNote">
    <w:name w:val="SO TextNote"/>
    <w:aliases w:val="sont"/>
    <w:basedOn w:val="SOText"/>
    <w:qFormat/>
    <w:rsid w:val="005C68A8"/>
    <w:pPr>
      <w:spacing w:before="122" w:line="198" w:lineRule="exact"/>
      <w:ind w:left="1843" w:hanging="709"/>
    </w:pPr>
    <w:rPr>
      <w:sz w:val="18"/>
    </w:rPr>
  </w:style>
  <w:style w:type="paragraph" w:customStyle="1" w:styleId="SOPara">
    <w:name w:val="SO Para"/>
    <w:aliases w:val="soa"/>
    <w:basedOn w:val="SOText"/>
    <w:link w:val="SOParaChar"/>
    <w:qFormat/>
    <w:rsid w:val="005C68A8"/>
    <w:pPr>
      <w:tabs>
        <w:tab w:val="right" w:pos="1786"/>
      </w:tabs>
      <w:spacing w:before="40"/>
      <w:ind w:left="2070" w:hanging="936"/>
    </w:pPr>
  </w:style>
  <w:style w:type="character" w:customStyle="1" w:styleId="SOParaChar">
    <w:name w:val="SO Para Char"/>
    <w:aliases w:val="soa Char"/>
    <w:basedOn w:val="DefaultParagraphFont"/>
    <w:link w:val="SOPara"/>
    <w:rsid w:val="005C68A8"/>
    <w:rPr>
      <w:sz w:val="22"/>
    </w:rPr>
  </w:style>
  <w:style w:type="paragraph" w:customStyle="1" w:styleId="SOBullet">
    <w:name w:val="SO Bullet"/>
    <w:aliases w:val="sotb"/>
    <w:basedOn w:val="SOText"/>
    <w:link w:val="SOBulletChar"/>
    <w:qFormat/>
    <w:rsid w:val="005C68A8"/>
    <w:pPr>
      <w:ind w:left="1559" w:hanging="425"/>
    </w:pPr>
  </w:style>
  <w:style w:type="character" w:customStyle="1" w:styleId="SOBulletChar">
    <w:name w:val="SO Bullet Char"/>
    <w:aliases w:val="sotb Char"/>
    <w:basedOn w:val="DefaultParagraphFont"/>
    <w:link w:val="SOBullet"/>
    <w:rsid w:val="005C68A8"/>
    <w:rPr>
      <w:sz w:val="22"/>
    </w:rPr>
  </w:style>
  <w:style w:type="paragraph" w:customStyle="1" w:styleId="SOBulletNote">
    <w:name w:val="SO BulletNote"/>
    <w:aliases w:val="sonb"/>
    <w:basedOn w:val="SOTextNote"/>
    <w:link w:val="SOBulletNoteChar"/>
    <w:qFormat/>
    <w:rsid w:val="005C68A8"/>
    <w:pPr>
      <w:tabs>
        <w:tab w:val="left" w:pos="1560"/>
      </w:tabs>
      <w:ind w:left="2268" w:hanging="1134"/>
    </w:pPr>
  </w:style>
  <w:style w:type="character" w:customStyle="1" w:styleId="SOBulletNoteChar">
    <w:name w:val="SO BulletNote Char"/>
    <w:aliases w:val="sonb Char"/>
    <w:basedOn w:val="DefaultParagraphFont"/>
    <w:link w:val="SOBulletNote"/>
    <w:rsid w:val="005C68A8"/>
    <w:rPr>
      <w:sz w:val="18"/>
    </w:rPr>
  </w:style>
  <w:style w:type="paragraph" w:customStyle="1" w:styleId="FileName">
    <w:name w:val="FileName"/>
    <w:basedOn w:val="Normal"/>
    <w:rsid w:val="005C68A8"/>
  </w:style>
  <w:style w:type="paragraph" w:customStyle="1" w:styleId="SOHeadBold">
    <w:name w:val="SO HeadBold"/>
    <w:aliases w:val="sohb"/>
    <w:basedOn w:val="SOText"/>
    <w:next w:val="SOText"/>
    <w:link w:val="SOHeadBoldChar"/>
    <w:qFormat/>
    <w:rsid w:val="005C68A8"/>
    <w:rPr>
      <w:b/>
    </w:rPr>
  </w:style>
  <w:style w:type="character" w:customStyle="1" w:styleId="SOHeadBoldChar">
    <w:name w:val="SO HeadBold Char"/>
    <w:aliases w:val="sohb Char"/>
    <w:basedOn w:val="DefaultParagraphFont"/>
    <w:link w:val="SOHeadBold"/>
    <w:rsid w:val="005C68A8"/>
    <w:rPr>
      <w:b/>
      <w:sz w:val="22"/>
    </w:rPr>
  </w:style>
  <w:style w:type="paragraph" w:customStyle="1" w:styleId="SOHeadItalic">
    <w:name w:val="SO HeadItalic"/>
    <w:aliases w:val="sohi"/>
    <w:basedOn w:val="SOText"/>
    <w:next w:val="SOText"/>
    <w:link w:val="SOHeadItalicChar"/>
    <w:qFormat/>
    <w:rsid w:val="005C68A8"/>
    <w:rPr>
      <w:i/>
    </w:rPr>
  </w:style>
  <w:style w:type="character" w:customStyle="1" w:styleId="SOHeadItalicChar">
    <w:name w:val="SO HeadItalic Char"/>
    <w:aliases w:val="sohi Char"/>
    <w:basedOn w:val="DefaultParagraphFont"/>
    <w:link w:val="SOHeadItalic"/>
    <w:rsid w:val="005C68A8"/>
    <w:rPr>
      <w:i/>
      <w:sz w:val="22"/>
    </w:rPr>
  </w:style>
  <w:style w:type="paragraph" w:customStyle="1" w:styleId="SOText2">
    <w:name w:val="SO Text2"/>
    <w:aliases w:val="sot2"/>
    <w:basedOn w:val="Normal"/>
    <w:next w:val="SOText"/>
    <w:link w:val="SOText2Char"/>
    <w:rsid w:val="005C68A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C68A8"/>
    <w:rPr>
      <w:sz w:val="22"/>
    </w:rPr>
  </w:style>
  <w:style w:type="paragraph" w:customStyle="1" w:styleId="ETAsubitem">
    <w:name w:val="ETA(subitem)"/>
    <w:basedOn w:val="OPCParaBase"/>
    <w:rsid w:val="005C68A8"/>
    <w:pPr>
      <w:tabs>
        <w:tab w:val="right" w:pos="340"/>
      </w:tabs>
      <w:spacing w:before="60" w:line="240" w:lineRule="auto"/>
      <w:ind w:left="454" w:hanging="454"/>
    </w:pPr>
    <w:rPr>
      <w:sz w:val="20"/>
    </w:rPr>
  </w:style>
  <w:style w:type="paragraph" w:customStyle="1" w:styleId="ETApara">
    <w:name w:val="ETA(para)"/>
    <w:basedOn w:val="OPCParaBase"/>
    <w:rsid w:val="005C68A8"/>
    <w:pPr>
      <w:tabs>
        <w:tab w:val="right" w:pos="754"/>
      </w:tabs>
      <w:spacing w:before="60" w:line="240" w:lineRule="auto"/>
      <w:ind w:left="828" w:hanging="828"/>
    </w:pPr>
    <w:rPr>
      <w:sz w:val="20"/>
    </w:rPr>
  </w:style>
  <w:style w:type="paragraph" w:customStyle="1" w:styleId="ETAsubpara">
    <w:name w:val="ETA(subpara)"/>
    <w:basedOn w:val="OPCParaBase"/>
    <w:rsid w:val="005C68A8"/>
    <w:pPr>
      <w:tabs>
        <w:tab w:val="right" w:pos="1083"/>
      </w:tabs>
      <w:spacing w:before="60" w:line="240" w:lineRule="auto"/>
      <w:ind w:left="1191" w:hanging="1191"/>
    </w:pPr>
    <w:rPr>
      <w:sz w:val="20"/>
    </w:rPr>
  </w:style>
  <w:style w:type="paragraph" w:customStyle="1" w:styleId="ETAsub-subpara">
    <w:name w:val="ETA(sub-subpara)"/>
    <w:basedOn w:val="OPCParaBase"/>
    <w:rsid w:val="005C68A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C68A8"/>
    <w:rPr>
      <w:b/>
      <w:sz w:val="28"/>
      <w:szCs w:val="28"/>
    </w:rPr>
  </w:style>
  <w:style w:type="paragraph" w:customStyle="1" w:styleId="NotesHeading2">
    <w:name w:val="NotesHeading 2"/>
    <w:basedOn w:val="OPCParaBase"/>
    <w:next w:val="Normal"/>
    <w:rsid w:val="005C68A8"/>
    <w:rPr>
      <w:b/>
      <w:sz w:val="28"/>
      <w:szCs w:val="28"/>
    </w:rPr>
  </w:style>
  <w:style w:type="paragraph" w:customStyle="1" w:styleId="Transitional">
    <w:name w:val="Transitional"/>
    <w:aliases w:val="tr"/>
    <w:basedOn w:val="ItemHead"/>
    <w:next w:val="Item"/>
    <w:rsid w:val="005C68A8"/>
  </w:style>
  <w:style w:type="character" w:customStyle="1" w:styleId="subsectionChar">
    <w:name w:val="subsection Char"/>
    <w:aliases w:val="ss Char"/>
    <w:link w:val="subsection"/>
    <w:rsid w:val="00DD39C3"/>
    <w:rPr>
      <w:rFonts w:eastAsia="Times New Roman" w:cs="Times New Roman"/>
      <w:sz w:val="22"/>
      <w:lang w:eastAsia="en-AU"/>
    </w:rPr>
  </w:style>
  <w:style w:type="character" w:customStyle="1" w:styleId="ActHead5Char">
    <w:name w:val="ActHead 5 Char"/>
    <w:aliases w:val="s Char"/>
    <w:link w:val="ActHead5"/>
    <w:locked/>
    <w:rsid w:val="00DD39C3"/>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AA4F01"/>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AA4F01"/>
    <w:rPr>
      <w:rFonts w:eastAsia="Times New Roman" w:cs="Times New Roman"/>
      <w:sz w:val="22"/>
      <w:lang w:eastAsia="en-AU"/>
    </w:rPr>
  </w:style>
  <w:style w:type="character" w:styleId="Hyperlink">
    <w:name w:val="Hyperlink"/>
    <w:basedOn w:val="DefaultParagraphFont"/>
    <w:uiPriority w:val="99"/>
    <w:semiHidden/>
    <w:unhideWhenUsed/>
    <w:rsid w:val="00FF1395"/>
    <w:rPr>
      <w:color w:val="0000FF" w:themeColor="hyperlink"/>
      <w:u w:val="single"/>
    </w:rPr>
  </w:style>
  <w:style w:type="character" w:styleId="FollowedHyperlink">
    <w:name w:val="FollowedHyperlink"/>
    <w:basedOn w:val="DefaultParagraphFont"/>
    <w:uiPriority w:val="99"/>
    <w:semiHidden/>
    <w:unhideWhenUsed/>
    <w:rsid w:val="00FF1395"/>
    <w:rPr>
      <w:color w:val="0000FF" w:themeColor="hyperlink"/>
      <w:u w:val="single"/>
    </w:rPr>
  </w:style>
  <w:style w:type="paragraph" w:customStyle="1" w:styleId="ClerkBlock">
    <w:name w:val="ClerkBlock"/>
    <w:basedOn w:val="Normal"/>
    <w:rsid w:val="004C69D9"/>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4C69D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C69D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C69D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C69D9"/>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4C69D9"/>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4C69D9"/>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4C69D9"/>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4C69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69D9"/>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link w:val="paragraph"/>
    <w:locked/>
    <w:rsid w:val="00CD6308"/>
    <w:rPr>
      <w:rFonts w:eastAsia="Times New Roman" w:cs="Times New Roman"/>
      <w:sz w:val="22"/>
      <w:lang w:eastAsia="en-AU"/>
    </w:rPr>
  </w:style>
  <w:style w:type="paragraph" w:customStyle="1" w:styleId="ShortTP1">
    <w:name w:val="ShortTP1"/>
    <w:basedOn w:val="ShortT"/>
    <w:link w:val="ShortTP1Char"/>
    <w:rsid w:val="00311609"/>
    <w:pPr>
      <w:spacing w:before="800"/>
    </w:pPr>
  </w:style>
  <w:style w:type="character" w:customStyle="1" w:styleId="ShortTP1Char">
    <w:name w:val="ShortTP1 Char"/>
    <w:basedOn w:val="DefaultParagraphFont"/>
    <w:link w:val="ShortTP1"/>
    <w:rsid w:val="00311609"/>
    <w:rPr>
      <w:rFonts w:eastAsia="Times New Roman" w:cs="Times New Roman"/>
      <w:b/>
      <w:sz w:val="40"/>
      <w:lang w:eastAsia="en-AU"/>
    </w:rPr>
  </w:style>
  <w:style w:type="paragraph" w:customStyle="1" w:styleId="ActNoP1">
    <w:name w:val="ActNoP1"/>
    <w:basedOn w:val="Actno"/>
    <w:link w:val="ActNoP1Char"/>
    <w:rsid w:val="00311609"/>
    <w:pPr>
      <w:spacing w:before="800"/>
    </w:pPr>
    <w:rPr>
      <w:sz w:val="28"/>
    </w:rPr>
  </w:style>
  <w:style w:type="character" w:customStyle="1" w:styleId="ActNoP1Char">
    <w:name w:val="ActNoP1 Char"/>
    <w:basedOn w:val="DefaultParagraphFont"/>
    <w:link w:val="ActNoP1"/>
    <w:rsid w:val="00311609"/>
    <w:rPr>
      <w:rFonts w:eastAsia="Times New Roman" w:cs="Times New Roman"/>
      <w:b/>
      <w:sz w:val="28"/>
      <w:lang w:eastAsia="en-AU"/>
    </w:rPr>
  </w:style>
  <w:style w:type="paragraph" w:customStyle="1" w:styleId="AssentBk">
    <w:name w:val="AssentBk"/>
    <w:basedOn w:val="Normal"/>
    <w:rsid w:val="00311609"/>
    <w:pPr>
      <w:spacing w:line="240" w:lineRule="auto"/>
    </w:pPr>
    <w:rPr>
      <w:rFonts w:eastAsia="Times New Roman" w:cs="Times New Roman"/>
      <w:sz w:val="20"/>
      <w:lang w:eastAsia="en-AU"/>
    </w:rPr>
  </w:style>
  <w:style w:type="paragraph" w:customStyle="1" w:styleId="AssentDt">
    <w:name w:val="AssentDt"/>
    <w:basedOn w:val="Normal"/>
    <w:rsid w:val="00ED3FF8"/>
    <w:pPr>
      <w:spacing w:line="240" w:lineRule="auto"/>
    </w:pPr>
    <w:rPr>
      <w:rFonts w:eastAsia="Times New Roman" w:cs="Times New Roman"/>
      <w:sz w:val="20"/>
      <w:lang w:eastAsia="en-AU"/>
    </w:rPr>
  </w:style>
  <w:style w:type="paragraph" w:customStyle="1" w:styleId="2ndRd">
    <w:name w:val="2ndRd"/>
    <w:basedOn w:val="Normal"/>
    <w:rsid w:val="00ED3FF8"/>
    <w:pPr>
      <w:spacing w:line="240" w:lineRule="auto"/>
    </w:pPr>
    <w:rPr>
      <w:rFonts w:eastAsia="Times New Roman" w:cs="Times New Roman"/>
      <w:sz w:val="20"/>
      <w:lang w:eastAsia="en-AU"/>
    </w:rPr>
  </w:style>
  <w:style w:type="paragraph" w:customStyle="1" w:styleId="ScalePlusRef">
    <w:name w:val="ScalePlusRef"/>
    <w:basedOn w:val="Normal"/>
    <w:rsid w:val="00ED3FF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AA4D7-E868-4870-8E7E-523AFF21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19</Pages>
  <Words>2853</Words>
  <Characters>16038</Characters>
  <Application>Microsoft Office Word</Application>
  <DocSecurity>0</DocSecurity>
  <PresentationFormat/>
  <Lines>458</Lines>
  <Paragraphs>239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2022-06-30T00:37:00Z</cp:lastPrinted>
  <dcterms:created xsi:type="dcterms:W3CDTF">2022-09-14T00:32:00Z</dcterms:created>
  <dcterms:modified xsi:type="dcterms:W3CDTF">2022-09-14T00:53:00Z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Climate Change Act 2022</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OPC8005</vt:lpwstr>
  </property>
  <property fmtid="{D5CDD505-2E9C-101B-9397-08002B2CF9AE}" pid="8" name="ActNo">
    <vt:lpwstr>No. 37, 2022</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2022-08-09T03:30:26Z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cbc4a236-6795-461c-803a-d3031c968953</vt:lpwstr>
  </property>
  <property fmtid="{D5CDD505-2E9C-101B-9397-08002B2CF9AE}" pid="17" name="MSIP_Label_234ea0fa-41da-4eb0-b95e-07c328641c0b_ContentBits">
    <vt:lpwstr>0</vt:lpwstr>
  </property>
</Properties>
</file>