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7154021"/>
    <w:p w14:paraId="604AD440" w14:textId="73C766DD" w:rsidR="00026A21" w:rsidRDefault="00026A21" w:rsidP="00026A21">
      <w:r>
        <w:object w:dxaOrig="2146" w:dyaOrig="1561" w14:anchorId="1F6B7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31307980" r:id="rId9"/>
        </w:object>
      </w:r>
      <w:bookmarkStart w:id="1" w:name="_GoBack"/>
      <w:bookmarkEnd w:id="1"/>
    </w:p>
    <w:p w14:paraId="097AB25F" w14:textId="77777777" w:rsidR="00026A21" w:rsidRDefault="00026A21" w:rsidP="00026A21"/>
    <w:p w14:paraId="4046C8D0" w14:textId="77777777" w:rsidR="00026A21" w:rsidRDefault="00026A21" w:rsidP="00026A21"/>
    <w:p w14:paraId="1A4B3087" w14:textId="77777777" w:rsidR="00026A21" w:rsidRDefault="00026A21" w:rsidP="00026A21"/>
    <w:p w14:paraId="11AC4AAF" w14:textId="77777777" w:rsidR="00026A21" w:rsidRDefault="00026A21" w:rsidP="00026A21"/>
    <w:p w14:paraId="0DFB39CA" w14:textId="77777777" w:rsidR="00026A21" w:rsidRDefault="00026A21" w:rsidP="00026A21"/>
    <w:p w14:paraId="66671A73" w14:textId="77777777" w:rsidR="00026A21" w:rsidRDefault="00026A21" w:rsidP="00026A21"/>
    <w:p w14:paraId="47257519" w14:textId="7F8CCEC9" w:rsidR="0048364F" w:rsidRPr="009F5372" w:rsidRDefault="00026A21" w:rsidP="0048364F">
      <w:pPr>
        <w:pStyle w:val="ShortT"/>
      </w:pPr>
      <w:r>
        <w:t>Defence Home Ownership Assistance Scheme Amendment Act 2022</w:t>
      </w:r>
    </w:p>
    <w:bookmarkEnd w:id="0"/>
    <w:p w14:paraId="030A1E0C" w14:textId="77777777" w:rsidR="0048364F" w:rsidRPr="009F5372" w:rsidRDefault="0048364F" w:rsidP="0048364F"/>
    <w:p w14:paraId="362F5D4B" w14:textId="237865A8" w:rsidR="0048364F" w:rsidRPr="009F5372" w:rsidRDefault="00C164CA" w:rsidP="00026A21">
      <w:pPr>
        <w:pStyle w:val="Actno"/>
        <w:spacing w:before="400"/>
      </w:pPr>
      <w:r w:rsidRPr="009F5372">
        <w:t>No.</w:t>
      </w:r>
      <w:r w:rsidR="006B1078">
        <w:t xml:space="preserve"> 61</w:t>
      </w:r>
      <w:r w:rsidRPr="009F5372">
        <w:t>, 20</w:t>
      </w:r>
      <w:r w:rsidR="009E186E" w:rsidRPr="009F5372">
        <w:t>2</w:t>
      </w:r>
      <w:r w:rsidR="005F11B1" w:rsidRPr="009F5372">
        <w:t>2</w:t>
      </w:r>
    </w:p>
    <w:p w14:paraId="521AE329" w14:textId="77777777" w:rsidR="0048364F" w:rsidRPr="009F5372" w:rsidRDefault="0048364F" w:rsidP="0048364F"/>
    <w:p w14:paraId="6951583C" w14:textId="77777777" w:rsidR="008A3CA9" w:rsidRDefault="008A3CA9" w:rsidP="008A3CA9">
      <w:pPr>
        <w:rPr>
          <w:lang w:eastAsia="en-AU"/>
        </w:rPr>
      </w:pPr>
    </w:p>
    <w:p w14:paraId="6F8229F5" w14:textId="215231E8" w:rsidR="0048364F" w:rsidRPr="009F5372" w:rsidRDefault="0048364F" w:rsidP="0048364F"/>
    <w:p w14:paraId="6F90A0D9" w14:textId="77777777" w:rsidR="0048364F" w:rsidRPr="009F5372" w:rsidRDefault="0048364F" w:rsidP="0048364F"/>
    <w:p w14:paraId="1A77A6FC" w14:textId="77777777" w:rsidR="0048364F" w:rsidRPr="009F5372" w:rsidRDefault="0048364F" w:rsidP="0048364F"/>
    <w:p w14:paraId="6D035381" w14:textId="77777777" w:rsidR="00026A21" w:rsidRDefault="00026A21" w:rsidP="00026A21">
      <w:pPr>
        <w:pStyle w:val="LongT"/>
      </w:pPr>
      <w:r>
        <w:t xml:space="preserve">An Act to amend the </w:t>
      </w:r>
      <w:r w:rsidRPr="00026A21">
        <w:rPr>
          <w:i/>
        </w:rPr>
        <w:t>Defence Home Ownership Assistance Scheme Act 2008</w:t>
      </w:r>
      <w:r>
        <w:t>, and for related purposes</w:t>
      </w:r>
    </w:p>
    <w:p w14:paraId="747D66F7" w14:textId="5A4A3C97" w:rsidR="0048364F" w:rsidRPr="00FD6CF4" w:rsidRDefault="0048364F" w:rsidP="0048364F">
      <w:pPr>
        <w:pStyle w:val="Header"/>
        <w:tabs>
          <w:tab w:val="clear" w:pos="4150"/>
          <w:tab w:val="clear" w:pos="8307"/>
        </w:tabs>
      </w:pPr>
      <w:r w:rsidRPr="00FD6CF4">
        <w:rPr>
          <w:rStyle w:val="CharAmSchNo"/>
        </w:rPr>
        <w:t xml:space="preserve"> </w:t>
      </w:r>
      <w:r w:rsidRPr="00FD6CF4">
        <w:rPr>
          <w:rStyle w:val="CharAmSchText"/>
        </w:rPr>
        <w:t xml:space="preserve"> </w:t>
      </w:r>
    </w:p>
    <w:p w14:paraId="09E40BF1" w14:textId="77777777" w:rsidR="0048364F" w:rsidRPr="00FD6CF4" w:rsidRDefault="0048364F" w:rsidP="0048364F">
      <w:pPr>
        <w:pStyle w:val="Header"/>
        <w:tabs>
          <w:tab w:val="clear" w:pos="4150"/>
          <w:tab w:val="clear" w:pos="8307"/>
        </w:tabs>
      </w:pPr>
      <w:r w:rsidRPr="00FD6CF4">
        <w:rPr>
          <w:rStyle w:val="CharAmPartNo"/>
        </w:rPr>
        <w:t xml:space="preserve"> </w:t>
      </w:r>
      <w:r w:rsidRPr="00FD6CF4">
        <w:rPr>
          <w:rStyle w:val="CharAmPartText"/>
        </w:rPr>
        <w:t xml:space="preserve"> </w:t>
      </w:r>
    </w:p>
    <w:p w14:paraId="0CAAD9EC" w14:textId="77777777" w:rsidR="0048364F" w:rsidRPr="009F5372" w:rsidRDefault="0048364F" w:rsidP="0048364F">
      <w:pPr>
        <w:sectPr w:rsidR="0048364F" w:rsidRPr="009F5372" w:rsidSect="00026A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176DD26" w14:textId="77777777" w:rsidR="0048364F" w:rsidRPr="009F5372" w:rsidRDefault="0048364F" w:rsidP="0048364F">
      <w:pPr>
        <w:outlineLvl w:val="0"/>
        <w:rPr>
          <w:sz w:val="36"/>
        </w:rPr>
      </w:pPr>
      <w:r w:rsidRPr="009F5372">
        <w:rPr>
          <w:sz w:val="36"/>
        </w:rPr>
        <w:lastRenderedPageBreak/>
        <w:t>Contents</w:t>
      </w:r>
    </w:p>
    <w:p w14:paraId="0E3EADD1" w14:textId="59397C61" w:rsidR="008F5E3D" w:rsidRDefault="008F5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F5E3D">
        <w:rPr>
          <w:noProof/>
        </w:rPr>
        <w:tab/>
      </w:r>
      <w:r w:rsidRPr="008F5E3D">
        <w:rPr>
          <w:noProof/>
        </w:rPr>
        <w:fldChar w:fldCharType="begin"/>
      </w:r>
      <w:r w:rsidRPr="008F5E3D">
        <w:rPr>
          <w:noProof/>
        </w:rPr>
        <w:instrText xml:space="preserve"> PAGEREF _Toc120694959 \h </w:instrText>
      </w:r>
      <w:r w:rsidRPr="008F5E3D">
        <w:rPr>
          <w:noProof/>
        </w:rPr>
      </w:r>
      <w:r w:rsidRPr="008F5E3D">
        <w:rPr>
          <w:noProof/>
        </w:rPr>
        <w:fldChar w:fldCharType="separate"/>
      </w:r>
      <w:r w:rsidR="00230D3E">
        <w:rPr>
          <w:noProof/>
        </w:rPr>
        <w:t>1</w:t>
      </w:r>
      <w:r w:rsidRPr="008F5E3D">
        <w:rPr>
          <w:noProof/>
        </w:rPr>
        <w:fldChar w:fldCharType="end"/>
      </w:r>
    </w:p>
    <w:p w14:paraId="159EF34F" w14:textId="0896B61A" w:rsidR="008F5E3D" w:rsidRDefault="008F5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F5E3D">
        <w:rPr>
          <w:noProof/>
        </w:rPr>
        <w:tab/>
      </w:r>
      <w:r w:rsidRPr="008F5E3D">
        <w:rPr>
          <w:noProof/>
        </w:rPr>
        <w:fldChar w:fldCharType="begin"/>
      </w:r>
      <w:r w:rsidRPr="008F5E3D">
        <w:rPr>
          <w:noProof/>
        </w:rPr>
        <w:instrText xml:space="preserve"> PAGEREF _Toc120694960 \h </w:instrText>
      </w:r>
      <w:r w:rsidRPr="008F5E3D">
        <w:rPr>
          <w:noProof/>
        </w:rPr>
      </w:r>
      <w:r w:rsidRPr="008F5E3D">
        <w:rPr>
          <w:noProof/>
        </w:rPr>
        <w:fldChar w:fldCharType="separate"/>
      </w:r>
      <w:r w:rsidR="00230D3E">
        <w:rPr>
          <w:noProof/>
        </w:rPr>
        <w:t>2</w:t>
      </w:r>
      <w:r w:rsidRPr="008F5E3D">
        <w:rPr>
          <w:noProof/>
        </w:rPr>
        <w:fldChar w:fldCharType="end"/>
      </w:r>
    </w:p>
    <w:p w14:paraId="0DE8E303" w14:textId="36518CB0" w:rsidR="008F5E3D" w:rsidRDefault="008F5E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F5E3D">
        <w:rPr>
          <w:noProof/>
        </w:rPr>
        <w:tab/>
      </w:r>
      <w:r w:rsidRPr="008F5E3D">
        <w:rPr>
          <w:noProof/>
        </w:rPr>
        <w:fldChar w:fldCharType="begin"/>
      </w:r>
      <w:r w:rsidRPr="008F5E3D">
        <w:rPr>
          <w:noProof/>
        </w:rPr>
        <w:instrText xml:space="preserve"> PAGEREF _Toc120694961 \h </w:instrText>
      </w:r>
      <w:r w:rsidRPr="008F5E3D">
        <w:rPr>
          <w:noProof/>
        </w:rPr>
      </w:r>
      <w:r w:rsidRPr="008F5E3D">
        <w:rPr>
          <w:noProof/>
        </w:rPr>
        <w:fldChar w:fldCharType="separate"/>
      </w:r>
      <w:r w:rsidR="00230D3E">
        <w:rPr>
          <w:noProof/>
        </w:rPr>
        <w:t>2</w:t>
      </w:r>
      <w:r w:rsidRPr="008F5E3D">
        <w:rPr>
          <w:noProof/>
        </w:rPr>
        <w:fldChar w:fldCharType="end"/>
      </w:r>
    </w:p>
    <w:p w14:paraId="3A599E3E" w14:textId="182C7183" w:rsidR="008F5E3D" w:rsidRDefault="008F5E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F5E3D">
        <w:rPr>
          <w:b w:val="0"/>
          <w:noProof/>
          <w:sz w:val="18"/>
        </w:rPr>
        <w:tab/>
      </w:r>
      <w:r w:rsidRPr="008F5E3D">
        <w:rPr>
          <w:b w:val="0"/>
          <w:noProof/>
          <w:sz w:val="18"/>
        </w:rPr>
        <w:fldChar w:fldCharType="begin"/>
      </w:r>
      <w:r w:rsidRPr="008F5E3D">
        <w:rPr>
          <w:b w:val="0"/>
          <w:noProof/>
          <w:sz w:val="18"/>
        </w:rPr>
        <w:instrText xml:space="preserve"> PAGEREF _Toc120694962 \h </w:instrText>
      </w:r>
      <w:r w:rsidRPr="008F5E3D">
        <w:rPr>
          <w:b w:val="0"/>
          <w:noProof/>
          <w:sz w:val="18"/>
        </w:rPr>
      </w:r>
      <w:r w:rsidRPr="008F5E3D">
        <w:rPr>
          <w:b w:val="0"/>
          <w:noProof/>
          <w:sz w:val="18"/>
        </w:rPr>
        <w:fldChar w:fldCharType="separate"/>
      </w:r>
      <w:r w:rsidR="00230D3E">
        <w:rPr>
          <w:b w:val="0"/>
          <w:noProof/>
          <w:sz w:val="18"/>
        </w:rPr>
        <w:t>3</w:t>
      </w:r>
      <w:r w:rsidRPr="008F5E3D">
        <w:rPr>
          <w:b w:val="0"/>
          <w:noProof/>
          <w:sz w:val="18"/>
        </w:rPr>
        <w:fldChar w:fldCharType="end"/>
      </w:r>
    </w:p>
    <w:p w14:paraId="1B187430" w14:textId="5E199CB0" w:rsidR="008F5E3D" w:rsidRDefault="008F5E3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8F5E3D">
        <w:rPr>
          <w:noProof/>
          <w:sz w:val="18"/>
        </w:rPr>
        <w:tab/>
      </w:r>
      <w:r w:rsidRPr="008F5E3D">
        <w:rPr>
          <w:noProof/>
          <w:sz w:val="18"/>
        </w:rPr>
        <w:fldChar w:fldCharType="begin"/>
      </w:r>
      <w:r w:rsidRPr="008F5E3D">
        <w:rPr>
          <w:noProof/>
          <w:sz w:val="18"/>
        </w:rPr>
        <w:instrText xml:space="preserve"> PAGEREF _Toc120694963 \h </w:instrText>
      </w:r>
      <w:r w:rsidRPr="008F5E3D">
        <w:rPr>
          <w:noProof/>
          <w:sz w:val="18"/>
        </w:rPr>
      </w:r>
      <w:r w:rsidRPr="008F5E3D">
        <w:rPr>
          <w:noProof/>
          <w:sz w:val="18"/>
        </w:rPr>
        <w:fldChar w:fldCharType="separate"/>
      </w:r>
      <w:r w:rsidR="00230D3E">
        <w:rPr>
          <w:noProof/>
          <w:sz w:val="18"/>
        </w:rPr>
        <w:t>3</w:t>
      </w:r>
      <w:r w:rsidRPr="008F5E3D">
        <w:rPr>
          <w:noProof/>
          <w:sz w:val="18"/>
        </w:rPr>
        <w:fldChar w:fldCharType="end"/>
      </w:r>
    </w:p>
    <w:p w14:paraId="142E09BE" w14:textId="7BA03883" w:rsidR="008F5E3D" w:rsidRDefault="008F5E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Home Ownership Assistance Scheme Act 2008</w:t>
      </w:r>
      <w:r w:rsidRPr="008F5E3D">
        <w:rPr>
          <w:i w:val="0"/>
          <w:noProof/>
          <w:sz w:val="18"/>
        </w:rPr>
        <w:tab/>
      </w:r>
      <w:r w:rsidRPr="008F5E3D">
        <w:rPr>
          <w:i w:val="0"/>
          <w:noProof/>
          <w:sz w:val="18"/>
        </w:rPr>
        <w:fldChar w:fldCharType="begin"/>
      </w:r>
      <w:r w:rsidRPr="008F5E3D">
        <w:rPr>
          <w:i w:val="0"/>
          <w:noProof/>
          <w:sz w:val="18"/>
        </w:rPr>
        <w:instrText xml:space="preserve"> PAGEREF _Toc120694964 \h </w:instrText>
      </w:r>
      <w:r w:rsidRPr="008F5E3D">
        <w:rPr>
          <w:i w:val="0"/>
          <w:noProof/>
          <w:sz w:val="18"/>
        </w:rPr>
      </w:r>
      <w:r w:rsidRPr="008F5E3D">
        <w:rPr>
          <w:i w:val="0"/>
          <w:noProof/>
          <w:sz w:val="18"/>
        </w:rPr>
        <w:fldChar w:fldCharType="separate"/>
      </w:r>
      <w:r w:rsidR="00230D3E">
        <w:rPr>
          <w:i w:val="0"/>
          <w:noProof/>
          <w:sz w:val="18"/>
        </w:rPr>
        <w:t>3</w:t>
      </w:r>
      <w:r w:rsidRPr="008F5E3D">
        <w:rPr>
          <w:i w:val="0"/>
          <w:noProof/>
          <w:sz w:val="18"/>
        </w:rPr>
        <w:fldChar w:fldCharType="end"/>
      </w:r>
    </w:p>
    <w:p w14:paraId="272FAA67" w14:textId="6C5B1D2B" w:rsidR="008F5E3D" w:rsidRDefault="008F5E3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and transitional provisions</w:t>
      </w:r>
      <w:r w:rsidRPr="008F5E3D">
        <w:rPr>
          <w:noProof/>
          <w:sz w:val="18"/>
        </w:rPr>
        <w:tab/>
      </w:r>
      <w:r w:rsidRPr="008F5E3D">
        <w:rPr>
          <w:noProof/>
          <w:sz w:val="18"/>
        </w:rPr>
        <w:fldChar w:fldCharType="begin"/>
      </w:r>
      <w:r w:rsidRPr="008F5E3D">
        <w:rPr>
          <w:noProof/>
          <w:sz w:val="18"/>
        </w:rPr>
        <w:instrText xml:space="preserve"> PAGEREF _Toc120694967 \h </w:instrText>
      </w:r>
      <w:r w:rsidRPr="008F5E3D">
        <w:rPr>
          <w:noProof/>
          <w:sz w:val="18"/>
        </w:rPr>
      </w:r>
      <w:r w:rsidRPr="008F5E3D">
        <w:rPr>
          <w:noProof/>
          <w:sz w:val="18"/>
        </w:rPr>
        <w:fldChar w:fldCharType="separate"/>
      </w:r>
      <w:r w:rsidR="00230D3E">
        <w:rPr>
          <w:noProof/>
          <w:sz w:val="18"/>
        </w:rPr>
        <w:t>8</w:t>
      </w:r>
      <w:r w:rsidRPr="008F5E3D">
        <w:rPr>
          <w:noProof/>
          <w:sz w:val="18"/>
        </w:rPr>
        <w:fldChar w:fldCharType="end"/>
      </w:r>
    </w:p>
    <w:p w14:paraId="4AEC7EEC" w14:textId="4BC2494D" w:rsidR="00055B5C" w:rsidRPr="00026A21" w:rsidRDefault="008F5E3D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6DCE0763" w14:textId="77777777" w:rsidR="00060FF9" w:rsidRPr="009F5372" w:rsidRDefault="00060FF9" w:rsidP="0048364F"/>
    <w:p w14:paraId="13FE5123" w14:textId="77777777" w:rsidR="00FE7F93" w:rsidRPr="009F5372" w:rsidRDefault="00FE7F93" w:rsidP="0048364F">
      <w:pPr>
        <w:sectPr w:rsidR="00FE7F93" w:rsidRPr="009F5372" w:rsidSect="00026A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294C139" w14:textId="77777777" w:rsidR="00026A21" w:rsidRDefault="00026A21">
      <w:r>
        <w:object w:dxaOrig="2146" w:dyaOrig="1561" w14:anchorId="69508F42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31307981" r:id="rId21"/>
        </w:object>
      </w:r>
    </w:p>
    <w:p w14:paraId="2FC59747" w14:textId="77777777" w:rsidR="00026A21" w:rsidRDefault="00026A21"/>
    <w:p w14:paraId="4A494407" w14:textId="77777777" w:rsidR="00026A21" w:rsidRDefault="00026A21" w:rsidP="000178F8">
      <w:pPr>
        <w:spacing w:line="240" w:lineRule="auto"/>
      </w:pPr>
    </w:p>
    <w:p w14:paraId="77C39416" w14:textId="4CC4BB8B" w:rsidR="00026A21" w:rsidRDefault="00230D3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Defence Home Ownership Assistance Scheme Amendment Act 2022</w:t>
      </w:r>
      <w:r>
        <w:rPr>
          <w:noProof/>
        </w:rPr>
        <w:fldChar w:fldCharType="end"/>
      </w:r>
    </w:p>
    <w:p w14:paraId="2514FE24" w14:textId="7F53C20D" w:rsidR="00026A21" w:rsidRDefault="00230D3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61, 2022</w:t>
      </w:r>
      <w:r>
        <w:rPr>
          <w:noProof/>
        </w:rPr>
        <w:fldChar w:fldCharType="end"/>
      </w:r>
    </w:p>
    <w:p w14:paraId="31665F28" w14:textId="77777777" w:rsidR="00026A21" w:rsidRPr="009A0728" w:rsidRDefault="00026A2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F5D3E39" w14:textId="77777777" w:rsidR="00026A21" w:rsidRPr="009A0728" w:rsidRDefault="00026A21" w:rsidP="009A0728">
      <w:pPr>
        <w:spacing w:line="40" w:lineRule="exact"/>
        <w:rPr>
          <w:rFonts w:eastAsia="Calibri"/>
          <w:b/>
          <w:sz w:val="28"/>
        </w:rPr>
      </w:pPr>
    </w:p>
    <w:p w14:paraId="7728EF7D" w14:textId="77777777" w:rsidR="00026A21" w:rsidRPr="009A0728" w:rsidRDefault="00026A2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286B706" w14:textId="77777777" w:rsidR="00026A21" w:rsidRDefault="00026A21" w:rsidP="00026A21">
      <w:pPr>
        <w:pStyle w:val="Page1"/>
        <w:spacing w:before="400"/>
      </w:pPr>
      <w:r>
        <w:t xml:space="preserve">An Act to amend the </w:t>
      </w:r>
      <w:r w:rsidRPr="00026A21">
        <w:rPr>
          <w:i/>
        </w:rPr>
        <w:t>Defence Home Ownership Assistance Scheme Act 2008</w:t>
      </w:r>
      <w:r>
        <w:t>, and for related purposes</w:t>
      </w:r>
    </w:p>
    <w:p w14:paraId="6653F3E6" w14:textId="09D8DEB3" w:rsidR="006B1078" w:rsidRDefault="006B107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2022</w:t>
      </w:r>
      <w:r>
        <w:rPr>
          <w:sz w:val="24"/>
        </w:rPr>
        <w:t>]</w:t>
      </w:r>
    </w:p>
    <w:p w14:paraId="7D86F1E7" w14:textId="56250C41" w:rsidR="0048364F" w:rsidRPr="009F5372" w:rsidRDefault="0048364F" w:rsidP="00E06291">
      <w:pPr>
        <w:spacing w:before="240" w:line="240" w:lineRule="auto"/>
        <w:rPr>
          <w:sz w:val="32"/>
        </w:rPr>
      </w:pPr>
      <w:r w:rsidRPr="009F5372">
        <w:rPr>
          <w:sz w:val="32"/>
        </w:rPr>
        <w:t>The Parliament of Australia enacts:</w:t>
      </w:r>
    </w:p>
    <w:p w14:paraId="3CFB17F0" w14:textId="77777777" w:rsidR="0048364F" w:rsidRPr="009F5372" w:rsidRDefault="0048364F" w:rsidP="00E06291">
      <w:pPr>
        <w:pStyle w:val="ActHead5"/>
      </w:pPr>
      <w:bookmarkStart w:id="2" w:name="_Toc120694959"/>
      <w:r w:rsidRPr="00FD6CF4">
        <w:rPr>
          <w:rStyle w:val="CharSectno"/>
        </w:rPr>
        <w:t>1</w:t>
      </w:r>
      <w:r w:rsidRPr="009F5372">
        <w:t xml:space="preserve">  Short title</w:t>
      </w:r>
      <w:bookmarkEnd w:id="2"/>
    </w:p>
    <w:p w14:paraId="07D2371F" w14:textId="77777777" w:rsidR="0048364F" w:rsidRPr="009F5372" w:rsidRDefault="0048364F" w:rsidP="00E06291">
      <w:pPr>
        <w:pStyle w:val="subsection"/>
      </w:pPr>
      <w:r w:rsidRPr="009F5372">
        <w:tab/>
      </w:r>
      <w:r w:rsidRPr="009F5372">
        <w:tab/>
        <w:t xml:space="preserve">This Act </w:t>
      </w:r>
      <w:r w:rsidR="00275197" w:rsidRPr="009F5372">
        <w:t xml:space="preserve">is </w:t>
      </w:r>
      <w:r w:rsidRPr="009F5372">
        <w:t xml:space="preserve">the </w:t>
      </w:r>
      <w:r w:rsidR="00BF3144" w:rsidRPr="009F5372">
        <w:rPr>
          <w:i/>
        </w:rPr>
        <w:t>Defence Home Ownership Assistance Scheme Amendment</w:t>
      </w:r>
      <w:r w:rsidR="00EE3E36" w:rsidRPr="009F5372">
        <w:rPr>
          <w:i/>
        </w:rPr>
        <w:t xml:space="preserve"> Act 20</w:t>
      </w:r>
      <w:r w:rsidR="009E186E" w:rsidRPr="009F5372">
        <w:rPr>
          <w:i/>
        </w:rPr>
        <w:t>2</w:t>
      </w:r>
      <w:r w:rsidR="00545D52" w:rsidRPr="009F5372">
        <w:rPr>
          <w:i/>
        </w:rPr>
        <w:t>2</w:t>
      </w:r>
      <w:r w:rsidRPr="009F5372">
        <w:t>.</w:t>
      </w:r>
    </w:p>
    <w:p w14:paraId="26994714" w14:textId="77777777" w:rsidR="0048364F" w:rsidRPr="009F5372" w:rsidRDefault="0048364F" w:rsidP="00E06291">
      <w:pPr>
        <w:pStyle w:val="ActHead5"/>
      </w:pPr>
      <w:bookmarkStart w:id="3" w:name="_Toc120694960"/>
      <w:r w:rsidRPr="00FD6CF4">
        <w:rPr>
          <w:rStyle w:val="CharSectno"/>
        </w:rPr>
        <w:t>2</w:t>
      </w:r>
      <w:r w:rsidRPr="009F5372">
        <w:t xml:space="preserve">  Commencement</w:t>
      </w:r>
      <w:bookmarkEnd w:id="3"/>
    </w:p>
    <w:p w14:paraId="61488130" w14:textId="77777777" w:rsidR="0048364F" w:rsidRPr="009F5372" w:rsidRDefault="0048364F" w:rsidP="00E06291">
      <w:pPr>
        <w:pStyle w:val="subsection"/>
      </w:pPr>
      <w:r w:rsidRPr="009F5372">
        <w:tab/>
        <w:t>(1)</w:t>
      </w:r>
      <w:r w:rsidRPr="009F537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590EDBF" w14:textId="77777777" w:rsidR="0048364F" w:rsidRPr="009F5372" w:rsidRDefault="0048364F" w:rsidP="00E0629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F5372" w14:paraId="022489A4" w14:textId="77777777" w:rsidTr="00A33B1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FD9407" w14:textId="77777777" w:rsidR="0048364F" w:rsidRPr="009F5372" w:rsidRDefault="0048364F" w:rsidP="00E06291">
            <w:pPr>
              <w:pStyle w:val="TableHeading"/>
            </w:pPr>
            <w:r w:rsidRPr="009F5372">
              <w:t>Commencement information</w:t>
            </w:r>
          </w:p>
        </w:tc>
      </w:tr>
      <w:tr w:rsidR="0048364F" w:rsidRPr="009F5372" w14:paraId="00F3AAC1" w14:textId="77777777" w:rsidTr="00A33B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11BCA" w14:textId="77777777" w:rsidR="0048364F" w:rsidRPr="009F5372" w:rsidRDefault="0048364F" w:rsidP="00E06291">
            <w:pPr>
              <w:pStyle w:val="TableHeading"/>
            </w:pPr>
            <w:r w:rsidRPr="009F537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3EB9A" w14:textId="77777777" w:rsidR="0048364F" w:rsidRPr="009F5372" w:rsidRDefault="0048364F" w:rsidP="00E06291">
            <w:pPr>
              <w:pStyle w:val="TableHeading"/>
            </w:pPr>
            <w:r w:rsidRPr="009F537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24DE8" w14:textId="77777777" w:rsidR="0048364F" w:rsidRPr="009F5372" w:rsidRDefault="0048364F" w:rsidP="00E06291">
            <w:pPr>
              <w:pStyle w:val="TableHeading"/>
            </w:pPr>
            <w:r w:rsidRPr="009F5372">
              <w:t>Column 3</w:t>
            </w:r>
          </w:p>
        </w:tc>
      </w:tr>
      <w:tr w:rsidR="0048364F" w:rsidRPr="009F5372" w14:paraId="12021F0A" w14:textId="77777777" w:rsidTr="00A33B1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EA7021" w14:textId="77777777" w:rsidR="0048364F" w:rsidRPr="009F5372" w:rsidRDefault="0048364F" w:rsidP="00E06291">
            <w:pPr>
              <w:pStyle w:val="TableHeading"/>
            </w:pPr>
            <w:r w:rsidRPr="009F537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DC5671" w14:textId="77777777" w:rsidR="0048364F" w:rsidRPr="009F5372" w:rsidRDefault="0048364F" w:rsidP="00E06291">
            <w:pPr>
              <w:pStyle w:val="TableHeading"/>
            </w:pPr>
            <w:r w:rsidRPr="009F537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ECF1B8" w14:textId="77777777" w:rsidR="0048364F" w:rsidRPr="009F5372" w:rsidRDefault="0048364F" w:rsidP="00E06291">
            <w:pPr>
              <w:pStyle w:val="TableHeading"/>
            </w:pPr>
            <w:r w:rsidRPr="009F5372">
              <w:t>Date/Details</w:t>
            </w:r>
          </w:p>
        </w:tc>
      </w:tr>
      <w:tr w:rsidR="0048364F" w:rsidRPr="009F5372" w14:paraId="3EA5D8DB" w14:textId="77777777" w:rsidTr="00A33B1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6D6FD0" w14:textId="77777777" w:rsidR="0048364F" w:rsidRPr="009F5372" w:rsidRDefault="0048364F" w:rsidP="00E06291">
            <w:pPr>
              <w:pStyle w:val="Tabletext"/>
            </w:pPr>
            <w:r w:rsidRPr="009F5372">
              <w:t xml:space="preserve">1.  </w:t>
            </w:r>
            <w:r w:rsidR="008B613E" w:rsidRPr="009F5372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76CB5" w14:textId="77777777" w:rsidR="0048364F" w:rsidRPr="009F5372" w:rsidRDefault="001713B3" w:rsidP="00E06291">
            <w:pPr>
              <w:pStyle w:val="Tabletext"/>
            </w:pPr>
            <w:r w:rsidRPr="009F5372">
              <w:t>1 January</w:t>
            </w:r>
            <w:r w:rsidR="008B613E" w:rsidRPr="009F5372">
              <w:t xml:space="preserve"> 2023.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23632" w14:textId="77777777" w:rsidR="0048364F" w:rsidRPr="009F5372" w:rsidRDefault="001713B3" w:rsidP="00E06291">
            <w:pPr>
              <w:pStyle w:val="Tabletext"/>
            </w:pPr>
            <w:r w:rsidRPr="009F5372">
              <w:t>1 January</w:t>
            </w:r>
            <w:r w:rsidR="008B613E" w:rsidRPr="009F5372">
              <w:t xml:space="preserve"> 2023</w:t>
            </w:r>
          </w:p>
        </w:tc>
      </w:tr>
    </w:tbl>
    <w:p w14:paraId="7B7D2857" w14:textId="77777777" w:rsidR="0048364F" w:rsidRPr="009F5372" w:rsidRDefault="00201D27" w:rsidP="00E06291">
      <w:pPr>
        <w:pStyle w:val="notetext"/>
      </w:pPr>
      <w:r w:rsidRPr="009F5372">
        <w:t>Note:</w:t>
      </w:r>
      <w:r w:rsidRPr="009F5372">
        <w:tab/>
        <w:t>This table relates only to the provisions of this Act as originally enacted. It will not be amended to deal with any later amendments of this Act.</w:t>
      </w:r>
    </w:p>
    <w:p w14:paraId="0B818932" w14:textId="77777777" w:rsidR="00532828" w:rsidRPr="009F5372" w:rsidRDefault="0048364F" w:rsidP="00E06291">
      <w:pPr>
        <w:pStyle w:val="subsection"/>
      </w:pPr>
      <w:r w:rsidRPr="009F5372">
        <w:tab/>
        <w:t>(2)</w:t>
      </w:r>
      <w:r w:rsidRPr="009F5372">
        <w:tab/>
      </w:r>
      <w:r w:rsidR="00201D27" w:rsidRPr="009F5372">
        <w:t xml:space="preserve">Any information in </w:t>
      </w:r>
      <w:r w:rsidR="00877D48" w:rsidRPr="009F5372">
        <w:t>c</w:t>
      </w:r>
      <w:r w:rsidR="00201D27" w:rsidRPr="009F5372">
        <w:t>olumn 3 of the table is not part of this Act. Information may be inserted in this column, or information in it may be edited, in any published version of this Act.</w:t>
      </w:r>
    </w:p>
    <w:p w14:paraId="0378F2BF" w14:textId="77777777" w:rsidR="0048364F" w:rsidRPr="009F5372" w:rsidRDefault="0048364F" w:rsidP="00E06291">
      <w:pPr>
        <w:pStyle w:val="ActHead5"/>
      </w:pPr>
      <w:bookmarkStart w:id="4" w:name="_Toc120694961"/>
      <w:r w:rsidRPr="00FD6CF4">
        <w:rPr>
          <w:rStyle w:val="CharSectno"/>
        </w:rPr>
        <w:t>3</w:t>
      </w:r>
      <w:r w:rsidRPr="009F5372">
        <w:t xml:space="preserve">  Schedules</w:t>
      </w:r>
      <w:bookmarkEnd w:id="4"/>
    </w:p>
    <w:p w14:paraId="520549F9" w14:textId="77777777" w:rsidR="0048364F" w:rsidRPr="009F5372" w:rsidRDefault="0048364F" w:rsidP="00E06291">
      <w:pPr>
        <w:pStyle w:val="subsection"/>
      </w:pPr>
      <w:r w:rsidRPr="009F5372">
        <w:tab/>
      </w:r>
      <w:r w:rsidRPr="009F5372">
        <w:tab/>
      </w:r>
      <w:r w:rsidR="00202618" w:rsidRPr="009F5372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FF3C554" w14:textId="77777777" w:rsidR="00B11FCC" w:rsidRPr="009F5372" w:rsidRDefault="00ED215F" w:rsidP="00E06291">
      <w:pPr>
        <w:pStyle w:val="ActHead6"/>
        <w:pageBreakBefore/>
      </w:pPr>
      <w:bookmarkStart w:id="5" w:name="_Toc120694962"/>
      <w:r w:rsidRPr="00FD6CF4">
        <w:rPr>
          <w:rStyle w:val="CharAmSchNo"/>
        </w:rPr>
        <w:lastRenderedPageBreak/>
        <w:t>Schedule 1</w:t>
      </w:r>
      <w:r w:rsidR="0048364F" w:rsidRPr="009F5372">
        <w:t>—</w:t>
      </w:r>
      <w:r w:rsidR="00BF3144" w:rsidRPr="00FD6CF4">
        <w:rPr>
          <w:rStyle w:val="CharAmSchText"/>
        </w:rPr>
        <w:t>Amendments</w:t>
      </w:r>
      <w:bookmarkEnd w:id="5"/>
    </w:p>
    <w:p w14:paraId="35E5E243" w14:textId="77777777" w:rsidR="00EF1ABD" w:rsidRPr="009F5372" w:rsidRDefault="0037569D" w:rsidP="00E06291">
      <w:pPr>
        <w:pStyle w:val="ActHead7"/>
      </w:pPr>
      <w:bookmarkStart w:id="6" w:name="_Toc120694963"/>
      <w:r w:rsidRPr="00FD6CF4">
        <w:rPr>
          <w:rStyle w:val="CharAmPartNo"/>
        </w:rPr>
        <w:t>Part 1</w:t>
      </w:r>
      <w:r w:rsidR="00EF1ABD" w:rsidRPr="009F5372">
        <w:t>—</w:t>
      </w:r>
      <w:r w:rsidR="00EF1ABD" w:rsidRPr="00FD6CF4">
        <w:rPr>
          <w:rStyle w:val="CharAmPartText"/>
        </w:rPr>
        <w:t>Amendments</w:t>
      </w:r>
      <w:bookmarkEnd w:id="6"/>
    </w:p>
    <w:p w14:paraId="4F25E766" w14:textId="77777777" w:rsidR="008D3E94" w:rsidRPr="009F5372" w:rsidRDefault="00BF3144" w:rsidP="00E06291">
      <w:pPr>
        <w:pStyle w:val="ActHead9"/>
      </w:pPr>
      <w:bookmarkStart w:id="7" w:name="_Toc120694964"/>
      <w:r w:rsidRPr="009F5372">
        <w:t>Defence Home Ownership Assistance Scheme Act 2008</w:t>
      </w:r>
      <w:bookmarkEnd w:id="7"/>
    </w:p>
    <w:p w14:paraId="7C2B23B2" w14:textId="77777777" w:rsidR="00BF3144" w:rsidRPr="009F5372" w:rsidRDefault="0073680B" w:rsidP="00E06291">
      <w:pPr>
        <w:pStyle w:val="ItemHead"/>
      </w:pPr>
      <w:r w:rsidRPr="009F5372">
        <w:t>1</w:t>
      </w:r>
      <w:r w:rsidR="00BF3144" w:rsidRPr="009F5372">
        <w:t xml:space="preserve">  </w:t>
      </w:r>
      <w:r w:rsidR="00BE3C46" w:rsidRPr="009F5372">
        <w:t>Paragraph 8</w:t>
      </w:r>
      <w:r w:rsidR="00532828" w:rsidRPr="009F5372">
        <w:t>(2)(a)</w:t>
      </w:r>
    </w:p>
    <w:p w14:paraId="1E05563B" w14:textId="77777777" w:rsidR="00532828" w:rsidRPr="009F5372" w:rsidRDefault="00532828" w:rsidP="00E06291">
      <w:pPr>
        <w:pStyle w:val="Item"/>
      </w:pPr>
      <w:r w:rsidRPr="009F5372">
        <w:t>Omit “4 years”, substitute “2 years”.</w:t>
      </w:r>
    </w:p>
    <w:p w14:paraId="4DC9E4EF" w14:textId="77777777" w:rsidR="00532828" w:rsidRPr="009F5372" w:rsidRDefault="0073680B" w:rsidP="00E06291">
      <w:pPr>
        <w:pStyle w:val="ItemHead"/>
      </w:pPr>
      <w:r w:rsidRPr="009F5372">
        <w:t>2</w:t>
      </w:r>
      <w:r w:rsidR="00532828" w:rsidRPr="009F5372">
        <w:t xml:space="preserve">  </w:t>
      </w:r>
      <w:r w:rsidR="00BE3C46" w:rsidRPr="009F5372">
        <w:t>Paragraph 8</w:t>
      </w:r>
      <w:r w:rsidR="00532828" w:rsidRPr="009F5372">
        <w:t>(2)(b)</w:t>
      </w:r>
    </w:p>
    <w:p w14:paraId="556073F3" w14:textId="77777777" w:rsidR="00532828" w:rsidRPr="009F5372" w:rsidRDefault="00532828" w:rsidP="00E06291">
      <w:pPr>
        <w:pStyle w:val="Item"/>
      </w:pPr>
      <w:r w:rsidRPr="009F5372">
        <w:t>Omit “</w:t>
      </w:r>
      <w:r w:rsidR="00B34F99" w:rsidRPr="009F5372">
        <w:t>8</w:t>
      </w:r>
      <w:r w:rsidRPr="009F5372">
        <w:t xml:space="preserve"> years”, substitute “</w:t>
      </w:r>
      <w:r w:rsidR="00B34F99" w:rsidRPr="009F5372">
        <w:t>4</w:t>
      </w:r>
      <w:r w:rsidRPr="009F5372">
        <w:t xml:space="preserve"> years”.</w:t>
      </w:r>
    </w:p>
    <w:p w14:paraId="704D03EC" w14:textId="77777777" w:rsidR="006D3A24" w:rsidRPr="009F5372" w:rsidRDefault="0073680B" w:rsidP="00E06291">
      <w:pPr>
        <w:pStyle w:val="ItemHead"/>
      </w:pPr>
      <w:r w:rsidRPr="009F5372">
        <w:t>3</w:t>
      </w:r>
      <w:r w:rsidR="006D3A24" w:rsidRPr="009F5372">
        <w:t xml:space="preserve">  </w:t>
      </w:r>
      <w:r w:rsidR="00BE3C46" w:rsidRPr="009F5372">
        <w:t>Paragraph 8</w:t>
      </w:r>
      <w:r w:rsidR="006D3A24" w:rsidRPr="009F5372">
        <w:t>(2)(c)</w:t>
      </w:r>
    </w:p>
    <w:p w14:paraId="559C5BFC" w14:textId="77777777" w:rsidR="006D3A24" w:rsidRPr="009F5372" w:rsidRDefault="006D3A24" w:rsidP="00E06291">
      <w:pPr>
        <w:pStyle w:val="Item"/>
      </w:pPr>
      <w:r w:rsidRPr="009F5372">
        <w:t>Omit “4 years”, substitute “2 years”.</w:t>
      </w:r>
    </w:p>
    <w:p w14:paraId="6A81B813" w14:textId="77777777" w:rsidR="00B34F99" w:rsidRPr="009F5372" w:rsidRDefault="0073680B" w:rsidP="00E06291">
      <w:pPr>
        <w:pStyle w:val="ItemHead"/>
      </w:pPr>
      <w:r w:rsidRPr="009F5372">
        <w:t>4</w:t>
      </w:r>
      <w:r w:rsidR="00B34F99" w:rsidRPr="009F5372">
        <w:t xml:space="preserve">  </w:t>
      </w:r>
      <w:r w:rsidR="0037569D" w:rsidRPr="009F5372">
        <w:t>Paragraph 1</w:t>
      </w:r>
      <w:r w:rsidR="00B34F99" w:rsidRPr="009F5372">
        <w:t>0(2)(a)</w:t>
      </w:r>
    </w:p>
    <w:p w14:paraId="0D7F8F77" w14:textId="77777777" w:rsidR="00B34F99" w:rsidRPr="009F5372" w:rsidRDefault="00B34F99" w:rsidP="00E06291">
      <w:pPr>
        <w:pStyle w:val="Item"/>
      </w:pPr>
      <w:r w:rsidRPr="009F5372">
        <w:t>Omit “4 years”, substitute “2 years”.</w:t>
      </w:r>
    </w:p>
    <w:p w14:paraId="71AF848C" w14:textId="77777777" w:rsidR="00B34F99" w:rsidRPr="009F5372" w:rsidRDefault="0073680B" w:rsidP="00E06291">
      <w:pPr>
        <w:pStyle w:val="ItemHead"/>
      </w:pPr>
      <w:r w:rsidRPr="009F5372">
        <w:t>5</w:t>
      </w:r>
      <w:r w:rsidR="00B34F99" w:rsidRPr="009F5372">
        <w:t xml:space="preserve">  </w:t>
      </w:r>
      <w:r w:rsidR="0037569D" w:rsidRPr="009F5372">
        <w:t>Paragraph 1</w:t>
      </w:r>
      <w:r w:rsidR="00B34F99" w:rsidRPr="009F5372">
        <w:t>0(2)(b)</w:t>
      </w:r>
    </w:p>
    <w:p w14:paraId="757CD12A" w14:textId="77777777" w:rsidR="0007348B" w:rsidRPr="009F5372" w:rsidRDefault="00B34F99" w:rsidP="00E06291">
      <w:pPr>
        <w:pStyle w:val="Item"/>
      </w:pPr>
      <w:r w:rsidRPr="009F5372">
        <w:t>Omit “8 years”, substitute “4 years”.</w:t>
      </w:r>
    </w:p>
    <w:p w14:paraId="50711E16" w14:textId="77777777" w:rsidR="002B0F78" w:rsidRPr="009F5372" w:rsidRDefault="0073680B" w:rsidP="00E06291">
      <w:pPr>
        <w:pStyle w:val="ItemHead"/>
      </w:pPr>
      <w:r w:rsidRPr="009F5372">
        <w:t>6</w:t>
      </w:r>
      <w:r w:rsidR="002B0F78" w:rsidRPr="009F5372">
        <w:t xml:space="preserve">  </w:t>
      </w:r>
      <w:r w:rsidR="00A807B1" w:rsidRPr="009F5372">
        <w:t>Sub</w:t>
      </w:r>
      <w:r w:rsidR="00BE3C46" w:rsidRPr="009F5372">
        <w:t>section 1</w:t>
      </w:r>
      <w:r w:rsidR="002B0F78" w:rsidRPr="009F5372">
        <w:t>7(1)</w:t>
      </w:r>
    </w:p>
    <w:p w14:paraId="1E9C0624" w14:textId="77777777" w:rsidR="002B0F78" w:rsidRPr="009F5372" w:rsidRDefault="002B0F78" w:rsidP="00E06291">
      <w:pPr>
        <w:pStyle w:val="Item"/>
      </w:pPr>
      <w:r w:rsidRPr="009F5372">
        <w:t>Omit “(1) Subject to this section, the”, substitute “The”.</w:t>
      </w:r>
    </w:p>
    <w:p w14:paraId="62A445E1" w14:textId="77777777" w:rsidR="005A236B" w:rsidRPr="009F5372" w:rsidRDefault="0073680B" w:rsidP="00E06291">
      <w:pPr>
        <w:pStyle w:val="ItemHead"/>
      </w:pPr>
      <w:r w:rsidRPr="009F5372">
        <w:t>7</w:t>
      </w:r>
      <w:r w:rsidR="005A236B" w:rsidRPr="009F5372">
        <w:t xml:space="preserve">  </w:t>
      </w:r>
      <w:r w:rsidR="0037569D" w:rsidRPr="009F5372">
        <w:t>Subsections 1</w:t>
      </w:r>
      <w:r w:rsidR="005A236B" w:rsidRPr="009F5372">
        <w:t>7</w:t>
      </w:r>
      <w:r w:rsidR="000F7372" w:rsidRPr="009F5372">
        <w:t xml:space="preserve">(2) and </w:t>
      </w:r>
      <w:r w:rsidR="005A236B" w:rsidRPr="009F5372">
        <w:t>(3)</w:t>
      </w:r>
    </w:p>
    <w:p w14:paraId="5319A86C" w14:textId="77777777" w:rsidR="005A236B" w:rsidRPr="009F5372" w:rsidRDefault="005A236B" w:rsidP="00E06291">
      <w:pPr>
        <w:pStyle w:val="Item"/>
      </w:pPr>
      <w:r w:rsidRPr="009F5372">
        <w:t>Repeal the subsection</w:t>
      </w:r>
      <w:r w:rsidR="000F7372" w:rsidRPr="009F5372">
        <w:t>s</w:t>
      </w:r>
      <w:r w:rsidRPr="009F5372">
        <w:t>.</w:t>
      </w:r>
    </w:p>
    <w:p w14:paraId="1A5F0F5A" w14:textId="77777777" w:rsidR="002B0F78" w:rsidRPr="009F5372" w:rsidRDefault="0073680B" w:rsidP="00E06291">
      <w:pPr>
        <w:pStyle w:val="ItemHead"/>
      </w:pPr>
      <w:r w:rsidRPr="009F5372">
        <w:t>8</w:t>
      </w:r>
      <w:r w:rsidR="002B0F78" w:rsidRPr="009F5372">
        <w:t xml:space="preserve">  </w:t>
      </w:r>
      <w:r w:rsidR="00A807B1" w:rsidRPr="009F5372">
        <w:t>Sub</w:t>
      </w:r>
      <w:r w:rsidR="00BE3C46" w:rsidRPr="009F5372">
        <w:t>section 1</w:t>
      </w:r>
      <w:r w:rsidR="002B0F78" w:rsidRPr="009F5372">
        <w:t>8(1)</w:t>
      </w:r>
    </w:p>
    <w:p w14:paraId="4BDCBA8C" w14:textId="77777777" w:rsidR="002B0F78" w:rsidRPr="009F5372" w:rsidRDefault="002B0F78" w:rsidP="00E06291">
      <w:pPr>
        <w:pStyle w:val="Item"/>
      </w:pPr>
      <w:r w:rsidRPr="009F5372">
        <w:t>Omit “(1) Subject to this section, the”, substitute “The”.</w:t>
      </w:r>
    </w:p>
    <w:p w14:paraId="6DED784E" w14:textId="77777777" w:rsidR="000800BD" w:rsidRPr="009F5372" w:rsidRDefault="0073680B" w:rsidP="00E06291">
      <w:pPr>
        <w:pStyle w:val="ItemHead"/>
      </w:pPr>
      <w:r w:rsidRPr="009F5372">
        <w:t>9</w:t>
      </w:r>
      <w:r w:rsidR="000800BD" w:rsidRPr="009F5372">
        <w:t xml:space="preserve">  </w:t>
      </w:r>
      <w:r w:rsidR="0037569D" w:rsidRPr="009F5372">
        <w:t>Subsections 1</w:t>
      </w:r>
      <w:r w:rsidR="000800BD" w:rsidRPr="009F5372">
        <w:t>8(2) and (3)</w:t>
      </w:r>
    </w:p>
    <w:p w14:paraId="4A2D344F" w14:textId="77777777" w:rsidR="00042288" w:rsidRPr="009F5372" w:rsidRDefault="000800BD" w:rsidP="00E06291">
      <w:pPr>
        <w:pStyle w:val="Item"/>
      </w:pPr>
      <w:r w:rsidRPr="009F5372">
        <w:t>Repeal the subsections.</w:t>
      </w:r>
    </w:p>
    <w:p w14:paraId="433C8ACC" w14:textId="77777777" w:rsidR="002908B3" w:rsidRPr="009F5372" w:rsidRDefault="0073680B" w:rsidP="00E06291">
      <w:pPr>
        <w:pStyle w:val="ItemHead"/>
      </w:pPr>
      <w:r w:rsidRPr="009F5372">
        <w:t>10</w:t>
      </w:r>
      <w:r w:rsidR="002908B3" w:rsidRPr="009F5372">
        <w:t xml:space="preserve">  </w:t>
      </w:r>
      <w:r w:rsidR="0037569D" w:rsidRPr="009F5372">
        <w:t>Section 3</w:t>
      </w:r>
      <w:r w:rsidR="002908B3" w:rsidRPr="009F5372">
        <w:t>6</w:t>
      </w:r>
    </w:p>
    <w:p w14:paraId="04A5949F" w14:textId="77777777" w:rsidR="002908B3" w:rsidRPr="009F5372" w:rsidRDefault="002908B3" w:rsidP="00E06291">
      <w:pPr>
        <w:pStyle w:val="Item"/>
      </w:pPr>
      <w:r w:rsidRPr="009F5372">
        <w:t>Before “Subsidy”, insert “(1)”.</w:t>
      </w:r>
    </w:p>
    <w:p w14:paraId="5F434970" w14:textId="77777777" w:rsidR="002908B3" w:rsidRPr="009F5372" w:rsidRDefault="0073680B" w:rsidP="00E06291">
      <w:pPr>
        <w:pStyle w:val="ItemHead"/>
      </w:pPr>
      <w:r w:rsidRPr="009F5372">
        <w:lastRenderedPageBreak/>
        <w:t>11</w:t>
      </w:r>
      <w:r w:rsidR="002908B3" w:rsidRPr="009F5372">
        <w:t xml:space="preserve">  At the end of </w:t>
      </w:r>
      <w:r w:rsidR="009F3FC3" w:rsidRPr="009F5372">
        <w:t>section 3</w:t>
      </w:r>
      <w:r w:rsidR="002908B3" w:rsidRPr="009F5372">
        <w:t>6</w:t>
      </w:r>
    </w:p>
    <w:p w14:paraId="336537F0" w14:textId="77777777" w:rsidR="002908B3" w:rsidRPr="009F5372" w:rsidRDefault="002908B3" w:rsidP="00E06291">
      <w:pPr>
        <w:pStyle w:val="Item"/>
      </w:pPr>
      <w:r w:rsidRPr="009F5372">
        <w:t>Add:</w:t>
      </w:r>
    </w:p>
    <w:p w14:paraId="4D1FBB64" w14:textId="77777777" w:rsidR="008F1CE4" w:rsidRPr="009F5372" w:rsidRDefault="00E35D74" w:rsidP="00E06291">
      <w:pPr>
        <w:pStyle w:val="subsection"/>
      </w:pPr>
      <w:r w:rsidRPr="009F5372">
        <w:tab/>
        <w:t>(2)</w:t>
      </w:r>
      <w:r w:rsidRPr="009F5372">
        <w:tab/>
      </w:r>
      <w:r w:rsidR="00A51343" w:rsidRPr="009F5372">
        <w:t>The Secretary may, by writing,</w:t>
      </w:r>
      <w:r w:rsidR="00A51343" w:rsidRPr="009F5372">
        <w:rPr>
          <w:i/>
        </w:rPr>
        <w:t xml:space="preserve"> </w:t>
      </w:r>
      <w:r w:rsidR="007800FD" w:rsidRPr="009F5372">
        <w:t>declare</w:t>
      </w:r>
      <w:r w:rsidR="004D7FB8" w:rsidRPr="009F5372">
        <w:t xml:space="preserve"> </w:t>
      </w:r>
      <w:r w:rsidR="00036BA7" w:rsidRPr="009F5372">
        <w:t xml:space="preserve">that </w:t>
      </w:r>
      <w:r w:rsidR="008F1CE4" w:rsidRPr="009F5372">
        <w:t>an</w:t>
      </w:r>
      <w:r w:rsidR="00036BA7" w:rsidRPr="009F5372">
        <w:t xml:space="preserve"> event mentioned in </w:t>
      </w:r>
      <w:r w:rsidR="0073680B" w:rsidRPr="009F5372">
        <w:t>item 1</w:t>
      </w:r>
      <w:r w:rsidR="008F1CE4" w:rsidRPr="009F5372">
        <w:t xml:space="preserve"> of the table in </w:t>
      </w:r>
      <w:r w:rsidR="0073680B" w:rsidRPr="009F5372">
        <w:t>subsection (</w:t>
      </w:r>
      <w:r w:rsidR="008F1CE4" w:rsidRPr="009F5372">
        <w:t xml:space="preserve">1) is taken not to have occurred </w:t>
      </w:r>
      <w:r w:rsidR="004D7FB8" w:rsidRPr="009F5372">
        <w:t>in relation to a subsidised borrower</w:t>
      </w:r>
      <w:r w:rsidR="00192A6D" w:rsidRPr="009F5372">
        <w:t xml:space="preserve"> </w:t>
      </w:r>
      <w:r w:rsidR="008F1CE4" w:rsidRPr="009F5372">
        <w:t>if the Secretary is satisfied that all outstanding amounts due under the subsidised loan were paid as a result of a genuine error, mistake or accident.</w:t>
      </w:r>
    </w:p>
    <w:p w14:paraId="5564D6ED" w14:textId="77777777" w:rsidR="001D1F78" w:rsidRPr="009F5372" w:rsidRDefault="00597E0C" w:rsidP="00E06291">
      <w:pPr>
        <w:pStyle w:val="subsection"/>
      </w:pPr>
      <w:r w:rsidRPr="009F5372">
        <w:tab/>
      </w:r>
      <w:r w:rsidR="00DF013A" w:rsidRPr="009F5372">
        <w:t>(</w:t>
      </w:r>
      <w:r w:rsidR="00B126FE" w:rsidRPr="009F5372">
        <w:t>3</w:t>
      </w:r>
      <w:r w:rsidR="00DF013A" w:rsidRPr="009F5372">
        <w:t>)</w:t>
      </w:r>
      <w:r w:rsidR="00DF013A" w:rsidRPr="009F5372">
        <w:tab/>
      </w:r>
      <w:r w:rsidR="002218D3" w:rsidRPr="009F5372">
        <w:t xml:space="preserve">A declaration made under </w:t>
      </w:r>
      <w:r w:rsidR="0073680B" w:rsidRPr="009F5372">
        <w:t>subsection (</w:t>
      </w:r>
      <w:r w:rsidR="002218D3" w:rsidRPr="009F5372">
        <w:t>2) is not a legislative instrument.</w:t>
      </w:r>
    </w:p>
    <w:p w14:paraId="189615A5" w14:textId="77777777" w:rsidR="004F293A" w:rsidRPr="009F5372" w:rsidRDefault="0073680B" w:rsidP="00E06291">
      <w:pPr>
        <w:pStyle w:val="ItemHead"/>
      </w:pPr>
      <w:r w:rsidRPr="009F5372">
        <w:t>12</w:t>
      </w:r>
      <w:r w:rsidR="004F293A" w:rsidRPr="009F5372">
        <w:t xml:space="preserve">  </w:t>
      </w:r>
      <w:r w:rsidR="009F3FC3" w:rsidRPr="009F5372">
        <w:t>Subsection 5</w:t>
      </w:r>
      <w:r w:rsidR="004F293A" w:rsidRPr="009F5372">
        <w:t>1(2) (table)</w:t>
      </w:r>
    </w:p>
    <w:p w14:paraId="50C922B9" w14:textId="77777777" w:rsidR="00BC2D0F" w:rsidRPr="009F5372" w:rsidRDefault="004F293A" w:rsidP="00E06291">
      <w:pPr>
        <w:pStyle w:val="Item"/>
      </w:pPr>
      <w:r w:rsidRPr="009F5372">
        <w:t>Repeal the table, substitute:</w:t>
      </w:r>
    </w:p>
    <w:p w14:paraId="4F45ED7F" w14:textId="77777777" w:rsidR="00BC2D0F" w:rsidRPr="009F5372" w:rsidRDefault="00BC2D0F" w:rsidP="00E06291">
      <w:pPr>
        <w:pStyle w:val="Tabletext"/>
      </w:pPr>
    </w:p>
    <w:tbl>
      <w:tblPr>
        <w:tblW w:w="7225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95"/>
        <w:gridCol w:w="1002"/>
        <w:gridCol w:w="1002"/>
        <w:gridCol w:w="1002"/>
        <w:gridCol w:w="1002"/>
        <w:gridCol w:w="1002"/>
      </w:tblGrid>
      <w:tr w:rsidR="00D238E8" w:rsidRPr="009F5372" w14:paraId="615802A3" w14:textId="77777777" w:rsidTr="00D2577D">
        <w:trPr>
          <w:tblHeader/>
        </w:trPr>
        <w:tc>
          <w:tcPr>
            <w:tcW w:w="99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B4F641" w14:textId="77777777" w:rsidR="00D238E8" w:rsidRPr="009F5372" w:rsidRDefault="00D238E8" w:rsidP="00E06291">
            <w:pPr>
              <w:pStyle w:val="TableHeading"/>
            </w:pPr>
            <w:r w:rsidRPr="009F5372">
              <w:t>Loan limits</w:t>
            </w:r>
          </w:p>
        </w:tc>
      </w:tr>
      <w:tr w:rsidR="00BC2D0F" w:rsidRPr="009F5372" w14:paraId="01F44F01" w14:textId="77777777" w:rsidTr="00D2577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6A1E0E" w14:textId="77777777" w:rsidR="00BC2D0F" w:rsidRPr="009F5372" w:rsidRDefault="00BC2D0F" w:rsidP="00E06291">
            <w:pPr>
              <w:pStyle w:val="TableHeading"/>
            </w:pPr>
            <w:bookmarkStart w:id="8" w:name="CU_273078"/>
            <w:bookmarkEnd w:id="8"/>
            <w:r w:rsidRPr="009F5372">
              <w:t>Item</w:t>
            </w:r>
          </w:p>
        </w:tc>
        <w:tc>
          <w:tcPr>
            <w:tcW w:w="14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0FB5B5" w14:textId="77777777" w:rsidR="00BC2D0F" w:rsidRPr="009F5372" w:rsidRDefault="00BC2D0F" w:rsidP="00E06291">
            <w:pPr>
              <w:pStyle w:val="TableHeading"/>
            </w:pPr>
            <w:r w:rsidRPr="009F5372">
              <w:t>Subsidised borrower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BACA8D" w14:textId="77777777" w:rsidR="00BC2D0F" w:rsidRPr="009F5372" w:rsidRDefault="00BC2D0F" w:rsidP="00E06291">
            <w:pPr>
              <w:pStyle w:val="TableHeading"/>
            </w:pPr>
            <w:r w:rsidRPr="009F5372">
              <w:t>Effective service for less than 4 years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F96F58" w14:textId="77777777" w:rsidR="00BC2D0F" w:rsidRPr="009F5372" w:rsidRDefault="00BC2D0F" w:rsidP="00E06291">
            <w:pPr>
              <w:pStyle w:val="TableHeading"/>
            </w:pPr>
            <w:r w:rsidRPr="009F5372">
              <w:t>Effective service for 4 years or more, and less than 8 years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316101" w14:textId="77777777" w:rsidR="00BC2D0F" w:rsidRPr="009F5372" w:rsidRDefault="00BC2D0F" w:rsidP="00E06291">
            <w:pPr>
              <w:pStyle w:val="TableHeading"/>
            </w:pPr>
            <w:r w:rsidRPr="009F5372">
              <w:t>Effective service for 8 years or more, and less than 12 years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8633BA1" w14:textId="77777777" w:rsidR="00BC2D0F" w:rsidRPr="009F5372" w:rsidRDefault="00BC2D0F" w:rsidP="00E06291">
            <w:pPr>
              <w:pStyle w:val="TableHeading"/>
            </w:pPr>
            <w:r w:rsidRPr="009F5372">
              <w:t>Effective service for 12 years or more, and less than 20 years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F36847" w14:textId="77777777" w:rsidR="00BC2D0F" w:rsidRPr="009F5372" w:rsidRDefault="00BC2D0F" w:rsidP="00E06291">
            <w:pPr>
              <w:pStyle w:val="TableHeading"/>
            </w:pPr>
            <w:r w:rsidRPr="009F5372">
              <w:t>Effective service for 20 years or more</w:t>
            </w:r>
          </w:p>
        </w:tc>
      </w:tr>
      <w:tr w:rsidR="00BC2D0F" w:rsidRPr="009F5372" w14:paraId="2B488419" w14:textId="77777777" w:rsidTr="00D2577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487795C" w14:textId="77777777" w:rsidR="00BC2D0F" w:rsidRPr="009F5372" w:rsidRDefault="00BC2D0F" w:rsidP="00E06291">
            <w:pPr>
              <w:pStyle w:val="Tabletext"/>
            </w:pPr>
            <w:r w:rsidRPr="009F5372">
              <w:t>1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shd w:val="clear" w:color="auto" w:fill="auto"/>
          </w:tcPr>
          <w:p w14:paraId="2C478768" w14:textId="77777777" w:rsidR="00BC2D0F" w:rsidRPr="009F5372" w:rsidRDefault="00BC2D0F" w:rsidP="00E06291">
            <w:pPr>
              <w:pStyle w:val="Tabletext"/>
            </w:pPr>
            <w:r w:rsidRPr="009F5372">
              <w:t xml:space="preserve">A member of the Permanent Forces who is eligible as a serving member (see section 8) or </w:t>
            </w:r>
            <w:proofErr w:type="spellStart"/>
            <w:r w:rsidRPr="009F5372">
              <w:t>rejoining</w:t>
            </w:r>
            <w:proofErr w:type="spellEnd"/>
            <w:r w:rsidRPr="009F5372">
              <w:t xml:space="preserve"> member (see section 11)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4F22681D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7600F760" w14:textId="77777777" w:rsidR="00BC2D0F" w:rsidRPr="009F5372" w:rsidRDefault="00BC2D0F" w:rsidP="00E06291">
            <w:pPr>
              <w:pStyle w:val="Tabletext"/>
            </w:pPr>
            <w:r w:rsidRPr="009F5372">
              <w:t>60% of the average house price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1E1F0BB9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281176C6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14:paraId="4106571B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</w:tr>
      <w:tr w:rsidR="00BC2D0F" w:rsidRPr="009F5372" w14:paraId="07970787" w14:textId="77777777" w:rsidTr="00D2577D">
        <w:tc>
          <w:tcPr>
            <w:tcW w:w="714" w:type="dxa"/>
            <w:shd w:val="clear" w:color="auto" w:fill="auto"/>
          </w:tcPr>
          <w:p w14:paraId="18006C08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lastRenderedPageBreak/>
              <w:t>2</w:t>
            </w:r>
          </w:p>
        </w:tc>
        <w:tc>
          <w:tcPr>
            <w:tcW w:w="1481" w:type="dxa"/>
            <w:shd w:val="clear" w:color="auto" w:fill="auto"/>
          </w:tcPr>
          <w:p w14:paraId="633D242E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 xml:space="preserve">A member of the Reserves who is eligible as a serving member (see section 8) or </w:t>
            </w:r>
            <w:proofErr w:type="spellStart"/>
            <w:r w:rsidRPr="009F5372">
              <w:t>rejoining</w:t>
            </w:r>
            <w:proofErr w:type="spellEnd"/>
            <w:r w:rsidRPr="009F5372">
              <w:t xml:space="preserve"> member (see section 11)</w:t>
            </w:r>
          </w:p>
        </w:tc>
        <w:tc>
          <w:tcPr>
            <w:tcW w:w="992" w:type="dxa"/>
            <w:shd w:val="clear" w:color="auto" w:fill="auto"/>
          </w:tcPr>
          <w:p w14:paraId="3BA1D82C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>Zero</w:t>
            </w:r>
          </w:p>
        </w:tc>
        <w:tc>
          <w:tcPr>
            <w:tcW w:w="992" w:type="dxa"/>
            <w:shd w:val="clear" w:color="auto" w:fill="auto"/>
          </w:tcPr>
          <w:p w14:paraId="4AEED332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>40% of the average house price</w:t>
            </w:r>
          </w:p>
        </w:tc>
        <w:tc>
          <w:tcPr>
            <w:tcW w:w="992" w:type="dxa"/>
            <w:shd w:val="clear" w:color="auto" w:fill="auto"/>
          </w:tcPr>
          <w:p w14:paraId="4728FC61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>60% of the average house price</w:t>
            </w:r>
          </w:p>
        </w:tc>
        <w:tc>
          <w:tcPr>
            <w:tcW w:w="992" w:type="dxa"/>
            <w:shd w:val="clear" w:color="auto" w:fill="auto"/>
          </w:tcPr>
          <w:p w14:paraId="0A66FF91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>80% of the average house price</w:t>
            </w:r>
          </w:p>
        </w:tc>
        <w:tc>
          <w:tcPr>
            <w:tcW w:w="992" w:type="dxa"/>
            <w:shd w:val="clear" w:color="auto" w:fill="auto"/>
          </w:tcPr>
          <w:p w14:paraId="2C67077D" w14:textId="77777777" w:rsidR="00BC2D0F" w:rsidRPr="009F5372" w:rsidRDefault="00BC2D0F" w:rsidP="00E06291">
            <w:pPr>
              <w:pStyle w:val="Tabletext"/>
              <w:keepNext/>
              <w:keepLines/>
            </w:pPr>
            <w:r w:rsidRPr="009F5372">
              <w:t>80% of the average house price</w:t>
            </w:r>
          </w:p>
        </w:tc>
      </w:tr>
      <w:tr w:rsidR="00BC2D0F" w:rsidRPr="009F5372" w14:paraId="45CBD364" w14:textId="77777777" w:rsidTr="00D2577D">
        <w:tc>
          <w:tcPr>
            <w:tcW w:w="714" w:type="dxa"/>
            <w:shd w:val="clear" w:color="auto" w:fill="auto"/>
          </w:tcPr>
          <w:p w14:paraId="48087399" w14:textId="77777777" w:rsidR="00BC2D0F" w:rsidRPr="009F5372" w:rsidRDefault="00BC2D0F" w:rsidP="00E06291">
            <w:pPr>
              <w:pStyle w:val="Tabletext"/>
            </w:pPr>
            <w:r w:rsidRPr="009F5372">
              <w:t>3</w:t>
            </w:r>
          </w:p>
        </w:tc>
        <w:tc>
          <w:tcPr>
            <w:tcW w:w="1481" w:type="dxa"/>
            <w:shd w:val="clear" w:color="auto" w:fill="auto"/>
          </w:tcPr>
          <w:p w14:paraId="07479F35" w14:textId="77777777" w:rsidR="00BC2D0F" w:rsidRPr="009F5372" w:rsidRDefault="00BC2D0F" w:rsidP="00E06291">
            <w:pPr>
              <w:pStyle w:val="Tabletext"/>
            </w:pPr>
            <w:r w:rsidRPr="009F5372">
              <w:t xml:space="preserve">A person who is eligible as an incapacitated member (see section 9), or as a </w:t>
            </w:r>
            <w:proofErr w:type="spellStart"/>
            <w:r w:rsidRPr="009F5372">
              <w:t>rejoining</w:t>
            </w:r>
            <w:proofErr w:type="spellEnd"/>
            <w:r w:rsidRPr="009F5372">
              <w:t xml:space="preserve"> incapacitated member (see section 10)</w:t>
            </w:r>
          </w:p>
        </w:tc>
        <w:tc>
          <w:tcPr>
            <w:tcW w:w="992" w:type="dxa"/>
            <w:shd w:val="clear" w:color="auto" w:fill="auto"/>
          </w:tcPr>
          <w:p w14:paraId="61B379EF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shd w:val="clear" w:color="auto" w:fill="auto"/>
          </w:tcPr>
          <w:p w14:paraId="3D59C32E" w14:textId="77777777" w:rsidR="00BC2D0F" w:rsidRPr="009F5372" w:rsidRDefault="00BC2D0F" w:rsidP="00E06291">
            <w:pPr>
              <w:pStyle w:val="Tabletext"/>
            </w:pPr>
            <w:r w:rsidRPr="009F5372">
              <w:t>60% of the average house price</w:t>
            </w:r>
          </w:p>
        </w:tc>
        <w:tc>
          <w:tcPr>
            <w:tcW w:w="992" w:type="dxa"/>
            <w:shd w:val="clear" w:color="auto" w:fill="auto"/>
          </w:tcPr>
          <w:p w14:paraId="37A19121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  <w:tc>
          <w:tcPr>
            <w:tcW w:w="992" w:type="dxa"/>
            <w:shd w:val="clear" w:color="auto" w:fill="auto"/>
          </w:tcPr>
          <w:p w14:paraId="4C497B86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  <w:tc>
          <w:tcPr>
            <w:tcW w:w="992" w:type="dxa"/>
            <w:shd w:val="clear" w:color="auto" w:fill="auto"/>
          </w:tcPr>
          <w:p w14:paraId="3A14AA08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</w:tr>
      <w:tr w:rsidR="00BC2D0F" w:rsidRPr="009F5372" w14:paraId="318F9A03" w14:textId="77777777" w:rsidTr="00D2577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7797F0B" w14:textId="77777777" w:rsidR="00BC2D0F" w:rsidRPr="009F5372" w:rsidRDefault="00BC2D0F" w:rsidP="00E06291">
            <w:pPr>
              <w:pStyle w:val="Tabletext"/>
            </w:pPr>
            <w:bookmarkStart w:id="9" w:name="CU_674180"/>
            <w:bookmarkEnd w:id="9"/>
            <w:r w:rsidRPr="009F5372">
              <w:t>4</w:t>
            </w:r>
          </w:p>
        </w:tc>
        <w:tc>
          <w:tcPr>
            <w:tcW w:w="1481" w:type="dxa"/>
            <w:tcBorders>
              <w:bottom w:val="single" w:sz="2" w:space="0" w:color="auto"/>
            </w:tcBorders>
            <w:shd w:val="clear" w:color="auto" w:fill="auto"/>
          </w:tcPr>
          <w:p w14:paraId="4B0B890F" w14:textId="77777777" w:rsidR="00BC2D0F" w:rsidRPr="009F5372" w:rsidRDefault="00BC2D0F" w:rsidP="00E06291">
            <w:pPr>
              <w:pStyle w:val="Tabletext"/>
            </w:pPr>
            <w:r w:rsidRPr="009F5372">
              <w:t>A person who is eligible as a separated member (see section 12)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495E9E8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563B1A82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474D407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0F6F27A" w14:textId="77777777" w:rsidR="00BC2D0F" w:rsidRPr="009F5372" w:rsidRDefault="00BC2D0F" w:rsidP="00E06291">
            <w:pPr>
              <w:pStyle w:val="Tabletext"/>
            </w:pPr>
            <w:r w:rsidRPr="009F5372">
              <w:t>40% of the average house price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1CC0F54F" w14:textId="77777777" w:rsidR="00BC2D0F" w:rsidRPr="009F5372" w:rsidRDefault="00BC2D0F" w:rsidP="00E06291">
            <w:pPr>
              <w:pStyle w:val="Tabletext"/>
            </w:pPr>
            <w:r w:rsidRPr="009F5372">
              <w:t>80% of the average house price</w:t>
            </w:r>
          </w:p>
        </w:tc>
      </w:tr>
      <w:tr w:rsidR="00BC2D0F" w:rsidRPr="009F5372" w14:paraId="12BD93C1" w14:textId="77777777" w:rsidTr="00D2577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D1440E9" w14:textId="77777777" w:rsidR="00BC2D0F" w:rsidRPr="009F5372" w:rsidRDefault="00BC2D0F" w:rsidP="00E06291">
            <w:pPr>
              <w:pStyle w:val="Tabletext"/>
            </w:pPr>
            <w:r w:rsidRPr="009F5372">
              <w:t>5</w:t>
            </w:r>
          </w:p>
        </w:tc>
        <w:tc>
          <w:tcPr>
            <w:tcW w:w="14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0B2EB5" w14:textId="77777777" w:rsidR="00BC2D0F" w:rsidRPr="009F5372" w:rsidRDefault="00BC2D0F" w:rsidP="00E06291">
            <w:pPr>
              <w:pStyle w:val="Tabletext"/>
            </w:pPr>
            <w:r w:rsidRPr="009F5372">
              <w:t>A person who is eligible as an old scheme member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0BA1F4" w14:textId="77777777" w:rsidR="00BC2D0F" w:rsidRPr="009F5372" w:rsidRDefault="00BC2D0F" w:rsidP="00E06291">
            <w:pPr>
              <w:pStyle w:val="Tabletext"/>
            </w:pPr>
            <w:r w:rsidRPr="009F5372">
              <w:t>$80,000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51036D" w14:textId="77777777" w:rsidR="00BC2D0F" w:rsidRPr="009F5372" w:rsidRDefault="00BC2D0F" w:rsidP="00E06291">
            <w:pPr>
              <w:pStyle w:val="Tabletext"/>
            </w:pPr>
            <w:r w:rsidRPr="009F5372">
              <w:t>$80,000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CFD5B1E" w14:textId="77777777" w:rsidR="00BC2D0F" w:rsidRPr="009F5372" w:rsidRDefault="00BC2D0F" w:rsidP="00E06291">
            <w:pPr>
              <w:pStyle w:val="Tabletext"/>
            </w:pPr>
            <w:r w:rsidRPr="009F5372">
              <w:t>$80,000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9D64AB" w14:textId="77777777" w:rsidR="00BC2D0F" w:rsidRPr="009F5372" w:rsidRDefault="00BC2D0F" w:rsidP="00E06291">
            <w:pPr>
              <w:pStyle w:val="Tabletext"/>
            </w:pPr>
            <w:r w:rsidRPr="009F5372">
              <w:t>$80,000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2BB4A2" w14:textId="77777777" w:rsidR="00BC2D0F" w:rsidRPr="009F5372" w:rsidRDefault="00BC2D0F" w:rsidP="00E06291">
            <w:pPr>
              <w:pStyle w:val="Tabletext"/>
            </w:pPr>
            <w:r w:rsidRPr="009F5372">
              <w:t>$80,000</w:t>
            </w:r>
          </w:p>
        </w:tc>
      </w:tr>
    </w:tbl>
    <w:p w14:paraId="0DDA11FB" w14:textId="77777777" w:rsidR="001B65F8" w:rsidRPr="009F5372" w:rsidRDefault="0073680B" w:rsidP="00E06291">
      <w:pPr>
        <w:pStyle w:val="ItemHead"/>
      </w:pPr>
      <w:r w:rsidRPr="009F5372">
        <w:t>13</w:t>
      </w:r>
      <w:r w:rsidR="001B65F8" w:rsidRPr="009F5372">
        <w:t xml:space="preserve">  </w:t>
      </w:r>
      <w:r w:rsidR="00BE3C46" w:rsidRPr="009F5372">
        <w:t>Section 7</w:t>
      </w:r>
      <w:r w:rsidR="001B65F8" w:rsidRPr="009F5372">
        <w:t xml:space="preserve">1 (after table </w:t>
      </w:r>
      <w:r w:rsidR="00BE3C46" w:rsidRPr="009F5372">
        <w:t>item 6</w:t>
      </w:r>
      <w:r w:rsidR="00190BA5" w:rsidRPr="009F5372">
        <w:t>)</w:t>
      </w:r>
    </w:p>
    <w:p w14:paraId="01F08CE0" w14:textId="77777777" w:rsidR="00190BA5" w:rsidRPr="009F5372" w:rsidRDefault="00190BA5" w:rsidP="00E06291">
      <w:pPr>
        <w:pStyle w:val="Item"/>
      </w:pPr>
      <w:r w:rsidRPr="009F5372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190BA5" w:rsidRPr="009F5372" w14:paraId="1ED6C8DD" w14:textId="77777777" w:rsidTr="00190BA5">
        <w:tc>
          <w:tcPr>
            <w:tcW w:w="714" w:type="dxa"/>
            <w:shd w:val="clear" w:color="auto" w:fill="auto"/>
          </w:tcPr>
          <w:p w14:paraId="045913D1" w14:textId="77777777" w:rsidR="00190BA5" w:rsidRPr="009F5372" w:rsidRDefault="00190BA5" w:rsidP="00E06291">
            <w:pPr>
              <w:pStyle w:val="Tabletext"/>
            </w:pPr>
            <w:r w:rsidRPr="009F5372">
              <w:lastRenderedPageBreak/>
              <w:t>6A</w:t>
            </w:r>
          </w:p>
        </w:tc>
        <w:tc>
          <w:tcPr>
            <w:tcW w:w="3186" w:type="dxa"/>
            <w:shd w:val="clear" w:color="auto" w:fill="auto"/>
          </w:tcPr>
          <w:p w14:paraId="6859F35F" w14:textId="77777777" w:rsidR="00E9216A" w:rsidRPr="009F5372" w:rsidRDefault="00190BA5" w:rsidP="00E06291">
            <w:pPr>
              <w:pStyle w:val="Tabletext"/>
            </w:pPr>
            <w:r w:rsidRPr="009F5372">
              <w:t>To refuse to make a declaration that</w:t>
            </w:r>
            <w:r w:rsidR="00E9216A" w:rsidRPr="009F5372">
              <w:t xml:space="preserve"> an event mentioned in </w:t>
            </w:r>
            <w:r w:rsidR="0073680B" w:rsidRPr="009F5372">
              <w:t>item 1</w:t>
            </w:r>
            <w:r w:rsidR="00E9216A" w:rsidRPr="009F5372">
              <w:t xml:space="preserve"> of the table in </w:t>
            </w:r>
            <w:r w:rsidR="0073680B" w:rsidRPr="009F5372">
              <w:t>subsection 3</w:t>
            </w:r>
            <w:r w:rsidR="00E9216A" w:rsidRPr="009F5372">
              <w:t>6(1) is taken not to have occurred</w:t>
            </w:r>
          </w:p>
        </w:tc>
        <w:tc>
          <w:tcPr>
            <w:tcW w:w="3186" w:type="dxa"/>
            <w:shd w:val="clear" w:color="auto" w:fill="auto"/>
          </w:tcPr>
          <w:p w14:paraId="5DDA680E" w14:textId="77777777" w:rsidR="00190BA5" w:rsidRPr="009F5372" w:rsidRDefault="00BE3C46" w:rsidP="00E06291">
            <w:pPr>
              <w:pStyle w:val="Tabletext"/>
            </w:pPr>
            <w:r w:rsidRPr="009F5372">
              <w:t>Sub</w:t>
            </w:r>
            <w:r w:rsidR="009F3FC3" w:rsidRPr="009F5372">
              <w:t>section 3</w:t>
            </w:r>
            <w:r w:rsidR="00190BA5" w:rsidRPr="009F5372">
              <w:t>6(2)</w:t>
            </w:r>
          </w:p>
        </w:tc>
      </w:tr>
    </w:tbl>
    <w:p w14:paraId="30E48FB7" w14:textId="77777777" w:rsidR="00EF696A" w:rsidRPr="009F5372" w:rsidRDefault="0073680B" w:rsidP="00E06291">
      <w:pPr>
        <w:pStyle w:val="ItemHead"/>
      </w:pPr>
      <w:r w:rsidRPr="009F5372">
        <w:t>14</w:t>
      </w:r>
      <w:r w:rsidR="00EF696A" w:rsidRPr="009F5372">
        <w:t xml:space="preserve">  After section 84</w:t>
      </w:r>
    </w:p>
    <w:p w14:paraId="4B6A399E" w14:textId="77777777" w:rsidR="00EF696A" w:rsidRPr="009F5372" w:rsidRDefault="00EF696A" w:rsidP="00E06291">
      <w:pPr>
        <w:pStyle w:val="Item"/>
      </w:pPr>
      <w:r w:rsidRPr="009F5372">
        <w:t>Insert:</w:t>
      </w:r>
    </w:p>
    <w:p w14:paraId="45314FF2" w14:textId="77777777" w:rsidR="00EF696A" w:rsidRPr="009F5372" w:rsidRDefault="00EF696A" w:rsidP="00E06291">
      <w:pPr>
        <w:pStyle w:val="ActHead5"/>
      </w:pPr>
      <w:bookmarkStart w:id="10" w:name="_Toc120694965"/>
      <w:r w:rsidRPr="00FD6CF4">
        <w:rPr>
          <w:rStyle w:val="CharSectno"/>
        </w:rPr>
        <w:t>84A</w:t>
      </w:r>
      <w:r w:rsidRPr="009F5372">
        <w:t xml:space="preserve">  Payments of amounts purportedly by way of subsidy</w:t>
      </w:r>
      <w:bookmarkEnd w:id="10"/>
    </w:p>
    <w:p w14:paraId="0FD4BFD3" w14:textId="77777777" w:rsidR="00EF696A" w:rsidRPr="009F5372" w:rsidRDefault="00EF696A" w:rsidP="00E06291">
      <w:pPr>
        <w:pStyle w:val="subsection"/>
      </w:pPr>
      <w:r w:rsidRPr="009F5372">
        <w:tab/>
      </w:r>
      <w:r w:rsidRPr="009F5372">
        <w:tab/>
      </w:r>
      <w:r w:rsidR="00A33A92" w:rsidRPr="009F5372">
        <w:t xml:space="preserve">If, apart from this section, the Commonwealth does not have power under this Act to pay an amount (the </w:t>
      </w:r>
      <w:r w:rsidR="00A33A92" w:rsidRPr="009F5372">
        <w:rPr>
          <w:b/>
          <w:i/>
        </w:rPr>
        <w:t>relevant amount</w:t>
      </w:r>
      <w:r w:rsidR="00A33A92" w:rsidRPr="009F5372">
        <w:t xml:space="preserve">) purportedly </w:t>
      </w:r>
      <w:r w:rsidR="00E94E30" w:rsidRPr="009F5372">
        <w:t>by way of subsidy</w:t>
      </w:r>
      <w:r w:rsidR="00A33A92" w:rsidRPr="009F5372">
        <w:t>, then</w:t>
      </w:r>
      <w:r w:rsidRPr="009F5372">
        <w:t>:</w:t>
      </w:r>
    </w:p>
    <w:p w14:paraId="6FCFAB03" w14:textId="77777777" w:rsidR="00EF696A" w:rsidRPr="009F5372" w:rsidRDefault="00EF696A" w:rsidP="00E06291">
      <w:pPr>
        <w:pStyle w:val="paragraph"/>
      </w:pPr>
      <w:r w:rsidRPr="009F5372">
        <w:tab/>
        <w:t>(a)</w:t>
      </w:r>
      <w:r w:rsidRPr="009F5372">
        <w:tab/>
      </w:r>
      <w:r w:rsidR="00E94E30" w:rsidRPr="009F5372">
        <w:t>the Commonwealth has the power to pay the relevant amount</w:t>
      </w:r>
      <w:r w:rsidRPr="009F5372">
        <w:t>; and</w:t>
      </w:r>
    </w:p>
    <w:p w14:paraId="0CE0761F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>the Commonwealth has the power to pay any amount representing taxes that would, if the payment of the relevant amount was a payment of subsidy under this Act, be payable in respect of the relevant amount; and</w:t>
      </w:r>
    </w:p>
    <w:p w14:paraId="1A20499F" w14:textId="77777777" w:rsidR="00EF696A" w:rsidRPr="009F5372" w:rsidRDefault="00EF696A" w:rsidP="00E06291">
      <w:pPr>
        <w:pStyle w:val="paragraph"/>
      </w:pPr>
      <w:r w:rsidRPr="009F5372">
        <w:tab/>
        <w:t>(c)</w:t>
      </w:r>
      <w:r w:rsidRPr="009F5372">
        <w:tab/>
        <w:t>for the purposes of paragraph 84(a), the payment of the relevant amount is taken to be a payment of subsidy under this Act; and</w:t>
      </w:r>
    </w:p>
    <w:p w14:paraId="63B521BD" w14:textId="77777777" w:rsidR="00EF696A" w:rsidRPr="009F5372" w:rsidRDefault="00EF696A" w:rsidP="00E06291">
      <w:pPr>
        <w:pStyle w:val="paragraph"/>
      </w:pPr>
      <w:r w:rsidRPr="009F5372">
        <w:tab/>
        <w:t>(d)</w:t>
      </w:r>
      <w:r w:rsidRPr="009F5372">
        <w:tab/>
        <w:t xml:space="preserve">for the purposes of paragraph 84(b), any amount paid under </w:t>
      </w:r>
      <w:r w:rsidR="005C75AA" w:rsidRPr="009F5372">
        <w:t>paragraph (</w:t>
      </w:r>
      <w:r w:rsidRPr="009F5372">
        <w:t>b) of this section is taken to be a payment of taxes payable in respect of a payment of subsidy under this Act; and</w:t>
      </w:r>
    </w:p>
    <w:p w14:paraId="36DC4CB7" w14:textId="77777777" w:rsidR="00EF696A" w:rsidRPr="009F5372" w:rsidRDefault="00EF696A" w:rsidP="00E06291">
      <w:pPr>
        <w:pStyle w:val="paragraph"/>
      </w:pPr>
      <w:r w:rsidRPr="009F5372">
        <w:tab/>
        <w:t>(e)</w:t>
      </w:r>
      <w:r w:rsidRPr="009F5372">
        <w:tab/>
        <w:t>if the relevant amount is not an overpaid amount</w:t>
      </w:r>
      <w:r w:rsidR="00E94E30" w:rsidRPr="009F5372">
        <w:t xml:space="preserve"> and was paid into an account maintained by a person in the name of another person (an </w:t>
      </w:r>
      <w:r w:rsidR="00E94E30" w:rsidRPr="009F5372">
        <w:rPr>
          <w:b/>
          <w:i/>
        </w:rPr>
        <w:t>account holder</w:t>
      </w:r>
      <w:r w:rsidR="00E94E30" w:rsidRPr="009F5372">
        <w:t>)</w:t>
      </w:r>
      <w:r w:rsidRPr="009F5372">
        <w:t>:</w:t>
      </w:r>
    </w:p>
    <w:p w14:paraId="3C77E864" w14:textId="77777777" w:rsidR="007A5B06" w:rsidRPr="009F5372" w:rsidRDefault="00EF696A" w:rsidP="00E06291">
      <w:pPr>
        <w:pStyle w:val="paragraphsub"/>
      </w:pPr>
      <w:r w:rsidRPr="009F5372">
        <w:tab/>
        <w:t>(i)</w:t>
      </w:r>
      <w:r w:rsidRPr="009F5372">
        <w:tab/>
      </w:r>
      <w:r w:rsidR="007A5B06" w:rsidRPr="009F5372">
        <w:t xml:space="preserve">the relevant amount </w:t>
      </w:r>
      <w:r w:rsidRPr="009F5372">
        <w:t>is a debt due to the Commonwealth</w:t>
      </w:r>
      <w:r w:rsidR="007A5B06" w:rsidRPr="009F5372">
        <w:t>; and</w:t>
      </w:r>
    </w:p>
    <w:p w14:paraId="5F1B0AFC" w14:textId="77777777" w:rsidR="009C3A1F" w:rsidRPr="009F5372" w:rsidRDefault="007A5B06" w:rsidP="00E06291">
      <w:pPr>
        <w:pStyle w:val="paragraphsub"/>
      </w:pPr>
      <w:r w:rsidRPr="009F5372">
        <w:tab/>
        <w:t>(ii)</w:t>
      </w:r>
      <w:r w:rsidRPr="009F5372">
        <w:tab/>
      </w:r>
      <w:r w:rsidR="009C3A1F" w:rsidRPr="009F5372">
        <w:t>if there is only one account holder for the account—the account holder is liable for the debt; and</w:t>
      </w:r>
    </w:p>
    <w:p w14:paraId="2B814A67" w14:textId="77777777" w:rsidR="00EF696A" w:rsidRPr="009F5372" w:rsidRDefault="009C3A1F" w:rsidP="00E06291">
      <w:pPr>
        <w:pStyle w:val="paragraphsub"/>
      </w:pPr>
      <w:r w:rsidRPr="009F5372">
        <w:tab/>
        <w:t>(iii)</w:t>
      </w:r>
      <w:r w:rsidRPr="009F5372">
        <w:tab/>
        <w:t>if there is more than one account holder for the account—</w:t>
      </w:r>
      <w:r w:rsidR="007A5B06" w:rsidRPr="009F5372">
        <w:t>each account holder</w:t>
      </w:r>
      <w:r w:rsidRPr="009F5372">
        <w:t xml:space="preserve"> </w:t>
      </w:r>
      <w:r w:rsidR="007A5B06" w:rsidRPr="009F5372">
        <w:t>is jointly and severally liable for the debt</w:t>
      </w:r>
      <w:r w:rsidR="00EF696A" w:rsidRPr="009F5372">
        <w:t>; and</w:t>
      </w:r>
    </w:p>
    <w:p w14:paraId="1A1017A1" w14:textId="77777777" w:rsidR="00EF696A" w:rsidRPr="009F5372" w:rsidRDefault="00EF696A" w:rsidP="00E06291">
      <w:pPr>
        <w:pStyle w:val="paragraphsub"/>
      </w:pPr>
      <w:r w:rsidRPr="009F5372">
        <w:tab/>
        <w:t>(i</w:t>
      </w:r>
      <w:r w:rsidR="009C3A1F" w:rsidRPr="009F5372">
        <w:t>v</w:t>
      </w:r>
      <w:r w:rsidRPr="009F5372">
        <w:t>)</w:t>
      </w:r>
      <w:r w:rsidRPr="009F5372">
        <w:tab/>
      </w:r>
      <w:r w:rsidR="007A5B06" w:rsidRPr="009F5372">
        <w:t xml:space="preserve">the relevant amount </w:t>
      </w:r>
      <w:r w:rsidRPr="009F5372">
        <w:t>may be recovered by action in a court of competent jurisdiction.</w:t>
      </w:r>
    </w:p>
    <w:p w14:paraId="76673687" w14:textId="77777777" w:rsidR="00EF696A" w:rsidRPr="009F5372" w:rsidRDefault="00EF696A" w:rsidP="00E06291">
      <w:pPr>
        <w:pStyle w:val="notetext"/>
      </w:pPr>
      <w:r w:rsidRPr="009F5372">
        <w:lastRenderedPageBreak/>
        <w:t>Note:</w:t>
      </w:r>
      <w:r w:rsidRPr="009F5372">
        <w:tab/>
        <w:t>Division 6 of Part 4 provides for the recovery of overpaid amounts.</w:t>
      </w:r>
    </w:p>
    <w:p w14:paraId="70A3DE56" w14:textId="77777777" w:rsidR="00EF696A" w:rsidRPr="009F5372" w:rsidRDefault="00EF696A" w:rsidP="00E06291">
      <w:pPr>
        <w:pStyle w:val="ActHead5"/>
      </w:pPr>
      <w:bookmarkStart w:id="11" w:name="_Toc120694966"/>
      <w:r w:rsidRPr="00FD6CF4">
        <w:rPr>
          <w:rStyle w:val="CharSectno"/>
        </w:rPr>
        <w:t>84B</w:t>
      </w:r>
      <w:r w:rsidRPr="009F5372">
        <w:t xml:space="preserve">  Reports about payments of amounts purportedly by way of subsidy</w:t>
      </w:r>
      <w:bookmarkEnd w:id="11"/>
    </w:p>
    <w:p w14:paraId="59958ED7" w14:textId="77777777" w:rsidR="00EF696A" w:rsidRPr="009F5372" w:rsidRDefault="00EF696A" w:rsidP="00E06291">
      <w:pPr>
        <w:pStyle w:val="subsection"/>
      </w:pPr>
      <w:r w:rsidRPr="009F5372">
        <w:tab/>
        <w:t>(1)</w:t>
      </w:r>
      <w:r w:rsidRPr="009F5372">
        <w:tab/>
        <w:t>The Secretary must cause a report of the following information to be published, in such manner as the Secretary thinks fit, in relation to each reporting period:</w:t>
      </w:r>
    </w:p>
    <w:p w14:paraId="5995A2D9" w14:textId="77777777" w:rsidR="00EF696A" w:rsidRPr="009F5372" w:rsidRDefault="00EF696A" w:rsidP="00E06291">
      <w:pPr>
        <w:pStyle w:val="paragraph"/>
      </w:pPr>
      <w:r w:rsidRPr="009F5372">
        <w:tab/>
        <w:t>(a)</w:t>
      </w:r>
      <w:r w:rsidRPr="009F5372">
        <w:tab/>
        <w:t>the number of payments that the Secretary was aware of that were made under section 84A during the reporting period;</w:t>
      </w:r>
    </w:p>
    <w:p w14:paraId="5C954961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 xml:space="preserve">the total amount of payments referred to in </w:t>
      </w:r>
      <w:r w:rsidR="005C75AA" w:rsidRPr="009F5372">
        <w:t>paragraph (</w:t>
      </w:r>
      <w:r w:rsidRPr="009F5372">
        <w:t>a);</w:t>
      </w:r>
    </w:p>
    <w:p w14:paraId="662CF351" w14:textId="77777777" w:rsidR="00EF696A" w:rsidRPr="009F5372" w:rsidRDefault="00EF696A" w:rsidP="00E06291">
      <w:pPr>
        <w:pStyle w:val="paragraph"/>
      </w:pPr>
      <w:r w:rsidRPr="009F5372">
        <w:tab/>
        <w:t>(c)</w:t>
      </w:r>
      <w:r w:rsidRPr="009F5372">
        <w:tab/>
        <w:t>the number of payments made under section 84A that the Secretary became aware of during the reporting period that were made during an earlier reporting period;</w:t>
      </w:r>
    </w:p>
    <w:p w14:paraId="657F4589" w14:textId="77777777" w:rsidR="00EF696A" w:rsidRPr="009F5372" w:rsidRDefault="00EF696A" w:rsidP="00E06291">
      <w:pPr>
        <w:pStyle w:val="paragraph"/>
      </w:pPr>
      <w:r w:rsidRPr="009F5372">
        <w:tab/>
        <w:t>(d)</w:t>
      </w:r>
      <w:r w:rsidRPr="009F5372">
        <w:tab/>
        <w:t xml:space="preserve">the total amount of payments referred to in </w:t>
      </w:r>
      <w:r w:rsidR="005C75AA" w:rsidRPr="009F5372">
        <w:t>paragraph (</w:t>
      </w:r>
      <w:r w:rsidRPr="009F5372">
        <w:t>c);</w:t>
      </w:r>
    </w:p>
    <w:p w14:paraId="5E9B942D" w14:textId="77777777" w:rsidR="00EF696A" w:rsidRPr="009F5372" w:rsidRDefault="00EF696A" w:rsidP="00E06291">
      <w:pPr>
        <w:pStyle w:val="paragraph"/>
      </w:pPr>
      <w:r w:rsidRPr="009F5372">
        <w:tab/>
        <w:t>(e)</w:t>
      </w:r>
      <w:r w:rsidRPr="009F5372">
        <w:tab/>
        <w:t xml:space="preserve">for each payment referred to in </w:t>
      </w:r>
      <w:r w:rsidR="005C75AA" w:rsidRPr="009F5372">
        <w:t>paragraph (</w:t>
      </w:r>
      <w:r w:rsidRPr="009F5372">
        <w:t>c)—the reporting period in which the payment was made.</w:t>
      </w:r>
    </w:p>
    <w:p w14:paraId="11906269" w14:textId="77777777" w:rsidR="00EF696A" w:rsidRPr="009F5372" w:rsidRDefault="00EF696A" w:rsidP="00E06291">
      <w:pPr>
        <w:pStyle w:val="subsection"/>
      </w:pPr>
      <w:r w:rsidRPr="009F5372">
        <w:tab/>
        <w:t>(2)</w:t>
      </w:r>
      <w:r w:rsidRPr="009F5372">
        <w:tab/>
        <w:t xml:space="preserve">A </w:t>
      </w:r>
      <w:r w:rsidRPr="009F5372">
        <w:rPr>
          <w:b/>
          <w:i/>
        </w:rPr>
        <w:t>reporting period</w:t>
      </w:r>
      <w:r w:rsidRPr="009F5372">
        <w:t xml:space="preserve"> is:</w:t>
      </w:r>
    </w:p>
    <w:p w14:paraId="6B1C045F" w14:textId="77777777" w:rsidR="00EF696A" w:rsidRPr="009F5372" w:rsidRDefault="00EF696A" w:rsidP="00E06291">
      <w:pPr>
        <w:pStyle w:val="paragraph"/>
      </w:pPr>
      <w:r w:rsidRPr="009F5372">
        <w:tab/>
        <w:t>(a)</w:t>
      </w:r>
      <w:r w:rsidRPr="009F5372">
        <w:tab/>
        <w:t>a financial year; or</w:t>
      </w:r>
    </w:p>
    <w:p w14:paraId="2CE0B37D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 xml:space="preserve">if a shorter recurring period is determined under </w:t>
      </w:r>
      <w:r w:rsidR="005C75AA" w:rsidRPr="009F5372">
        <w:t>paragraph (</w:t>
      </w:r>
      <w:r w:rsidRPr="009F5372">
        <w:t>5)(a)—that period.</w:t>
      </w:r>
    </w:p>
    <w:p w14:paraId="4352895E" w14:textId="77777777" w:rsidR="00EF696A" w:rsidRPr="009F5372" w:rsidRDefault="00EF696A" w:rsidP="00E06291">
      <w:pPr>
        <w:pStyle w:val="subsection"/>
      </w:pPr>
      <w:r w:rsidRPr="009F5372">
        <w:tab/>
        <w:t>(3)</w:t>
      </w:r>
      <w:r w:rsidRPr="009F5372">
        <w:tab/>
        <w:t>However, a report is not required if:</w:t>
      </w:r>
    </w:p>
    <w:p w14:paraId="506CB583" w14:textId="77777777" w:rsidR="00EF696A" w:rsidRPr="009F5372" w:rsidRDefault="00EF696A" w:rsidP="00E06291">
      <w:pPr>
        <w:pStyle w:val="paragraph"/>
      </w:pPr>
      <w:r w:rsidRPr="009F5372">
        <w:tab/>
        <w:t>(a)</w:t>
      </w:r>
      <w:r w:rsidRPr="009F5372">
        <w:tab/>
        <w:t xml:space="preserve">the number mentioned in </w:t>
      </w:r>
      <w:r w:rsidR="005C75AA" w:rsidRPr="009F5372">
        <w:t>paragraph (</w:t>
      </w:r>
      <w:r w:rsidRPr="009F5372">
        <w:t>1)(a) is zero; and</w:t>
      </w:r>
    </w:p>
    <w:p w14:paraId="757C3EAC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 xml:space="preserve">the number mentioned in </w:t>
      </w:r>
      <w:r w:rsidR="005C75AA" w:rsidRPr="009F5372">
        <w:t>paragraph (</w:t>
      </w:r>
      <w:r w:rsidRPr="009F5372">
        <w:t>1)(c) is zero.</w:t>
      </w:r>
    </w:p>
    <w:p w14:paraId="3A7D55C1" w14:textId="77777777" w:rsidR="00EF696A" w:rsidRPr="009F5372" w:rsidRDefault="00EF696A" w:rsidP="00E06291">
      <w:pPr>
        <w:pStyle w:val="SubsectionHead"/>
      </w:pPr>
      <w:r w:rsidRPr="009F5372">
        <w:t>When report must be published</w:t>
      </w:r>
    </w:p>
    <w:p w14:paraId="754F9DF5" w14:textId="77777777" w:rsidR="00EF696A" w:rsidRPr="009F5372" w:rsidRDefault="00EF696A" w:rsidP="00E06291">
      <w:pPr>
        <w:pStyle w:val="subsection"/>
      </w:pPr>
      <w:r w:rsidRPr="009F5372">
        <w:tab/>
        <w:t>(4)</w:t>
      </w:r>
      <w:r w:rsidRPr="009F5372">
        <w:tab/>
        <w:t>The report must be published before the end of the following period:</w:t>
      </w:r>
    </w:p>
    <w:p w14:paraId="0A6BBFD6" w14:textId="77777777" w:rsidR="00EF696A" w:rsidRPr="009F5372" w:rsidRDefault="00EF696A" w:rsidP="00E06291">
      <w:pPr>
        <w:pStyle w:val="paragraph"/>
      </w:pPr>
      <w:r w:rsidRPr="009F5372">
        <w:tab/>
        <w:t>(a)</w:t>
      </w:r>
      <w:r w:rsidRPr="009F5372">
        <w:tab/>
        <w:t>4 months after the end of the reporting period;</w:t>
      </w:r>
    </w:p>
    <w:p w14:paraId="62AB23B8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 xml:space="preserve">if a lesser number of months has been determined for the reporting period under </w:t>
      </w:r>
      <w:r w:rsidR="005C75AA" w:rsidRPr="009F5372">
        <w:t>paragraph (</w:t>
      </w:r>
      <w:r w:rsidRPr="009F5372">
        <w:t>5)(b)—that number of months after the end of the reporting period.</w:t>
      </w:r>
    </w:p>
    <w:p w14:paraId="5A8645C6" w14:textId="77777777" w:rsidR="00EF696A" w:rsidRPr="009F5372" w:rsidRDefault="00EF696A" w:rsidP="00E06291">
      <w:pPr>
        <w:pStyle w:val="SubsectionHead"/>
      </w:pPr>
      <w:r w:rsidRPr="009F5372">
        <w:t>Determination</w:t>
      </w:r>
    </w:p>
    <w:p w14:paraId="6C2FA767" w14:textId="77777777" w:rsidR="00EF696A" w:rsidRPr="009F5372" w:rsidRDefault="00EF696A" w:rsidP="00E06291">
      <w:pPr>
        <w:pStyle w:val="subsection"/>
      </w:pPr>
      <w:r w:rsidRPr="009F5372">
        <w:tab/>
        <w:t>(5)</w:t>
      </w:r>
      <w:r w:rsidRPr="009F5372">
        <w:tab/>
        <w:t>The Minister may, by legislative instrument, determine:</w:t>
      </w:r>
    </w:p>
    <w:p w14:paraId="7B35F886" w14:textId="77777777" w:rsidR="00EF696A" w:rsidRPr="009F5372" w:rsidRDefault="00EF696A" w:rsidP="00E06291">
      <w:pPr>
        <w:pStyle w:val="paragraph"/>
      </w:pPr>
      <w:r w:rsidRPr="009F5372">
        <w:lastRenderedPageBreak/>
        <w:tab/>
        <w:t>(a)</w:t>
      </w:r>
      <w:r w:rsidRPr="009F5372">
        <w:tab/>
        <w:t xml:space="preserve">a period for the purposes of </w:t>
      </w:r>
      <w:r w:rsidR="005C75AA" w:rsidRPr="009F5372">
        <w:t>paragraph (</w:t>
      </w:r>
      <w:r w:rsidRPr="009F5372">
        <w:t>2)(b); or</w:t>
      </w:r>
    </w:p>
    <w:p w14:paraId="608C3246" w14:textId="77777777" w:rsidR="00EF696A" w:rsidRPr="009F5372" w:rsidRDefault="00EF696A" w:rsidP="00E06291">
      <w:pPr>
        <w:pStyle w:val="paragraph"/>
      </w:pPr>
      <w:r w:rsidRPr="009F5372">
        <w:tab/>
        <w:t>(b)</w:t>
      </w:r>
      <w:r w:rsidRPr="009F5372">
        <w:tab/>
        <w:t xml:space="preserve">a number of months for a reporting period for the purposes of </w:t>
      </w:r>
      <w:r w:rsidR="005C75AA" w:rsidRPr="009F5372">
        <w:t>paragraph (</w:t>
      </w:r>
      <w:r w:rsidRPr="009F5372">
        <w:t>4)(b).</w:t>
      </w:r>
    </w:p>
    <w:p w14:paraId="7D71A289" w14:textId="77777777" w:rsidR="00EF1ABD" w:rsidRPr="009F5372" w:rsidRDefault="0037569D" w:rsidP="00E06291">
      <w:pPr>
        <w:pStyle w:val="ActHead7"/>
        <w:pageBreakBefore/>
      </w:pPr>
      <w:bookmarkStart w:id="12" w:name="_Toc120694967"/>
      <w:r w:rsidRPr="00FD6CF4">
        <w:rPr>
          <w:rStyle w:val="CharAmPartNo"/>
        </w:rPr>
        <w:lastRenderedPageBreak/>
        <w:t>Part 2</w:t>
      </w:r>
      <w:r w:rsidR="00EF1ABD" w:rsidRPr="009F5372">
        <w:t>—</w:t>
      </w:r>
      <w:r w:rsidR="00EF1ABD" w:rsidRPr="00FD6CF4">
        <w:rPr>
          <w:rStyle w:val="CharAmPartText"/>
        </w:rPr>
        <w:t>Application</w:t>
      </w:r>
      <w:r w:rsidR="00E2201E" w:rsidRPr="00FD6CF4">
        <w:rPr>
          <w:rStyle w:val="CharAmPartText"/>
        </w:rPr>
        <w:t xml:space="preserve"> </w:t>
      </w:r>
      <w:r w:rsidR="00DF654D" w:rsidRPr="00FD6CF4">
        <w:rPr>
          <w:rStyle w:val="CharAmPartText"/>
        </w:rPr>
        <w:t>and transitional provisions</w:t>
      </w:r>
      <w:bookmarkEnd w:id="12"/>
    </w:p>
    <w:p w14:paraId="0B754C52" w14:textId="77777777" w:rsidR="00455E83" w:rsidRPr="009F5372" w:rsidRDefault="0073680B" w:rsidP="00E06291">
      <w:pPr>
        <w:pStyle w:val="Transitional"/>
      </w:pPr>
      <w:r w:rsidRPr="009F5372">
        <w:t>15</w:t>
      </w:r>
      <w:r w:rsidR="00455E83" w:rsidRPr="009F5372">
        <w:t xml:space="preserve">  Application—qualifying service periods</w:t>
      </w:r>
    </w:p>
    <w:p w14:paraId="2DFDA4A8" w14:textId="77777777" w:rsidR="006E151E" w:rsidRPr="009F5372" w:rsidRDefault="00455E83" w:rsidP="00E06291">
      <w:pPr>
        <w:pStyle w:val="Item"/>
      </w:pPr>
      <w:r w:rsidRPr="009F5372">
        <w:t xml:space="preserve">The amendments of </w:t>
      </w:r>
      <w:r w:rsidR="0073680B" w:rsidRPr="009F5372">
        <w:t>sections 8</w:t>
      </w:r>
      <w:r w:rsidRPr="009F5372">
        <w:t xml:space="preserve"> and 10 of the </w:t>
      </w:r>
      <w:r w:rsidRPr="009F5372">
        <w:rPr>
          <w:i/>
        </w:rPr>
        <w:t>Defence Home Ownership Assistance Scheme Act 2008</w:t>
      </w:r>
      <w:r w:rsidRPr="009F5372">
        <w:t xml:space="preserve"> made by this Schedule apply </w:t>
      </w:r>
      <w:r w:rsidR="00E9216A" w:rsidRPr="009F5372">
        <w:t>for the purposes of determining</w:t>
      </w:r>
      <w:r w:rsidR="006E151E" w:rsidRPr="009F5372">
        <w:t>:</w:t>
      </w:r>
    </w:p>
    <w:p w14:paraId="76A283B7" w14:textId="77777777" w:rsidR="006E151E" w:rsidRPr="009F5372" w:rsidRDefault="006E151E" w:rsidP="00E06291">
      <w:pPr>
        <w:pStyle w:val="paragraph"/>
      </w:pPr>
      <w:r w:rsidRPr="009F5372">
        <w:tab/>
        <w:t>(a)</w:t>
      </w:r>
      <w:r w:rsidRPr="009F5372">
        <w:tab/>
      </w:r>
      <w:r w:rsidR="00E9216A" w:rsidRPr="009F5372">
        <w:t>whether a person is eligible</w:t>
      </w:r>
      <w:r w:rsidRPr="009F5372">
        <w:t xml:space="preserve"> at a time that is on or after the commencement of this item; and</w:t>
      </w:r>
    </w:p>
    <w:p w14:paraId="53A3F6A5" w14:textId="77777777" w:rsidR="006E151E" w:rsidRPr="009F5372" w:rsidRDefault="006E151E" w:rsidP="00E06291">
      <w:pPr>
        <w:pStyle w:val="paragraph"/>
      </w:pPr>
      <w:r w:rsidRPr="009F5372">
        <w:tab/>
        <w:t>(b)</w:t>
      </w:r>
      <w:r w:rsidRPr="009F5372">
        <w:tab/>
        <w:t>the number of months of effective service the person has completed since becoming eligible</w:t>
      </w:r>
      <w:r w:rsidR="001A013C" w:rsidRPr="009F5372">
        <w:t>,</w:t>
      </w:r>
      <w:r w:rsidRPr="009F5372">
        <w:t xml:space="preserve"> for the purposes of working out the person’s accrued subsidy period </w:t>
      </w:r>
      <w:r w:rsidR="001A013C" w:rsidRPr="009F5372">
        <w:t>at a time that is on or after that commencement;</w:t>
      </w:r>
    </w:p>
    <w:p w14:paraId="5439F8D3" w14:textId="77777777" w:rsidR="00455E83" w:rsidRPr="009F5372" w:rsidRDefault="00455E83" w:rsidP="00E06291">
      <w:pPr>
        <w:pStyle w:val="Item"/>
      </w:pPr>
      <w:r w:rsidRPr="009F5372">
        <w:t>whether the person completed the relevant qualifying service period before, on or after th</w:t>
      </w:r>
      <w:r w:rsidR="00E932C1" w:rsidRPr="009F5372">
        <w:t>at</w:t>
      </w:r>
      <w:r w:rsidRPr="009F5372">
        <w:t xml:space="preserve"> commencement.</w:t>
      </w:r>
    </w:p>
    <w:p w14:paraId="4F0B8B2C" w14:textId="77777777" w:rsidR="00EF1ABD" w:rsidRPr="009F5372" w:rsidRDefault="0073680B" w:rsidP="00E06291">
      <w:pPr>
        <w:pStyle w:val="Transitional"/>
      </w:pPr>
      <w:r w:rsidRPr="009F5372">
        <w:t>16</w:t>
      </w:r>
      <w:r w:rsidR="00EF1ABD" w:rsidRPr="009F5372">
        <w:t xml:space="preserve">  </w:t>
      </w:r>
      <w:r w:rsidR="00E06E95" w:rsidRPr="009F5372">
        <w:t>Transitional</w:t>
      </w:r>
      <w:r w:rsidR="00455E83" w:rsidRPr="009F5372">
        <w:t>—</w:t>
      </w:r>
      <w:r w:rsidR="00CC6E13" w:rsidRPr="009F5372">
        <w:t xml:space="preserve">previous </w:t>
      </w:r>
      <w:r w:rsidR="00455E83" w:rsidRPr="009F5372">
        <w:t>a</w:t>
      </w:r>
      <w:r w:rsidR="00DD7991" w:rsidRPr="009F5372">
        <w:t>pplications for subsidy certificates</w:t>
      </w:r>
    </w:p>
    <w:p w14:paraId="08E6ECA2" w14:textId="77777777" w:rsidR="00EF1ABD" w:rsidRPr="009F5372" w:rsidRDefault="00B961CA" w:rsidP="00E06291">
      <w:pPr>
        <w:pStyle w:val="Item"/>
      </w:pPr>
      <w:r w:rsidRPr="009F5372">
        <w:t xml:space="preserve">For the purposes of </w:t>
      </w:r>
      <w:r w:rsidR="00BE3C46" w:rsidRPr="009F5372">
        <w:t>paragraph 1</w:t>
      </w:r>
      <w:r w:rsidRPr="009F5372">
        <w:t>7(c)</w:t>
      </w:r>
      <w:r w:rsidR="00E06E95" w:rsidRPr="009F5372">
        <w:t xml:space="preserve"> </w:t>
      </w:r>
      <w:r w:rsidRPr="009F5372">
        <w:t xml:space="preserve">of the </w:t>
      </w:r>
      <w:r w:rsidRPr="009F5372">
        <w:rPr>
          <w:i/>
        </w:rPr>
        <w:t>Defence Home Ownership Assistance Scheme Act 2008</w:t>
      </w:r>
      <w:r w:rsidR="00E06E95" w:rsidRPr="009F5372">
        <w:t xml:space="preserve"> (as in force on and after the commencement of this item)</w:t>
      </w:r>
      <w:r w:rsidRPr="009F5372">
        <w:t>, disregard a</w:t>
      </w:r>
      <w:r w:rsidR="00E06E95" w:rsidRPr="009F5372">
        <w:t xml:space="preserve"> previous</w:t>
      </w:r>
      <w:r w:rsidRPr="009F5372">
        <w:t xml:space="preserve"> application</w:t>
      </w:r>
      <w:r w:rsidR="00EF1ABD" w:rsidRPr="009F5372">
        <w:t xml:space="preserve"> </w:t>
      </w:r>
      <w:r w:rsidRPr="009F5372">
        <w:t xml:space="preserve">for a subsidy certificate </w:t>
      </w:r>
      <w:r w:rsidR="00EF1ABD" w:rsidRPr="009F5372">
        <w:t>if:</w:t>
      </w:r>
    </w:p>
    <w:p w14:paraId="1E10A792" w14:textId="77777777" w:rsidR="00EF1ABD" w:rsidRPr="009F5372" w:rsidRDefault="00EF1ABD" w:rsidP="00E06291">
      <w:pPr>
        <w:pStyle w:val="paragraph"/>
      </w:pPr>
      <w:r w:rsidRPr="009F5372">
        <w:tab/>
        <w:t>(a)</w:t>
      </w:r>
      <w:r w:rsidRPr="009F5372">
        <w:tab/>
      </w:r>
      <w:r w:rsidR="00E06E95" w:rsidRPr="009F5372">
        <w:t>the application was made and refused</w:t>
      </w:r>
      <w:r w:rsidRPr="009F5372">
        <w:t xml:space="preserve"> before </w:t>
      </w:r>
      <w:r w:rsidR="00DF654D" w:rsidRPr="009F5372">
        <w:t>that commencement</w:t>
      </w:r>
      <w:r w:rsidRPr="009F5372">
        <w:t>; and</w:t>
      </w:r>
    </w:p>
    <w:p w14:paraId="7FF93FA9" w14:textId="77777777" w:rsidR="00EF1ABD" w:rsidRPr="009F5372" w:rsidRDefault="00EF1ABD" w:rsidP="00E06291">
      <w:pPr>
        <w:pStyle w:val="paragraph"/>
      </w:pPr>
      <w:r w:rsidRPr="009F5372">
        <w:tab/>
        <w:t>(</w:t>
      </w:r>
      <w:r w:rsidR="00E06E95" w:rsidRPr="009F5372">
        <w:t>b</w:t>
      </w:r>
      <w:r w:rsidRPr="009F5372">
        <w:t>)</w:t>
      </w:r>
      <w:r w:rsidRPr="009F5372">
        <w:tab/>
        <w:t>at the time</w:t>
      </w:r>
      <w:r w:rsidR="00E06E95" w:rsidRPr="009F5372">
        <w:t xml:space="preserve"> of the refusal</w:t>
      </w:r>
      <w:r w:rsidRPr="009F5372">
        <w:t xml:space="preserve">, the </w:t>
      </w:r>
      <w:r w:rsidR="00E06E95" w:rsidRPr="009F5372">
        <w:t>applicant</w:t>
      </w:r>
      <w:r w:rsidRPr="009F5372">
        <w:t xml:space="preserve"> was not a member of the Defence Force; and</w:t>
      </w:r>
    </w:p>
    <w:p w14:paraId="180C3C5E" w14:textId="77777777" w:rsidR="00F20663" w:rsidRPr="009F5372" w:rsidRDefault="00F20663" w:rsidP="00E06291">
      <w:pPr>
        <w:pStyle w:val="paragraph"/>
      </w:pPr>
      <w:r w:rsidRPr="009F5372">
        <w:tab/>
        <w:t>(c)</w:t>
      </w:r>
      <w:r w:rsidRPr="009F5372">
        <w:tab/>
        <w:t xml:space="preserve">had the amendments of </w:t>
      </w:r>
      <w:r w:rsidR="0073680B" w:rsidRPr="009F5372">
        <w:t>sections 8</w:t>
      </w:r>
      <w:r w:rsidRPr="009F5372">
        <w:t>, 10 and 17 of that Act made by this Schedule been in force at the time of the refusal, the Secretary would have been required to give a subsidy certificate to the applicant.</w:t>
      </w:r>
    </w:p>
    <w:p w14:paraId="2874B34C" w14:textId="77777777" w:rsidR="00CC6E13" w:rsidRPr="009F5372" w:rsidRDefault="0073680B" w:rsidP="00E06291">
      <w:pPr>
        <w:pStyle w:val="Transitional"/>
      </w:pPr>
      <w:r w:rsidRPr="009F5372">
        <w:t>17</w:t>
      </w:r>
      <w:r w:rsidR="00CC6E13" w:rsidRPr="009F5372">
        <w:t xml:space="preserve">  Application—decisions to give subsidy certificates</w:t>
      </w:r>
    </w:p>
    <w:p w14:paraId="200F3996" w14:textId="77777777" w:rsidR="00CC6E13" w:rsidRPr="009F5372" w:rsidRDefault="00E32B60" w:rsidP="00E06291">
      <w:pPr>
        <w:pStyle w:val="Subitem"/>
      </w:pPr>
      <w:r w:rsidRPr="009F5372">
        <w:t>(1)</w:t>
      </w:r>
      <w:r w:rsidRPr="009F5372">
        <w:tab/>
        <w:t xml:space="preserve">The repeal of </w:t>
      </w:r>
      <w:r w:rsidR="0037569D" w:rsidRPr="009F5372">
        <w:t>subsections 1</w:t>
      </w:r>
      <w:r w:rsidRPr="009F5372">
        <w:t xml:space="preserve">7(2) and (3) of the </w:t>
      </w:r>
      <w:r w:rsidRPr="009F5372">
        <w:rPr>
          <w:i/>
        </w:rPr>
        <w:t>Defence Home Ownership Assistance Scheme Act 2008</w:t>
      </w:r>
      <w:r w:rsidRPr="009F5372">
        <w:t xml:space="preserve"> by this Schedule </w:t>
      </w:r>
      <w:r w:rsidR="00FB4269" w:rsidRPr="009F5372">
        <w:t>applies</w:t>
      </w:r>
      <w:r w:rsidR="004550D2" w:rsidRPr="009F5372">
        <w:t xml:space="preserve"> on and after the commencement of this item</w:t>
      </w:r>
      <w:r w:rsidRPr="009F5372">
        <w:t xml:space="preserve"> in relation to an applicant who is not a member of the Defence Force, </w:t>
      </w:r>
      <w:r w:rsidR="004550D2" w:rsidRPr="009F5372">
        <w:t>w</w:t>
      </w:r>
      <w:r w:rsidRPr="009F5372">
        <w:t xml:space="preserve">hether the applicant stopped being a member of the Defence Force before, on or after </w:t>
      </w:r>
      <w:r w:rsidR="004550D2" w:rsidRPr="009F5372">
        <w:t>that commencement</w:t>
      </w:r>
      <w:r w:rsidRPr="009F5372">
        <w:t>.</w:t>
      </w:r>
    </w:p>
    <w:p w14:paraId="0320F435" w14:textId="77777777" w:rsidR="008F4D54" w:rsidRPr="009F5372" w:rsidRDefault="00E32B60" w:rsidP="00E06291">
      <w:pPr>
        <w:pStyle w:val="Subitem"/>
      </w:pPr>
      <w:r w:rsidRPr="009F5372">
        <w:lastRenderedPageBreak/>
        <w:t>(2)</w:t>
      </w:r>
      <w:r w:rsidRPr="009F5372">
        <w:tab/>
        <w:t xml:space="preserve">The repeal of </w:t>
      </w:r>
      <w:r w:rsidR="0037569D" w:rsidRPr="009F5372">
        <w:t>subsections 1</w:t>
      </w:r>
      <w:r w:rsidRPr="009F5372">
        <w:t xml:space="preserve">8(2) and (3) of the </w:t>
      </w:r>
      <w:r w:rsidRPr="009F5372">
        <w:rPr>
          <w:i/>
        </w:rPr>
        <w:t>Defence Home Ownership Assistance Scheme Act 2008</w:t>
      </w:r>
      <w:r w:rsidR="007F513C" w:rsidRPr="009F5372">
        <w:t xml:space="preserve"> </w:t>
      </w:r>
      <w:r w:rsidRPr="009F5372">
        <w:t xml:space="preserve">by this Schedule </w:t>
      </w:r>
      <w:r w:rsidR="00FB4269" w:rsidRPr="009F5372">
        <w:t>applies</w:t>
      </w:r>
      <w:r w:rsidR="004550D2" w:rsidRPr="009F5372">
        <w:t xml:space="preserve"> on and after the commencement of this item</w:t>
      </w:r>
      <w:r w:rsidRPr="009F5372">
        <w:t xml:space="preserve"> in relation to an applicant who is the surviving partner of a deceased partner</w:t>
      </w:r>
      <w:r w:rsidR="008F4D54" w:rsidRPr="009F5372">
        <w:t>, whether</w:t>
      </w:r>
      <w:r w:rsidR="00F21A98" w:rsidRPr="009F5372">
        <w:t xml:space="preserve"> the deceased partner</w:t>
      </w:r>
      <w:r w:rsidR="008F4D54" w:rsidRPr="009F5372">
        <w:t>:</w:t>
      </w:r>
    </w:p>
    <w:p w14:paraId="22453806" w14:textId="77777777" w:rsidR="00E32B60" w:rsidRPr="009F5372" w:rsidRDefault="008F4D54" w:rsidP="00E06291">
      <w:pPr>
        <w:pStyle w:val="paragraph"/>
      </w:pPr>
      <w:r w:rsidRPr="009F5372">
        <w:tab/>
        <w:t>(a)</w:t>
      </w:r>
      <w:r w:rsidRPr="009F5372">
        <w:tab/>
        <w:t>stopped being a member of the Defence Force; or</w:t>
      </w:r>
    </w:p>
    <w:p w14:paraId="5482FC72" w14:textId="77777777" w:rsidR="008F4D54" w:rsidRPr="009F5372" w:rsidRDefault="008F4D54" w:rsidP="00E06291">
      <w:pPr>
        <w:pStyle w:val="paragraph"/>
      </w:pPr>
      <w:r w:rsidRPr="009F5372">
        <w:tab/>
        <w:t>(b)</w:t>
      </w:r>
      <w:r w:rsidRPr="009F5372">
        <w:tab/>
        <w:t>died</w:t>
      </w:r>
      <w:r w:rsidR="00F21A98" w:rsidRPr="009F5372">
        <w:t>;</w:t>
      </w:r>
    </w:p>
    <w:p w14:paraId="401B9015" w14:textId="77777777" w:rsidR="00F21A98" w:rsidRPr="009F5372" w:rsidRDefault="00F21A98" w:rsidP="00E06291">
      <w:pPr>
        <w:pStyle w:val="Item"/>
      </w:pPr>
      <w:r w:rsidRPr="009F5372">
        <w:t>before, on or after that commencement.</w:t>
      </w:r>
    </w:p>
    <w:p w14:paraId="7C735A54" w14:textId="77777777" w:rsidR="00882BD4" w:rsidRPr="009F5372" w:rsidRDefault="0073680B" w:rsidP="00E06291">
      <w:pPr>
        <w:pStyle w:val="Transitional"/>
      </w:pPr>
      <w:r w:rsidRPr="009F5372">
        <w:t>18</w:t>
      </w:r>
      <w:r w:rsidR="00882BD4" w:rsidRPr="009F5372">
        <w:t xml:space="preserve">  Application—when subsidy stops being payable</w:t>
      </w:r>
    </w:p>
    <w:p w14:paraId="705D4D83" w14:textId="77777777" w:rsidR="00882BD4" w:rsidRPr="009F5372" w:rsidRDefault="00BE3C46" w:rsidP="00E06291">
      <w:pPr>
        <w:pStyle w:val="Item"/>
      </w:pPr>
      <w:r w:rsidRPr="009F5372">
        <w:t>Sub</w:t>
      </w:r>
      <w:r w:rsidR="009F3FC3" w:rsidRPr="009F5372">
        <w:t>section 3</w:t>
      </w:r>
      <w:r w:rsidR="00882BD4" w:rsidRPr="009F5372">
        <w:t xml:space="preserve">6(2) of the </w:t>
      </w:r>
      <w:r w:rsidR="00882BD4" w:rsidRPr="009F5372">
        <w:rPr>
          <w:i/>
        </w:rPr>
        <w:t>Defence Home Ownership Assistance Scheme Act 2008</w:t>
      </w:r>
      <w:r w:rsidR="00A0094B" w:rsidRPr="009F5372">
        <w:t xml:space="preserve"> (</w:t>
      </w:r>
      <w:r w:rsidR="00882BD4" w:rsidRPr="009F5372">
        <w:t>as inserted by this Schedule</w:t>
      </w:r>
      <w:r w:rsidR="00A0094B" w:rsidRPr="009F5372">
        <w:t>)</w:t>
      </w:r>
      <w:r w:rsidR="00882BD4" w:rsidRPr="009F5372">
        <w:t xml:space="preserve"> applies in relation to </w:t>
      </w:r>
      <w:r w:rsidR="00F20663" w:rsidRPr="009F5372">
        <w:t xml:space="preserve">an event mentioned in </w:t>
      </w:r>
      <w:r w:rsidR="0073680B" w:rsidRPr="009F5372">
        <w:t>item 1</w:t>
      </w:r>
      <w:r w:rsidR="00F20663" w:rsidRPr="009F5372">
        <w:t xml:space="preserve"> of the table in </w:t>
      </w:r>
      <w:r w:rsidR="0073680B" w:rsidRPr="009F5372">
        <w:t>subsection 3</w:t>
      </w:r>
      <w:r w:rsidR="00F20663" w:rsidRPr="009F5372">
        <w:t>6(1) of that Act that occurs on or</w:t>
      </w:r>
      <w:r w:rsidR="00882BD4" w:rsidRPr="009F5372">
        <w:t xml:space="preserve"> after the commencement of this item.</w:t>
      </w:r>
    </w:p>
    <w:p w14:paraId="46738450" w14:textId="77777777" w:rsidR="000C47AA" w:rsidRPr="009F5372" w:rsidRDefault="0073680B" w:rsidP="00E06291">
      <w:pPr>
        <w:pStyle w:val="Transitional"/>
      </w:pPr>
      <w:r w:rsidRPr="009F5372">
        <w:t>19</w:t>
      </w:r>
      <w:r w:rsidR="003F05A2" w:rsidRPr="009F5372">
        <w:t xml:space="preserve">  Application—loan limits</w:t>
      </w:r>
    </w:p>
    <w:p w14:paraId="58A7D64A" w14:textId="77777777" w:rsidR="004C29F5" w:rsidRPr="009F5372" w:rsidRDefault="004C29F5" w:rsidP="00E06291">
      <w:pPr>
        <w:pStyle w:val="Item"/>
      </w:pPr>
      <w:r w:rsidRPr="009F5372">
        <w:t xml:space="preserve">Subsection 51(2) of the </w:t>
      </w:r>
      <w:r w:rsidRPr="009F5372">
        <w:rPr>
          <w:i/>
        </w:rPr>
        <w:t xml:space="preserve">Defence Home Ownership Assistance Scheme Act 2008 </w:t>
      </w:r>
      <w:r w:rsidRPr="009F5372">
        <w:t xml:space="preserve">(as amended by this Schedule) applies for the purposes of determining </w:t>
      </w:r>
      <w:r w:rsidR="002E6057" w:rsidRPr="009F5372">
        <w:t xml:space="preserve">an amount of </w:t>
      </w:r>
      <w:r w:rsidRPr="009F5372">
        <w:t xml:space="preserve">monthly subsidy, if the applicable monthly authorisation period for the </w:t>
      </w:r>
      <w:r w:rsidR="002E6057" w:rsidRPr="009F5372">
        <w:t>payment of th</w:t>
      </w:r>
      <w:r w:rsidR="00C64A88" w:rsidRPr="009F5372">
        <w:t>e amount</w:t>
      </w:r>
      <w:r w:rsidR="002E6057" w:rsidRPr="009F5372">
        <w:t xml:space="preserve">, for the </w:t>
      </w:r>
      <w:r w:rsidRPr="009F5372">
        <w:t xml:space="preserve">purposes of </w:t>
      </w:r>
      <w:r w:rsidR="001713B3" w:rsidRPr="009F5372">
        <w:t>subsection 5</w:t>
      </w:r>
      <w:r w:rsidRPr="009F5372">
        <w:t>7(2) of that Act</w:t>
      </w:r>
      <w:r w:rsidR="002E6057" w:rsidRPr="009F5372">
        <w:t>,</w:t>
      </w:r>
      <w:r w:rsidRPr="009F5372">
        <w:t xml:space="preserve"> begins on or after the commencement of this item.</w:t>
      </w:r>
    </w:p>
    <w:p w14:paraId="39D4BDEF" w14:textId="77777777" w:rsidR="00EF696A" w:rsidRPr="009F5372" w:rsidRDefault="0073680B" w:rsidP="00E06291">
      <w:pPr>
        <w:pStyle w:val="Transitional"/>
      </w:pPr>
      <w:r w:rsidRPr="009F5372">
        <w:t>20</w:t>
      </w:r>
      <w:r w:rsidR="00EF696A" w:rsidRPr="009F5372">
        <w:t xml:space="preserve">  Application—reports about payments</w:t>
      </w:r>
    </w:p>
    <w:p w14:paraId="318746A0" w14:textId="01A62379" w:rsidR="00EF696A" w:rsidRDefault="00EF696A" w:rsidP="00E06291">
      <w:pPr>
        <w:pStyle w:val="Item"/>
      </w:pPr>
      <w:r w:rsidRPr="009F5372">
        <w:t xml:space="preserve">Section 84B of the </w:t>
      </w:r>
      <w:r w:rsidRPr="009F5372">
        <w:rPr>
          <w:i/>
        </w:rPr>
        <w:t>Defence Home Ownership Assistance Scheme Act 2008</w:t>
      </w:r>
      <w:r w:rsidRPr="009F5372">
        <w:t xml:space="preserve"> (as inserted by this Schedule) applies in relation to a payment made under section 84A of that Act during a reporting period that ends on or after the commencement of this item, whether the period begins before, on or after that commencement.</w:t>
      </w:r>
    </w:p>
    <w:p w14:paraId="75AB914A" w14:textId="72821DBE" w:rsidR="008A3CA9" w:rsidRDefault="008A3CA9"/>
    <w:p w14:paraId="6E2CF11D" w14:textId="77777777" w:rsidR="00026A21" w:rsidRDefault="00026A21" w:rsidP="00026A21">
      <w:pPr>
        <w:pBdr>
          <w:bottom w:val="single" w:sz="4" w:space="1" w:color="auto"/>
        </w:pBdr>
        <w:sectPr w:rsidR="00026A21" w:rsidSect="00026A2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4A3A3D5" w14:textId="77777777" w:rsidR="006B1078" w:rsidRDefault="006B1078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54D0EAD5" w14:textId="1D1233B0" w:rsidR="006B1078" w:rsidRDefault="006B10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October 2022</w:t>
      </w:r>
    </w:p>
    <w:p w14:paraId="6DCDE004" w14:textId="0433CFDF" w:rsidR="006B1078" w:rsidRDefault="006B10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27 November 2022</w:t>
      </w:r>
      <w:r>
        <w:t>]</w:t>
      </w:r>
    </w:p>
    <w:p w14:paraId="0E17F636" w14:textId="2DDE90AA" w:rsidR="006B1078" w:rsidRDefault="006B1078" w:rsidP="008F5E3D">
      <w:pPr>
        <w:framePr w:hSpace="180" w:wrap="around" w:vAnchor="text" w:hAnchor="page" w:x="2431" w:y="9620"/>
      </w:pPr>
      <w:r>
        <w:t>(112/22)</w:t>
      </w:r>
    </w:p>
    <w:p w14:paraId="21A40EF5" w14:textId="77777777" w:rsidR="006B1078" w:rsidRDefault="006B1078"/>
    <w:sectPr w:rsidR="006B1078" w:rsidSect="00026A21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8CC1" w14:textId="77777777" w:rsidR="00E06291" w:rsidRDefault="00E06291" w:rsidP="0048364F">
      <w:pPr>
        <w:spacing w:line="240" w:lineRule="auto"/>
      </w:pPr>
      <w:r>
        <w:separator/>
      </w:r>
    </w:p>
  </w:endnote>
  <w:endnote w:type="continuationSeparator" w:id="0">
    <w:p w14:paraId="6CF8301F" w14:textId="77777777" w:rsidR="00E06291" w:rsidRDefault="00E062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C9CA" w14:textId="6767ECAF" w:rsidR="00E06291" w:rsidRPr="005F1388" w:rsidRDefault="00E06291" w:rsidP="00E062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6888" w14:textId="51CED4D8" w:rsidR="006B1078" w:rsidRDefault="006B107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8F3F36F" w14:textId="77777777" w:rsidR="006B1078" w:rsidRDefault="006B1078" w:rsidP="00CD12A5"/>
  <w:p w14:paraId="6125332A" w14:textId="2FF65D2E" w:rsidR="00E06291" w:rsidRDefault="00E06291" w:rsidP="00E06291">
    <w:pPr>
      <w:pStyle w:val="Footer"/>
      <w:spacing w:before="120"/>
    </w:pPr>
  </w:p>
  <w:p w14:paraId="6B28CE09" w14:textId="77777777" w:rsidR="00E06291" w:rsidRPr="005F1388" w:rsidRDefault="00E0629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6228" w14:textId="1D563C8A" w:rsidR="00E06291" w:rsidRPr="00ED79B6" w:rsidRDefault="00E06291" w:rsidP="00E062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01AB" w14:textId="77777777" w:rsidR="00E06291" w:rsidRDefault="00E06291" w:rsidP="00E0629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6291" w14:paraId="4A2A89FE" w14:textId="77777777" w:rsidTr="00532828">
      <w:tc>
        <w:tcPr>
          <w:tcW w:w="646" w:type="dxa"/>
        </w:tcPr>
        <w:p w14:paraId="0DAFEF3E" w14:textId="77777777" w:rsidR="00E06291" w:rsidRDefault="00E06291" w:rsidP="0053282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79C337" w14:textId="02618201" w:rsidR="00E06291" w:rsidRDefault="00E06291" w:rsidP="0053282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Defence Home Ownership Assistance Scheme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742D678" w14:textId="330F5454" w:rsidR="00E06291" w:rsidRDefault="00E06291" w:rsidP="0053282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No. 61,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FCAB4A" w14:textId="77777777" w:rsidR="00E06291" w:rsidRDefault="00E0629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5B39" w14:textId="57898CDA" w:rsidR="00E06291" w:rsidRDefault="00E06291" w:rsidP="00E0629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6291" w14:paraId="1FB66A34" w14:textId="77777777" w:rsidTr="00532828">
      <w:tc>
        <w:tcPr>
          <w:tcW w:w="1247" w:type="dxa"/>
        </w:tcPr>
        <w:p w14:paraId="189E54D4" w14:textId="4DC5DB93" w:rsidR="00E06291" w:rsidRDefault="00E06291" w:rsidP="0053282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No. 61,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D29088F" w14:textId="2E3534EB" w:rsidR="00E06291" w:rsidRDefault="00E06291" w:rsidP="0053282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Defence Home Ownership Assistance Scheme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A3A0A9F" w14:textId="77777777" w:rsidR="00E06291" w:rsidRDefault="00E06291" w:rsidP="0053282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150ADB" w14:textId="77777777" w:rsidR="00E06291" w:rsidRPr="00ED79B6" w:rsidRDefault="00E0629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3750" w14:textId="4B0008A7" w:rsidR="00E06291" w:rsidRPr="00A961C4" w:rsidRDefault="00E06291" w:rsidP="00E0629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6291" w14:paraId="71E61FBA" w14:textId="77777777" w:rsidTr="00FD6CF4">
      <w:tc>
        <w:tcPr>
          <w:tcW w:w="646" w:type="dxa"/>
        </w:tcPr>
        <w:p w14:paraId="4C00CCF5" w14:textId="77777777" w:rsidR="00E06291" w:rsidRDefault="00E06291" w:rsidP="0053282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C3A520" w14:textId="18544230" w:rsidR="00E06291" w:rsidRDefault="00E06291" w:rsidP="0053282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Defence Home Ownership Assistance Scheme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DA29976" w14:textId="715491FD" w:rsidR="00E06291" w:rsidRDefault="00E06291" w:rsidP="0053282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No. 61,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45C16F0" w14:textId="77777777" w:rsidR="00E06291" w:rsidRPr="00A961C4" w:rsidRDefault="00E0629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8D7C" w14:textId="42118CC2" w:rsidR="00E06291" w:rsidRPr="00A961C4" w:rsidRDefault="00E06291" w:rsidP="00E0629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6291" w14:paraId="3F88F816" w14:textId="77777777" w:rsidTr="00FD6CF4">
      <w:tc>
        <w:tcPr>
          <w:tcW w:w="1247" w:type="dxa"/>
        </w:tcPr>
        <w:p w14:paraId="5D838352" w14:textId="232C9764" w:rsidR="00E06291" w:rsidRDefault="00E06291" w:rsidP="0053282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No. 61,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51C040" w14:textId="43E564AC" w:rsidR="00E06291" w:rsidRDefault="00E06291" w:rsidP="0053282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Defence Home Ownership Assistance Scheme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0491A75" w14:textId="77777777" w:rsidR="00E06291" w:rsidRDefault="00E06291" w:rsidP="0053282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4A227F5" w14:textId="77777777" w:rsidR="00E06291" w:rsidRPr="00055B5C" w:rsidRDefault="00E0629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D4D9" w14:textId="3FF4D24F" w:rsidR="00E06291" w:rsidRPr="00A961C4" w:rsidRDefault="00E06291" w:rsidP="00E0629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E06291" w14:paraId="3C56426A" w14:textId="77777777" w:rsidTr="00FD6CF4">
      <w:tc>
        <w:tcPr>
          <w:tcW w:w="1247" w:type="dxa"/>
        </w:tcPr>
        <w:p w14:paraId="54194E84" w14:textId="76E872C8" w:rsidR="00E06291" w:rsidRDefault="00E06291" w:rsidP="0053282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No. 61,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9E5F4F1" w14:textId="5EFAFE0D" w:rsidR="00E06291" w:rsidRDefault="00E06291" w:rsidP="0053282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30D3E">
            <w:rPr>
              <w:i/>
              <w:sz w:val="18"/>
            </w:rPr>
            <w:t>Defence Home Ownership Assistance Scheme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5F2BD55" w14:textId="77777777" w:rsidR="00E06291" w:rsidRDefault="00E06291" w:rsidP="0053282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43EC2DC" w14:textId="77777777" w:rsidR="00E06291" w:rsidRPr="00A961C4" w:rsidRDefault="00E0629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C65F" w14:textId="77777777" w:rsidR="00E06291" w:rsidRDefault="00E06291" w:rsidP="0048364F">
      <w:pPr>
        <w:spacing w:line="240" w:lineRule="auto"/>
      </w:pPr>
      <w:r>
        <w:separator/>
      </w:r>
    </w:p>
  </w:footnote>
  <w:footnote w:type="continuationSeparator" w:id="0">
    <w:p w14:paraId="3B66A06F" w14:textId="77777777" w:rsidR="00E06291" w:rsidRDefault="00E062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4B15" w14:textId="06837B53" w:rsidR="00E06291" w:rsidRPr="005F1388" w:rsidRDefault="00E0629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E602" w14:textId="4AA2D131" w:rsidR="00026A21" w:rsidRPr="00A961C4" w:rsidRDefault="00026A21" w:rsidP="0048364F">
    <w:pPr>
      <w:rPr>
        <w:b/>
        <w:sz w:val="20"/>
      </w:rPr>
    </w:pPr>
  </w:p>
  <w:p w14:paraId="0B77C654" w14:textId="7CC345FE" w:rsidR="00026A21" w:rsidRPr="00A961C4" w:rsidRDefault="00026A21" w:rsidP="0048364F">
    <w:pPr>
      <w:rPr>
        <w:b/>
        <w:sz w:val="20"/>
      </w:rPr>
    </w:pPr>
  </w:p>
  <w:p w14:paraId="0D0031B3" w14:textId="77777777" w:rsidR="00026A21" w:rsidRPr="00A961C4" w:rsidRDefault="00026A2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D22B" w14:textId="7ECAD6D3" w:rsidR="00026A21" w:rsidRPr="00A961C4" w:rsidRDefault="00026A21" w:rsidP="0048364F">
    <w:pPr>
      <w:jc w:val="right"/>
      <w:rPr>
        <w:sz w:val="20"/>
      </w:rPr>
    </w:pPr>
  </w:p>
  <w:p w14:paraId="5B41B1EE" w14:textId="62059B65" w:rsidR="00026A21" w:rsidRPr="00A961C4" w:rsidRDefault="00026A21" w:rsidP="0048364F">
    <w:pPr>
      <w:jc w:val="right"/>
      <w:rPr>
        <w:b/>
        <w:sz w:val="20"/>
      </w:rPr>
    </w:pPr>
  </w:p>
  <w:p w14:paraId="0253F079" w14:textId="77777777" w:rsidR="00026A21" w:rsidRPr="00A961C4" w:rsidRDefault="00026A2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2CB1" w14:textId="77777777" w:rsidR="00026A21" w:rsidRPr="00A961C4" w:rsidRDefault="00026A21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83F4" w14:textId="4E32EDC6" w:rsidR="00E06291" w:rsidRPr="005F1388" w:rsidRDefault="00E0629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820D" w14:textId="6CCE7A0D" w:rsidR="00E06291" w:rsidRPr="005F1388" w:rsidRDefault="00E062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0406" w14:textId="453D4A60" w:rsidR="00E06291" w:rsidRPr="00ED79B6" w:rsidRDefault="00E0629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7AB8" w14:textId="417282B6" w:rsidR="00E06291" w:rsidRPr="00ED79B6" w:rsidRDefault="00E0629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2560" w14:textId="7BD11A89" w:rsidR="00E06291" w:rsidRPr="00ED79B6" w:rsidRDefault="00E062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3519" w14:textId="6EE641E9" w:rsidR="00E06291" w:rsidRPr="00A961C4" w:rsidRDefault="00E062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0D3E">
      <w:rPr>
        <w:b/>
        <w:sz w:val="20"/>
      </w:rPr>
      <w:fldChar w:fldCharType="separate"/>
    </w:r>
    <w:r w:rsidR="00230D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30D3E">
      <w:rPr>
        <w:sz w:val="20"/>
      </w:rPr>
      <w:fldChar w:fldCharType="separate"/>
    </w:r>
    <w:r w:rsidR="00230D3E">
      <w:rPr>
        <w:noProof/>
        <w:sz w:val="20"/>
      </w:rPr>
      <w:t>Amendments</w:t>
    </w:r>
    <w:r>
      <w:rPr>
        <w:sz w:val="20"/>
      </w:rPr>
      <w:fldChar w:fldCharType="end"/>
    </w:r>
  </w:p>
  <w:p w14:paraId="36E2EAEE" w14:textId="30BA4C8C" w:rsidR="00E06291" w:rsidRPr="00A961C4" w:rsidRDefault="00E0629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30D3E">
      <w:rPr>
        <w:b/>
        <w:sz w:val="20"/>
      </w:rPr>
      <w:fldChar w:fldCharType="separate"/>
    </w:r>
    <w:r w:rsidR="00230D3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30D3E">
      <w:rPr>
        <w:sz w:val="20"/>
      </w:rPr>
      <w:fldChar w:fldCharType="separate"/>
    </w:r>
    <w:r w:rsidR="00230D3E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3A5B870D" w14:textId="77777777" w:rsidR="00E06291" w:rsidRPr="00A961C4" w:rsidRDefault="00E0629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FB3D" w14:textId="43C970AF" w:rsidR="00E06291" w:rsidRPr="00A961C4" w:rsidRDefault="00E0629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30D3E">
      <w:rPr>
        <w:sz w:val="20"/>
      </w:rPr>
      <w:fldChar w:fldCharType="separate"/>
    </w:r>
    <w:r w:rsidR="00230D3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0D3E">
      <w:rPr>
        <w:b/>
        <w:sz w:val="20"/>
      </w:rPr>
      <w:fldChar w:fldCharType="separate"/>
    </w:r>
    <w:r w:rsidR="00230D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9552521" w14:textId="5E37AF40" w:rsidR="00E06291" w:rsidRPr="00A961C4" w:rsidRDefault="00E0629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230D3E">
      <w:rPr>
        <w:sz w:val="20"/>
      </w:rPr>
      <w:fldChar w:fldCharType="separate"/>
    </w:r>
    <w:r w:rsidR="00230D3E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230D3E">
      <w:rPr>
        <w:b/>
        <w:sz w:val="20"/>
      </w:rPr>
      <w:fldChar w:fldCharType="separate"/>
    </w:r>
    <w:r w:rsidR="00230D3E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027E5841" w14:textId="77777777" w:rsidR="00E06291" w:rsidRPr="00A961C4" w:rsidRDefault="00E0629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920A" w14:textId="2F9A72CF" w:rsidR="00E06291" w:rsidRPr="00A961C4" w:rsidRDefault="00E0629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4"/>
    <w:rsid w:val="00007F84"/>
    <w:rsid w:val="000113BC"/>
    <w:rsid w:val="000136AF"/>
    <w:rsid w:val="000150FA"/>
    <w:rsid w:val="00026A21"/>
    <w:rsid w:val="00035E4B"/>
    <w:rsid w:val="00036BA7"/>
    <w:rsid w:val="00037770"/>
    <w:rsid w:val="000417C9"/>
    <w:rsid w:val="00042288"/>
    <w:rsid w:val="0004396B"/>
    <w:rsid w:val="0005545B"/>
    <w:rsid w:val="00055B5C"/>
    <w:rsid w:val="00056391"/>
    <w:rsid w:val="00060FF9"/>
    <w:rsid w:val="000614BF"/>
    <w:rsid w:val="00062093"/>
    <w:rsid w:val="00073344"/>
    <w:rsid w:val="0007348B"/>
    <w:rsid w:val="000800BD"/>
    <w:rsid w:val="000822A5"/>
    <w:rsid w:val="00083C9A"/>
    <w:rsid w:val="00085166"/>
    <w:rsid w:val="00095C29"/>
    <w:rsid w:val="000A44F9"/>
    <w:rsid w:val="000B1FD2"/>
    <w:rsid w:val="000C0E17"/>
    <w:rsid w:val="000C47AA"/>
    <w:rsid w:val="000C7123"/>
    <w:rsid w:val="000D05EF"/>
    <w:rsid w:val="000D0C26"/>
    <w:rsid w:val="000F21C1"/>
    <w:rsid w:val="000F316E"/>
    <w:rsid w:val="000F3426"/>
    <w:rsid w:val="000F7372"/>
    <w:rsid w:val="00101D90"/>
    <w:rsid w:val="001067F3"/>
    <w:rsid w:val="0010745C"/>
    <w:rsid w:val="00113BD1"/>
    <w:rsid w:val="00116C0C"/>
    <w:rsid w:val="001173A3"/>
    <w:rsid w:val="001210C0"/>
    <w:rsid w:val="00122206"/>
    <w:rsid w:val="00132554"/>
    <w:rsid w:val="00140912"/>
    <w:rsid w:val="00144A3B"/>
    <w:rsid w:val="00154A1C"/>
    <w:rsid w:val="0015506B"/>
    <w:rsid w:val="00155BC2"/>
    <w:rsid w:val="0015646E"/>
    <w:rsid w:val="001643C9"/>
    <w:rsid w:val="00165568"/>
    <w:rsid w:val="001655EA"/>
    <w:rsid w:val="00166C2F"/>
    <w:rsid w:val="001713B3"/>
    <w:rsid w:val="001716C9"/>
    <w:rsid w:val="00173363"/>
    <w:rsid w:val="00173B94"/>
    <w:rsid w:val="001854B4"/>
    <w:rsid w:val="00190BA5"/>
    <w:rsid w:val="00192A6D"/>
    <w:rsid w:val="001939E1"/>
    <w:rsid w:val="00193E1F"/>
    <w:rsid w:val="00195382"/>
    <w:rsid w:val="001A013C"/>
    <w:rsid w:val="001A3658"/>
    <w:rsid w:val="001A759A"/>
    <w:rsid w:val="001B048A"/>
    <w:rsid w:val="001B633C"/>
    <w:rsid w:val="001B65F8"/>
    <w:rsid w:val="001B7A5D"/>
    <w:rsid w:val="001C2418"/>
    <w:rsid w:val="001C50B2"/>
    <w:rsid w:val="001C69C4"/>
    <w:rsid w:val="001D1F78"/>
    <w:rsid w:val="001E3590"/>
    <w:rsid w:val="001E5016"/>
    <w:rsid w:val="001E7407"/>
    <w:rsid w:val="001F3FAF"/>
    <w:rsid w:val="001F4795"/>
    <w:rsid w:val="001F50D8"/>
    <w:rsid w:val="002007B7"/>
    <w:rsid w:val="00201D27"/>
    <w:rsid w:val="00202618"/>
    <w:rsid w:val="00206BEA"/>
    <w:rsid w:val="002077BD"/>
    <w:rsid w:val="00220318"/>
    <w:rsid w:val="002218D3"/>
    <w:rsid w:val="00226A39"/>
    <w:rsid w:val="00227B77"/>
    <w:rsid w:val="00230D3E"/>
    <w:rsid w:val="00235E1C"/>
    <w:rsid w:val="00240749"/>
    <w:rsid w:val="00252760"/>
    <w:rsid w:val="00257FC1"/>
    <w:rsid w:val="00262E8A"/>
    <w:rsid w:val="002636F1"/>
    <w:rsid w:val="00263820"/>
    <w:rsid w:val="0026477A"/>
    <w:rsid w:val="002679D1"/>
    <w:rsid w:val="00267A1E"/>
    <w:rsid w:val="00275197"/>
    <w:rsid w:val="002808B4"/>
    <w:rsid w:val="0028234B"/>
    <w:rsid w:val="0028543A"/>
    <w:rsid w:val="0028763A"/>
    <w:rsid w:val="002908B3"/>
    <w:rsid w:val="00293B89"/>
    <w:rsid w:val="00297ECB"/>
    <w:rsid w:val="002B0830"/>
    <w:rsid w:val="002B0F78"/>
    <w:rsid w:val="002B5A30"/>
    <w:rsid w:val="002C6EE0"/>
    <w:rsid w:val="002D043A"/>
    <w:rsid w:val="002D176C"/>
    <w:rsid w:val="002D1C42"/>
    <w:rsid w:val="002D395A"/>
    <w:rsid w:val="002E6057"/>
    <w:rsid w:val="002F5A80"/>
    <w:rsid w:val="003144EE"/>
    <w:rsid w:val="00314C09"/>
    <w:rsid w:val="003151A5"/>
    <w:rsid w:val="00336A72"/>
    <w:rsid w:val="003415D3"/>
    <w:rsid w:val="00350417"/>
    <w:rsid w:val="00352B0F"/>
    <w:rsid w:val="003661F7"/>
    <w:rsid w:val="00366EEC"/>
    <w:rsid w:val="00367921"/>
    <w:rsid w:val="00373874"/>
    <w:rsid w:val="0037569D"/>
    <w:rsid w:val="00375C6C"/>
    <w:rsid w:val="003A517B"/>
    <w:rsid w:val="003A7B3C"/>
    <w:rsid w:val="003B1272"/>
    <w:rsid w:val="003B216B"/>
    <w:rsid w:val="003B32A7"/>
    <w:rsid w:val="003B4E3D"/>
    <w:rsid w:val="003B5D74"/>
    <w:rsid w:val="003C4359"/>
    <w:rsid w:val="003C5F2B"/>
    <w:rsid w:val="003D0BFE"/>
    <w:rsid w:val="003D3AD6"/>
    <w:rsid w:val="003D5700"/>
    <w:rsid w:val="003F05A2"/>
    <w:rsid w:val="00400A42"/>
    <w:rsid w:val="00401BEC"/>
    <w:rsid w:val="00405579"/>
    <w:rsid w:val="00410B8E"/>
    <w:rsid w:val="004116CD"/>
    <w:rsid w:val="00421FC1"/>
    <w:rsid w:val="004229C7"/>
    <w:rsid w:val="00424CA9"/>
    <w:rsid w:val="00434693"/>
    <w:rsid w:val="00436785"/>
    <w:rsid w:val="00436BD5"/>
    <w:rsid w:val="00437E4B"/>
    <w:rsid w:val="0044291A"/>
    <w:rsid w:val="00446E1A"/>
    <w:rsid w:val="0044741B"/>
    <w:rsid w:val="004550D2"/>
    <w:rsid w:val="00455E83"/>
    <w:rsid w:val="00470C46"/>
    <w:rsid w:val="00471CB9"/>
    <w:rsid w:val="0048196B"/>
    <w:rsid w:val="0048364F"/>
    <w:rsid w:val="004844C8"/>
    <w:rsid w:val="00486D05"/>
    <w:rsid w:val="00496F97"/>
    <w:rsid w:val="004A51CD"/>
    <w:rsid w:val="004B02B7"/>
    <w:rsid w:val="004B6830"/>
    <w:rsid w:val="004C296E"/>
    <w:rsid w:val="004C29F5"/>
    <w:rsid w:val="004C7C8C"/>
    <w:rsid w:val="004D7FB8"/>
    <w:rsid w:val="004E2A4A"/>
    <w:rsid w:val="004E7FC1"/>
    <w:rsid w:val="004F0D23"/>
    <w:rsid w:val="004F1FAC"/>
    <w:rsid w:val="004F293A"/>
    <w:rsid w:val="005004EB"/>
    <w:rsid w:val="00510CED"/>
    <w:rsid w:val="00516B8D"/>
    <w:rsid w:val="00516E8C"/>
    <w:rsid w:val="005202CD"/>
    <w:rsid w:val="00532828"/>
    <w:rsid w:val="00536193"/>
    <w:rsid w:val="00537FBC"/>
    <w:rsid w:val="00543469"/>
    <w:rsid w:val="00543F46"/>
    <w:rsid w:val="00545D52"/>
    <w:rsid w:val="00546E75"/>
    <w:rsid w:val="00551B54"/>
    <w:rsid w:val="005568B6"/>
    <w:rsid w:val="005731D6"/>
    <w:rsid w:val="00581968"/>
    <w:rsid w:val="00584811"/>
    <w:rsid w:val="005904A1"/>
    <w:rsid w:val="00593AA6"/>
    <w:rsid w:val="00594161"/>
    <w:rsid w:val="00594749"/>
    <w:rsid w:val="00597E0C"/>
    <w:rsid w:val="005A0D92"/>
    <w:rsid w:val="005A1B31"/>
    <w:rsid w:val="005A236B"/>
    <w:rsid w:val="005B2D42"/>
    <w:rsid w:val="005B4067"/>
    <w:rsid w:val="005B7596"/>
    <w:rsid w:val="005C3F41"/>
    <w:rsid w:val="005C75AA"/>
    <w:rsid w:val="005E152A"/>
    <w:rsid w:val="005E237E"/>
    <w:rsid w:val="005E3CED"/>
    <w:rsid w:val="005E767B"/>
    <w:rsid w:val="005F11B1"/>
    <w:rsid w:val="00600219"/>
    <w:rsid w:val="00605929"/>
    <w:rsid w:val="006106CD"/>
    <w:rsid w:val="00612248"/>
    <w:rsid w:val="006167FD"/>
    <w:rsid w:val="00624DEB"/>
    <w:rsid w:val="00641DE5"/>
    <w:rsid w:val="00656F0C"/>
    <w:rsid w:val="00662DA3"/>
    <w:rsid w:val="0067563B"/>
    <w:rsid w:val="00677CC2"/>
    <w:rsid w:val="00681F92"/>
    <w:rsid w:val="006842C2"/>
    <w:rsid w:val="00685BFC"/>
    <w:rsid w:val="00685F42"/>
    <w:rsid w:val="006864B5"/>
    <w:rsid w:val="00691DCC"/>
    <w:rsid w:val="0069207B"/>
    <w:rsid w:val="006A4B23"/>
    <w:rsid w:val="006B1078"/>
    <w:rsid w:val="006B5142"/>
    <w:rsid w:val="006C0765"/>
    <w:rsid w:val="006C2874"/>
    <w:rsid w:val="006C7F8C"/>
    <w:rsid w:val="006D195F"/>
    <w:rsid w:val="006D380D"/>
    <w:rsid w:val="006D3A24"/>
    <w:rsid w:val="006E0135"/>
    <w:rsid w:val="006E151E"/>
    <w:rsid w:val="006E303A"/>
    <w:rsid w:val="006F2BC6"/>
    <w:rsid w:val="006F2BD3"/>
    <w:rsid w:val="006F39FC"/>
    <w:rsid w:val="006F7E19"/>
    <w:rsid w:val="00700B2C"/>
    <w:rsid w:val="00705C87"/>
    <w:rsid w:val="007079A8"/>
    <w:rsid w:val="00712D8D"/>
    <w:rsid w:val="00713084"/>
    <w:rsid w:val="00714B26"/>
    <w:rsid w:val="007216A2"/>
    <w:rsid w:val="00731E00"/>
    <w:rsid w:val="0073659E"/>
    <w:rsid w:val="0073680B"/>
    <w:rsid w:val="00742570"/>
    <w:rsid w:val="00742E36"/>
    <w:rsid w:val="007440B7"/>
    <w:rsid w:val="00746810"/>
    <w:rsid w:val="007634AD"/>
    <w:rsid w:val="007715C9"/>
    <w:rsid w:val="00774459"/>
    <w:rsid w:val="00774EDD"/>
    <w:rsid w:val="007757EC"/>
    <w:rsid w:val="00777811"/>
    <w:rsid w:val="007800FD"/>
    <w:rsid w:val="00786DA3"/>
    <w:rsid w:val="00791462"/>
    <w:rsid w:val="00791B28"/>
    <w:rsid w:val="007A0104"/>
    <w:rsid w:val="007A46C9"/>
    <w:rsid w:val="007A5B06"/>
    <w:rsid w:val="007B30AA"/>
    <w:rsid w:val="007C14A8"/>
    <w:rsid w:val="007D46C5"/>
    <w:rsid w:val="007E0AC5"/>
    <w:rsid w:val="007E7D4A"/>
    <w:rsid w:val="007F513C"/>
    <w:rsid w:val="007F5ACC"/>
    <w:rsid w:val="008006CC"/>
    <w:rsid w:val="008032CF"/>
    <w:rsid w:val="00807F18"/>
    <w:rsid w:val="00831E8D"/>
    <w:rsid w:val="0085270D"/>
    <w:rsid w:val="00856A31"/>
    <w:rsid w:val="00857D6B"/>
    <w:rsid w:val="00864197"/>
    <w:rsid w:val="00874CC0"/>
    <w:rsid w:val="008754D0"/>
    <w:rsid w:val="00876322"/>
    <w:rsid w:val="00877D48"/>
    <w:rsid w:val="00880CDA"/>
    <w:rsid w:val="00882A69"/>
    <w:rsid w:val="00882BD4"/>
    <w:rsid w:val="00883781"/>
    <w:rsid w:val="00884C81"/>
    <w:rsid w:val="00885570"/>
    <w:rsid w:val="00893958"/>
    <w:rsid w:val="00897965"/>
    <w:rsid w:val="008A2E77"/>
    <w:rsid w:val="008A3CA9"/>
    <w:rsid w:val="008B0B7B"/>
    <w:rsid w:val="008B3464"/>
    <w:rsid w:val="008B5787"/>
    <w:rsid w:val="008B613E"/>
    <w:rsid w:val="008C564B"/>
    <w:rsid w:val="008C6F6F"/>
    <w:rsid w:val="008D0EE0"/>
    <w:rsid w:val="008D3E94"/>
    <w:rsid w:val="008F1CE4"/>
    <w:rsid w:val="008F4D54"/>
    <w:rsid w:val="008F4F1C"/>
    <w:rsid w:val="008F5E3D"/>
    <w:rsid w:val="008F77C4"/>
    <w:rsid w:val="00901D62"/>
    <w:rsid w:val="009103F3"/>
    <w:rsid w:val="0092479D"/>
    <w:rsid w:val="00932377"/>
    <w:rsid w:val="00943221"/>
    <w:rsid w:val="00957C0D"/>
    <w:rsid w:val="00967042"/>
    <w:rsid w:val="00967BDC"/>
    <w:rsid w:val="00972742"/>
    <w:rsid w:val="009816D2"/>
    <w:rsid w:val="0098255A"/>
    <w:rsid w:val="009845BE"/>
    <w:rsid w:val="009867C3"/>
    <w:rsid w:val="0099259B"/>
    <w:rsid w:val="009969C9"/>
    <w:rsid w:val="009C0789"/>
    <w:rsid w:val="009C3A1F"/>
    <w:rsid w:val="009D2DFE"/>
    <w:rsid w:val="009D4C37"/>
    <w:rsid w:val="009E186E"/>
    <w:rsid w:val="009E58AF"/>
    <w:rsid w:val="009F3FC3"/>
    <w:rsid w:val="009F5372"/>
    <w:rsid w:val="009F7BD0"/>
    <w:rsid w:val="00A0094B"/>
    <w:rsid w:val="00A0208F"/>
    <w:rsid w:val="00A048FF"/>
    <w:rsid w:val="00A10775"/>
    <w:rsid w:val="00A108CD"/>
    <w:rsid w:val="00A15594"/>
    <w:rsid w:val="00A231E2"/>
    <w:rsid w:val="00A33A92"/>
    <w:rsid w:val="00A33B1C"/>
    <w:rsid w:val="00A36C48"/>
    <w:rsid w:val="00A41E0B"/>
    <w:rsid w:val="00A51343"/>
    <w:rsid w:val="00A55631"/>
    <w:rsid w:val="00A633D5"/>
    <w:rsid w:val="00A6449F"/>
    <w:rsid w:val="00A64912"/>
    <w:rsid w:val="00A70322"/>
    <w:rsid w:val="00A70A74"/>
    <w:rsid w:val="00A807B1"/>
    <w:rsid w:val="00A81417"/>
    <w:rsid w:val="00A8286A"/>
    <w:rsid w:val="00A95B20"/>
    <w:rsid w:val="00A95BC4"/>
    <w:rsid w:val="00AA3795"/>
    <w:rsid w:val="00AA7C46"/>
    <w:rsid w:val="00AC1D5F"/>
    <w:rsid w:val="00AC1E75"/>
    <w:rsid w:val="00AC57D6"/>
    <w:rsid w:val="00AC5A29"/>
    <w:rsid w:val="00AD5641"/>
    <w:rsid w:val="00AE1088"/>
    <w:rsid w:val="00AF1BA4"/>
    <w:rsid w:val="00AF1DAE"/>
    <w:rsid w:val="00AF6E58"/>
    <w:rsid w:val="00B032D8"/>
    <w:rsid w:val="00B03BA2"/>
    <w:rsid w:val="00B11FCC"/>
    <w:rsid w:val="00B126FE"/>
    <w:rsid w:val="00B26724"/>
    <w:rsid w:val="00B32BE2"/>
    <w:rsid w:val="00B33B3C"/>
    <w:rsid w:val="00B34F99"/>
    <w:rsid w:val="00B35A44"/>
    <w:rsid w:val="00B6382D"/>
    <w:rsid w:val="00B739FC"/>
    <w:rsid w:val="00B961CA"/>
    <w:rsid w:val="00BA5026"/>
    <w:rsid w:val="00BB2E62"/>
    <w:rsid w:val="00BB3995"/>
    <w:rsid w:val="00BB40BF"/>
    <w:rsid w:val="00BC0CD1"/>
    <w:rsid w:val="00BC2D0F"/>
    <w:rsid w:val="00BC42FF"/>
    <w:rsid w:val="00BD07BF"/>
    <w:rsid w:val="00BD6B0E"/>
    <w:rsid w:val="00BE3C46"/>
    <w:rsid w:val="00BE53B9"/>
    <w:rsid w:val="00BE719A"/>
    <w:rsid w:val="00BE720A"/>
    <w:rsid w:val="00BF0461"/>
    <w:rsid w:val="00BF3144"/>
    <w:rsid w:val="00BF4944"/>
    <w:rsid w:val="00BF56D4"/>
    <w:rsid w:val="00C031C6"/>
    <w:rsid w:val="00C04409"/>
    <w:rsid w:val="00C067E5"/>
    <w:rsid w:val="00C164CA"/>
    <w:rsid w:val="00C176CF"/>
    <w:rsid w:val="00C24EE9"/>
    <w:rsid w:val="00C32108"/>
    <w:rsid w:val="00C41061"/>
    <w:rsid w:val="00C42BF8"/>
    <w:rsid w:val="00C460AE"/>
    <w:rsid w:val="00C50043"/>
    <w:rsid w:val="00C54E84"/>
    <w:rsid w:val="00C63E08"/>
    <w:rsid w:val="00C64A74"/>
    <w:rsid w:val="00C64A88"/>
    <w:rsid w:val="00C71B89"/>
    <w:rsid w:val="00C7573B"/>
    <w:rsid w:val="00C76CF3"/>
    <w:rsid w:val="00C860F6"/>
    <w:rsid w:val="00C93786"/>
    <w:rsid w:val="00C94418"/>
    <w:rsid w:val="00CA31B0"/>
    <w:rsid w:val="00CA4A8A"/>
    <w:rsid w:val="00CA76A7"/>
    <w:rsid w:val="00CB225B"/>
    <w:rsid w:val="00CC38FE"/>
    <w:rsid w:val="00CC6E13"/>
    <w:rsid w:val="00CE1E31"/>
    <w:rsid w:val="00CE38ED"/>
    <w:rsid w:val="00CE78A4"/>
    <w:rsid w:val="00CF0BB2"/>
    <w:rsid w:val="00CF3A90"/>
    <w:rsid w:val="00CF5DAB"/>
    <w:rsid w:val="00D00EAA"/>
    <w:rsid w:val="00D13441"/>
    <w:rsid w:val="00D1517D"/>
    <w:rsid w:val="00D238E8"/>
    <w:rsid w:val="00D243A3"/>
    <w:rsid w:val="00D2577D"/>
    <w:rsid w:val="00D31155"/>
    <w:rsid w:val="00D33971"/>
    <w:rsid w:val="00D477C3"/>
    <w:rsid w:val="00D52EFE"/>
    <w:rsid w:val="00D630EA"/>
    <w:rsid w:val="00D63EF6"/>
    <w:rsid w:val="00D64428"/>
    <w:rsid w:val="00D70DFB"/>
    <w:rsid w:val="00D73029"/>
    <w:rsid w:val="00D766DF"/>
    <w:rsid w:val="00D85823"/>
    <w:rsid w:val="00D90B8D"/>
    <w:rsid w:val="00DA332D"/>
    <w:rsid w:val="00DA3C2A"/>
    <w:rsid w:val="00DC7C81"/>
    <w:rsid w:val="00DD7991"/>
    <w:rsid w:val="00DE14A3"/>
    <w:rsid w:val="00DE2002"/>
    <w:rsid w:val="00DF013A"/>
    <w:rsid w:val="00DF654D"/>
    <w:rsid w:val="00DF6CBC"/>
    <w:rsid w:val="00DF7AE9"/>
    <w:rsid w:val="00E05704"/>
    <w:rsid w:val="00E06291"/>
    <w:rsid w:val="00E06E95"/>
    <w:rsid w:val="00E2201E"/>
    <w:rsid w:val="00E24D66"/>
    <w:rsid w:val="00E26790"/>
    <w:rsid w:val="00E32B60"/>
    <w:rsid w:val="00E35D74"/>
    <w:rsid w:val="00E37760"/>
    <w:rsid w:val="00E47B49"/>
    <w:rsid w:val="00E54292"/>
    <w:rsid w:val="00E611FE"/>
    <w:rsid w:val="00E74DC7"/>
    <w:rsid w:val="00E76367"/>
    <w:rsid w:val="00E8488B"/>
    <w:rsid w:val="00E84ECA"/>
    <w:rsid w:val="00E87699"/>
    <w:rsid w:val="00E9216A"/>
    <w:rsid w:val="00E932C1"/>
    <w:rsid w:val="00E947C6"/>
    <w:rsid w:val="00E94E30"/>
    <w:rsid w:val="00E95E2D"/>
    <w:rsid w:val="00EB4519"/>
    <w:rsid w:val="00EB510C"/>
    <w:rsid w:val="00ED215F"/>
    <w:rsid w:val="00ED492F"/>
    <w:rsid w:val="00EE3E36"/>
    <w:rsid w:val="00EF1ABD"/>
    <w:rsid w:val="00EF2E3A"/>
    <w:rsid w:val="00EF6619"/>
    <w:rsid w:val="00EF696A"/>
    <w:rsid w:val="00F047E2"/>
    <w:rsid w:val="00F078DC"/>
    <w:rsid w:val="00F13E86"/>
    <w:rsid w:val="00F1610B"/>
    <w:rsid w:val="00F16796"/>
    <w:rsid w:val="00F17B00"/>
    <w:rsid w:val="00F20663"/>
    <w:rsid w:val="00F21A98"/>
    <w:rsid w:val="00F23A20"/>
    <w:rsid w:val="00F445EF"/>
    <w:rsid w:val="00F677A9"/>
    <w:rsid w:val="00F8456E"/>
    <w:rsid w:val="00F84CF5"/>
    <w:rsid w:val="00F901A7"/>
    <w:rsid w:val="00F92D35"/>
    <w:rsid w:val="00FA420B"/>
    <w:rsid w:val="00FB4269"/>
    <w:rsid w:val="00FB7566"/>
    <w:rsid w:val="00FC3374"/>
    <w:rsid w:val="00FC7BBF"/>
    <w:rsid w:val="00FD1E13"/>
    <w:rsid w:val="00FD6CF4"/>
    <w:rsid w:val="00FD7EB1"/>
    <w:rsid w:val="00FE41C9"/>
    <w:rsid w:val="00FE4CFE"/>
    <w:rsid w:val="00FE57E4"/>
    <w:rsid w:val="00FE7CBC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34C1B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062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B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B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B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B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B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B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B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6291"/>
  </w:style>
  <w:style w:type="paragraph" w:customStyle="1" w:styleId="OPCParaBase">
    <w:name w:val="OPCParaBase"/>
    <w:qFormat/>
    <w:rsid w:val="00E062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62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62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62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62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62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62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62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62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62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62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6291"/>
  </w:style>
  <w:style w:type="paragraph" w:customStyle="1" w:styleId="Blocks">
    <w:name w:val="Blocks"/>
    <w:aliases w:val="bb"/>
    <w:basedOn w:val="OPCParaBase"/>
    <w:qFormat/>
    <w:rsid w:val="00E062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6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62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6291"/>
    <w:rPr>
      <w:i/>
    </w:rPr>
  </w:style>
  <w:style w:type="paragraph" w:customStyle="1" w:styleId="BoxList">
    <w:name w:val="BoxList"/>
    <w:aliases w:val="bl"/>
    <w:basedOn w:val="BoxText"/>
    <w:qFormat/>
    <w:rsid w:val="00E062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62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62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6291"/>
    <w:pPr>
      <w:ind w:left="1985" w:hanging="851"/>
    </w:pPr>
  </w:style>
  <w:style w:type="character" w:customStyle="1" w:styleId="CharAmPartNo">
    <w:name w:val="CharAmPartNo"/>
    <w:basedOn w:val="OPCCharBase"/>
    <w:qFormat/>
    <w:rsid w:val="00E06291"/>
  </w:style>
  <w:style w:type="character" w:customStyle="1" w:styleId="CharAmPartText">
    <w:name w:val="CharAmPartText"/>
    <w:basedOn w:val="OPCCharBase"/>
    <w:qFormat/>
    <w:rsid w:val="00E06291"/>
  </w:style>
  <w:style w:type="character" w:customStyle="1" w:styleId="CharAmSchNo">
    <w:name w:val="CharAmSchNo"/>
    <w:basedOn w:val="OPCCharBase"/>
    <w:qFormat/>
    <w:rsid w:val="00E06291"/>
  </w:style>
  <w:style w:type="character" w:customStyle="1" w:styleId="CharAmSchText">
    <w:name w:val="CharAmSchText"/>
    <w:basedOn w:val="OPCCharBase"/>
    <w:qFormat/>
    <w:rsid w:val="00E06291"/>
  </w:style>
  <w:style w:type="character" w:customStyle="1" w:styleId="CharBoldItalic">
    <w:name w:val="CharBoldItalic"/>
    <w:basedOn w:val="OPCCharBase"/>
    <w:uiPriority w:val="1"/>
    <w:qFormat/>
    <w:rsid w:val="00E062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06291"/>
  </w:style>
  <w:style w:type="character" w:customStyle="1" w:styleId="CharChapText">
    <w:name w:val="CharChapText"/>
    <w:basedOn w:val="OPCCharBase"/>
    <w:uiPriority w:val="1"/>
    <w:qFormat/>
    <w:rsid w:val="00E06291"/>
  </w:style>
  <w:style w:type="character" w:customStyle="1" w:styleId="CharDivNo">
    <w:name w:val="CharDivNo"/>
    <w:basedOn w:val="OPCCharBase"/>
    <w:uiPriority w:val="1"/>
    <w:qFormat/>
    <w:rsid w:val="00E06291"/>
  </w:style>
  <w:style w:type="character" w:customStyle="1" w:styleId="CharDivText">
    <w:name w:val="CharDivText"/>
    <w:basedOn w:val="OPCCharBase"/>
    <w:uiPriority w:val="1"/>
    <w:qFormat/>
    <w:rsid w:val="00E06291"/>
  </w:style>
  <w:style w:type="character" w:customStyle="1" w:styleId="CharItalic">
    <w:name w:val="CharItalic"/>
    <w:basedOn w:val="OPCCharBase"/>
    <w:uiPriority w:val="1"/>
    <w:qFormat/>
    <w:rsid w:val="00E06291"/>
    <w:rPr>
      <w:i/>
    </w:rPr>
  </w:style>
  <w:style w:type="character" w:customStyle="1" w:styleId="CharPartNo">
    <w:name w:val="CharPartNo"/>
    <w:basedOn w:val="OPCCharBase"/>
    <w:uiPriority w:val="1"/>
    <w:qFormat/>
    <w:rsid w:val="00E06291"/>
  </w:style>
  <w:style w:type="character" w:customStyle="1" w:styleId="CharPartText">
    <w:name w:val="CharPartText"/>
    <w:basedOn w:val="OPCCharBase"/>
    <w:uiPriority w:val="1"/>
    <w:qFormat/>
    <w:rsid w:val="00E06291"/>
  </w:style>
  <w:style w:type="character" w:customStyle="1" w:styleId="CharSectno">
    <w:name w:val="CharSectno"/>
    <w:basedOn w:val="OPCCharBase"/>
    <w:qFormat/>
    <w:rsid w:val="00E06291"/>
  </w:style>
  <w:style w:type="character" w:customStyle="1" w:styleId="CharSubdNo">
    <w:name w:val="CharSubdNo"/>
    <w:basedOn w:val="OPCCharBase"/>
    <w:uiPriority w:val="1"/>
    <w:qFormat/>
    <w:rsid w:val="00E06291"/>
  </w:style>
  <w:style w:type="character" w:customStyle="1" w:styleId="CharSubdText">
    <w:name w:val="CharSubdText"/>
    <w:basedOn w:val="OPCCharBase"/>
    <w:uiPriority w:val="1"/>
    <w:qFormat/>
    <w:rsid w:val="00E06291"/>
  </w:style>
  <w:style w:type="paragraph" w:customStyle="1" w:styleId="CTA--">
    <w:name w:val="CTA --"/>
    <w:basedOn w:val="OPCParaBase"/>
    <w:next w:val="Normal"/>
    <w:rsid w:val="00E062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62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62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62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62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62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62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62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62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62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62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62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62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62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62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62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62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62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62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62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62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62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62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62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62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62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62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62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62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62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62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62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62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62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62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62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62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62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62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62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62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62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62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62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62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62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62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62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62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62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62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6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62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62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62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629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629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629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629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0629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0629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0629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629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0629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62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62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62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62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62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62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62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62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6291"/>
    <w:rPr>
      <w:sz w:val="16"/>
    </w:rPr>
  </w:style>
  <w:style w:type="table" w:customStyle="1" w:styleId="CFlag">
    <w:name w:val="CFlag"/>
    <w:basedOn w:val="TableNormal"/>
    <w:uiPriority w:val="99"/>
    <w:rsid w:val="00E0629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062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629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062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62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062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62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62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62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62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0629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0629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0629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062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62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62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62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62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62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62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62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629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062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06291"/>
  </w:style>
  <w:style w:type="character" w:customStyle="1" w:styleId="CharSubPartNoCASA">
    <w:name w:val="CharSubPartNo(CASA)"/>
    <w:basedOn w:val="OPCCharBase"/>
    <w:uiPriority w:val="1"/>
    <w:rsid w:val="00E06291"/>
  </w:style>
  <w:style w:type="paragraph" w:customStyle="1" w:styleId="ENoteTTIndentHeadingSub">
    <w:name w:val="ENoteTTIndentHeadingSub"/>
    <w:aliases w:val="enTTHis"/>
    <w:basedOn w:val="OPCParaBase"/>
    <w:rsid w:val="00E062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62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62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629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0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062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062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6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6291"/>
    <w:rPr>
      <w:sz w:val="22"/>
    </w:rPr>
  </w:style>
  <w:style w:type="paragraph" w:customStyle="1" w:styleId="SOTextNote">
    <w:name w:val="SO TextNote"/>
    <w:aliases w:val="sont"/>
    <w:basedOn w:val="SOText"/>
    <w:qFormat/>
    <w:rsid w:val="00E062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62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6291"/>
    <w:rPr>
      <w:sz w:val="22"/>
    </w:rPr>
  </w:style>
  <w:style w:type="paragraph" w:customStyle="1" w:styleId="FileName">
    <w:name w:val="FileName"/>
    <w:basedOn w:val="Normal"/>
    <w:rsid w:val="00E0629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62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62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62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62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62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62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62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62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62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629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06291"/>
  </w:style>
  <w:style w:type="character" w:customStyle="1" w:styleId="Heading1Char">
    <w:name w:val="Heading 1 Char"/>
    <w:basedOn w:val="DefaultParagraphFont"/>
    <w:link w:val="Heading1"/>
    <w:uiPriority w:val="9"/>
    <w:rsid w:val="00401B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BE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BE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B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B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B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026A2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26A2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26A2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26A2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26A21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630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0EA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6B10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B10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B10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EB91-BDF0-4DA2-9609-B0D83BF2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1851</Words>
  <Characters>9298</Characters>
  <Application>Microsoft Office Word</Application>
  <DocSecurity>0</DocSecurity>
  <PresentationFormat/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2022-09-21T05:52:00Z</cp:lastPrinted>
  <dcterms:created xsi:type="dcterms:W3CDTF">2022-11-29T22:40:00Z</dcterms:created>
  <dcterms:modified xsi:type="dcterms:W3CDTF">2022-11-29T23:06:00Z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Defence Home Ownership Assistance Scheme Amendment Act 2022</vt:lpwstr>
  </property>
  <property fmtid="{D5CDD505-2E9C-101B-9397-08002B2CF9AE}" pid="3" name="ActNo">
    <vt:lpwstr>No. 61,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OPC8051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2022-11-24T02:57:11Z</vt:lpwstr>
  </property>
  <property fmtid="{D5CDD505-2E9C-101B-9397-08002B2CF9AE}" pid="12" name="MSIP_Label_234ea0fa-41da-4eb0-b95e-07c328641c0b_Method">
    <vt:lpwstr>Privileged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d3489b40-bf12-45da-a24c-726ff5532e6d</vt:lpwstr>
  </property>
  <property fmtid="{D5CDD505-2E9C-101B-9397-08002B2CF9AE}" pid="16" name="MSIP_Label_234ea0fa-41da-4eb0-b95e-07c328641c0b_ContentBits">
    <vt:lpwstr>0</vt:lpwstr>
  </property>
</Properties>
</file>