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2912651"/>
    <w:p w14:paraId="2B38FF99" w14:textId="543CE830" w:rsidR="00314441" w:rsidRDefault="00314441" w:rsidP="00314441">
      <w:r>
        <w:object w:dxaOrig="2146" w:dyaOrig="1561" w14:anchorId="691DD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8" o:title=""/>
          </v:shape>
          <o:OLEObject Type="Embed" ProgID="Word.Picture.8" ShapeID="_x0000_i1025" DrawAspect="Content" ObjectID="_1731498660" r:id="rId9"/>
        </w:object>
      </w:r>
    </w:p>
    <w:p w14:paraId="63A13880" w14:textId="77777777" w:rsidR="00314441" w:rsidRDefault="00314441" w:rsidP="00314441"/>
    <w:p w14:paraId="65E6FA5B" w14:textId="77777777" w:rsidR="00314441" w:rsidRDefault="00314441" w:rsidP="00314441"/>
    <w:p w14:paraId="0280A02A" w14:textId="77777777" w:rsidR="00314441" w:rsidRDefault="00314441" w:rsidP="00314441"/>
    <w:p w14:paraId="4FBA77D5" w14:textId="77777777" w:rsidR="00314441" w:rsidRDefault="00314441" w:rsidP="00314441"/>
    <w:p w14:paraId="179720FB" w14:textId="77777777" w:rsidR="00314441" w:rsidRDefault="00314441" w:rsidP="00314441"/>
    <w:p w14:paraId="0CE26E85" w14:textId="77777777" w:rsidR="00314441" w:rsidRDefault="00314441" w:rsidP="00314441"/>
    <w:p w14:paraId="50C44E0B" w14:textId="2810049B" w:rsidR="0048364F" w:rsidRPr="003B741F" w:rsidRDefault="00314441" w:rsidP="0048364F">
      <w:pPr>
        <w:pStyle w:val="ShortT"/>
      </w:pPr>
      <w:r>
        <w:t>Social Services and Other Legislation Amendment (Incentivising Pensioners to Downsize) Act 2022</w:t>
      </w:r>
    </w:p>
    <w:bookmarkEnd w:id="0"/>
    <w:p w14:paraId="15F2E5F3" w14:textId="77777777" w:rsidR="0048364F" w:rsidRPr="003B741F" w:rsidRDefault="0048364F" w:rsidP="0048364F"/>
    <w:p w14:paraId="226C489C" w14:textId="0BA31A5F" w:rsidR="0048364F" w:rsidRPr="003B741F" w:rsidRDefault="00C164CA" w:rsidP="00314441">
      <w:pPr>
        <w:pStyle w:val="Actno"/>
        <w:spacing w:before="400"/>
      </w:pPr>
      <w:r w:rsidRPr="003B741F">
        <w:t>No.</w:t>
      </w:r>
      <w:r w:rsidR="00182D15">
        <w:t xml:space="preserve"> 62</w:t>
      </w:r>
      <w:r w:rsidRPr="003B741F">
        <w:t>, 20</w:t>
      </w:r>
      <w:r w:rsidR="009E186E" w:rsidRPr="003B741F">
        <w:t>2</w:t>
      </w:r>
      <w:r w:rsidR="005F11B1" w:rsidRPr="003B741F">
        <w:t>2</w:t>
      </w:r>
    </w:p>
    <w:p w14:paraId="2F2A5E64" w14:textId="77777777" w:rsidR="0048364F" w:rsidRPr="003B741F" w:rsidRDefault="0048364F" w:rsidP="0048364F"/>
    <w:p w14:paraId="05B46C12" w14:textId="77777777" w:rsidR="00CD7292" w:rsidRDefault="00CD7292" w:rsidP="00CD7292">
      <w:pPr>
        <w:rPr>
          <w:lang w:eastAsia="en-AU"/>
        </w:rPr>
      </w:pPr>
    </w:p>
    <w:p w14:paraId="0672DCBF" w14:textId="4573C75F" w:rsidR="0048364F" w:rsidRPr="003B741F" w:rsidRDefault="0048364F" w:rsidP="0048364F"/>
    <w:p w14:paraId="7F8B4501" w14:textId="77777777" w:rsidR="0048364F" w:rsidRPr="003B741F" w:rsidRDefault="0048364F" w:rsidP="0048364F"/>
    <w:p w14:paraId="1CE32B5B" w14:textId="77777777" w:rsidR="0048364F" w:rsidRPr="003B741F" w:rsidRDefault="0048364F" w:rsidP="0048364F"/>
    <w:p w14:paraId="55CAC4E0" w14:textId="77777777" w:rsidR="00314441" w:rsidRDefault="00314441" w:rsidP="00314441">
      <w:pPr>
        <w:pStyle w:val="LongT"/>
      </w:pPr>
      <w:r>
        <w:t>An Act to amend the law relating to social security and veterans’ entitlements, and for related purposes</w:t>
      </w:r>
    </w:p>
    <w:p w14:paraId="579ACE8B" w14:textId="2C5F0EE2" w:rsidR="0048364F" w:rsidRPr="000A292B" w:rsidRDefault="0048364F" w:rsidP="0048364F">
      <w:pPr>
        <w:pStyle w:val="Header"/>
        <w:tabs>
          <w:tab w:val="clear" w:pos="4150"/>
          <w:tab w:val="clear" w:pos="8307"/>
        </w:tabs>
      </w:pPr>
      <w:r w:rsidRPr="000A292B">
        <w:rPr>
          <w:rStyle w:val="CharAmSchNo"/>
        </w:rPr>
        <w:t xml:space="preserve"> </w:t>
      </w:r>
      <w:r w:rsidRPr="000A292B">
        <w:rPr>
          <w:rStyle w:val="CharAmSchText"/>
        </w:rPr>
        <w:t xml:space="preserve"> </w:t>
      </w:r>
    </w:p>
    <w:p w14:paraId="68F28861" w14:textId="77777777" w:rsidR="0048364F" w:rsidRPr="000A292B" w:rsidRDefault="0048364F" w:rsidP="0048364F">
      <w:pPr>
        <w:pStyle w:val="Header"/>
        <w:tabs>
          <w:tab w:val="clear" w:pos="4150"/>
          <w:tab w:val="clear" w:pos="8307"/>
        </w:tabs>
      </w:pPr>
      <w:r w:rsidRPr="000A292B">
        <w:rPr>
          <w:rStyle w:val="CharAmPartNo"/>
        </w:rPr>
        <w:t xml:space="preserve"> </w:t>
      </w:r>
      <w:r w:rsidRPr="000A292B">
        <w:rPr>
          <w:rStyle w:val="CharAmPartText"/>
        </w:rPr>
        <w:t xml:space="preserve"> </w:t>
      </w:r>
    </w:p>
    <w:p w14:paraId="3B66E1EE" w14:textId="77777777" w:rsidR="0048364F" w:rsidRPr="003B741F" w:rsidRDefault="0048364F" w:rsidP="0048364F">
      <w:pPr>
        <w:sectPr w:rsidR="0048364F" w:rsidRPr="003B741F" w:rsidSect="0031444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74F6487D" w14:textId="77777777" w:rsidR="0048364F" w:rsidRPr="003B741F" w:rsidRDefault="0048364F" w:rsidP="0048364F">
      <w:pPr>
        <w:outlineLvl w:val="0"/>
        <w:rPr>
          <w:sz w:val="36"/>
        </w:rPr>
      </w:pPr>
      <w:r w:rsidRPr="003B741F">
        <w:rPr>
          <w:sz w:val="36"/>
        </w:rPr>
        <w:lastRenderedPageBreak/>
        <w:t>Contents</w:t>
      </w:r>
    </w:p>
    <w:p w14:paraId="6687CB00" w14:textId="093507DC" w:rsidR="0018209E" w:rsidRDefault="0018209E">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18209E">
        <w:rPr>
          <w:noProof/>
        </w:rPr>
        <w:tab/>
      </w:r>
      <w:r w:rsidRPr="0018209E">
        <w:rPr>
          <w:noProof/>
        </w:rPr>
        <w:fldChar w:fldCharType="begin"/>
      </w:r>
      <w:r w:rsidRPr="0018209E">
        <w:rPr>
          <w:noProof/>
        </w:rPr>
        <w:instrText xml:space="preserve"> PAGEREF _Toc120696399 \h </w:instrText>
      </w:r>
      <w:r w:rsidRPr="0018209E">
        <w:rPr>
          <w:noProof/>
        </w:rPr>
      </w:r>
      <w:r w:rsidRPr="0018209E">
        <w:rPr>
          <w:noProof/>
        </w:rPr>
        <w:fldChar w:fldCharType="separate"/>
      </w:r>
      <w:r w:rsidR="00C002D7">
        <w:rPr>
          <w:noProof/>
        </w:rPr>
        <w:t>2</w:t>
      </w:r>
      <w:r w:rsidRPr="0018209E">
        <w:rPr>
          <w:noProof/>
        </w:rPr>
        <w:fldChar w:fldCharType="end"/>
      </w:r>
    </w:p>
    <w:p w14:paraId="0283A249" w14:textId="59B511D1" w:rsidR="0018209E" w:rsidRDefault="0018209E">
      <w:pPr>
        <w:pStyle w:val="TOC5"/>
        <w:rPr>
          <w:rFonts w:asciiTheme="minorHAnsi" w:eastAsiaTheme="minorEastAsia" w:hAnsiTheme="minorHAnsi" w:cstheme="minorBidi"/>
          <w:noProof/>
          <w:kern w:val="0"/>
          <w:sz w:val="22"/>
          <w:szCs w:val="22"/>
        </w:rPr>
      </w:pPr>
      <w:r>
        <w:rPr>
          <w:noProof/>
        </w:rPr>
        <w:t>2</w:t>
      </w:r>
      <w:r>
        <w:rPr>
          <w:noProof/>
        </w:rPr>
        <w:tab/>
        <w:t>Commencement</w:t>
      </w:r>
      <w:r w:rsidRPr="0018209E">
        <w:rPr>
          <w:noProof/>
        </w:rPr>
        <w:tab/>
      </w:r>
      <w:r w:rsidRPr="0018209E">
        <w:rPr>
          <w:noProof/>
        </w:rPr>
        <w:fldChar w:fldCharType="begin"/>
      </w:r>
      <w:r w:rsidRPr="0018209E">
        <w:rPr>
          <w:noProof/>
        </w:rPr>
        <w:instrText xml:space="preserve"> PAGEREF _Toc120696400 \h </w:instrText>
      </w:r>
      <w:r w:rsidRPr="0018209E">
        <w:rPr>
          <w:noProof/>
        </w:rPr>
      </w:r>
      <w:r w:rsidRPr="0018209E">
        <w:rPr>
          <w:noProof/>
        </w:rPr>
        <w:fldChar w:fldCharType="separate"/>
      </w:r>
      <w:r w:rsidR="00C002D7">
        <w:rPr>
          <w:noProof/>
        </w:rPr>
        <w:t>2</w:t>
      </w:r>
      <w:r w:rsidRPr="0018209E">
        <w:rPr>
          <w:noProof/>
        </w:rPr>
        <w:fldChar w:fldCharType="end"/>
      </w:r>
    </w:p>
    <w:p w14:paraId="0EF5717C" w14:textId="53523441" w:rsidR="0018209E" w:rsidRDefault="0018209E">
      <w:pPr>
        <w:pStyle w:val="TOC5"/>
        <w:rPr>
          <w:rFonts w:asciiTheme="minorHAnsi" w:eastAsiaTheme="minorEastAsia" w:hAnsiTheme="minorHAnsi" w:cstheme="minorBidi"/>
          <w:noProof/>
          <w:kern w:val="0"/>
          <w:sz w:val="22"/>
          <w:szCs w:val="22"/>
        </w:rPr>
      </w:pPr>
      <w:r>
        <w:rPr>
          <w:noProof/>
        </w:rPr>
        <w:t>3</w:t>
      </w:r>
      <w:r>
        <w:rPr>
          <w:noProof/>
        </w:rPr>
        <w:tab/>
        <w:t>Schedules</w:t>
      </w:r>
      <w:r w:rsidRPr="0018209E">
        <w:rPr>
          <w:noProof/>
        </w:rPr>
        <w:tab/>
      </w:r>
      <w:r w:rsidRPr="0018209E">
        <w:rPr>
          <w:noProof/>
        </w:rPr>
        <w:fldChar w:fldCharType="begin"/>
      </w:r>
      <w:r w:rsidRPr="0018209E">
        <w:rPr>
          <w:noProof/>
        </w:rPr>
        <w:instrText xml:space="preserve"> PAGEREF _Toc120696401 \h </w:instrText>
      </w:r>
      <w:r w:rsidRPr="0018209E">
        <w:rPr>
          <w:noProof/>
        </w:rPr>
      </w:r>
      <w:r w:rsidRPr="0018209E">
        <w:rPr>
          <w:noProof/>
        </w:rPr>
        <w:fldChar w:fldCharType="separate"/>
      </w:r>
      <w:r w:rsidR="00C002D7">
        <w:rPr>
          <w:noProof/>
        </w:rPr>
        <w:t>2</w:t>
      </w:r>
      <w:r w:rsidRPr="0018209E">
        <w:rPr>
          <w:noProof/>
        </w:rPr>
        <w:fldChar w:fldCharType="end"/>
      </w:r>
    </w:p>
    <w:p w14:paraId="790F66E8" w14:textId="37358596" w:rsidR="0018209E" w:rsidRDefault="0018209E">
      <w:pPr>
        <w:pStyle w:val="TOC6"/>
        <w:rPr>
          <w:rFonts w:asciiTheme="minorHAnsi" w:eastAsiaTheme="minorEastAsia" w:hAnsiTheme="minorHAnsi" w:cstheme="minorBidi"/>
          <w:b w:val="0"/>
          <w:noProof/>
          <w:kern w:val="0"/>
          <w:sz w:val="22"/>
          <w:szCs w:val="22"/>
        </w:rPr>
      </w:pPr>
      <w:r>
        <w:rPr>
          <w:noProof/>
        </w:rPr>
        <w:t>Schedule 1—Amendments</w:t>
      </w:r>
      <w:r w:rsidRPr="0018209E">
        <w:rPr>
          <w:b w:val="0"/>
          <w:noProof/>
          <w:sz w:val="18"/>
        </w:rPr>
        <w:tab/>
      </w:r>
      <w:r w:rsidRPr="0018209E">
        <w:rPr>
          <w:b w:val="0"/>
          <w:noProof/>
          <w:sz w:val="18"/>
        </w:rPr>
        <w:fldChar w:fldCharType="begin"/>
      </w:r>
      <w:r w:rsidRPr="0018209E">
        <w:rPr>
          <w:b w:val="0"/>
          <w:noProof/>
          <w:sz w:val="18"/>
        </w:rPr>
        <w:instrText xml:space="preserve"> PAGEREF _Toc120696402 \h </w:instrText>
      </w:r>
      <w:r w:rsidRPr="0018209E">
        <w:rPr>
          <w:b w:val="0"/>
          <w:noProof/>
          <w:sz w:val="18"/>
        </w:rPr>
      </w:r>
      <w:r w:rsidRPr="0018209E">
        <w:rPr>
          <w:b w:val="0"/>
          <w:noProof/>
          <w:sz w:val="18"/>
        </w:rPr>
        <w:fldChar w:fldCharType="separate"/>
      </w:r>
      <w:r w:rsidR="00C002D7">
        <w:rPr>
          <w:b w:val="0"/>
          <w:noProof/>
          <w:sz w:val="18"/>
        </w:rPr>
        <w:t>3</w:t>
      </w:r>
      <w:r w:rsidRPr="0018209E">
        <w:rPr>
          <w:b w:val="0"/>
          <w:noProof/>
          <w:sz w:val="18"/>
        </w:rPr>
        <w:fldChar w:fldCharType="end"/>
      </w:r>
    </w:p>
    <w:p w14:paraId="5EEBC059" w14:textId="4AF412B1" w:rsidR="0018209E" w:rsidRDefault="0018209E">
      <w:pPr>
        <w:pStyle w:val="TOC9"/>
        <w:rPr>
          <w:rFonts w:asciiTheme="minorHAnsi" w:eastAsiaTheme="minorEastAsia" w:hAnsiTheme="minorHAnsi" w:cstheme="minorBidi"/>
          <w:i w:val="0"/>
          <w:noProof/>
          <w:kern w:val="0"/>
          <w:sz w:val="22"/>
          <w:szCs w:val="22"/>
        </w:rPr>
      </w:pPr>
      <w:r>
        <w:rPr>
          <w:noProof/>
        </w:rPr>
        <w:t>Social Security Act 1991</w:t>
      </w:r>
      <w:r w:rsidRPr="0018209E">
        <w:rPr>
          <w:i w:val="0"/>
          <w:noProof/>
          <w:sz w:val="18"/>
        </w:rPr>
        <w:tab/>
      </w:r>
      <w:r w:rsidRPr="0018209E">
        <w:rPr>
          <w:i w:val="0"/>
          <w:noProof/>
          <w:sz w:val="18"/>
        </w:rPr>
        <w:fldChar w:fldCharType="begin"/>
      </w:r>
      <w:r w:rsidRPr="0018209E">
        <w:rPr>
          <w:i w:val="0"/>
          <w:noProof/>
          <w:sz w:val="18"/>
        </w:rPr>
        <w:instrText xml:space="preserve"> PAGEREF _Toc120696403 \h </w:instrText>
      </w:r>
      <w:r w:rsidRPr="0018209E">
        <w:rPr>
          <w:i w:val="0"/>
          <w:noProof/>
          <w:sz w:val="18"/>
        </w:rPr>
      </w:r>
      <w:r w:rsidRPr="0018209E">
        <w:rPr>
          <w:i w:val="0"/>
          <w:noProof/>
          <w:sz w:val="18"/>
        </w:rPr>
        <w:fldChar w:fldCharType="separate"/>
      </w:r>
      <w:r w:rsidR="00C002D7">
        <w:rPr>
          <w:i w:val="0"/>
          <w:noProof/>
          <w:sz w:val="18"/>
        </w:rPr>
        <w:t>3</w:t>
      </w:r>
      <w:r w:rsidRPr="0018209E">
        <w:rPr>
          <w:i w:val="0"/>
          <w:noProof/>
          <w:sz w:val="18"/>
        </w:rPr>
        <w:fldChar w:fldCharType="end"/>
      </w:r>
    </w:p>
    <w:p w14:paraId="153F1018" w14:textId="48E58040" w:rsidR="0018209E" w:rsidRDefault="0018209E">
      <w:pPr>
        <w:pStyle w:val="TOC9"/>
        <w:rPr>
          <w:rFonts w:asciiTheme="minorHAnsi" w:eastAsiaTheme="minorEastAsia" w:hAnsiTheme="minorHAnsi" w:cstheme="minorBidi"/>
          <w:i w:val="0"/>
          <w:noProof/>
          <w:kern w:val="0"/>
          <w:sz w:val="22"/>
          <w:szCs w:val="22"/>
        </w:rPr>
      </w:pPr>
      <w:r>
        <w:rPr>
          <w:noProof/>
        </w:rPr>
        <w:t>Veterans’ Entitlements Act 1986</w:t>
      </w:r>
      <w:r w:rsidRPr="0018209E">
        <w:rPr>
          <w:i w:val="0"/>
          <w:noProof/>
          <w:sz w:val="18"/>
        </w:rPr>
        <w:tab/>
      </w:r>
      <w:r w:rsidRPr="0018209E">
        <w:rPr>
          <w:i w:val="0"/>
          <w:noProof/>
          <w:sz w:val="18"/>
        </w:rPr>
        <w:fldChar w:fldCharType="begin"/>
      </w:r>
      <w:r w:rsidRPr="0018209E">
        <w:rPr>
          <w:i w:val="0"/>
          <w:noProof/>
          <w:sz w:val="18"/>
        </w:rPr>
        <w:instrText xml:space="preserve"> PAGEREF _Toc120696404 \h </w:instrText>
      </w:r>
      <w:r w:rsidRPr="0018209E">
        <w:rPr>
          <w:i w:val="0"/>
          <w:noProof/>
          <w:sz w:val="18"/>
        </w:rPr>
      </w:r>
      <w:r w:rsidRPr="0018209E">
        <w:rPr>
          <w:i w:val="0"/>
          <w:noProof/>
          <w:sz w:val="18"/>
        </w:rPr>
        <w:fldChar w:fldCharType="separate"/>
      </w:r>
      <w:r w:rsidR="00C002D7">
        <w:rPr>
          <w:i w:val="0"/>
          <w:noProof/>
          <w:sz w:val="18"/>
        </w:rPr>
        <w:t>5</w:t>
      </w:r>
      <w:r w:rsidRPr="0018209E">
        <w:rPr>
          <w:i w:val="0"/>
          <w:noProof/>
          <w:sz w:val="18"/>
        </w:rPr>
        <w:fldChar w:fldCharType="end"/>
      </w:r>
    </w:p>
    <w:p w14:paraId="2277AA28" w14:textId="6C4EB806" w:rsidR="00055B5C" w:rsidRPr="00314441" w:rsidRDefault="0018209E" w:rsidP="0048364F">
      <w:pPr>
        <w:rPr>
          <w:rFonts w:cs="Times New Roman"/>
          <w:sz w:val="18"/>
        </w:rPr>
      </w:pPr>
      <w:r>
        <w:rPr>
          <w:rFonts w:cs="Times New Roman"/>
          <w:sz w:val="18"/>
        </w:rPr>
        <w:fldChar w:fldCharType="end"/>
      </w:r>
    </w:p>
    <w:p w14:paraId="63C77AC0" w14:textId="77777777" w:rsidR="00060FF9" w:rsidRPr="003B741F" w:rsidRDefault="00060FF9" w:rsidP="0048364F"/>
    <w:p w14:paraId="76BCF6C2" w14:textId="77777777" w:rsidR="00FE7F93" w:rsidRPr="003B741F" w:rsidRDefault="00FE7F93" w:rsidP="0048364F">
      <w:pPr>
        <w:sectPr w:rsidR="00FE7F93" w:rsidRPr="003B741F" w:rsidSect="0031444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30C625A2" w14:textId="77777777" w:rsidR="00314441" w:rsidRDefault="00314441">
      <w:r>
        <w:object w:dxaOrig="2146" w:dyaOrig="1561" w14:anchorId="3796D716">
          <v:shape id="_x0000_i1026" type="#_x0000_t75" alt="Commonwealth Coat of Arms of Australia" style="width:110.25pt;height:80.25pt" o:ole="" fillcolor="window">
            <v:imagedata r:id="rId8" o:title=""/>
          </v:shape>
          <o:OLEObject Type="Embed" ProgID="Word.Picture.8" ShapeID="_x0000_i1026" DrawAspect="Content" ObjectID="_1731498661" r:id="rId21"/>
        </w:object>
      </w:r>
    </w:p>
    <w:p w14:paraId="3C9E8BFF" w14:textId="77777777" w:rsidR="00314441" w:rsidRDefault="00314441"/>
    <w:p w14:paraId="296D8ECE" w14:textId="77777777" w:rsidR="00314441" w:rsidRDefault="00314441" w:rsidP="000178F8">
      <w:pPr>
        <w:spacing w:line="240" w:lineRule="auto"/>
      </w:pPr>
    </w:p>
    <w:p w14:paraId="6B0C2E27" w14:textId="73F0C28A" w:rsidR="00314441" w:rsidRDefault="004234A4" w:rsidP="000178F8">
      <w:pPr>
        <w:pStyle w:val="ShortTP1"/>
      </w:pPr>
      <w:r>
        <w:fldChar w:fldCharType="begin"/>
      </w:r>
      <w:r>
        <w:instrText xml:space="preserve"> STYLEREF ShortT </w:instrText>
      </w:r>
      <w:r>
        <w:fldChar w:fldCharType="separate"/>
      </w:r>
      <w:r w:rsidR="00C002D7">
        <w:rPr>
          <w:noProof/>
        </w:rPr>
        <w:t>Social Services and Other Legislation Amendment (Incentivising Pensioners to Downsize) Act 2022</w:t>
      </w:r>
      <w:r>
        <w:rPr>
          <w:noProof/>
        </w:rPr>
        <w:fldChar w:fldCharType="end"/>
      </w:r>
    </w:p>
    <w:p w14:paraId="4D538CA5" w14:textId="7B2CFFD5" w:rsidR="00314441" w:rsidRDefault="004234A4" w:rsidP="000178F8">
      <w:pPr>
        <w:pStyle w:val="ActNoP1"/>
      </w:pPr>
      <w:r>
        <w:fldChar w:fldCharType="begin"/>
      </w:r>
      <w:r>
        <w:instrText xml:space="preserve"> STYLEREF Actno </w:instrText>
      </w:r>
      <w:r>
        <w:fldChar w:fldCharType="separate"/>
      </w:r>
      <w:r w:rsidR="00C002D7">
        <w:rPr>
          <w:noProof/>
        </w:rPr>
        <w:t>No. 62, 2022</w:t>
      </w:r>
      <w:r>
        <w:rPr>
          <w:noProof/>
        </w:rPr>
        <w:fldChar w:fldCharType="end"/>
      </w:r>
    </w:p>
    <w:p w14:paraId="19478729" w14:textId="77777777" w:rsidR="00314441" w:rsidRPr="009A0728" w:rsidRDefault="00314441" w:rsidP="009A0728">
      <w:pPr>
        <w:pBdr>
          <w:bottom w:val="single" w:sz="6" w:space="0" w:color="auto"/>
        </w:pBdr>
        <w:spacing w:before="400" w:line="240" w:lineRule="auto"/>
        <w:rPr>
          <w:rFonts w:eastAsia="Times New Roman"/>
          <w:b/>
          <w:sz w:val="28"/>
        </w:rPr>
      </w:pPr>
    </w:p>
    <w:p w14:paraId="6818F4FA" w14:textId="77777777" w:rsidR="00314441" w:rsidRPr="009A0728" w:rsidRDefault="00314441" w:rsidP="009A0728">
      <w:pPr>
        <w:spacing w:line="40" w:lineRule="exact"/>
        <w:rPr>
          <w:rFonts w:eastAsia="Calibri"/>
          <w:b/>
          <w:sz w:val="28"/>
        </w:rPr>
      </w:pPr>
    </w:p>
    <w:p w14:paraId="207B06CB" w14:textId="77777777" w:rsidR="00314441" w:rsidRPr="009A0728" w:rsidRDefault="00314441" w:rsidP="009A0728">
      <w:pPr>
        <w:pBdr>
          <w:top w:val="single" w:sz="12" w:space="0" w:color="auto"/>
        </w:pBdr>
        <w:spacing w:line="240" w:lineRule="auto"/>
        <w:rPr>
          <w:rFonts w:eastAsia="Times New Roman"/>
          <w:b/>
          <w:sz w:val="28"/>
        </w:rPr>
      </w:pPr>
    </w:p>
    <w:p w14:paraId="3861432E" w14:textId="77777777" w:rsidR="00314441" w:rsidRDefault="00314441" w:rsidP="00314441">
      <w:pPr>
        <w:pStyle w:val="Page1"/>
        <w:spacing w:before="400"/>
      </w:pPr>
      <w:r>
        <w:t>An Act to amend the law relating to social security and veterans’ entitlements, and for related purposes</w:t>
      </w:r>
    </w:p>
    <w:p w14:paraId="2E7371E7" w14:textId="0ED9654A" w:rsidR="00182D15" w:rsidRDefault="00182D15" w:rsidP="000C5962">
      <w:pPr>
        <w:pStyle w:val="AssentDt"/>
        <w:spacing w:before="240"/>
        <w:rPr>
          <w:sz w:val="24"/>
        </w:rPr>
      </w:pPr>
      <w:r>
        <w:rPr>
          <w:sz w:val="24"/>
        </w:rPr>
        <w:t>[</w:t>
      </w:r>
      <w:r>
        <w:rPr>
          <w:i/>
          <w:sz w:val="24"/>
        </w:rPr>
        <w:t>Assented to 29 November 2022</w:t>
      </w:r>
      <w:r>
        <w:rPr>
          <w:sz w:val="24"/>
        </w:rPr>
        <w:t>]</w:t>
      </w:r>
    </w:p>
    <w:p w14:paraId="7A2E41F6" w14:textId="242EB21B" w:rsidR="0048364F" w:rsidRPr="003B741F" w:rsidRDefault="0048364F" w:rsidP="003B741F">
      <w:pPr>
        <w:spacing w:before="240" w:line="240" w:lineRule="auto"/>
        <w:rPr>
          <w:sz w:val="32"/>
        </w:rPr>
      </w:pPr>
      <w:r w:rsidRPr="003B741F">
        <w:rPr>
          <w:sz w:val="32"/>
        </w:rPr>
        <w:t>The Parliament of Australia enacts:</w:t>
      </w:r>
    </w:p>
    <w:p w14:paraId="5BA56969" w14:textId="77777777" w:rsidR="0048364F" w:rsidRPr="003B741F" w:rsidRDefault="0048364F" w:rsidP="003B741F">
      <w:pPr>
        <w:pStyle w:val="ActHead5"/>
      </w:pPr>
      <w:bookmarkStart w:id="1" w:name="_Toc120696399"/>
      <w:r w:rsidRPr="000A292B">
        <w:rPr>
          <w:rStyle w:val="CharSectno"/>
        </w:rPr>
        <w:lastRenderedPageBreak/>
        <w:t>1</w:t>
      </w:r>
      <w:r w:rsidRPr="003B741F">
        <w:t xml:space="preserve">  Short title</w:t>
      </w:r>
      <w:bookmarkEnd w:id="1"/>
    </w:p>
    <w:p w14:paraId="73C9C279" w14:textId="77777777" w:rsidR="0048364F" w:rsidRPr="003B741F" w:rsidRDefault="0048364F" w:rsidP="003B741F">
      <w:pPr>
        <w:pStyle w:val="subsection"/>
      </w:pPr>
      <w:r w:rsidRPr="003B741F">
        <w:tab/>
      </w:r>
      <w:r w:rsidRPr="003B741F">
        <w:tab/>
        <w:t xml:space="preserve">This Act </w:t>
      </w:r>
      <w:r w:rsidR="00275197" w:rsidRPr="003B741F">
        <w:t xml:space="preserve">is </w:t>
      </w:r>
      <w:r w:rsidRPr="003B741F">
        <w:t xml:space="preserve">the </w:t>
      </w:r>
      <w:r w:rsidR="00A92960" w:rsidRPr="003B741F">
        <w:rPr>
          <w:i/>
        </w:rPr>
        <w:t>Social Services and Other Legislation Amendment (</w:t>
      </w:r>
      <w:r w:rsidR="00190B72" w:rsidRPr="003B741F">
        <w:rPr>
          <w:i/>
        </w:rPr>
        <w:t>Incentivi</w:t>
      </w:r>
      <w:r w:rsidR="00861411" w:rsidRPr="003B741F">
        <w:rPr>
          <w:i/>
        </w:rPr>
        <w:t>s</w:t>
      </w:r>
      <w:r w:rsidR="00190B72" w:rsidRPr="003B741F">
        <w:rPr>
          <w:i/>
        </w:rPr>
        <w:t>ing Pensioners to Downsize</w:t>
      </w:r>
      <w:r w:rsidR="00A92960" w:rsidRPr="003B741F">
        <w:rPr>
          <w:i/>
        </w:rPr>
        <w:t>)</w:t>
      </w:r>
      <w:r w:rsidR="00A92960" w:rsidRPr="003B741F">
        <w:t xml:space="preserve"> </w:t>
      </w:r>
      <w:r w:rsidR="00EE3E36" w:rsidRPr="003B741F">
        <w:rPr>
          <w:i/>
        </w:rPr>
        <w:t>Act 20</w:t>
      </w:r>
      <w:r w:rsidR="009E186E" w:rsidRPr="003B741F">
        <w:rPr>
          <w:i/>
        </w:rPr>
        <w:t>2</w:t>
      </w:r>
      <w:r w:rsidR="00545D52" w:rsidRPr="003B741F">
        <w:rPr>
          <w:i/>
        </w:rPr>
        <w:t>2</w:t>
      </w:r>
      <w:r w:rsidRPr="003B741F">
        <w:t>.</w:t>
      </w:r>
    </w:p>
    <w:p w14:paraId="1E369A4A" w14:textId="77777777" w:rsidR="0048364F" w:rsidRPr="003B741F" w:rsidRDefault="0048364F" w:rsidP="003B741F">
      <w:pPr>
        <w:pStyle w:val="ActHead5"/>
      </w:pPr>
      <w:bookmarkStart w:id="2" w:name="_Toc120696400"/>
      <w:r w:rsidRPr="000A292B">
        <w:rPr>
          <w:rStyle w:val="CharSectno"/>
        </w:rPr>
        <w:t>2</w:t>
      </w:r>
      <w:r w:rsidRPr="003B741F">
        <w:t xml:space="preserve">  Commencement</w:t>
      </w:r>
      <w:bookmarkEnd w:id="2"/>
    </w:p>
    <w:p w14:paraId="2FC9C5F3" w14:textId="77777777" w:rsidR="00993DD4" w:rsidRPr="003B741F" w:rsidRDefault="00993DD4" w:rsidP="003B741F">
      <w:pPr>
        <w:pStyle w:val="subsection"/>
      </w:pPr>
      <w:r w:rsidRPr="003B741F">
        <w:tab/>
        <w:t>(1)</w:t>
      </w:r>
      <w:r w:rsidRPr="003B741F">
        <w:tab/>
        <w:t>Each provision of this Act specified in column 1 of the table commences, or is taken to have commenced, in accordance with column 2 of the table. Any other statement in column 2 has effect according to its terms.</w:t>
      </w:r>
    </w:p>
    <w:p w14:paraId="6ABBD68A" w14:textId="77777777" w:rsidR="00993DD4" w:rsidRPr="003B741F" w:rsidRDefault="00993DD4" w:rsidP="003B741F">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695"/>
        <w:gridCol w:w="3816"/>
        <w:gridCol w:w="1576"/>
      </w:tblGrid>
      <w:tr w:rsidR="00993DD4" w:rsidRPr="003B741F" w14:paraId="1641E35B" w14:textId="77777777" w:rsidTr="003D03CB">
        <w:trPr>
          <w:tblHeader/>
        </w:trPr>
        <w:tc>
          <w:tcPr>
            <w:tcW w:w="5000" w:type="pct"/>
            <w:gridSpan w:val="3"/>
            <w:tcBorders>
              <w:top w:val="single" w:sz="12" w:space="0" w:color="auto"/>
              <w:bottom w:val="single" w:sz="2" w:space="0" w:color="auto"/>
            </w:tcBorders>
            <w:shd w:val="clear" w:color="auto" w:fill="auto"/>
            <w:hideMark/>
          </w:tcPr>
          <w:p w14:paraId="43224F1D" w14:textId="77777777" w:rsidR="00993DD4" w:rsidRPr="003B741F" w:rsidRDefault="00993DD4" w:rsidP="003B741F">
            <w:pPr>
              <w:pStyle w:val="TableHeading"/>
            </w:pPr>
            <w:r w:rsidRPr="003B741F">
              <w:t>Commencement information</w:t>
            </w:r>
          </w:p>
        </w:tc>
      </w:tr>
      <w:tr w:rsidR="00993DD4" w:rsidRPr="003B741F" w14:paraId="78793AD9" w14:textId="77777777" w:rsidTr="003D03CB">
        <w:trPr>
          <w:tblHeader/>
        </w:trPr>
        <w:tc>
          <w:tcPr>
            <w:tcW w:w="1196" w:type="pct"/>
            <w:tcBorders>
              <w:top w:val="single" w:sz="2" w:space="0" w:color="auto"/>
              <w:bottom w:val="single" w:sz="2" w:space="0" w:color="auto"/>
            </w:tcBorders>
            <w:shd w:val="clear" w:color="auto" w:fill="auto"/>
            <w:hideMark/>
          </w:tcPr>
          <w:p w14:paraId="78BBC909" w14:textId="77777777" w:rsidR="00993DD4" w:rsidRPr="003B741F" w:rsidRDefault="00993DD4" w:rsidP="003B741F">
            <w:pPr>
              <w:pStyle w:val="TableHeading"/>
            </w:pPr>
            <w:r w:rsidRPr="003B741F">
              <w:t>Column 1</w:t>
            </w:r>
          </w:p>
        </w:tc>
        <w:tc>
          <w:tcPr>
            <w:tcW w:w="2692" w:type="pct"/>
            <w:tcBorders>
              <w:top w:val="single" w:sz="2" w:space="0" w:color="auto"/>
              <w:bottom w:val="single" w:sz="2" w:space="0" w:color="auto"/>
            </w:tcBorders>
            <w:shd w:val="clear" w:color="auto" w:fill="auto"/>
            <w:hideMark/>
          </w:tcPr>
          <w:p w14:paraId="571C5A33" w14:textId="77777777" w:rsidR="00993DD4" w:rsidRPr="003B741F" w:rsidRDefault="00993DD4" w:rsidP="003B741F">
            <w:pPr>
              <w:pStyle w:val="TableHeading"/>
            </w:pPr>
            <w:r w:rsidRPr="003B741F">
              <w:t>Column 2</w:t>
            </w:r>
          </w:p>
        </w:tc>
        <w:tc>
          <w:tcPr>
            <w:tcW w:w="1112" w:type="pct"/>
            <w:tcBorders>
              <w:top w:val="single" w:sz="2" w:space="0" w:color="auto"/>
              <w:bottom w:val="single" w:sz="2" w:space="0" w:color="auto"/>
            </w:tcBorders>
            <w:shd w:val="clear" w:color="auto" w:fill="auto"/>
            <w:hideMark/>
          </w:tcPr>
          <w:p w14:paraId="75BD4126" w14:textId="77777777" w:rsidR="00993DD4" w:rsidRPr="003B741F" w:rsidRDefault="00993DD4" w:rsidP="003B741F">
            <w:pPr>
              <w:pStyle w:val="TableHeading"/>
            </w:pPr>
            <w:r w:rsidRPr="003B741F">
              <w:t>Column 3</w:t>
            </w:r>
          </w:p>
        </w:tc>
      </w:tr>
      <w:tr w:rsidR="00993DD4" w:rsidRPr="003B741F" w14:paraId="5944595E" w14:textId="77777777" w:rsidTr="003D03CB">
        <w:trPr>
          <w:tblHeader/>
        </w:trPr>
        <w:tc>
          <w:tcPr>
            <w:tcW w:w="1196" w:type="pct"/>
            <w:tcBorders>
              <w:top w:val="single" w:sz="2" w:space="0" w:color="auto"/>
              <w:bottom w:val="single" w:sz="12" w:space="0" w:color="auto"/>
            </w:tcBorders>
            <w:shd w:val="clear" w:color="auto" w:fill="auto"/>
            <w:hideMark/>
          </w:tcPr>
          <w:p w14:paraId="5DD39456" w14:textId="77777777" w:rsidR="00993DD4" w:rsidRPr="003B741F" w:rsidRDefault="00993DD4" w:rsidP="003B741F">
            <w:pPr>
              <w:pStyle w:val="TableHeading"/>
            </w:pPr>
            <w:r w:rsidRPr="003B741F">
              <w:t>Provisions</w:t>
            </w:r>
          </w:p>
        </w:tc>
        <w:tc>
          <w:tcPr>
            <w:tcW w:w="2692" w:type="pct"/>
            <w:tcBorders>
              <w:top w:val="single" w:sz="2" w:space="0" w:color="auto"/>
              <w:bottom w:val="single" w:sz="12" w:space="0" w:color="auto"/>
            </w:tcBorders>
            <w:shd w:val="clear" w:color="auto" w:fill="auto"/>
            <w:hideMark/>
          </w:tcPr>
          <w:p w14:paraId="18EE8AAD" w14:textId="77777777" w:rsidR="00993DD4" w:rsidRPr="003B741F" w:rsidRDefault="00993DD4" w:rsidP="003B741F">
            <w:pPr>
              <w:pStyle w:val="TableHeading"/>
            </w:pPr>
            <w:r w:rsidRPr="003B741F">
              <w:t>Commencement</w:t>
            </w:r>
          </w:p>
        </w:tc>
        <w:tc>
          <w:tcPr>
            <w:tcW w:w="1112" w:type="pct"/>
            <w:tcBorders>
              <w:top w:val="single" w:sz="2" w:space="0" w:color="auto"/>
              <w:bottom w:val="single" w:sz="12" w:space="0" w:color="auto"/>
            </w:tcBorders>
            <w:shd w:val="clear" w:color="auto" w:fill="auto"/>
            <w:hideMark/>
          </w:tcPr>
          <w:p w14:paraId="124AC3C0" w14:textId="77777777" w:rsidR="00993DD4" w:rsidRPr="003B741F" w:rsidRDefault="00993DD4" w:rsidP="003B741F">
            <w:pPr>
              <w:pStyle w:val="TableHeading"/>
            </w:pPr>
            <w:r w:rsidRPr="003B741F">
              <w:t>Date/Details</w:t>
            </w:r>
          </w:p>
        </w:tc>
      </w:tr>
      <w:tr w:rsidR="00993DD4" w:rsidRPr="003B741F" w14:paraId="72B390C0" w14:textId="77777777" w:rsidTr="003D03CB">
        <w:tc>
          <w:tcPr>
            <w:tcW w:w="1196" w:type="pct"/>
            <w:tcBorders>
              <w:top w:val="single" w:sz="12" w:space="0" w:color="auto"/>
              <w:bottom w:val="single" w:sz="12" w:space="0" w:color="auto"/>
            </w:tcBorders>
            <w:shd w:val="clear" w:color="auto" w:fill="auto"/>
            <w:hideMark/>
          </w:tcPr>
          <w:p w14:paraId="2E2542F7" w14:textId="77777777" w:rsidR="00993DD4" w:rsidRPr="003B741F" w:rsidRDefault="00993DD4" w:rsidP="003B741F">
            <w:pPr>
              <w:pStyle w:val="Tabletext"/>
            </w:pPr>
            <w:r w:rsidRPr="003B741F">
              <w:t>1.  The whole of this Act</w:t>
            </w:r>
          </w:p>
        </w:tc>
        <w:tc>
          <w:tcPr>
            <w:tcW w:w="2692" w:type="pct"/>
            <w:tcBorders>
              <w:top w:val="single" w:sz="12" w:space="0" w:color="auto"/>
              <w:bottom w:val="single" w:sz="12" w:space="0" w:color="auto"/>
            </w:tcBorders>
            <w:shd w:val="clear" w:color="auto" w:fill="auto"/>
            <w:hideMark/>
          </w:tcPr>
          <w:p w14:paraId="6686D312" w14:textId="77777777" w:rsidR="00DC6618" w:rsidRPr="003B741F" w:rsidRDefault="00DC6618" w:rsidP="003B741F">
            <w:pPr>
              <w:pStyle w:val="Tabletext"/>
            </w:pPr>
            <w:r w:rsidRPr="003B741F">
              <w:t>The later of:</w:t>
            </w:r>
          </w:p>
          <w:p w14:paraId="5D5C5578" w14:textId="77777777" w:rsidR="00DC6618" w:rsidRPr="003B741F" w:rsidRDefault="00DC6618" w:rsidP="003B741F">
            <w:pPr>
              <w:pStyle w:val="Tablea"/>
            </w:pPr>
            <w:r w:rsidRPr="003B741F">
              <w:t xml:space="preserve">(a) </w:t>
            </w:r>
            <w:r w:rsidR="000C32D5" w:rsidRPr="003B741F">
              <w:t>1 January</w:t>
            </w:r>
            <w:r w:rsidRPr="003B741F">
              <w:t xml:space="preserve"> 2023; and</w:t>
            </w:r>
          </w:p>
          <w:p w14:paraId="3A47C711" w14:textId="77777777" w:rsidR="00993DD4" w:rsidRPr="003B741F" w:rsidRDefault="00DC6618" w:rsidP="003B741F">
            <w:pPr>
              <w:pStyle w:val="Tablea"/>
            </w:pPr>
            <w:r w:rsidRPr="003B741F">
              <w:t xml:space="preserve">(b) </w:t>
            </w:r>
            <w:r w:rsidR="00273015" w:rsidRPr="003B741F">
              <w:t>the day after the end of the period of 1 month beginning on the day this Act receives the Royal Assent</w:t>
            </w:r>
            <w:r w:rsidR="00276B5B" w:rsidRPr="003B741F">
              <w:t>.</w:t>
            </w:r>
          </w:p>
        </w:tc>
        <w:tc>
          <w:tcPr>
            <w:tcW w:w="1112" w:type="pct"/>
            <w:tcBorders>
              <w:top w:val="single" w:sz="12" w:space="0" w:color="auto"/>
              <w:bottom w:val="single" w:sz="12" w:space="0" w:color="auto"/>
            </w:tcBorders>
            <w:shd w:val="clear" w:color="auto" w:fill="auto"/>
          </w:tcPr>
          <w:p w14:paraId="4B7B6039" w14:textId="77777777" w:rsidR="00993DD4" w:rsidRDefault="004234A4" w:rsidP="003B741F">
            <w:pPr>
              <w:pStyle w:val="Tabletext"/>
            </w:pPr>
            <w:r>
              <w:t>1 January 2023</w:t>
            </w:r>
          </w:p>
          <w:p w14:paraId="6EACB548" w14:textId="193A141D" w:rsidR="004234A4" w:rsidRPr="003B741F" w:rsidRDefault="004234A4" w:rsidP="003B741F">
            <w:pPr>
              <w:pStyle w:val="Tabletext"/>
            </w:pPr>
            <w:r>
              <w:t>(paragraph (a) applies)</w:t>
            </w:r>
            <w:bookmarkStart w:id="3" w:name="_GoBack"/>
            <w:bookmarkEnd w:id="3"/>
          </w:p>
        </w:tc>
      </w:tr>
    </w:tbl>
    <w:p w14:paraId="6DC510DB" w14:textId="77777777" w:rsidR="00993DD4" w:rsidRPr="003B741F" w:rsidRDefault="00993DD4" w:rsidP="003B741F">
      <w:pPr>
        <w:pStyle w:val="notetext"/>
      </w:pPr>
      <w:r w:rsidRPr="003B741F">
        <w:rPr>
          <w:snapToGrid w:val="0"/>
          <w:lang w:eastAsia="en-US"/>
        </w:rPr>
        <w:t>Note:</w:t>
      </w:r>
      <w:r w:rsidRPr="003B741F">
        <w:rPr>
          <w:snapToGrid w:val="0"/>
          <w:lang w:eastAsia="en-US"/>
        </w:rPr>
        <w:tab/>
        <w:t>This table relates only to the provisions of this Act as originally enacted. It will not be amended to deal with any later amendments of this Act.</w:t>
      </w:r>
    </w:p>
    <w:p w14:paraId="3C248C2F" w14:textId="77777777" w:rsidR="00993DD4" w:rsidRPr="003B741F" w:rsidRDefault="00993DD4" w:rsidP="003B741F">
      <w:pPr>
        <w:pStyle w:val="subsection"/>
      </w:pPr>
      <w:r w:rsidRPr="003B741F">
        <w:tab/>
        <w:t>(2)</w:t>
      </w:r>
      <w:r w:rsidRPr="003B741F">
        <w:tab/>
        <w:t>Any information in column 3 of the table is not part of this Act. Information may be inserted in this column, or information in it may be edited, in any published version of this Act.</w:t>
      </w:r>
    </w:p>
    <w:p w14:paraId="6122ACD5" w14:textId="77777777" w:rsidR="0048364F" w:rsidRPr="003B741F" w:rsidRDefault="0048364F" w:rsidP="003B741F">
      <w:pPr>
        <w:pStyle w:val="ActHead5"/>
      </w:pPr>
      <w:bookmarkStart w:id="4" w:name="_Toc120696401"/>
      <w:r w:rsidRPr="000A292B">
        <w:rPr>
          <w:rStyle w:val="CharSectno"/>
        </w:rPr>
        <w:t>3</w:t>
      </w:r>
      <w:r w:rsidRPr="003B741F">
        <w:t xml:space="preserve">  Schedules</w:t>
      </w:r>
      <w:bookmarkEnd w:id="4"/>
    </w:p>
    <w:p w14:paraId="0A4D4558" w14:textId="77777777" w:rsidR="0048364F" w:rsidRPr="003B741F" w:rsidRDefault="0048364F" w:rsidP="003B741F">
      <w:pPr>
        <w:pStyle w:val="subsection"/>
      </w:pPr>
      <w:r w:rsidRPr="003B741F">
        <w:tab/>
      </w:r>
      <w:r w:rsidRPr="003B741F">
        <w:tab/>
      </w:r>
      <w:r w:rsidR="00202618" w:rsidRPr="003B741F">
        <w:t>Legislation that is specified in a Schedule to this Act is amended or repealed as set out in the applicable items in the Schedule concerned, and any other item in a Schedule to this Act has effect according to its terms.</w:t>
      </w:r>
    </w:p>
    <w:p w14:paraId="5169EBE7" w14:textId="77777777" w:rsidR="008D3E94" w:rsidRPr="003B741F" w:rsidRDefault="00203514" w:rsidP="003B741F">
      <w:pPr>
        <w:pStyle w:val="ActHead6"/>
        <w:pageBreakBefore/>
      </w:pPr>
      <w:bookmarkStart w:id="5" w:name="_Toc120696402"/>
      <w:r w:rsidRPr="000A292B">
        <w:rPr>
          <w:rStyle w:val="CharAmSchNo"/>
        </w:rPr>
        <w:lastRenderedPageBreak/>
        <w:t>Schedule 1</w:t>
      </w:r>
      <w:r w:rsidR="0048364F" w:rsidRPr="003B741F">
        <w:t>—</w:t>
      </w:r>
      <w:r w:rsidR="0075064A" w:rsidRPr="000A292B">
        <w:rPr>
          <w:rStyle w:val="CharAmSchText"/>
        </w:rPr>
        <w:t>Amendments</w:t>
      </w:r>
      <w:bookmarkEnd w:id="5"/>
    </w:p>
    <w:p w14:paraId="678BD9D4" w14:textId="77777777" w:rsidR="002A307B" w:rsidRPr="000A292B" w:rsidRDefault="002A307B" w:rsidP="003B741F">
      <w:pPr>
        <w:pStyle w:val="Header"/>
      </w:pPr>
      <w:r w:rsidRPr="000A292B">
        <w:rPr>
          <w:rStyle w:val="CharAmPartNo"/>
        </w:rPr>
        <w:t xml:space="preserve"> </w:t>
      </w:r>
      <w:r w:rsidRPr="000A292B">
        <w:rPr>
          <w:rStyle w:val="CharAmPartText"/>
        </w:rPr>
        <w:t xml:space="preserve"> </w:t>
      </w:r>
    </w:p>
    <w:p w14:paraId="7B307CD8" w14:textId="77777777" w:rsidR="00963212" w:rsidRPr="003B741F" w:rsidRDefault="00963212" w:rsidP="003B741F">
      <w:pPr>
        <w:pStyle w:val="ActHead9"/>
      </w:pPr>
      <w:bookmarkStart w:id="6" w:name="_Toc120696403"/>
      <w:r w:rsidRPr="003B741F">
        <w:t>Social Security Act 1991</w:t>
      </w:r>
      <w:bookmarkEnd w:id="6"/>
    </w:p>
    <w:p w14:paraId="0E325AB7" w14:textId="77777777" w:rsidR="00965C9E" w:rsidRPr="003B741F" w:rsidRDefault="003B741F" w:rsidP="003B741F">
      <w:pPr>
        <w:pStyle w:val="ItemHead"/>
      </w:pPr>
      <w:r w:rsidRPr="003B741F">
        <w:t>1</w:t>
      </w:r>
      <w:r w:rsidR="00965C9E" w:rsidRPr="003B741F">
        <w:t xml:space="preserve">  After </w:t>
      </w:r>
      <w:r w:rsidR="000C32D5" w:rsidRPr="003B741F">
        <w:t>subsection 1</w:t>
      </w:r>
      <w:r w:rsidR="00965C9E" w:rsidRPr="003B741F">
        <w:t>076(3A)</w:t>
      </w:r>
    </w:p>
    <w:p w14:paraId="3CCED5DA" w14:textId="77777777" w:rsidR="00965C9E" w:rsidRPr="003B741F" w:rsidRDefault="00965C9E" w:rsidP="003B741F">
      <w:pPr>
        <w:pStyle w:val="Item"/>
      </w:pPr>
      <w:r w:rsidRPr="003B741F">
        <w:t>Insert:</w:t>
      </w:r>
    </w:p>
    <w:p w14:paraId="65EEEEF3" w14:textId="77777777" w:rsidR="00965C9E" w:rsidRPr="003B741F" w:rsidRDefault="00965C9E" w:rsidP="003B741F">
      <w:pPr>
        <w:pStyle w:val="subsection"/>
      </w:pPr>
      <w:r w:rsidRPr="003B741F">
        <w:tab/>
        <w:t>(3B)</w:t>
      </w:r>
      <w:r w:rsidRPr="003B741F">
        <w:tab/>
        <w:t>However, if</w:t>
      </w:r>
      <w:r w:rsidR="00DE2378" w:rsidRPr="003B741F">
        <w:t xml:space="preserve"> </w:t>
      </w:r>
      <w:r w:rsidR="000C32D5" w:rsidRPr="003B741F">
        <w:t>subsection 1</w:t>
      </w:r>
      <w:r w:rsidR="006F44D6" w:rsidRPr="003B741F">
        <w:t>118(2) applies in relation to the person and</w:t>
      </w:r>
      <w:r w:rsidRPr="003B741F">
        <w:t>:</w:t>
      </w:r>
    </w:p>
    <w:p w14:paraId="1A51C98E" w14:textId="77777777" w:rsidR="00965C9E" w:rsidRPr="003B741F" w:rsidRDefault="00965C9E" w:rsidP="003B741F">
      <w:pPr>
        <w:pStyle w:val="paragraph"/>
      </w:pPr>
      <w:r w:rsidRPr="003B741F">
        <w:tab/>
        <w:t>(a)</w:t>
      </w:r>
      <w:r w:rsidRPr="003B741F">
        <w:tab/>
      </w:r>
      <w:r w:rsidR="00001BB5" w:rsidRPr="003B741F">
        <w:t xml:space="preserve">the person </w:t>
      </w:r>
      <w:r w:rsidRPr="003B741F">
        <w:t>has financial assets that are proceeds:</w:t>
      </w:r>
    </w:p>
    <w:p w14:paraId="4EAE07EE" w14:textId="77777777" w:rsidR="00965C9E" w:rsidRPr="003B741F" w:rsidRDefault="00965C9E" w:rsidP="003B741F">
      <w:pPr>
        <w:pStyle w:val="paragraphsub"/>
      </w:pPr>
      <w:r w:rsidRPr="003B741F">
        <w:tab/>
        <w:t>(i)</w:t>
      </w:r>
      <w:r w:rsidRPr="003B741F">
        <w:tab/>
        <w:t xml:space="preserve">from the sale of the person’s principal </w:t>
      </w:r>
      <w:r w:rsidR="00137BF9" w:rsidRPr="003B741F">
        <w:t>home</w:t>
      </w:r>
      <w:r w:rsidRPr="003B741F">
        <w:t>; and</w:t>
      </w:r>
    </w:p>
    <w:p w14:paraId="057309E9" w14:textId="77777777" w:rsidR="00965C9E" w:rsidRPr="003B741F" w:rsidRDefault="00965C9E" w:rsidP="003B741F">
      <w:pPr>
        <w:pStyle w:val="paragraphsub"/>
      </w:pPr>
      <w:r w:rsidRPr="003B741F">
        <w:tab/>
        <w:t>(ii)</w:t>
      </w:r>
      <w:r w:rsidRPr="003B741F">
        <w:tab/>
        <w:t xml:space="preserve">described in </w:t>
      </w:r>
      <w:r w:rsidR="00203514" w:rsidRPr="003B741F">
        <w:t>paragraph 1</w:t>
      </w:r>
      <w:r w:rsidRPr="003B741F">
        <w:t xml:space="preserve">118(2)(a) </w:t>
      </w:r>
      <w:r w:rsidR="002D0CB0" w:rsidRPr="003B741F">
        <w:t>or</w:t>
      </w:r>
      <w:r w:rsidRPr="003B741F">
        <w:t xml:space="preserve"> (c); and</w:t>
      </w:r>
    </w:p>
    <w:p w14:paraId="294FD7F5" w14:textId="77777777" w:rsidR="00965C9E" w:rsidRPr="003B741F" w:rsidRDefault="00965C9E" w:rsidP="003B741F">
      <w:pPr>
        <w:pStyle w:val="paragraph"/>
      </w:pPr>
      <w:r w:rsidRPr="003B741F">
        <w:tab/>
        <w:t>(b)</w:t>
      </w:r>
      <w:r w:rsidRPr="003B741F">
        <w:tab/>
        <w:t xml:space="preserve">the earlier of the times mentioned in that paragraph has </w:t>
      </w:r>
      <w:r w:rsidR="00137BF9" w:rsidRPr="003B741F">
        <w:t xml:space="preserve">not </w:t>
      </w:r>
      <w:r w:rsidRPr="003B741F">
        <w:t>occurred for the person and the proceeds;</w:t>
      </w:r>
    </w:p>
    <w:p w14:paraId="771CA133" w14:textId="77777777" w:rsidR="00965C9E" w:rsidRPr="003B741F" w:rsidRDefault="00965C9E" w:rsidP="003B741F">
      <w:pPr>
        <w:pStyle w:val="subsection2"/>
      </w:pPr>
      <w:r w:rsidRPr="003B741F">
        <w:t>then:</w:t>
      </w:r>
    </w:p>
    <w:p w14:paraId="20612182" w14:textId="77777777" w:rsidR="000C436F" w:rsidRPr="003B741F" w:rsidRDefault="000C436F" w:rsidP="003B741F">
      <w:pPr>
        <w:pStyle w:val="paragraph"/>
      </w:pPr>
      <w:r w:rsidRPr="003B741F">
        <w:tab/>
        <w:t>(c)</w:t>
      </w:r>
      <w:r w:rsidRPr="003B741F">
        <w:tab/>
        <w:t>th</w:t>
      </w:r>
      <w:r w:rsidR="00137BF9" w:rsidRPr="003B741F">
        <w:t>ose</w:t>
      </w:r>
      <w:r w:rsidRPr="003B741F">
        <w:t xml:space="preserve"> financial assets are to be disregarded for the purposes of working out the ordinary income the </w:t>
      </w:r>
      <w:r w:rsidR="00CC4AEB" w:rsidRPr="003B741F">
        <w:t>person</w:t>
      </w:r>
      <w:r w:rsidRPr="003B741F">
        <w:t xml:space="preserve"> is taken to receive under </w:t>
      </w:r>
      <w:r w:rsidR="00833578" w:rsidRPr="003B741F">
        <w:t>subsection (</w:t>
      </w:r>
      <w:r w:rsidRPr="003B741F">
        <w:t>3) or (3A); and</w:t>
      </w:r>
    </w:p>
    <w:p w14:paraId="494F34FE" w14:textId="77777777" w:rsidR="00965C9E" w:rsidRPr="003B741F" w:rsidRDefault="00965C9E" w:rsidP="003B741F">
      <w:pPr>
        <w:pStyle w:val="paragraph"/>
      </w:pPr>
      <w:r w:rsidRPr="003B741F">
        <w:tab/>
        <w:t>(d)</w:t>
      </w:r>
      <w:r w:rsidRPr="003B741F">
        <w:tab/>
        <w:t xml:space="preserve">the ordinary income the person is taken to receive per year on </w:t>
      </w:r>
      <w:r w:rsidR="00137BF9" w:rsidRPr="003B741F">
        <w:t>those</w:t>
      </w:r>
      <w:r w:rsidRPr="003B741F">
        <w:t xml:space="preserve"> financial assets is the amount worked out by multiplying the value of those </w:t>
      </w:r>
      <w:r w:rsidR="00137BF9" w:rsidRPr="003B741F">
        <w:t xml:space="preserve">financial </w:t>
      </w:r>
      <w:r w:rsidRPr="003B741F">
        <w:t>assets by the below threshold rate.</w:t>
      </w:r>
    </w:p>
    <w:p w14:paraId="7EB0DA06" w14:textId="77777777" w:rsidR="00066F2B" w:rsidRPr="003B741F" w:rsidRDefault="003B741F" w:rsidP="003B741F">
      <w:pPr>
        <w:pStyle w:val="ItemHead"/>
      </w:pPr>
      <w:r w:rsidRPr="003B741F">
        <w:t>2</w:t>
      </w:r>
      <w:r w:rsidR="00066F2B" w:rsidRPr="003B741F">
        <w:t xml:space="preserve">  </w:t>
      </w:r>
      <w:r w:rsidR="00203514" w:rsidRPr="003B741F">
        <w:t>Sub</w:t>
      </w:r>
      <w:r w:rsidR="000C32D5" w:rsidRPr="003B741F">
        <w:t>section 1</w:t>
      </w:r>
      <w:r w:rsidR="00066F2B" w:rsidRPr="003B741F">
        <w:t>076(4)</w:t>
      </w:r>
    </w:p>
    <w:p w14:paraId="61A90BA4" w14:textId="77777777" w:rsidR="00066F2B" w:rsidRPr="003B741F" w:rsidRDefault="00066F2B" w:rsidP="003B741F">
      <w:pPr>
        <w:pStyle w:val="Item"/>
      </w:pPr>
      <w:r w:rsidRPr="003B741F">
        <w:t xml:space="preserve">Omit “amount calculated under </w:t>
      </w:r>
      <w:r w:rsidR="00833578" w:rsidRPr="003B741F">
        <w:t>subsection (</w:t>
      </w:r>
      <w:r w:rsidRPr="003B741F">
        <w:t xml:space="preserve">3) or (3A)”, substitute “sum of the amount calculated under </w:t>
      </w:r>
      <w:r w:rsidR="00833578" w:rsidRPr="003B741F">
        <w:t>subsection (</w:t>
      </w:r>
      <w:r w:rsidRPr="003B741F">
        <w:t xml:space="preserve">3) or (3A) and the amount (if any) calculated under </w:t>
      </w:r>
      <w:r w:rsidR="000C32D5" w:rsidRPr="003B741F">
        <w:t>paragraph (</w:t>
      </w:r>
      <w:r w:rsidRPr="003B741F">
        <w:t>3B)</w:t>
      </w:r>
      <w:r w:rsidR="00965C9E" w:rsidRPr="003B741F">
        <w:t>(d)</w:t>
      </w:r>
      <w:r w:rsidRPr="003B741F">
        <w:t>”.</w:t>
      </w:r>
    </w:p>
    <w:p w14:paraId="2D308F56" w14:textId="77777777" w:rsidR="00965C9E" w:rsidRPr="003B741F" w:rsidRDefault="003B741F" w:rsidP="003B741F">
      <w:pPr>
        <w:pStyle w:val="ItemHead"/>
      </w:pPr>
      <w:r w:rsidRPr="003B741F">
        <w:t>3</w:t>
      </w:r>
      <w:r w:rsidR="00965C9E" w:rsidRPr="003B741F">
        <w:t xml:space="preserve">  After </w:t>
      </w:r>
      <w:r w:rsidR="000C32D5" w:rsidRPr="003B741F">
        <w:t>subsection 1</w:t>
      </w:r>
      <w:r w:rsidR="00965C9E" w:rsidRPr="003B741F">
        <w:t>077(3A)</w:t>
      </w:r>
    </w:p>
    <w:p w14:paraId="3AF79A47" w14:textId="77777777" w:rsidR="00965C9E" w:rsidRPr="003B741F" w:rsidRDefault="00965C9E" w:rsidP="003B741F">
      <w:pPr>
        <w:pStyle w:val="Item"/>
      </w:pPr>
      <w:r w:rsidRPr="003B741F">
        <w:t>Insert:</w:t>
      </w:r>
    </w:p>
    <w:p w14:paraId="47E66CEF" w14:textId="77777777" w:rsidR="00965C9E" w:rsidRPr="003B741F" w:rsidRDefault="00965C9E" w:rsidP="003B741F">
      <w:pPr>
        <w:pStyle w:val="subsection"/>
      </w:pPr>
      <w:r w:rsidRPr="003B741F">
        <w:tab/>
        <w:t>(3B)</w:t>
      </w:r>
      <w:r w:rsidRPr="003B741F">
        <w:tab/>
        <w:t>However, if</w:t>
      </w:r>
      <w:r w:rsidR="006F44D6" w:rsidRPr="003B741F">
        <w:t xml:space="preserve"> </w:t>
      </w:r>
      <w:r w:rsidR="000C32D5" w:rsidRPr="003B741F">
        <w:t>subsection 1</w:t>
      </w:r>
      <w:r w:rsidR="006F44D6" w:rsidRPr="003B741F">
        <w:t>118(2) applies in relation to a member of the couple and:</w:t>
      </w:r>
    </w:p>
    <w:p w14:paraId="6DEDF02D" w14:textId="77777777" w:rsidR="00965C9E" w:rsidRPr="003B741F" w:rsidRDefault="00965C9E" w:rsidP="003B741F">
      <w:pPr>
        <w:pStyle w:val="paragraph"/>
      </w:pPr>
      <w:r w:rsidRPr="003B741F">
        <w:tab/>
        <w:t>(a)</w:t>
      </w:r>
      <w:r w:rsidRPr="003B741F">
        <w:tab/>
      </w:r>
      <w:r w:rsidR="00001BB5" w:rsidRPr="003B741F">
        <w:t xml:space="preserve">the couple </w:t>
      </w:r>
      <w:r w:rsidRPr="003B741F">
        <w:t>have financial assets that are proceeds:</w:t>
      </w:r>
    </w:p>
    <w:p w14:paraId="5C23E901" w14:textId="77777777" w:rsidR="00965C9E" w:rsidRPr="003B741F" w:rsidRDefault="00965C9E" w:rsidP="003B741F">
      <w:pPr>
        <w:pStyle w:val="paragraphsub"/>
      </w:pPr>
      <w:r w:rsidRPr="003B741F">
        <w:tab/>
        <w:t>(i)</w:t>
      </w:r>
      <w:r w:rsidRPr="003B741F">
        <w:tab/>
        <w:t xml:space="preserve">from the sale of the principal </w:t>
      </w:r>
      <w:r w:rsidR="00137BF9" w:rsidRPr="003B741F">
        <w:t>home</w:t>
      </w:r>
      <w:r w:rsidRPr="003B741F">
        <w:t xml:space="preserve"> of a member of the couple; and</w:t>
      </w:r>
    </w:p>
    <w:p w14:paraId="68AEB28A" w14:textId="77777777" w:rsidR="00965C9E" w:rsidRPr="003B741F" w:rsidRDefault="00965C9E" w:rsidP="003B741F">
      <w:pPr>
        <w:pStyle w:val="paragraphsub"/>
      </w:pPr>
      <w:r w:rsidRPr="003B741F">
        <w:tab/>
        <w:t>(ii)</w:t>
      </w:r>
      <w:r w:rsidRPr="003B741F">
        <w:tab/>
        <w:t xml:space="preserve">described in </w:t>
      </w:r>
      <w:r w:rsidR="00203514" w:rsidRPr="003B741F">
        <w:t>paragraph 1</w:t>
      </w:r>
      <w:r w:rsidRPr="003B741F">
        <w:t xml:space="preserve">118(2)(a) </w:t>
      </w:r>
      <w:r w:rsidR="002D0CB0" w:rsidRPr="003B741F">
        <w:t>or</w:t>
      </w:r>
      <w:r w:rsidRPr="003B741F">
        <w:t xml:space="preserve"> (c); and</w:t>
      </w:r>
    </w:p>
    <w:p w14:paraId="1104368C" w14:textId="77777777" w:rsidR="00965C9E" w:rsidRPr="003B741F" w:rsidRDefault="00965C9E" w:rsidP="003B741F">
      <w:pPr>
        <w:pStyle w:val="paragraph"/>
      </w:pPr>
      <w:r w:rsidRPr="003B741F">
        <w:lastRenderedPageBreak/>
        <w:tab/>
        <w:t>(b)</w:t>
      </w:r>
      <w:r w:rsidRPr="003B741F">
        <w:tab/>
        <w:t xml:space="preserve">the earlier of the times mentioned in that paragraph has </w:t>
      </w:r>
      <w:r w:rsidR="00616CFC" w:rsidRPr="003B741F">
        <w:t xml:space="preserve">not </w:t>
      </w:r>
      <w:r w:rsidRPr="003B741F">
        <w:t>occurred for the member of the couple and the proceeds;</w:t>
      </w:r>
    </w:p>
    <w:p w14:paraId="69AD473D" w14:textId="77777777" w:rsidR="00965C9E" w:rsidRPr="003B741F" w:rsidRDefault="00965C9E" w:rsidP="003B741F">
      <w:pPr>
        <w:pStyle w:val="subsection2"/>
      </w:pPr>
      <w:r w:rsidRPr="003B741F">
        <w:t>then:</w:t>
      </w:r>
    </w:p>
    <w:p w14:paraId="3792D9B6" w14:textId="77777777" w:rsidR="00965C9E" w:rsidRPr="003B741F" w:rsidRDefault="00965C9E" w:rsidP="003B741F">
      <w:pPr>
        <w:pStyle w:val="paragraph"/>
      </w:pPr>
      <w:r w:rsidRPr="003B741F">
        <w:tab/>
        <w:t>(c)</w:t>
      </w:r>
      <w:r w:rsidRPr="003B741F">
        <w:tab/>
      </w:r>
      <w:r w:rsidR="00137BF9" w:rsidRPr="003B741F">
        <w:t>those</w:t>
      </w:r>
      <w:r w:rsidRPr="003B741F">
        <w:t xml:space="preserve"> financial assets are to be disregarded for the purposes </w:t>
      </w:r>
      <w:r w:rsidR="000C436F" w:rsidRPr="003B741F">
        <w:t xml:space="preserve">of working out the ordinary income the couple is taken to receive under </w:t>
      </w:r>
      <w:r w:rsidR="00833578" w:rsidRPr="003B741F">
        <w:t>subsection (</w:t>
      </w:r>
      <w:r w:rsidRPr="003B741F">
        <w:t xml:space="preserve">3) </w:t>
      </w:r>
      <w:r w:rsidR="000C436F" w:rsidRPr="003B741F">
        <w:t xml:space="preserve">or </w:t>
      </w:r>
      <w:r w:rsidRPr="003B741F">
        <w:t>(3A); and</w:t>
      </w:r>
    </w:p>
    <w:p w14:paraId="17B6D9D6" w14:textId="77777777" w:rsidR="00965C9E" w:rsidRPr="003B741F" w:rsidRDefault="00965C9E" w:rsidP="003B741F">
      <w:pPr>
        <w:pStyle w:val="paragraph"/>
      </w:pPr>
      <w:r w:rsidRPr="003B741F">
        <w:tab/>
        <w:t>(d)</w:t>
      </w:r>
      <w:r w:rsidRPr="003B741F">
        <w:tab/>
        <w:t xml:space="preserve">the ordinary income the couple is taken to receive per year on </w:t>
      </w:r>
      <w:r w:rsidR="00137BF9" w:rsidRPr="003B741F">
        <w:t>those</w:t>
      </w:r>
      <w:r w:rsidRPr="003B741F">
        <w:t xml:space="preserve"> financial assets is the amount worked out by multiplying the value of those </w:t>
      </w:r>
      <w:r w:rsidR="00137BF9" w:rsidRPr="003B741F">
        <w:t xml:space="preserve">financial </w:t>
      </w:r>
      <w:r w:rsidRPr="003B741F">
        <w:t>assets by the below threshold rate.</w:t>
      </w:r>
    </w:p>
    <w:p w14:paraId="5CCF9B7E" w14:textId="77777777" w:rsidR="00800578" w:rsidRPr="003B741F" w:rsidRDefault="003B741F" w:rsidP="003B741F">
      <w:pPr>
        <w:pStyle w:val="ItemHead"/>
      </w:pPr>
      <w:r w:rsidRPr="003B741F">
        <w:t>4</w:t>
      </w:r>
      <w:r w:rsidR="00800578" w:rsidRPr="003B741F">
        <w:t xml:space="preserve">  </w:t>
      </w:r>
      <w:r w:rsidR="00203514" w:rsidRPr="003B741F">
        <w:t>Sub</w:t>
      </w:r>
      <w:r w:rsidR="000C32D5" w:rsidRPr="003B741F">
        <w:t>section 1</w:t>
      </w:r>
      <w:r w:rsidR="008C0982" w:rsidRPr="003B741F">
        <w:t>077(4) (formula)</w:t>
      </w:r>
    </w:p>
    <w:p w14:paraId="238D05D2" w14:textId="77777777" w:rsidR="008C0982" w:rsidRPr="003B741F" w:rsidRDefault="008C0982" w:rsidP="003B741F">
      <w:pPr>
        <w:pStyle w:val="Item"/>
      </w:pPr>
      <w:r w:rsidRPr="003B741F">
        <w:t>Repeal the formula, substitute:</w:t>
      </w:r>
    </w:p>
    <w:p w14:paraId="742502FB" w14:textId="38CA2687" w:rsidR="002E2DB7" w:rsidRPr="003B741F" w:rsidRDefault="0018209E" w:rsidP="003B741F">
      <w:pPr>
        <w:pStyle w:val="subsection2"/>
      </w:pPr>
      <w:r w:rsidRPr="003B741F">
        <w:object w:dxaOrig="5460" w:dyaOrig="960" w14:anchorId="58F949C1">
          <v:shape id="_x0000_i1027" type="#_x0000_t75" alt="Start formula start fraction Sum of the amount calculated under subsection (3) or (3A) and the amount (if any) calculated under paragraph (3B)(d) over 52 end fraction times 0.5 end formula" style="width:273pt;height:49.5pt" o:ole="">
            <v:imagedata r:id="rId22" o:title=""/>
          </v:shape>
          <o:OLEObject Type="Embed" ProgID="Equation.DSMT4" ShapeID="_x0000_i1027" DrawAspect="Content" ObjectID="_1731498662" r:id="rId23"/>
        </w:object>
      </w:r>
    </w:p>
    <w:p w14:paraId="4AF05224" w14:textId="77777777" w:rsidR="009756F3" w:rsidRPr="003B741F" w:rsidRDefault="003B741F" w:rsidP="003B741F">
      <w:pPr>
        <w:pStyle w:val="ItemHead"/>
      </w:pPr>
      <w:r w:rsidRPr="003B741F">
        <w:t>5</w:t>
      </w:r>
      <w:r w:rsidR="009756F3" w:rsidRPr="003B741F">
        <w:t xml:space="preserve">  After </w:t>
      </w:r>
      <w:r w:rsidR="000C32D5" w:rsidRPr="003B741F">
        <w:t>subsection 1</w:t>
      </w:r>
      <w:r w:rsidR="009756F3" w:rsidRPr="003B741F">
        <w:t>078(3A)</w:t>
      </w:r>
    </w:p>
    <w:p w14:paraId="008C0BC5" w14:textId="77777777" w:rsidR="009756F3" w:rsidRPr="003B741F" w:rsidRDefault="009756F3" w:rsidP="003B741F">
      <w:pPr>
        <w:pStyle w:val="Item"/>
      </w:pPr>
      <w:r w:rsidRPr="003B741F">
        <w:t>Insert:</w:t>
      </w:r>
    </w:p>
    <w:p w14:paraId="17AC2C22" w14:textId="77777777" w:rsidR="009756F3" w:rsidRPr="003B741F" w:rsidRDefault="009756F3" w:rsidP="003B741F">
      <w:pPr>
        <w:pStyle w:val="subsection"/>
      </w:pPr>
      <w:r w:rsidRPr="003B741F">
        <w:tab/>
        <w:t>(3B)</w:t>
      </w:r>
      <w:r w:rsidRPr="003B741F">
        <w:tab/>
        <w:t>However, if</w:t>
      </w:r>
      <w:r w:rsidR="006F44D6" w:rsidRPr="003B741F">
        <w:t xml:space="preserve"> </w:t>
      </w:r>
      <w:r w:rsidR="000C32D5" w:rsidRPr="003B741F">
        <w:t>subsection 1</w:t>
      </w:r>
      <w:r w:rsidR="006F44D6" w:rsidRPr="003B741F">
        <w:t>118(2) applies in relation to the person and</w:t>
      </w:r>
      <w:r w:rsidRPr="003B741F">
        <w:t>:</w:t>
      </w:r>
    </w:p>
    <w:p w14:paraId="4325C43B" w14:textId="77777777" w:rsidR="009756F3" w:rsidRPr="003B741F" w:rsidRDefault="009756F3" w:rsidP="003B741F">
      <w:pPr>
        <w:pStyle w:val="paragraph"/>
      </w:pPr>
      <w:r w:rsidRPr="003B741F">
        <w:tab/>
        <w:t>(a)</w:t>
      </w:r>
      <w:r w:rsidRPr="003B741F">
        <w:tab/>
      </w:r>
      <w:r w:rsidR="00001BB5" w:rsidRPr="003B741F">
        <w:t xml:space="preserve">the person </w:t>
      </w:r>
      <w:r w:rsidRPr="003B741F">
        <w:t>has financial assets that are proceeds:</w:t>
      </w:r>
    </w:p>
    <w:p w14:paraId="1AE5F366" w14:textId="77777777" w:rsidR="009756F3" w:rsidRPr="003B741F" w:rsidRDefault="009756F3" w:rsidP="003B741F">
      <w:pPr>
        <w:pStyle w:val="paragraphsub"/>
      </w:pPr>
      <w:r w:rsidRPr="003B741F">
        <w:tab/>
        <w:t>(i)</w:t>
      </w:r>
      <w:r w:rsidRPr="003B741F">
        <w:tab/>
        <w:t xml:space="preserve">from the sale of the person’s principal </w:t>
      </w:r>
      <w:r w:rsidR="00137BF9" w:rsidRPr="003B741F">
        <w:t>home</w:t>
      </w:r>
      <w:r w:rsidRPr="003B741F">
        <w:t>; and</w:t>
      </w:r>
    </w:p>
    <w:p w14:paraId="02B757B1" w14:textId="77777777" w:rsidR="009756F3" w:rsidRPr="003B741F" w:rsidRDefault="009756F3" w:rsidP="003B741F">
      <w:pPr>
        <w:pStyle w:val="paragraphsub"/>
      </w:pPr>
      <w:r w:rsidRPr="003B741F">
        <w:tab/>
        <w:t>(ii)</w:t>
      </w:r>
      <w:r w:rsidRPr="003B741F">
        <w:tab/>
        <w:t xml:space="preserve">described in </w:t>
      </w:r>
      <w:r w:rsidR="00203514" w:rsidRPr="003B741F">
        <w:t>paragraph 1</w:t>
      </w:r>
      <w:r w:rsidRPr="003B741F">
        <w:t xml:space="preserve">118(2)(a) </w:t>
      </w:r>
      <w:r w:rsidR="002D0CB0" w:rsidRPr="003B741F">
        <w:t>or</w:t>
      </w:r>
      <w:r w:rsidRPr="003B741F">
        <w:t xml:space="preserve"> (c); and</w:t>
      </w:r>
    </w:p>
    <w:p w14:paraId="4EABC74A" w14:textId="77777777" w:rsidR="009756F3" w:rsidRPr="003B741F" w:rsidRDefault="009756F3" w:rsidP="003B741F">
      <w:pPr>
        <w:pStyle w:val="paragraph"/>
      </w:pPr>
      <w:r w:rsidRPr="003B741F">
        <w:tab/>
        <w:t>(b)</w:t>
      </w:r>
      <w:r w:rsidRPr="003B741F">
        <w:tab/>
        <w:t xml:space="preserve">the earlier of the times mentioned in that paragraph has </w:t>
      </w:r>
      <w:r w:rsidR="00616CFC" w:rsidRPr="003B741F">
        <w:t xml:space="preserve">not </w:t>
      </w:r>
      <w:r w:rsidRPr="003B741F">
        <w:t>occurred for the person and the proceeds;</w:t>
      </w:r>
    </w:p>
    <w:p w14:paraId="2F093F3F" w14:textId="77777777" w:rsidR="009756F3" w:rsidRPr="003B741F" w:rsidRDefault="009756F3" w:rsidP="003B741F">
      <w:pPr>
        <w:pStyle w:val="subsection2"/>
      </w:pPr>
      <w:r w:rsidRPr="003B741F">
        <w:t>then:</w:t>
      </w:r>
    </w:p>
    <w:p w14:paraId="10CC2ACF" w14:textId="77777777" w:rsidR="009756F3" w:rsidRPr="003B741F" w:rsidRDefault="009756F3" w:rsidP="003B741F">
      <w:pPr>
        <w:pStyle w:val="paragraph"/>
      </w:pPr>
      <w:r w:rsidRPr="003B741F">
        <w:tab/>
        <w:t>(c)</w:t>
      </w:r>
      <w:r w:rsidRPr="003B741F">
        <w:tab/>
        <w:t>th</w:t>
      </w:r>
      <w:r w:rsidR="00137BF9" w:rsidRPr="003B741F">
        <w:t>ose</w:t>
      </w:r>
      <w:r w:rsidRPr="003B741F">
        <w:t xml:space="preserve"> financial assets are to be disregarded for the purposes of working out the ordinary income the person is taken to receive under </w:t>
      </w:r>
      <w:r w:rsidR="00833578" w:rsidRPr="003B741F">
        <w:t>subsection (</w:t>
      </w:r>
      <w:r w:rsidRPr="003B741F">
        <w:t>3) or (3A); and</w:t>
      </w:r>
    </w:p>
    <w:p w14:paraId="0392EF4A" w14:textId="77777777" w:rsidR="009756F3" w:rsidRPr="003B741F" w:rsidRDefault="009756F3" w:rsidP="003B741F">
      <w:pPr>
        <w:pStyle w:val="paragraph"/>
      </w:pPr>
      <w:r w:rsidRPr="003B741F">
        <w:tab/>
        <w:t>(d)</w:t>
      </w:r>
      <w:r w:rsidRPr="003B741F">
        <w:tab/>
        <w:t xml:space="preserve">the ordinary income the person is taken to receive per year on </w:t>
      </w:r>
      <w:r w:rsidR="00137BF9" w:rsidRPr="003B741F">
        <w:t>those</w:t>
      </w:r>
      <w:r w:rsidRPr="003B741F">
        <w:t xml:space="preserve"> financial assets is the amount worked out by multiplying the value of those </w:t>
      </w:r>
      <w:r w:rsidR="00137BF9" w:rsidRPr="003B741F">
        <w:t xml:space="preserve">financial </w:t>
      </w:r>
      <w:r w:rsidRPr="003B741F">
        <w:t>assets by the below threshold rate.</w:t>
      </w:r>
    </w:p>
    <w:p w14:paraId="36F2A42E" w14:textId="77777777" w:rsidR="00FB7004" w:rsidRPr="003B741F" w:rsidRDefault="003B741F" w:rsidP="003B741F">
      <w:pPr>
        <w:pStyle w:val="ItemHead"/>
      </w:pPr>
      <w:r w:rsidRPr="003B741F">
        <w:lastRenderedPageBreak/>
        <w:t>6</w:t>
      </w:r>
      <w:r w:rsidR="00FB7004" w:rsidRPr="003B741F">
        <w:t xml:space="preserve">  </w:t>
      </w:r>
      <w:r w:rsidR="00203514" w:rsidRPr="003B741F">
        <w:t>Sub</w:t>
      </w:r>
      <w:r w:rsidR="000C32D5" w:rsidRPr="003B741F">
        <w:t>section 1</w:t>
      </w:r>
      <w:r w:rsidR="00FB7004" w:rsidRPr="003B741F">
        <w:t>07</w:t>
      </w:r>
      <w:r w:rsidR="00FE7BD6" w:rsidRPr="003B741F">
        <w:t>8</w:t>
      </w:r>
      <w:r w:rsidR="00FB7004" w:rsidRPr="003B741F">
        <w:t>(4)</w:t>
      </w:r>
    </w:p>
    <w:p w14:paraId="15913854" w14:textId="77777777" w:rsidR="00FB7004" w:rsidRPr="003B741F" w:rsidRDefault="00FB7004" w:rsidP="003B741F">
      <w:pPr>
        <w:pStyle w:val="Item"/>
      </w:pPr>
      <w:r w:rsidRPr="003B741F">
        <w:t xml:space="preserve">Omit “amount calculated under </w:t>
      </w:r>
      <w:r w:rsidR="00833578" w:rsidRPr="003B741F">
        <w:t>subsection (</w:t>
      </w:r>
      <w:r w:rsidRPr="003B741F">
        <w:t xml:space="preserve">3) or (3A)”, substitute “sum of the amount calculated under </w:t>
      </w:r>
      <w:r w:rsidR="00833578" w:rsidRPr="003B741F">
        <w:t>subsection (</w:t>
      </w:r>
      <w:r w:rsidRPr="003B741F">
        <w:t xml:space="preserve">3) or (3A) and the amount (if any) calculated under </w:t>
      </w:r>
      <w:r w:rsidR="000C32D5" w:rsidRPr="003B741F">
        <w:t>paragraph (</w:t>
      </w:r>
      <w:r w:rsidRPr="003B741F">
        <w:t>3B)</w:t>
      </w:r>
      <w:r w:rsidR="00210534" w:rsidRPr="003B741F">
        <w:t>(d)</w:t>
      </w:r>
      <w:r w:rsidRPr="003B741F">
        <w:t>”.</w:t>
      </w:r>
    </w:p>
    <w:p w14:paraId="7F2AAA28" w14:textId="77777777" w:rsidR="002D0CB0" w:rsidRPr="003B741F" w:rsidRDefault="003B741F" w:rsidP="003B741F">
      <w:pPr>
        <w:pStyle w:val="ItemHead"/>
      </w:pPr>
      <w:r w:rsidRPr="003B741F">
        <w:t>7</w:t>
      </w:r>
      <w:r w:rsidR="002D0CB0" w:rsidRPr="003B741F">
        <w:t xml:space="preserve">  </w:t>
      </w:r>
      <w:r w:rsidR="00203514" w:rsidRPr="003B741F">
        <w:t>Paragraph 1</w:t>
      </w:r>
      <w:r w:rsidR="002D0CB0" w:rsidRPr="003B741F">
        <w:t>118(1B)(c)</w:t>
      </w:r>
    </w:p>
    <w:p w14:paraId="22CEB0DA" w14:textId="77777777" w:rsidR="002D0CB0" w:rsidRPr="003B741F" w:rsidRDefault="002D0CB0" w:rsidP="003B741F">
      <w:pPr>
        <w:pStyle w:val="Item"/>
      </w:pPr>
      <w:r w:rsidRPr="003B741F">
        <w:t>Omit “12”, substitute “24”.</w:t>
      </w:r>
    </w:p>
    <w:p w14:paraId="6E635975" w14:textId="77777777" w:rsidR="002D0CB0" w:rsidRPr="003B741F" w:rsidRDefault="003B741F" w:rsidP="003B741F">
      <w:pPr>
        <w:pStyle w:val="ItemHead"/>
      </w:pPr>
      <w:r w:rsidRPr="003B741F">
        <w:t>8</w:t>
      </w:r>
      <w:r w:rsidR="002D0CB0" w:rsidRPr="003B741F">
        <w:t xml:space="preserve">  </w:t>
      </w:r>
      <w:r w:rsidR="00203514" w:rsidRPr="003B741F">
        <w:t>Sub</w:t>
      </w:r>
      <w:r w:rsidR="000C32D5" w:rsidRPr="003B741F">
        <w:t>section 1</w:t>
      </w:r>
      <w:r w:rsidR="002D0CB0" w:rsidRPr="003B741F">
        <w:t>118(2</w:t>
      </w:r>
      <w:r w:rsidR="001E2E63" w:rsidRPr="003B741F">
        <w:t>B</w:t>
      </w:r>
      <w:r w:rsidR="002D0CB0" w:rsidRPr="003B741F">
        <w:t>)</w:t>
      </w:r>
    </w:p>
    <w:p w14:paraId="746BDB88" w14:textId="77777777" w:rsidR="002D0CB0" w:rsidRPr="003B741F" w:rsidRDefault="002D0CB0" w:rsidP="003B741F">
      <w:pPr>
        <w:pStyle w:val="Item"/>
      </w:pPr>
      <w:r w:rsidRPr="003B741F">
        <w:t>Omit “24”, substitute “36”.</w:t>
      </w:r>
    </w:p>
    <w:p w14:paraId="68D1DE53" w14:textId="77777777" w:rsidR="00001BB5" w:rsidRPr="003B741F" w:rsidRDefault="00001BB5" w:rsidP="003B741F">
      <w:pPr>
        <w:pStyle w:val="ActHead9"/>
      </w:pPr>
      <w:bookmarkStart w:id="7" w:name="_Toc120696404"/>
      <w:r w:rsidRPr="003B741F">
        <w:t>Veterans’ Entitlements Act 1986</w:t>
      </w:r>
      <w:bookmarkEnd w:id="7"/>
    </w:p>
    <w:p w14:paraId="564B01F9" w14:textId="77777777" w:rsidR="00317AA7" w:rsidRPr="003B741F" w:rsidRDefault="003B741F" w:rsidP="003B741F">
      <w:pPr>
        <w:pStyle w:val="ItemHead"/>
      </w:pPr>
      <w:r w:rsidRPr="003B741F">
        <w:t>9</w:t>
      </w:r>
      <w:r w:rsidR="00317AA7" w:rsidRPr="003B741F">
        <w:t xml:space="preserve">  </w:t>
      </w:r>
      <w:r w:rsidR="000C32D5" w:rsidRPr="003B741F">
        <w:t>Subsection 4</w:t>
      </w:r>
      <w:r w:rsidR="00317AA7" w:rsidRPr="003B741F">
        <w:t>6D(3) (example)</w:t>
      </w:r>
    </w:p>
    <w:p w14:paraId="169795E9" w14:textId="77777777" w:rsidR="00317AA7" w:rsidRPr="003B741F" w:rsidRDefault="00317AA7" w:rsidP="003B741F">
      <w:pPr>
        <w:pStyle w:val="Item"/>
      </w:pPr>
      <w:r w:rsidRPr="003B741F">
        <w:t>Repeal the example</w:t>
      </w:r>
      <w:r w:rsidR="00E91FA7" w:rsidRPr="003B741F">
        <w:t>, substitute:</w:t>
      </w:r>
    </w:p>
    <w:p w14:paraId="505EC710" w14:textId="77777777" w:rsidR="00317AA7" w:rsidRPr="003B741F" w:rsidRDefault="00317AA7" w:rsidP="003B741F">
      <w:pPr>
        <w:pStyle w:val="notetext"/>
        <w:tabs>
          <w:tab w:val="left" w:pos="1985"/>
          <w:tab w:val="left" w:pos="2160"/>
          <w:tab w:val="left" w:pos="2880"/>
          <w:tab w:val="left" w:pos="3600"/>
          <w:tab w:val="left" w:pos="4320"/>
          <w:tab w:val="left" w:pos="5040"/>
          <w:tab w:val="left" w:pos="5760"/>
          <w:tab w:val="left" w:pos="6480"/>
        </w:tabs>
      </w:pPr>
      <w:r w:rsidRPr="003B741F">
        <w:t>Example:</w:t>
      </w:r>
      <w:r w:rsidRPr="003B741F">
        <w:tab/>
        <w:t xml:space="preserve">How deemed income of a person who is not a member of a couple is worked out </w:t>
      </w:r>
      <w:r w:rsidR="00756EFE" w:rsidRPr="003B741F">
        <w:t>per year for</w:t>
      </w:r>
      <w:r w:rsidR="00EB7990" w:rsidRPr="003B741F">
        <w:t xml:space="preserve"> </w:t>
      </w:r>
      <w:r w:rsidR="001D55D3" w:rsidRPr="003B741F">
        <w:t xml:space="preserve">the person’s </w:t>
      </w:r>
      <w:r w:rsidR="00EB7990" w:rsidRPr="003B741F">
        <w:t>financial assets</w:t>
      </w:r>
      <w:r w:rsidR="007755C4" w:rsidRPr="003B741F">
        <w:t xml:space="preserve"> </w:t>
      </w:r>
      <w:r w:rsidR="00EB7990" w:rsidRPr="003B741F">
        <w:t xml:space="preserve">other </w:t>
      </w:r>
      <w:r w:rsidR="00153DF6" w:rsidRPr="003B741F">
        <w:t xml:space="preserve">than </w:t>
      </w:r>
      <w:r w:rsidR="00EB7990" w:rsidRPr="003B741F">
        <w:t xml:space="preserve">financial assets </w:t>
      </w:r>
      <w:r w:rsidR="00E91FA7" w:rsidRPr="003B741F">
        <w:t xml:space="preserve">described in </w:t>
      </w:r>
      <w:r w:rsidR="00833578" w:rsidRPr="003B741F">
        <w:t>subsection (</w:t>
      </w:r>
      <w:r w:rsidR="00EB7990" w:rsidRPr="003B741F">
        <w:t>3A)</w:t>
      </w:r>
      <w:r w:rsidR="00A94BA6" w:rsidRPr="003B741F">
        <w:t xml:space="preserve"> (</w:t>
      </w:r>
      <w:r w:rsidR="007755C4" w:rsidRPr="003B741F">
        <w:t xml:space="preserve">using rates and deeming thresholds in force on </w:t>
      </w:r>
      <w:r w:rsidR="000C32D5" w:rsidRPr="003B741F">
        <w:t>1 July</w:t>
      </w:r>
      <w:r w:rsidR="007755C4" w:rsidRPr="003B741F">
        <w:t xml:space="preserve"> 2022</w:t>
      </w:r>
      <w:r w:rsidR="00A94BA6" w:rsidRPr="003B741F">
        <w:t>)</w:t>
      </w:r>
      <w:r w:rsidR="00BA6274" w:rsidRPr="003B741F">
        <w:t>.</w:t>
      </w:r>
    </w:p>
    <w:p w14:paraId="5F078C39" w14:textId="77777777" w:rsidR="00317AA7" w:rsidRPr="003B741F" w:rsidRDefault="00317AA7" w:rsidP="003B741F">
      <w:pPr>
        <w:pStyle w:val="notetext"/>
        <w:keepNext/>
        <w:keepLines/>
        <w:tabs>
          <w:tab w:val="left" w:pos="1985"/>
          <w:tab w:val="left" w:pos="2160"/>
          <w:tab w:val="left" w:pos="2880"/>
          <w:tab w:val="left" w:pos="3600"/>
          <w:tab w:val="left" w:pos="4320"/>
          <w:tab w:val="left" w:pos="5040"/>
          <w:tab w:val="left" w:pos="5760"/>
          <w:tab w:val="left" w:pos="6480"/>
        </w:tabs>
      </w:pPr>
      <w:r w:rsidRPr="003B741F">
        <w:tab/>
        <w:t>Elaine, a single pensioner, has $</w:t>
      </w:r>
      <w:r w:rsidR="0009310D" w:rsidRPr="003B741F">
        <w:t>16</w:t>
      </w:r>
      <w:r w:rsidR="00A94BA6" w:rsidRPr="003B741F">
        <w:t>4</w:t>
      </w:r>
      <w:r w:rsidRPr="003B741F">
        <w:t>,000 worth of financial assets</w:t>
      </w:r>
      <w:r w:rsidR="00A83E1D" w:rsidRPr="003B741F">
        <w:t>, made up of</w:t>
      </w:r>
      <w:r w:rsidR="00A94BA6" w:rsidRPr="003B741F">
        <w:t xml:space="preserve"> </w:t>
      </w:r>
      <w:r w:rsidRPr="003B741F">
        <w:t xml:space="preserve">$150,000 </w:t>
      </w:r>
      <w:r w:rsidR="00A83E1D" w:rsidRPr="003B741F">
        <w:t xml:space="preserve">in </w:t>
      </w:r>
      <w:r w:rsidR="004428A9" w:rsidRPr="003B741F">
        <w:t xml:space="preserve">proceeds from the sale of </w:t>
      </w:r>
      <w:r w:rsidRPr="003B741F">
        <w:t xml:space="preserve">Elaine’s principal </w:t>
      </w:r>
      <w:r w:rsidR="00EB7990" w:rsidRPr="003B741F">
        <w:t>home</w:t>
      </w:r>
      <w:r w:rsidR="00A83E1D" w:rsidRPr="003B741F">
        <w:t xml:space="preserve"> and $14,000 of other financial assets</w:t>
      </w:r>
      <w:r w:rsidRPr="003B741F">
        <w:t>. Elaine intends to apply $100,000 of th</w:t>
      </w:r>
      <w:r w:rsidR="00A83E1D" w:rsidRPr="003B741F">
        <w:t>e</w:t>
      </w:r>
      <w:r w:rsidRPr="003B741F">
        <w:t xml:space="preserve"> proceeds of sale to purchase another residence</w:t>
      </w:r>
      <w:r w:rsidR="00EB7990" w:rsidRPr="003B741F">
        <w:t xml:space="preserve"> </w:t>
      </w:r>
      <w:r w:rsidRPr="003B741F">
        <w:t>that is to be Elaine’s principal home. The below threshold rate is 0.25%. The above threshold rate is 2.25%.</w:t>
      </w:r>
    </w:p>
    <w:p w14:paraId="3F9B57A0" w14:textId="77777777" w:rsidR="00317AA7" w:rsidRPr="003B741F" w:rsidRDefault="00317AA7" w:rsidP="003B741F">
      <w:pPr>
        <w:pStyle w:val="notetext"/>
        <w:tabs>
          <w:tab w:val="left" w:pos="1985"/>
          <w:tab w:val="left" w:pos="2160"/>
          <w:tab w:val="left" w:pos="2880"/>
          <w:tab w:val="left" w:pos="3600"/>
          <w:tab w:val="left" w:pos="4320"/>
          <w:tab w:val="left" w:pos="5040"/>
          <w:tab w:val="left" w:pos="5760"/>
          <w:tab w:val="left" w:pos="6480"/>
        </w:tabs>
      </w:pPr>
      <w:r w:rsidRPr="003B741F">
        <w:tab/>
        <w:t xml:space="preserve">The total value of Elaine’s financial assets </w:t>
      </w:r>
      <w:r w:rsidR="00EB7990" w:rsidRPr="003B741F">
        <w:t>(</w:t>
      </w:r>
      <w:r w:rsidRPr="003B741F">
        <w:t>$</w:t>
      </w:r>
      <w:r w:rsidR="0009310D" w:rsidRPr="003B741F">
        <w:t>64</w:t>
      </w:r>
      <w:r w:rsidRPr="003B741F">
        <w:t>,</w:t>
      </w:r>
      <w:r w:rsidR="00EB7990" w:rsidRPr="003B741F">
        <w:t>0</w:t>
      </w:r>
      <w:r w:rsidRPr="003B741F">
        <w:t>00</w:t>
      </w:r>
      <w:r w:rsidR="00EB7990" w:rsidRPr="003B741F">
        <w:t xml:space="preserve">), </w:t>
      </w:r>
      <w:r w:rsidRPr="003B741F">
        <w:t xml:space="preserve">disregarding part of the </w:t>
      </w:r>
      <w:r w:rsidR="0009310D" w:rsidRPr="003B741F">
        <w:t xml:space="preserve">proceeds of sale </w:t>
      </w:r>
      <w:r w:rsidRPr="003B741F">
        <w:t xml:space="preserve">($100,000—see </w:t>
      </w:r>
      <w:r w:rsidR="00833578" w:rsidRPr="003B741F">
        <w:t>subsection (</w:t>
      </w:r>
      <w:r w:rsidRPr="003B741F">
        <w:t>3A))</w:t>
      </w:r>
      <w:r w:rsidR="00EB7990" w:rsidRPr="003B741F">
        <w:t>,</w:t>
      </w:r>
      <w:r w:rsidRPr="003B741F">
        <w:t xml:space="preserve"> is higher than </w:t>
      </w:r>
      <w:r w:rsidR="001D55D3" w:rsidRPr="003B741F">
        <w:t>Elaine’s</w:t>
      </w:r>
      <w:r w:rsidRPr="003B741F">
        <w:t xml:space="preserve"> deeming threshold ($</w:t>
      </w:r>
      <w:r w:rsidR="0009310D" w:rsidRPr="003B741F">
        <w:t>56</w:t>
      </w:r>
      <w:r w:rsidRPr="003B741F">
        <w:t>,</w:t>
      </w:r>
      <w:r w:rsidR="0009310D" w:rsidRPr="003B741F">
        <w:t>4</w:t>
      </w:r>
      <w:r w:rsidRPr="003B741F">
        <w:t xml:space="preserve">00—see </w:t>
      </w:r>
      <w:r w:rsidR="000C32D5" w:rsidRPr="003B741F">
        <w:t>subsection 4</w:t>
      </w:r>
      <w:r w:rsidRPr="003B741F">
        <w:t>6H(1)). So, the deeming threshold is multiplied by the below threshold rate</w:t>
      </w:r>
      <w:r w:rsidR="00EB7990" w:rsidRPr="003B741F">
        <w:t xml:space="preserve"> (0.25%)</w:t>
      </w:r>
      <w:r w:rsidRPr="003B741F">
        <w:t>:</w:t>
      </w:r>
    </w:p>
    <w:p w14:paraId="457D64B3" w14:textId="2D70BE03" w:rsidR="00EB7990" w:rsidRPr="003B741F" w:rsidRDefault="00EB7990" w:rsidP="003B741F">
      <w:pPr>
        <w:pStyle w:val="notetext"/>
        <w:tabs>
          <w:tab w:val="left" w:pos="1985"/>
          <w:tab w:val="left" w:pos="2160"/>
          <w:tab w:val="left" w:pos="2880"/>
          <w:tab w:val="left" w:pos="3600"/>
          <w:tab w:val="left" w:pos="4320"/>
          <w:tab w:val="left" w:pos="5040"/>
          <w:tab w:val="left" w:pos="5760"/>
          <w:tab w:val="left" w:pos="6480"/>
        </w:tabs>
      </w:pPr>
      <w:r w:rsidRPr="003B741F">
        <w:tab/>
      </w:r>
      <w:bookmarkStart w:id="8" w:name="_Hlk109054123"/>
      <w:r w:rsidR="00986CA8" w:rsidRPr="003B741F">
        <w:rPr>
          <w:position w:val="-32"/>
        </w:rPr>
        <w:object w:dxaOrig="2079" w:dyaOrig="760" w14:anchorId="6E8F5717">
          <v:shape id="_x0000_i1028" type="#_x0000_t75" alt="Start formula $56,400 times start fraction 0.25 over 100 end fraction equals $141 end formula" style="width:102.75pt;height:39pt" o:ole="">
            <v:imagedata r:id="rId24" o:title=""/>
          </v:shape>
          <o:OLEObject Type="Embed" ProgID="Equation.DSMT4" ShapeID="_x0000_i1028" DrawAspect="Content" ObjectID="_1731498663" r:id="rId25"/>
        </w:object>
      </w:r>
      <w:bookmarkEnd w:id="8"/>
    </w:p>
    <w:p w14:paraId="768CFD1E" w14:textId="77777777" w:rsidR="00317AA7" w:rsidRPr="003B741F" w:rsidRDefault="00317AA7" w:rsidP="003B741F">
      <w:pPr>
        <w:pStyle w:val="notetext"/>
      </w:pPr>
      <w:r w:rsidRPr="003B741F">
        <w:tab/>
        <w:t>Elaine’s deeming threshold of $</w:t>
      </w:r>
      <w:r w:rsidR="0009310D" w:rsidRPr="003B741F">
        <w:t>56</w:t>
      </w:r>
      <w:r w:rsidRPr="003B741F">
        <w:t>,</w:t>
      </w:r>
      <w:r w:rsidR="0009310D" w:rsidRPr="003B741F">
        <w:t>4</w:t>
      </w:r>
      <w:r w:rsidRPr="003B741F">
        <w:t xml:space="preserve">00 is subtracted from the total value of </w:t>
      </w:r>
      <w:r w:rsidR="001D55D3" w:rsidRPr="003B741F">
        <w:t>Elaine’s</w:t>
      </w:r>
      <w:r w:rsidRPr="003B741F">
        <w:t xml:space="preserve"> financial assets ($</w:t>
      </w:r>
      <w:r w:rsidR="0009310D" w:rsidRPr="003B741F">
        <w:t>64</w:t>
      </w:r>
      <w:r w:rsidRPr="003B741F">
        <w:t>,</w:t>
      </w:r>
      <w:r w:rsidR="00EB7990" w:rsidRPr="003B741F">
        <w:t>0</w:t>
      </w:r>
      <w:r w:rsidRPr="003B741F">
        <w:t>00)</w:t>
      </w:r>
      <w:r w:rsidR="00EB7990" w:rsidRPr="003B741F">
        <w:t xml:space="preserve">, </w:t>
      </w:r>
      <w:r w:rsidR="00F30FB2" w:rsidRPr="003B741F">
        <w:t>disregarding part of the proceeds of sale ($100,000—see subsection (3A))</w:t>
      </w:r>
      <w:r w:rsidRPr="003B741F">
        <w:t>. The remainder is $</w:t>
      </w:r>
      <w:r w:rsidR="0009310D" w:rsidRPr="003B741F">
        <w:t>7,6</w:t>
      </w:r>
      <w:r w:rsidRPr="003B741F">
        <w:t>00.</w:t>
      </w:r>
    </w:p>
    <w:p w14:paraId="19D75CCA" w14:textId="77777777" w:rsidR="00317AA7" w:rsidRPr="003B741F" w:rsidRDefault="00317AA7" w:rsidP="003B741F">
      <w:pPr>
        <w:pStyle w:val="notetext"/>
        <w:tabs>
          <w:tab w:val="left" w:pos="1985"/>
          <w:tab w:val="left" w:pos="2160"/>
          <w:tab w:val="left" w:pos="2880"/>
          <w:tab w:val="left" w:pos="3600"/>
          <w:tab w:val="left" w:pos="4320"/>
          <w:tab w:val="left" w:pos="5040"/>
          <w:tab w:val="left" w:pos="5760"/>
          <w:tab w:val="left" w:pos="6480"/>
        </w:tabs>
      </w:pPr>
      <w:r w:rsidRPr="003B741F">
        <w:tab/>
        <w:t>The amount of $</w:t>
      </w:r>
      <w:r w:rsidR="0009310D" w:rsidRPr="003B741F">
        <w:t>7,6</w:t>
      </w:r>
      <w:r w:rsidRPr="003B741F">
        <w:t>00 is multiplied by the above threshold rate (</w:t>
      </w:r>
      <w:r w:rsidR="00EB7990" w:rsidRPr="003B741F">
        <w:t>2.25</w:t>
      </w:r>
      <w:r w:rsidRPr="003B741F">
        <w:t>%):</w:t>
      </w:r>
    </w:p>
    <w:p w14:paraId="760F72A4" w14:textId="4C8E1D07" w:rsidR="00EB7990" w:rsidRPr="003B741F" w:rsidRDefault="00EB7990" w:rsidP="003B741F">
      <w:pPr>
        <w:pStyle w:val="notetext"/>
        <w:tabs>
          <w:tab w:val="left" w:pos="1985"/>
          <w:tab w:val="left" w:pos="2160"/>
          <w:tab w:val="left" w:pos="2880"/>
          <w:tab w:val="left" w:pos="3600"/>
          <w:tab w:val="left" w:pos="4320"/>
          <w:tab w:val="left" w:pos="5040"/>
          <w:tab w:val="left" w:pos="5760"/>
          <w:tab w:val="left" w:pos="6480"/>
        </w:tabs>
      </w:pPr>
      <w:r w:rsidRPr="003B741F">
        <w:lastRenderedPageBreak/>
        <w:tab/>
      </w:r>
      <w:bookmarkStart w:id="9" w:name="_Hlk109054204"/>
      <w:r w:rsidR="00986CA8" w:rsidRPr="003B741F">
        <w:rPr>
          <w:position w:val="-32"/>
        </w:rPr>
        <w:object w:dxaOrig="1980" w:dyaOrig="760" w14:anchorId="0C0CEF5D">
          <v:shape id="_x0000_i1029" type="#_x0000_t75" alt="Start formula $7,600 times start fraction 2.25 over 100 end fraction equals $171 end formula" style="width:98.25pt;height:39pt;mso-position-vertical:absolute" o:ole="">
            <v:imagedata r:id="rId26" o:title=""/>
          </v:shape>
          <o:OLEObject Type="Embed" ProgID="Equation.DSMT4" ShapeID="_x0000_i1029" DrawAspect="Content" ObjectID="_1731498664" r:id="rId27"/>
        </w:object>
      </w:r>
      <w:bookmarkEnd w:id="9"/>
    </w:p>
    <w:p w14:paraId="49AE05CC" w14:textId="77777777" w:rsidR="00317AA7" w:rsidRPr="003B741F" w:rsidRDefault="00317AA7" w:rsidP="003B741F">
      <w:pPr>
        <w:pStyle w:val="notetext"/>
      </w:pPr>
      <w:r w:rsidRPr="003B741F">
        <w:tab/>
        <w:t xml:space="preserve">The ordinary income that Elaine is </w:t>
      </w:r>
      <w:r w:rsidR="002F0D7C" w:rsidRPr="003B741F">
        <w:t>taken</w:t>
      </w:r>
      <w:r w:rsidRPr="003B741F">
        <w:t xml:space="preserve"> to receive </w:t>
      </w:r>
      <w:r w:rsidR="002F0D7C" w:rsidRPr="003B741F">
        <w:t>on</w:t>
      </w:r>
      <w:r w:rsidRPr="003B741F">
        <w:t xml:space="preserve"> </w:t>
      </w:r>
      <w:r w:rsidR="00EB7990" w:rsidRPr="003B741F">
        <w:t>Elaine’s</w:t>
      </w:r>
      <w:r w:rsidRPr="003B741F">
        <w:t xml:space="preserve"> financial assets</w:t>
      </w:r>
      <w:r w:rsidR="00EB7990" w:rsidRPr="003B741F">
        <w:t xml:space="preserve">, </w:t>
      </w:r>
      <w:r w:rsidR="000E1328" w:rsidRPr="003B741F">
        <w:t>other than</w:t>
      </w:r>
      <w:r w:rsidR="00EB7990" w:rsidRPr="003B741F">
        <w:t xml:space="preserve"> financial assets </w:t>
      </w:r>
      <w:r w:rsidR="000E1328" w:rsidRPr="003B741F">
        <w:t xml:space="preserve">described in </w:t>
      </w:r>
      <w:r w:rsidR="00833578" w:rsidRPr="003B741F">
        <w:t>subsection (</w:t>
      </w:r>
      <w:r w:rsidR="00EB7990" w:rsidRPr="003B741F">
        <w:t xml:space="preserve">3A), is </w:t>
      </w:r>
      <w:r w:rsidRPr="003B741F">
        <w:t>$</w:t>
      </w:r>
      <w:r w:rsidR="00A94BA6" w:rsidRPr="003B741F">
        <w:t>312</w:t>
      </w:r>
      <w:r w:rsidRPr="003B741F">
        <w:t xml:space="preserve"> per year</w:t>
      </w:r>
      <w:r w:rsidR="002F0D7C" w:rsidRPr="003B741F">
        <w:t xml:space="preserve"> ($141 plus $171)</w:t>
      </w:r>
      <w:r w:rsidRPr="003B741F">
        <w:t>.</w:t>
      </w:r>
    </w:p>
    <w:p w14:paraId="342145A4" w14:textId="77777777" w:rsidR="00E91FA7" w:rsidRPr="003B741F" w:rsidRDefault="003B741F" w:rsidP="003B741F">
      <w:pPr>
        <w:pStyle w:val="ItemHead"/>
      </w:pPr>
      <w:r w:rsidRPr="003B741F">
        <w:t>10</w:t>
      </w:r>
      <w:r w:rsidR="00E91FA7" w:rsidRPr="003B741F">
        <w:t xml:space="preserve">  After </w:t>
      </w:r>
      <w:r w:rsidR="000C32D5" w:rsidRPr="003B741F">
        <w:t>subsection 4</w:t>
      </w:r>
      <w:r w:rsidR="00E91FA7" w:rsidRPr="003B741F">
        <w:t>6D(3)</w:t>
      </w:r>
    </w:p>
    <w:p w14:paraId="7B7978F2" w14:textId="77777777" w:rsidR="00E91FA7" w:rsidRPr="003B741F" w:rsidRDefault="00E91FA7" w:rsidP="003B741F">
      <w:pPr>
        <w:pStyle w:val="Item"/>
      </w:pPr>
      <w:r w:rsidRPr="003B741F">
        <w:t>Insert:</w:t>
      </w:r>
    </w:p>
    <w:p w14:paraId="7E21C9FB" w14:textId="77777777" w:rsidR="00E91FA7" w:rsidRPr="003B741F" w:rsidRDefault="00E91FA7" w:rsidP="003B741F">
      <w:pPr>
        <w:pStyle w:val="subsection"/>
      </w:pPr>
      <w:r w:rsidRPr="003B741F">
        <w:tab/>
        <w:t>(3A)</w:t>
      </w:r>
      <w:r w:rsidRPr="003B741F">
        <w:tab/>
        <w:t>However, if</w:t>
      </w:r>
      <w:r w:rsidR="006F44D6" w:rsidRPr="003B741F">
        <w:t xml:space="preserve"> </w:t>
      </w:r>
      <w:r w:rsidR="000C32D5" w:rsidRPr="003B741F">
        <w:t>subsection 5</w:t>
      </w:r>
      <w:r w:rsidR="006F44D6" w:rsidRPr="003B741F">
        <w:t>2(2) applies in relation to the person and</w:t>
      </w:r>
      <w:r w:rsidRPr="003B741F">
        <w:t>:</w:t>
      </w:r>
    </w:p>
    <w:p w14:paraId="714E9BF0" w14:textId="77777777" w:rsidR="00E91FA7" w:rsidRPr="003B741F" w:rsidRDefault="00E91FA7" w:rsidP="003B741F">
      <w:pPr>
        <w:pStyle w:val="paragraph"/>
      </w:pPr>
      <w:r w:rsidRPr="003B741F">
        <w:tab/>
        <w:t>(a)</w:t>
      </w:r>
      <w:r w:rsidRPr="003B741F">
        <w:tab/>
        <w:t>the person has financial assets that are proceeds:</w:t>
      </w:r>
    </w:p>
    <w:p w14:paraId="6FC14CD5" w14:textId="77777777" w:rsidR="00E91FA7" w:rsidRPr="003B741F" w:rsidRDefault="00E91FA7" w:rsidP="003B741F">
      <w:pPr>
        <w:pStyle w:val="paragraphsub"/>
      </w:pPr>
      <w:r w:rsidRPr="003B741F">
        <w:tab/>
        <w:t>(i)</w:t>
      </w:r>
      <w:r w:rsidRPr="003B741F">
        <w:tab/>
        <w:t>from the sale of the person’s principal home; and</w:t>
      </w:r>
    </w:p>
    <w:p w14:paraId="65AD70F3" w14:textId="77777777" w:rsidR="00E91FA7" w:rsidRPr="003B741F" w:rsidRDefault="00E91FA7" w:rsidP="003B741F">
      <w:pPr>
        <w:pStyle w:val="paragraphsub"/>
      </w:pPr>
      <w:r w:rsidRPr="003B741F">
        <w:tab/>
        <w:t>(ii)</w:t>
      </w:r>
      <w:r w:rsidRPr="003B741F">
        <w:tab/>
        <w:t xml:space="preserve">described in </w:t>
      </w:r>
      <w:r w:rsidR="000C32D5" w:rsidRPr="003B741F">
        <w:t>paragraph 5</w:t>
      </w:r>
      <w:r w:rsidRPr="003B741F">
        <w:t>2(2)(a) or (c); and</w:t>
      </w:r>
    </w:p>
    <w:p w14:paraId="49D317EF" w14:textId="77777777" w:rsidR="00E91FA7" w:rsidRPr="003B741F" w:rsidRDefault="00E91FA7" w:rsidP="003B741F">
      <w:pPr>
        <w:pStyle w:val="paragraph"/>
      </w:pPr>
      <w:r w:rsidRPr="003B741F">
        <w:tab/>
        <w:t>(b)</w:t>
      </w:r>
      <w:r w:rsidRPr="003B741F">
        <w:tab/>
        <w:t>the earlier of the times mentioned in that paragraph has not occurred for the person and the proceeds;</w:t>
      </w:r>
    </w:p>
    <w:p w14:paraId="4249F6C1" w14:textId="77777777" w:rsidR="00E91FA7" w:rsidRPr="003B741F" w:rsidRDefault="00E91FA7" w:rsidP="003B741F">
      <w:pPr>
        <w:pStyle w:val="subsection2"/>
      </w:pPr>
      <w:r w:rsidRPr="003B741F">
        <w:t>then:</w:t>
      </w:r>
    </w:p>
    <w:p w14:paraId="2A8C162B" w14:textId="77777777" w:rsidR="00E91FA7" w:rsidRPr="003B741F" w:rsidRDefault="00E91FA7" w:rsidP="003B741F">
      <w:pPr>
        <w:pStyle w:val="paragraph"/>
      </w:pPr>
      <w:r w:rsidRPr="003B741F">
        <w:tab/>
        <w:t>(c)</w:t>
      </w:r>
      <w:r w:rsidRPr="003B741F">
        <w:tab/>
        <w:t xml:space="preserve">those financial assets are to be disregarded for the purposes of working out the ordinary income the person is taken to receive under </w:t>
      </w:r>
      <w:r w:rsidR="00833578" w:rsidRPr="003B741F">
        <w:t>subsection (</w:t>
      </w:r>
      <w:r w:rsidRPr="003B741F">
        <w:t>3); and</w:t>
      </w:r>
    </w:p>
    <w:p w14:paraId="5B3B311B" w14:textId="77777777" w:rsidR="00E91FA7" w:rsidRPr="003B741F" w:rsidRDefault="00E91FA7" w:rsidP="003B741F">
      <w:pPr>
        <w:pStyle w:val="paragraph"/>
      </w:pPr>
      <w:r w:rsidRPr="003B741F">
        <w:tab/>
        <w:t>(d)</w:t>
      </w:r>
      <w:r w:rsidRPr="003B741F">
        <w:tab/>
        <w:t>the ordinary income the person is taken to receive per year on those financial assets is the amount worked out by multiplying the value of those financial assets by the below threshold rate.</w:t>
      </w:r>
    </w:p>
    <w:p w14:paraId="08D7CF93" w14:textId="77777777" w:rsidR="00E91FA7" w:rsidRPr="003B741F" w:rsidRDefault="00E91FA7" w:rsidP="003B741F">
      <w:pPr>
        <w:pStyle w:val="notetext"/>
        <w:tabs>
          <w:tab w:val="left" w:pos="1985"/>
          <w:tab w:val="left" w:pos="2160"/>
          <w:tab w:val="left" w:pos="2880"/>
          <w:tab w:val="left" w:pos="3600"/>
          <w:tab w:val="left" w:pos="4320"/>
          <w:tab w:val="left" w:pos="5040"/>
          <w:tab w:val="left" w:pos="5760"/>
          <w:tab w:val="left" w:pos="6480"/>
        </w:tabs>
      </w:pPr>
      <w:r w:rsidRPr="003B741F">
        <w:t>Example:</w:t>
      </w:r>
      <w:r w:rsidRPr="003B741F">
        <w:tab/>
      </w:r>
      <w:r w:rsidR="00BA6274" w:rsidRPr="003B741F">
        <w:t xml:space="preserve">To continue the example in </w:t>
      </w:r>
      <w:r w:rsidR="00833578" w:rsidRPr="003B741F">
        <w:t>subsection (</w:t>
      </w:r>
      <w:r w:rsidR="00BA6274" w:rsidRPr="003B741F">
        <w:t xml:space="preserve">3), Elaine’s financial assets </w:t>
      </w:r>
      <w:r w:rsidR="00B738C9" w:rsidRPr="003B741F">
        <w:t xml:space="preserve">($100,000) </w:t>
      </w:r>
      <w:r w:rsidR="00BA6274" w:rsidRPr="003B741F">
        <w:t xml:space="preserve">described in </w:t>
      </w:r>
      <w:r w:rsidR="00757E43" w:rsidRPr="003B741F">
        <w:t xml:space="preserve">this subsection </w:t>
      </w:r>
      <w:r w:rsidR="00BA6274" w:rsidRPr="003B741F">
        <w:t xml:space="preserve">are multiplied </w:t>
      </w:r>
      <w:r w:rsidRPr="003B741F">
        <w:t>by the below threshold rate (0.25%):</w:t>
      </w:r>
    </w:p>
    <w:p w14:paraId="5A42EA0E" w14:textId="53CC2F97" w:rsidR="00E91FA7" w:rsidRPr="003B741F" w:rsidRDefault="00E91FA7" w:rsidP="003B741F">
      <w:pPr>
        <w:pStyle w:val="notetext"/>
        <w:tabs>
          <w:tab w:val="left" w:pos="1985"/>
          <w:tab w:val="left" w:pos="2160"/>
          <w:tab w:val="left" w:pos="2880"/>
          <w:tab w:val="left" w:pos="3600"/>
          <w:tab w:val="left" w:pos="4320"/>
          <w:tab w:val="left" w:pos="5040"/>
          <w:tab w:val="left" w:pos="5760"/>
          <w:tab w:val="left" w:pos="6480"/>
        </w:tabs>
      </w:pPr>
      <w:r w:rsidRPr="003B741F">
        <w:tab/>
      </w:r>
      <w:bookmarkStart w:id="10" w:name="_Hlk109054342"/>
      <w:r w:rsidR="00986CA8" w:rsidRPr="003B741F">
        <w:rPr>
          <w:position w:val="-32"/>
        </w:rPr>
        <w:object w:dxaOrig="2200" w:dyaOrig="760" w14:anchorId="67478CBD">
          <v:shape id="_x0000_i1030" type="#_x0000_t75" alt="Start formula $100,000 times start fraction 0.25 over 100 end fraction equals $250 end formula" style="width:111pt;height:39pt" o:ole="">
            <v:imagedata r:id="rId28" o:title=""/>
          </v:shape>
          <o:OLEObject Type="Embed" ProgID="Equation.DSMT4" ShapeID="_x0000_i1030" DrawAspect="Content" ObjectID="_1731498665" r:id="rId29"/>
        </w:object>
      </w:r>
      <w:bookmarkEnd w:id="10"/>
    </w:p>
    <w:p w14:paraId="541A0901" w14:textId="77777777" w:rsidR="00861220" w:rsidRPr="003B741F" w:rsidRDefault="00861220" w:rsidP="003B741F">
      <w:pPr>
        <w:pStyle w:val="notetext"/>
      </w:pPr>
      <w:r w:rsidRPr="003B741F">
        <w:tab/>
        <w:t xml:space="preserve">The ordinary income that Elaine is </w:t>
      </w:r>
      <w:r w:rsidR="002F0D7C" w:rsidRPr="003B741F">
        <w:t>taken</w:t>
      </w:r>
      <w:r w:rsidRPr="003B741F">
        <w:t xml:space="preserve"> to receive </w:t>
      </w:r>
      <w:r w:rsidR="002F0D7C" w:rsidRPr="003B741F">
        <w:t>on</w:t>
      </w:r>
      <w:r w:rsidR="00EA4449" w:rsidRPr="003B741F">
        <w:t xml:space="preserve"> Elaine’s</w:t>
      </w:r>
      <w:r w:rsidRPr="003B741F">
        <w:t xml:space="preserve"> financial assets described in </w:t>
      </w:r>
      <w:r w:rsidR="00757E43" w:rsidRPr="003B741F">
        <w:t xml:space="preserve">this subsection </w:t>
      </w:r>
      <w:r w:rsidRPr="003B741F">
        <w:t>is $250 per year.</w:t>
      </w:r>
    </w:p>
    <w:p w14:paraId="05D8571D" w14:textId="77777777" w:rsidR="00E91FA7" w:rsidRPr="003B741F" w:rsidRDefault="003B741F" w:rsidP="003B741F">
      <w:pPr>
        <w:pStyle w:val="ItemHead"/>
      </w:pPr>
      <w:r w:rsidRPr="003B741F">
        <w:t>11</w:t>
      </w:r>
      <w:r w:rsidR="00E91FA7" w:rsidRPr="003B741F">
        <w:t xml:space="preserve">  </w:t>
      </w:r>
      <w:r w:rsidR="000C32D5" w:rsidRPr="003B741F">
        <w:t>Subsection 4</w:t>
      </w:r>
      <w:r w:rsidR="00E91FA7" w:rsidRPr="003B741F">
        <w:t>6D(4)</w:t>
      </w:r>
    </w:p>
    <w:p w14:paraId="5792AEA7" w14:textId="77777777" w:rsidR="00E91FA7" w:rsidRPr="003B741F" w:rsidRDefault="00E91FA7" w:rsidP="003B741F">
      <w:pPr>
        <w:pStyle w:val="Item"/>
      </w:pPr>
      <w:r w:rsidRPr="003B741F">
        <w:t xml:space="preserve">Omit “amount calculated under </w:t>
      </w:r>
      <w:r w:rsidR="00833578" w:rsidRPr="003B741F">
        <w:t>subsection (</w:t>
      </w:r>
      <w:r w:rsidRPr="003B741F">
        <w:t xml:space="preserve">3)”, substitute “sum of the amount calculated under </w:t>
      </w:r>
      <w:r w:rsidR="00833578" w:rsidRPr="003B741F">
        <w:t>subsection (</w:t>
      </w:r>
      <w:r w:rsidRPr="003B741F">
        <w:t xml:space="preserve">3) and the amount (if any) calculated under </w:t>
      </w:r>
      <w:r w:rsidR="000C32D5" w:rsidRPr="003B741F">
        <w:t>paragraph (</w:t>
      </w:r>
      <w:r w:rsidRPr="003B741F">
        <w:t>3A)(d)”.</w:t>
      </w:r>
    </w:p>
    <w:p w14:paraId="31432292" w14:textId="77777777" w:rsidR="00A3110A" w:rsidRPr="003B741F" w:rsidRDefault="003B741F" w:rsidP="003B741F">
      <w:pPr>
        <w:pStyle w:val="ItemHead"/>
      </w:pPr>
      <w:r w:rsidRPr="003B741F">
        <w:lastRenderedPageBreak/>
        <w:t>12</w:t>
      </w:r>
      <w:r w:rsidR="00A3110A" w:rsidRPr="003B741F">
        <w:t xml:space="preserve">  </w:t>
      </w:r>
      <w:r w:rsidR="000C32D5" w:rsidRPr="003B741F">
        <w:t>Subsection 4</w:t>
      </w:r>
      <w:r w:rsidR="00A3110A" w:rsidRPr="003B741F">
        <w:t>6E(3) (example)</w:t>
      </w:r>
    </w:p>
    <w:p w14:paraId="77921613" w14:textId="77777777" w:rsidR="00A3110A" w:rsidRPr="003B741F" w:rsidRDefault="00A3110A" w:rsidP="003B741F">
      <w:pPr>
        <w:pStyle w:val="Item"/>
      </w:pPr>
      <w:r w:rsidRPr="003B741F">
        <w:t>Repeal the example, substitute:</w:t>
      </w:r>
    </w:p>
    <w:p w14:paraId="3A65CB57" w14:textId="77777777" w:rsidR="00A3110A" w:rsidRPr="003B741F" w:rsidRDefault="00A3110A" w:rsidP="003B741F">
      <w:pPr>
        <w:pStyle w:val="notetext"/>
        <w:tabs>
          <w:tab w:val="left" w:pos="1985"/>
          <w:tab w:val="left" w:pos="2160"/>
          <w:tab w:val="left" w:pos="2880"/>
          <w:tab w:val="left" w:pos="3600"/>
          <w:tab w:val="left" w:pos="4320"/>
          <w:tab w:val="left" w:pos="5040"/>
          <w:tab w:val="left" w:pos="5760"/>
          <w:tab w:val="left" w:pos="6480"/>
        </w:tabs>
      </w:pPr>
      <w:r w:rsidRPr="003B741F">
        <w:t>Example:</w:t>
      </w:r>
      <w:r w:rsidRPr="003B741F">
        <w:tab/>
        <w:t xml:space="preserve">How deemed income of a couple is worked out per year for the couple’s financial assets other </w:t>
      </w:r>
      <w:r w:rsidR="00153DF6" w:rsidRPr="003B741F">
        <w:t xml:space="preserve">than </w:t>
      </w:r>
      <w:r w:rsidRPr="003B741F">
        <w:t xml:space="preserve">financial assets described in </w:t>
      </w:r>
      <w:r w:rsidR="00833578" w:rsidRPr="003B741F">
        <w:t>subsection (</w:t>
      </w:r>
      <w:r w:rsidRPr="003B741F">
        <w:t>3A)</w:t>
      </w:r>
      <w:r w:rsidR="00A94BA6" w:rsidRPr="003B741F">
        <w:t xml:space="preserve"> (using rates and deeming thresholds in force on </w:t>
      </w:r>
      <w:r w:rsidR="000C32D5" w:rsidRPr="003B741F">
        <w:t>1 July</w:t>
      </w:r>
      <w:r w:rsidR="00A94BA6" w:rsidRPr="003B741F">
        <w:t xml:space="preserve"> 2022)</w:t>
      </w:r>
      <w:r w:rsidR="00B738C9" w:rsidRPr="003B741F">
        <w:t>.</w:t>
      </w:r>
    </w:p>
    <w:p w14:paraId="6E36ACEF" w14:textId="77777777" w:rsidR="00A3110A" w:rsidRPr="003B741F" w:rsidRDefault="00A3110A" w:rsidP="003B741F">
      <w:pPr>
        <w:pStyle w:val="notetext"/>
        <w:keepNext/>
        <w:keepLines/>
        <w:tabs>
          <w:tab w:val="left" w:pos="1985"/>
          <w:tab w:val="left" w:pos="2160"/>
          <w:tab w:val="left" w:pos="2880"/>
          <w:tab w:val="left" w:pos="3600"/>
          <w:tab w:val="left" w:pos="4320"/>
          <w:tab w:val="left" w:pos="5040"/>
          <w:tab w:val="left" w:pos="5760"/>
          <w:tab w:val="left" w:pos="6480"/>
        </w:tabs>
      </w:pPr>
      <w:r w:rsidRPr="003B741F">
        <w:tab/>
        <w:t>Maree and Peter, a couple, have $</w:t>
      </w:r>
      <w:r w:rsidR="00A94BA6" w:rsidRPr="003B741F">
        <w:t>622</w:t>
      </w:r>
      <w:r w:rsidRPr="003B741F">
        <w:t>,000 worth of financial assets</w:t>
      </w:r>
      <w:r w:rsidR="00F30FB2" w:rsidRPr="003B741F">
        <w:t>, made up of</w:t>
      </w:r>
      <w:r w:rsidRPr="003B741F">
        <w:t xml:space="preserve"> $500,000 </w:t>
      </w:r>
      <w:r w:rsidR="00F30FB2" w:rsidRPr="003B741F">
        <w:t>in</w:t>
      </w:r>
      <w:r w:rsidRPr="003B741F">
        <w:t xml:space="preserve"> proceeds from the sale of </w:t>
      </w:r>
      <w:r w:rsidR="002F1043" w:rsidRPr="003B741F">
        <w:t xml:space="preserve">the couple’s </w:t>
      </w:r>
      <w:r w:rsidRPr="003B741F">
        <w:t>principal home</w:t>
      </w:r>
      <w:r w:rsidR="00F30FB2" w:rsidRPr="003B741F">
        <w:t xml:space="preserve"> and $122,000 of other financial assets</w:t>
      </w:r>
      <w:r w:rsidRPr="003B741F">
        <w:t>. Maree and Peter intend to apply the whole of th</w:t>
      </w:r>
      <w:r w:rsidR="00F30FB2" w:rsidRPr="003B741F">
        <w:t>e</w:t>
      </w:r>
      <w:r w:rsidRPr="003B741F">
        <w:t xml:space="preserve"> proceeds of sale to </w:t>
      </w:r>
      <w:r w:rsidR="001845C4" w:rsidRPr="003B741F">
        <w:t xml:space="preserve">build another </w:t>
      </w:r>
      <w:r w:rsidRPr="003B741F">
        <w:t>residence that is to be the couple’s principal home. The below threshold rate is 0.25%. The above threshold rate is 2.25%.</w:t>
      </w:r>
    </w:p>
    <w:p w14:paraId="42952EFB" w14:textId="77777777" w:rsidR="00A3110A" w:rsidRPr="003B741F" w:rsidRDefault="00A3110A" w:rsidP="003B741F">
      <w:pPr>
        <w:pStyle w:val="notetext"/>
        <w:tabs>
          <w:tab w:val="left" w:pos="1985"/>
          <w:tab w:val="left" w:pos="2160"/>
          <w:tab w:val="left" w:pos="2880"/>
          <w:tab w:val="left" w:pos="3600"/>
          <w:tab w:val="left" w:pos="4320"/>
          <w:tab w:val="left" w:pos="5040"/>
          <w:tab w:val="left" w:pos="5760"/>
          <w:tab w:val="left" w:pos="6480"/>
        </w:tabs>
      </w:pPr>
      <w:r w:rsidRPr="003B741F">
        <w:tab/>
        <w:t>The total value of the couple’s financial assets ($</w:t>
      </w:r>
      <w:r w:rsidR="00A94BA6" w:rsidRPr="003B741F">
        <w:t>122</w:t>
      </w:r>
      <w:r w:rsidRPr="003B741F">
        <w:t>,000), disregarding the whole of the proceeds of sale ($</w:t>
      </w:r>
      <w:r w:rsidR="00106317" w:rsidRPr="003B741F">
        <w:t>5</w:t>
      </w:r>
      <w:r w:rsidR="00A94BA6" w:rsidRPr="003B741F">
        <w:t>0</w:t>
      </w:r>
      <w:r w:rsidRPr="003B741F">
        <w:t xml:space="preserve">0,000—see </w:t>
      </w:r>
      <w:r w:rsidR="00833578" w:rsidRPr="003B741F">
        <w:t>subsection (</w:t>
      </w:r>
      <w:r w:rsidRPr="003B741F">
        <w:t>3A)), is higher than the couple</w:t>
      </w:r>
      <w:r w:rsidR="00A94BA6" w:rsidRPr="003B741F">
        <w:t>’s</w:t>
      </w:r>
      <w:r w:rsidRPr="003B741F">
        <w:t xml:space="preserve"> deeming threshold ($</w:t>
      </w:r>
      <w:r w:rsidR="00A94BA6" w:rsidRPr="003B741F">
        <w:t>93</w:t>
      </w:r>
      <w:r w:rsidRPr="003B741F">
        <w:t>,</w:t>
      </w:r>
      <w:r w:rsidR="00A94BA6" w:rsidRPr="003B741F">
        <w:t>6</w:t>
      </w:r>
      <w:r w:rsidRPr="003B741F">
        <w:t xml:space="preserve">00—see </w:t>
      </w:r>
      <w:r w:rsidR="000C32D5" w:rsidRPr="003B741F">
        <w:t>subsection 4</w:t>
      </w:r>
      <w:r w:rsidRPr="003B741F">
        <w:t>6H(</w:t>
      </w:r>
      <w:r w:rsidR="00153DF6" w:rsidRPr="003B741F">
        <w:t>2</w:t>
      </w:r>
      <w:r w:rsidRPr="003B741F">
        <w:t>)). So, the deeming threshold is multiplied by the below threshold rate (0.25%):</w:t>
      </w:r>
    </w:p>
    <w:p w14:paraId="70382B39" w14:textId="1F47BECD" w:rsidR="00A3110A" w:rsidRPr="003B741F" w:rsidRDefault="00A3110A" w:rsidP="003B741F">
      <w:pPr>
        <w:pStyle w:val="notetext"/>
        <w:tabs>
          <w:tab w:val="left" w:pos="1985"/>
          <w:tab w:val="left" w:pos="2160"/>
          <w:tab w:val="left" w:pos="2880"/>
          <w:tab w:val="left" w:pos="3600"/>
          <w:tab w:val="left" w:pos="4320"/>
          <w:tab w:val="left" w:pos="5040"/>
          <w:tab w:val="left" w:pos="5760"/>
          <w:tab w:val="left" w:pos="6480"/>
        </w:tabs>
      </w:pPr>
      <w:r w:rsidRPr="003B741F">
        <w:tab/>
      </w:r>
      <w:bookmarkStart w:id="11" w:name="_Hlk109054437"/>
      <w:r w:rsidR="00353D30" w:rsidRPr="003B741F">
        <w:rPr>
          <w:position w:val="-32"/>
        </w:rPr>
        <w:object w:dxaOrig="2100" w:dyaOrig="760" w14:anchorId="3EEF1337">
          <v:shape id="_x0000_i1031" type="#_x0000_t75" alt="Start formula $93,600 times start fraction 0.25 over 100 end fraction equals $234 end formula" style="width:105.75pt;height:39pt" o:ole="">
            <v:imagedata r:id="rId30" o:title=""/>
          </v:shape>
          <o:OLEObject Type="Embed" ProgID="Equation.DSMT4" ShapeID="_x0000_i1031" DrawAspect="Content" ObjectID="_1731498666" r:id="rId31"/>
        </w:object>
      </w:r>
      <w:bookmarkEnd w:id="11"/>
    </w:p>
    <w:p w14:paraId="35DF13F5" w14:textId="77777777" w:rsidR="00A3110A" w:rsidRPr="003B741F" w:rsidRDefault="00A3110A" w:rsidP="003B741F">
      <w:pPr>
        <w:pStyle w:val="notetext"/>
      </w:pPr>
      <w:r w:rsidRPr="003B741F">
        <w:tab/>
        <w:t>The couple’s deeming threshold of $</w:t>
      </w:r>
      <w:r w:rsidR="00A94BA6" w:rsidRPr="003B741F">
        <w:t>93</w:t>
      </w:r>
      <w:r w:rsidRPr="003B741F">
        <w:t>,</w:t>
      </w:r>
      <w:r w:rsidR="00A94BA6" w:rsidRPr="003B741F">
        <w:t>6</w:t>
      </w:r>
      <w:r w:rsidRPr="003B741F">
        <w:t xml:space="preserve">00 is subtracted from the total value of </w:t>
      </w:r>
      <w:r w:rsidR="001845C4" w:rsidRPr="003B741F">
        <w:t xml:space="preserve">the couple’s </w:t>
      </w:r>
      <w:r w:rsidRPr="003B741F">
        <w:t>financial assets ($</w:t>
      </w:r>
      <w:r w:rsidR="00A94BA6" w:rsidRPr="003B741F">
        <w:t>122</w:t>
      </w:r>
      <w:r w:rsidRPr="003B741F">
        <w:t xml:space="preserve">,000), </w:t>
      </w:r>
      <w:r w:rsidR="00F30FB2" w:rsidRPr="003B741F">
        <w:t>disregarding the whole of the proceeds of sale ($500,000—see subsection (3A))</w:t>
      </w:r>
      <w:r w:rsidRPr="003B741F">
        <w:t>. The remainder is $</w:t>
      </w:r>
      <w:r w:rsidR="00A94BA6" w:rsidRPr="003B741F">
        <w:t>2</w:t>
      </w:r>
      <w:r w:rsidR="001845C4" w:rsidRPr="003B741F">
        <w:t>8</w:t>
      </w:r>
      <w:r w:rsidRPr="003B741F">
        <w:t>,</w:t>
      </w:r>
      <w:r w:rsidR="00A94BA6" w:rsidRPr="003B741F">
        <w:t>4</w:t>
      </w:r>
      <w:r w:rsidRPr="003B741F">
        <w:t>00.</w:t>
      </w:r>
    </w:p>
    <w:p w14:paraId="4A0D675C" w14:textId="77777777" w:rsidR="00A3110A" w:rsidRPr="003B741F" w:rsidRDefault="00A3110A" w:rsidP="003B741F">
      <w:pPr>
        <w:pStyle w:val="notetext"/>
        <w:tabs>
          <w:tab w:val="left" w:pos="1985"/>
          <w:tab w:val="left" w:pos="2160"/>
          <w:tab w:val="left" w:pos="2880"/>
          <w:tab w:val="left" w:pos="3600"/>
          <w:tab w:val="left" w:pos="4320"/>
          <w:tab w:val="left" w:pos="5040"/>
          <w:tab w:val="left" w:pos="5760"/>
          <w:tab w:val="left" w:pos="6480"/>
        </w:tabs>
      </w:pPr>
      <w:r w:rsidRPr="003B741F">
        <w:tab/>
        <w:t>The amount of $</w:t>
      </w:r>
      <w:r w:rsidR="00A94BA6" w:rsidRPr="003B741F">
        <w:t>2</w:t>
      </w:r>
      <w:r w:rsidR="001845C4" w:rsidRPr="003B741F">
        <w:t>8</w:t>
      </w:r>
      <w:r w:rsidRPr="003B741F">
        <w:t>,</w:t>
      </w:r>
      <w:r w:rsidR="00A94BA6" w:rsidRPr="003B741F">
        <w:t>4</w:t>
      </w:r>
      <w:r w:rsidRPr="003B741F">
        <w:t>00 is multiplied by the above threshold rate (2.25%):</w:t>
      </w:r>
    </w:p>
    <w:p w14:paraId="7F430797" w14:textId="1B3407FC" w:rsidR="00A3110A" w:rsidRPr="003B741F" w:rsidRDefault="00A3110A" w:rsidP="003B741F">
      <w:pPr>
        <w:pStyle w:val="notetext"/>
        <w:tabs>
          <w:tab w:val="left" w:pos="1985"/>
          <w:tab w:val="left" w:pos="2160"/>
          <w:tab w:val="left" w:pos="2880"/>
          <w:tab w:val="left" w:pos="3600"/>
          <w:tab w:val="left" w:pos="4320"/>
          <w:tab w:val="left" w:pos="5040"/>
          <w:tab w:val="left" w:pos="5760"/>
          <w:tab w:val="left" w:pos="6480"/>
        </w:tabs>
      </w:pPr>
      <w:r w:rsidRPr="003B741F">
        <w:tab/>
      </w:r>
      <w:bookmarkStart w:id="12" w:name="_Hlk109054519"/>
      <w:r w:rsidR="00353D30" w:rsidRPr="003B741F">
        <w:rPr>
          <w:position w:val="-32"/>
        </w:rPr>
        <w:object w:dxaOrig="2100" w:dyaOrig="760" w14:anchorId="74C0F5AD">
          <v:shape id="_x0000_i1032" type="#_x0000_t75" alt="Start formula $28,400 times start fraction 2.25 over 100 end fraction equals $639 end formula" style="width:105pt;height:39pt" o:ole="">
            <v:imagedata r:id="rId32" o:title=""/>
          </v:shape>
          <o:OLEObject Type="Embed" ProgID="Equation.DSMT4" ShapeID="_x0000_i1032" DrawAspect="Content" ObjectID="_1731498667" r:id="rId33"/>
        </w:object>
      </w:r>
      <w:bookmarkEnd w:id="12"/>
    </w:p>
    <w:p w14:paraId="49871D85" w14:textId="77777777" w:rsidR="00A3110A" w:rsidRPr="003B741F" w:rsidRDefault="00A3110A" w:rsidP="003B741F">
      <w:pPr>
        <w:pStyle w:val="notetext"/>
      </w:pPr>
      <w:r w:rsidRPr="003B741F">
        <w:tab/>
        <w:t xml:space="preserve">The ordinary income that </w:t>
      </w:r>
      <w:r w:rsidR="001845C4" w:rsidRPr="003B741F">
        <w:t xml:space="preserve">the couple is </w:t>
      </w:r>
      <w:r w:rsidR="002F0D7C" w:rsidRPr="003B741F">
        <w:t>taken</w:t>
      </w:r>
      <w:r w:rsidR="001845C4" w:rsidRPr="003B741F">
        <w:t xml:space="preserve"> to receive </w:t>
      </w:r>
      <w:r w:rsidR="002F0D7C" w:rsidRPr="003B741F">
        <w:t>on</w:t>
      </w:r>
      <w:r w:rsidR="001845C4" w:rsidRPr="003B741F">
        <w:t xml:space="preserve"> </w:t>
      </w:r>
      <w:r w:rsidR="009A38A5" w:rsidRPr="003B741F">
        <w:t>the couple’s</w:t>
      </w:r>
      <w:r w:rsidR="001845C4" w:rsidRPr="003B741F">
        <w:t xml:space="preserve"> financial assets, </w:t>
      </w:r>
      <w:r w:rsidRPr="003B741F">
        <w:t xml:space="preserve">other than financial assets described in </w:t>
      </w:r>
      <w:r w:rsidR="00833578" w:rsidRPr="003B741F">
        <w:t>subsection (</w:t>
      </w:r>
      <w:r w:rsidRPr="003B741F">
        <w:t>3A), is $</w:t>
      </w:r>
      <w:r w:rsidR="00A94BA6" w:rsidRPr="003B741F">
        <w:t>873</w:t>
      </w:r>
      <w:r w:rsidRPr="003B741F">
        <w:t xml:space="preserve"> per year</w:t>
      </w:r>
      <w:r w:rsidR="002F0D7C" w:rsidRPr="003B741F">
        <w:t xml:space="preserve"> ($234 plus $639)</w:t>
      </w:r>
      <w:r w:rsidRPr="003B741F">
        <w:t>.</w:t>
      </w:r>
    </w:p>
    <w:p w14:paraId="5F846649" w14:textId="77777777" w:rsidR="00A3110A" w:rsidRPr="003B741F" w:rsidRDefault="003B741F" w:rsidP="003B741F">
      <w:pPr>
        <w:pStyle w:val="ItemHead"/>
      </w:pPr>
      <w:r w:rsidRPr="003B741F">
        <w:t>13</w:t>
      </w:r>
      <w:r w:rsidR="00A3110A" w:rsidRPr="003B741F">
        <w:t xml:space="preserve">  After </w:t>
      </w:r>
      <w:r w:rsidR="000C32D5" w:rsidRPr="003B741F">
        <w:t>subsection 4</w:t>
      </w:r>
      <w:r w:rsidR="00A3110A" w:rsidRPr="003B741F">
        <w:t>6</w:t>
      </w:r>
      <w:r w:rsidR="00803F02" w:rsidRPr="003B741F">
        <w:t>E</w:t>
      </w:r>
      <w:r w:rsidR="00A3110A" w:rsidRPr="003B741F">
        <w:t>(3)</w:t>
      </w:r>
    </w:p>
    <w:p w14:paraId="7554D8BB" w14:textId="77777777" w:rsidR="00A3110A" w:rsidRPr="003B741F" w:rsidRDefault="00A3110A" w:rsidP="003B741F">
      <w:pPr>
        <w:pStyle w:val="Item"/>
      </w:pPr>
      <w:r w:rsidRPr="003B741F">
        <w:t>Insert:</w:t>
      </w:r>
    </w:p>
    <w:p w14:paraId="530B7272" w14:textId="77777777" w:rsidR="00803F02" w:rsidRPr="003B741F" w:rsidRDefault="00A3110A" w:rsidP="003B741F">
      <w:pPr>
        <w:pStyle w:val="subsection"/>
      </w:pPr>
      <w:r w:rsidRPr="003B741F">
        <w:tab/>
        <w:t>(3A)</w:t>
      </w:r>
      <w:r w:rsidRPr="003B741F">
        <w:tab/>
      </w:r>
      <w:r w:rsidR="00803F02" w:rsidRPr="003B741F">
        <w:t>However, if</w:t>
      </w:r>
      <w:r w:rsidR="006F44D6" w:rsidRPr="003B741F">
        <w:t xml:space="preserve"> </w:t>
      </w:r>
      <w:r w:rsidR="000C32D5" w:rsidRPr="003B741F">
        <w:t>subsection 5</w:t>
      </w:r>
      <w:r w:rsidR="006F44D6" w:rsidRPr="003B741F">
        <w:t>2(2) applies in relation to a member of the couple and</w:t>
      </w:r>
      <w:r w:rsidR="00803F02" w:rsidRPr="003B741F">
        <w:t>:</w:t>
      </w:r>
    </w:p>
    <w:p w14:paraId="79326AA2" w14:textId="77777777" w:rsidR="00803F02" w:rsidRPr="003B741F" w:rsidRDefault="00803F02" w:rsidP="003B741F">
      <w:pPr>
        <w:pStyle w:val="paragraph"/>
      </w:pPr>
      <w:r w:rsidRPr="003B741F">
        <w:tab/>
        <w:t>(a)</w:t>
      </w:r>
      <w:r w:rsidRPr="003B741F">
        <w:tab/>
        <w:t>the couple have financial assets that are proceeds:</w:t>
      </w:r>
    </w:p>
    <w:p w14:paraId="1E31C649" w14:textId="77777777" w:rsidR="00803F02" w:rsidRPr="003B741F" w:rsidRDefault="00803F02" w:rsidP="003B741F">
      <w:pPr>
        <w:pStyle w:val="paragraphsub"/>
      </w:pPr>
      <w:r w:rsidRPr="003B741F">
        <w:lastRenderedPageBreak/>
        <w:tab/>
        <w:t>(i)</w:t>
      </w:r>
      <w:r w:rsidRPr="003B741F">
        <w:tab/>
        <w:t>from the sale of the principal home of a member of the couple; and</w:t>
      </w:r>
    </w:p>
    <w:p w14:paraId="769094B1" w14:textId="77777777" w:rsidR="00803F02" w:rsidRPr="003B741F" w:rsidRDefault="00803F02" w:rsidP="003B741F">
      <w:pPr>
        <w:pStyle w:val="paragraphsub"/>
      </w:pPr>
      <w:r w:rsidRPr="003B741F">
        <w:tab/>
        <w:t>(ii)</w:t>
      </w:r>
      <w:r w:rsidRPr="003B741F">
        <w:tab/>
        <w:t xml:space="preserve">described in </w:t>
      </w:r>
      <w:r w:rsidR="000C32D5" w:rsidRPr="003B741F">
        <w:t>paragraph 5</w:t>
      </w:r>
      <w:r w:rsidR="00153DF6" w:rsidRPr="003B741F">
        <w:t>2</w:t>
      </w:r>
      <w:r w:rsidRPr="003B741F">
        <w:t>(2)(a) or (c); and</w:t>
      </w:r>
    </w:p>
    <w:p w14:paraId="23A530A8" w14:textId="77777777" w:rsidR="00803F02" w:rsidRPr="003B741F" w:rsidRDefault="00803F02" w:rsidP="003B741F">
      <w:pPr>
        <w:pStyle w:val="paragraph"/>
      </w:pPr>
      <w:r w:rsidRPr="003B741F">
        <w:tab/>
        <w:t>(b)</w:t>
      </w:r>
      <w:r w:rsidRPr="003B741F">
        <w:tab/>
        <w:t>the earlier of the times mentioned in that paragraph has not occurred for the member of the couple and the proceeds;</w:t>
      </w:r>
    </w:p>
    <w:p w14:paraId="1348554E" w14:textId="77777777" w:rsidR="00803F02" w:rsidRPr="003B741F" w:rsidRDefault="00803F02" w:rsidP="003B741F">
      <w:pPr>
        <w:pStyle w:val="subsection2"/>
      </w:pPr>
      <w:r w:rsidRPr="003B741F">
        <w:t>then:</w:t>
      </w:r>
    </w:p>
    <w:p w14:paraId="58FD549F" w14:textId="77777777" w:rsidR="00803F02" w:rsidRPr="003B741F" w:rsidRDefault="00803F02" w:rsidP="003B741F">
      <w:pPr>
        <w:pStyle w:val="paragraph"/>
      </w:pPr>
      <w:r w:rsidRPr="003B741F">
        <w:tab/>
        <w:t>(c)</w:t>
      </w:r>
      <w:r w:rsidRPr="003B741F">
        <w:tab/>
        <w:t xml:space="preserve">those financial assets are to be disregarded for the purposes of working out the ordinary income the couple is taken to receive under </w:t>
      </w:r>
      <w:r w:rsidR="00833578" w:rsidRPr="003B741F">
        <w:t>subsection (</w:t>
      </w:r>
      <w:r w:rsidRPr="003B741F">
        <w:t>3); and</w:t>
      </w:r>
    </w:p>
    <w:p w14:paraId="09A435F3" w14:textId="77777777" w:rsidR="00803F02" w:rsidRPr="003B741F" w:rsidRDefault="00803F02" w:rsidP="003B741F">
      <w:pPr>
        <w:pStyle w:val="paragraph"/>
      </w:pPr>
      <w:r w:rsidRPr="003B741F">
        <w:tab/>
        <w:t>(d)</w:t>
      </w:r>
      <w:r w:rsidRPr="003B741F">
        <w:tab/>
        <w:t>the ordinary income the couple is taken to receive per year on those financial assets is the amount worked out by multiplying the value of those financial assets by the below threshold rate.</w:t>
      </w:r>
    </w:p>
    <w:p w14:paraId="7BB66B1D" w14:textId="77777777" w:rsidR="00B738C9" w:rsidRPr="003B741F" w:rsidRDefault="00A3110A" w:rsidP="003B741F">
      <w:pPr>
        <w:pStyle w:val="notetext"/>
        <w:tabs>
          <w:tab w:val="left" w:pos="1985"/>
          <w:tab w:val="left" w:pos="2160"/>
          <w:tab w:val="left" w:pos="2880"/>
          <w:tab w:val="left" w:pos="3600"/>
          <w:tab w:val="left" w:pos="4320"/>
          <w:tab w:val="left" w:pos="5040"/>
          <w:tab w:val="left" w:pos="5760"/>
          <w:tab w:val="left" w:pos="6480"/>
        </w:tabs>
      </w:pPr>
      <w:r w:rsidRPr="003B741F">
        <w:t>Example:</w:t>
      </w:r>
      <w:r w:rsidRPr="003B741F">
        <w:tab/>
      </w:r>
      <w:r w:rsidR="00B738C9" w:rsidRPr="003B741F">
        <w:t xml:space="preserve">To continue the example in </w:t>
      </w:r>
      <w:r w:rsidR="00833578" w:rsidRPr="003B741F">
        <w:t>subsection (</w:t>
      </w:r>
      <w:r w:rsidR="00B738C9" w:rsidRPr="003B741F">
        <w:t xml:space="preserve">3), Maree and Peter’s financial assets ($500,000) described in </w:t>
      </w:r>
      <w:r w:rsidR="00621281" w:rsidRPr="003B741F">
        <w:t xml:space="preserve">this </w:t>
      </w:r>
      <w:r w:rsidR="00B738C9" w:rsidRPr="003B741F">
        <w:t>subsection are multiplied by the below threshold rate (0.25%):</w:t>
      </w:r>
    </w:p>
    <w:p w14:paraId="20382E73" w14:textId="52DCD17E" w:rsidR="00A3110A" w:rsidRPr="003B741F" w:rsidRDefault="00A3110A" w:rsidP="003B741F">
      <w:pPr>
        <w:pStyle w:val="notetext"/>
        <w:tabs>
          <w:tab w:val="left" w:pos="1985"/>
          <w:tab w:val="left" w:pos="2160"/>
          <w:tab w:val="left" w:pos="2880"/>
          <w:tab w:val="left" w:pos="3600"/>
          <w:tab w:val="left" w:pos="4320"/>
          <w:tab w:val="left" w:pos="5040"/>
          <w:tab w:val="left" w:pos="5760"/>
          <w:tab w:val="left" w:pos="6480"/>
        </w:tabs>
      </w:pPr>
      <w:r w:rsidRPr="003B741F">
        <w:tab/>
      </w:r>
      <w:bookmarkStart w:id="13" w:name="_Hlk109054756"/>
      <w:r w:rsidR="00353D30" w:rsidRPr="003B741F">
        <w:rPr>
          <w:position w:val="-32"/>
        </w:rPr>
        <w:object w:dxaOrig="2340" w:dyaOrig="760" w14:anchorId="299DDFBE">
          <v:shape id="_x0000_i1033" type="#_x0000_t75" alt="Start formula $500,000 times start fraction 0.25 over 100 end fraction equals $1,250 end formula" style="width:117pt;height:39pt" o:ole="">
            <v:imagedata r:id="rId34" o:title=""/>
          </v:shape>
          <o:OLEObject Type="Embed" ProgID="Equation.DSMT4" ShapeID="_x0000_i1033" DrawAspect="Content" ObjectID="_1731498668" r:id="rId35"/>
        </w:object>
      </w:r>
      <w:bookmarkEnd w:id="13"/>
    </w:p>
    <w:p w14:paraId="265AAF72" w14:textId="77777777" w:rsidR="00A3110A" w:rsidRPr="003B741F" w:rsidRDefault="00A3110A" w:rsidP="003B741F">
      <w:pPr>
        <w:pStyle w:val="notetext"/>
      </w:pPr>
      <w:r w:rsidRPr="003B741F">
        <w:tab/>
        <w:t xml:space="preserve">The ordinary income that </w:t>
      </w:r>
      <w:r w:rsidR="00803F02" w:rsidRPr="003B741F">
        <w:t xml:space="preserve">the couple </w:t>
      </w:r>
      <w:r w:rsidRPr="003B741F">
        <w:t xml:space="preserve">is </w:t>
      </w:r>
      <w:r w:rsidR="002F0D7C" w:rsidRPr="003B741F">
        <w:t>taken</w:t>
      </w:r>
      <w:r w:rsidRPr="003B741F">
        <w:t xml:space="preserve"> to receive </w:t>
      </w:r>
      <w:r w:rsidR="002F0D7C" w:rsidRPr="003B741F">
        <w:t>on</w:t>
      </w:r>
      <w:r w:rsidRPr="003B741F">
        <w:t xml:space="preserve"> </w:t>
      </w:r>
      <w:r w:rsidR="009A38A5" w:rsidRPr="003B741F">
        <w:t xml:space="preserve">the couple’s </w:t>
      </w:r>
      <w:r w:rsidRPr="003B741F">
        <w:t xml:space="preserve">financial assets described in </w:t>
      </w:r>
      <w:r w:rsidR="00757E43" w:rsidRPr="003B741F">
        <w:t xml:space="preserve">this subsection </w:t>
      </w:r>
      <w:r w:rsidRPr="003B741F">
        <w:t>is $</w:t>
      </w:r>
      <w:r w:rsidR="00803F02" w:rsidRPr="003B741F">
        <w:t>1,</w:t>
      </w:r>
      <w:r w:rsidRPr="003B741F">
        <w:t>250 per year.</w:t>
      </w:r>
    </w:p>
    <w:p w14:paraId="00096EB3" w14:textId="77777777" w:rsidR="00693683" w:rsidRPr="003B741F" w:rsidRDefault="003B741F" w:rsidP="003B741F">
      <w:pPr>
        <w:pStyle w:val="ItemHead"/>
      </w:pPr>
      <w:r w:rsidRPr="003B741F">
        <w:t>14</w:t>
      </w:r>
      <w:r w:rsidR="00693683" w:rsidRPr="003B741F">
        <w:t xml:space="preserve">  </w:t>
      </w:r>
      <w:r w:rsidR="000C32D5" w:rsidRPr="003B741F">
        <w:t>Subsection 4</w:t>
      </w:r>
      <w:r w:rsidR="00106317" w:rsidRPr="003B741F">
        <w:t>6E</w:t>
      </w:r>
      <w:r w:rsidR="00693683" w:rsidRPr="003B741F">
        <w:t>(4) (formula)</w:t>
      </w:r>
    </w:p>
    <w:p w14:paraId="04E88B0B" w14:textId="77777777" w:rsidR="00693683" w:rsidRPr="003B741F" w:rsidRDefault="00693683" w:rsidP="003B741F">
      <w:pPr>
        <w:pStyle w:val="Item"/>
      </w:pPr>
      <w:r w:rsidRPr="003B741F">
        <w:t>Repeal the formula, substitute:</w:t>
      </w:r>
    </w:p>
    <w:bookmarkStart w:id="14" w:name="_Hlk109054807"/>
    <w:p w14:paraId="682AD972" w14:textId="156287FE" w:rsidR="00693683" w:rsidRPr="003B741F" w:rsidRDefault="003A6B5D" w:rsidP="003B741F">
      <w:pPr>
        <w:pStyle w:val="subsection2"/>
      </w:pPr>
      <w:r w:rsidRPr="003B741F">
        <w:object w:dxaOrig="5140" w:dyaOrig="960" w14:anchorId="289D3319">
          <v:shape id="_x0000_i1034" type="#_x0000_t75" alt="Start formula start fraction Sum of the amount calculated under subsection (3) and the amount (if any) calculated under paragraph (3A)(d) over 52 end fraction times 0.5 end formula" style="width:256.5pt;height:49.5pt" o:ole="">
            <v:imagedata r:id="rId36" o:title=""/>
          </v:shape>
          <o:OLEObject Type="Embed" ProgID="Equation.DSMT4" ShapeID="_x0000_i1034" DrawAspect="Content" ObjectID="_1731498669" r:id="rId37"/>
        </w:object>
      </w:r>
      <w:bookmarkEnd w:id="14"/>
    </w:p>
    <w:p w14:paraId="4EE4D79A" w14:textId="77777777" w:rsidR="00317AA7" w:rsidRPr="003B741F" w:rsidRDefault="003B741F" w:rsidP="003B741F">
      <w:pPr>
        <w:pStyle w:val="ItemHead"/>
      </w:pPr>
      <w:r w:rsidRPr="003B741F">
        <w:t>15</w:t>
      </w:r>
      <w:r w:rsidR="00317AA7" w:rsidRPr="003B741F">
        <w:t xml:space="preserve">  </w:t>
      </w:r>
      <w:r w:rsidR="000C32D5" w:rsidRPr="003B741F">
        <w:t>Paragraph 5</w:t>
      </w:r>
      <w:r w:rsidR="00317AA7" w:rsidRPr="003B741F">
        <w:t>2(1E)(c)</w:t>
      </w:r>
    </w:p>
    <w:p w14:paraId="3C3019DE" w14:textId="77777777" w:rsidR="00317AA7" w:rsidRPr="003B741F" w:rsidRDefault="00317AA7" w:rsidP="003B741F">
      <w:pPr>
        <w:pStyle w:val="Item"/>
      </w:pPr>
      <w:r w:rsidRPr="003B741F">
        <w:t>Omit “12”, substitute “24”.</w:t>
      </w:r>
    </w:p>
    <w:p w14:paraId="1C5D3B35" w14:textId="77777777" w:rsidR="00317AA7" w:rsidRPr="003B741F" w:rsidRDefault="003B741F" w:rsidP="003B741F">
      <w:pPr>
        <w:pStyle w:val="ItemHead"/>
      </w:pPr>
      <w:r w:rsidRPr="003B741F">
        <w:t>16</w:t>
      </w:r>
      <w:r w:rsidR="00317AA7" w:rsidRPr="003B741F">
        <w:t xml:space="preserve">  </w:t>
      </w:r>
      <w:r w:rsidR="000C32D5" w:rsidRPr="003B741F">
        <w:t>Subsection 5</w:t>
      </w:r>
      <w:r w:rsidR="00317AA7" w:rsidRPr="003B741F">
        <w:t>2(2A)</w:t>
      </w:r>
    </w:p>
    <w:p w14:paraId="3FB526C3" w14:textId="77777777" w:rsidR="00317AA7" w:rsidRPr="003B741F" w:rsidRDefault="00317AA7" w:rsidP="003B741F">
      <w:pPr>
        <w:pStyle w:val="Item"/>
      </w:pPr>
      <w:r w:rsidRPr="003B741F">
        <w:t>Omit “24”, substitute “36”.</w:t>
      </w:r>
    </w:p>
    <w:p w14:paraId="239CDDC2" w14:textId="77777777" w:rsidR="00317AA7" w:rsidRPr="003B741F" w:rsidRDefault="003B741F" w:rsidP="003B741F">
      <w:pPr>
        <w:pStyle w:val="Transitional"/>
      </w:pPr>
      <w:r w:rsidRPr="003B741F">
        <w:lastRenderedPageBreak/>
        <w:t>17</w:t>
      </w:r>
      <w:r w:rsidR="00317AA7" w:rsidRPr="003B741F">
        <w:t xml:space="preserve">  Application of amendments</w:t>
      </w:r>
    </w:p>
    <w:p w14:paraId="53F429ED" w14:textId="605A78D3" w:rsidR="00EA02D7" w:rsidRDefault="00317AA7" w:rsidP="003B741F">
      <w:pPr>
        <w:pStyle w:val="Item"/>
      </w:pPr>
      <w:r w:rsidRPr="003B741F">
        <w:t xml:space="preserve">The amendments </w:t>
      </w:r>
      <w:r w:rsidR="00A22330" w:rsidRPr="003B741F">
        <w:t xml:space="preserve">made by this Schedule apply </w:t>
      </w:r>
      <w:r w:rsidR="00EA02D7" w:rsidRPr="003B741F">
        <w:t>in relation to the sale of a person’s principal home that occurs on or after the commencement of this Schedule.</w:t>
      </w:r>
    </w:p>
    <w:p w14:paraId="64EC2064" w14:textId="77777777" w:rsidR="00182D15" w:rsidRPr="00F02B56" w:rsidRDefault="00182D15" w:rsidP="00182D15"/>
    <w:p w14:paraId="51A37B30" w14:textId="77777777" w:rsidR="00182D15" w:rsidRDefault="00182D15" w:rsidP="00182D15">
      <w:pPr>
        <w:pStyle w:val="AssentBk"/>
        <w:keepNext/>
      </w:pPr>
    </w:p>
    <w:p w14:paraId="07B9B8A2" w14:textId="77777777" w:rsidR="00182D15" w:rsidRDefault="00182D15" w:rsidP="00182D15">
      <w:pPr>
        <w:pStyle w:val="AssentBk"/>
        <w:keepNext/>
      </w:pPr>
    </w:p>
    <w:p w14:paraId="7AECCA4F" w14:textId="77777777" w:rsidR="00182D15" w:rsidRDefault="00182D15" w:rsidP="00182D15">
      <w:pPr>
        <w:pStyle w:val="2ndRd"/>
        <w:keepNext/>
        <w:pBdr>
          <w:top w:val="single" w:sz="2" w:space="1" w:color="auto"/>
        </w:pBdr>
      </w:pPr>
    </w:p>
    <w:p w14:paraId="6D936F7E" w14:textId="77777777" w:rsidR="00182D15" w:rsidRDefault="00182D15" w:rsidP="000C5962">
      <w:pPr>
        <w:pStyle w:val="2ndRd"/>
        <w:keepNext/>
        <w:spacing w:line="260" w:lineRule="atLeast"/>
        <w:rPr>
          <w:i/>
        </w:rPr>
      </w:pPr>
      <w:r>
        <w:t>[</w:t>
      </w:r>
      <w:r>
        <w:rPr>
          <w:i/>
        </w:rPr>
        <w:t>Minister’s second reading speech made in—</w:t>
      </w:r>
    </w:p>
    <w:p w14:paraId="4C292C5C" w14:textId="614EEE3D" w:rsidR="00182D15" w:rsidRDefault="00182D15" w:rsidP="000C5962">
      <w:pPr>
        <w:pStyle w:val="2ndRd"/>
        <w:keepNext/>
        <w:spacing w:line="260" w:lineRule="atLeast"/>
        <w:rPr>
          <w:i/>
        </w:rPr>
      </w:pPr>
      <w:r>
        <w:rPr>
          <w:i/>
        </w:rPr>
        <w:t>House of Representatives on 7 September 2022</w:t>
      </w:r>
    </w:p>
    <w:p w14:paraId="62979B5D" w14:textId="0A1975F8" w:rsidR="00182D15" w:rsidRDefault="00182D15" w:rsidP="000C5962">
      <w:pPr>
        <w:pStyle w:val="2ndRd"/>
        <w:keepNext/>
        <w:spacing w:line="260" w:lineRule="atLeast"/>
        <w:rPr>
          <w:i/>
        </w:rPr>
      </w:pPr>
      <w:r>
        <w:rPr>
          <w:i/>
        </w:rPr>
        <w:t>Senate on 25 October 2022</w:t>
      </w:r>
      <w:r>
        <w:t>]</w:t>
      </w:r>
    </w:p>
    <w:p w14:paraId="6D3025BC" w14:textId="77777777" w:rsidR="00182D15" w:rsidRDefault="00182D15" w:rsidP="000C5962"/>
    <w:p w14:paraId="376510AE" w14:textId="3E13228D" w:rsidR="00314441" w:rsidRPr="00182D15" w:rsidRDefault="00182D15" w:rsidP="004F78E5">
      <w:pPr>
        <w:framePr w:hSpace="180" w:wrap="around" w:vAnchor="text" w:hAnchor="page" w:x="2461" w:y="7120"/>
      </w:pPr>
      <w:r>
        <w:t>(81/22)</w:t>
      </w:r>
    </w:p>
    <w:p w14:paraId="43CA2C52" w14:textId="77777777" w:rsidR="00182D15" w:rsidRDefault="00182D15"/>
    <w:sectPr w:rsidR="00182D15" w:rsidSect="00314441">
      <w:headerReference w:type="even" r:id="rId38"/>
      <w:headerReference w:type="default" r:id="rId39"/>
      <w:footerReference w:type="even" r:id="rId40"/>
      <w:footerReference w:type="default" r:id="rId41"/>
      <w:headerReference w:type="first" r:id="rId42"/>
      <w:footerReference w:type="first" r:id="rId43"/>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8B350" w14:textId="77777777" w:rsidR="00434A85" w:rsidRDefault="00434A85" w:rsidP="0048364F">
      <w:pPr>
        <w:spacing w:line="240" w:lineRule="auto"/>
      </w:pPr>
      <w:r>
        <w:separator/>
      </w:r>
    </w:p>
  </w:endnote>
  <w:endnote w:type="continuationSeparator" w:id="0">
    <w:p w14:paraId="0A718E01" w14:textId="77777777" w:rsidR="00434A85" w:rsidRDefault="00434A8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B11D" w14:textId="77777777" w:rsidR="00434A85" w:rsidRPr="005F1388" w:rsidRDefault="00434A85" w:rsidP="003B741F">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5C5D" w14:textId="0679CD77" w:rsidR="00182D15" w:rsidRDefault="00182D15" w:rsidP="00CD12A5">
    <w:pPr>
      <w:pStyle w:val="ScalePlusRef"/>
    </w:pPr>
    <w:r>
      <w:t>Note: An electronic version of this Act is available on the Federal Register of Legislation (</w:t>
    </w:r>
    <w:hyperlink r:id="rId1" w:history="1">
      <w:r>
        <w:t>https://www.legislation.gov.au/</w:t>
      </w:r>
    </w:hyperlink>
    <w:r>
      <w:t>)</w:t>
    </w:r>
  </w:p>
  <w:p w14:paraId="5AF51029" w14:textId="77777777" w:rsidR="00182D15" w:rsidRDefault="00182D15" w:rsidP="00CD12A5"/>
  <w:p w14:paraId="3509D5FF" w14:textId="1F799B3E" w:rsidR="00434A85" w:rsidRDefault="00434A85" w:rsidP="003B741F">
    <w:pPr>
      <w:pStyle w:val="Footer"/>
      <w:spacing w:before="120"/>
    </w:pPr>
  </w:p>
  <w:p w14:paraId="556365F0" w14:textId="77777777" w:rsidR="00434A85" w:rsidRPr="005F1388" w:rsidRDefault="00434A85"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7A7A" w14:textId="77777777" w:rsidR="00434A85" w:rsidRPr="00ED79B6" w:rsidRDefault="00434A85" w:rsidP="003B741F">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C8599" w14:textId="77777777" w:rsidR="00434A85" w:rsidRDefault="00434A85" w:rsidP="003B741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34A85" w14:paraId="52552DEE" w14:textId="77777777" w:rsidTr="003D03CB">
      <w:tc>
        <w:tcPr>
          <w:tcW w:w="646" w:type="dxa"/>
        </w:tcPr>
        <w:p w14:paraId="2B1DFDE6" w14:textId="77777777" w:rsidR="00434A85" w:rsidRDefault="00434A85" w:rsidP="003D03C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38A226B0" w14:textId="4A333E36" w:rsidR="00434A85" w:rsidRDefault="00434A85" w:rsidP="003D03C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002D7">
            <w:rPr>
              <w:i/>
              <w:sz w:val="18"/>
            </w:rPr>
            <w:t>Social Services and Other Legislation Amendment (Incentivising Pensioners to Downsize) Act 2022</w:t>
          </w:r>
          <w:r w:rsidRPr="00ED79B6">
            <w:rPr>
              <w:i/>
              <w:sz w:val="18"/>
            </w:rPr>
            <w:fldChar w:fldCharType="end"/>
          </w:r>
        </w:p>
      </w:tc>
      <w:tc>
        <w:tcPr>
          <w:tcW w:w="1270" w:type="dxa"/>
        </w:tcPr>
        <w:p w14:paraId="3FB30860" w14:textId="68C91AEC" w:rsidR="00434A85" w:rsidRDefault="00434A85" w:rsidP="003D03CB">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C002D7">
            <w:rPr>
              <w:i/>
              <w:sz w:val="18"/>
            </w:rPr>
            <w:t>No. 62, 2022</w:t>
          </w:r>
          <w:r w:rsidRPr="00ED79B6">
            <w:rPr>
              <w:i/>
              <w:sz w:val="18"/>
            </w:rPr>
            <w:fldChar w:fldCharType="end"/>
          </w:r>
        </w:p>
      </w:tc>
    </w:tr>
  </w:tbl>
  <w:p w14:paraId="28CFE23F" w14:textId="77777777" w:rsidR="00434A85" w:rsidRDefault="00434A8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741D" w14:textId="77777777" w:rsidR="00434A85" w:rsidRDefault="00434A85" w:rsidP="003B741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34A85" w14:paraId="1C48BEF6" w14:textId="77777777" w:rsidTr="003D03CB">
      <w:tc>
        <w:tcPr>
          <w:tcW w:w="1247" w:type="dxa"/>
        </w:tcPr>
        <w:p w14:paraId="6344637C" w14:textId="48F3920C" w:rsidR="00434A85" w:rsidRDefault="00434A85" w:rsidP="003D03CB">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C002D7">
            <w:rPr>
              <w:i/>
              <w:sz w:val="18"/>
            </w:rPr>
            <w:t>No. 62, 2022</w:t>
          </w:r>
          <w:r w:rsidRPr="00ED79B6">
            <w:rPr>
              <w:i/>
              <w:sz w:val="18"/>
            </w:rPr>
            <w:fldChar w:fldCharType="end"/>
          </w:r>
        </w:p>
      </w:tc>
      <w:tc>
        <w:tcPr>
          <w:tcW w:w="5387" w:type="dxa"/>
        </w:tcPr>
        <w:p w14:paraId="51A97BEA" w14:textId="240F8655" w:rsidR="00434A85" w:rsidRDefault="00434A85" w:rsidP="003D03C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002D7">
            <w:rPr>
              <w:i/>
              <w:sz w:val="18"/>
            </w:rPr>
            <w:t>Social Services and Other Legislation Amendment (Incentivising Pensioners to Downsize) Act 2022</w:t>
          </w:r>
          <w:r w:rsidRPr="00ED79B6">
            <w:rPr>
              <w:i/>
              <w:sz w:val="18"/>
            </w:rPr>
            <w:fldChar w:fldCharType="end"/>
          </w:r>
        </w:p>
      </w:tc>
      <w:tc>
        <w:tcPr>
          <w:tcW w:w="669" w:type="dxa"/>
        </w:tcPr>
        <w:p w14:paraId="6E03A11D" w14:textId="77777777" w:rsidR="00434A85" w:rsidRDefault="00434A85" w:rsidP="003D03C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2DD2ACB9" w14:textId="77777777" w:rsidR="00434A85" w:rsidRPr="00ED79B6" w:rsidRDefault="00434A85"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4BC5" w14:textId="77777777" w:rsidR="00434A85" w:rsidRPr="00A961C4" w:rsidRDefault="00434A85" w:rsidP="003B741F">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34A85" w14:paraId="559B01DC" w14:textId="77777777" w:rsidTr="000A292B">
      <w:tc>
        <w:tcPr>
          <w:tcW w:w="646" w:type="dxa"/>
        </w:tcPr>
        <w:p w14:paraId="3732AF7D" w14:textId="77777777" w:rsidR="00434A85" w:rsidRDefault="00434A85" w:rsidP="003D03C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2E832FF8" w14:textId="59BBEB2A" w:rsidR="00434A85" w:rsidRDefault="00434A85" w:rsidP="003D03C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002D7">
            <w:rPr>
              <w:i/>
              <w:sz w:val="18"/>
            </w:rPr>
            <w:t>Social Services and Other Legislation Amendment (Incentivising Pensioners to Downsize) Act 2022</w:t>
          </w:r>
          <w:r w:rsidRPr="007A1328">
            <w:rPr>
              <w:i/>
              <w:sz w:val="18"/>
            </w:rPr>
            <w:fldChar w:fldCharType="end"/>
          </w:r>
        </w:p>
      </w:tc>
      <w:tc>
        <w:tcPr>
          <w:tcW w:w="1270" w:type="dxa"/>
        </w:tcPr>
        <w:p w14:paraId="79D40399" w14:textId="4E0C2A93" w:rsidR="00434A85" w:rsidRDefault="00434A85" w:rsidP="003D03CB">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002D7">
            <w:rPr>
              <w:i/>
              <w:sz w:val="18"/>
            </w:rPr>
            <w:t>No. 62, 2022</w:t>
          </w:r>
          <w:r w:rsidRPr="007A1328">
            <w:rPr>
              <w:i/>
              <w:sz w:val="18"/>
            </w:rPr>
            <w:fldChar w:fldCharType="end"/>
          </w:r>
        </w:p>
      </w:tc>
    </w:tr>
  </w:tbl>
  <w:p w14:paraId="36A349BC" w14:textId="77777777" w:rsidR="00434A85" w:rsidRPr="00A961C4" w:rsidRDefault="00434A85"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239D" w14:textId="77777777" w:rsidR="00434A85" w:rsidRPr="00A961C4" w:rsidRDefault="00434A85" w:rsidP="003B741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34A85" w14:paraId="5C3E40E4" w14:textId="77777777" w:rsidTr="000A292B">
      <w:tc>
        <w:tcPr>
          <w:tcW w:w="1247" w:type="dxa"/>
        </w:tcPr>
        <w:p w14:paraId="35EF4668" w14:textId="3BB13EF7" w:rsidR="00434A85" w:rsidRDefault="00434A85" w:rsidP="003D03C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002D7">
            <w:rPr>
              <w:i/>
              <w:sz w:val="18"/>
            </w:rPr>
            <w:t>No. 62, 2022</w:t>
          </w:r>
          <w:r w:rsidRPr="007A1328">
            <w:rPr>
              <w:i/>
              <w:sz w:val="18"/>
            </w:rPr>
            <w:fldChar w:fldCharType="end"/>
          </w:r>
        </w:p>
      </w:tc>
      <w:tc>
        <w:tcPr>
          <w:tcW w:w="5387" w:type="dxa"/>
        </w:tcPr>
        <w:p w14:paraId="376CCDBC" w14:textId="5CA1D95C" w:rsidR="00434A85" w:rsidRDefault="00434A85" w:rsidP="003D03C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002D7">
            <w:rPr>
              <w:i/>
              <w:sz w:val="18"/>
            </w:rPr>
            <w:t>Social Services and Other Legislation Amendment (Incentivising Pensioners to Downsize) Act 2022</w:t>
          </w:r>
          <w:r w:rsidRPr="007A1328">
            <w:rPr>
              <w:i/>
              <w:sz w:val="18"/>
            </w:rPr>
            <w:fldChar w:fldCharType="end"/>
          </w:r>
        </w:p>
      </w:tc>
      <w:tc>
        <w:tcPr>
          <w:tcW w:w="669" w:type="dxa"/>
        </w:tcPr>
        <w:p w14:paraId="641D89D9" w14:textId="77777777" w:rsidR="00434A85" w:rsidRDefault="00434A85" w:rsidP="003D03C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5B4C5CB8" w14:textId="77777777" w:rsidR="00434A85" w:rsidRPr="00055B5C" w:rsidRDefault="00434A85"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38C1" w14:textId="77777777" w:rsidR="00434A85" w:rsidRPr="00A961C4" w:rsidRDefault="00434A85" w:rsidP="003B741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4"/>
      <w:gridCol w:w="654"/>
    </w:tblGrid>
    <w:tr w:rsidR="00434A85" w14:paraId="53E16112" w14:textId="77777777" w:rsidTr="000A292B">
      <w:tc>
        <w:tcPr>
          <w:tcW w:w="1247" w:type="dxa"/>
        </w:tcPr>
        <w:p w14:paraId="44D90048" w14:textId="072A54EC" w:rsidR="00434A85" w:rsidRDefault="00434A85" w:rsidP="003D03C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002D7">
            <w:rPr>
              <w:i/>
              <w:sz w:val="18"/>
            </w:rPr>
            <w:t>No. 62, 2022</w:t>
          </w:r>
          <w:r w:rsidRPr="007A1328">
            <w:rPr>
              <w:i/>
              <w:sz w:val="18"/>
            </w:rPr>
            <w:fldChar w:fldCharType="end"/>
          </w:r>
        </w:p>
      </w:tc>
      <w:tc>
        <w:tcPr>
          <w:tcW w:w="5387" w:type="dxa"/>
        </w:tcPr>
        <w:p w14:paraId="53EC9E86" w14:textId="28D2BB7E" w:rsidR="00434A85" w:rsidRDefault="00434A85" w:rsidP="003D03C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002D7">
            <w:rPr>
              <w:i/>
              <w:sz w:val="18"/>
            </w:rPr>
            <w:t>Social Services and Other Legislation Amendment (Incentivising Pensioners to Downsize) Act 2022</w:t>
          </w:r>
          <w:r w:rsidRPr="007A1328">
            <w:rPr>
              <w:i/>
              <w:sz w:val="18"/>
            </w:rPr>
            <w:fldChar w:fldCharType="end"/>
          </w:r>
        </w:p>
      </w:tc>
      <w:tc>
        <w:tcPr>
          <w:tcW w:w="669" w:type="dxa"/>
        </w:tcPr>
        <w:p w14:paraId="378A68C0" w14:textId="77777777" w:rsidR="00434A85" w:rsidRDefault="00434A85" w:rsidP="003D03C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0855C8C8" w14:textId="77777777" w:rsidR="00434A85" w:rsidRPr="00A961C4" w:rsidRDefault="00434A85"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43320" w14:textId="77777777" w:rsidR="00434A85" w:rsidRDefault="00434A85" w:rsidP="0048364F">
      <w:pPr>
        <w:spacing w:line="240" w:lineRule="auto"/>
      </w:pPr>
      <w:r>
        <w:separator/>
      </w:r>
    </w:p>
  </w:footnote>
  <w:footnote w:type="continuationSeparator" w:id="0">
    <w:p w14:paraId="74ECF7E8" w14:textId="77777777" w:rsidR="00434A85" w:rsidRDefault="00434A85"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A55E" w14:textId="77777777" w:rsidR="00434A85" w:rsidRPr="005F1388" w:rsidRDefault="00434A85"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1780" w14:textId="77777777" w:rsidR="00434A85" w:rsidRPr="005F1388" w:rsidRDefault="00434A85"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0481" w14:textId="77777777" w:rsidR="00434A85" w:rsidRPr="005F1388" w:rsidRDefault="00434A85"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3153" w14:textId="77777777" w:rsidR="00434A85" w:rsidRPr="00ED79B6" w:rsidRDefault="00434A85"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2488" w14:textId="77777777" w:rsidR="00434A85" w:rsidRPr="00ED79B6" w:rsidRDefault="00434A85"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3C8A" w14:textId="77777777" w:rsidR="00434A85" w:rsidRPr="00ED79B6" w:rsidRDefault="00434A85"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04C9" w14:textId="3335940C" w:rsidR="00434A85" w:rsidRPr="00A961C4" w:rsidRDefault="00434A85"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638C8BBA" w14:textId="548FD326" w:rsidR="00434A85" w:rsidRPr="00A961C4" w:rsidRDefault="00434A85"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21D95050" w14:textId="77777777" w:rsidR="00434A85" w:rsidRPr="00A961C4" w:rsidRDefault="00434A85"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4F70" w14:textId="2E867FBD" w:rsidR="00434A85" w:rsidRPr="00A961C4" w:rsidRDefault="00434A85"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4234A4">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4234A4">
      <w:rPr>
        <w:b/>
        <w:noProof/>
        <w:sz w:val="20"/>
      </w:rPr>
      <w:t>Schedule 1</w:t>
    </w:r>
    <w:r>
      <w:rPr>
        <w:b/>
        <w:sz w:val="20"/>
      </w:rPr>
      <w:fldChar w:fldCharType="end"/>
    </w:r>
  </w:p>
  <w:p w14:paraId="3A204E56" w14:textId="6B51BD31" w:rsidR="00434A85" w:rsidRPr="00A961C4" w:rsidRDefault="00434A85"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0469FA22" w14:textId="77777777" w:rsidR="00434A85" w:rsidRPr="00A961C4" w:rsidRDefault="00434A85"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7D0A" w14:textId="77777777" w:rsidR="00434A85" w:rsidRPr="00A961C4" w:rsidRDefault="00434A85"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C7"/>
    <w:rsid w:val="000003E7"/>
    <w:rsid w:val="00001BB5"/>
    <w:rsid w:val="000025A5"/>
    <w:rsid w:val="0000279E"/>
    <w:rsid w:val="000100FE"/>
    <w:rsid w:val="000113BC"/>
    <w:rsid w:val="000136AF"/>
    <w:rsid w:val="0003325D"/>
    <w:rsid w:val="000346A3"/>
    <w:rsid w:val="000361CF"/>
    <w:rsid w:val="00040916"/>
    <w:rsid w:val="000417C9"/>
    <w:rsid w:val="00044FA1"/>
    <w:rsid w:val="000453D7"/>
    <w:rsid w:val="00045BE9"/>
    <w:rsid w:val="00045DD6"/>
    <w:rsid w:val="00050FFB"/>
    <w:rsid w:val="000524BA"/>
    <w:rsid w:val="000559C7"/>
    <w:rsid w:val="00055B5C"/>
    <w:rsid w:val="00056391"/>
    <w:rsid w:val="00060FF9"/>
    <w:rsid w:val="000614BF"/>
    <w:rsid w:val="00065999"/>
    <w:rsid w:val="00066F2B"/>
    <w:rsid w:val="0009310D"/>
    <w:rsid w:val="00093FB5"/>
    <w:rsid w:val="000A27BC"/>
    <w:rsid w:val="000A292B"/>
    <w:rsid w:val="000A46BA"/>
    <w:rsid w:val="000A6CC2"/>
    <w:rsid w:val="000B1FD2"/>
    <w:rsid w:val="000C03B5"/>
    <w:rsid w:val="000C32D5"/>
    <w:rsid w:val="000C436F"/>
    <w:rsid w:val="000D05EF"/>
    <w:rsid w:val="000D2756"/>
    <w:rsid w:val="000E1328"/>
    <w:rsid w:val="000F21C1"/>
    <w:rsid w:val="000F316E"/>
    <w:rsid w:val="000F77A1"/>
    <w:rsid w:val="00101D90"/>
    <w:rsid w:val="00102213"/>
    <w:rsid w:val="00104629"/>
    <w:rsid w:val="00106317"/>
    <w:rsid w:val="0010745C"/>
    <w:rsid w:val="0011196F"/>
    <w:rsid w:val="00113BD1"/>
    <w:rsid w:val="00122206"/>
    <w:rsid w:val="001263E8"/>
    <w:rsid w:val="00131349"/>
    <w:rsid w:val="00137204"/>
    <w:rsid w:val="00137BF9"/>
    <w:rsid w:val="00153DF6"/>
    <w:rsid w:val="0015646E"/>
    <w:rsid w:val="001643C9"/>
    <w:rsid w:val="00165568"/>
    <w:rsid w:val="00166184"/>
    <w:rsid w:val="00166C2F"/>
    <w:rsid w:val="001716C9"/>
    <w:rsid w:val="00173363"/>
    <w:rsid w:val="00173B94"/>
    <w:rsid w:val="001743DC"/>
    <w:rsid w:val="0018209E"/>
    <w:rsid w:val="00182D15"/>
    <w:rsid w:val="001845C4"/>
    <w:rsid w:val="001854B4"/>
    <w:rsid w:val="00190B72"/>
    <w:rsid w:val="00190B96"/>
    <w:rsid w:val="001939E1"/>
    <w:rsid w:val="00195382"/>
    <w:rsid w:val="001A2896"/>
    <w:rsid w:val="001A3658"/>
    <w:rsid w:val="001A707C"/>
    <w:rsid w:val="001A759A"/>
    <w:rsid w:val="001B04B4"/>
    <w:rsid w:val="001B633C"/>
    <w:rsid w:val="001B7A5D"/>
    <w:rsid w:val="001C2418"/>
    <w:rsid w:val="001C3329"/>
    <w:rsid w:val="001C519C"/>
    <w:rsid w:val="001C57E8"/>
    <w:rsid w:val="001C69C4"/>
    <w:rsid w:val="001C6E5A"/>
    <w:rsid w:val="001D55D3"/>
    <w:rsid w:val="001E2E63"/>
    <w:rsid w:val="001E3590"/>
    <w:rsid w:val="001E563E"/>
    <w:rsid w:val="001E681D"/>
    <w:rsid w:val="001E7407"/>
    <w:rsid w:val="00201D27"/>
    <w:rsid w:val="00202618"/>
    <w:rsid w:val="00203514"/>
    <w:rsid w:val="00210534"/>
    <w:rsid w:val="00210BD0"/>
    <w:rsid w:val="002200AC"/>
    <w:rsid w:val="00223416"/>
    <w:rsid w:val="0023688B"/>
    <w:rsid w:val="00240749"/>
    <w:rsid w:val="00241F06"/>
    <w:rsid w:val="0024710C"/>
    <w:rsid w:val="00260294"/>
    <w:rsid w:val="00260E35"/>
    <w:rsid w:val="00263820"/>
    <w:rsid w:val="00266E1D"/>
    <w:rsid w:val="00273015"/>
    <w:rsid w:val="00275197"/>
    <w:rsid w:val="00276187"/>
    <w:rsid w:val="00276B5B"/>
    <w:rsid w:val="00276E74"/>
    <w:rsid w:val="00293B89"/>
    <w:rsid w:val="00297ECB"/>
    <w:rsid w:val="002A307B"/>
    <w:rsid w:val="002A5506"/>
    <w:rsid w:val="002B5729"/>
    <w:rsid w:val="002B5A30"/>
    <w:rsid w:val="002C4393"/>
    <w:rsid w:val="002C454C"/>
    <w:rsid w:val="002D043A"/>
    <w:rsid w:val="002D0CB0"/>
    <w:rsid w:val="002D395A"/>
    <w:rsid w:val="002E0181"/>
    <w:rsid w:val="002E2DB7"/>
    <w:rsid w:val="002F0D7C"/>
    <w:rsid w:val="002F1043"/>
    <w:rsid w:val="002F5A80"/>
    <w:rsid w:val="00300AD1"/>
    <w:rsid w:val="0030345C"/>
    <w:rsid w:val="003035A8"/>
    <w:rsid w:val="00314441"/>
    <w:rsid w:val="00316B37"/>
    <w:rsid w:val="0031781B"/>
    <w:rsid w:val="00317AA7"/>
    <w:rsid w:val="00321E04"/>
    <w:rsid w:val="00324648"/>
    <w:rsid w:val="00324E22"/>
    <w:rsid w:val="00336A29"/>
    <w:rsid w:val="00340454"/>
    <w:rsid w:val="003415D3"/>
    <w:rsid w:val="00344863"/>
    <w:rsid w:val="00350417"/>
    <w:rsid w:val="00352B0F"/>
    <w:rsid w:val="00353D30"/>
    <w:rsid w:val="003616B5"/>
    <w:rsid w:val="00370ACF"/>
    <w:rsid w:val="0037367C"/>
    <w:rsid w:val="00373874"/>
    <w:rsid w:val="00375C6C"/>
    <w:rsid w:val="003975A8"/>
    <w:rsid w:val="003A6B5D"/>
    <w:rsid w:val="003A72ED"/>
    <w:rsid w:val="003A778B"/>
    <w:rsid w:val="003A7B3C"/>
    <w:rsid w:val="003B0DD2"/>
    <w:rsid w:val="003B2C75"/>
    <w:rsid w:val="003B4E3D"/>
    <w:rsid w:val="003B5F80"/>
    <w:rsid w:val="003B741F"/>
    <w:rsid w:val="003C3F7A"/>
    <w:rsid w:val="003C5F2B"/>
    <w:rsid w:val="003C7956"/>
    <w:rsid w:val="003D03CB"/>
    <w:rsid w:val="003D0BFE"/>
    <w:rsid w:val="003D49AB"/>
    <w:rsid w:val="003D5700"/>
    <w:rsid w:val="004044BE"/>
    <w:rsid w:val="00405579"/>
    <w:rsid w:val="00410B8E"/>
    <w:rsid w:val="004116CD"/>
    <w:rsid w:val="00416266"/>
    <w:rsid w:val="00421FC1"/>
    <w:rsid w:val="004225FE"/>
    <w:rsid w:val="004229C7"/>
    <w:rsid w:val="004234A4"/>
    <w:rsid w:val="00424CA9"/>
    <w:rsid w:val="00432231"/>
    <w:rsid w:val="00434A85"/>
    <w:rsid w:val="00435290"/>
    <w:rsid w:val="00436785"/>
    <w:rsid w:val="00436BD5"/>
    <w:rsid w:val="00437E4B"/>
    <w:rsid w:val="004428A9"/>
    <w:rsid w:val="0044291A"/>
    <w:rsid w:val="004662DC"/>
    <w:rsid w:val="00467B40"/>
    <w:rsid w:val="00471CBB"/>
    <w:rsid w:val="00473C33"/>
    <w:rsid w:val="00474D12"/>
    <w:rsid w:val="0048196B"/>
    <w:rsid w:val="0048364F"/>
    <w:rsid w:val="00486D05"/>
    <w:rsid w:val="00491BB0"/>
    <w:rsid w:val="00493572"/>
    <w:rsid w:val="004963CE"/>
    <w:rsid w:val="00496F97"/>
    <w:rsid w:val="004C59BF"/>
    <w:rsid w:val="004C7589"/>
    <w:rsid w:val="004C7C8C"/>
    <w:rsid w:val="004D5DB5"/>
    <w:rsid w:val="004E2A4A"/>
    <w:rsid w:val="004F047F"/>
    <w:rsid w:val="004F0D23"/>
    <w:rsid w:val="004F0EF2"/>
    <w:rsid w:val="004F1FAC"/>
    <w:rsid w:val="004F65C4"/>
    <w:rsid w:val="004F7855"/>
    <w:rsid w:val="004F78E5"/>
    <w:rsid w:val="00516B8D"/>
    <w:rsid w:val="005170A9"/>
    <w:rsid w:val="00517B59"/>
    <w:rsid w:val="00522729"/>
    <w:rsid w:val="00522BD1"/>
    <w:rsid w:val="00535E63"/>
    <w:rsid w:val="00537FBC"/>
    <w:rsid w:val="00543469"/>
    <w:rsid w:val="00545D52"/>
    <w:rsid w:val="0054731F"/>
    <w:rsid w:val="00551B54"/>
    <w:rsid w:val="00555808"/>
    <w:rsid w:val="00561905"/>
    <w:rsid w:val="00565308"/>
    <w:rsid w:val="005752F7"/>
    <w:rsid w:val="0058283C"/>
    <w:rsid w:val="00584811"/>
    <w:rsid w:val="00591066"/>
    <w:rsid w:val="005930B8"/>
    <w:rsid w:val="00593AA6"/>
    <w:rsid w:val="00594161"/>
    <w:rsid w:val="00594749"/>
    <w:rsid w:val="005A0D92"/>
    <w:rsid w:val="005A1199"/>
    <w:rsid w:val="005B3EA3"/>
    <w:rsid w:val="005B4067"/>
    <w:rsid w:val="005C383F"/>
    <w:rsid w:val="005C3B5B"/>
    <w:rsid w:val="005C3F41"/>
    <w:rsid w:val="005D1D41"/>
    <w:rsid w:val="005D4B8C"/>
    <w:rsid w:val="005E152A"/>
    <w:rsid w:val="005E20C7"/>
    <w:rsid w:val="005F05B9"/>
    <w:rsid w:val="005F0677"/>
    <w:rsid w:val="005F11B1"/>
    <w:rsid w:val="005F5919"/>
    <w:rsid w:val="00600219"/>
    <w:rsid w:val="00613395"/>
    <w:rsid w:val="006167FD"/>
    <w:rsid w:val="00616CFC"/>
    <w:rsid w:val="00621281"/>
    <w:rsid w:val="006230A4"/>
    <w:rsid w:val="00625EDE"/>
    <w:rsid w:val="006323A0"/>
    <w:rsid w:val="00633028"/>
    <w:rsid w:val="00640D4D"/>
    <w:rsid w:val="00640DD2"/>
    <w:rsid w:val="00641DE5"/>
    <w:rsid w:val="00645CA5"/>
    <w:rsid w:val="00656F0C"/>
    <w:rsid w:val="00664C76"/>
    <w:rsid w:val="006650ED"/>
    <w:rsid w:val="0066766D"/>
    <w:rsid w:val="00667B3D"/>
    <w:rsid w:val="00673A27"/>
    <w:rsid w:val="00674E86"/>
    <w:rsid w:val="00675CAF"/>
    <w:rsid w:val="00677CC2"/>
    <w:rsid w:val="00681F92"/>
    <w:rsid w:val="006842C2"/>
    <w:rsid w:val="00685F42"/>
    <w:rsid w:val="0069207B"/>
    <w:rsid w:val="00693683"/>
    <w:rsid w:val="006A2D0A"/>
    <w:rsid w:val="006A4B23"/>
    <w:rsid w:val="006B2A90"/>
    <w:rsid w:val="006C2874"/>
    <w:rsid w:val="006C7F8C"/>
    <w:rsid w:val="006D380D"/>
    <w:rsid w:val="006D5F19"/>
    <w:rsid w:val="006E0135"/>
    <w:rsid w:val="006E303A"/>
    <w:rsid w:val="006F08AA"/>
    <w:rsid w:val="006F44D6"/>
    <w:rsid w:val="006F7E19"/>
    <w:rsid w:val="00700B2C"/>
    <w:rsid w:val="00701BC6"/>
    <w:rsid w:val="00702AC6"/>
    <w:rsid w:val="00703956"/>
    <w:rsid w:val="00707F08"/>
    <w:rsid w:val="007126CF"/>
    <w:rsid w:val="00712D8D"/>
    <w:rsid w:val="00713084"/>
    <w:rsid w:val="0071375B"/>
    <w:rsid w:val="00714B26"/>
    <w:rsid w:val="0072720F"/>
    <w:rsid w:val="00731E00"/>
    <w:rsid w:val="00733C8D"/>
    <w:rsid w:val="00734372"/>
    <w:rsid w:val="00735E8C"/>
    <w:rsid w:val="00742BA9"/>
    <w:rsid w:val="007440B7"/>
    <w:rsid w:val="0075064A"/>
    <w:rsid w:val="00756EFE"/>
    <w:rsid w:val="00757E43"/>
    <w:rsid w:val="00761A3B"/>
    <w:rsid w:val="007634AD"/>
    <w:rsid w:val="007664AE"/>
    <w:rsid w:val="007715C9"/>
    <w:rsid w:val="00774EDD"/>
    <w:rsid w:val="007755C4"/>
    <w:rsid w:val="007757EC"/>
    <w:rsid w:val="00776671"/>
    <w:rsid w:val="007841EF"/>
    <w:rsid w:val="007852A2"/>
    <w:rsid w:val="00786A2E"/>
    <w:rsid w:val="00790471"/>
    <w:rsid w:val="00795E03"/>
    <w:rsid w:val="00796DB5"/>
    <w:rsid w:val="00797E2A"/>
    <w:rsid w:val="007B30AA"/>
    <w:rsid w:val="007B7D18"/>
    <w:rsid w:val="007C14BC"/>
    <w:rsid w:val="007C390C"/>
    <w:rsid w:val="007D02D1"/>
    <w:rsid w:val="007D4ECF"/>
    <w:rsid w:val="007E7D4A"/>
    <w:rsid w:val="00800578"/>
    <w:rsid w:val="008006CC"/>
    <w:rsid w:val="00801A4A"/>
    <w:rsid w:val="00803F02"/>
    <w:rsid w:val="008067C8"/>
    <w:rsid w:val="00807333"/>
    <w:rsid w:val="00807F18"/>
    <w:rsid w:val="00812D8B"/>
    <w:rsid w:val="008216F5"/>
    <w:rsid w:val="00831E8D"/>
    <w:rsid w:val="00833578"/>
    <w:rsid w:val="00833B0C"/>
    <w:rsid w:val="00840915"/>
    <w:rsid w:val="00846AF3"/>
    <w:rsid w:val="00854F1B"/>
    <w:rsid w:val="00856A31"/>
    <w:rsid w:val="008571BA"/>
    <w:rsid w:val="00857D6B"/>
    <w:rsid w:val="00861220"/>
    <w:rsid w:val="00861411"/>
    <w:rsid w:val="00870622"/>
    <w:rsid w:val="00873E97"/>
    <w:rsid w:val="008754D0"/>
    <w:rsid w:val="00876322"/>
    <w:rsid w:val="00877D48"/>
    <w:rsid w:val="00881812"/>
    <w:rsid w:val="00883781"/>
    <w:rsid w:val="00885570"/>
    <w:rsid w:val="00892A3F"/>
    <w:rsid w:val="00893958"/>
    <w:rsid w:val="008A09C4"/>
    <w:rsid w:val="008A0D65"/>
    <w:rsid w:val="008A2E77"/>
    <w:rsid w:val="008A5E2E"/>
    <w:rsid w:val="008B10CA"/>
    <w:rsid w:val="008B29E5"/>
    <w:rsid w:val="008B4568"/>
    <w:rsid w:val="008C0982"/>
    <w:rsid w:val="008C4A42"/>
    <w:rsid w:val="008C58C9"/>
    <w:rsid w:val="008C5E81"/>
    <w:rsid w:val="008C6F6F"/>
    <w:rsid w:val="008D0EE0"/>
    <w:rsid w:val="008D20B4"/>
    <w:rsid w:val="008D3E94"/>
    <w:rsid w:val="008D6E71"/>
    <w:rsid w:val="008F0F61"/>
    <w:rsid w:val="008F2CCE"/>
    <w:rsid w:val="008F35FB"/>
    <w:rsid w:val="008F4F1C"/>
    <w:rsid w:val="008F77C4"/>
    <w:rsid w:val="009013B2"/>
    <w:rsid w:val="00907DE1"/>
    <w:rsid w:val="009103F3"/>
    <w:rsid w:val="00914015"/>
    <w:rsid w:val="0092165A"/>
    <w:rsid w:val="00930FDF"/>
    <w:rsid w:val="00932377"/>
    <w:rsid w:val="00943221"/>
    <w:rsid w:val="00954DE1"/>
    <w:rsid w:val="00963212"/>
    <w:rsid w:val="00965C9E"/>
    <w:rsid w:val="00967042"/>
    <w:rsid w:val="0097483C"/>
    <w:rsid w:val="009756F3"/>
    <w:rsid w:val="0098255A"/>
    <w:rsid w:val="00982E2E"/>
    <w:rsid w:val="009845BE"/>
    <w:rsid w:val="00984F71"/>
    <w:rsid w:val="00986CA8"/>
    <w:rsid w:val="00990766"/>
    <w:rsid w:val="00993DD4"/>
    <w:rsid w:val="009960CD"/>
    <w:rsid w:val="009969C9"/>
    <w:rsid w:val="009A38A5"/>
    <w:rsid w:val="009A66B8"/>
    <w:rsid w:val="009B1569"/>
    <w:rsid w:val="009B5DA2"/>
    <w:rsid w:val="009D647C"/>
    <w:rsid w:val="009E186E"/>
    <w:rsid w:val="009E25F5"/>
    <w:rsid w:val="009F7BD0"/>
    <w:rsid w:val="00A048FF"/>
    <w:rsid w:val="00A05E56"/>
    <w:rsid w:val="00A10775"/>
    <w:rsid w:val="00A10AFC"/>
    <w:rsid w:val="00A1558F"/>
    <w:rsid w:val="00A22330"/>
    <w:rsid w:val="00A231E2"/>
    <w:rsid w:val="00A27701"/>
    <w:rsid w:val="00A3110A"/>
    <w:rsid w:val="00A36C48"/>
    <w:rsid w:val="00A4096F"/>
    <w:rsid w:val="00A41E0B"/>
    <w:rsid w:val="00A44AA3"/>
    <w:rsid w:val="00A47483"/>
    <w:rsid w:val="00A50586"/>
    <w:rsid w:val="00A51B45"/>
    <w:rsid w:val="00A55631"/>
    <w:rsid w:val="00A56DB2"/>
    <w:rsid w:val="00A574F7"/>
    <w:rsid w:val="00A64912"/>
    <w:rsid w:val="00A66C5C"/>
    <w:rsid w:val="00A70797"/>
    <w:rsid w:val="00A70A74"/>
    <w:rsid w:val="00A83E1D"/>
    <w:rsid w:val="00A87176"/>
    <w:rsid w:val="00A872ED"/>
    <w:rsid w:val="00A92960"/>
    <w:rsid w:val="00A94BA6"/>
    <w:rsid w:val="00A979E0"/>
    <w:rsid w:val="00AA2904"/>
    <w:rsid w:val="00AA3795"/>
    <w:rsid w:val="00AA500C"/>
    <w:rsid w:val="00AA69F6"/>
    <w:rsid w:val="00AB76A9"/>
    <w:rsid w:val="00AC1E75"/>
    <w:rsid w:val="00AC2CB9"/>
    <w:rsid w:val="00AC2E4A"/>
    <w:rsid w:val="00AC3037"/>
    <w:rsid w:val="00AC5720"/>
    <w:rsid w:val="00AD4C65"/>
    <w:rsid w:val="00AD5641"/>
    <w:rsid w:val="00AD7769"/>
    <w:rsid w:val="00AD7FB8"/>
    <w:rsid w:val="00AE0EB8"/>
    <w:rsid w:val="00AE1088"/>
    <w:rsid w:val="00AE2361"/>
    <w:rsid w:val="00AE4435"/>
    <w:rsid w:val="00AF1BA4"/>
    <w:rsid w:val="00AF438F"/>
    <w:rsid w:val="00B00C63"/>
    <w:rsid w:val="00B032D8"/>
    <w:rsid w:val="00B033D9"/>
    <w:rsid w:val="00B04561"/>
    <w:rsid w:val="00B13ED8"/>
    <w:rsid w:val="00B1464C"/>
    <w:rsid w:val="00B17EF1"/>
    <w:rsid w:val="00B32BE2"/>
    <w:rsid w:val="00B33B3C"/>
    <w:rsid w:val="00B43609"/>
    <w:rsid w:val="00B54B3C"/>
    <w:rsid w:val="00B62889"/>
    <w:rsid w:val="00B6382D"/>
    <w:rsid w:val="00B738C9"/>
    <w:rsid w:val="00B760E1"/>
    <w:rsid w:val="00B839A7"/>
    <w:rsid w:val="00B95A44"/>
    <w:rsid w:val="00BA5026"/>
    <w:rsid w:val="00BA6274"/>
    <w:rsid w:val="00BA7184"/>
    <w:rsid w:val="00BB0D96"/>
    <w:rsid w:val="00BB40BF"/>
    <w:rsid w:val="00BB712C"/>
    <w:rsid w:val="00BC0B63"/>
    <w:rsid w:val="00BC0CD1"/>
    <w:rsid w:val="00BC21A8"/>
    <w:rsid w:val="00BD7605"/>
    <w:rsid w:val="00BE719A"/>
    <w:rsid w:val="00BE720A"/>
    <w:rsid w:val="00BF0461"/>
    <w:rsid w:val="00BF4944"/>
    <w:rsid w:val="00BF56D4"/>
    <w:rsid w:val="00BF5BA1"/>
    <w:rsid w:val="00C002D7"/>
    <w:rsid w:val="00C04409"/>
    <w:rsid w:val="00C067E5"/>
    <w:rsid w:val="00C15668"/>
    <w:rsid w:val="00C164CA"/>
    <w:rsid w:val="00C176CF"/>
    <w:rsid w:val="00C24021"/>
    <w:rsid w:val="00C24EE9"/>
    <w:rsid w:val="00C34228"/>
    <w:rsid w:val="00C34BBC"/>
    <w:rsid w:val="00C42BF8"/>
    <w:rsid w:val="00C460AE"/>
    <w:rsid w:val="00C50043"/>
    <w:rsid w:val="00C503AE"/>
    <w:rsid w:val="00C54E84"/>
    <w:rsid w:val="00C626AB"/>
    <w:rsid w:val="00C6782D"/>
    <w:rsid w:val="00C70847"/>
    <w:rsid w:val="00C7573B"/>
    <w:rsid w:val="00C76CF3"/>
    <w:rsid w:val="00C905CE"/>
    <w:rsid w:val="00C932EC"/>
    <w:rsid w:val="00C93767"/>
    <w:rsid w:val="00CA285E"/>
    <w:rsid w:val="00CA669D"/>
    <w:rsid w:val="00CB570E"/>
    <w:rsid w:val="00CC4AEB"/>
    <w:rsid w:val="00CD31D0"/>
    <w:rsid w:val="00CD7292"/>
    <w:rsid w:val="00CE1E31"/>
    <w:rsid w:val="00CE33D7"/>
    <w:rsid w:val="00CF04CE"/>
    <w:rsid w:val="00CF0BB2"/>
    <w:rsid w:val="00CF29C9"/>
    <w:rsid w:val="00D00EAA"/>
    <w:rsid w:val="00D03E88"/>
    <w:rsid w:val="00D07269"/>
    <w:rsid w:val="00D13441"/>
    <w:rsid w:val="00D243A3"/>
    <w:rsid w:val="00D33101"/>
    <w:rsid w:val="00D3468D"/>
    <w:rsid w:val="00D37AC8"/>
    <w:rsid w:val="00D477C3"/>
    <w:rsid w:val="00D511B0"/>
    <w:rsid w:val="00D52EFE"/>
    <w:rsid w:val="00D544F4"/>
    <w:rsid w:val="00D61065"/>
    <w:rsid w:val="00D63EF6"/>
    <w:rsid w:val="00D67691"/>
    <w:rsid w:val="00D70C60"/>
    <w:rsid w:val="00D70DFB"/>
    <w:rsid w:val="00D73029"/>
    <w:rsid w:val="00D766DF"/>
    <w:rsid w:val="00D8489C"/>
    <w:rsid w:val="00D84EE1"/>
    <w:rsid w:val="00D9055C"/>
    <w:rsid w:val="00D94A8B"/>
    <w:rsid w:val="00DB181B"/>
    <w:rsid w:val="00DC06F3"/>
    <w:rsid w:val="00DC159F"/>
    <w:rsid w:val="00DC4387"/>
    <w:rsid w:val="00DC6618"/>
    <w:rsid w:val="00DC77DB"/>
    <w:rsid w:val="00DE2002"/>
    <w:rsid w:val="00DE2378"/>
    <w:rsid w:val="00DE4BCE"/>
    <w:rsid w:val="00DE726F"/>
    <w:rsid w:val="00DE79DF"/>
    <w:rsid w:val="00DF16E3"/>
    <w:rsid w:val="00DF1FA3"/>
    <w:rsid w:val="00DF7AE9"/>
    <w:rsid w:val="00E0490B"/>
    <w:rsid w:val="00E05600"/>
    <w:rsid w:val="00E05704"/>
    <w:rsid w:val="00E16E8C"/>
    <w:rsid w:val="00E24465"/>
    <w:rsid w:val="00E24D66"/>
    <w:rsid w:val="00E25908"/>
    <w:rsid w:val="00E350FF"/>
    <w:rsid w:val="00E37760"/>
    <w:rsid w:val="00E504AD"/>
    <w:rsid w:val="00E53EE3"/>
    <w:rsid w:val="00E54292"/>
    <w:rsid w:val="00E62C96"/>
    <w:rsid w:val="00E661CE"/>
    <w:rsid w:val="00E70F13"/>
    <w:rsid w:val="00E74DC7"/>
    <w:rsid w:val="00E84ECA"/>
    <w:rsid w:val="00E862C5"/>
    <w:rsid w:val="00E868B1"/>
    <w:rsid w:val="00E86EAC"/>
    <w:rsid w:val="00E87699"/>
    <w:rsid w:val="00E91FA7"/>
    <w:rsid w:val="00E947C6"/>
    <w:rsid w:val="00E97F6A"/>
    <w:rsid w:val="00EA02D7"/>
    <w:rsid w:val="00EA4449"/>
    <w:rsid w:val="00EA6C7A"/>
    <w:rsid w:val="00EB0D19"/>
    <w:rsid w:val="00EB510C"/>
    <w:rsid w:val="00EB7990"/>
    <w:rsid w:val="00EC0E2A"/>
    <w:rsid w:val="00EC6960"/>
    <w:rsid w:val="00ED492F"/>
    <w:rsid w:val="00EE1B0B"/>
    <w:rsid w:val="00EE3E36"/>
    <w:rsid w:val="00EF2E3A"/>
    <w:rsid w:val="00F0332D"/>
    <w:rsid w:val="00F047E2"/>
    <w:rsid w:val="00F078DC"/>
    <w:rsid w:val="00F13C9A"/>
    <w:rsid w:val="00F13E86"/>
    <w:rsid w:val="00F14A42"/>
    <w:rsid w:val="00F17B00"/>
    <w:rsid w:val="00F30FB2"/>
    <w:rsid w:val="00F41A08"/>
    <w:rsid w:val="00F57341"/>
    <w:rsid w:val="00F64BDC"/>
    <w:rsid w:val="00F677A9"/>
    <w:rsid w:val="00F84CF5"/>
    <w:rsid w:val="00F90F68"/>
    <w:rsid w:val="00F92D35"/>
    <w:rsid w:val="00F9392B"/>
    <w:rsid w:val="00FA420B"/>
    <w:rsid w:val="00FB2BA5"/>
    <w:rsid w:val="00FB7004"/>
    <w:rsid w:val="00FC65C4"/>
    <w:rsid w:val="00FC7D14"/>
    <w:rsid w:val="00FD1E13"/>
    <w:rsid w:val="00FD7EB1"/>
    <w:rsid w:val="00FE1C35"/>
    <w:rsid w:val="00FE41C9"/>
    <w:rsid w:val="00FE7BD6"/>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3FEA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B741F"/>
    <w:pPr>
      <w:spacing w:line="260" w:lineRule="atLeast"/>
    </w:pPr>
    <w:rPr>
      <w:sz w:val="22"/>
    </w:rPr>
  </w:style>
  <w:style w:type="paragraph" w:styleId="Heading1">
    <w:name w:val="heading 1"/>
    <w:basedOn w:val="Normal"/>
    <w:next w:val="Normal"/>
    <w:link w:val="Heading1Char"/>
    <w:uiPriority w:val="9"/>
    <w:qFormat/>
    <w:rsid w:val="00993D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93D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93DD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93DD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subsection"/>
    <w:link w:val="Heading5Char"/>
    <w:qFormat/>
    <w:rsid w:val="00993DD4"/>
    <w:pPr>
      <w:keepNext/>
      <w:keepLines/>
      <w:spacing w:before="280" w:line="240" w:lineRule="auto"/>
      <w:ind w:left="1134" w:hanging="1134"/>
      <w:outlineLvl w:val="4"/>
    </w:pPr>
    <w:rPr>
      <w:rFonts w:eastAsia="Times New Roman" w:cs="Times New Roman"/>
      <w:b/>
      <w:kern w:val="28"/>
      <w:sz w:val="24"/>
      <w:lang w:eastAsia="en-AU"/>
    </w:rPr>
  </w:style>
  <w:style w:type="paragraph" w:styleId="Heading6">
    <w:name w:val="heading 6"/>
    <w:basedOn w:val="Normal"/>
    <w:next w:val="Normal"/>
    <w:link w:val="Heading6Char"/>
    <w:uiPriority w:val="9"/>
    <w:semiHidden/>
    <w:unhideWhenUsed/>
    <w:qFormat/>
    <w:rsid w:val="00993DD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93DD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93DD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3D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B741F"/>
  </w:style>
  <w:style w:type="paragraph" w:customStyle="1" w:styleId="OPCParaBase">
    <w:name w:val="OPCParaBase"/>
    <w:qFormat/>
    <w:rsid w:val="003B741F"/>
    <w:pPr>
      <w:spacing w:line="260" w:lineRule="atLeast"/>
    </w:pPr>
    <w:rPr>
      <w:rFonts w:eastAsia="Times New Roman" w:cs="Times New Roman"/>
      <w:sz w:val="22"/>
      <w:lang w:eastAsia="en-AU"/>
    </w:rPr>
  </w:style>
  <w:style w:type="paragraph" w:customStyle="1" w:styleId="ShortT">
    <w:name w:val="ShortT"/>
    <w:basedOn w:val="OPCParaBase"/>
    <w:next w:val="Normal"/>
    <w:qFormat/>
    <w:rsid w:val="003B741F"/>
    <w:pPr>
      <w:spacing w:line="240" w:lineRule="auto"/>
    </w:pPr>
    <w:rPr>
      <w:b/>
      <w:sz w:val="40"/>
    </w:rPr>
  </w:style>
  <w:style w:type="paragraph" w:customStyle="1" w:styleId="ActHead1">
    <w:name w:val="ActHead 1"/>
    <w:aliases w:val="c"/>
    <w:basedOn w:val="OPCParaBase"/>
    <w:next w:val="Normal"/>
    <w:qFormat/>
    <w:rsid w:val="003B741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B741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B741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B741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B741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B741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B741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B741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B741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B741F"/>
  </w:style>
  <w:style w:type="paragraph" w:customStyle="1" w:styleId="Blocks">
    <w:name w:val="Blocks"/>
    <w:aliases w:val="bb"/>
    <w:basedOn w:val="OPCParaBase"/>
    <w:qFormat/>
    <w:rsid w:val="003B741F"/>
    <w:pPr>
      <w:spacing w:line="240" w:lineRule="auto"/>
    </w:pPr>
    <w:rPr>
      <w:sz w:val="24"/>
    </w:rPr>
  </w:style>
  <w:style w:type="paragraph" w:customStyle="1" w:styleId="BoxText">
    <w:name w:val="BoxText"/>
    <w:aliases w:val="bt"/>
    <w:basedOn w:val="OPCParaBase"/>
    <w:qFormat/>
    <w:rsid w:val="003B741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B741F"/>
    <w:rPr>
      <w:b/>
    </w:rPr>
  </w:style>
  <w:style w:type="paragraph" w:customStyle="1" w:styleId="BoxHeadItalic">
    <w:name w:val="BoxHeadItalic"/>
    <w:aliases w:val="bhi"/>
    <w:basedOn w:val="BoxText"/>
    <w:next w:val="BoxStep"/>
    <w:qFormat/>
    <w:rsid w:val="003B741F"/>
    <w:rPr>
      <w:i/>
    </w:rPr>
  </w:style>
  <w:style w:type="paragraph" w:customStyle="1" w:styleId="BoxList">
    <w:name w:val="BoxList"/>
    <w:aliases w:val="bl"/>
    <w:basedOn w:val="BoxText"/>
    <w:qFormat/>
    <w:rsid w:val="003B741F"/>
    <w:pPr>
      <w:ind w:left="1559" w:hanging="425"/>
    </w:pPr>
  </w:style>
  <w:style w:type="paragraph" w:customStyle="1" w:styleId="BoxNote">
    <w:name w:val="BoxNote"/>
    <w:aliases w:val="bn"/>
    <w:basedOn w:val="BoxText"/>
    <w:qFormat/>
    <w:rsid w:val="003B741F"/>
    <w:pPr>
      <w:tabs>
        <w:tab w:val="left" w:pos="1985"/>
      </w:tabs>
      <w:spacing w:before="122" w:line="198" w:lineRule="exact"/>
      <w:ind w:left="2948" w:hanging="1814"/>
    </w:pPr>
    <w:rPr>
      <w:sz w:val="18"/>
    </w:rPr>
  </w:style>
  <w:style w:type="paragraph" w:customStyle="1" w:styleId="BoxPara">
    <w:name w:val="BoxPara"/>
    <w:aliases w:val="bp"/>
    <w:basedOn w:val="BoxText"/>
    <w:qFormat/>
    <w:rsid w:val="003B741F"/>
    <w:pPr>
      <w:tabs>
        <w:tab w:val="right" w:pos="2268"/>
      </w:tabs>
      <w:ind w:left="2552" w:hanging="1418"/>
    </w:pPr>
  </w:style>
  <w:style w:type="paragraph" w:customStyle="1" w:styleId="BoxStep">
    <w:name w:val="BoxStep"/>
    <w:aliases w:val="bs"/>
    <w:basedOn w:val="BoxText"/>
    <w:qFormat/>
    <w:rsid w:val="003B741F"/>
    <w:pPr>
      <w:ind w:left="1985" w:hanging="851"/>
    </w:pPr>
  </w:style>
  <w:style w:type="character" w:customStyle="1" w:styleId="CharAmPartNo">
    <w:name w:val="CharAmPartNo"/>
    <w:basedOn w:val="OPCCharBase"/>
    <w:qFormat/>
    <w:rsid w:val="003B741F"/>
  </w:style>
  <w:style w:type="character" w:customStyle="1" w:styleId="CharAmPartText">
    <w:name w:val="CharAmPartText"/>
    <w:basedOn w:val="OPCCharBase"/>
    <w:qFormat/>
    <w:rsid w:val="003B741F"/>
  </w:style>
  <w:style w:type="character" w:customStyle="1" w:styleId="CharAmSchNo">
    <w:name w:val="CharAmSchNo"/>
    <w:basedOn w:val="OPCCharBase"/>
    <w:qFormat/>
    <w:rsid w:val="003B741F"/>
  </w:style>
  <w:style w:type="character" w:customStyle="1" w:styleId="CharAmSchText">
    <w:name w:val="CharAmSchText"/>
    <w:basedOn w:val="OPCCharBase"/>
    <w:qFormat/>
    <w:rsid w:val="003B741F"/>
  </w:style>
  <w:style w:type="character" w:customStyle="1" w:styleId="CharBoldItalic">
    <w:name w:val="CharBoldItalic"/>
    <w:basedOn w:val="OPCCharBase"/>
    <w:uiPriority w:val="1"/>
    <w:qFormat/>
    <w:rsid w:val="003B741F"/>
    <w:rPr>
      <w:b/>
      <w:i/>
    </w:rPr>
  </w:style>
  <w:style w:type="character" w:customStyle="1" w:styleId="CharChapNo">
    <w:name w:val="CharChapNo"/>
    <w:basedOn w:val="OPCCharBase"/>
    <w:uiPriority w:val="1"/>
    <w:qFormat/>
    <w:rsid w:val="003B741F"/>
  </w:style>
  <w:style w:type="character" w:customStyle="1" w:styleId="CharChapText">
    <w:name w:val="CharChapText"/>
    <w:basedOn w:val="OPCCharBase"/>
    <w:uiPriority w:val="1"/>
    <w:qFormat/>
    <w:rsid w:val="003B741F"/>
  </w:style>
  <w:style w:type="character" w:customStyle="1" w:styleId="CharDivNo">
    <w:name w:val="CharDivNo"/>
    <w:basedOn w:val="OPCCharBase"/>
    <w:uiPriority w:val="1"/>
    <w:qFormat/>
    <w:rsid w:val="003B741F"/>
  </w:style>
  <w:style w:type="character" w:customStyle="1" w:styleId="CharDivText">
    <w:name w:val="CharDivText"/>
    <w:basedOn w:val="OPCCharBase"/>
    <w:uiPriority w:val="1"/>
    <w:qFormat/>
    <w:rsid w:val="003B741F"/>
  </w:style>
  <w:style w:type="character" w:customStyle="1" w:styleId="CharItalic">
    <w:name w:val="CharItalic"/>
    <w:basedOn w:val="OPCCharBase"/>
    <w:uiPriority w:val="1"/>
    <w:qFormat/>
    <w:rsid w:val="003B741F"/>
    <w:rPr>
      <w:i/>
    </w:rPr>
  </w:style>
  <w:style w:type="character" w:customStyle="1" w:styleId="CharPartNo">
    <w:name w:val="CharPartNo"/>
    <w:basedOn w:val="OPCCharBase"/>
    <w:uiPriority w:val="1"/>
    <w:qFormat/>
    <w:rsid w:val="003B741F"/>
  </w:style>
  <w:style w:type="character" w:customStyle="1" w:styleId="CharPartText">
    <w:name w:val="CharPartText"/>
    <w:basedOn w:val="OPCCharBase"/>
    <w:uiPriority w:val="1"/>
    <w:qFormat/>
    <w:rsid w:val="003B741F"/>
  </w:style>
  <w:style w:type="character" w:customStyle="1" w:styleId="CharSectno">
    <w:name w:val="CharSectno"/>
    <w:basedOn w:val="OPCCharBase"/>
    <w:qFormat/>
    <w:rsid w:val="003B741F"/>
  </w:style>
  <w:style w:type="character" w:customStyle="1" w:styleId="CharSubdNo">
    <w:name w:val="CharSubdNo"/>
    <w:basedOn w:val="OPCCharBase"/>
    <w:uiPriority w:val="1"/>
    <w:qFormat/>
    <w:rsid w:val="003B741F"/>
  </w:style>
  <w:style w:type="character" w:customStyle="1" w:styleId="CharSubdText">
    <w:name w:val="CharSubdText"/>
    <w:basedOn w:val="OPCCharBase"/>
    <w:uiPriority w:val="1"/>
    <w:qFormat/>
    <w:rsid w:val="003B741F"/>
  </w:style>
  <w:style w:type="paragraph" w:customStyle="1" w:styleId="CTA--">
    <w:name w:val="CTA --"/>
    <w:basedOn w:val="OPCParaBase"/>
    <w:next w:val="Normal"/>
    <w:rsid w:val="003B741F"/>
    <w:pPr>
      <w:spacing w:before="60" w:line="240" w:lineRule="atLeast"/>
      <w:ind w:left="142" w:hanging="142"/>
    </w:pPr>
    <w:rPr>
      <w:sz w:val="20"/>
    </w:rPr>
  </w:style>
  <w:style w:type="paragraph" w:customStyle="1" w:styleId="CTA-">
    <w:name w:val="CTA -"/>
    <w:basedOn w:val="OPCParaBase"/>
    <w:rsid w:val="003B741F"/>
    <w:pPr>
      <w:spacing w:before="60" w:line="240" w:lineRule="atLeast"/>
      <w:ind w:left="85" w:hanging="85"/>
    </w:pPr>
    <w:rPr>
      <w:sz w:val="20"/>
    </w:rPr>
  </w:style>
  <w:style w:type="paragraph" w:customStyle="1" w:styleId="CTA---">
    <w:name w:val="CTA ---"/>
    <w:basedOn w:val="OPCParaBase"/>
    <w:next w:val="Normal"/>
    <w:rsid w:val="003B741F"/>
    <w:pPr>
      <w:spacing w:before="60" w:line="240" w:lineRule="atLeast"/>
      <w:ind w:left="198" w:hanging="198"/>
    </w:pPr>
    <w:rPr>
      <w:sz w:val="20"/>
    </w:rPr>
  </w:style>
  <w:style w:type="paragraph" w:customStyle="1" w:styleId="CTA----">
    <w:name w:val="CTA ----"/>
    <w:basedOn w:val="OPCParaBase"/>
    <w:next w:val="Normal"/>
    <w:rsid w:val="003B741F"/>
    <w:pPr>
      <w:spacing w:before="60" w:line="240" w:lineRule="atLeast"/>
      <w:ind w:left="255" w:hanging="255"/>
    </w:pPr>
    <w:rPr>
      <w:sz w:val="20"/>
    </w:rPr>
  </w:style>
  <w:style w:type="paragraph" w:customStyle="1" w:styleId="CTA1a">
    <w:name w:val="CTA 1(a)"/>
    <w:basedOn w:val="OPCParaBase"/>
    <w:rsid w:val="003B741F"/>
    <w:pPr>
      <w:tabs>
        <w:tab w:val="right" w:pos="414"/>
      </w:tabs>
      <w:spacing w:before="40" w:line="240" w:lineRule="atLeast"/>
      <w:ind w:left="675" w:hanging="675"/>
    </w:pPr>
    <w:rPr>
      <w:sz w:val="20"/>
    </w:rPr>
  </w:style>
  <w:style w:type="paragraph" w:customStyle="1" w:styleId="CTA1ai">
    <w:name w:val="CTA 1(a)(i)"/>
    <w:basedOn w:val="OPCParaBase"/>
    <w:rsid w:val="003B741F"/>
    <w:pPr>
      <w:tabs>
        <w:tab w:val="right" w:pos="1004"/>
      </w:tabs>
      <w:spacing w:before="40" w:line="240" w:lineRule="atLeast"/>
      <w:ind w:left="1253" w:hanging="1253"/>
    </w:pPr>
    <w:rPr>
      <w:sz w:val="20"/>
    </w:rPr>
  </w:style>
  <w:style w:type="paragraph" w:customStyle="1" w:styleId="CTA2a">
    <w:name w:val="CTA 2(a)"/>
    <w:basedOn w:val="OPCParaBase"/>
    <w:rsid w:val="003B741F"/>
    <w:pPr>
      <w:tabs>
        <w:tab w:val="right" w:pos="482"/>
      </w:tabs>
      <w:spacing w:before="40" w:line="240" w:lineRule="atLeast"/>
      <w:ind w:left="748" w:hanging="748"/>
    </w:pPr>
    <w:rPr>
      <w:sz w:val="20"/>
    </w:rPr>
  </w:style>
  <w:style w:type="paragraph" w:customStyle="1" w:styleId="CTA2ai">
    <w:name w:val="CTA 2(a)(i)"/>
    <w:basedOn w:val="OPCParaBase"/>
    <w:rsid w:val="003B741F"/>
    <w:pPr>
      <w:tabs>
        <w:tab w:val="right" w:pos="1089"/>
      </w:tabs>
      <w:spacing w:before="40" w:line="240" w:lineRule="atLeast"/>
      <w:ind w:left="1327" w:hanging="1327"/>
    </w:pPr>
    <w:rPr>
      <w:sz w:val="20"/>
    </w:rPr>
  </w:style>
  <w:style w:type="paragraph" w:customStyle="1" w:styleId="CTA3a">
    <w:name w:val="CTA 3(a)"/>
    <w:basedOn w:val="OPCParaBase"/>
    <w:rsid w:val="003B741F"/>
    <w:pPr>
      <w:tabs>
        <w:tab w:val="right" w:pos="556"/>
      </w:tabs>
      <w:spacing w:before="40" w:line="240" w:lineRule="atLeast"/>
      <w:ind w:left="805" w:hanging="805"/>
    </w:pPr>
    <w:rPr>
      <w:sz w:val="20"/>
    </w:rPr>
  </w:style>
  <w:style w:type="paragraph" w:customStyle="1" w:styleId="CTA3ai">
    <w:name w:val="CTA 3(a)(i)"/>
    <w:basedOn w:val="OPCParaBase"/>
    <w:rsid w:val="003B741F"/>
    <w:pPr>
      <w:tabs>
        <w:tab w:val="right" w:pos="1140"/>
      </w:tabs>
      <w:spacing w:before="40" w:line="240" w:lineRule="atLeast"/>
      <w:ind w:left="1361" w:hanging="1361"/>
    </w:pPr>
    <w:rPr>
      <w:sz w:val="20"/>
    </w:rPr>
  </w:style>
  <w:style w:type="paragraph" w:customStyle="1" w:styleId="CTA4a">
    <w:name w:val="CTA 4(a)"/>
    <w:basedOn w:val="OPCParaBase"/>
    <w:rsid w:val="003B741F"/>
    <w:pPr>
      <w:tabs>
        <w:tab w:val="right" w:pos="624"/>
      </w:tabs>
      <w:spacing w:before="40" w:line="240" w:lineRule="atLeast"/>
      <w:ind w:left="873" w:hanging="873"/>
    </w:pPr>
    <w:rPr>
      <w:sz w:val="20"/>
    </w:rPr>
  </w:style>
  <w:style w:type="paragraph" w:customStyle="1" w:styleId="CTA4ai">
    <w:name w:val="CTA 4(a)(i)"/>
    <w:basedOn w:val="OPCParaBase"/>
    <w:rsid w:val="003B741F"/>
    <w:pPr>
      <w:tabs>
        <w:tab w:val="right" w:pos="1213"/>
      </w:tabs>
      <w:spacing w:before="40" w:line="240" w:lineRule="atLeast"/>
      <w:ind w:left="1452" w:hanging="1452"/>
    </w:pPr>
    <w:rPr>
      <w:sz w:val="20"/>
    </w:rPr>
  </w:style>
  <w:style w:type="paragraph" w:customStyle="1" w:styleId="CTACAPS">
    <w:name w:val="CTA CAPS"/>
    <w:basedOn w:val="OPCParaBase"/>
    <w:rsid w:val="003B741F"/>
    <w:pPr>
      <w:spacing w:before="60" w:line="240" w:lineRule="atLeast"/>
    </w:pPr>
    <w:rPr>
      <w:sz w:val="20"/>
    </w:rPr>
  </w:style>
  <w:style w:type="paragraph" w:customStyle="1" w:styleId="CTAright">
    <w:name w:val="CTA right"/>
    <w:basedOn w:val="OPCParaBase"/>
    <w:rsid w:val="003B741F"/>
    <w:pPr>
      <w:spacing w:before="60" w:line="240" w:lineRule="auto"/>
      <w:jc w:val="right"/>
    </w:pPr>
    <w:rPr>
      <w:sz w:val="20"/>
    </w:rPr>
  </w:style>
  <w:style w:type="paragraph" w:customStyle="1" w:styleId="subsection">
    <w:name w:val="subsection"/>
    <w:aliases w:val="ss,Subsection"/>
    <w:basedOn w:val="OPCParaBase"/>
    <w:link w:val="subsectionChar"/>
    <w:rsid w:val="003B741F"/>
    <w:pPr>
      <w:tabs>
        <w:tab w:val="right" w:pos="1021"/>
      </w:tabs>
      <w:spacing w:before="180" w:line="240" w:lineRule="auto"/>
      <w:ind w:left="1134" w:hanging="1134"/>
    </w:pPr>
  </w:style>
  <w:style w:type="paragraph" w:customStyle="1" w:styleId="Definition">
    <w:name w:val="Definition"/>
    <w:aliases w:val="dd"/>
    <w:basedOn w:val="OPCParaBase"/>
    <w:rsid w:val="003B741F"/>
    <w:pPr>
      <w:spacing w:before="180" w:line="240" w:lineRule="auto"/>
      <w:ind w:left="1134"/>
    </w:pPr>
  </w:style>
  <w:style w:type="paragraph" w:customStyle="1" w:styleId="ETAsubitem">
    <w:name w:val="ETA(subitem)"/>
    <w:basedOn w:val="OPCParaBase"/>
    <w:rsid w:val="003B741F"/>
    <w:pPr>
      <w:tabs>
        <w:tab w:val="right" w:pos="340"/>
      </w:tabs>
      <w:spacing w:before="60" w:line="240" w:lineRule="auto"/>
      <w:ind w:left="454" w:hanging="454"/>
    </w:pPr>
    <w:rPr>
      <w:sz w:val="20"/>
    </w:rPr>
  </w:style>
  <w:style w:type="paragraph" w:customStyle="1" w:styleId="ETApara">
    <w:name w:val="ETA(para)"/>
    <w:basedOn w:val="OPCParaBase"/>
    <w:rsid w:val="003B741F"/>
    <w:pPr>
      <w:tabs>
        <w:tab w:val="right" w:pos="754"/>
      </w:tabs>
      <w:spacing w:before="60" w:line="240" w:lineRule="auto"/>
      <w:ind w:left="828" w:hanging="828"/>
    </w:pPr>
    <w:rPr>
      <w:sz w:val="20"/>
    </w:rPr>
  </w:style>
  <w:style w:type="paragraph" w:customStyle="1" w:styleId="ETAsubpara">
    <w:name w:val="ETA(subpara)"/>
    <w:basedOn w:val="OPCParaBase"/>
    <w:rsid w:val="003B741F"/>
    <w:pPr>
      <w:tabs>
        <w:tab w:val="right" w:pos="1083"/>
      </w:tabs>
      <w:spacing w:before="60" w:line="240" w:lineRule="auto"/>
      <w:ind w:left="1191" w:hanging="1191"/>
    </w:pPr>
    <w:rPr>
      <w:sz w:val="20"/>
    </w:rPr>
  </w:style>
  <w:style w:type="paragraph" w:customStyle="1" w:styleId="ETAsub-subpara">
    <w:name w:val="ETA(sub-subpara)"/>
    <w:basedOn w:val="OPCParaBase"/>
    <w:rsid w:val="003B741F"/>
    <w:pPr>
      <w:tabs>
        <w:tab w:val="right" w:pos="1412"/>
      </w:tabs>
      <w:spacing w:before="60" w:line="240" w:lineRule="auto"/>
      <w:ind w:left="1525" w:hanging="1525"/>
    </w:pPr>
    <w:rPr>
      <w:sz w:val="20"/>
    </w:rPr>
  </w:style>
  <w:style w:type="paragraph" w:customStyle="1" w:styleId="Formula">
    <w:name w:val="Formula"/>
    <w:basedOn w:val="OPCParaBase"/>
    <w:rsid w:val="003B741F"/>
    <w:pPr>
      <w:spacing w:line="240" w:lineRule="auto"/>
      <w:ind w:left="1134"/>
    </w:pPr>
    <w:rPr>
      <w:sz w:val="20"/>
    </w:rPr>
  </w:style>
  <w:style w:type="paragraph" w:styleId="Header">
    <w:name w:val="header"/>
    <w:basedOn w:val="OPCParaBase"/>
    <w:link w:val="HeaderChar"/>
    <w:unhideWhenUsed/>
    <w:rsid w:val="003B741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B741F"/>
    <w:rPr>
      <w:rFonts w:eastAsia="Times New Roman" w:cs="Times New Roman"/>
      <w:sz w:val="16"/>
      <w:lang w:eastAsia="en-AU"/>
    </w:rPr>
  </w:style>
  <w:style w:type="paragraph" w:customStyle="1" w:styleId="House">
    <w:name w:val="House"/>
    <w:basedOn w:val="OPCParaBase"/>
    <w:rsid w:val="003B741F"/>
    <w:pPr>
      <w:spacing w:line="240" w:lineRule="auto"/>
    </w:pPr>
    <w:rPr>
      <w:sz w:val="28"/>
    </w:rPr>
  </w:style>
  <w:style w:type="paragraph" w:customStyle="1" w:styleId="Item">
    <w:name w:val="Item"/>
    <w:aliases w:val="i"/>
    <w:basedOn w:val="OPCParaBase"/>
    <w:next w:val="ItemHead"/>
    <w:rsid w:val="003B741F"/>
    <w:pPr>
      <w:keepLines/>
      <w:spacing w:before="80" w:line="240" w:lineRule="auto"/>
      <w:ind w:left="709"/>
    </w:pPr>
  </w:style>
  <w:style w:type="paragraph" w:customStyle="1" w:styleId="ItemHead">
    <w:name w:val="ItemHead"/>
    <w:aliases w:val="ih"/>
    <w:basedOn w:val="OPCParaBase"/>
    <w:next w:val="Item"/>
    <w:rsid w:val="003B741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B741F"/>
    <w:pPr>
      <w:spacing w:line="240" w:lineRule="auto"/>
    </w:pPr>
    <w:rPr>
      <w:b/>
      <w:sz w:val="32"/>
    </w:rPr>
  </w:style>
  <w:style w:type="paragraph" w:customStyle="1" w:styleId="notedraft">
    <w:name w:val="note(draft)"/>
    <w:aliases w:val="nd"/>
    <w:basedOn w:val="OPCParaBase"/>
    <w:rsid w:val="003B741F"/>
    <w:pPr>
      <w:spacing w:before="240" w:line="240" w:lineRule="auto"/>
      <w:ind w:left="284" w:hanging="284"/>
    </w:pPr>
    <w:rPr>
      <w:i/>
      <w:sz w:val="24"/>
    </w:rPr>
  </w:style>
  <w:style w:type="paragraph" w:customStyle="1" w:styleId="notemargin">
    <w:name w:val="note(margin)"/>
    <w:aliases w:val="nm"/>
    <w:basedOn w:val="OPCParaBase"/>
    <w:rsid w:val="003B741F"/>
    <w:pPr>
      <w:tabs>
        <w:tab w:val="left" w:pos="709"/>
      </w:tabs>
      <w:spacing w:before="122" w:line="198" w:lineRule="exact"/>
      <w:ind w:left="709" w:hanging="709"/>
    </w:pPr>
    <w:rPr>
      <w:sz w:val="18"/>
    </w:rPr>
  </w:style>
  <w:style w:type="paragraph" w:customStyle="1" w:styleId="noteToPara">
    <w:name w:val="noteToPara"/>
    <w:aliases w:val="ntp"/>
    <w:basedOn w:val="OPCParaBase"/>
    <w:rsid w:val="003B741F"/>
    <w:pPr>
      <w:spacing w:before="122" w:line="198" w:lineRule="exact"/>
      <w:ind w:left="2353" w:hanging="709"/>
    </w:pPr>
    <w:rPr>
      <w:sz w:val="18"/>
    </w:rPr>
  </w:style>
  <w:style w:type="paragraph" w:customStyle="1" w:styleId="noteParlAmend">
    <w:name w:val="note(ParlAmend)"/>
    <w:aliases w:val="npp"/>
    <w:basedOn w:val="OPCParaBase"/>
    <w:next w:val="ParlAmend"/>
    <w:rsid w:val="003B741F"/>
    <w:pPr>
      <w:spacing w:line="240" w:lineRule="auto"/>
      <w:jc w:val="right"/>
    </w:pPr>
    <w:rPr>
      <w:rFonts w:ascii="Arial" w:hAnsi="Arial"/>
      <w:b/>
      <w:i/>
    </w:rPr>
  </w:style>
  <w:style w:type="paragraph" w:customStyle="1" w:styleId="Page1">
    <w:name w:val="Page1"/>
    <w:basedOn w:val="OPCParaBase"/>
    <w:rsid w:val="003B741F"/>
    <w:pPr>
      <w:spacing w:before="5600" w:line="240" w:lineRule="auto"/>
    </w:pPr>
    <w:rPr>
      <w:b/>
      <w:sz w:val="32"/>
    </w:rPr>
  </w:style>
  <w:style w:type="paragraph" w:customStyle="1" w:styleId="PageBreak">
    <w:name w:val="PageBreak"/>
    <w:aliases w:val="pb"/>
    <w:basedOn w:val="OPCParaBase"/>
    <w:rsid w:val="003B741F"/>
    <w:pPr>
      <w:spacing w:line="240" w:lineRule="auto"/>
    </w:pPr>
    <w:rPr>
      <w:sz w:val="20"/>
    </w:rPr>
  </w:style>
  <w:style w:type="paragraph" w:customStyle="1" w:styleId="paragraphsub">
    <w:name w:val="paragraph(sub)"/>
    <w:aliases w:val="aa"/>
    <w:basedOn w:val="OPCParaBase"/>
    <w:rsid w:val="003B741F"/>
    <w:pPr>
      <w:tabs>
        <w:tab w:val="right" w:pos="1985"/>
      </w:tabs>
      <w:spacing w:before="40" w:line="240" w:lineRule="auto"/>
      <w:ind w:left="2098" w:hanging="2098"/>
    </w:pPr>
  </w:style>
  <w:style w:type="paragraph" w:customStyle="1" w:styleId="paragraphsub-sub">
    <w:name w:val="paragraph(sub-sub)"/>
    <w:aliases w:val="aaa"/>
    <w:basedOn w:val="OPCParaBase"/>
    <w:rsid w:val="003B741F"/>
    <w:pPr>
      <w:tabs>
        <w:tab w:val="right" w:pos="2722"/>
      </w:tabs>
      <w:spacing w:before="40" w:line="240" w:lineRule="auto"/>
      <w:ind w:left="2835" w:hanging="2835"/>
    </w:pPr>
  </w:style>
  <w:style w:type="paragraph" w:customStyle="1" w:styleId="paragraph">
    <w:name w:val="paragraph"/>
    <w:aliases w:val="a"/>
    <w:basedOn w:val="OPCParaBase"/>
    <w:rsid w:val="003B741F"/>
    <w:pPr>
      <w:tabs>
        <w:tab w:val="right" w:pos="1531"/>
      </w:tabs>
      <w:spacing w:before="40" w:line="240" w:lineRule="auto"/>
      <w:ind w:left="1644" w:hanging="1644"/>
    </w:pPr>
  </w:style>
  <w:style w:type="paragraph" w:customStyle="1" w:styleId="ParlAmend">
    <w:name w:val="ParlAmend"/>
    <w:aliases w:val="pp"/>
    <w:basedOn w:val="OPCParaBase"/>
    <w:rsid w:val="003B741F"/>
    <w:pPr>
      <w:spacing w:before="240" w:line="240" w:lineRule="atLeast"/>
      <w:ind w:hanging="567"/>
    </w:pPr>
    <w:rPr>
      <w:sz w:val="24"/>
    </w:rPr>
  </w:style>
  <w:style w:type="paragraph" w:customStyle="1" w:styleId="Penalty">
    <w:name w:val="Penalty"/>
    <w:basedOn w:val="OPCParaBase"/>
    <w:rsid w:val="003B741F"/>
    <w:pPr>
      <w:tabs>
        <w:tab w:val="left" w:pos="2977"/>
      </w:tabs>
      <w:spacing w:before="180" w:line="240" w:lineRule="auto"/>
      <w:ind w:left="1985" w:hanging="851"/>
    </w:pPr>
  </w:style>
  <w:style w:type="paragraph" w:customStyle="1" w:styleId="Portfolio">
    <w:name w:val="Portfolio"/>
    <w:basedOn w:val="OPCParaBase"/>
    <w:rsid w:val="003B741F"/>
    <w:pPr>
      <w:spacing w:line="240" w:lineRule="auto"/>
    </w:pPr>
    <w:rPr>
      <w:i/>
      <w:sz w:val="20"/>
    </w:rPr>
  </w:style>
  <w:style w:type="paragraph" w:customStyle="1" w:styleId="Preamble">
    <w:name w:val="Preamble"/>
    <w:basedOn w:val="OPCParaBase"/>
    <w:next w:val="Normal"/>
    <w:rsid w:val="003B741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B741F"/>
    <w:pPr>
      <w:spacing w:line="240" w:lineRule="auto"/>
    </w:pPr>
    <w:rPr>
      <w:i/>
      <w:sz w:val="20"/>
    </w:rPr>
  </w:style>
  <w:style w:type="paragraph" w:customStyle="1" w:styleId="Session">
    <w:name w:val="Session"/>
    <w:basedOn w:val="OPCParaBase"/>
    <w:rsid w:val="003B741F"/>
    <w:pPr>
      <w:spacing w:line="240" w:lineRule="auto"/>
    </w:pPr>
    <w:rPr>
      <w:sz w:val="28"/>
    </w:rPr>
  </w:style>
  <w:style w:type="paragraph" w:customStyle="1" w:styleId="Sponsor">
    <w:name w:val="Sponsor"/>
    <w:basedOn w:val="OPCParaBase"/>
    <w:rsid w:val="003B741F"/>
    <w:pPr>
      <w:spacing w:line="240" w:lineRule="auto"/>
    </w:pPr>
    <w:rPr>
      <w:i/>
    </w:rPr>
  </w:style>
  <w:style w:type="paragraph" w:customStyle="1" w:styleId="Subitem">
    <w:name w:val="Subitem"/>
    <w:aliases w:val="iss"/>
    <w:basedOn w:val="OPCParaBase"/>
    <w:rsid w:val="003B741F"/>
    <w:pPr>
      <w:spacing w:before="180" w:line="240" w:lineRule="auto"/>
      <w:ind w:left="709" w:hanging="709"/>
    </w:pPr>
  </w:style>
  <w:style w:type="paragraph" w:customStyle="1" w:styleId="SubitemHead">
    <w:name w:val="SubitemHead"/>
    <w:aliases w:val="issh"/>
    <w:basedOn w:val="OPCParaBase"/>
    <w:rsid w:val="003B741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B741F"/>
    <w:pPr>
      <w:spacing w:before="40" w:line="240" w:lineRule="auto"/>
      <w:ind w:left="1134"/>
    </w:pPr>
  </w:style>
  <w:style w:type="paragraph" w:customStyle="1" w:styleId="SubsectionHead">
    <w:name w:val="SubsectionHead"/>
    <w:aliases w:val="ssh"/>
    <w:basedOn w:val="OPCParaBase"/>
    <w:next w:val="subsection"/>
    <w:rsid w:val="003B741F"/>
    <w:pPr>
      <w:keepNext/>
      <w:keepLines/>
      <w:spacing w:before="240" w:line="240" w:lineRule="auto"/>
      <w:ind w:left="1134"/>
    </w:pPr>
    <w:rPr>
      <w:i/>
    </w:rPr>
  </w:style>
  <w:style w:type="paragraph" w:customStyle="1" w:styleId="Tablea">
    <w:name w:val="Table(a)"/>
    <w:aliases w:val="ta"/>
    <w:basedOn w:val="OPCParaBase"/>
    <w:rsid w:val="003B741F"/>
    <w:pPr>
      <w:spacing w:before="60" w:line="240" w:lineRule="auto"/>
      <w:ind w:left="284" w:hanging="284"/>
    </w:pPr>
    <w:rPr>
      <w:sz w:val="20"/>
    </w:rPr>
  </w:style>
  <w:style w:type="paragraph" w:customStyle="1" w:styleId="TableAA">
    <w:name w:val="Table(AA)"/>
    <w:aliases w:val="taaa"/>
    <w:basedOn w:val="OPCParaBase"/>
    <w:rsid w:val="003B741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B741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B741F"/>
    <w:pPr>
      <w:spacing w:before="60" w:line="240" w:lineRule="atLeast"/>
    </w:pPr>
    <w:rPr>
      <w:sz w:val="20"/>
    </w:rPr>
  </w:style>
  <w:style w:type="paragraph" w:customStyle="1" w:styleId="TLPBoxTextnote">
    <w:name w:val="TLPBoxText(note"/>
    <w:aliases w:val="right)"/>
    <w:basedOn w:val="OPCParaBase"/>
    <w:rsid w:val="003B741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B741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B741F"/>
    <w:pPr>
      <w:spacing w:before="122" w:line="198" w:lineRule="exact"/>
      <w:ind w:left="1985" w:hanging="851"/>
      <w:jc w:val="right"/>
    </w:pPr>
    <w:rPr>
      <w:sz w:val="18"/>
    </w:rPr>
  </w:style>
  <w:style w:type="paragraph" w:customStyle="1" w:styleId="TLPTableBullet">
    <w:name w:val="TLPTableBullet"/>
    <w:aliases w:val="ttb"/>
    <w:basedOn w:val="OPCParaBase"/>
    <w:rsid w:val="003B741F"/>
    <w:pPr>
      <w:spacing w:line="240" w:lineRule="exact"/>
      <w:ind w:left="284" w:hanging="284"/>
    </w:pPr>
    <w:rPr>
      <w:sz w:val="20"/>
    </w:rPr>
  </w:style>
  <w:style w:type="paragraph" w:styleId="TOC1">
    <w:name w:val="toc 1"/>
    <w:basedOn w:val="OPCParaBase"/>
    <w:next w:val="Normal"/>
    <w:uiPriority w:val="39"/>
    <w:semiHidden/>
    <w:unhideWhenUsed/>
    <w:rsid w:val="003B741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B741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B741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B741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B741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B741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B741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B741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B741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B741F"/>
    <w:pPr>
      <w:keepLines/>
      <w:spacing w:before="240" w:after="120" w:line="240" w:lineRule="auto"/>
      <w:ind w:left="794"/>
    </w:pPr>
    <w:rPr>
      <w:b/>
      <w:kern w:val="28"/>
      <w:sz w:val="20"/>
    </w:rPr>
  </w:style>
  <w:style w:type="paragraph" w:customStyle="1" w:styleId="TofSectsHeading">
    <w:name w:val="TofSects(Heading)"/>
    <w:basedOn w:val="OPCParaBase"/>
    <w:rsid w:val="003B741F"/>
    <w:pPr>
      <w:spacing w:before="240" w:after="120" w:line="240" w:lineRule="auto"/>
    </w:pPr>
    <w:rPr>
      <w:b/>
      <w:sz w:val="24"/>
    </w:rPr>
  </w:style>
  <w:style w:type="paragraph" w:customStyle="1" w:styleId="TofSectsSection">
    <w:name w:val="TofSects(Section)"/>
    <w:basedOn w:val="OPCParaBase"/>
    <w:rsid w:val="003B741F"/>
    <w:pPr>
      <w:keepLines/>
      <w:spacing w:before="40" w:line="240" w:lineRule="auto"/>
      <w:ind w:left="1588" w:hanging="794"/>
    </w:pPr>
    <w:rPr>
      <w:kern w:val="28"/>
      <w:sz w:val="18"/>
    </w:rPr>
  </w:style>
  <w:style w:type="paragraph" w:customStyle="1" w:styleId="TofSectsSubdiv">
    <w:name w:val="TofSects(Subdiv)"/>
    <w:basedOn w:val="OPCParaBase"/>
    <w:rsid w:val="003B741F"/>
    <w:pPr>
      <w:keepLines/>
      <w:spacing w:before="80" w:line="240" w:lineRule="auto"/>
      <w:ind w:left="1588" w:hanging="794"/>
    </w:pPr>
    <w:rPr>
      <w:kern w:val="28"/>
    </w:rPr>
  </w:style>
  <w:style w:type="paragraph" w:customStyle="1" w:styleId="WRStyle">
    <w:name w:val="WR Style"/>
    <w:aliases w:val="WR"/>
    <w:basedOn w:val="OPCParaBase"/>
    <w:rsid w:val="003B741F"/>
    <w:pPr>
      <w:spacing w:before="240" w:line="240" w:lineRule="auto"/>
      <w:ind w:left="284" w:hanging="284"/>
    </w:pPr>
    <w:rPr>
      <w:b/>
      <w:i/>
      <w:kern w:val="28"/>
      <w:sz w:val="24"/>
    </w:rPr>
  </w:style>
  <w:style w:type="paragraph" w:customStyle="1" w:styleId="notepara">
    <w:name w:val="note(para)"/>
    <w:aliases w:val="na"/>
    <w:basedOn w:val="OPCParaBase"/>
    <w:rsid w:val="003B741F"/>
    <w:pPr>
      <w:spacing w:before="40" w:line="198" w:lineRule="exact"/>
      <w:ind w:left="2354" w:hanging="369"/>
    </w:pPr>
    <w:rPr>
      <w:sz w:val="18"/>
    </w:rPr>
  </w:style>
  <w:style w:type="paragraph" w:styleId="Footer">
    <w:name w:val="footer"/>
    <w:link w:val="FooterChar"/>
    <w:rsid w:val="003B741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B741F"/>
    <w:rPr>
      <w:rFonts w:eastAsia="Times New Roman" w:cs="Times New Roman"/>
      <w:sz w:val="22"/>
      <w:szCs w:val="24"/>
      <w:lang w:eastAsia="en-AU"/>
    </w:rPr>
  </w:style>
  <w:style w:type="character" w:styleId="LineNumber">
    <w:name w:val="line number"/>
    <w:basedOn w:val="OPCCharBase"/>
    <w:uiPriority w:val="99"/>
    <w:semiHidden/>
    <w:unhideWhenUsed/>
    <w:rsid w:val="003B741F"/>
    <w:rPr>
      <w:sz w:val="16"/>
    </w:rPr>
  </w:style>
  <w:style w:type="table" w:customStyle="1" w:styleId="CFlag">
    <w:name w:val="CFlag"/>
    <w:basedOn w:val="TableNormal"/>
    <w:uiPriority w:val="99"/>
    <w:rsid w:val="003B741F"/>
    <w:rPr>
      <w:rFonts w:eastAsia="Times New Roman" w:cs="Times New Roman"/>
      <w:lang w:eastAsia="en-AU"/>
    </w:rPr>
    <w:tblPr/>
  </w:style>
  <w:style w:type="paragraph" w:customStyle="1" w:styleId="NotesHeading1">
    <w:name w:val="NotesHeading 1"/>
    <w:basedOn w:val="OPCParaBase"/>
    <w:next w:val="Normal"/>
    <w:rsid w:val="003B741F"/>
    <w:rPr>
      <w:b/>
      <w:sz w:val="28"/>
      <w:szCs w:val="28"/>
    </w:rPr>
  </w:style>
  <w:style w:type="paragraph" w:customStyle="1" w:styleId="NotesHeading2">
    <w:name w:val="NotesHeading 2"/>
    <w:basedOn w:val="OPCParaBase"/>
    <w:next w:val="Normal"/>
    <w:rsid w:val="003B741F"/>
    <w:rPr>
      <w:b/>
      <w:sz w:val="28"/>
      <w:szCs w:val="28"/>
    </w:rPr>
  </w:style>
  <w:style w:type="paragraph" w:customStyle="1" w:styleId="SignCoverPageEnd">
    <w:name w:val="SignCoverPageEnd"/>
    <w:basedOn w:val="OPCParaBase"/>
    <w:next w:val="Normal"/>
    <w:rsid w:val="003B741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B741F"/>
    <w:pPr>
      <w:pBdr>
        <w:top w:val="single" w:sz="4" w:space="1" w:color="auto"/>
      </w:pBdr>
      <w:spacing w:before="360"/>
      <w:ind w:right="397"/>
      <w:jc w:val="both"/>
    </w:pPr>
  </w:style>
  <w:style w:type="paragraph" w:customStyle="1" w:styleId="Paragraphsub-sub-sub">
    <w:name w:val="Paragraph(sub-sub-sub)"/>
    <w:aliases w:val="aaaa"/>
    <w:basedOn w:val="OPCParaBase"/>
    <w:rsid w:val="003B741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B741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B741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B741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B741F"/>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B741F"/>
    <w:pPr>
      <w:spacing w:before="120"/>
    </w:pPr>
  </w:style>
  <w:style w:type="paragraph" w:customStyle="1" w:styleId="TableTextEndNotes">
    <w:name w:val="TableTextEndNotes"/>
    <w:aliases w:val="Tten"/>
    <w:basedOn w:val="Normal"/>
    <w:rsid w:val="003B741F"/>
    <w:pPr>
      <w:spacing w:before="60" w:line="240" w:lineRule="auto"/>
    </w:pPr>
    <w:rPr>
      <w:rFonts w:cs="Arial"/>
      <w:sz w:val="20"/>
      <w:szCs w:val="22"/>
    </w:rPr>
  </w:style>
  <w:style w:type="paragraph" w:customStyle="1" w:styleId="TableHeading">
    <w:name w:val="TableHeading"/>
    <w:aliases w:val="th"/>
    <w:basedOn w:val="OPCParaBase"/>
    <w:next w:val="Tabletext"/>
    <w:rsid w:val="003B741F"/>
    <w:pPr>
      <w:keepNext/>
      <w:spacing w:before="60" w:line="240" w:lineRule="atLeast"/>
    </w:pPr>
    <w:rPr>
      <w:b/>
      <w:sz w:val="20"/>
    </w:rPr>
  </w:style>
  <w:style w:type="paragraph" w:customStyle="1" w:styleId="NoteToSubpara">
    <w:name w:val="NoteToSubpara"/>
    <w:aliases w:val="nts"/>
    <w:basedOn w:val="OPCParaBase"/>
    <w:rsid w:val="003B741F"/>
    <w:pPr>
      <w:spacing w:before="40" w:line="198" w:lineRule="exact"/>
      <w:ind w:left="2835" w:hanging="709"/>
    </w:pPr>
    <w:rPr>
      <w:sz w:val="18"/>
    </w:rPr>
  </w:style>
  <w:style w:type="paragraph" w:customStyle="1" w:styleId="ENoteTableHeading">
    <w:name w:val="ENoteTableHeading"/>
    <w:aliases w:val="enth"/>
    <w:basedOn w:val="OPCParaBase"/>
    <w:rsid w:val="003B741F"/>
    <w:pPr>
      <w:keepNext/>
      <w:spacing w:before="60" w:line="240" w:lineRule="atLeast"/>
    </w:pPr>
    <w:rPr>
      <w:rFonts w:ascii="Arial" w:hAnsi="Arial"/>
      <w:b/>
      <w:sz w:val="16"/>
    </w:rPr>
  </w:style>
  <w:style w:type="paragraph" w:customStyle="1" w:styleId="ENoteTTi">
    <w:name w:val="ENoteTTi"/>
    <w:aliases w:val="entti"/>
    <w:basedOn w:val="OPCParaBase"/>
    <w:rsid w:val="003B741F"/>
    <w:pPr>
      <w:keepNext/>
      <w:spacing w:before="60" w:line="240" w:lineRule="atLeast"/>
      <w:ind w:left="170"/>
    </w:pPr>
    <w:rPr>
      <w:sz w:val="16"/>
    </w:rPr>
  </w:style>
  <w:style w:type="paragraph" w:customStyle="1" w:styleId="ENotesHeading1">
    <w:name w:val="ENotesHeading 1"/>
    <w:aliases w:val="Enh1"/>
    <w:basedOn w:val="OPCParaBase"/>
    <w:next w:val="Normal"/>
    <w:rsid w:val="003B741F"/>
    <w:pPr>
      <w:spacing w:before="120"/>
      <w:outlineLvl w:val="1"/>
    </w:pPr>
    <w:rPr>
      <w:b/>
      <w:sz w:val="28"/>
      <w:szCs w:val="28"/>
    </w:rPr>
  </w:style>
  <w:style w:type="paragraph" w:customStyle="1" w:styleId="ENotesHeading2">
    <w:name w:val="ENotesHeading 2"/>
    <w:aliases w:val="Enh2"/>
    <w:basedOn w:val="OPCParaBase"/>
    <w:next w:val="Normal"/>
    <w:rsid w:val="003B741F"/>
    <w:pPr>
      <w:spacing w:before="120" w:after="120"/>
      <w:outlineLvl w:val="2"/>
    </w:pPr>
    <w:rPr>
      <w:b/>
      <w:sz w:val="24"/>
      <w:szCs w:val="28"/>
    </w:rPr>
  </w:style>
  <w:style w:type="paragraph" w:customStyle="1" w:styleId="ENoteTTIndentHeading">
    <w:name w:val="ENoteTTIndentHeading"/>
    <w:aliases w:val="enTTHi"/>
    <w:basedOn w:val="OPCParaBase"/>
    <w:rsid w:val="003B741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B741F"/>
    <w:pPr>
      <w:spacing w:before="60" w:line="240" w:lineRule="atLeast"/>
    </w:pPr>
    <w:rPr>
      <w:sz w:val="16"/>
    </w:rPr>
  </w:style>
  <w:style w:type="paragraph" w:customStyle="1" w:styleId="MadeunderText">
    <w:name w:val="MadeunderText"/>
    <w:basedOn w:val="OPCParaBase"/>
    <w:next w:val="Normal"/>
    <w:rsid w:val="003B741F"/>
    <w:pPr>
      <w:spacing w:before="240"/>
    </w:pPr>
    <w:rPr>
      <w:sz w:val="24"/>
      <w:szCs w:val="24"/>
    </w:rPr>
  </w:style>
  <w:style w:type="paragraph" w:customStyle="1" w:styleId="ENotesHeading3">
    <w:name w:val="ENotesHeading 3"/>
    <w:aliases w:val="Enh3"/>
    <w:basedOn w:val="OPCParaBase"/>
    <w:next w:val="Normal"/>
    <w:rsid w:val="003B741F"/>
    <w:pPr>
      <w:keepNext/>
      <w:spacing w:before="120" w:line="240" w:lineRule="auto"/>
      <w:outlineLvl w:val="4"/>
    </w:pPr>
    <w:rPr>
      <w:b/>
      <w:szCs w:val="24"/>
    </w:rPr>
  </w:style>
  <w:style w:type="paragraph" w:customStyle="1" w:styleId="SubPartCASA">
    <w:name w:val="SubPart(CASA)"/>
    <w:aliases w:val="csp"/>
    <w:basedOn w:val="OPCParaBase"/>
    <w:next w:val="ActHead3"/>
    <w:rsid w:val="003B741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B741F"/>
  </w:style>
  <w:style w:type="character" w:customStyle="1" w:styleId="CharSubPartNoCASA">
    <w:name w:val="CharSubPartNo(CASA)"/>
    <w:basedOn w:val="OPCCharBase"/>
    <w:uiPriority w:val="1"/>
    <w:rsid w:val="003B741F"/>
  </w:style>
  <w:style w:type="paragraph" w:customStyle="1" w:styleId="ENoteTTIndentHeadingSub">
    <w:name w:val="ENoteTTIndentHeadingSub"/>
    <w:aliases w:val="enTTHis"/>
    <w:basedOn w:val="OPCParaBase"/>
    <w:rsid w:val="003B741F"/>
    <w:pPr>
      <w:keepNext/>
      <w:spacing w:before="60" w:line="240" w:lineRule="atLeast"/>
      <w:ind w:left="340"/>
    </w:pPr>
    <w:rPr>
      <w:b/>
      <w:sz w:val="16"/>
    </w:rPr>
  </w:style>
  <w:style w:type="paragraph" w:customStyle="1" w:styleId="ENoteTTiSub">
    <w:name w:val="ENoteTTiSub"/>
    <w:aliases w:val="enttis"/>
    <w:basedOn w:val="OPCParaBase"/>
    <w:rsid w:val="003B741F"/>
    <w:pPr>
      <w:keepNext/>
      <w:spacing w:before="60" w:line="240" w:lineRule="atLeast"/>
      <w:ind w:left="340"/>
    </w:pPr>
    <w:rPr>
      <w:sz w:val="16"/>
    </w:rPr>
  </w:style>
  <w:style w:type="paragraph" w:customStyle="1" w:styleId="SubDivisionMigration">
    <w:name w:val="SubDivisionMigration"/>
    <w:aliases w:val="sdm"/>
    <w:basedOn w:val="OPCParaBase"/>
    <w:rsid w:val="003B741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B741F"/>
    <w:pPr>
      <w:keepNext/>
      <w:keepLines/>
      <w:spacing w:before="240" w:line="240" w:lineRule="auto"/>
      <w:ind w:left="1134" w:hanging="1134"/>
    </w:pPr>
    <w:rPr>
      <w:b/>
      <w:sz w:val="28"/>
    </w:rPr>
  </w:style>
  <w:style w:type="table" w:styleId="TableGrid">
    <w:name w:val="Table Grid"/>
    <w:basedOn w:val="TableNormal"/>
    <w:uiPriority w:val="59"/>
    <w:rsid w:val="003B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B741F"/>
    <w:pPr>
      <w:spacing w:before="122" w:line="240" w:lineRule="auto"/>
      <w:ind w:left="1985" w:hanging="851"/>
    </w:pPr>
    <w:rPr>
      <w:sz w:val="18"/>
    </w:rPr>
  </w:style>
  <w:style w:type="paragraph" w:customStyle="1" w:styleId="FreeForm">
    <w:name w:val="FreeForm"/>
    <w:rsid w:val="003B741F"/>
    <w:rPr>
      <w:rFonts w:ascii="Arial" w:hAnsi="Arial"/>
      <w:sz w:val="22"/>
    </w:rPr>
  </w:style>
  <w:style w:type="paragraph" w:customStyle="1" w:styleId="SOText">
    <w:name w:val="SO Text"/>
    <w:aliases w:val="sot"/>
    <w:link w:val="SOTextChar"/>
    <w:rsid w:val="003B741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B741F"/>
    <w:rPr>
      <w:sz w:val="22"/>
    </w:rPr>
  </w:style>
  <w:style w:type="paragraph" w:customStyle="1" w:styleId="SOTextNote">
    <w:name w:val="SO TextNote"/>
    <w:aliases w:val="sont"/>
    <w:basedOn w:val="SOText"/>
    <w:qFormat/>
    <w:rsid w:val="003B741F"/>
    <w:pPr>
      <w:spacing w:before="122" w:line="198" w:lineRule="exact"/>
      <w:ind w:left="1843" w:hanging="709"/>
    </w:pPr>
    <w:rPr>
      <w:sz w:val="18"/>
    </w:rPr>
  </w:style>
  <w:style w:type="paragraph" w:customStyle="1" w:styleId="SOPara">
    <w:name w:val="SO Para"/>
    <w:aliases w:val="soa"/>
    <w:basedOn w:val="SOText"/>
    <w:link w:val="SOParaChar"/>
    <w:qFormat/>
    <w:rsid w:val="003B741F"/>
    <w:pPr>
      <w:tabs>
        <w:tab w:val="right" w:pos="1786"/>
      </w:tabs>
      <w:spacing w:before="40"/>
      <w:ind w:left="2070" w:hanging="936"/>
    </w:pPr>
  </w:style>
  <w:style w:type="character" w:customStyle="1" w:styleId="SOParaChar">
    <w:name w:val="SO Para Char"/>
    <w:aliases w:val="soa Char"/>
    <w:basedOn w:val="DefaultParagraphFont"/>
    <w:link w:val="SOPara"/>
    <w:rsid w:val="003B741F"/>
    <w:rPr>
      <w:sz w:val="22"/>
    </w:rPr>
  </w:style>
  <w:style w:type="paragraph" w:customStyle="1" w:styleId="FileName">
    <w:name w:val="FileName"/>
    <w:basedOn w:val="Normal"/>
    <w:rsid w:val="003B741F"/>
  </w:style>
  <w:style w:type="paragraph" w:customStyle="1" w:styleId="SOHeadBold">
    <w:name w:val="SO HeadBold"/>
    <w:aliases w:val="sohb"/>
    <w:basedOn w:val="SOText"/>
    <w:next w:val="SOText"/>
    <w:link w:val="SOHeadBoldChar"/>
    <w:qFormat/>
    <w:rsid w:val="003B741F"/>
    <w:rPr>
      <w:b/>
    </w:rPr>
  </w:style>
  <w:style w:type="character" w:customStyle="1" w:styleId="SOHeadBoldChar">
    <w:name w:val="SO HeadBold Char"/>
    <w:aliases w:val="sohb Char"/>
    <w:basedOn w:val="DefaultParagraphFont"/>
    <w:link w:val="SOHeadBold"/>
    <w:rsid w:val="003B741F"/>
    <w:rPr>
      <w:b/>
      <w:sz w:val="22"/>
    </w:rPr>
  </w:style>
  <w:style w:type="paragraph" w:customStyle="1" w:styleId="SOHeadItalic">
    <w:name w:val="SO HeadItalic"/>
    <w:aliases w:val="sohi"/>
    <w:basedOn w:val="SOText"/>
    <w:next w:val="SOText"/>
    <w:link w:val="SOHeadItalicChar"/>
    <w:qFormat/>
    <w:rsid w:val="003B741F"/>
    <w:rPr>
      <w:i/>
    </w:rPr>
  </w:style>
  <w:style w:type="character" w:customStyle="1" w:styleId="SOHeadItalicChar">
    <w:name w:val="SO HeadItalic Char"/>
    <w:aliases w:val="sohi Char"/>
    <w:basedOn w:val="DefaultParagraphFont"/>
    <w:link w:val="SOHeadItalic"/>
    <w:rsid w:val="003B741F"/>
    <w:rPr>
      <w:i/>
      <w:sz w:val="22"/>
    </w:rPr>
  </w:style>
  <w:style w:type="paragraph" w:customStyle="1" w:styleId="SOBullet">
    <w:name w:val="SO Bullet"/>
    <w:aliases w:val="sotb"/>
    <w:basedOn w:val="SOText"/>
    <w:link w:val="SOBulletChar"/>
    <w:qFormat/>
    <w:rsid w:val="003B741F"/>
    <w:pPr>
      <w:ind w:left="1559" w:hanging="425"/>
    </w:pPr>
  </w:style>
  <w:style w:type="character" w:customStyle="1" w:styleId="SOBulletChar">
    <w:name w:val="SO Bullet Char"/>
    <w:aliases w:val="sotb Char"/>
    <w:basedOn w:val="DefaultParagraphFont"/>
    <w:link w:val="SOBullet"/>
    <w:rsid w:val="003B741F"/>
    <w:rPr>
      <w:sz w:val="22"/>
    </w:rPr>
  </w:style>
  <w:style w:type="paragraph" w:customStyle="1" w:styleId="SOBulletNote">
    <w:name w:val="SO BulletNote"/>
    <w:aliases w:val="sonb"/>
    <w:basedOn w:val="SOTextNote"/>
    <w:link w:val="SOBulletNoteChar"/>
    <w:qFormat/>
    <w:rsid w:val="003B741F"/>
    <w:pPr>
      <w:tabs>
        <w:tab w:val="left" w:pos="1560"/>
      </w:tabs>
      <w:ind w:left="2268" w:hanging="1134"/>
    </w:pPr>
  </w:style>
  <w:style w:type="character" w:customStyle="1" w:styleId="SOBulletNoteChar">
    <w:name w:val="SO BulletNote Char"/>
    <w:aliases w:val="sonb Char"/>
    <w:basedOn w:val="DefaultParagraphFont"/>
    <w:link w:val="SOBulletNote"/>
    <w:rsid w:val="003B741F"/>
    <w:rPr>
      <w:sz w:val="18"/>
    </w:rPr>
  </w:style>
  <w:style w:type="paragraph" w:customStyle="1" w:styleId="SOText2">
    <w:name w:val="SO Text2"/>
    <w:aliases w:val="sot2"/>
    <w:basedOn w:val="Normal"/>
    <w:next w:val="SOText"/>
    <w:link w:val="SOText2Char"/>
    <w:rsid w:val="003B741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B741F"/>
    <w:rPr>
      <w:sz w:val="22"/>
    </w:rPr>
  </w:style>
  <w:style w:type="paragraph" w:customStyle="1" w:styleId="Transitional">
    <w:name w:val="Transitional"/>
    <w:aliases w:val="tr"/>
    <w:basedOn w:val="ItemHead"/>
    <w:next w:val="Item"/>
    <w:rsid w:val="003B741F"/>
  </w:style>
  <w:style w:type="character" w:customStyle="1" w:styleId="Heading5Char">
    <w:name w:val="Heading 5 Char"/>
    <w:basedOn w:val="DefaultParagraphFont"/>
    <w:link w:val="Heading5"/>
    <w:rsid w:val="00993DD4"/>
    <w:rPr>
      <w:rFonts w:eastAsia="Times New Roman" w:cs="Times New Roman"/>
      <w:b/>
      <w:kern w:val="28"/>
      <w:sz w:val="24"/>
      <w:lang w:eastAsia="en-AU"/>
    </w:rPr>
  </w:style>
  <w:style w:type="character" w:customStyle="1" w:styleId="subsectionChar">
    <w:name w:val="subsection Char"/>
    <w:aliases w:val="ss Char"/>
    <w:basedOn w:val="DefaultParagraphFont"/>
    <w:link w:val="subsection"/>
    <w:locked/>
    <w:rsid w:val="00993DD4"/>
    <w:rPr>
      <w:rFonts w:eastAsia="Times New Roman" w:cs="Times New Roman"/>
      <w:sz w:val="22"/>
      <w:lang w:eastAsia="en-AU"/>
    </w:rPr>
  </w:style>
  <w:style w:type="character" w:customStyle="1" w:styleId="notetextChar">
    <w:name w:val="note(text) Char"/>
    <w:aliases w:val="n Char"/>
    <w:basedOn w:val="DefaultParagraphFont"/>
    <w:link w:val="notetext"/>
    <w:rsid w:val="00993DD4"/>
    <w:rPr>
      <w:rFonts w:eastAsia="Times New Roman" w:cs="Times New Roman"/>
      <w:sz w:val="18"/>
      <w:lang w:eastAsia="en-AU"/>
    </w:rPr>
  </w:style>
  <w:style w:type="character" w:customStyle="1" w:styleId="Heading1Char">
    <w:name w:val="Heading 1 Char"/>
    <w:basedOn w:val="DefaultParagraphFont"/>
    <w:link w:val="Heading1"/>
    <w:uiPriority w:val="9"/>
    <w:rsid w:val="00993DD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93DD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93DD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93DD4"/>
    <w:rPr>
      <w:rFonts w:asciiTheme="majorHAnsi" w:eastAsiaTheme="majorEastAsia" w:hAnsiTheme="majorHAnsi" w:cstheme="majorBidi"/>
      <w:i/>
      <w:iCs/>
      <w:color w:val="365F91" w:themeColor="accent1" w:themeShade="BF"/>
      <w:sz w:val="22"/>
    </w:rPr>
  </w:style>
  <w:style w:type="character" w:customStyle="1" w:styleId="Heading6Char">
    <w:name w:val="Heading 6 Char"/>
    <w:basedOn w:val="DefaultParagraphFont"/>
    <w:link w:val="Heading6"/>
    <w:uiPriority w:val="9"/>
    <w:semiHidden/>
    <w:rsid w:val="00993DD4"/>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993DD4"/>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993D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3DD4"/>
    <w:rPr>
      <w:rFonts w:asciiTheme="majorHAnsi" w:eastAsiaTheme="majorEastAsia" w:hAnsiTheme="majorHAnsi" w:cstheme="majorBidi"/>
      <w:i/>
      <w:iCs/>
      <w:color w:val="272727" w:themeColor="text1" w:themeTint="D8"/>
      <w:sz w:val="21"/>
      <w:szCs w:val="21"/>
    </w:rPr>
  </w:style>
  <w:style w:type="paragraph" w:customStyle="1" w:styleId="Body">
    <w:name w:val="Body"/>
    <w:aliases w:val="b"/>
    <w:basedOn w:val="Normal"/>
    <w:rsid w:val="009E25F5"/>
    <w:pPr>
      <w:spacing w:before="240" w:line="240" w:lineRule="auto"/>
    </w:pPr>
    <w:rPr>
      <w:rFonts w:eastAsia="Times New Roman" w:cs="Times New Roman"/>
      <w:sz w:val="24"/>
      <w:lang w:eastAsia="en-AU"/>
    </w:rPr>
  </w:style>
  <w:style w:type="paragraph" w:customStyle="1" w:styleId="ShortTP1">
    <w:name w:val="ShortTP1"/>
    <w:basedOn w:val="ShortT"/>
    <w:link w:val="ShortTP1Char"/>
    <w:rsid w:val="00314441"/>
    <w:pPr>
      <w:spacing w:before="800"/>
    </w:pPr>
  </w:style>
  <w:style w:type="character" w:customStyle="1" w:styleId="ShortTP1Char">
    <w:name w:val="ShortTP1 Char"/>
    <w:basedOn w:val="DefaultParagraphFont"/>
    <w:link w:val="ShortTP1"/>
    <w:rsid w:val="00314441"/>
    <w:rPr>
      <w:rFonts w:eastAsia="Times New Roman" w:cs="Times New Roman"/>
      <w:b/>
      <w:sz w:val="40"/>
      <w:lang w:eastAsia="en-AU"/>
    </w:rPr>
  </w:style>
  <w:style w:type="paragraph" w:customStyle="1" w:styleId="ActNoP1">
    <w:name w:val="ActNoP1"/>
    <w:basedOn w:val="Actno"/>
    <w:link w:val="ActNoP1Char"/>
    <w:rsid w:val="00314441"/>
    <w:pPr>
      <w:spacing w:before="800"/>
    </w:pPr>
    <w:rPr>
      <w:sz w:val="28"/>
    </w:rPr>
  </w:style>
  <w:style w:type="character" w:customStyle="1" w:styleId="ActNoP1Char">
    <w:name w:val="ActNoP1 Char"/>
    <w:basedOn w:val="DefaultParagraphFont"/>
    <w:link w:val="ActNoP1"/>
    <w:rsid w:val="00314441"/>
    <w:rPr>
      <w:rFonts w:eastAsia="Times New Roman" w:cs="Times New Roman"/>
      <w:b/>
      <w:sz w:val="28"/>
      <w:lang w:eastAsia="en-AU"/>
    </w:rPr>
  </w:style>
  <w:style w:type="paragraph" w:customStyle="1" w:styleId="AssentBk">
    <w:name w:val="AssentBk"/>
    <w:basedOn w:val="Normal"/>
    <w:rsid w:val="00314441"/>
    <w:pPr>
      <w:spacing w:line="240" w:lineRule="auto"/>
    </w:pPr>
    <w:rPr>
      <w:rFonts w:eastAsia="Times New Roman" w:cs="Times New Roman"/>
      <w:sz w:val="20"/>
      <w:lang w:eastAsia="en-AU"/>
    </w:rPr>
  </w:style>
  <w:style w:type="paragraph" w:customStyle="1" w:styleId="AssentDt">
    <w:name w:val="AssentDt"/>
    <w:basedOn w:val="Normal"/>
    <w:rsid w:val="00182D15"/>
    <w:pPr>
      <w:spacing w:line="240" w:lineRule="auto"/>
    </w:pPr>
    <w:rPr>
      <w:rFonts w:eastAsia="Times New Roman" w:cs="Times New Roman"/>
      <w:sz w:val="20"/>
      <w:lang w:eastAsia="en-AU"/>
    </w:rPr>
  </w:style>
  <w:style w:type="paragraph" w:customStyle="1" w:styleId="2ndRd">
    <w:name w:val="2ndRd"/>
    <w:basedOn w:val="Normal"/>
    <w:rsid w:val="00182D15"/>
    <w:pPr>
      <w:spacing w:line="240" w:lineRule="auto"/>
    </w:pPr>
    <w:rPr>
      <w:rFonts w:eastAsia="Times New Roman" w:cs="Times New Roman"/>
      <w:sz w:val="20"/>
      <w:lang w:eastAsia="en-AU"/>
    </w:rPr>
  </w:style>
  <w:style w:type="paragraph" w:customStyle="1" w:styleId="ScalePlusRef">
    <w:name w:val="ScalePlusRef"/>
    <w:basedOn w:val="Normal"/>
    <w:rsid w:val="00182D15"/>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63876">
      <w:bodyDiv w:val="1"/>
      <w:marLeft w:val="0"/>
      <w:marRight w:val="0"/>
      <w:marTop w:val="0"/>
      <w:marBottom w:val="0"/>
      <w:divBdr>
        <w:top w:val="none" w:sz="0" w:space="0" w:color="auto"/>
        <w:left w:val="none" w:sz="0" w:space="0" w:color="auto"/>
        <w:bottom w:val="none" w:sz="0" w:space="0" w:color="auto"/>
        <w:right w:val="none" w:sz="0" w:space="0" w:color="auto"/>
      </w:divBdr>
    </w:div>
    <w:div w:id="1542014766">
      <w:bodyDiv w:val="1"/>
      <w:marLeft w:val="0"/>
      <w:marRight w:val="0"/>
      <w:marTop w:val="0"/>
      <w:marBottom w:val="0"/>
      <w:divBdr>
        <w:top w:val="none" w:sz="0" w:space="0" w:color="auto"/>
        <w:left w:val="none" w:sz="0" w:space="0" w:color="auto"/>
        <w:bottom w:val="none" w:sz="0" w:space="0" w:color="auto"/>
        <w:right w:val="none" w:sz="0" w:space="0" w:color="auto"/>
      </w:divBdr>
    </w:div>
    <w:div w:id="19742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8.wmf"/><Relationship Id="rId42"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6.bin"/><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10.bin"/><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image" Target="media/image5.wmf"/><Relationship Id="rId36" Type="http://schemas.openxmlformats.org/officeDocument/2006/relationships/image" Target="media/image9.w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7.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5.bin"/><Relationship Id="rId30" Type="http://schemas.openxmlformats.org/officeDocument/2006/relationships/image" Target="media/image6.wmf"/><Relationship Id="rId35" Type="http://schemas.openxmlformats.org/officeDocument/2006/relationships/oleObject" Target="embeddings/oleObject9.bin"/><Relationship Id="rId43"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4A45-FB65-4C02-B67C-D7B7E9D8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13</Pages>
  <Words>1719</Words>
  <Characters>9371</Characters>
  <Application>Microsoft Office Word</Application>
  <DocSecurity>0</DocSecurity>
  <PresentationFormat/>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2022-07-17T23:19:00Z</cp:lastPrinted>
  <dcterms:created xsi:type="dcterms:W3CDTF">2022-12-02T04:01:00Z</dcterms:created>
  <dcterms:modified xsi:type="dcterms:W3CDTF">2022-12-02T04:03:00Z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Social Services and Other Legislation Amendment (Incentivising Pensioners to Downsize) Act 2022</vt:lpwstr>
  </property>
  <property fmtid="{D5CDD505-2E9C-101B-9397-08002B2CF9AE}" pid="3" name="ActNo">
    <vt:lpwstr>No. 62, 2022</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OPC8027</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2022-11-25T05:11:34Z</vt:lpwstr>
  </property>
  <property fmtid="{D5CDD505-2E9C-101B-9397-08002B2CF9AE}" pid="14" name="MSIP_Label_234ea0fa-41da-4eb0-b95e-07c328641c0b_Method">
    <vt:lpwstr>Privileged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b292c1e7-fc88-4447-b6a0-20ce286c4d86</vt:lpwstr>
  </property>
  <property fmtid="{D5CDD505-2E9C-101B-9397-08002B2CF9AE}" pid="18" name="MSIP_Label_234ea0fa-41da-4eb0-b95e-07c328641c0b_ContentBits">
    <vt:lpwstr>0</vt:lpwstr>
  </property>
</Properties>
</file>