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5118398"/>
    <w:p w14:paraId="5117D35F" w14:textId="1E356573" w:rsidR="00691E46" w:rsidRDefault="00691E46" w:rsidP="00691E46">
      <w:r>
        <w:object w:dxaOrig="2146" w:dyaOrig="1561" w14:anchorId="3B97B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31838227" r:id="rId8"/>
        </w:object>
      </w:r>
    </w:p>
    <w:p w14:paraId="05B60FC6" w14:textId="77777777" w:rsidR="00691E46" w:rsidRDefault="00691E46" w:rsidP="00691E46"/>
    <w:p w14:paraId="731CB845" w14:textId="77777777" w:rsidR="00691E46" w:rsidRDefault="00691E46" w:rsidP="00691E46"/>
    <w:p w14:paraId="4197BE0F" w14:textId="77777777" w:rsidR="00691E46" w:rsidRDefault="00691E46" w:rsidP="00691E46"/>
    <w:p w14:paraId="298DD5B4" w14:textId="77777777" w:rsidR="00691E46" w:rsidRDefault="00691E46" w:rsidP="00691E46"/>
    <w:p w14:paraId="0B315F20" w14:textId="77777777" w:rsidR="00691E46" w:rsidRDefault="00691E46" w:rsidP="00691E46"/>
    <w:p w14:paraId="6815E407" w14:textId="77777777" w:rsidR="00691E46" w:rsidRDefault="00691E46" w:rsidP="00691E46"/>
    <w:p w14:paraId="687BB54A" w14:textId="477CB522" w:rsidR="00695E44" w:rsidRPr="00B27ECE" w:rsidRDefault="00691E46" w:rsidP="00695E44">
      <w:pPr>
        <w:pStyle w:val="ShortT"/>
      </w:pPr>
      <w:r>
        <w:t>Income Tax Amendment (Labour Mobility Program) Act 2022</w:t>
      </w:r>
    </w:p>
    <w:bookmarkEnd w:id="0"/>
    <w:p w14:paraId="6CE6B8EA" w14:textId="77777777" w:rsidR="00695E44" w:rsidRPr="00B27ECE" w:rsidRDefault="00695E44" w:rsidP="00695E44"/>
    <w:p w14:paraId="6A50CB76" w14:textId="0B47635E" w:rsidR="00695E44" w:rsidRPr="00B27ECE" w:rsidRDefault="00695E44" w:rsidP="00691E46">
      <w:pPr>
        <w:pStyle w:val="Actno"/>
        <w:spacing w:before="400"/>
      </w:pPr>
      <w:r w:rsidRPr="00B27ECE">
        <w:t>No.</w:t>
      </w:r>
      <w:r w:rsidR="00FC2B9D">
        <w:t xml:space="preserve"> 74</w:t>
      </w:r>
      <w:r w:rsidRPr="00B27ECE">
        <w:t>, 2022</w:t>
      </w:r>
    </w:p>
    <w:p w14:paraId="389A61C8" w14:textId="77777777" w:rsidR="00695E44" w:rsidRPr="00B27ECE" w:rsidRDefault="00695E44" w:rsidP="00695E44"/>
    <w:p w14:paraId="400A4822" w14:textId="77777777" w:rsidR="00395A06" w:rsidRDefault="00395A06" w:rsidP="00395A06">
      <w:pPr>
        <w:rPr>
          <w:lang w:eastAsia="en-AU"/>
        </w:rPr>
      </w:pPr>
    </w:p>
    <w:p w14:paraId="1EAA6CF1" w14:textId="10203E7F" w:rsidR="00695E44" w:rsidRPr="00B27ECE" w:rsidRDefault="00695E44" w:rsidP="00695E44"/>
    <w:p w14:paraId="0B2210B4" w14:textId="77777777" w:rsidR="00695E44" w:rsidRPr="00B27ECE" w:rsidRDefault="00695E44" w:rsidP="00695E44"/>
    <w:p w14:paraId="34E770E1" w14:textId="77777777" w:rsidR="00695E44" w:rsidRPr="00B27ECE" w:rsidRDefault="00695E44" w:rsidP="00695E44"/>
    <w:p w14:paraId="0A1ADDA9" w14:textId="77777777" w:rsidR="00691E46" w:rsidRDefault="00691E46" w:rsidP="00691E46">
      <w:pPr>
        <w:pStyle w:val="LongT"/>
      </w:pPr>
      <w:r>
        <w:t xml:space="preserve">An Act to amend the </w:t>
      </w:r>
      <w:r w:rsidRPr="00691E46">
        <w:rPr>
          <w:i/>
        </w:rPr>
        <w:t>Income Tax (Seasonal Labour Mobility Program Withholding Tax) Act 2012</w:t>
      </w:r>
      <w:r>
        <w:t>, and for related purposes</w:t>
      </w:r>
    </w:p>
    <w:p w14:paraId="5A654EAC" w14:textId="1179D631" w:rsidR="00695E44" w:rsidRPr="00F03F43" w:rsidRDefault="00695E44" w:rsidP="00695E44">
      <w:pPr>
        <w:pStyle w:val="Header"/>
        <w:tabs>
          <w:tab w:val="clear" w:pos="4150"/>
          <w:tab w:val="clear" w:pos="8307"/>
        </w:tabs>
      </w:pPr>
      <w:r w:rsidRPr="00F03F43">
        <w:rPr>
          <w:rStyle w:val="CharAmSchNo"/>
        </w:rPr>
        <w:t xml:space="preserve"> </w:t>
      </w:r>
      <w:r w:rsidRPr="00F03F43">
        <w:rPr>
          <w:rStyle w:val="CharAmSchText"/>
        </w:rPr>
        <w:t xml:space="preserve"> </w:t>
      </w:r>
    </w:p>
    <w:p w14:paraId="7B87FB7D" w14:textId="77777777" w:rsidR="00695E44" w:rsidRPr="00F03F43" w:rsidRDefault="00695E44" w:rsidP="00695E44">
      <w:pPr>
        <w:pStyle w:val="Header"/>
        <w:tabs>
          <w:tab w:val="clear" w:pos="4150"/>
          <w:tab w:val="clear" w:pos="8307"/>
        </w:tabs>
      </w:pPr>
      <w:r w:rsidRPr="00F03F43">
        <w:rPr>
          <w:rStyle w:val="CharAmPartNo"/>
        </w:rPr>
        <w:t xml:space="preserve"> </w:t>
      </w:r>
      <w:r w:rsidRPr="00F03F43">
        <w:rPr>
          <w:rStyle w:val="CharAmPartText"/>
        </w:rPr>
        <w:t xml:space="preserve"> </w:t>
      </w:r>
    </w:p>
    <w:p w14:paraId="2AC7F6E7" w14:textId="77777777" w:rsidR="00695E44" w:rsidRPr="00B27ECE" w:rsidRDefault="00695E44" w:rsidP="00695E44">
      <w:pPr>
        <w:sectPr w:rsidR="00695E44" w:rsidRPr="00B27ECE" w:rsidSect="00691E46">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5457C592" w14:textId="77777777" w:rsidR="00695E44" w:rsidRPr="00B27ECE" w:rsidRDefault="00695E44" w:rsidP="00695E44">
      <w:pPr>
        <w:rPr>
          <w:sz w:val="36"/>
        </w:rPr>
      </w:pPr>
      <w:r w:rsidRPr="00B27ECE">
        <w:rPr>
          <w:sz w:val="36"/>
        </w:rPr>
        <w:lastRenderedPageBreak/>
        <w:t>Contents</w:t>
      </w:r>
    </w:p>
    <w:p w14:paraId="1B1A855E" w14:textId="4698ACCB" w:rsidR="00341044" w:rsidRDefault="0034104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41044">
        <w:rPr>
          <w:noProof/>
        </w:rPr>
        <w:tab/>
      </w:r>
      <w:r w:rsidRPr="00341044">
        <w:rPr>
          <w:noProof/>
        </w:rPr>
        <w:fldChar w:fldCharType="begin"/>
      </w:r>
      <w:r w:rsidRPr="00341044">
        <w:rPr>
          <w:noProof/>
        </w:rPr>
        <w:instrText xml:space="preserve"> PAGEREF _Toc121225236 \h </w:instrText>
      </w:r>
      <w:r w:rsidRPr="00341044">
        <w:rPr>
          <w:noProof/>
        </w:rPr>
      </w:r>
      <w:r w:rsidRPr="00341044">
        <w:rPr>
          <w:noProof/>
        </w:rPr>
        <w:fldChar w:fldCharType="separate"/>
      </w:r>
      <w:r w:rsidR="00E56445">
        <w:rPr>
          <w:noProof/>
        </w:rPr>
        <w:t>1</w:t>
      </w:r>
      <w:r w:rsidRPr="00341044">
        <w:rPr>
          <w:noProof/>
        </w:rPr>
        <w:fldChar w:fldCharType="end"/>
      </w:r>
    </w:p>
    <w:p w14:paraId="637B38E5" w14:textId="5DFD3449" w:rsidR="00341044" w:rsidRDefault="00341044">
      <w:pPr>
        <w:pStyle w:val="TOC5"/>
        <w:rPr>
          <w:rFonts w:asciiTheme="minorHAnsi" w:eastAsiaTheme="minorEastAsia" w:hAnsiTheme="minorHAnsi" w:cstheme="minorBidi"/>
          <w:noProof/>
          <w:kern w:val="0"/>
          <w:sz w:val="22"/>
          <w:szCs w:val="22"/>
        </w:rPr>
      </w:pPr>
      <w:r>
        <w:rPr>
          <w:noProof/>
        </w:rPr>
        <w:t>2</w:t>
      </w:r>
      <w:r>
        <w:rPr>
          <w:noProof/>
        </w:rPr>
        <w:tab/>
        <w:t>Commencement</w:t>
      </w:r>
      <w:r w:rsidRPr="00341044">
        <w:rPr>
          <w:noProof/>
        </w:rPr>
        <w:tab/>
      </w:r>
      <w:r w:rsidRPr="00341044">
        <w:rPr>
          <w:noProof/>
        </w:rPr>
        <w:fldChar w:fldCharType="begin"/>
      </w:r>
      <w:r w:rsidRPr="00341044">
        <w:rPr>
          <w:noProof/>
        </w:rPr>
        <w:instrText xml:space="preserve"> PAGEREF _Toc121225237 \h </w:instrText>
      </w:r>
      <w:r w:rsidRPr="00341044">
        <w:rPr>
          <w:noProof/>
        </w:rPr>
      </w:r>
      <w:r w:rsidRPr="00341044">
        <w:rPr>
          <w:noProof/>
        </w:rPr>
        <w:fldChar w:fldCharType="separate"/>
      </w:r>
      <w:r w:rsidR="00E56445">
        <w:rPr>
          <w:noProof/>
        </w:rPr>
        <w:t>2</w:t>
      </w:r>
      <w:r w:rsidRPr="00341044">
        <w:rPr>
          <w:noProof/>
        </w:rPr>
        <w:fldChar w:fldCharType="end"/>
      </w:r>
    </w:p>
    <w:p w14:paraId="0942898E" w14:textId="033A4219" w:rsidR="00341044" w:rsidRDefault="00341044">
      <w:pPr>
        <w:pStyle w:val="TOC5"/>
        <w:rPr>
          <w:rFonts w:asciiTheme="minorHAnsi" w:eastAsiaTheme="minorEastAsia" w:hAnsiTheme="minorHAnsi" w:cstheme="minorBidi"/>
          <w:noProof/>
          <w:kern w:val="0"/>
          <w:sz w:val="22"/>
          <w:szCs w:val="22"/>
        </w:rPr>
      </w:pPr>
      <w:r>
        <w:rPr>
          <w:noProof/>
        </w:rPr>
        <w:t>3</w:t>
      </w:r>
      <w:r>
        <w:rPr>
          <w:noProof/>
        </w:rPr>
        <w:tab/>
        <w:t>Schedules</w:t>
      </w:r>
      <w:r w:rsidRPr="00341044">
        <w:rPr>
          <w:noProof/>
        </w:rPr>
        <w:tab/>
      </w:r>
      <w:r w:rsidRPr="00341044">
        <w:rPr>
          <w:noProof/>
        </w:rPr>
        <w:fldChar w:fldCharType="begin"/>
      </w:r>
      <w:r w:rsidRPr="00341044">
        <w:rPr>
          <w:noProof/>
        </w:rPr>
        <w:instrText xml:space="preserve"> PAGEREF _Toc121225238 \h </w:instrText>
      </w:r>
      <w:r w:rsidRPr="00341044">
        <w:rPr>
          <w:noProof/>
        </w:rPr>
      </w:r>
      <w:r w:rsidRPr="00341044">
        <w:rPr>
          <w:noProof/>
        </w:rPr>
        <w:fldChar w:fldCharType="separate"/>
      </w:r>
      <w:r w:rsidR="00E56445">
        <w:rPr>
          <w:noProof/>
        </w:rPr>
        <w:t>2</w:t>
      </w:r>
      <w:r w:rsidRPr="00341044">
        <w:rPr>
          <w:noProof/>
        </w:rPr>
        <w:fldChar w:fldCharType="end"/>
      </w:r>
    </w:p>
    <w:p w14:paraId="58A3B053" w14:textId="27C7DAEC" w:rsidR="00341044" w:rsidRDefault="00341044">
      <w:pPr>
        <w:pStyle w:val="TOC6"/>
        <w:rPr>
          <w:rFonts w:asciiTheme="minorHAnsi" w:eastAsiaTheme="minorEastAsia" w:hAnsiTheme="minorHAnsi" w:cstheme="minorBidi"/>
          <w:b w:val="0"/>
          <w:noProof/>
          <w:kern w:val="0"/>
          <w:sz w:val="22"/>
          <w:szCs w:val="22"/>
        </w:rPr>
      </w:pPr>
      <w:r>
        <w:rPr>
          <w:noProof/>
        </w:rPr>
        <w:t>Schedule 1—Amendments</w:t>
      </w:r>
      <w:r w:rsidRPr="00341044">
        <w:rPr>
          <w:b w:val="0"/>
          <w:noProof/>
          <w:sz w:val="18"/>
        </w:rPr>
        <w:tab/>
      </w:r>
      <w:r w:rsidRPr="00341044">
        <w:rPr>
          <w:b w:val="0"/>
          <w:noProof/>
          <w:sz w:val="18"/>
        </w:rPr>
        <w:fldChar w:fldCharType="begin"/>
      </w:r>
      <w:r w:rsidRPr="00341044">
        <w:rPr>
          <w:b w:val="0"/>
          <w:noProof/>
          <w:sz w:val="18"/>
        </w:rPr>
        <w:instrText xml:space="preserve"> PAGEREF _Toc121225239 \h </w:instrText>
      </w:r>
      <w:r w:rsidRPr="00341044">
        <w:rPr>
          <w:b w:val="0"/>
          <w:noProof/>
          <w:sz w:val="18"/>
        </w:rPr>
      </w:r>
      <w:r w:rsidRPr="00341044">
        <w:rPr>
          <w:b w:val="0"/>
          <w:noProof/>
          <w:sz w:val="18"/>
        </w:rPr>
        <w:fldChar w:fldCharType="separate"/>
      </w:r>
      <w:r w:rsidR="00E56445">
        <w:rPr>
          <w:b w:val="0"/>
          <w:noProof/>
          <w:sz w:val="18"/>
        </w:rPr>
        <w:t>3</w:t>
      </w:r>
      <w:r w:rsidRPr="00341044">
        <w:rPr>
          <w:b w:val="0"/>
          <w:noProof/>
          <w:sz w:val="18"/>
        </w:rPr>
        <w:fldChar w:fldCharType="end"/>
      </w:r>
    </w:p>
    <w:p w14:paraId="1AB052A5" w14:textId="0F4B997F" w:rsidR="00341044" w:rsidRDefault="00341044">
      <w:pPr>
        <w:pStyle w:val="TOC9"/>
        <w:rPr>
          <w:rFonts w:asciiTheme="minorHAnsi" w:eastAsiaTheme="minorEastAsia" w:hAnsiTheme="minorHAnsi" w:cstheme="minorBidi"/>
          <w:i w:val="0"/>
          <w:noProof/>
          <w:kern w:val="0"/>
          <w:sz w:val="22"/>
          <w:szCs w:val="22"/>
        </w:rPr>
      </w:pPr>
      <w:bookmarkStart w:id="1" w:name="_GoBack"/>
      <w:r>
        <w:rPr>
          <w:noProof/>
        </w:rPr>
        <w:t>Income Tax (Seasonal Labour Mobility Program Withholding Tax) Act 2012</w:t>
      </w:r>
      <w:bookmarkEnd w:id="1"/>
      <w:r w:rsidRPr="00341044">
        <w:rPr>
          <w:i w:val="0"/>
          <w:noProof/>
          <w:sz w:val="18"/>
        </w:rPr>
        <w:tab/>
      </w:r>
      <w:r w:rsidRPr="00341044">
        <w:rPr>
          <w:i w:val="0"/>
          <w:noProof/>
          <w:sz w:val="18"/>
        </w:rPr>
        <w:fldChar w:fldCharType="begin"/>
      </w:r>
      <w:r w:rsidRPr="00341044">
        <w:rPr>
          <w:i w:val="0"/>
          <w:noProof/>
          <w:sz w:val="18"/>
        </w:rPr>
        <w:instrText xml:space="preserve"> PAGEREF _Toc121225240 \h </w:instrText>
      </w:r>
      <w:r w:rsidRPr="00341044">
        <w:rPr>
          <w:i w:val="0"/>
          <w:noProof/>
          <w:sz w:val="18"/>
        </w:rPr>
      </w:r>
      <w:r w:rsidRPr="00341044">
        <w:rPr>
          <w:i w:val="0"/>
          <w:noProof/>
          <w:sz w:val="18"/>
        </w:rPr>
        <w:fldChar w:fldCharType="separate"/>
      </w:r>
      <w:r w:rsidR="00E56445">
        <w:rPr>
          <w:i w:val="0"/>
          <w:noProof/>
          <w:sz w:val="18"/>
        </w:rPr>
        <w:t>3</w:t>
      </w:r>
      <w:r w:rsidRPr="00341044">
        <w:rPr>
          <w:i w:val="0"/>
          <w:noProof/>
          <w:sz w:val="18"/>
        </w:rPr>
        <w:fldChar w:fldCharType="end"/>
      </w:r>
    </w:p>
    <w:p w14:paraId="125C66D5" w14:textId="382133A4" w:rsidR="00695E44" w:rsidRPr="00691E46" w:rsidRDefault="00341044" w:rsidP="00695E44">
      <w:pPr>
        <w:rPr>
          <w:rFonts w:cs="Times New Roman"/>
          <w:sz w:val="18"/>
        </w:rPr>
      </w:pPr>
      <w:r>
        <w:rPr>
          <w:rFonts w:cs="Times New Roman"/>
          <w:sz w:val="18"/>
        </w:rPr>
        <w:fldChar w:fldCharType="end"/>
      </w:r>
    </w:p>
    <w:p w14:paraId="7DE1ACED" w14:textId="77777777" w:rsidR="00695E44" w:rsidRPr="00B27ECE" w:rsidRDefault="00695E44" w:rsidP="00695E44"/>
    <w:p w14:paraId="55B3FF1A" w14:textId="77777777" w:rsidR="00695E44" w:rsidRPr="00B27ECE" w:rsidRDefault="00695E44" w:rsidP="00695E44">
      <w:pPr>
        <w:sectPr w:rsidR="00695E44" w:rsidRPr="00B27ECE" w:rsidSect="00691E46">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0D9AE41D" w14:textId="77777777" w:rsidR="00691E46" w:rsidRDefault="00691E46">
      <w:r>
        <w:object w:dxaOrig="2146" w:dyaOrig="1561" w14:anchorId="2D396315">
          <v:shape id="_x0000_i1027" type="#_x0000_t75" alt="Commonwealth Coat of Arms of Australia" style="width:110.25pt;height:80.25pt" o:ole="" fillcolor="window">
            <v:imagedata r:id="rId7" o:title=""/>
          </v:shape>
          <o:OLEObject Type="Embed" ProgID="Word.Picture.8" ShapeID="_x0000_i1027" DrawAspect="Content" ObjectID="_1731838228" r:id="rId20"/>
        </w:object>
      </w:r>
    </w:p>
    <w:p w14:paraId="0A2DEAF4" w14:textId="77777777" w:rsidR="00691E46" w:rsidRDefault="00691E46"/>
    <w:p w14:paraId="1E9B51E2" w14:textId="77777777" w:rsidR="00691E46" w:rsidRDefault="00691E46" w:rsidP="000178F8">
      <w:pPr>
        <w:spacing w:line="240" w:lineRule="auto"/>
      </w:pPr>
    </w:p>
    <w:p w14:paraId="47A10A44" w14:textId="235EB87D" w:rsidR="00691E46" w:rsidRDefault="007A4772" w:rsidP="000178F8">
      <w:pPr>
        <w:pStyle w:val="ShortTP1"/>
      </w:pPr>
      <w:fldSimple w:instr=" STYLEREF ShortT ">
        <w:r w:rsidR="00E56445">
          <w:rPr>
            <w:noProof/>
          </w:rPr>
          <w:t>Income Tax Amendment (Labour Mobility Program) Act 2022</w:t>
        </w:r>
      </w:fldSimple>
    </w:p>
    <w:p w14:paraId="0813B144" w14:textId="1BAE3DEE" w:rsidR="00691E46" w:rsidRDefault="007A4772" w:rsidP="000178F8">
      <w:pPr>
        <w:pStyle w:val="ActNoP1"/>
      </w:pPr>
      <w:fldSimple w:instr=" STYLEREF Actno ">
        <w:r w:rsidR="00E56445">
          <w:rPr>
            <w:noProof/>
          </w:rPr>
          <w:t>No. 74, 2022</w:t>
        </w:r>
      </w:fldSimple>
    </w:p>
    <w:p w14:paraId="76843A04" w14:textId="77777777" w:rsidR="00691E46" w:rsidRPr="009A0728" w:rsidRDefault="00691E46" w:rsidP="009A0728">
      <w:pPr>
        <w:pBdr>
          <w:bottom w:val="single" w:sz="6" w:space="0" w:color="auto"/>
        </w:pBdr>
        <w:spacing w:before="400" w:line="240" w:lineRule="auto"/>
        <w:rPr>
          <w:rFonts w:eastAsia="Times New Roman"/>
          <w:b/>
          <w:sz w:val="28"/>
        </w:rPr>
      </w:pPr>
    </w:p>
    <w:p w14:paraId="49B2B41F" w14:textId="77777777" w:rsidR="00691E46" w:rsidRPr="009A0728" w:rsidRDefault="00691E46" w:rsidP="009A0728">
      <w:pPr>
        <w:spacing w:line="40" w:lineRule="exact"/>
        <w:rPr>
          <w:rFonts w:eastAsia="Calibri"/>
          <w:b/>
          <w:sz w:val="28"/>
        </w:rPr>
      </w:pPr>
    </w:p>
    <w:p w14:paraId="67B4EF16" w14:textId="77777777" w:rsidR="00691E46" w:rsidRPr="009A0728" w:rsidRDefault="00691E46" w:rsidP="009A0728">
      <w:pPr>
        <w:pBdr>
          <w:top w:val="single" w:sz="12" w:space="0" w:color="auto"/>
        </w:pBdr>
        <w:spacing w:line="240" w:lineRule="auto"/>
        <w:rPr>
          <w:rFonts w:eastAsia="Times New Roman"/>
          <w:b/>
          <w:sz w:val="28"/>
        </w:rPr>
      </w:pPr>
    </w:p>
    <w:p w14:paraId="3A01B2B3" w14:textId="77777777" w:rsidR="00691E46" w:rsidRDefault="00691E46" w:rsidP="00691E46">
      <w:pPr>
        <w:pStyle w:val="Page1"/>
        <w:spacing w:before="400"/>
      </w:pPr>
      <w:r>
        <w:t xml:space="preserve">An Act to amend the </w:t>
      </w:r>
      <w:r w:rsidRPr="00691E46">
        <w:rPr>
          <w:i/>
        </w:rPr>
        <w:t>Income Tax (Seasonal Labour Mobility Program Withholding Tax) Act 2012</w:t>
      </w:r>
      <w:r>
        <w:t>, and for related purposes</w:t>
      </w:r>
    </w:p>
    <w:p w14:paraId="0114A764" w14:textId="77CD44FF" w:rsidR="00FC2B9D" w:rsidRDefault="00FC2B9D" w:rsidP="000C5962">
      <w:pPr>
        <w:pStyle w:val="AssentDt"/>
        <w:spacing w:before="240"/>
        <w:rPr>
          <w:sz w:val="24"/>
        </w:rPr>
      </w:pPr>
      <w:r>
        <w:rPr>
          <w:sz w:val="24"/>
        </w:rPr>
        <w:t>[</w:t>
      </w:r>
      <w:r>
        <w:rPr>
          <w:i/>
          <w:sz w:val="24"/>
        </w:rPr>
        <w:t>Assented to 5 December 2022</w:t>
      </w:r>
      <w:r>
        <w:rPr>
          <w:sz w:val="24"/>
        </w:rPr>
        <w:t>]</w:t>
      </w:r>
    </w:p>
    <w:p w14:paraId="5A70E3F3" w14:textId="6AF9829D" w:rsidR="00695E44" w:rsidRPr="00B27ECE" w:rsidRDefault="00695E44" w:rsidP="00B27ECE">
      <w:pPr>
        <w:spacing w:before="240" w:line="240" w:lineRule="auto"/>
        <w:rPr>
          <w:sz w:val="32"/>
        </w:rPr>
      </w:pPr>
      <w:r w:rsidRPr="00B27ECE">
        <w:rPr>
          <w:sz w:val="32"/>
        </w:rPr>
        <w:t>The Parliament of Australia enacts:</w:t>
      </w:r>
    </w:p>
    <w:p w14:paraId="37E5CBE7" w14:textId="77777777" w:rsidR="00695E44" w:rsidRPr="00B27ECE" w:rsidRDefault="00695E44" w:rsidP="00B27ECE">
      <w:pPr>
        <w:pStyle w:val="ActHead5"/>
      </w:pPr>
      <w:bookmarkStart w:id="2" w:name="_Toc121225236"/>
      <w:r w:rsidRPr="00F03F43">
        <w:rPr>
          <w:rStyle w:val="CharSectno"/>
        </w:rPr>
        <w:t>1</w:t>
      </w:r>
      <w:r w:rsidRPr="00B27ECE">
        <w:t xml:space="preserve">  Short title</w:t>
      </w:r>
      <w:bookmarkEnd w:id="2"/>
    </w:p>
    <w:p w14:paraId="05CC229B" w14:textId="77777777" w:rsidR="00695E44" w:rsidRPr="00B27ECE" w:rsidRDefault="00695E44" w:rsidP="00B27ECE">
      <w:pPr>
        <w:pStyle w:val="subsection"/>
      </w:pPr>
      <w:r w:rsidRPr="00B27ECE">
        <w:tab/>
      </w:r>
      <w:r w:rsidRPr="00B27ECE">
        <w:tab/>
        <w:t xml:space="preserve">This Act is the </w:t>
      </w:r>
      <w:r w:rsidRPr="00B27ECE">
        <w:rPr>
          <w:i/>
        </w:rPr>
        <w:t>Income Tax Amendment (Labour Mobility Program) Act 2022.</w:t>
      </w:r>
    </w:p>
    <w:p w14:paraId="035844F1" w14:textId="77777777" w:rsidR="00695E44" w:rsidRPr="00B27ECE" w:rsidRDefault="00695E44" w:rsidP="00B27ECE">
      <w:pPr>
        <w:pStyle w:val="ActHead5"/>
      </w:pPr>
      <w:bookmarkStart w:id="3" w:name="_Toc121225237"/>
      <w:r w:rsidRPr="00F03F43">
        <w:rPr>
          <w:rStyle w:val="CharSectno"/>
        </w:rPr>
        <w:t>2</w:t>
      </w:r>
      <w:r w:rsidRPr="00B27ECE">
        <w:t xml:space="preserve">  Commencement</w:t>
      </w:r>
      <w:bookmarkEnd w:id="3"/>
    </w:p>
    <w:p w14:paraId="6C59809A" w14:textId="77777777" w:rsidR="00695E44" w:rsidRPr="00B27ECE" w:rsidRDefault="00695E44" w:rsidP="00B27ECE">
      <w:pPr>
        <w:pStyle w:val="subsection"/>
      </w:pPr>
      <w:r w:rsidRPr="00B27ECE">
        <w:tab/>
        <w:t>(1)</w:t>
      </w:r>
      <w:r w:rsidRPr="00B27ECE">
        <w:tab/>
        <w:t>Each provision of this Act specified in column 1 of the table commences, or is taken to have commenced, in accordance with column 2 of the table. Any other statement in column 2 has effect according to its terms.</w:t>
      </w:r>
    </w:p>
    <w:p w14:paraId="40A796D8" w14:textId="77777777" w:rsidR="00695E44" w:rsidRPr="00B27ECE" w:rsidRDefault="00695E44" w:rsidP="00B27EC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95E44" w:rsidRPr="00B27ECE" w14:paraId="1A0BB0A6" w14:textId="77777777" w:rsidTr="00CC2415">
        <w:trPr>
          <w:tblHeader/>
        </w:trPr>
        <w:tc>
          <w:tcPr>
            <w:tcW w:w="7111" w:type="dxa"/>
            <w:gridSpan w:val="3"/>
            <w:tcBorders>
              <w:top w:val="single" w:sz="12" w:space="0" w:color="auto"/>
              <w:bottom w:val="single" w:sz="6" w:space="0" w:color="auto"/>
            </w:tcBorders>
            <w:shd w:val="clear" w:color="auto" w:fill="auto"/>
          </w:tcPr>
          <w:p w14:paraId="7852C2E5" w14:textId="77777777" w:rsidR="00695E44" w:rsidRPr="00B27ECE" w:rsidRDefault="00695E44" w:rsidP="00B27ECE">
            <w:pPr>
              <w:pStyle w:val="TableHeading"/>
            </w:pPr>
            <w:r w:rsidRPr="00B27ECE">
              <w:t>Commencement information</w:t>
            </w:r>
          </w:p>
        </w:tc>
      </w:tr>
      <w:tr w:rsidR="00695E44" w:rsidRPr="00B27ECE" w14:paraId="023748E8" w14:textId="77777777" w:rsidTr="00CC2415">
        <w:trPr>
          <w:tblHeader/>
        </w:trPr>
        <w:tc>
          <w:tcPr>
            <w:tcW w:w="1701" w:type="dxa"/>
            <w:tcBorders>
              <w:top w:val="single" w:sz="6" w:space="0" w:color="auto"/>
              <w:bottom w:val="single" w:sz="6" w:space="0" w:color="auto"/>
            </w:tcBorders>
            <w:shd w:val="clear" w:color="auto" w:fill="auto"/>
          </w:tcPr>
          <w:p w14:paraId="4D8481AF" w14:textId="77777777" w:rsidR="00695E44" w:rsidRPr="00B27ECE" w:rsidRDefault="00695E44" w:rsidP="00B27ECE">
            <w:pPr>
              <w:pStyle w:val="TableHeading"/>
            </w:pPr>
            <w:r w:rsidRPr="00B27ECE">
              <w:t>Column 1</w:t>
            </w:r>
          </w:p>
        </w:tc>
        <w:tc>
          <w:tcPr>
            <w:tcW w:w="3828" w:type="dxa"/>
            <w:tcBorders>
              <w:top w:val="single" w:sz="6" w:space="0" w:color="auto"/>
              <w:bottom w:val="single" w:sz="6" w:space="0" w:color="auto"/>
            </w:tcBorders>
            <w:shd w:val="clear" w:color="auto" w:fill="auto"/>
          </w:tcPr>
          <w:p w14:paraId="6F6FE4F2" w14:textId="77777777" w:rsidR="00695E44" w:rsidRPr="00B27ECE" w:rsidRDefault="00695E44" w:rsidP="00B27ECE">
            <w:pPr>
              <w:pStyle w:val="TableHeading"/>
            </w:pPr>
            <w:r w:rsidRPr="00B27ECE">
              <w:t>Column 2</w:t>
            </w:r>
          </w:p>
        </w:tc>
        <w:tc>
          <w:tcPr>
            <w:tcW w:w="1582" w:type="dxa"/>
            <w:tcBorders>
              <w:top w:val="single" w:sz="6" w:space="0" w:color="auto"/>
              <w:bottom w:val="single" w:sz="6" w:space="0" w:color="auto"/>
            </w:tcBorders>
            <w:shd w:val="clear" w:color="auto" w:fill="auto"/>
          </w:tcPr>
          <w:p w14:paraId="32AF17F8" w14:textId="77777777" w:rsidR="00695E44" w:rsidRPr="00B27ECE" w:rsidRDefault="00695E44" w:rsidP="00B27ECE">
            <w:pPr>
              <w:pStyle w:val="TableHeading"/>
            </w:pPr>
            <w:r w:rsidRPr="00B27ECE">
              <w:t>Column 3</w:t>
            </w:r>
          </w:p>
        </w:tc>
      </w:tr>
      <w:tr w:rsidR="00695E44" w:rsidRPr="00B27ECE" w14:paraId="5AD61AA1" w14:textId="77777777" w:rsidTr="00CC2415">
        <w:trPr>
          <w:tblHeader/>
        </w:trPr>
        <w:tc>
          <w:tcPr>
            <w:tcW w:w="1701" w:type="dxa"/>
            <w:tcBorders>
              <w:top w:val="single" w:sz="6" w:space="0" w:color="auto"/>
              <w:bottom w:val="single" w:sz="12" w:space="0" w:color="auto"/>
            </w:tcBorders>
            <w:shd w:val="clear" w:color="auto" w:fill="auto"/>
          </w:tcPr>
          <w:p w14:paraId="1DF4AE85" w14:textId="77777777" w:rsidR="00695E44" w:rsidRPr="00B27ECE" w:rsidRDefault="00695E44" w:rsidP="00B27ECE">
            <w:pPr>
              <w:pStyle w:val="TableHeading"/>
            </w:pPr>
            <w:r w:rsidRPr="00B27ECE">
              <w:t>Provisions</w:t>
            </w:r>
          </w:p>
        </w:tc>
        <w:tc>
          <w:tcPr>
            <w:tcW w:w="3828" w:type="dxa"/>
            <w:tcBorders>
              <w:top w:val="single" w:sz="6" w:space="0" w:color="auto"/>
              <w:bottom w:val="single" w:sz="12" w:space="0" w:color="auto"/>
            </w:tcBorders>
            <w:shd w:val="clear" w:color="auto" w:fill="auto"/>
          </w:tcPr>
          <w:p w14:paraId="4ED7EDAC" w14:textId="77777777" w:rsidR="00695E44" w:rsidRPr="00B27ECE" w:rsidRDefault="00695E44" w:rsidP="00B27ECE">
            <w:pPr>
              <w:pStyle w:val="TableHeading"/>
            </w:pPr>
            <w:r w:rsidRPr="00B27ECE">
              <w:t>Commencement</w:t>
            </w:r>
          </w:p>
        </w:tc>
        <w:tc>
          <w:tcPr>
            <w:tcW w:w="1582" w:type="dxa"/>
            <w:tcBorders>
              <w:top w:val="single" w:sz="6" w:space="0" w:color="auto"/>
              <w:bottom w:val="single" w:sz="12" w:space="0" w:color="auto"/>
            </w:tcBorders>
            <w:shd w:val="clear" w:color="auto" w:fill="auto"/>
          </w:tcPr>
          <w:p w14:paraId="4CC5C9A8" w14:textId="77777777" w:rsidR="00695E44" w:rsidRPr="00B27ECE" w:rsidRDefault="00695E44" w:rsidP="00B27ECE">
            <w:pPr>
              <w:pStyle w:val="TableHeading"/>
            </w:pPr>
            <w:r w:rsidRPr="00B27ECE">
              <w:t>Date/Details</w:t>
            </w:r>
          </w:p>
        </w:tc>
      </w:tr>
      <w:tr w:rsidR="00695E44" w:rsidRPr="00B27ECE" w14:paraId="55007473" w14:textId="77777777" w:rsidTr="00CC2415">
        <w:tc>
          <w:tcPr>
            <w:tcW w:w="1701" w:type="dxa"/>
            <w:tcBorders>
              <w:top w:val="single" w:sz="12" w:space="0" w:color="auto"/>
              <w:bottom w:val="single" w:sz="12" w:space="0" w:color="auto"/>
            </w:tcBorders>
            <w:shd w:val="clear" w:color="auto" w:fill="auto"/>
          </w:tcPr>
          <w:p w14:paraId="62C88234" w14:textId="77777777" w:rsidR="00695E44" w:rsidRPr="00B27ECE" w:rsidRDefault="00695E44" w:rsidP="00B27ECE">
            <w:pPr>
              <w:pStyle w:val="Tabletext"/>
            </w:pPr>
            <w:r w:rsidRPr="00B27ECE">
              <w:t xml:space="preserve">1. </w:t>
            </w:r>
            <w:r w:rsidR="00F03F43">
              <w:t xml:space="preserve"> </w:t>
            </w:r>
            <w:r w:rsidRPr="00B27ECE">
              <w:t>The whole of this Act</w:t>
            </w:r>
          </w:p>
        </w:tc>
        <w:tc>
          <w:tcPr>
            <w:tcW w:w="3828" w:type="dxa"/>
            <w:tcBorders>
              <w:top w:val="single" w:sz="12" w:space="0" w:color="auto"/>
              <w:bottom w:val="single" w:sz="12" w:space="0" w:color="auto"/>
            </w:tcBorders>
            <w:shd w:val="clear" w:color="auto" w:fill="auto"/>
          </w:tcPr>
          <w:p w14:paraId="4137FE6D" w14:textId="77777777" w:rsidR="00695E44" w:rsidRPr="00B27ECE" w:rsidRDefault="00C0080F" w:rsidP="00B27ECE">
            <w:pPr>
              <w:pStyle w:val="Tabletext"/>
            </w:pPr>
            <w:r w:rsidRPr="00B27ECE">
              <w:t>1 July</w:t>
            </w:r>
            <w:r w:rsidR="00943B99" w:rsidRPr="00B27ECE">
              <w:t xml:space="preserve"> 2022</w:t>
            </w:r>
            <w:r w:rsidR="00446961" w:rsidRPr="00B27ECE">
              <w:t>.</w:t>
            </w:r>
          </w:p>
        </w:tc>
        <w:tc>
          <w:tcPr>
            <w:tcW w:w="1582" w:type="dxa"/>
            <w:tcBorders>
              <w:top w:val="single" w:sz="12" w:space="0" w:color="auto"/>
              <w:bottom w:val="single" w:sz="12" w:space="0" w:color="auto"/>
            </w:tcBorders>
            <w:shd w:val="clear" w:color="auto" w:fill="auto"/>
          </w:tcPr>
          <w:p w14:paraId="1C2866E7" w14:textId="77777777" w:rsidR="00695E44" w:rsidRPr="00B27ECE" w:rsidRDefault="00C0080F" w:rsidP="00B27ECE">
            <w:pPr>
              <w:pStyle w:val="Tabletext"/>
            </w:pPr>
            <w:r w:rsidRPr="00B27ECE">
              <w:t>1 July</w:t>
            </w:r>
            <w:r w:rsidR="00943B99" w:rsidRPr="00B27ECE">
              <w:t xml:space="preserve"> 2022</w:t>
            </w:r>
          </w:p>
        </w:tc>
      </w:tr>
    </w:tbl>
    <w:p w14:paraId="0D803307" w14:textId="77777777" w:rsidR="00695E44" w:rsidRPr="00B27ECE" w:rsidRDefault="00695E44" w:rsidP="00B27ECE">
      <w:pPr>
        <w:pStyle w:val="notetext"/>
      </w:pPr>
      <w:r w:rsidRPr="00B27ECE">
        <w:t>Note:</w:t>
      </w:r>
      <w:r w:rsidRPr="00B27ECE">
        <w:tab/>
        <w:t>This table relates only to the provisions of this Act as originally enacted. It will not be amended to deal with any later amendments of this Act.</w:t>
      </w:r>
    </w:p>
    <w:p w14:paraId="0A323F74" w14:textId="77777777" w:rsidR="00695E44" w:rsidRPr="00B27ECE" w:rsidRDefault="00695E44" w:rsidP="00B27ECE">
      <w:pPr>
        <w:pStyle w:val="subsection"/>
      </w:pPr>
      <w:r w:rsidRPr="00B27ECE">
        <w:tab/>
        <w:t>(2)</w:t>
      </w:r>
      <w:r w:rsidRPr="00B27ECE">
        <w:tab/>
        <w:t>Any information in column 3 of the table is not part of this Act. Information may be inserted in this column, or information in it may be edited, in any published version of this Act.</w:t>
      </w:r>
    </w:p>
    <w:p w14:paraId="44B9098D" w14:textId="77777777" w:rsidR="00695E44" w:rsidRPr="00B27ECE" w:rsidRDefault="00695E44" w:rsidP="00B27ECE">
      <w:pPr>
        <w:pStyle w:val="ActHead5"/>
      </w:pPr>
      <w:bookmarkStart w:id="4" w:name="_Toc121225238"/>
      <w:r w:rsidRPr="00F03F43">
        <w:rPr>
          <w:rStyle w:val="CharSectno"/>
        </w:rPr>
        <w:t>3</w:t>
      </w:r>
      <w:r w:rsidRPr="00B27ECE">
        <w:t xml:space="preserve">  Schedules</w:t>
      </w:r>
      <w:bookmarkEnd w:id="4"/>
    </w:p>
    <w:p w14:paraId="09B039D9" w14:textId="77777777" w:rsidR="00695E44" w:rsidRPr="00B27ECE" w:rsidRDefault="00695E44" w:rsidP="00B27ECE">
      <w:pPr>
        <w:pStyle w:val="subsection"/>
      </w:pPr>
      <w:r w:rsidRPr="00B27ECE">
        <w:tab/>
      </w:r>
      <w:r w:rsidRPr="00B27ECE">
        <w:tab/>
        <w:t>Legislation that is specified in a Schedule to this Act is amended or repealed as set out in the applicable items in the Schedule concerned, and any other item in a Schedule to this Act has effect according to its terms.</w:t>
      </w:r>
    </w:p>
    <w:p w14:paraId="48A7E238" w14:textId="77777777" w:rsidR="00695E44" w:rsidRPr="00B27ECE" w:rsidRDefault="00695E44" w:rsidP="00B27ECE">
      <w:pPr>
        <w:pStyle w:val="ActHead6"/>
        <w:pageBreakBefore/>
      </w:pPr>
      <w:bookmarkStart w:id="5" w:name="_Toc121225239"/>
      <w:r w:rsidRPr="00F03F43">
        <w:rPr>
          <w:rStyle w:val="CharAmSchNo"/>
        </w:rPr>
        <w:lastRenderedPageBreak/>
        <w:t>Schedule 1</w:t>
      </w:r>
      <w:r w:rsidRPr="00B27ECE">
        <w:t>—</w:t>
      </w:r>
      <w:r w:rsidRPr="00F03F43">
        <w:rPr>
          <w:rStyle w:val="CharAmSchText"/>
        </w:rPr>
        <w:t>Amendments</w:t>
      </w:r>
      <w:bookmarkEnd w:id="5"/>
    </w:p>
    <w:p w14:paraId="6B9E5482" w14:textId="77777777" w:rsidR="00695E44" w:rsidRPr="00F03F43" w:rsidRDefault="00695E44" w:rsidP="00B27ECE">
      <w:pPr>
        <w:pStyle w:val="Header"/>
      </w:pPr>
      <w:r w:rsidRPr="00F03F43">
        <w:rPr>
          <w:rStyle w:val="CharAmPartNo"/>
        </w:rPr>
        <w:t xml:space="preserve"> </w:t>
      </w:r>
      <w:r w:rsidRPr="00F03F43">
        <w:rPr>
          <w:rStyle w:val="CharAmPartText"/>
        </w:rPr>
        <w:t xml:space="preserve"> </w:t>
      </w:r>
    </w:p>
    <w:p w14:paraId="341CFB16" w14:textId="77777777" w:rsidR="00695E44" w:rsidRPr="00B27ECE" w:rsidRDefault="00695E44" w:rsidP="00B27ECE">
      <w:pPr>
        <w:pStyle w:val="ActHead9"/>
      </w:pPr>
      <w:bookmarkStart w:id="6" w:name="_Toc121225240"/>
      <w:r w:rsidRPr="00B27ECE">
        <w:t>Income Tax (Seasonal Labour Mobility Program Withholding Tax) Act 2012</w:t>
      </w:r>
      <w:bookmarkEnd w:id="6"/>
    </w:p>
    <w:p w14:paraId="56D93835" w14:textId="77777777" w:rsidR="00695E44" w:rsidRPr="00B27ECE" w:rsidRDefault="00695E44" w:rsidP="00B27ECE">
      <w:pPr>
        <w:pStyle w:val="ItemHead"/>
      </w:pPr>
      <w:r w:rsidRPr="00B27ECE">
        <w:t>1  Title</w:t>
      </w:r>
    </w:p>
    <w:p w14:paraId="664E3274" w14:textId="77777777" w:rsidR="00695E44" w:rsidRPr="00B27ECE" w:rsidRDefault="00695E44" w:rsidP="00B27ECE">
      <w:pPr>
        <w:pStyle w:val="Item"/>
      </w:pPr>
      <w:r w:rsidRPr="00B27ECE">
        <w:t>Omit “</w:t>
      </w:r>
      <w:r w:rsidRPr="00B27ECE">
        <w:rPr>
          <w:b/>
        </w:rPr>
        <w:t>the Seasonal Labour Mobility Program</w:t>
      </w:r>
      <w:r w:rsidRPr="00B27ECE">
        <w:t>”, substitute “</w:t>
      </w:r>
      <w:r w:rsidRPr="00B27ECE">
        <w:rPr>
          <w:b/>
        </w:rPr>
        <w:t>certain labour mobility programs</w:t>
      </w:r>
      <w:r w:rsidRPr="00B27ECE">
        <w:t>”.</w:t>
      </w:r>
    </w:p>
    <w:p w14:paraId="60F266E1" w14:textId="77777777" w:rsidR="00695E44" w:rsidRPr="00B27ECE" w:rsidRDefault="00695E44" w:rsidP="00B27ECE">
      <w:pPr>
        <w:pStyle w:val="ItemHead"/>
      </w:pPr>
      <w:r w:rsidRPr="00B27ECE">
        <w:t>2</w:t>
      </w:r>
      <w:bookmarkStart w:id="7" w:name="BK_ProcessCitations"/>
      <w:r w:rsidRPr="00B27ECE">
        <w:t xml:space="preserve">  Section 1</w:t>
      </w:r>
    </w:p>
    <w:bookmarkEnd w:id="7"/>
    <w:p w14:paraId="4E619E4E" w14:textId="77777777" w:rsidR="00695E44" w:rsidRPr="00B27ECE" w:rsidRDefault="00695E44" w:rsidP="00B27ECE">
      <w:pPr>
        <w:pStyle w:val="Item"/>
      </w:pPr>
      <w:r w:rsidRPr="00B27ECE">
        <w:t>Omit “</w:t>
      </w:r>
      <w:r w:rsidRPr="00B27ECE">
        <w:rPr>
          <w:i/>
        </w:rPr>
        <w:t>Income Tax (Seasonal Labour Mobility Program Withholding Tax) Act 2012</w:t>
      </w:r>
      <w:r w:rsidRPr="00B27ECE">
        <w:t>”, substitute “</w:t>
      </w:r>
      <w:r w:rsidRPr="00B27ECE">
        <w:rPr>
          <w:i/>
        </w:rPr>
        <w:t>Income Tax (Labour Mobility Program Withholding Tax) Act 2012</w:t>
      </w:r>
      <w:r w:rsidRPr="00B27ECE">
        <w:t>”.</w:t>
      </w:r>
    </w:p>
    <w:p w14:paraId="1202E4A4" w14:textId="2095DEEC" w:rsidR="008D3E94" w:rsidRDefault="009A671D" w:rsidP="00B27ECE">
      <w:pPr>
        <w:pStyle w:val="notemargin"/>
      </w:pPr>
      <w:r w:rsidRPr="00B27ECE">
        <w:t>Note:</w:t>
      </w:r>
      <w:r w:rsidRPr="00B27ECE">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B27ECE">
        <w:rPr>
          <w:i/>
        </w:rPr>
        <w:t>Acts Interpretation Act 1901</w:t>
      </w:r>
      <w:r w:rsidRPr="00B27ECE">
        <w:t>).</w:t>
      </w:r>
    </w:p>
    <w:p w14:paraId="1B0AAB8B" w14:textId="77777777" w:rsidR="00FC2B9D" w:rsidRDefault="00FC2B9D" w:rsidP="00FC2B9D"/>
    <w:p w14:paraId="0363C373" w14:textId="77777777" w:rsidR="00FC2B9D" w:rsidRDefault="00FC2B9D" w:rsidP="00FC2B9D">
      <w:pPr>
        <w:pStyle w:val="AssentBk"/>
        <w:keepNext/>
      </w:pPr>
    </w:p>
    <w:p w14:paraId="254DBEFD" w14:textId="77777777" w:rsidR="00FC2B9D" w:rsidRDefault="00FC2B9D" w:rsidP="00FC2B9D">
      <w:pPr>
        <w:pStyle w:val="AssentBk"/>
        <w:keepNext/>
      </w:pPr>
    </w:p>
    <w:p w14:paraId="32A4A9D5" w14:textId="77777777" w:rsidR="00FC2B9D" w:rsidRDefault="00FC2B9D" w:rsidP="00FC2B9D">
      <w:pPr>
        <w:pStyle w:val="2ndRd"/>
        <w:keepNext/>
        <w:pBdr>
          <w:top w:val="single" w:sz="2" w:space="1" w:color="auto"/>
        </w:pBdr>
      </w:pPr>
    </w:p>
    <w:p w14:paraId="4AB9A6D9" w14:textId="77777777" w:rsidR="00FC2B9D" w:rsidRDefault="00FC2B9D" w:rsidP="000C5962">
      <w:pPr>
        <w:pStyle w:val="2ndRd"/>
        <w:keepNext/>
        <w:spacing w:line="260" w:lineRule="atLeast"/>
        <w:rPr>
          <w:i/>
        </w:rPr>
      </w:pPr>
      <w:r>
        <w:t>[</w:t>
      </w:r>
      <w:r>
        <w:rPr>
          <w:i/>
        </w:rPr>
        <w:t>Minister’s second reading speech made in—</w:t>
      </w:r>
    </w:p>
    <w:p w14:paraId="4F42AF4B" w14:textId="002C4BB7" w:rsidR="00FC2B9D" w:rsidRDefault="00FC2B9D" w:rsidP="000C5962">
      <w:pPr>
        <w:pStyle w:val="2ndRd"/>
        <w:keepNext/>
        <w:spacing w:line="260" w:lineRule="atLeast"/>
        <w:rPr>
          <w:i/>
        </w:rPr>
      </w:pPr>
      <w:r>
        <w:rPr>
          <w:i/>
        </w:rPr>
        <w:t>House of Representatives on 8 September 2022</w:t>
      </w:r>
    </w:p>
    <w:p w14:paraId="4C4BAFA1" w14:textId="63602DC2" w:rsidR="00FC2B9D" w:rsidRDefault="00FC2B9D" w:rsidP="000C5962">
      <w:pPr>
        <w:pStyle w:val="2ndRd"/>
        <w:keepNext/>
        <w:spacing w:line="260" w:lineRule="atLeast"/>
        <w:rPr>
          <w:i/>
        </w:rPr>
      </w:pPr>
      <w:r>
        <w:rPr>
          <w:i/>
        </w:rPr>
        <w:t>Senate on 27 October 2022</w:t>
      </w:r>
      <w:r>
        <w:t>]</w:t>
      </w:r>
    </w:p>
    <w:p w14:paraId="0E9D9619" w14:textId="77777777" w:rsidR="00FC2B9D" w:rsidRDefault="00FC2B9D" w:rsidP="000C5962"/>
    <w:p w14:paraId="425DC4E1" w14:textId="3076F7C6" w:rsidR="00691E46" w:rsidRPr="00FC2B9D" w:rsidRDefault="00FC2B9D" w:rsidP="00FC2B9D">
      <w:pPr>
        <w:framePr w:hSpace="180" w:wrap="around" w:vAnchor="text" w:hAnchor="page" w:x="2476" w:y="3647"/>
      </w:pPr>
      <w:r>
        <w:t>(72/22)</w:t>
      </w:r>
    </w:p>
    <w:p w14:paraId="5FADFAAF" w14:textId="77777777" w:rsidR="00FC2B9D" w:rsidRDefault="00FC2B9D"/>
    <w:sectPr w:rsidR="00FC2B9D" w:rsidSect="00691E4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674DA" w14:textId="77777777" w:rsidR="00695E44" w:rsidRDefault="00695E44" w:rsidP="0048364F">
      <w:pPr>
        <w:spacing w:line="240" w:lineRule="auto"/>
      </w:pPr>
      <w:r>
        <w:separator/>
      </w:r>
    </w:p>
  </w:endnote>
  <w:endnote w:type="continuationSeparator" w:id="0">
    <w:p w14:paraId="074C8BDD" w14:textId="77777777" w:rsidR="00695E44" w:rsidRDefault="00695E4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E47B0" w14:textId="77777777" w:rsidR="00695E44" w:rsidRPr="005F1388" w:rsidRDefault="00695E44" w:rsidP="00B27EC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49B1" w14:textId="467A0874" w:rsidR="00FC2B9D" w:rsidRDefault="00FC2B9D" w:rsidP="00CD12A5">
    <w:pPr>
      <w:pStyle w:val="ScalePlusRef"/>
    </w:pPr>
    <w:r>
      <w:t>Note: An electronic version of this Act is available on the Federal Register of Legislation (</w:t>
    </w:r>
    <w:hyperlink r:id="rId1" w:history="1">
      <w:r>
        <w:t>https://www.legislation.gov.au/</w:t>
      </w:r>
    </w:hyperlink>
    <w:r>
      <w:t>)</w:t>
    </w:r>
  </w:p>
  <w:p w14:paraId="1BEBF746" w14:textId="77777777" w:rsidR="00FC2B9D" w:rsidRDefault="00FC2B9D" w:rsidP="00CD12A5"/>
  <w:p w14:paraId="77E60EDB" w14:textId="75AEA45C" w:rsidR="00695E44" w:rsidRDefault="00695E44" w:rsidP="00B27ECE">
    <w:pPr>
      <w:pStyle w:val="Footer"/>
      <w:spacing w:before="120"/>
    </w:pPr>
  </w:p>
  <w:p w14:paraId="4FD4EB0F" w14:textId="77777777" w:rsidR="00695E44" w:rsidRPr="005F1388" w:rsidRDefault="00695E4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4E56" w14:textId="77777777" w:rsidR="00695E44" w:rsidRPr="00ED79B6" w:rsidRDefault="00695E44" w:rsidP="00B27EC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8BA4" w14:textId="77777777" w:rsidR="00695E44" w:rsidRDefault="00695E44" w:rsidP="00B27E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5E44" w14:paraId="74C7B040" w14:textId="77777777" w:rsidTr="00BC1BE4">
      <w:tc>
        <w:tcPr>
          <w:tcW w:w="646" w:type="dxa"/>
        </w:tcPr>
        <w:p w14:paraId="7CD8CE5E" w14:textId="77777777" w:rsidR="00695E44" w:rsidRDefault="00695E44" w:rsidP="00BC1B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471EA68" w14:textId="6CD7D23F" w:rsidR="00695E44" w:rsidRDefault="00695E44" w:rsidP="00BC1B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6445">
            <w:rPr>
              <w:i/>
              <w:sz w:val="18"/>
            </w:rPr>
            <w:t>Income Tax Amendment (Labour Mobility Program) Act 2022</w:t>
          </w:r>
          <w:r w:rsidRPr="00ED79B6">
            <w:rPr>
              <w:i/>
              <w:sz w:val="18"/>
            </w:rPr>
            <w:fldChar w:fldCharType="end"/>
          </w:r>
        </w:p>
      </w:tc>
      <w:tc>
        <w:tcPr>
          <w:tcW w:w="1270" w:type="dxa"/>
        </w:tcPr>
        <w:p w14:paraId="413A4DCE" w14:textId="3C2B64C4" w:rsidR="00695E44" w:rsidRDefault="00695E44" w:rsidP="00BC1B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6445">
            <w:rPr>
              <w:i/>
              <w:sz w:val="18"/>
            </w:rPr>
            <w:t>No. 74, 2022</w:t>
          </w:r>
          <w:r w:rsidRPr="00ED79B6">
            <w:rPr>
              <w:i/>
              <w:sz w:val="18"/>
            </w:rPr>
            <w:fldChar w:fldCharType="end"/>
          </w:r>
        </w:p>
      </w:tc>
    </w:tr>
  </w:tbl>
  <w:p w14:paraId="2BC16DFA" w14:textId="77777777" w:rsidR="00695E44" w:rsidRDefault="00695E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C7FF" w14:textId="77777777" w:rsidR="00695E44" w:rsidRDefault="00695E44" w:rsidP="00B27E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5E44" w14:paraId="3E28FADB" w14:textId="77777777" w:rsidTr="00BC1BE4">
      <w:tc>
        <w:tcPr>
          <w:tcW w:w="1247" w:type="dxa"/>
        </w:tcPr>
        <w:p w14:paraId="044F65D2" w14:textId="1D6AF715" w:rsidR="00695E44" w:rsidRDefault="00695E44" w:rsidP="00BC1B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6445">
            <w:rPr>
              <w:i/>
              <w:sz w:val="18"/>
            </w:rPr>
            <w:t>No. 74, 2022</w:t>
          </w:r>
          <w:r w:rsidRPr="00ED79B6">
            <w:rPr>
              <w:i/>
              <w:sz w:val="18"/>
            </w:rPr>
            <w:fldChar w:fldCharType="end"/>
          </w:r>
        </w:p>
      </w:tc>
      <w:tc>
        <w:tcPr>
          <w:tcW w:w="5387" w:type="dxa"/>
        </w:tcPr>
        <w:p w14:paraId="7501D738" w14:textId="23C18898" w:rsidR="00695E44" w:rsidRDefault="00695E44" w:rsidP="00BC1B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6445">
            <w:rPr>
              <w:i/>
              <w:sz w:val="18"/>
            </w:rPr>
            <w:t>Income Tax Amendment (Labour Mobility Program) Act 2022</w:t>
          </w:r>
          <w:r w:rsidRPr="00ED79B6">
            <w:rPr>
              <w:i/>
              <w:sz w:val="18"/>
            </w:rPr>
            <w:fldChar w:fldCharType="end"/>
          </w:r>
        </w:p>
      </w:tc>
      <w:tc>
        <w:tcPr>
          <w:tcW w:w="669" w:type="dxa"/>
        </w:tcPr>
        <w:p w14:paraId="62AA6671" w14:textId="77777777" w:rsidR="00695E44" w:rsidRDefault="00695E44" w:rsidP="00BC1B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2C7C6C" w14:textId="77777777" w:rsidR="00695E44" w:rsidRPr="00ED79B6" w:rsidRDefault="00695E4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CD00" w14:textId="77777777" w:rsidR="0048364F" w:rsidRPr="00A961C4" w:rsidRDefault="0048364F" w:rsidP="00B27EC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658C7141" w14:textId="77777777" w:rsidTr="00F03F43">
      <w:tc>
        <w:tcPr>
          <w:tcW w:w="646" w:type="dxa"/>
        </w:tcPr>
        <w:p w14:paraId="14467276" w14:textId="77777777"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2</w:t>
          </w:r>
          <w:r w:rsidRPr="007A1328">
            <w:rPr>
              <w:i/>
              <w:sz w:val="18"/>
            </w:rPr>
            <w:fldChar w:fldCharType="end"/>
          </w:r>
        </w:p>
      </w:tc>
      <w:tc>
        <w:tcPr>
          <w:tcW w:w="5387" w:type="dxa"/>
        </w:tcPr>
        <w:p w14:paraId="6DA1DD46" w14:textId="7D9186F2"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6445">
            <w:rPr>
              <w:i/>
              <w:sz w:val="18"/>
            </w:rPr>
            <w:t>Income Tax Amendment (Labour Mobility Program) Act 2022</w:t>
          </w:r>
          <w:r w:rsidRPr="007A1328">
            <w:rPr>
              <w:i/>
              <w:sz w:val="18"/>
            </w:rPr>
            <w:fldChar w:fldCharType="end"/>
          </w:r>
        </w:p>
      </w:tc>
      <w:tc>
        <w:tcPr>
          <w:tcW w:w="1270" w:type="dxa"/>
        </w:tcPr>
        <w:p w14:paraId="75B2C069" w14:textId="4C6A8437"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6445">
            <w:rPr>
              <w:i/>
              <w:sz w:val="18"/>
            </w:rPr>
            <w:t>No. 74, 2022</w:t>
          </w:r>
          <w:r w:rsidRPr="007A1328">
            <w:rPr>
              <w:i/>
              <w:sz w:val="18"/>
            </w:rPr>
            <w:fldChar w:fldCharType="end"/>
          </w:r>
        </w:p>
      </w:tc>
    </w:tr>
  </w:tbl>
  <w:p w14:paraId="57E1C738" w14:textId="77777777"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3D38" w14:textId="77777777" w:rsidR="0048364F" w:rsidRPr="00A961C4" w:rsidRDefault="0048364F" w:rsidP="00B27E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0C5A9F3F" w14:textId="77777777" w:rsidTr="00F03F43">
      <w:tc>
        <w:tcPr>
          <w:tcW w:w="1247" w:type="dxa"/>
        </w:tcPr>
        <w:p w14:paraId="4BFD6FF3" w14:textId="3304A113"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6445">
            <w:rPr>
              <w:i/>
              <w:sz w:val="18"/>
            </w:rPr>
            <w:t>No. 74, 2022</w:t>
          </w:r>
          <w:r w:rsidRPr="007A1328">
            <w:rPr>
              <w:i/>
              <w:sz w:val="18"/>
            </w:rPr>
            <w:fldChar w:fldCharType="end"/>
          </w:r>
        </w:p>
      </w:tc>
      <w:tc>
        <w:tcPr>
          <w:tcW w:w="5387" w:type="dxa"/>
        </w:tcPr>
        <w:p w14:paraId="54BC989D" w14:textId="5989A312"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6445">
            <w:rPr>
              <w:i/>
              <w:sz w:val="18"/>
            </w:rPr>
            <w:t>Income Tax Amendment (Labour Mobility Program) Act 2022</w:t>
          </w:r>
          <w:r w:rsidRPr="007A1328">
            <w:rPr>
              <w:i/>
              <w:sz w:val="18"/>
            </w:rPr>
            <w:fldChar w:fldCharType="end"/>
          </w:r>
        </w:p>
      </w:tc>
      <w:tc>
        <w:tcPr>
          <w:tcW w:w="669" w:type="dxa"/>
        </w:tcPr>
        <w:p w14:paraId="6237A8FB"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3</w:t>
          </w:r>
          <w:r w:rsidRPr="007A1328">
            <w:rPr>
              <w:i/>
              <w:sz w:val="18"/>
            </w:rPr>
            <w:fldChar w:fldCharType="end"/>
          </w:r>
        </w:p>
      </w:tc>
    </w:tr>
  </w:tbl>
  <w:p w14:paraId="0B9BE33F" w14:textId="77777777"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1712" w14:textId="77777777" w:rsidR="0048364F" w:rsidRPr="00A961C4" w:rsidRDefault="0048364F" w:rsidP="00B27E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055B5C" w14:paraId="4D79E4D8" w14:textId="77777777" w:rsidTr="00F03F43">
      <w:tc>
        <w:tcPr>
          <w:tcW w:w="1247" w:type="dxa"/>
        </w:tcPr>
        <w:p w14:paraId="4763E607" w14:textId="46220FB6"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6445">
            <w:rPr>
              <w:i/>
              <w:sz w:val="18"/>
            </w:rPr>
            <w:t>No. 74, 2022</w:t>
          </w:r>
          <w:r w:rsidRPr="007A1328">
            <w:rPr>
              <w:i/>
              <w:sz w:val="18"/>
            </w:rPr>
            <w:fldChar w:fldCharType="end"/>
          </w:r>
        </w:p>
      </w:tc>
      <w:tc>
        <w:tcPr>
          <w:tcW w:w="5387" w:type="dxa"/>
        </w:tcPr>
        <w:p w14:paraId="5E7C883D" w14:textId="551E27F1"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6445">
            <w:rPr>
              <w:i/>
              <w:sz w:val="18"/>
            </w:rPr>
            <w:t>Income Tax Amendment (Labour Mobility Program) Act 2022</w:t>
          </w:r>
          <w:r w:rsidRPr="007A1328">
            <w:rPr>
              <w:i/>
              <w:sz w:val="18"/>
            </w:rPr>
            <w:fldChar w:fldCharType="end"/>
          </w:r>
        </w:p>
      </w:tc>
      <w:tc>
        <w:tcPr>
          <w:tcW w:w="669" w:type="dxa"/>
        </w:tcPr>
        <w:p w14:paraId="6A836300"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1</w:t>
          </w:r>
          <w:r w:rsidRPr="007A1328">
            <w:rPr>
              <w:i/>
              <w:sz w:val="18"/>
            </w:rPr>
            <w:fldChar w:fldCharType="end"/>
          </w:r>
        </w:p>
      </w:tc>
    </w:tr>
  </w:tbl>
  <w:p w14:paraId="584D173F" w14:textId="77777777"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A60B" w14:textId="77777777" w:rsidR="00695E44" w:rsidRDefault="00695E44" w:rsidP="0048364F">
      <w:pPr>
        <w:spacing w:line="240" w:lineRule="auto"/>
      </w:pPr>
      <w:r>
        <w:separator/>
      </w:r>
    </w:p>
  </w:footnote>
  <w:footnote w:type="continuationSeparator" w:id="0">
    <w:p w14:paraId="5ABAEF9C" w14:textId="77777777" w:rsidR="00695E44" w:rsidRDefault="00695E4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F959" w14:textId="77777777" w:rsidR="00695E44" w:rsidRPr="005F1388" w:rsidRDefault="00695E4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F93B" w14:textId="77777777" w:rsidR="00695E44" w:rsidRPr="005F1388" w:rsidRDefault="00695E4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8F0A" w14:textId="77777777" w:rsidR="00695E44" w:rsidRPr="005F1388" w:rsidRDefault="00695E4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63FE" w14:textId="77777777" w:rsidR="00695E44" w:rsidRPr="00ED79B6" w:rsidRDefault="00695E4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3A16" w14:textId="77777777" w:rsidR="00695E44" w:rsidRPr="00ED79B6" w:rsidRDefault="00695E4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EF61" w14:textId="77777777" w:rsidR="00695E44" w:rsidRPr="00ED79B6" w:rsidRDefault="00695E4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C940" w14:textId="4FCE6745"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14:paraId="07C86E86" w14:textId="6108898B"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2F44CF17"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2DD92" w14:textId="094C64BC"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56445">
      <w:rPr>
        <w:sz w:val="20"/>
      </w:rPr>
      <w:fldChar w:fldCharType="separate"/>
    </w:r>
    <w:r w:rsidR="00E56445">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56445">
      <w:rPr>
        <w:b/>
        <w:sz w:val="20"/>
      </w:rPr>
      <w:fldChar w:fldCharType="separate"/>
    </w:r>
    <w:r w:rsidR="00E56445">
      <w:rPr>
        <w:b/>
        <w:noProof/>
        <w:sz w:val="20"/>
      </w:rPr>
      <w:t>Schedule 1</w:t>
    </w:r>
    <w:r>
      <w:rPr>
        <w:b/>
        <w:sz w:val="20"/>
      </w:rPr>
      <w:fldChar w:fldCharType="end"/>
    </w:r>
  </w:p>
  <w:p w14:paraId="7B6B0047" w14:textId="1716A9A9"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52F6A69E"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1DE8"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44"/>
    <w:rsid w:val="000113BC"/>
    <w:rsid w:val="000136AF"/>
    <w:rsid w:val="000417C9"/>
    <w:rsid w:val="0005219F"/>
    <w:rsid w:val="00055B5C"/>
    <w:rsid w:val="00056391"/>
    <w:rsid w:val="00060FF9"/>
    <w:rsid w:val="000614BF"/>
    <w:rsid w:val="00061ED5"/>
    <w:rsid w:val="000B1FD2"/>
    <w:rsid w:val="000C1B7F"/>
    <w:rsid w:val="000D05EF"/>
    <w:rsid w:val="000F21C1"/>
    <w:rsid w:val="000F316E"/>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40749"/>
    <w:rsid w:val="0024251C"/>
    <w:rsid w:val="00263820"/>
    <w:rsid w:val="00275197"/>
    <w:rsid w:val="00293B89"/>
    <w:rsid w:val="00297ECB"/>
    <w:rsid w:val="002B5A30"/>
    <w:rsid w:val="002D043A"/>
    <w:rsid w:val="002D395A"/>
    <w:rsid w:val="002F5A80"/>
    <w:rsid w:val="00341044"/>
    <w:rsid w:val="003415D3"/>
    <w:rsid w:val="0034582B"/>
    <w:rsid w:val="00350417"/>
    <w:rsid w:val="00352B0F"/>
    <w:rsid w:val="00366245"/>
    <w:rsid w:val="00373874"/>
    <w:rsid w:val="00375C6C"/>
    <w:rsid w:val="00395A06"/>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46961"/>
    <w:rsid w:val="00453295"/>
    <w:rsid w:val="0048196B"/>
    <w:rsid w:val="0048364F"/>
    <w:rsid w:val="00486D05"/>
    <w:rsid w:val="00496F97"/>
    <w:rsid w:val="004C7C8C"/>
    <w:rsid w:val="004E2A4A"/>
    <w:rsid w:val="004F0D23"/>
    <w:rsid w:val="004F1FAC"/>
    <w:rsid w:val="00516B8D"/>
    <w:rsid w:val="00526D52"/>
    <w:rsid w:val="00537FBC"/>
    <w:rsid w:val="00543469"/>
    <w:rsid w:val="00545D52"/>
    <w:rsid w:val="00551B54"/>
    <w:rsid w:val="00560F2B"/>
    <w:rsid w:val="00584811"/>
    <w:rsid w:val="00593AA6"/>
    <w:rsid w:val="00594161"/>
    <w:rsid w:val="00594749"/>
    <w:rsid w:val="005A0D92"/>
    <w:rsid w:val="005B4067"/>
    <w:rsid w:val="005C3F41"/>
    <w:rsid w:val="005E152A"/>
    <w:rsid w:val="005F11B1"/>
    <w:rsid w:val="00600219"/>
    <w:rsid w:val="006167FD"/>
    <w:rsid w:val="00641DE5"/>
    <w:rsid w:val="0065137F"/>
    <w:rsid w:val="00656F0C"/>
    <w:rsid w:val="006679BA"/>
    <w:rsid w:val="00677CC2"/>
    <w:rsid w:val="00681F92"/>
    <w:rsid w:val="006842C2"/>
    <w:rsid w:val="00685F42"/>
    <w:rsid w:val="00691E46"/>
    <w:rsid w:val="0069207B"/>
    <w:rsid w:val="006955F9"/>
    <w:rsid w:val="00695E44"/>
    <w:rsid w:val="006A4B23"/>
    <w:rsid w:val="006C2874"/>
    <w:rsid w:val="006C7F8C"/>
    <w:rsid w:val="006D380D"/>
    <w:rsid w:val="006E0135"/>
    <w:rsid w:val="006E303A"/>
    <w:rsid w:val="006F7E19"/>
    <w:rsid w:val="00700B2C"/>
    <w:rsid w:val="0070114E"/>
    <w:rsid w:val="00712D8D"/>
    <w:rsid w:val="00713084"/>
    <w:rsid w:val="00714B26"/>
    <w:rsid w:val="00731E00"/>
    <w:rsid w:val="007440B7"/>
    <w:rsid w:val="007634AD"/>
    <w:rsid w:val="007715C9"/>
    <w:rsid w:val="00774EDD"/>
    <w:rsid w:val="007757EC"/>
    <w:rsid w:val="007A4772"/>
    <w:rsid w:val="007B30AA"/>
    <w:rsid w:val="007C6118"/>
    <w:rsid w:val="007E7D4A"/>
    <w:rsid w:val="008006CC"/>
    <w:rsid w:val="00807F18"/>
    <w:rsid w:val="00831E8D"/>
    <w:rsid w:val="00856A31"/>
    <w:rsid w:val="00857D6B"/>
    <w:rsid w:val="008754D0"/>
    <w:rsid w:val="00876322"/>
    <w:rsid w:val="00877D48"/>
    <w:rsid w:val="00883781"/>
    <w:rsid w:val="00885570"/>
    <w:rsid w:val="00893958"/>
    <w:rsid w:val="008A2E77"/>
    <w:rsid w:val="008C6F6F"/>
    <w:rsid w:val="008D0EE0"/>
    <w:rsid w:val="008D3E94"/>
    <w:rsid w:val="008E385B"/>
    <w:rsid w:val="008F4F1C"/>
    <w:rsid w:val="008F77C4"/>
    <w:rsid w:val="009103F3"/>
    <w:rsid w:val="00932377"/>
    <w:rsid w:val="00943221"/>
    <w:rsid w:val="00943B99"/>
    <w:rsid w:val="00967042"/>
    <w:rsid w:val="00974E1C"/>
    <w:rsid w:val="0098255A"/>
    <w:rsid w:val="009845BE"/>
    <w:rsid w:val="00984BC3"/>
    <w:rsid w:val="009969C9"/>
    <w:rsid w:val="009A671D"/>
    <w:rsid w:val="009E186E"/>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32D8"/>
    <w:rsid w:val="00B27ECE"/>
    <w:rsid w:val="00B32BE2"/>
    <w:rsid w:val="00B33B3C"/>
    <w:rsid w:val="00B6382D"/>
    <w:rsid w:val="00BA5026"/>
    <w:rsid w:val="00BB40BF"/>
    <w:rsid w:val="00BC0CD1"/>
    <w:rsid w:val="00BE719A"/>
    <w:rsid w:val="00BE720A"/>
    <w:rsid w:val="00BF0461"/>
    <w:rsid w:val="00BF4944"/>
    <w:rsid w:val="00BF56D4"/>
    <w:rsid w:val="00C0080F"/>
    <w:rsid w:val="00C04409"/>
    <w:rsid w:val="00C067E5"/>
    <w:rsid w:val="00C164CA"/>
    <w:rsid w:val="00C176CF"/>
    <w:rsid w:val="00C24EE9"/>
    <w:rsid w:val="00C42BF8"/>
    <w:rsid w:val="00C460AE"/>
    <w:rsid w:val="00C50043"/>
    <w:rsid w:val="00C54E84"/>
    <w:rsid w:val="00C7573B"/>
    <w:rsid w:val="00C76CF3"/>
    <w:rsid w:val="00CB009E"/>
    <w:rsid w:val="00CB2E3D"/>
    <w:rsid w:val="00CE1E31"/>
    <w:rsid w:val="00CF0BB2"/>
    <w:rsid w:val="00D00EAA"/>
    <w:rsid w:val="00D13441"/>
    <w:rsid w:val="00D243A3"/>
    <w:rsid w:val="00D477C3"/>
    <w:rsid w:val="00D52EFE"/>
    <w:rsid w:val="00D63EF6"/>
    <w:rsid w:val="00D70DFB"/>
    <w:rsid w:val="00D73029"/>
    <w:rsid w:val="00D766DF"/>
    <w:rsid w:val="00DE2002"/>
    <w:rsid w:val="00DF1ED7"/>
    <w:rsid w:val="00DF7AE9"/>
    <w:rsid w:val="00E029C2"/>
    <w:rsid w:val="00E05704"/>
    <w:rsid w:val="00E24D66"/>
    <w:rsid w:val="00E37760"/>
    <w:rsid w:val="00E54292"/>
    <w:rsid w:val="00E56445"/>
    <w:rsid w:val="00E74DC7"/>
    <w:rsid w:val="00E77460"/>
    <w:rsid w:val="00E84ECA"/>
    <w:rsid w:val="00E87699"/>
    <w:rsid w:val="00E947C6"/>
    <w:rsid w:val="00EB510C"/>
    <w:rsid w:val="00EB6C24"/>
    <w:rsid w:val="00ED492F"/>
    <w:rsid w:val="00EE3E36"/>
    <w:rsid w:val="00EF2E3A"/>
    <w:rsid w:val="00F03F43"/>
    <w:rsid w:val="00F047E2"/>
    <w:rsid w:val="00F078DC"/>
    <w:rsid w:val="00F110F2"/>
    <w:rsid w:val="00F13E86"/>
    <w:rsid w:val="00F16C18"/>
    <w:rsid w:val="00F17B00"/>
    <w:rsid w:val="00F677A9"/>
    <w:rsid w:val="00F84CF5"/>
    <w:rsid w:val="00F86577"/>
    <w:rsid w:val="00F92D35"/>
    <w:rsid w:val="00FA420B"/>
    <w:rsid w:val="00FC2B9D"/>
    <w:rsid w:val="00FD1E13"/>
    <w:rsid w:val="00FD7EB1"/>
    <w:rsid w:val="00FE41C9"/>
    <w:rsid w:val="00FE7F93"/>
    <w:rsid w:val="00FF5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191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7ECE"/>
    <w:pPr>
      <w:spacing w:line="260" w:lineRule="atLeast"/>
    </w:pPr>
    <w:rPr>
      <w:sz w:val="22"/>
    </w:rPr>
  </w:style>
  <w:style w:type="paragraph" w:styleId="Heading1">
    <w:name w:val="heading 1"/>
    <w:basedOn w:val="Normal"/>
    <w:next w:val="Normal"/>
    <w:link w:val="Heading1Char"/>
    <w:uiPriority w:val="9"/>
    <w:qFormat/>
    <w:rsid w:val="00691E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91E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1E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1E4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1E4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1E4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1E4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1E4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1E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7ECE"/>
  </w:style>
  <w:style w:type="paragraph" w:customStyle="1" w:styleId="OPCParaBase">
    <w:name w:val="OPCParaBase"/>
    <w:qFormat/>
    <w:rsid w:val="00B27ECE"/>
    <w:pPr>
      <w:spacing w:line="260" w:lineRule="atLeast"/>
    </w:pPr>
    <w:rPr>
      <w:rFonts w:eastAsia="Times New Roman" w:cs="Times New Roman"/>
      <w:sz w:val="22"/>
      <w:lang w:eastAsia="en-AU"/>
    </w:rPr>
  </w:style>
  <w:style w:type="paragraph" w:customStyle="1" w:styleId="ShortT">
    <w:name w:val="ShortT"/>
    <w:basedOn w:val="OPCParaBase"/>
    <w:next w:val="Normal"/>
    <w:qFormat/>
    <w:rsid w:val="00B27ECE"/>
    <w:pPr>
      <w:spacing w:line="240" w:lineRule="auto"/>
    </w:pPr>
    <w:rPr>
      <w:b/>
      <w:sz w:val="40"/>
    </w:rPr>
  </w:style>
  <w:style w:type="paragraph" w:customStyle="1" w:styleId="ActHead1">
    <w:name w:val="ActHead 1"/>
    <w:aliases w:val="c"/>
    <w:basedOn w:val="OPCParaBase"/>
    <w:next w:val="Normal"/>
    <w:qFormat/>
    <w:rsid w:val="00B27E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7E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7E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7E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7E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7E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7E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7E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7E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7ECE"/>
  </w:style>
  <w:style w:type="paragraph" w:customStyle="1" w:styleId="Blocks">
    <w:name w:val="Blocks"/>
    <w:aliases w:val="bb"/>
    <w:basedOn w:val="OPCParaBase"/>
    <w:qFormat/>
    <w:rsid w:val="00B27ECE"/>
    <w:pPr>
      <w:spacing w:line="240" w:lineRule="auto"/>
    </w:pPr>
    <w:rPr>
      <w:sz w:val="24"/>
    </w:rPr>
  </w:style>
  <w:style w:type="paragraph" w:customStyle="1" w:styleId="BoxText">
    <w:name w:val="BoxText"/>
    <w:aliases w:val="bt"/>
    <w:basedOn w:val="OPCParaBase"/>
    <w:qFormat/>
    <w:rsid w:val="00B27E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7ECE"/>
    <w:rPr>
      <w:b/>
    </w:rPr>
  </w:style>
  <w:style w:type="paragraph" w:customStyle="1" w:styleId="BoxHeadItalic">
    <w:name w:val="BoxHeadItalic"/>
    <w:aliases w:val="bhi"/>
    <w:basedOn w:val="BoxText"/>
    <w:next w:val="BoxStep"/>
    <w:qFormat/>
    <w:rsid w:val="00B27ECE"/>
    <w:rPr>
      <w:i/>
    </w:rPr>
  </w:style>
  <w:style w:type="paragraph" w:customStyle="1" w:styleId="BoxList">
    <w:name w:val="BoxList"/>
    <w:aliases w:val="bl"/>
    <w:basedOn w:val="BoxText"/>
    <w:qFormat/>
    <w:rsid w:val="00B27ECE"/>
    <w:pPr>
      <w:ind w:left="1559" w:hanging="425"/>
    </w:pPr>
  </w:style>
  <w:style w:type="paragraph" w:customStyle="1" w:styleId="BoxNote">
    <w:name w:val="BoxNote"/>
    <w:aliases w:val="bn"/>
    <w:basedOn w:val="BoxText"/>
    <w:qFormat/>
    <w:rsid w:val="00B27ECE"/>
    <w:pPr>
      <w:tabs>
        <w:tab w:val="left" w:pos="1985"/>
      </w:tabs>
      <w:spacing w:before="122" w:line="198" w:lineRule="exact"/>
      <w:ind w:left="2948" w:hanging="1814"/>
    </w:pPr>
    <w:rPr>
      <w:sz w:val="18"/>
    </w:rPr>
  </w:style>
  <w:style w:type="paragraph" w:customStyle="1" w:styleId="BoxPara">
    <w:name w:val="BoxPara"/>
    <w:aliases w:val="bp"/>
    <w:basedOn w:val="BoxText"/>
    <w:qFormat/>
    <w:rsid w:val="00B27ECE"/>
    <w:pPr>
      <w:tabs>
        <w:tab w:val="right" w:pos="2268"/>
      </w:tabs>
      <w:ind w:left="2552" w:hanging="1418"/>
    </w:pPr>
  </w:style>
  <w:style w:type="paragraph" w:customStyle="1" w:styleId="BoxStep">
    <w:name w:val="BoxStep"/>
    <w:aliases w:val="bs"/>
    <w:basedOn w:val="BoxText"/>
    <w:qFormat/>
    <w:rsid w:val="00B27ECE"/>
    <w:pPr>
      <w:ind w:left="1985" w:hanging="851"/>
    </w:pPr>
  </w:style>
  <w:style w:type="character" w:customStyle="1" w:styleId="CharAmPartNo">
    <w:name w:val="CharAmPartNo"/>
    <w:basedOn w:val="OPCCharBase"/>
    <w:qFormat/>
    <w:rsid w:val="00B27ECE"/>
  </w:style>
  <w:style w:type="character" w:customStyle="1" w:styleId="CharAmPartText">
    <w:name w:val="CharAmPartText"/>
    <w:basedOn w:val="OPCCharBase"/>
    <w:qFormat/>
    <w:rsid w:val="00B27ECE"/>
  </w:style>
  <w:style w:type="character" w:customStyle="1" w:styleId="CharAmSchNo">
    <w:name w:val="CharAmSchNo"/>
    <w:basedOn w:val="OPCCharBase"/>
    <w:qFormat/>
    <w:rsid w:val="00B27ECE"/>
  </w:style>
  <w:style w:type="character" w:customStyle="1" w:styleId="CharAmSchText">
    <w:name w:val="CharAmSchText"/>
    <w:basedOn w:val="OPCCharBase"/>
    <w:qFormat/>
    <w:rsid w:val="00B27ECE"/>
  </w:style>
  <w:style w:type="character" w:customStyle="1" w:styleId="CharBoldItalic">
    <w:name w:val="CharBoldItalic"/>
    <w:basedOn w:val="OPCCharBase"/>
    <w:uiPriority w:val="1"/>
    <w:qFormat/>
    <w:rsid w:val="00B27ECE"/>
    <w:rPr>
      <w:b/>
      <w:i/>
    </w:rPr>
  </w:style>
  <w:style w:type="character" w:customStyle="1" w:styleId="CharChapNo">
    <w:name w:val="CharChapNo"/>
    <w:basedOn w:val="OPCCharBase"/>
    <w:uiPriority w:val="1"/>
    <w:qFormat/>
    <w:rsid w:val="00B27ECE"/>
  </w:style>
  <w:style w:type="character" w:customStyle="1" w:styleId="CharChapText">
    <w:name w:val="CharChapText"/>
    <w:basedOn w:val="OPCCharBase"/>
    <w:uiPriority w:val="1"/>
    <w:qFormat/>
    <w:rsid w:val="00B27ECE"/>
  </w:style>
  <w:style w:type="character" w:customStyle="1" w:styleId="CharDivNo">
    <w:name w:val="CharDivNo"/>
    <w:basedOn w:val="OPCCharBase"/>
    <w:uiPriority w:val="1"/>
    <w:qFormat/>
    <w:rsid w:val="00B27ECE"/>
  </w:style>
  <w:style w:type="character" w:customStyle="1" w:styleId="CharDivText">
    <w:name w:val="CharDivText"/>
    <w:basedOn w:val="OPCCharBase"/>
    <w:uiPriority w:val="1"/>
    <w:qFormat/>
    <w:rsid w:val="00B27ECE"/>
  </w:style>
  <w:style w:type="character" w:customStyle="1" w:styleId="CharItalic">
    <w:name w:val="CharItalic"/>
    <w:basedOn w:val="OPCCharBase"/>
    <w:uiPriority w:val="1"/>
    <w:qFormat/>
    <w:rsid w:val="00B27ECE"/>
    <w:rPr>
      <w:i/>
    </w:rPr>
  </w:style>
  <w:style w:type="character" w:customStyle="1" w:styleId="CharPartNo">
    <w:name w:val="CharPartNo"/>
    <w:basedOn w:val="OPCCharBase"/>
    <w:uiPriority w:val="1"/>
    <w:qFormat/>
    <w:rsid w:val="00B27ECE"/>
  </w:style>
  <w:style w:type="character" w:customStyle="1" w:styleId="CharPartText">
    <w:name w:val="CharPartText"/>
    <w:basedOn w:val="OPCCharBase"/>
    <w:uiPriority w:val="1"/>
    <w:qFormat/>
    <w:rsid w:val="00B27ECE"/>
  </w:style>
  <w:style w:type="character" w:customStyle="1" w:styleId="CharSectno">
    <w:name w:val="CharSectno"/>
    <w:basedOn w:val="OPCCharBase"/>
    <w:qFormat/>
    <w:rsid w:val="00B27ECE"/>
  </w:style>
  <w:style w:type="character" w:customStyle="1" w:styleId="CharSubdNo">
    <w:name w:val="CharSubdNo"/>
    <w:basedOn w:val="OPCCharBase"/>
    <w:uiPriority w:val="1"/>
    <w:qFormat/>
    <w:rsid w:val="00B27ECE"/>
  </w:style>
  <w:style w:type="character" w:customStyle="1" w:styleId="CharSubdText">
    <w:name w:val="CharSubdText"/>
    <w:basedOn w:val="OPCCharBase"/>
    <w:uiPriority w:val="1"/>
    <w:qFormat/>
    <w:rsid w:val="00B27ECE"/>
  </w:style>
  <w:style w:type="paragraph" w:customStyle="1" w:styleId="CTA--">
    <w:name w:val="CTA --"/>
    <w:basedOn w:val="OPCParaBase"/>
    <w:next w:val="Normal"/>
    <w:rsid w:val="00B27ECE"/>
    <w:pPr>
      <w:spacing w:before="60" w:line="240" w:lineRule="atLeast"/>
      <w:ind w:left="142" w:hanging="142"/>
    </w:pPr>
    <w:rPr>
      <w:sz w:val="20"/>
    </w:rPr>
  </w:style>
  <w:style w:type="paragraph" w:customStyle="1" w:styleId="CTA-">
    <w:name w:val="CTA -"/>
    <w:basedOn w:val="OPCParaBase"/>
    <w:rsid w:val="00B27ECE"/>
    <w:pPr>
      <w:spacing w:before="60" w:line="240" w:lineRule="atLeast"/>
      <w:ind w:left="85" w:hanging="85"/>
    </w:pPr>
    <w:rPr>
      <w:sz w:val="20"/>
    </w:rPr>
  </w:style>
  <w:style w:type="paragraph" w:customStyle="1" w:styleId="CTA---">
    <w:name w:val="CTA ---"/>
    <w:basedOn w:val="OPCParaBase"/>
    <w:next w:val="Normal"/>
    <w:rsid w:val="00B27ECE"/>
    <w:pPr>
      <w:spacing w:before="60" w:line="240" w:lineRule="atLeast"/>
      <w:ind w:left="198" w:hanging="198"/>
    </w:pPr>
    <w:rPr>
      <w:sz w:val="20"/>
    </w:rPr>
  </w:style>
  <w:style w:type="paragraph" w:customStyle="1" w:styleId="CTA----">
    <w:name w:val="CTA ----"/>
    <w:basedOn w:val="OPCParaBase"/>
    <w:next w:val="Normal"/>
    <w:rsid w:val="00B27ECE"/>
    <w:pPr>
      <w:spacing w:before="60" w:line="240" w:lineRule="atLeast"/>
      <w:ind w:left="255" w:hanging="255"/>
    </w:pPr>
    <w:rPr>
      <w:sz w:val="20"/>
    </w:rPr>
  </w:style>
  <w:style w:type="paragraph" w:customStyle="1" w:styleId="CTA1a">
    <w:name w:val="CTA 1(a)"/>
    <w:basedOn w:val="OPCParaBase"/>
    <w:rsid w:val="00B27ECE"/>
    <w:pPr>
      <w:tabs>
        <w:tab w:val="right" w:pos="414"/>
      </w:tabs>
      <w:spacing w:before="40" w:line="240" w:lineRule="atLeast"/>
      <w:ind w:left="675" w:hanging="675"/>
    </w:pPr>
    <w:rPr>
      <w:sz w:val="20"/>
    </w:rPr>
  </w:style>
  <w:style w:type="paragraph" w:customStyle="1" w:styleId="CTA1ai">
    <w:name w:val="CTA 1(a)(i)"/>
    <w:basedOn w:val="OPCParaBase"/>
    <w:rsid w:val="00B27ECE"/>
    <w:pPr>
      <w:tabs>
        <w:tab w:val="right" w:pos="1004"/>
      </w:tabs>
      <w:spacing w:before="40" w:line="240" w:lineRule="atLeast"/>
      <w:ind w:left="1253" w:hanging="1253"/>
    </w:pPr>
    <w:rPr>
      <w:sz w:val="20"/>
    </w:rPr>
  </w:style>
  <w:style w:type="paragraph" w:customStyle="1" w:styleId="CTA2a">
    <w:name w:val="CTA 2(a)"/>
    <w:basedOn w:val="OPCParaBase"/>
    <w:rsid w:val="00B27ECE"/>
    <w:pPr>
      <w:tabs>
        <w:tab w:val="right" w:pos="482"/>
      </w:tabs>
      <w:spacing w:before="40" w:line="240" w:lineRule="atLeast"/>
      <w:ind w:left="748" w:hanging="748"/>
    </w:pPr>
    <w:rPr>
      <w:sz w:val="20"/>
    </w:rPr>
  </w:style>
  <w:style w:type="paragraph" w:customStyle="1" w:styleId="CTA2ai">
    <w:name w:val="CTA 2(a)(i)"/>
    <w:basedOn w:val="OPCParaBase"/>
    <w:rsid w:val="00B27ECE"/>
    <w:pPr>
      <w:tabs>
        <w:tab w:val="right" w:pos="1089"/>
      </w:tabs>
      <w:spacing w:before="40" w:line="240" w:lineRule="atLeast"/>
      <w:ind w:left="1327" w:hanging="1327"/>
    </w:pPr>
    <w:rPr>
      <w:sz w:val="20"/>
    </w:rPr>
  </w:style>
  <w:style w:type="paragraph" w:customStyle="1" w:styleId="CTA3a">
    <w:name w:val="CTA 3(a)"/>
    <w:basedOn w:val="OPCParaBase"/>
    <w:rsid w:val="00B27ECE"/>
    <w:pPr>
      <w:tabs>
        <w:tab w:val="right" w:pos="556"/>
      </w:tabs>
      <w:spacing w:before="40" w:line="240" w:lineRule="atLeast"/>
      <w:ind w:left="805" w:hanging="805"/>
    </w:pPr>
    <w:rPr>
      <w:sz w:val="20"/>
    </w:rPr>
  </w:style>
  <w:style w:type="paragraph" w:customStyle="1" w:styleId="CTA3ai">
    <w:name w:val="CTA 3(a)(i)"/>
    <w:basedOn w:val="OPCParaBase"/>
    <w:rsid w:val="00B27ECE"/>
    <w:pPr>
      <w:tabs>
        <w:tab w:val="right" w:pos="1140"/>
      </w:tabs>
      <w:spacing w:before="40" w:line="240" w:lineRule="atLeast"/>
      <w:ind w:left="1361" w:hanging="1361"/>
    </w:pPr>
    <w:rPr>
      <w:sz w:val="20"/>
    </w:rPr>
  </w:style>
  <w:style w:type="paragraph" w:customStyle="1" w:styleId="CTA4a">
    <w:name w:val="CTA 4(a)"/>
    <w:basedOn w:val="OPCParaBase"/>
    <w:rsid w:val="00B27ECE"/>
    <w:pPr>
      <w:tabs>
        <w:tab w:val="right" w:pos="624"/>
      </w:tabs>
      <w:spacing w:before="40" w:line="240" w:lineRule="atLeast"/>
      <w:ind w:left="873" w:hanging="873"/>
    </w:pPr>
    <w:rPr>
      <w:sz w:val="20"/>
    </w:rPr>
  </w:style>
  <w:style w:type="paragraph" w:customStyle="1" w:styleId="CTA4ai">
    <w:name w:val="CTA 4(a)(i)"/>
    <w:basedOn w:val="OPCParaBase"/>
    <w:rsid w:val="00B27ECE"/>
    <w:pPr>
      <w:tabs>
        <w:tab w:val="right" w:pos="1213"/>
      </w:tabs>
      <w:spacing w:before="40" w:line="240" w:lineRule="atLeast"/>
      <w:ind w:left="1452" w:hanging="1452"/>
    </w:pPr>
    <w:rPr>
      <w:sz w:val="20"/>
    </w:rPr>
  </w:style>
  <w:style w:type="paragraph" w:customStyle="1" w:styleId="CTACAPS">
    <w:name w:val="CTA CAPS"/>
    <w:basedOn w:val="OPCParaBase"/>
    <w:rsid w:val="00B27ECE"/>
    <w:pPr>
      <w:spacing w:before="60" w:line="240" w:lineRule="atLeast"/>
    </w:pPr>
    <w:rPr>
      <w:sz w:val="20"/>
    </w:rPr>
  </w:style>
  <w:style w:type="paragraph" w:customStyle="1" w:styleId="CTAright">
    <w:name w:val="CTA right"/>
    <w:basedOn w:val="OPCParaBase"/>
    <w:rsid w:val="00B27ECE"/>
    <w:pPr>
      <w:spacing w:before="60" w:line="240" w:lineRule="auto"/>
      <w:jc w:val="right"/>
    </w:pPr>
    <w:rPr>
      <w:sz w:val="20"/>
    </w:rPr>
  </w:style>
  <w:style w:type="paragraph" w:customStyle="1" w:styleId="subsection">
    <w:name w:val="subsection"/>
    <w:aliases w:val="ss"/>
    <w:basedOn w:val="OPCParaBase"/>
    <w:rsid w:val="00B27ECE"/>
    <w:pPr>
      <w:tabs>
        <w:tab w:val="right" w:pos="1021"/>
      </w:tabs>
      <w:spacing w:before="180" w:line="240" w:lineRule="auto"/>
      <w:ind w:left="1134" w:hanging="1134"/>
    </w:pPr>
  </w:style>
  <w:style w:type="paragraph" w:customStyle="1" w:styleId="Definition">
    <w:name w:val="Definition"/>
    <w:aliases w:val="dd"/>
    <w:basedOn w:val="OPCParaBase"/>
    <w:rsid w:val="00B27ECE"/>
    <w:pPr>
      <w:spacing w:before="180" w:line="240" w:lineRule="auto"/>
      <w:ind w:left="1134"/>
    </w:pPr>
  </w:style>
  <w:style w:type="paragraph" w:customStyle="1" w:styleId="ETAsubitem">
    <w:name w:val="ETA(subitem)"/>
    <w:basedOn w:val="OPCParaBase"/>
    <w:rsid w:val="00B27ECE"/>
    <w:pPr>
      <w:tabs>
        <w:tab w:val="right" w:pos="340"/>
      </w:tabs>
      <w:spacing w:before="60" w:line="240" w:lineRule="auto"/>
      <w:ind w:left="454" w:hanging="454"/>
    </w:pPr>
    <w:rPr>
      <w:sz w:val="20"/>
    </w:rPr>
  </w:style>
  <w:style w:type="paragraph" w:customStyle="1" w:styleId="ETApara">
    <w:name w:val="ETA(para)"/>
    <w:basedOn w:val="OPCParaBase"/>
    <w:rsid w:val="00B27ECE"/>
    <w:pPr>
      <w:tabs>
        <w:tab w:val="right" w:pos="754"/>
      </w:tabs>
      <w:spacing w:before="60" w:line="240" w:lineRule="auto"/>
      <w:ind w:left="828" w:hanging="828"/>
    </w:pPr>
    <w:rPr>
      <w:sz w:val="20"/>
    </w:rPr>
  </w:style>
  <w:style w:type="paragraph" w:customStyle="1" w:styleId="ETAsubpara">
    <w:name w:val="ETA(subpara)"/>
    <w:basedOn w:val="OPCParaBase"/>
    <w:rsid w:val="00B27ECE"/>
    <w:pPr>
      <w:tabs>
        <w:tab w:val="right" w:pos="1083"/>
      </w:tabs>
      <w:spacing w:before="60" w:line="240" w:lineRule="auto"/>
      <w:ind w:left="1191" w:hanging="1191"/>
    </w:pPr>
    <w:rPr>
      <w:sz w:val="20"/>
    </w:rPr>
  </w:style>
  <w:style w:type="paragraph" w:customStyle="1" w:styleId="ETAsub-subpara">
    <w:name w:val="ETA(sub-subpara)"/>
    <w:basedOn w:val="OPCParaBase"/>
    <w:rsid w:val="00B27ECE"/>
    <w:pPr>
      <w:tabs>
        <w:tab w:val="right" w:pos="1412"/>
      </w:tabs>
      <w:spacing w:before="60" w:line="240" w:lineRule="auto"/>
      <w:ind w:left="1525" w:hanging="1525"/>
    </w:pPr>
    <w:rPr>
      <w:sz w:val="20"/>
    </w:rPr>
  </w:style>
  <w:style w:type="paragraph" w:customStyle="1" w:styleId="Formula">
    <w:name w:val="Formula"/>
    <w:basedOn w:val="OPCParaBase"/>
    <w:rsid w:val="00B27ECE"/>
    <w:pPr>
      <w:spacing w:line="240" w:lineRule="auto"/>
      <w:ind w:left="1134"/>
    </w:pPr>
    <w:rPr>
      <w:sz w:val="20"/>
    </w:rPr>
  </w:style>
  <w:style w:type="paragraph" w:styleId="Header">
    <w:name w:val="header"/>
    <w:basedOn w:val="OPCParaBase"/>
    <w:link w:val="HeaderChar"/>
    <w:unhideWhenUsed/>
    <w:rsid w:val="00B27E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7ECE"/>
    <w:rPr>
      <w:rFonts w:eastAsia="Times New Roman" w:cs="Times New Roman"/>
      <w:sz w:val="16"/>
      <w:lang w:eastAsia="en-AU"/>
    </w:rPr>
  </w:style>
  <w:style w:type="paragraph" w:customStyle="1" w:styleId="House">
    <w:name w:val="House"/>
    <w:basedOn w:val="OPCParaBase"/>
    <w:rsid w:val="00B27ECE"/>
    <w:pPr>
      <w:spacing w:line="240" w:lineRule="auto"/>
    </w:pPr>
    <w:rPr>
      <w:sz w:val="28"/>
    </w:rPr>
  </w:style>
  <w:style w:type="paragraph" w:customStyle="1" w:styleId="Item">
    <w:name w:val="Item"/>
    <w:aliases w:val="i"/>
    <w:basedOn w:val="OPCParaBase"/>
    <w:next w:val="ItemHead"/>
    <w:rsid w:val="00B27ECE"/>
    <w:pPr>
      <w:keepLines/>
      <w:spacing w:before="80" w:line="240" w:lineRule="auto"/>
      <w:ind w:left="709"/>
    </w:pPr>
  </w:style>
  <w:style w:type="paragraph" w:customStyle="1" w:styleId="ItemHead">
    <w:name w:val="ItemHead"/>
    <w:aliases w:val="ih"/>
    <w:basedOn w:val="OPCParaBase"/>
    <w:next w:val="Item"/>
    <w:rsid w:val="00B27E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7ECE"/>
    <w:pPr>
      <w:spacing w:line="240" w:lineRule="auto"/>
    </w:pPr>
    <w:rPr>
      <w:b/>
      <w:sz w:val="32"/>
    </w:rPr>
  </w:style>
  <w:style w:type="paragraph" w:customStyle="1" w:styleId="notedraft">
    <w:name w:val="note(draft)"/>
    <w:aliases w:val="nd"/>
    <w:basedOn w:val="OPCParaBase"/>
    <w:rsid w:val="00B27ECE"/>
    <w:pPr>
      <w:spacing w:before="240" w:line="240" w:lineRule="auto"/>
      <w:ind w:left="284" w:hanging="284"/>
    </w:pPr>
    <w:rPr>
      <w:i/>
      <w:sz w:val="24"/>
    </w:rPr>
  </w:style>
  <w:style w:type="paragraph" w:customStyle="1" w:styleId="notemargin">
    <w:name w:val="note(margin)"/>
    <w:aliases w:val="nm"/>
    <w:basedOn w:val="OPCParaBase"/>
    <w:rsid w:val="00B27ECE"/>
    <w:pPr>
      <w:tabs>
        <w:tab w:val="left" w:pos="709"/>
      </w:tabs>
      <w:spacing w:before="122" w:line="198" w:lineRule="exact"/>
      <w:ind w:left="709" w:hanging="709"/>
    </w:pPr>
    <w:rPr>
      <w:sz w:val="18"/>
    </w:rPr>
  </w:style>
  <w:style w:type="paragraph" w:customStyle="1" w:styleId="noteToPara">
    <w:name w:val="noteToPara"/>
    <w:aliases w:val="ntp"/>
    <w:basedOn w:val="OPCParaBase"/>
    <w:rsid w:val="00B27ECE"/>
    <w:pPr>
      <w:spacing w:before="122" w:line="198" w:lineRule="exact"/>
      <w:ind w:left="2353" w:hanging="709"/>
    </w:pPr>
    <w:rPr>
      <w:sz w:val="18"/>
    </w:rPr>
  </w:style>
  <w:style w:type="paragraph" w:customStyle="1" w:styleId="noteParlAmend">
    <w:name w:val="note(ParlAmend)"/>
    <w:aliases w:val="npp"/>
    <w:basedOn w:val="OPCParaBase"/>
    <w:next w:val="ParlAmend"/>
    <w:rsid w:val="00B27ECE"/>
    <w:pPr>
      <w:spacing w:line="240" w:lineRule="auto"/>
      <w:jc w:val="right"/>
    </w:pPr>
    <w:rPr>
      <w:rFonts w:ascii="Arial" w:hAnsi="Arial"/>
      <w:b/>
      <w:i/>
    </w:rPr>
  </w:style>
  <w:style w:type="paragraph" w:customStyle="1" w:styleId="Page1">
    <w:name w:val="Page1"/>
    <w:basedOn w:val="OPCParaBase"/>
    <w:rsid w:val="00B27ECE"/>
    <w:pPr>
      <w:spacing w:before="5600" w:line="240" w:lineRule="auto"/>
    </w:pPr>
    <w:rPr>
      <w:b/>
      <w:sz w:val="32"/>
    </w:rPr>
  </w:style>
  <w:style w:type="paragraph" w:customStyle="1" w:styleId="PageBreak">
    <w:name w:val="PageBreak"/>
    <w:aliases w:val="pb"/>
    <w:basedOn w:val="OPCParaBase"/>
    <w:rsid w:val="00B27ECE"/>
    <w:pPr>
      <w:spacing w:line="240" w:lineRule="auto"/>
    </w:pPr>
    <w:rPr>
      <w:sz w:val="20"/>
    </w:rPr>
  </w:style>
  <w:style w:type="paragraph" w:customStyle="1" w:styleId="paragraphsub">
    <w:name w:val="paragraph(sub)"/>
    <w:aliases w:val="aa"/>
    <w:basedOn w:val="OPCParaBase"/>
    <w:rsid w:val="00B27ECE"/>
    <w:pPr>
      <w:tabs>
        <w:tab w:val="right" w:pos="1985"/>
      </w:tabs>
      <w:spacing w:before="40" w:line="240" w:lineRule="auto"/>
      <w:ind w:left="2098" w:hanging="2098"/>
    </w:pPr>
  </w:style>
  <w:style w:type="paragraph" w:customStyle="1" w:styleId="paragraphsub-sub">
    <w:name w:val="paragraph(sub-sub)"/>
    <w:aliases w:val="aaa"/>
    <w:basedOn w:val="OPCParaBase"/>
    <w:rsid w:val="00B27ECE"/>
    <w:pPr>
      <w:tabs>
        <w:tab w:val="right" w:pos="2722"/>
      </w:tabs>
      <w:spacing w:before="40" w:line="240" w:lineRule="auto"/>
      <w:ind w:left="2835" w:hanging="2835"/>
    </w:pPr>
  </w:style>
  <w:style w:type="paragraph" w:customStyle="1" w:styleId="paragraph">
    <w:name w:val="paragraph"/>
    <w:aliases w:val="a"/>
    <w:basedOn w:val="OPCParaBase"/>
    <w:rsid w:val="00B27ECE"/>
    <w:pPr>
      <w:tabs>
        <w:tab w:val="right" w:pos="1531"/>
      </w:tabs>
      <w:spacing w:before="40" w:line="240" w:lineRule="auto"/>
      <w:ind w:left="1644" w:hanging="1644"/>
    </w:pPr>
  </w:style>
  <w:style w:type="paragraph" w:customStyle="1" w:styleId="ParlAmend">
    <w:name w:val="ParlAmend"/>
    <w:aliases w:val="pp"/>
    <w:basedOn w:val="OPCParaBase"/>
    <w:rsid w:val="00B27ECE"/>
    <w:pPr>
      <w:spacing w:before="240" w:line="240" w:lineRule="atLeast"/>
      <w:ind w:hanging="567"/>
    </w:pPr>
    <w:rPr>
      <w:sz w:val="24"/>
    </w:rPr>
  </w:style>
  <w:style w:type="paragraph" w:customStyle="1" w:styleId="Penalty">
    <w:name w:val="Penalty"/>
    <w:basedOn w:val="OPCParaBase"/>
    <w:rsid w:val="00B27ECE"/>
    <w:pPr>
      <w:tabs>
        <w:tab w:val="left" w:pos="2977"/>
      </w:tabs>
      <w:spacing w:before="180" w:line="240" w:lineRule="auto"/>
      <w:ind w:left="1985" w:hanging="851"/>
    </w:pPr>
  </w:style>
  <w:style w:type="paragraph" w:customStyle="1" w:styleId="Portfolio">
    <w:name w:val="Portfolio"/>
    <w:basedOn w:val="OPCParaBase"/>
    <w:rsid w:val="00B27ECE"/>
    <w:pPr>
      <w:spacing w:line="240" w:lineRule="auto"/>
    </w:pPr>
    <w:rPr>
      <w:i/>
      <w:sz w:val="20"/>
    </w:rPr>
  </w:style>
  <w:style w:type="paragraph" w:customStyle="1" w:styleId="Preamble">
    <w:name w:val="Preamble"/>
    <w:basedOn w:val="OPCParaBase"/>
    <w:next w:val="Normal"/>
    <w:rsid w:val="00B27E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7ECE"/>
    <w:pPr>
      <w:spacing w:line="240" w:lineRule="auto"/>
    </w:pPr>
    <w:rPr>
      <w:i/>
      <w:sz w:val="20"/>
    </w:rPr>
  </w:style>
  <w:style w:type="paragraph" w:customStyle="1" w:styleId="Session">
    <w:name w:val="Session"/>
    <w:basedOn w:val="OPCParaBase"/>
    <w:rsid w:val="00B27ECE"/>
    <w:pPr>
      <w:spacing w:line="240" w:lineRule="auto"/>
    </w:pPr>
    <w:rPr>
      <w:sz w:val="28"/>
    </w:rPr>
  </w:style>
  <w:style w:type="paragraph" w:customStyle="1" w:styleId="Sponsor">
    <w:name w:val="Sponsor"/>
    <w:basedOn w:val="OPCParaBase"/>
    <w:rsid w:val="00B27ECE"/>
    <w:pPr>
      <w:spacing w:line="240" w:lineRule="auto"/>
    </w:pPr>
    <w:rPr>
      <w:i/>
    </w:rPr>
  </w:style>
  <w:style w:type="paragraph" w:customStyle="1" w:styleId="Subitem">
    <w:name w:val="Subitem"/>
    <w:aliases w:val="iss"/>
    <w:basedOn w:val="OPCParaBase"/>
    <w:rsid w:val="00B27ECE"/>
    <w:pPr>
      <w:spacing w:before="180" w:line="240" w:lineRule="auto"/>
      <w:ind w:left="709" w:hanging="709"/>
    </w:pPr>
  </w:style>
  <w:style w:type="paragraph" w:customStyle="1" w:styleId="SubitemHead">
    <w:name w:val="SubitemHead"/>
    <w:aliases w:val="issh"/>
    <w:basedOn w:val="OPCParaBase"/>
    <w:rsid w:val="00B27E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7ECE"/>
    <w:pPr>
      <w:spacing w:before="40" w:line="240" w:lineRule="auto"/>
      <w:ind w:left="1134"/>
    </w:pPr>
  </w:style>
  <w:style w:type="paragraph" w:customStyle="1" w:styleId="SubsectionHead">
    <w:name w:val="SubsectionHead"/>
    <w:aliases w:val="ssh"/>
    <w:basedOn w:val="OPCParaBase"/>
    <w:next w:val="subsection"/>
    <w:rsid w:val="00B27ECE"/>
    <w:pPr>
      <w:keepNext/>
      <w:keepLines/>
      <w:spacing w:before="240" w:line="240" w:lineRule="auto"/>
      <w:ind w:left="1134"/>
    </w:pPr>
    <w:rPr>
      <w:i/>
    </w:rPr>
  </w:style>
  <w:style w:type="paragraph" w:customStyle="1" w:styleId="Tablea">
    <w:name w:val="Table(a)"/>
    <w:aliases w:val="ta"/>
    <w:basedOn w:val="OPCParaBase"/>
    <w:rsid w:val="00B27ECE"/>
    <w:pPr>
      <w:spacing w:before="60" w:line="240" w:lineRule="auto"/>
      <w:ind w:left="284" w:hanging="284"/>
    </w:pPr>
    <w:rPr>
      <w:sz w:val="20"/>
    </w:rPr>
  </w:style>
  <w:style w:type="paragraph" w:customStyle="1" w:styleId="TableAA">
    <w:name w:val="Table(AA)"/>
    <w:aliases w:val="taaa"/>
    <w:basedOn w:val="OPCParaBase"/>
    <w:rsid w:val="00B27E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7E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7ECE"/>
    <w:pPr>
      <w:spacing w:before="60" w:line="240" w:lineRule="atLeast"/>
    </w:pPr>
    <w:rPr>
      <w:sz w:val="20"/>
    </w:rPr>
  </w:style>
  <w:style w:type="paragraph" w:customStyle="1" w:styleId="TLPBoxTextnote">
    <w:name w:val="TLPBoxText(note"/>
    <w:aliases w:val="right)"/>
    <w:basedOn w:val="OPCParaBase"/>
    <w:rsid w:val="00B27E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7E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7ECE"/>
    <w:pPr>
      <w:spacing w:before="122" w:line="198" w:lineRule="exact"/>
      <w:ind w:left="1985" w:hanging="851"/>
      <w:jc w:val="right"/>
    </w:pPr>
    <w:rPr>
      <w:sz w:val="18"/>
    </w:rPr>
  </w:style>
  <w:style w:type="paragraph" w:customStyle="1" w:styleId="TLPTableBullet">
    <w:name w:val="TLPTableBullet"/>
    <w:aliases w:val="ttb"/>
    <w:basedOn w:val="OPCParaBase"/>
    <w:rsid w:val="00B27ECE"/>
    <w:pPr>
      <w:spacing w:line="240" w:lineRule="exact"/>
      <w:ind w:left="284" w:hanging="284"/>
    </w:pPr>
    <w:rPr>
      <w:sz w:val="20"/>
    </w:rPr>
  </w:style>
  <w:style w:type="paragraph" w:styleId="TOC1">
    <w:name w:val="toc 1"/>
    <w:basedOn w:val="OPCParaBase"/>
    <w:next w:val="Normal"/>
    <w:uiPriority w:val="39"/>
    <w:semiHidden/>
    <w:unhideWhenUsed/>
    <w:rsid w:val="00B27EC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27EC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27EC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7EC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27E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7E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27E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7E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7E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7ECE"/>
    <w:pPr>
      <w:keepLines/>
      <w:spacing w:before="240" w:after="120" w:line="240" w:lineRule="auto"/>
      <w:ind w:left="794"/>
    </w:pPr>
    <w:rPr>
      <w:b/>
      <w:kern w:val="28"/>
      <w:sz w:val="20"/>
    </w:rPr>
  </w:style>
  <w:style w:type="paragraph" w:customStyle="1" w:styleId="TofSectsHeading">
    <w:name w:val="TofSects(Heading)"/>
    <w:basedOn w:val="OPCParaBase"/>
    <w:rsid w:val="00B27ECE"/>
    <w:pPr>
      <w:spacing w:before="240" w:after="120" w:line="240" w:lineRule="auto"/>
    </w:pPr>
    <w:rPr>
      <w:b/>
      <w:sz w:val="24"/>
    </w:rPr>
  </w:style>
  <w:style w:type="paragraph" w:customStyle="1" w:styleId="TofSectsSection">
    <w:name w:val="TofSects(Section)"/>
    <w:basedOn w:val="OPCParaBase"/>
    <w:rsid w:val="00B27ECE"/>
    <w:pPr>
      <w:keepLines/>
      <w:spacing w:before="40" w:line="240" w:lineRule="auto"/>
      <w:ind w:left="1588" w:hanging="794"/>
    </w:pPr>
    <w:rPr>
      <w:kern w:val="28"/>
      <w:sz w:val="18"/>
    </w:rPr>
  </w:style>
  <w:style w:type="paragraph" w:customStyle="1" w:styleId="TofSectsSubdiv">
    <w:name w:val="TofSects(Subdiv)"/>
    <w:basedOn w:val="OPCParaBase"/>
    <w:rsid w:val="00B27ECE"/>
    <w:pPr>
      <w:keepLines/>
      <w:spacing w:before="80" w:line="240" w:lineRule="auto"/>
      <w:ind w:left="1588" w:hanging="794"/>
    </w:pPr>
    <w:rPr>
      <w:kern w:val="28"/>
    </w:rPr>
  </w:style>
  <w:style w:type="paragraph" w:customStyle="1" w:styleId="WRStyle">
    <w:name w:val="WR Style"/>
    <w:aliases w:val="WR"/>
    <w:basedOn w:val="OPCParaBase"/>
    <w:rsid w:val="00B27ECE"/>
    <w:pPr>
      <w:spacing w:before="240" w:line="240" w:lineRule="auto"/>
      <w:ind w:left="284" w:hanging="284"/>
    </w:pPr>
    <w:rPr>
      <w:b/>
      <w:i/>
      <w:kern w:val="28"/>
      <w:sz w:val="24"/>
    </w:rPr>
  </w:style>
  <w:style w:type="paragraph" w:customStyle="1" w:styleId="notepara">
    <w:name w:val="note(para)"/>
    <w:aliases w:val="na"/>
    <w:basedOn w:val="OPCParaBase"/>
    <w:rsid w:val="00B27ECE"/>
    <w:pPr>
      <w:spacing w:before="40" w:line="198" w:lineRule="exact"/>
      <w:ind w:left="2354" w:hanging="369"/>
    </w:pPr>
    <w:rPr>
      <w:sz w:val="18"/>
    </w:rPr>
  </w:style>
  <w:style w:type="paragraph" w:styleId="Footer">
    <w:name w:val="footer"/>
    <w:link w:val="FooterChar"/>
    <w:rsid w:val="00B27E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7ECE"/>
    <w:rPr>
      <w:rFonts w:eastAsia="Times New Roman" w:cs="Times New Roman"/>
      <w:sz w:val="22"/>
      <w:szCs w:val="24"/>
      <w:lang w:eastAsia="en-AU"/>
    </w:rPr>
  </w:style>
  <w:style w:type="character" w:styleId="LineNumber">
    <w:name w:val="line number"/>
    <w:basedOn w:val="OPCCharBase"/>
    <w:uiPriority w:val="99"/>
    <w:semiHidden/>
    <w:unhideWhenUsed/>
    <w:rsid w:val="00B27ECE"/>
    <w:rPr>
      <w:sz w:val="16"/>
    </w:rPr>
  </w:style>
  <w:style w:type="table" w:customStyle="1" w:styleId="CFlag">
    <w:name w:val="CFlag"/>
    <w:basedOn w:val="TableNormal"/>
    <w:uiPriority w:val="99"/>
    <w:rsid w:val="00B27ECE"/>
    <w:rPr>
      <w:rFonts w:eastAsia="Times New Roman" w:cs="Times New Roman"/>
      <w:lang w:eastAsia="en-AU"/>
    </w:rPr>
    <w:tblPr/>
  </w:style>
  <w:style w:type="paragraph" w:customStyle="1" w:styleId="NotesHeading1">
    <w:name w:val="NotesHeading 1"/>
    <w:basedOn w:val="OPCParaBase"/>
    <w:next w:val="Normal"/>
    <w:rsid w:val="00B27ECE"/>
    <w:rPr>
      <w:b/>
      <w:sz w:val="28"/>
      <w:szCs w:val="28"/>
    </w:rPr>
  </w:style>
  <w:style w:type="paragraph" w:customStyle="1" w:styleId="NotesHeading2">
    <w:name w:val="NotesHeading 2"/>
    <w:basedOn w:val="OPCParaBase"/>
    <w:next w:val="Normal"/>
    <w:rsid w:val="00B27ECE"/>
    <w:rPr>
      <w:b/>
      <w:sz w:val="28"/>
      <w:szCs w:val="28"/>
    </w:rPr>
  </w:style>
  <w:style w:type="paragraph" w:customStyle="1" w:styleId="SignCoverPageEnd">
    <w:name w:val="SignCoverPageEnd"/>
    <w:basedOn w:val="OPCParaBase"/>
    <w:next w:val="Normal"/>
    <w:rsid w:val="00B27E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7ECE"/>
    <w:pPr>
      <w:pBdr>
        <w:top w:val="single" w:sz="4" w:space="1" w:color="auto"/>
      </w:pBdr>
      <w:spacing w:before="360"/>
      <w:ind w:right="397"/>
      <w:jc w:val="both"/>
    </w:pPr>
  </w:style>
  <w:style w:type="paragraph" w:customStyle="1" w:styleId="Paragraphsub-sub-sub">
    <w:name w:val="Paragraph(sub-sub-sub)"/>
    <w:aliases w:val="aaaa"/>
    <w:basedOn w:val="OPCParaBase"/>
    <w:rsid w:val="00B27E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7E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7E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7E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7EC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27ECE"/>
    <w:pPr>
      <w:spacing w:before="120"/>
    </w:pPr>
  </w:style>
  <w:style w:type="paragraph" w:customStyle="1" w:styleId="TableTextEndNotes">
    <w:name w:val="TableTextEndNotes"/>
    <w:aliases w:val="Tten"/>
    <w:basedOn w:val="Normal"/>
    <w:rsid w:val="00B27ECE"/>
    <w:pPr>
      <w:spacing w:before="60" w:line="240" w:lineRule="auto"/>
    </w:pPr>
    <w:rPr>
      <w:rFonts w:cs="Arial"/>
      <w:sz w:val="20"/>
      <w:szCs w:val="22"/>
    </w:rPr>
  </w:style>
  <w:style w:type="paragraph" w:customStyle="1" w:styleId="TableHeading">
    <w:name w:val="TableHeading"/>
    <w:aliases w:val="th"/>
    <w:basedOn w:val="OPCParaBase"/>
    <w:next w:val="Tabletext"/>
    <w:rsid w:val="00B27ECE"/>
    <w:pPr>
      <w:keepNext/>
      <w:spacing w:before="60" w:line="240" w:lineRule="atLeast"/>
    </w:pPr>
    <w:rPr>
      <w:b/>
      <w:sz w:val="20"/>
    </w:rPr>
  </w:style>
  <w:style w:type="paragraph" w:customStyle="1" w:styleId="NoteToSubpara">
    <w:name w:val="NoteToSubpara"/>
    <w:aliases w:val="nts"/>
    <w:basedOn w:val="OPCParaBase"/>
    <w:rsid w:val="00B27ECE"/>
    <w:pPr>
      <w:spacing w:before="40" w:line="198" w:lineRule="exact"/>
      <w:ind w:left="2835" w:hanging="709"/>
    </w:pPr>
    <w:rPr>
      <w:sz w:val="18"/>
    </w:rPr>
  </w:style>
  <w:style w:type="paragraph" w:customStyle="1" w:styleId="ENoteTableHeading">
    <w:name w:val="ENoteTableHeading"/>
    <w:aliases w:val="enth"/>
    <w:basedOn w:val="OPCParaBase"/>
    <w:rsid w:val="00B27ECE"/>
    <w:pPr>
      <w:keepNext/>
      <w:spacing w:before="60" w:line="240" w:lineRule="atLeast"/>
    </w:pPr>
    <w:rPr>
      <w:rFonts w:ascii="Arial" w:hAnsi="Arial"/>
      <w:b/>
      <w:sz w:val="16"/>
    </w:rPr>
  </w:style>
  <w:style w:type="paragraph" w:customStyle="1" w:styleId="ENoteTTi">
    <w:name w:val="ENoteTTi"/>
    <w:aliases w:val="entti"/>
    <w:basedOn w:val="OPCParaBase"/>
    <w:rsid w:val="00B27ECE"/>
    <w:pPr>
      <w:keepNext/>
      <w:spacing w:before="60" w:line="240" w:lineRule="atLeast"/>
      <w:ind w:left="170"/>
    </w:pPr>
    <w:rPr>
      <w:sz w:val="16"/>
    </w:rPr>
  </w:style>
  <w:style w:type="paragraph" w:customStyle="1" w:styleId="ENotesHeading1">
    <w:name w:val="ENotesHeading 1"/>
    <w:aliases w:val="Enh1"/>
    <w:basedOn w:val="OPCParaBase"/>
    <w:next w:val="Normal"/>
    <w:rsid w:val="00B27ECE"/>
    <w:pPr>
      <w:spacing w:before="120"/>
      <w:outlineLvl w:val="1"/>
    </w:pPr>
    <w:rPr>
      <w:b/>
      <w:sz w:val="28"/>
      <w:szCs w:val="28"/>
    </w:rPr>
  </w:style>
  <w:style w:type="paragraph" w:customStyle="1" w:styleId="ENotesHeading2">
    <w:name w:val="ENotesHeading 2"/>
    <w:aliases w:val="Enh2"/>
    <w:basedOn w:val="OPCParaBase"/>
    <w:next w:val="Normal"/>
    <w:rsid w:val="00B27ECE"/>
    <w:pPr>
      <w:spacing w:before="120" w:after="120"/>
      <w:outlineLvl w:val="2"/>
    </w:pPr>
    <w:rPr>
      <w:b/>
      <w:sz w:val="24"/>
      <w:szCs w:val="28"/>
    </w:rPr>
  </w:style>
  <w:style w:type="paragraph" w:customStyle="1" w:styleId="ENoteTTIndentHeading">
    <w:name w:val="ENoteTTIndentHeading"/>
    <w:aliases w:val="enTTHi"/>
    <w:basedOn w:val="OPCParaBase"/>
    <w:rsid w:val="00B27E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7ECE"/>
    <w:pPr>
      <w:spacing w:before="60" w:line="240" w:lineRule="atLeast"/>
    </w:pPr>
    <w:rPr>
      <w:sz w:val="16"/>
    </w:rPr>
  </w:style>
  <w:style w:type="paragraph" w:customStyle="1" w:styleId="MadeunderText">
    <w:name w:val="MadeunderText"/>
    <w:basedOn w:val="OPCParaBase"/>
    <w:next w:val="Normal"/>
    <w:rsid w:val="00B27ECE"/>
    <w:pPr>
      <w:spacing w:before="240"/>
    </w:pPr>
    <w:rPr>
      <w:sz w:val="24"/>
      <w:szCs w:val="24"/>
    </w:rPr>
  </w:style>
  <w:style w:type="paragraph" w:customStyle="1" w:styleId="ENotesHeading3">
    <w:name w:val="ENotesHeading 3"/>
    <w:aliases w:val="Enh3"/>
    <w:basedOn w:val="OPCParaBase"/>
    <w:next w:val="Normal"/>
    <w:rsid w:val="00B27ECE"/>
    <w:pPr>
      <w:keepNext/>
      <w:spacing w:before="120" w:line="240" w:lineRule="auto"/>
      <w:outlineLvl w:val="4"/>
    </w:pPr>
    <w:rPr>
      <w:b/>
      <w:szCs w:val="24"/>
    </w:rPr>
  </w:style>
  <w:style w:type="paragraph" w:customStyle="1" w:styleId="SubPartCASA">
    <w:name w:val="SubPart(CASA)"/>
    <w:aliases w:val="csp"/>
    <w:basedOn w:val="OPCParaBase"/>
    <w:next w:val="ActHead3"/>
    <w:rsid w:val="00B27EC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27ECE"/>
  </w:style>
  <w:style w:type="character" w:customStyle="1" w:styleId="CharSubPartNoCASA">
    <w:name w:val="CharSubPartNo(CASA)"/>
    <w:basedOn w:val="OPCCharBase"/>
    <w:uiPriority w:val="1"/>
    <w:rsid w:val="00B27ECE"/>
  </w:style>
  <w:style w:type="paragraph" w:customStyle="1" w:styleId="ENoteTTIndentHeadingSub">
    <w:name w:val="ENoteTTIndentHeadingSub"/>
    <w:aliases w:val="enTTHis"/>
    <w:basedOn w:val="OPCParaBase"/>
    <w:rsid w:val="00B27ECE"/>
    <w:pPr>
      <w:keepNext/>
      <w:spacing w:before="60" w:line="240" w:lineRule="atLeast"/>
      <w:ind w:left="340"/>
    </w:pPr>
    <w:rPr>
      <w:b/>
      <w:sz w:val="16"/>
    </w:rPr>
  </w:style>
  <w:style w:type="paragraph" w:customStyle="1" w:styleId="ENoteTTiSub">
    <w:name w:val="ENoteTTiSub"/>
    <w:aliases w:val="enttis"/>
    <w:basedOn w:val="OPCParaBase"/>
    <w:rsid w:val="00B27ECE"/>
    <w:pPr>
      <w:keepNext/>
      <w:spacing w:before="60" w:line="240" w:lineRule="atLeast"/>
      <w:ind w:left="340"/>
    </w:pPr>
    <w:rPr>
      <w:sz w:val="16"/>
    </w:rPr>
  </w:style>
  <w:style w:type="paragraph" w:customStyle="1" w:styleId="SubDivisionMigration">
    <w:name w:val="SubDivisionMigration"/>
    <w:aliases w:val="sdm"/>
    <w:basedOn w:val="OPCParaBase"/>
    <w:rsid w:val="00B27E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7ECE"/>
    <w:pPr>
      <w:keepNext/>
      <w:keepLines/>
      <w:spacing w:before="240" w:line="240" w:lineRule="auto"/>
      <w:ind w:left="1134" w:hanging="1134"/>
    </w:pPr>
    <w:rPr>
      <w:b/>
      <w:sz w:val="28"/>
    </w:rPr>
  </w:style>
  <w:style w:type="table" w:styleId="TableGrid">
    <w:name w:val="Table Grid"/>
    <w:basedOn w:val="TableNormal"/>
    <w:uiPriority w:val="59"/>
    <w:rsid w:val="00B2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27ECE"/>
    <w:pPr>
      <w:spacing w:before="122" w:line="240" w:lineRule="auto"/>
      <w:ind w:left="1985" w:hanging="851"/>
    </w:pPr>
    <w:rPr>
      <w:sz w:val="18"/>
    </w:rPr>
  </w:style>
  <w:style w:type="paragraph" w:customStyle="1" w:styleId="FreeForm">
    <w:name w:val="FreeForm"/>
    <w:rsid w:val="00B27ECE"/>
    <w:rPr>
      <w:rFonts w:ascii="Arial" w:hAnsi="Arial"/>
      <w:sz w:val="22"/>
    </w:rPr>
  </w:style>
  <w:style w:type="paragraph" w:customStyle="1" w:styleId="SOText">
    <w:name w:val="SO Text"/>
    <w:aliases w:val="sot"/>
    <w:link w:val="SOTextChar"/>
    <w:rsid w:val="00B27E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7ECE"/>
    <w:rPr>
      <w:sz w:val="22"/>
    </w:rPr>
  </w:style>
  <w:style w:type="paragraph" w:customStyle="1" w:styleId="SOTextNote">
    <w:name w:val="SO TextNote"/>
    <w:aliases w:val="sont"/>
    <w:basedOn w:val="SOText"/>
    <w:qFormat/>
    <w:rsid w:val="00B27ECE"/>
    <w:pPr>
      <w:spacing w:before="122" w:line="198" w:lineRule="exact"/>
      <w:ind w:left="1843" w:hanging="709"/>
    </w:pPr>
    <w:rPr>
      <w:sz w:val="18"/>
    </w:rPr>
  </w:style>
  <w:style w:type="paragraph" w:customStyle="1" w:styleId="SOPara">
    <w:name w:val="SO Para"/>
    <w:aliases w:val="soa"/>
    <w:basedOn w:val="SOText"/>
    <w:link w:val="SOParaChar"/>
    <w:qFormat/>
    <w:rsid w:val="00B27ECE"/>
    <w:pPr>
      <w:tabs>
        <w:tab w:val="right" w:pos="1786"/>
      </w:tabs>
      <w:spacing w:before="40"/>
      <w:ind w:left="2070" w:hanging="936"/>
    </w:pPr>
  </w:style>
  <w:style w:type="character" w:customStyle="1" w:styleId="SOParaChar">
    <w:name w:val="SO Para Char"/>
    <w:aliases w:val="soa Char"/>
    <w:basedOn w:val="DefaultParagraphFont"/>
    <w:link w:val="SOPara"/>
    <w:rsid w:val="00B27ECE"/>
    <w:rPr>
      <w:sz w:val="22"/>
    </w:rPr>
  </w:style>
  <w:style w:type="paragraph" w:customStyle="1" w:styleId="FileName">
    <w:name w:val="FileName"/>
    <w:basedOn w:val="Normal"/>
    <w:rsid w:val="00B27ECE"/>
  </w:style>
  <w:style w:type="paragraph" w:customStyle="1" w:styleId="SOHeadBold">
    <w:name w:val="SO HeadBold"/>
    <w:aliases w:val="sohb"/>
    <w:basedOn w:val="SOText"/>
    <w:next w:val="SOText"/>
    <w:link w:val="SOHeadBoldChar"/>
    <w:qFormat/>
    <w:rsid w:val="00B27ECE"/>
    <w:rPr>
      <w:b/>
    </w:rPr>
  </w:style>
  <w:style w:type="character" w:customStyle="1" w:styleId="SOHeadBoldChar">
    <w:name w:val="SO HeadBold Char"/>
    <w:aliases w:val="sohb Char"/>
    <w:basedOn w:val="DefaultParagraphFont"/>
    <w:link w:val="SOHeadBold"/>
    <w:rsid w:val="00B27ECE"/>
    <w:rPr>
      <w:b/>
      <w:sz w:val="22"/>
    </w:rPr>
  </w:style>
  <w:style w:type="paragraph" w:customStyle="1" w:styleId="SOHeadItalic">
    <w:name w:val="SO HeadItalic"/>
    <w:aliases w:val="sohi"/>
    <w:basedOn w:val="SOText"/>
    <w:next w:val="SOText"/>
    <w:link w:val="SOHeadItalicChar"/>
    <w:qFormat/>
    <w:rsid w:val="00B27ECE"/>
    <w:rPr>
      <w:i/>
    </w:rPr>
  </w:style>
  <w:style w:type="character" w:customStyle="1" w:styleId="SOHeadItalicChar">
    <w:name w:val="SO HeadItalic Char"/>
    <w:aliases w:val="sohi Char"/>
    <w:basedOn w:val="DefaultParagraphFont"/>
    <w:link w:val="SOHeadItalic"/>
    <w:rsid w:val="00B27ECE"/>
    <w:rPr>
      <w:i/>
      <w:sz w:val="22"/>
    </w:rPr>
  </w:style>
  <w:style w:type="paragraph" w:customStyle="1" w:styleId="SOBullet">
    <w:name w:val="SO Bullet"/>
    <w:aliases w:val="sotb"/>
    <w:basedOn w:val="SOText"/>
    <w:link w:val="SOBulletChar"/>
    <w:qFormat/>
    <w:rsid w:val="00B27ECE"/>
    <w:pPr>
      <w:ind w:left="1559" w:hanging="425"/>
    </w:pPr>
  </w:style>
  <w:style w:type="character" w:customStyle="1" w:styleId="SOBulletChar">
    <w:name w:val="SO Bullet Char"/>
    <w:aliases w:val="sotb Char"/>
    <w:basedOn w:val="DefaultParagraphFont"/>
    <w:link w:val="SOBullet"/>
    <w:rsid w:val="00B27ECE"/>
    <w:rPr>
      <w:sz w:val="22"/>
    </w:rPr>
  </w:style>
  <w:style w:type="paragraph" w:customStyle="1" w:styleId="SOBulletNote">
    <w:name w:val="SO BulletNote"/>
    <w:aliases w:val="sonb"/>
    <w:basedOn w:val="SOTextNote"/>
    <w:link w:val="SOBulletNoteChar"/>
    <w:qFormat/>
    <w:rsid w:val="00B27ECE"/>
    <w:pPr>
      <w:tabs>
        <w:tab w:val="left" w:pos="1560"/>
      </w:tabs>
      <w:ind w:left="2268" w:hanging="1134"/>
    </w:pPr>
  </w:style>
  <w:style w:type="character" w:customStyle="1" w:styleId="SOBulletNoteChar">
    <w:name w:val="SO BulletNote Char"/>
    <w:aliases w:val="sonb Char"/>
    <w:basedOn w:val="DefaultParagraphFont"/>
    <w:link w:val="SOBulletNote"/>
    <w:rsid w:val="00B27ECE"/>
    <w:rPr>
      <w:sz w:val="18"/>
    </w:rPr>
  </w:style>
  <w:style w:type="paragraph" w:customStyle="1" w:styleId="SOText2">
    <w:name w:val="SO Text2"/>
    <w:aliases w:val="sot2"/>
    <w:basedOn w:val="Normal"/>
    <w:next w:val="SOText"/>
    <w:link w:val="SOText2Char"/>
    <w:rsid w:val="00B27E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7ECE"/>
    <w:rPr>
      <w:sz w:val="22"/>
    </w:rPr>
  </w:style>
  <w:style w:type="paragraph" w:customStyle="1" w:styleId="Transitional">
    <w:name w:val="Transitional"/>
    <w:aliases w:val="tr"/>
    <w:basedOn w:val="ItemHead"/>
    <w:next w:val="Item"/>
    <w:rsid w:val="00B27ECE"/>
  </w:style>
  <w:style w:type="character" w:styleId="Hyperlink">
    <w:name w:val="Hyperlink"/>
    <w:basedOn w:val="DefaultParagraphFont"/>
    <w:uiPriority w:val="99"/>
    <w:semiHidden/>
    <w:unhideWhenUsed/>
    <w:rsid w:val="00691E46"/>
    <w:rPr>
      <w:color w:val="0000FF" w:themeColor="hyperlink"/>
      <w:u w:val="single"/>
    </w:rPr>
  </w:style>
  <w:style w:type="character" w:styleId="FollowedHyperlink">
    <w:name w:val="FollowedHyperlink"/>
    <w:basedOn w:val="DefaultParagraphFont"/>
    <w:uiPriority w:val="99"/>
    <w:semiHidden/>
    <w:unhideWhenUsed/>
    <w:rsid w:val="00691E46"/>
    <w:rPr>
      <w:color w:val="0000FF" w:themeColor="hyperlink"/>
      <w:u w:val="single"/>
    </w:rPr>
  </w:style>
  <w:style w:type="character" w:customStyle="1" w:styleId="Heading1Char">
    <w:name w:val="Heading 1 Char"/>
    <w:basedOn w:val="DefaultParagraphFont"/>
    <w:link w:val="Heading1"/>
    <w:uiPriority w:val="9"/>
    <w:rsid w:val="00691E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91E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91E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91E4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91E4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91E4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91E4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91E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1E46"/>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691E46"/>
    <w:pPr>
      <w:spacing w:before="800"/>
    </w:pPr>
  </w:style>
  <w:style w:type="character" w:customStyle="1" w:styleId="ShortTP1Char">
    <w:name w:val="ShortTP1 Char"/>
    <w:basedOn w:val="DefaultParagraphFont"/>
    <w:link w:val="ShortTP1"/>
    <w:rsid w:val="00691E46"/>
    <w:rPr>
      <w:rFonts w:eastAsia="Times New Roman" w:cs="Times New Roman"/>
      <w:b/>
      <w:sz w:val="40"/>
      <w:lang w:eastAsia="en-AU"/>
    </w:rPr>
  </w:style>
  <w:style w:type="paragraph" w:customStyle="1" w:styleId="ActNoP1">
    <w:name w:val="ActNoP1"/>
    <w:basedOn w:val="Actno"/>
    <w:link w:val="ActNoP1Char"/>
    <w:rsid w:val="00691E46"/>
    <w:pPr>
      <w:spacing w:before="800"/>
    </w:pPr>
    <w:rPr>
      <w:sz w:val="28"/>
    </w:rPr>
  </w:style>
  <w:style w:type="character" w:customStyle="1" w:styleId="ActNoP1Char">
    <w:name w:val="ActNoP1 Char"/>
    <w:basedOn w:val="DefaultParagraphFont"/>
    <w:link w:val="ActNoP1"/>
    <w:rsid w:val="00691E46"/>
    <w:rPr>
      <w:rFonts w:eastAsia="Times New Roman" w:cs="Times New Roman"/>
      <w:b/>
      <w:sz w:val="28"/>
      <w:lang w:eastAsia="en-AU"/>
    </w:rPr>
  </w:style>
  <w:style w:type="paragraph" w:customStyle="1" w:styleId="AssentBk">
    <w:name w:val="AssentBk"/>
    <w:basedOn w:val="Normal"/>
    <w:rsid w:val="00691E46"/>
    <w:pPr>
      <w:spacing w:line="240" w:lineRule="auto"/>
    </w:pPr>
    <w:rPr>
      <w:rFonts w:eastAsia="Times New Roman" w:cs="Times New Roman"/>
      <w:sz w:val="20"/>
      <w:lang w:eastAsia="en-AU"/>
    </w:rPr>
  </w:style>
  <w:style w:type="paragraph" w:customStyle="1" w:styleId="AssentDt">
    <w:name w:val="AssentDt"/>
    <w:basedOn w:val="Normal"/>
    <w:rsid w:val="00FC2B9D"/>
    <w:pPr>
      <w:spacing w:line="240" w:lineRule="auto"/>
    </w:pPr>
    <w:rPr>
      <w:rFonts w:eastAsia="Times New Roman" w:cs="Times New Roman"/>
      <w:sz w:val="20"/>
      <w:lang w:eastAsia="en-AU"/>
    </w:rPr>
  </w:style>
  <w:style w:type="paragraph" w:customStyle="1" w:styleId="2ndRd">
    <w:name w:val="2ndRd"/>
    <w:basedOn w:val="Normal"/>
    <w:rsid w:val="00FC2B9D"/>
    <w:pPr>
      <w:spacing w:line="240" w:lineRule="auto"/>
    </w:pPr>
    <w:rPr>
      <w:rFonts w:eastAsia="Times New Roman" w:cs="Times New Roman"/>
      <w:sz w:val="20"/>
      <w:lang w:eastAsia="en-AU"/>
    </w:rPr>
  </w:style>
  <w:style w:type="paragraph" w:customStyle="1" w:styleId="ScalePlusRef">
    <w:name w:val="ScalePlusRef"/>
    <w:basedOn w:val="Normal"/>
    <w:rsid w:val="00FC2B9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7</Pages>
  <Words>409</Words>
  <Characters>2333</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2022-12-06T01:50:00Z</dcterms:created>
  <dcterms:modified xsi:type="dcterms:W3CDTF">2022-12-06T02:23:00Z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Income Tax Amendment (Labour Mobility Program) Act 2022</vt:lpwstr>
  </property>
  <property fmtid="{D5CDD505-2E9C-101B-9397-08002B2CF9AE}" pid="3" name="ActNo">
    <vt:lpwstr>No. 74,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OPC8122</vt:lpwstr>
  </property>
  <property fmtid="{D5CDD505-2E9C-101B-9397-08002B2CF9AE}" pid="10" name="MSIP_Label_234ea0fa-41da-4eb0-b95e-07c328641c0b_Enabled">
    <vt:lpwstr>true</vt:lpwstr>
  </property>
  <property fmtid="{D5CDD505-2E9C-101B-9397-08002B2CF9AE}" pid="11" name="MSIP_Label_234ea0fa-41da-4eb0-b95e-07c328641c0b_SetDate">
    <vt:lpwstr>2022-11-28T07:03:07Z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c7aeec4e-730d-4ce4-9ec1-ade8769c608f</vt:lpwstr>
  </property>
  <property fmtid="{D5CDD505-2E9C-101B-9397-08002B2CF9AE}" pid="16" name="MSIP_Label_234ea0fa-41da-4eb0-b95e-07c328641c0b_ContentBits">
    <vt:lpwstr>0</vt:lpwstr>
  </property>
</Properties>
</file>